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A422F" w:rsidP="00CA422F">
      <w:pPr>
        <w:framePr w:w="1701" w:h="440" w:hRule="exact" w:hSpace="181" w:wrap="notBeside" w:vAnchor="page" w:hAnchor="page" w:x="2391" w:y="870" w:anchorLock="1"/>
        <w:spacing w:before="48"/>
        <w:ind w:leftChars="100" w:left="31680"/>
      </w:pPr>
      <w:r>
        <w:rPr>
          <w:rFonts w:hint="eastAsia"/>
          <w:spacing w:val="80"/>
          <w:kern w:val="30"/>
          <w:sz w:val="30"/>
        </w:rPr>
        <w:t>联合国</w:t>
      </w:r>
    </w:p>
    <w:p w:rsidR="00000000" w:rsidRDefault="00CA422F">
      <w:pPr>
        <w:framePr w:hSpace="181" w:wrap="auto" w:vAnchor="text" w:hAnchor="page" w:x="1191" w:y="1"/>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CA422F">
      <w:pPr>
        <w:pStyle w:val="BodyText2"/>
        <w:framePr w:wrap="auto"/>
        <w:rPr>
          <w:rFonts w:ascii="SimHei" w:hint="eastAsia"/>
        </w:rPr>
      </w:pPr>
      <w:r>
        <w:rPr>
          <w:rFonts w:hint="eastAsia"/>
        </w:rPr>
        <w:t>消除对妇女一切形式歧视公约</w:t>
      </w:r>
    </w:p>
    <w:p w:rsidR="00000000" w:rsidRDefault="00CA422F">
      <w:pPr>
        <w:framePr w:w="2852" w:h="1799" w:hRule="exact" w:hSpace="181" w:vSpace="181" w:wrap="notBeside" w:vAnchor="page" w:hAnchor="page" w:x="8151" w:y="1806" w:anchorLock="1"/>
      </w:pPr>
      <w:r>
        <w:t>Distr.:General</w:t>
      </w:r>
    </w:p>
    <w:p w:rsidR="00000000" w:rsidRDefault="00CA422F">
      <w:pPr>
        <w:framePr w:w="2852" w:h="1799" w:hRule="exact" w:hSpace="181" w:vSpace="181" w:wrap="notBeside" w:vAnchor="page" w:hAnchor="page" w:x="8151" w:y="1806" w:anchorLock="1"/>
      </w:pPr>
      <w:r>
        <w:t>26</w:t>
      </w:r>
      <w:r>
        <w:rPr>
          <w:rFonts w:hint="eastAsia"/>
        </w:rPr>
        <w:t xml:space="preserve"> </w:t>
      </w:r>
      <w:r>
        <w:t>March</w:t>
      </w:r>
      <w:r>
        <w:rPr>
          <w:rFonts w:hint="eastAsia"/>
        </w:rPr>
        <w:t xml:space="preserve"> </w:t>
      </w:r>
      <w:r>
        <w:t>2003</w:t>
      </w:r>
    </w:p>
    <w:p w:rsidR="00000000" w:rsidRDefault="00CA422F">
      <w:pPr>
        <w:framePr w:w="2852" w:h="1799" w:hRule="exact" w:hSpace="181" w:vSpace="181" w:wrap="notBeside" w:vAnchor="page" w:hAnchor="page" w:x="8151" w:y="1806" w:anchorLock="1"/>
      </w:pPr>
    </w:p>
    <w:p w:rsidR="00000000" w:rsidRDefault="00CA422F">
      <w:pPr>
        <w:framePr w:w="2852" w:h="1799" w:hRule="exact" w:hSpace="181" w:vSpace="181" w:wrap="notBeside" w:vAnchor="page" w:hAnchor="page" w:x="8151" w:y="1806" w:anchorLock="1"/>
      </w:pPr>
      <w:r>
        <w:t>Chinese</w:t>
      </w:r>
    </w:p>
    <w:p w:rsidR="00000000" w:rsidRDefault="00CA422F">
      <w:pPr>
        <w:pStyle w:val="5"/>
        <w:framePr w:w="2852" w:h="1799" w:hRule="exact" w:wrap="notBeside" w:x="8151" w:y="1806"/>
        <w:spacing w:line="240" w:lineRule="exact"/>
        <w:rPr>
          <w:color w:val="auto"/>
          <w:spacing w:val="10"/>
          <w:sz w:val="21"/>
        </w:rPr>
      </w:pPr>
      <w:r>
        <w:rPr>
          <w:sz w:val="21"/>
        </w:rPr>
        <w:t>Original:Spanish</w:t>
      </w:r>
    </w:p>
    <w:p w:rsidR="00000000" w:rsidRDefault="00CA422F">
      <w:pPr>
        <w:pBdr>
          <w:top w:val="single" w:sz="12" w:space="1" w:color="auto"/>
        </w:pBdr>
        <w:spacing w:line="120" w:lineRule="exact"/>
        <w:jc w:val="center"/>
        <w:rPr>
          <w:rFonts w:eastAsia="SimHei" w:hint="eastAsia"/>
          <w:sz w:val="24"/>
        </w:rPr>
      </w:pPr>
    </w:p>
    <w:p w:rsidR="00000000" w:rsidRDefault="00CA422F">
      <w:pPr>
        <w:spacing w:line="360" w:lineRule="atLeast"/>
        <w:rPr>
          <w:rFonts w:eastAsia="SimHei" w:hint="eastAsia"/>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CA422F">
      <w:pPr>
        <w:spacing w:line="360" w:lineRule="auto"/>
        <w:rPr>
          <w:sz w:val="24"/>
        </w:rPr>
      </w:pPr>
    </w:p>
    <w:p w:rsidR="00000000" w:rsidRDefault="00CA422F">
      <w:pPr>
        <w:spacing w:after="240" w:line="360" w:lineRule="atLeast"/>
        <w:rPr>
          <w:sz w:val="24"/>
        </w:rPr>
      </w:pPr>
    </w:p>
    <w:p w:rsidR="00000000" w:rsidRDefault="00CA422F">
      <w:pPr>
        <w:spacing w:after="240" w:line="360" w:lineRule="atLeast"/>
        <w:rPr>
          <w:sz w:val="24"/>
        </w:rPr>
      </w:pPr>
    </w:p>
    <w:p w:rsidR="00000000" w:rsidRDefault="00CA422F">
      <w:pPr>
        <w:pStyle w:val="21"/>
        <w:spacing w:beforeLines="0" w:before="0" w:afterLines="0" w:after="240" w:line="360" w:lineRule="atLeast"/>
        <w:jc w:val="center"/>
        <w:rPr>
          <w:rFonts w:ascii="SimHei" w:eastAsia="SimHei" w:hint="eastAsia"/>
          <w:b w:val="0"/>
          <w:bCs/>
          <w:sz w:val="28"/>
        </w:rPr>
      </w:pPr>
      <w:r>
        <w:rPr>
          <w:rFonts w:ascii="SimHei" w:eastAsia="SimHei" w:hint="eastAsia"/>
          <w:b w:val="0"/>
          <w:bCs/>
          <w:sz w:val="28"/>
        </w:rPr>
        <w:t>对缔约国根据消除对妇女一切形式歧视公约</w:t>
      </w:r>
    </w:p>
    <w:p w:rsidR="00000000" w:rsidRDefault="00CA422F">
      <w:pPr>
        <w:pStyle w:val="21"/>
        <w:spacing w:beforeLines="0" w:before="0" w:afterLines="0" w:after="240" w:line="360" w:lineRule="atLeast"/>
        <w:jc w:val="center"/>
        <w:rPr>
          <w:rFonts w:ascii="SimHei" w:eastAsia="SimHei"/>
          <w:b w:val="0"/>
          <w:bCs/>
          <w:sz w:val="28"/>
        </w:rPr>
      </w:pPr>
      <w:r>
        <w:rPr>
          <w:rFonts w:ascii="SimHei" w:eastAsia="SimHei" w:hint="eastAsia"/>
          <w:b w:val="0"/>
          <w:bCs/>
          <w:sz w:val="28"/>
        </w:rPr>
        <w:t>第十八条提交的报告的审议</w:t>
      </w:r>
    </w:p>
    <w:p w:rsidR="00000000" w:rsidRDefault="00CA422F">
      <w:pPr>
        <w:pStyle w:val="21"/>
        <w:spacing w:beforeLines="0" w:before="0" w:afterLines="0" w:after="240" w:line="360" w:lineRule="atLeast"/>
        <w:jc w:val="center"/>
        <w:rPr>
          <w:rFonts w:ascii="SimHei" w:eastAsia="SimHei"/>
          <w:b w:val="0"/>
          <w:bCs/>
          <w:sz w:val="28"/>
        </w:rPr>
      </w:pPr>
    </w:p>
    <w:p w:rsidR="00000000" w:rsidRDefault="00CA422F">
      <w:pPr>
        <w:pStyle w:val="21"/>
        <w:spacing w:beforeLines="0" w:before="0" w:afterLines="0" w:after="240" w:line="360" w:lineRule="atLeast"/>
        <w:jc w:val="center"/>
        <w:rPr>
          <w:rFonts w:ascii="SimHei" w:eastAsia="SimHei"/>
          <w:b w:val="0"/>
          <w:bCs/>
          <w:sz w:val="28"/>
        </w:rPr>
      </w:pPr>
    </w:p>
    <w:p w:rsidR="00000000" w:rsidRDefault="00CA422F">
      <w:pPr>
        <w:pStyle w:val="21"/>
        <w:spacing w:beforeLines="0" w:before="0" w:afterLines="0" w:after="240" w:line="360" w:lineRule="atLeast"/>
        <w:jc w:val="center"/>
        <w:rPr>
          <w:rFonts w:ascii="SimHei" w:eastAsia="SimHei" w:hint="eastAsia"/>
          <w:b w:val="0"/>
          <w:bCs/>
          <w:sz w:val="28"/>
          <w:u w:val="single"/>
        </w:rPr>
      </w:pPr>
      <w:r>
        <w:rPr>
          <w:rFonts w:ascii="SimHei" w:eastAsia="SimHei" w:hint="eastAsia"/>
          <w:b w:val="0"/>
          <w:bCs/>
          <w:sz w:val="28"/>
          <w:u w:val="single"/>
        </w:rPr>
        <w:t>缔约国提交的第四次定期报告</w:t>
      </w:r>
    </w:p>
    <w:p w:rsidR="00000000" w:rsidRDefault="00CA422F">
      <w:pPr>
        <w:pStyle w:val="21"/>
        <w:spacing w:beforeLines="0" w:before="0" w:afterLines="0" w:after="240" w:line="360" w:lineRule="atLeast"/>
        <w:jc w:val="center"/>
        <w:rPr>
          <w:rFonts w:ascii="SimHei" w:eastAsia="SimHei"/>
          <w:b w:val="0"/>
          <w:bCs/>
          <w:sz w:val="28"/>
        </w:rPr>
      </w:pPr>
    </w:p>
    <w:p w:rsidR="00000000" w:rsidRDefault="00CA422F">
      <w:pPr>
        <w:pStyle w:val="21"/>
        <w:spacing w:beforeLines="0" w:before="0" w:afterLines="0" w:after="240" w:line="360" w:lineRule="atLeast"/>
        <w:jc w:val="center"/>
        <w:rPr>
          <w:rFonts w:ascii="SimHei" w:eastAsia="SimHei"/>
          <w:b w:val="0"/>
          <w:bCs/>
          <w:sz w:val="28"/>
        </w:rPr>
      </w:pPr>
    </w:p>
    <w:p w:rsidR="00000000" w:rsidRDefault="00CA422F">
      <w:pPr>
        <w:pStyle w:val="21"/>
        <w:spacing w:beforeLines="0" w:before="0" w:afterLines="0" w:after="240" w:line="360" w:lineRule="atLeast"/>
        <w:jc w:val="center"/>
        <w:rPr>
          <w:rFonts w:ascii="SimHei" w:eastAsia="SimHei" w:hint="eastAsia"/>
          <w:b w:val="0"/>
          <w:bCs/>
          <w:sz w:val="28"/>
        </w:rPr>
      </w:pPr>
      <w:r>
        <w:rPr>
          <w:rFonts w:ascii="SimHei" w:eastAsia="SimHei" w:hint="eastAsia"/>
          <w:b w:val="0"/>
          <w:bCs/>
          <w:sz w:val="28"/>
        </w:rPr>
        <w:t>哥斯达黎加</w:t>
      </w:r>
      <w:r>
        <w:rPr>
          <w:rStyle w:val="FootnoteReference"/>
          <w:rFonts w:ascii="SimHei" w:eastAsia="SimHei"/>
          <w:b w:val="0"/>
          <w:bCs/>
          <w:sz w:val="28"/>
        </w:rPr>
        <w:footnoteReference w:customMarkFollows="1" w:id="1"/>
        <w:sym w:font="Symbol" w:char="F02A"/>
      </w:r>
    </w:p>
    <w:p w:rsidR="00000000" w:rsidRDefault="00CA422F">
      <w:pPr>
        <w:pStyle w:val="21"/>
        <w:spacing w:beforeLines="0" w:before="0" w:afterLines="0" w:after="240" w:line="360" w:lineRule="atLeast"/>
        <w:jc w:val="center"/>
        <w:rPr>
          <w:rFonts w:hint="eastAsia"/>
        </w:rPr>
      </w:pPr>
    </w:p>
    <w:p w:rsidR="00000000" w:rsidRDefault="00CA422F">
      <w:pPr>
        <w:pStyle w:val="21"/>
        <w:spacing w:beforeLines="0" w:before="0" w:afterLines="0" w:after="240" w:line="360" w:lineRule="atLeast"/>
        <w:jc w:val="center"/>
        <w:rPr>
          <w:rFonts w:hint="eastAsia"/>
        </w:rPr>
      </w:pPr>
    </w:p>
    <w:p w:rsidR="00000000" w:rsidRDefault="00CA422F">
      <w:pPr>
        <w:pStyle w:val="21"/>
        <w:spacing w:beforeLines="0" w:before="0" w:afterLines="0" w:after="240" w:line="360" w:lineRule="atLeast"/>
        <w:jc w:val="center"/>
      </w:pPr>
      <w:r>
        <w:br w:type="page"/>
      </w: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rPr>
          <w:rFonts w:eastAsia="SimHei"/>
          <w:b w:val="0"/>
          <w:bCs/>
          <w:sz w:val="28"/>
        </w:rPr>
      </w:pPr>
      <w:r>
        <w:rPr>
          <w:rFonts w:eastAsia="SimHei" w:hint="eastAsia"/>
          <w:b w:val="0"/>
          <w:bCs/>
          <w:sz w:val="28"/>
        </w:rPr>
        <w:t>哥斯达黎加政府根据</w:t>
      </w:r>
    </w:p>
    <w:p w:rsidR="00000000" w:rsidRDefault="00CA422F">
      <w:pPr>
        <w:pStyle w:val="21"/>
        <w:spacing w:beforeLines="0" w:before="0" w:afterLines="0" w:after="240" w:line="360" w:lineRule="atLeast"/>
        <w:jc w:val="center"/>
        <w:rPr>
          <w:rFonts w:eastAsia="SimHei" w:hint="eastAsia"/>
          <w:b w:val="0"/>
          <w:bCs/>
          <w:sz w:val="28"/>
        </w:rPr>
      </w:pPr>
      <w:r>
        <w:rPr>
          <w:rFonts w:eastAsia="SimHei" w:hint="eastAsia"/>
          <w:b w:val="0"/>
          <w:bCs/>
          <w:sz w:val="28"/>
        </w:rPr>
        <w:t>消除对妇女一切形式歧视公约提交的报告</w:t>
      </w: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rPr>
          <w:rFonts w:ascii="SimHei" w:eastAsia="SimHei" w:hint="eastAsia"/>
          <w:b w:val="0"/>
          <w:bCs/>
          <w:sz w:val="24"/>
        </w:rPr>
      </w:pPr>
      <w:r>
        <w:rPr>
          <w:rFonts w:ascii="SimHei" w:eastAsia="SimHei" w:hint="eastAsia"/>
          <w:b w:val="0"/>
          <w:bCs/>
          <w:sz w:val="24"/>
        </w:rPr>
        <w:t>1998</w:t>
      </w:r>
      <w:r>
        <w:rPr>
          <w:rFonts w:ascii="SimHei" w:eastAsia="SimHei" w:hint="eastAsia"/>
          <w:b w:val="0"/>
          <w:bCs/>
          <w:sz w:val="24"/>
        </w:rPr>
        <w:t>年</w:t>
      </w:r>
      <w:r>
        <w:rPr>
          <w:rFonts w:ascii="SimHei" w:eastAsia="SimHei" w:hint="eastAsia"/>
          <w:b w:val="0"/>
          <w:bCs/>
          <w:sz w:val="24"/>
        </w:rPr>
        <w:t>4</w:t>
      </w:r>
      <w:r>
        <w:rPr>
          <w:rFonts w:ascii="SimHei" w:eastAsia="SimHei" w:hint="eastAsia"/>
          <w:b w:val="0"/>
          <w:bCs/>
          <w:sz w:val="24"/>
        </w:rPr>
        <w:t>月</w:t>
      </w:r>
      <w:r>
        <w:rPr>
          <w:rFonts w:ascii="SimHei" w:eastAsia="SimHei" w:hint="eastAsia"/>
          <w:b w:val="0"/>
          <w:bCs/>
          <w:sz w:val="24"/>
        </w:rPr>
        <w:t>1</w:t>
      </w:r>
      <w:r>
        <w:rPr>
          <w:rFonts w:ascii="SimHei" w:eastAsia="SimHei" w:hint="eastAsia"/>
          <w:b w:val="0"/>
          <w:bCs/>
          <w:sz w:val="24"/>
        </w:rPr>
        <w:t>日至</w:t>
      </w:r>
      <w:r>
        <w:rPr>
          <w:rFonts w:ascii="SimHei" w:eastAsia="SimHei" w:hint="eastAsia"/>
          <w:b w:val="0"/>
          <w:bCs/>
          <w:sz w:val="24"/>
        </w:rPr>
        <w:t>2002</w:t>
      </w:r>
      <w:r>
        <w:rPr>
          <w:rFonts w:ascii="SimHei" w:eastAsia="SimHei" w:hint="eastAsia"/>
          <w:b w:val="0"/>
          <w:bCs/>
          <w:sz w:val="24"/>
        </w:rPr>
        <w:t>年</w:t>
      </w:r>
      <w:r>
        <w:rPr>
          <w:rFonts w:ascii="SimHei" w:eastAsia="SimHei" w:hint="eastAsia"/>
          <w:b w:val="0"/>
          <w:bCs/>
          <w:sz w:val="24"/>
        </w:rPr>
        <w:t>3</w:t>
      </w:r>
      <w:r>
        <w:rPr>
          <w:rFonts w:ascii="SimHei" w:eastAsia="SimHei" w:hint="eastAsia"/>
          <w:b w:val="0"/>
          <w:bCs/>
          <w:sz w:val="24"/>
        </w:rPr>
        <w:t>月</w:t>
      </w:r>
      <w:r>
        <w:rPr>
          <w:rFonts w:ascii="SimHei" w:eastAsia="SimHei" w:hint="eastAsia"/>
          <w:b w:val="0"/>
          <w:bCs/>
          <w:sz w:val="24"/>
        </w:rPr>
        <w:t>31</w:t>
      </w:r>
      <w:r>
        <w:rPr>
          <w:rFonts w:ascii="SimHei" w:eastAsia="SimHei" w:hint="eastAsia"/>
          <w:b w:val="0"/>
          <w:bCs/>
          <w:sz w:val="24"/>
        </w:rPr>
        <w:t>日</w:t>
      </w:r>
    </w:p>
    <w:p w:rsidR="00000000" w:rsidRDefault="00CA422F">
      <w:pPr>
        <w:pStyle w:val="21"/>
        <w:spacing w:beforeLines="0" w:before="0" w:afterLines="0" w:after="240" w:line="360" w:lineRule="atLeast"/>
        <w:jc w:val="center"/>
        <w:rPr>
          <w:rFonts w:hint="eastAsia"/>
        </w:rPr>
      </w:pP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pPr>
    </w:p>
    <w:p w:rsidR="00000000" w:rsidRDefault="00CA422F">
      <w:pPr>
        <w:pStyle w:val="21"/>
        <w:spacing w:beforeLines="0" w:before="0" w:afterLines="0" w:after="240" w:line="360" w:lineRule="atLeast"/>
        <w:jc w:val="center"/>
        <w:rPr>
          <w:rFonts w:ascii="SimHei" w:eastAsia="SimHei" w:hint="eastAsia"/>
          <w:b w:val="0"/>
          <w:bCs/>
          <w:sz w:val="24"/>
        </w:rPr>
      </w:pPr>
      <w:r>
        <w:rPr>
          <w:rFonts w:ascii="SimHei" w:eastAsia="SimHei" w:hint="eastAsia"/>
          <w:b w:val="0"/>
          <w:bCs/>
          <w:sz w:val="24"/>
        </w:rPr>
        <w:t>2002</w:t>
      </w:r>
      <w:r>
        <w:rPr>
          <w:rFonts w:ascii="SimHei" w:eastAsia="SimHei" w:hint="eastAsia"/>
          <w:b w:val="0"/>
          <w:bCs/>
          <w:sz w:val="24"/>
        </w:rPr>
        <w:t>年</w:t>
      </w:r>
      <w:r>
        <w:rPr>
          <w:rFonts w:ascii="SimHei" w:eastAsia="SimHei" w:hint="eastAsia"/>
          <w:b w:val="0"/>
          <w:bCs/>
          <w:sz w:val="24"/>
        </w:rPr>
        <w:t>9</w:t>
      </w:r>
      <w:r>
        <w:rPr>
          <w:rFonts w:ascii="SimHei" w:eastAsia="SimHei" w:hint="eastAsia"/>
          <w:b w:val="0"/>
          <w:bCs/>
          <w:sz w:val="24"/>
        </w:rPr>
        <w:t>月</w:t>
      </w:r>
    </w:p>
    <w:p w:rsidR="00000000" w:rsidRDefault="00CA422F">
      <w:pPr>
        <w:pStyle w:val="21"/>
        <w:spacing w:beforeLines="0" w:before="0" w:afterLines="0" w:after="240" w:line="360" w:lineRule="atLeast"/>
        <w:jc w:val="center"/>
        <w:rPr>
          <w:rFonts w:hint="eastAsia"/>
        </w:rPr>
      </w:pPr>
    </w:p>
    <w:p w:rsidR="00000000" w:rsidRDefault="00CA422F">
      <w:pPr>
        <w:pStyle w:val="21"/>
        <w:spacing w:beforeLines="0" w:before="0" w:afterLines="0" w:after="240" w:line="360" w:lineRule="atLeast"/>
        <w:jc w:val="center"/>
        <w:rPr>
          <w:rFonts w:eastAsia="SimHei" w:hint="eastAsia"/>
          <w:b w:val="0"/>
          <w:bCs/>
          <w:sz w:val="28"/>
        </w:rPr>
      </w:pPr>
      <w:r>
        <w:br w:type="page"/>
      </w:r>
      <w:r>
        <w:rPr>
          <w:rFonts w:eastAsia="SimHei" w:hint="eastAsia"/>
          <w:b w:val="0"/>
          <w:bCs/>
          <w:sz w:val="28"/>
        </w:rPr>
        <w:t>目</w:t>
      </w:r>
      <w:r>
        <w:rPr>
          <w:rFonts w:eastAsia="SimHei" w:hint="eastAsia"/>
          <w:b w:val="0"/>
          <w:bCs/>
          <w:sz w:val="28"/>
        </w:rPr>
        <w:t xml:space="preserve"> </w:t>
      </w:r>
      <w:r>
        <w:rPr>
          <w:rFonts w:eastAsia="SimHei" w:hint="eastAsia"/>
          <w:b w:val="0"/>
          <w:bCs/>
          <w:sz w:val="28"/>
        </w:rPr>
        <w:t>录</w:t>
      </w:r>
    </w:p>
    <w:p w:rsidR="00000000" w:rsidRDefault="00CA422F">
      <w:pPr>
        <w:spacing w:after="240" w:line="360" w:lineRule="atLeast"/>
        <w:jc w:val="right"/>
        <w:rPr>
          <w:rFonts w:eastAsia="KaiTi_GB2312"/>
        </w:rPr>
      </w:pPr>
      <w:r>
        <w:rPr>
          <w:rFonts w:eastAsia="KaiTi_GB2312" w:hint="eastAsia"/>
        </w:rPr>
        <w:t>页次</w:t>
      </w:r>
    </w:p>
    <w:p w:rsidR="00000000" w:rsidRDefault="00CA422F" w:rsidP="00CA422F">
      <w:pPr>
        <w:tabs>
          <w:tab w:val="center" w:leader="dot" w:pos="8880"/>
          <w:tab w:val="right" w:pos="9720"/>
        </w:tabs>
        <w:spacing w:after="120" w:line="360" w:lineRule="atLeast"/>
        <w:ind w:rightChars="641" w:right="31680"/>
        <w:rPr>
          <w:rFonts w:eastAsia="SimHei"/>
        </w:rPr>
      </w:pPr>
      <w:r>
        <w:rPr>
          <w:rFonts w:eastAsia="SimHei" w:hint="eastAsia"/>
        </w:rPr>
        <w:t>导言</w:t>
      </w:r>
      <w:r>
        <w:rPr>
          <w:rFonts w:eastAsia="SimHei"/>
        </w:rPr>
        <w:tab/>
      </w:r>
      <w:r>
        <w:rPr>
          <w:rFonts w:eastAsia="SimHei"/>
        </w:rPr>
        <w:tab/>
        <w:t>10</w:t>
      </w:r>
    </w:p>
    <w:p w:rsidR="00000000" w:rsidRDefault="00CA422F" w:rsidP="00CA422F">
      <w:pPr>
        <w:tabs>
          <w:tab w:val="center" w:leader="dot" w:pos="8880"/>
          <w:tab w:val="right" w:pos="9720"/>
        </w:tabs>
        <w:spacing w:after="120" w:line="360" w:lineRule="atLeast"/>
        <w:ind w:rightChars="641" w:right="31680"/>
        <w:rPr>
          <w:rFonts w:eastAsia="SimHei"/>
        </w:rPr>
      </w:pPr>
      <w:r>
        <w:rPr>
          <w:rFonts w:eastAsia="SimHei" w:hint="eastAsia"/>
        </w:rPr>
        <w:t>第一部分：哥斯达黎加妇女状况的进步：总结</w:t>
      </w:r>
      <w:r>
        <w:rPr>
          <w:rFonts w:eastAsia="SimHei"/>
        </w:rPr>
        <w:tab/>
      </w:r>
      <w:r>
        <w:rPr>
          <w:rFonts w:eastAsia="SimHei"/>
        </w:rPr>
        <w:tab/>
        <w:t>17</w:t>
      </w:r>
    </w:p>
    <w:p w:rsidR="00000000" w:rsidRDefault="00CA422F" w:rsidP="00CA422F">
      <w:pPr>
        <w:tabs>
          <w:tab w:val="center" w:leader="dot" w:pos="8880"/>
          <w:tab w:val="right" w:pos="9720"/>
        </w:tabs>
        <w:spacing w:after="120" w:line="360" w:lineRule="atLeast"/>
        <w:ind w:rightChars="641" w:right="31680"/>
        <w:rPr>
          <w:rFonts w:eastAsia="SimHei"/>
        </w:rPr>
      </w:pPr>
      <w:r>
        <w:rPr>
          <w:rFonts w:eastAsia="SimHei" w:hint="eastAsia"/>
        </w:rPr>
        <w:t>第二部分：公约各项条款分析</w:t>
      </w:r>
      <w:r>
        <w:rPr>
          <w:rFonts w:eastAsia="SimHei"/>
        </w:rPr>
        <w:tab/>
      </w:r>
      <w:r>
        <w:rPr>
          <w:rFonts w:eastAsia="SimHei"/>
        </w:rPr>
        <w:tab/>
        <w:t>31</w:t>
      </w:r>
    </w:p>
    <w:p w:rsidR="00000000" w:rsidRDefault="00CA422F" w:rsidP="00CA422F">
      <w:pPr>
        <w:tabs>
          <w:tab w:val="center" w:leader="dot" w:pos="8880"/>
          <w:tab w:val="right" w:pos="9720"/>
        </w:tabs>
        <w:spacing w:after="120" w:line="360" w:lineRule="atLeast"/>
        <w:ind w:rightChars="641" w:right="31680"/>
        <w:rPr>
          <w:rFonts w:eastAsia="SimHei"/>
          <w:b/>
          <w:bCs/>
        </w:rPr>
      </w:pPr>
      <w:r>
        <w:rPr>
          <w:rFonts w:eastAsia="SimHei" w:hint="eastAsia"/>
        </w:rPr>
        <w:t>第一和第二条：旨在消除对妇女歧视的各项政策和措施</w:t>
      </w:r>
      <w:r>
        <w:rPr>
          <w:rFonts w:eastAsia="SimHei"/>
        </w:rPr>
        <w:tab/>
      </w:r>
      <w:r>
        <w:rPr>
          <w:rFonts w:eastAsia="SimHei"/>
        </w:rPr>
        <w:tab/>
        <w:t>31</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宪法原则和国际条约</w:t>
      </w:r>
      <w:r>
        <w:tab/>
      </w:r>
      <w:r>
        <w:tab/>
        <w:t>31</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普通法律和特殊法</w:t>
      </w:r>
      <w:r>
        <w:tab/>
      </w:r>
      <w:r>
        <w:tab/>
        <w:t>32</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行政法令</w:t>
      </w:r>
      <w:r>
        <w:tab/>
      </w:r>
      <w:r>
        <w:tab/>
        <w:t>35</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哥斯达黎加政府和最高法院颁布的促进两性平等的决议及指导方针</w:t>
      </w:r>
      <w:r>
        <w:tab/>
      </w:r>
      <w:r>
        <w:tab/>
        <w:t>36</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法律规定的修订</w:t>
      </w:r>
      <w:r>
        <w:tab/>
      </w:r>
      <w:r>
        <w:tab/>
        <w:t>37</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法律援助服务</w:t>
      </w:r>
      <w:r>
        <w:tab/>
      </w:r>
      <w:r>
        <w:tab/>
        <w:t>38</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搁置法律草案和必须进行的法律修订</w:t>
      </w:r>
      <w:r>
        <w:tab/>
      </w:r>
      <w:r>
        <w:tab/>
        <w:t>38</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普法工作</w:t>
      </w:r>
      <w:r>
        <w:tab/>
      </w:r>
      <w:r>
        <w:tab/>
        <w:t>39</w:t>
      </w:r>
    </w:p>
    <w:p w:rsidR="00000000" w:rsidRDefault="00CA422F" w:rsidP="00CA422F">
      <w:pPr>
        <w:tabs>
          <w:tab w:val="center" w:leader="dot" w:pos="8880"/>
          <w:tab w:val="right" w:pos="9720"/>
        </w:tabs>
        <w:spacing w:after="120" w:line="360" w:lineRule="atLeast"/>
        <w:ind w:rightChars="641" w:right="31680"/>
        <w:rPr>
          <w:rFonts w:eastAsia="SimHei"/>
        </w:rPr>
      </w:pPr>
      <w:r>
        <w:rPr>
          <w:rFonts w:eastAsia="SimHei" w:hint="eastAsia"/>
        </w:rPr>
        <w:t>第三条：关于促进机遇平等的国家、部门及组织政策</w:t>
      </w:r>
      <w:r>
        <w:rPr>
          <w:rFonts w:eastAsia="SimHei"/>
        </w:rPr>
        <w:tab/>
      </w:r>
      <w:r>
        <w:rPr>
          <w:rFonts w:eastAsia="SimHei"/>
        </w:rPr>
        <w:tab/>
        <w:t>40</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促进妇女进步的组织机制</w:t>
      </w:r>
      <w:r>
        <w:tab/>
      </w:r>
      <w:r>
        <w:tab/>
        <w:t>40</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国家政府机制：国家妇女研究所</w:t>
      </w:r>
      <w:r>
        <w:tab/>
      </w:r>
      <w:r>
        <w:tab/>
        <w:t>40</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部委和部门的权利下放机构：促进两性平</w:t>
      </w:r>
      <w:r>
        <w:rPr>
          <w:rFonts w:hint="eastAsia"/>
        </w:rPr>
        <w:t>等处或办公室</w:t>
      </w:r>
      <w:r>
        <w:tab/>
      </w:r>
      <w:r>
        <w:tab/>
        <w:t>48</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地方分权机制：市政府妇女办公室</w:t>
      </w:r>
      <w:r>
        <w:tab/>
      </w:r>
      <w:r>
        <w:tab/>
        <w:t>50</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专门处</w:t>
      </w:r>
      <w:r>
        <w:tab/>
      </w:r>
      <w:r>
        <w:tab/>
        <w:t>51</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为编制计划和开展评估工作按照性别分类生成及传播数据和资料</w:t>
      </w:r>
      <w:r>
        <w:tab/>
      </w:r>
      <w:r>
        <w:tab/>
        <w:t>53</w:t>
      </w:r>
    </w:p>
    <w:p w:rsidR="00000000" w:rsidRDefault="00CA422F" w:rsidP="00CA422F">
      <w:pPr>
        <w:tabs>
          <w:tab w:val="center" w:leader="dot" w:pos="8880"/>
          <w:tab w:val="right" w:pos="9720"/>
        </w:tabs>
        <w:spacing w:after="120" w:line="360" w:lineRule="atLeast"/>
        <w:ind w:rightChars="641" w:right="31680"/>
        <w:rPr>
          <w:rFonts w:eastAsia="SimHei"/>
        </w:rPr>
      </w:pPr>
      <w:r>
        <w:rPr>
          <w:rFonts w:eastAsia="SimHei" w:hint="eastAsia"/>
        </w:rPr>
        <w:t>第四条：为促进男女事实上的平等而采取的暂行特别措施</w:t>
      </w:r>
      <w:r>
        <w:rPr>
          <w:rFonts w:eastAsia="SimHei"/>
        </w:rPr>
        <w:tab/>
      </w:r>
      <w:r>
        <w:rPr>
          <w:rFonts w:eastAsia="SimHei"/>
        </w:rPr>
        <w:tab/>
        <w:t>54</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旨在加速政治范围内男女平等的积极措施</w:t>
      </w:r>
      <w:r>
        <w:tab/>
      </w:r>
      <w:r>
        <w:tab/>
        <w:t>54</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其它领域内旨在加速男女平等的特殊措施</w:t>
      </w:r>
      <w:r>
        <w:tab/>
      </w:r>
      <w:r>
        <w:tab/>
        <w:t>56</w:t>
      </w:r>
    </w:p>
    <w:p w:rsidR="00000000" w:rsidRDefault="00CA422F" w:rsidP="00CA422F">
      <w:pPr>
        <w:tabs>
          <w:tab w:val="center" w:leader="dot" w:pos="8880"/>
          <w:tab w:val="right" w:pos="9720"/>
        </w:tabs>
        <w:spacing w:after="120" w:line="360" w:lineRule="atLeast"/>
        <w:ind w:leftChars="200" w:left="31680" w:rightChars="641" w:right="31680"/>
      </w:pPr>
      <w:r>
        <w:rPr>
          <w:rFonts w:hint="eastAsia"/>
        </w:rPr>
        <w:t>旨在保护少女母亲的特殊措施</w:t>
      </w:r>
      <w:r>
        <w:tab/>
      </w:r>
      <w:r>
        <w:tab/>
        <w:t>58</w:t>
      </w:r>
    </w:p>
    <w:p w:rsidR="00000000" w:rsidRDefault="00CA422F" w:rsidP="00CA422F">
      <w:pPr>
        <w:tabs>
          <w:tab w:val="center" w:leader="dot" w:pos="8880"/>
          <w:tab w:val="right" w:pos="9720"/>
        </w:tabs>
        <w:spacing w:after="120" w:line="360" w:lineRule="atLeast"/>
        <w:ind w:rightChars="641" w:right="31680"/>
        <w:rPr>
          <w:rFonts w:eastAsia="SimHei"/>
        </w:rPr>
      </w:pPr>
      <w:r>
        <w:rPr>
          <w:rFonts w:eastAsia="SimHei" w:hint="eastAsia"/>
        </w:rPr>
        <w:t>第五条：改变性别作用和性别类型的措施</w:t>
      </w:r>
      <w:r>
        <w:rPr>
          <w:rFonts w:eastAsia="SimHei"/>
        </w:rPr>
        <w:tab/>
      </w:r>
      <w:r>
        <w:rPr>
          <w:rFonts w:eastAsia="SimHei"/>
        </w:rPr>
        <w:tab/>
        <w:t>60</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教育中的性别作用和性别类型</w:t>
      </w:r>
      <w:r>
        <w:tab/>
      </w:r>
      <w:r>
        <w:tab/>
      </w:r>
      <w:r>
        <w:rPr>
          <w:rFonts w:hint="eastAsia"/>
        </w:rPr>
        <w:t>60</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用作广告宣传目的的女性形象</w:t>
      </w:r>
      <w:r>
        <w:tab/>
      </w:r>
      <w:r>
        <w:tab/>
      </w:r>
      <w:r>
        <w:rPr>
          <w:rFonts w:hint="eastAsia"/>
        </w:rPr>
        <w:t>65</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第六条：禁止一切形式的贩卖妇女和强迫妇女卖淫对她们进行剥削的行</w:t>
      </w:r>
      <w:r>
        <w:rPr>
          <w:rFonts w:eastAsia="SimHei" w:hint="eastAsia"/>
        </w:rPr>
        <w:t>为</w:t>
      </w:r>
      <w:r>
        <w:rPr>
          <w:rFonts w:eastAsia="SimHei"/>
        </w:rPr>
        <w:tab/>
      </w:r>
      <w:r>
        <w:rPr>
          <w:rFonts w:eastAsia="SimHei"/>
        </w:rPr>
        <w:tab/>
      </w:r>
      <w:r>
        <w:rPr>
          <w:rFonts w:eastAsia="SimHei" w:hint="eastAsia"/>
        </w:rPr>
        <w:t>66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性剥削和强迫女童和少女卖淫</w:t>
      </w:r>
      <w:r>
        <w:tab/>
      </w:r>
      <w:r>
        <w:tab/>
      </w:r>
      <w:r>
        <w:rPr>
          <w:rFonts w:hint="eastAsia"/>
        </w:rPr>
        <w:t>66</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第七条：参与国家政治与公共生活</w:t>
      </w:r>
      <w:r>
        <w:rPr>
          <w:rFonts w:eastAsia="SimHei"/>
        </w:rPr>
        <w:tab/>
      </w:r>
      <w:r>
        <w:rPr>
          <w:rFonts w:eastAsia="SimHei"/>
        </w:rPr>
        <w:tab/>
      </w:r>
      <w:r>
        <w:rPr>
          <w:rFonts w:eastAsia="SimHei" w:hint="eastAsia"/>
        </w:rPr>
        <w:t>68</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妇女的政治参与</w:t>
      </w:r>
      <w:r>
        <w:tab/>
      </w:r>
      <w:r>
        <w:tab/>
      </w:r>
      <w:r>
        <w:rPr>
          <w:rFonts w:hint="eastAsia"/>
        </w:rPr>
        <w:t>68</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参与公共管理和担任公共职务</w:t>
      </w:r>
      <w:r>
        <w:tab/>
      </w:r>
      <w:r>
        <w:tab/>
      </w:r>
      <w:r>
        <w:rPr>
          <w:rFonts w:hint="eastAsia"/>
        </w:rPr>
        <w:t>69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妇女担任法官职务的情况</w:t>
      </w:r>
      <w:r>
        <w:tab/>
      </w:r>
      <w:r>
        <w:tab/>
      </w:r>
      <w:r>
        <w:rPr>
          <w:rFonts w:hint="eastAsia"/>
        </w:rPr>
        <w:t>77</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妇女在最高选举法庭的任职情况</w:t>
      </w:r>
      <w:r>
        <w:tab/>
      </w:r>
      <w:r>
        <w:tab/>
      </w:r>
      <w:r>
        <w:rPr>
          <w:rFonts w:hint="eastAsia"/>
        </w:rPr>
        <w:t>78</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妇女运动的贡献</w:t>
      </w:r>
      <w:r>
        <w:tab/>
      </w:r>
      <w:r>
        <w:tab/>
      </w:r>
      <w:r>
        <w:rPr>
          <w:rFonts w:hint="eastAsia"/>
        </w:rPr>
        <w:t>78</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第八条：国际代表与参加国际组织</w:t>
      </w:r>
      <w:r>
        <w:rPr>
          <w:rFonts w:eastAsia="SimHei"/>
        </w:rPr>
        <w:tab/>
      </w:r>
      <w:r>
        <w:rPr>
          <w:rFonts w:eastAsia="SimHei"/>
        </w:rPr>
        <w:tab/>
      </w:r>
      <w:r>
        <w:rPr>
          <w:rFonts w:eastAsia="SimHei" w:hint="eastAsia"/>
        </w:rPr>
        <w:t>80</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妇女担任外交代表的情况</w:t>
      </w:r>
      <w:r>
        <w:tab/>
      </w:r>
      <w:r>
        <w:tab/>
      </w:r>
      <w:r>
        <w:rPr>
          <w:rFonts w:hint="eastAsia"/>
        </w:rPr>
        <w:t>80</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对外政策中的两性平等</w:t>
      </w:r>
      <w:r>
        <w:tab/>
      </w:r>
      <w:r>
        <w:tab/>
      </w:r>
      <w:r>
        <w:rPr>
          <w:rFonts w:hint="eastAsia"/>
        </w:rPr>
        <w:t>82</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提交有关促进两性平等与公平的国际承诺的报告</w:t>
      </w:r>
      <w:r>
        <w:tab/>
      </w:r>
      <w:r>
        <w:tab/>
      </w:r>
      <w:r>
        <w:rPr>
          <w:rFonts w:hint="eastAsia"/>
        </w:rPr>
        <w:t>82</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第九条：国籍和公民身份</w:t>
      </w:r>
      <w:r>
        <w:rPr>
          <w:rFonts w:eastAsia="SimHei"/>
        </w:rPr>
        <w:tab/>
      </w:r>
      <w:r>
        <w:rPr>
          <w:rFonts w:eastAsia="SimHei"/>
        </w:rPr>
        <w:tab/>
      </w:r>
      <w:r>
        <w:rPr>
          <w:rFonts w:eastAsia="SimHei" w:hint="eastAsia"/>
        </w:rPr>
        <w:t>84</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移民造成公民身份的新问题</w:t>
      </w:r>
      <w:r>
        <w:tab/>
      </w:r>
      <w:r>
        <w:tab/>
      </w:r>
      <w:r>
        <w:rPr>
          <w:rFonts w:hint="eastAsia"/>
        </w:rPr>
        <w:t>84</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来自尼加拉瓜的女移民</w:t>
      </w:r>
      <w:r>
        <w:tab/>
      </w:r>
      <w:r>
        <w:tab/>
      </w:r>
      <w:r>
        <w:rPr>
          <w:rFonts w:hint="eastAsia"/>
        </w:rPr>
        <w:t>84</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第十条：文化、教育及</w:t>
      </w:r>
      <w:r>
        <w:rPr>
          <w:rFonts w:eastAsia="SimHei" w:hint="eastAsia"/>
        </w:rPr>
        <w:t>培养方面的平等权利</w:t>
      </w:r>
      <w:r>
        <w:rPr>
          <w:rFonts w:eastAsia="SimHei"/>
        </w:rPr>
        <w:tab/>
      </w:r>
      <w:r>
        <w:rPr>
          <w:rFonts w:eastAsia="SimHei"/>
        </w:rPr>
        <w:tab/>
      </w:r>
      <w:r>
        <w:rPr>
          <w:rFonts w:eastAsia="SimHei" w:hint="eastAsia"/>
        </w:rPr>
        <w:t>88</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接受教育和培训</w:t>
      </w:r>
      <w:r>
        <w:tab/>
      </w:r>
      <w:r>
        <w:tab/>
      </w:r>
      <w:r>
        <w:rPr>
          <w:rFonts w:hint="eastAsia"/>
        </w:rPr>
        <w:t>88</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公立高等教育中的女性</w:t>
      </w:r>
      <w:r>
        <w:tab/>
      </w:r>
      <w:r>
        <w:tab/>
      </w:r>
      <w:r>
        <w:rPr>
          <w:rFonts w:hint="eastAsia"/>
        </w:rPr>
        <w:t>89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哥斯达黎加大学中的两性平等和公正（哥斯达黎加大学，</w:t>
      </w:r>
      <w:r>
        <w:rPr>
          <w:rFonts w:hint="eastAsia"/>
        </w:rPr>
        <w:t>2001</w:t>
      </w:r>
      <w:r>
        <w:rPr>
          <w:rFonts w:hint="eastAsia"/>
        </w:rPr>
        <w:t>年）</w:t>
      </w:r>
      <w:r>
        <w:tab/>
      </w:r>
      <w:r>
        <w:tab/>
      </w:r>
      <w:r>
        <w:rPr>
          <w:rFonts w:hint="eastAsia"/>
        </w:rPr>
        <w:t>90</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第十一条：同样参加工作</w:t>
      </w:r>
      <w:r>
        <w:rPr>
          <w:rFonts w:eastAsia="SimHei"/>
        </w:rPr>
        <w:tab/>
      </w:r>
      <w:r>
        <w:rPr>
          <w:rFonts w:eastAsia="SimHei"/>
        </w:rPr>
        <w:tab/>
      </w:r>
      <w:r>
        <w:rPr>
          <w:rFonts w:eastAsia="SimHei" w:hint="eastAsia"/>
        </w:rPr>
        <w:t>93</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妇女的就业情况有所好转，但仍然处于劣势</w:t>
      </w:r>
      <w:r>
        <w:tab/>
      </w:r>
      <w:r>
        <w:tab/>
      </w:r>
      <w:r>
        <w:rPr>
          <w:rFonts w:hint="eastAsia"/>
        </w:rPr>
        <w:t>93</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经济行业的参与差异</w:t>
      </w:r>
      <w:r>
        <w:tab/>
      </w:r>
      <w:r>
        <w:tab/>
      </w:r>
      <w:r>
        <w:rPr>
          <w:rFonts w:hint="eastAsia"/>
        </w:rPr>
        <w:t>94</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男女工资差距正在逐步缩小</w:t>
      </w:r>
      <w:r>
        <w:tab/>
      </w:r>
      <w:r>
        <w:tab/>
      </w:r>
      <w:r>
        <w:rPr>
          <w:rFonts w:hint="eastAsia"/>
        </w:rPr>
        <w:t>95</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工作中的性别分离</w:t>
      </w:r>
      <w:r>
        <w:tab/>
      </w:r>
      <w:r>
        <w:tab/>
      </w:r>
      <w:r>
        <w:rPr>
          <w:rFonts w:hint="eastAsia"/>
        </w:rPr>
        <w:t>96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女性在特殊职位中发挥着重要作用</w:t>
      </w:r>
      <w:r>
        <w:tab/>
      </w:r>
      <w:r>
        <w:tab/>
      </w:r>
      <w:r>
        <w:rPr>
          <w:rFonts w:hint="eastAsia"/>
        </w:rPr>
        <w:t>97</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女性在企业中的参与</w:t>
      </w:r>
      <w:r>
        <w:tab/>
      </w:r>
      <w:r>
        <w:tab/>
      </w:r>
      <w:r>
        <w:rPr>
          <w:rFonts w:hint="eastAsia"/>
        </w:rPr>
        <w:t>97</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非正规行业中的女性</w:t>
      </w:r>
      <w:r>
        <w:tab/>
      </w:r>
      <w:r>
        <w:tab/>
      </w:r>
      <w:r>
        <w:rPr>
          <w:rFonts w:hint="eastAsia"/>
        </w:rPr>
        <w:t>99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无偿家务劳动</w:t>
      </w:r>
      <w:r>
        <w:tab/>
      </w:r>
      <w:r>
        <w:tab/>
      </w:r>
      <w:r>
        <w:rPr>
          <w:rFonts w:hint="eastAsia"/>
        </w:rPr>
        <w:t>99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有偿家务劳动：女性家庭义务的延伸</w:t>
      </w:r>
      <w:r>
        <w:tab/>
      </w:r>
      <w:r>
        <w:tab/>
      </w:r>
      <w:r>
        <w:rPr>
          <w:rFonts w:hint="eastAsia"/>
        </w:rPr>
        <w:t>100</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劳动权利</w:t>
      </w:r>
      <w:r>
        <w:tab/>
      </w:r>
      <w:r>
        <w:tab/>
      </w:r>
      <w:r>
        <w:rPr>
          <w:rFonts w:hint="eastAsia"/>
        </w:rPr>
        <w:t>101</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女性劳动</w:t>
      </w:r>
      <w:r>
        <w:rPr>
          <w:rFonts w:hint="eastAsia"/>
        </w:rPr>
        <w:t>权利国际组织</w:t>
      </w:r>
      <w:r>
        <w:tab/>
      </w:r>
      <w:r>
        <w:tab/>
      </w:r>
      <w:r>
        <w:rPr>
          <w:rFonts w:hint="eastAsia"/>
        </w:rPr>
        <w:t>103</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贫困妇女</w:t>
      </w:r>
      <w:r>
        <w:tab/>
      </w:r>
      <w:r>
        <w:tab/>
      </w:r>
      <w:r>
        <w:rPr>
          <w:rFonts w:hint="eastAsia"/>
        </w:rPr>
        <w:t>104</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对贫困妇女的关注</w:t>
      </w:r>
      <w:r>
        <w:tab/>
      </w:r>
      <w:r>
        <w:tab/>
      </w:r>
      <w:r>
        <w:rPr>
          <w:rFonts w:hint="eastAsia"/>
        </w:rPr>
        <w:t>106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妇女劳动与国家就业政策</w:t>
      </w:r>
      <w:r>
        <w:tab/>
      </w:r>
      <w:r>
        <w:tab/>
      </w:r>
      <w:r>
        <w:rPr>
          <w:rFonts w:hint="eastAsia"/>
        </w:rPr>
        <w:t>108</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第十二条：获得保健服务的同等权利</w:t>
      </w:r>
      <w:r>
        <w:rPr>
          <w:rFonts w:eastAsia="SimHei"/>
        </w:rPr>
        <w:tab/>
      </w:r>
      <w:r>
        <w:rPr>
          <w:rFonts w:eastAsia="SimHei"/>
        </w:rPr>
        <w:tab/>
      </w:r>
      <w:r>
        <w:rPr>
          <w:rFonts w:eastAsia="SimHei" w:hint="eastAsia"/>
        </w:rPr>
        <w:t>111</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获得保健服务的平等权利</w:t>
      </w:r>
      <w:r>
        <w:tab/>
      </w:r>
      <w:r>
        <w:tab/>
      </w:r>
      <w:r>
        <w:rPr>
          <w:rFonts w:hint="eastAsia"/>
        </w:rPr>
        <w:t>111</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性和生殖保健服务的相关规定和标准</w:t>
      </w:r>
      <w:r>
        <w:tab/>
      </w:r>
      <w:r>
        <w:tab/>
      </w:r>
      <w:r>
        <w:rPr>
          <w:rFonts w:hint="eastAsia"/>
        </w:rPr>
        <w:t>112</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性与生殖权利和保健服务管理委员会的重要性</w:t>
      </w:r>
      <w:r>
        <w:tab/>
      </w:r>
      <w:r>
        <w:tab/>
      </w:r>
      <w:r>
        <w:rPr>
          <w:rFonts w:hint="eastAsia"/>
        </w:rPr>
        <w:t>113</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有关性与生殖保健服务的规定和标准的适应化过程</w:t>
      </w:r>
      <w:r>
        <w:tab/>
      </w:r>
      <w:r>
        <w:tab/>
      </w:r>
      <w:r>
        <w:rPr>
          <w:rFonts w:hint="eastAsia"/>
        </w:rPr>
        <w:t>115</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癌症与女性</w:t>
      </w:r>
      <w:r>
        <w:tab/>
      </w:r>
      <w:r>
        <w:tab/>
      </w:r>
      <w:r>
        <w:rPr>
          <w:rFonts w:hint="eastAsia"/>
        </w:rPr>
        <w:t>116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女性艾滋病患者</w:t>
      </w:r>
      <w:r>
        <w:tab/>
      </w:r>
      <w:r>
        <w:tab/>
      </w:r>
      <w:r>
        <w:rPr>
          <w:rFonts w:hint="eastAsia"/>
        </w:rPr>
        <w:t>117</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女性心理健康</w:t>
      </w:r>
      <w:r>
        <w:tab/>
      </w:r>
      <w:r>
        <w:tab/>
      </w:r>
      <w:r>
        <w:rPr>
          <w:rFonts w:hint="eastAsia"/>
        </w:rPr>
        <w:t>119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特别关注老年妇女保健计划的缺乏</w:t>
      </w:r>
      <w:r>
        <w:tab/>
      </w:r>
      <w:r>
        <w:tab/>
      </w:r>
      <w:r>
        <w:rPr>
          <w:rFonts w:hint="eastAsia"/>
        </w:rPr>
        <w:t>119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哥斯达黎加社会保险福利的获得</w:t>
      </w:r>
      <w:r>
        <w:tab/>
      </w:r>
      <w:r>
        <w:tab/>
      </w:r>
      <w:r>
        <w:rPr>
          <w:rFonts w:hint="eastAsia"/>
        </w:rPr>
        <w:t>121</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妇女医院－阿道夫·卡立</w:t>
      </w:r>
      <w:r>
        <w:rPr>
          <w:rFonts w:hint="eastAsia"/>
        </w:rPr>
        <w:t>特·夏娃医生诊所</w:t>
      </w:r>
      <w:r>
        <w:tab/>
      </w:r>
      <w:r>
        <w:tab/>
      </w:r>
      <w:r>
        <w:rPr>
          <w:rFonts w:hint="eastAsia"/>
        </w:rPr>
        <w:t>124</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非政府组织的参与</w:t>
      </w:r>
      <w:r>
        <w:tab/>
      </w:r>
      <w:r>
        <w:tab/>
      </w:r>
      <w:r>
        <w:rPr>
          <w:rFonts w:hint="eastAsia"/>
        </w:rPr>
        <w:t>126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对女性的暴力</w:t>
      </w:r>
      <w:r>
        <w:tab/>
      </w:r>
      <w:r>
        <w:tab/>
      </w:r>
      <w:r>
        <w:rPr>
          <w:rFonts w:hint="eastAsia"/>
        </w:rPr>
        <w:t>127</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轼女</w:t>
      </w:r>
      <w:r>
        <w:tab/>
      </w:r>
      <w:r>
        <w:tab/>
      </w:r>
      <w:r>
        <w:rPr>
          <w:rFonts w:hint="eastAsia"/>
        </w:rPr>
        <w:t>128</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收容所：受暴力伤害女性的一项选择</w:t>
      </w:r>
      <w:r>
        <w:tab/>
      </w:r>
      <w:r>
        <w:tab/>
      </w:r>
      <w:r>
        <w:rPr>
          <w:rFonts w:hint="eastAsia"/>
        </w:rPr>
        <w:t>129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打击家庭暴力法：针对家庭内虐待和夫妻间虐待的保护措施</w:t>
      </w:r>
      <w:r>
        <w:tab/>
      </w:r>
      <w:r>
        <w:tab/>
      </w:r>
      <w:r>
        <w:rPr>
          <w:rFonts w:hint="eastAsia"/>
        </w:rPr>
        <w:t>129</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打破沉寂</w:t>
      </w:r>
      <w:r>
        <w:tab/>
      </w:r>
      <w:r>
        <w:tab/>
      </w:r>
      <w:r>
        <w:rPr>
          <w:rFonts w:hint="eastAsia"/>
        </w:rPr>
        <w:t>131</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关注和预防家庭暴力的国家制度</w:t>
      </w:r>
      <w:r>
        <w:tab/>
      </w:r>
      <w:r>
        <w:tab/>
      </w:r>
      <w:r>
        <w:rPr>
          <w:rFonts w:hint="eastAsia"/>
        </w:rPr>
        <w:t>136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性暴力、强迫怀孕、危险的流产</w:t>
      </w:r>
      <w:r>
        <w:tab/>
      </w:r>
      <w:r>
        <w:tab/>
      </w:r>
      <w:r>
        <w:rPr>
          <w:rFonts w:hint="eastAsia"/>
        </w:rPr>
        <w:t>138</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教育和工作中的性骚扰</w:t>
      </w:r>
      <w:r>
        <w:tab/>
      </w:r>
      <w:r>
        <w:tab/>
      </w:r>
      <w:r>
        <w:rPr>
          <w:rFonts w:hint="eastAsia"/>
        </w:rPr>
        <w:t>140</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对受歧视女性的暴力</w:t>
      </w:r>
      <w:r>
        <w:tab/>
      </w:r>
      <w:r>
        <w:tab/>
      </w:r>
      <w:r>
        <w:rPr>
          <w:rFonts w:hint="eastAsia"/>
        </w:rPr>
        <w:t>141</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体制本身的暴力</w:t>
      </w:r>
      <w:r>
        <w:tab/>
      </w:r>
      <w:r>
        <w:tab/>
      </w:r>
      <w:r>
        <w:rPr>
          <w:rFonts w:hint="eastAsia"/>
        </w:rPr>
        <w:t>141</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第十三条：社会和经济福利</w:t>
      </w:r>
      <w:r>
        <w:rPr>
          <w:rFonts w:eastAsia="SimHei"/>
        </w:rPr>
        <w:tab/>
      </w:r>
      <w:r>
        <w:rPr>
          <w:rFonts w:eastAsia="SimHei"/>
        </w:rPr>
        <w:tab/>
      </w:r>
      <w:r>
        <w:rPr>
          <w:rFonts w:eastAsia="SimHei" w:hint="eastAsia"/>
        </w:rPr>
        <w:t>143</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银行贷款、抵押和其他形式的金融信贷的权利</w:t>
      </w:r>
      <w:r>
        <w:tab/>
      </w:r>
      <w:r>
        <w:tab/>
      </w:r>
      <w:r>
        <w:rPr>
          <w:rFonts w:hint="eastAsia"/>
        </w:rPr>
        <w:t>143</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第十四条：农村妇女</w:t>
      </w:r>
      <w:r>
        <w:rPr>
          <w:rFonts w:eastAsia="SimHei"/>
        </w:rPr>
        <w:tab/>
      </w:r>
      <w:r>
        <w:rPr>
          <w:rFonts w:eastAsia="SimHei"/>
        </w:rPr>
        <w:tab/>
      </w:r>
      <w:r>
        <w:rPr>
          <w:rFonts w:eastAsia="SimHei" w:hint="eastAsia"/>
        </w:rPr>
        <w:t>146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贫</w:t>
      </w:r>
      <w:r>
        <w:rPr>
          <w:rFonts w:hint="eastAsia"/>
        </w:rPr>
        <w:t>困的主要受害者为农村妇女</w:t>
      </w:r>
      <w:r>
        <w:tab/>
      </w:r>
      <w:r>
        <w:tab/>
      </w:r>
      <w:r>
        <w:rPr>
          <w:rFonts w:hint="eastAsia"/>
        </w:rPr>
        <w:t>146</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来自环境和能源部的经验</w:t>
      </w:r>
      <w:r>
        <w:tab/>
      </w:r>
      <w:r>
        <w:tab/>
      </w:r>
      <w:r>
        <w:rPr>
          <w:rFonts w:hint="eastAsia"/>
        </w:rPr>
        <w:t>151</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第十五条：在法律面前平等</w:t>
      </w:r>
      <w:r>
        <w:rPr>
          <w:rFonts w:eastAsia="SimHei"/>
        </w:rPr>
        <w:tab/>
      </w:r>
      <w:r>
        <w:rPr>
          <w:rFonts w:eastAsia="SimHei"/>
        </w:rPr>
        <w:tab/>
      </w:r>
      <w:r>
        <w:rPr>
          <w:rFonts w:eastAsia="SimHei" w:hint="eastAsia"/>
        </w:rPr>
        <w:t>155</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哥斯达黎加司法女性权利取得重大进步的十年</w:t>
      </w:r>
      <w:r>
        <w:tab/>
      </w:r>
      <w:r>
        <w:tab/>
      </w:r>
      <w:r>
        <w:rPr>
          <w:rFonts w:hint="eastAsia"/>
        </w:rPr>
        <w:t>155</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适应女性特殊需要的战略：特殊机构</w:t>
      </w:r>
      <w:r>
        <w:tab/>
      </w:r>
      <w:r>
        <w:tab/>
      </w:r>
      <w:r>
        <w:rPr>
          <w:rFonts w:hint="eastAsia"/>
        </w:rPr>
        <w:t>157</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联合国拉丁美洲预防犯罪和罪犯待遇研究所（拉美防犯所）的妇女、司法和性别计划</w:t>
      </w:r>
      <w:r>
        <w:tab/>
      </w:r>
      <w:r>
        <w:tab/>
      </w:r>
      <w:r>
        <w:rPr>
          <w:rFonts w:hint="eastAsia"/>
        </w:rPr>
        <w:t>157</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第十六条：结婚权和家庭权</w:t>
      </w:r>
      <w:r>
        <w:rPr>
          <w:rFonts w:eastAsia="SimHei"/>
        </w:rPr>
        <w:tab/>
      </w:r>
      <w:r>
        <w:rPr>
          <w:rFonts w:eastAsia="SimHei"/>
        </w:rPr>
        <w:tab/>
      </w:r>
      <w:r>
        <w:rPr>
          <w:rFonts w:eastAsia="SimHei" w:hint="eastAsia"/>
        </w:rPr>
        <w:t>161</w:t>
      </w:r>
    </w:p>
    <w:p w:rsidR="00000000" w:rsidRDefault="00CA422F" w:rsidP="00CA422F">
      <w:pPr>
        <w:tabs>
          <w:tab w:val="center" w:leader="dot" w:pos="8880"/>
          <w:tab w:val="right" w:pos="9720"/>
        </w:tabs>
        <w:spacing w:after="120" w:line="360" w:lineRule="atLeast"/>
        <w:ind w:leftChars="200" w:left="31680" w:rightChars="641" w:right="31680"/>
        <w:rPr>
          <w:rFonts w:hint="eastAsia"/>
        </w:rPr>
      </w:pPr>
      <w:r>
        <w:rPr>
          <w:rFonts w:hint="eastAsia"/>
        </w:rPr>
        <w:t>父子关系责任法</w:t>
      </w:r>
      <w:r>
        <w:tab/>
      </w:r>
      <w:r>
        <w:tab/>
      </w:r>
      <w:r>
        <w:rPr>
          <w:rFonts w:hint="eastAsia"/>
        </w:rPr>
        <w:t>161</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第三部分：在执行消除对妇女一切形式歧视公约有关规定的过程中取得的成就、遇到的困难和开展的斗争</w:t>
      </w:r>
      <w:r>
        <w:rPr>
          <w:rFonts w:eastAsia="SimHei"/>
        </w:rPr>
        <w:tab/>
      </w:r>
      <w:r>
        <w:rPr>
          <w:rFonts w:eastAsia="SimHei"/>
        </w:rPr>
        <w:tab/>
      </w:r>
      <w:r>
        <w:rPr>
          <w:rFonts w:eastAsia="SimHei" w:hint="eastAsia"/>
        </w:rPr>
        <w:t>164</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参考书目</w:t>
      </w:r>
      <w:r>
        <w:rPr>
          <w:rFonts w:eastAsia="SimHei"/>
        </w:rPr>
        <w:tab/>
      </w:r>
      <w:r>
        <w:rPr>
          <w:rFonts w:eastAsia="SimHei"/>
        </w:rPr>
        <w:tab/>
      </w:r>
      <w:r>
        <w:rPr>
          <w:rFonts w:eastAsia="SimHei" w:hint="eastAsia"/>
        </w:rPr>
        <w:t>198</w:t>
      </w:r>
    </w:p>
    <w:p w:rsidR="00000000" w:rsidRDefault="00CA422F" w:rsidP="00CA422F">
      <w:pPr>
        <w:tabs>
          <w:tab w:val="center" w:leader="dot" w:pos="8880"/>
          <w:tab w:val="right" w:pos="9720"/>
        </w:tabs>
        <w:spacing w:after="120" w:line="360" w:lineRule="atLeast"/>
        <w:ind w:rightChars="641" w:right="31680"/>
        <w:rPr>
          <w:rFonts w:eastAsia="SimHei" w:hint="eastAsia"/>
        </w:rPr>
      </w:pPr>
      <w:r>
        <w:rPr>
          <w:rFonts w:eastAsia="SimHei" w:hint="eastAsia"/>
        </w:rPr>
        <w:t>附件</w:t>
      </w:r>
      <w:r>
        <w:rPr>
          <w:rFonts w:eastAsia="SimHei"/>
        </w:rPr>
        <w:tab/>
      </w:r>
      <w:r>
        <w:rPr>
          <w:rFonts w:eastAsia="SimHei"/>
        </w:rPr>
        <w:tab/>
      </w:r>
      <w:r>
        <w:rPr>
          <w:rFonts w:eastAsia="SimHei" w:hint="eastAsia"/>
        </w:rPr>
        <w:t>181</w:t>
      </w:r>
    </w:p>
    <w:p w:rsidR="00000000" w:rsidRDefault="00CA422F" w:rsidP="00CA422F">
      <w:pPr>
        <w:tabs>
          <w:tab w:val="center" w:leader="dot" w:pos="8880"/>
          <w:tab w:val="right" w:pos="9720"/>
        </w:tabs>
        <w:spacing w:after="120" w:line="360" w:lineRule="atLeast"/>
        <w:ind w:rightChars="641" w:right="31680"/>
        <w:jc w:val="center"/>
        <w:rPr>
          <w:rFonts w:eastAsia="SimHei"/>
          <w:sz w:val="24"/>
        </w:rPr>
      </w:pPr>
    </w:p>
    <w:p w:rsidR="00000000" w:rsidRDefault="00CA422F">
      <w:pPr>
        <w:tabs>
          <w:tab w:val="center" w:leader="dot" w:pos="8880"/>
          <w:tab w:val="right" w:pos="9720"/>
        </w:tabs>
        <w:spacing w:after="120" w:line="360" w:lineRule="atLeast"/>
        <w:jc w:val="center"/>
        <w:rPr>
          <w:rFonts w:eastAsia="SimHei"/>
          <w:sz w:val="24"/>
        </w:rPr>
      </w:pPr>
      <w:r>
        <w:rPr>
          <w:rFonts w:eastAsia="SimHei"/>
          <w:sz w:val="24"/>
        </w:rPr>
        <w:br w:type="page"/>
      </w:r>
      <w:r>
        <w:rPr>
          <w:rFonts w:eastAsia="SimHei" w:hint="eastAsia"/>
          <w:sz w:val="24"/>
        </w:rPr>
        <w:t>图表目录</w:t>
      </w:r>
    </w:p>
    <w:p w:rsidR="00000000" w:rsidRDefault="00CA422F">
      <w:pPr>
        <w:tabs>
          <w:tab w:val="center" w:leader="dot" w:pos="8880"/>
          <w:tab w:val="right" w:pos="9720"/>
        </w:tabs>
        <w:spacing w:after="120" w:line="360" w:lineRule="atLeast"/>
        <w:jc w:val="right"/>
        <w:rPr>
          <w:rFonts w:eastAsia="KaiTi_GB2312" w:hint="eastAsia"/>
        </w:rPr>
      </w:pPr>
      <w:r>
        <w:rPr>
          <w:rFonts w:eastAsia="KaiTi_GB2312" w:hint="eastAsia"/>
        </w:rPr>
        <w:t>页次</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图</w:t>
      </w:r>
      <w:r>
        <w:rPr>
          <w:rFonts w:hint="eastAsia"/>
        </w:rPr>
        <w:t>表</w:t>
      </w:r>
      <w:r>
        <w:rPr>
          <w:rFonts w:hint="eastAsia"/>
        </w:rPr>
        <w:t>1</w:t>
      </w:r>
      <w:r>
        <w:rPr>
          <w:rFonts w:hint="eastAsia"/>
        </w:rPr>
        <w:t>：按性别划分的哥斯达黎加人口预期寿命，</w:t>
      </w:r>
      <w:r>
        <w:rPr>
          <w:rFonts w:hint="eastAsia"/>
        </w:rPr>
        <w:t>1990</w:t>
      </w:r>
      <w:r>
        <w:rPr>
          <w:rFonts w:hint="eastAsia"/>
        </w:rPr>
        <w:t>－</w:t>
      </w:r>
      <w:r>
        <w:rPr>
          <w:rFonts w:hint="eastAsia"/>
        </w:rPr>
        <w:t>2000</w:t>
      </w:r>
      <w:r>
        <w:rPr>
          <w:rFonts w:hint="eastAsia"/>
        </w:rPr>
        <w:t>年</w:t>
      </w:r>
      <w:r>
        <w:tab/>
      </w:r>
      <w:r>
        <w:tab/>
      </w:r>
      <w:r>
        <w:rPr>
          <w:rFonts w:hint="eastAsia"/>
        </w:rPr>
        <w:t>19</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图表</w:t>
      </w:r>
      <w:r>
        <w:rPr>
          <w:rFonts w:hint="eastAsia"/>
        </w:rPr>
        <w:t>2</w:t>
      </w:r>
      <w:r>
        <w:rPr>
          <w:rFonts w:hint="eastAsia"/>
        </w:rPr>
        <w:t>：不同机构内女性占据特殊职位的比例，</w:t>
      </w:r>
      <w:r>
        <w:rPr>
          <w:rFonts w:hint="eastAsia"/>
        </w:rPr>
        <w:t>1999</w:t>
      </w:r>
      <w:r>
        <w:rPr>
          <w:rFonts w:hint="eastAsia"/>
        </w:rPr>
        <w:t>年</w:t>
      </w:r>
      <w:r>
        <w:tab/>
      </w:r>
      <w:r>
        <w:tab/>
      </w:r>
      <w:r>
        <w:rPr>
          <w:rFonts w:hint="eastAsia"/>
        </w:rPr>
        <w:t>97</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图表</w:t>
      </w:r>
      <w:r>
        <w:rPr>
          <w:rFonts w:hint="eastAsia"/>
        </w:rPr>
        <w:t>3</w:t>
      </w:r>
      <w:r>
        <w:rPr>
          <w:rFonts w:hint="eastAsia"/>
        </w:rPr>
        <w:t>：不同行业女性企业主比例的变化情况，</w:t>
      </w:r>
      <w:r>
        <w:rPr>
          <w:rFonts w:hint="eastAsia"/>
        </w:rPr>
        <w:t>1990</w:t>
      </w:r>
      <w:r>
        <w:rPr>
          <w:rFonts w:hint="eastAsia"/>
        </w:rPr>
        <w:t>－</w:t>
      </w:r>
      <w:r>
        <w:rPr>
          <w:rFonts w:hint="eastAsia"/>
        </w:rPr>
        <w:t>1999</w:t>
      </w:r>
      <w:r>
        <w:rPr>
          <w:rFonts w:hint="eastAsia"/>
        </w:rPr>
        <w:t>年</w:t>
      </w:r>
      <w:r>
        <w:tab/>
      </w:r>
      <w:r>
        <w:tab/>
      </w:r>
      <w:r>
        <w:rPr>
          <w:rFonts w:hint="eastAsia"/>
        </w:rPr>
        <w:t>98</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图表</w:t>
      </w:r>
      <w:r>
        <w:rPr>
          <w:rFonts w:hint="eastAsia"/>
        </w:rPr>
        <w:t>4</w:t>
      </w:r>
      <w:r>
        <w:rPr>
          <w:rFonts w:hint="eastAsia"/>
        </w:rPr>
        <w:t>：不同性别担当户主的贫困家庭比例，</w:t>
      </w:r>
      <w:r>
        <w:rPr>
          <w:rFonts w:hint="eastAsia"/>
        </w:rPr>
        <w:t>1990</w:t>
      </w:r>
      <w:r>
        <w:rPr>
          <w:rFonts w:hint="eastAsia"/>
        </w:rPr>
        <w:t>－</w:t>
      </w:r>
      <w:r>
        <w:rPr>
          <w:rFonts w:hint="eastAsia"/>
        </w:rPr>
        <w:t>1999</w:t>
      </w:r>
      <w:r>
        <w:rPr>
          <w:rFonts w:hint="eastAsia"/>
        </w:rPr>
        <w:t>年，（占家庭总数的</w:t>
      </w:r>
      <w:r>
        <w:rPr>
          <w:rFonts w:hint="eastAsia"/>
        </w:rPr>
        <w:t>%</w:t>
      </w:r>
      <w:r>
        <w:rPr>
          <w:rFonts w:hint="eastAsia"/>
        </w:rPr>
        <w:t>）</w:t>
      </w:r>
      <w:r>
        <w:tab/>
      </w:r>
      <w:r>
        <w:tab/>
      </w:r>
      <w:r>
        <w:rPr>
          <w:rFonts w:hint="eastAsia"/>
        </w:rPr>
        <w:t>105</w:t>
      </w:r>
    </w:p>
    <w:p w:rsidR="00000000" w:rsidRDefault="00CA422F">
      <w:pPr>
        <w:spacing w:after="120" w:line="360" w:lineRule="atLeast"/>
        <w:ind w:right="641"/>
        <w:jc w:val="center"/>
        <w:rPr>
          <w:b/>
          <w:bCs/>
        </w:rPr>
      </w:pPr>
    </w:p>
    <w:p w:rsidR="00000000" w:rsidRDefault="00CA422F">
      <w:pPr>
        <w:tabs>
          <w:tab w:val="center" w:leader="dot" w:pos="8880"/>
          <w:tab w:val="right" w:pos="9720"/>
        </w:tabs>
        <w:spacing w:after="120" w:line="360" w:lineRule="atLeast"/>
        <w:jc w:val="center"/>
        <w:rPr>
          <w:rFonts w:eastAsia="SimHei" w:hint="eastAsia"/>
          <w:sz w:val="24"/>
        </w:rPr>
      </w:pPr>
      <w:r>
        <w:rPr>
          <w:rFonts w:eastAsia="SimHei"/>
          <w:sz w:val="24"/>
        </w:rPr>
        <w:br w:type="page"/>
      </w:r>
      <w:r>
        <w:rPr>
          <w:rFonts w:eastAsia="SimHei" w:hint="eastAsia"/>
          <w:sz w:val="24"/>
        </w:rPr>
        <w:t>统计表目录</w:t>
      </w:r>
    </w:p>
    <w:p w:rsidR="00000000" w:rsidRDefault="00CA422F">
      <w:pPr>
        <w:tabs>
          <w:tab w:val="center" w:leader="dot" w:pos="8880"/>
          <w:tab w:val="right" w:pos="9720"/>
        </w:tabs>
        <w:spacing w:after="120" w:line="360" w:lineRule="atLeast"/>
        <w:jc w:val="right"/>
        <w:rPr>
          <w:rFonts w:eastAsia="KaiTi_GB2312" w:hint="eastAsia"/>
        </w:rPr>
      </w:pPr>
      <w:r>
        <w:rPr>
          <w:rFonts w:eastAsia="KaiTi_GB2312" w:hint="eastAsia"/>
        </w:rPr>
        <w:t>页次</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1</w:t>
      </w:r>
      <w:r>
        <w:br/>
      </w:r>
      <w:r>
        <w:rPr>
          <w:rFonts w:hint="eastAsia"/>
        </w:rPr>
        <w:t>哥斯达黎加立法议会通过普通法律和特殊法修订案，</w:t>
      </w:r>
      <w:r>
        <w:rPr>
          <w:rFonts w:hint="eastAsia"/>
        </w:rPr>
        <w:t>1998</w:t>
      </w:r>
      <w:r>
        <w:rPr>
          <w:rFonts w:hint="eastAsia"/>
        </w:rPr>
        <w:t>年</w:t>
      </w:r>
      <w:r>
        <w:rPr>
          <w:rFonts w:hint="eastAsia"/>
        </w:rPr>
        <w:t>3</w:t>
      </w:r>
      <w:r>
        <w:rPr>
          <w:rFonts w:hint="eastAsia"/>
        </w:rPr>
        <w:t>月</w:t>
      </w:r>
      <w:r>
        <w:rPr>
          <w:rFonts w:hint="eastAsia"/>
        </w:rPr>
        <w:t>1</w:t>
      </w:r>
      <w:r>
        <w:rPr>
          <w:rFonts w:hint="eastAsia"/>
        </w:rPr>
        <w:t>日至</w:t>
      </w:r>
      <w:r>
        <w:rPr>
          <w:rFonts w:hint="eastAsia"/>
        </w:rPr>
        <w:t>2002</w:t>
      </w:r>
      <w:r>
        <w:rPr>
          <w:rFonts w:hint="eastAsia"/>
        </w:rPr>
        <w:t>年</w:t>
      </w:r>
      <w:r>
        <w:rPr>
          <w:rFonts w:hint="eastAsia"/>
        </w:rPr>
        <w:t>2</w:t>
      </w:r>
      <w:r>
        <w:rPr>
          <w:rFonts w:hint="eastAsia"/>
        </w:rPr>
        <w:t>月</w:t>
      </w:r>
      <w:r>
        <w:rPr>
          <w:rFonts w:hint="eastAsia"/>
        </w:rPr>
        <w:t>20</w:t>
      </w:r>
      <w:r>
        <w:rPr>
          <w:rFonts w:hint="eastAsia"/>
        </w:rPr>
        <w:t>日</w:t>
      </w:r>
      <w:r>
        <w:tab/>
      </w:r>
      <w:r>
        <w:tab/>
      </w:r>
      <w:r>
        <w:rPr>
          <w:rFonts w:hint="eastAsia"/>
        </w:rPr>
        <w:t>33</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2</w:t>
      </w:r>
      <w:r>
        <w:br/>
      </w:r>
      <w:r>
        <w:rPr>
          <w:rFonts w:hint="eastAsia"/>
        </w:rPr>
        <w:t>2002</w:t>
      </w:r>
      <w:r>
        <w:rPr>
          <w:rFonts w:hint="eastAsia"/>
        </w:rPr>
        <w:t>－</w:t>
      </w:r>
      <w:r>
        <w:rPr>
          <w:rFonts w:hint="eastAsia"/>
        </w:rPr>
        <w:t>2006</w:t>
      </w:r>
      <w:r>
        <w:rPr>
          <w:rFonts w:hint="eastAsia"/>
        </w:rPr>
        <w:t>年间的妇女任命情况</w:t>
      </w:r>
      <w:r>
        <w:tab/>
      </w:r>
      <w:r>
        <w:tab/>
      </w:r>
      <w:r>
        <w:rPr>
          <w:rFonts w:hint="eastAsia"/>
        </w:rPr>
        <w:t>69</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3</w:t>
      </w:r>
      <w:r>
        <w:br/>
      </w:r>
      <w:r>
        <w:rPr>
          <w:rFonts w:hint="eastAsia"/>
        </w:rPr>
        <w:t>参加立法议会的妇女，</w:t>
      </w:r>
      <w:r>
        <w:rPr>
          <w:rFonts w:hint="eastAsia"/>
        </w:rPr>
        <w:t>1958</w:t>
      </w:r>
      <w:r>
        <w:rPr>
          <w:rFonts w:hint="eastAsia"/>
        </w:rPr>
        <w:t>－</w:t>
      </w:r>
      <w:r>
        <w:rPr>
          <w:rFonts w:hint="eastAsia"/>
        </w:rPr>
        <w:t>2</w:t>
      </w:r>
      <w:r>
        <w:rPr>
          <w:rFonts w:hint="eastAsia"/>
        </w:rPr>
        <w:t>006</w:t>
      </w:r>
      <w:r>
        <w:rPr>
          <w:rFonts w:hint="eastAsia"/>
        </w:rPr>
        <w:t>年</w:t>
      </w:r>
      <w:r>
        <w:tab/>
      </w:r>
      <w:r>
        <w:tab/>
      </w:r>
      <w:r>
        <w:rPr>
          <w:rFonts w:hint="eastAsia"/>
        </w:rPr>
        <w:t>70</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4</w:t>
      </w:r>
      <w:r>
        <w:br/>
      </w:r>
      <w:r>
        <w:rPr>
          <w:rFonts w:hint="eastAsia"/>
        </w:rPr>
        <w:t>不同性别担任普选职位的情况，根据</w:t>
      </w:r>
      <w:r>
        <w:rPr>
          <w:rFonts w:hint="eastAsia"/>
        </w:rPr>
        <w:t>2002</w:t>
      </w:r>
      <w:r>
        <w:rPr>
          <w:rFonts w:hint="eastAsia"/>
        </w:rPr>
        <w:t>－</w:t>
      </w:r>
      <w:r>
        <w:rPr>
          <w:rFonts w:hint="eastAsia"/>
        </w:rPr>
        <w:t>2006</w:t>
      </w:r>
      <w:r>
        <w:rPr>
          <w:rFonts w:hint="eastAsia"/>
        </w:rPr>
        <w:t>年选举期的职位名册</w:t>
      </w:r>
      <w:r>
        <w:tab/>
      </w:r>
      <w:r>
        <w:tab/>
      </w:r>
      <w:r>
        <w:rPr>
          <w:rFonts w:hint="eastAsia"/>
        </w:rPr>
        <w:t>71</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t>5</w:t>
      </w:r>
      <w:r>
        <w:br/>
      </w:r>
      <w:r>
        <w:rPr>
          <w:rFonts w:hint="eastAsia"/>
        </w:rPr>
        <w:t>没有达到</w:t>
      </w:r>
      <w:r>
        <w:rPr>
          <w:rFonts w:hint="eastAsia"/>
        </w:rPr>
        <w:t>40%</w:t>
      </w:r>
      <w:r>
        <w:rPr>
          <w:rFonts w:hint="eastAsia"/>
        </w:rPr>
        <w:t>妇女最低参与配额比例的政党提供的职位编制数量，</w:t>
      </w:r>
      <w:r>
        <w:rPr>
          <w:rFonts w:hint="eastAsia"/>
        </w:rPr>
        <w:t>2002</w:t>
      </w:r>
      <w:r>
        <w:rPr>
          <w:rFonts w:ascii="SimSun" w:hAnsi="SimSun" w:hint="eastAsia"/>
        </w:rPr>
        <w:t>-</w:t>
      </w:r>
      <w:r>
        <w:rPr>
          <w:rFonts w:hint="eastAsia"/>
        </w:rPr>
        <w:t>2006</w:t>
      </w:r>
      <w:r>
        <w:rPr>
          <w:rFonts w:hint="eastAsia"/>
        </w:rPr>
        <w:t>年选举期</w:t>
      </w:r>
      <w:r>
        <w:tab/>
      </w:r>
      <w:r>
        <w:tab/>
      </w:r>
      <w:r>
        <w:rPr>
          <w:rFonts w:hint="eastAsia"/>
        </w:rPr>
        <w:t>72</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6</w:t>
      </w:r>
      <w:r>
        <w:br/>
      </w:r>
      <w:r>
        <w:rPr>
          <w:rFonts w:hint="eastAsia"/>
        </w:rPr>
        <w:t>男子和妇女在自治机构、半自治机构、分权机关和共和国总统办公室的任职情况</w:t>
      </w:r>
      <w:r>
        <w:tab/>
      </w:r>
      <w:r>
        <w:tab/>
      </w:r>
      <w:r>
        <w:rPr>
          <w:rFonts w:hint="eastAsia"/>
        </w:rPr>
        <w:t>74</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7</w:t>
      </w:r>
      <w:r>
        <w:br/>
      </w:r>
      <w:r>
        <w:rPr>
          <w:rFonts w:hint="eastAsia"/>
        </w:rPr>
        <w:t>不同性别担任外交服务职务的情况，</w:t>
      </w:r>
      <w:r>
        <w:rPr>
          <w:rFonts w:hint="eastAsia"/>
        </w:rPr>
        <w:t>1998</w:t>
      </w:r>
      <w:r>
        <w:rPr>
          <w:rFonts w:hint="eastAsia"/>
        </w:rPr>
        <w:t>－</w:t>
      </w:r>
      <w:r>
        <w:rPr>
          <w:rFonts w:hint="eastAsia"/>
        </w:rPr>
        <w:t>2002</w:t>
      </w:r>
      <w:r>
        <w:rPr>
          <w:rFonts w:hint="eastAsia"/>
        </w:rPr>
        <w:t>年</w:t>
      </w:r>
      <w:r>
        <w:tab/>
      </w:r>
      <w:r>
        <w:tab/>
      </w:r>
      <w:r>
        <w:rPr>
          <w:rFonts w:hint="eastAsia"/>
        </w:rPr>
        <w:t>81</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8</w:t>
      </w:r>
      <w:r>
        <w:br/>
      </w:r>
      <w:r>
        <w:rPr>
          <w:rFonts w:hint="eastAsia"/>
        </w:rPr>
        <w:t>公立大学不同专业毕业生中的女性同男性的比率，</w:t>
      </w:r>
      <w:r>
        <w:rPr>
          <w:rFonts w:hint="eastAsia"/>
        </w:rPr>
        <w:t>1990</w:t>
      </w:r>
      <w:r>
        <w:rPr>
          <w:rFonts w:hint="eastAsia"/>
        </w:rPr>
        <w:t>年、</w:t>
      </w:r>
      <w:r>
        <w:rPr>
          <w:rFonts w:hint="eastAsia"/>
        </w:rPr>
        <w:t>1995</w:t>
      </w:r>
      <w:r>
        <w:rPr>
          <w:rFonts w:hint="eastAsia"/>
        </w:rPr>
        <w:t>年、</w:t>
      </w:r>
      <w:r>
        <w:rPr>
          <w:rFonts w:hint="eastAsia"/>
        </w:rPr>
        <w:t>1996</w:t>
      </w:r>
      <w:r>
        <w:rPr>
          <w:rFonts w:hint="eastAsia"/>
        </w:rPr>
        <w:t>－</w:t>
      </w:r>
      <w:r>
        <w:rPr>
          <w:rFonts w:hint="eastAsia"/>
        </w:rPr>
        <w:t>1999</w:t>
      </w:r>
      <w:r>
        <w:rPr>
          <w:rFonts w:hint="eastAsia"/>
        </w:rPr>
        <w:t>年</w:t>
      </w:r>
      <w:r>
        <w:tab/>
      </w:r>
      <w:r>
        <w:tab/>
      </w:r>
      <w:r>
        <w:rPr>
          <w:rFonts w:hint="eastAsia"/>
        </w:rPr>
        <w:t>89</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9</w:t>
      </w:r>
      <w:r>
        <w:br/>
      </w:r>
      <w:r>
        <w:rPr>
          <w:rFonts w:hint="eastAsia"/>
        </w:rPr>
        <w:t>不同性别在不同行业中的相对分布情况，</w:t>
      </w:r>
      <w:r>
        <w:rPr>
          <w:rFonts w:hint="eastAsia"/>
        </w:rPr>
        <w:t>1999</w:t>
      </w:r>
      <w:r>
        <w:rPr>
          <w:rFonts w:hint="eastAsia"/>
        </w:rPr>
        <w:t>年</w:t>
      </w:r>
      <w:r>
        <w:tab/>
      </w:r>
      <w:r>
        <w:tab/>
      </w:r>
      <w:r>
        <w:rPr>
          <w:rFonts w:hint="eastAsia"/>
        </w:rPr>
        <w:t>94</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10</w:t>
      </w:r>
      <w:r>
        <w:br/>
      </w:r>
      <w:r>
        <w:rPr>
          <w:rFonts w:hint="eastAsia"/>
        </w:rPr>
        <w:t>各个教育程度上的女性对男性的每小时平均工资的比率，</w:t>
      </w:r>
      <w:r>
        <w:rPr>
          <w:rFonts w:hint="eastAsia"/>
        </w:rPr>
        <w:t>1990</w:t>
      </w:r>
      <w:r>
        <w:rPr>
          <w:rFonts w:hint="eastAsia"/>
        </w:rPr>
        <w:t>、</w:t>
      </w:r>
      <w:r>
        <w:rPr>
          <w:rFonts w:hint="eastAsia"/>
        </w:rPr>
        <w:t>1995</w:t>
      </w:r>
      <w:r>
        <w:rPr>
          <w:rFonts w:hint="eastAsia"/>
        </w:rPr>
        <w:t>、</w:t>
      </w:r>
      <w:r>
        <w:rPr>
          <w:rFonts w:hint="eastAsia"/>
        </w:rPr>
        <w:t>1996</w:t>
      </w:r>
      <w:r>
        <w:rPr>
          <w:rFonts w:hint="eastAsia"/>
        </w:rPr>
        <w:t>－</w:t>
      </w:r>
      <w:r>
        <w:rPr>
          <w:rFonts w:hint="eastAsia"/>
        </w:rPr>
        <w:t>1999</w:t>
      </w:r>
      <w:r>
        <w:rPr>
          <w:rFonts w:hint="eastAsia"/>
        </w:rPr>
        <w:t>年</w:t>
      </w:r>
      <w:r>
        <w:tab/>
      </w:r>
      <w:r>
        <w:tab/>
      </w:r>
      <w:r>
        <w:rPr>
          <w:rFonts w:hint="eastAsia"/>
        </w:rPr>
        <w:t>95</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11</w:t>
      </w:r>
      <w:r>
        <w:br/>
      </w:r>
      <w:r>
        <w:rPr>
          <w:rFonts w:hint="eastAsia"/>
        </w:rPr>
        <w:t>生产率低行业中不同层次上的男女劳动人数（占总数）的比率，哥斯达黎加，</w:t>
      </w:r>
      <w:r>
        <w:rPr>
          <w:rFonts w:hint="eastAsia"/>
        </w:rPr>
        <w:t>2000</w:t>
      </w:r>
      <w:r>
        <w:rPr>
          <w:rFonts w:hint="eastAsia"/>
        </w:rPr>
        <w:t>年</w:t>
      </w:r>
      <w:r>
        <w:tab/>
      </w:r>
      <w:r>
        <w:tab/>
      </w:r>
      <w:r>
        <w:rPr>
          <w:rFonts w:hint="eastAsia"/>
        </w:rPr>
        <w:t>99</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12</w:t>
      </w:r>
      <w:r>
        <w:br/>
      </w:r>
      <w:r>
        <w:rPr>
          <w:rFonts w:hint="eastAsia"/>
        </w:rPr>
        <w:t>无偿家务劳动在国内生产总值中所占的比率，</w:t>
      </w:r>
      <w:r>
        <w:rPr>
          <w:rFonts w:hint="eastAsia"/>
        </w:rPr>
        <w:t>1995</w:t>
      </w:r>
      <w:r>
        <w:rPr>
          <w:rFonts w:hint="eastAsia"/>
        </w:rPr>
        <w:t>－</w:t>
      </w:r>
      <w:r>
        <w:rPr>
          <w:rFonts w:hint="eastAsia"/>
        </w:rPr>
        <w:t>1997</w:t>
      </w:r>
      <w:r>
        <w:rPr>
          <w:rFonts w:hint="eastAsia"/>
        </w:rPr>
        <w:t>年</w:t>
      </w:r>
      <w:r>
        <w:tab/>
      </w:r>
      <w:r>
        <w:tab/>
      </w:r>
      <w:r>
        <w:rPr>
          <w:rFonts w:hint="eastAsia"/>
        </w:rPr>
        <w:t>100</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13</w:t>
      </w:r>
      <w:r>
        <w:br/>
      </w:r>
      <w:r>
        <w:rPr>
          <w:rFonts w:hint="eastAsia"/>
        </w:rPr>
        <w:t>不同性别和不同居住区家庭贫困状况的演变，</w:t>
      </w:r>
      <w:r>
        <w:rPr>
          <w:rFonts w:hint="eastAsia"/>
        </w:rPr>
        <w:t>1989</w:t>
      </w:r>
      <w:r>
        <w:rPr>
          <w:rFonts w:hint="eastAsia"/>
        </w:rPr>
        <w:t>－</w:t>
      </w:r>
      <w:r>
        <w:rPr>
          <w:rFonts w:hint="eastAsia"/>
        </w:rPr>
        <w:t>1997</w:t>
      </w:r>
      <w:r>
        <w:rPr>
          <w:rFonts w:hint="eastAsia"/>
        </w:rPr>
        <w:t>年（绝对数据和相对比率）</w:t>
      </w:r>
      <w:r>
        <w:tab/>
      </w:r>
      <w:r>
        <w:tab/>
      </w:r>
      <w:r>
        <w:rPr>
          <w:rFonts w:hint="eastAsia"/>
        </w:rPr>
        <w:t>106</w:t>
      </w:r>
    </w:p>
    <w:p w:rsidR="00000000" w:rsidRDefault="00CA422F" w:rsidP="00CA422F">
      <w:pPr>
        <w:tabs>
          <w:tab w:val="center" w:leader="dot" w:pos="8880"/>
          <w:tab w:val="right" w:pos="9720"/>
        </w:tabs>
        <w:spacing w:after="120" w:line="360" w:lineRule="atLeast"/>
        <w:ind w:rightChars="641" w:right="31680"/>
        <w:rPr>
          <w:rFonts w:hint="eastAsia"/>
        </w:rPr>
      </w:pP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lang w:val="es-ES"/>
        </w:rPr>
        <w:t>表</w:t>
      </w:r>
      <w:r>
        <w:rPr>
          <w:rFonts w:hint="eastAsia"/>
          <w:lang w:val="es-ES"/>
        </w:rPr>
        <w:t>14</w:t>
      </w:r>
      <w:r>
        <w:rPr>
          <w:lang w:val="es-ES"/>
        </w:rPr>
        <w:br/>
      </w:r>
      <w:r>
        <w:rPr>
          <w:rFonts w:hint="eastAsia"/>
        </w:rPr>
        <w:t>哥斯达黎加：谋杀、轼女、艾滋病和分娩导致的女性死亡，</w:t>
      </w:r>
      <w:r>
        <w:rPr>
          <w:rFonts w:hint="eastAsia"/>
        </w:rPr>
        <w:t>1990</w:t>
      </w:r>
      <w:r>
        <w:rPr>
          <w:rFonts w:hint="eastAsia"/>
        </w:rPr>
        <w:t>－</w:t>
      </w:r>
      <w:r>
        <w:rPr>
          <w:rFonts w:hint="eastAsia"/>
        </w:rPr>
        <w:t>1999</w:t>
      </w:r>
      <w:r>
        <w:rPr>
          <w:rFonts w:hint="eastAsia"/>
        </w:rPr>
        <w:t>年</w:t>
      </w:r>
      <w:r>
        <w:tab/>
      </w:r>
      <w:r>
        <w:tab/>
      </w:r>
      <w:r>
        <w:rPr>
          <w:rFonts w:hint="eastAsia"/>
        </w:rPr>
        <w:t>128</w:t>
      </w:r>
    </w:p>
    <w:p w:rsidR="00000000" w:rsidRDefault="00CA422F" w:rsidP="00CA422F">
      <w:pPr>
        <w:tabs>
          <w:tab w:val="center" w:leader="dot" w:pos="8880"/>
          <w:tab w:val="right" w:pos="9720"/>
        </w:tabs>
        <w:spacing w:after="120" w:line="360" w:lineRule="atLeast"/>
        <w:ind w:rightChars="641" w:right="31680"/>
        <w:rPr>
          <w:rFonts w:hint="eastAsia"/>
        </w:rPr>
      </w:pPr>
      <w:r>
        <w:rPr>
          <w:rFonts w:hint="eastAsia"/>
        </w:rPr>
        <w:t>表</w:t>
      </w:r>
      <w:r>
        <w:rPr>
          <w:rFonts w:hint="eastAsia"/>
        </w:rPr>
        <w:t>15</w:t>
      </w:r>
      <w:r>
        <w:br/>
      </w:r>
      <w:r>
        <w:rPr>
          <w:rFonts w:hint="eastAsia"/>
        </w:rPr>
        <w:t>哥斯达黎加：</w:t>
      </w:r>
      <w:r>
        <w:rPr>
          <w:rFonts w:hint="eastAsia"/>
        </w:rPr>
        <w:t>向各地司法机构提出的援助申请，</w:t>
      </w:r>
      <w:r>
        <w:rPr>
          <w:rFonts w:hint="eastAsia"/>
        </w:rPr>
        <w:t>1996</w:t>
      </w:r>
      <w:r>
        <w:rPr>
          <w:rFonts w:hint="eastAsia"/>
        </w:rPr>
        <w:t>－</w:t>
      </w:r>
      <w:r>
        <w:rPr>
          <w:rFonts w:hint="eastAsia"/>
        </w:rPr>
        <w:t>2000</w:t>
      </w:r>
      <w:r>
        <w:rPr>
          <w:rFonts w:hint="eastAsia"/>
        </w:rPr>
        <w:t>年，绝对数据与相对比率</w:t>
      </w:r>
      <w:r>
        <w:tab/>
      </w:r>
      <w:r>
        <w:tab/>
      </w:r>
      <w:r>
        <w:rPr>
          <w:rFonts w:hint="eastAsia"/>
        </w:rPr>
        <w:t>130</w:t>
      </w:r>
    </w:p>
    <w:p w:rsidR="00000000" w:rsidRDefault="00CA422F">
      <w:pPr>
        <w:spacing w:after="240" w:line="360" w:lineRule="atLeast"/>
        <w:rPr>
          <w:sz w:val="24"/>
        </w:rPr>
      </w:pPr>
    </w:p>
    <w:p w:rsidR="00000000" w:rsidRDefault="00CA422F">
      <w:pPr>
        <w:pStyle w:val="21"/>
        <w:spacing w:beforeLines="0" w:before="0" w:afterLines="0" w:after="240" w:line="360" w:lineRule="atLeast"/>
        <w:jc w:val="center"/>
        <w:rPr>
          <w:rFonts w:eastAsia="SimHei" w:hint="eastAsia"/>
          <w:b w:val="0"/>
          <w:bCs/>
          <w:sz w:val="28"/>
        </w:rPr>
      </w:pPr>
      <w:r>
        <w:rPr>
          <w:sz w:val="24"/>
        </w:rPr>
        <w:br w:type="page"/>
      </w:r>
      <w:r>
        <w:rPr>
          <w:rFonts w:eastAsia="SimHei" w:hint="eastAsia"/>
          <w:b w:val="0"/>
          <w:bCs/>
          <w:sz w:val="28"/>
        </w:rPr>
        <w:t>导</w:t>
      </w:r>
      <w:r>
        <w:rPr>
          <w:rFonts w:eastAsia="SimHei"/>
          <w:b w:val="0"/>
          <w:bCs/>
          <w:sz w:val="28"/>
        </w:rPr>
        <w:t xml:space="preserve"> </w:t>
      </w:r>
      <w:r>
        <w:rPr>
          <w:rFonts w:eastAsia="SimHei" w:hint="eastAsia"/>
          <w:b w:val="0"/>
          <w:bCs/>
          <w:sz w:val="28"/>
        </w:rPr>
        <w:t>言</w:t>
      </w:r>
    </w:p>
    <w:p w:rsidR="00000000" w:rsidRDefault="00CA422F">
      <w:pPr>
        <w:spacing w:after="240" w:line="380" w:lineRule="atLeast"/>
        <w:rPr>
          <w:rFonts w:hint="eastAsia"/>
        </w:rPr>
      </w:pPr>
      <w:r>
        <w:rPr>
          <w:rFonts w:hint="eastAsia"/>
        </w:rPr>
        <w:t>1</w:t>
      </w:r>
      <w:r>
        <w:rPr>
          <w:rFonts w:hint="eastAsia"/>
        </w:rPr>
        <w:t>．为了履行国家因无条件地签署和批准《消除对妇女一切形式歧视公约》而承担的义务，哥斯达黎加共和国编写了第四次定期报告。本报告涉及的时间范围是</w:t>
      </w:r>
      <w:r>
        <w:rPr>
          <w:rFonts w:hint="eastAsia"/>
        </w:rPr>
        <w:t>1998</w:t>
      </w:r>
      <w:r>
        <w:rPr>
          <w:rFonts w:hint="eastAsia"/>
        </w:rPr>
        <w:t>年</w:t>
      </w:r>
      <w:r>
        <w:rPr>
          <w:rFonts w:hint="eastAsia"/>
        </w:rPr>
        <w:t>4</w:t>
      </w:r>
      <w:r>
        <w:rPr>
          <w:rFonts w:hint="eastAsia"/>
        </w:rPr>
        <w:t>月</w:t>
      </w:r>
      <w:r>
        <w:rPr>
          <w:rFonts w:hint="eastAsia"/>
        </w:rPr>
        <w:t>1</w:t>
      </w:r>
      <w:r>
        <w:rPr>
          <w:rFonts w:hint="eastAsia"/>
        </w:rPr>
        <w:t>日至</w:t>
      </w:r>
      <w:r>
        <w:rPr>
          <w:rFonts w:hint="eastAsia"/>
        </w:rPr>
        <w:t>2002</w:t>
      </w:r>
      <w:r>
        <w:rPr>
          <w:rFonts w:hint="eastAsia"/>
        </w:rPr>
        <w:t>年</w:t>
      </w:r>
      <w:r>
        <w:rPr>
          <w:rFonts w:hint="eastAsia"/>
        </w:rPr>
        <w:t>3</w:t>
      </w:r>
      <w:r>
        <w:rPr>
          <w:rFonts w:hint="eastAsia"/>
        </w:rPr>
        <w:t>月</w:t>
      </w:r>
      <w:r>
        <w:rPr>
          <w:rFonts w:hint="eastAsia"/>
        </w:rPr>
        <w:t>31</w:t>
      </w:r>
      <w:r>
        <w:rPr>
          <w:rFonts w:hint="eastAsia"/>
        </w:rPr>
        <w:t>日，更新并修订了缔约国根据《消除对妇女一切形式歧视公约》第十八条提交的第一、第二和第三次合并定期报告。作为促进性别平等的国家机构，同时，为了努力履行法定职责，跟进推动妇女进步、促进男女权利平等和机会均等的公共政策，国家妇女研究所（</w:t>
      </w:r>
      <w:r>
        <w:rPr>
          <w:rFonts w:hint="eastAsia"/>
        </w:rPr>
        <w:t>INAMU</w:t>
      </w:r>
      <w:r>
        <w:rPr>
          <w:rFonts w:hint="eastAsia"/>
        </w:rPr>
        <w:t>）负责本报告的拟订。</w:t>
      </w:r>
    </w:p>
    <w:p w:rsidR="00000000" w:rsidRDefault="00CA422F">
      <w:pPr>
        <w:spacing w:after="240" w:line="380" w:lineRule="atLeast"/>
        <w:rPr>
          <w:rFonts w:hint="eastAsia"/>
        </w:rPr>
      </w:pPr>
      <w:r>
        <w:rPr>
          <w:rFonts w:hint="eastAsia"/>
        </w:rPr>
        <w:t>2</w:t>
      </w:r>
      <w:r>
        <w:rPr>
          <w:rFonts w:hint="eastAsia"/>
        </w:rPr>
        <w:t>．本报告的编写工作开始于</w:t>
      </w:r>
      <w:r>
        <w:rPr>
          <w:rFonts w:hint="eastAsia"/>
        </w:rPr>
        <w:t>2002</w:t>
      </w:r>
      <w:r>
        <w:rPr>
          <w:rFonts w:hint="eastAsia"/>
        </w:rPr>
        <w:t>年</w:t>
      </w:r>
      <w:r>
        <w:rPr>
          <w:rFonts w:hint="eastAsia"/>
        </w:rPr>
        <w:t>2</w:t>
      </w:r>
      <w:r>
        <w:rPr>
          <w:rFonts w:hint="eastAsia"/>
        </w:rPr>
        <w:t>月</w:t>
      </w:r>
      <w:r>
        <w:rPr>
          <w:rFonts w:hint="eastAsia"/>
        </w:rPr>
        <w:t>15</w:t>
      </w:r>
      <w:r>
        <w:rPr>
          <w:rFonts w:hint="eastAsia"/>
        </w:rPr>
        <w:t>日并在同年</w:t>
      </w:r>
      <w:r>
        <w:rPr>
          <w:rFonts w:hint="eastAsia"/>
        </w:rPr>
        <w:t>9</w:t>
      </w:r>
      <w:r>
        <w:rPr>
          <w:rFonts w:hint="eastAsia"/>
        </w:rPr>
        <w:t>月</w:t>
      </w:r>
      <w:r>
        <w:rPr>
          <w:rFonts w:hint="eastAsia"/>
        </w:rPr>
        <w:t>30</w:t>
      </w:r>
      <w:r>
        <w:rPr>
          <w:rFonts w:hint="eastAsia"/>
        </w:rPr>
        <w:t>日结束。在国家妇女研究所技术处的协助下，两名女协调员负责编写报告的初稿，系统总结了国内各个政府机关、非政府组织、公立大学和专科学校提交的各种重要的文字材料和统计资料。另外，为了使上述材料更完整，还采访了专家和关键信息提供者。该程序结束之后，报告的初稿递交国家妇女研究所技术部门征求意见。技术部门提出了建议，还提供了一些新的资料。报告的二稿再次送交技术部门审议，并向</w:t>
      </w:r>
      <w:r>
        <w:rPr>
          <w:rFonts w:hint="eastAsia"/>
        </w:rPr>
        <w:t>14</w:t>
      </w:r>
      <w:r>
        <w:rPr>
          <w:rFonts w:hint="eastAsia"/>
        </w:rPr>
        <w:t>名民间社会组织的代表征求意见。她们都出席了</w:t>
      </w:r>
      <w:r>
        <w:rPr>
          <w:rFonts w:hint="eastAsia"/>
        </w:rPr>
        <w:t>2002</w:t>
      </w:r>
      <w:r>
        <w:rPr>
          <w:rFonts w:hint="eastAsia"/>
        </w:rPr>
        <w:t>年</w:t>
      </w:r>
      <w:r>
        <w:rPr>
          <w:rFonts w:hint="eastAsia"/>
        </w:rPr>
        <w:t>9</w:t>
      </w:r>
      <w:r>
        <w:rPr>
          <w:rFonts w:hint="eastAsia"/>
        </w:rPr>
        <w:t>月</w:t>
      </w:r>
      <w:r>
        <w:rPr>
          <w:rFonts w:hint="eastAsia"/>
        </w:rPr>
        <w:t>27</w:t>
      </w:r>
      <w:r>
        <w:rPr>
          <w:rFonts w:hint="eastAsia"/>
        </w:rPr>
        <w:t>日国家妇女研究所组织的咨商论坛</w:t>
      </w:r>
      <w:r>
        <w:rPr>
          <w:rStyle w:val="FootnoteReference"/>
        </w:rPr>
        <w:footnoteReference w:id="2"/>
      </w:r>
      <w:r>
        <w:rPr>
          <w:rFonts w:hint="eastAsia"/>
        </w:rPr>
        <w:t>。参加该论坛的还有妇女地位部部长</w:t>
      </w:r>
      <w:r>
        <w:rPr>
          <w:rFonts w:hint="eastAsia"/>
        </w:rPr>
        <w:t>Esmeralda Britton</w:t>
      </w:r>
      <w:r>
        <w:rPr>
          <w:rFonts w:hint="eastAsia"/>
        </w:rPr>
        <w:t>工程师和国家妇女研究所技术处主任。通过交换意见和批评讨论，与会者为本报告补充了新的材料，同时，论坛深化了围绕优先问题——促进妇女运动和增强国家妇女研究所作为国家机制的作用——展开的辩论。现在向公约委员会提交的报告中就包含了此次论坛的成果。</w:t>
      </w:r>
      <w:r>
        <w:rPr>
          <w:rFonts w:hint="eastAsia"/>
        </w:rPr>
        <w:t xml:space="preserve"> </w:t>
      </w:r>
    </w:p>
    <w:p w:rsidR="00000000" w:rsidRDefault="00CA422F">
      <w:pPr>
        <w:spacing w:after="240" w:line="380" w:lineRule="atLeast"/>
        <w:rPr>
          <w:rFonts w:hint="eastAsia"/>
        </w:rPr>
      </w:pPr>
      <w:r>
        <w:rPr>
          <w:rFonts w:hint="eastAsia"/>
        </w:rPr>
        <w:t>3</w:t>
      </w:r>
      <w:r>
        <w:rPr>
          <w:rFonts w:hint="eastAsia"/>
        </w:rPr>
        <w:t>．合并报告是一份叙述性文件。它系统总结了哥斯达黎加自</w:t>
      </w:r>
      <w:r>
        <w:rPr>
          <w:rFonts w:hint="eastAsia"/>
        </w:rPr>
        <w:t>1984</w:t>
      </w:r>
      <w:r>
        <w:rPr>
          <w:rFonts w:hint="eastAsia"/>
        </w:rPr>
        <w:t>年</w:t>
      </w:r>
      <w:r>
        <w:rPr>
          <w:rFonts w:hint="eastAsia"/>
        </w:rPr>
        <w:t>10</w:t>
      </w:r>
      <w:r>
        <w:rPr>
          <w:rFonts w:hint="eastAsia"/>
        </w:rPr>
        <w:t>月</w:t>
      </w:r>
      <w:r>
        <w:rPr>
          <w:rFonts w:hint="eastAsia"/>
        </w:rPr>
        <w:t>2</w:t>
      </w:r>
      <w:r>
        <w:rPr>
          <w:rFonts w:hint="eastAsia"/>
        </w:rPr>
        <w:t>日批准公约之后至</w:t>
      </w:r>
      <w:r>
        <w:rPr>
          <w:rFonts w:hint="eastAsia"/>
        </w:rPr>
        <w:t>1998</w:t>
      </w:r>
      <w:r>
        <w:rPr>
          <w:rFonts w:hint="eastAsia"/>
        </w:rPr>
        <w:t>年</w:t>
      </w:r>
      <w:r>
        <w:rPr>
          <w:rFonts w:hint="eastAsia"/>
        </w:rPr>
        <w:t>3</w:t>
      </w:r>
      <w:r>
        <w:rPr>
          <w:rFonts w:hint="eastAsia"/>
        </w:rPr>
        <w:t>月</w:t>
      </w:r>
      <w:r>
        <w:rPr>
          <w:rFonts w:hint="eastAsia"/>
        </w:rPr>
        <w:t>31</w:t>
      </w:r>
      <w:r>
        <w:rPr>
          <w:rFonts w:hint="eastAsia"/>
        </w:rPr>
        <w:t>日期间在促进性别平等方面取得的主要进展，介绍了在切实履行公约方面依</w:t>
      </w:r>
      <w:r>
        <w:rPr>
          <w:rFonts w:hint="eastAsia"/>
        </w:rPr>
        <w:t>然存在的各种障碍和困难。有必要构筑一个基本大纲作为以后评估的出发点，要求则更加详细。本报告的相当重要的一个部分已经被纳入国家妇女研究所起草（</w:t>
      </w:r>
      <w:r>
        <w:rPr>
          <w:rFonts w:hint="eastAsia"/>
        </w:rPr>
        <w:t>2000</w:t>
      </w:r>
      <w:r>
        <w:rPr>
          <w:rFonts w:hint="eastAsia"/>
        </w:rPr>
        <w:t>年）的“成就和挑战：哥斯达黎加政府关于《北京行动纲要》的总结报告”之中。该总结报告的编写是在国家妇女研究所和民间社会的妇女组织的协商框架内进行的，是国家一级的北京会议五周年筹备活动的组成部分。</w:t>
      </w:r>
    </w:p>
    <w:p w:rsidR="00000000" w:rsidRDefault="00CA422F">
      <w:pPr>
        <w:spacing w:after="240" w:line="380" w:lineRule="atLeast"/>
        <w:rPr>
          <w:rFonts w:hint="eastAsia"/>
        </w:rPr>
      </w:pPr>
      <w:r>
        <w:rPr>
          <w:rFonts w:hint="eastAsia"/>
        </w:rPr>
        <w:t>4</w:t>
      </w:r>
      <w:r>
        <w:rPr>
          <w:rFonts w:hint="eastAsia"/>
        </w:rPr>
        <w:t>．本报告强调了第一、第二和第三次合并定期报告中的要求。报告强调了在报告研究阶段内发生的各种变化；上次报告提交之后为执行公约通过的法律和采取的其他措施；国家在消除对妇女歧</w:t>
      </w:r>
      <w:r>
        <w:rPr>
          <w:rFonts w:hint="eastAsia"/>
        </w:rPr>
        <w:t>视方面取得的进展，以及妇女状况发生的最重要的变化。同时，它还深入分析了仍然存在的结构问题和两性差距，它们构成了实现男女性别平等的严重障碍。另外，报告还讨论了哥斯达黎加为了履行国家对《北京宣言和行动纲要》的承诺而推行的各种措施。</w:t>
      </w:r>
    </w:p>
    <w:p w:rsidR="00000000" w:rsidRDefault="00CA422F">
      <w:pPr>
        <w:spacing w:after="240" w:line="380" w:lineRule="atLeast"/>
        <w:rPr>
          <w:rFonts w:hint="eastAsia"/>
        </w:rPr>
      </w:pPr>
      <w:r>
        <w:rPr>
          <w:rFonts w:hint="eastAsia"/>
        </w:rPr>
        <w:t>5</w:t>
      </w:r>
      <w:r>
        <w:rPr>
          <w:rFonts w:hint="eastAsia"/>
        </w:rPr>
        <w:t>．正如合并定期报告所总结、本报告所肯定的那样，哥斯达黎加在以下方面取得了长足的进步：出台了促进妇女的法律和机制；改善她们的教育、劳动和健康状况；制订制度和法律手段以预防并处理针对妇女的暴力侵害行为，以及促进妇女的公民参与。</w:t>
      </w:r>
    </w:p>
    <w:p w:rsidR="00000000" w:rsidRDefault="00CA422F">
      <w:pPr>
        <w:spacing w:after="240" w:line="380" w:lineRule="atLeast"/>
        <w:rPr>
          <w:rFonts w:hint="eastAsia"/>
        </w:rPr>
      </w:pPr>
      <w:r>
        <w:rPr>
          <w:rFonts w:hint="eastAsia"/>
        </w:rPr>
        <w:t>6</w:t>
      </w:r>
      <w:r>
        <w:rPr>
          <w:rFonts w:hint="eastAsia"/>
        </w:rPr>
        <w:t>．尽管如此，这方面依然存在着许多结构性问题，而且这些结构</w:t>
      </w:r>
      <w:r>
        <w:rPr>
          <w:rFonts w:hint="eastAsia"/>
        </w:rPr>
        <w:t>性问题导致某些领域的男女差别不断加深，致使妇女处境困难。国家如果希望扩大和巩固已经取得的成果，就必须进行深刻的社会、经济、政治和文化变革。</w:t>
      </w:r>
    </w:p>
    <w:p w:rsidR="00000000" w:rsidRDefault="00CA422F">
      <w:pPr>
        <w:spacing w:after="240" w:line="380" w:lineRule="atLeast"/>
        <w:rPr>
          <w:rFonts w:hint="eastAsia"/>
        </w:rPr>
      </w:pPr>
      <w:r>
        <w:rPr>
          <w:rFonts w:hint="eastAsia"/>
        </w:rPr>
        <w:t>7</w:t>
      </w:r>
      <w:r>
        <w:rPr>
          <w:rFonts w:hint="eastAsia"/>
        </w:rPr>
        <w:t>．正如</w:t>
      </w:r>
      <w:r>
        <w:rPr>
          <w:rFonts w:hint="eastAsia"/>
        </w:rPr>
        <w:t>2000</w:t>
      </w:r>
      <w:r>
        <w:rPr>
          <w:rFonts w:hint="eastAsia"/>
        </w:rPr>
        <w:t>年国家人的可持续发展状况报告（第七次报告，</w:t>
      </w:r>
      <w:r>
        <w:rPr>
          <w:rFonts w:hint="eastAsia"/>
        </w:rPr>
        <w:t>2001</w:t>
      </w:r>
      <w:r>
        <w:rPr>
          <w:rFonts w:hint="eastAsia"/>
        </w:rPr>
        <w:t>年）在关于“促进两性平等的挑战”的一章中专门指出的那样，哥斯达黎加政府必须关注和处理的迫切问题包括：妇女的贫困问题；承认无报酬的家务劳动的价值；妇女进入劳动市场与劳动市场的分裂。另外，教育系统中的性别差异和隔离现象、制度倒退、为政府促进两性平等的专门政策和机制划拨资源有限、妇女全面的政治参与都是必须引起政</w:t>
      </w:r>
      <w:r>
        <w:rPr>
          <w:rFonts w:hint="eastAsia"/>
        </w:rPr>
        <w:t>府重视的问题。</w:t>
      </w:r>
    </w:p>
    <w:p w:rsidR="00000000" w:rsidRDefault="00CA422F">
      <w:pPr>
        <w:spacing w:after="240" w:line="380" w:lineRule="atLeast"/>
        <w:rPr>
          <w:rFonts w:hint="eastAsia"/>
        </w:rPr>
      </w:pPr>
      <w:r>
        <w:rPr>
          <w:rFonts w:hint="eastAsia"/>
        </w:rPr>
        <w:t>8</w:t>
      </w:r>
      <w:r>
        <w:rPr>
          <w:rFonts w:hint="eastAsia"/>
        </w:rPr>
        <w:t>．还必须刻不容缓地消除城乡差别。这表明城乡差别带来的挑战日趋表面化，要求在不同的地区或区域采取不同的政策，从而根据多样性标准（其中包括地理标准），促进消除妇女与妇女之间的差距和差别。</w:t>
      </w:r>
    </w:p>
    <w:p w:rsidR="00000000" w:rsidRDefault="00CA422F">
      <w:pPr>
        <w:spacing w:after="240" w:line="380" w:lineRule="atLeast"/>
        <w:rPr>
          <w:rFonts w:hint="eastAsia"/>
        </w:rPr>
      </w:pPr>
      <w:r>
        <w:rPr>
          <w:rFonts w:hint="eastAsia"/>
        </w:rPr>
        <w:t>9</w:t>
      </w:r>
      <w:r>
        <w:rPr>
          <w:rFonts w:hint="eastAsia"/>
        </w:rPr>
        <w:t>．必须指出的是，由于官方资料收集方面存在着严重的局限性，因此无法汇报在提高妇女地位方面所取得的进展。</w:t>
      </w:r>
    </w:p>
    <w:p w:rsidR="00000000" w:rsidRDefault="00CA422F">
      <w:pPr>
        <w:spacing w:after="240" w:line="380" w:lineRule="atLeast"/>
        <w:rPr>
          <w:rFonts w:hint="eastAsia"/>
        </w:rPr>
      </w:pPr>
      <w:r>
        <w:rPr>
          <w:rFonts w:hint="eastAsia"/>
        </w:rPr>
        <w:t>10</w:t>
      </w:r>
      <w:r>
        <w:rPr>
          <w:rFonts w:hint="eastAsia"/>
        </w:rPr>
        <w:t>．北京会议之后，为了跟进和监测妇女地位和状况，国家妇女研究所、国家政府计划和开发计划署共同审查了拉丁美洲经济委员会根据《北京行动纲要》的核心问题组织编制的一系列建议指标（</w:t>
      </w:r>
      <w:r>
        <w:rPr>
          <w:rFonts w:hint="eastAsia"/>
        </w:rPr>
        <w:t>Ramos, Pilar, 20</w:t>
      </w:r>
      <w:r>
        <w:rPr>
          <w:rFonts w:hint="eastAsia"/>
        </w:rPr>
        <w:t>01</w:t>
      </w:r>
      <w:r>
        <w:rPr>
          <w:rFonts w:hint="eastAsia"/>
        </w:rPr>
        <w:t>年）。在审议上述建议指标时利用了两种重要的资料来源，抽样调查——主要是家庭和多种因素调查，以及各个机构的行政管理注册记录。利用正规资料来源对建议指标进行了测定，结果表明拉美经济委员会提出的建议指标中仅有</w:t>
      </w:r>
      <w:r>
        <w:rPr>
          <w:rFonts w:hint="eastAsia"/>
        </w:rPr>
        <w:t>50%</w:t>
      </w:r>
      <w:r>
        <w:rPr>
          <w:rFonts w:hint="eastAsia"/>
        </w:rPr>
        <w:t>能够使用，将近四分之一的指标既不能利用也没有备选方案。同时，在可以利用的指标之中，有一半指标要求对基本数据进行二次加工，这给指标的计算带来了困难。</w:t>
      </w:r>
    </w:p>
    <w:p w:rsidR="00000000" w:rsidRDefault="00CA422F">
      <w:pPr>
        <w:spacing w:after="240" w:line="380" w:lineRule="atLeast"/>
        <w:rPr>
          <w:rFonts w:hint="eastAsia"/>
        </w:rPr>
      </w:pPr>
      <w:r>
        <w:rPr>
          <w:rFonts w:hint="eastAsia"/>
        </w:rPr>
        <w:t>11</w:t>
      </w:r>
      <w:r>
        <w:rPr>
          <w:rFonts w:hint="eastAsia"/>
        </w:rPr>
        <w:t>．当调查涉及第二种资料来源时，出现了巨大的资料空白。它影响到对下列课题和子课题的处理：资源获取（不动产、信贷、培训、奖学金）；促进妇女进步的体制机构</w:t>
      </w:r>
      <w:r>
        <w:rPr>
          <w:rFonts w:hint="eastAsia"/>
        </w:rPr>
        <w:t>；妇女的人权；妇女与传媒；妇女与环境；对妇女的暴力。</w:t>
      </w:r>
    </w:p>
    <w:p w:rsidR="00000000" w:rsidRDefault="00CA422F">
      <w:pPr>
        <w:spacing w:after="240" w:line="380" w:lineRule="atLeast"/>
        <w:rPr>
          <w:rFonts w:hint="eastAsia"/>
        </w:rPr>
      </w:pPr>
      <w:r>
        <w:rPr>
          <w:rFonts w:hint="eastAsia"/>
        </w:rPr>
        <w:t>12</w:t>
      </w:r>
      <w:r>
        <w:rPr>
          <w:rFonts w:hint="eastAsia"/>
        </w:rPr>
        <w:t>．最后一个课题——对妇女的暴力侵害是一个值得特别关注的问题，因为建议指标和附加指标仅仅能够大致反映该问题的总体状况，而无法揭示对妇女的各种形式的暴力行为的严重程度。另一个资料空白出现在时间利用这个子课题中，它限制了对总劳动负担及其他相关问题进行性别区分研究。为了加强这方面的工作必须进行抽样调查。</w:t>
      </w:r>
    </w:p>
    <w:p w:rsidR="00000000" w:rsidRDefault="00CA422F">
      <w:pPr>
        <w:spacing w:after="240" w:line="380" w:lineRule="atLeast"/>
        <w:rPr>
          <w:rFonts w:hint="eastAsia"/>
        </w:rPr>
      </w:pPr>
      <w:r>
        <w:rPr>
          <w:rFonts w:hint="eastAsia"/>
        </w:rPr>
        <w:t>13</w:t>
      </w:r>
      <w:r>
        <w:rPr>
          <w:rFonts w:hint="eastAsia"/>
        </w:rPr>
        <w:t>．</w:t>
      </w:r>
      <w:r>
        <w:rPr>
          <w:rFonts w:hint="eastAsia"/>
        </w:rPr>
        <w:t xml:space="preserve"> </w:t>
      </w:r>
      <w:r>
        <w:rPr>
          <w:rFonts w:hint="eastAsia"/>
        </w:rPr>
        <w:t>如果想报道妇女状况和地位发生的变化，还存着一个涉及情报周期性的附加问题。与此类似的是，尽管有不同时期的资料，但可能由于调查覆盖面和调查方法改变而产生</w:t>
      </w:r>
      <w:r>
        <w:rPr>
          <w:rFonts w:hint="eastAsia"/>
        </w:rPr>
        <w:t>其他问题。甚至，某些资料的质量也可能引起争议。在以下课题中可以看到上述全部或部分局限性。</w:t>
      </w:r>
    </w:p>
    <w:p w:rsidR="00000000" w:rsidRDefault="00CA422F">
      <w:pPr>
        <w:numPr>
          <w:ilvl w:val="0"/>
          <w:numId w:val="805"/>
        </w:numPr>
        <w:tabs>
          <w:tab w:val="clear" w:pos="720"/>
          <w:tab w:val="num" w:pos="960"/>
        </w:tabs>
        <w:spacing w:after="240" w:line="380" w:lineRule="atLeast"/>
        <w:ind w:left="960" w:hanging="480"/>
        <w:rPr>
          <w:rFonts w:hint="eastAsia"/>
        </w:rPr>
      </w:pPr>
      <w:r>
        <w:rPr>
          <w:rFonts w:eastAsia="SimHei" w:hint="eastAsia"/>
        </w:rPr>
        <w:t>妇女健康：</w:t>
      </w:r>
      <w:r>
        <w:rPr>
          <w:rFonts w:hint="eastAsia"/>
        </w:rPr>
        <w:t>这一课题方面虽然指标的数量最多，但是依然存在着覆盖面问题，因为这些指标——如，进行宫颈癌预防检查的比例、癌症（乳癌和宫颈癌）发病率、艾滋病毒感染率和儿童营养状况指数——并没有涵盖全部兴趣人群。由于在资料收集过程中缺乏明确的周期性，儿童营养状况指标的质量受到损害。另外，各不相同的调查方法也影响了它们的质量。另外，涉及妇女劳动事故率和职业病发病率的数据质量也很可疑，因为妇女的保险覆盖率并不高。因此，有关劳动伤害受</w:t>
      </w:r>
      <w:r>
        <w:rPr>
          <w:rFonts w:hint="eastAsia"/>
        </w:rPr>
        <w:t>害人群的记录也可能不够完备。</w:t>
      </w:r>
    </w:p>
    <w:p w:rsidR="00000000" w:rsidRDefault="00CA422F">
      <w:pPr>
        <w:numPr>
          <w:ilvl w:val="0"/>
          <w:numId w:val="805"/>
        </w:numPr>
        <w:tabs>
          <w:tab w:val="clear" w:pos="720"/>
          <w:tab w:val="num" w:pos="960"/>
        </w:tabs>
        <w:spacing w:after="240" w:line="380" w:lineRule="atLeast"/>
        <w:ind w:left="960" w:hanging="480"/>
        <w:rPr>
          <w:rFonts w:hint="eastAsia"/>
        </w:rPr>
      </w:pPr>
      <w:r>
        <w:rPr>
          <w:rFonts w:eastAsia="SimHei" w:hint="eastAsia"/>
        </w:rPr>
        <w:t>对妇女的暴力：</w:t>
      </w:r>
      <w:r>
        <w:rPr>
          <w:rFonts w:hint="eastAsia"/>
        </w:rPr>
        <w:t>这个课题方面有许多薄弱环节，因为大部分指数只能够检索一年的数据。由于在很大程度上依赖检举，存在着覆盖面和质量方面的问题，特别是资料记录和案情申报方面，受理控告的各种机构的做法似乎并不统一，因此有理由认为存在着申报不足现象。与此类似的是，对于某些形式的暴力，如性暴力仅仅记录了控告数量，既没有对资料进行性别分类，也没有关于犯罪嫌疑人情况介绍（当嫌疑人已经确定时），因此，无法确定受害者的特点。</w:t>
      </w:r>
    </w:p>
    <w:p w:rsidR="00000000" w:rsidRDefault="00CA422F">
      <w:pPr>
        <w:numPr>
          <w:ilvl w:val="0"/>
          <w:numId w:val="805"/>
        </w:numPr>
        <w:tabs>
          <w:tab w:val="clear" w:pos="720"/>
          <w:tab w:val="num" w:pos="960"/>
        </w:tabs>
        <w:spacing w:after="240" w:line="380" w:lineRule="atLeast"/>
        <w:ind w:left="960" w:hanging="480"/>
        <w:rPr>
          <w:rFonts w:hint="eastAsia"/>
        </w:rPr>
      </w:pPr>
      <w:r>
        <w:rPr>
          <w:rFonts w:eastAsia="SimHei" w:hint="eastAsia"/>
        </w:rPr>
        <w:t>妇女教育与培训：</w:t>
      </w:r>
      <w:r>
        <w:rPr>
          <w:rFonts w:hint="eastAsia"/>
        </w:rPr>
        <w:t>主要问题依然是高等教育统计的覆盖问题，无法检索到私立大学和私</w:t>
      </w:r>
      <w:r>
        <w:rPr>
          <w:rFonts w:hint="eastAsia"/>
        </w:rPr>
        <w:t>立的类似大学性质的高等教育机构的资料。</w:t>
      </w:r>
    </w:p>
    <w:p w:rsidR="00000000" w:rsidRDefault="00CA422F">
      <w:pPr>
        <w:numPr>
          <w:ilvl w:val="0"/>
          <w:numId w:val="805"/>
        </w:numPr>
        <w:tabs>
          <w:tab w:val="clear" w:pos="720"/>
          <w:tab w:val="num" w:pos="960"/>
        </w:tabs>
        <w:spacing w:after="240" w:line="380" w:lineRule="atLeast"/>
        <w:ind w:left="960" w:hanging="480"/>
        <w:rPr>
          <w:rFonts w:hint="eastAsia"/>
        </w:rPr>
      </w:pPr>
      <w:r>
        <w:rPr>
          <w:rFonts w:eastAsia="SimHei" w:hint="eastAsia"/>
        </w:rPr>
        <w:t>经济和妇女：</w:t>
      </w:r>
      <w:r>
        <w:rPr>
          <w:rFonts w:hint="eastAsia"/>
        </w:rPr>
        <w:t>这方面的资料集中在</w:t>
      </w:r>
      <w:r>
        <w:rPr>
          <w:rFonts w:hint="eastAsia"/>
        </w:rPr>
        <w:t>1990</w:t>
      </w:r>
      <w:r>
        <w:rPr>
          <w:rFonts w:hint="eastAsia"/>
        </w:rPr>
        <w:t>到</w:t>
      </w:r>
      <w:r>
        <w:rPr>
          <w:rFonts w:hint="eastAsia"/>
        </w:rPr>
        <w:t>1999</w:t>
      </w:r>
      <w:r>
        <w:rPr>
          <w:rFonts w:hint="eastAsia"/>
        </w:rPr>
        <w:t>年间。尽管在</w:t>
      </w:r>
      <w:r>
        <w:rPr>
          <w:rFonts w:hint="eastAsia"/>
        </w:rPr>
        <w:t>1990</w:t>
      </w:r>
      <w:r>
        <w:rPr>
          <w:rFonts w:hint="eastAsia"/>
        </w:rPr>
        <w:t>年之前也进行过家庭调查，甚至在</w:t>
      </w:r>
      <w:r>
        <w:rPr>
          <w:rFonts w:hint="eastAsia"/>
        </w:rPr>
        <w:t>1986</w:t>
      </w:r>
      <w:r>
        <w:rPr>
          <w:rFonts w:hint="eastAsia"/>
        </w:rPr>
        <w:t>年之前就有过令人感兴趣的调查，完全可以扩充该系列的数据，然而，由于调查方案的改变，致使调查资料在使用上受到限制。在这种情况下，不仅要考虑到方式方法的变化，而且需要考虑利用必要的特殊程序对数据进行加工，以便得到希望获得的分类数据。</w:t>
      </w:r>
    </w:p>
    <w:p w:rsidR="00000000" w:rsidRDefault="00CA422F">
      <w:pPr>
        <w:spacing w:after="240" w:line="380" w:lineRule="atLeast"/>
        <w:rPr>
          <w:rFonts w:hint="eastAsia"/>
        </w:rPr>
      </w:pPr>
      <w:r>
        <w:rPr>
          <w:rFonts w:hint="eastAsia"/>
        </w:rPr>
        <w:t>14</w:t>
      </w:r>
      <w:r>
        <w:rPr>
          <w:rFonts w:hint="eastAsia"/>
        </w:rPr>
        <w:t>．虽然最近对报道男女之间性别差异出现了关注，但是官方统计的设计不含有性别观点，也不以计量男女差距为目的。这种兴趣正在使按照性别对大量</w:t>
      </w:r>
      <w:r>
        <w:rPr>
          <w:rFonts w:hint="eastAsia"/>
        </w:rPr>
        <w:t>数据进行分类成为可能，并且为开始修正计量概念和方法创造了条件。尽管在方式方法上并没有引入实质性的变革，但已经有可能消除那些用于评估性别平等状况的基本变量的局限性。</w:t>
      </w:r>
    </w:p>
    <w:p w:rsidR="00000000" w:rsidRDefault="00CA422F">
      <w:pPr>
        <w:spacing w:after="240" w:line="380" w:lineRule="atLeast"/>
        <w:rPr>
          <w:rFonts w:hint="eastAsia"/>
        </w:rPr>
      </w:pPr>
      <w:r>
        <w:rPr>
          <w:rFonts w:hint="eastAsia"/>
        </w:rPr>
        <w:t>15</w:t>
      </w:r>
      <w:r>
        <w:rPr>
          <w:rFonts w:hint="eastAsia"/>
        </w:rPr>
        <w:t>．其中的一个变量是</w:t>
      </w:r>
      <w:r>
        <w:rPr>
          <w:rFonts w:eastAsia="SimHei" w:hint="eastAsia"/>
        </w:rPr>
        <w:t>劳动力</w:t>
      </w:r>
      <w:r>
        <w:rPr>
          <w:rFonts w:hint="eastAsia"/>
        </w:rPr>
        <w:t>。有关参考期限的规定和生产力组成因素的定义（换言之，有关就业人口和失业人口的定义）给劳动力的计量制造了许多不便。劳动力的概念相当于“现时劳动力人口”的概念。它想表明的是，由于使用的参考期限是短期（一周），只能报道劳动力的“现时”情况，而无法反映劳动力的一贯状况。因为如果使用的是长期期限（一年），则可能出现两种情况：“现</w:t>
      </w:r>
      <w:r>
        <w:rPr>
          <w:rFonts w:hint="eastAsia"/>
        </w:rPr>
        <w:t>时劳动力人口”和“惯常劳动力人口”。它在涉及妇女和青年时特别遭受非议。这是因为在可能的情况下妇女和青年经常季节性地进入劳动力市场，如在商业领域，她们</w:t>
      </w:r>
      <w:r>
        <w:rPr>
          <w:rFonts w:hint="eastAsia"/>
        </w:rPr>
        <w:t>/</w:t>
      </w:r>
      <w:r>
        <w:rPr>
          <w:rFonts w:hint="eastAsia"/>
        </w:rPr>
        <w:t>他们在劳动力市场内的停留时间有可能达到六个月（尽管时进时出）。在其他生产活动方面（如咖啡收获），妇女和青年在劳动力市场内的时间可达一个季度。当上述两种情况发生时，如果与参考期限不吻合，她们对劳动力市场的参与以及她们因此对家庭收入的贡献都可能被忽略。</w:t>
      </w:r>
    </w:p>
    <w:p w:rsidR="00000000" w:rsidRDefault="00CA422F">
      <w:pPr>
        <w:spacing w:after="240" w:line="380" w:lineRule="atLeast"/>
        <w:rPr>
          <w:rFonts w:hint="eastAsia"/>
        </w:rPr>
      </w:pPr>
      <w:r>
        <w:rPr>
          <w:rFonts w:hint="eastAsia"/>
        </w:rPr>
        <w:t>16</w:t>
      </w:r>
      <w:r>
        <w:rPr>
          <w:rFonts w:hint="eastAsia"/>
        </w:rPr>
        <w:t>．把每周至少有一小时的工作时间定为衡量一个人是否就业的时间参照限度，是一个武断的规定。这有可能淡化公开失业问</w:t>
      </w:r>
      <w:r>
        <w:rPr>
          <w:rFonts w:hint="eastAsia"/>
        </w:rPr>
        <w:t>题，因为它把一个与市场只有如此短暂关系的人判定为“就业”，而不给与他</w:t>
      </w:r>
      <w:r>
        <w:rPr>
          <w:rFonts w:hint="eastAsia"/>
        </w:rPr>
        <w:t>/</w:t>
      </w:r>
      <w:r>
        <w:rPr>
          <w:rFonts w:hint="eastAsia"/>
        </w:rPr>
        <w:t>她划分为公开失业人口的机会。如果非全日制工作（考虑到各种职业）不是自愿的，则被认为是半公开失业，而不是完全就业，即便存在着严重障碍导致他</w:t>
      </w:r>
      <w:r>
        <w:rPr>
          <w:rFonts w:hint="eastAsia"/>
        </w:rPr>
        <w:t>/</w:t>
      </w:r>
      <w:r>
        <w:rPr>
          <w:rFonts w:hint="eastAsia"/>
        </w:rPr>
        <w:t>她无法获得满意工作。这些困难包括没有适当的机制照顾儿童、其他家庭负担过重、甚至还有收入不足和工资与工作日内的劳动时间不成比例。</w:t>
      </w:r>
    </w:p>
    <w:p w:rsidR="00000000" w:rsidRDefault="00CA422F">
      <w:pPr>
        <w:spacing w:after="240" w:line="380" w:lineRule="atLeast"/>
        <w:rPr>
          <w:rFonts w:hint="eastAsia"/>
        </w:rPr>
      </w:pPr>
      <w:r>
        <w:rPr>
          <w:rFonts w:hint="eastAsia"/>
        </w:rPr>
        <w:t>17</w:t>
      </w:r>
      <w:r>
        <w:rPr>
          <w:rFonts w:hint="eastAsia"/>
        </w:rPr>
        <w:t>．试图在隐性半失业现象中解释报酬不足问题。这种计量方式也是片面的，因为它仅仅考虑到周工作时间达到或超过</w:t>
      </w:r>
      <w:r>
        <w:rPr>
          <w:rFonts w:hint="eastAsia"/>
        </w:rPr>
        <w:t>47</w:t>
      </w:r>
      <w:r>
        <w:rPr>
          <w:rFonts w:hint="eastAsia"/>
        </w:rPr>
        <w:t>小时的人，并且只是对比基本收入和最低规定工资。其弊端反映为：</w:t>
      </w:r>
    </w:p>
    <w:p w:rsidR="00000000" w:rsidRDefault="00CA422F">
      <w:pPr>
        <w:numPr>
          <w:ilvl w:val="0"/>
          <w:numId w:val="805"/>
        </w:numPr>
        <w:tabs>
          <w:tab w:val="clear" w:pos="720"/>
          <w:tab w:val="num" w:pos="960"/>
        </w:tabs>
        <w:spacing w:after="240" w:line="380" w:lineRule="atLeast"/>
        <w:ind w:left="960" w:hanging="480"/>
        <w:rPr>
          <w:rFonts w:hint="eastAsia"/>
        </w:rPr>
      </w:pPr>
      <w:r>
        <w:rPr>
          <w:rFonts w:hint="eastAsia"/>
        </w:rPr>
        <w:t>对比</w:t>
      </w:r>
      <w:r>
        <w:rPr>
          <w:rFonts w:hint="eastAsia"/>
        </w:rPr>
        <w:t>单一工资无法反映工作报酬不当现象，因此，应该对比职业群体的最低工资。</w:t>
      </w:r>
    </w:p>
    <w:p w:rsidR="00000000" w:rsidRDefault="00CA422F">
      <w:pPr>
        <w:numPr>
          <w:ilvl w:val="0"/>
          <w:numId w:val="805"/>
        </w:numPr>
        <w:tabs>
          <w:tab w:val="clear" w:pos="720"/>
          <w:tab w:val="num" w:pos="960"/>
        </w:tabs>
        <w:spacing w:after="240" w:line="380" w:lineRule="atLeast"/>
        <w:ind w:left="960" w:hanging="480"/>
        <w:rPr>
          <w:rFonts w:hint="eastAsia"/>
        </w:rPr>
      </w:pPr>
      <w:r>
        <w:rPr>
          <w:rFonts w:hint="eastAsia"/>
        </w:rPr>
        <w:t>掩盖了周工时不足</w:t>
      </w:r>
      <w:r>
        <w:rPr>
          <w:rFonts w:hint="eastAsia"/>
        </w:rPr>
        <w:t>47</w:t>
      </w:r>
      <w:r>
        <w:rPr>
          <w:rFonts w:hint="eastAsia"/>
        </w:rPr>
        <w:t>小时的人的隐性失业问题，正如上文所示，有必要核算小时工资。</w:t>
      </w:r>
    </w:p>
    <w:p w:rsidR="00000000" w:rsidRDefault="00CA422F">
      <w:pPr>
        <w:numPr>
          <w:ilvl w:val="0"/>
          <w:numId w:val="805"/>
        </w:numPr>
        <w:tabs>
          <w:tab w:val="clear" w:pos="720"/>
          <w:tab w:val="num" w:pos="960"/>
        </w:tabs>
        <w:spacing w:after="240" w:line="380" w:lineRule="atLeast"/>
        <w:ind w:left="960" w:hanging="480"/>
        <w:rPr>
          <w:rFonts w:hint="eastAsia"/>
        </w:rPr>
      </w:pPr>
      <w:r>
        <w:rPr>
          <w:rFonts w:hint="eastAsia"/>
        </w:rPr>
        <w:t>无论对于公开半失业还是隐性半失业，都使用总工时和基本收入作为计量指标，致使对完全就业人数估算不足，因为拥有一个或多个第二职业能够弥补日工资不足或者缓解由于主要职业报酬不当造成的问题。鉴于第二职业的情况愈来愈普遍，按照目前的计量结果，低估半失业的情况可能更加严重。</w:t>
      </w:r>
    </w:p>
    <w:p w:rsidR="00000000" w:rsidRDefault="00CA422F">
      <w:pPr>
        <w:spacing w:after="240" w:line="380" w:lineRule="atLeast"/>
        <w:rPr>
          <w:rFonts w:hint="eastAsia"/>
        </w:rPr>
      </w:pPr>
      <w:r>
        <w:rPr>
          <w:rFonts w:hint="eastAsia"/>
        </w:rPr>
        <w:t>18</w:t>
      </w:r>
      <w:r>
        <w:rPr>
          <w:rFonts w:hint="eastAsia"/>
        </w:rPr>
        <w:t>．另外，哥斯达黎加的整体就业水平也被低估了，因为以自我消费为目的的初级产品生产者没有被列为就业</w:t>
      </w:r>
      <w:r>
        <w:rPr>
          <w:rFonts w:hint="eastAsia"/>
        </w:rPr>
        <w:t>人口，这也致使从事农牧业生产的妇女的经济贡献被忽略了。某些面向市场的活动由于文化原因不被认为是经济活动或者被认为不够重要而没有在传统问题中申明（边缘活动），从事上述活动也没有被定义为就业。隐性就业尤其对妇女造成了伤害。</w:t>
      </w:r>
    </w:p>
    <w:p w:rsidR="00000000" w:rsidRDefault="00CA422F">
      <w:pPr>
        <w:spacing w:after="240" w:line="380" w:lineRule="atLeast"/>
        <w:rPr>
          <w:rFonts w:hint="eastAsia"/>
        </w:rPr>
      </w:pPr>
      <w:r>
        <w:rPr>
          <w:rFonts w:hint="eastAsia"/>
        </w:rPr>
        <w:t>19</w:t>
      </w:r>
      <w:r>
        <w:rPr>
          <w:rFonts w:hint="eastAsia"/>
        </w:rPr>
        <w:t>．失业定义依据的是以下三条原则：无工作、准备立即工作和采取具体措施寻找工作。在哥斯达黎加，希望工作和“已经”做好工作准备的人不被认为是失业者，但是由于厌倦而不愿意找工作和认为找不到工作的人则被划为失业者。这种情况被命名为不积极失业或隐性失业。</w:t>
      </w:r>
    </w:p>
    <w:p w:rsidR="00000000" w:rsidRDefault="00CA422F">
      <w:pPr>
        <w:spacing w:after="240" w:line="380" w:lineRule="atLeast"/>
        <w:rPr>
          <w:rFonts w:hint="eastAsia"/>
        </w:rPr>
      </w:pPr>
      <w:r>
        <w:rPr>
          <w:rFonts w:hint="eastAsia"/>
        </w:rPr>
        <w:t>20</w:t>
      </w:r>
      <w:r>
        <w:rPr>
          <w:rFonts w:hint="eastAsia"/>
        </w:rPr>
        <w:t>．就这个意义而言，就业问题的真正影响不仅</w:t>
      </w:r>
      <w:r>
        <w:rPr>
          <w:rFonts w:hint="eastAsia"/>
        </w:rPr>
        <w:t>仅局限于对公开失业的分析，而是应该考虑到下面这些因素：总开工不足、隐性失业、非全日制工作的隐性开工不足、由于“非市场原因”提高日工资和临时就业受到限制。它们都有可能掩盖公开失业问题，因为虽然是一个不合适的工作但是“劳动者表示满意”。</w:t>
      </w:r>
    </w:p>
    <w:p w:rsidR="00000000" w:rsidRDefault="00CA422F">
      <w:pPr>
        <w:spacing w:after="240" w:line="380" w:lineRule="atLeast"/>
        <w:rPr>
          <w:rFonts w:hint="eastAsia"/>
        </w:rPr>
      </w:pPr>
      <w:r>
        <w:rPr>
          <w:rFonts w:hint="eastAsia"/>
        </w:rPr>
        <w:t>21</w:t>
      </w:r>
      <w:r>
        <w:rPr>
          <w:rFonts w:hint="eastAsia"/>
        </w:rPr>
        <w:t>．另外，为了补充和完善这些指数，看起来有必要改善对不稳定就业的计量方式。在其中加入有关获取社会保障、劳动意外伤害保障、合同的稳定性，劳动权利和劳工法律履行情况以及其他被认为具有主要意义的考核项目。</w:t>
      </w:r>
    </w:p>
    <w:p w:rsidR="00000000" w:rsidRDefault="00CA422F">
      <w:pPr>
        <w:spacing w:after="240" w:line="380" w:lineRule="atLeast"/>
        <w:rPr>
          <w:rFonts w:hint="eastAsia"/>
        </w:rPr>
      </w:pPr>
      <w:r>
        <w:rPr>
          <w:rFonts w:hint="eastAsia"/>
        </w:rPr>
        <w:t>22</w:t>
      </w:r>
      <w:r>
        <w:rPr>
          <w:rFonts w:hint="eastAsia"/>
        </w:rPr>
        <w:t>．“户主”是另一个基本变量。它在人口普查和家庭调查中使用的定义指出：</w:t>
      </w:r>
    </w:p>
    <w:p w:rsidR="00000000" w:rsidRDefault="00CA422F">
      <w:pPr>
        <w:numPr>
          <w:ilvl w:val="0"/>
          <w:numId w:val="805"/>
        </w:numPr>
        <w:tabs>
          <w:tab w:val="clear" w:pos="720"/>
          <w:tab w:val="num" w:pos="960"/>
        </w:tabs>
        <w:spacing w:after="240" w:line="380" w:lineRule="atLeast"/>
        <w:ind w:left="960" w:hanging="480"/>
        <w:rPr>
          <w:rFonts w:hint="eastAsia"/>
        </w:rPr>
      </w:pPr>
      <w:r>
        <w:rPr>
          <w:rFonts w:hint="eastAsia"/>
        </w:rPr>
        <w:t>首</w:t>
      </w:r>
      <w:r>
        <w:rPr>
          <w:rFonts w:hint="eastAsia"/>
        </w:rPr>
        <w:t>先，获得家庭其他成员的认可，实际上，理解为受访者公开声明承认；</w:t>
      </w:r>
    </w:p>
    <w:p w:rsidR="00000000" w:rsidRDefault="00CA422F">
      <w:pPr>
        <w:numPr>
          <w:ilvl w:val="0"/>
          <w:numId w:val="805"/>
        </w:numPr>
        <w:tabs>
          <w:tab w:val="clear" w:pos="720"/>
          <w:tab w:val="num" w:pos="960"/>
        </w:tabs>
        <w:spacing w:after="240" w:line="380" w:lineRule="atLeast"/>
        <w:ind w:left="960" w:hanging="480"/>
        <w:rPr>
          <w:rFonts w:hint="eastAsia"/>
        </w:rPr>
      </w:pPr>
      <w:r>
        <w:rPr>
          <w:rFonts w:hint="eastAsia"/>
        </w:rPr>
        <w:t>指的是提供大部分家庭开支的人；</w:t>
      </w:r>
    </w:p>
    <w:p w:rsidR="00000000" w:rsidRDefault="00CA422F">
      <w:pPr>
        <w:numPr>
          <w:ilvl w:val="0"/>
          <w:numId w:val="805"/>
        </w:numPr>
        <w:tabs>
          <w:tab w:val="clear" w:pos="720"/>
          <w:tab w:val="num" w:pos="960"/>
        </w:tabs>
        <w:spacing w:after="240" w:line="380" w:lineRule="atLeast"/>
        <w:ind w:left="960" w:hanging="480"/>
        <w:rPr>
          <w:rFonts w:hint="eastAsia"/>
        </w:rPr>
      </w:pPr>
      <w:r>
        <w:rPr>
          <w:rFonts w:hint="eastAsia"/>
        </w:rPr>
        <w:t>最后必须是成年人。</w:t>
      </w:r>
    </w:p>
    <w:p w:rsidR="00000000" w:rsidRDefault="00CA422F">
      <w:pPr>
        <w:spacing w:after="240" w:line="380" w:lineRule="atLeast"/>
        <w:rPr>
          <w:rFonts w:hint="eastAsia"/>
        </w:rPr>
      </w:pPr>
      <w:r>
        <w:rPr>
          <w:rFonts w:hint="eastAsia"/>
        </w:rPr>
        <w:t>23</w:t>
      </w:r>
      <w:r>
        <w:rPr>
          <w:rFonts w:hint="eastAsia"/>
        </w:rPr>
        <w:t>．尽管对于分析私人领域的决策权而言，“户主”是一个重要变量，然而，由于文化因素、经济能力（男子的收入高于妇女而且男子的工作是有货币报酬的）和夫妻关系形式中的人口</w:t>
      </w:r>
      <w:r>
        <w:rPr>
          <w:rFonts w:ascii="SimSun" w:hAnsi="SimSun" w:hint="eastAsia"/>
        </w:rPr>
        <w:t>-</w:t>
      </w:r>
      <w:r>
        <w:rPr>
          <w:rFonts w:hint="eastAsia"/>
        </w:rPr>
        <w:t>文化构成因素，上文引述的定义对男子有利。</w:t>
      </w:r>
    </w:p>
    <w:p w:rsidR="00000000" w:rsidRDefault="00CA422F">
      <w:pPr>
        <w:spacing w:after="240" w:line="380" w:lineRule="atLeast"/>
        <w:rPr>
          <w:rFonts w:hint="eastAsia"/>
        </w:rPr>
      </w:pPr>
      <w:r>
        <w:rPr>
          <w:rFonts w:hint="eastAsia"/>
        </w:rPr>
        <w:t>24</w:t>
      </w:r>
      <w:r>
        <w:rPr>
          <w:rFonts w:hint="eastAsia"/>
        </w:rPr>
        <w:t>．只有在无配偶的情况下才承认妇女作为户主的身份，这掩盖了即便在核心家庭中，妇女在下列各个方面都承担了大量责任：组织家庭成员劳动和分担家庭负担；管理预算；监督和检查儿童与少年的教育情况；</w:t>
      </w:r>
      <w:r>
        <w:rPr>
          <w:rFonts w:hint="eastAsia"/>
        </w:rPr>
        <w:t>决定耐用消费品和非耐用消费品包括食品的消费模式；决定家庭内部空间的分配和住宅装修以及可能增加妇女责任负担的其他事务；影响家庭成员共同生活和生育活动的决定。</w:t>
      </w:r>
    </w:p>
    <w:p w:rsidR="00000000" w:rsidRDefault="00CA422F">
      <w:pPr>
        <w:spacing w:after="240" w:line="380" w:lineRule="atLeast"/>
        <w:rPr>
          <w:rFonts w:hint="eastAsia"/>
        </w:rPr>
      </w:pPr>
      <w:r>
        <w:rPr>
          <w:rFonts w:hint="eastAsia"/>
        </w:rPr>
        <w:t>25</w:t>
      </w:r>
      <w:r>
        <w:rPr>
          <w:rFonts w:hint="eastAsia"/>
        </w:rPr>
        <w:t>．基于这一观点，人口普查和调查中使用的“户主”定义不适合进行性别平等分析。由于这些调查的唯一目的是确定参照样本，为数据汇编创造便利条件，同时，也为将来绘制社会经济分析所需的家庭类型图谱提供了机会，因此，必须要求性别研究专家为“户主”概念确定一个具有可操作性的定义，便于在人口普查和家庭调查中应用。</w:t>
      </w:r>
    </w:p>
    <w:p w:rsidR="00000000" w:rsidRDefault="00CA422F">
      <w:pPr>
        <w:spacing w:after="240" w:line="380" w:lineRule="atLeast"/>
        <w:rPr>
          <w:rFonts w:hint="eastAsia"/>
        </w:rPr>
      </w:pPr>
      <w:r>
        <w:rPr>
          <w:rFonts w:hint="eastAsia"/>
        </w:rPr>
        <w:t>26</w:t>
      </w:r>
      <w:r>
        <w:rPr>
          <w:rFonts w:hint="eastAsia"/>
        </w:rPr>
        <w:t>．在</w:t>
      </w:r>
      <w:r>
        <w:rPr>
          <w:rFonts w:eastAsia="SimHei" w:hint="eastAsia"/>
        </w:rPr>
        <w:t>资源获取</w:t>
      </w:r>
      <w:r>
        <w:rPr>
          <w:rFonts w:hint="eastAsia"/>
        </w:rPr>
        <w:t>方面，前文指出，无论这些资源指的是生产</w:t>
      </w:r>
      <w:r>
        <w:rPr>
          <w:rFonts w:hint="eastAsia"/>
        </w:rPr>
        <w:t>资料、信贷，还是职业培训和其他资源，都缺少可以利用的、按照性别分列的数据。尽管如此，即便掌握这方面的资源也不足以从性别平等的角度进行发展分析。另外，还反映出存在着下面这种观点，即，孤立地以妇女为中心编制政策并策划行动。换言之，它强调的是“妇女是唯一的目标”，在她们身上既看到问题的原因，也看到问题的唯一解决办法。在这种情况下，如果妇女是援助目标，她们需要配合行动，消除她们身上的“源发的、不言而喻的”不利条件，而这些不利条件至少有一部分是由于她们的传统性别角色和妇女的双重或三重工作造成的（国立大学</w:t>
      </w:r>
      <w:r>
        <w:rPr>
          <w:rFonts w:hint="eastAsia"/>
        </w:rPr>
        <w:t>/</w:t>
      </w:r>
      <w:r>
        <w:rPr>
          <w:rFonts w:hint="eastAsia"/>
        </w:rPr>
        <w:t>妇女研究所，</w:t>
      </w:r>
      <w:r>
        <w:rPr>
          <w:rFonts w:hint="eastAsia"/>
        </w:rPr>
        <w:t>1993</w:t>
      </w:r>
      <w:r>
        <w:rPr>
          <w:rFonts w:hint="eastAsia"/>
        </w:rPr>
        <w:t>年，</w:t>
      </w:r>
      <w:r>
        <w:rPr>
          <w:rFonts w:hint="eastAsia"/>
        </w:rPr>
        <w:t>Ramos</w:t>
      </w:r>
      <w:r>
        <w:rPr>
          <w:rFonts w:hint="eastAsia"/>
        </w:rPr>
        <w:t>，</w:t>
      </w:r>
      <w:r>
        <w:rPr>
          <w:rFonts w:hint="eastAsia"/>
        </w:rPr>
        <w:t>2001</w:t>
      </w:r>
      <w:r>
        <w:rPr>
          <w:rFonts w:hint="eastAsia"/>
        </w:rPr>
        <w:t>年引用）。在一个更加整体的观点指导下，而且基于这一观点，目标必然是促进改变妇女和男子的性别角色和消除男女不平等现象，因此，不仅仅要提出反映妇女状况的指数而且要提出能够反映“复制不平等的专门机制”的指数（同上）。这不仅要求确定有关资源获取的指数，也需要有关资源控制、各种不平等因素联结形式以及这些资源在各级再分配情况的指标。另外，它还意味着必须强调对指标进行分类，以便反映不平等问题的各种特殊表现。</w:t>
      </w:r>
    </w:p>
    <w:p w:rsidR="00000000" w:rsidRDefault="00CA422F">
      <w:pPr>
        <w:spacing w:after="240" w:line="380" w:lineRule="atLeast"/>
        <w:rPr>
          <w:rFonts w:hint="eastAsia"/>
        </w:rPr>
      </w:pPr>
      <w:r>
        <w:rPr>
          <w:rFonts w:hint="eastAsia"/>
        </w:rPr>
        <w:t>27</w:t>
      </w:r>
      <w:r>
        <w:rPr>
          <w:rFonts w:hint="eastAsia"/>
        </w:rPr>
        <w:t>．譬如说，仅仅说明女性生产资料（如土地）所有者的比率和发放给妇女的地契比例是不</w:t>
      </w:r>
      <w:r>
        <w:rPr>
          <w:rFonts w:hint="eastAsia"/>
        </w:rPr>
        <w:t>够的。需要再补充其他特征资料，如婚姻状况、地理位置、生产资料的使用方式、验明该生产资料使用者的身份并确定其决策权力、妇女在发展活动中的地位（内部地位问题指的是尽管妇女是生产资料的所有者，她们在开发活动中是否会处于附属地位），以及其他一些有助于说明情况的指标。尽管它们目前无法利用，但专项调查（如，农牧业人口普查）中可以考虑利用，将来能够利用性别观点进行分析研究。</w:t>
      </w:r>
    </w:p>
    <w:p w:rsidR="00000000" w:rsidRDefault="00CA422F">
      <w:pPr>
        <w:spacing w:after="240" w:line="380" w:lineRule="atLeast"/>
        <w:rPr>
          <w:rFonts w:hint="eastAsia"/>
        </w:rPr>
      </w:pPr>
      <w:r>
        <w:rPr>
          <w:rFonts w:hint="eastAsia"/>
        </w:rPr>
        <w:t>28</w:t>
      </w:r>
      <w:r>
        <w:rPr>
          <w:rFonts w:hint="eastAsia"/>
        </w:rPr>
        <w:t>．为制订政策提供资料的技术人员应该负责鉴别和确定物质生存条件中存在的不平等结构，同时，还要提出需要使用何种资料才能暴露和消除上述不平等的结构，并</w:t>
      </w:r>
      <w:r>
        <w:rPr>
          <w:rFonts w:hint="eastAsia"/>
        </w:rPr>
        <w:t>且以此为依据确定指标和资料来源，即便它们没有被应用。</w:t>
      </w:r>
    </w:p>
    <w:p w:rsidR="00000000" w:rsidRDefault="00CA422F">
      <w:pPr>
        <w:spacing w:after="240" w:line="380" w:lineRule="atLeast"/>
        <w:rPr>
          <w:rFonts w:hint="eastAsia"/>
        </w:rPr>
      </w:pPr>
      <w:r>
        <w:rPr>
          <w:rFonts w:hint="eastAsia"/>
        </w:rPr>
        <w:t>29</w:t>
      </w:r>
      <w:r>
        <w:rPr>
          <w:rFonts w:hint="eastAsia"/>
        </w:rPr>
        <w:t>．在</w:t>
      </w:r>
      <w:r>
        <w:rPr>
          <w:rFonts w:eastAsia="SimHei" w:hint="eastAsia"/>
        </w:rPr>
        <w:t>特殊群体</w:t>
      </w:r>
      <w:r>
        <w:rPr>
          <w:rFonts w:hint="eastAsia"/>
        </w:rPr>
        <w:t>方面，只有少量的概况研究和调查从种族－文化角度监督考察妇女的状况，或者专门讨论土著妇女的特殊状况。尽管如此，迄今为止，我们没有任何国家研究可以作为分析非洲裔－哥斯达黎加妇女状况的参考。以上这种情况反映了由于历史上长期存在的种族歧视，非洲裔－哥斯达黎加居民被忽略了。由于性别原因，这种情况在妇女身上反映得更加尖锐和深刻。总而言之，直到</w:t>
      </w:r>
      <w:r>
        <w:rPr>
          <w:rFonts w:hint="eastAsia"/>
        </w:rPr>
        <w:t>2000</w:t>
      </w:r>
      <w:r>
        <w:rPr>
          <w:rFonts w:hint="eastAsia"/>
        </w:rPr>
        <w:t>年，无论在人口普查还是家庭调查中都没有这方面的官方资料记录。如果将官方的统计资料和有关哥斯达黎加妇女地</w:t>
      </w:r>
      <w:r>
        <w:rPr>
          <w:rFonts w:hint="eastAsia"/>
        </w:rPr>
        <w:t>位与状况作为参考依据，非洲裔－哥斯达黎加妇女则根本不存在。最近一次，即</w:t>
      </w:r>
      <w:r>
        <w:rPr>
          <w:rFonts w:hint="eastAsia"/>
        </w:rPr>
        <w:t>2000</w:t>
      </w:r>
      <w:r>
        <w:rPr>
          <w:rFonts w:hint="eastAsia"/>
        </w:rPr>
        <w:t>年的人口普查增加了识别哥斯达黎加男子与妇女的种族归属一项，但是由于问题提出上的缺陷，未能确认大部分居民的种族归属。</w:t>
      </w:r>
    </w:p>
    <w:p w:rsidR="00000000" w:rsidRDefault="00CA422F">
      <w:pPr>
        <w:spacing w:after="240" w:line="380" w:lineRule="atLeast"/>
        <w:rPr>
          <w:rFonts w:hint="eastAsia"/>
        </w:rPr>
      </w:pPr>
      <w:r>
        <w:rPr>
          <w:rFonts w:hint="eastAsia"/>
        </w:rPr>
        <w:t>30</w:t>
      </w:r>
      <w:r>
        <w:rPr>
          <w:rFonts w:hint="eastAsia"/>
        </w:rPr>
        <w:t>．本报告由四部分组成，第一部分记录了为消除侵害妇女的性别不平等现象国家推动开展的各种活动和哥斯达黎加政府与社会必须应付的主要挑战。鉴于这一点，报告试图摒弃松散的、片断式的描述，代之以理性的分析，从而使报告的内容更加明确，内在联系更加紧密。</w:t>
      </w:r>
    </w:p>
    <w:p w:rsidR="00000000" w:rsidRDefault="00CA422F">
      <w:pPr>
        <w:spacing w:after="240" w:line="380" w:lineRule="atLeast"/>
        <w:rPr>
          <w:rFonts w:hint="eastAsia"/>
        </w:rPr>
      </w:pPr>
      <w:r>
        <w:rPr>
          <w:rFonts w:hint="eastAsia"/>
        </w:rPr>
        <w:t>31</w:t>
      </w:r>
      <w:r>
        <w:rPr>
          <w:rFonts w:hint="eastAsia"/>
        </w:rPr>
        <w:t>．第二部分逐条描述了哥斯达黎加政府在本报告涉及的阶段内实施公约的情况。</w:t>
      </w:r>
      <w:r>
        <w:rPr>
          <w:rFonts w:hint="eastAsia"/>
        </w:rPr>
        <w:t>在这部分中，报告分析了与公约各条规定和消除对妇女一切形式歧视委员会建议有关的所有最有意义的进展和最重要的趋势。由于为了追求效率，报告对介绍过程中进行了归纳总结，没有单独辟出一部分专门讨论哥斯黎加为履行实施《北京宣言和行动纲要》的责任而采取的各种措施。报告认为这些承诺应该在公约条款的框架内进行分析，因为尽管《北京宣言和行动纲要》关注的某些关键问题没有在该法律文书中明确列举，然而，委员会建议，应该指出在哪个部分讨论它们。依靠这一战略可以避免不必要的重复。</w:t>
      </w:r>
    </w:p>
    <w:p w:rsidR="00000000" w:rsidRDefault="00CA422F">
      <w:pPr>
        <w:spacing w:after="240" w:line="380" w:lineRule="atLeast"/>
        <w:rPr>
          <w:rFonts w:hint="eastAsia"/>
        </w:rPr>
      </w:pPr>
      <w:r>
        <w:rPr>
          <w:rFonts w:hint="eastAsia"/>
        </w:rPr>
        <w:t>32</w:t>
      </w:r>
      <w:r>
        <w:rPr>
          <w:rFonts w:hint="eastAsia"/>
        </w:rPr>
        <w:t>．第三部分概述了哥斯达黎加在本阶段内取得的主要进展、</w:t>
      </w:r>
      <w:r>
        <w:rPr>
          <w:rFonts w:hint="eastAsia"/>
        </w:rPr>
        <w:t>值得吸取的教训以及在中期和短期内需要引起政府重视的各种挑战。报告的最后一部分希望向委员会提供相关资料以便委员会向哥斯达黎加政府提出建议，推动国家在消除对妇女一切形式歧视的进程中奋勇向前，因为消除对妇女的歧视是建设民主社会不可或缺的条件。在那样一个社会中，民主深深植根在两性关系之中，而且，全体公民都享有社会公正与平等。</w:t>
      </w:r>
    </w:p>
    <w:p w:rsidR="00000000" w:rsidRDefault="00CA422F">
      <w:pPr>
        <w:spacing w:after="240" w:line="380" w:lineRule="atLeast"/>
        <w:rPr>
          <w:rFonts w:hint="eastAsia"/>
        </w:rPr>
      </w:pPr>
      <w:r>
        <w:rPr>
          <w:rFonts w:hint="eastAsia"/>
        </w:rPr>
        <w:t>33</w:t>
      </w:r>
      <w:r>
        <w:rPr>
          <w:rFonts w:hint="eastAsia"/>
        </w:rPr>
        <w:t>．哥斯达黎加申明对公约的支持，重申它承诺继续促进创造条件，使妇女在哥斯达黎加能够享有同等机会和两性平等，并且能够积极地行使她们的公民权利和义务。</w:t>
      </w:r>
    </w:p>
    <w:p w:rsidR="00000000" w:rsidRDefault="00CA422F">
      <w:pPr>
        <w:spacing w:after="240" w:line="380" w:lineRule="atLeast"/>
        <w:rPr>
          <w:rFonts w:hint="eastAsia"/>
        </w:rPr>
      </w:pPr>
      <w:r>
        <w:rPr>
          <w:rFonts w:hint="eastAsia"/>
        </w:rPr>
        <w:t>34</w:t>
      </w:r>
      <w:r>
        <w:rPr>
          <w:rFonts w:hint="eastAsia"/>
        </w:rPr>
        <w:t>．哥斯达黎加政府很高兴向委员会提交本报</w:t>
      </w:r>
      <w:r>
        <w:rPr>
          <w:rFonts w:hint="eastAsia"/>
        </w:rPr>
        <w:t>告并接受审议，以便履行国家在批准公约时所承担的义务和责任。为此，政府重申国家付出了巨大努力，以便及时履行因批准公约而承担的义务和责任。</w:t>
      </w:r>
    </w:p>
    <w:p w:rsidR="00000000" w:rsidRDefault="00CA422F">
      <w:pPr>
        <w:pStyle w:val="20"/>
        <w:adjustRightInd w:val="0"/>
        <w:spacing w:beforeLines="0" w:before="0" w:afterLines="0" w:after="240" w:line="360" w:lineRule="atLeast"/>
        <w:textAlignment w:val="baseline"/>
        <w:rPr>
          <w:rFonts w:ascii="Times New Roman" w:eastAsia="SimSun" w:hAnsi="Times New Roman"/>
          <w:kern w:val="0"/>
          <w:szCs w:val="20"/>
          <w:lang w:val="en-US"/>
        </w:rPr>
      </w:pPr>
    </w:p>
    <w:p w:rsidR="00000000" w:rsidRDefault="00CA422F">
      <w:pPr>
        <w:pStyle w:val="60"/>
        <w:spacing w:before="120" w:afterLines="0" w:after="360" w:line="360" w:lineRule="atLeast"/>
        <w:jc w:val="center"/>
        <w:rPr>
          <w:rFonts w:eastAsia="SimHei" w:hint="eastAsia"/>
          <w:sz w:val="28"/>
        </w:rPr>
      </w:pPr>
      <w:r>
        <w:rPr>
          <w:sz w:val="24"/>
        </w:rPr>
        <w:br w:type="page"/>
      </w:r>
      <w:r>
        <w:rPr>
          <w:rFonts w:eastAsia="SimHei" w:hint="eastAsia"/>
          <w:sz w:val="28"/>
        </w:rPr>
        <w:t>第一部分：哥斯达黎加妇女状况的进步：总结</w:t>
      </w:r>
    </w:p>
    <w:p w:rsidR="00000000" w:rsidRDefault="00CA422F">
      <w:pPr>
        <w:spacing w:after="240" w:line="360" w:lineRule="atLeast"/>
        <w:rPr>
          <w:rFonts w:hint="eastAsia"/>
        </w:rPr>
      </w:pPr>
      <w:r>
        <w:rPr>
          <w:rFonts w:hint="eastAsia"/>
        </w:rPr>
        <w:t>35</w:t>
      </w:r>
      <w:r>
        <w:rPr>
          <w:rFonts w:hint="eastAsia"/>
        </w:rPr>
        <w:t>．哥斯达黎加的妇女状况在过去十年间发生了引人注目的变化。变化是由多种因素共同造成的。首先，</w:t>
      </w:r>
      <w:r>
        <w:rPr>
          <w:rFonts w:hint="eastAsia"/>
        </w:rPr>
        <w:t>1990</w:t>
      </w:r>
      <w:r>
        <w:rPr>
          <w:rFonts w:hint="eastAsia"/>
        </w:rPr>
        <w:t>年</w:t>
      </w:r>
      <w:r>
        <w:rPr>
          <w:rFonts w:hint="eastAsia"/>
        </w:rPr>
        <w:t>3</w:t>
      </w:r>
      <w:r>
        <w:rPr>
          <w:rFonts w:hint="eastAsia"/>
        </w:rPr>
        <w:t>月</w:t>
      </w:r>
      <w:r>
        <w:rPr>
          <w:rFonts w:hint="eastAsia"/>
        </w:rPr>
        <w:t>8</w:t>
      </w:r>
      <w:r>
        <w:rPr>
          <w:rFonts w:hint="eastAsia"/>
        </w:rPr>
        <w:t>日《促进妇女社会平等法》获得通过。它是妇女运动斗争进程中的重要里程碑，标志着公共机构正在为妇女创造条件，确保她们享有真正的民主。其次，在经济全球化的背景下，新的发展模式向妇女的社会地位以及她们与男子在同等机会下平等分享发</w:t>
      </w:r>
      <w:r>
        <w:rPr>
          <w:rFonts w:hint="eastAsia"/>
        </w:rPr>
        <w:t>展利益的权利提出了挑战和新的问题。最后，国家的一整套促进性别平等的政策为这一目标的实现起了推动作用，而且哥斯达黎加为此成立了国家机构，负责推进、执行和确保这些政策的落实。这一切都标志着新的道路，也带来了新的问题和挑战。除此之外，教育条件、劳动条件、性侵犯、家庭暴力和参政也都受到了整体挑战</w:t>
      </w:r>
      <w:r>
        <w:rPr>
          <w:rStyle w:val="FootnoteReference"/>
        </w:rPr>
        <w:footnoteReference w:customMarkFollows="1" w:id="3"/>
        <w:t>2</w:t>
      </w:r>
      <w:r>
        <w:rPr>
          <w:rFonts w:hint="eastAsia"/>
        </w:rPr>
        <w:t>。</w:t>
      </w:r>
    </w:p>
    <w:p w:rsidR="00000000" w:rsidRDefault="00CA422F">
      <w:pPr>
        <w:spacing w:after="240" w:line="360" w:lineRule="atLeast"/>
        <w:rPr>
          <w:rFonts w:hint="eastAsia"/>
        </w:rPr>
      </w:pPr>
      <w:r>
        <w:rPr>
          <w:rFonts w:hint="eastAsia"/>
        </w:rPr>
        <w:t>36</w:t>
      </w:r>
      <w:r>
        <w:rPr>
          <w:rFonts w:hint="eastAsia"/>
        </w:rPr>
        <w:t>．根据</w:t>
      </w:r>
      <w:r>
        <w:rPr>
          <w:rFonts w:hint="eastAsia"/>
        </w:rPr>
        <w:t>2002</w:t>
      </w:r>
      <w:r>
        <w:rPr>
          <w:rFonts w:hint="eastAsia"/>
        </w:rPr>
        <w:t>年</w:t>
      </w:r>
      <w:r>
        <w:rPr>
          <w:rFonts w:hint="eastAsia"/>
        </w:rPr>
        <w:t>6</w:t>
      </w:r>
      <w:r>
        <w:rPr>
          <w:rFonts w:hint="eastAsia"/>
        </w:rPr>
        <w:t>月进行的第九次全国人口普查，截至那时，哥斯达黎加的总人口为</w:t>
      </w:r>
      <w:r>
        <w:rPr>
          <w:rFonts w:hint="eastAsia"/>
        </w:rPr>
        <w:t>3</w:t>
      </w:r>
      <w:r>
        <w:t xml:space="preserve"> </w:t>
      </w:r>
      <w:r>
        <w:rPr>
          <w:rFonts w:hint="eastAsia"/>
        </w:rPr>
        <w:t>810</w:t>
      </w:r>
      <w:r>
        <w:t xml:space="preserve"> </w:t>
      </w:r>
      <w:r>
        <w:rPr>
          <w:rFonts w:hint="eastAsia"/>
        </w:rPr>
        <w:t>179</w:t>
      </w:r>
      <w:r>
        <w:rPr>
          <w:rFonts w:hint="eastAsia"/>
        </w:rPr>
        <w:t>人，其中男子</w:t>
      </w:r>
      <w:r>
        <w:rPr>
          <w:rFonts w:hint="eastAsia"/>
        </w:rPr>
        <w:t>1</w:t>
      </w:r>
      <w:r>
        <w:t xml:space="preserve"> </w:t>
      </w:r>
      <w:r>
        <w:rPr>
          <w:rFonts w:hint="eastAsia"/>
        </w:rPr>
        <w:t>902</w:t>
      </w:r>
      <w:r>
        <w:t xml:space="preserve"> </w:t>
      </w:r>
      <w:r>
        <w:rPr>
          <w:rFonts w:hint="eastAsia"/>
        </w:rPr>
        <w:t>614</w:t>
      </w:r>
      <w:r>
        <w:rPr>
          <w:rFonts w:hint="eastAsia"/>
        </w:rPr>
        <w:t>人，女子</w:t>
      </w:r>
      <w:r>
        <w:rPr>
          <w:rFonts w:hint="eastAsia"/>
        </w:rPr>
        <w:t>1</w:t>
      </w:r>
      <w:r>
        <w:t xml:space="preserve"> </w:t>
      </w:r>
      <w:r>
        <w:rPr>
          <w:rFonts w:hint="eastAsia"/>
        </w:rPr>
        <w:t>970</w:t>
      </w:r>
      <w:r>
        <w:t xml:space="preserve"> </w:t>
      </w:r>
      <w:r>
        <w:rPr>
          <w:rFonts w:hint="eastAsia"/>
        </w:rPr>
        <w:t>565</w:t>
      </w:r>
      <w:r>
        <w:rPr>
          <w:rFonts w:hint="eastAsia"/>
        </w:rPr>
        <w:t>人。</w:t>
      </w:r>
      <w:r>
        <w:rPr>
          <w:rFonts w:hint="eastAsia"/>
        </w:rPr>
        <w:t>1950</w:t>
      </w:r>
      <w:r>
        <w:rPr>
          <w:rFonts w:hint="eastAsia"/>
        </w:rPr>
        <w:t>年至</w:t>
      </w:r>
      <w:r>
        <w:rPr>
          <w:rFonts w:hint="eastAsia"/>
        </w:rPr>
        <w:t>1963</w:t>
      </w:r>
      <w:r>
        <w:rPr>
          <w:rFonts w:hint="eastAsia"/>
        </w:rPr>
        <w:t>年间，人口增长率达到了历史最高点，为</w:t>
      </w:r>
      <w:r>
        <w:rPr>
          <w:rFonts w:hint="eastAsia"/>
        </w:rPr>
        <w:t>3.</w:t>
      </w:r>
      <w:r>
        <w:rPr>
          <w:rFonts w:hint="eastAsia"/>
        </w:rPr>
        <w:t>9%</w:t>
      </w:r>
      <w:r>
        <w:rPr>
          <w:rFonts w:hint="eastAsia"/>
        </w:rPr>
        <w:t>。</w:t>
      </w:r>
      <w:r>
        <w:rPr>
          <w:rFonts w:hint="eastAsia"/>
        </w:rPr>
        <w:t>1973</w:t>
      </w:r>
      <w:r>
        <w:rPr>
          <w:rFonts w:hint="eastAsia"/>
        </w:rPr>
        <w:t>年至</w:t>
      </w:r>
      <w:r>
        <w:rPr>
          <w:rFonts w:hint="eastAsia"/>
        </w:rPr>
        <w:t>1984</w:t>
      </w:r>
      <w:r>
        <w:rPr>
          <w:rFonts w:hint="eastAsia"/>
        </w:rPr>
        <w:t>年间，增长率下降至</w:t>
      </w:r>
      <w:r>
        <w:rPr>
          <w:rFonts w:hint="eastAsia"/>
        </w:rPr>
        <w:t>2.3%</w:t>
      </w:r>
      <w:r>
        <w:rPr>
          <w:rFonts w:hint="eastAsia"/>
        </w:rPr>
        <w:t>，</w:t>
      </w:r>
      <w:r>
        <w:rPr>
          <w:rFonts w:hint="eastAsia"/>
        </w:rPr>
        <w:t>1984</w:t>
      </w:r>
      <w:r>
        <w:rPr>
          <w:rFonts w:hint="eastAsia"/>
        </w:rPr>
        <w:t>年至</w:t>
      </w:r>
      <w:r>
        <w:rPr>
          <w:rFonts w:hint="eastAsia"/>
        </w:rPr>
        <w:t>2000</w:t>
      </w:r>
      <w:r>
        <w:rPr>
          <w:rFonts w:hint="eastAsia"/>
        </w:rPr>
        <w:t>年，又重新上升到</w:t>
      </w:r>
      <w:r>
        <w:rPr>
          <w:rFonts w:hint="eastAsia"/>
        </w:rPr>
        <w:t>2.8%</w:t>
      </w:r>
      <w:r>
        <w:rPr>
          <w:rFonts w:hint="eastAsia"/>
        </w:rPr>
        <w:t>。人口增长率升高是由于外国移民造成的，因为在这段时间生育率呈下降趋势，而且哥斯达黎加一直保持着稳定的低死亡率（国家人口普查和统计协会，</w:t>
      </w:r>
      <w:r>
        <w:rPr>
          <w:rFonts w:hint="eastAsia"/>
        </w:rPr>
        <w:t>2001</w:t>
      </w:r>
      <w:r>
        <w:rPr>
          <w:rFonts w:hint="eastAsia"/>
        </w:rPr>
        <w:t>年）。</w:t>
      </w:r>
    </w:p>
    <w:p w:rsidR="00000000" w:rsidRDefault="00CA422F">
      <w:pPr>
        <w:spacing w:after="240" w:line="360" w:lineRule="atLeast"/>
        <w:rPr>
          <w:rFonts w:hint="eastAsia"/>
        </w:rPr>
      </w:pPr>
      <w:r>
        <w:rPr>
          <w:rFonts w:hint="eastAsia"/>
        </w:rPr>
        <w:t>37</w:t>
      </w:r>
      <w:r>
        <w:rPr>
          <w:rFonts w:hint="eastAsia"/>
        </w:rPr>
        <w:t>．外国男</w:t>
      </w:r>
      <w:r>
        <w:rPr>
          <w:rFonts w:hint="eastAsia"/>
        </w:rPr>
        <w:t>/</w:t>
      </w:r>
      <w:r>
        <w:rPr>
          <w:rFonts w:hint="eastAsia"/>
        </w:rPr>
        <w:t>女移民占哥斯达黎加人口总数的</w:t>
      </w:r>
      <w:r>
        <w:rPr>
          <w:rFonts w:hint="eastAsia"/>
        </w:rPr>
        <w:t>7.8%</w:t>
      </w:r>
      <w:r>
        <w:rPr>
          <w:rFonts w:hint="eastAsia"/>
        </w:rPr>
        <w:t>。最近五十年间，移民比率达到历史最高水平。四分之三的移民来自尼加拉瓜。哥伦比亚移民人数则呈上升趋势（国家人口普查和统计协会，</w:t>
      </w:r>
      <w:r>
        <w:rPr>
          <w:rFonts w:hint="eastAsia"/>
        </w:rPr>
        <w:t>2001</w:t>
      </w:r>
      <w:r>
        <w:rPr>
          <w:rFonts w:hint="eastAsia"/>
        </w:rPr>
        <w:t>年）。</w:t>
      </w:r>
    </w:p>
    <w:p w:rsidR="00000000" w:rsidRDefault="00CA422F">
      <w:pPr>
        <w:spacing w:after="240" w:line="360" w:lineRule="atLeast"/>
        <w:rPr>
          <w:rFonts w:hint="eastAsia"/>
          <w:spacing w:val="4"/>
        </w:rPr>
      </w:pPr>
      <w:r>
        <w:rPr>
          <w:rFonts w:hint="eastAsia"/>
        </w:rPr>
        <w:t>38</w:t>
      </w:r>
      <w:r>
        <w:rPr>
          <w:rFonts w:hint="eastAsia"/>
        </w:rPr>
        <w:t>．</w:t>
      </w:r>
      <w:r>
        <w:rPr>
          <w:rFonts w:hint="eastAsia"/>
          <w:spacing w:val="4"/>
        </w:rPr>
        <w:t>哥斯达黎加是一个多民族、多文化的社会，尽管占人口中比率最大的是美斯蒂</w:t>
      </w:r>
      <w:r>
        <w:rPr>
          <w:rFonts w:hint="eastAsia"/>
          <w:spacing w:val="4"/>
        </w:rPr>
        <w:t>索人（白人与美洲土著的混血人种）和欧洲移民后裔。除此之外，土著人、非洲和中国移民后代是国内三个最大的少数民族群体。根据</w:t>
      </w:r>
      <w:r>
        <w:rPr>
          <w:rFonts w:hint="eastAsia"/>
          <w:spacing w:val="4"/>
        </w:rPr>
        <w:t>2000</w:t>
      </w:r>
      <w:r>
        <w:rPr>
          <w:rFonts w:hint="eastAsia"/>
          <w:spacing w:val="4"/>
        </w:rPr>
        <w:t>年人口普查，土著人口上升到</w:t>
      </w:r>
      <w:r>
        <w:rPr>
          <w:rFonts w:hint="eastAsia"/>
          <w:spacing w:val="4"/>
        </w:rPr>
        <w:t xml:space="preserve">63 787 </w:t>
      </w:r>
      <w:r>
        <w:rPr>
          <w:rFonts w:hint="eastAsia"/>
          <w:spacing w:val="4"/>
        </w:rPr>
        <w:t>人（</w:t>
      </w:r>
      <w:r>
        <w:rPr>
          <w:rFonts w:hint="eastAsia"/>
          <w:spacing w:val="4"/>
        </w:rPr>
        <w:t>1.7%</w:t>
      </w:r>
      <w:r>
        <w:rPr>
          <w:rFonts w:hint="eastAsia"/>
          <w:spacing w:val="4"/>
        </w:rPr>
        <w:t>），其中男性为</w:t>
      </w:r>
      <w:r>
        <w:rPr>
          <w:rFonts w:hint="eastAsia"/>
          <w:spacing w:val="4"/>
        </w:rPr>
        <w:t>32 880</w:t>
      </w:r>
      <w:r>
        <w:rPr>
          <w:rFonts w:hint="eastAsia"/>
          <w:spacing w:val="4"/>
        </w:rPr>
        <w:t>人，女性为</w:t>
      </w:r>
      <w:r>
        <w:rPr>
          <w:rFonts w:hint="eastAsia"/>
          <w:spacing w:val="4"/>
        </w:rPr>
        <w:t>30 996</w:t>
      </w:r>
      <w:r>
        <w:rPr>
          <w:rFonts w:hint="eastAsia"/>
          <w:spacing w:val="4"/>
        </w:rPr>
        <w:t>人。大部分土著人居住在农村地区（</w:t>
      </w:r>
      <w:r>
        <w:rPr>
          <w:spacing w:val="4"/>
        </w:rPr>
        <w:t>50 493</w:t>
      </w:r>
      <w:r>
        <w:rPr>
          <w:rFonts w:hint="eastAsia"/>
          <w:spacing w:val="4"/>
        </w:rPr>
        <w:t>人），只有</w:t>
      </w:r>
      <w:r>
        <w:rPr>
          <w:rFonts w:hint="eastAsia"/>
          <w:spacing w:val="4"/>
        </w:rPr>
        <w:t xml:space="preserve">13 838 </w:t>
      </w:r>
      <w:r>
        <w:rPr>
          <w:rFonts w:hint="eastAsia"/>
          <w:spacing w:val="4"/>
        </w:rPr>
        <w:t>人生活在城市（国家人口普查和统计协会，</w:t>
      </w:r>
      <w:r>
        <w:rPr>
          <w:rFonts w:hint="eastAsia"/>
          <w:spacing w:val="4"/>
        </w:rPr>
        <w:t>2001</w:t>
      </w:r>
      <w:r>
        <w:rPr>
          <w:rFonts w:hint="eastAsia"/>
          <w:spacing w:val="4"/>
        </w:rPr>
        <w:t>年）。在非洲裔居民方面，根据报告的数字，非洲裔哥斯达黎加人或哥斯达黎加黑人的总人口为</w:t>
      </w:r>
      <w:r>
        <w:rPr>
          <w:rFonts w:hint="eastAsia"/>
          <w:spacing w:val="4"/>
        </w:rPr>
        <w:t>72 784</w:t>
      </w:r>
      <w:r>
        <w:rPr>
          <w:rFonts w:hint="eastAsia"/>
          <w:spacing w:val="4"/>
        </w:rPr>
        <w:t>人（</w:t>
      </w:r>
      <w:r>
        <w:rPr>
          <w:rFonts w:hint="eastAsia"/>
          <w:spacing w:val="4"/>
        </w:rPr>
        <w:t>1.9%</w:t>
      </w:r>
      <w:r>
        <w:rPr>
          <w:rFonts w:hint="eastAsia"/>
          <w:spacing w:val="4"/>
        </w:rPr>
        <w:t>），其中男子</w:t>
      </w:r>
      <w:r>
        <w:rPr>
          <w:rFonts w:hint="eastAsia"/>
          <w:spacing w:val="4"/>
        </w:rPr>
        <w:t>36 478</w:t>
      </w:r>
      <w:r>
        <w:rPr>
          <w:rFonts w:hint="eastAsia"/>
          <w:spacing w:val="4"/>
        </w:rPr>
        <w:t>人，女子</w:t>
      </w:r>
      <w:r>
        <w:rPr>
          <w:rFonts w:hint="eastAsia"/>
          <w:spacing w:val="4"/>
        </w:rPr>
        <w:t>36 306</w:t>
      </w:r>
      <w:r>
        <w:rPr>
          <w:rFonts w:hint="eastAsia"/>
          <w:spacing w:val="4"/>
        </w:rPr>
        <w:t>人。与土著人的分布情</w:t>
      </w:r>
      <w:r>
        <w:rPr>
          <w:rFonts w:hint="eastAsia"/>
          <w:spacing w:val="4"/>
        </w:rPr>
        <w:t>况相反，大部分黑人居住在城市地区（</w:t>
      </w:r>
      <w:r>
        <w:rPr>
          <w:rFonts w:hint="eastAsia"/>
          <w:spacing w:val="4"/>
        </w:rPr>
        <w:t>46 930</w:t>
      </w:r>
      <w:r>
        <w:rPr>
          <w:rFonts w:hint="eastAsia"/>
          <w:spacing w:val="4"/>
        </w:rPr>
        <w:t>人）（国家人口普查和统计协会，</w:t>
      </w:r>
      <w:r>
        <w:rPr>
          <w:rFonts w:hint="eastAsia"/>
          <w:spacing w:val="4"/>
        </w:rPr>
        <w:t>2001</w:t>
      </w:r>
      <w:r>
        <w:rPr>
          <w:rFonts w:hint="eastAsia"/>
          <w:spacing w:val="4"/>
        </w:rPr>
        <w:t>年）。华人是哥斯达黎加另一个主要少数民族，总人口达</w:t>
      </w:r>
      <w:r>
        <w:rPr>
          <w:rFonts w:hint="eastAsia"/>
          <w:spacing w:val="4"/>
        </w:rPr>
        <w:t>7 873</w:t>
      </w:r>
      <w:r>
        <w:rPr>
          <w:rFonts w:hint="eastAsia"/>
          <w:spacing w:val="4"/>
        </w:rPr>
        <w:t>人（</w:t>
      </w:r>
      <w:r>
        <w:rPr>
          <w:rFonts w:hint="eastAsia"/>
          <w:spacing w:val="4"/>
        </w:rPr>
        <w:t>0.2%</w:t>
      </w:r>
      <w:r>
        <w:rPr>
          <w:rFonts w:hint="eastAsia"/>
          <w:spacing w:val="4"/>
        </w:rPr>
        <w:t>），包括</w:t>
      </w:r>
      <w:r>
        <w:rPr>
          <w:rFonts w:hint="eastAsia"/>
          <w:spacing w:val="4"/>
        </w:rPr>
        <w:t>4 089</w:t>
      </w:r>
      <w:r>
        <w:rPr>
          <w:rFonts w:hint="eastAsia"/>
          <w:spacing w:val="4"/>
        </w:rPr>
        <w:t>名男子和</w:t>
      </w:r>
      <w:r>
        <w:rPr>
          <w:rFonts w:hint="eastAsia"/>
          <w:spacing w:val="4"/>
        </w:rPr>
        <w:t>3 784</w:t>
      </w:r>
      <w:r>
        <w:rPr>
          <w:rFonts w:hint="eastAsia"/>
          <w:spacing w:val="4"/>
        </w:rPr>
        <w:t>名女子。</w:t>
      </w:r>
      <w:r>
        <w:rPr>
          <w:rFonts w:hint="eastAsia"/>
          <w:spacing w:val="4"/>
        </w:rPr>
        <w:t xml:space="preserve">88% </w:t>
      </w:r>
      <w:r>
        <w:rPr>
          <w:rFonts w:hint="eastAsia"/>
          <w:spacing w:val="4"/>
        </w:rPr>
        <w:t>的华裔人口居住在城市地区（国家人口普查和统计协会，</w:t>
      </w:r>
      <w:r>
        <w:rPr>
          <w:rFonts w:hint="eastAsia"/>
          <w:spacing w:val="4"/>
        </w:rPr>
        <w:t>2001</w:t>
      </w:r>
      <w:r>
        <w:rPr>
          <w:rFonts w:hint="eastAsia"/>
          <w:spacing w:val="4"/>
        </w:rPr>
        <w:t>年）</w:t>
      </w:r>
      <w:r>
        <w:rPr>
          <w:rStyle w:val="FootnoteReference"/>
          <w:spacing w:val="4"/>
        </w:rPr>
        <w:footnoteReference w:customMarkFollows="1" w:id="4"/>
        <w:t>3</w:t>
      </w:r>
      <w:r>
        <w:rPr>
          <w:rFonts w:hint="eastAsia"/>
          <w:spacing w:val="4"/>
        </w:rPr>
        <w:t>。</w:t>
      </w:r>
    </w:p>
    <w:p w:rsidR="00000000" w:rsidRDefault="00CA422F">
      <w:pPr>
        <w:spacing w:after="240" w:line="360" w:lineRule="atLeast"/>
        <w:rPr>
          <w:rFonts w:ascii="SimSun" w:hAnsi="SimSun" w:hint="eastAsia"/>
        </w:rPr>
      </w:pPr>
      <w:r>
        <w:rPr>
          <w:rFonts w:hint="eastAsia"/>
        </w:rPr>
        <w:t>39</w:t>
      </w:r>
      <w:r>
        <w:rPr>
          <w:rFonts w:hint="eastAsia"/>
        </w:rPr>
        <w:t>．目前，哥斯达黎加的人口密度为每平方公里</w:t>
      </w:r>
      <w:r>
        <w:rPr>
          <w:rFonts w:hint="eastAsia"/>
        </w:rPr>
        <w:t>7.5</w:t>
      </w:r>
      <w:r>
        <w:rPr>
          <w:rFonts w:hint="eastAsia"/>
        </w:rPr>
        <w:t>人，而</w:t>
      </w:r>
      <w:r>
        <w:rPr>
          <w:rFonts w:hint="eastAsia"/>
        </w:rPr>
        <w:t>1984</w:t>
      </w:r>
      <w:r>
        <w:rPr>
          <w:rFonts w:hint="eastAsia"/>
        </w:rPr>
        <w:t>年的人口密度仅为每平方公里</w:t>
      </w:r>
      <w:r>
        <w:rPr>
          <w:rFonts w:hint="eastAsia"/>
        </w:rPr>
        <w:t>4.7</w:t>
      </w:r>
      <w:r>
        <w:rPr>
          <w:rFonts w:hint="eastAsia"/>
        </w:rPr>
        <w:t>人，自</w:t>
      </w:r>
      <w:r>
        <w:rPr>
          <w:rFonts w:ascii="SimSun" w:hAnsi="SimSun" w:hint="eastAsia"/>
        </w:rPr>
        <w:t>那时起人口密度增长了</w:t>
      </w:r>
      <w:r>
        <w:rPr>
          <w:rFonts w:ascii="SimSun" w:hAnsi="SimSun" w:hint="eastAsia"/>
        </w:rPr>
        <w:t>360%</w:t>
      </w:r>
      <w:r>
        <w:rPr>
          <w:rFonts w:ascii="SimSun" w:hAnsi="SimSun" w:hint="eastAsia"/>
        </w:rPr>
        <w:t>。但是各地区的人口密度分布不均，中部高原某些地区的人口密度超过了每平方公里</w:t>
      </w:r>
      <w:r>
        <w:rPr>
          <w:rFonts w:ascii="SimSun" w:hAnsi="SimSun" w:hint="eastAsia"/>
        </w:rPr>
        <w:t>100</w:t>
      </w:r>
      <w:r>
        <w:rPr>
          <w:rFonts w:ascii="SimSun" w:hAnsi="SimSun" w:hint="eastAsia"/>
        </w:rPr>
        <w:t>人，而在其他地区却仅仅为每</w:t>
      </w:r>
      <w:r>
        <w:rPr>
          <w:rFonts w:ascii="SimSun" w:hAnsi="SimSun" w:hint="eastAsia"/>
        </w:rPr>
        <w:t>平方公里</w:t>
      </w:r>
      <w:r>
        <w:rPr>
          <w:rFonts w:ascii="SimSun" w:hAnsi="SimSun" w:hint="eastAsia"/>
        </w:rPr>
        <w:t>10</w:t>
      </w:r>
      <w:r>
        <w:rPr>
          <w:rFonts w:ascii="SimSun" w:hAnsi="SimSun" w:hint="eastAsia"/>
        </w:rPr>
        <w:t>人（</w:t>
      </w:r>
      <w:r>
        <w:rPr>
          <w:rFonts w:hint="eastAsia"/>
        </w:rPr>
        <w:t>国家人口普查和统计协会，</w:t>
      </w:r>
      <w:r>
        <w:rPr>
          <w:rFonts w:ascii="SimSun" w:hAnsi="SimSun" w:hint="eastAsia"/>
        </w:rPr>
        <w:t>2001</w:t>
      </w:r>
      <w:r>
        <w:rPr>
          <w:rFonts w:ascii="SimSun" w:hAnsi="SimSun" w:hint="eastAsia"/>
        </w:rPr>
        <w:t>年）。这一现象对福利需求和福利质量产生了不同影响。</w:t>
      </w:r>
    </w:p>
    <w:p w:rsidR="00000000" w:rsidRDefault="00CA422F">
      <w:pPr>
        <w:spacing w:after="240" w:line="360" w:lineRule="atLeast"/>
        <w:rPr>
          <w:rFonts w:hint="eastAsia"/>
        </w:rPr>
      </w:pPr>
      <w:r>
        <w:rPr>
          <w:rFonts w:hint="eastAsia"/>
        </w:rPr>
        <w:t>40</w:t>
      </w:r>
      <w:r>
        <w:rPr>
          <w:rFonts w:hint="eastAsia"/>
        </w:rPr>
        <w:t>．</w:t>
      </w:r>
      <w:r>
        <w:rPr>
          <w:rFonts w:hint="eastAsia"/>
        </w:rPr>
        <w:t>2000</w:t>
      </w:r>
      <w:r>
        <w:rPr>
          <w:rFonts w:hint="eastAsia"/>
        </w:rPr>
        <w:t>年，由于中央地区的城市化进程，哥斯达黎加人中有</w:t>
      </w:r>
      <w:r>
        <w:rPr>
          <w:rFonts w:hint="eastAsia"/>
        </w:rPr>
        <w:t>75%</w:t>
      </w:r>
      <w:r>
        <w:rPr>
          <w:rFonts w:hint="eastAsia"/>
        </w:rPr>
        <w:t>居住在中心城市地区。所谓的中心城市地区是指圣何塞省的大城市以及卡塔戈省、埃雷迪亚省和阿拉胡埃拉省的省会城市。最近十年，城市居民不断增多，具体表现为</w:t>
      </w:r>
      <w:r>
        <w:rPr>
          <w:rFonts w:hint="eastAsia"/>
        </w:rPr>
        <w:t>2000</w:t>
      </w:r>
      <w:r>
        <w:rPr>
          <w:rFonts w:hint="eastAsia"/>
        </w:rPr>
        <w:t>年哥斯达黎加境内居民中有</w:t>
      </w:r>
      <w:r>
        <w:rPr>
          <w:rFonts w:hint="eastAsia"/>
        </w:rPr>
        <w:t>59.0%</w:t>
      </w:r>
      <w:r>
        <w:rPr>
          <w:rFonts w:hint="eastAsia"/>
        </w:rPr>
        <w:t>居住在城市地区（国家人口普查和统计协会，</w:t>
      </w:r>
      <w:r>
        <w:rPr>
          <w:rFonts w:hint="eastAsia"/>
        </w:rPr>
        <w:t>2001</w:t>
      </w:r>
      <w:r>
        <w:rPr>
          <w:rFonts w:hint="eastAsia"/>
        </w:rPr>
        <w:t>年）。促使人口向城市迁</w:t>
      </w:r>
      <w:r>
        <w:rPr>
          <w:rFonts w:ascii="SimSun" w:hAnsi="SimSun" w:hint="eastAsia"/>
        </w:rPr>
        <w:t>徙</w:t>
      </w:r>
      <w:r>
        <w:rPr>
          <w:rFonts w:hint="eastAsia"/>
        </w:rPr>
        <w:t>的原因是就业机会、社会福利和教育机会上的差别（民族国家计划，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41</w:t>
      </w:r>
      <w:r>
        <w:rPr>
          <w:rFonts w:hint="eastAsia"/>
        </w:rPr>
        <w:t>．正如</w:t>
      </w:r>
      <w:r>
        <w:rPr>
          <w:rFonts w:hint="eastAsia"/>
        </w:rPr>
        <w:t>前文所示，</w:t>
      </w:r>
      <w:r>
        <w:rPr>
          <w:rFonts w:hint="eastAsia"/>
        </w:rPr>
        <w:t>2000</w:t>
      </w:r>
      <w:r>
        <w:rPr>
          <w:rFonts w:hint="eastAsia"/>
        </w:rPr>
        <w:t>年人口普查</w:t>
      </w:r>
      <w:r>
        <w:rPr>
          <w:rStyle w:val="FootnoteReference"/>
        </w:rPr>
        <w:footnoteReference w:customMarkFollows="1" w:id="5"/>
        <w:t>4</w:t>
      </w:r>
      <w:r>
        <w:rPr>
          <w:rFonts w:hint="eastAsia"/>
        </w:rPr>
        <w:t>显示人口的性别比大致为</w:t>
      </w:r>
      <w:r>
        <w:rPr>
          <w:rFonts w:hint="eastAsia"/>
        </w:rPr>
        <w:t>100</w:t>
      </w:r>
      <w:r>
        <w:rPr>
          <w:rFonts w:hint="eastAsia"/>
        </w:rPr>
        <w:t>名男子比</w:t>
      </w:r>
      <w:r>
        <w:rPr>
          <w:rFonts w:hint="eastAsia"/>
        </w:rPr>
        <w:t>100</w:t>
      </w:r>
      <w:r>
        <w:rPr>
          <w:rFonts w:hint="eastAsia"/>
        </w:rPr>
        <w:t>名女子。尽管如此，不同的年龄组的性别分布呈不同表现形式。这样可以看到，主要年龄组中的人口性别分布是</w:t>
      </w:r>
      <w:r>
        <w:rPr>
          <w:rFonts w:hint="eastAsia"/>
        </w:rPr>
        <w:t>104</w:t>
      </w:r>
      <w:r>
        <w:rPr>
          <w:rFonts w:hint="eastAsia"/>
        </w:rPr>
        <w:t>名男子比</w:t>
      </w:r>
      <w:r>
        <w:rPr>
          <w:rFonts w:hint="eastAsia"/>
        </w:rPr>
        <w:t>100</w:t>
      </w:r>
      <w:r>
        <w:rPr>
          <w:rFonts w:hint="eastAsia"/>
        </w:rPr>
        <w:t>名女子。这一比率随着年龄的增高而逐渐降低，在</w:t>
      </w:r>
      <w:r>
        <w:rPr>
          <w:rFonts w:hint="eastAsia"/>
        </w:rPr>
        <w:t>75</w:t>
      </w:r>
      <w:r>
        <w:rPr>
          <w:rFonts w:hint="eastAsia"/>
        </w:rPr>
        <w:t>岁以上年龄组中，性别比例已经降至</w:t>
      </w:r>
      <w:r>
        <w:rPr>
          <w:rFonts w:hint="eastAsia"/>
        </w:rPr>
        <w:t>84</w:t>
      </w:r>
      <w:r>
        <w:rPr>
          <w:rFonts w:hint="eastAsia"/>
        </w:rPr>
        <w:t>名男子比</w:t>
      </w:r>
      <w:r>
        <w:rPr>
          <w:rFonts w:hint="eastAsia"/>
        </w:rPr>
        <w:t>100</w:t>
      </w:r>
      <w:r>
        <w:rPr>
          <w:rFonts w:hint="eastAsia"/>
        </w:rPr>
        <w:t>名女子。这是由于女性的预期寿命高于男子（国家人口普查和统计协会，</w:t>
      </w:r>
      <w:r>
        <w:rPr>
          <w:rFonts w:hint="eastAsia"/>
        </w:rPr>
        <w:t>2001</w:t>
      </w:r>
      <w:r>
        <w:rPr>
          <w:rFonts w:hint="eastAsia"/>
        </w:rPr>
        <w:t>年）。</w:t>
      </w:r>
    </w:p>
    <w:p w:rsidR="00000000" w:rsidRDefault="00CA422F">
      <w:pPr>
        <w:spacing w:after="240" w:line="360" w:lineRule="atLeast"/>
        <w:rPr>
          <w:rFonts w:hint="eastAsia"/>
        </w:rPr>
      </w:pPr>
      <w:r>
        <w:rPr>
          <w:rFonts w:hint="eastAsia"/>
        </w:rPr>
        <w:t>42</w:t>
      </w:r>
      <w:r>
        <w:rPr>
          <w:rFonts w:hint="eastAsia"/>
        </w:rPr>
        <w:t>．</w:t>
      </w:r>
      <w:r>
        <w:rPr>
          <w:rFonts w:hint="eastAsia"/>
        </w:rPr>
        <w:t>2000</w:t>
      </w:r>
      <w:r>
        <w:rPr>
          <w:rFonts w:hint="eastAsia"/>
        </w:rPr>
        <w:t>年的人口年龄结构显示哥斯达黎加出现了人口老龄化的趋势。未成年人占总人口的</w:t>
      </w:r>
      <w:r>
        <w:rPr>
          <w:rFonts w:hint="eastAsia"/>
        </w:rPr>
        <w:t>31.9%</w:t>
      </w:r>
      <w:r>
        <w:rPr>
          <w:rFonts w:hint="eastAsia"/>
        </w:rPr>
        <w:t>，</w:t>
      </w:r>
      <w:r>
        <w:rPr>
          <w:rFonts w:hint="eastAsia"/>
        </w:rPr>
        <w:t>65</w:t>
      </w:r>
      <w:r>
        <w:rPr>
          <w:rFonts w:hint="eastAsia"/>
        </w:rPr>
        <w:t>岁及</w:t>
      </w:r>
      <w:r>
        <w:rPr>
          <w:rFonts w:hint="eastAsia"/>
        </w:rPr>
        <w:t>65</w:t>
      </w:r>
      <w:r>
        <w:rPr>
          <w:rFonts w:hint="eastAsia"/>
        </w:rPr>
        <w:t>岁以上的老年人占</w:t>
      </w:r>
      <w:r>
        <w:rPr>
          <w:rFonts w:hint="eastAsia"/>
        </w:rPr>
        <w:t>5.6%</w:t>
      </w:r>
      <w:r>
        <w:rPr>
          <w:rStyle w:val="FootnoteReference"/>
        </w:rPr>
        <w:footnoteReference w:customMarkFollows="1" w:id="6"/>
        <w:t>5</w:t>
      </w:r>
      <w:r>
        <w:rPr>
          <w:rFonts w:hint="eastAsia"/>
        </w:rPr>
        <w:t>。造成这</w:t>
      </w:r>
      <w:r>
        <w:rPr>
          <w:rFonts w:hint="eastAsia"/>
        </w:rPr>
        <w:t>一现象的原因包括死亡率低、生育率下降和国际移民（移入）持续增加（国家人口普查和统计协会，</w:t>
      </w:r>
      <w:r>
        <w:rPr>
          <w:rFonts w:hint="eastAsia"/>
        </w:rPr>
        <w:t>2001</w:t>
      </w:r>
      <w:r>
        <w:rPr>
          <w:rFonts w:hint="eastAsia"/>
        </w:rPr>
        <w:t>年）。</w:t>
      </w:r>
      <w:r>
        <w:rPr>
          <w:rFonts w:hint="eastAsia"/>
        </w:rPr>
        <w:t>2001</w:t>
      </w:r>
      <w:r>
        <w:rPr>
          <w:rFonts w:hint="eastAsia"/>
        </w:rPr>
        <w:t>年的粗出生率是每</w:t>
      </w:r>
      <w:r>
        <w:rPr>
          <w:rFonts w:hint="eastAsia"/>
        </w:rPr>
        <w:t>1 000</w:t>
      </w:r>
      <w:r>
        <w:rPr>
          <w:rFonts w:hint="eastAsia"/>
        </w:rPr>
        <w:t>名居民</w:t>
      </w:r>
      <w:r>
        <w:rPr>
          <w:rFonts w:hint="eastAsia"/>
        </w:rPr>
        <w:t>21.4</w:t>
      </w:r>
      <w:r>
        <w:rPr>
          <w:rFonts w:hint="eastAsia"/>
        </w:rPr>
        <w:t>人（</w:t>
      </w:r>
      <w:r>
        <w:rPr>
          <w:rFonts w:hint="eastAsia"/>
        </w:rPr>
        <w:t>2001</w:t>
      </w:r>
      <w:r>
        <w:rPr>
          <w:rFonts w:hint="eastAsia"/>
        </w:rPr>
        <w:t>国家年政府计划）。</w:t>
      </w:r>
    </w:p>
    <w:p w:rsidR="00000000" w:rsidRDefault="00CA422F">
      <w:pPr>
        <w:spacing w:after="240" w:line="360" w:lineRule="atLeast"/>
        <w:rPr>
          <w:rFonts w:hint="eastAsia"/>
        </w:rPr>
      </w:pPr>
      <w:r>
        <w:rPr>
          <w:rFonts w:hint="eastAsia"/>
        </w:rPr>
        <w:t>43</w:t>
      </w:r>
      <w:r>
        <w:rPr>
          <w:rFonts w:hint="eastAsia"/>
        </w:rPr>
        <w:t>．人口年龄结构是国家第七次政府工作报告（民族国家计划，</w:t>
      </w:r>
      <w:r>
        <w:rPr>
          <w:rFonts w:hint="eastAsia"/>
        </w:rPr>
        <w:t>2001</w:t>
      </w:r>
      <w:r>
        <w:rPr>
          <w:rFonts w:hint="eastAsia"/>
        </w:rPr>
        <w:t>年）中关注的问题之一，该报告还将人口老龄化视为国家应该加以利用的一个有利因素。事实上，可以发现扶养人口和被扶养人口的比例发生了变化，经济上依赖的年龄组的人口减少了。由于目前大量受扶养的人口将在未来几年中加入劳动力大军，上面的数字还会大大降低。老龄化趋势是哥斯达黎加</w:t>
      </w:r>
      <w:r>
        <w:rPr>
          <w:rFonts w:hint="eastAsia"/>
        </w:rPr>
        <w:t>的一个机遇，但是国家能否从中获益，取决于人口的健康素质和教育素质以及劳动就业机会。</w:t>
      </w:r>
    </w:p>
    <w:p w:rsidR="00000000" w:rsidRDefault="00CA422F">
      <w:pPr>
        <w:spacing w:after="240" w:line="360" w:lineRule="atLeast"/>
        <w:rPr>
          <w:rFonts w:hint="eastAsia"/>
        </w:rPr>
      </w:pPr>
      <w:r>
        <w:rPr>
          <w:rFonts w:hint="eastAsia"/>
        </w:rPr>
        <w:t>44</w:t>
      </w:r>
      <w:r>
        <w:rPr>
          <w:rFonts w:hint="eastAsia"/>
        </w:rPr>
        <w:t>．哥斯达黎加在保健领域不断取得重大成就和进步，它们对妇女的总体生活条件产生了有利影响。尽管如此，需要指出的是，由妇女居住地和受教育程度决定的指标相差悬殊，因此受教育程度较高、居住在城市地区的妇女的指标要好于其他人。</w:t>
      </w:r>
    </w:p>
    <w:p w:rsidR="00000000" w:rsidRDefault="00CA422F">
      <w:pPr>
        <w:spacing w:after="240" w:line="360" w:lineRule="atLeast"/>
        <w:rPr>
          <w:rFonts w:hint="eastAsia"/>
        </w:rPr>
      </w:pPr>
      <w:r>
        <w:rPr>
          <w:rFonts w:hint="eastAsia"/>
        </w:rPr>
        <w:t>45</w:t>
      </w:r>
      <w:r>
        <w:rPr>
          <w:rFonts w:hint="eastAsia"/>
        </w:rPr>
        <w:t>．</w:t>
      </w:r>
      <w:r>
        <w:rPr>
          <w:rFonts w:hint="eastAsia"/>
        </w:rPr>
        <w:t>2000</w:t>
      </w:r>
      <w:r>
        <w:rPr>
          <w:rFonts w:hint="eastAsia"/>
        </w:rPr>
        <w:t>年，哥斯达黎加的人口预期寿命是</w:t>
      </w:r>
      <w:r>
        <w:rPr>
          <w:rFonts w:hint="eastAsia"/>
        </w:rPr>
        <w:t>77.9</w:t>
      </w:r>
      <w:r>
        <w:rPr>
          <w:rFonts w:hint="eastAsia"/>
        </w:rPr>
        <w:t>岁，超过了</w:t>
      </w:r>
      <w:r>
        <w:rPr>
          <w:rFonts w:hint="eastAsia"/>
        </w:rPr>
        <w:t>1995</w:t>
      </w:r>
      <w:r>
        <w:rPr>
          <w:rFonts w:hint="eastAsia"/>
        </w:rPr>
        <w:t>年至</w:t>
      </w:r>
      <w:r>
        <w:rPr>
          <w:rFonts w:hint="eastAsia"/>
        </w:rPr>
        <w:t>2000</w:t>
      </w:r>
      <w:r>
        <w:rPr>
          <w:rFonts w:hint="eastAsia"/>
        </w:rPr>
        <w:t>年间预计达到的</w:t>
      </w:r>
      <w:r>
        <w:rPr>
          <w:rFonts w:hint="eastAsia"/>
        </w:rPr>
        <w:t>75.6</w:t>
      </w:r>
      <w:r>
        <w:rPr>
          <w:rFonts w:hint="eastAsia"/>
        </w:rPr>
        <w:t>岁。如图</w:t>
      </w:r>
      <w:r>
        <w:rPr>
          <w:rFonts w:hint="eastAsia"/>
        </w:rPr>
        <w:t>1</w:t>
      </w:r>
      <w:r>
        <w:rPr>
          <w:rFonts w:hint="eastAsia"/>
        </w:rPr>
        <w:t>所示，妇女的预期寿命高于男子。</w:t>
      </w:r>
      <w:r>
        <w:rPr>
          <w:rFonts w:hint="eastAsia"/>
        </w:rPr>
        <w:t>2000</w:t>
      </w:r>
      <w:r>
        <w:rPr>
          <w:rFonts w:hint="eastAsia"/>
        </w:rPr>
        <w:t>年，妇女的预期寿命比男子高</w:t>
      </w:r>
      <w:r>
        <w:rPr>
          <w:rFonts w:hint="eastAsia"/>
        </w:rPr>
        <w:t xml:space="preserve">5.48 </w:t>
      </w:r>
      <w:r>
        <w:rPr>
          <w:rFonts w:hint="eastAsia"/>
        </w:rPr>
        <w:t>岁，比全国平均预期寿</w:t>
      </w:r>
      <w:r>
        <w:rPr>
          <w:rFonts w:hint="eastAsia"/>
        </w:rPr>
        <w:t>命多</w:t>
      </w:r>
      <w:r>
        <w:rPr>
          <w:rFonts w:hint="eastAsia"/>
        </w:rPr>
        <w:t>2.81</w:t>
      </w:r>
      <w:r>
        <w:rPr>
          <w:rFonts w:hint="eastAsia"/>
        </w:rPr>
        <w:t>岁。</w:t>
      </w:r>
    </w:p>
    <w:p w:rsidR="00000000" w:rsidRDefault="00CA422F">
      <w:pPr>
        <w:spacing w:after="240" w:line="360" w:lineRule="atLeast"/>
        <w:jc w:val="center"/>
        <w:rPr>
          <w:rFonts w:ascii="SimHei" w:eastAsia="SimHei" w:hint="eastAsia"/>
        </w:rPr>
      </w:pPr>
      <w:r>
        <w:rPr>
          <w:rFonts w:ascii="SimHei" w:eastAsia="SimHei" w:hint="eastAsia"/>
        </w:rPr>
        <w:t>图表</w:t>
      </w:r>
      <w:r>
        <w:rPr>
          <w:rFonts w:ascii="SimHei" w:eastAsia="SimHei" w:hint="eastAsia"/>
        </w:rPr>
        <w:t>1</w:t>
      </w:r>
      <w:r>
        <w:rPr>
          <w:rFonts w:ascii="SimHei" w:eastAsia="SimHei"/>
        </w:rPr>
        <w:br/>
      </w:r>
      <w:r>
        <w:rPr>
          <w:rFonts w:ascii="SimHei" w:eastAsia="SimHei" w:hint="eastAsia"/>
        </w:rPr>
        <w:t>按性别划分的哥斯达黎加人口预期寿命，</w:t>
      </w:r>
      <w:r>
        <w:rPr>
          <w:rFonts w:ascii="SimHei" w:eastAsia="SimHei" w:hint="eastAsia"/>
        </w:rPr>
        <w:t>1990</w:t>
      </w:r>
      <w:r>
        <w:rPr>
          <w:rFonts w:hint="eastAsia"/>
        </w:rPr>
        <w:t>－</w:t>
      </w:r>
      <w:r>
        <w:rPr>
          <w:rFonts w:ascii="SimHei" w:eastAsia="SimHei" w:hint="eastAsia"/>
        </w:rPr>
        <w:t>2000</w:t>
      </w:r>
      <w:r>
        <w:rPr>
          <w:rFonts w:ascii="SimHei" w:eastAsia="SimHei" w:hint="eastAsia"/>
        </w:rPr>
        <w:t>年</w:t>
      </w:r>
    </w:p>
    <w:p w:rsidR="00000000" w:rsidRDefault="00CA422F">
      <w:pPr>
        <w:spacing w:after="240" w:line="360" w:lineRule="atLeast"/>
        <w:jc w:val="center"/>
        <w:rPr>
          <w:rFonts w:hint="eastAsia"/>
        </w:rPr>
      </w:pPr>
      <w:r>
        <w:object w:dxaOrig="7032" w:dyaOrig="3276">
          <v:shape id="_x0000_i1026" type="#_x0000_t75" style="width:351.75pt;height:163.5pt" o:ole="">
            <v:imagedata r:id="rId9" o:title=""/>
          </v:shape>
          <o:OLEObject Type="Embed" ProgID="MSGraph.Chart.8" ShapeID="_x0000_i1026" DrawAspect="Content" ObjectID="_1394547690" r:id="rId10">
            <o:FieldCodes>\s</o:FieldCodes>
          </o:OLEObject>
        </w:object>
      </w:r>
    </w:p>
    <w:p w:rsidR="00000000" w:rsidRDefault="00CA422F">
      <w:pPr>
        <w:spacing w:after="240" w:line="360" w:lineRule="atLeast"/>
        <w:jc w:val="center"/>
        <w:rPr>
          <w:rFonts w:hint="eastAsia"/>
          <w:sz w:val="18"/>
        </w:rPr>
      </w:pPr>
      <w:r>
        <w:rPr>
          <w:rFonts w:hint="eastAsia"/>
          <w:sz w:val="18"/>
        </w:rPr>
        <w:t>资料来源：规划与经济政策部，</w:t>
      </w:r>
      <w:r>
        <w:rPr>
          <w:rFonts w:hint="eastAsia"/>
          <w:sz w:val="18"/>
        </w:rPr>
        <w:t>1995</w:t>
      </w:r>
      <w:r>
        <w:rPr>
          <w:rFonts w:hint="eastAsia"/>
          <w:sz w:val="18"/>
        </w:rPr>
        <w:t>年，国家人口普查和统计协会，</w:t>
      </w:r>
      <w:r>
        <w:rPr>
          <w:rFonts w:hint="eastAsia"/>
          <w:sz w:val="18"/>
        </w:rPr>
        <w:t>2001</w:t>
      </w:r>
      <w:r>
        <w:rPr>
          <w:rFonts w:hint="eastAsia"/>
          <w:sz w:val="18"/>
        </w:rPr>
        <w:t>年。</w:t>
      </w:r>
    </w:p>
    <w:p w:rsidR="00000000" w:rsidRDefault="00CA422F">
      <w:pPr>
        <w:spacing w:after="240" w:line="360" w:lineRule="atLeast"/>
        <w:rPr>
          <w:rFonts w:hint="eastAsia"/>
        </w:rPr>
      </w:pPr>
      <w:r>
        <w:rPr>
          <w:rFonts w:hint="eastAsia"/>
        </w:rPr>
        <w:t>46</w:t>
      </w:r>
      <w:r>
        <w:rPr>
          <w:rFonts w:hint="eastAsia"/>
        </w:rPr>
        <w:t>．妇女寿命延长的趋势要求卫生保健和社会保障制度提供的福利能够确保妇女特殊的性别需要——不仅仅是妇女生育机能的需要——受到重视。</w:t>
      </w:r>
    </w:p>
    <w:p w:rsidR="00000000" w:rsidRDefault="00CA422F">
      <w:pPr>
        <w:spacing w:after="240" w:line="360" w:lineRule="atLeast"/>
        <w:rPr>
          <w:rFonts w:hint="eastAsia"/>
        </w:rPr>
      </w:pPr>
      <w:r>
        <w:rPr>
          <w:rFonts w:hint="eastAsia"/>
        </w:rPr>
        <w:t>47</w:t>
      </w:r>
      <w:r>
        <w:rPr>
          <w:rFonts w:hint="eastAsia"/>
        </w:rPr>
        <w:t>．预期寿命的增加与婴儿死亡率的大幅度降低息息相关，截至</w:t>
      </w:r>
      <w:r>
        <w:rPr>
          <w:rFonts w:hint="eastAsia"/>
        </w:rPr>
        <w:t>2001</w:t>
      </w:r>
      <w:r>
        <w:rPr>
          <w:rFonts w:hint="eastAsia"/>
        </w:rPr>
        <w:t>年底，婴儿死亡率是每</w:t>
      </w:r>
      <w:r>
        <w:rPr>
          <w:rFonts w:hint="eastAsia"/>
        </w:rPr>
        <w:t>1 000</w:t>
      </w:r>
      <w:r>
        <w:rPr>
          <w:rFonts w:hint="eastAsia"/>
        </w:rPr>
        <w:t>名活产</w:t>
      </w:r>
      <w:r>
        <w:rPr>
          <w:rFonts w:hint="eastAsia"/>
        </w:rPr>
        <w:t>10.2</w:t>
      </w:r>
      <w:r>
        <w:rPr>
          <w:rFonts w:hint="eastAsia"/>
        </w:rPr>
        <w:t>人。卫生部认为，十年来最主要的变化是传染病——</w:t>
      </w:r>
      <w:r>
        <w:rPr>
          <w:rFonts w:hint="eastAsia"/>
        </w:rPr>
        <w:t>特别是肠道传染病和急性呼吸道传染病——引起的死亡率降低。其中，下降幅度最大的是新生儿死亡率，即胎儿出生后七日内的死亡率。尽管如此，新生儿死亡率的减少幅度因地区和社会经济部门的不同而不同，因为有些地区的婴儿死亡率高于</w:t>
      </w:r>
      <w:r>
        <w:rPr>
          <w:rFonts w:hint="eastAsia"/>
        </w:rPr>
        <w:t>1995</w:t>
      </w:r>
      <w:r>
        <w:rPr>
          <w:rFonts w:hint="eastAsia"/>
        </w:rPr>
        <w:t>年每</w:t>
      </w:r>
      <w:r>
        <w:rPr>
          <w:rFonts w:hint="eastAsia"/>
        </w:rPr>
        <w:t>1 000</w:t>
      </w:r>
      <w:r>
        <w:rPr>
          <w:rFonts w:hint="eastAsia"/>
        </w:rPr>
        <w:t>名婴儿</w:t>
      </w:r>
      <w:r>
        <w:rPr>
          <w:rFonts w:hint="eastAsia"/>
        </w:rPr>
        <w:t>13.2</w:t>
      </w:r>
      <w:r>
        <w:rPr>
          <w:rFonts w:hint="eastAsia"/>
        </w:rPr>
        <w:t>人的水平（民族国家计划，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48</w:t>
      </w:r>
      <w:r>
        <w:rPr>
          <w:rFonts w:hint="eastAsia"/>
        </w:rPr>
        <w:t>．</w:t>
      </w:r>
      <w:r>
        <w:rPr>
          <w:rFonts w:hint="eastAsia"/>
        </w:rPr>
        <w:t xml:space="preserve"> </w:t>
      </w:r>
      <w:r>
        <w:rPr>
          <w:rFonts w:hint="eastAsia"/>
        </w:rPr>
        <w:t>同本地区其他国家相比，哥斯达黎加依然是一个总死亡率相当低的社会。哥斯达黎加的死亡率为每</w:t>
      </w:r>
      <w:r>
        <w:rPr>
          <w:rFonts w:hint="eastAsia"/>
        </w:rPr>
        <w:t>1 000</w:t>
      </w:r>
      <w:r>
        <w:rPr>
          <w:rFonts w:hint="eastAsia"/>
        </w:rPr>
        <w:t>名居民</w:t>
      </w:r>
      <w:r>
        <w:rPr>
          <w:rFonts w:hint="eastAsia"/>
        </w:rPr>
        <w:t>4.1</w:t>
      </w:r>
      <w:r>
        <w:rPr>
          <w:rFonts w:hint="eastAsia"/>
        </w:rPr>
        <w:t>人，而且大部分死亡发生老年组之中。按性别统计的主要死亡原因表明男子的死亡率较高。胃癌是导致男子死亡的首要原</w:t>
      </w:r>
      <w:r>
        <w:rPr>
          <w:rFonts w:hint="eastAsia"/>
        </w:rPr>
        <w:t>因，</w:t>
      </w:r>
      <w:r>
        <w:rPr>
          <w:rFonts w:hint="eastAsia"/>
        </w:rPr>
        <w:t>1999</w:t>
      </w:r>
      <w:r>
        <w:rPr>
          <w:rFonts w:hint="eastAsia"/>
        </w:rPr>
        <w:t>年，每</w:t>
      </w:r>
      <w:r>
        <w:rPr>
          <w:rFonts w:hint="eastAsia"/>
        </w:rPr>
        <w:t>100 000</w:t>
      </w:r>
      <w:r>
        <w:rPr>
          <w:rFonts w:hint="eastAsia"/>
        </w:rPr>
        <w:t>名男子中有</w:t>
      </w:r>
      <w:r>
        <w:rPr>
          <w:rFonts w:hint="eastAsia"/>
        </w:rPr>
        <w:t>17.9</w:t>
      </w:r>
      <w:r>
        <w:rPr>
          <w:rFonts w:hint="eastAsia"/>
        </w:rPr>
        <w:t>人死于胃癌。与之相反，同年因宫颈癌（宫颈癌是导致妇女死亡的首要原因）死亡的妇女的死亡率为</w:t>
      </w:r>
      <w:r>
        <w:rPr>
          <w:rFonts w:hint="eastAsia"/>
        </w:rPr>
        <w:t>100 000</w:t>
      </w:r>
      <w:r>
        <w:rPr>
          <w:rFonts w:hint="eastAsia"/>
        </w:rPr>
        <w:t>名妇女</w:t>
      </w:r>
      <w:r>
        <w:rPr>
          <w:rFonts w:hint="eastAsia"/>
        </w:rPr>
        <w:t>9.3</w:t>
      </w:r>
      <w:r>
        <w:rPr>
          <w:rFonts w:hint="eastAsia"/>
        </w:rPr>
        <w:t>人（民族国家计划，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49</w:t>
      </w:r>
      <w:r>
        <w:rPr>
          <w:rFonts w:hint="eastAsia"/>
        </w:rPr>
        <w:t>．关于妇女的健康问题，从</w:t>
      </w:r>
      <w:r>
        <w:rPr>
          <w:rFonts w:hint="eastAsia"/>
        </w:rPr>
        <w:t>1998</w:t>
      </w:r>
      <w:r>
        <w:rPr>
          <w:rFonts w:hint="eastAsia"/>
        </w:rPr>
        <w:t>年起，在全面关注女性健康这一观念的框架内，在共和国第一夫人办公室和国家妇女研究所（</w:t>
      </w:r>
      <w:r>
        <w:rPr>
          <w:rFonts w:hint="eastAsia"/>
        </w:rPr>
        <w:t xml:space="preserve">INAMU </w:t>
      </w:r>
      <w:r>
        <w:rPr>
          <w:rFonts w:hint="eastAsia"/>
        </w:rPr>
        <w:t>）的支助下，卫生保健部门在这方面开展了行动。预防宫颈癌和乳癌及早期诊断方案为阴道细胞涂片检查率的提高和早期确诊宫颈癌症做出了有益的贡献。作为该方案的成果，</w:t>
      </w:r>
      <w:r>
        <w:rPr>
          <w:rFonts w:hint="eastAsia"/>
        </w:rPr>
        <w:t>2000</w:t>
      </w:r>
      <w:r>
        <w:rPr>
          <w:rFonts w:hint="eastAsia"/>
        </w:rPr>
        <w:t>年妇女的细胞涂片检查率</w:t>
      </w:r>
      <w:r>
        <w:rPr>
          <w:rFonts w:hint="eastAsia"/>
        </w:rPr>
        <w:t>提高了</w:t>
      </w:r>
      <w:r>
        <w:rPr>
          <w:rFonts w:hint="eastAsia"/>
        </w:rPr>
        <w:t>200%</w:t>
      </w:r>
      <w:r>
        <w:rPr>
          <w:rFonts w:hint="eastAsia"/>
        </w:rPr>
        <w:t>，宫颈癌死亡率由</w:t>
      </w:r>
      <w:r>
        <w:rPr>
          <w:rFonts w:hint="eastAsia"/>
        </w:rPr>
        <w:t>1994</w:t>
      </w:r>
      <w:r>
        <w:rPr>
          <w:rFonts w:hint="eastAsia"/>
        </w:rPr>
        <w:t>年的每</w:t>
      </w:r>
      <w:r>
        <w:rPr>
          <w:rFonts w:hint="eastAsia"/>
        </w:rPr>
        <w:t>100 000</w:t>
      </w:r>
      <w:r>
        <w:rPr>
          <w:rFonts w:hint="eastAsia"/>
        </w:rPr>
        <w:t>名妇女</w:t>
      </w:r>
      <w:r>
        <w:rPr>
          <w:rFonts w:hint="eastAsia"/>
        </w:rPr>
        <w:t>9.2</w:t>
      </w:r>
      <w:r>
        <w:rPr>
          <w:rFonts w:hint="eastAsia"/>
        </w:rPr>
        <w:t>人降低到</w:t>
      </w:r>
      <w:r>
        <w:rPr>
          <w:rFonts w:hint="eastAsia"/>
        </w:rPr>
        <w:t>2000</w:t>
      </w:r>
      <w:r>
        <w:rPr>
          <w:rFonts w:hint="eastAsia"/>
        </w:rPr>
        <w:t>年的每</w:t>
      </w:r>
      <w:r>
        <w:rPr>
          <w:rFonts w:hint="eastAsia"/>
        </w:rPr>
        <w:t>100 000</w:t>
      </w:r>
      <w:r>
        <w:rPr>
          <w:rFonts w:hint="eastAsia"/>
        </w:rPr>
        <w:t>名妇女</w:t>
      </w:r>
      <w:r>
        <w:rPr>
          <w:rFonts w:hint="eastAsia"/>
        </w:rPr>
        <w:t>6.2</w:t>
      </w:r>
      <w:r>
        <w:rPr>
          <w:rFonts w:hint="eastAsia"/>
        </w:rPr>
        <w:t>人。同样，在早期确诊乳腺癌方面，在</w:t>
      </w:r>
      <w:r>
        <w:rPr>
          <w:rFonts w:hint="eastAsia"/>
        </w:rPr>
        <w:t>2000</w:t>
      </w:r>
      <w:r>
        <w:rPr>
          <w:rFonts w:hint="eastAsia"/>
        </w:rPr>
        <w:t>年做到了每确诊两例乳腺癌病例，确诊一例扩散病例。在</w:t>
      </w:r>
      <w:r>
        <w:rPr>
          <w:rFonts w:hint="eastAsia"/>
        </w:rPr>
        <w:t>90</w:t>
      </w:r>
      <w:r>
        <w:rPr>
          <w:rFonts w:hint="eastAsia"/>
        </w:rPr>
        <w:t>年代初，该比例正好相反（共和国第一夫人办公室，</w:t>
      </w:r>
      <w:r>
        <w:rPr>
          <w:rFonts w:hint="eastAsia"/>
        </w:rPr>
        <w:t>2001</w:t>
      </w:r>
      <w:r>
        <w:rPr>
          <w:rFonts w:hint="eastAsia"/>
        </w:rPr>
        <w:t>年）。</w:t>
      </w:r>
    </w:p>
    <w:p w:rsidR="00000000" w:rsidRDefault="00CA422F">
      <w:pPr>
        <w:spacing w:after="240" w:line="360" w:lineRule="atLeast"/>
        <w:rPr>
          <w:rFonts w:hint="eastAsia"/>
        </w:rPr>
      </w:pPr>
      <w:r>
        <w:rPr>
          <w:rFonts w:hint="eastAsia"/>
        </w:rPr>
        <w:t>50</w:t>
      </w:r>
      <w:r>
        <w:rPr>
          <w:rFonts w:hint="eastAsia"/>
        </w:rPr>
        <w:t>．同以往的妇女和男子的教育状况相比，妇女教育状况方面出现了有益的变化和发展。在所有教育系统就读的女生人数都超过了男生，妇女的平均入学率也超过了男子。另外，国家成功地降低了总文盲率，由</w:t>
      </w:r>
      <w:r>
        <w:rPr>
          <w:rFonts w:hint="eastAsia"/>
        </w:rPr>
        <w:t>1984</w:t>
      </w:r>
      <w:r>
        <w:rPr>
          <w:rFonts w:hint="eastAsia"/>
        </w:rPr>
        <w:t>年的</w:t>
      </w:r>
      <w:r>
        <w:rPr>
          <w:rFonts w:hint="eastAsia"/>
        </w:rPr>
        <w:t>6.9%</w:t>
      </w:r>
      <w:r>
        <w:rPr>
          <w:rFonts w:hint="eastAsia"/>
        </w:rPr>
        <w:t>减少为</w:t>
      </w:r>
      <w:r>
        <w:rPr>
          <w:rFonts w:hint="eastAsia"/>
        </w:rPr>
        <w:t>2000</w:t>
      </w:r>
      <w:r>
        <w:rPr>
          <w:rFonts w:hint="eastAsia"/>
        </w:rPr>
        <w:t>年的</w:t>
      </w:r>
      <w:r>
        <w:rPr>
          <w:rFonts w:hint="eastAsia"/>
        </w:rPr>
        <w:t>4.8%</w:t>
      </w:r>
      <w:r>
        <w:rPr>
          <w:rFonts w:hint="eastAsia"/>
        </w:rPr>
        <w:t>（国</w:t>
      </w:r>
      <w:r>
        <w:rPr>
          <w:rFonts w:hint="eastAsia"/>
        </w:rPr>
        <w:t>家人口普查和统计协会，</w:t>
      </w:r>
      <w:r>
        <w:rPr>
          <w:rFonts w:hint="eastAsia"/>
        </w:rPr>
        <w:t>2001</w:t>
      </w:r>
      <w:r>
        <w:rPr>
          <w:rFonts w:hint="eastAsia"/>
        </w:rPr>
        <w:t>年）。在扫盲方面，两个性别的表现大致相同。虽然各省的文盲率都在逐渐降低，但依然存在着地区差异。同样，中心城市所在省份（圣何塞、阿拉胡埃拉和埃雷迪亚）文盲率较低，那些较偏远的省份（利蒙、蓬塔雷内斯和瓜纳卡斯特）文盲率则增加了。那里也是贫困率较高的省份。</w:t>
      </w:r>
    </w:p>
    <w:p w:rsidR="00000000" w:rsidRDefault="00CA422F">
      <w:pPr>
        <w:spacing w:after="240" w:line="360" w:lineRule="atLeast"/>
        <w:rPr>
          <w:rFonts w:hint="eastAsia"/>
        </w:rPr>
      </w:pPr>
      <w:r>
        <w:rPr>
          <w:rFonts w:hint="eastAsia"/>
        </w:rPr>
        <w:t>51</w:t>
      </w:r>
      <w:r>
        <w:rPr>
          <w:rFonts w:hint="eastAsia"/>
        </w:rPr>
        <w:t>．整体上看，无论是男子还是妇女，各个年龄组的总体入学水平都有所改善，入学率由</w:t>
      </w:r>
      <w:r>
        <w:rPr>
          <w:rFonts w:hint="eastAsia"/>
        </w:rPr>
        <w:t>1984</w:t>
      </w:r>
      <w:r>
        <w:rPr>
          <w:rFonts w:hint="eastAsia"/>
        </w:rPr>
        <w:t>年的</w:t>
      </w:r>
      <w:r>
        <w:rPr>
          <w:rFonts w:hint="eastAsia"/>
        </w:rPr>
        <w:t>28.3%</w:t>
      </w:r>
      <w:r>
        <w:rPr>
          <w:rFonts w:hint="eastAsia"/>
        </w:rPr>
        <w:t>提高到</w:t>
      </w:r>
      <w:r>
        <w:rPr>
          <w:rFonts w:hint="eastAsia"/>
        </w:rPr>
        <w:t>2000</w:t>
      </w:r>
      <w:r>
        <w:rPr>
          <w:rFonts w:hint="eastAsia"/>
        </w:rPr>
        <w:t>年的</w:t>
      </w:r>
      <w:r>
        <w:rPr>
          <w:rFonts w:hint="eastAsia"/>
        </w:rPr>
        <w:t>33.6%</w:t>
      </w:r>
      <w:r>
        <w:rPr>
          <w:rFonts w:hint="eastAsia"/>
        </w:rPr>
        <w:t>。尽管如此，还是存在着巨大的地区差异。在城市地区，</w:t>
      </w:r>
      <w:r>
        <w:rPr>
          <w:rFonts w:hint="eastAsia"/>
        </w:rPr>
        <w:t>5</w:t>
      </w:r>
      <w:r>
        <w:rPr>
          <w:rFonts w:hint="eastAsia"/>
        </w:rPr>
        <w:t>至</w:t>
      </w:r>
      <w:r>
        <w:rPr>
          <w:rFonts w:hint="eastAsia"/>
        </w:rPr>
        <w:t>29</w:t>
      </w:r>
      <w:r>
        <w:rPr>
          <w:rFonts w:hint="eastAsia"/>
        </w:rPr>
        <w:t>岁的居民中有</w:t>
      </w:r>
      <w:r>
        <w:rPr>
          <w:rFonts w:hint="eastAsia"/>
        </w:rPr>
        <w:t>62.6%</w:t>
      </w:r>
      <w:r>
        <w:rPr>
          <w:rFonts w:hint="eastAsia"/>
        </w:rPr>
        <w:t>的人在某所学校里学习</w:t>
      </w:r>
      <w:r>
        <w:rPr>
          <w:rFonts w:hint="eastAsia"/>
        </w:rPr>
        <w:t>，而在农村地区这一比率仅为</w:t>
      </w:r>
      <w:r>
        <w:rPr>
          <w:rFonts w:hint="eastAsia"/>
        </w:rPr>
        <w:t>51.2%</w:t>
      </w:r>
      <w:r>
        <w:rPr>
          <w:rFonts w:hint="eastAsia"/>
        </w:rPr>
        <w:t>。受教育程度方面，也反映出这种差异。其中，学龄前儿童的入学率增长幅度最大（由</w:t>
      </w:r>
      <w:r>
        <w:rPr>
          <w:rFonts w:hint="eastAsia"/>
        </w:rPr>
        <w:t>1984</w:t>
      </w:r>
      <w:r>
        <w:rPr>
          <w:rFonts w:hint="eastAsia"/>
        </w:rPr>
        <w:t>年的</w:t>
      </w:r>
      <w:r>
        <w:rPr>
          <w:rFonts w:hint="eastAsia"/>
        </w:rPr>
        <w:t>38.0%</w:t>
      </w:r>
      <w:r>
        <w:rPr>
          <w:rFonts w:hint="eastAsia"/>
        </w:rPr>
        <w:t>上升到</w:t>
      </w:r>
      <w:r>
        <w:rPr>
          <w:rFonts w:hint="eastAsia"/>
        </w:rPr>
        <w:t>2000</w:t>
      </w:r>
      <w:r>
        <w:rPr>
          <w:rFonts w:hint="eastAsia"/>
        </w:rPr>
        <w:t>年的</w:t>
      </w:r>
      <w:r>
        <w:rPr>
          <w:rFonts w:hint="eastAsia"/>
        </w:rPr>
        <w:t>64.6%</w:t>
      </w:r>
      <w:r>
        <w:rPr>
          <w:rFonts w:hint="eastAsia"/>
        </w:rPr>
        <w:t>）。小学入学率轻微上扬，由</w:t>
      </w:r>
      <w:r>
        <w:rPr>
          <w:rFonts w:hint="eastAsia"/>
        </w:rPr>
        <w:t>91.4%</w:t>
      </w:r>
      <w:r>
        <w:rPr>
          <w:rFonts w:hint="eastAsia"/>
        </w:rPr>
        <w:t>增加到</w:t>
      </w:r>
      <w:r>
        <w:rPr>
          <w:rFonts w:hint="eastAsia"/>
        </w:rPr>
        <w:t>95.7%</w:t>
      </w:r>
      <w:r>
        <w:rPr>
          <w:rFonts w:hint="eastAsia"/>
        </w:rPr>
        <w:t>。与此同时，中学入学率由</w:t>
      </w:r>
      <w:r>
        <w:rPr>
          <w:rFonts w:hint="eastAsia"/>
        </w:rPr>
        <w:t>41.2%</w:t>
      </w:r>
      <w:r>
        <w:rPr>
          <w:rFonts w:hint="eastAsia"/>
        </w:rPr>
        <w:t>提高到</w:t>
      </w:r>
      <w:r>
        <w:rPr>
          <w:rFonts w:hint="eastAsia"/>
        </w:rPr>
        <w:t>61.3%</w:t>
      </w:r>
      <w:r>
        <w:rPr>
          <w:rFonts w:hint="eastAsia"/>
        </w:rPr>
        <w:t>，这表明青少年的中学入学率和在校率是国家面临的严峻问题之一（国家人口普查和统计协会，</w:t>
      </w:r>
      <w:r>
        <w:rPr>
          <w:rFonts w:hint="eastAsia"/>
        </w:rPr>
        <w:t>2001</w:t>
      </w:r>
      <w:r>
        <w:rPr>
          <w:rFonts w:hint="eastAsia"/>
        </w:rPr>
        <w:t>年）。</w:t>
      </w:r>
    </w:p>
    <w:p w:rsidR="00000000" w:rsidRDefault="00CA422F">
      <w:pPr>
        <w:spacing w:after="240" w:line="360" w:lineRule="atLeast"/>
        <w:rPr>
          <w:rFonts w:hint="eastAsia"/>
        </w:rPr>
      </w:pPr>
      <w:r>
        <w:rPr>
          <w:rFonts w:hint="eastAsia"/>
        </w:rPr>
        <w:t>52</w:t>
      </w:r>
      <w:r>
        <w:rPr>
          <w:rFonts w:hint="eastAsia"/>
        </w:rPr>
        <w:t>．在受教育程度方面也可以看到类似的趋势。</w:t>
      </w:r>
      <w:r>
        <w:rPr>
          <w:rFonts w:hint="eastAsia"/>
        </w:rPr>
        <w:t>5</w:t>
      </w:r>
      <w:r>
        <w:rPr>
          <w:rFonts w:hint="eastAsia"/>
        </w:rPr>
        <w:t>岁以上的居民中有</w:t>
      </w:r>
      <w:r>
        <w:rPr>
          <w:rFonts w:hint="eastAsia"/>
        </w:rPr>
        <w:t>89.6%</w:t>
      </w:r>
      <w:r>
        <w:rPr>
          <w:rFonts w:hint="eastAsia"/>
        </w:rPr>
        <w:t>的人接受过某一类型的初级或者初级以上的教育，但是只有</w:t>
      </w:r>
      <w:r>
        <w:rPr>
          <w:rFonts w:hint="eastAsia"/>
        </w:rPr>
        <w:t>10.2%</w:t>
      </w:r>
      <w:r>
        <w:rPr>
          <w:rFonts w:hint="eastAsia"/>
        </w:rPr>
        <w:t>的人接受了大学</w:t>
      </w:r>
      <w:r>
        <w:rPr>
          <w:rFonts w:hint="eastAsia"/>
        </w:rPr>
        <w:t>教育。尽管如此，在受教育程度上仍然存在着城乡差别，主要表现为农村人口的中学入学率和就读率都比较低（民族国家计划，</w:t>
      </w:r>
      <w:r>
        <w:rPr>
          <w:rFonts w:hint="eastAsia"/>
        </w:rPr>
        <w:t>2001</w:t>
      </w:r>
      <w:r>
        <w:rPr>
          <w:rFonts w:hint="eastAsia"/>
        </w:rPr>
        <w:t>年）。</w:t>
      </w:r>
    </w:p>
    <w:p w:rsidR="00000000" w:rsidRDefault="00CA422F">
      <w:pPr>
        <w:spacing w:after="240" w:line="360" w:lineRule="atLeast"/>
      </w:pPr>
      <w:r>
        <w:rPr>
          <w:rFonts w:hint="eastAsia"/>
        </w:rPr>
        <w:t>53</w:t>
      </w:r>
      <w:r>
        <w:rPr>
          <w:rFonts w:hint="eastAsia"/>
        </w:rPr>
        <w:t>．虽然最近几年在提高中学注册率方面取得了进展，但覆盖范围和教育质量方面还是存在着差异。失学和退学现象依然存在，</w:t>
      </w:r>
      <w:r>
        <w:rPr>
          <w:rFonts w:hint="eastAsia"/>
        </w:rPr>
        <w:t>15</w:t>
      </w:r>
      <w:r>
        <w:rPr>
          <w:rFonts w:hint="eastAsia"/>
        </w:rPr>
        <w:t>岁以上人群的失学和退学现象更加严重。因此，单一年龄的入学率由</w:t>
      </w:r>
      <w:r>
        <w:rPr>
          <w:rFonts w:hint="eastAsia"/>
        </w:rPr>
        <w:t>12</w:t>
      </w:r>
      <w:r>
        <w:rPr>
          <w:rFonts w:hint="eastAsia"/>
        </w:rPr>
        <w:t>岁的</w:t>
      </w:r>
      <w:r>
        <w:rPr>
          <w:rFonts w:hint="eastAsia"/>
        </w:rPr>
        <w:t>88.0%</w:t>
      </w:r>
      <w:r>
        <w:rPr>
          <w:rFonts w:hint="eastAsia"/>
        </w:rPr>
        <w:t>下降到</w:t>
      </w:r>
      <w:r>
        <w:rPr>
          <w:rFonts w:hint="eastAsia"/>
        </w:rPr>
        <w:t>17</w:t>
      </w:r>
      <w:r>
        <w:rPr>
          <w:rFonts w:hint="eastAsia"/>
        </w:rPr>
        <w:t>岁的</w:t>
      </w:r>
      <w:r>
        <w:rPr>
          <w:rFonts w:hint="eastAsia"/>
        </w:rPr>
        <w:t>33.3%</w:t>
      </w:r>
      <w:r>
        <w:rPr>
          <w:rFonts w:hint="eastAsia"/>
        </w:rPr>
        <w:t>，可以看出入学率随年龄的增加而下降。但是，入学率、及格率、升学率、毕业率和中学升级率随学校所在地的不同而发生变化，而且这种变化在公立学校中反映得更为明显。情况表明存</w:t>
      </w:r>
      <w:r>
        <w:rPr>
          <w:rFonts w:hint="eastAsia"/>
        </w:rPr>
        <w:t>在着巨大的性别差距，同时还影响到教育质量（民族国家计划，</w:t>
      </w:r>
      <w:r>
        <w:rPr>
          <w:rFonts w:hint="eastAsia"/>
        </w:rPr>
        <w:t>2001</w:t>
      </w:r>
      <w:r>
        <w:rPr>
          <w:rFonts w:hint="eastAsia"/>
        </w:rPr>
        <w:t>年）。</w:t>
      </w:r>
    </w:p>
    <w:p w:rsidR="00000000" w:rsidRDefault="00CA422F">
      <w:pPr>
        <w:spacing w:after="240" w:line="360" w:lineRule="atLeast"/>
        <w:rPr>
          <w:rFonts w:hint="eastAsia"/>
        </w:rPr>
      </w:pPr>
      <w:r>
        <w:t>54</w:t>
      </w:r>
      <w:r>
        <w:rPr>
          <w:rFonts w:hint="eastAsia"/>
        </w:rPr>
        <w:t>．在过去的</w:t>
      </w:r>
      <w:r>
        <w:rPr>
          <w:rFonts w:hint="eastAsia"/>
        </w:rPr>
        <w:t>20</w:t>
      </w:r>
      <w:r>
        <w:rPr>
          <w:rFonts w:hint="eastAsia"/>
        </w:rPr>
        <w:t>年间，可以看到各种不同的倡仪都力图改变鼓励压制、歧视妇女的社会文化观念以及加剧性别不平等的做法。小学课本的文字和图像、教育法规中不再使用性别歧视语言，在教学和行政程序中纳入性别观点被认为是业已取得的突出成就。尽管取得了上述成果，某些教学实践活动还在鼓励优势性别主导体制。它们助长了专业、职业和行业选择中的性别分割现象，甚至波及到挑选公立大学和私立大学。在高等教育机构内部，性别分割虽然日趋缓和，但是在校外技术培训活动（如国</w:t>
      </w:r>
      <w:r>
        <w:rPr>
          <w:rFonts w:hint="eastAsia"/>
        </w:rPr>
        <w:t>家职业学院（</w:t>
      </w:r>
      <w:r>
        <w:rPr>
          <w:rFonts w:hint="eastAsia"/>
        </w:rPr>
        <w:t>INA</w:t>
      </w:r>
      <w:r>
        <w:rPr>
          <w:rFonts w:hint="eastAsia"/>
        </w:rPr>
        <w:t>）开展的技术培训）中，它一直非常引人注目。</w:t>
      </w:r>
    </w:p>
    <w:p w:rsidR="00000000" w:rsidRDefault="00CA422F">
      <w:pPr>
        <w:spacing w:after="240" w:line="360" w:lineRule="atLeast"/>
        <w:rPr>
          <w:rFonts w:hint="eastAsia"/>
        </w:rPr>
      </w:pPr>
      <w:r>
        <w:rPr>
          <w:rFonts w:hint="eastAsia"/>
        </w:rPr>
        <w:t>55</w:t>
      </w:r>
      <w:r>
        <w:rPr>
          <w:rFonts w:hint="eastAsia"/>
        </w:rPr>
        <w:t>．从女子平均入学率和大学注册率上看，妇女的教育水平都超过了男子。从平均参与程度上看，在正规教育系统中，妇女与男子情况大体相似。尽管如此，在中等教育方面，妇女的入学净覆盖率、长期稳定率和学习成绩都超过了男子（国家政府规划，</w:t>
      </w:r>
      <w:r>
        <w:rPr>
          <w:rFonts w:hint="eastAsia"/>
        </w:rPr>
        <w:t>2001</w:t>
      </w:r>
      <w:r>
        <w:rPr>
          <w:rFonts w:hint="eastAsia"/>
        </w:rPr>
        <w:t>年）。</w:t>
      </w:r>
    </w:p>
    <w:p w:rsidR="00000000" w:rsidRDefault="00CA422F">
      <w:pPr>
        <w:spacing w:after="240" w:line="360" w:lineRule="atLeast"/>
        <w:rPr>
          <w:rFonts w:hint="eastAsia"/>
        </w:rPr>
      </w:pPr>
      <w:r>
        <w:rPr>
          <w:rFonts w:hint="eastAsia"/>
        </w:rPr>
        <w:t>56</w:t>
      </w:r>
      <w:r>
        <w:rPr>
          <w:rFonts w:hint="eastAsia"/>
        </w:rPr>
        <w:t>．教育水平的提高直接影响到妇女的职业结构。同男子相比，女性专业人员和技术人员的人数轻微上扬；在担任领导职务方面，女性领导的比率由</w:t>
      </w:r>
      <w:r>
        <w:rPr>
          <w:rFonts w:hint="eastAsia"/>
        </w:rPr>
        <w:t>1990</w:t>
      </w:r>
      <w:r>
        <w:rPr>
          <w:rFonts w:hint="eastAsia"/>
        </w:rPr>
        <w:t>年的</w:t>
      </w:r>
      <w:r>
        <w:rPr>
          <w:rFonts w:hint="eastAsia"/>
        </w:rPr>
        <w:t>23.3%</w:t>
      </w:r>
      <w:r>
        <w:rPr>
          <w:rFonts w:hint="eastAsia"/>
        </w:rPr>
        <w:t>上升到</w:t>
      </w:r>
      <w:r>
        <w:rPr>
          <w:rFonts w:hint="eastAsia"/>
        </w:rPr>
        <w:t>2000</w:t>
      </w:r>
      <w:r>
        <w:rPr>
          <w:rFonts w:hint="eastAsia"/>
        </w:rPr>
        <w:t>年的</w:t>
      </w:r>
      <w:r>
        <w:rPr>
          <w:rFonts w:hint="eastAsia"/>
        </w:rPr>
        <w:t>29.9%</w:t>
      </w:r>
      <w:r>
        <w:rPr>
          <w:rFonts w:hint="eastAsia"/>
        </w:rPr>
        <w:t>。社会服务、社区服务和个人劳</w:t>
      </w:r>
      <w:r>
        <w:rPr>
          <w:rFonts w:hint="eastAsia"/>
        </w:rPr>
        <w:t>动部门吸纳了大部分女性劳动力。另外，参与商业、食肆和旅店经营的妇女也增多了。这是旅游业发展的产物（民族国家计划，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57</w:t>
      </w:r>
      <w:r>
        <w:rPr>
          <w:rFonts w:hint="eastAsia"/>
        </w:rPr>
        <w:t>．正如全国家庭调查所示（国家人口普查和统计协会，</w:t>
      </w:r>
      <w:r>
        <w:rPr>
          <w:rFonts w:hint="eastAsia"/>
        </w:rPr>
        <w:t>2001</w:t>
      </w:r>
      <w:r>
        <w:rPr>
          <w:rFonts w:hint="eastAsia"/>
        </w:rPr>
        <w:t>年），越来越多的妇女跻身企业界，成为企业家。尽管如此，她们仍处于不平等的状态之下，这使得女企业家非常容易受到伤害。另外，大部分女企业家都是微型或者小型企业主。雇用工作人员的女企业家的比率由</w:t>
      </w:r>
      <w:r>
        <w:rPr>
          <w:rFonts w:hint="eastAsia"/>
        </w:rPr>
        <w:t>90</w:t>
      </w:r>
      <w:r>
        <w:rPr>
          <w:rFonts w:hint="eastAsia"/>
        </w:rPr>
        <w:t>年代初的</w:t>
      </w:r>
      <w:r>
        <w:rPr>
          <w:rFonts w:hint="eastAsia"/>
        </w:rPr>
        <w:t>1.8%</w:t>
      </w:r>
      <w:r>
        <w:rPr>
          <w:rFonts w:hint="eastAsia"/>
        </w:rPr>
        <w:t>增加到</w:t>
      </w:r>
      <w:r>
        <w:rPr>
          <w:rFonts w:hint="eastAsia"/>
        </w:rPr>
        <w:t>1999</w:t>
      </w:r>
      <w:r>
        <w:rPr>
          <w:rFonts w:hint="eastAsia"/>
        </w:rPr>
        <w:t>年的</w:t>
      </w:r>
      <w:r>
        <w:rPr>
          <w:rFonts w:hint="eastAsia"/>
        </w:rPr>
        <w:t>4.3%</w:t>
      </w:r>
      <w:r>
        <w:rPr>
          <w:rFonts w:hint="eastAsia"/>
        </w:rPr>
        <w:t>。最显著的增长出现在农村地区的工业和商业活动中，这与中小型企业的发展有关。在获取信贷、技术</w:t>
      </w:r>
      <w:r>
        <w:rPr>
          <w:rFonts w:hint="eastAsia"/>
        </w:rPr>
        <w:t>和技术培训等生产性资源方面，中小型企业依然遇到很多困难。</w:t>
      </w:r>
    </w:p>
    <w:p w:rsidR="00000000" w:rsidRDefault="00CA422F">
      <w:pPr>
        <w:spacing w:after="240" w:line="360" w:lineRule="atLeast"/>
        <w:rPr>
          <w:rFonts w:hint="eastAsia"/>
        </w:rPr>
      </w:pPr>
      <w:r>
        <w:rPr>
          <w:rFonts w:hint="eastAsia"/>
        </w:rPr>
        <w:t>58</w:t>
      </w:r>
      <w:r>
        <w:rPr>
          <w:rFonts w:hint="eastAsia"/>
        </w:rPr>
        <w:t>．虽然劳工领域内取得了突出成果，但该领域依然存在着结构性障碍，迫切需要哥斯达黎加政府通过积极的公共政策进行干预，从而消除阻碍妇女参与国民生产和在平等条件下进入劳动市场的结构性差异。</w:t>
      </w:r>
    </w:p>
    <w:p w:rsidR="00000000" w:rsidRDefault="00CA422F">
      <w:pPr>
        <w:spacing w:after="240" w:line="360" w:lineRule="atLeast"/>
        <w:rPr>
          <w:rFonts w:hint="eastAsia"/>
        </w:rPr>
      </w:pPr>
      <w:r>
        <w:rPr>
          <w:rFonts w:hint="eastAsia"/>
        </w:rPr>
        <w:t>59</w:t>
      </w:r>
      <w:r>
        <w:rPr>
          <w:rFonts w:hint="eastAsia"/>
        </w:rPr>
        <w:t>．哥斯达黎加的劳动力市场中还存在着性别分割现象。根据国家政府报告的统计数据（国家政府计划，</w:t>
      </w:r>
      <w:r>
        <w:rPr>
          <w:rFonts w:hint="eastAsia"/>
        </w:rPr>
        <w:t>2001</w:t>
      </w:r>
      <w:r>
        <w:rPr>
          <w:rFonts w:hint="eastAsia"/>
        </w:rPr>
        <w:t>年），</w:t>
      </w:r>
      <w:r>
        <w:rPr>
          <w:rFonts w:hint="eastAsia"/>
        </w:rPr>
        <w:t>90</w:t>
      </w:r>
      <w:r>
        <w:rPr>
          <w:rFonts w:hint="eastAsia"/>
        </w:rPr>
        <w:t>年代的性别分割指标（按职业组别划分）是</w:t>
      </w:r>
      <w:r>
        <w:rPr>
          <w:rFonts w:hint="eastAsia"/>
        </w:rPr>
        <w:t>25%</w:t>
      </w:r>
      <w:r>
        <w:rPr>
          <w:rFonts w:hint="eastAsia"/>
        </w:rPr>
        <w:t>。考虑到</w:t>
      </w:r>
      <w:r>
        <w:rPr>
          <w:rFonts w:hint="eastAsia"/>
        </w:rPr>
        <w:t>1998</w:t>
      </w:r>
      <w:r>
        <w:rPr>
          <w:rFonts w:hint="eastAsia"/>
        </w:rPr>
        <w:t>年以后，妇女已占就业人口总数的</w:t>
      </w:r>
      <w:r>
        <w:rPr>
          <w:rFonts w:hint="eastAsia"/>
        </w:rPr>
        <w:t>32%</w:t>
      </w:r>
      <w:r>
        <w:rPr>
          <w:rFonts w:hint="eastAsia"/>
        </w:rPr>
        <w:t>，</w:t>
      </w:r>
      <w:r>
        <w:rPr>
          <w:rFonts w:hint="eastAsia"/>
        </w:rPr>
        <w:t>25%</w:t>
      </w:r>
      <w:r>
        <w:rPr>
          <w:rFonts w:hint="eastAsia"/>
        </w:rPr>
        <w:t>是一个相当高的数字。实现均势结构意味着大部分妇女需要</w:t>
      </w:r>
      <w:r>
        <w:rPr>
          <w:rFonts w:hint="eastAsia"/>
        </w:rPr>
        <w:t>改变职业。</w:t>
      </w:r>
    </w:p>
    <w:p w:rsidR="00000000" w:rsidRDefault="00CA422F">
      <w:pPr>
        <w:spacing w:after="240" w:line="360" w:lineRule="atLeast"/>
        <w:rPr>
          <w:rFonts w:hint="eastAsia"/>
        </w:rPr>
      </w:pPr>
      <w:r>
        <w:rPr>
          <w:rFonts w:hint="eastAsia"/>
        </w:rPr>
        <w:t>60</w:t>
      </w:r>
      <w:r>
        <w:rPr>
          <w:rFonts w:hint="eastAsia"/>
        </w:rPr>
        <w:t>．另外，妇女对国民生产总值的相当一部分经济贡献依然不为人知，这对女性劳动者获得生产资料、社会保险、教育以及援助服务产生了严重的影响。一方面，人们依然认为妇女在自己的家庭中进行的家务劳动既不具有货币价值也不具有文化价值。另一方面，作为家务劳动的“延伸”，农村妇女和居住在城市边缘地带的妇女都从事大量的边际化养家糊口活动。这些边际化的生产活动并没有被记录和统计为“工作”。同样，譬如说，如果我们统计妇女的变相就业——即从事以自我消费为目的的初级产品生产以及边际化生产活动，</w:t>
      </w:r>
      <w:r>
        <w:rPr>
          <w:rFonts w:hint="eastAsia"/>
        </w:rPr>
        <w:t>1990</w:t>
      </w:r>
      <w:r>
        <w:rPr>
          <w:rFonts w:hint="eastAsia"/>
        </w:rPr>
        <w:t>年的妇女就业率将由</w:t>
      </w:r>
      <w:r>
        <w:rPr>
          <w:rFonts w:hint="eastAsia"/>
        </w:rPr>
        <w:t>3</w:t>
      </w:r>
      <w:r>
        <w:rPr>
          <w:rFonts w:hint="eastAsia"/>
        </w:rPr>
        <w:t>0.3%</w:t>
      </w:r>
      <w:r>
        <w:rPr>
          <w:rFonts w:hint="eastAsia"/>
        </w:rPr>
        <w:t>增加到</w:t>
      </w:r>
      <w:r>
        <w:rPr>
          <w:rFonts w:hint="eastAsia"/>
        </w:rPr>
        <w:t>41.4%</w:t>
      </w:r>
      <w:r>
        <w:rPr>
          <w:rFonts w:hint="eastAsia"/>
        </w:rPr>
        <w:t>，而</w:t>
      </w:r>
      <w:r>
        <w:rPr>
          <w:rFonts w:hint="eastAsia"/>
        </w:rPr>
        <w:t>2000</w:t>
      </w:r>
      <w:r>
        <w:rPr>
          <w:rFonts w:hint="eastAsia"/>
        </w:rPr>
        <w:t>年的这一比率将由</w:t>
      </w:r>
      <w:r>
        <w:rPr>
          <w:rFonts w:hint="eastAsia"/>
        </w:rPr>
        <w:t>33.8%</w:t>
      </w:r>
      <w:r>
        <w:rPr>
          <w:rFonts w:hint="eastAsia"/>
        </w:rPr>
        <w:t>上升到</w:t>
      </w:r>
      <w:r>
        <w:rPr>
          <w:rFonts w:hint="eastAsia"/>
        </w:rPr>
        <w:t>40.8%</w:t>
      </w:r>
      <w:r>
        <w:rPr>
          <w:rFonts w:hint="eastAsia"/>
        </w:rPr>
        <w:t>。</w:t>
      </w:r>
      <w:r>
        <w:rPr>
          <w:rFonts w:hint="eastAsia"/>
        </w:rPr>
        <w:t>90</w:t>
      </w:r>
      <w:r>
        <w:rPr>
          <w:rFonts w:hint="eastAsia"/>
        </w:rPr>
        <w:t>年代妇女就业率被低估了</w:t>
      </w:r>
      <w:r>
        <w:rPr>
          <w:rFonts w:hint="eastAsia"/>
        </w:rPr>
        <w:t>10</w:t>
      </w:r>
      <w:r>
        <w:rPr>
          <w:rFonts w:hint="eastAsia"/>
        </w:rPr>
        <w:t>至</w:t>
      </w:r>
      <w:r>
        <w:rPr>
          <w:rFonts w:hint="eastAsia"/>
        </w:rPr>
        <w:t>7</w:t>
      </w:r>
      <w:r>
        <w:rPr>
          <w:rFonts w:hint="eastAsia"/>
        </w:rPr>
        <w:t>个百分点。如果家务劳动被当作工作统计，在</w:t>
      </w:r>
      <w:r>
        <w:rPr>
          <w:rFonts w:hint="eastAsia"/>
        </w:rPr>
        <w:t>2000</w:t>
      </w:r>
      <w:r>
        <w:rPr>
          <w:rFonts w:hint="eastAsia"/>
        </w:rPr>
        <w:t>年，家务劳动折合成克朗后的实际规模相当于该年国民生产总值的</w:t>
      </w:r>
      <w:r>
        <w:rPr>
          <w:rFonts w:hint="eastAsia"/>
        </w:rPr>
        <w:t>9.8%</w:t>
      </w:r>
      <w:r>
        <w:rPr>
          <w:rFonts w:hint="eastAsia"/>
        </w:rPr>
        <w:t>，几乎可以与同年社会服务、社区服务和个人劳务部门在国民生产总值中所占的比率（</w:t>
      </w:r>
      <w:r>
        <w:rPr>
          <w:rFonts w:hint="eastAsia"/>
        </w:rPr>
        <w:t>10.3%</w:t>
      </w:r>
      <w:r>
        <w:rPr>
          <w:rFonts w:hint="eastAsia"/>
        </w:rPr>
        <w:t>）相提并论（民族国家计划，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61</w:t>
      </w:r>
      <w:r>
        <w:rPr>
          <w:rFonts w:hint="eastAsia"/>
        </w:rPr>
        <w:t>．</w:t>
      </w:r>
      <w:r>
        <w:rPr>
          <w:rFonts w:hint="eastAsia"/>
        </w:rPr>
        <w:t>2000</w:t>
      </w:r>
      <w:r>
        <w:rPr>
          <w:rFonts w:hint="eastAsia"/>
        </w:rPr>
        <w:t>年的国民人均收入呈下降态势，与此相关的是，根据家庭调查记录（</w:t>
      </w:r>
      <w:r>
        <w:rPr>
          <w:rFonts w:hint="eastAsia"/>
        </w:rPr>
        <w:t>2000</w:t>
      </w:r>
      <w:r>
        <w:rPr>
          <w:rFonts w:hint="eastAsia"/>
        </w:rPr>
        <w:t>年），家庭平均收入降低了</w:t>
      </w:r>
      <w:r>
        <w:rPr>
          <w:rFonts w:hint="eastAsia"/>
        </w:rPr>
        <w:t>0.7%</w:t>
      </w:r>
      <w:r>
        <w:rPr>
          <w:rFonts w:hint="eastAsia"/>
        </w:rPr>
        <w:t>。最低平均工资也减少了，对家庭收入——特别</w:t>
      </w:r>
      <w:r>
        <w:rPr>
          <w:rFonts w:hint="eastAsia"/>
        </w:rPr>
        <w:t>是赤贫家庭的收入产生了影响（民族国家计划，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62</w:t>
      </w:r>
      <w:r>
        <w:rPr>
          <w:rFonts w:hint="eastAsia"/>
        </w:rPr>
        <w:t>．哥斯达黎加经济经受并顶住了一系列外部考验，因此国家经济并没有失去稳定与平衡。这是由多种因素促成的：谨慎的货币金融管理政策和国家财政的额外增收。油气增产是额外财政收入的来源，但是更主要的原因在于最近一些年来国家在很大程度上实现了生产基础的多样化，特别是在出口型生产方面表现得最为明显。尽管如此，这种经济模式是否可以创造未来的可持续增长基础、能否可以大规模地减少贫困现象和纠正社会不平等和性别不平等，人们对此还在激烈地争论（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63</w:t>
      </w:r>
      <w:r>
        <w:rPr>
          <w:rFonts w:hint="eastAsia"/>
        </w:rPr>
        <w:t>．最近几年，国家经济决策的目标都是巩固经济全球化进程，以及为了实现这一目标，进一步进行必要的政府改革。社会政策的趋势是集中精力减缓哥斯达黎加五分之一人口面对的贫困问题。事实上，消除贫困计划和倡仪一直是许多政府机构关注的问题。但是这些倡仪和计划存在着严重的弱点，因为它们过于注重消除贫困的行动，而不是摧毁产生贫困的结构性原因，并且使那些处于基本匮乏却不贫困的人口群体更加脆弱。除此之外，它们也不是国家就业政策的组成部分。后者的目标是解决与生产结构相关的结构性问题并找到安置劳动力的方式。当涉及未成年人时，或者</w:t>
      </w:r>
      <w:r>
        <w:rPr>
          <w:rFonts w:hint="eastAsia"/>
        </w:rPr>
        <w:t>安排他们上学或参加技术培训。</w:t>
      </w:r>
    </w:p>
    <w:p w:rsidR="00000000" w:rsidRDefault="00CA422F">
      <w:pPr>
        <w:spacing w:after="240" w:line="360" w:lineRule="atLeast"/>
        <w:rPr>
          <w:rFonts w:hint="eastAsia"/>
        </w:rPr>
      </w:pPr>
      <w:r>
        <w:rPr>
          <w:rFonts w:hint="eastAsia"/>
        </w:rPr>
        <w:t>64</w:t>
      </w:r>
      <w:r>
        <w:rPr>
          <w:rFonts w:hint="eastAsia"/>
        </w:rPr>
        <w:t>．根据第七次国家政府报告提供的资料，</w:t>
      </w:r>
      <w:r>
        <w:rPr>
          <w:rFonts w:hint="eastAsia"/>
        </w:rPr>
        <w:t>2000</w:t>
      </w:r>
      <w:r>
        <w:rPr>
          <w:rFonts w:hint="eastAsia"/>
        </w:rPr>
        <w:t>年和</w:t>
      </w:r>
      <w:r>
        <w:rPr>
          <w:rFonts w:hint="eastAsia"/>
        </w:rPr>
        <w:t>1999</w:t>
      </w:r>
      <w:r>
        <w:rPr>
          <w:rFonts w:hint="eastAsia"/>
        </w:rPr>
        <w:t>年一样，哥斯达黎加的总贫困率轻微上扬了</w:t>
      </w:r>
      <w:r>
        <w:rPr>
          <w:rFonts w:hint="eastAsia"/>
        </w:rPr>
        <w:t>0.5</w:t>
      </w:r>
      <w:r>
        <w:rPr>
          <w:rFonts w:hint="eastAsia"/>
        </w:rPr>
        <w:t>个百分点达，到了</w:t>
      </w:r>
      <w:r>
        <w:rPr>
          <w:rFonts w:hint="eastAsia"/>
        </w:rPr>
        <w:t>21.1%</w:t>
      </w:r>
      <w:r>
        <w:rPr>
          <w:rFonts w:hint="eastAsia"/>
        </w:rPr>
        <w:t>。</w:t>
      </w:r>
      <w:r>
        <w:rPr>
          <w:rFonts w:hint="eastAsia"/>
        </w:rPr>
        <w:t>1994</w:t>
      </w:r>
      <w:r>
        <w:rPr>
          <w:rFonts w:hint="eastAsia"/>
        </w:rPr>
        <w:t>年，贫困率为</w:t>
      </w:r>
      <w:r>
        <w:rPr>
          <w:rFonts w:hint="eastAsia"/>
        </w:rPr>
        <w:t>20.0%</w:t>
      </w:r>
      <w:r>
        <w:rPr>
          <w:rFonts w:hint="eastAsia"/>
        </w:rPr>
        <w:t>，这表明贫困现象在继续加剧。与之相反，同前一年相比，赤贫率略为下降，由</w:t>
      </w:r>
      <w:r>
        <w:rPr>
          <w:rFonts w:hint="eastAsia"/>
        </w:rPr>
        <w:t>6.7%</w:t>
      </w:r>
      <w:r>
        <w:rPr>
          <w:rFonts w:hint="eastAsia"/>
        </w:rPr>
        <w:t>缩小到</w:t>
      </w:r>
      <w:r>
        <w:rPr>
          <w:rFonts w:hint="eastAsia"/>
        </w:rPr>
        <w:t>6.4%</w:t>
      </w:r>
      <w:r>
        <w:rPr>
          <w:rFonts w:hint="eastAsia"/>
        </w:rPr>
        <w:t>。总贫困率上升和赤贫率下降，既出现在城市地区也出现在农村地区，但是农村的贫困率高于城市。</w:t>
      </w:r>
      <w:r>
        <w:rPr>
          <w:rFonts w:hint="eastAsia"/>
        </w:rPr>
        <w:t>2000</w:t>
      </w:r>
      <w:r>
        <w:rPr>
          <w:rFonts w:hint="eastAsia"/>
        </w:rPr>
        <w:t>年，城市地区每有一个贫困家庭，农村地区就有</w:t>
      </w:r>
      <w:r>
        <w:rPr>
          <w:rFonts w:hint="eastAsia"/>
        </w:rPr>
        <w:t>1.6</w:t>
      </w:r>
      <w:r>
        <w:rPr>
          <w:rFonts w:hint="eastAsia"/>
        </w:rPr>
        <w:t>个贫困家庭和</w:t>
      </w:r>
      <w:r>
        <w:rPr>
          <w:rFonts w:hint="eastAsia"/>
        </w:rPr>
        <w:t>2.3</w:t>
      </w:r>
      <w:r>
        <w:rPr>
          <w:rFonts w:hint="eastAsia"/>
        </w:rPr>
        <w:t>个赤贫家庭（民族国家计划，</w:t>
      </w:r>
      <w:r>
        <w:rPr>
          <w:rFonts w:hint="eastAsia"/>
        </w:rPr>
        <w:t>2001</w:t>
      </w:r>
      <w:r>
        <w:rPr>
          <w:rFonts w:hint="eastAsia"/>
        </w:rPr>
        <w:t>年）。</w:t>
      </w:r>
    </w:p>
    <w:p w:rsidR="00000000" w:rsidRDefault="00CA422F">
      <w:pPr>
        <w:spacing w:after="240" w:line="360" w:lineRule="atLeast"/>
        <w:rPr>
          <w:rFonts w:hint="eastAsia"/>
        </w:rPr>
      </w:pPr>
      <w:r>
        <w:rPr>
          <w:rFonts w:hint="eastAsia"/>
        </w:rPr>
        <w:t>65</w:t>
      </w:r>
      <w:r>
        <w:rPr>
          <w:rFonts w:hint="eastAsia"/>
        </w:rPr>
        <w:t>．由于计量方法多种多</w:t>
      </w:r>
      <w:r>
        <w:rPr>
          <w:rFonts w:hint="eastAsia"/>
        </w:rPr>
        <w:t>样和现有的资料来源问题，再加上很多资料库中的妇女贫困问题没有信息，因此对此很难开展研究。同样，譬如说，没有关于人均收入性别差距的官方统计资料（国家妇女研究所，</w:t>
      </w:r>
      <w:r>
        <w:rPr>
          <w:rFonts w:hint="eastAsia"/>
        </w:rPr>
        <w:t>2001</w:t>
      </w:r>
      <w:r>
        <w:rPr>
          <w:rFonts w:hint="eastAsia"/>
        </w:rPr>
        <w:t>年）。正如导言中所强调的，按照性别分列的数据是一个特例而不是定例。尽管应用了不同的计量方法，现有的数据之间差别很小，能够按性别分列法大体核算出妇女和男子的贫困程度。妇女贫困率是一项引人注目的数据。</w:t>
      </w:r>
      <w:r>
        <w:rPr>
          <w:rFonts w:hint="eastAsia"/>
        </w:rPr>
        <w:t>1990</w:t>
      </w:r>
      <w:r>
        <w:rPr>
          <w:rFonts w:hint="eastAsia"/>
        </w:rPr>
        <w:t>年，贫困妇女占当年妇女总人数的</w:t>
      </w:r>
      <w:r>
        <w:rPr>
          <w:rFonts w:hint="eastAsia"/>
        </w:rPr>
        <w:t>17.4%</w:t>
      </w:r>
      <w:r>
        <w:rPr>
          <w:rFonts w:hint="eastAsia"/>
        </w:rPr>
        <w:t>。</w:t>
      </w:r>
      <w:r>
        <w:rPr>
          <w:rFonts w:hint="eastAsia"/>
        </w:rPr>
        <w:t>1999</w:t>
      </w:r>
      <w:r>
        <w:rPr>
          <w:rFonts w:hint="eastAsia"/>
        </w:rPr>
        <w:t>年，妇女贫困率上升到</w:t>
      </w:r>
      <w:r>
        <w:rPr>
          <w:rFonts w:hint="eastAsia"/>
        </w:rPr>
        <w:t>21%</w:t>
      </w:r>
      <w:r>
        <w:rPr>
          <w:rFonts w:hint="eastAsia"/>
        </w:rPr>
        <w:t>左右。同样，</w:t>
      </w:r>
      <w:r>
        <w:rPr>
          <w:rFonts w:hint="eastAsia"/>
        </w:rPr>
        <w:t>1990</w:t>
      </w:r>
      <w:r>
        <w:rPr>
          <w:rFonts w:hint="eastAsia"/>
        </w:rPr>
        <w:t>年和</w:t>
      </w:r>
      <w:r>
        <w:rPr>
          <w:rFonts w:hint="eastAsia"/>
        </w:rPr>
        <w:t>1999</w:t>
      </w:r>
      <w:r>
        <w:rPr>
          <w:rFonts w:hint="eastAsia"/>
        </w:rPr>
        <w:t>年，贫困男子分别占男子总人口的</w:t>
      </w:r>
      <w:r>
        <w:rPr>
          <w:rFonts w:hint="eastAsia"/>
        </w:rPr>
        <w:t>16</w:t>
      </w:r>
      <w:r>
        <w:rPr>
          <w:rFonts w:hint="eastAsia"/>
        </w:rPr>
        <w:t>.9%</w:t>
      </w:r>
      <w:r>
        <w:rPr>
          <w:rFonts w:hint="eastAsia"/>
        </w:rPr>
        <w:t>和</w:t>
      </w:r>
      <w:r>
        <w:rPr>
          <w:rFonts w:hint="eastAsia"/>
        </w:rPr>
        <w:t>20.3%</w:t>
      </w:r>
      <w:r>
        <w:rPr>
          <w:rFonts w:hint="eastAsia"/>
        </w:rPr>
        <w:t>（国家规划与经济政策部，</w:t>
      </w:r>
      <w:r>
        <w:rPr>
          <w:rFonts w:hint="eastAsia"/>
        </w:rPr>
        <w:t>1999</w:t>
      </w:r>
      <w:r>
        <w:rPr>
          <w:rFonts w:hint="eastAsia"/>
        </w:rPr>
        <w:t>年）。</w:t>
      </w:r>
    </w:p>
    <w:p w:rsidR="00000000" w:rsidRDefault="00CA422F">
      <w:pPr>
        <w:spacing w:after="240" w:line="360" w:lineRule="atLeast"/>
        <w:rPr>
          <w:rFonts w:hint="eastAsia"/>
        </w:rPr>
      </w:pPr>
      <w:r>
        <w:rPr>
          <w:rFonts w:hint="eastAsia"/>
        </w:rPr>
        <w:t>66</w:t>
      </w:r>
      <w:r>
        <w:rPr>
          <w:rFonts w:hint="eastAsia"/>
        </w:rPr>
        <w:t>．虽然户主是妇女并不是致使妇女贫困的条件，但是它的确加剧了这一人口群体的经济脆弱性。根据</w:t>
      </w:r>
      <w:r>
        <w:rPr>
          <w:rFonts w:hint="eastAsia"/>
        </w:rPr>
        <w:t>2000</w:t>
      </w:r>
      <w:r>
        <w:rPr>
          <w:rFonts w:hint="eastAsia"/>
        </w:rPr>
        <w:t>年人口普查和家庭调查的最新数据，愈来愈多的贫困家庭的户主是妇女。</w:t>
      </w:r>
      <w:r>
        <w:rPr>
          <w:rFonts w:hint="eastAsia"/>
        </w:rPr>
        <w:t>90</w:t>
      </w:r>
      <w:r>
        <w:rPr>
          <w:rFonts w:hint="eastAsia"/>
        </w:rPr>
        <w:t>年代初，妇女是户主的贫困家庭比男子是户主的家庭多</w:t>
      </w:r>
      <w:r>
        <w:rPr>
          <w:rFonts w:hint="eastAsia"/>
        </w:rPr>
        <w:t>3.2%</w:t>
      </w:r>
      <w:r>
        <w:rPr>
          <w:rFonts w:hint="eastAsia"/>
        </w:rPr>
        <w:t>。</w:t>
      </w:r>
      <w:r>
        <w:rPr>
          <w:rFonts w:hint="eastAsia"/>
        </w:rPr>
        <w:t>1998</w:t>
      </w:r>
      <w:r>
        <w:rPr>
          <w:rFonts w:hint="eastAsia"/>
        </w:rPr>
        <w:t>年，这一差距增长到</w:t>
      </w:r>
      <w:r>
        <w:rPr>
          <w:rFonts w:hint="eastAsia"/>
        </w:rPr>
        <w:t>5.7%</w:t>
      </w:r>
      <w:r>
        <w:rPr>
          <w:rFonts w:hint="eastAsia"/>
        </w:rPr>
        <w:t>。贫困问题最严重的是户主是妇女的农村家庭和户主是</w:t>
      </w:r>
      <w:r>
        <w:rPr>
          <w:rFonts w:hint="eastAsia"/>
        </w:rPr>
        <w:t>35</w:t>
      </w:r>
      <w:r>
        <w:rPr>
          <w:rFonts w:hint="eastAsia"/>
        </w:rPr>
        <w:t>岁以下妇女且可能有子女需要抚养的家庭。她们的子女不得不在严重匮乏的环境中成长（国家人口普查和统计协会，</w:t>
      </w:r>
      <w:r>
        <w:rPr>
          <w:rFonts w:hint="eastAsia"/>
        </w:rPr>
        <w:t>1999</w:t>
      </w:r>
      <w:r>
        <w:rPr>
          <w:rFonts w:hint="eastAsia"/>
        </w:rPr>
        <w:t>年）。</w:t>
      </w:r>
    </w:p>
    <w:p w:rsidR="00000000" w:rsidRDefault="00CA422F">
      <w:pPr>
        <w:spacing w:after="240" w:line="360" w:lineRule="atLeast"/>
        <w:rPr>
          <w:rFonts w:hint="eastAsia"/>
        </w:rPr>
      </w:pPr>
      <w:r>
        <w:rPr>
          <w:rFonts w:hint="eastAsia"/>
        </w:rPr>
        <w:t>67</w:t>
      </w:r>
      <w:r>
        <w:rPr>
          <w:rFonts w:hint="eastAsia"/>
        </w:rPr>
        <w:t>．为了使照顾贫困妇女</w:t>
      </w:r>
      <w:r>
        <w:rPr>
          <w:rFonts w:hint="eastAsia"/>
        </w:rPr>
        <w:t>的国家政策制度化和法制化，</w:t>
      </w:r>
      <w:r>
        <w:rPr>
          <w:rFonts w:hint="eastAsia"/>
        </w:rPr>
        <w:t>1998</w:t>
      </w:r>
      <w:r>
        <w:rPr>
          <w:rFonts w:hint="eastAsia"/>
        </w:rPr>
        <w:t>年</w:t>
      </w:r>
      <w:r>
        <w:rPr>
          <w:rFonts w:hint="eastAsia"/>
        </w:rPr>
        <w:t>4</w:t>
      </w:r>
      <w:r>
        <w:rPr>
          <w:rFonts w:hint="eastAsia"/>
        </w:rPr>
        <w:t>月，《贫困妇女关注法》获得通过。该法律第</w:t>
      </w:r>
      <w:r>
        <w:rPr>
          <w:rFonts w:hint="eastAsia"/>
        </w:rPr>
        <w:t>2</w:t>
      </w:r>
      <w:r>
        <w:rPr>
          <w:rFonts w:hint="eastAsia"/>
        </w:rPr>
        <w:t>条规定为了照顾贫困妇女，应该考虑设立“一个整体进程，其中至少要包括以下内容：人的培养和培训、技术－劳动能力培训、安排加入劳动力市场和参与生产活动、获得体面的住宅和鼓励她们参加培训活动的经济刺激手段”。同样，这也为“共同发展方案”创立了法律依据，并且为继续开展贫困妇女的照顾工作奠定了基础，以便通过方案参与机构的各种形式的努力，履行《贫困妇女关注法》中的各项规定，从而提高她们的生活质量。</w:t>
      </w:r>
    </w:p>
    <w:p w:rsidR="00000000" w:rsidRDefault="00CA422F">
      <w:pPr>
        <w:spacing w:after="240" w:line="360" w:lineRule="atLeast"/>
        <w:rPr>
          <w:rFonts w:hint="eastAsia"/>
        </w:rPr>
      </w:pPr>
      <w:r>
        <w:rPr>
          <w:rFonts w:hint="eastAsia"/>
        </w:rPr>
        <w:t>68</w:t>
      </w:r>
      <w:r>
        <w:rPr>
          <w:rFonts w:hint="eastAsia"/>
        </w:rPr>
        <w:t>．“共同发展方案”的总体目标是实施带有性</w:t>
      </w:r>
      <w:r>
        <w:rPr>
          <w:rFonts w:hint="eastAsia"/>
        </w:rPr>
        <w:t>别观点的、跨机构的、关怀和照顾贫困妇女的整体进程。方案建议加强贫困妇女的个人和集体能力，提高她们的技术技能和劳动技能，从而使她们能够在平等和同等的条件下加入劳动力市场或者参加生产活动。</w:t>
      </w:r>
    </w:p>
    <w:p w:rsidR="00000000" w:rsidRDefault="00CA422F">
      <w:pPr>
        <w:spacing w:after="240" w:line="360" w:lineRule="atLeast"/>
        <w:rPr>
          <w:rFonts w:hint="eastAsia"/>
        </w:rPr>
      </w:pPr>
      <w:r>
        <w:rPr>
          <w:rFonts w:hint="eastAsia"/>
        </w:rPr>
        <w:t>69</w:t>
      </w:r>
      <w:r>
        <w:rPr>
          <w:rFonts w:hint="eastAsia"/>
        </w:rPr>
        <w:t>．</w:t>
      </w:r>
      <w:r>
        <w:rPr>
          <w:rFonts w:hint="eastAsia"/>
        </w:rPr>
        <w:t>Piedra</w:t>
      </w:r>
      <w:r>
        <w:rPr>
          <w:rFonts w:hint="eastAsia"/>
        </w:rPr>
        <w:t>认为（</w:t>
      </w:r>
      <w:r>
        <w:rPr>
          <w:rFonts w:hint="eastAsia"/>
        </w:rPr>
        <w:t>2001</w:t>
      </w:r>
      <w:r>
        <w:rPr>
          <w:rFonts w:hint="eastAsia"/>
        </w:rPr>
        <w:t>年），在现阶段，“共同发展方案”的一项最重要的成果就是，法律承认以妇女自身特殊性为出发点指导促进妇女进步的公共政策行动的重要意义。</w:t>
      </w:r>
      <w:r>
        <w:rPr>
          <w:rFonts w:hint="eastAsia"/>
        </w:rPr>
        <w:t xml:space="preserve"> </w:t>
      </w:r>
      <w:r>
        <w:rPr>
          <w:rFonts w:hint="eastAsia"/>
        </w:rPr>
        <w:t>同样，在哥斯达黎加的公共日程中出现了有关制订促进平等与公平的公共政策的讨论。另一方面，它还使人们认识到许多重要的人口群体——特别是妇女、女童、男童和老年人——遭遇</w:t>
      </w:r>
      <w:r>
        <w:rPr>
          <w:rFonts w:hint="eastAsia"/>
        </w:rPr>
        <w:t>的物质与文化上的不平等。另一项成就是《贫困妇女关注法》的生效。它是一种重要的法律手段并为继续实施“共同发展方案”提供了法律保障。另外，在落实“共同发展方案”方面也取得了成果。全国共有</w:t>
      </w:r>
      <w:r>
        <w:rPr>
          <w:rFonts w:hint="eastAsia"/>
        </w:rPr>
        <w:t>14 532</w:t>
      </w:r>
      <w:r>
        <w:rPr>
          <w:rFonts w:hint="eastAsia"/>
        </w:rPr>
        <w:t>名妇女接受了培训，了解了她们作为公民的权利，而且她们的个人能力和集体能力都得到了提高。围绕着一个创收计划，成立了</w:t>
      </w:r>
      <w:r>
        <w:rPr>
          <w:rFonts w:hint="eastAsia"/>
        </w:rPr>
        <w:t>114</w:t>
      </w:r>
      <w:r>
        <w:rPr>
          <w:rFonts w:hint="eastAsia"/>
        </w:rPr>
        <w:t>个有组织的妇女小组；而且许多妇女还自己办理手续参加各种不同的技术和教育培训。</w:t>
      </w:r>
    </w:p>
    <w:p w:rsidR="00000000" w:rsidRDefault="00CA422F">
      <w:pPr>
        <w:spacing w:after="240" w:line="360" w:lineRule="atLeast"/>
      </w:pPr>
      <w:r>
        <w:rPr>
          <w:rFonts w:hint="eastAsia"/>
        </w:rPr>
        <w:t>70</w:t>
      </w:r>
      <w:r>
        <w:rPr>
          <w:rFonts w:hint="eastAsia"/>
        </w:rPr>
        <w:t>．尽管如此，</w:t>
      </w:r>
      <w:r>
        <w:rPr>
          <w:rFonts w:hint="eastAsia"/>
        </w:rPr>
        <w:t>Piedra</w:t>
      </w:r>
      <w:r>
        <w:rPr>
          <w:rFonts w:hint="eastAsia"/>
        </w:rPr>
        <w:t>也指出了加强“共同发展方案”所必须面对的整体挑战。这就是利用新制度的能力发展来克服现有的意识形</w:t>
      </w:r>
      <w:r>
        <w:rPr>
          <w:rFonts w:hint="eastAsia"/>
        </w:rPr>
        <w:t>态、物质资源和人力资源的限制。同时，正如本报告提出的那样，《贫困妇女关注法》建议的整体照顾进程如果想取得成果，至少应该在更重要的级别上让参与机构下放资源并划分它们的行动领域；以及促进明确提出方案的地区化建议；并由方案的目标人群和民间社会共同组建方案的监督和评估机制。</w:t>
      </w:r>
    </w:p>
    <w:p w:rsidR="00000000" w:rsidRDefault="00CA422F">
      <w:pPr>
        <w:spacing w:after="240" w:line="360" w:lineRule="atLeast"/>
        <w:rPr>
          <w:rFonts w:hint="eastAsia"/>
        </w:rPr>
      </w:pPr>
      <w:r>
        <w:rPr>
          <w:rFonts w:hint="eastAsia"/>
        </w:rPr>
        <w:t>71</w:t>
      </w:r>
      <w:r>
        <w:rPr>
          <w:rFonts w:hint="eastAsia"/>
        </w:rPr>
        <w:t>．在过去十年中，妇女参与劳动力市场的比率虽然有所增加，但是仍然处于非常不利的地位，需要面对劳动条件中因性别而造成的更大的歧视和伤害。这十年中，女性劳动力使用不足情况明显大于男性，具体表现为较高的公开失业和明显的就业不足。</w:t>
      </w:r>
      <w:r>
        <w:rPr>
          <w:rFonts w:hint="eastAsia"/>
        </w:rPr>
        <w:t>1999</w:t>
      </w:r>
      <w:r>
        <w:rPr>
          <w:rFonts w:hint="eastAsia"/>
        </w:rPr>
        <w:t>年女性使用不</w:t>
      </w:r>
      <w:r>
        <w:rPr>
          <w:rFonts w:hint="eastAsia"/>
        </w:rPr>
        <w:t>足和男性使用不足相差</w:t>
      </w:r>
      <w:r>
        <w:rPr>
          <w:rFonts w:hint="eastAsia"/>
        </w:rPr>
        <w:t>4.5%</w:t>
      </w:r>
      <w:r>
        <w:rPr>
          <w:rFonts w:hint="eastAsia"/>
        </w:rPr>
        <w:t>，而</w:t>
      </w:r>
      <w:r>
        <w:rPr>
          <w:rFonts w:hint="eastAsia"/>
        </w:rPr>
        <w:t>1990</w:t>
      </w:r>
      <w:r>
        <w:rPr>
          <w:rFonts w:hint="eastAsia"/>
        </w:rPr>
        <w:t>年两者之间的差异只有</w:t>
      </w:r>
      <w:r>
        <w:rPr>
          <w:rFonts w:hint="eastAsia"/>
        </w:rPr>
        <w:t>2.5%</w:t>
      </w:r>
      <w:r>
        <w:rPr>
          <w:rFonts w:hint="eastAsia"/>
        </w:rPr>
        <w:t>（民族国家计划，</w:t>
      </w:r>
      <w:r>
        <w:rPr>
          <w:rFonts w:hint="eastAsia"/>
        </w:rPr>
        <w:t>2000</w:t>
      </w:r>
      <w:r>
        <w:rPr>
          <w:rFonts w:hint="eastAsia"/>
        </w:rPr>
        <w:t>年）。另一方面，集中在自营职业领域的女性为数众多。这种就业模式使她们变成了一个巨大的弱势群体，因为其中大部分妇女主要集中在生产力落后的行业和满足生活基本需求的行业。这些行业中的劳动条件极为有限，在不少情况下都是自营职业、低收入和低劳保的行业。</w:t>
      </w:r>
    </w:p>
    <w:p w:rsidR="00000000" w:rsidRDefault="00CA422F">
      <w:pPr>
        <w:spacing w:after="240" w:line="360" w:lineRule="atLeast"/>
        <w:rPr>
          <w:rFonts w:hint="eastAsia"/>
        </w:rPr>
      </w:pPr>
      <w:r>
        <w:rPr>
          <w:rFonts w:hint="eastAsia"/>
        </w:rPr>
        <w:t>72</w:t>
      </w:r>
      <w:r>
        <w:rPr>
          <w:rFonts w:hint="eastAsia"/>
        </w:rPr>
        <w:t>．上述男女不平等现象同样体现在男女之间的收入和工资差距上。在过去十年中，男女之间的工资差距的确有一定程度的缩减，但是这种因性别而造成的差异仍然存在于几乎所有的职位和各种受教</w:t>
      </w:r>
      <w:r>
        <w:rPr>
          <w:rFonts w:hint="eastAsia"/>
        </w:rPr>
        <w:t>育程度之中。而那些女性就业人口密集的行业（个人服务、商人和售货员）中的男女收入差异则有所加深，甚至达到了</w:t>
      </w:r>
      <w:r>
        <w:rPr>
          <w:rFonts w:hint="eastAsia"/>
        </w:rPr>
        <w:t>70%</w:t>
      </w:r>
      <w:r>
        <w:rPr>
          <w:rFonts w:hint="eastAsia"/>
        </w:rPr>
        <w:t>（哥斯达黎加国家人口与统计局，</w:t>
      </w:r>
      <w:r>
        <w:rPr>
          <w:rFonts w:hint="eastAsia"/>
        </w:rPr>
        <w:t>2001</w:t>
      </w:r>
      <w:r>
        <w:rPr>
          <w:rFonts w:hint="eastAsia"/>
        </w:rPr>
        <w:t>年）。</w:t>
      </w:r>
    </w:p>
    <w:p w:rsidR="00000000" w:rsidRDefault="00CA422F">
      <w:pPr>
        <w:spacing w:after="240" w:line="360" w:lineRule="atLeast"/>
        <w:rPr>
          <w:rFonts w:hint="eastAsia"/>
        </w:rPr>
      </w:pPr>
      <w:r>
        <w:rPr>
          <w:rFonts w:hint="eastAsia"/>
        </w:rPr>
        <w:t>73</w:t>
      </w:r>
      <w:r>
        <w:rPr>
          <w:rFonts w:hint="eastAsia"/>
        </w:rPr>
        <w:t>．上述问题反映出将女性赶回各自的家庭领域照顾子女，而将男性看作充满责任感的支撑者，由他们担任公共领域和包括家庭在内的私人领域的决策者的观念仍然广泛存在。这种对世界的理解方式限制了女性，使其无法完全参与劳动力市场，在就业过程中造成了两性分离，保持了男女之间的收入差异，并隐蔽了女性对国家生产所做出的经济贡献。</w:t>
      </w:r>
      <w:r>
        <w:rPr>
          <w:rFonts w:hint="eastAsia"/>
        </w:rPr>
        <w:t>50%</w:t>
      </w:r>
      <w:r>
        <w:rPr>
          <w:rFonts w:hint="eastAsia"/>
        </w:rPr>
        <w:t>以上的女性劳动者因为需要承担家庭和个人责</w:t>
      </w:r>
      <w:r>
        <w:rPr>
          <w:rFonts w:hint="eastAsia"/>
        </w:rPr>
        <w:t>任而无法延长劳动时间，遇到同等水平问题的男性却人数极少（哥斯达黎加国家人口与统计局，</w:t>
      </w:r>
      <w:r>
        <w:rPr>
          <w:rFonts w:hint="eastAsia"/>
        </w:rPr>
        <w:t>2001</w:t>
      </w:r>
      <w:r>
        <w:rPr>
          <w:rFonts w:hint="eastAsia"/>
        </w:rPr>
        <w:t>年）。职位结构离实现男女数量相当的目标还十分遥远，因为大量的女性劳动者仍然从事着同传统的女性角色相称的收入较低的职业。</w:t>
      </w:r>
    </w:p>
    <w:p w:rsidR="00000000" w:rsidRDefault="00CA422F">
      <w:pPr>
        <w:spacing w:after="240" w:line="360" w:lineRule="atLeast"/>
        <w:rPr>
          <w:rFonts w:hint="eastAsia"/>
        </w:rPr>
      </w:pPr>
      <w:r>
        <w:rPr>
          <w:rFonts w:hint="eastAsia"/>
        </w:rPr>
        <w:t>74</w:t>
      </w:r>
      <w:r>
        <w:rPr>
          <w:rFonts w:hint="eastAsia"/>
        </w:rPr>
        <w:t>．在教育体系内，虽然过去十年中的几届政府都先后采取了一系列消除教育中的性别歧视的措施，但在各个教育机构的教学实践中仍然在重复着以某个性别为主的现象。这种人为的因素又造成了诸如大学和技术学院中的职业选择等后期的性别分离现象。国立大学注册的女性人数要高于男性，但是不少教学领域仍然存在着性别分离现象（</w:t>
      </w:r>
      <w:r>
        <w:rPr>
          <w:rFonts w:hint="eastAsia"/>
        </w:rPr>
        <w:t>哥斯达黎加大学，</w:t>
      </w:r>
      <w:r>
        <w:rPr>
          <w:rFonts w:hint="eastAsia"/>
        </w:rPr>
        <w:t>2001</w:t>
      </w:r>
      <w:r>
        <w:rPr>
          <w:rFonts w:hint="eastAsia"/>
        </w:rPr>
        <w:t>年）。应该说这种分离的确有所减弱——过去十年中为</w:t>
      </w:r>
      <w:r>
        <w:rPr>
          <w:rFonts w:hint="eastAsia"/>
        </w:rPr>
        <w:t>16.5</w:t>
      </w:r>
      <w:r>
        <w:t>%</w:t>
      </w:r>
      <w:r>
        <w:rPr>
          <w:rFonts w:hint="eastAsia"/>
        </w:rPr>
        <w:t>，但是这种性别分离现象的存在却导致了对“优秀视而不见”等现象继续存在。初等技术教育和国家职业学院中的性别分离现象最为严重，几乎达到了近</w:t>
      </w:r>
      <w:r>
        <w:rPr>
          <w:rFonts w:hint="eastAsia"/>
        </w:rPr>
        <w:t>21%</w:t>
      </w:r>
      <w:r>
        <w:rPr>
          <w:rFonts w:hint="eastAsia"/>
        </w:rPr>
        <w:t>，而女性只占注册总人数的</w:t>
      </w:r>
      <w:r>
        <w:rPr>
          <w:rFonts w:hint="eastAsia"/>
        </w:rPr>
        <w:t>45%</w:t>
      </w:r>
      <w:r>
        <w:rPr>
          <w:rFonts w:hint="eastAsia"/>
        </w:rPr>
        <w:t>（民族国家计划，</w:t>
      </w:r>
      <w:r>
        <w:rPr>
          <w:rFonts w:hint="eastAsia"/>
        </w:rPr>
        <w:t>2001</w:t>
      </w:r>
      <w:r>
        <w:rPr>
          <w:rFonts w:hint="eastAsia"/>
        </w:rPr>
        <w:t>年）。</w:t>
      </w:r>
    </w:p>
    <w:p w:rsidR="00000000" w:rsidRDefault="00CA422F">
      <w:pPr>
        <w:spacing w:after="240" w:line="360" w:lineRule="atLeast"/>
        <w:rPr>
          <w:rFonts w:hint="eastAsia"/>
          <w:lang w:val="es-ES"/>
        </w:rPr>
      </w:pPr>
      <w:r>
        <w:rPr>
          <w:rFonts w:hint="eastAsia"/>
        </w:rPr>
        <w:t>75</w:t>
      </w:r>
      <w:r>
        <w:rPr>
          <w:rFonts w:hint="eastAsia"/>
        </w:rPr>
        <w:t>．妇女在卫生保健，特别是性与生殖保健服务等方面取得的进步已经得到了广泛的承认。然而，向消除对妇女歧视委员会递交的第一次定期报告却承认，在妇女的医疗卫生保健方面仍然存在着关心不够和明显的“药物治疗过度”的现象，这便是造成女性发</w:t>
      </w:r>
      <w:r>
        <w:rPr>
          <w:rFonts w:hint="eastAsia"/>
        </w:rPr>
        <w:t>病率和死亡率上升的主要原因。</w:t>
      </w:r>
      <w:r>
        <w:rPr>
          <w:rFonts w:hint="eastAsia"/>
        </w:rPr>
        <w:t>1998</w:t>
      </w:r>
      <w:r>
        <w:rPr>
          <w:rFonts w:hint="eastAsia"/>
        </w:rPr>
        <w:t>年以来，从女性整体健康和全面考虑女性在各个生理周期的需求和兴趣的关注模式出发，开始采取一系列的促进措施。这些措施的主要表现已经在</w:t>
      </w:r>
      <w:r>
        <w:rPr>
          <w:rFonts w:hint="eastAsia"/>
          <w:lang w:val="es-ES"/>
        </w:rPr>
        <w:t>宫颈癌和乳腺癌全国防治计划中一一陈述。根据上面提到的可供选择的模式创建了国家妇女医院，通过保护包括专业咨询和自愿接受节育手术在内的女性权利的一项行政法令承认这些措施，并加强对保障上述模式顺利推行的战略领域的医疗保健人员进行调查和培训。</w:t>
      </w:r>
    </w:p>
    <w:p w:rsidR="00000000" w:rsidRDefault="00CA422F">
      <w:pPr>
        <w:spacing w:after="240" w:line="360" w:lineRule="atLeast"/>
        <w:rPr>
          <w:rFonts w:hint="eastAsia"/>
          <w:lang w:val="es-ES"/>
        </w:rPr>
      </w:pPr>
      <w:r>
        <w:rPr>
          <w:rFonts w:hint="eastAsia"/>
          <w:lang w:val="es-ES"/>
        </w:rPr>
        <w:t>76</w:t>
      </w:r>
      <w:r>
        <w:rPr>
          <w:rFonts w:hint="eastAsia"/>
          <w:lang w:val="es-ES"/>
        </w:rPr>
        <w:t>．女性整体健康模式将医疗保健作为一项社会生产活动，因此必须将每位女性的生活环境和来自社会的确定因素考虑在内，</w:t>
      </w:r>
      <w:r>
        <w:rPr>
          <w:rFonts w:hint="eastAsia"/>
          <w:lang w:val="es-ES"/>
        </w:rPr>
        <w:t>并将其作为卫生部门改革和国家现代化的有机组成部分。该模式促进卫生部门创造一系列的条件来保障妇女在各个领域都能享受高质量的保健服务，同时引入性别观点和社会参与，让妇女在职业培训、能力培养、参与决策职位和其它方面享有各类有利于卫生保健的权利。国家妇女医院为实现这方面的目标制订了九项主要计划：性与生殖保健服务计划；心理健康计划；性别暴力计划；毒品、烟草和酒精计划；少女怀孕计划；艾滋病及其它性传播疾病计划；更年期、绝经期和绝经后计划；宫颈癌和乳腺癌计划以及卫生、社区和环境计划。</w:t>
      </w:r>
    </w:p>
    <w:p w:rsidR="00000000" w:rsidRDefault="00CA422F">
      <w:pPr>
        <w:spacing w:after="240" w:line="360" w:lineRule="atLeast"/>
        <w:rPr>
          <w:rFonts w:hint="eastAsia"/>
          <w:lang w:val="es-ES"/>
        </w:rPr>
      </w:pPr>
      <w:r>
        <w:rPr>
          <w:rFonts w:hint="eastAsia"/>
          <w:lang w:val="es-ES"/>
        </w:rPr>
        <w:t>77</w:t>
      </w:r>
      <w:r>
        <w:rPr>
          <w:rFonts w:hint="eastAsia"/>
          <w:lang w:val="es-ES"/>
        </w:rPr>
        <w:t>．虽然不少提案仍在不断提出患病妇</w:t>
      </w:r>
      <w:r>
        <w:rPr>
          <w:rFonts w:hint="eastAsia"/>
          <w:lang w:val="es-ES"/>
        </w:rPr>
        <w:t>女的医疗保健需求，对女性生理周期的自然过程仍在采取“药物治疗”等方式，但是前进的道路依然十分漫长。对女性保健的有效实施意味着，需要面对至今仍然无法获得全面而及时关注的女性卫生保健方面存在的严重问题：</w:t>
      </w:r>
    </w:p>
    <w:p w:rsidR="00000000" w:rsidRDefault="00CA422F">
      <w:pPr>
        <w:numPr>
          <w:ilvl w:val="0"/>
          <w:numId w:val="806"/>
        </w:numPr>
        <w:tabs>
          <w:tab w:val="clear" w:pos="720"/>
          <w:tab w:val="num" w:pos="960"/>
        </w:tabs>
        <w:spacing w:after="240" w:line="360" w:lineRule="atLeast"/>
        <w:ind w:left="960" w:hanging="480"/>
        <w:rPr>
          <w:rFonts w:hint="eastAsia"/>
          <w:lang w:val="es-ES"/>
        </w:rPr>
      </w:pPr>
      <w:r>
        <w:rPr>
          <w:rFonts w:hint="eastAsia"/>
          <w:lang w:val="es-ES"/>
        </w:rPr>
        <w:t>女童和少女的营养不良状况要好于同一年龄阶段的男性，但是却面临着过度肥胖和体重过高的危险。造成这一现象的相关原因中主要有饮食习惯和肢体活动较少两个原因。</w:t>
      </w:r>
    </w:p>
    <w:p w:rsidR="00000000" w:rsidRDefault="00CA422F">
      <w:pPr>
        <w:numPr>
          <w:ilvl w:val="0"/>
          <w:numId w:val="806"/>
        </w:numPr>
        <w:tabs>
          <w:tab w:val="clear" w:pos="720"/>
          <w:tab w:val="num" w:pos="960"/>
        </w:tabs>
        <w:spacing w:after="240" w:line="360" w:lineRule="atLeast"/>
        <w:ind w:left="960" w:hanging="480"/>
        <w:rPr>
          <w:rFonts w:hint="eastAsia"/>
        </w:rPr>
      </w:pPr>
      <w:r>
        <w:rPr>
          <w:rFonts w:hint="eastAsia"/>
        </w:rPr>
        <w:t>27913-S</w:t>
      </w:r>
      <w:r>
        <w:rPr>
          <w:rFonts w:hint="eastAsia"/>
        </w:rPr>
        <w:t>号行政法令为承认妇女享有自由、负责、安全而无暴力地接受节育手术的权利奠定了坚实的基础。然而，仍然存在一些需要</w:t>
      </w:r>
      <w:r>
        <w:rPr>
          <w:rFonts w:hint="eastAsia"/>
          <w:lang w:val="es-ES"/>
        </w:rPr>
        <w:t>解决</w:t>
      </w:r>
      <w:r>
        <w:rPr>
          <w:rFonts w:hint="eastAsia"/>
        </w:rPr>
        <w:t>的问题。其中之一便是哥斯达黎加社会</w:t>
      </w:r>
      <w:r>
        <w:rPr>
          <w:rFonts w:hint="eastAsia"/>
        </w:rPr>
        <w:t>保险公司（</w:t>
      </w:r>
      <w:r>
        <w:rPr>
          <w:rFonts w:hint="eastAsia"/>
        </w:rPr>
        <w:t>CCSS</w:t>
      </w:r>
      <w:r>
        <w:rPr>
          <w:rFonts w:hint="eastAsia"/>
        </w:rPr>
        <w:t>）对男性依照该行政法令的规定申请输精管结扎手术设置了一定的障碍，这一举动表明哥斯达黎加社会保险公司仍然认为应该由女性承担计划生育责任。根据哥斯达黎加社会保险公司提供的数据，</w:t>
      </w:r>
      <w:r>
        <w:rPr>
          <w:rFonts w:hint="eastAsia"/>
        </w:rPr>
        <w:t>2000</w:t>
      </w:r>
      <w:r>
        <w:rPr>
          <w:rFonts w:hint="eastAsia"/>
        </w:rPr>
        <w:t>年接受节育手术的女性为</w:t>
      </w:r>
      <w:r>
        <w:rPr>
          <w:rFonts w:hint="eastAsia"/>
        </w:rPr>
        <w:t>15 178</w:t>
      </w:r>
      <w:r>
        <w:rPr>
          <w:rFonts w:hint="eastAsia"/>
        </w:rPr>
        <w:t>人，而男性只有</w:t>
      </w:r>
      <w:r>
        <w:rPr>
          <w:rFonts w:hint="eastAsia"/>
        </w:rPr>
        <w:t>105</w:t>
      </w:r>
      <w:r>
        <w:rPr>
          <w:rFonts w:hint="eastAsia"/>
        </w:rPr>
        <w:t>人；这些数据似乎证实了实际操作中存在的问题，虽然决定接受节育手术的女性仍然无法对这一问题进行咨询。</w:t>
      </w:r>
    </w:p>
    <w:p w:rsidR="00000000" w:rsidRDefault="00CA422F">
      <w:pPr>
        <w:numPr>
          <w:ilvl w:val="0"/>
          <w:numId w:val="806"/>
        </w:numPr>
        <w:tabs>
          <w:tab w:val="clear" w:pos="720"/>
          <w:tab w:val="num" w:pos="960"/>
        </w:tabs>
        <w:spacing w:after="240" w:line="360" w:lineRule="atLeast"/>
        <w:ind w:left="960" w:hanging="480"/>
        <w:rPr>
          <w:rFonts w:hint="eastAsia"/>
        </w:rPr>
      </w:pPr>
      <w:r>
        <w:rPr>
          <w:rFonts w:hint="eastAsia"/>
        </w:rPr>
        <w:t>过去十年中</w:t>
      </w:r>
      <w:r>
        <w:rPr>
          <w:rFonts w:hint="eastAsia"/>
        </w:rPr>
        <w:t>20</w:t>
      </w:r>
      <w:r>
        <w:rPr>
          <w:rFonts w:hint="eastAsia"/>
        </w:rPr>
        <w:t>岁以下的少女母亲人数有所增加，从</w:t>
      </w:r>
      <w:r>
        <w:rPr>
          <w:rFonts w:hint="eastAsia"/>
        </w:rPr>
        <w:t>15.8%</w:t>
      </w:r>
      <w:r>
        <w:rPr>
          <w:rFonts w:hint="eastAsia"/>
        </w:rPr>
        <w:t>增至</w:t>
      </w:r>
      <w:r>
        <w:rPr>
          <w:rFonts w:hint="eastAsia"/>
        </w:rPr>
        <w:t>20.4%</w:t>
      </w:r>
      <w:r>
        <w:rPr>
          <w:rFonts w:hint="eastAsia"/>
        </w:rPr>
        <w:t>，患有性传播疾病的女性人数也呈现出上述趋势。这种变化同避孕措施的采用不无关系。</w:t>
      </w:r>
      <w:r>
        <w:rPr>
          <w:rFonts w:hint="eastAsia"/>
        </w:rPr>
        <w:t>1999</w:t>
      </w:r>
      <w:r>
        <w:rPr>
          <w:rFonts w:hint="eastAsia"/>
        </w:rPr>
        <w:t>年的</w:t>
      </w:r>
      <w:r>
        <w:rPr>
          <w:rFonts w:hint="eastAsia"/>
        </w:rPr>
        <w:t>全国生殖保健统计</w:t>
      </w:r>
      <w:r>
        <w:rPr>
          <w:rStyle w:val="FootnoteReference"/>
        </w:rPr>
        <w:footnoteReference w:customMarkFollows="1" w:id="7"/>
        <w:t>6</w:t>
      </w:r>
      <w:r>
        <w:rPr>
          <w:rFonts w:hint="eastAsia"/>
        </w:rPr>
        <w:t>表明避孕套的使用有所减少，而年轻女性以荷尔蒙避孕为主的避孕措施的使用率却有所上升。</w:t>
      </w:r>
    </w:p>
    <w:p w:rsidR="00000000" w:rsidRDefault="00CA422F">
      <w:pPr>
        <w:numPr>
          <w:ilvl w:val="0"/>
          <w:numId w:val="806"/>
        </w:numPr>
        <w:tabs>
          <w:tab w:val="clear" w:pos="720"/>
          <w:tab w:val="num" w:pos="960"/>
        </w:tabs>
        <w:spacing w:after="240" w:line="360" w:lineRule="atLeast"/>
        <w:ind w:left="960" w:hanging="480"/>
        <w:rPr>
          <w:rFonts w:hint="eastAsia"/>
        </w:rPr>
      </w:pPr>
      <w:r>
        <w:rPr>
          <w:rFonts w:hint="eastAsia"/>
        </w:rPr>
        <w:t>女性和未成年男性在获取信息和家庭计划模式方面仍然存在着一定的障碍，而女性在怀孕期间获得保健服务和随后健康状况检查等方面也存在一定的问题。</w:t>
      </w:r>
    </w:p>
    <w:p w:rsidR="00000000" w:rsidRDefault="00CA422F">
      <w:pPr>
        <w:numPr>
          <w:ilvl w:val="0"/>
          <w:numId w:val="806"/>
        </w:numPr>
        <w:tabs>
          <w:tab w:val="clear" w:pos="720"/>
          <w:tab w:val="num" w:pos="960"/>
        </w:tabs>
        <w:spacing w:after="240" w:line="360" w:lineRule="atLeast"/>
        <w:ind w:left="960" w:hanging="480"/>
        <w:rPr>
          <w:rFonts w:hint="eastAsia"/>
        </w:rPr>
      </w:pPr>
      <w:r>
        <w:rPr>
          <w:rFonts w:hint="eastAsia"/>
        </w:rPr>
        <w:t>对分娩女性的关注也存在一定问题。目前，哥斯达黎加的婴儿出生率虽然有所下降，但是剖腹产的比率却一直居高不下。</w:t>
      </w:r>
    </w:p>
    <w:p w:rsidR="00000000" w:rsidRDefault="00CA422F">
      <w:pPr>
        <w:numPr>
          <w:ilvl w:val="0"/>
          <w:numId w:val="806"/>
        </w:numPr>
        <w:tabs>
          <w:tab w:val="clear" w:pos="720"/>
          <w:tab w:val="num" w:pos="960"/>
        </w:tabs>
        <w:spacing w:after="240" w:line="360" w:lineRule="atLeast"/>
        <w:ind w:left="960" w:hanging="480"/>
        <w:rPr>
          <w:rFonts w:hint="eastAsia"/>
        </w:rPr>
      </w:pPr>
      <w:r>
        <w:rPr>
          <w:rFonts w:hint="eastAsia"/>
        </w:rPr>
        <w:t>对因压抑而造成的精神疾病及其治疗方法关注不够十分突出。</w:t>
      </w:r>
    </w:p>
    <w:p w:rsidR="00000000" w:rsidRDefault="00CA422F">
      <w:pPr>
        <w:numPr>
          <w:ilvl w:val="0"/>
          <w:numId w:val="806"/>
        </w:numPr>
        <w:tabs>
          <w:tab w:val="clear" w:pos="720"/>
          <w:tab w:val="num" w:pos="960"/>
        </w:tabs>
        <w:spacing w:after="240" w:line="360" w:lineRule="atLeast"/>
        <w:ind w:left="960" w:hanging="480"/>
        <w:rPr>
          <w:rFonts w:hint="eastAsia"/>
        </w:rPr>
      </w:pPr>
      <w:r>
        <w:rPr>
          <w:rFonts w:hint="eastAsia"/>
        </w:rPr>
        <w:t>卫生部门在改革过程中的确采用了促进决策中更为广泛的社会参与机制，但是，妇女仍然不是这些参与人员的主要构成部分</w:t>
      </w:r>
      <w:r>
        <w:rPr>
          <w:rFonts w:hint="eastAsia"/>
        </w:rPr>
        <w:t>。此外，虽然已经确立了一项妇女健康整体关注模式，但是，同女性医疗保健相关的需求和利益基本上仍然无法纳入公共政策和主要的部门机制涉及的范围之内。</w:t>
      </w:r>
    </w:p>
    <w:p w:rsidR="00000000" w:rsidRDefault="00CA422F">
      <w:pPr>
        <w:numPr>
          <w:ilvl w:val="0"/>
          <w:numId w:val="806"/>
        </w:numPr>
        <w:tabs>
          <w:tab w:val="clear" w:pos="720"/>
          <w:tab w:val="num" w:pos="960"/>
        </w:tabs>
        <w:spacing w:after="240" w:line="360" w:lineRule="atLeast"/>
        <w:ind w:left="960" w:hanging="480"/>
        <w:rPr>
          <w:rFonts w:hint="eastAsia"/>
        </w:rPr>
      </w:pPr>
      <w:r>
        <w:rPr>
          <w:rFonts w:hint="eastAsia"/>
        </w:rPr>
        <w:t>虽然哥斯达黎加已经通过了《残疾人机会平等法》，但是对女性残疾人的关心仍然处于边缘地带。根据</w:t>
      </w:r>
      <w:r>
        <w:rPr>
          <w:rFonts w:hint="eastAsia"/>
        </w:rPr>
        <w:t>2000</w:t>
      </w:r>
      <w:r>
        <w:rPr>
          <w:rFonts w:hint="eastAsia"/>
        </w:rPr>
        <w:t>年人口普查提供的数据，每</w:t>
      </w:r>
      <w:r>
        <w:rPr>
          <w:rFonts w:hint="eastAsia"/>
        </w:rPr>
        <w:t>20</w:t>
      </w:r>
      <w:r>
        <w:rPr>
          <w:rFonts w:hint="eastAsia"/>
        </w:rPr>
        <w:t>名哥斯达黎加公民中就有一人遭受着各种残疾的折磨。随着年龄的增加上述数据也出现了一定的增长，而且残疾人士中男性比率</w:t>
      </w:r>
      <w:r>
        <w:rPr>
          <w:rStyle w:val="FootnoteReference"/>
        </w:rPr>
        <w:footnoteReference w:customMarkFollows="1" w:id="8"/>
        <w:t>7</w:t>
      </w:r>
      <w:r>
        <w:rPr>
          <w:rFonts w:hint="eastAsia"/>
        </w:rPr>
        <w:t>高于女性（分别为</w:t>
      </w:r>
      <w:r>
        <w:rPr>
          <w:rFonts w:hint="eastAsia"/>
        </w:rPr>
        <w:t>55.3</w:t>
      </w:r>
      <w:r>
        <w:rPr>
          <w:rFonts w:hint="eastAsia"/>
        </w:rPr>
        <w:t>和</w:t>
      </w:r>
      <w:r>
        <w:rPr>
          <w:rFonts w:hint="eastAsia"/>
        </w:rPr>
        <w:t>51.6</w:t>
      </w:r>
      <w:r>
        <w:rPr>
          <w:rFonts w:hint="eastAsia"/>
        </w:rPr>
        <w:t>）。男性最常见的残疾为失明，而女性的残疾形式却复杂多样（哥斯达黎加国家人口与统计局，</w:t>
      </w:r>
      <w:r>
        <w:rPr>
          <w:rFonts w:hint="eastAsia"/>
        </w:rPr>
        <w:t>2001</w:t>
      </w:r>
      <w:r>
        <w:rPr>
          <w:rFonts w:hint="eastAsia"/>
        </w:rPr>
        <w:t>年</w:t>
      </w:r>
      <w:r>
        <w:rPr>
          <w:rFonts w:hint="eastAsia"/>
        </w:rPr>
        <w:t>）。</w:t>
      </w:r>
    </w:p>
    <w:p w:rsidR="00000000" w:rsidRDefault="00CA422F">
      <w:pPr>
        <w:spacing w:after="240" w:line="360" w:lineRule="atLeast"/>
        <w:rPr>
          <w:rFonts w:hint="eastAsia"/>
        </w:rPr>
      </w:pPr>
      <w:r>
        <w:rPr>
          <w:rFonts w:hint="eastAsia"/>
        </w:rPr>
        <w:t>78</w:t>
      </w:r>
      <w:r>
        <w:rPr>
          <w:rFonts w:hint="eastAsia"/>
        </w:rPr>
        <w:t>．虽然哥斯达黎加已经做出了上述的各项努力，但是这一方面仍然存在着一定的抵触现象，主要表现为医疗保健部门当局及其工作人员对女性健康持保守观念和实际工作中对女性人权的践踏行为。虽然从范围上来看已经有所拓宽，但是其重点仍然集中在同女性的生殖保健相关的领域。</w:t>
      </w:r>
    </w:p>
    <w:p w:rsidR="00000000" w:rsidRDefault="00CA422F">
      <w:pPr>
        <w:spacing w:after="240" w:line="360" w:lineRule="atLeast"/>
        <w:rPr>
          <w:rFonts w:hint="eastAsia"/>
        </w:rPr>
      </w:pPr>
      <w:r>
        <w:rPr>
          <w:rFonts w:hint="eastAsia"/>
        </w:rPr>
        <w:t>79</w:t>
      </w:r>
      <w:r>
        <w:rPr>
          <w:rFonts w:hint="eastAsia"/>
        </w:rPr>
        <w:t>．生殖保健领域出现的一个极为严重的问题便是少女母亲人数的不断上升，随着其他年龄段女性怀孕人数的降低，少女母亲在总出生率中占据了非常大的比率。少女母亲的出现会对这一群体的女性造成极为严重的后果，因为过早的怀孕会让她们错失许多机遇，因而这一群体将面临</w:t>
      </w:r>
      <w:r>
        <w:rPr>
          <w:rFonts w:hint="eastAsia"/>
        </w:rPr>
        <w:t>贫困化的危险。对这一问题的关注要求对性与生殖保健服务权利的相关立法进行审核、从家庭和教育机构的角度实现性别社会化、关注战略的有效性以及为这一年龄段的性行为的改变开展工作。哥斯达黎加大学妇女研究和调查中心对参与构筑机会计划的少女母亲开展的一项研究（</w:t>
      </w:r>
      <w:r>
        <w:rPr>
          <w:rFonts w:hint="eastAsia"/>
        </w:rPr>
        <w:t>2002</w:t>
      </w:r>
      <w:r>
        <w:rPr>
          <w:rFonts w:hint="eastAsia"/>
        </w:rPr>
        <w:t>年）表明，过早怀孕和这些少女作为母亲的生活在该计划中所占的比重相当大。</w:t>
      </w:r>
    </w:p>
    <w:p w:rsidR="00000000" w:rsidRDefault="00CA422F">
      <w:pPr>
        <w:spacing w:after="240" w:line="360" w:lineRule="atLeast"/>
        <w:rPr>
          <w:rFonts w:hint="eastAsia"/>
        </w:rPr>
      </w:pPr>
      <w:r>
        <w:rPr>
          <w:rFonts w:hint="eastAsia"/>
        </w:rPr>
        <w:t>80</w:t>
      </w:r>
      <w:r>
        <w:rPr>
          <w:rFonts w:hint="eastAsia"/>
        </w:rPr>
        <w:t>．在对这一问题的关注方面，少女母亲跨部门关注委员会、第一夫人办公室和国家妇女研究所从</w:t>
      </w:r>
      <w:r>
        <w:rPr>
          <w:rFonts w:hint="eastAsia"/>
        </w:rPr>
        <w:t>1999</w:t>
      </w:r>
      <w:r>
        <w:rPr>
          <w:rFonts w:hint="eastAsia"/>
        </w:rPr>
        <w:t>年起，共同开展了构筑机会计划。这项跨部门跨机制计划的主要目的在于加强少女母亲和怀孕少女的个</w:t>
      </w:r>
      <w:r>
        <w:rPr>
          <w:rFonts w:hint="eastAsia"/>
        </w:rPr>
        <w:t>人和社会化过程。该计划针对所有处于贫困境遇中的少女母亲和怀孕少女。从</w:t>
      </w:r>
      <w:r>
        <w:rPr>
          <w:rFonts w:hint="eastAsia"/>
        </w:rPr>
        <w:t>2002</w:t>
      </w:r>
      <w:r>
        <w:rPr>
          <w:rFonts w:hint="eastAsia"/>
        </w:rPr>
        <w:t>年起，对面临社会危险的女童和少女进行培训。除培训之外，还开展了一项提供整体服务的培训，旨在为医疗保健、正规教育、技术培训、照顾子女、开发劳动力市场中非传统领域和竞争性领域中新的培训选择等方面提供高质量的关注服务。</w:t>
      </w:r>
    </w:p>
    <w:p w:rsidR="00000000" w:rsidRDefault="00CA422F">
      <w:pPr>
        <w:spacing w:after="240" w:line="360" w:lineRule="atLeast"/>
        <w:rPr>
          <w:rFonts w:hint="eastAsia"/>
        </w:rPr>
      </w:pPr>
      <w:r>
        <w:rPr>
          <w:rFonts w:hint="eastAsia"/>
        </w:rPr>
        <w:t>81</w:t>
      </w:r>
      <w:r>
        <w:rPr>
          <w:rFonts w:hint="eastAsia"/>
        </w:rPr>
        <w:t>．哥斯达黎加最近几年开展的各项研究（</w:t>
      </w:r>
      <w:r>
        <w:t>Faerrón</w:t>
      </w:r>
      <w:r>
        <w:rPr>
          <w:rFonts w:hint="eastAsia"/>
        </w:rPr>
        <w:t>，</w:t>
      </w:r>
      <w:r>
        <w:rPr>
          <w:rFonts w:hint="eastAsia"/>
        </w:rPr>
        <w:t>2002</w:t>
      </w:r>
      <w:r>
        <w:rPr>
          <w:rFonts w:hint="eastAsia"/>
        </w:rPr>
        <w:t>年；</w:t>
      </w:r>
      <w:r>
        <w:t>Preinfalk</w:t>
      </w:r>
      <w:r>
        <w:rPr>
          <w:rFonts w:hint="eastAsia"/>
        </w:rPr>
        <w:t>，</w:t>
      </w:r>
      <w:r>
        <w:rPr>
          <w:rFonts w:hint="eastAsia"/>
        </w:rPr>
        <w:t>1998</w:t>
      </w:r>
      <w:r>
        <w:rPr>
          <w:rFonts w:hint="eastAsia"/>
        </w:rPr>
        <w:t>；</w:t>
      </w:r>
      <w:r>
        <w:t xml:space="preserve"> Rosero</w:t>
      </w:r>
      <w:r>
        <w:rPr>
          <w:rFonts w:hint="eastAsia"/>
        </w:rPr>
        <w:t>，</w:t>
      </w:r>
      <w:r>
        <w:rPr>
          <w:rFonts w:hint="eastAsia"/>
        </w:rPr>
        <w:t>2001</w:t>
      </w:r>
      <w:r>
        <w:rPr>
          <w:rFonts w:hint="eastAsia"/>
        </w:rPr>
        <w:t>）发现，将性教育纳入教育计划已经成为了引导情感发展、个人身份认同发展以及获得社会和个人尊重的价值观等</w:t>
      </w:r>
      <w:r>
        <w:rPr>
          <w:rFonts w:hint="eastAsia"/>
        </w:rPr>
        <w:t>方面又一重点。根据国家妇女研究所创建的生命轨迹和认同部门提供的数据，</w:t>
      </w:r>
      <w:r>
        <w:rPr>
          <w:rFonts w:hint="eastAsia"/>
        </w:rPr>
        <w:t>1990</w:t>
      </w:r>
      <w:r>
        <w:rPr>
          <w:rFonts w:hint="eastAsia"/>
        </w:rPr>
        <w:t>年哥斯达黎加全国共有</w:t>
      </w:r>
      <w:r>
        <w:rPr>
          <w:rFonts w:hint="eastAsia"/>
        </w:rPr>
        <w:t>360</w:t>
      </w:r>
      <w:r>
        <w:rPr>
          <w:rFonts w:hint="eastAsia"/>
        </w:rPr>
        <w:t>名</w:t>
      </w:r>
      <w:r>
        <w:rPr>
          <w:rFonts w:hint="eastAsia"/>
        </w:rPr>
        <w:t>15</w:t>
      </w:r>
      <w:r>
        <w:rPr>
          <w:rFonts w:hint="eastAsia"/>
        </w:rPr>
        <w:t>岁以下的少女母亲生育了孩子，而</w:t>
      </w:r>
      <w:r>
        <w:rPr>
          <w:rFonts w:hint="eastAsia"/>
        </w:rPr>
        <w:t>1999</w:t>
      </w:r>
      <w:r>
        <w:rPr>
          <w:rFonts w:hint="eastAsia"/>
        </w:rPr>
        <w:t>年这一人数增至</w:t>
      </w:r>
      <w:r>
        <w:rPr>
          <w:rFonts w:hint="eastAsia"/>
        </w:rPr>
        <w:t>597</w:t>
      </w:r>
      <w:r>
        <w:rPr>
          <w:rFonts w:hint="eastAsia"/>
        </w:rPr>
        <w:t>人。年龄在</w:t>
      </w:r>
      <w:r>
        <w:rPr>
          <w:rFonts w:hint="eastAsia"/>
        </w:rPr>
        <w:t>15</w:t>
      </w:r>
      <w:r>
        <w:rPr>
          <w:rFonts w:hint="eastAsia"/>
        </w:rPr>
        <w:t>至</w:t>
      </w:r>
      <w:r>
        <w:rPr>
          <w:rFonts w:hint="eastAsia"/>
        </w:rPr>
        <w:t>19</w:t>
      </w:r>
      <w:r>
        <w:rPr>
          <w:rFonts w:hint="eastAsia"/>
        </w:rPr>
        <w:t>岁之间的少女母亲的比例大致相似，</w:t>
      </w:r>
      <w:r>
        <w:rPr>
          <w:rFonts w:hint="eastAsia"/>
        </w:rPr>
        <w:t>1990</w:t>
      </w:r>
      <w:r>
        <w:rPr>
          <w:rFonts w:hint="eastAsia"/>
        </w:rPr>
        <w:t>年和</w:t>
      </w:r>
      <w:r>
        <w:rPr>
          <w:rFonts w:hint="eastAsia"/>
        </w:rPr>
        <w:t>1999</w:t>
      </w:r>
      <w:r>
        <w:rPr>
          <w:rFonts w:hint="eastAsia"/>
        </w:rPr>
        <w:t>年该年龄段的少女母亲人数分别为</w:t>
      </w:r>
      <w:r>
        <w:rPr>
          <w:rFonts w:hint="eastAsia"/>
        </w:rPr>
        <w:t>12 578</w:t>
      </w:r>
      <w:r>
        <w:rPr>
          <w:rFonts w:hint="eastAsia"/>
        </w:rPr>
        <w:t>人和</w:t>
      </w:r>
      <w:r>
        <w:rPr>
          <w:rFonts w:hint="eastAsia"/>
        </w:rPr>
        <w:t>15 444</w:t>
      </w:r>
      <w:r>
        <w:rPr>
          <w:rFonts w:hint="eastAsia"/>
        </w:rPr>
        <w:t>人。</w:t>
      </w:r>
    </w:p>
    <w:p w:rsidR="00000000" w:rsidRDefault="00CA422F">
      <w:pPr>
        <w:spacing w:after="240" w:line="360" w:lineRule="atLeast"/>
        <w:rPr>
          <w:rFonts w:hint="eastAsia"/>
        </w:rPr>
      </w:pPr>
      <w:r>
        <w:rPr>
          <w:rFonts w:hint="eastAsia"/>
        </w:rPr>
        <w:t>82</w:t>
      </w:r>
      <w:r>
        <w:rPr>
          <w:rFonts w:hint="eastAsia"/>
        </w:rPr>
        <w:t>．</w:t>
      </w:r>
      <w:r>
        <w:rPr>
          <w:rFonts w:hint="eastAsia"/>
        </w:rPr>
        <w:t>1999</w:t>
      </w:r>
      <w:r>
        <w:rPr>
          <w:rFonts w:hint="eastAsia"/>
        </w:rPr>
        <w:t>年，罗德里格斯·埃切韦里亚政府开始推行爱与青年计划，再次将性权利赋予少年儿童。这项措施承认了青少年和其他年龄段的哥斯达黎加公民享有同等的基本权利，但是要求各类社会政策和计划尽量满足这一年龄段的特殊</w:t>
      </w:r>
      <w:r>
        <w:rPr>
          <w:rFonts w:hint="eastAsia"/>
        </w:rPr>
        <w:t>需求。</w:t>
      </w:r>
    </w:p>
    <w:p w:rsidR="00000000" w:rsidRDefault="00CA422F">
      <w:pPr>
        <w:spacing w:after="240" w:line="360" w:lineRule="atLeast"/>
        <w:rPr>
          <w:rFonts w:hint="eastAsia"/>
        </w:rPr>
      </w:pPr>
      <w:r>
        <w:rPr>
          <w:rFonts w:hint="eastAsia"/>
        </w:rPr>
        <w:t>83</w:t>
      </w:r>
      <w:r>
        <w:rPr>
          <w:rFonts w:hint="eastAsia"/>
        </w:rPr>
        <w:t>．在性教育计划得以推行的两年之内，公共教育部在其它一些如哥斯达黎加社会保险公司、卫生部、先前的全国青年运动（现改名为全国青年人公共政策管理委员会）、司法和公正部、全国幼儿慈善会、国家妇女研究所以及一些非政府组织等机构的援助下，上述问题的各个方面的敏感化和概念的拓宽化等方面进展显著。</w:t>
      </w:r>
    </w:p>
    <w:p w:rsidR="00000000" w:rsidRDefault="00CA422F">
      <w:pPr>
        <w:spacing w:after="240" w:line="360" w:lineRule="atLeast"/>
        <w:rPr>
          <w:rFonts w:hint="eastAsia"/>
        </w:rPr>
      </w:pPr>
      <w:r>
        <w:rPr>
          <w:rFonts w:hint="eastAsia"/>
        </w:rPr>
        <w:t>84</w:t>
      </w:r>
      <w:r>
        <w:rPr>
          <w:rFonts w:hint="eastAsia"/>
        </w:rPr>
        <w:t>．然而，该计划在执行过程中却受到来自不同部门的强烈抨击，其中最主要的便是天主教教会的各个机构。教会利用其影响，借助各类教会组织和类似机构来阻止在教育系统内推行性教育政策。所有上述组织和机构都明确表示反对为防止艾滋</w:t>
      </w:r>
      <w:r>
        <w:rPr>
          <w:rFonts w:hint="eastAsia"/>
        </w:rPr>
        <w:t>病的传播和感染而使用避孕套等避孕措施，同时还批评公立学校和学院推行的教育模式中同性相关的内容，因为在他们看来，性教育会加重对天主教道德规范的破坏。</w:t>
      </w:r>
    </w:p>
    <w:p w:rsidR="00000000" w:rsidRDefault="00CA422F">
      <w:pPr>
        <w:spacing w:after="240" w:line="360" w:lineRule="atLeast"/>
        <w:rPr>
          <w:rFonts w:hint="eastAsia"/>
        </w:rPr>
      </w:pPr>
      <w:r>
        <w:rPr>
          <w:rFonts w:hint="eastAsia"/>
        </w:rPr>
        <w:t>85</w:t>
      </w:r>
      <w:r>
        <w:rPr>
          <w:rFonts w:hint="eastAsia"/>
        </w:rPr>
        <w:t>．公共教育部的有关负责部门及其工作人员对这些措施表现出来的抵触态度，为他们在预算中深入改革提供了有利条件，他们最终缩减了性教育计划的预算。</w:t>
      </w:r>
    </w:p>
    <w:p w:rsidR="00000000" w:rsidRDefault="00CA422F">
      <w:pPr>
        <w:spacing w:after="240" w:line="360" w:lineRule="atLeast"/>
        <w:rPr>
          <w:rFonts w:hint="eastAsia"/>
        </w:rPr>
      </w:pPr>
      <w:r>
        <w:rPr>
          <w:rFonts w:hint="eastAsia"/>
        </w:rPr>
        <w:t>86</w:t>
      </w:r>
      <w:r>
        <w:rPr>
          <w:rFonts w:hint="eastAsia"/>
        </w:rPr>
        <w:t>．妇女遭受的性暴力是目前得到哥斯达黎加全体公民承认的公共保健部门的一大难题，已经写入各个政党和各届政府的备忘录之中。许多社会组织，特别是妇女组织一直在该领域从事工作，就是希望政府能够对该问题做出一定的答复。</w:t>
      </w:r>
      <w:r>
        <w:rPr>
          <w:rFonts w:hint="eastAsia"/>
        </w:rPr>
        <w:t>1996</w:t>
      </w:r>
      <w:r>
        <w:rPr>
          <w:rFonts w:hint="eastAsia"/>
        </w:rPr>
        <w:t>年</w:t>
      </w:r>
      <w:r>
        <w:rPr>
          <w:rFonts w:hint="eastAsia"/>
        </w:rPr>
        <w:t>终于通过了关注和预防家庭暴力国家计划（</w:t>
      </w:r>
      <w:r>
        <w:rPr>
          <w:rFonts w:hint="eastAsia"/>
        </w:rPr>
        <w:t>PLANOVI</w:t>
      </w:r>
      <w:r>
        <w:rPr>
          <w:rFonts w:hint="eastAsia"/>
        </w:rPr>
        <w:t>），由国家妇女研究所负责协调执行。其主要目的便是创建和推动一项社区和机构内部制度，协调关注妇女及其子女遭受的家庭暴力等方面的国家和社会行为。</w:t>
      </w:r>
    </w:p>
    <w:p w:rsidR="00000000" w:rsidRDefault="00CA422F">
      <w:pPr>
        <w:spacing w:after="240" w:line="360" w:lineRule="atLeast"/>
        <w:rPr>
          <w:rFonts w:hint="eastAsia"/>
        </w:rPr>
      </w:pPr>
      <w:r>
        <w:rPr>
          <w:rFonts w:hint="eastAsia"/>
        </w:rPr>
        <w:t>87</w:t>
      </w:r>
      <w:r>
        <w:rPr>
          <w:rFonts w:hint="eastAsia"/>
        </w:rPr>
        <w:t>．上述这些行为的结果主要表现在《</w:t>
      </w:r>
      <w:r>
        <w:rPr>
          <w:rFonts w:hint="eastAsia"/>
        </w:rPr>
        <w:t>7586</w:t>
      </w:r>
      <w:r>
        <w:rPr>
          <w:rFonts w:hint="eastAsia"/>
        </w:rPr>
        <w:t>号消除家庭暴力法》的通过上。借助该法律，妇女可以提出保护自身和保护家庭的申请，全社会承认了该问题的存在，并通过更为方便的申诉方式，使许多妇女打破了多年来一直保持的沉默。从该法律开始生效的</w:t>
      </w:r>
      <w:r>
        <w:rPr>
          <w:rFonts w:hint="eastAsia"/>
        </w:rPr>
        <w:t>1996</w:t>
      </w:r>
      <w:r>
        <w:rPr>
          <w:rFonts w:hint="eastAsia"/>
        </w:rPr>
        <w:t>年到</w:t>
      </w:r>
      <w:r>
        <w:rPr>
          <w:rFonts w:hint="eastAsia"/>
        </w:rPr>
        <w:t>2000</w:t>
      </w:r>
      <w:r>
        <w:rPr>
          <w:rFonts w:hint="eastAsia"/>
        </w:rPr>
        <w:t>年，对妇女的保护措施增加了五倍。然而，上述成就仅仅表现为法官采取了大</w:t>
      </w:r>
      <w:r>
        <w:rPr>
          <w:rFonts w:hint="eastAsia"/>
        </w:rPr>
        <w:t>量临时措施，</w:t>
      </w:r>
      <w:r>
        <w:rPr>
          <w:rFonts w:hint="eastAsia"/>
        </w:rPr>
        <w:t>2000</w:t>
      </w:r>
      <w:r>
        <w:rPr>
          <w:rFonts w:hint="eastAsia"/>
        </w:rPr>
        <w:t>年大约为</w:t>
      </w:r>
      <w:r>
        <w:rPr>
          <w:rFonts w:hint="eastAsia"/>
        </w:rPr>
        <w:t>70%</w:t>
      </w:r>
      <w:r>
        <w:rPr>
          <w:rFonts w:hint="eastAsia"/>
        </w:rPr>
        <w:t>（民族国家计划，</w:t>
      </w:r>
      <w:r>
        <w:rPr>
          <w:rFonts w:hint="eastAsia"/>
        </w:rPr>
        <w:t>2001</w:t>
      </w:r>
      <w:r>
        <w:rPr>
          <w:rFonts w:hint="eastAsia"/>
        </w:rPr>
        <w:t>年）。此外，随着反对妇女暴力的社会基础不断巩固，“轼女”比例保持稳定不禁令人担忧。司法部妇女代表团提供的资料显示，妇女是家庭暴力最主要的受害者。仅仅</w:t>
      </w:r>
      <w:r>
        <w:rPr>
          <w:rFonts w:hint="eastAsia"/>
        </w:rPr>
        <w:t>1999</w:t>
      </w:r>
      <w:r>
        <w:rPr>
          <w:rFonts w:hint="eastAsia"/>
        </w:rPr>
        <w:t>年一年，家庭内发生的谋杀惨案中被谋杀的女性人数为男性的</w:t>
      </w:r>
      <w:r>
        <w:rPr>
          <w:rFonts w:hint="eastAsia"/>
        </w:rPr>
        <w:t>5.5</w:t>
      </w:r>
      <w:r>
        <w:rPr>
          <w:rFonts w:hint="eastAsia"/>
        </w:rPr>
        <w:t>倍（</w:t>
      </w:r>
      <w:r>
        <w:rPr>
          <w:rFonts w:hint="eastAsia"/>
        </w:rPr>
        <w:t>Carcedo</w:t>
      </w:r>
      <w:r>
        <w:rPr>
          <w:rFonts w:hint="eastAsia"/>
        </w:rPr>
        <w:t>和</w:t>
      </w:r>
      <w:r>
        <w:rPr>
          <w:rFonts w:hint="eastAsia"/>
        </w:rPr>
        <w:t>Sagot,2001</w:t>
      </w:r>
      <w:r>
        <w:rPr>
          <w:rFonts w:hint="eastAsia"/>
        </w:rPr>
        <w:t>年）。</w:t>
      </w:r>
    </w:p>
    <w:p w:rsidR="00000000" w:rsidRDefault="00CA422F">
      <w:pPr>
        <w:spacing w:after="240" w:line="360" w:lineRule="atLeast"/>
        <w:rPr>
          <w:rFonts w:hint="eastAsia"/>
          <w:lang w:val="es-ES"/>
        </w:rPr>
      </w:pPr>
      <w:r>
        <w:rPr>
          <w:rFonts w:hint="eastAsia"/>
          <w:lang w:val="es-ES"/>
        </w:rPr>
        <w:t>88</w:t>
      </w:r>
      <w:r>
        <w:rPr>
          <w:rFonts w:hint="eastAsia"/>
          <w:lang w:val="es-ES"/>
        </w:rPr>
        <w:t>．</w:t>
      </w:r>
      <w:r>
        <w:rPr>
          <w:rFonts w:hint="eastAsia"/>
        </w:rPr>
        <w:t>《</w:t>
      </w:r>
      <w:r>
        <w:rPr>
          <w:rFonts w:hint="eastAsia"/>
          <w:lang w:val="es-ES"/>
        </w:rPr>
        <w:t>7586</w:t>
      </w:r>
      <w:r>
        <w:rPr>
          <w:rFonts w:hint="eastAsia"/>
          <w:lang w:val="es-ES"/>
        </w:rPr>
        <w:t>号消除家庭暴力法》在实施过程中遇到了各种抵制和困难，与此同时，该法律在处理成年女性遭受的暴力案件中往往表现出不够全面的特点。因此，</w:t>
      </w:r>
      <w:r>
        <w:rPr>
          <w:rFonts w:hint="eastAsia"/>
          <w:lang w:val="es-ES"/>
        </w:rPr>
        <w:t>1999</w:t>
      </w:r>
      <w:r>
        <w:rPr>
          <w:rFonts w:hint="eastAsia"/>
          <w:lang w:val="es-ES"/>
        </w:rPr>
        <w:t>年向立法议会递交了《老年妇女暴力处罚</w:t>
      </w:r>
      <w:r>
        <w:rPr>
          <w:rFonts w:hint="eastAsia"/>
          <w:lang w:val="es-ES"/>
        </w:rPr>
        <w:t>法草案》。希望借此来处罚老年妇女周围的人（借助信任）对她们施行的暴力行为，并将其作为一项维护司法公正和杜绝肇事者逍遥法外的现象。该草案虽然已经于</w:t>
      </w:r>
      <w:r>
        <w:rPr>
          <w:rFonts w:hint="eastAsia"/>
          <w:lang w:val="es-ES"/>
        </w:rPr>
        <w:t>2000</w:t>
      </w:r>
      <w:r>
        <w:rPr>
          <w:rFonts w:hint="eastAsia"/>
          <w:lang w:val="es-ES"/>
        </w:rPr>
        <w:t>年</w:t>
      </w:r>
      <w:r>
        <w:rPr>
          <w:rFonts w:hint="eastAsia"/>
          <w:lang w:val="es-ES"/>
        </w:rPr>
        <w:t>8</w:t>
      </w:r>
      <w:r>
        <w:rPr>
          <w:rFonts w:hint="eastAsia"/>
          <w:lang w:val="es-ES"/>
        </w:rPr>
        <w:t>月获得立法议会妇女特别委员会的一致通过，但是至今仍未获得立法议会的通过。这一过程加深了哥斯达黎加一些社会部门对包括摆脱暴力和从属地位的生活在内的女性享有的基本权利目前采取的否定态度。</w:t>
      </w:r>
    </w:p>
    <w:p w:rsidR="00000000" w:rsidRDefault="00CA422F">
      <w:pPr>
        <w:spacing w:after="240" w:line="360" w:lineRule="atLeast"/>
        <w:rPr>
          <w:rFonts w:hint="eastAsia"/>
          <w:lang w:val="es-ES"/>
        </w:rPr>
      </w:pPr>
      <w:r>
        <w:rPr>
          <w:rFonts w:hint="eastAsia"/>
          <w:lang w:val="es-ES"/>
        </w:rPr>
        <w:t>89</w:t>
      </w:r>
      <w:r>
        <w:rPr>
          <w:rFonts w:hint="eastAsia"/>
          <w:lang w:val="es-ES"/>
        </w:rPr>
        <w:t>．对性犯罪行为的提起诉讼增多无疑是一项进步，这表明哥斯达黎加全体公民已经将性暴力视为公共保健部门的问题并开始意识到这一问题的存在。告发频率最高的就是主要集中在未成年人身</w:t>
      </w:r>
      <w:r>
        <w:rPr>
          <w:rFonts w:hint="eastAsia"/>
          <w:lang w:val="es-ES"/>
        </w:rPr>
        <w:t>上的过度的欺骗性性行为。对女童、男童和少女商业色情剥削过去一直、现在也是不断关注的对象，其中一部分原因便是自《</w:t>
      </w:r>
      <w:r>
        <w:rPr>
          <w:rFonts w:hint="eastAsia"/>
          <w:lang w:val="es-ES"/>
        </w:rPr>
        <w:t>7899</w:t>
      </w:r>
      <w:r>
        <w:rPr>
          <w:rFonts w:hint="eastAsia"/>
          <w:lang w:val="es-ES"/>
        </w:rPr>
        <w:t>号打击对未成年人的色情剥削法》获得通过以来告发数量在不断上升（民族国家计划，</w:t>
      </w:r>
      <w:r>
        <w:rPr>
          <w:rFonts w:hint="eastAsia"/>
          <w:lang w:val="es-ES"/>
        </w:rPr>
        <w:t>2001</w:t>
      </w:r>
      <w:r>
        <w:rPr>
          <w:rFonts w:hint="eastAsia"/>
          <w:lang w:val="es-ES"/>
        </w:rPr>
        <w:t>年）。</w:t>
      </w:r>
    </w:p>
    <w:p w:rsidR="00000000" w:rsidRDefault="00CA422F">
      <w:pPr>
        <w:spacing w:after="240" w:line="360" w:lineRule="atLeast"/>
        <w:rPr>
          <w:rFonts w:hint="eastAsia"/>
          <w:lang w:val="es-ES"/>
        </w:rPr>
      </w:pPr>
      <w:r>
        <w:rPr>
          <w:rFonts w:hint="eastAsia"/>
          <w:lang w:val="es-ES"/>
        </w:rPr>
        <w:t>90</w:t>
      </w:r>
      <w:r>
        <w:rPr>
          <w:rFonts w:hint="eastAsia"/>
          <w:lang w:val="es-ES"/>
        </w:rPr>
        <w:t>．通过该项法律承认了性剥削和性侵犯的问题，并且不再要求该暴力行为的受害者采取防护措施。目前，该领域的重点措施已经转移到如何惩罚应该对犯罪行为负责的人以及如何保护未成年人等方面。</w:t>
      </w:r>
    </w:p>
    <w:p w:rsidR="00000000" w:rsidRDefault="00CA422F">
      <w:pPr>
        <w:spacing w:after="240" w:line="360" w:lineRule="atLeast"/>
        <w:rPr>
          <w:rFonts w:hint="eastAsia"/>
          <w:lang w:val="es-ES"/>
        </w:rPr>
      </w:pPr>
      <w:r>
        <w:rPr>
          <w:rFonts w:hint="eastAsia"/>
          <w:lang w:val="es-ES"/>
        </w:rPr>
        <w:t>91</w:t>
      </w:r>
      <w:r>
        <w:rPr>
          <w:rFonts w:hint="eastAsia"/>
          <w:lang w:val="es-ES"/>
        </w:rPr>
        <w:t>．哥斯达黎加目前的确已经加强了全国范围和地区性的服务和答复，同时对各个负责机构也进行了更好的协调，但是，目前仍然存在</w:t>
      </w:r>
      <w:r>
        <w:rPr>
          <w:rFonts w:hint="eastAsia"/>
          <w:lang w:val="es-ES"/>
        </w:rPr>
        <w:t>着需要短期内进行关注的空白和不足之处。面临各种暴力危险的妇女仍有可能受到来自机制的再度伤害。此外，对家庭暴力的关注模式没有将女性残疾人和老年妇女面临的性暴力包括在内。政府和司法管理机构并没有为暴力幸存的女性提供任何获得保护和要求司法公正的权利。目前已经通过的司法机制无法为隔离或控制施暴者提供有效援助，无法预防和惩罚劳动和教育体系中的性骚扰行为，更无法对从事女童和少女商业色情剥削的人进行惩罚。</w:t>
      </w:r>
    </w:p>
    <w:p w:rsidR="00000000" w:rsidRDefault="00CA422F">
      <w:pPr>
        <w:spacing w:after="240" w:line="360" w:lineRule="atLeast"/>
        <w:rPr>
          <w:rFonts w:hint="eastAsia"/>
        </w:rPr>
      </w:pPr>
      <w:r>
        <w:rPr>
          <w:rFonts w:hint="eastAsia"/>
          <w:lang w:val="es-ES"/>
        </w:rPr>
        <w:t>92</w:t>
      </w:r>
      <w:r>
        <w:rPr>
          <w:rFonts w:hint="eastAsia"/>
          <w:lang w:val="es-ES"/>
        </w:rPr>
        <w:t>．在法律方面，哥斯达黎加在本报告调查期间已经取得了重大进展，已经获得通过的国际和国内法律不但数量有所增加，而且其</w:t>
      </w:r>
      <w:r>
        <w:rPr>
          <w:rFonts w:hint="eastAsia"/>
          <w:lang w:val="es-ES"/>
        </w:rPr>
        <w:t>适用范围也有所扩大。</w:t>
      </w:r>
      <w:r>
        <w:rPr>
          <w:rFonts w:hint="eastAsia"/>
          <w:lang w:val="es-ES"/>
        </w:rPr>
        <w:t>2000</w:t>
      </w:r>
      <w:r>
        <w:rPr>
          <w:rFonts w:hint="eastAsia"/>
          <w:lang w:val="es-ES"/>
        </w:rPr>
        <w:t>年年底，将专门负责处理家庭暴力和性暴力的第一法庭的职责转给圣何塞中级法院，将其作为示范并在不久之后向哥斯达黎加其它地区推广。</w:t>
      </w:r>
      <w:r>
        <w:rPr>
          <w:rFonts w:hint="eastAsia"/>
          <w:lang w:val="es-ES"/>
        </w:rPr>
        <w:t>2001</w:t>
      </w:r>
      <w:r>
        <w:rPr>
          <w:rFonts w:hint="eastAsia"/>
          <w:lang w:val="es-ES"/>
        </w:rPr>
        <w:t>年</w:t>
      </w:r>
      <w:r>
        <w:rPr>
          <w:rFonts w:hint="eastAsia"/>
          <w:lang w:val="es-ES"/>
        </w:rPr>
        <w:t>3</w:t>
      </w:r>
      <w:r>
        <w:rPr>
          <w:rFonts w:hint="eastAsia"/>
          <w:lang w:val="es-ES"/>
        </w:rPr>
        <w:t>月，立法议会批准了《</w:t>
      </w:r>
      <w:r>
        <w:rPr>
          <w:rFonts w:hint="eastAsia"/>
        </w:rPr>
        <w:t>消除对妇女一切形式歧视公约任择议定书》，为在国际上提起申诉开辟了道路。</w:t>
      </w:r>
      <w:r>
        <w:rPr>
          <w:rFonts w:hint="eastAsia"/>
        </w:rPr>
        <w:t>2001</w:t>
      </w:r>
      <w:r>
        <w:rPr>
          <w:rFonts w:hint="eastAsia"/>
        </w:rPr>
        <w:t>年</w:t>
      </w:r>
      <w:r>
        <w:rPr>
          <w:rFonts w:hint="eastAsia"/>
        </w:rPr>
        <w:t>4</w:t>
      </w:r>
      <w:r>
        <w:rPr>
          <w:rFonts w:hint="eastAsia"/>
        </w:rPr>
        <w:t>月</w:t>
      </w:r>
      <w:r>
        <w:rPr>
          <w:rFonts w:hint="eastAsia"/>
        </w:rPr>
        <w:t>16</w:t>
      </w:r>
      <w:r>
        <w:rPr>
          <w:rFonts w:hint="eastAsia"/>
        </w:rPr>
        <w:t>日通过了《</w:t>
      </w:r>
      <w:r>
        <w:rPr>
          <w:rFonts w:hint="eastAsia"/>
        </w:rPr>
        <w:t>8101</w:t>
      </w:r>
      <w:r>
        <w:rPr>
          <w:rFonts w:hint="eastAsia"/>
        </w:rPr>
        <w:t>号父亲责任法》，这是整个拉丁美洲的革命性创举，缩短了父子身份的确认过程，为妇女，特别是那些在合法夫妻关系之外生儿育女的妇女在财产继承方面遭受更为严重、更为广泛的伤害时提供了自我保护：不少父亲为避免承担非婚生子女的赡养费而否</w:t>
      </w:r>
      <w:r>
        <w:rPr>
          <w:rFonts w:hint="eastAsia"/>
        </w:rPr>
        <w:t>认同孩子的父子关系，这就意味着妇女需要承担的责任更重，因为她必须独自承担包括生育和抚养子女的全部费用。</w:t>
      </w:r>
    </w:p>
    <w:p w:rsidR="00000000" w:rsidRDefault="00CA422F">
      <w:pPr>
        <w:spacing w:after="240" w:line="360" w:lineRule="atLeast"/>
        <w:rPr>
          <w:rFonts w:hint="eastAsia"/>
          <w:lang w:val="es-ES"/>
        </w:rPr>
      </w:pPr>
      <w:r>
        <w:rPr>
          <w:rFonts w:hint="eastAsia"/>
        </w:rPr>
        <w:t>93</w:t>
      </w:r>
      <w:r>
        <w:rPr>
          <w:rFonts w:hint="eastAsia"/>
        </w:rPr>
        <w:t>．这一方面虽然取得了一些成就，但也遭到了不少抵触，同《老年妇女暴力处罚法草案》的处境极为类似。该草案虽然早于</w:t>
      </w:r>
      <w:r>
        <w:rPr>
          <w:rFonts w:hint="eastAsia"/>
        </w:rPr>
        <w:t>2000</w:t>
      </w:r>
      <w:r>
        <w:rPr>
          <w:rFonts w:hint="eastAsia"/>
        </w:rPr>
        <w:t>年</w:t>
      </w:r>
      <w:r>
        <w:rPr>
          <w:rFonts w:hint="eastAsia"/>
        </w:rPr>
        <w:t>8</w:t>
      </w:r>
      <w:r>
        <w:rPr>
          <w:rFonts w:hint="eastAsia"/>
        </w:rPr>
        <w:t>月已经获得了立法议会妇女特别常设委员会的肯定和一致通过，但是，要想获得立法议会的通过，必须面对来自各个方面的阻挠，包括违背宪法和女性解放的内容。希望能够处</w:t>
      </w:r>
      <w:r>
        <w:rPr>
          <w:rFonts w:hint="eastAsia"/>
          <w:lang w:val="es-ES"/>
        </w:rPr>
        <w:t>罚老年妇女周围的人（借助信任）对她们施行的暴力，并将其作为维护司法公正和杜绝肇事者逍遥法外的手段。目前，上述草案仍未获得国会通过。</w:t>
      </w:r>
    </w:p>
    <w:p w:rsidR="00000000" w:rsidRDefault="00CA422F">
      <w:pPr>
        <w:spacing w:after="240" w:line="360" w:lineRule="atLeast"/>
        <w:rPr>
          <w:rFonts w:hint="eastAsia"/>
          <w:lang w:val="es-ES"/>
        </w:rPr>
      </w:pPr>
      <w:r>
        <w:rPr>
          <w:rFonts w:hint="eastAsia"/>
          <w:lang w:val="es-ES"/>
        </w:rPr>
        <w:t>94</w:t>
      </w:r>
      <w:r>
        <w:rPr>
          <w:rFonts w:hint="eastAsia"/>
          <w:lang w:val="es-ES"/>
        </w:rPr>
        <w:t>．哥斯达黎加在保护妇女的人权方面拥有广泛的法律和规定，但是，还应加强法律的执行力度，通过司法管理部门工作人员和全体公民的共同努力，推动妇女对人权的了解和掌握。例如，虽然哥斯达黎加通过了不少处罚性别歧视的法律，但是其立法中却没有对歧视罪行做出明确的规定。事实上，不少歧视罪行没有受到任何形式的处罚，而歧视的受害者也没有提出申诉。</w:t>
      </w:r>
    </w:p>
    <w:p w:rsidR="00000000" w:rsidRDefault="00CA422F">
      <w:pPr>
        <w:spacing w:after="240" w:line="360" w:lineRule="atLeast"/>
        <w:rPr>
          <w:rFonts w:hint="eastAsia"/>
          <w:lang w:val="es-ES"/>
        </w:rPr>
      </w:pPr>
      <w:r>
        <w:rPr>
          <w:rFonts w:hint="eastAsia"/>
          <w:lang w:val="es-ES"/>
        </w:rPr>
        <w:t>95</w:t>
      </w:r>
      <w:r>
        <w:rPr>
          <w:rFonts w:hint="eastAsia"/>
          <w:lang w:val="es-ES"/>
        </w:rPr>
        <w:t>．二十世纪九十年代在有关性别平等的公共政策的制订和执行机构的创建方面可谓成就斐然。在负责保护妇女权利机构的创建方面也是如此。除居民保护组织创建妇女保护组织以及各个部委和部门创</w:t>
      </w:r>
      <w:r>
        <w:rPr>
          <w:rFonts w:hint="eastAsia"/>
          <w:lang w:val="es-ES"/>
        </w:rPr>
        <w:t>建性别机构之外，还扩大了设立在各个地区的市级妇女办公室和妇女委员会，在立法议会中成立了妇女特别常设委员会，在司法权力机关和各所公立大学还设立了相应的专门机构。</w:t>
      </w:r>
    </w:p>
    <w:p w:rsidR="00000000" w:rsidRDefault="00CA422F">
      <w:pPr>
        <w:spacing w:after="240" w:line="360" w:lineRule="atLeast"/>
        <w:rPr>
          <w:rFonts w:hint="eastAsia"/>
          <w:lang w:val="es-ES"/>
        </w:rPr>
      </w:pPr>
      <w:r>
        <w:rPr>
          <w:rFonts w:hint="eastAsia"/>
          <w:lang w:val="es-ES"/>
        </w:rPr>
        <w:t>96</w:t>
      </w:r>
      <w:r>
        <w:rPr>
          <w:rFonts w:hint="eastAsia"/>
          <w:lang w:val="es-ES"/>
        </w:rPr>
        <w:t>．二十世纪九十年代末，</w:t>
      </w:r>
      <w:r>
        <w:rPr>
          <w:rFonts w:hint="eastAsia"/>
          <w:lang w:val="es-ES"/>
        </w:rPr>
        <w:t>1998</w:t>
      </w:r>
      <w:r>
        <w:rPr>
          <w:rFonts w:hint="eastAsia"/>
          <w:lang w:val="es-ES"/>
        </w:rPr>
        <w:t>年成立了国家妇女研究所（</w:t>
      </w:r>
      <w:r>
        <w:rPr>
          <w:rFonts w:hint="eastAsia"/>
          <w:lang w:val="es-ES"/>
        </w:rPr>
        <w:t>INAMU</w:t>
      </w:r>
      <w:r>
        <w:rPr>
          <w:rFonts w:hint="eastAsia"/>
          <w:lang w:val="es-ES"/>
        </w:rPr>
        <w:t>），取代了原来的</w:t>
      </w:r>
      <w:r>
        <w:rPr>
          <w:rFonts w:hint="eastAsia"/>
        </w:rPr>
        <w:t>家庭和妇女国家发展中心，一跃成为提高</w:t>
      </w:r>
      <w:r>
        <w:rPr>
          <w:rFonts w:hint="eastAsia"/>
          <w:lang w:val="es-ES"/>
        </w:rPr>
        <w:t>妇女地位国家机构。负责妇女状况的女部长的任命使上述措施得到了加强，并因此保障该机构获得国务院的直接领导，为国家妇女研究所成为公共领域促进两性平等的负责机构创造了便利条件。作为上述政策的组成部分，推行两性平等和公正国家政策，将性别平等</w:t>
      </w:r>
      <w:r>
        <w:rPr>
          <w:rFonts w:hint="eastAsia"/>
          <w:lang w:val="es-ES"/>
        </w:rPr>
        <w:t>的横向视角引入公共政策的主要范围之内并帮助妇女开展解放运动。该领域内另一项重要成就便是</w:t>
      </w:r>
      <w:r>
        <w:rPr>
          <w:rFonts w:hint="eastAsia"/>
          <w:lang w:val="es-ES"/>
        </w:rPr>
        <w:t>2000</w:t>
      </w:r>
      <w:r>
        <w:rPr>
          <w:rFonts w:hint="eastAsia"/>
          <w:lang w:val="es-ES"/>
        </w:rPr>
        <w:t>年</w:t>
      </w:r>
      <w:r>
        <w:rPr>
          <w:rFonts w:hint="eastAsia"/>
          <w:lang w:val="es-ES"/>
        </w:rPr>
        <w:t>3</w:t>
      </w:r>
      <w:r>
        <w:rPr>
          <w:rFonts w:hint="eastAsia"/>
          <w:lang w:val="es-ES"/>
        </w:rPr>
        <w:t>月</w:t>
      </w:r>
      <w:r>
        <w:rPr>
          <w:rFonts w:hint="eastAsia"/>
          <w:lang w:val="es-ES"/>
        </w:rPr>
        <w:t>2</w:t>
      </w:r>
      <w:r>
        <w:rPr>
          <w:rFonts w:hint="eastAsia"/>
          <w:lang w:val="es-ES"/>
        </w:rPr>
        <w:t>日《</w:t>
      </w:r>
      <w:r>
        <w:rPr>
          <w:rFonts w:hint="eastAsia"/>
          <w:lang w:val="es-ES"/>
        </w:rPr>
        <w:t>28484</w:t>
      </w:r>
      <w:r>
        <w:rPr>
          <w:rFonts w:hint="eastAsia"/>
          <w:lang w:val="es-ES"/>
        </w:rPr>
        <w:t>号行政法令》的签署，以此为基础，在七个公共机构内成立了高级别政策技术委员会，同时还在各个部门的资源分配过程中制订并执行男女平等和公正行动方案。</w:t>
      </w:r>
    </w:p>
    <w:p w:rsidR="00000000" w:rsidRDefault="00CA422F">
      <w:pPr>
        <w:spacing w:after="240" w:line="360" w:lineRule="atLeast"/>
        <w:rPr>
          <w:rFonts w:hint="eastAsia"/>
          <w:lang w:val="es-ES"/>
        </w:rPr>
      </w:pPr>
      <w:r>
        <w:rPr>
          <w:rFonts w:hint="eastAsia"/>
          <w:lang w:val="es-ES"/>
        </w:rPr>
        <w:t>97</w:t>
      </w:r>
      <w:r>
        <w:rPr>
          <w:rFonts w:hint="eastAsia"/>
          <w:lang w:val="es-ES"/>
        </w:rPr>
        <w:t>．然而，这些机构制订的措施因公共经费短缺而无法付诸实施。国家妇女研究所自身在享受法律规定的资源方面也面临着许多困难，这不仅限制了国家妇女研究所开展活动，而且也使得国家妇女研究所作为负责机构必须但却无法履行自身的职责。在这种状况下，公共经费的分配仍然</w:t>
      </w:r>
      <w:r>
        <w:rPr>
          <w:rFonts w:hint="eastAsia"/>
          <w:lang w:val="es-ES"/>
        </w:rPr>
        <w:t>没有将性别因素或者男女之间形成鲜明对比的费用情况考虑在内。偏向于面对公民整体的计划的机构内部的文化仍然占据主导位置，对妇女的特殊需要、兴趣，甚至要求完全视而不见。这方面的问题层出不穷，如一些市级妇女办公室工作人员的任命强行实行政治化措施，这表明，为数不少的当地政府对妇女的需求和妇女享有高质量服务的权利根本视而不见，无动于衷。</w:t>
      </w:r>
    </w:p>
    <w:p w:rsidR="00000000" w:rsidRDefault="00CA422F">
      <w:pPr>
        <w:spacing w:after="240" w:line="360" w:lineRule="atLeast"/>
        <w:rPr>
          <w:rFonts w:hint="eastAsia"/>
          <w:lang w:val="es-ES"/>
        </w:rPr>
      </w:pPr>
      <w:r>
        <w:rPr>
          <w:rFonts w:hint="eastAsia"/>
          <w:lang w:val="es-ES"/>
        </w:rPr>
        <w:t>98</w:t>
      </w:r>
      <w:r>
        <w:rPr>
          <w:rFonts w:hint="eastAsia"/>
          <w:lang w:val="es-ES"/>
        </w:rPr>
        <w:t>．二十世纪九十年代妇女在各个政党和选举过程中的参与程度有所提高，对妇女参政的有利条件及其公民权利的行使的讨论和评论等方面也出现了类似的趋势。虽然在公共机构中担任职位的男女人数目前仍</w:t>
      </w:r>
      <w:r>
        <w:rPr>
          <w:rFonts w:hint="eastAsia"/>
          <w:lang w:val="es-ES"/>
        </w:rPr>
        <w:t>未达到数量相近的目标，但是，在《选举法修正案》确定</w:t>
      </w:r>
      <w:r>
        <w:rPr>
          <w:rFonts w:hint="eastAsia"/>
          <w:lang w:val="es-ES"/>
        </w:rPr>
        <w:t>40%</w:t>
      </w:r>
      <w:r>
        <w:rPr>
          <w:rFonts w:hint="eastAsia"/>
          <w:lang w:val="es-ES"/>
        </w:rPr>
        <w:t>为妇女参政最小份额这一规定的帮助下，这方面仍然取得了意义深远的成就。</w:t>
      </w:r>
      <w:r>
        <w:rPr>
          <w:rFonts w:hint="eastAsia"/>
          <w:lang w:val="es-ES"/>
        </w:rPr>
        <w:t>2000</w:t>
      </w:r>
      <w:r>
        <w:rPr>
          <w:rFonts w:hint="eastAsia"/>
          <w:lang w:val="es-ES"/>
        </w:rPr>
        <w:t>年在加强该权利方面也取得了重大进展，即最高选举法庭通过的一项决议（</w:t>
      </w:r>
      <w:r>
        <w:rPr>
          <w:rFonts w:hint="eastAsia"/>
          <w:lang w:val="es-ES"/>
        </w:rPr>
        <w:t>14.582</w:t>
      </w:r>
      <w:r>
        <w:rPr>
          <w:rFonts w:hint="eastAsia"/>
          <w:lang w:val="es-ES"/>
        </w:rPr>
        <w:t>号文件）规定，妇女在立法议会、国会议员和市政议员席位中所占最低比例为</w:t>
      </w:r>
      <w:r>
        <w:rPr>
          <w:rFonts w:hint="eastAsia"/>
          <w:lang w:val="es-ES"/>
        </w:rPr>
        <w:t>45%</w:t>
      </w:r>
      <w:r>
        <w:rPr>
          <w:rFonts w:hint="eastAsia"/>
          <w:lang w:val="es-ES"/>
        </w:rPr>
        <w:t>，在候选人和候补人数中的比例也是如此。该项立法造成的结果意义重大，因为</w:t>
      </w:r>
      <w:r>
        <w:rPr>
          <w:rFonts w:hint="eastAsia"/>
          <w:lang w:val="es-ES"/>
        </w:rPr>
        <w:t>1990</w:t>
      </w:r>
      <w:r>
        <w:rPr>
          <w:rFonts w:hint="eastAsia"/>
          <w:lang w:val="es-ES"/>
        </w:rPr>
        <w:t>年的候选人中妇女只占</w:t>
      </w:r>
      <w:r>
        <w:rPr>
          <w:rFonts w:hint="eastAsia"/>
          <w:lang w:val="es-ES"/>
        </w:rPr>
        <w:t>17.8%</w:t>
      </w:r>
      <w:r>
        <w:rPr>
          <w:rFonts w:hint="eastAsia"/>
          <w:lang w:val="es-ES"/>
        </w:rPr>
        <w:t>，在</w:t>
      </w:r>
      <w:r>
        <w:rPr>
          <w:rFonts w:hint="eastAsia"/>
          <w:lang w:val="es-ES"/>
        </w:rPr>
        <w:t>1998</w:t>
      </w:r>
      <w:r>
        <w:rPr>
          <w:rFonts w:hint="eastAsia"/>
          <w:lang w:val="es-ES"/>
        </w:rPr>
        <w:t>年的选举中该比例上升至</w:t>
      </w:r>
      <w:r>
        <w:rPr>
          <w:rFonts w:hint="eastAsia"/>
          <w:lang w:val="es-ES"/>
        </w:rPr>
        <w:t>47.2%</w:t>
      </w:r>
      <w:r>
        <w:rPr>
          <w:rFonts w:hint="eastAsia"/>
          <w:lang w:val="es-ES"/>
        </w:rPr>
        <w:t>，而</w:t>
      </w:r>
      <w:r>
        <w:rPr>
          <w:rFonts w:hint="eastAsia"/>
          <w:lang w:val="es-ES"/>
        </w:rPr>
        <w:t>2002</w:t>
      </w:r>
      <w:r>
        <w:rPr>
          <w:rFonts w:hint="eastAsia"/>
          <w:lang w:val="es-ES"/>
        </w:rPr>
        <w:t>年大选中妇女的参与率为</w:t>
      </w:r>
      <w:r>
        <w:rPr>
          <w:rFonts w:hint="eastAsia"/>
          <w:lang w:val="es-ES"/>
        </w:rPr>
        <w:t>35.1%</w:t>
      </w:r>
      <w:r>
        <w:rPr>
          <w:rFonts w:hint="eastAsia"/>
          <w:lang w:val="es-ES"/>
        </w:rPr>
        <w:t>。进展最大的应该是市政议员选举中</w:t>
      </w:r>
      <w:r>
        <w:rPr>
          <w:rFonts w:hint="eastAsia"/>
          <w:lang w:val="es-ES"/>
        </w:rPr>
        <w:t>妇女人数的增加，由</w:t>
      </w:r>
      <w:r>
        <w:rPr>
          <w:rFonts w:hint="eastAsia"/>
          <w:lang w:val="es-ES"/>
        </w:rPr>
        <w:t>1990</w:t>
      </w:r>
      <w:r>
        <w:rPr>
          <w:rFonts w:hint="eastAsia"/>
          <w:lang w:val="es-ES"/>
        </w:rPr>
        <w:t>年的</w:t>
      </w:r>
      <w:r>
        <w:rPr>
          <w:rFonts w:hint="eastAsia"/>
          <w:lang w:val="es-ES"/>
        </w:rPr>
        <w:t>12.4%</w:t>
      </w:r>
      <w:r>
        <w:rPr>
          <w:rFonts w:hint="eastAsia"/>
          <w:lang w:val="es-ES"/>
        </w:rPr>
        <w:t>上升到</w:t>
      </w:r>
      <w:r>
        <w:rPr>
          <w:rFonts w:hint="eastAsia"/>
          <w:lang w:val="es-ES"/>
        </w:rPr>
        <w:t>2002</w:t>
      </w:r>
      <w:r>
        <w:rPr>
          <w:rFonts w:hint="eastAsia"/>
          <w:lang w:val="es-ES"/>
        </w:rPr>
        <w:t>年的</w:t>
      </w:r>
      <w:r>
        <w:rPr>
          <w:rFonts w:hint="eastAsia"/>
          <w:lang w:val="es-ES"/>
        </w:rPr>
        <w:t>45.8%</w:t>
      </w:r>
      <w:r>
        <w:rPr>
          <w:rFonts w:hint="eastAsia"/>
          <w:lang w:val="es-ES"/>
        </w:rPr>
        <w:t>（民族国家计划，</w:t>
      </w:r>
      <w:r>
        <w:rPr>
          <w:rFonts w:hint="eastAsia"/>
          <w:lang w:val="es-ES"/>
        </w:rPr>
        <w:t>2001</w:t>
      </w:r>
      <w:r>
        <w:rPr>
          <w:rFonts w:hint="eastAsia"/>
          <w:lang w:val="es-ES"/>
        </w:rPr>
        <w:t>年；最高选举法庭，</w:t>
      </w:r>
      <w:r>
        <w:rPr>
          <w:rFonts w:hint="eastAsia"/>
          <w:lang w:val="es-ES"/>
        </w:rPr>
        <w:t>2002</w:t>
      </w:r>
      <w:r>
        <w:rPr>
          <w:rFonts w:hint="eastAsia"/>
          <w:lang w:val="es-ES"/>
        </w:rPr>
        <w:t>年）。</w:t>
      </w:r>
    </w:p>
    <w:p w:rsidR="00000000" w:rsidRDefault="00CA422F">
      <w:pPr>
        <w:spacing w:after="240" w:line="360" w:lineRule="atLeast"/>
        <w:rPr>
          <w:rFonts w:hint="eastAsia"/>
          <w:lang w:val="es-ES"/>
        </w:rPr>
      </w:pPr>
      <w:r>
        <w:rPr>
          <w:rFonts w:hint="eastAsia"/>
          <w:lang w:val="es-ES"/>
        </w:rPr>
        <w:t>99</w:t>
      </w:r>
      <w:r>
        <w:rPr>
          <w:rFonts w:hint="eastAsia"/>
          <w:lang w:val="es-ES"/>
        </w:rPr>
        <w:t>．上次大选在这方面留下了深刻的教训。各个政党借助各种手段和各类机制想方设法达到</w:t>
      </w:r>
      <w:r>
        <w:rPr>
          <w:rFonts w:hint="eastAsia"/>
          <w:lang w:val="es-ES"/>
        </w:rPr>
        <w:t>40%</w:t>
      </w:r>
      <w:r>
        <w:rPr>
          <w:rFonts w:hint="eastAsia"/>
          <w:lang w:val="es-ES"/>
        </w:rPr>
        <w:t>的妇女最低参政额度。只有公民行动党例外，因为该党的机制保障了男女人数的均衡，但是其它方面对妇女而言却极为困难。地方政府和地方议员出乎意料的选举结果虽然使不少妇女历史上第一次占据了候选人的位置，但是结果却是无法问鼎正式席位。结果，国会议员中女性比例为</w:t>
      </w:r>
      <w:r>
        <w:rPr>
          <w:rFonts w:hint="eastAsia"/>
          <w:lang w:val="es-ES"/>
        </w:rPr>
        <w:t>35.1%</w:t>
      </w:r>
      <w:r>
        <w:rPr>
          <w:rFonts w:hint="eastAsia"/>
          <w:lang w:val="es-ES"/>
        </w:rPr>
        <w:t>，而市政议员中女性比例为</w:t>
      </w:r>
      <w:r>
        <w:rPr>
          <w:rFonts w:hint="eastAsia"/>
          <w:lang w:val="es-ES"/>
        </w:rPr>
        <w:t>46.7%</w:t>
      </w:r>
      <w:r>
        <w:rPr>
          <w:rFonts w:hint="eastAsia"/>
          <w:lang w:val="es-ES"/>
        </w:rPr>
        <w:t>。此外</w:t>
      </w:r>
      <w:r>
        <w:rPr>
          <w:rFonts w:hint="eastAsia"/>
          <w:lang w:val="es-ES"/>
        </w:rPr>
        <w:t>，仍需要在一些国家权力集中部门和权力分散部门中推行妇女最低参与额度。</w:t>
      </w:r>
    </w:p>
    <w:p w:rsidR="00000000" w:rsidRDefault="00CA422F">
      <w:pPr>
        <w:spacing w:after="240" w:line="360" w:lineRule="atLeast"/>
        <w:rPr>
          <w:rFonts w:hint="eastAsia"/>
          <w:lang w:val="es-ES"/>
        </w:rPr>
      </w:pPr>
      <w:r>
        <w:rPr>
          <w:rFonts w:hint="eastAsia"/>
          <w:lang w:val="es-ES"/>
        </w:rPr>
        <w:t>100</w:t>
      </w:r>
      <w:r>
        <w:rPr>
          <w:rFonts w:hint="eastAsia"/>
          <w:lang w:val="es-ES"/>
        </w:rPr>
        <w:t>．哥斯达黎加的政治制度建立在民主的基础之上并要求其政治选举制度满足关于保障选举的透明度、自由度、竞争性和反复性的基本民主要求；是一项发展状况良好、各部门各司其职的分权制度；拥有各类监控机构和各项监控机制；公共舆论自由而独立，并保护公民享有基本的人权和政治自由权利的制度。</w:t>
      </w:r>
    </w:p>
    <w:p w:rsidR="00000000" w:rsidRDefault="00CA422F">
      <w:pPr>
        <w:spacing w:after="240" w:line="360" w:lineRule="atLeast"/>
        <w:rPr>
          <w:rFonts w:hint="eastAsia"/>
          <w:lang w:val="es-ES"/>
        </w:rPr>
      </w:pPr>
      <w:r>
        <w:rPr>
          <w:rFonts w:hint="eastAsia"/>
          <w:lang w:val="es-ES"/>
        </w:rPr>
        <w:t>101</w:t>
      </w:r>
      <w:r>
        <w:rPr>
          <w:rFonts w:hint="eastAsia"/>
          <w:lang w:val="es-ES"/>
        </w:rPr>
        <w:t>．哥斯达黎加政治稳定，男女公民对一些政府机构仍然保持着传统的公民精神和一定程度的信任，这些在哥斯达黎加的政党制度中都有所反映。然而，最近几年这种稳定开始出现了</w:t>
      </w:r>
      <w:r>
        <w:rPr>
          <w:rFonts w:hint="eastAsia"/>
          <w:lang w:val="es-ES"/>
        </w:rPr>
        <w:t>问题，主要的原因是：政府与公民之间的相互不信任、政治参与机制－立法机制和政党制度－不完善以及平行于正式政治制度的集权过程中出现的冲突和缺陷缺乏适当解决机制等。不但许多领域中缺乏可供选择的参与机制，而且也无法更好地利用现有的机制（民族国家计划，</w:t>
      </w:r>
      <w:r>
        <w:rPr>
          <w:rFonts w:hint="eastAsia"/>
          <w:lang w:val="es-ES"/>
        </w:rPr>
        <w:t>2001</w:t>
      </w:r>
      <w:r>
        <w:rPr>
          <w:rFonts w:hint="eastAsia"/>
          <w:lang w:val="es-ES"/>
        </w:rPr>
        <w:t>年）。</w:t>
      </w:r>
    </w:p>
    <w:p w:rsidR="00000000" w:rsidRDefault="00CA422F">
      <w:pPr>
        <w:spacing w:after="240" w:line="360" w:lineRule="atLeast"/>
        <w:rPr>
          <w:rFonts w:hint="eastAsia"/>
          <w:lang w:val="es-ES"/>
        </w:rPr>
      </w:pPr>
      <w:r>
        <w:rPr>
          <w:rFonts w:hint="eastAsia"/>
          <w:lang w:val="es-ES"/>
        </w:rPr>
        <w:t>102</w:t>
      </w:r>
      <w:r>
        <w:rPr>
          <w:rFonts w:hint="eastAsia"/>
          <w:lang w:val="es-ES"/>
        </w:rPr>
        <w:t>．妇女组织和团体、各组织之间的协调机构和网络、公立大学制订的特殊计划以及一些非政府组织在哥斯达黎加已经发生的变化中发挥了重要作用。这些变化主要体现在立法、公共政策和其它措施中取得的成就。二十世纪九十年代获得通过的不少法律都是妇女运动组织部门、国家妇</w:t>
      </w:r>
      <w:r>
        <w:rPr>
          <w:rFonts w:hint="eastAsia"/>
          <w:lang w:val="es-ES"/>
        </w:rPr>
        <w:t>女研究所和其它各个国家机构共同努力的结果。在这些措施的执行过程和后续活动中，这些组织为保障各项措施的正确执行，在提供信息、开展咨询和直接干预等方面做出了突出贡献。</w:t>
      </w:r>
    </w:p>
    <w:p w:rsidR="00000000" w:rsidRDefault="00CA422F">
      <w:pPr>
        <w:spacing w:after="240" w:line="360" w:lineRule="atLeast"/>
        <w:rPr>
          <w:rFonts w:hint="eastAsia"/>
          <w:lang w:val="es-ES"/>
        </w:rPr>
      </w:pPr>
      <w:r>
        <w:rPr>
          <w:rFonts w:hint="eastAsia"/>
          <w:lang w:val="es-ES"/>
        </w:rPr>
        <w:t>103</w:t>
      </w:r>
      <w:r>
        <w:rPr>
          <w:rFonts w:hint="eastAsia"/>
          <w:lang w:val="es-ES"/>
        </w:rPr>
        <w:t>．根据国家妇女研究所</w:t>
      </w:r>
      <w:r>
        <w:rPr>
          <w:rFonts w:hint="eastAsia"/>
          <w:lang w:val="es-ES"/>
        </w:rPr>
        <w:t>7801</w:t>
      </w:r>
      <w:r>
        <w:rPr>
          <w:rFonts w:hint="eastAsia"/>
          <w:lang w:val="es-ES"/>
        </w:rPr>
        <w:t>号决议成立的国家妇女组织，即妇女论坛为普通公民的参与创造了便利条件。该论坛能够提供咨询，由一些社会妇女组织或从事性别平等的专业人士共同组成。该机构的主要职责虽然以提供咨询服务为主，但是却为国家妇女研究所在保障国家机制的经济资助、提出并制订有利于性别平等的法律提案、组织普通公民开展陪审能力培训以及提出旨在促进决策机</w:t>
      </w:r>
      <w:r>
        <w:rPr>
          <w:rFonts w:hint="eastAsia"/>
          <w:lang w:val="es-ES"/>
        </w:rPr>
        <w:t>构民主化的《国家妇女研究所组织法》修改草案等方面做出了一定的贡献。</w:t>
      </w:r>
    </w:p>
    <w:p w:rsidR="00000000" w:rsidRDefault="00CA422F">
      <w:pPr>
        <w:spacing w:after="240" w:line="360" w:lineRule="atLeast"/>
        <w:rPr>
          <w:sz w:val="24"/>
        </w:rPr>
      </w:pPr>
      <w:r>
        <w:rPr>
          <w:rFonts w:hint="eastAsia"/>
          <w:lang w:val="es-ES"/>
        </w:rPr>
        <w:t>104</w:t>
      </w:r>
      <w:r>
        <w:rPr>
          <w:rFonts w:hint="eastAsia"/>
          <w:lang w:val="es-ES"/>
        </w:rPr>
        <w:t>．上次大选使许多组织和机构网络能够对妇女状况全国论坛和在妇女主要的关注领域创建备忘录这两项倡议进行讨论协商。第一次针对选举而制订的妇女运动备忘录于</w:t>
      </w:r>
      <w:r>
        <w:rPr>
          <w:rFonts w:hint="eastAsia"/>
          <w:lang w:val="es-ES"/>
        </w:rPr>
        <w:t>1998</w:t>
      </w:r>
      <w:r>
        <w:rPr>
          <w:rFonts w:hint="eastAsia"/>
          <w:lang w:val="es-ES"/>
        </w:rPr>
        <w:t>年创建，随后建立了妇女政治备忘录。不久之后便成立了一个同名的组织——妇女政治署，该备忘录使得妇女运动内部开展了激励的讨论。</w:t>
      </w:r>
      <w:r>
        <w:rPr>
          <w:rFonts w:hint="eastAsia"/>
          <w:lang w:val="es-ES"/>
        </w:rPr>
        <w:t>2002</w:t>
      </w:r>
      <w:r>
        <w:rPr>
          <w:rFonts w:hint="eastAsia"/>
          <w:lang w:val="es-ES"/>
        </w:rPr>
        <w:t>年</w:t>
      </w:r>
      <w:r>
        <w:rPr>
          <w:rFonts w:hint="eastAsia"/>
          <w:lang w:val="es-ES"/>
        </w:rPr>
        <w:t>2</w:t>
      </w:r>
      <w:r>
        <w:rPr>
          <w:rFonts w:hint="eastAsia"/>
          <w:lang w:val="es-ES"/>
        </w:rPr>
        <w:t>月举行的大选则采用了其它组织和团体的备忘录，开始同来自</w:t>
      </w:r>
      <w:r>
        <w:rPr>
          <w:rFonts w:hint="eastAsia"/>
          <w:lang w:val="es-ES"/>
        </w:rPr>
        <w:t>13</w:t>
      </w:r>
      <w:r>
        <w:rPr>
          <w:rFonts w:hint="eastAsia"/>
          <w:lang w:val="es-ES"/>
        </w:rPr>
        <w:t>个正式注册的政党的总统候选人进行协商并取得了积极的成效。还有不少女性组织参与了这一过程，其目</w:t>
      </w:r>
      <w:r>
        <w:rPr>
          <w:rFonts w:hint="eastAsia"/>
          <w:lang w:val="es-ES"/>
        </w:rPr>
        <w:t>的是为了创建专门的备忘录或特别纲要。</w:t>
      </w:r>
    </w:p>
    <w:p w:rsidR="00000000" w:rsidRDefault="00CA422F">
      <w:pPr>
        <w:spacing w:beforeLines="50" w:before="120" w:after="360" w:line="360" w:lineRule="exact"/>
        <w:jc w:val="center"/>
        <w:rPr>
          <w:rFonts w:eastAsia="SimHei" w:hint="eastAsia"/>
          <w:sz w:val="28"/>
        </w:rPr>
      </w:pPr>
      <w:r>
        <w:rPr>
          <w:sz w:val="24"/>
        </w:rPr>
        <w:br w:type="page"/>
      </w:r>
      <w:r>
        <w:rPr>
          <w:rFonts w:eastAsia="SimHei" w:hint="eastAsia"/>
          <w:sz w:val="28"/>
        </w:rPr>
        <w:t>第二部分：公约各项条款分析</w:t>
      </w:r>
    </w:p>
    <w:p w:rsidR="00000000" w:rsidRDefault="00CA422F" w:rsidP="00CA422F">
      <w:pPr>
        <w:spacing w:after="240" w:line="360" w:lineRule="exact"/>
        <w:ind w:left="31680" w:hangingChars="257" w:firstLine="31680"/>
        <w:jc w:val="center"/>
        <w:rPr>
          <w:rFonts w:eastAsia="SimHei" w:hint="eastAsia"/>
          <w:bCs/>
          <w:sz w:val="24"/>
        </w:rPr>
      </w:pPr>
      <w:r>
        <w:rPr>
          <w:rFonts w:eastAsia="SimHei" w:hint="eastAsia"/>
          <w:bCs/>
          <w:sz w:val="24"/>
        </w:rPr>
        <w:t>第一和第二条：旨在消除对妇女歧视的各项政策和措施</w:t>
      </w:r>
    </w:p>
    <w:p w:rsidR="00000000" w:rsidRDefault="00CA422F">
      <w:pPr>
        <w:spacing w:after="240" w:line="360" w:lineRule="exact"/>
        <w:rPr>
          <w:rFonts w:eastAsia="KaiTi_GB2312" w:hint="eastAsia"/>
        </w:rPr>
      </w:pPr>
      <w:r>
        <w:rPr>
          <w:rFonts w:eastAsia="SimHei" w:hint="eastAsia"/>
          <w:bCs/>
        </w:rPr>
        <w:t>第一条</w:t>
      </w:r>
      <w:r>
        <w:rPr>
          <w:rFonts w:hint="eastAsia"/>
        </w:rPr>
        <w:t>：</w:t>
      </w:r>
      <w:r>
        <w:rPr>
          <w:rFonts w:eastAsia="KaiTi_GB2312" w:hint="eastAsia"/>
        </w:rPr>
        <w:t>为本公约的目的，“对妇女的歧视”一词指基于性别而作的任何区别、排斥或限制，其影响或目的均足以妨碍或否认妇女不论已婚未婚在男女平等的基础上认识、享有或行使在政治、经济、社会、文化、公民或任何其他方面的人权和基本自由。</w:t>
      </w:r>
    </w:p>
    <w:p w:rsidR="00000000" w:rsidRDefault="00CA422F">
      <w:pPr>
        <w:spacing w:after="240" w:line="360" w:lineRule="exact"/>
        <w:rPr>
          <w:rFonts w:eastAsia="KaiTi_GB2312" w:hint="eastAsia"/>
        </w:rPr>
      </w:pPr>
      <w:r>
        <w:rPr>
          <w:rFonts w:eastAsia="SimHei" w:hint="eastAsia"/>
          <w:bCs/>
        </w:rPr>
        <w:t>第二条</w:t>
      </w:r>
      <w:r>
        <w:rPr>
          <w:rFonts w:hint="eastAsia"/>
        </w:rPr>
        <w:t>：</w:t>
      </w:r>
      <w:r>
        <w:rPr>
          <w:rFonts w:eastAsia="KaiTi_GB2312" w:hint="eastAsia"/>
        </w:rPr>
        <w:t>缔约各国谴责对妇女一切形式的歧视，协议立即用一切适当办法，推行政策，消除对妇女的歧视。为此目的，承担：</w:t>
      </w:r>
    </w:p>
    <w:p w:rsidR="00000000" w:rsidRDefault="00CA422F" w:rsidP="00CA422F">
      <w:pPr>
        <w:spacing w:after="240" w:line="360" w:lineRule="exact"/>
        <w:ind w:leftChars="200" w:left="31680" w:hangingChars="250" w:firstLine="31680"/>
        <w:rPr>
          <w:rFonts w:ascii="KaiTi_GB2312" w:eastAsia="KaiTi_GB2312" w:hint="eastAsia"/>
        </w:rPr>
      </w:pPr>
      <w:r>
        <w:rPr>
          <w:rFonts w:ascii="KaiTi_GB2312" w:eastAsia="KaiTi_GB2312" w:hint="eastAsia"/>
        </w:rPr>
        <w:t>（</w:t>
      </w:r>
      <w:r>
        <w:rPr>
          <w:rFonts w:ascii="KaiTi_GB2312" w:eastAsia="KaiTi_GB2312" w:hint="eastAsia"/>
        </w:rPr>
        <w:t>a</w:t>
      </w:r>
      <w:r>
        <w:rPr>
          <w:rFonts w:ascii="KaiTi_GB2312" w:eastAsia="KaiTi_GB2312" w:hint="eastAsia"/>
        </w:rPr>
        <w:t>）</w:t>
      </w:r>
      <w:r>
        <w:rPr>
          <w:rFonts w:ascii="KaiTi_GB2312" w:eastAsia="KaiTi_GB2312" w:hint="eastAsia"/>
        </w:rPr>
        <w:tab/>
      </w:r>
      <w:r>
        <w:rPr>
          <w:rFonts w:ascii="KaiTi_GB2312" w:eastAsia="KaiTi_GB2312" w:hint="eastAsia"/>
        </w:rPr>
        <w:t>男女平等的原则如尚未列入本国宪法或其他有关法律者，</w:t>
      </w:r>
      <w:r>
        <w:rPr>
          <w:rFonts w:ascii="KaiTi_GB2312" w:eastAsia="KaiTi_GB2312" w:hint="eastAsia"/>
        </w:rPr>
        <w:t>应将其列入，并以法律或其他适当方法，保障实现这项原则；</w:t>
      </w:r>
    </w:p>
    <w:p w:rsidR="00000000" w:rsidRDefault="00CA422F" w:rsidP="00CA422F">
      <w:pPr>
        <w:spacing w:after="240" w:line="360" w:lineRule="exact"/>
        <w:ind w:leftChars="200" w:left="31680" w:hangingChars="250" w:firstLine="31680"/>
        <w:rPr>
          <w:rFonts w:ascii="KaiTi_GB2312" w:eastAsia="KaiTi_GB2312" w:hint="eastAsia"/>
        </w:rPr>
      </w:pPr>
      <w:r>
        <w:rPr>
          <w:rFonts w:ascii="KaiTi_GB2312" w:eastAsia="KaiTi_GB2312" w:hint="eastAsia"/>
        </w:rPr>
        <w:t>（</w:t>
      </w:r>
      <w:r>
        <w:rPr>
          <w:rFonts w:ascii="KaiTi_GB2312" w:eastAsia="KaiTi_GB2312" w:hint="eastAsia"/>
        </w:rPr>
        <w:t>b</w:t>
      </w:r>
      <w:r>
        <w:rPr>
          <w:rFonts w:ascii="KaiTi_GB2312" w:eastAsia="KaiTi_GB2312" w:hint="eastAsia"/>
        </w:rPr>
        <w:t>）采取适当立法和其他措施，包括适当时采取制裁，禁止对妇女的一切歧视；</w:t>
      </w:r>
    </w:p>
    <w:p w:rsidR="00000000" w:rsidRDefault="00CA422F" w:rsidP="00CA422F">
      <w:pPr>
        <w:spacing w:after="240" w:line="360" w:lineRule="exact"/>
        <w:ind w:leftChars="200" w:left="31680" w:hangingChars="250" w:firstLine="31680"/>
        <w:rPr>
          <w:rFonts w:ascii="KaiTi_GB2312" w:eastAsia="KaiTi_GB2312" w:hint="eastAsia"/>
        </w:rPr>
      </w:pPr>
      <w:r>
        <w:rPr>
          <w:rFonts w:ascii="KaiTi_GB2312" w:eastAsia="KaiTi_GB2312" w:hint="eastAsia"/>
        </w:rPr>
        <w:t>（</w:t>
      </w:r>
      <w:r>
        <w:rPr>
          <w:rFonts w:ascii="KaiTi_GB2312" w:eastAsia="KaiTi_GB2312" w:hint="eastAsia"/>
        </w:rPr>
        <w:t>c</w:t>
      </w:r>
      <w:r>
        <w:rPr>
          <w:rFonts w:ascii="KaiTi_GB2312" w:eastAsia="KaiTi_GB2312" w:hint="eastAsia"/>
        </w:rPr>
        <w:t>）</w:t>
      </w:r>
      <w:r>
        <w:rPr>
          <w:rFonts w:ascii="KaiTi_GB2312" w:eastAsia="KaiTi_GB2312" w:hint="eastAsia"/>
        </w:rPr>
        <w:tab/>
      </w:r>
      <w:r>
        <w:rPr>
          <w:rFonts w:ascii="KaiTi_GB2312" w:eastAsia="KaiTi_GB2312" w:hint="eastAsia"/>
        </w:rPr>
        <w:t>为妇女与男子平等的权利确立法律保护，通过各国的主管法庭及其他公共机构，保证切实保护妇女不受任何歧视；</w:t>
      </w:r>
    </w:p>
    <w:p w:rsidR="00000000" w:rsidRDefault="00CA422F" w:rsidP="00CA422F">
      <w:pPr>
        <w:spacing w:after="240" w:line="360" w:lineRule="exact"/>
        <w:ind w:leftChars="200" w:left="31680" w:hangingChars="250" w:firstLine="31680"/>
        <w:rPr>
          <w:rFonts w:ascii="KaiTi_GB2312" w:eastAsia="KaiTi_GB2312" w:hint="eastAsia"/>
        </w:rPr>
      </w:pPr>
      <w:r>
        <w:rPr>
          <w:rFonts w:ascii="KaiTi_GB2312" w:eastAsia="KaiTi_GB2312" w:hint="eastAsia"/>
        </w:rPr>
        <w:t>（</w:t>
      </w:r>
      <w:r>
        <w:rPr>
          <w:rFonts w:ascii="KaiTi_GB2312" w:eastAsia="KaiTi_GB2312" w:hint="eastAsia"/>
        </w:rPr>
        <w:t>d</w:t>
      </w:r>
      <w:r>
        <w:rPr>
          <w:rFonts w:ascii="KaiTi_GB2312" w:eastAsia="KaiTi_GB2312" w:hint="eastAsia"/>
        </w:rPr>
        <w:t>）不采取任何歧视妇女的行为或作法，并保证公共当局和公共机构的行动都不违背这项义务；</w:t>
      </w:r>
    </w:p>
    <w:p w:rsidR="00000000" w:rsidRDefault="00CA422F" w:rsidP="00CA422F">
      <w:pPr>
        <w:spacing w:after="240" w:line="360" w:lineRule="exact"/>
        <w:ind w:leftChars="200" w:left="31680" w:hangingChars="250" w:firstLine="31680"/>
        <w:rPr>
          <w:rFonts w:ascii="KaiTi_GB2312" w:eastAsia="KaiTi_GB2312" w:hint="eastAsia"/>
        </w:rPr>
      </w:pPr>
      <w:r>
        <w:rPr>
          <w:rFonts w:ascii="KaiTi_GB2312" w:eastAsia="KaiTi_GB2312" w:hint="eastAsia"/>
        </w:rPr>
        <w:t>（</w:t>
      </w:r>
      <w:r>
        <w:rPr>
          <w:rFonts w:ascii="KaiTi_GB2312" w:eastAsia="KaiTi_GB2312" w:hint="eastAsia"/>
        </w:rPr>
        <w:t>e</w:t>
      </w:r>
      <w:r>
        <w:rPr>
          <w:rFonts w:ascii="KaiTi_GB2312" w:eastAsia="KaiTi_GB2312" w:hint="eastAsia"/>
        </w:rPr>
        <w:t>）应采取一切适当措施，消除任何个人、组织或企业对妇女的歧视；</w:t>
      </w:r>
    </w:p>
    <w:p w:rsidR="00000000" w:rsidRDefault="00CA422F" w:rsidP="00CA422F">
      <w:pPr>
        <w:spacing w:after="240" w:line="360" w:lineRule="exact"/>
        <w:ind w:leftChars="200" w:left="31680" w:hangingChars="250" w:firstLine="31680"/>
        <w:rPr>
          <w:rFonts w:ascii="KaiTi_GB2312" w:eastAsia="KaiTi_GB2312" w:hint="eastAsia"/>
        </w:rPr>
      </w:pPr>
      <w:r>
        <w:rPr>
          <w:rFonts w:ascii="KaiTi_GB2312" w:eastAsia="KaiTi_GB2312" w:hint="eastAsia"/>
        </w:rPr>
        <w:t>（</w:t>
      </w:r>
      <w:r>
        <w:rPr>
          <w:rFonts w:ascii="KaiTi_GB2312" w:eastAsia="KaiTi_GB2312" w:hint="eastAsia"/>
        </w:rPr>
        <w:t>f</w:t>
      </w:r>
      <w:r>
        <w:rPr>
          <w:rFonts w:ascii="KaiTi_GB2312" w:eastAsia="KaiTi_GB2312" w:hint="eastAsia"/>
        </w:rPr>
        <w:t>）应采取一切适当措施，包括制定法律，以修改或废除构成对妇女歧视的现行法律、规章、习俗和惯例；</w:t>
      </w:r>
    </w:p>
    <w:p w:rsidR="00000000" w:rsidRDefault="00CA422F" w:rsidP="00CA422F">
      <w:pPr>
        <w:spacing w:after="240" w:line="360" w:lineRule="exact"/>
        <w:ind w:leftChars="200" w:left="31680" w:hangingChars="250" w:firstLine="31680"/>
        <w:rPr>
          <w:rFonts w:ascii="KaiTi_GB2312" w:eastAsia="KaiTi_GB2312"/>
          <w:bCs/>
          <w:sz w:val="24"/>
        </w:rPr>
      </w:pPr>
      <w:r>
        <w:rPr>
          <w:rFonts w:ascii="KaiTi_GB2312" w:eastAsia="KaiTi_GB2312" w:hint="eastAsia"/>
        </w:rPr>
        <w:t>（</w:t>
      </w:r>
      <w:r>
        <w:rPr>
          <w:rFonts w:ascii="KaiTi_GB2312" w:eastAsia="KaiTi_GB2312" w:hint="eastAsia"/>
        </w:rPr>
        <w:t>g</w:t>
      </w:r>
      <w:r>
        <w:rPr>
          <w:rFonts w:ascii="KaiTi_GB2312" w:eastAsia="KaiTi_GB2312" w:hint="eastAsia"/>
        </w:rPr>
        <w:t>）同意废止本国刑</w:t>
      </w:r>
      <w:r>
        <w:rPr>
          <w:rFonts w:ascii="KaiTi_GB2312" w:eastAsia="KaiTi_GB2312" w:hint="eastAsia"/>
        </w:rPr>
        <w:t>法内构成对妇女歧视的一切规定。</w:t>
      </w:r>
    </w:p>
    <w:p w:rsidR="00000000" w:rsidRDefault="00CA422F">
      <w:pPr>
        <w:spacing w:after="240" w:line="360" w:lineRule="exact"/>
        <w:jc w:val="center"/>
        <w:rPr>
          <w:rFonts w:eastAsia="SimHei" w:hint="eastAsia"/>
          <w:sz w:val="24"/>
        </w:rPr>
      </w:pPr>
      <w:r>
        <w:rPr>
          <w:rFonts w:eastAsia="SimHei" w:hint="eastAsia"/>
          <w:sz w:val="24"/>
        </w:rPr>
        <w:t>宪法原则和国际条约</w:t>
      </w:r>
    </w:p>
    <w:p w:rsidR="00000000" w:rsidRDefault="00CA422F">
      <w:pPr>
        <w:spacing w:after="240" w:line="360" w:lineRule="exact"/>
        <w:rPr>
          <w:rFonts w:hint="eastAsia"/>
        </w:rPr>
      </w:pPr>
      <w:r>
        <w:rPr>
          <w:rFonts w:hint="eastAsia"/>
        </w:rPr>
        <w:t>105</w:t>
      </w:r>
      <w:r>
        <w:rPr>
          <w:rFonts w:hint="eastAsia"/>
        </w:rPr>
        <w:t>．</w:t>
      </w:r>
      <w:r>
        <w:rPr>
          <w:rFonts w:hint="eastAsia"/>
        </w:rPr>
        <w:t>1999</w:t>
      </w:r>
      <w:r>
        <w:rPr>
          <w:rFonts w:hint="eastAsia"/>
        </w:rPr>
        <w:t>年</w:t>
      </w:r>
      <w:r>
        <w:rPr>
          <w:rFonts w:hint="eastAsia"/>
        </w:rPr>
        <w:t>5</w:t>
      </w:r>
      <w:r>
        <w:rPr>
          <w:rFonts w:hint="eastAsia"/>
        </w:rPr>
        <w:t>月</w:t>
      </w:r>
      <w:r>
        <w:rPr>
          <w:rFonts w:hint="eastAsia"/>
        </w:rPr>
        <w:t>27</w:t>
      </w:r>
      <w:r>
        <w:rPr>
          <w:rFonts w:hint="eastAsia"/>
        </w:rPr>
        <w:t>日第</w:t>
      </w:r>
      <w:r>
        <w:rPr>
          <w:rFonts w:hint="eastAsia"/>
        </w:rPr>
        <w:t>7880</w:t>
      </w:r>
      <w:r>
        <w:rPr>
          <w:rFonts w:hint="eastAsia"/>
        </w:rPr>
        <w:t>号法律通过《宪法》第三十三条修正案，从那时起，现行的《哥斯达黎加共和国政治宪法》停止使用“</w:t>
      </w:r>
      <w:r>
        <w:rPr>
          <w:rFonts w:hint="eastAsia"/>
        </w:rPr>
        <w:t>hombre</w:t>
      </w:r>
      <w:r>
        <w:rPr>
          <w:rFonts w:hint="eastAsia"/>
        </w:rPr>
        <w:t>”（人，男人）一词作为可以指代女性的不确指普通名词。《宪法》修订案使用“</w:t>
      </w:r>
      <w:r>
        <w:rPr>
          <w:rFonts w:hint="eastAsia"/>
        </w:rPr>
        <w:t>persona</w:t>
      </w:r>
      <w:r>
        <w:rPr>
          <w:rFonts w:hint="eastAsia"/>
        </w:rPr>
        <w:t>”（人）代替“</w:t>
      </w:r>
      <w:r>
        <w:rPr>
          <w:rFonts w:hint="eastAsia"/>
        </w:rPr>
        <w:t>hombre</w:t>
      </w:r>
      <w:r>
        <w:rPr>
          <w:rFonts w:hint="eastAsia"/>
        </w:rPr>
        <w:t>”一词，具体规定如下：“第</w:t>
      </w:r>
      <w:r>
        <w:rPr>
          <w:rFonts w:hint="eastAsia"/>
        </w:rPr>
        <w:t>33</w:t>
      </w:r>
      <w:r>
        <w:rPr>
          <w:rFonts w:hint="eastAsia"/>
        </w:rPr>
        <w:t>条——法律面前人人平等，不允许有悖人类尊严的任何歧视存在。”尽管并没有按照《消除对妇女一切形式歧视公约》的相关规定，精确、积极、清晰地表述使用“</w:t>
      </w:r>
      <w:r>
        <w:rPr>
          <w:rFonts w:hint="eastAsia"/>
        </w:rPr>
        <w:t>persona</w:t>
      </w:r>
      <w:r>
        <w:rPr>
          <w:rFonts w:hint="eastAsia"/>
        </w:rPr>
        <w:t>”一词指代“</w:t>
      </w:r>
      <w:r>
        <w:rPr>
          <w:rFonts w:hint="eastAsia"/>
        </w:rPr>
        <w:t>homb</w:t>
      </w:r>
      <w:r>
        <w:rPr>
          <w:rFonts w:hint="eastAsia"/>
        </w:rPr>
        <w:t>re y mujer</w:t>
      </w:r>
      <w:r>
        <w:rPr>
          <w:rFonts w:hint="eastAsia"/>
        </w:rPr>
        <w:t>”（男人和女人），该修订标志着在取消法律文本中男性中心用语的斗争中迈出了重大的一步，表明男女平等是《政治宪法》确认的宪法原则。第</w:t>
      </w:r>
      <w:r>
        <w:rPr>
          <w:rFonts w:hint="eastAsia"/>
        </w:rPr>
        <w:t>7880</w:t>
      </w:r>
      <w:r>
        <w:rPr>
          <w:rFonts w:hint="eastAsia"/>
        </w:rPr>
        <w:t>号法律还依据《公约》第十二条的规定对《宪法》第</w:t>
      </w:r>
      <w:r>
        <w:rPr>
          <w:rFonts w:hint="eastAsia"/>
        </w:rPr>
        <w:t>20</w:t>
      </w:r>
      <w:r>
        <w:rPr>
          <w:rFonts w:hint="eastAsia"/>
        </w:rPr>
        <w:t>条进行了修订，用“</w:t>
      </w:r>
      <w:r>
        <w:rPr>
          <w:rFonts w:hint="eastAsia"/>
        </w:rPr>
        <w:t>esclavo ni esclava</w:t>
      </w:r>
      <w:r>
        <w:rPr>
          <w:rFonts w:hint="eastAsia"/>
        </w:rPr>
        <w:t>”（男奴和女奴）代替“</w:t>
      </w:r>
      <w:r>
        <w:rPr>
          <w:rFonts w:hint="eastAsia"/>
        </w:rPr>
        <w:t>esclavo</w:t>
      </w:r>
      <w:r>
        <w:rPr>
          <w:rFonts w:hint="eastAsia"/>
        </w:rPr>
        <w:t>”（男奴，奴隶）一词，目的是避免法律解释可能出现基于性别原因的法律歧视</w:t>
      </w:r>
      <w:r>
        <w:rPr>
          <w:vertAlign w:val="superscript"/>
        </w:rPr>
        <w:footnoteReference w:customMarkFollows="1" w:id="9"/>
        <w:t>8</w:t>
      </w:r>
      <w:r>
        <w:rPr>
          <w:rFonts w:hint="eastAsia"/>
        </w:rPr>
        <w:t>。</w:t>
      </w:r>
    </w:p>
    <w:p w:rsidR="00000000" w:rsidRDefault="00CA422F">
      <w:pPr>
        <w:spacing w:after="240" w:line="360" w:lineRule="exact"/>
        <w:rPr>
          <w:rFonts w:hint="eastAsia"/>
        </w:rPr>
      </w:pPr>
      <w:r>
        <w:rPr>
          <w:rFonts w:hint="eastAsia"/>
        </w:rPr>
        <w:t>106</w:t>
      </w:r>
      <w:r>
        <w:rPr>
          <w:rFonts w:hint="eastAsia"/>
        </w:rPr>
        <w:t>．值得一提的是，</w:t>
      </w:r>
      <w:r>
        <w:rPr>
          <w:rFonts w:hint="eastAsia"/>
        </w:rPr>
        <w:t>1990</w:t>
      </w:r>
      <w:r>
        <w:rPr>
          <w:rFonts w:hint="eastAsia"/>
        </w:rPr>
        <w:t>年通过的《促进妇女社会平等法》（第</w:t>
      </w:r>
      <w:r>
        <w:rPr>
          <w:rFonts w:hint="eastAsia"/>
        </w:rPr>
        <w:t>7142</w:t>
      </w:r>
      <w:r>
        <w:rPr>
          <w:rFonts w:hint="eastAsia"/>
        </w:rPr>
        <w:t>号法律标志着国内立法中的一个进步。它依据《公约》的相关建议，诠释了男</w:t>
      </w:r>
      <w:r>
        <w:rPr>
          <w:rFonts w:hint="eastAsia"/>
        </w:rPr>
        <w:t>女平等和不歧视妇女原则。</w:t>
      </w:r>
    </w:p>
    <w:p w:rsidR="00000000" w:rsidRDefault="00CA422F">
      <w:pPr>
        <w:spacing w:after="240" w:line="360" w:lineRule="atLeast"/>
        <w:rPr>
          <w:rFonts w:hint="eastAsia"/>
        </w:rPr>
      </w:pPr>
      <w:r>
        <w:rPr>
          <w:rFonts w:hint="eastAsia"/>
        </w:rPr>
        <w:t>107</w:t>
      </w:r>
      <w:r>
        <w:rPr>
          <w:rFonts w:hint="eastAsia"/>
        </w:rPr>
        <w:t>．消除国家法律——特别是《政治宪法》中的男性中心倾向是一个缓慢而艰难的进程，因为法律是一个社会产物，而这个社会一直对妇女的特殊需要和利益视而不见，</w:t>
      </w:r>
      <w:r>
        <w:rPr>
          <w:rFonts w:hint="eastAsia"/>
        </w:rPr>
        <w:t>1984</w:t>
      </w:r>
      <w:r>
        <w:rPr>
          <w:rFonts w:hint="eastAsia"/>
        </w:rPr>
        <w:t>年哥斯达黎加批准了《消除对妇女一切形式歧视公约》，为重新建构形式上的人人平等原则——基于尊重差异的平等原则——开辟了道路。与差别待遇一样，“歧视”也被赋予新的定义，被理解为是对妇女权利的剥夺。当妇女的某项权利受到限制或者被剥夺时，当司法人员对法律的解释致使妇女权利受到限制和剥夺时，就导致了歧视，改变法律文书中的男性中心的语言</w:t>
      </w:r>
      <w:r>
        <w:rPr>
          <w:rFonts w:hint="eastAsia"/>
        </w:rPr>
        <w:t>是这一进程中主要的进步，尽管如此，还必须采取主动行动，系统地普及相关的法律知识，使司法人员了解国际法维护的原则和妇女人权专项法律文书的内容及效力。</w:t>
      </w:r>
    </w:p>
    <w:p w:rsidR="00000000" w:rsidRDefault="00CA422F">
      <w:pPr>
        <w:spacing w:after="240" w:line="360" w:lineRule="exact"/>
        <w:rPr>
          <w:rFonts w:hint="eastAsia"/>
        </w:rPr>
      </w:pPr>
      <w:r>
        <w:rPr>
          <w:rFonts w:hint="eastAsia"/>
        </w:rPr>
        <w:t>108</w:t>
      </w:r>
      <w:r>
        <w:rPr>
          <w:rFonts w:hint="eastAsia"/>
        </w:rPr>
        <w:t>．</w:t>
      </w:r>
      <w:r>
        <w:rPr>
          <w:rFonts w:hint="eastAsia"/>
        </w:rPr>
        <w:t>1951</w:t>
      </w:r>
      <w:r>
        <w:rPr>
          <w:rFonts w:hint="eastAsia"/>
        </w:rPr>
        <w:t>年之后，哥斯达黎加批准了</w:t>
      </w:r>
      <w:r>
        <w:rPr>
          <w:rFonts w:hint="eastAsia"/>
        </w:rPr>
        <w:t>20</w:t>
      </w:r>
      <w:r>
        <w:rPr>
          <w:rFonts w:hint="eastAsia"/>
        </w:rPr>
        <w:t>余项保护妇女人权的国际条约</w:t>
      </w:r>
      <w:r>
        <w:rPr>
          <w:rStyle w:val="FootnoteReference"/>
        </w:rPr>
        <w:footnoteReference w:customMarkFollows="1" w:id="10"/>
        <w:t>9</w:t>
      </w:r>
      <w:r>
        <w:rPr>
          <w:rFonts w:hint="eastAsia"/>
        </w:rPr>
        <w:t>，它们的批准使国家可以批准通过特殊法律和修订国内法中的歧视性原则。尽管如此，某些专业法律工作者（男</w:t>
      </w:r>
      <w:r>
        <w:rPr>
          <w:rFonts w:hint="eastAsia"/>
        </w:rPr>
        <w:t>/</w:t>
      </w:r>
      <w:r>
        <w:rPr>
          <w:rFonts w:hint="eastAsia"/>
        </w:rPr>
        <w:t>女）仍然拒绝承认妇女权利专项法律文书的存在。尽管国家批准的国际条约不需要具体的解释标准就可以直接使用，然而上述现象的存在致使它们在国内诉讼中的应用非常有限。只有宪法厅经常在其审判权限内使用这些</w:t>
      </w:r>
      <w:r>
        <w:rPr>
          <w:rFonts w:hint="eastAsia"/>
        </w:rPr>
        <w:t>国际条约。</w:t>
      </w:r>
    </w:p>
    <w:p w:rsidR="00000000" w:rsidRDefault="00CA422F">
      <w:pPr>
        <w:spacing w:after="240" w:line="360" w:lineRule="exact"/>
        <w:rPr>
          <w:rFonts w:hint="eastAsia"/>
        </w:rPr>
      </w:pPr>
      <w:r>
        <w:rPr>
          <w:rFonts w:hint="eastAsia"/>
        </w:rPr>
        <w:t>109</w:t>
      </w:r>
      <w:r>
        <w:rPr>
          <w:rFonts w:hint="eastAsia"/>
        </w:rPr>
        <w:t>．</w:t>
      </w:r>
      <w:r>
        <w:rPr>
          <w:rFonts w:hint="eastAsia"/>
        </w:rPr>
        <w:t xml:space="preserve"> 2001</w:t>
      </w:r>
      <w:r>
        <w:rPr>
          <w:rFonts w:hint="eastAsia"/>
        </w:rPr>
        <w:t>年</w:t>
      </w:r>
      <w:r>
        <w:rPr>
          <w:rFonts w:hint="eastAsia"/>
        </w:rPr>
        <w:t>2</w:t>
      </w:r>
      <w:r>
        <w:rPr>
          <w:rFonts w:hint="eastAsia"/>
        </w:rPr>
        <w:t>月</w:t>
      </w:r>
      <w:r>
        <w:rPr>
          <w:rFonts w:hint="eastAsia"/>
        </w:rPr>
        <w:t>12</w:t>
      </w:r>
      <w:r>
        <w:rPr>
          <w:rFonts w:hint="eastAsia"/>
        </w:rPr>
        <w:t>日立法议会通过了第</w:t>
      </w:r>
      <w:r>
        <w:rPr>
          <w:rFonts w:hint="eastAsia"/>
        </w:rPr>
        <w:t>8089</w:t>
      </w:r>
      <w:r>
        <w:rPr>
          <w:rFonts w:hint="eastAsia"/>
        </w:rPr>
        <w:t>号法律</w:t>
      </w:r>
      <w:r>
        <w:rPr>
          <w:rFonts w:hint="eastAsia"/>
        </w:rPr>
        <w:t>:</w:t>
      </w:r>
      <w:r>
        <w:rPr>
          <w:rFonts w:hint="eastAsia"/>
        </w:rPr>
        <w:t>“通过《消除对妇女一切形式歧视公约任择议定书》”。这也是保障真正贯彻平等原则和切实有效保护妇女的人权进程中的一个重要的里程碑。第</w:t>
      </w:r>
      <w:r>
        <w:rPr>
          <w:rFonts w:hint="eastAsia"/>
        </w:rPr>
        <w:t>8089</w:t>
      </w:r>
      <w:r>
        <w:rPr>
          <w:rFonts w:hint="eastAsia"/>
        </w:rPr>
        <w:t>号法律使哥斯达黎加妇女能够因为哥斯达黎加政府不履行《消除对妇女一切形式歧视公约》</w:t>
      </w:r>
      <w:r>
        <w:rPr>
          <w:rFonts w:hint="eastAsia"/>
        </w:rPr>
        <w:t xml:space="preserve"> </w:t>
      </w:r>
      <w:r>
        <w:rPr>
          <w:rFonts w:hint="eastAsia"/>
        </w:rPr>
        <w:t>而对其提起诉讼。另一方面，《任择议定书》也使得联合国专门机构可以正式调查任何严重的或者有组织的侵害受公约保护的妇女人权的行为。</w:t>
      </w:r>
    </w:p>
    <w:p w:rsidR="00000000" w:rsidRDefault="00CA422F">
      <w:pPr>
        <w:spacing w:after="240" w:line="360" w:lineRule="exact"/>
        <w:rPr>
          <w:rFonts w:hint="eastAsia"/>
        </w:rPr>
      </w:pPr>
      <w:r>
        <w:rPr>
          <w:rFonts w:hint="eastAsia"/>
        </w:rPr>
        <w:t>110</w:t>
      </w:r>
      <w:r>
        <w:rPr>
          <w:rFonts w:hint="eastAsia"/>
        </w:rPr>
        <w:t>．</w:t>
      </w:r>
      <w:r>
        <w:rPr>
          <w:rFonts w:hint="eastAsia"/>
        </w:rPr>
        <w:t xml:space="preserve"> 2000</w:t>
      </w:r>
      <w:r>
        <w:rPr>
          <w:rFonts w:hint="eastAsia"/>
        </w:rPr>
        <w:t>年</w:t>
      </w:r>
      <w:r>
        <w:rPr>
          <w:rFonts w:hint="eastAsia"/>
        </w:rPr>
        <w:t>11</w:t>
      </w:r>
      <w:r>
        <w:rPr>
          <w:rFonts w:hint="eastAsia"/>
        </w:rPr>
        <w:t>月</w:t>
      </w:r>
      <w:r>
        <w:rPr>
          <w:rFonts w:hint="eastAsia"/>
        </w:rPr>
        <w:t>28</w:t>
      </w:r>
      <w:r>
        <w:rPr>
          <w:rFonts w:hint="eastAsia"/>
        </w:rPr>
        <w:t>日《美洲赡养义务法》作为第</w:t>
      </w:r>
      <w:r>
        <w:rPr>
          <w:rFonts w:hint="eastAsia"/>
        </w:rPr>
        <w:t>8053</w:t>
      </w:r>
      <w:r>
        <w:rPr>
          <w:rFonts w:hint="eastAsia"/>
        </w:rPr>
        <w:t>号法律获得通过。该法律文书向</w:t>
      </w:r>
      <w:r>
        <w:rPr>
          <w:rFonts w:hint="eastAsia"/>
        </w:rPr>
        <w:t>前配偶、未成年子女、受赡养的父母和其他受扶养的或者有残疾的直系亲属提供法律保护，当承担抚养责任的一方因为与接受赡养费的债权方居住国不同或者前者在其他国家拥有财产或者收入时，《美洲国际扶养义务法》的通过正式解决了许多哥斯达黎加家庭——不少家庭的户主是女姓——面临的问题。上述家庭由于抚养方居住在其他国家或者在其他国家拥有财产而无法要求其履行抚养义务。</w:t>
      </w:r>
    </w:p>
    <w:p w:rsidR="00000000" w:rsidRDefault="00CA422F">
      <w:pPr>
        <w:spacing w:after="240" w:line="360" w:lineRule="exact"/>
        <w:jc w:val="center"/>
        <w:rPr>
          <w:rFonts w:eastAsia="SimHei" w:hint="eastAsia"/>
          <w:sz w:val="24"/>
        </w:rPr>
      </w:pPr>
      <w:r>
        <w:rPr>
          <w:rFonts w:eastAsia="SimHei" w:hint="eastAsia"/>
          <w:sz w:val="24"/>
        </w:rPr>
        <w:t>普通法律和特殊法</w:t>
      </w:r>
    </w:p>
    <w:p w:rsidR="00000000" w:rsidRDefault="00CA422F">
      <w:pPr>
        <w:spacing w:after="240" w:line="360" w:lineRule="exact"/>
        <w:rPr>
          <w:rFonts w:hint="eastAsia"/>
        </w:rPr>
      </w:pPr>
      <w:r>
        <w:rPr>
          <w:rFonts w:hint="eastAsia"/>
        </w:rPr>
        <w:t>111</w:t>
      </w:r>
      <w:r>
        <w:rPr>
          <w:rFonts w:hint="eastAsia"/>
        </w:rPr>
        <w:t>．合并定期报告提交之后，在本届立法议会期间有多项法律草案等待通过。其中的大部分法律方案都是由国家妇女研究所提出的，目的是解决《家庭法典》和</w:t>
      </w:r>
      <w:r>
        <w:rPr>
          <w:rFonts w:hint="eastAsia"/>
        </w:rPr>
        <w:t>《劳工法典》等普通法律中现行的歧视性差别待遇问题。由于期限已满，对已经搁置的法律方案进行了一次评估。评估指出，若干法律方案提出的缺点和薄弱环节已经被克服或者在其他已经获得通过的、具有法律地位的法律方案中得到了解决（如《父子关系责任法》）。在另外一些情况下，后来提出的法律方案中包含了已经被搁置的草案内容并且比前者更加完善。由于人们认为某些法律方案的价值有限或者没有能力解决妇女面对的实质性歧视问题，国家妇女研究所并没有继续跟进这些法律方案。</w:t>
      </w:r>
    </w:p>
    <w:p w:rsidR="00000000" w:rsidRDefault="00CA422F">
      <w:pPr>
        <w:spacing w:after="240" w:line="360" w:lineRule="exact"/>
        <w:rPr>
          <w:rFonts w:hint="eastAsia"/>
        </w:rPr>
      </w:pPr>
      <w:r>
        <w:rPr>
          <w:rFonts w:hint="eastAsia"/>
        </w:rPr>
        <w:t>112</w:t>
      </w:r>
      <w:r>
        <w:rPr>
          <w:rFonts w:hint="eastAsia"/>
        </w:rPr>
        <w:t>．在本报告涉及的阶段内，多项特殊法获得通过并且完成了对某些现行法</w:t>
      </w:r>
      <w:r>
        <w:rPr>
          <w:rFonts w:hint="eastAsia"/>
        </w:rPr>
        <w:t>律的修订。表</w:t>
      </w:r>
      <w:r>
        <w:rPr>
          <w:rFonts w:hint="eastAsia"/>
        </w:rPr>
        <w:t>1</w:t>
      </w:r>
      <w:r>
        <w:rPr>
          <w:rFonts w:hint="eastAsia"/>
        </w:rPr>
        <w:t>对此进行了具体说明。分项普通法律和特殊法修订方案以及其他立法草案谋求处理严重问题（如对妇女的暴力并没有受到法律制裁），这说明，它们正在等待被归档或者被立法议会讨论。附件</w:t>
      </w:r>
      <w:r>
        <w:rPr>
          <w:rFonts w:hint="eastAsia"/>
        </w:rPr>
        <w:t>2</w:t>
      </w:r>
      <w:r>
        <w:rPr>
          <w:rFonts w:hint="eastAsia"/>
        </w:rPr>
        <w:t>列出了详细的法律草案清单并且说明了合并定期报告列举过的、尚未被裁定或者处于通过程序中的法律草案的状况。</w:t>
      </w:r>
    </w:p>
    <w:p w:rsidR="00000000" w:rsidRDefault="00CA422F">
      <w:pPr>
        <w:spacing w:after="120" w:line="360" w:lineRule="exact"/>
        <w:jc w:val="center"/>
        <w:rPr>
          <w:rFonts w:ascii="SimHei" w:eastAsia="SimHei" w:hint="eastAsia"/>
        </w:rPr>
      </w:pPr>
      <w:r>
        <w:rPr>
          <w:rFonts w:ascii="SimHei" w:eastAsia="SimHei" w:hint="eastAsia"/>
        </w:rPr>
        <w:t>表</w:t>
      </w:r>
      <w:r>
        <w:rPr>
          <w:rFonts w:ascii="SimHei" w:eastAsia="SimHei" w:hint="eastAsia"/>
        </w:rPr>
        <w:t>1</w:t>
      </w:r>
      <w:r>
        <w:rPr>
          <w:rFonts w:ascii="SimHei" w:eastAsia="SimHei"/>
        </w:rPr>
        <w:br/>
      </w:r>
      <w:r>
        <w:rPr>
          <w:rFonts w:ascii="SimHei" w:eastAsia="SimHei" w:hint="eastAsia"/>
        </w:rPr>
        <w:t>哥斯达黎加立法议会通过普通法律和特殊法修订案，</w:t>
      </w:r>
      <w:r>
        <w:rPr>
          <w:rFonts w:ascii="SimHei" w:eastAsia="SimHei"/>
        </w:rPr>
        <w:br/>
      </w:r>
      <w:r>
        <w:rPr>
          <w:rFonts w:ascii="SimHei" w:eastAsia="SimHei" w:hint="eastAsia"/>
        </w:rPr>
        <w:t>1998</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1</w:t>
      </w:r>
      <w:r>
        <w:rPr>
          <w:rFonts w:ascii="SimHei" w:eastAsia="SimHei" w:hint="eastAsia"/>
        </w:rPr>
        <w:t>日至</w:t>
      </w:r>
      <w:r>
        <w:rPr>
          <w:rFonts w:ascii="SimHei" w:eastAsia="SimHei" w:hint="eastAsia"/>
        </w:rPr>
        <w:t>2002</w:t>
      </w:r>
      <w:r>
        <w:rPr>
          <w:rFonts w:ascii="SimHei" w:eastAsia="SimHei" w:hint="eastAsia"/>
        </w:rPr>
        <w:t>年</w:t>
      </w:r>
      <w:r>
        <w:rPr>
          <w:rFonts w:ascii="SimHei" w:eastAsia="SimHei" w:hint="eastAsia"/>
        </w:rPr>
        <w:t>2</w:t>
      </w:r>
      <w:r>
        <w:rPr>
          <w:rFonts w:ascii="SimHei" w:eastAsia="SimHei" w:hint="eastAsia"/>
        </w:rPr>
        <w:t>月</w:t>
      </w:r>
      <w:r>
        <w:rPr>
          <w:rFonts w:ascii="SimHei" w:eastAsia="SimHei" w:hint="eastAsia"/>
        </w:rPr>
        <w:t>20</w:t>
      </w:r>
      <w:r>
        <w:rPr>
          <w:rFonts w:ascii="SimHei" w:eastAsia="SimHei" w:hint="eastAsia"/>
        </w:rPr>
        <w:t>日</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2"/>
        <w:gridCol w:w="5537"/>
        <w:gridCol w:w="2632"/>
      </w:tblGrid>
      <w:tr w:rsidR="00000000">
        <w:tblPrEx>
          <w:tblCellMar>
            <w:top w:w="0" w:type="dxa"/>
            <w:bottom w:w="0" w:type="dxa"/>
          </w:tblCellMar>
        </w:tblPrEx>
        <w:tc>
          <w:tcPr>
            <w:tcW w:w="798" w:type="pct"/>
          </w:tcPr>
          <w:p w:rsidR="00000000" w:rsidRDefault="00CA422F">
            <w:pPr>
              <w:pStyle w:val="20"/>
              <w:spacing w:beforeLines="0" w:before="0" w:afterLines="0" w:after="120" w:line="340" w:lineRule="exact"/>
              <w:jc w:val="center"/>
              <w:rPr>
                <w:rFonts w:ascii="Times New Roman" w:eastAsia="SimHei" w:hAnsi="Times New Roman" w:hint="eastAsia"/>
                <w:sz w:val="21"/>
                <w:lang w:val="en-US"/>
              </w:rPr>
            </w:pPr>
            <w:r>
              <w:rPr>
                <w:rFonts w:ascii="Times New Roman" w:eastAsia="SimHei" w:hAnsi="Times New Roman" w:hint="eastAsia"/>
                <w:sz w:val="21"/>
                <w:lang w:val="en-US"/>
              </w:rPr>
              <w:t>法律编号</w:t>
            </w:r>
          </w:p>
        </w:tc>
        <w:tc>
          <w:tcPr>
            <w:tcW w:w="2848" w:type="pct"/>
          </w:tcPr>
          <w:p w:rsidR="00000000" w:rsidRDefault="00CA422F">
            <w:pPr>
              <w:spacing w:after="120" w:line="340" w:lineRule="exact"/>
              <w:jc w:val="center"/>
              <w:rPr>
                <w:rFonts w:eastAsia="SimHei" w:hint="eastAsia"/>
              </w:rPr>
            </w:pPr>
            <w:r>
              <w:rPr>
                <w:rFonts w:eastAsia="SimHei" w:hint="eastAsia"/>
              </w:rPr>
              <w:t>被通过的法律名称</w:t>
            </w:r>
          </w:p>
        </w:tc>
        <w:tc>
          <w:tcPr>
            <w:tcW w:w="1354" w:type="pct"/>
          </w:tcPr>
          <w:p w:rsidR="00000000" w:rsidRDefault="00CA422F">
            <w:pPr>
              <w:spacing w:after="120" w:line="340" w:lineRule="exact"/>
              <w:jc w:val="center"/>
              <w:rPr>
                <w:rFonts w:eastAsia="SimHei" w:hint="eastAsia"/>
              </w:rPr>
            </w:pPr>
            <w:r>
              <w:rPr>
                <w:rFonts w:eastAsia="SimHei" w:hint="eastAsia"/>
              </w:rPr>
              <w:t>通过日期</w:t>
            </w:r>
          </w:p>
        </w:tc>
      </w:tr>
      <w:tr w:rsidR="00000000">
        <w:tblPrEx>
          <w:tblCellMar>
            <w:top w:w="0" w:type="dxa"/>
            <w:bottom w:w="0" w:type="dxa"/>
          </w:tblCellMar>
        </w:tblPrEx>
        <w:tc>
          <w:tcPr>
            <w:tcW w:w="798" w:type="pct"/>
            <w:tcBorders>
              <w:bottom w:val="nil"/>
            </w:tcBorders>
          </w:tcPr>
          <w:p w:rsidR="00000000" w:rsidRDefault="00CA422F">
            <w:pPr>
              <w:spacing w:after="120" w:line="340" w:lineRule="exact"/>
              <w:rPr>
                <w:rFonts w:hint="eastAsia"/>
              </w:rPr>
            </w:pPr>
            <w:r>
              <w:rPr>
                <w:rFonts w:hint="eastAsia"/>
              </w:rPr>
              <w:t>7769</w:t>
            </w:r>
          </w:p>
        </w:tc>
        <w:tc>
          <w:tcPr>
            <w:tcW w:w="2848" w:type="pct"/>
            <w:tcBorders>
              <w:bottom w:val="nil"/>
            </w:tcBorders>
          </w:tcPr>
          <w:p w:rsidR="00000000" w:rsidRDefault="00CA422F">
            <w:pPr>
              <w:spacing w:after="120" w:line="340" w:lineRule="exact"/>
              <w:rPr>
                <w:rFonts w:hint="eastAsia"/>
              </w:rPr>
            </w:pPr>
            <w:r>
              <w:rPr>
                <w:rFonts w:hint="eastAsia"/>
              </w:rPr>
              <w:t>《贫困妇女关注法》</w:t>
            </w:r>
          </w:p>
        </w:tc>
        <w:tc>
          <w:tcPr>
            <w:tcW w:w="1354" w:type="pct"/>
            <w:tcBorders>
              <w:bottom w:val="nil"/>
            </w:tcBorders>
          </w:tcPr>
          <w:p w:rsidR="00000000" w:rsidRDefault="00CA422F">
            <w:pPr>
              <w:spacing w:after="120" w:line="340" w:lineRule="exact"/>
              <w:rPr>
                <w:rFonts w:hint="eastAsia"/>
              </w:rPr>
            </w:pPr>
            <w:r>
              <w:rPr>
                <w:rFonts w:hint="eastAsia"/>
              </w:rPr>
              <w:t>1998</w:t>
            </w:r>
            <w:r>
              <w:rPr>
                <w:rFonts w:hint="eastAsia"/>
              </w:rPr>
              <w:t>年</w:t>
            </w:r>
            <w:r>
              <w:rPr>
                <w:rFonts w:hint="eastAsia"/>
              </w:rPr>
              <w:t>4</w:t>
            </w:r>
            <w:r>
              <w:rPr>
                <w:rFonts w:hint="eastAsia"/>
              </w:rPr>
              <w:t>月</w:t>
            </w:r>
            <w:r>
              <w:rPr>
                <w:rFonts w:hint="eastAsia"/>
              </w:rPr>
              <w:t>24</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7801</w:t>
            </w:r>
          </w:p>
        </w:tc>
        <w:tc>
          <w:tcPr>
            <w:tcW w:w="2848" w:type="pct"/>
            <w:tcBorders>
              <w:top w:val="nil"/>
              <w:bottom w:val="nil"/>
            </w:tcBorders>
          </w:tcPr>
          <w:p w:rsidR="00000000" w:rsidRDefault="00CA422F">
            <w:pPr>
              <w:spacing w:after="120" w:line="340" w:lineRule="exact"/>
              <w:rPr>
                <w:rFonts w:hint="eastAsia"/>
              </w:rPr>
            </w:pPr>
            <w:r>
              <w:rPr>
                <w:rFonts w:hint="eastAsia"/>
              </w:rPr>
              <w:t>《国家妇女研究所组建法》</w:t>
            </w:r>
          </w:p>
        </w:tc>
        <w:tc>
          <w:tcPr>
            <w:tcW w:w="1354" w:type="pct"/>
            <w:tcBorders>
              <w:top w:val="nil"/>
              <w:bottom w:val="nil"/>
            </w:tcBorders>
          </w:tcPr>
          <w:p w:rsidR="00000000" w:rsidRDefault="00CA422F">
            <w:pPr>
              <w:spacing w:after="120" w:line="340" w:lineRule="exact"/>
              <w:rPr>
                <w:rFonts w:hint="eastAsia"/>
              </w:rPr>
            </w:pPr>
            <w:r>
              <w:rPr>
                <w:rFonts w:hint="eastAsia"/>
              </w:rPr>
              <w:t>1998</w:t>
            </w:r>
            <w:r>
              <w:rPr>
                <w:rFonts w:hint="eastAsia"/>
              </w:rPr>
              <w:t>年</w:t>
            </w:r>
            <w:r>
              <w:rPr>
                <w:rFonts w:hint="eastAsia"/>
              </w:rPr>
              <w:t>4</w:t>
            </w:r>
            <w:r>
              <w:rPr>
                <w:rFonts w:hint="eastAsia"/>
              </w:rPr>
              <w:t>月</w:t>
            </w:r>
            <w:r>
              <w:rPr>
                <w:rFonts w:hint="eastAsia"/>
              </w:rPr>
              <w:t>30</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7817</w:t>
            </w:r>
          </w:p>
        </w:tc>
        <w:tc>
          <w:tcPr>
            <w:tcW w:w="2848" w:type="pct"/>
            <w:tcBorders>
              <w:top w:val="nil"/>
              <w:bottom w:val="nil"/>
            </w:tcBorders>
          </w:tcPr>
          <w:p w:rsidR="00000000" w:rsidRDefault="00CA422F">
            <w:pPr>
              <w:spacing w:after="120" w:line="340" w:lineRule="exact"/>
              <w:rPr>
                <w:rFonts w:hint="eastAsia"/>
              </w:rPr>
            </w:pPr>
            <w:r>
              <w:rPr>
                <w:rFonts w:hint="eastAsia"/>
              </w:rPr>
              <w:t>创立“爱与青年”和“机会构筑”方案</w:t>
            </w:r>
          </w:p>
        </w:tc>
        <w:tc>
          <w:tcPr>
            <w:tcW w:w="1354" w:type="pct"/>
            <w:tcBorders>
              <w:top w:val="nil"/>
              <w:bottom w:val="nil"/>
            </w:tcBorders>
          </w:tcPr>
          <w:p w:rsidR="00000000" w:rsidRDefault="00CA422F">
            <w:pPr>
              <w:spacing w:after="120" w:line="340" w:lineRule="exact"/>
              <w:rPr>
                <w:rFonts w:hint="eastAsia"/>
              </w:rPr>
            </w:pPr>
            <w:r>
              <w:rPr>
                <w:rFonts w:hint="eastAsia"/>
              </w:rPr>
              <w:t>1998</w:t>
            </w:r>
            <w:r>
              <w:rPr>
                <w:rFonts w:hint="eastAsia"/>
              </w:rPr>
              <w:t>年</w:t>
            </w:r>
            <w:r>
              <w:rPr>
                <w:rFonts w:hint="eastAsia"/>
              </w:rPr>
              <w:t>9</w:t>
            </w:r>
            <w:r>
              <w:rPr>
                <w:rFonts w:hint="eastAsia"/>
              </w:rPr>
              <w:t>月</w:t>
            </w:r>
            <w:r>
              <w:rPr>
                <w:rFonts w:hint="eastAsia"/>
              </w:rPr>
              <w:t>5</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7899</w:t>
            </w:r>
          </w:p>
        </w:tc>
        <w:tc>
          <w:tcPr>
            <w:tcW w:w="2848" w:type="pct"/>
            <w:tcBorders>
              <w:top w:val="nil"/>
              <w:bottom w:val="nil"/>
            </w:tcBorders>
          </w:tcPr>
          <w:p w:rsidR="00000000" w:rsidRDefault="00CA422F">
            <w:pPr>
              <w:pStyle w:val="20"/>
              <w:spacing w:beforeLines="0" w:before="0" w:afterLines="0" w:after="120" w:line="340" w:lineRule="exact"/>
              <w:rPr>
                <w:rFonts w:ascii="Times New Roman" w:eastAsia="SimSun" w:hAnsi="Times New Roman" w:hint="eastAsia"/>
                <w:sz w:val="21"/>
                <w:lang w:val="en-US"/>
              </w:rPr>
            </w:pPr>
            <w:r>
              <w:rPr>
                <w:rFonts w:ascii="Times New Roman" w:eastAsia="SimSun" w:hAnsi="Times New Roman" w:hint="eastAsia"/>
                <w:sz w:val="21"/>
                <w:lang w:val="en-US"/>
              </w:rPr>
              <w:t>《打击对未成年人的色情剥削法》</w:t>
            </w:r>
          </w:p>
        </w:tc>
        <w:tc>
          <w:tcPr>
            <w:tcW w:w="1354" w:type="pct"/>
            <w:tcBorders>
              <w:top w:val="nil"/>
              <w:bottom w:val="nil"/>
            </w:tcBorders>
          </w:tcPr>
          <w:p w:rsidR="00000000" w:rsidRDefault="00CA422F">
            <w:pPr>
              <w:spacing w:after="120" w:line="340" w:lineRule="exact"/>
              <w:rPr>
                <w:rFonts w:hint="eastAsia"/>
              </w:rPr>
            </w:pPr>
            <w:r>
              <w:rPr>
                <w:rFonts w:hint="eastAsia"/>
              </w:rPr>
              <w:t>1999</w:t>
            </w:r>
            <w:r>
              <w:rPr>
                <w:rFonts w:hint="eastAsia"/>
              </w:rPr>
              <w:t>年</w:t>
            </w:r>
            <w:r>
              <w:rPr>
                <w:rFonts w:hint="eastAsia"/>
              </w:rPr>
              <w:t>8</w:t>
            </w:r>
            <w:r>
              <w:rPr>
                <w:rFonts w:hint="eastAsia"/>
              </w:rPr>
              <w:t>月</w:t>
            </w:r>
            <w:r>
              <w:rPr>
                <w:rFonts w:hint="eastAsia"/>
              </w:rPr>
              <w:t>3</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7935</w:t>
            </w:r>
          </w:p>
        </w:tc>
        <w:tc>
          <w:tcPr>
            <w:tcW w:w="2848" w:type="pct"/>
            <w:tcBorders>
              <w:top w:val="nil"/>
              <w:bottom w:val="nil"/>
            </w:tcBorders>
          </w:tcPr>
          <w:p w:rsidR="00000000" w:rsidRDefault="00CA422F">
            <w:pPr>
              <w:spacing w:after="120" w:line="340" w:lineRule="exact"/>
              <w:rPr>
                <w:rFonts w:hint="eastAsia"/>
              </w:rPr>
            </w:pPr>
            <w:r>
              <w:rPr>
                <w:rFonts w:hint="eastAsia"/>
              </w:rPr>
              <w:t>《老年妇女基本法》</w:t>
            </w:r>
          </w:p>
        </w:tc>
        <w:tc>
          <w:tcPr>
            <w:tcW w:w="1354" w:type="pct"/>
            <w:tcBorders>
              <w:top w:val="nil"/>
              <w:bottom w:val="nil"/>
            </w:tcBorders>
          </w:tcPr>
          <w:p w:rsidR="00000000" w:rsidRDefault="00CA422F">
            <w:pPr>
              <w:spacing w:after="120" w:line="340" w:lineRule="exact"/>
              <w:rPr>
                <w:rFonts w:hint="eastAsia"/>
              </w:rPr>
            </w:pPr>
            <w:r>
              <w:rPr>
                <w:rFonts w:hint="eastAsia"/>
              </w:rPr>
              <w:t>1999</w:t>
            </w:r>
            <w:r>
              <w:rPr>
                <w:rFonts w:hint="eastAsia"/>
              </w:rPr>
              <w:t>年</w:t>
            </w:r>
            <w:r>
              <w:rPr>
                <w:rFonts w:hint="eastAsia"/>
              </w:rPr>
              <w:t>10</w:t>
            </w:r>
            <w:r>
              <w:rPr>
                <w:rFonts w:hint="eastAsia"/>
              </w:rPr>
              <w:t>月</w:t>
            </w:r>
            <w:r>
              <w:rPr>
                <w:rFonts w:hint="eastAsia"/>
              </w:rPr>
              <w:t>25</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7940</w:t>
            </w:r>
          </w:p>
        </w:tc>
        <w:tc>
          <w:tcPr>
            <w:tcW w:w="2848" w:type="pct"/>
            <w:tcBorders>
              <w:top w:val="nil"/>
              <w:bottom w:val="nil"/>
            </w:tcBorders>
          </w:tcPr>
          <w:p w:rsidR="00000000" w:rsidRDefault="00CA422F">
            <w:pPr>
              <w:spacing w:after="120" w:line="340" w:lineRule="exact"/>
              <w:rPr>
                <w:rFonts w:hint="eastAsia"/>
              </w:rPr>
            </w:pPr>
            <w:r>
              <w:rPr>
                <w:rFonts w:hint="eastAsia"/>
              </w:rPr>
              <w:t>授权社会援助联合研究所全部或者部分免除已经申报为共同权益的住宅抵押贷款</w:t>
            </w:r>
          </w:p>
        </w:tc>
        <w:tc>
          <w:tcPr>
            <w:tcW w:w="1354" w:type="pct"/>
            <w:tcBorders>
              <w:top w:val="nil"/>
              <w:bottom w:val="nil"/>
            </w:tcBorders>
          </w:tcPr>
          <w:p w:rsidR="00000000" w:rsidRDefault="00CA422F">
            <w:pPr>
              <w:spacing w:after="120" w:line="340" w:lineRule="exact"/>
              <w:rPr>
                <w:rFonts w:hint="eastAsia"/>
              </w:rPr>
            </w:pPr>
            <w:r>
              <w:rPr>
                <w:rFonts w:hint="eastAsia"/>
              </w:rPr>
              <w:t>1999</w:t>
            </w:r>
            <w:r>
              <w:rPr>
                <w:rFonts w:hint="eastAsia"/>
              </w:rPr>
              <w:t>年</w:t>
            </w:r>
            <w:r>
              <w:rPr>
                <w:rFonts w:hint="eastAsia"/>
              </w:rPr>
              <w:t>11</w:t>
            </w:r>
            <w:r>
              <w:rPr>
                <w:rFonts w:hint="eastAsia"/>
              </w:rPr>
              <w:t>月</w:t>
            </w:r>
            <w:r>
              <w:rPr>
                <w:rFonts w:hint="eastAsia"/>
              </w:rPr>
              <w:t>9</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7954</w:t>
            </w:r>
          </w:p>
        </w:tc>
        <w:tc>
          <w:tcPr>
            <w:tcW w:w="2848" w:type="pct"/>
            <w:tcBorders>
              <w:top w:val="nil"/>
              <w:bottom w:val="nil"/>
            </w:tcBorders>
          </w:tcPr>
          <w:p w:rsidR="00000000" w:rsidRDefault="00CA422F">
            <w:pPr>
              <w:spacing w:after="120" w:line="340" w:lineRule="exact"/>
              <w:rPr>
                <w:rFonts w:hint="eastAsia"/>
              </w:rPr>
            </w:pPr>
            <w:r>
              <w:rPr>
                <w:rFonts w:hint="eastAsia"/>
              </w:rPr>
              <w:t>建立妇女名人堂</w:t>
            </w:r>
          </w:p>
        </w:tc>
        <w:tc>
          <w:tcPr>
            <w:tcW w:w="1354" w:type="pct"/>
            <w:tcBorders>
              <w:top w:val="nil"/>
              <w:bottom w:val="nil"/>
            </w:tcBorders>
          </w:tcPr>
          <w:p w:rsidR="00000000" w:rsidRDefault="00CA422F">
            <w:pPr>
              <w:spacing w:after="120" w:line="340" w:lineRule="exact"/>
              <w:rPr>
                <w:rFonts w:hint="eastAsia"/>
              </w:rPr>
            </w:pPr>
            <w:r>
              <w:rPr>
                <w:rFonts w:hint="eastAsia"/>
              </w:rPr>
              <w:t>1999</w:t>
            </w:r>
            <w:r>
              <w:rPr>
                <w:rFonts w:hint="eastAsia"/>
              </w:rPr>
              <w:t>年</w:t>
            </w:r>
            <w:r>
              <w:rPr>
                <w:rFonts w:hint="eastAsia"/>
              </w:rPr>
              <w:t>12</w:t>
            </w:r>
            <w:r>
              <w:rPr>
                <w:rFonts w:hint="eastAsia"/>
              </w:rPr>
              <w:t>月</w:t>
            </w:r>
            <w:r>
              <w:rPr>
                <w:rFonts w:hint="eastAsia"/>
              </w:rPr>
              <w:t>21</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7950</w:t>
            </w:r>
          </w:p>
        </w:tc>
        <w:tc>
          <w:tcPr>
            <w:tcW w:w="2848" w:type="pct"/>
            <w:tcBorders>
              <w:top w:val="nil"/>
              <w:bottom w:val="nil"/>
            </w:tcBorders>
          </w:tcPr>
          <w:p w:rsidR="00000000" w:rsidRDefault="00CA422F">
            <w:pPr>
              <w:spacing w:after="120" w:line="340" w:lineRule="exact"/>
              <w:rPr>
                <w:rFonts w:hint="eastAsia"/>
              </w:rPr>
            </w:pPr>
            <w:r>
              <w:rPr>
                <w:rFonts w:hint="eastAsia"/>
              </w:rPr>
              <w:t>《国家住宅制度法》修正案</w:t>
            </w:r>
          </w:p>
        </w:tc>
        <w:tc>
          <w:tcPr>
            <w:tcW w:w="1354" w:type="pct"/>
            <w:tcBorders>
              <w:top w:val="nil"/>
              <w:bottom w:val="nil"/>
            </w:tcBorders>
          </w:tcPr>
          <w:p w:rsidR="00000000" w:rsidRDefault="00CA422F">
            <w:pPr>
              <w:spacing w:after="120" w:line="340" w:lineRule="exact"/>
              <w:rPr>
                <w:rFonts w:hint="eastAsia"/>
              </w:rPr>
            </w:pPr>
            <w:r>
              <w:rPr>
                <w:rFonts w:hint="eastAsia"/>
              </w:rPr>
              <w:t>2000</w:t>
            </w:r>
            <w:r>
              <w:rPr>
                <w:rFonts w:hint="eastAsia"/>
              </w:rPr>
              <w:t>年</w:t>
            </w:r>
            <w:r>
              <w:rPr>
                <w:rFonts w:hint="eastAsia"/>
              </w:rPr>
              <w:t>1</w:t>
            </w:r>
            <w:r>
              <w:rPr>
                <w:rFonts w:hint="eastAsia"/>
              </w:rPr>
              <w:t>月</w:t>
            </w:r>
            <w:r>
              <w:rPr>
                <w:rFonts w:hint="eastAsia"/>
              </w:rPr>
              <w:t>12</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8101</w:t>
            </w:r>
          </w:p>
        </w:tc>
        <w:tc>
          <w:tcPr>
            <w:tcW w:w="2848" w:type="pct"/>
            <w:tcBorders>
              <w:top w:val="nil"/>
              <w:bottom w:val="nil"/>
            </w:tcBorders>
          </w:tcPr>
          <w:p w:rsidR="00000000" w:rsidRDefault="00CA422F">
            <w:pPr>
              <w:spacing w:after="120" w:line="340" w:lineRule="exact"/>
              <w:rPr>
                <w:rFonts w:hint="eastAsia"/>
              </w:rPr>
            </w:pPr>
            <w:r>
              <w:rPr>
                <w:rFonts w:hint="eastAsia"/>
              </w:rPr>
              <w:t>《父子关系责任法》</w:t>
            </w:r>
          </w:p>
        </w:tc>
        <w:tc>
          <w:tcPr>
            <w:tcW w:w="1354" w:type="pct"/>
            <w:tcBorders>
              <w:top w:val="nil"/>
              <w:bottom w:val="nil"/>
            </w:tcBorders>
          </w:tcPr>
          <w:p w:rsidR="00000000" w:rsidRDefault="00CA422F">
            <w:pPr>
              <w:spacing w:after="120" w:line="340" w:lineRule="exact"/>
              <w:rPr>
                <w:rFonts w:hint="eastAsia"/>
              </w:rPr>
            </w:pPr>
            <w:r>
              <w:rPr>
                <w:rFonts w:hint="eastAsia"/>
              </w:rPr>
              <w:t>2001</w:t>
            </w:r>
            <w:r>
              <w:rPr>
                <w:rFonts w:hint="eastAsia"/>
              </w:rPr>
              <w:t>年</w:t>
            </w:r>
            <w:r>
              <w:rPr>
                <w:rFonts w:hint="eastAsia"/>
              </w:rPr>
              <w:t>3</w:t>
            </w:r>
            <w:r>
              <w:rPr>
                <w:rFonts w:hint="eastAsia"/>
              </w:rPr>
              <w:t>月</w:t>
            </w:r>
            <w:r>
              <w:rPr>
                <w:rFonts w:hint="eastAsia"/>
              </w:rPr>
              <w:t>27</w:t>
            </w:r>
            <w:r>
              <w:rPr>
                <w:rFonts w:hint="eastAsia"/>
              </w:rPr>
              <w:t>日</w:t>
            </w:r>
          </w:p>
        </w:tc>
      </w:tr>
      <w:tr w:rsidR="00000000">
        <w:tblPrEx>
          <w:tblCellMar>
            <w:top w:w="0" w:type="dxa"/>
            <w:bottom w:w="0" w:type="dxa"/>
          </w:tblCellMar>
        </w:tblPrEx>
        <w:tc>
          <w:tcPr>
            <w:tcW w:w="798" w:type="pct"/>
            <w:tcBorders>
              <w:top w:val="nil"/>
              <w:bottom w:val="nil"/>
            </w:tcBorders>
          </w:tcPr>
          <w:p w:rsidR="00000000" w:rsidRDefault="00CA422F">
            <w:pPr>
              <w:spacing w:after="120" w:line="340" w:lineRule="exact"/>
              <w:rPr>
                <w:rFonts w:hint="eastAsia"/>
              </w:rPr>
            </w:pPr>
            <w:r>
              <w:rPr>
                <w:rFonts w:hint="eastAsia"/>
              </w:rPr>
              <w:t>8128</w:t>
            </w:r>
          </w:p>
        </w:tc>
        <w:tc>
          <w:tcPr>
            <w:tcW w:w="2848" w:type="pct"/>
            <w:tcBorders>
              <w:top w:val="nil"/>
              <w:bottom w:val="nil"/>
            </w:tcBorders>
          </w:tcPr>
          <w:p w:rsidR="00000000" w:rsidRDefault="00CA422F">
            <w:pPr>
              <w:spacing w:after="120" w:line="340" w:lineRule="exact"/>
              <w:rPr>
                <w:rFonts w:hint="eastAsia"/>
              </w:rPr>
            </w:pPr>
            <w:r>
              <w:rPr>
                <w:rFonts w:hint="eastAsia"/>
              </w:rPr>
              <w:t>在圣何塞第二司法</w:t>
            </w:r>
            <w:r>
              <w:rPr>
                <w:rFonts w:hint="eastAsia"/>
              </w:rPr>
              <w:t>辖区组建家庭暴力法庭</w:t>
            </w:r>
          </w:p>
        </w:tc>
        <w:tc>
          <w:tcPr>
            <w:tcW w:w="1354" w:type="pct"/>
            <w:tcBorders>
              <w:top w:val="nil"/>
              <w:bottom w:val="nil"/>
            </w:tcBorders>
          </w:tcPr>
          <w:p w:rsidR="00000000" w:rsidRDefault="00CA422F">
            <w:pPr>
              <w:spacing w:after="120" w:line="340" w:lineRule="exact"/>
              <w:rPr>
                <w:rFonts w:hint="eastAsia"/>
              </w:rPr>
            </w:pPr>
            <w:r>
              <w:rPr>
                <w:rFonts w:hint="eastAsia"/>
              </w:rPr>
              <w:t>2001</w:t>
            </w:r>
            <w:r>
              <w:rPr>
                <w:rFonts w:hint="eastAsia"/>
              </w:rPr>
              <w:t>年</w:t>
            </w:r>
            <w:r>
              <w:rPr>
                <w:rFonts w:hint="eastAsia"/>
              </w:rPr>
              <w:t>8</w:t>
            </w:r>
            <w:r>
              <w:rPr>
                <w:rFonts w:hint="eastAsia"/>
              </w:rPr>
              <w:t>月</w:t>
            </w:r>
            <w:r>
              <w:rPr>
                <w:rFonts w:hint="eastAsia"/>
              </w:rPr>
              <w:t>20</w:t>
            </w:r>
            <w:r>
              <w:rPr>
                <w:rFonts w:hint="eastAsia"/>
              </w:rPr>
              <w:t>日</w:t>
            </w:r>
          </w:p>
        </w:tc>
      </w:tr>
      <w:tr w:rsidR="00000000">
        <w:tblPrEx>
          <w:tblCellMar>
            <w:top w:w="0" w:type="dxa"/>
            <w:bottom w:w="0" w:type="dxa"/>
          </w:tblCellMar>
        </w:tblPrEx>
        <w:tc>
          <w:tcPr>
            <w:tcW w:w="798" w:type="pct"/>
            <w:tcBorders>
              <w:top w:val="nil"/>
            </w:tcBorders>
          </w:tcPr>
          <w:p w:rsidR="00000000" w:rsidRDefault="00CA422F">
            <w:pPr>
              <w:spacing w:after="120" w:line="340" w:lineRule="exact"/>
              <w:rPr>
                <w:rFonts w:hint="eastAsia"/>
              </w:rPr>
            </w:pPr>
            <w:r>
              <w:rPr>
                <w:rFonts w:hint="eastAsia"/>
              </w:rPr>
              <w:t>8129</w:t>
            </w:r>
          </w:p>
        </w:tc>
        <w:tc>
          <w:tcPr>
            <w:tcW w:w="2848" w:type="pct"/>
            <w:tcBorders>
              <w:top w:val="nil"/>
            </w:tcBorders>
          </w:tcPr>
          <w:p w:rsidR="00000000" w:rsidRDefault="00CA422F">
            <w:pPr>
              <w:spacing w:after="120" w:line="340" w:lineRule="exact"/>
              <w:rPr>
                <w:rFonts w:hint="eastAsia"/>
              </w:rPr>
            </w:pPr>
            <w:r>
              <w:rPr>
                <w:rFonts w:hint="eastAsia"/>
              </w:rPr>
              <w:t>在埃雷斯迪亚司法辖区、阿拉胡埃拉第一司法辖区、卡塔戈司法辖区组建家庭暴力法庭以及在卡塔戈省尤宁县成立刑事法庭</w:t>
            </w:r>
          </w:p>
        </w:tc>
        <w:tc>
          <w:tcPr>
            <w:tcW w:w="1354" w:type="pct"/>
            <w:tcBorders>
              <w:top w:val="nil"/>
            </w:tcBorders>
          </w:tcPr>
          <w:p w:rsidR="00000000" w:rsidRDefault="00CA422F">
            <w:pPr>
              <w:spacing w:after="120" w:line="340" w:lineRule="exact"/>
              <w:rPr>
                <w:rFonts w:hint="eastAsia"/>
              </w:rPr>
            </w:pPr>
            <w:r>
              <w:rPr>
                <w:rFonts w:hint="eastAsia"/>
              </w:rPr>
              <w:t>2001</w:t>
            </w:r>
            <w:r>
              <w:rPr>
                <w:rFonts w:hint="eastAsia"/>
              </w:rPr>
              <w:t>年</w:t>
            </w:r>
            <w:r>
              <w:rPr>
                <w:rFonts w:hint="eastAsia"/>
              </w:rPr>
              <w:t>8</w:t>
            </w:r>
            <w:r>
              <w:rPr>
                <w:rFonts w:hint="eastAsia"/>
              </w:rPr>
              <w:t>月</w:t>
            </w:r>
            <w:r>
              <w:rPr>
                <w:rFonts w:hint="eastAsia"/>
              </w:rPr>
              <w:t>23</w:t>
            </w:r>
            <w:r>
              <w:rPr>
                <w:rFonts w:hint="eastAsia"/>
              </w:rPr>
              <w:t>日</w:t>
            </w:r>
          </w:p>
        </w:tc>
      </w:tr>
    </w:tbl>
    <w:p w:rsidR="00000000" w:rsidRDefault="00CA422F">
      <w:pPr>
        <w:spacing w:after="240" w:line="360" w:lineRule="exact"/>
        <w:rPr>
          <w:sz w:val="18"/>
          <w:lang w:val="es-ES"/>
        </w:rPr>
      </w:pPr>
      <w:r>
        <w:rPr>
          <w:rFonts w:hint="eastAsia"/>
          <w:sz w:val="18"/>
        </w:rPr>
        <w:t>资料来源：哥斯达黎加立法议会，</w:t>
      </w:r>
      <w:r>
        <w:rPr>
          <w:rFonts w:hint="eastAsia"/>
          <w:sz w:val="18"/>
        </w:rPr>
        <w:t>2002</w:t>
      </w:r>
      <w:r>
        <w:rPr>
          <w:rFonts w:hint="eastAsia"/>
          <w:sz w:val="18"/>
        </w:rPr>
        <w:t>年。</w:t>
      </w:r>
    </w:p>
    <w:p w:rsidR="00000000" w:rsidRDefault="00CA422F">
      <w:pPr>
        <w:spacing w:after="240" w:line="360" w:lineRule="exact"/>
        <w:rPr>
          <w:rFonts w:hint="eastAsia"/>
        </w:rPr>
      </w:pPr>
      <w:r>
        <w:rPr>
          <w:rFonts w:hint="eastAsia"/>
        </w:rPr>
        <w:t>113</w:t>
      </w:r>
      <w:r>
        <w:rPr>
          <w:rFonts w:hint="eastAsia"/>
        </w:rPr>
        <w:t>．根据表</w:t>
      </w:r>
      <w:r>
        <w:rPr>
          <w:rFonts w:hint="eastAsia"/>
        </w:rPr>
        <w:t>1</w:t>
      </w:r>
      <w:r>
        <w:rPr>
          <w:rFonts w:hint="eastAsia"/>
        </w:rPr>
        <w:t>得出的结论显示，已经通过的法律</w:t>
      </w:r>
      <w:r>
        <w:rPr>
          <w:rFonts w:hint="eastAsia"/>
          <w:lang w:val="es-ES"/>
        </w:rPr>
        <w:t>草案</w:t>
      </w:r>
      <w:r>
        <w:rPr>
          <w:rFonts w:hint="eastAsia"/>
        </w:rPr>
        <w:t>性质各不相同：从谋求加强制度建设促进两性平等和促进保护特殊妇女群体（如，成年贫困妇女、怀孕少女和少女母亲、老年妇女权利）权利的公共政策制度化，到把重点放在推动哥斯达黎加妇女的经济、社会、政治和文化贡献不再被埋没以及帮助和方便妇女</w:t>
      </w:r>
      <w:r>
        <w:rPr>
          <w:rFonts w:hint="eastAsia"/>
        </w:rPr>
        <w:t>获取必要的资源与服务，从而提高她们的生活质量。</w:t>
      </w:r>
    </w:p>
    <w:p w:rsidR="00000000" w:rsidRDefault="00CA422F">
      <w:pPr>
        <w:spacing w:after="240" w:line="360" w:lineRule="exact"/>
        <w:rPr>
          <w:rFonts w:hint="eastAsia"/>
        </w:rPr>
      </w:pPr>
      <w:r>
        <w:rPr>
          <w:rFonts w:hint="eastAsia"/>
        </w:rPr>
        <w:t>114</w:t>
      </w:r>
      <w:r>
        <w:rPr>
          <w:rFonts w:hint="eastAsia"/>
        </w:rPr>
        <w:t>．《国家妇女研究所组建法》和《父子关系责任法》是在本报告所涉时期内通过的法律中政治和社会影响最深远的两项法律。依据《国家妇女研究所组建法》，该机构是享有最高政治级别的国家机制并被赋予行政自主权。另一方面，《父子关系责任法》为非婚生子女确立一种全新的确认父子关系的模式。这是一项革命性的法律文书，它既可以简化亲子鉴定程序，还能够保护妇女免受最暴力、最普遍的财产侵犯：父亲拒绝承认亲子关系，并以此为借口拒绝承担对子女的经济责任。</w:t>
      </w:r>
    </w:p>
    <w:p w:rsidR="00000000" w:rsidRDefault="00CA422F">
      <w:pPr>
        <w:spacing w:after="240" w:line="360" w:lineRule="exact"/>
        <w:rPr>
          <w:rFonts w:hint="eastAsia"/>
        </w:rPr>
      </w:pPr>
      <w:r>
        <w:rPr>
          <w:rFonts w:hint="eastAsia"/>
        </w:rPr>
        <w:t>115</w:t>
      </w:r>
      <w:r>
        <w:rPr>
          <w:rFonts w:hint="eastAsia"/>
        </w:rPr>
        <w:t>．为了努力打击和消除有组织</w:t>
      </w:r>
      <w:r>
        <w:rPr>
          <w:rFonts w:hint="eastAsia"/>
        </w:rPr>
        <w:t>贩卖妇女、男童、女童和少年——包括色情剥削、卖淫和性旅游业，</w:t>
      </w:r>
      <w:r>
        <w:rPr>
          <w:rFonts w:hint="eastAsia"/>
        </w:rPr>
        <w:t>1999</w:t>
      </w:r>
      <w:r>
        <w:rPr>
          <w:rFonts w:hint="eastAsia"/>
        </w:rPr>
        <w:t>年通过了第</w:t>
      </w:r>
      <w:r>
        <w:rPr>
          <w:rFonts w:hint="eastAsia"/>
        </w:rPr>
        <w:t>7899</w:t>
      </w:r>
      <w:r>
        <w:rPr>
          <w:rFonts w:hint="eastAsia"/>
        </w:rPr>
        <w:t>号法律，即《打击以未成年人为对象的色情剥削法》，此外，公共安全部设立了性犯罪检察官办公室和打击色情剥削处。</w:t>
      </w:r>
    </w:p>
    <w:p w:rsidR="00000000" w:rsidRDefault="00CA422F">
      <w:pPr>
        <w:spacing w:after="240" w:line="360" w:lineRule="exact"/>
        <w:rPr>
          <w:rFonts w:hint="eastAsia"/>
        </w:rPr>
      </w:pPr>
      <w:r>
        <w:rPr>
          <w:rFonts w:hint="eastAsia"/>
        </w:rPr>
        <w:t>116</w:t>
      </w:r>
      <w:r>
        <w:rPr>
          <w:rFonts w:hint="eastAsia"/>
        </w:rPr>
        <w:t>．由于遇到各种阻力，其他战线上没有取得如此显著的进展。譬如，《打击暴力侵害妇女行为刑事处罚法草案》就属于这种情况。</w:t>
      </w:r>
      <w:r>
        <w:rPr>
          <w:rFonts w:hint="eastAsia"/>
        </w:rPr>
        <w:t>2000</w:t>
      </w:r>
      <w:r>
        <w:rPr>
          <w:rFonts w:hint="eastAsia"/>
        </w:rPr>
        <w:t>年</w:t>
      </w:r>
      <w:r>
        <w:rPr>
          <w:rFonts w:hint="eastAsia"/>
        </w:rPr>
        <w:t>8</w:t>
      </w:r>
      <w:r>
        <w:rPr>
          <w:rFonts w:hint="eastAsia"/>
        </w:rPr>
        <w:t>月，该法律草案得到了立法议会妇女问题常设特别委员会的一致肯定，然而在通过程序中，它遇到了各式各样的障碍——某些立法委员甚至采用违反宪法和阻碍议事日程的手段，阻挠该法律草案的通过。作为维护</w:t>
      </w:r>
      <w:r>
        <w:rPr>
          <w:rFonts w:hint="eastAsia"/>
        </w:rPr>
        <w:t>正义和防止暴力侵害者逃脱制裁的一种手段，《打击暴力侵害妇女行为刑事处罚法草案》力图使那些与暴力受害者关系（存在信任和亲密关系）密切的侵犯者受到法律制裁。迄今为止，虽然妇女常设特别委员会一致赞同该法律草案，它依然没有能够在国会上通过。</w:t>
      </w:r>
    </w:p>
    <w:p w:rsidR="00000000" w:rsidRDefault="00CA422F">
      <w:pPr>
        <w:spacing w:after="240" w:line="360" w:lineRule="exact"/>
        <w:rPr>
          <w:rFonts w:hint="eastAsia"/>
          <w:spacing w:val="4"/>
        </w:rPr>
      </w:pPr>
      <w:r>
        <w:rPr>
          <w:rFonts w:hint="eastAsia"/>
        </w:rPr>
        <w:t>117</w:t>
      </w:r>
      <w:r>
        <w:rPr>
          <w:rFonts w:hint="eastAsia"/>
        </w:rPr>
        <w:t>．</w:t>
      </w:r>
      <w:r>
        <w:rPr>
          <w:rFonts w:hint="eastAsia"/>
          <w:spacing w:val="4"/>
        </w:rPr>
        <w:t>国家已经注意到最近两年以来新保守主义集团逐渐崛起，例如，绝对自由主义者、离婚父亲，人们公开表示拒绝此种类型的促进两性平等的立法和政策，理由是它们赋予妇女以特权并侵害了男子的权利。与此类似，男性中心观念仍旧大行其道，致使某些立法委员、法官和行政长官强烈抵触上述法律草案和反</w:t>
      </w:r>
      <w:r>
        <w:rPr>
          <w:rFonts w:hint="eastAsia"/>
          <w:spacing w:val="4"/>
        </w:rPr>
        <w:t>对多项诉讼要求。《父子关系责任法草案》、《打击对老年妇女的暴力刑事处罚法草案》等法律草案引起了激烈的争论，而且辩论清楚地反映了这种情绪和立场。《父子关系责任法草案》引发了有关父权问题的争论，然而即便优先考虑男童和女童权利，这些论据也缺乏力度。在《暴力侵害刑事处罚法草案》问题上没有能够实现这种转变，主要是因为该法律草案谋求的是保护妇女权利，因此对两性权力关系的基础提出了质疑。它也可以帮助我们解释为什么围绕《反对教育和工作中的性骚扰法》的修订有那么多的反对意见。本届立法议会期间正在对《反对教育和工作中的性骚扰法</w:t>
      </w:r>
      <w:r>
        <w:rPr>
          <w:rFonts w:hint="eastAsia"/>
          <w:spacing w:val="4"/>
        </w:rPr>
        <w:t>》进行修订，其中的一项修订建议是要求取消工会领导委员会成员、理事会成员、共和国总统和副总统、部长、立法委员、最高法院法官等人的特别豁免权。</w:t>
      </w:r>
    </w:p>
    <w:p w:rsidR="00000000" w:rsidRDefault="00CA422F">
      <w:pPr>
        <w:spacing w:after="240" w:line="360" w:lineRule="exact"/>
        <w:rPr>
          <w:rFonts w:hint="eastAsia"/>
        </w:rPr>
      </w:pPr>
      <w:r>
        <w:rPr>
          <w:rFonts w:hint="eastAsia"/>
        </w:rPr>
        <w:t>118</w:t>
      </w:r>
      <w:r>
        <w:rPr>
          <w:rFonts w:hint="eastAsia"/>
        </w:rPr>
        <w:t>．许多机构——包括宪法厅对法律条文做出的一些解释致使很多严重的歧视问题无法解决。譬如说，</w:t>
      </w:r>
      <w:r>
        <w:rPr>
          <w:rFonts w:hint="eastAsia"/>
        </w:rPr>
        <w:t>2000</w:t>
      </w:r>
      <w:r>
        <w:rPr>
          <w:rFonts w:hint="eastAsia"/>
        </w:rPr>
        <w:t>年宪法厅依据《促进妇女社会平等法》第</w:t>
      </w:r>
      <w:r>
        <w:rPr>
          <w:rFonts w:hint="eastAsia"/>
        </w:rPr>
        <w:t>4</w:t>
      </w:r>
      <w:r>
        <w:rPr>
          <w:rFonts w:hint="eastAsia"/>
        </w:rPr>
        <w:t>条和第</w:t>
      </w:r>
      <w:r>
        <w:rPr>
          <w:rFonts w:hint="eastAsia"/>
        </w:rPr>
        <w:t>5</w:t>
      </w:r>
      <w:r>
        <w:rPr>
          <w:rFonts w:hint="eastAsia"/>
        </w:rPr>
        <w:t>条关于政治参与权利和《公约》有关妇女担任公共职务的任命比例的规定，裁定依据法律规定它是公共当局和政党赋有的一种责任，但并不构成受宪法程序直接保护的一项基本权利。与</w:t>
      </w:r>
      <w:r>
        <w:rPr>
          <w:rFonts w:hint="eastAsia"/>
        </w:rPr>
        <w:t>1998</w:t>
      </w:r>
      <w:r>
        <w:rPr>
          <w:rFonts w:hint="eastAsia"/>
        </w:rPr>
        <w:t>年宪法法庭的另一项裁决相比，这项裁决意味着倒退，因为裁</w:t>
      </w:r>
      <w:r>
        <w:rPr>
          <w:rFonts w:hint="eastAsia"/>
        </w:rPr>
        <w:t>决在规定其约束性时指出：“……该同业工会并没有按照《宪法》条例甚至法律规定接纳妇女加入该组织，因此触犯了平等原则以及禁止以任何形式歧视和侵害妇女的原则。在这里，妇女被认为是一种类别和一个整体，而没有被视为一个具体的主体对象”。相同的情况也出现在对《促进妇女社会平等法》第</w:t>
      </w:r>
      <w:r>
        <w:rPr>
          <w:rFonts w:hint="eastAsia"/>
        </w:rPr>
        <w:t>7</w:t>
      </w:r>
      <w:r>
        <w:rPr>
          <w:rFonts w:hint="eastAsia"/>
        </w:rPr>
        <w:t>条提出的司法解释上，即当处于事实婚姻关系时，属于公共权益的不动产记入妇女名下被宣布为部分违宪。</w:t>
      </w:r>
    </w:p>
    <w:p w:rsidR="00000000" w:rsidRDefault="00CA422F">
      <w:pPr>
        <w:spacing w:after="240" w:line="360" w:lineRule="exact"/>
        <w:rPr>
          <w:rFonts w:hint="eastAsia"/>
        </w:rPr>
      </w:pPr>
      <w:r>
        <w:rPr>
          <w:rFonts w:hint="eastAsia"/>
        </w:rPr>
        <w:t>119</w:t>
      </w:r>
      <w:r>
        <w:rPr>
          <w:rFonts w:hint="eastAsia"/>
        </w:rPr>
        <w:t>．宪法厅针对诉国民和共同发展银行一案的裁决（</w:t>
      </w:r>
      <w:r>
        <w:rPr>
          <w:rFonts w:hint="eastAsia"/>
        </w:rPr>
        <w:t>00</w:t>
      </w:r>
      <w:r>
        <w:rPr>
          <w:rFonts w:hint="eastAsia"/>
        </w:rPr>
        <w:t>－</w:t>
      </w:r>
      <w:r>
        <w:rPr>
          <w:rFonts w:hint="eastAsia"/>
        </w:rPr>
        <w:t>009388</w:t>
      </w:r>
      <w:r>
        <w:rPr>
          <w:rFonts w:hint="eastAsia"/>
        </w:rPr>
        <w:t>－</w:t>
      </w:r>
      <w:r>
        <w:rPr>
          <w:rFonts w:hint="eastAsia"/>
        </w:rPr>
        <w:t>0007</w:t>
      </w:r>
      <w:r>
        <w:rPr>
          <w:rFonts w:hint="eastAsia"/>
        </w:rPr>
        <w:t>－</w:t>
      </w:r>
      <w:r>
        <w:rPr>
          <w:rFonts w:hint="eastAsia"/>
        </w:rPr>
        <w:t>CO</w:t>
      </w:r>
      <w:r>
        <w:rPr>
          <w:rFonts w:hint="eastAsia"/>
        </w:rPr>
        <w:t>号文件）同样意味着倒退。宪法厅在裁决中提出提高妇女在这个公共</w:t>
      </w:r>
      <w:r>
        <w:rPr>
          <w:rFonts w:hint="eastAsia"/>
        </w:rPr>
        <w:t>机构政治生活中的参与程度是法律和社会的需要。然而，证人在作证时不容置疑地辩护说：“工人代表大会受国民和共同发展银行组织条例第</w:t>
      </w:r>
      <w:r>
        <w:rPr>
          <w:rFonts w:hint="eastAsia"/>
        </w:rPr>
        <w:t>14</w:t>
      </w:r>
      <w:r>
        <w:rPr>
          <w:rFonts w:hint="eastAsia"/>
        </w:rPr>
        <w:t>条和第</w:t>
      </w:r>
      <w:r>
        <w:rPr>
          <w:rFonts w:hint="eastAsia"/>
        </w:rPr>
        <w:t>14</w:t>
      </w:r>
      <w:r>
        <w:rPr>
          <w:rFonts w:hint="eastAsia"/>
        </w:rPr>
        <w:t>条之二的约束，根据宪法厅第</w:t>
      </w:r>
      <w:r>
        <w:rPr>
          <w:rFonts w:hint="eastAsia"/>
        </w:rPr>
        <w:t>1267</w:t>
      </w:r>
      <w:r>
        <w:rPr>
          <w:rFonts w:hint="eastAsia"/>
        </w:rPr>
        <w:t>－</w:t>
      </w:r>
      <w:r>
        <w:rPr>
          <w:rFonts w:hint="eastAsia"/>
        </w:rPr>
        <w:t>96</w:t>
      </w:r>
      <w:r>
        <w:rPr>
          <w:rFonts w:hint="eastAsia"/>
        </w:rPr>
        <w:t>号意见对该条例进行的修订，取消了直到那时依然存在的、令人厌恶的、指定到各个部门的固定配额代表形态，取而代之的是依据比例与合理原则确定的代表比例形态。换言之，每个部门在代表大会中的代表比例不是根据固定配额决定的，而是严格按照承担会费义务的会员人数的比例确定的”。</w:t>
      </w:r>
    </w:p>
    <w:p w:rsidR="00000000" w:rsidRDefault="00CA422F">
      <w:pPr>
        <w:spacing w:after="240" w:line="360" w:lineRule="exact"/>
        <w:rPr>
          <w:rFonts w:hint="eastAsia"/>
        </w:rPr>
      </w:pPr>
      <w:r>
        <w:rPr>
          <w:rFonts w:hint="eastAsia"/>
        </w:rPr>
        <w:t>120</w:t>
      </w:r>
      <w:r>
        <w:rPr>
          <w:rFonts w:hint="eastAsia"/>
        </w:rPr>
        <w:t>．在可以预见原则的情况下，无视原则的存在，同样也是一种歧视行为。《</w:t>
      </w:r>
      <w:r>
        <w:rPr>
          <w:rFonts w:hint="eastAsia"/>
        </w:rPr>
        <w:t>促进妇女社会平等法》第</w:t>
      </w:r>
      <w:r>
        <w:rPr>
          <w:rFonts w:hint="eastAsia"/>
        </w:rPr>
        <w:t>30</w:t>
      </w:r>
      <w:r>
        <w:rPr>
          <w:rFonts w:hint="eastAsia"/>
        </w:rPr>
        <w:t>条修订了《刑事诉讼法》第</w:t>
      </w:r>
      <w:r>
        <w:rPr>
          <w:rFonts w:hint="eastAsia"/>
        </w:rPr>
        <w:t>152</w:t>
      </w:r>
      <w:r>
        <w:rPr>
          <w:rFonts w:hint="eastAsia"/>
        </w:rPr>
        <w:t>条的有关内容。后者涉及了性犯罪或者性暴力诉讼案件中当侵害人逃脱法律追究时的保护措施以及赡养费保证金的规定。妇女保护组织因为这些规定未被应用而向最高法院提出控告。最高法院和妇女保护组织代表共同组成一个委员会，并由该委员会拟定了一项原则的适用条例。该条例已经获得通过并在</w:t>
      </w:r>
      <w:r>
        <w:rPr>
          <w:rFonts w:hint="eastAsia"/>
        </w:rPr>
        <w:t>1994</w:t>
      </w:r>
      <w:r>
        <w:rPr>
          <w:rFonts w:hint="eastAsia"/>
        </w:rPr>
        <w:t>年</w:t>
      </w:r>
      <w:r>
        <w:rPr>
          <w:rFonts w:hint="eastAsia"/>
        </w:rPr>
        <w:t>12</w:t>
      </w:r>
      <w:r>
        <w:rPr>
          <w:rFonts w:hint="eastAsia"/>
        </w:rPr>
        <w:t>月</w:t>
      </w:r>
      <w:r>
        <w:rPr>
          <w:rFonts w:hint="eastAsia"/>
        </w:rPr>
        <w:t>1</w:t>
      </w:r>
      <w:r>
        <w:rPr>
          <w:rFonts w:hint="eastAsia"/>
        </w:rPr>
        <w:t>日《司法简报》上公布。尽管如此，它的适用一直受到限制。</w:t>
      </w:r>
    </w:p>
    <w:p w:rsidR="00000000" w:rsidRDefault="00CA422F">
      <w:pPr>
        <w:spacing w:after="240" w:line="360" w:lineRule="exact"/>
        <w:rPr>
          <w:rFonts w:hint="eastAsia"/>
        </w:rPr>
      </w:pPr>
      <w:r>
        <w:rPr>
          <w:rFonts w:hint="eastAsia"/>
        </w:rPr>
        <w:t>121</w:t>
      </w:r>
      <w:r>
        <w:rPr>
          <w:rFonts w:hint="eastAsia"/>
        </w:rPr>
        <w:t>．采取适当措施和相应的制裁手段，切实履行国家禁止对妇女一切形式歧视的义务，是哥斯达黎加政府面临的一项严峻挑战，</w:t>
      </w:r>
      <w:r>
        <w:rPr>
          <w:rFonts w:hint="eastAsia"/>
        </w:rPr>
        <w:t>也是有待政府解决的一个严重问题。现行的大量法律中没有对利用法律规定的手段触犯法律的人的制裁规定。为了哥斯达黎加政府能够切实有效地保护妇女权利，需要确保她们有条件使妇女权利成为法律可以解释证明的权利，换言之，她们可以要求采取法律措施——甚至修订法律条文——惩处和制裁侵犯妇女权利的行为。另一方面，国际法和国内法确认的权利一旦沦为一纸空文，将有利于侵权者逃脱惩罚。</w:t>
      </w:r>
    </w:p>
    <w:p w:rsidR="00000000" w:rsidRDefault="00CA422F">
      <w:pPr>
        <w:spacing w:after="240" w:line="360" w:lineRule="exact"/>
        <w:jc w:val="center"/>
        <w:rPr>
          <w:rFonts w:eastAsia="SimHei" w:hint="eastAsia"/>
          <w:sz w:val="24"/>
        </w:rPr>
      </w:pPr>
      <w:r>
        <w:rPr>
          <w:rFonts w:eastAsia="SimHei" w:hint="eastAsia"/>
          <w:sz w:val="24"/>
        </w:rPr>
        <w:t>行政法令</w:t>
      </w:r>
    </w:p>
    <w:p w:rsidR="00000000" w:rsidRDefault="00CA422F">
      <w:pPr>
        <w:spacing w:after="240" w:line="360" w:lineRule="exact"/>
        <w:rPr>
          <w:rFonts w:hint="eastAsia"/>
        </w:rPr>
      </w:pPr>
      <w:r>
        <w:rPr>
          <w:rFonts w:hint="eastAsia"/>
        </w:rPr>
        <w:t>122</w:t>
      </w:r>
      <w:r>
        <w:rPr>
          <w:rFonts w:hint="eastAsia"/>
        </w:rPr>
        <w:t>．在本报告所涉时期内，多项行政法令获得通过。这表明在加强法制建设和承认妇女权利方面取得了重大进步。</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1998</w:t>
      </w:r>
      <w:r>
        <w:rPr>
          <w:rFonts w:hint="eastAsia"/>
        </w:rPr>
        <w:t>年</w:t>
      </w:r>
      <w:r>
        <w:rPr>
          <w:rFonts w:hint="eastAsia"/>
        </w:rPr>
        <w:t>3</w:t>
      </w:r>
      <w:r>
        <w:rPr>
          <w:rFonts w:hint="eastAsia"/>
        </w:rPr>
        <w:t>月</w:t>
      </w:r>
      <w:r>
        <w:rPr>
          <w:rFonts w:hint="eastAsia"/>
        </w:rPr>
        <w:t>30</w:t>
      </w:r>
      <w:r>
        <w:rPr>
          <w:rFonts w:hint="eastAsia"/>
        </w:rPr>
        <w:t>日通过</w:t>
      </w:r>
      <w:r>
        <w:rPr>
          <w:rFonts w:hint="eastAsia"/>
        </w:rPr>
        <w:t>26989</w:t>
      </w:r>
      <w:r>
        <w:rPr>
          <w:rFonts w:hint="eastAsia"/>
        </w:rPr>
        <w:t>－</w:t>
      </w:r>
      <w:r>
        <w:rPr>
          <w:rFonts w:hint="eastAsia"/>
        </w:rPr>
        <w:t>MTSS</w:t>
      </w:r>
      <w:r>
        <w:rPr>
          <w:rFonts w:hint="eastAsia"/>
        </w:rPr>
        <w:t>号行政法令，劳动和社会保障部授权允许妇女在工业活动中从事夜班生产，原因是限制妇女进行夜班劳动被理解为一种基于性别的歧视。</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1998</w:t>
      </w:r>
      <w:r>
        <w:rPr>
          <w:rFonts w:hint="eastAsia"/>
        </w:rPr>
        <w:t>年</w:t>
      </w:r>
      <w:r>
        <w:rPr>
          <w:rFonts w:hint="eastAsia"/>
        </w:rPr>
        <w:t>8</w:t>
      </w:r>
      <w:r>
        <w:rPr>
          <w:rFonts w:hint="eastAsia"/>
        </w:rPr>
        <w:t>月</w:t>
      </w:r>
      <w:r>
        <w:rPr>
          <w:rFonts w:hint="eastAsia"/>
        </w:rPr>
        <w:t>4</w:t>
      </w:r>
      <w:r>
        <w:rPr>
          <w:rFonts w:hint="eastAsia"/>
        </w:rPr>
        <w:t>日通过</w:t>
      </w:r>
      <w:r>
        <w:rPr>
          <w:rFonts w:hint="eastAsia"/>
        </w:rPr>
        <w:t>27217-S-MP</w:t>
      </w:r>
      <w:r>
        <w:rPr>
          <w:rFonts w:hint="eastAsia"/>
        </w:rPr>
        <w:t>号行政法令，成立国家防治宫颈癌和乳腺癌顾问委员会。它是一个辅助机构，协助国家制订和颁布相关的政策与指导方针，预防、诊断和治疗上述几种危害妇女健康的癌症。</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1998</w:t>
      </w:r>
      <w:r>
        <w:rPr>
          <w:rFonts w:hint="eastAsia"/>
        </w:rPr>
        <w:t>年</w:t>
      </w:r>
      <w:r>
        <w:rPr>
          <w:rFonts w:hint="eastAsia"/>
        </w:rPr>
        <w:t>8</w:t>
      </w:r>
      <w:r>
        <w:rPr>
          <w:rFonts w:hint="eastAsia"/>
        </w:rPr>
        <w:t>月</w:t>
      </w:r>
      <w:r>
        <w:rPr>
          <w:rFonts w:hint="eastAsia"/>
        </w:rPr>
        <w:t>13</w:t>
      </w:r>
      <w:r>
        <w:rPr>
          <w:rFonts w:hint="eastAsia"/>
        </w:rPr>
        <w:t>日通过</w:t>
      </w:r>
      <w:r>
        <w:rPr>
          <w:rFonts w:hint="eastAsia"/>
        </w:rPr>
        <w:t>27227-J</w:t>
      </w:r>
      <w:r>
        <w:rPr>
          <w:rFonts w:hint="eastAsia"/>
        </w:rPr>
        <w:t>号行政法令，成立国家预防暴力与犯罪委员会，作为暴力和犯罪预防政策方面的机构间协调机制。</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1998</w:t>
      </w:r>
      <w:r>
        <w:rPr>
          <w:rFonts w:hint="eastAsia"/>
        </w:rPr>
        <w:t>年</w:t>
      </w:r>
      <w:r>
        <w:rPr>
          <w:rFonts w:hint="eastAsia"/>
        </w:rPr>
        <w:t>8</w:t>
      </w:r>
      <w:r>
        <w:rPr>
          <w:rFonts w:hint="eastAsia"/>
        </w:rPr>
        <w:t>月</w:t>
      </w:r>
      <w:r>
        <w:rPr>
          <w:rFonts w:hint="eastAsia"/>
        </w:rPr>
        <w:t>28</w:t>
      </w:r>
      <w:r>
        <w:rPr>
          <w:rFonts w:hint="eastAsia"/>
        </w:rPr>
        <w:t>日通过了</w:t>
      </w:r>
      <w:r>
        <w:rPr>
          <w:rFonts w:hint="eastAsia"/>
        </w:rPr>
        <w:t>27346-MINAE</w:t>
      </w:r>
      <w:r>
        <w:rPr>
          <w:rFonts w:hint="eastAsia"/>
        </w:rPr>
        <w:t>号行政法令</w:t>
      </w:r>
      <w:r>
        <w:rPr>
          <w:rFonts w:hint="eastAsia"/>
        </w:rPr>
        <w:t>，决定在环境与能源部的所有政策、方案、规划和行动计划以及部属单位中贯彻性别观点，并且通过环境与能源部性别政策宣言。</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1998</w:t>
      </w:r>
      <w:r>
        <w:rPr>
          <w:rFonts w:hint="eastAsia"/>
        </w:rPr>
        <w:t>年</w:t>
      </w:r>
      <w:r>
        <w:rPr>
          <w:rFonts w:hint="eastAsia"/>
        </w:rPr>
        <w:t>12</w:t>
      </w:r>
      <w:r>
        <w:rPr>
          <w:rFonts w:hint="eastAsia"/>
        </w:rPr>
        <w:t>月</w:t>
      </w:r>
      <w:r>
        <w:rPr>
          <w:rFonts w:hint="eastAsia"/>
        </w:rPr>
        <w:t>3</w:t>
      </w:r>
      <w:r>
        <w:rPr>
          <w:rFonts w:hint="eastAsia"/>
        </w:rPr>
        <w:t>日通过</w:t>
      </w:r>
      <w:r>
        <w:rPr>
          <w:rFonts w:hint="eastAsia"/>
        </w:rPr>
        <w:t>27250-RE-J</w:t>
      </w:r>
      <w:r>
        <w:rPr>
          <w:rFonts w:hint="eastAsia"/>
        </w:rPr>
        <w:t>号行政法令，决定每年</w:t>
      </w:r>
      <w:r>
        <w:rPr>
          <w:rFonts w:hint="eastAsia"/>
        </w:rPr>
        <w:t>10</w:t>
      </w:r>
      <w:r>
        <w:rPr>
          <w:rFonts w:hint="eastAsia"/>
        </w:rPr>
        <w:t>月</w:t>
      </w:r>
      <w:r>
        <w:rPr>
          <w:rFonts w:hint="eastAsia"/>
        </w:rPr>
        <w:t>10</w:t>
      </w:r>
      <w:r>
        <w:rPr>
          <w:rFonts w:hint="eastAsia"/>
        </w:rPr>
        <w:t>日所在的一周举行“国家人权周”活动，目的是使人们牢牢记住教育、宣传和切实执行人权文书是建设和平、正义与自由文化的基础。</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劳动和社会保障部通过</w:t>
      </w:r>
      <w:r>
        <w:rPr>
          <w:rFonts w:hint="eastAsia"/>
        </w:rPr>
        <w:t>27516-MTSS</w:t>
      </w:r>
      <w:r>
        <w:rPr>
          <w:rFonts w:hint="eastAsia"/>
        </w:rPr>
        <w:t>号决议（</w:t>
      </w:r>
      <w:r>
        <w:rPr>
          <w:rFonts w:hint="eastAsia"/>
        </w:rPr>
        <w:t>1998</w:t>
      </w:r>
      <w:r>
        <w:rPr>
          <w:rFonts w:hint="eastAsia"/>
        </w:rPr>
        <w:t>年</w:t>
      </w:r>
      <w:r>
        <w:rPr>
          <w:rFonts w:hint="eastAsia"/>
        </w:rPr>
        <w:t>12</w:t>
      </w:r>
      <w:r>
        <w:rPr>
          <w:rFonts w:hint="eastAsia"/>
        </w:rPr>
        <w:t>月</w:t>
      </w:r>
      <w:r>
        <w:rPr>
          <w:rFonts w:hint="eastAsia"/>
        </w:rPr>
        <w:t>9</w:t>
      </w:r>
      <w:r>
        <w:rPr>
          <w:rFonts w:hint="eastAsia"/>
        </w:rPr>
        <w:t>日），在劳动和社会保障部设立关注与消除童工现象及少年劳动保护办公室。</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1999</w:t>
      </w:r>
      <w:r>
        <w:rPr>
          <w:rFonts w:hint="eastAsia"/>
        </w:rPr>
        <w:t>年</w:t>
      </w:r>
      <w:r>
        <w:rPr>
          <w:rFonts w:hint="eastAsia"/>
        </w:rPr>
        <w:t>1</w:t>
      </w:r>
      <w:r>
        <w:rPr>
          <w:rFonts w:hint="eastAsia"/>
        </w:rPr>
        <w:t>月</w:t>
      </w:r>
      <w:r>
        <w:rPr>
          <w:rFonts w:hint="eastAsia"/>
        </w:rPr>
        <w:t>21</w:t>
      </w:r>
      <w:r>
        <w:rPr>
          <w:rFonts w:hint="eastAsia"/>
        </w:rPr>
        <w:t>日通过</w:t>
      </w:r>
      <w:r>
        <w:rPr>
          <w:rFonts w:hint="eastAsia"/>
        </w:rPr>
        <w:t>27623</w:t>
      </w:r>
      <w:r>
        <w:rPr>
          <w:rFonts w:hint="eastAsia"/>
        </w:rPr>
        <w:t>号行政法令，即，</w:t>
      </w:r>
      <w:r>
        <w:rPr>
          <w:rFonts w:hint="eastAsia"/>
        </w:rPr>
        <w:t>MCM-MTSS</w:t>
      </w:r>
      <w:r>
        <w:rPr>
          <w:rFonts w:hint="eastAsia"/>
        </w:rPr>
        <w:t>-MIDAH</w:t>
      </w:r>
      <w:r>
        <w:rPr>
          <w:rFonts w:hint="eastAsia"/>
        </w:rPr>
        <w:t>计划，制订了《贫困妇女关注法》（第</w:t>
      </w:r>
      <w:r>
        <w:rPr>
          <w:rFonts w:hint="eastAsia"/>
        </w:rPr>
        <w:t>7769</w:t>
      </w:r>
      <w:r>
        <w:rPr>
          <w:rFonts w:hint="eastAsia"/>
        </w:rPr>
        <w:t>号法律）。</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1999</w:t>
      </w:r>
      <w:r>
        <w:rPr>
          <w:rFonts w:hint="eastAsia"/>
        </w:rPr>
        <w:t>年</w:t>
      </w:r>
      <w:r>
        <w:rPr>
          <w:rFonts w:hint="eastAsia"/>
        </w:rPr>
        <w:t>5</w:t>
      </w:r>
      <w:r>
        <w:rPr>
          <w:rFonts w:hint="eastAsia"/>
        </w:rPr>
        <w:t>月</w:t>
      </w:r>
      <w:r>
        <w:rPr>
          <w:rFonts w:hint="eastAsia"/>
        </w:rPr>
        <w:t>14</w:t>
      </w:r>
      <w:r>
        <w:rPr>
          <w:rFonts w:hint="eastAsia"/>
        </w:rPr>
        <w:t>日通过有关结扎问题的</w:t>
      </w:r>
      <w:r>
        <w:rPr>
          <w:rFonts w:hint="eastAsia"/>
        </w:rPr>
        <w:t>27913-S</w:t>
      </w:r>
      <w:r>
        <w:rPr>
          <w:rFonts w:hint="eastAsia"/>
        </w:rPr>
        <w:t>号行政法令，决定成立生殖权利和性权利机构间委员会，国家保障所有人都有权监督和控制自己身体各个方面健康，特别是他们</w:t>
      </w:r>
      <w:r>
        <w:rPr>
          <w:rFonts w:hint="eastAsia"/>
        </w:rPr>
        <w:t>/</w:t>
      </w:r>
      <w:r>
        <w:rPr>
          <w:rFonts w:hint="eastAsia"/>
        </w:rPr>
        <w:t>她们的生殖能力健康的固有使命。该行政法令要求凡是提供性健康和生殖健康服务的公共机构和私人机构都必须设立生殖权利、性权利与健康咨询处。咨询处由来自多个部门、受过这方面训练和有经验的专业人员组成。</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通过第</w:t>
      </w:r>
      <w:r>
        <w:rPr>
          <w:rFonts w:hint="eastAsia"/>
        </w:rPr>
        <w:t>26664</w:t>
      </w:r>
      <w:r>
        <w:rPr>
          <w:rFonts w:hint="eastAsia"/>
        </w:rPr>
        <w:t>号行政法令（</w:t>
      </w:r>
      <w:r>
        <w:rPr>
          <w:rFonts w:hint="eastAsia"/>
        </w:rPr>
        <w:t>1997</w:t>
      </w:r>
      <w:r>
        <w:rPr>
          <w:rFonts w:hint="eastAsia"/>
        </w:rPr>
        <w:t>年</w:t>
      </w:r>
      <w:r>
        <w:rPr>
          <w:rFonts w:hint="eastAsia"/>
        </w:rPr>
        <w:t>12</w:t>
      </w:r>
      <w:r>
        <w:rPr>
          <w:rFonts w:hint="eastAsia"/>
        </w:rPr>
        <w:t>月</w:t>
      </w:r>
      <w:r>
        <w:rPr>
          <w:rFonts w:hint="eastAsia"/>
        </w:rPr>
        <w:t>19</w:t>
      </w:r>
      <w:r>
        <w:rPr>
          <w:rFonts w:hint="eastAsia"/>
        </w:rPr>
        <w:t>日），建立国家关注和预防家庭暴力体制，</w:t>
      </w:r>
      <w:r>
        <w:rPr>
          <w:rFonts w:hint="eastAsia"/>
        </w:rPr>
        <w:t>罗德里格斯政府于</w:t>
      </w:r>
      <w:r>
        <w:rPr>
          <w:rFonts w:hint="eastAsia"/>
        </w:rPr>
        <w:t>1999</w:t>
      </w:r>
      <w:r>
        <w:rPr>
          <w:rFonts w:hint="eastAsia"/>
        </w:rPr>
        <w:t>年</w:t>
      </w:r>
      <w:r>
        <w:rPr>
          <w:rFonts w:hint="eastAsia"/>
        </w:rPr>
        <w:t>8</w:t>
      </w:r>
      <w:r>
        <w:rPr>
          <w:rFonts w:hint="eastAsia"/>
        </w:rPr>
        <w:t>月</w:t>
      </w:r>
      <w:r>
        <w:rPr>
          <w:rFonts w:hint="eastAsia"/>
        </w:rPr>
        <w:t>9</w:t>
      </w:r>
      <w:r>
        <w:rPr>
          <w:rFonts w:hint="eastAsia"/>
        </w:rPr>
        <w:t>日通过</w:t>
      </w:r>
      <w:r>
        <w:rPr>
          <w:rFonts w:hint="eastAsia"/>
        </w:rPr>
        <w:t>27766</w:t>
      </w:r>
      <w:r>
        <w:rPr>
          <w:rFonts w:hint="eastAsia"/>
        </w:rPr>
        <w:t>号法令批准设立这一系统。</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2000</w:t>
      </w:r>
      <w:r>
        <w:rPr>
          <w:rFonts w:hint="eastAsia"/>
        </w:rPr>
        <w:t>年</w:t>
      </w:r>
      <w:r>
        <w:rPr>
          <w:rFonts w:hint="eastAsia"/>
        </w:rPr>
        <w:t>2</w:t>
      </w:r>
      <w:r>
        <w:rPr>
          <w:rFonts w:hint="eastAsia"/>
        </w:rPr>
        <w:t>月通过了农业和畜牧业部、公共教育部、劳工和社会保障部、卫生部和妇女地位部的</w:t>
      </w:r>
      <w:r>
        <w:rPr>
          <w:rFonts w:hint="eastAsia"/>
        </w:rPr>
        <w:t>28484</w:t>
      </w:r>
      <w:r>
        <w:rPr>
          <w:rFonts w:hint="eastAsia"/>
        </w:rPr>
        <w:t>号行政法令，并且批准执行男女性别平等与公平行动计划。这样就从政策上加强了妇女地位部和国家妇女研究所的地位和作用，规定公共机构有责任制订并实施促进两性平等的公共政策。</w:t>
      </w:r>
    </w:p>
    <w:p w:rsidR="00000000" w:rsidRDefault="00CA422F">
      <w:pPr>
        <w:spacing w:after="240" w:line="360" w:lineRule="exact"/>
        <w:jc w:val="center"/>
        <w:rPr>
          <w:rFonts w:eastAsia="SimHei" w:hint="eastAsia"/>
          <w:sz w:val="24"/>
        </w:rPr>
      </w:pPr>
      <w:r>
        <w:rPr>
          <w:rFonts w:eastAsia="SimHei" w:hint="eastAsia"/>
          <w:sz w:val="24"/>
        </w:rPr>
        <w:t>哥斯达黎加政府和最高法院颁布的促进两性平等的决议及指导方针</w:t>
      </w:r>
    </w:p>
    <w:p w:rsidR="00000000" w:rsidRDefault="00CA422F">
      <w:pPr>
        <w:spacing w:after="240" w:line="360" w:lineRule="exact"/>
        <w:rPr>
          <w:rFonts w:hint="eastAsia"/>
        </w:rPr>
      </w:pPr>
      <w:r>
        <w:rPr>
          <w:rFonts w:hint="eastAsia"/>
        </w:rPr>
        <w:t>123</w:t>
      </w:r>
      <w:r>
        <w:rPr>
          <w:rFonts w:hint="eastAsia"/>
        </w:rPr>
        <w:t>．在本报告所涉时期内，政府和司法机构都颁布了各种不同的决议和指导方针，促进和加强开展各种活动，推动在行政机关中</w:t>
      </w:r>
      <w:r>
        <w:rPr>
          <w:rFonts w:hint="eastAsia"/>
        </w:rPr>
        <w:t>贯彻性别观点。这些决议和指导方针涉及面甚广：从各部委和各部门下面设立妇女处，到采用某些机制和程序确保妇女在她们的人身不可侵犯性受到威胁时（如，面对来自某位家庭成员的家庭暴力时），能够在平等和同等的机会下获得服务、资源和保护。颁布决议和指导方针是政府行政部门和司法机构都可以利用的、可以弥补法律和公共政策空白的一种机制。</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政府社会委员会</w:t>
      </w:r>
      <w:r>
        <w:rPr>
          <w:rFonts w:hint="eastAsia"/>
        </w:rPr>
        <w:t>1994</w:t>
      </w:r>
      <w:r>
        <w:rPr>
          <w:rFonts w:hint="eastAsia"/>
        </w:rPr>
        <w:t>年</w:t>
      </w:r>
      <w:r>
        <w:rPr>
          <w:rFonts w:hint="eastAsia"/>
        </w:rPr>
        <w:t>5</w:t>
      </w:r>
      <w:r>
        <w:rPr>
          <w:rFonts w:hint="eastAsia"/>
        </w:rPr>
        <w:t>月</w:t>
      </w:r>
      <w:r>
        <w:rPr>
          <w:rFonts w:hint="eastAsia"/>
        </w:rPr>
        <w:t>17</w:t>
      </w:r>
      <w:r>
        <w:rPr>
          <w:rFonts w:hint="eastAsia"/>
        </w:rPr>
        <w:t>日决议规定，在各部委和各部门设立妇女处，目的是监督公共行政部门的各个机构实施政府促进男女平等和机会均等政策的情况。</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1998</w:t>
      </w:r>
      <w:r>
        <w:rPr>
          <w:rFonts w:hint="eastAsia"/>
        </w:rPr>
        <w:t>年</w:t>
      </w:r>
      <w:r>
        <w:rPr>
          <w:rFonts w:hint="eastAsia"/>
        </w:rPr>
        <w:t>12</w:t>
      </w:r>
      <w:r>
        <w:rPr>
          <w:rFonts w:hint="eastAsia"/>
        </w:rPr>
        <w:t>月</w:t>
      </w:r>
      <w:r>
        <w:rPr>
          <w:rFonts w:hint="eastAsia"/>
        </w:rPr>
        <w:t>23</w:t>
      </w:r>
      <w:r>
        <w:rPr>
          <w:rFonts w:hint="eastAsia"/>
        </w:rPr>
        <w:t>日政府内阁规定在圣诞节和</w:t>
      </w:r>
      <w:r>
        <w:rPr>
          <w:rFonts w:hint="eastAsia"/>
        </w:rPr>
        <w:t>节日期间，政府机关、公务员（男</w:t>
      </w:r>
      <w:r>
        <w:rPr>
          <w:rFonts w:hint="eastAsia"/>
        </w:rPr>
        <w:t>/</w:t>
      </w:r>
      <w:r>
        <w:rPr>
          <w:rFonts w:hint="eastAsia"/>
        </w:rPr>
        <w:t>女）和警察必须确保受理处于某种家庭暴力危害下的受害者的求助请求并向她们</w:t>
      </w:r>
      <w:r>
        <w:rPr>
          <w:rFonts w:hint="eastAsia"/>
        </w:rPr>
        <w:t>/</w:t>
      </w:r>
      <w:r>
        <w:rPr>
          <w:rFonts w:hint="eastAsia"/>
        </w:rPr>
        <w:t>他们提供特别保护。</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1999</w:t>
      </w:r>
      <w:r>
        <w:rPr>
          <w:rFonts w:hint="eastAsia"/>
        </w:rPr>
        <w:t>年</w:t>
      </w:r>
      <w:r>
        <w:rPr>
          <w:rFonts w:hint="eastAsia"/>
        </w:rPr>
        <w:t>3</w:t>
      </w:r>
      <w:r>
        <w:rPr>
          <w:rFonts w:hint="eastAsia"/>
        </w:rPr>
        <w:t>月</w:t>
      </w:r>
      <w:r>
        <w:rPr>
          <w:rFonts w:hint="eastAsia"/>
        </w:rPr>
        <w:t>3</w:t>
      </w:r>
      <w:r>
        <w:rPr>
          <w:rFonts w:hint="eastAsia"/>
        </w:rPr>
        <w:t>日共和国总统发布第</w:t>
      </w:r>
      <w:r>
        <w:rPr>
          <w:rFonts w:hint="eastAsia"/>
        </w:rPr>
        <w:t>17</w:t>
      </w:r>
      <w:r>
        <w:rPr>
          <w:rFonts w:hint="eastAsia"/>
        </w:rPr>
        <w:t>号指导方针，确保妇女由于她们的公民属性和不可分割的固有人权，在与他人机会均等和条件平等的情况下，有尊严地获得国家提供的公益事业服务。</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1998</w:t>
      </w:r>
      <w:r>
        <w:rPr>
          <w:rFonts w:hint="eastAsia"/>
        </w:rPr>
        <w:t>年</w:t>
      </w:r>
      <w:r>
        <w:rPr>
          <w:rFonts w:hint="eastAsia"/>
        </w:rPr>
        <w:t>7</w:t>
      </w:r>
      <w:r>
        <w:rPr>
          <w:rFonts w:hint="eastAsia"/>
        </w:rPr>
        <w:t>月</w:t>
      </w:r>
      <w:r>
        <w:rPr>
          <w:rFonts w:hint="eastAsia"/>
        </w:rPr>
        <w:t>20</w:t>
      </w:r>
      <w:r>
        <w:rPr>
          <w:rFonts w:hint="eastAsia"/>
        </w:rPr>
        <w:t>日劳动和社会保障部发布的第</w:t>
      </w:r>
      <w:r>
        <w:rPr>
          <w:rFonts w:hint="eastAsia"/>
        </w:rPr>
        <w:t>3</w:t>
      </w:r>
      <w:r>
        <w:rPr>
          <w:rFonts w:hint="eastAsia"/>
        </w:rPr>
        <w:t>号指导方针规定，使用特别程序授权解雇怀孕女工。该指导方针规定了授权解雇怀孕女工的特别程序。这一程序将应用恰当的解雇手续，并且将使怀孕女工享有宪法规定的保障权利。</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1999</w:t>
      </w:r>
      <w:r>
        <w:rPr>
          <w:rFonts w:hint="eastAsia"/>
        </w:rPr>
        <w:t>年的一项内阁决议颁布了有关各部委和自治机构编写促进男女平等与公平行动计划的指导方针。上述计划应当清楚地说明行动内容和期限，而且作为行动计划政策路线的基础应该是哥斯达黎加政府在这方面签署的各种国际协议。其中也包括《北京行动纲要》。</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国会全体会议</w:t>
      </w:r>
      <w:r>
        <w:rPr>
          <w:rFonts w:hint="eastAsia"/>
        </w:rPr>
        <w:t>13</w:t>
      </w:r>
      <w:r>
        <w:rPr>
          <w:rFonts w:hint="eastAsia"/>
        </w:rPr>
        <w:t>－</w:t>
      </w:r>
      <w:r>
        <w:rPr>
          <w:rFonts w:hint="eastAsia"/>
        </w:rPr>
        <w:t>98</w:t>
      </w:r>
      <w:r>
        <w:rPr>
          <w:rFonts w:hint="eastAsia"/>
        </w:rPr>
        <w:t>号指导方针，颁布了《刑事诉讼法》和《儿童和少年法》中先行规定的部门间工作组的组成及运作条例。部门间工作组的职能之一，就是关注与家庭暴力问题有关的法律义务和责任的履行情况。</w:t>
      </w:r>
    </w:p>
    <w:p w:rsidR="00000000" w:rsidRDefault="00CA422F">
      <w:pPr>
        <w:spacing w:after="240" w:line="360" w:lineRule="exact"/>
        <w:jc w:val="center"/>
        <w:rPr>
          <w:rFonts w:eastAsia="SimHei" w:hint="eastAsia"/>
          <w:sz w:val="24"/>
        </w:rPr>
      </w:pPr>
      <w:r>
        <w:rPr>
          <w:rFonts w:eastAsia="SimHei" w:hint="eastAsia"/>
          <w:sz w:val="24"/>
        </w:rPr>
        <w:t>法律规定的修订</w:t>
      </w:r>
    </w:p>
    <w:p w:rsidR="00000000" w:rsidRDefault="00CA422F">
      <w:pPr>
        <w:spacing w:after="240" w:line="360" w:lineRule="exact"/>
        <w:rPr>
          <w:rFonts w:hint="eastAsia"/>
        </w:rPr>
      </w:pPr>
      <w:r>
        <w:rPr>
          <w:rFonts w:hint="eastAsia"/>
        </w:rPr>
        <w:t>124</w:t>
      </w:r>
      <w:r>
        <w:rPr>
          <w:rFonts w:hint="eastAsia"/>
        </w:rPr>
        <w:t>．</w:t>
      </w:r>
      <w:r>
        <w:rPr>
          <w:rFonts w:hint="eastAsia"/>
        </w:rPr>
        <w:t>1999</w:t>
      </w:r>
      <w:r>
        <w:rPr>
          <w:rFonts w:hint="eastAsia"/>
        </w:rPr>
        <w:t>年</w:t>
      </w:r>
      <w:r>
        <w:rPr>
          <w:rFonts w:hint="eastAsia"/>
        </w:rPr>
        <w:t>11</w:t>
      </w:r>
      <w:r>
        <w:rPr>
          <w:rFonts w:hint="eastAsia"/>
        </w:rPr>
        <w:t>月</w:t>
      </w:r>
      <w:r>
        <w:rPr>
          <w:rFonts w:hint="eastAsia"/>
        </w:rPr>
        <w:t>11</w:t>
      </w:r>
      <w:r>
        <w:rPr>
          <w:rFonts w:hint="eastAsia"/>
        </w:rPr>
        <w:t>日第</w:t>
      </w:r>
      <w:r>
        <w:rPr>
          <w:rFonts w:hint="eastAsia"/>
        </w:rPr>
        <w:t>219</w:t>
      </w:r>
      <w:r>
        <w:rPr>
          <w:rFonts w:hint="eastAsia"/>
        </w:rPr>
        <w:t>号公报（外编</w:t>
      </w:r>
      <w:r>
        <w:rPr>
          <w:rFonts w:hint="eastAsia"/>
        </w:rPr>
        <w:t>86</w:t>
      </w:r>
      <w:r>
        <w:rPr>
          <w:rFonts w:hint="eastAsia"/>
        </w:rPr>
        <w:t>－</w:t>
      </w:r>
      <w:r>
        <w:rPr>
          <w:rFonts w:hint="eastAsia"/>
        </w:rPr>
        <w:t>A</w:t>
      </w:r>
      <w:r>
        <w:rPr>
          <w:rFonts w:hint="eastAsia"/>
        </w:rPr>
        <w:t>）公布了《立法</w:t>
      </w:r>
      <w:r>
        <w:rPr>
          <w:rFonts w:hint="eastAsia"/>
        </w:rPr>
        <w:t>议会组织条例》第</w:t>
      </w:r>
      <w:r>
        <w:rPr>
          <w:rFonts w:hint="eastAsia"/>
        </w:rPr>
        <w:t>82</w:t>
      </w:r>
      <w:r>
        <w:rPr>
          <w:rFonts w:hint="eastAsia"/>
        </w:rPr>
        <w:t>条修正案。它修订了常设特别委员会组成的规定，成立了立法议会妇女事务常设特别委员会。该机构负责处理和审议涉及妇女状况的法律草案，同时有权提出法律修改意见并对政府运作进行政策监督。</w:t>
      </w:r>
    </w:p>
    <w:p w:rsidR="00000000" w:rsidRDefault="00CA422F">
      <w:pPr>
        <w:spacing w:after="240" w:line="360" w:lineRule="exact"/>
        <w:rPr>
          <w:rFonts w:hint="eastAsia"/>
        </w:rPr>
      </w:pPr>
      <w:r>
        <w:rPr>
          <w:rFonts w:hint="eastAsia"/>
        </w:rPr>
        <w:t>125</w:t>
      </w:r>
      <w:r>
        <w:rPr>
          <w:rFonts w:hint="eastAsia"/>
        </w:rPr>
        <w:t>．设立专门委员会有利于加快旨在消除对妇女一切形式歧视的法律草案的通过，同时，促进创造条件，促进各个领域都能够实现男女机会平等。无论是修订基本法还是特殊法律，都是为了更好地确保法律草案在提交立法议会全会处理之前能够以更恰当的方式得到及时处理。</w:t>
      </w:r>
    </w:p>
    <w:p w:rsidR="00000000" w:rsidRDefault="00CA422F">
      <w:pPr>
        <w:spacing w:after="240" w:line="360" w:lineRule="exact"/>
        <w:jc w:val="center"/>
        <w:rPr>
          <w:b/>
          <w:bCs/>
        </w:rPr>
      </w:pPr>
    </w:p>
    <w:p w:rsidR="00000000" w:rsidRDefault="00CA422F">
      <w:pPr>
        <w:spacing w:after="240" w:line="360" w:lineRule="exact"/>
        <w:jc w:val="center"/>
        <w:rPr>
          <w:rFonts w:eastAsia="SimHei" w:hint="eastAsia"/>
          <w:sz w:val="24"/>
        </w:rPr>
      </w:pPr>
      <w:r>
        <w:rPr>
          <w:rFonts w:eastAsia="SimHei" w:hint="eastAsia"/>
          <w:sz w:val="24"/>
        </w:rPr>
        <w:t>法律援助服务</w:t>
      </w:r>
    </w:p>
    <w:p w:rsidR="00000000" w:rsidRDefault="00CA422F">
      <w:pPr>
        <w:spacing w:after="240" w:line="360" w:lineRule="exact"/>
        <w:rPr>
          <w:rFonts w:hint="eastAsia"/>
        </w:rPr>
      </w:pPr>
      <w:r>
        <w:rPr>
          <w:rFonts w:hint="eastAsia"/>
        </w:rPr>
        <w:t>126</w:t>
      </w:r>
      <w:r>
        <w:rPr>
          <w:rFonts w:hint="eastAsia"/>
        </w:rPr>
        <w:t>．对于那些权利受到侵害和遭受各种歧视的妇女而</w:t>
      </w:r>
      <w:r>
        <w:rPr>
          <w:rFonts w:hint="eastAsia"/>
        </w:rPr>
        <w:t>言，在法律援助服务中最吸引她们注意的是法律信息服务和司法援助。因为无论是公共的，还是私人的法律援助服务，大部分都没有资源来持续、系统地跟随和保护妇女。这种情况不利于妇女——主要是不具有社会经济条件购买专业服务的妇女——依靠法律申张正义。</w:t>
      </w:r>
    </w:p>
    <w:p w:rsidR="00000000" w:rsidRDefault="00CA422F">
      <w:pPr>
        <w:spacing w:after="240" w:line="360" w:lineRule="exact"/>
        <w:rPr>
          <w:rFonts w:hint="eastAsia"/>
        </w:rPr>
      </w:pPr>
      <w:r>
        <w:rPr>
          <w:rFonts w:hint="eastAsia"/>
        </w:rPr>
        <w:t>127</w:t>
      </w:r>
      <w:r>
        <w:rPr>
          <w:rFonts w:hint="eastAsia"/>
        </w:rPr>
        <w:t>．这种情况在少数民族妇女上表现得更为严重。她们面对的司法系统既不能从逻辑上理解她们，也不能满足她们的需要。司法人员对依然存在的、以非洲裔妇女和土著妇女为对象的侵害行为不够敏感。</w:t>
      </w:r>
    </w:p>
    <w:p w:rsidR="00000000" w:rsidRDefault="00CA422F">
      <w:pPr>
        <w:spacing w:after="240" w:line="360" w:lineRule="exact"/>
        <w:jc w:val="center"/>
        <w:rPr>
          <w:rFonts w:eastAsia="SimHei" w:hint="eastAsia"/>
          <w:sz w:val="24"/>
        </w:rPr>
      </w:pPr>
      <w:r>
        <w:rPr>
          <w:rFonts w:eastAsia="SimHei" w:hint="eastAsia"/>
          <w:sz w:val="24"/>
        </w:rPr>
        <w:t>搁置法律草案和必须进行的法律修订</w:t>
      </w:r>
    </w:p>
    <w:p w:rsidR="00000000" w:rsidRDefault="00CA422F">
      <w:pPr>
        <w:spacing w:after="240" w:line="360" w:lineRule="exact"/>
        <w:rPr>
          <w:rFonts w:hint="eastAsia"/>
        </w:rPr>
      </w:pPr>
      <w:r>
        <w:rPr>
          <w:rFonts w:hint="eastAsia"/>
        </w:rPr>
        <w:t>128</w:t>
      </w:r>
      <w:r>
        <w:rPr>
          <w:rFonts w:hint="eastAsia"/>
        </w:rPr>
        <w:t>．某些方面依然需要改进，其中的部分问题已经列入向立</w:t>
      </w:r>
      <w:r>
        <w:rPr>
          <w:rFonts w:hint="eastAsia"/>
        </w:rPr>
        <w:t>法议会提交的法律草案的考虑范围之内：</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为了使暴力侵害者逃脱法律制裁的现象不再发生，使用刑事手段制裁暴力侵害妇女的行为。将家庭暴力界定为犯罪行为并依法处以相应的刑罚。以下是本报告所涉时期向本届立法议会提交两份法律草案。</w:t>
      </w:r>
    </w:p>
    <w:p w:rsidR="00000000" w:rsidRDefault="00CA422F">
      <w:pPr>
        <w:numPr>
          <w:ilvl w:val="0"/>
          <w:numId w:val="808"/>
        </w:numPr>
        <w:tabs>
          <w:tab w:val="clear" w:pos="720"/>
          <w:tab w:val="num" w:pos="1200"/>
        </w:tabs>
        <w:spacing w:after="240" w:line="360" w:lineRule="exact"/>
        <w:ind w:left="1200"/>
        <w:rPr>
          <w:rFonts w:hint="eastAsia"/>
        </w:rPr>
      </w:pPr>
      <w:r>
        <w:rPr>
          <w:rFonts w:hint="eastAsia"/>
        </w:rPr>
        <w:t>《刑法》第</w:t>
      </w:r>
      <w:r>
        <w:rPr>
          <w:rFonts w:hint="eastAsia"/>
        </w:rPr>
        <w:t>124</w:t>
      </w:r>
      <w:r>
        <w:rPr>
          <w:rFonts w:hint="eastAsia"/>
        </w:rPr>
        <w:t>条之二和第</w:t>
      </w:r>
      <w:r>
        <w:rPr>
          <w:rFonts w:hint="eastAsia"/>
        </w:rPr>
        <w:t>195</w:t>
      </w:r>
      <w:r>
        <w:rPr>
          <w:rFonts w:hint="eastAsia"/>
        </w:rPr>
        <w:t>条修正案：关于家庭侵害的定罪（包含在</w:t>
      </w:r>
      <w:r>
        <w:rPr>
          <w:rFonts w:hint="eastAsia"/>
        </w:rPr>
        <w:t>13081</w:t>
      </w:r>
      <w:r>
        <w:rPr>
          <w:rFonts w:hint="eastAsia"/>
        </w:rPr>
        <w:t>号文件中），负责研究审议工作的委员会一致通过了该修正案草案，然而，由于法律规定的期限已满，该修正案将被搁置。</w:t>
      </w:r>
    </w:p>
    <w:p w:rsidR="00000000" w:rsidRDefault="00CA422F">
      <w:pPr>
        <w:numPr>
          <w:ilvl w:val="0"/>
          <w:numId w:val="808"/>
        </w:numPr>
        <w:tabs>
          <w:tab w:val="clear" w:pos="720"/>
          <w:tab w:val="num" w:pos="1200"/>
        </w:tabs>
        <w:spacing w:after="240" w:line="360" w:lineRule="exact"/>
        <w:ind w:left="1200"/>
        <w:rPr>
          <w:rFonts w:hint="eastAsia"/>
        </w:rPr>
      </w:pPr>
      <w:r>
        <w:rPr>
          <w:rFonts w:hint="eastAsia"/>
        </w:rPr>
        <w:t>13874</w:t>
      </w:r>
      <w:r>
        <w:rPr>
          <w:rFonts w:hint="eastAsia"/>
        </w:rPr>
        <w:t>号文件：“惩处暴力侵害老年妇女行为”，获得了妇女事务常设特别委员会的一致通过，而且，目前咨询委员</w:t>
      </w:r>
      <w:r>
        <w:rPr>
          <w:rFonts w:hint="eastAsia"/>
        </w:rPr>
        <w:t>会正在审议这个法律草案。由于法律规定的期限已满，它将被搁置。</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《反对工作和教育中的性骚扰法》第</w:t>
      </w:r>
      <w:r>
        <w:rPr>
          <w:rFonts w:hint="eastAsia"/>
        </w:rPr>
        <w:t>2</w:t>
      </w:r>
      <w:r>
        <w:rPr>
          <w:rFonts w:hint="eastAsia"/>
        </w:rPr>
        <w:t>、</w:t>
      </w:r>
      <w:r>
        <w:rPr>
          <w:rFonts w:hint="eastAsia"/>
        </w:rPr>
        <w:t>7</w:t>
      </w:r>
      <w:r>
        <w:rPr>
          <w:rFonts w:hint="eastAsia"/>
        </w:rPr>
        <w:t>、</w:t>
      </w:r>
      <w:r>
        <w:rPr>
          <w:rFonts w:hint="eastAsia"/>
        </w:rPr>
        <w:t>9</w:t>
      </w:r>
      <w:r>
        <w:rPr>
          <w:rFonts w:hint="eastAsia"/>
        </w:rPr>
        <w:t>、</w:t>
      </w:r>
      <w:r>
        <w:rPr>
          <w:rFonts w:hint="eastAsia"/>
        </w:rPr>
        <w:t>12</w:t>
      </w:r>
      <w:r>
        <w:rPr>
          <w:rFonts w:hint="eastAsia"/>
        </w:rPr>
        <w:t>、</w:t>
      </w:r>
      <w:r>
        <w:rPr>
          <w:rFonts w:hint="eastAsia"/>
        </w:rPr>
        <w:t>13</w:t>
      </w:r>
      <w:r>
        <w:rPr>
          <w:rFonts w:hint="eastAsia"/>
        </w:rPr>
        <w:t>、</w:t>
      </w:r>
      <w:r>
        <w:rPr>
          <w:rFonts w:hint="eastAsia"/>
        </w:rPr>
        <w:t>24</w:t>
      </w:r>
      <w:r>
        <w:rPr>
          <w:rFonts w:hint="eastAsia"/>
        </w:rPr>
        <w:t>、</w:t>
      </w:r>
      <w:r>
        <w:rPr>
          <w:rFonts w:hint="eastAsia"/>
        </w:rPr>
        <w:t>31</w:t>
      </w:r>
      <w:r>
        <w:rPr>
          <w:rFonts w:hint="eastAsia"/>
        </w:rPr>
        <w:t>条和《附则》第</w:t>
      </w:r>
      <w:r>
        <w:rPr>
          <w:rFonts w:hint="eastAsia"/>
        </w:rPr>
        <w:t>31</w:t>
      </w:r>
      <w:r>
        <w:rPr>
          <w:rFonts w:hint="eastAsia"/>
        </w:rPr>
        <w:t>条的修订草案，</w:t>
      </w:r>
      <w:r>
        <w:rPr>
          <w:rFonts w:hint="eastAsia"/>
        </w:rPr>
        <w:t>7476</w:t>
      </w:r>
      <w:r>
        <w:rPr>
          <w:rFonts w:hint="eastAsia"/>
        </w:rPr>
        <w:t>号（</w:t>
      </w:r>
      <w:r>
        <w:rPr>
          <w:rFonts w:hint="eastAsia"/>
        </w:rPr>
        <w:t>13094</w:t>
      </w:r>
      <w:r>
        <w:rPr>
          <w:rFonts w:hint="eastAsia"/>
        </w:rPr>
        <w:t>号文件）。它获得了委员会的一致通过。由于没有征求工会运动的意见，程序被延误了。某些建议被引入作为动议获得通过，但是另一些提案还有待第三全权法律委员会处理。该修订草案如果获得通过，将使某些特权人士（如，审判长、众议员、工会领导）面对性骚扰控告时失去保护伞。</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在选举改革方面，为了保障妇女在各领域的政治参与比例和加强妇女进入决策层的力</w:t>
      </w:r>
      <w:r>
        <w:rPr>
          <w:rFonts w:hint="eastAsia"/>
        </w:rPr>
        <w:t>度，本届立法议会处理的三项法律草案有：</w:t>
      </w:r>
    </w:p>
    <w:p w:rsidR="00000000" w:rsidRDefault="00CA422F">
      <w:pPr>
        <w:numPr>
          <w:ilvl w:val="0"/>
          <w:numId w:val="808"/>
        </w:numPr>
        <w:tabs>
          <w:tab w:val="clear" w:pos="720"/>
          <w:tab w:val="num" w:pos="1200"/>
        </w:tabs>
        <w:spacing w:after="240" w:line="360" w:lineRule="exact"/>
        <w:ind w:left="1200"/>
        <w:rPr>
          <w:rFonts w:hint="eastAsia"/>
        </w:rPr>
      </w:pPr>
      <w:r>
        <w:rPr>
          <w:rFonts w:hint="eastAsia"/>
        </w:rPr>
        <w:t>政党法草案，它由特别混和委员会负责处理（</w:t>
      </w:r>
      <w:r>
        <w:rPr>
          <w:rFonts w:hint="eastAsia"/>
        </w:rPr>
        <w:t>14268</w:t>
      </w:r>
      <w:r>
        <w:rPr>
          <w:rFonts w:hint="eastAsia"/>
        </w:rPr>
        <w:t>号文件）并且已经被该委员会一致通过。该法律草案没有被列入立法议会全体会议的日程。</w:t>
      </w:r>
    </w:p>
    <w:p w:rsidR="00000000" w:rsidRDefault="00CA422F">
      <w:pPr>
        <w:numPr>
          <w:ilvl w:val="0"/>
          <w:numId w:val="808"/>
        </w:numPr>
        <w:tabs>
          <w:tab w:val="clear" w:pos="720"/>
          <w:tab w:val="num" w:pos="1200"/>
        </w:tabs>
        <w:spacing w:after="240" w:line="360" w:lineRule="exact"/>
        <w:ind w:left="1200"/>
        <w:rPr>
          <w:rFonts w:hint="eastAsia"/>
        </w:rPr>
      </w:pPr>
      <w:r>
        <w:rPr>
          <w:rFonts w:hint="eastAsia"/>
        </w:rPr>
        <w:t>“《选举法》修订草案：将妇女政治参与最低配额标准纳入《选举法》”</w:t>
      </w:r>
      <w:r>
        <w:rPr>
          <w:rFonts w:hint="eastAsia"/>
        </w:rPr>
        <w:t>14592</w:t>
      </w:r>
      <w:r>
        <w:rPr>
          <w:rFonts w:hint="eastAsia"/>
        </w:rPr>
        <w:t>号文件）。选举改革委员会正在研究该修订草案。</w:t>
      </w:r>
    </w:p>
    <w:p w:rsidR="00000000" w:rsidRDefault="00CA422F">
      <w:pPr>
        <w:numPr>
          <w:ilvl w:val="0"/>
          <w:numId w:val="808"/>
        </w:numPr>
        <w:tabs>
          <w:tab w:val="clear" w:pos="720"/>
          <w:tab w:val="num" w:pos="1200"/>
        </w:tabs>
        <w:spacing w:after="240" w:line="360" w:lineRule="exact"/>
        <w:ind w:left="1200"/>
        <w:rPr>
          <w:rFonts w:hint="eastAsia"/>
        </w:rPr>
      </w:pPr>
      <w:r>
        <w:rPr>
          <w:rFonts w:hint="eastAsia"/>
        </w:rPr>
        <w:t>《选举法》修订草案（</w:t>
      </w:r>
      <w:r>
        <w:rPr>
          <w:rFonts w:hint="eastAsia"/>
        </w:rPr>
        <w:t>14268</w:t>
      </w:r>
      <w:r>
        <w:rPr>
          <w:rFonts w:hint="eastAsia"/>
        </w:rPr>
        <w:t>号文件），它寻求的是对《选举法》进行全面修订。</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7801</w:t>
      </w:r>
      <w:r>
        <w:rPr>
          <w:rFonts w:hint="eastAsia"/>
        </w:rPr>
        <w:t>号《国家妇女研究所组建法》修订草案（</w:t>
      </w:r>
      <w:r>
        <w:rPr>
          <w:rFonts w:hint="eastAsia"/>
        </w:rPr>
        <w:t>14591</w:t>
      </w:r>
      <w:r>
        <w:rPr>
          <w:rFonts w:hint="eastAsia"/>
        </w:rPr>
        <w:t>号文档）是由国家妇女研究所妇女论坛提出的。它建议通过扩大民间社会在国家妇女研究所领导委员</w:t>
      </w:r>
      <w:r>
        <w:rPr>
          <w:rFonts w:hint="eastAsia"/>
        </w:rPr>
        <w:t>会中的代表比例和吸收公立大学代表，实现决策民主化。此外，妇女论坛作为来自民间社会的咨询协商机构，建议进行改革确保它成为一个真正的自主机构。妇女问题特别常设委员会正在研究该修订草案。</w:t>
      </w:r>
    </w:p>
    <w:p w:rsidR="00000000" w:rsidRDefault="00CA422F">
      <w:pPr>
        <w:spacing w:after="240" w:line="360" w:lineRule="exact"/>
        <w:rPr>
          <w:rFonts w:hint="eastAsia"/>
        </w:rPr>
      </w:pPr>
      <w:r>
        <w:rPr>
          <w:rFonts w:hint="eastAsia"/>
        </w:rPr>
        <w:t>129</w:t>
      </w:r>
      <w:r>
        <w:rPr>
          <w:rFonts w:hint="eastAsia"/>
        </w:rPr>
        <w:t>．另外，还确定了其他一些关键问题，需要采取行动促进相关的修订工作：</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防止私人企业及其他职业领域的性骚扰的保护措施。妇女事务特别常设委员会已经提出了一份法律草案并对此发表了专业意见。立法议会全体会议尚未处理该法律草案。</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遭受暴力侵害的受害者如果由于种族或者民族的原因具有特殊的社会身份、或者受害者是难民或移民及被剥夺了自由的妇</w:t>
      </w:r>
      <w:r>
        <w:rPr>
          <w:rFonts w:hint="eastAsia"/>
        </w:rPr>
        <w:t>女，要向她们提供特别保护。</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审议《老年妇女保护法》。</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依据其权限资格，审议《广告宣传监督法》（第</w:t>
      </w:r>
      <w:r>
        <w:rPr>
          <w:rFonts w:hint="eastAsia"/>
        </w:rPr>
        <w:t>5811</w:t>
      </w:r>
      <w:r>
        <w:rPr>
          <w:rFonts w:hint="eastAsia"/>
        </w:rPr>
        <w:t>号法律），通过有关广告节目的第</w:t>
      </w:r>
      <w:r>
        <w:rPr>
          <w:rFonts w:hint="eastAsia"/>
        </w:rPr>
        <w:t>7440</w:t>
      </w:r>
      <w:r>
        <w:rPr>
          <w:rFonts w:hint="eastAsia"/>
        </w:rPr>
        <w:t>号法律条例。</w:t>
      </w:r>
    </w:p>
    <w:p w:rsidR="00000000" w:rsidRDefault="00CA422F">
      <w:pPr>
        <w:spacing w:after="240" w:line="360" w:lineRule="exact"/>
        <w:jc w:val="center"/>
        <w:rPr>
          <w:rFonts w:eastAsia="SimHei" w:hint="eastAsia"/>
          <w:sz w:val="24"/>
        </w:rPr>
      </w:pPr>
      <w:r>
        <w:rPr>
          <w:rFonts w:eastAsia="SimHei" w:hint="eastAsia"/>
          <w:sz w:val="24"/>
        </w:rPr>
        <w:t>普法工作</w:t>
      </w:r>
    </w:p>
    <w:p w:rsidR="00000000" w:rsidRDefault="00CA422F">
      <w:pPr>
        <w:spacing w:after="240" w:line="360" w:lineRule="exact"/>
        <w:rPr>
          <w:rFonts w:hint="eastAsia"/>
        </w:rPr>
      </w:pPr>
      <w:r>
        <w:rPr>
          <w:rFonts w:hint="eastAsia"/>
        </w:rPr>
        <w:t>130</w:t>
      </w:r>
      <w:r>
        <w:rPr>
          <w:rFonts w:hint="eastAsia"/>
        </w:rPr>
        <w:t>．在本研究阶段结束之时，哥斯达黎加在普法工作方面留下了一系列值得吸取的经验教训。其一，在保护妇女免受性别歧视侵害和促进机会均等方面，法律是最重要的资源和手段，但是仅有法律条文是不够的，还不足以实现上述目标。只有通过对妇女开展普法工作，才能使她们真正拥有机会利用法律维护自己的利益。大部分普法服务的重点是信息工作。面对性别歧视和性暴力侵害，妇</w:t>
      </w:r>
      <w:r>
        <w:rPr>
          <w:rFonts w:hint="eastAsia"/>
        </w:rPr>
        <w:t>女整体上不知道如何利用法律维护自己的权益，因为在许多情况下她们不了解现有的机制，也不知道如何获得这些机制的帮助。她们面对的是一个排外的体制，那里的法律工作者（男</w:t>
      </w:r>
      <w:r>
        <w:rPr>
          <w:rFonts w:hint="eastAsia"/>
        </w:rPr>
        <w:t>/</w:t>
      </w:r>
      <w:r>
        <w:rPr>
          <w:rFonts w:hint="eastAsia"/>
        </w:rPr>
        <w:t>女）进行诉讼活动时，对性别差异的敏感度有限。</w:t>
      </w:r>
    </w:p>
    <w:p w:rsidR="00000000" w:rsidRDefault="00CA422F">
      <w:pPr>
        <w:spacing w:after="240" w:line="360" w:lineRule="exact"/>
      </w:pPr>
      <w:r>
        <w:rPr>
          <w:rFonts w:hint="eastAsia"/>
        </w:rPr>
        <w:t>131</w:t>
      </w:r>
      <w:r>
        <w:rPr>
          <w:rFonts w:hint="eastAsia"/>
        </w:rPr>
        <w:t>．针对妇女以及法律工作者、国家机关工作人员和非政府组织成员、妇女组织和全体公民进行的普法活动，应该成为系统开展的教育和培训活动的组成部分，应该成为一个可持续的进程。零星的座谈会和培训班是不够的。应该对目标人群拟订个性化方案，使她们</w:t>
      </w:r>
      <w:r>
        <w:rPr>
          <w:rFonts w:hint="eastAsia"/>
        </w:rPr>
        <w:t>/</w:t>
      </w:r>
      <w:r>
        <w:rPr>
          <w:rFonts w:hint="eastAsia"/>
        </w:rPr>
        <w:t>他们参与培训、教育和培养活动的整个进程，以便统筹安排评估上述活动与</w:t>
      </w:r>
      <w:r>
        <w:rPr>
          <w:rFonts w:hint="eastAsia"/>
        </w:rPr>
        <w:t>进程的影响。</w:t>
      </w:r>
    </w:p>
    <w:p w:rsidR="00000000" w:rsidRDefault="00CA422F" w:rsidP="00CA422F">
      <w:pPr>
        <w:spacing w:beforeLines="50" w:before="120" w:after="360" w:line="360" w:lineRule="exact"/>
        <w:ind w:left="31680" w:hangingChars="257" w:firstLine="31680"/>
        <w:jc w:val="center"/>
        <w:rPr>
          <w:rFonts w:eastAsia="SimHei" w:hint="eastAsia"/>
          <w:bCs/>
          <w:sz w:val="28"/>
          <w:lang w:val="es-ES"/>
        </w:rPr>
      </w:pPr>
      <w:r>
        <w:rPr>
          <w:rFonts w:eastAsia="SimHei" w:hint="eastAsia"/>
          <w:bCs/>
          <w:sz w:val="28"/>
          <w:lang w:val="es-ES"/>
        </w:rPr>
        <w:t>第三条：关于促进机遇平等的国家、部门及组织政策</w:t>
      </w:r>
    </w:p>
    <w:p w:rsidR="00000000" w:rsidRDefault="00CA422F">
      <w:pPr>
        <w:spacing w:after="240" w:line="360" w:lineRule="exact"/>
        <w:rPr>
          <w:lang w:val="es-ES"/>
        </w:rPr>
      </w:pPr>
      <w:r>
        <w:rPr>
          <w:rFonts w:eastAsia="SimHei" w:hint="eastAsia"/>
          <w:bCs/>
          <w:lang w:val="es-ES"/>
        </w:rPr>
        <w:t>第三条</w:t>
      </w:r>
      <w:r>
        <w:rPr>
          <w:rFonts w:eastAsia="SimHei" w:hint="eastAsia"/>
          <w:lang w:val="es-ES"/>
        </w:rPr>
        <w:t>：</w:t>
      </w:r>
      <w:r>
        <w:rPr>
          <w:rFonts w:eastAsia="KaiTi_GB2312" w:hint="eastAsia"/>
          <w:lang w:val="es-ES"/>
        </w:rPr>
        <w:t>缔约各国应承担在所有领域，特别是政治、社会、经济、文化领域，采取一切适当措施，包括制定法律，保证妇女得到充分发展和进步，其目的是为确保她们在与男子平等的基础上，行使和享有人权和基本自由。</w:t>
      </w:r>
    </w:p>
    <w:p w:rsidR="00000000" w:rsidRDefault="00CA422F">
      <w:pPr>
        <w:spacing w:after="240" w:line="360" w:lineRule="exact"/>
        <w:jc w:val="center"/>
        <w:rPr>
          <w:rFonts w:eastAsia="SimHei" w:hint="eastAsia"/>
          <w:sz w:val="24"/>
        </w:rPr>
      </w:pPr>
      <w:r>
        <w:rPr>
          <w:rFonts w:eastAsia="SimHei" w:hint="eastAsia"/>
          <w:sz w:val="24"/>
        </w:rPr>
        <w:t>促进妇女进步的组织机制</w:t>
      </w:r>
    </w:p>
    <w:p w:rsidR="00000000" w:rsidRDefault="00CA422F">
      <w:pPr>
        <w:spacing w:after="240" w:line="360" w:lineRule="exact"/>
        <w:jc w:val="center"/>
        <w:rPr>
          <w:rFonts w:eastAsia="SimHei" w:hint="eastAsia"/>
          <w:sz w:val="24"/>
        </w:rPr>
      </w:pPr>
      <w:r>
        <w:rPr>
          <w:rFonts w:eastAsia="SimHei" w:hint="eastAsia"/>
          <w:sz w:val="24"/>
        </w:rPr>
        <w:t>国家政府机制：国家妇女研究所</w:t>
      </w:r>
    </w:p>
    <w:p w:rsidR="00000000" w:rsidRDefault="00CA422F">
      <w:pPr>
        <w:pStyle w:val="Date"/>
        <w:spacing w:after="240" w:line="360" w:lineRule="exact"/>
        <w:rPr>
          <w:rFonts w:eastAsia="SimHei" w:hint="eastAsia"/>
        </w:rPr>
      </w:pPr>
      <w:r>
        <w:rPr>
          <w:rFonts w:eastAsia="SimHei" w:hint="eastAsia"/>
        </w:rPr>
        <w:t>前身、目标和战略</w:t>
      </w:r>
    </w:p>
    <w:p w:rsidR="00000000" w:rsidRDefault="00CA422F">
      <w:pPr>
        <w:spacing w:after="240" w:line="360" w:lineRule="exact"/>
        <w:rPr>
          <w:rFonts w:hint="eastAsia"/>
        </w:rPr>
      </w:pPr>
      <w:r>
        <w:rPr>
          <w:rFonts w:hint="eastAsia"/>
        </w:rPr>
        <w:t>132</w:t>
      </w:r>
      <w:r>
        <w:rPr>
          <w:rFonts w:hint="eastAsia"/>
        </w:rPr>
        <w:t>．自</w:t>
      </w:r>
      <w:r>
        <w:rPr>
          <w:rFonts w:hint="eastAsia"/>
        </w:rPr>
        <w:t>1986</w:t>
      </w:r>
      <w:r>
        <w:rPr>
          <w:rFonts w:hint="eastAsia"/>
        </w:rPr>
        <w:t>年成立起，家庭和妇女国家发展中心（</w:t>
      </w:r>
      <w:r>
        <w:rPr>
          <w:rFonts w:hint="eastAsia"/>
        </w:rPr>
        <w:t>CMF</w:t>
      </w:r>
      <w:r>
        <w:rPr>
          <w:rFonts w:hint="eastAsia"/>
        </w:rPr>
        <w:t>）就是一个具备法人资格和自有财产的妇女政策国家领导机关，但是，作为文化、青年和体育部的附属机构，法律规定的权限范围使发展中心</w:t>
      </w:r>
      <w:r>
        <w:rPr>
          <w:rFonts w:hint="eastAsia"/>
        </w:rPr>
        <w:t>在开展活动时受到许多限制。发展中心积累的经验可以总结为以下几点：</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促进性别平等与公平的公共政策要求最高决策层、公共机构的各个部门都做出履行执行责任的承诺；和</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作为部委附属机构，由于它在政府系统中的位置与机构拥有的广泛的职权之间的矛盾，国家发展中心在行使相关的领导职能时受到诸多限制。</w:t>
      </w:r>
    </w:p>
    <w:p w:rsidR="00000000" w:rsidRDefault="00CA422F">
      <w:pPr>
        <w:spacing w:after="240" w:line="360" w:lineRule="exact"/>
        <w:rPr>
          <w:rFonts w:hint="eastAsia"/>
        </w:rPr>
      </w:pPr>
      <w:r>
        <w:rPr>
          <w:rFonts w:hint="eastAsia"/>
        </w:rPr>
        <w:t>133</w:t>
      </w:r>
      <w:r>
        <w:rPr>
          <w:rFonts w:hint="eastAsia"/>
        </w:rPr>
        <w:t>．《北京行动纲要》建议通过下列条件保障促进妇女进步的国家机制的有效运作。</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设置在政府最高级别上，直属一个内阁部长；</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预算和专业能力方面具有足够资源；</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有机会和相应的机制影响所有政府政策的制订和根据性别观点编制规划。</w:t>
      </w:r>
    </w:p>
    <w:p w:rsidR="00000000" w:rsidRDefault="00CA422F">
      <w:pPr>
        <w:spacing w:after="240" w:line="360" w:lineRule="exact"/>
        <w:rPr>
          <w:rFonts w:hint="eastAsia"/>
        </w:rPr>
      </w:pPr>
      <w:r>
        <w:rPr>
          <w:rFonts w:hint="eastAsia"/>
        </w:rPr>
        <w:t>134</w:t>
      </w:r>
      <w:r>
        <w:rPr>
          <w:rFonts w:hint="eastAsia"/>
        </w:rPr>
        <w:t>．根据这一建议和国家做出的承诺，哥斯达黎加政府决定与民间社会组织的妇女部门共同努力强化现有的国家妇女机制。为了拥有一个行政级别足够高并具备适宜的法律形象的国家机构，负责领导和管理有关性别问题的公共政策，</w:t>
      </w:r>
      <w:r>
        <w:rPr>
          <w:rFonts w:hint="eastAsia"/>
        </w:rPr>
        <w:t>1998</w:t>
      </w:r>
      <w:r>
        <w:rPr>
          <w:rFonts w:hint="eastAsia"/>
        </w:rPr>
        <w:t>年</w:t>
      </w:r>
      <w:r>
        <w:rPr>
          <w:rFonts w:hint="eastAsia"/>
        </w:rPr>
        <w:t>3</w:t>
      </w:r>
      <w:r>
        <w:rPr>
          <w:rFonts w:hint="eastAsia"/>
        </w:rPr>
        <w:t>月</w:t>
      </w:r>
      <w:r>
        <w:rPr>
          <w:rFonts w:hint="eastAsia"/>
        </w:rPr>
        <w:t>30</w:t>
      </w:r>
      <w:r>
        <w:rPr>
          <w:rFonts w:hint="eastAsia"/>
        </w:rPr>
        <w:t>日，家庭和妇女国家发展中心改组为国家妇女研究所，国家妇女研究所是依据</w:t>
      </w:r>
      <w:r>
        <w:rPr>
          <w:rFonts w:hint="eastAsia"/>
        </w:rPr>
        <w:t>7801</w:t>
      </w:r>
      <w:r>
        <w:rPr>
          <w:rFonts w:hint="eastAsia"/>
        </w:rPr>
        <w:t>号法律组建的，具备法人资格和自有预算。</w:t>
      </w:r>
    </w:p>
    <w:p w:rsidR="00000000" w:rsidRDefault="00CA422F">
      <w:pPr>
        <w:spacing w:after="240" w:line="360" w:lineRule="exact"/>
        <w:rPr>
          <w:rFonts w:hint="eastAsia"/>
        </w:rPr>
      </w:pPr>
      <w:r>
        <w:rPr>
          <w:rFonts w:hint="eastAsia"/>
        </w:rPr>
        <w:t>135</w:t>
      </w:r>
      <w:r>
        <w:rPr>
          <w:rFonts w:hint="eastAsia"/>
        </w:rPr>
        <w:t>．这个新近组建的机构谋求帮助和推动妇女的社会、政治、经济和文化参与，以及在与男子平等和同等的条件下充分享受她们的人权。它已经确定了远景目标，简单总结如下：制订和推动促进两</w:t>
      </w:r>
      <w:r>
        <w:rPr>
          <w:rFonts w:hint="eastAsia"/>
        </w:rPr>
        <w:t>性平等与公平的国家政策；保护妇女的权利，促进两性平等，协调和监督公共机构，制订和执行促进两性平等与公平的国家政策，以及帮助和推动妇女的社会、政治、经济和文化参与</w:t>
      </w:r>
      <w:r>
        <w:rPr>
          <w:rStyle w:val="FootnoteReference"/>
        </w:rPr>
        <w:footnoteReference w:customMarkFollows="1" w:id="11"/>
        <w:t>10</w:t>
      </w:r>
      <w:r>
        <w:rPr>
          <w:rFonts w:hint="eastAsia"/>
        </w:rPr>
        <w:t>（国家妇女研究所，</w:t>
      </w:r>
      <w:r>
        <w:rPr>
          <w:rFonts w:hint="eastAsia"/>
        </w:rPr>
        <w:t>2002</w:t>
      </w:r>
      <w:r>
        <w:rPr>
          <w:rFonts w:hint="eastAsia"/>
        </w:rPr>
        <w:t>年）。</w:t>
      </w:r>
    </w:p>
    <w:p w:rsidR="00000000" w:rsidRDefault="00CA422F">
      <w:pPr>
        <w:spacing w:after="240" w:line="360" w:lineRule="exact"/>
        <w:rPr>
          <w:rFonts w:hint="eastAsia"/>
        </w:rPr>
      </w:pPr>
      <w:r>
        <w:rPr>
          <w:rFonts w:hint="eastAsia"/>
        </w:rPr>
        <w:t>136</w:t>
      </w:r>
      <w:r>
        <w:rPr>
          <w:rFonts w:hint="eastAsia"/>
        </w:rPr>
        <w:t>．作为权力下放的自主机构，国家妇女研究所的级别提高了，它的职能和职权扩大了。同时，通过一项行政法令任命妇女地位部部长为国家妇女研究所的委托代表。妇女地位部部长是政府内阁成员之一。作为自主机构，国家妇女研究所可以参与政府行政机关的决策进程，而这又进一步对国家妇女研究所起到了强化作用，使其拥有更大的行政权限和更</w:t>
      </w:r>
      <w:r>
        <w:rPr>
          <w:rFonts w:hint="eastAsia"/>
        </w:rPr>
        <w:t>多的预算拨款。另一方面，妇女地位部部长的任命可以通过一系列机制，使提交至内阁的提案能够紧密联系公共部门的实际情况，以这种方式推动在国家政策之中贯彻性别观点。</w:t>
      </w:r>
    </w:p>
    <w:p w:rsidR="00000000" w:rsidRDefault="00CA422F">
      <w:pPr>
        <w:spacing w:after="240" w:line="360" w:lineRule="exact"/>
        <w:rPr>
          <w:rFonts w:hint="eastAsia"/>
        </w:rPr>
      </w:pPr>
      <w:r>
        <w:rPr>
          <w:rFonts w:hint="eastAsia"/>
        </w:rPr>
        <w:t>137</w:t>
      </w:r>
      <w:r>
        <w:rPr>
          <w:rFonts w:hint="eastAsia"/>
        </w:rPr>
        <w:t>．这种将性别观点纳入公共政策和促进加强妇女能力的必然性和必要性，构成了支撑国家妇女研究所机构工作的基础。从工作支柱的各种不同的构成因素派生出国家妇女研究所的机构政策与战略目标：</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政策主体进程中的性别问题</w:t>
      </w:r>
      <w:r>
        <w:rPr>
          <w:rFonts w:hint="eastAsia"/>
        </w:rPr>
        <w:t>。在行动中纳入性别观点，从而加强性别分析，揭示性别因素对政策和法律的不同影响。另外，在资源划拨、规划、评估和提交报告的过程中都应该纳入性别观点。同</w:t>
      </w:r>
      <w:r>
        <w:rPr>
          <w:rFonts w:hint="eastAsia"/>
        </w:rPr>
        <w:t>时考虑发展机构能力，以便在这些领域内开展性别分析。</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加强妇女的能力</w:t>
      </w:r>
      <w:r>
        <w:rPr>
          <w:rFonts w:hint="eastAsia"/>
        </w:rPr>
        <w:t>。通过加强妇女的能力，使她们成为发展与变革的动力，并且强化妇女在国家公共与政治生活中的领导地位和影响。这方面的行动要求和希望增强妇女的公民能力，从而增强她们的权利需求与要求能力。</w:t>
      </w:r>
    </w:p>
    <w:p w:rsidR="00000000" w:rsidRDefault="00CA422F">
      <w:pPr>
        <w:spacing w:after="240" w:line="360" w:lineRule="exact"/>
        <w:rPr>
          <w:rFonts w:hint="eastAsia"/>
        </w:rPr>
      </w:pPr>
      <w:r>
        <w:rPr>
          <w:rFonts w:hint="eastAsia"/>
        </w:rPr>
        <w:t>138</w:t>
      </w:r>
      <w:r>
        <w:rPr>
          <w:rFonts w:hint="eastAsia"/>
        </w:rPr>
        <w:t>．国家妇女研究所的六项工作战略方针是：</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促进平等的公共政策的管理</w:t>
      </w:r>
      <w:r>
        <w:rPr>
          <w:rFonts w:hint="eastAsia"/>
        </w:rPr>
        <w:t>：运用该战略方针对各项方案进行调整，从而在政府机构中贯彻性别观点。</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现行公民权利和义务、领导地位与地方管理</w:t>
      </w:r>
      <w:r>
        <w:rPr>
          <w:rFonts w:hint="eastAsia"/>
        </w:rPr>
        <w:t>：国家妇女研究所的使命是发掘和加强妇女的个人能力与集体能力，以便她们与男子在平等和同等的条</w:t>
      </w:r>
      <w:r>
        <w:rPr>
          <w:rFonts w:hint="eastAsia"/>
        </w:rPr>
        <w:t>件下，行使她们的公民权利和义务，监督和获取国家、地区和市</w:t>
      </w:r>
      <w:r>
        <w:rPr>
          <w:rFonts w:eastAsia="SimHei" w:hint="eastAsia"/>
        </w:rPr>
        <w:t>——</w:t>
      </w:r>
      <w:r>
        <w:rPr>
          <w:rFonts w:hint="eastAsia"/>
        </w:rPr>
        <w:t>地方各级的经济、社会、文化和政治资源。以本方针为依据，推动她们积极行使公民权利，促进在地方发展中实现男女平等。</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法律条件和保护妇女权利</w:t>
      </w:r>
      <w:r>
        <w:rPr>
          <w:rFonts w:hint="eastAsia"/>
        </w:rPr>
        <w:t>：履行普及、监督、促进、照顾、指导和维护妇女的法律权利的职责。</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身份和生活规划的建设</w:t>
      </w:r>
      <w:r>
        <w:rPr>
          <w:rFonts w:hint="eastAsia"/>
        </w:rPr>
        <w:t>：目的是干预童年及少年时期的社会适应、身份构筑和生活规划建设进程，从而为女童和少女创造平等地享有权利与机会的条件。国家妇女研究所负责管理少女妈妈照顾机构间委员会秘书处及该委员会产生的方案</w:t>
      </w:r>
      <w:r>
        <w:rPr>
          <w:rStyle w:val="FootnoteReference"/>
        </w:rPr>
        <w:footnoteReference w:customMarkFollows="1" w:id="12"/>
        <w:t>11</w:t>
      </w:r>
      <w:r>
        <w:rPr>
          <w:rFonts w:hint="eastAsia"/>
        </w:rPr>
        <w:t>。另外，机会构筑方案技术秘书处（与</w:t>
      </w:r>
      <w:r>
        <w:rPr>
          <w:rFonts w:hint="eastAsia"/>
        </w:rPr>
        <w:t>IMAS</w:t>
      </w:r>
      <w:r>
        <w:rPr>
          <w:rFonts w:hint="eastAsia"/>
        </w:rPr>
        <w:t>共</w:t>
      </w:r>
      <w:r>
        <w:rPr>
          <w:rFonts w:hint="eastAsia"/>
        </w:rPr>
        <w:t>同负责）和父子责任关系机构间委员会技术秘书处也隶属于国家妇女研究所。</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性别暴力</w:t>
      </w:r>
      <w:r>
        <w:rPr>
          <w:rFonts w:hint="eastAsia"/>
        </w:rPr>
        <w:t>：通过展开机构间和部门间协作，鼓励和加强推行国家预防和消除性别暴力的政府政策。它的行动围绕四项核心内容展开：家庭暴力、性骚扰、性剥削和强迫卖淫以及家庭外性暴力。负责国家家庭暴力预防和关注制度的协调。</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信息专项方针领域</w:t>
      </w:r>
      <w:r>
        <w:rPr>
          <w:rFonts w:hint="eastAsia"/>
        </w:rPr>
        <w:t>：由交流、文献、调查和信息办公室组成。</w:t>
      </w:r>
    </w:p>
    <w:p w:rsidR="00000000" w:rsidRDefault="00CA422F">
      <w:pPr>
        <w:spacing w:after="240" w:line="360" w:lineRule="exact"/>
        <w:rPr>
          <w:rFonts w:hint="eastAsia"/>
        </w:rPr>
      </w:pPr>
      <w:r>
        <w:rPr>
          <w:rFonts w:hint="eastAsia"/>
        </w:rPr>
        <w:t>139</w:t>
      </w:r>
      <w:r>
        <w:rPr>
          <w:rFonts w:hint="eastAsia"/>
        </w:rPr>
        <w:t>．国家妇女研究所在这些战略领域和支柱工作方面组织了许多实质性的机构活动，这使得它能够履行法律规定的职责，提出和推动国家促进两性平等与公平政策。在国家妇女研究所的技术支持和全</w:t>
      </w:r>
      <w:r>
        <w:rPr>
          <w:rFonts w:hint="eastAsia"/>
        </w:rPr>
        <w:t>程追随下，多个不同的政府机构都提出并推行了促进两性平等的政策。它的战略核心是在机构组织内发展由下至上的合作。这包括建立新型的更加富有效率的机构间机制与联盟。</w:t>
      </w:r>
    </w:p>
    <w:p w:rsidR="00000000" w:rsidRDefault="00CA422F">
      <w:pPr>
        <w:spacing w:after="240" w:line="360" w:lineRule="exact"/>
        <w:rPr>
          <w:rFonts w:hint="eastAsia"/>
        </w:rPr>
      </w:pPr>
      <w:r>
        <w:rPr>
          <w:rFonts w:hint="eastAsia"/>
        </w:rPr>
        <w:t>140</w:t>
      </w:r>
      <w:r>
        <w:rPr>
          <w:rFonts w:hint="eastAsia"/>
        </w:rPr>
        <w:t>．鉴于哥斯达黎加政府在通过第四次妇女问题世界会议《北京宣言和行动纲要》时做出的承诺，本研究阶段内国家妇女研究所的五项机构工作指导政策是：</w:t>
      </w:r>
    </w:p>
    <w:p w:rsidR="00000000" w:rsidRDefault="00CA422F">
      <w:pPr>
        <w:numPr>
          <w:ilvl w:val="0"/>
          <w:numId w:val="807"/>
        </w:numPr>
        <w:tabs>
          <w:tab w:val="clear" w:pos="720"/>
          <w:tab w:val="num" w:pos="840"/>
        </w:tabs>
        <w:spacing w:after="240" w:line="360" w:lineRule="exact"/>
        <w:ind w:left="840"/>
        <w:rPr>
          <w:rFonts w:hint="eastAsia"/>
        </w:rPr>
      </w:pPr>
      <w:r>
        <w:rPr>
          <w:rFonts w:ascii="SimHei" w:eastAsia="SimHei" w:hint="eastAsia"/>
        </w:rPr>
        <w:t>政策</w:t>
      </w:r>
      <w:r>
        <w:rPr>
          <w:rFonts w:ascii="SimHei" w:eastAsia="SimHei" w:hint="eastAsia"/>
        </w:rPr>
        <w:t>1</w:t>
      </w:r>
      <w:r>
        <w:rPr>
          <w:rFonts w:ascii="SimHei" w:eastAsia="SimHei" w:hint="eastAsia"/>
        </w:rPr>
        <w:t>：</w:t>
      </w:r>
      <w:r>
        <w:rPr>
          <w:rFonts w:hint="eastAsia"/>
        </w:rPr>
        <w:t>推动提出和实施国家、部门、机构、地区、市——地方各级促进实现性别平等与公平的政策，同时，促进确立和实施保证妇女行使决策权和参与决策的机制。为了实现上述目标，已经建议政府通过推进具体行动促两进平等，并且在</w:t>
      </w:r>
      <w:r>
        <w:rPr>
          <w:rFonts w:hint="eastAsia"/>
        </w:rPr>
        <w:t>各级妇女参与活动中做到性别平等。</w:t>
      </w:r>
    </w:p>
    <w:p w:rsidR="00000000" w:rsidRDefault="00CA422F">
      <w:pPr>
        <w:numPr>
          <w:ilvl w:val="0"/>
          <w:numId w:val="807"/>
        </w:numPr>
        <w:tabs>
          <w:tab w:val="clear" w:pos="720"/>
          <w:tab w:val="num" w:pos="840"/>
        </w:tabs>
        <w:spacing w:after="240" w:line="360" w:lineRule="exact"/>
        <w:ind w:left="840"/>
        <w:rPr>
          <w:rFonts w:hint="eastAsia"/>
        </w:rPr>
      </w:pPr>
      <w:r>
        <w:rPr>
          <w:rFonts w:ascii="SimHei" w:eastAsia="SimHei" w:hint="eastAsia"/>
        </w:rPr>
        <w:t>政策</w:t>
      </w:r>
      <w:r>
        <w:rPr>
          <w:rFonts w:ascii="SimHei" w:eastAsia="SimHei" w:hint="eastAsia"/>
        </w:rPr>
        <w:t>2</w:t>
      </w:r>
      <w:r>
        <w:rPr>
          <w:rFonts w:ascii="SimHei" w:eastAsia="SimHei" w:hint="eastAsia"/>
        </w:rPr>
        <w:t>：</w:t>
      </w:r>
      <w:r>
        <w:rPr>
          <w:rFonts w:hint="eastAsia"/>
        </w:rPr>
        <w:t>促进加强妇女的个体能力和集体能力，使她们行使作为公民的权利，并且在平等和同等的条件下，享有、控制和获取国家、地区和市——地方的经济、社会、文化和政治资源。这方面的活动目标是通过各个领域内的具体行动，确保推进妇女的个人发展，从而提高她们的领导地位并积极促进她们的参与行为。</w:t>
      </w:r>
    </w:p>
    <w:p w:rsidR="00000000" w:rsidRDefault="00CA422F">
      <w:pPr>
        <w:numPr>
          <w:ilvl w:val="0"/>
          <w:numId w:val="807"/>
        </w:numPr>
        <w:tabs>
          <w:tab w:val="clear" w:pos="720"/>
          <w:tab w:val="num" w:pos="840"/>
        </w:tabs>
        <w:spacing w:after="240" w:line="360" w:lineRule="exact"/>
        <w:ind w:left="840"/>
        <w:rPr>
          <w:rFonts w:hint="eastAsia"/>
        </w:rPr>
      </w:pPr>
      <w:r>
        <w:rPr>
          <w:rFonts w:ascii="SimHei" w:eastAsia="SimHei" w:hint="eastAsia"/>
        </w:rPr>
        <w:t>政策</w:t>
      </w:r>
      <w:r>
        <w:rPr>
          <w:rFonts w:ascii="SimHei" w:eastAsia="SimHei" w:hint="eastAsia"/>
        </w:rPr>
        <w:t>3</w:t>
      </w:r>
      <w:r>
        <w:rPr>
          <w:rFonts w:hint="eastAsia"/>
        </w:rPr>
        <w:t>：促进、保护和监督妇女人权的实现状况。该政策的目标是通过具体的战略措施，促进，特别是拓展和实现与妇女人权有关的一切权利。</w:t>
      </w:r>
    </w:p>
    <w:p w:rsidR="00000000" w:rsidRDefault="00CA422F">
      <w:pPr>
        <w:numPr>
          <w:ilvl w:val="0"/>
          <w:numId w:val="807"/>
        </w:numPr>
        <w:tabs>
          <w:tab w:val="clear" w:pos="720"/>
          <w:tab w:val="num" w:pos="840"/>
        </w:tabs>
        <w:spacing w:after="240" w:line="360" w:lineRule="exact"/>
        <w:ind w:left="840"/>
        <w:rPr>
          <w:rFonts w:hint="eastAsia"/>
        </w:rPr>
      </w:pPr>
      <w:r>
        <w:rPr>
          <w:rFonts w:ascii="SimHei" w:eastAsia="SimHei" w:hint="eastAsia"/>
        </w:rPr>
        <w:t>政策</w:t>
      </w:r>
      <w:r>
        <w:rPr>
          <w:rFonts w:ascii="SimHei" w:eastAsia="SimHei" w:hint="eastAsia"/>
        </w:rPr>
        <w:t>4</w:t>
      </w:r>
      <w:r>
        <w:rPr>
          <w:rFonts w:hint="eastAsia"/>
        </w:rPr>
        <w:t>：发展和普及性知识，促进机构和社会进行必要的变革，力求实现男女之</w:t>
      </w:r>
      <w:r>
        <w:rPr>
          <w:rFonts w:hint="eastAsia"/>
        </w:rPr>
        <w:t>间的平等与公平。通过针对传媒的指导目标，能够圆满完成该政策的实施工作。</w:t>
      </w:r>
    </w:p>
    <w:p w:rsidR="00000000" w:rsidRDefault="00CA422F">
      <w:pPr>
        <w:numPr>
          <w:ilvl w:val="0"/>
          <w:numId w:val="807"/>
        </w:numPr>
        <w:tabs>
          <w:tab w:val="clear" w:pos="720"/>
          <w:tab w:val="num" w:pos="840"/>
        </w:tabs>
        <w:spacing w:after="240" w:line="360" w:lineRule="exact"/>
        <w:ind w:left="840"/>
        <w:rPr>
          <w:rFonts w:hint="eastAsia"/>
        </w:rPr>
      </w:pPr>
      <w:r>
        <w:rPr>
          <w:rFonts w:ascii="SimHei" w:eastAsia="SimHei" w:hint="eastAsia"/>
        </w:rPr>
        <w:t>政策</w:t>
      </w:r>
      <w:r>
        <w:rPr>
          <w:rFonts w:ascii="SimHei" w:eastAsia="SimHei" w:hint="eastAsia"/>
        </w:rPr>
        <w:t>5</w:t>
      </w:r>
      <w:r>
        <w:rPr>
          <w:rFonts w:ascii="SimHei" w:eastAsia="SimHei" w:hint="eastAsia"/>
        </w:rPr>
        <w:t>：</w:t>
      </w:r>
      <w:r>
        <w:rPr>
          <w:rFonts w:hint="eastAsia"/>
        </w:rPr>
        <w:t>改进和加强机构能力，使国家妇女研究所能够更好地使用和利用它的人力资源、资金和物质资源，确保能够切实有效地执行促进两性平等与公平的政策并实现上述目标。向国家妇女研究所提供资源和基础设施，从而提高机构的行政管理和办事效率，目的是改革机构文化并使变革成果能够对国家的家庭工作产生影响。</w:t>
      </w:r>
    </w:p>
    <w:p w:rsidR="00000000" w:rsidRDefault="00CA422F">
      <w:pPr>
        <w:spacing w:after="240" w:line="360" w:lineRule="exact"/>
        <w:rPr>
          <w:rFonts w:hint="eastAsia"/>
        </w:rPr>
      </w:pPr>
      <w:r>
        <w:rPr>
          <w:rFonts w:hint="eastAsia"/>
        </w:rPr>
        <w:t>141</w:t>
      </w:r>
      <w:r>
        <w:rPr>
          <w:rFonts w:hint="eastAsia"/>
        </w:rPr>
        <w:t>．实现两性平等与公平的使命需要哥斯达黎加社会的参与，其中也包括哥斯达黎加政府。根据其作为领导机构的职责，国家妇女研究所自然应该起促进和领导作用并向</w:t>
      </w:r>
      <w:r>
        <w:rPr>
          <w:rFonts w:hint="eastAsia"/>
        </w:rPr>
        <w:t>公共机构提供咨询意见，以便实现这一目标。在过去四年中，作为一种解决之道，国家妇女研究所发挥机构的协调职能，改进并推行全面战略性的公共政策，克服在许多国家行动中依然明显存在的脱节现象和短期行为。就这个意义而言，国家妇女研究所努力指导确定和制订：</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政府的国家政策；</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旨在改变性别关系的公共政策；</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在全国范围内都适用的政策，而且这些政策有能力回应妇女各种不同的需要和利益；</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促使各种不同的政治力量、民间社会组织、妇女运动和政府机关保持目标一致的政策。</w:t>
      </w:r>
    </w:p>
    <w:p w:rsidR="00000000" w:rsidRDefault="00CA422F">
      <w:pPr>
        <w:pStyle w:val="Date"/>
        <w:spacing w:after="240" w:line="360" w:lineRule="exact"/>
        <w:rPr>
          <w:rFonts w:eastAsia="SimHei" w:hint="eastAsia"/>
        </w:rPr>
      </w:pPr>
      <w:r>
        <w:rPr>
          <w:rFonts w:eastAsia="SimHei" w:hint="eastAsia"/>
        </w:rPr>
        <w:t>国家一级倡导的战略</w:t>
      </w:r>
    </w:p>
    <w:p w:rsidR="00000000" w:rsidRDefault="00CA422F">
      <w:pPr>
        <w:spacing w:after="240" w:line="360" w:lineRule="exact"/>
        <w:rPr>
          <w:rFonts w:hint="eastAsia"/>
        </w:rPr>
      </w:pPr>
      <w:r>
        <w:rPr>
          <w:rFonts w:hint="eastAsia"/>
        </w:rPr>
        <w:t>142</w:t>
      </w:r>
      <w:r>
        <w:rPr>
          <w:rFonts w:hint="eastAsia"/>
        </w:rPr>
        <w:t>．《北京行动纲要》确认，各级缺乏足够的促</w:t>
      </w:r>
      <w:r>
        <w:rPr>
          <w:rFonts w:hint="eastAsia"/>
        </w:rPr>
        <w:t>进妇女进步的机制是一个非常令人忧虑的问题。根据强化国家促进妇女进步机制的建议，哥斯达黎加政府推动实施促进两性平等的公共政策，同时，推行一系列制度结构措施，以便能够在各级机构和各部门中贯彻性别观点。</w:t>
      </w:r>
    </w:p>
    <w:p w:rsidR="00000000" w:rsidRDefault="00CA422F">
      <w:pPr>
        <w:spacing w:after="240" w:line="360" w:lineRule="exact"/>
        <w:rPr>
          <w:rFonts w:hint="eastAsia"/>
        </w:rPr>
      </w:pPr>
      <w:r>
        <w:rPr>
          <w:rFonts w:hint="eastAsia"/>
        </w:rPr>
        <w:t>143</w:t>
      </w:r>
      <w:r>
        <w:rPr>
          <w:rFonts w:hint="eastAsia"/>
        </w:rPr>
        <w:t>．在这一阶段内，在政府机构和社会组织的协助下，提出了“国家两性平等与公平政策”，它同样也与国家妇女研究所的一项宗旨一致。</w:t>
      </w:r>
      <w:r>
        <w:rPr>
          <w:rFonts w:hint="eastAsia"/>
        </w:rPr>
        <w:t>2002</w:t>
      </w:r>
      <w:r>
        <w:rPr>
          <w:rFonts w:hint="eastAsia"/>
        </w:rPr>
        <w:t>年</w:t>
      </w:r>
      <w:r>
        <w:rPr>
          <w:rFonts w:hint="eastAsia"/>
        </w:rPr>
        <w:t>2</w:t>
      </w:r>
      <w:r>
        <w:rPr>
          <w:rFonts w:hint="eastAsia"/>
        </w:rPr>
        <w:t>月签署了</w:t>
      </w:r>
      <w:r>
        <w:rPr>
          <w:rFonts w:hint="eastAsia"/>
        </w:rPr>
        <w:t>28284</w:t>
      </w:r>
      <w:r>
        <w:rPr>
          <w:rFonts w:hint="eastAsia"/>
        </w:rPr>
        <w:t>号行政法令，启动促进两性平等与公平的部门行动计划的编写工作。作为在政府机构的各种活动中确立性别观点的一种手段，该干预战略是依据以下两点提出的：</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推动国家、地区</w:t>
      </w:r>
      <w:r>
        <w:rPr>
          <w:rFonts w:hint="eastAsia"/>
        </w:rPr>
        <w:t>和地方各级行动，确保做到权力下放和行政分权；</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同其他机构共同开展工作，以便在上述机构的工作与机构文化中纳入性别观点，同时，谋求促使妇女自己提出要求，制订促进两性平等与公平的政策以及行使她们的公民权利。</w:t>
      </w:r>
    </w:p>
    <w:p w:rsidR="00000000" w:rsidRDefault="00CA422F">
      <w:pPr>
        <w:spacing w:after="240" w:line="360" w:lineRule="exact"/>
        <w:rPr>
          <w:rFonts w:hint="eastAsia"/>
        </w:rPr>
      </w:pPr>
      <w:r>
        <w:rPr>
          <w:rFonts w:hint="eastAsia"/>
        </w:rPr>
        <w:t>144</w:t>
      </w:r>
      <w:r>
        <w:rPr>
          <w:rFonts w:hint="eastAsia"/>
        </w:rPr>
        <w:t>．为了实现国家战略规定，作为这种努力的一个组成部分，国家妇女研究所与各部委和其他自主机构签订了合作协议。它们记录了罗德里格斯政府最主要的改革承诺。在某些情况下，合作协议在部门范围内适用，包括要求负责机关和机构小组按照领导机构颁布的政策开展工作。这种性质的协作协议包括与农业和畜牧业部、文化、青年和体育部以</w:t>
      </w:r>
      <w:r>
        <w:rPr>
          <w:rFonts w:hint="eastAsia"/>
        </w:rPr>
        <w:t>及卫生部签订的协议。机构范畴的合作协议涉及与公共教育部、劳工和社会保障部、哥斯达黎加国家银行、哥斯达黎加社会保障处、市政咨询与发展促进协会以及国家生产委员会签订的协议。</w:t>
      </w:r>
    </w:p>
    <w:p w:rsidR="00000000" w:rsidRDefault="00CA422F">
      <w:pPr>
        <w:spacing w:after="240" w:line="360" w:lineRule="exact"/>
        <w:rPr>
          <w:rFonts w:hint="eastAsia"/>
        </w:rPr>
      </w:pPr>
      <w:r>
        <w:rPr>
          <w:rFonts w:hint="eastAsia"/>
        </w:rPr>
        <w:t>145</w:t>
      </w:r>
      <w:r>
        <w:rPr>
          <w:rFonts w:hint="eastAsia"/>
        </w:rPr>
        <w:t>．为了在各个机构中实现性别观点制度化和法制化，应用了以下四种机制：</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成立高级别委员会，促进机构改革；</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编制和实施促进两性平等的行动计划；</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成立促进两性平等处或办公室，作为机构改革的推动机构；和</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将促进性别处行动计划确定的活动纳入其所在机构的年度行动计划和预算计划之中。</w:t>
      </w:r>
    </w:p>
    <w:p w:rsidR="00000000" w:rsidRDefault="00CA422F">
      <w:pPr>
        <w:spacing w:after="240" w:line="360" w:lineRule="exact"/>
        <w:rPr>
          <w:rFonts w:hint="eastAsia"/>
        </w:rPr>
      </w:pPr>
      <w:r>
        <w:rPr>
          <w:rFonts w:hint="eastAsia"/>
        </w:rPr>
        <w:t>146</w:t>
      </w:r>
      <w:r>
        <w:rPr>
          <w:rFonts w:hint="eastAsia"/>
        </w:rPr>
        <w:t>．</w:t>
      </w:r>
      <w:r>
        <w:rPr>
          <w:rFonts w:eastAsia="SimHei" w:hint="eastAsia"/>
        </w:rPr>
        <w:t>教育部门</w:t>
      </w:r>
      <w:r>
        <w:rPr>
          <w:rFonts w:hint="eastAsia"/>
        </w:rPr>
        <w:t>已经制订了包含</w:t>
      </w:r>
      <w:r>
        <w:rPr>
          <w:rFonts w:hint="eastAsia"/>
        </w:rPr>
        <w:t>21</w:t>
      </w:r>
      <w:r>
        <w:rPr>
          <w:rFonts w:hint="eastAsia"/>
        </w:rPr>
        <w:t>条行动战略的行动计划，目的是提高</w:t>
      </w:r>
      <w:r>
        <w:rPr>
          <w:rFonts w:hint="eastAsia"/>
        </w:rPr>
        <w:t>教育部门的服务质量和改善内部劳动关系。这些行动都纳入了负责执行工作的下属单位的计划和预算之中。在教育部门中实现了下列成果：</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中小学</w:t>
      </w:r>
      <w:r>
        <w:rPr>
          <w:rFonts w:hint="eastAsia"/>
        </w:rPr>
        <w:t>50</w:t>
      </w:r>
      <w:r>
        <w:rPr>
          <w:rFonts w:hint="eastAsia"/>
        </w:rPr>
        <w:t>个基本课程方案中加入有关性别尊重的内容；</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采用拉丁美洲经济委员会建议的两性平等指标测量和评估教育质量；</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通过免除相应的注册费用和提交学历证明的费用，创造便利条件，使贫困妇女和少女妈妈能够再次进入正规教育系统学习；</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提高教育工作者的觉悟，开展培训活动，以便有效地执行反对性骚扰法、预防家庭暴力和切实帮助妇女进入富有竞争性的技术专业。</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改进了利蒙省、圣拉蒙省、卡塔戈省和圣何塞省学校</w:t>
      </w:r>
      <w:r>
        <w:rPr>
          <w:rFonts w:hint="eastAsia"/>
        </w:rPr>
        <w:t>的暴力预防模式，各种不同的社会行为人——如，教育工作者、学生、父亲和母亲——都已经加入了该模式。</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提出了国家性教育政策和针对整个系统的课程建议。</w:t>
      </w:r>
    </w:p>
    <w:p w:rsidR="00000000" w:rsidRDefault="00CA422F">
      <w:pPr>
        <w:spacing w:after="240" w:line="360" w:lineRule="exact"/>
        <w:rPr>
          <w:rFonts w:hint="eastAsia"/>
        </w:rPr>
      </w:pPr>
      <w:r>
        <w:rPr>
          <w:rFonts w:hint="eastAsia"/>
        </w:rPr>
        <w:t>147</w:t>
      </w:r>
      <w:r>
        <w:rPr>
          <w:rFonts w:hint="eastAsia"/>
        </w:rPr>
        <w:t>．</w:t>
      </w:r>
      <w:r>
        <w:rPr>
          <w:rFonts w:eastAsia="SimHei" w:hint="eastAsia"/>
        </w:rPr>
        <w:t>劳工和社会保障部门</w:t>
      </w:r>
      <w:r>
        <w:rPr>
          <w:rFonts w:hint="eastAsia"/>
        </w:rPr>
        <w:t>通过了部门行动计划（</w:t>
      </w:r>
      <w:r>
        <w:rPr>
          <w:rFonts w:hint="eastAsia"/>
        </w:rPr>
        <w:t>2002</w:t>
      </w:r>
      <w:r>
        <w:rPr>
          <w:rFonts w:hint="eastAsia"/>
        </w:rPr>
        <w:t>年</w:t>
      </w:r>
      <w:r>
        <w:rPr>
          <w:rFonts w:hint="eastAsia"/>
        </w:rPr>
        <w:t>12</w:t>
      </w:r>
      <w:r>
        <w:rPr>
          <w:rFonts w:hint="eastAsia"/>
        </w:rPr>
        <w:t>月），同时，根据一项行政法令，成立了劳工和社会保障部性别事务处，并且已经在以下四个方面取得了重要进展。</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在国家妇女研究所和国际劳工组织的帮助下，在美国劳工部资助下，培训了</w:t>
      </w:r>
      <w:r>
        <w:rPr>
          <w:rFonts w:hint="eastAsia"/>
        </w:rPr>
        <w:t>84</w:t>
      </w:r>
      <w:r>
        <w:rPr>
          <w:rFonts w:hint="eastAsia"/>
        </w:rPr>
        <w:t>名妇女领导，目的是使她们成为关键生产部门的妇女劳动权利的倡导者。</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另外，在大众媒体中开始展开妇女劳动权利的宣传活动，并且开通了</w:t>
      </w:r>
      <w:r>
        <w:rPr>
          <w:rFonts w:hint="eastAsia"/>
        </w:rPr>
        <w:t>800</w:t>
      </w:r>
      <w:r>
        <w:rPr>
          <w:rFonts w:hint="eastAsia"/>
        </w:rPr>
        <w:t>劳工热线，以便女工通过电话揭发侵权行为或者向劳动部征求咨询意见。</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劳动部进行的一项研究使人们终于能够对妇女的家务劳动进行量化统计。妇女进行的家务劳动的市场价值大约相当于国内生产总值的</w:t>
      </w:r>
      <w:r>
        <w:rPr>
          <w:rFonts w:hint="eastAsia"/>
        </w:rPr>
        <w:t>17%</w:t>
      </w:r>
      <w:r>
        <w:rPr>
          <w:rFonts w:hint="eastAsia"/>
        </w:rPr>
        <w:t>，而男子的家务劳动市场价值仅仅达到国内生产总值的</w:t>
      </w:r>
      <w:r>
        <w:rPr>
          <w:rFonts w:hint="eastAsia"/>
        </w:rPr>
        <w:t>1.2%</w:t>
      </w:r>
      <w:r>
        <w:rPr>
          <w:rFonts w:hint="eastAsia"/>
        </w:rPr>
        <w:t>。作为该研究促成的成果，国家妇女研究所组建了一个机构间委员会，在推动开展有关时间利用的调查同时，在国民收入和生产核算中设计一个子科目以专门核算妇女对发展的贡献。</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通过劳动和社会保障部，国家妇女研究所在</w:t>
      </w:r>
      <w:r>
        <w:rPr>
          <w:rFonts w:hint="eastAsia"/>
        </w:rPr>
        <w:t>1999</w:t>
      </w:r>
      <w:r>
        <w:rPr>
          <w:rFonts w:hint="eastAsia"/>
        </w:rPr>
        <w:t>至</w:t>
      </w:r>
      <w:r>
        <w:rPr>
          <w:rFonts w:hint="eastAsia"/>
        </w:rPr>
        <w:t>2000</w:t>
      </w:r>
      <w:r>
        <w:rPr>
          <w:rFonts w:hint="eastAsia"/>
        </w:rPr>
        <w:t>年期间开展了一个有关劳动就业问题的咨询协商进程，确</w:t>
      </w:r>
      <w:r>
        <w:rPr>
          <w:rFonts w:hint="eastAsia"/>
        </w:rPr>
        <w:t>定了含有性别观点的政府劳动就业政策路线。</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组织了</w:t>
      </w:r>
      <w:r>
        <w:rPr>
          <w:rFonts w:hint="eastAsia"/>
        </w:rPr>
        <w:t>399</w:t>
      </w:r>
      <w:r>
        <w:rPr>
          <w:rFonts w:hint="eastAsia"/>
        </w:rPr>
        <w:t>个妇女生产小组，目前在全国各地开展生产活动。</w:t>
      </w:r>
    </w:p>
    <w:p w:rsidR="00000000" w:rsidRDefault="00CA422F">
      <w:pPr>
        <w:spacing w:after="240" w:line="360" w:lineRule="exact"/>
        <w:rPr>
          <w:rFonts w:hint="eastAsia"/>
        </w:rPr>
      </w:pPr>
      <w:r>
        <w:rPr>
          <w:rFonts w:hint="eastAsia"/>
        </w:rPr>
        <w:t>148</w:t>
      </w:r>
      <w:r>
        <w:rPr>
          <w:rFonts w:hint="eastAsia"/>
        </w:rPr>
        <w:t>．</w:t>
      </w:r>
      <w:r>
        <w:rPr>
          <w:rFonts w:eastAsia="SimHei" w:hint="eastAsia"/>
        </w:rPr>
        <w:t>卫生保健部门</w:t>
      </w:r>
      <w:r>
        <w:rPr>
          <w:rFonts w:hint="eastAsia"/>
        </w:rPr>
        <w:t>提出了一个最为复杂的进程，因为其行动目的是改革妇女在医院中的护理模式。该模式尊重卫生保健社会建设进程之中妇女与男子之间的差别，同时，推动建立服务网络，促进妇女作为健康政策的主体积极开展参与性活动。这是一个贯彻促进两性平等政策的进程，加拿大卫生部和泛美卫生组织（</w:t>
      </w:r>
      <w:r>
        <w:rPr>
          <w:rFonts w:hint="eastAsia"/>
        </w:rPr>
        <w:t>OPS</w:t>
      </w:r>
      <w:r>
        <w:rPr>
          <w:rFonts w:hint="eastAsia"/>
        </w:rPr>
        <w:t>）分别为它提供了技术援助和资金支持。另外，作为该进程的组成部分，哥斯达黎加社会保障处制订了全面关注和处理家庭暴力方案，由于健康</w:t>
      </w:r>
      <w:r>
        <w:rPr>
          <w:rFonts w:hint="eastAsia"/>
        </w:rPr>
        <w:t>服务医学司医药预防处负责。作为上述行动的成果，家庭暴力伤害被列入常规医疗保健方案之中，属于基本医疗服务覆盖的项目，因此，所有的医疗保健单位都必须专门划拨人力资源以处理家庭暴力问题。</w:t>
      </w:r>
    </w:p>
    <w:p w:rsidR="00000000" w:rsidRDefault="00CA422F">
      <w:pPr>
        <w:spacing w:after="240" w:line="360" w:lineRule="exact"/>
        <w:rPr>
          <w:rFonts w:hint="eastAsia"/>
        </w:rPr>
      </w:pPr>
      <w:r>
        <w:rPr>
          <w:rFonts w:hint="eastAsia"/>
        </w:rPr>
        <w:t>149</w:t>
      </w:r>
      <w:r>
        <w:rPr>
          <w:rFonts w:hint="eastAsia"/>
        </w:rPr>
        <w:t>．</w:t>
      </w:r>
      <w:r>
        <w:rPr>
          <w:rFonts w:eastAsia="SimHei" w:hint="eastAsia"/>
        </w:rPr>
        <w:t>农业和畜牧业部门</w:t>
      </w:r>
      <w:r>
        <w:rPr>
          <w:rFonts w:hint="eastAsia"/>
        </w:rPr>
        <w:t>仅仅处于促进两性别平等行动计划的筹备阶段。农业和畜牧业机构的性别问题处负责向行动计划提供支援和推动其实施工作。值得强调的是，已经与全国不同地区的</w:t>
      </w:r>
      <w:r>
        <w:rPr>
          <w:rFonts w:hint="eastAsia"/>
        </w:rPr>
        <w:t>60</w:t>
      </w:r>
      <w:r>
        <w:rPr>
          <w:rFonts w:hint="eastAsia"/>
        </w:rPr>
        <w:t>个妇女小组达成了协议。</w:t>
      </w:r>
    </w:p>
    <w:p w:rsidR="00000000" w:rsidRDefault="00CA422F">
      <w:pPr>
        <w:spacing w:after="240" w:line="360" w:lineRule="exact"/>
        <w:rPr>
          <w:rFonts w:hint="eastAsia"/>
        </w:rPr>
      </w:pPr>
      <w:r>
        <w:rPr>
          <w:rFonts w:hint="eastAsia"/>
        </w:rPr>
        <w:t>150</w:t>
      </w:r>
      <w:r>
        <w:rPr>
          <w:rFonts w:hint="eastAsia"/>
        </w:rPr>
        <w:t>．</w:t>
      </w:r>
      <w:r>
        <w:rPr>
          <w:rFonts w:eastAsia="SimHei" w:hint="eastAsia"/>
        </w:rPr>
        <w:t>妇女论坛</w:t>
      </w:r>
      <w:r>
        <w:rPr>
          <w:rFonts w:hint="eastAsia"/>
        </w:rPr>
        <w:t>是根据</w:t>
      </w:r>
      <w:r>
        <w:rPr>
          <w:rFonts w:hint="eastAsia"/>
        </w:rPr>
        <w:t>7801</w:t>
      </w:r>
      <w:r>
        <w:rPr>
          <w:rFonts w:hint="eastAsia"/>
        </w:rPr>
        <w:t>号法律成立的咨询协商机制，由开展促进两性平等与公平工作的社会组织构成。论坛向内阁提出三位候选人，以便内阁</w:t>
      </w:r>
      <w:r>
        <w:rPr>
          <w:rFonts w:hint="eastAsia"/>
        </w:rPr>
        <w:t>从中挑选一名民间社会代表进入国家妇女研究所的领导委员会。自论坛成立之日起，它就为讨论、监督和提出有利于妇女和加强国家妇女研究所的法律草案提供了空间，另外，它也构成了一个社会监督空间，因为妇女地位部部长和国家妇女研究所执行主席需要在论坛上提交她们的年度报告。</w:t>
      </w:r>
    </w:p>
    <w:p w:rsidR="00000000" w:rsidRDefault="00CA422F">
      <w:pPr>
        <w:spacing w:after="240" w:line="360" w:lineRule="exact"/>
        <w:rPr>
          <w:rFonts w:hint="eastAsia"/>
        </w:rPr>
      </w:pPr>
      <w:r>
        <w:rPr>
          <w:rFonts w:hint="eastAsia"/>
        </w:rPr>
        <w:t>151</w:t>
      </w:r>
      <w:r>
        <w:rPr>
          <w:rFonts w:hint="eastAsia"/>
        </w:rPr>
        <w:t>．</w:t>
      </w:r>
      <w:r>
        <w:rPr>
          <w:rFonts w:eastAsia="SimHei" w:hint="eastAsia"/>
        </w:rPr>
        <w:t>妇女名人堂</w:t>
      </w:r>
      <w:r>
        <w:rPr>
          <w:rFonts w:hint="eastAsia"/>
        </w:rPr>
        <w:t>是依据</w:t>
      </w:r>
      <w:r>
        <w:rPr>
          <w:rFonts w:hint="eastAsia"/>
        </w:rPr>
        <w:t>1999</w:t>
      </w:r>
      <w:r>
        <w:rPr>
          <w:rFonts w:hint="eastAsia"/>
        </w:rPr>
        <w:t>年</w:t>
      </w:r>
      <w:r>
        <w:rPr>
          <w:rFonts w:hint="eastAsia"/>
        </w:rPr>
        <w:t>12</w:t>
      </w:r>
      <w:r>
        <w:rPr>
          <w:rFonts w:hint="eastAsia"/>
        </w:rPr>
        <w:t>月</w:t>
      </w:r>
      <w:r>
        <w:rPr>
          <w:rFonts w:hint="eastAsia"/>
        </w:rPr>
        <w:t>21</w:t>
      </w:r>
      <w:r>
        <w:rPr>
          <w:rFonts w:hint="eastAsia"/>
        </w:rPr>
        <w:t>日的</w:t>
      </w:r>
      <w:r>
        <w:rPr>
          <w:rFonts w:hint="eastAsia"/>
        </w:rPr>
        <w:t>7954</w:t>
      </w:r>
      <w:r>
        <w:rPr>
          <w:rFonts w:hint="eastAsia"/>
        </w:rPr>
        <w:t>号法律设立的，其宗旨是鼓励发展妇女参与国家社会发展的新模式，以及感谢妇女在人类事务各个不同领域内做出的贡献。</w:t>
      </w:r>
      <w:r>
        <w:rPr>
          <w:rFonts w:hint="eastAsia"/>
        </w:rPr>
        <w:t>2002</w:t>
      </w:r>
      <w:r>
        <w:rPr>
          <w:rFonts w:hint="eastAsia"/>
        </w:rPr>
        <w:t>年</w:t>
      </w:r>
      <w:r>
        <w:rPr>
          <w:rFonts w:hint="eastAsia"/>
        </w:rPr>
        <w:t>3</w:t>
      </w:r>
      <w:r>
        <w:rPr>
          <w:rFonts w:hint="eastAsia"/>
        </w:rPr>
        <w:t>月第一批提名的</w:t>
      </w:r>
      <w:r>
        <w:rPr>
          <w:rFonts w:hint="eastAsia"/>
        </w:rPr>
        <w:t>8</w:t>
      </w:r>
      <w:r>
        <w:rPr>
          <w:rFonts w:hint="eastAsia"/>
        </w:rPr>
        <w:t>名妇女进入了名人堂。</w:t>
      </w:r>
    </w:p>
    <w:p w:rsidR="00000000" w:rsidRDefault="00CA422F">
      <w:pPr>
        <w:pStyle w:val="21"/>
        <w:adjustRightInd w:val="0"/>
        <w:spacing w:beforeLines="0" w:before="0" w:afterLines="0" w:after="240" w:line="360" w:lineRule="exact"/>
        <w:textAlignment w:val="baseline"/>
        <w:rPr>
          <w:rFonts w:eastAsia="SimHei" w:hint="eastAsia"/>
          <w:b w:val="0"/>
          <w:kern w:val="0"/>
          <w:szCs w:val="20"/>
        </w:rPr>
      </w:pPr>
      <w:r>
        <w:rPr>
          <w:rFonts w:eastAsia="SimHei" w:hint="eastAsia"/>
          <w:b w:val="0"/>
          <w:kern w:val="0"/>
          <w:szCs w:val="20"/>
        </w:rPr>
        <w:t>地区和地方各级倡导的战略</w:t>
      </w:r>
    </w:p>
    <w:p w:rsidR="00000000" w:rsidRDefault="00CA422F">
      <w:pPr>
        <w:spacing w:after="240" w:line="360" w:lineRule="exact"/>
        <w:rPr>
          <w:rFonts w:hint="eastAsia"/>
        </w:rPr>
      </w:pPr>
      <w:r>
        <w:rPr>
          <w:rFonts w:hint="eastAsia"/>
        </w:rPr>
        <w:t>152</w:t>
      </w:r>
      <w:r>
        <w:rPr>
          <w:rFonts w:hint="eastAsia"/>
        </w:rPr>
        <w:t>．对于国</w:t>
      </w:r>
      <w:r>
        <w:rPr>
          <w:rFonts w:hint="eastAsia"/>
        </w:rPr>
        <w:t>家妇女研究所而言，地区和地方工作具有优先地位，因为只有通过地区和地方工作，才能使政府政策对妇女生活产生具体影响。以下是本阶段开展的一些活动：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与促进发展和市政咨询研究所（</w:t>
      </w:r>
      <w:r>
        <w:rPr>
          <w:rFonts w:hint="eastAsia"/>
        </w:rPr>
        <w:t>IFAM</w:t>
      </w:r>
      <w:r>
        <w:rPr>
          <w:rFonts w:hint="eastAsia"/>
        </w:rPr>
        <w:t>）协作，以便达成实施促进两性平等行动计划的合作协议。尽管该行动计划并不属于地区</w:t>
      </w:r>
      <w:r>
        <w:rPr>
          <w:rFonts w:hint="eastAsia"/>
        </w:rPr>
        <w:t>/</w:t>
      </w:r>
      <w:r>
        <w:rPr>
          <w:rFonts w:hint="eastAsia"/>
        </w:rPr>
        <w:t>地方战略，然而它的确谋求为地方发展创造体制条件，实现含有性别观点的地方发展进程。该战略力求改革机构文化和机构提供的服务。这一制度必须结合市政当局的实际情况，从中产生一种更广泛、更具整体性的妇女观念。</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市政府妇女办公室（</w:t>
      </w:r>
      <w:r>
        <w:rPr>
          <w:rFonts w:hint="eastAsia"/>
        </w:rPr>
        <w:t>OFIM</w:t>
      </w:r>
      <w:r>
        <w:rPr>
          <w:rFonts w:hint="eastAsia"/>
        </w:rPr>
        <w:t>）：现有</w:t>
      </w:r>
      <w:r>
        <w:rPr>
          <w:rFonts w:hint="eastAsia"/>
        </w:rPr>
        <w:t>45</w:t>
      </w:r>
      <w:r>
        <w:rPr>
          <w:rFonts w:hint="eastAsia"/>
        </w:rPr>
        <w:t>个市政府妇女办公</w:t>
      </w:r>
      <w:r>
        <w:rPr>
          <w:rFonts w:hint="eastAsia"/>
        </w:rPr>
        <w:t>室，其中</w:t>
      </w:r>
      <w:r>
        <w:rPr>
          <w:rFonts w:hint="eastAsia"/>
        </w:rPr>
        <w:t>41</w:t>
      </w:r>
      <w:r>
        <w:rPr>
          <w:rFonts w:hint="eastAsia"/>
        </w:rPr>
        <w:t>个已经完成了体制化和合法化。在全国总共</w:t>
      </w:r>
      <w:r>
        <w:rPr>
          <w:rFonts w:hint="eastAsia"/>
        </w:rPr>
        <w:t>81</w:t>
      </w:r>
      <w:r>
        <w:rPr>
          <w:rFonts w:hint="eastAsia"/>
        </w:rPr>
        <w:t>个市政府中，有</w:t>
      </w:r>
      <w:r>
        <w:rPr>
          <w:rFonts w:hint="eastAsia"/>
        </w:rPr>
        <w:t>50.6%</w:t>
      </w:r>
      <w:r>
        <w:rPr>
          <w:rFonts w:hint="eastAsia"/>
        </w:rPr>
        <w:t>的市政当局设立了妇女办公室，国家妇女研究所向所有市政府妇女办公室提供技术咨询，从而加强它们的事故处理能力。国家妇女研究所还向市政府妇女事务办公室国家网络和打击对妇女的暴力机构间网络提供技术咨询服务。妇女办公室是市政当局编制内的一个技术—专业性质的组成机构。</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作为地区和地方干预战略的组成部分，国家妇女研究所在两个地区开展促进两性平等与公平的地方计划，目的是积累经验，便于将来在国家其他地区复制这些经验。这两个地方进程的宗旨都是在妇女领</w:t>
      </w:r>
      <w:r>
        <w:rPr>
          <w:rFonts w:hint="eastAsia"/>
        </w:rPr>
        <w:t>导的参与下编写地方妇女议事日程；与地方、市和地区公共机构代表共同努力使该议事日程被社会接受；组织妇女议事日程小组中的各机构代表召开协商咨询会议，以及召开机会间碰头会，以便签署有关促进两性平等与公平地方行动计划的协议和协定。共有</w:t>
      </w:r>
      <w:r>
        <w:rPr>
          <w:rFonts w:hint="eastAsia"/>
        </w:rPr>
        <w:t>120</w:t>
      </w:r>
      <w:r>
        <w:rPr>
          <w:rFonts w:hint="eastAsia"/>
        </w:rPr>
        <w:t>人参与了这两个地方进程。参加者中有</w:t>
      </w:r>
      <w:r>
        <w:rPr>
          <w:rFonts w:hint="eastAsia"/>
        </w:rPr>
        <w:t>90</w:t>
      </w:r>
      <w:r>
        <w:rPr>
          <w:rFonts w:hint="eastAsia"/>
        </w:rPr>
        <w:t>名妇女，其余都是公务员（男</w:t>
      </w:r>
      <w:r>
        <w:rPr>
          <w:rFonts w:hint="eastAsia"/>
        </w:rPr>
        <w:t>/</w:t>
      </w:r>
      <w:r>
        <w:rPr>
          <w:rFonts w:hint="eastAsia"/>
        </w:rPr>
        <w:t>女）。</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除以上两个地方进程之外，还在瓜纳卡斯特省组织了两次以促进两性平等为目标的地区社会对话与协商会议。</w:t>
      </w:r>
    </w:p>
    <w:p w:rsidR="00000000" w:rsidRDefault="00CA422F">
      <w:pPr>
        <w:pStyle w:val="Date"/>
        <w:spacing w:after="240" w:line="360" w:lineRule="exact"/>
        <w:rPr>
          <w:rFonts w:eastAsia="SimHei" w:hint="eastAsia"/>
        </w:rPr>
      </w:pPr>
      <w:r>
        <w:rPr>
          <w:rFonts w:eastAsia="SimHei" w:hint="eastAsia"/>
        </w:rPr>
        <w:t>加强妇女的能力</w:t>
      </w:r>
    </w:p>
    <w:p w:rsidR="00000000" w:rsidRDefault="00CA422F">
      <w:pPr>
        <w:spacing w:after="240" w:line="360" w:lineRule="exact"/>
        <w:rPr>
          <w:rFonts w:hint="eastAsia"/>
        </w:rPr>
      </w:pPr>
      <w:r>
        <w:rPr>
          <w:rFonts w:hint="eastAsia"/>
        </w:rPr>
        <w:t>153</w:t>
      </w:r>
      <w:r>
        <w:rPr>
          <w:rFonts w:hint="eastAsia"/>
        </w:rPr>
        <w:t>．国家妇女研究所开展了各种不同的行动，并且协调和长期跟进与加强妇女政治参与和参与决策有</w:t>
      </w:r>
      <w:r>
        <w:rPr>
          <w:rFonts w:hint="eastAsia"/>
        </w:rPr>
        <w:t>关的法律草案的提案和编写工作，其中值得强调的是：</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政党法法律草案和国民银行组织法修正案，目的是在其中加入有关妇女在领导机关决策层中的最低参与比例的规定；</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在多项涉及违反宪法、不尊重妇女担任领导职位的配额比例（</w:t>
      </w:r>
      <w:r>
        <w:rPr>
          <w:rFonts w:hint="eastAsia"/>
        </w:rPr>
        <w:t>40%</w:t>
      </w:r>
      <w:r>
        <w:rPr>
          <w:rFonts w:hint="eastAsia"/>
        </w:rPr>
        <w:t>）的诉讼中，妇女地位部部长都出庭。</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国家妇女研究所针对选举法修正案和修订建议的监督姿态。该修订建议已经提交法律委员会审议。在咨询协商阶段，国家妇女研究所对修订建议发表了自己的观点。</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另外，开展了大量培训和培养妇女领导的活动。</w:t>
      </w:r>
    </w:p>
    <w:p w:rsidR="00000000" w:rsidRDefault="00CA422F">
      <w:pPr>
        <w:spacing w:after="240" w:line="360" w:lineRule="exact"/>
        <w:rPr>
          <w:rFonts w:hint="eastAsia"/>
        </w:rPr>
      </w:pPr>
      <w:r>
        <w:rPr>
          <w:rFonts w:hint="eastAsia"/>
        </w:rPr>
        <w:t>154</w:t>
      </w:r>
      <w:r>
        <w:rPr>
          <w:rFonts w:hint="eastAsia"/>
        </w:rPr>
        <w:t>．国家妇女研究所在国家家庭暴力预防关注制度（</w:t>
      </w:r>
      <w:r>
        <w:rPr>
          <w:rFonts w:hint="eastAsia"/>
        </w:rPr>
        <w:t>PLANOVI</w:t>
      </w:r>
      <w:r>
        <w:rPr>
          <w:rFonts w:hint="eastAsia"/>
        </w:rPr>
        <w:t>）框架内</w:t>
      </w:r>
      <w:r>
        <w:rPr>
          <w:rFonts w:hint="eastAsia"/>
        </w:rPr>
        <w:t>开展的主要活动都是为了巩固系统服务的，目的是家庭暴力预防关注制度成为国家促进两性平等和公平政策的一个基本组成部分。受到特别关注的活动包括：</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911</w:t>
      </w:r>
      <w:r>
        <w:rPr>
          <w:rFonts w:hint="eastAsia"/>
        </w:rPr>
        <w:t>热线，受理家庭暴力事件的特别电话服务热线。</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妇女代表办事处给予受害者的法律、心理和社会关怀；</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卡塔戈省、利蒙省和蓬塔雷纳斯省的三家收容所接待和照顾受家庭暴力侵害的妇女及其子女；</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加强地方反家庭暴力网络的能力和培训公共机构的官员（男</w:t>
      </w:r>
      <w:r>
        <w:rPr>
          <w:rFonts w:hint="eastAsia"/>
        </w:rPr>
        <w:t>/</w:t>
      </w:r>
      <w:r>
        <w:rPr>
          <w:rFonts w:hint="eastAsia"/>
        </w:rPr>
        <w:t>女）；</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与司法机构的家庭暴力问题委员会协调行动，以便在圣何塞、埃雷迪亚，阿拉胡埃拉和卡塔戈各省设立专门的家庭暴力法庭；</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2000</w:t>
      </w:r>
      <w:r>
        <w:rPr>
          <w:rFonts w:hint="eastAsia"/>
        </w:rPr>
        <w:t>年</w:t>
      </w:r>
      <w:r>
        <w:rPr>
          <w:rFonts w:hint="eastAsia"/>
        </w:rPr>
        <w:t>11</w:t>
      </w:r>
      <w:r>
        <w:rPr>
          <w:rFonts w:hint="eastAsia"/>
        </w:rPr>
        <w:t>月，正式颁布了强制适用于哥斯达黎加社会保障处所有下属医院与诊所的护理原则标准。</w:t>
      </w:r>
    </w:p>
    <w:p w:rsidR="00000000" w:rsidRDefault="00CA422F">
      <w:pPr>
        <w:spacing w:after="240" w:line="360" w:lineRule="exact"/>
        <w:rPr>
          <w:rFonts w:hint="eastAsia"/>
        </w:rPr>
      </w:pPr>
      <w:r>
        <w:rPr>
          <w:rFonts w:hint="eastAsia"/>
        </w:rPr>
        <w:t>155</w:t>
      </w:r>
      <w:r>
        <w:rPr>
          <w:rFonts w:hint="eastAsia"/>
        </w:rPr>
        <w:t>．在性暴力问题方面，国家妇女研究所围绕四个领域开展了行动，它们是：强奸和其他形式的性犯罪、性骚扰、性剥削和强迫卖淫以及大众传媒中的暴力。</w:t>
      </w:r>
    </w:p>
    <w:p w:rsidR="00000000" w:rsidRDefault="00CA422F">
      <w:pPr>
        <w:spacing w:after="240" w:line="360" w:lineRule="exact"/>
        <w:rPr>
          <w:rFonts w:hint="eastAsia"/>
        </w:rPr>
      </w:pPr>
      <w:r>
        <w:rPr>
          <w:rFonts w:hint="eastAsia"/>
        </w:rPr>
        <w:t>156</w:t>
      </w:r>
      <w:r>
        <w:rPr>
          <w:rFonts w:hint="eastAsia"/>
        </w:rPr>
        <w:t>．另外，国家妇女研究所还实施三个特别方案，它们是：“爱与青年”方案（针对中小学学生和教育工作者）、“构筑机会”方案（针对怀孕女童和少女、女童妈妈和少女妈妈）和“共同发展”方案（针对贫困妇女）。</w:t>
      </w:r>
    </w:p>
    <w:p w:rsidR="00000000" w:rsidRDefault="00CA422F">
      <w:pPr>
        <w:pStyle w:val="Date"/>
        <w:spacing w:after="240" w:line="360" w:lineRule="exact"/>
        <w:rPr>
          <w:rFonts w:eastAsia="SimHei" w:hint="eastAsia"/>
        </w:rPr>
      </w:pPr>
      <w:r>
        <w:rPr>
          <w:rFonts w:eastAsia="SimHei" w:hint="eastAsia"/>
        </w:rPr>
        <w:t>国家机制的资金支持</w:t>
      </w:r>
    </w:p>
    <w:p w:rsidR="00000000" w:rsidRDefault="00CA422F">
      <w:pPr>
        <w:spacing w:after="240" w:line="360" w:lineRule="exact"/>
        <w:rPr>
          <w:rFonts w:hint="eastAsia"/>
        </w:rPr>
      </w:pPr>
      <w:r>
        <w:rPr>
          <w:rFonts w:hint="eastAsia"/>
        </w:rPr>
        <w:t>157</w:t>
      </w:r>
      <w:r>
        <w:rPr>
          <w:rFonts w:hint="eastAsia"/>
        </w:rPr>
        <w:t>．</w:t>
      </w:r>
      <w:r>
        <w:rPr>
          <w:rFonts w:hint="eastAsia"/>
        </w:rPr>
        <w:t>7801</w:t>
      </w:r>
      <w:r>
        <w:rPr>
          <w:rFonts w:hint="eastAsia"/>
        </w:rPr>
        <w:t>号法律给予了国家妇女研究所重要的资助。它规定将家庭救</w:t>
      </w:r>
      <w:r>
        <w:rPr>
          <w:rFonts w:hint="eastAsia"/>
        </w:rPr>
        <w:t>助和社会发展基金的</w:t>
      </w:r>
      <w:r>
        <w:rPr>
          <w:rFonts w:hint="eastAsia"/>
        </w:rPr>
        <w:t>2%</w:t>
      </w:r>
      <w:r>
        <w:rPr>
          <w:rFonts w:hint="eastAsia"/>
        </w:rPr>
        <w:t>划拔给国家妇女研究所。根据这一规定，</w:t>
      </w:r>
      <w:r>
        <w:rPr>
          <w:rFonts w:hint="eastAsia"/>
        </w:rPr>
        <w:t>2001</w:t>
      </w:r>
      <w:r>
        <w:rPr>
          <w:rFonts w:hint="eastAsia"/>
        </w:rPr>
        <w:t>年国家妇女研究所应该获得</w:t>
      </w:r>
      <w:r>
        <w:rPr>
          <w:rFonts w:hint="eastAsia"/>
        </w:rPr>
        <w:t>773 897 011</w:t>
      </w:r>
      <w:r>
        <w:rPr>
          <w:rFonts w:hint="eastAsia"/>
        </w:rPr>
        <w:t>科朗的拨款（相当于</w:t>
      </w:r>
      <w:r>
        <w:rPr>
          <w:rFonts w:hint="eastAsia"/>
        </w:rPr>
        <w:t>2 130 480. 40</w:t>
      </w:r>
      <w:r>
        <w:rPr>
          <w:rFonts w:hint="eastAsia"/>
        </w:rPr>
        <w:t>美元），</w:t>
      </w:r>
      <w:r>
        <w:rPr>
          <w:rFonts w:hint="eastAsia"/>
        </w:rPr>
        <w:t>2002</w:t>
      </w:r>
      <w:r>
        <w:rPr>
          <w:rFonts w:hint="eastAsia"/>
        </w:rPr>
        <w:t>年从该渠道获得的经费总额应为</w:t>
      </w:r>
      <w:r>
        <w:rPr>
          <w:rFonts w:hint="eastAsia"/>
        </w:rPr>
        <w:t>804 400 000</w:t>
      </w:r>
      <w:r>
        <w:rPr>
          <w:rFonts w:hint="eastAsia"/>
        </w:rPr>
        <w:t>科朗（相当于</w:t>
      </w:r>
      <w:r>
        <w:rPr>
          <w:rFonts w:hint="eastAsia"/>
        </w:rPr>
        <w:t>2 214 452. 80</w:t>
      </w:r>
      <w:r>
        <w:rPr>
          <w:rFonts w:hint="eastAsia"/>
        </w:rPr>
        <w:t>美元）。然而，由于政府的一项削减支出政策，国家妇女研究所大约仅仅能够得到应得拨款总额的</w:t>
      </w:r>
      <w:r>
        <w:rPr>
          <w:rFonts w:hint="eastAsia"/>
        </w:rPr>
        <w:t>50%</w:t>
      </w:r>
      <w:r>
        <w:rPr>
          <w:rFonts w:hint="eastAsia"/>
        </w:rPr>
        <w:t>。这限制了它的行动，降低了它履行其作为促进两性平等政策领导机构职责的机会。</w:t>
      </w:r>
    </w:p>
    <w:p w:rsidR="00000000" w:rsidRDefault="00CA422F">
      <w:pPr>
        <w:spacing w:after="240" w:line="360" w:lineRule="exact"/>
        <w:rPr>
          <w:rFonts w:hint="eastAsia"/>
        </w:rPr>
      </w:pPr>
      <w:r>
        <w:rPr>
          <w:rFonts w:hint="eastAsia"/>
        </w:rPr>
        <w:t>158</w:t>
      </w:r>
      <w:r>
        <w:rPr>
          <w:rFonts w:hint="eastAsia"/>
        </w:rPr>
        <w:t>．自</w:t>
      </w:r>
      <w:r>
        <w:rPr>
          <w:rFonts w:hint="eastAsia"/>
        </w:rPr>
        <w:t>1998</w:t>
      </w:r>
      <w:r>
        <w:rPr>
          <w:rFonts w:hint="eastAsia"/>
        </w:rPr>
        <w:t>年起，为了加强对机构行动——特别是贯彻性别观点和某些专门方案（如，</w:t>
      </w:r>
      <w:r>
        <w:rPr>
          <w:rFonts w:hint="eastAsia"/>
        </w:rPr>
        <w:t>性别暴力）——的资助，国家妇女研究所积极开展国际合作机构捐赠的交涉和管理工作。结果，</w:t>
      </w:r>
      <w:r>
        <w:rPr>
          <w:rFonts w:hint="eastAsia"/>
        </w:rPr>
        <w:t>1998</w:t>
      </w:r>
      <w:r>
        <w:rPr>
          <w:rFonts w:hint="eastAsia"/>
        </w:rPr>
        <w:t>年至</w:t>
      </w:r>
      <w:r>
        <w:rPr>
          <w:rFonts w:hint="eastAsia"/>
        </w:rPr>
        <w:t>2001</w:t>
      </w:r>
      <w:r>
        <w:rPr>
          <w:rFonts w:hint="eastAsia"/>
        </w:rPr>
        <w:t>年间总共收到了</w:t>
      </w:r>
      <w:r>
        <w:rPr>
          <w:rFonts w:hint="eastAsia"/>
        </w:rPr>
        <w:t>2 509 091 791</w:t>
      </w:r>
      <w:r>
        <w:rPr>
          <w:rFonts w:hint="eastAsia"/>
        </w:rPr>
        <w:t>科朗（</w:t>
      </w:r>
      <w:r>
        <w:rPr>
          <w:rFonts w:hint="eastAsia"/>
        </w:rPr>
        <w:t>6 907 350. 00</w:t>
      </w:r>
      <w:r>
        <w:rPr>
          <w:rFonts w:hint="eastAsia"/>
        </w:rPr>
        <w:t>美元）的国际捐赠。尽管这项倡议取得了成果，但资金依然不足。</w:t>
      </w:r>
    </w:p>
    <w:p w:rsidR="00000000" w:rsidRDefault="00CA422F">
      <w:pPr>
        <w:spacing w:after="240" w:line="360" w:lineRule="exact"/>
        <w:rPr>
          <w:rFonts w:hint="eastAsia"/>
        </w:rPr>
      </w:pPr>
      <w:r>
        <w:rPr>
          <w:rFonts w:hint="eastAsia"/>
        </w:rPr>
        <w:t>159</w:t>
      </w:r>
      <w:r>
        <w:rPr>
          <w:rFonts w:hint="eastAsia"/>
        </w:rPr>
        <w:t>．国家妇女研究所没有能够获得按照法律的规定应该得到的资金，这一事实自身就构成了一种障碍，妨碍了国家妇女研究所与其他同样行使领导职能的机构保持平等地位。鉴于这一问题并且考虑到不按照法律的规定划拨资金本身已经构成一种违法行为，国家妇女研究所向宪法厅提出保障要求，要求宪法厅对</w:t>
      </w:r>
      <w:r>
        <w:rPr>
          <w:rFonts w:hint="eastAsia"/>
        </w:rPr>
        <w:t>此做出裁决。宪法厅正在研究这一诉讼。</w:t>
      </w:r>
    </w:p>
    <w:p w:rsidR="00000000" w:rsidRDefault="00CA422F">
      <w:pPr>
        <w:spacing w:after="240" w:line="360" w:lineRule="exact"/>
        <w:rPr>
          <w:rFonts w:hint="eastAsia"/>
        </w:rPr>
      </w:pPr>
      <w:r>
        <w:rPr>
          <w:rFonts w:hint="eastAsia"/>
        </w:rPr>
        <w:t>160</w:t>
      </w:r>
      <w:r>
        <w:rPr>
          <w:rFonts w:hint="eastAsia"/>
        </w:rPr>
        <w:t>．这一情况表明在政府中男性中心模式依然居于主导地位，实际上，两性平等并不是政府真正意义上的优先事务，掩盖了表面上同其他领导机构待遇平等的不平等现象，以及政府机构在贯彻性别观点过程中依然有限的投入，这都使得国家妇女研究所不可能有效行使其领导职能。譬如说，需要进行大量的人员持续培训，然而，由于国家妇女研究所的预算问题，由于其他机构在年度行动计划框架内（</w:t>
      </w:r>
      <w:r>
        <w:rPr>
          <w:rFonts w:hint="eastAsia"/>
        </w:rPr>
        <w:t>PAO</w:t>
      </w:r>
      <w:r>
        <w:rPr>
          <w:rFonts w:hint="eastAsia"/>
        </w:rPr>
        <w:t>）调配的资源有限，能够开展的仅仅是短期的、孤立的培训方案。</w:t>
      </w:r>
    </w:p>
    <w:p w:rsidR="00000000" w:rsidRDefault="00CA422F">
      <w:pPr>
        <w:spacing w:after="240" w:line="360" w:lineRule="exact"/>
        <w:ind w:firstLine="420"/>
        <w:jc w:val="center"/>
        <w:rPr>
          <w:rFonts w:eastAsia="SimHei" w:hint="eastAsia"/>
          <w:sz w:val="24"/>
        </w:rPr>
      </w:pPr>
      <w:r>
        <w:rPr>
          <w:rFonts w:eastAsia="SimHei" w:hint="eastAsia"/>
          <w:sz w:val="24"/>
        </w:rPr>
        <w:t>部委和部门的权利下放机构：促进两性平等处或办公室</w:t>
      </w:r>
    </w:p>
    <w:p w:rsidR="00000000" w:rsidRDefault="00CA422F">
      <w:pPr>
        <w:spacing w:after="240" w:line="360" w:lineRule="exact"/>
        <w:rPr>
          <w:rFonts w:hint="eastAsia"/>
        </w:rPr>
      </w:pPr>
      <w:r>
        <w:rPr>
          <w:rFonts w:hint="eastAsia"/>
        </w:rPr>
        <w:t>1</w:t>
      </w:r>
      <w:r>
        <w:rPr>
          <w:rFonts w:hint="eastAsia"/>
        </w:rPr>
        <w:t>61</w:t>
      </w:r>
      <w:r>
        <w:rPr>
          <w:rFonts w:hint="eastAsia"/>
        </w:rPr>
        <w:t>．</w:t>
      </w:r>
      <w:r>
        <w:rPr>
          <w:rFonts w:hint="eastAsia"/>
        </w:rPr>
        <w:t>1994</w:t>
      </w:r>
      <w:r>
        <w:rPr>
          <w:rFonts w:hint="eastAsia"/>
        </w:rPr>
        <w:t>年，根据政府社会委员会决议，决定设立部委和部门妇女办公室，它们负责监督政府促进两性平等的政策在公共机构中的实施。直到</w:t>
      </w:r>
      <w:r>
        <w:rPr>
          <w:rFonts w:hint="eastAsia"/>
        </w:rPr>
        <w:t>7801</w:t>
      </w:r>
      <w:r>
        <w:rPr>
          <w:rFonts w:hint="eastAsia"/>
        </w:rPr>
        <w:t>号法律通过之前，作为促进两性平等的国家机制，家庭和妇女国家发展中心（</w:t>
      </w:r>
      <w:r>
        <w:rPr>
          <w:rFonts w:hint="eastAsia"/>
        </w:rPr>
        <w:t>CMF</w:t>
      </w:r>
      <w:r>
        <w:rPr>
          <w:rFonts w:hint="eastAsia"/>
        </w:rPr>
        <w:t>）在运作过程中一直被视为这些下属单位的协调机构。家庭和妇女国家发展中心在改组为国家妇女研究所之后，被授权负责提出国家促进两性平等与公平的政策，并且与公共机构和民间社会组织协作，推动上述政策的实施工作。另外，国家妇女研究所还被授权负责推动部委、部门和市政府妇女办公室的组建工作，调整和监督它们的运作。</w:t>
      </w:r>
    </w:p>
    <w:p w:rsidR="00000000" w:rsidRDefault="00CA422F">
      <w:pPr>
        <w:spacing w:after="240" w:line="360" w:lineRule="exact"/>
        <w:rPr>
          <w:rFonts w:hint="eastAsia"/>
        </w:rPr>
      </w:pPr>
      <w:r>
        <w:rPr>
          <w:rFonts w:hint="eastAsia"/>
        </w:rPr>
        <w:t>162</w:t>
      </w:r>
      <w:r>
        <w:rPr>
          <w:rFonts w:hint="eastAsia"/>
        </w:rPr>
        <w:t>．同样，国家妇女研究所也在内部设立了促进两性平等公共政策管理司，负责推动政府和政府机构编制、执行、跟进和评估与妇女有关的公共政策，同时，全程跟随上述各种程序并提出咨询意见。</w:t>
      </w:r>
    </w:p>
    <w:p w:rsidR="00000000" w:rsidRDefault="00CA422F">
      <w:pPr>
        <w:spacing w:after="240" w:line="360" w:lineRule="exact"/>
        <w:rPr>
          <w:rFonts w:hint="eastAsia"/>
        </w:rPr>
      </w:pPr>
      <w:r>
        <w:rPr>
          <w:rFonts w:hint="eastAsia"/>
        </w:rPr>
        <w:t>163</w:t>
      </w:r>
      <w:r>
        <w:rPr>
          <w:rFonts w:hint="eastAsia"/>
        </w:rPr>
        <w:t>．国家妇女研究所与部委和部门妇女办公室在</w:t>
      </w:r>
      <w:r>
        <w:rPr>
          <w:rFonts w:hint="eastAsia"/>
        </w:rPr>
        <w:t>1996</w:t>
      </w:r>
      <w:r>
        <w:rPr>
          <w:rFonts w:hint="eastAsia"/>
        </w:rPr>
        <w:t>至</w:t>
      </w:r>
      <w:r>
        <w:rPr>
          <w:rFonts w:hint="eastAsia"/>
        </w:rPr>
        <w:t>2000</w:t>
      </w:r>
      <w:r>
        <w:rPr>
          <w:rFonts w:hint="eastAsia"/>
        </w:rPr>
        <w:t>年间积累的经验表明，为了在机构文化、政策和方案中贯彻性别观点，依据已颁布的一项法令，当时认为有必要调整应用战略。同样，那时还强调着手进行妇女处或性别平等处的建设工作，以此作为一个必要的步骤，通过它依法确认和加强政策实施程序；使它们的咨询作用获得承认，以及推动以促进两性</w:t>
      </w:r>
      <w:r>
        <w:rPr>
          <w:rFonts w:hint="eastAsia"/>
        </w:rPr>
        <w:t>平等为宗旨的活动。因此，机构拓展了工作范围并且为执行它的工作计划争取到更多必需的资源调配。</w:t>
      </w:r>
    </w:p>
    <w:p w:rsidR="00000000" w:rsidRDefault="00CA422F">
      <w:pPr>
        <w:spacing w:after="240" w:line="360" w:lineRule="exact"/>
        <w:rPr>
          <w:rFonts w:hint="eastAsia"/>
        </w:rPr>
      </w:pPr>
      <w:r>
        <w:rPr>
          <w:rFonts w:hint="eastAsia"/>
        </w:rPr>
        <w:t>164</w:t>
      </w:r>
      <w:r>
        <w:rPr>
          <w:rFonts w:hint="eastAsia"/>
        </w:rPr>
        <w:t>．到目前为止，已经开始运转的妇女处或性别平等处有：</w:t>
      </w:r>
    </w:p>
    <w:p w:rsidR="00000000" w:rsidRDefault="00CA422F">
      <w:pPr>
        <w:spacing w:after="240" w:line="360" w:lineRule="exact"/>
        <w:rPr>
          <w:rFonts w:hint="eastAsia"/>
        </w:rPr>
      </w:pPr>
      <w:r>
        <w:rPr>
          <w:rFonts w:hint="eastAsia"/>
        </w:rPr>
        <w:t>165</w:t>
      </w:r>
      <w:r>
        <w:rPr>
          <w:rFonts w:hint="eastAsia"/>
        </w:rPr>
        <w:t>．</w:t>
      </w:r>
      <w:r>
        <w:rPr>
          <w:rFonts w:eastAsia="SimHei" w:hint="eastAsia"/>
        </w:rPr>
        <w:t>农业和畜牧业部门：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农业和畜牧业部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国家生产总局</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农业发展研究所</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哥斯达黎加渔业协会</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国家灌溉和排水服务系统</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农牧业贸易整体规划</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农村发展方案</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环境能源部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信贷和微型企业部门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合作化运动促进协会</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哥斯达黎加国家银行</w:t>
      </w:r>
    </w:p>
    <w:p w:rsidR="00000000" w:rsidRDefault="00CA422F">
      <w:pPr>
        <w:spacing w:after="240" w:line="360" w:lineRule="exact"/>
        <w:rPr>
          <w:rFonts w:hint="eastAsia"/>
        </w:rPr>
      </w:pPr>
      <w:r>
        <w:rPr>
          <w:rFonts w:hint="eastAsia"/>
        </w:rPr>
        <w:t>166</w:t>
      </w:r>
      <w:r>
        <w:rPr>
          <w:rFonts w:hint="eastAsia"/>
        </w:rPr>
        <w:t>．</w:t>
      </w:r>
      <w:r>
        <w:rPr>
          <w:rFonts w:eastAsia="SimHei" w:hint="eastAsia"/>
        </w:rPr>
        <w:t>文化部门：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文化、青年和体育部</w:t>
      </w:r>
    </w:p>
    <w:p w:rsidR="00000000" w:rsidRDefault="00CA422F">
      <w:pPr>
        <w:spacing w:after="240" w:line="360" w:lineRule="exact"/>
        <w:rPr>
          <w:rFonts w:hint="eastAsia"/>
        </w:rPr>
      </w:pPr>
      <w:r>
        <w:rPr>
          <w:rFonts w:hint="eastAsia"/>
        </w:rPr>
        <w:t>167</w:t>
      </w:r>
      <w:r>
        <w:rPr>
          <w:rFonts w:hint="eastAsia"/>
        </w:rPr>
        <w:t>．</w:t>
      </w:r>
      <w:r>
        <w:rPr>
          <w:rFonts w:eastAsia="SimHei" w:hint="eastAsia"/>
        </w:rPr>
        <w:t>教育部门：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公共教育部</w:t>
      </w:r>
    </w:p>
    <w:p w:rsidR="00000000" w:rsidRDefault="00CA422F">
      <w:pPr>
        <w:spacing w:after="240" w:line="360" w:lineRule="exact"/>
        <w:rPr>
          <w:rFonts w:hint="eastAsia"/>
        </w:rPr>
      </w:pPr>
      <w:r>
        <w:rPr>
          <w:rFonts w:hint="eastAsia"/>
        </w:rPr>
        <w:t>168</w:t>
      </w:r>
      <w:r>
        <w:rPr>
          <w:rFonts w:hint="eastAsia"/>
        </w:rPr>
        <w:t>．</w:t>
      </w:r>
      <w:r>
        <w:rPr>
          <w:rFonts w:eastAsia="SimHei" w:hint="eastAsia"/>
        </w:rPr>
        <w:t>电力部门</w:t>
      </w:r>
      <w:r>
        <w:rPr>
          <w:rFonts w:hint="eastAsia"/>
        </w:rPr>
        <w:t>：</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哥斯达黎加电力协会</w:t>
      </w:r>
    </w:p>
    <w:p w:rsidR="00000000" w:rsidRDefault="00CA422F">
      <w:pPr>
        <w:spacing w:after="240" w:line="360" w:lineRule="exact"/>
        <w:rPr>
          <w:rFonts w:hint="eastAsia"/>
        </w:rPr>
      </w:pPr>
      <w:r>
        <w:rPr>
          <w:rFonts w:hint="eastAsia"/>
        </w:rPr>
        <w:t>169</w:t>
      </w:r>
      <w:r>
        <w:rPr>
          <w:rFonts w:hint="eastAsia"/>
        </w:rPr>
        <w:t>．</w:t>
      </w:r>
      <w:r>
        <w:rPr>
          <w:rFonts w:eastAsia="SimHei" w:hint="eastAsia"/>
        </w:rPr>
        <w:t>保健部门：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卫生部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哥斯达黎加社会保障处</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国家上下水道委员会</w:t>
      </w:r>
    </w:p>
    <w:p w:rsidR="00000000" w:rsidRDefault="00CA422F">
      <w:pPr>
        <w:spacing w:after="240" w:line="360" w:lineRule="exact"/>
        <w:rPr>
          <w:rFonts w:eastAsia="SimHei" w:hint="eastAsia"/>
        </w:rPr>
      </w:pPr>
      <w:r>
        <w:rPr>
          <w:rFonts w:hint="eastAsia"/>
        </w:rPr>
        <w:t>170</w:t>
      </w:r>
      <w:r>
        <w:rPr>
          <w:rFonts w:hint="eastAsia"/>
        </w:rPr>
        <w:t>．</w:t>
      </w:r>
      <w:r>
        <w:rPr>
          <w:rFonts w:eastAsia="SimHei" w:hint="eastAsia"/>
        </w:rPr>
        <w:t>劳动部门：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劳动和社会保障部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国家职业学校</w:t>
      </w:r>
    </w:p>
    <w:p w:rsidR="00000000" w:rsidRDefault="00CA422F">
      <w:pPr>
        <w:spacing w:after="240" w:line="360" w:lineRule="exact"/>
        <w:rPr>
          <w:rFonts w:hint="eastAsia"/>
        </w:rPr>
      </w:pPr>
      <w:r>
        <w:rPr>
          <w:rFonts w:hint="eastAsia"/>
        </w:rPr>
        <w:t>171</w:t>
      </w:r>
      <w:r>
        <w:rPr>
          <w:rFonts w:hint="eastAsia"/>
        </w:rPr>
        <w:t>．</w:t>
      </w:r>
      <w:r>
        <w:rPr>
          <w:rFonts w:eastAsia="SimHei" w:hint="eastAsia"/>
        </w:rPr>
        <w:t>交通运输部门：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交通运输和公共工程部</w:t>
      </w:r>
    </w:p>
    <w:p w:rsidR="00000000" w:rsidRDefault="00CA422F">
      <w:pPr>
        <w:spacing w:after="240" w:line="360" w:lineRule="exact"/>
        <w:rPr>
          <w:rFonts w:hint="eastAsia"/>
        </w:rPr>
      </w:pPr>
      <w:r>
        <w:rPr>
          <w:rFonts w:hint="eastAsia"/>
        </w:rPr>
        <w:t>172</w:t>
      </w:r>
      <w:r>
        <w:rPr>
          <w:rFonts w:hint="eastAsia"/>
        </w:rPr>
        <w:t>．</w:t>
      </w:r>
      <w:r>
        <w:rPr>
          <w:rFonts w:eastAsia="SimHei" w:hint="eastAsia"/>
        </w:rPr>
        <w:t>住宅部门：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住宅和临时安置部</w:t>
      </w:r>
    </w:p>
    <w:p w:rsidR="00000000" w:rsidRDefault="00CA422F">
      <w:pPr>
        <w:spacing w:after="240" w:line="360" w:lineRule="exact"/>
        <w:rPr>
          <w:rFonts w:hint="eastAsia"/>
        </w:rPr>
      </w:pPr>
      <w:r>
        <w:rPr>
          <w:rFonts w:hint="eastAsia"/>
        </w:rPr>
        <w:t>173</w:t>
      </w:r>
      <w:r>
        <w:rPr>
          <w:rFonts w:hint="eastAsia"/>
        </w:rPr>
        <w:t>．</w:t>
      </w:r>
      <w:r>
        <w:rPr>
          <w:rFonts w:eastAsia="SimHei" w:hint="eastAsia"/>
        </w:rPr>
        <w:t>地方政府部门：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市政咨询和促进发展研究所。</w:t>
      </w:r>
    </w:p>
    <w:p w:rsidR="00000000" w:rsidRDefault="00CA422F">
      <w:pPr>
        <w:spacing w:after="240" w:line="360" w:lineRule="exact"/>
        <w:rPr>
          <w:rFonts w:hint="eastAsia"/>
        </w:rPr>
      </w:pPr>
      <w:r>
        <w:rPr>
          <w:rFonts w:hint="eastAsia"/>
        </w:rPr>
        <w:t>174</w:t>
      </w:r>
      <w:r>
        <w:rPr>
          <w:rFonts w:hint="eastAsia"/>
        </w:rPr>
        <w:t>．国家妇女研究所为妇女处或性别平等处编写了一整套文件，力求在机构文化和工作中贯彻性别观点并使之制度化。这些文件包括：</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妇女处或性别平等处组织和运作指导方针。</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机构在吸纳性别观点方面取得的进展的评估标准。</w:t>
      </w:r>
      <w:r>
        <w:rPr>
          <w:rStyle w:val="FootnoteReference"/>
        </w:rPr>
        <w:footnoteReference w:customMarkFollows="1" w:id="13"/>
        <w:t>12</w:t>
      </w:r>
    </w:p>
    <w:p w:rsidR="00000000" w:rsidRDefault="00CA422F">
      <w:pPr>
        <w:numPr>
          <w:ilvl w:val="0"/>
          <w:numId w:val="911"/>
        </w:numPr>
        <w:tabs>
          <w:tab w:val="clear" w:pos="785"/>
          <w:tab w:val="num" w:pos="1200"/>
        </w:tabs>
        <w:spacing w:after="240" w:line="360" w:lineRule="exact"/>
        <w:ind w:left="1200" w:hanging="360"/>
        <w:rPr>
          <w:rFonts w:hint="eastAsia"/>
        </w:rPr>
      </w:pPr>
      <w:r>
        <w:rPr>
          <w:rFonts w:hint="eastAsia"/>
        </w:rPr>
        <w:t>目标评估完成情况的指标</w:t>
      </w:r>
    </w:p>
    <w:p w:rsidR="00000000" w:rsidRDefault="00CA422F">
      <w:pPr>
        <w:numPr>
          <w:ilvl w:val="0"/>
          <w:numId w:val="911"/>
        </w:numPr>
        <w:tabs>
          <w:tab w:val="clear" w:pos="785"/>
          <w:tab w:val="num" w:pos="1200"/>
        </w:tabs>
        <w:spacing w:after="240" w:line="360" w:lineRule="exact"/>
        <w:ind w:left="1200" w:hanging="360"/>
        <w:rPr>
          <w:rFonts w:hint="eastAsia"/>
        </w:rPr>
      </w:pPr>
      <w:r>
        <w:rPr>
          <w:rFonts w:hint="eastAsia"/>
        </w:rPr>
        <w:t>性别观点横向评估贯彻程度的标准</w:t>
      </w:r>
    </w:p>
    <w:p w:rsidR="00000000" w:rsidRDefault="00CA422F">
      <w:pPr>
        <w:spacing w:after="240" w:line="360" w:lineRule="exact"/>
        <w:ind w:firstLine="420"/>
        <w:jc w:val="center"/>
        <w:rPr>
          <w:rFonts w:eastAsia="SimHei" w:hint="eastAsia"/>
          <w:sz w:val="24"/>
        </w:rPr>
      </w:pPr>
      <w:r>
        <w:rPr>
          <w:rFonts w:eastAsia="SimHei" w:hint="eastAsia"/>
          <w:sz w:val="24"/>
        </w:rPr>
        <w:t>地方分权机</w:t>
      </w:r>
      <w:r>
        <w:rPr>
          <w:rFonts w:eastAsia="SimHei" w:hint="eastAsia"/>
          <w:sz w:val="24"/>
        </w:rPr>
        <w:t>制：市政府妇女办公室</w:t>
      </w:r>
    </w:p>
    <w:p w:rsidR="00000000" w:rsidRDefault="00CA422F">
      <w:pPr>
        <w:spacing w:after="240" w:line="360" w:lineRule="exact"/>
        <w:rPr>
          <w:rFonts w:hint="eastAsia"/>
        </w:rPr>
      </w:pPr>
      <w:r>
        <w:rPr>
          <w:rFonts w:hint="eastAsia"/>
        </w:rPr>
        <w:t>175</w:t>
      </w:r>
      <w:r>
        <w:rPr>
          <w:rFonts w:hint="eastAsia"/>
        </w:rPr>
        <w:t>．作为地方一级的联络机关，市政府妇女办公室是国家妇女研究所推动实施的一项促进两性平等的工作机制。这一战略谋求的是由市政府妇女办公室提供有关妇女人权状况的资料、情况介绍和保护措施，同时，在地方一级开展公共政策实施的后续行动并加强市政当局和妇女组织分别发起的活动之间的联系和联结。</w:t>
      </w:r>
    </w:p>
    <w:p w:rsidR="00000000" w:rsidRDefault="00CA422F">
      <w:pPr>
        <w:spacing w:after="240" w:line="360" w:lineRule="exact"/>
        <w:rPr>
          <w:rFonts w:hint="eastAsia"/>
        </w:rPr>
      </w:pPr>
      <w:r>
        <w:rPr>
          <w:rFonts w:hint="eastAsia"/>
        </w:rPr>
        <w:t>176</w:t>
      </w:r>
      <w:r>
        <w:rPr>
          <w:rFonts w:hint="eastAsia"/>
        </w:rPr>
        <w:t>．《国家妇女研究所组建法》（</w:t>
      </w:r>
      <w:r>
        <w:rPr>
          <w:rFonts w:hint="eastAsia"/>
        </w:rPr>
        <w:t>7801</w:t>
      </w:r>
      <w:r>
        <w:rPr>
          <w:rFonts w:hint="eastAsia"/>
        </w:rPr>
        <w:t>号法律）第</w:t>
      </w:r>
      <w:r>
        <w:rPr>
          <w:rFonts w:hint="eastAsia"/>
        </w:rPr>
        <w:t>4</w:t>
      </w:r>
      <w:r>
        <w:rPr>
          <w:rFonts w:hint="eastAsia"/>
        </w:rPr>
        <w:t>条（</w:t>
      </w:r>
      <w:r>
        <w:rPr>
          <w:rFonts w:hint="eastAsia"/>
        </w:rPr>
        <w:t>C</w:t>
      </w:r>
      <w:r>
        <w:rPr>
          <w:rFonts w:hint="eastAsia"/>
        </w:rPr>
        <w:t>）款强调，该机构的职能之一就是“推动组建部委、部门和市政府妇女办公室；此外，保障和协调它们的运作。作为该目标的一个组成部分，在关于“修订《市政法》</w:t>
      </w:r>
      <w:r>
        <w:rPr>
          <w:rFonts w:hint="eastAsia"/>
        </w:rPr>
        <w:t>第</w:t>
      </w:r>
      <w:r>
        <w:rPr>
          <w:rFonts w:hint="eastAsia"/>
        </w:rPr>
        <w:t>1</w:t>
      </w:r>
      <w:r>
        <w:rPr>
          <w:rFonts w:hint="eastAsia"/>
        </w:rPr>
        <w:t>、</w:t>
      </w:r>
      <w:r>
        <w:rPr>
          <w:rFonts w:hint="eastAsia"/>
        </w:rPr>
        <w:t>13</w:t>
      </w:r>
      <w:r>
        <w:rPr>
          <w:rFonts w:hint="eastAsia"/>
        </w:rPr>
        <w:t>、</w:t>
      </w:r>
      <w:r>
        <w:rPr>
          <w:rFonts w:hint="eastAsia"/>
        </w:rPr>
        <w:t>17</w:t>
      </w:r>
      <w:r>
        <w:rPr>
          <w:rFonts w:hint="eastAsia"/>
        </w:rPr>
        <w:t>、</w:t>
      </w:r>
      <w:r>
        <w:rPr>
          <w:rFonts w:hint="eastAsia"/>
        </w:rPr>
        <w:t>125</w:t>
      </w:r>
      <w:r>
        <w:rPr>
          <w:rFonts w:hint="eastAsia"/>
        </w:rPr>
        <w:t>、</w:t>
      </w:r>
      <w:r>
        <w:rPr>
          <w:rFonts w:hint="eastAsia"/>
        </w:rPr>
        <w:t>126</w:t>
      </w:r>
      <w:r>
        <w:rPr>
          <w:rFonts w:hint="eastAsia"/>
        </w:rPr>
        <w:t>和</w:t>
      </w:r>
      <w:r>
        <w:rPr>
          <w:rFonts w:hint="eastAsia"/>
        </w:rPr>
        <w:t>142</w:t>
      </w:r>
      <w:r>
        <w:rPr>
          <w:rFonts w:hint="eastAsia"/>
        </w:rPr>
        <w:t>条、补充第</w:t>
      </w:r>
      <w:r>
        <w:rPr>
          <w:rFonts w:hint="eastAsia"/>
        </w:rPr>
        <w:t>17</w:t>
      </w:r>
      <w:r>
        <w:rPr>
          <w:rFonts w:hint="eastAsia"/>
        </w:rPr>
        <w:t>条和</w:t>
      </w:r>
      <w:r>
        <w:rPr>
          <w:rFonts w:hint="eastAsia"/>
        </w:rPr>
        <w:t>194</w:t>
      </w:r>
      <w:r>
        <w:rPr>
          <w:rFonts w:hint="eastAsia"/>
        </w:rPr>
        <w:t>条的规定、改变第</w:t>
      </w:r>
      <w:r>
        <w:rPr>
          <w:rFonts w:hint="eastAsia"/>
        </w:rPr>
        <w:t>182</w:t>
      </w:r>
      <w:r>
        <w:rPr>
          <w:rFonts w:hint="eastAsia"/>
        </w:rPr>
        <w:t>、</w:t>
      </w:r>
      <w:r>
        <w:rPr>
          <w:rFonts w:hint="eastAsia"/>
        </w:rPr>
        <w:t>183</w:t>
      </w:r>
      <w:r>
        <w:rPr>
          <w:rFonts w:hint="eastAsia"/>
        </w:rPr>
        <w:t>和</w:t>
      </w:r>
      <w:r>
        <w:rPr>
          <w:rFonts w:hint="eastAsia"/>
        </w:rPr>
        <w:t>184</w:t>
      </w:r>
      <w:r>
        <w:rPr>
          <w:rFonts w:hint="eastAsia"/>
        </w:rPr>
        <w:t>条的排列顺序和组建市政府妇女办公室”的法律草案中，促使草案规定在各市政当局组建妇女办公室和贯彻性观点是强制性的义务。”第</w:t>
      </w:r>
      <w:r>
        <w:rPr>
          <w:rFonts w:hint="eastAsia"/>
        </w:rPr>
        <w:t>183</w:t>
      </w:r>
      <w:r>
        <w:rPr>
          <w:rFonts w:hint="eastAsia"/>
        </w:rPr>
        <w:t>条提出：“将组建名为‘市政府妇女办公室（</w:t>
      </w:r>
      <w:r>
        <w:rPr>
          <w:rFonts w:hint="eastAsia"/>
        </w:rPr>
        <w:t>OFIM</w:t>
      </w:r>
      <w:r>
        <w:rPr>
          <w:rFonts w:hint="eastAsia"/>
        </w:rPr>
        <w:t>）’的专门机关以促进妇女权利和她们的公民权与义务。该专门机关是市政当局机构的一个组成部分。”另外，谋求在第</w:t>
      </w:r>
      <w:r>
        <w:rPr>
          <w:rFonts w:hint="eastAsia"/>
        </w:rPr>
        <w:t>17</w:t>
      </w:r>
      <w:r>
        <w:rPr>
          <w:rFonts w:hint="eastAsia"/>
        </w:rPr>
        <w:t>条（</w:t>
      </w:r>
      <w:r>
        <w:rPr>
          <w:rFonts w:hint="eastAsia"/>
        </w:rPr>
        <w:t>O</w:t>
      </w:r>
      <w:r>
        <w:rPr>
          <w:rFonts w:hint="eastAsia"/>
        </w:rPr>
        <w:t>）款中增加以下内容：“监督和确保市政当局依据哥斯达黎加政府的现行法律的规定，履行执行促进两性平等与公平政策的职责，推动促</w:t>
      </w:r>
      <w:r>
        <w:rPr>
          <w:rFonts w:hint="eastAsia"/>
        </w:rPr>
        <w:t>进两性平等与公平的政策、计划和行动。”</w:t>
      </w:r>
    </w:p>
    <w:p w:rsidR="00000000" w:rsidRDefault="00CA422F">
      <w:pPr>
        <w:spacing w:after="240" w:line="360" w:lineRule="exact"/>
        <w:rPr>
          <w:rFonts w:hint="eastAsia"/>
        </w:rPr>
      </w:pPr>
      <w:r>
        <w:rPr>
          <w:rFonts w:hint="eastAsia"/>
        </w:rPr>
        <w:t>177</w:t>
      </w:r>
      <w:r>
        <w:rPr>
          <w:rFonts w:hint="eastAsia"/>
        </w:rPr>
        <w:t>．第一批</w:t>
      </w:r>
      <w:r>
        <w:rPr>
          <w:rFonts w:hint="eastAsia"/>
        </w:rPr>
        <w:t>6</w:t>
      </w:r>
      <w:r>
        <w:rPr>
          <w:rFonts w:hint="eastAsia"/>
        </w:rPr>
        <w:t>个市政府妇女办公室是在</w:t>
      </w:r>
      <w:r>
        <w:rPr>
          <w:rFonts w:hint="eastAsia"/>
        </w:rPr>
        <w:t>1996</w:t>
      </w:r>
      <w:r>
        <w:rPr>
          <w:rFonts w:hint="eastAsia"/>
        </w:rPr>
        <w:t>年至</w:t>
      </w:r>
      <w:r>
        <w:rPr>
          <w:rFonts w:hint="eastAsia"/>
        </w:rPr>
        <w:t>1998</w:t>
      </w:r>
      <w:r>
        <w:rPr>
          <w:rFonts w:hint="eastAsia"/>
        </w:rPr>
        <w:t>年第一季度之间成立的。</w:t>
      </w:r>
      <w:r>
        <w:rPr>
          <w:rFonts w:hint="eastAsia"/>
        </w:rPr>
        <w:t>1998</w:t>
      </w:r>
      <w:r>
        <w:rPr>
          <w:rFonts w:hint="eastAsia"/>
        </w:rPr>
        <w:t>年</w:t>
      </w:r>
      <w:r>
        <w:rPr>
          <w:rFonts w:hint="eastAsia"/>
        </w:rPr>
        <w:t>6</w:t>
      </w:r>
      <w:r>
        <w:rPr>
          <w:rFonts w:hint="eastAsia"/>
        </w:rPr>
        <w:t>月至</w:t>
      </w:r>
      <w:r>
        <w:rPr>
          <w:rFonts w:hint="eastAsia"/>
        </w:rPr>
        <w:t>1999</w:t>
      </w:r>
      <w:r>
        <w:rPr>
          <w:rFonts w:hint="eastAsia"/>
        </w:rPr>
        <w:t>年</w:t>
      </w:r>
      <w:r>
        <w:rPr>
          <w:rFonts w:hint="eastAsia"/>
        </w:rPr>
        <w:t>3</w:t>
      </w:r>
      <w:r>
        <w:rPr>
          <w:rFonts w:hint="eastAsia"/>
        </w:rPr>
        <w:t>月间，组建速度大大加快。这个阶段一共成立了</w:t>
      </w:r>
      <w:r>
        <w:rPr>
          <w:rFonts w:hint="eastAsia"/>
        </w:rPr>
        <w:t>19</w:t>
      </w:r>
      <w:r>
        <w:rPr>
          <w:rFonts w:hint="eastAsia"/>
        </w:rPr>
        <w:t>个市政府妇女办公室。当时面对的最大问题是由于缺乏最低限度条件，它们无法依据组建宗旨充分行使职能。这也为市政府办公室的制度化和体制化带来了困难。</w:t>
      </w:r>
      <w:r>
        <w:rPr>
          <w:rFonts w:hint="eastAsia"/>
        </w:rPr>
        <w:t>1999</w:t>
      </w:r>
      <w:r>
        <w:rPr>
          <w:rFonts w:hint="eastAsia"/>
        </w:rPr>
        <w:t>年</w:t>
      </w:r>
      <w:r>
        <w:rPr>
          <w:rFonts w:hint="eastAsia"/>
        </w:rPr>
        <w:t>4</w:t>
      </w:r>
      <w:r>
        <w:rPr>
          <w:rFonts w:hint="eastAsia"/>
        </w:rPr>
        <w:t>月之后，国家妇女研究所把战略重点放在通过与市政府进行协商、为其配备人力资源、基础设施和物质资源，确保对妇女办公室的技术、法律和社会支持和维护上。该战略的另一项方针通</w:t>
      </w:r>
      <w:r>
        <w:rPr>
          <w:rFonts w:hint="eastAsia"/>
        </w:rPr>
        <w:t>过推动培训活动和支助行动，加强女市政议员、女公务员和女性社区领袖的领导地位。截至到</w:t>
      </w:r>
      <w:r>
        <w:rPr>
          <w:rFonts w:hint="eastAsia"/>
        </w:rPr>
        <w:t>2002</w:t>
      </w:r>
      <w:r>
        <w:rPr>
          <w:rFonts w:hint="eastAsia"/>
        </w:rPr>
        <w:t>年，有</w:t>
      </w:r>
      <w:r>
        <w:rPr>
          <w:rFonts w:hint="eastAsia"/>
        </w:rPr>
        <w:t>26</w:t>
      </w:r>
      <w:r>
        <w:rPr>
          <w:rFonts w:hint="eastAsia"/>
        </w:rPr>
        <w:t>个市政府妇女办公室由职业官员（女性）负责领导的，其中</w:t>
      </w:r>
      <w:r>
        <w:rPr>
          <w:rFonts w:hint="eastAsia"/>
        </w:rPr>
        <w:t>5</w:t>
      </w:r>
      <w:r>
        <w:rPr>
          <w:rFonts w:hint="eastAsia"/>
        </w:rPr>
        <w:t>个由一名秘书负责、</w:t>
      </w:r>
      <w:r>
        <w:rPr>
          <w:rFonts w:hint="eastAsia"/>
        </w:rPr>
        <w:t>4</w:t>
      </w:r>
      <w:r>
        <w:rPr>
          <w:rFonts w:hint="eastAsia"/>
        </w:rPr>
        <w:t>个由志愿者管理。</w:t>
      </w:r>
    </w:p>
    <w:p w:rsidR="00000000" w:rsidRDefault="00CA422F">
      <w:pPr>
        <w:spacing w:after="240" w:line="360" w:lineRule="exact"/>
        <w:rPr>
          <w:rFonts w:hint="eastAsia"/>
        </w:rPr>
      </w:pPr>
      <w:r>
        <w:rPr>
          <w:rFonts w:hint="eastAsia"/>
        </w:rPr>
        <w:t>178</w:t>
      </w:r>
      <w:r>
        <w:rPr>
          <w:rFonts w:hint="eastAsia"/>
        </w:rPr>
        <w:t>．</w:t>
      </w:r>
      <w:r>
        <w:rPr>
          <w:rFonts w:hint="eastAsia"/>
        </w:rPr>
        <w:t>1999</w:t>
      </w:r>
      <w:r>
        <w:rPr>
          <w:rFonts w:hint="eastAsia"/>
        </w:rPr>
        <w:t>年，在国家妇女研究所的帮助下，组建了市政府妇女办公室网络，以便扩展这些机构的权限范围并在地方一级推动实现两性平等和公平，同时，加大市政府妇女办公室之间知识与技术经验交流的力度。该网络一直把行动重点放在劳动权利培训和父子关系责任法上。</w:t>
      </w:r>
      <w:r>
        <w:rPr>
          <w:rFonts w:hint="eastAsia"/>
        </w:rPr>
        <w:t>2002</w:t>
      </w:r>
      <w:r>
        <w:rPr>
          <w:rFonts w:hint="eastAsia"/>
        </w:rPr>
        <w:t>年起，为了给市政府妇女办公室配备先进的技术装备，与美洲农业培训研</w:t>
      </w:r>
      <w:r>
        <w:rPr>
          <w:rFonts w:hint="eastAsia"/>
        </w:rPr>
        <w:t>究所（</w:t>
      </w:r>
      <w:r>
        <w:rPr>
          <w:rFonts w:hint="eastAsia"/>
        </w:rPr>
        <w:t>IICA</w:t>
      </w:r>
      <w:r>
        <w:rPr>
          <w:rFonts w:hint="eastAsia"/>
        </w:rPr>
        <w:t>）共同发起一个示范方案，为农村地区的</w:t>
      </w:r>
      <w:r>
        <w:rPr>
          <w:rFonts w:hint="eastAsia"/>
        </w:rPr>
        <w:t>8</w:t>
      </w:r>
      <w:r>
        <w:rPr>
          <w:rFonts w:hint="eastAsia"/>
        </w:rPr>
        <w:t>个妇女办公室配备了计算机，它们已经能够同因特网和</w:t>
      </w:r>
      <w:r>
        <w:rPr>
          <w:rFonts w:hint="eastAsia"/>
        </w:rPr>
        <w:t>Infoagro</w:t>
      </w:r>
      <w:r>
        <w:rPr>
          <w:rFonts w:hint="eastAsia"/>
        </w:rPr>
        <w:t>数据库（农业信息数据库）实现互联。</w:t>
      </w:r>
    </w:p>
    <w:p w:rsidR="00000000" w:rsidRDefault="00CA422F">
      <w:pPr>
        <w:spacing w:after="240" w:line="360" w:lineRule="exact"/>
        <w:rPr>
          <w:rFonts w:hint="eastAsia"/>
        </w:rPr>
      </w:pPr>
      <w:r>
        <w:rPr>
          <w:rFonts w:hint="eastAsia"/>
        </w:rPr>
        <w:t>179</w:t>
      </w:r>
      <w:r>
        <w:rPr>
          <w:rFonts w:hint="eastAsia"/>
        </w:rPr>
        <w:t>．《市政法》第</w:t>
      </w:r>
      <w:r>
        <w:rPr>
          <w:rFonts w:hint="eastAsia"/>
        </w:rPr>
        <w:t>49</w:t>
      </w:r>
      <w:r>
        <w:rPr>
          <w:rFonts w:hint="eastAsia"/>
        </w:rPr>
        <w:t>条给予市政府妇女地位委员会以合法地位。它规定市政府妇女地位委员会的成员包括市政议员、理事和地方男女领袖。委员会的宗旨是促进在市政当局开展的所有规划和方案中做到尊重妇女权利和促进男女平等与公平。对于市政府妇女办公室而言，在执行计划的过程中，市政府妇女地位委员会是它所拥有的一项最为主要的资源和手段。</w:t>
      </w:r>
    </w:p>
    <w:p w:rsidR="00000000" w:rsidRDefault="00CA422F">
      <w:pPr>
        <w:spacing w:after="240" w:line="360" w:lineRule="exact"/>
        <w:rPr>
          <w:rFonts w:hint="eastAsia"/>
          <w:spacing w:val="4"/>
        </w:rPr>
      </w:pPr>
      <w:r>
        <w:rPr>
          <w:rFonts w:hint="eastAsia"/>
        </w:rPr>
        <w:t>180</w:t>
      </w:r>
      <w:r>
        <w:rPr>
          <w:rFonts w:hint="eastAsia"/>
        </w:rPr>
        <w:t>．</w:t>
      </w:r>
      <w:r>
        <w:rPr>
          <w:rFonts w:hint="eastAsia"/>
          <w:spacing w:val="4"/>
        </w:rPr>
        <w:t>组建市政府妇女办公室和妇女地位</w:t>
      </w:r>
      <w:r>
        <w:rPr>
          <w:rFonts w:hint="eastAsia"/>
          <w:spacing w:val="4"/>
        </w:rPr>
        <w:t>委员会是地方政府（市政当局）民主化进程中的重大进步，同时，也表明在为妇女创造条件促使她们真正行使公民权利与义务方面取得了重要进展。尽管如此，依然有许多问题有待解决，有许多阻力需要克服，其中包括：职能受到限制；在某些市政府妇女办公室和妇女地位委员会中存在着政治干预现象；人手有限，无力满足大量需求；基础设施不足，以及某些市政府妇女办公室技术力量薄弱。为了克服这些障碍，要求加强妇女在将性别观点纳入市政当局的政策与工作的进程中的领导地位——她们是了解、尊重差异的行为者和富有斗争精神的倡导人。为了强化地方一级的权力下</w:t>
      </w:r>
      <w:r>
        <w:rPr>
          <w:rFonts w:hint="eastAsia"/>
          <w:spacing w:val="4"/>
        </w:rPr>
        <w:t>放机制，作为这种努力的一个组成部分，国家妇女研究所，即现在的公民权利义务、领导地位和地方管理司展开了向妇女地位委员会征求意见的进程。大部分意见都集中在市政府妇女委员会推动设立和发展市政府妇女办公室上。</w:t>
      </w:r>
    </w:p>
    <w:p w:rsidR="00000000" w:rsidRDefault="00CA422F">
      <w:pPr>
        <w:spacing w:after="240" w:line="360" w:lineRule="exact"/>
        <w:jc w:val="center"/>
        <w:rPr>
          <w:rFonts w:eastAsia="SimHei" w:hint="eastAsia"/>
          <w:sz w:val="24"/>
        </w:rPr>
      </w:pPr>
      <w:r>
        <w:rPr>
          <w:rFonts w:eastAsia="SimHei" w:hint="eastAsia"/>
          <w:sz w:val="24"/>
        </w:rPr>
        <w:t>专门处</w:t>
      </w:r>
    </w:p>
    <w:p w:rsidR="00000000" w:rsidRDefault="00CA422F">
      <w:pPr>
        <w:spacing w:after="240" w:line="360" w:lineRule="exact"/>
        <w:rPr>
          <w:rFonts w:hint="eastAsia"/>
        </w:rPr>
      </w:pPr>
      <w:r>
        <w:rPr>
          <w:rFonts w:hint="eastAsia"/>
        </w:rPr>
        <w:t>181</w:t>
      </w:r>
      <w:r>
        <w:rPr>
          <w:rFonts w:hint="eastAsia"/>
        </w:rPr>
        <w:t>．</w:t>
      </w:r>
      <w:r>
        <w:rPr>
          <w:rFonts w:hint="eastAsia"/>
        </w:rPr>
        <w:t>1999</w:t>
      </w:r>
      <w:r>
        <w:rPr>
          <w:rFonts w:hint="eastAsia"/>
        </w:rPr>
        <w:t>年</w:t>
      </w:r>
      <w:r>
        <w:rPr>
          <w:rFonts w:hint="eastAsia"/>
        </w:rPr>
        <w:t>11</w:t>
      </w:r>
      <w:r>
        <w:rPr>
          <w:rFonts w:hint="eastAsia"/>
        </w:rPr>
        <w:t>月</w:t>
      </w:r>
      <w:r>
        <w:rPr>
          <w:rFonts w:hint="eastAsia"/>
        </w:rPr>
        <w:t>11</w:t>
      </w:r>
      <w:r>
        <w:rPr>
          <w:rFonts w:hint="eastAsia"/>
        </w:rPr>
        <w:t>日，通过修改《立法议会组织法》第</w:t>
      </w:r>
      <w:r>
        <w:rPr>
          <w:rFonts w:hint="eastAsia"/>
        </w:rPr>
        <w:t>84</w:t>
      </w:r>
      <w:r>
        <w:rPr>
          <w:rFonts w:hint="eastAsia"/>
        </w:rPr>
        <w:t>条关于特别常设委员会的规定，国会设立了妇女问题特别常设委员会。该特别委员会的职能是处理影响妇女的状况或者与她们的社会地位相联系的法律草案并就此发表意见。另外，妇女委员会有权建议修订法律并对政府的运作进行政治监督。</w:t>
      </w:r>
    </w:p>
    <w:p w:rsidR="00000000" w:rsidRDefault="00CA422F">
      <w:pPr>
        <w:spacing w:after="240" w:line="360" w:lineRule="exact"/>
        <w:rPr>
          <w:rFonts w:hint="eastAsia"/>
        </w:rPr>
      </w:pPr>
      <w:r>
        <w:rPr>
          <w:rFonts w:hint="eastAsia"/>
        </w:rPr>
        <w:t>182</w:t>
      </w:r>
      <w:r>
        <w:rPr>
          <w:rFonts w:hint="eastAsia"/>
        </w:rPr>
        <w:t>．在本研究阶段，司</w:t>
      </w:r>
      <w:r>
        <w:rPr>
          <w:rFonts w:hint="eastAsia"/>
        </w:rPr>
        <w:t>法机构确定了多项专门诉讼请求，主要涉及了事实婚姻关系、赡养费、家庭暴力和性暴力引发的各种情况。总检察院负责打击家庭暴力和剥夺性自由犯罪的专门处的运作。为了使这些诉讼请求制度化和具备法律地位，向立法议会提交了多项法律草案。其中一项法律草案已经被搁置，另外两项法律草案获得了通过。由于相关提案被搁置（</w:t>
      </w:r>
      <w:r>
        <w:rPr>
          <w:rFonts w:hint="eastAsia"/>
        </w:rPr>
        <w:t>13050</w:t>
      </w:r>
      <w:r>
        <w:rPr>
          <w:rFonts w:hint="eastAsia"/>
        </w:rPr>
        <w:t>号文档），未能成立负责打击家庭暴力和剥夺性自由犯罪的专门检察机关。尽管如此，关于在圣何塞第二司法辖区、埃雷迪亚斯司法辖区、阿拉胡埃拉第一司法辖区和卡塔戈司法辖区组建家庭暴力法庭的法律草案终于获得通过。这些家</w:t>
      </w:r>
      <w:r>
        <w:rPr>
          <w:rFonts w:hint="eastAsia"/>
        </w:rPr>
        <w:t>庭暴力法庭都位于中心城市，给居住在农村地区的妇女获取法庭援助制造了困难。</w:t>
      </w:r>
    </w:p>
    <w:p w:rsidR="00000000" w:rsidRDefault="00CA422F">
      <w:pPr>
        <w:spacing w:after="240" w:line="360" w:lineRule="exact"/>
        <w:rPr>
          <w:rFonts w:hint="eastAsia"/>
        </w:rPr>
      </w:pPr>
      <w:r>
        <w:rPr>
          <w:rFonts w:hint="eastAsia"/>
        </w:rPr>
        <w:t>183</w:t>
      </w:r>
      <w:r>
        <w:rPr>
          <w:rFonts w:hint="eastAsia"/>
        </w:rPr>
        <w:t>．作为居民保护组织的一个专门机构，妇女保护组织在这个阶段调查了大量有关公共机构侵犯女性公民权利的控告案件。居民保护组织在</w:t>
      </w:r>
      <w:r>
        <w:rPr>
          <w:rFonts w:hint="eastAsia"/>
        </w:rPr>
        <w:t>1998</w:t>
      </w:r>
      <w:r>
        <w:rPr>
          <w:rFonts w:hint="eastAsia"/>
        </w:rPr>
        <w:t>年、</w:t>
      </w:r>
      <w:r>
        <w:rPr>
          <w:rFonts w:hint="eastAsia"/>
        </w:rPr>
        <w:t>1999</w:t>
      </w:r>
      <w:r>
        <w:rPr>
          <w:rFonts w:hint="eastAsia"/>
        </w:rPr>
        <w:t>年、</w:t>
      </w:r>
      <w:r>
        <w:rPr>
          <w:rFonts w:hint="eastAsia"/>
        </w:rPr>
        <w:t>2000</w:t>
      </w:r>
      <w:r>
        <w:rPr>
          <w:rFonts w:hint="eastAsia"/>
        </w:rPr>
        <w:t>年和</w:t>
      </w:r>
      <w:r>
        <w:rPr>
          <w:rFonts w:hint="eastAsia"/>
        </w:rPr>
        <w:t>2001</w:t>
      </w:r>
      <w:r>
        <w:rPr>
          <w:rFonts w:hint="eastAsia"/>
        </w:rPr>
        <w:t>年度相关报告中强调了下列重点问题：</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赡养费</w:t>
      </w:r>
      <w:r>
        <w:rPr>
          <w:rFonts w:hint="eastAsia"/>
        </w:rPr>
        <w:t>。主要理由是：诉讼程序冗长缓慢，在通知被告诉讼进展状况时遇到了困难；与哥斯达黎加银行签订协议的法律事务所数量减少；延误开支票和出票银行的协调问题；缺乏监控措施来防止出现工资结转抽逃或者私人银行的再次结转；查封和扣留赡养程序中的</w:t>
      </w:r>
      <w:r>
        <w:rPr>
          <w:rFonts w:hint="eastAsia"/>
        </w:rPr>
        <w:t>官僚主义作风；确定赡养费金额使用不恰当的机制；以及公共安全部用于促进履行法定权限的有限的、不适宜的手段（如，使用实体滞纳金）。这方面的大部分控告都是针对司法机构和公共安全部提出的。</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针对未成年学生和女警的性骚扰</w:t>
      </w:r>
      <w:r>
        <w:rPr>
          <w:rFonts w:hint="eastAsia"/>
        </w:rPr>
        <w:t>。对公共教育部和公共安全部的行为提出控告，主要案由是因为上述两个政府机关没有依据《反对教育和工作中的性骚扰法》（</w:t>
      </w:r>
      <w:r>
        <w:rPr>
          <w:rFonts w:hint="eastAsia"/>
        </w:rPr>
        <w:t>7476</w:t>
      </w:r>
      <w:r>
        <w:rPr>
          <w:rFonts w:hint="eastAsia"/>
        </w:rPr>
        <w:t>号法律）的要求采取干预行动。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在</w:t>
      </w:r>
      <w:r>
        <w:rPr>
          <w:rFonts w:eastAsia="SimHei" w:hint="eastAsia"/>
        </w:rPr>
        <w:t>家庭暴力</w:t>
      </w:r>
      <w:r>
        <w:rPr>
          <w:rFonts w:hint="eastAsia"/>
        </w:rPr>
        <w:t>方面，控告是针对公共安全部和司法机构的失职提出的。</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涉及</w:t>
      </w:r>
      <w:r>
        <w:rPr>
          <w:rFonts w:eastAsia="SimHei" w:hint="eastAsia"/>
        </w:rPr>
        <w:t>劳动权利受到侵犯</w:t>
      </w:r>
      <w:r>
        <w:rPr>
          <w:rFonts w:hint="eastAsia"/>
        </w:rPr>
        <w:t>的控告与对家庭服务员的歧视行为有关——雇主要求她们每天工作超过</w:t>
      </w:r>
      <w:r>
        <w:rPr>
          <w:rFonts w:hint="eastAsia"/>
        </w:rPr>
        <w:t>12</w:t>
      </w:r>
      <w:r>
        <w:rPr>
          <w:rFonts w:hint="eastAsia"/>
        </w:rPr>
        <w:t>个小</w:t>
      </w:r>
      <w:r>
        <w:rPr>
          <w:rFonts w:hint="eastAsia"/>
        </w:rPr>
        <w:t>时，而且工休和体假时间得不到尊重。家庭服务员的情况与其他男女劳动者的情况有所不同。同样，也有控告劳动和社会保障部面对公共企业和机构触犯怀孕妇女特别保护条例的行为不履行其应尽的职责。作为雇主，公共安全部继续指派女警担任传统性别角色职务，同时，没有提供适宜的、符合妇女地位与身份的基础设施，她们是另一个认为自己的权利受到公共安全部侵害的人群。</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健康</w:t>
      </w:r>
      <w:r>
        <w:rPr>
          <w:rFonts w:hint="eastAsia"/>
        </w:rPr>
        <w:t>。主要的控告理由是：妇科、产科和妇产医院在提供医疗服务的过程中缺乏适宜的基础设施和护理条件（如，拥挤、缺少衣物、生活虐待和言语虐待）；缺乏妇科检查诊断设备；限制行使结扎</w:t>
      </w:r>
      <w:r>
        <w:rPr>
          <w:rFonts w:hint="eastAsia"/>
        </w:rPr>
        <w:t>权和其他生育权利，以及延误对细胞学检查结果进行判断和诊断。这方面的控告是针对哥斯达黎加社会保障处提出的。</w:t>
      </w:r>
    </w:p>
    <w:p w:rsidR="00000000" w:rsidRDefault="00CA422F">
      <w:pPr>
        <w:numPr>
          <w:ilvl w:val="0"/>
          <w:numId w:val="807"/>
        </w:numPr>
        <w:tabs>
          <w:tab w:val="clear" w:pos="720"/>
          <w:tab w:val="num" w:pos="840"/>
        </w:tabs>
        <w:spacing w:after="240" w:line="360" w:lineRule="exact"/>
        <w:ind w:left="840"/>
        <w:rPr>
          <w:rFonts w:hint="eastAsia"/>
        </w:rPr>
      </w:pPr>
      <w:r>
        <w:rPr>
          <w:rFonts w:eastAsia="SimHei" w:hint="eastAsia"/>
        </w:rPr>
        <w:t>被监禁的妇女</w:t>
      </w:r>
      <w:r>
        <w:rPr>
          <w:rFonts w:hint="eastAsia"/>
        </w:rPr>
        <w:t>。案由包括：譬如，不恰当的检查机制；由于缺乏国家儿童慈善会提供的信息与援助，不了解被监禁妇女子女的社会状况；由于只有一间女子监狱，这损害到被监禁妇女同家庭的联系并致使她们服刑期间生活质量下降，以及由于市政当局的困难，无法扩充和改善物质设施。</w:t>
      </w:r>
    </w:p>
    <w:p w:rsidR="00000000" w:rsidRDefault="00CA422F">
      <w:pPr>
        <w:spacing w:after="240" w:line="360" w:lineRule="exact"/>
        <w:rPr>
          <w:rFonts w:hint="eastAsia"/>
        </w:rPr>
      </w:pPr>
      <w:r>
        <w:rPr>
          <w:rFonts w:hint="eastAsia"/>
        </w:rPr>
        <w:t>184</w:t>
      </w:r>
      <w:r>
        <w:rPr>
          <w:rFonts w:hint="eastAsia"/>
        </w:rPr>
        <w:t>．在答复上述控告方面，妇女保护组织面临的一个最严重的限制是由机构性质造成的。作为负责促进和保护公民权的国家机构，面对公民权利遭受政府机构侵犯时，它</w:t>
      </w:r>
      <w:r>
        <w:rPr>
          <w:rFonts w:hint="eastAsia"/>
        </w:rPr>
        <w:t>的裁决对这些政府机构不具备直接限定性。为了努力加强机构职能，妇女保护组织在大部分工作中都致力于促进和普及妇女人权并且开展相关培训工作；与其他机构协调行动，提出法律法规；参加机构间委员会，以及跟进保护妇女权利的法律法规的履行情况。</w:t>
      </w:r>
    </w:p>
    <w:p w:rsidR="00000000" w:rsidRDefault="00CA422F">
      <w:pPr>
        <w:spacing w:after="240" w:line="360" w:lineRule="exact"/>
        <w:rPr>
          <w:rFonts w:hint="eastAsia"/>
        </w:rPr>
      </w:pPr>
      <w:r>
        <w:rPr>
          <w:rFonts w:hint="eastAsia"/>
        </w:rPr>
        <w:t>185</w:t>
      </w:r>
      <w:r>
        <w:rPr>
          <w:rFonts w:hint="eastAsia"/>
        </w:rPr>
        <w:t>．在本报告所涉时期，在强化国家四所公立大学的妇女与性别平等研究中心的专门处方面取得了重大进展。</w:t>
      </w:r>
      <w:r>
        <w:rPr>
          <w:rFonts w:hint="eastAsia"/>
        </w:rPr>
        <w:t>1998</w:t>
      </w:r>
      <w:r>
        <w:rPr>
          <w:rFonts w:hint="eastAsia"/>
        </w:rPr>
        <w:t>年到</w:t>
      </w:r>
      <w:r>
        <w:rPr>
          <w:rFonts w:hint="eastAsia"/>
        </w:rPr>
        <w:t>2001</w:t>
      </w:r>
      <w:r>
        <w:rPr>
          <w:rFonts w:hint="eastAsia"/>
        </w:rPr>
        <w:t>年间，哥斯达黎加大学（</w:t>
      </w:r>
      <w:r>
        <w:rPr>
          <w:rFonts w:hint="eastAsia"/>
        </w:rPr>
        <w:t>UCR</w:t>
      </w:r>
      <w:r>
        <w:rPr>
          <w:rFonts w:hint="eastAsia"/>
        </w:rPr>
        <w:t>）和国立大学（</w:t>
      </w:r>
      <w:r>
        <w:rPr>
          <w:rFonts w:hint="eastAsia"/>
        </w:rPr>
        <w:t>UNA</w:t>
      </w:r>
      <w:r>
        <w:rPr>
          <w:rFonts w:hint="eastAsia"/>
        </w:rPr>
        <w:t>）两所学校的妇女研究所中心的教师（</w:t>
      </w:r>
      <w:r>
        <w:rPr>
          <w:rFonts w:hint="eastAsia"/>
        </w:rPr>
        <w:t>MAEM</w:t>
      </w:r>
      <w:r>
        <w:rPr>
          <w:rFonts w:hint="eastAsia"/>
        </w:rPr>
        <w:t>）承担了编写女童和少女人权状况报告的任务。另外，他们还参与了儿童和少年人</w:t>
      </w:r>
      <w:r>
        <w:rPr>
          <w:rFonts w:hint="eastAsia"/>
        </w:rPr>
        <w:t>权状况报告的撰写工作。同样在这个阶段内，哥斯达黎加学院（</w:t>
      </w:r>
      <w:r>
        <w:rPr>
          <w:rFonts w:hint="eastAsia"/>
        </w:rPr>
        <w:t>ITCR</w:t>
      </w:r>
      <w:r>
        <w:rPr>
          <w:rFonts w:hint="eastAsia"/>
        </w:rPr>
        <w:t>）和国立大学（</w:t>
      </w:r>
      <w:r>
        <w:rPr>
          <w:rFonts w:hint="eastAsia"/>
        </w:rPr>
        <w:t>UNA</w:t>
      </w:r>
      <w:r>
        <w:rPr>
          <w:rFonts w:hint="eastAsia"/>
        </w:rPr>
        <w:t>）在“构筑机会”方案技术处的协助下，负责设计和实施了一项针对怀孕少女和少女母亲的非传统、竞争性职业技术培训方案。</w:t>
      </w:r>
      <w:r>
        <w:rPr>
          <w:rFonts w:hint="eastAsia"/>
        </w:rPr>
        <w:t>1999</w:t>
      </w:r>
      <w:r>
        <w:rPr>
          <w:rFonts w:hint="eastAsia"/>
        </w:rPr>
        <w:t>年，哥斯达黎加大学修订了妇女研究所调查中心跨学科性别研究计划（</w:t>
      </w:r>
      <w:r>
        <w:rPr>
          <w:rFonts w:hint="eastAsia"/>
        </w:rPr>
        <w:t>CIEM-UCR</w:t>
      </w:r>
      <w:r>
        <w:rPr>
          <w:rFonts w:hint="eastAsia"/>
        </w:rPr>
        <w:t>），通过它强化了组织结构，拓展了职能目标和范围，</w:t>
      </w:r>
      <w:r>
        <w:rPr>
          <w:rFonts w:hint="eastAsia"/>
        </w:rPr>
        <w:t>2000</w:t>
      </w:r>
      <w:r>
        <w:rPr>
          <w:rFonts w:hint="eastAsia"/>
        </w:rPr>
        <w:t>年，国家函授大学加入了促进两性平等机构间委员会。在全国四所公立大学中，它是当时唯一一所没有这方面的专门机制的学校。</w:t>
      </w:r>
      <w:r>
        <w:rPr>
          <w:rFonts w:hint="eastAsia"/>
        </w:rPr>
        <w:t>2001</w:t>
      </w:r>
      <w:r>
        <w:rPr>
          <w:rFonts w:hint="eastAsia"/>
        </w:rPr>
        <w:t>年，社会救助混和研究所委托（</w:t>
      </w:r>
      <w:r>
        <w:rPr>
          <w:rFonts w:hint="eastAsia"/>
        </w:rPr>
        <w:t>IEM-UCR</w:t>
      </w:r>
      <w:r>
        <w:rPr>
          <w:rFonts w:hint="eastAsia"/>
        </w:rPr>
        <w:t>）对“构筑</w:t>
      </w:r>
      <w:r>
        <w:rPr>
          <w:rFonts w:hint="eastAsia"/>
        </w:rPr>
        <w:t>机会”方案的增强生活能力项目的影响、后续行动和系统性进行评估。</w:t>
      </w:r>
    </w:p>
    <w:p w:rsidR="00000000" w:rsidRDefault="00CA422F">
      <w:pPr>
        <w:spacing w:after="240" w:line="360" w:lineRule="exact"/>
        <w:jc w:val="center"/>
        <w:rPr>
          <w:rFonts w:eastAsia="SimHei" w:hint="eastAsia"/>
          <w:sz w:val="24"/>
        </w:rPr>
      </w:pPr>
      <w:r>
        <w:rPr>
          <w:rFonts w:eastAsia="SimHei" w:hint="eastAsia"/>
          <w:sz w:val="24"/>
        </w:rPr>
        <w:t>为编制计划和开展评估工作按照性别分类生成及传播数据和资料</w:t>
      </w:r>
    </w:p>
    <w:p w:rsidR="00000000" w:rsidRDefault="00CA422F">
      <w:pPr>
        <w:spacing w:after="240" w:line="360" w:lineRule="exact"/>
        <w:rPr>
          <w:rFonts w:hint="eastAsia"/>
        </w:rPr>
      </w:pPr>
      <w:r>
        <w:rPr>
          <w:rFonts w:hint="eastAsia"/>
        </w:rPr>
        <w:t>186</w:t>
      </w:r>
      <w:r>
        <w:rPr>
          <w:rFonts w:hint="eastAsia"/>
        </w:rPr>
        <w:t>，在妇女保护组织的倡议下，面对由妇女提出的多起针对</w:t>
      </w:r>
      <w:r>
        <w:rPr>
          <w:rFonts w:hint="eastAsia"/>
        </w:rPr>
        <w:t>2000</w:t>
      </w:r>
      <w:r>
        <w:rPr>
          <w:rFonts w:hint="eastAsia"/>
        </w:rPr>
        <w:t>年人口普查问卷中使用“户主”概念的控告，组建了一个机构间委员会，其成员由来自下列机构的代表组成：妇女保护组织、国家妇女研究所、国家统计和人口普查协会（</w:t>
      </w:r>
      <w:r>
        <w:rPr>
          <w:rFonts w:hint="eastAsia"/>
        </w:rPr>
        <w:t>INEC</w:t>
      </w:r>
      <w:r>
        <w:rPr>
          <w:rFonts w:hint="eastAsia"/>
        </w:rPr>
        <w:t>）、国立大学（人口研究所（</w:t>
      </w:r>
      <w:r>
        <w:rPr>
          <w:rFonts w:hint="eastAsia"/>
        </w:rPr>
        <w:t>IOESPO</w:t>
      </w:r>
      <w:r>
        <w:rPr>
          <w:rFonts w:hint="eastAsia"/>
        </w:rPr>
        <w:t>））和哥斯达黎加大学（妇女研究调查中心（</w:t>
      </w:r>
      <w:r>
        <w:rPr>
          <w:rFonts w:hint="eastAsia"/>
        </w:rPr>
        <w:t>CIEM-UCR</w:t>
      </w:r>
      <w:r>
        <w:rPr>
          <w:rFonts w:hint="eastAsia"/>
        </w:rPr>
        <w:t>））。该委员会正在根据</w:t>
      </w:r>
      <w:r>
        <w:rPr>
          <w:rFonts w:hint="eastAsia"/>
        </w:rPr>
        <w:t>2000</w:t>
      </w:r>
      <w:r>
        <w:rPr>
          <w:rFonts w:hint="eastAsia"/>
        </w:rPr>
        <w:t>年人口普查的数据编制对性别问题有敏感认识的指</w:t>
      </w:r>
      <w:r>
        <w:rPr>
          <w:rFonts w:hint="eastAsia"/>
        </w:rPr>
        <w:t>标，并且筹备出版这一成果。它还提出建议，要求引入对性别差异有敏感认识的可操作性定义，填补序言中提到的资料空白。</w:t>
      </w:r>
    </w:p>
    <w:p w:rsidR="00000000" w:rsidRDefault="00CA422F">
      <w:pPr>
        <w:spacing w:after="240" w:line="360" w:lineRule="exact"/>
        <w:jc w:val="center"/>
        <w:rPr>
          <w:rFonts w:eastAsia="SimHei"/>
          <w:sz w:val="24"/>
        </w:rPr>
      </w:pPr>
      <w:r>
        <w:br w:type="page"/>
      </w:r>
      <w:r>
        <w:rPr>
          <w:rFonts w:eastAsia="SimHei" w:hint="eastAsia"/>
          <w:sz w:val="24"/>
        </w:rPr>
        <w:t>第四条：为促进男女事实上的平等而采取的暂行特别措施</w:t>
      </w:r>
    </w:p>
    <w:p w:rsidR="00000000" w:rsidRDefault="00CA422F">
      <w:pPr>
        <w:tabs>
          <w:tab w:val="left" w:pos="612"/>
        </w:tabs>
        <w:spacing w:after="240" w:line="360" w:lineRule="exact"/>
        <w:ind w:left="1"/>
        <w:rPr>
          <w:rFonts w:ascii="KaiTi_GB2312" w:eastAsia="KaiTi_GB2312" w:hAnsi="SimSun" w:hint="eastAsia"/>
        </w:rPr>
      </w:pPr>
    </w:p>
    <w:p w:rsidR="00000000" w:rsidRDefault="00CA422F">
      <w:pPr>
        <w:tabs>
          <w:tab w:val="left" w:pos="612"/>
        </w:tabs>
        <w:spacing w:after="240" w:line="360" w:lineRule="exact"/>
        <w:ind w:left="1"/>
        <w:rPr>
          <w:rFonts w:ascii="KaiTi_GB2312" w:eastAsia="KaiTi_GB2312" w:hAnsi="SimSun" w:hint="eastAsia"/>
        </w:rPr>
      </w:pPr>
      <w:r>
        <w:rPr>
          <w:rFonts w:ascii="KaiTi_GB2312" w:eastAsia="KaiTi_GB2312" w:hAnsi="SimSun" w:hint="eastAsia"/>
        </w:rPr>
        <w:t>1</w:t>
      </w:r>
      <w:r>
        <w:rPr>
          <w:rFonts w:ascii="KaiTi_GB2312" w:eastAsia="KaiTi_GB2312" w:hAnsi="SimSun" w:hint="eastAsia"/>
        </w:rPr>
        <w:t>．缔约各国为加速实现男女事实上的平等而采取的暂行特别措施，不得视为本公约所指的歧视，亦不得因此导致维持不平等和分别的标准；这些措施应在男女机会和待遇平等的目的达到之后，停止采用。</w:t>
      </w:r>
    </w:p>
    <w:p w:rsidR="00000000" w:rsidRDefault="00CA422F">
      <w:pPr>
        <w:spacing w:after="240" w:line="360" w:lineRule="exact"/>
        <w:rPr>
          <w:rFonts w:ascii="KaiTi_GB2312" w:eastAsia="KaiTi_GB2312" w:hAnsi="SimSun"/>
        </w:rPr>
      </w:pPr>
      <w:r>
        <w:rPr>
          <w:rFonts w:ascii="KaiTi_GB2312" w:eastAsia="KaiTi_GB2312" w:hAnsi="SimSun" w:hint="eastAsia"/>
        </w:rPr>
        <w:t>2</w:t>
      </w:r>
      <w:r>
        <w:rPr>
          <w:rFonts w:ascii="KaiTi_GB2312" w:eastAsia="KaiTi_GB2312" w:hAnsi="SimSun" w:hint="eastAsia"/>
        </w:rPr>
        <w:t>．缔约各国为保护母性而采取的特别措施，包括本公约所列各项措施，不得视为歧视。</w:t>
      </w:r>
    </w:p>
    <w:p w:rsidR="00000000" w:rsidRDefault="00CA422F">
      <w:pPr>
        <w:pStyle w:val="Date"/>
        <w:spacing w:after="240" w:line="360" w:lineRule="exact"/>
        <w:rPr>
          <w:rFonts w:hint="eastAsia"/>
        </w:rPr>
      </w:pPr>
    </w:p>
    <w:p w:rsidR="00000000" w:rsidRDefault="00CA422F">
      <w:pPr>
        <w:spacing w:after="240" w:line="360" w:lineRule="exact"/>
        <w:rPr>
          <w:rFonts w:hint="eastAsia"/>
        </w:rPr>
      </w:pPr>
      <w:r>
        <w:t>187</w:t>
      </w:r>
      <w:r>
        <w:rPr>
          <w:rFonts w:hint="eastAsia"/>
        </w:rPr>
        <w:t>．正如初次报告第</w:t>
      </w:r>
      <w:r>
        <w:rPr>
          <w:rFonts w:hint="eastAsia"/>
        </w:rPr>
        <w:t>211</w:t>
      </w:r>
      <w:r>
        <w:rPr>
          <w:rFonts w:hint="eastAsia"/>
        </w:rPr>
        <w:t>段指出的那样，哥斯达黎加最初采取的积极措施包括在</w:t>
      </w:r>
      <w:r>
        <w:rPr>
          <w:rFonts w:hint="eastAsia"/>
        </w:rPr>
        <w:t>71</w:t>
      </w:r>
      <w:r>
        <w:rPr>
          <w:rFonts w:hint="eastAsia"/>
        </w:rPr>
        <w:t>42</w:t>
      </w:r>
      <w:r>
        <w:rPr>
          <w:rFonts w:hint="eastAsia"/>
        </w:rPr>
        <w:t>号“促进妇女社会平等法”的规定之中。该法律提到了女性参政的保障机制</w:t>
      </w:r>
      <w:r>
        <w:rPr>
          <w:rStyle w:val="FootnoteReference"/>
        </w:rPr>
        <w:footnoteReference w:customMarkFollows="1" w:id="14"/>
        <w:t>13</w:t>
      </w:r>
      <w:r>
        <w:rPr>
          <w:rFonts w:hint="eastAsia"/>
        </w:rPr>
        <w:t>和保护事实婚姻关系中的女性应该享有的各项权利。自该法律颁布以来，哥斯达黎加一直都在忙于确定那些妇女仍然遭受不平等、但却必须推动机遇保障措施的部门和领域。从这个意义上来说，哥斯达黎加政府在本报告研究期间已经采取了不少旨在贯彻实施本公约和《北京世界行动纲要》的政策和措施：采取有效措施保障妇女在权力机关、领导职位和生产资料方面享有平等获取和全面参与的权利；通过政策、管理实践和服务措施来保障贫困妇女在经济、教育、卫生和就业等方面享有的平等权利</w:t>
      </w:r>
      <w:r>
        <w:rPr>
          <w:rFonts w:hint="eastAsia"/>
        </w:rPr>
        <w:t>和资源获取权利；采取特别措施以保障未成年和成年的女性在孕期应该享受的权利。</w:t>
      </w:r>
    </w:p>
    <w:p w:rsidR="00000000" w:rsidRDefault="00CA422F">
      <w:pPr>
        <w:spacing w:after="240" w:line="360" w:lineRule="exact"/>
        <w:jc w:val="center"/>
        <w:rPr>
          <w:rFonts w:eastAsia="SimHei" w:hint="eastAsia"/>
          <w:sz w:val="24"/>
        </w:rPr>
      </w:pPr>
      <w:r>
        <w:rPr>
          <w:rFonts w:eastAsia="SimHei" w:hint="eastAsia"/>
          <w:sz w:val="24"/>
        </w:rPr>
        <w:t>旨在加速政治范围内男女平等的积极措施</w:t>
      </w:r>
    </w:p>
    <w:p w:rsidR="00000000" w:rsidRDefault="00CA422F">
      <w:pPr>
        <w:spacing w:after="240" w:line="360" w:lineRule="exact"/>
        <w:rPr>
          <w:rFonts w:hint="eastAsia"/>
        </w:rPr>
      </w:pPr>
      <w:r>
        <w:rPr>
          <w:rFonts w:hint="eastAsia"/>
        </w:rPr>
        <w:t>188</w:t>
      </w:r>
      <w:r>
        <w:rPr>
          <w:rFonts w:hint="eastAsia"/>
        </w:rPr>
        <w:t>．由于《选举法》相应条款撰写得不够完善而且缺乏精确性，直到《</w:t>
      </w:r>
      <w:r>
        <w:rPr>
          <w:rFonts w:hint="eastAsia"/>
        </w:rPr>
        <w:t>1996</w:t>
      </w:r>
      <w:r>
        <w:rPr>
          <w:rFonts w:hint="eastAsia"/>
        </w:rPr>
        <w:t>年选举法修正案》获得通过之后，妇女的政治参与最低额度制度才可能设立。该法律中使用诸如“有效机制”和“有效比例”等词汇为法律的执行和贯彻带来了一定的困难。</w:t>
      </w:r>
    </w:p>
    <w:p w:rsidR="00000000" w:rsidRDefault="00CA422F">
      <w:pPr>
        <w:spacing w:after="240" w:line="360" w:lineRule="exact"/>
        <w:rPr>
          <w:rFonts w:hint="eastAsia"/>
        </w:rPr>
      </w:pPr>
      <w:r>
        <w:rPr>
          <w:rFonts w:hint="eastAsia"/>
        </w:rPr>
        <w:t>189</w:t>
      </w:r>
      <w:r>
        <w:rPr>
          <w:rFonts w:hint="eastAsia"/>
        </w:rPr>
        <w:t>．正是由于</w:t>
      </w:r>
      <w:r>
        <w:rPr>
          <w:rFonts w:hint="eastAsia"/>
        </w:rPr>
        <w:t>7653</w:t>
      </w:r>
      <w:r>
        <w:rPr>
          <w:rFonts w:hint="eastAsia"/>
        </w:rPr>
        <w:t>号法律通过的选举法修正案，最低额度制度才得以建立并要求所有政党必须遵从这项制度。该项修正案为女性能够更加平等地成为民选代表并担任决策职位奠定了基础</w:t>
      </w:r>
      <w:r>
        <w:rPr>
          <w:rFonts w:hint="eastAsia"/>
        </w:rPr>
        <w:t>。此外，该修正案还意味着司法领域取得了一项重大进展，为男女之间的平等和公正以及这方面的讨论提供了有利的帮助。</w:t>
      </w:r>
    </w:p>
    <w:p w:rsidR="00000000" w:rsidRDefault="00CA422F">
      <w:pPr>
        <w:spacing w:after="240" w:line="360" w:lineRule="exact"/>
        <w:rPr>
          <w:rFonts w:hint="eastAsia"/>
        </w:rPr>
      </w:pPr>
      <w:r>
        <w:rPr>
          <w:rFonts w:hint="eastAsia"/>
        </w:rPr>
        <w:t>190</w:t>
      </w:r>
      <w:r>
        <w:rPr>
          <w:rFonts w:hint="eastAsia"/>
        </w:rPr>
        <w:t>．然而，《选举法修正案》还存在着一定的空白。一方面，虽然没有明确表示</w:t>
      </w:r>
      <w:r>
        <w:rPr>
          <w:rFonts w:hint="eastAsia"/>
        </w:rPr>
        <w:t>40%</w:t>
      </w:r>
      <w:r>
        <w:rPr>
          <w:rFonts w:hint="eastAsia"/>
        </w:rPr>
        <w:t>的最低额度应该适用于候选人席位，但是，该项规定在实际贯彻过程中却出现了将这一最小额度推向遥不可及或根本无效的席位的趋势。另一方面，没有明确说明公债中拨给妇女政治培训的费用比例，对那些没有履行《选举法》有关规定的政党更没有建立相应的惩罚制度。</w:t>
      </w:r>
    </w:p>
    <w:p w:rsidR="00000000" w:rsidRDefault="00CA422F">
      <w:pPr>
        <w:spacing w:after="240" w:line="360" w:lineRule="exact"/>
        <w:rPr>
          <w:rFonts w:hint="eastAsia"/>
        </w:rPr>
      </w:pPr>
      <w:r>
        <w:rPr>
          <w:rFonts w:hint="eastAsia"/>
        </w:rPr>
        <w:t>191</w:t>
      </w:r>
      <w:r>
        <w:rPr>
          <w:rFonts w:hint="eastAsia"/>
        </w:rPr>
        <w:t>．上述假象使得《选举法》关于妇女参政的最低额度的规定根本没有体现在</w:t>
      </w:r>
      <w:r>
        <w:rPr>
          <w:rFonts w:hint="eastAsia"/>
        </w:rPr>
        <w:t>1998</w:t>
      </w:r>
      <w:r>
        <w:rPr>
          <w:rFonts w:hint="eastAsia"/>
        </w:rPr>
        <w:t>年大选中的各个政党的“候选人席位”的投票选举过程中。虽然说立法议会中的女性代表人数的确有所上升，但是仍然没有达到选举中规定的最低额度。</w:t>
      </w:r>
    </w:p>
    <w:p w:rsidR="00000000" w:rsidRDefault="00CA422F">
      <w:pPr>
        <w:spacing w:after="240" w:line="360" w:lineRule="exact"/>
        <w:rPr>
          <w:rFonts w:hint="eastAsia"/>
        </w:rPr>
      </w:pPr>
      <w:r>
        <w:rPr>
          <w:rFonts w:hint="eastAsia"/>
        </w:rPr>
        <w:t>192</w:t>
      </w:r>
      <w:r>
        <w:rPr>
          <w:rFonts w:hint="eastAsia"/>
        </w:rPr>
        <w:t>．国家妇女研究所在这一时期内向选举最高法庭递交了三份咨询意见，恳请最高选举法庭重新审议有关决议。此次协商的结果如下：</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关于妇女参政额度的</w:t>
      </w:r>
      <w:r>
        <w:rPr>
          <w:rFonts w:hint="eastAsia"/>
          <w:lang w:val="es-ES"/>
        </w:rPr>
        <w:t>1863</w:t>
      </w:r>
      <w:r>
        <w:rPr>
          <w:rFonts w:hint="eastAsia"/>
          <w:lang w:val="es-ES"/>
        </w:rPr>
        <w:t>号决议于</w:t>
      </w:r>
      <w:r>
        <w:rPr>
          <w:rFonts w:hint="eastAsia"/>
          <w:lang w:val="es-ES"/>
        </w:rPr>
        <w:t>1999</w:t>
      </w:r>
      <w:r>
        <w:rPr>
          <w:rFonts w:hint="eastAsia"/>
          <w:lang w:val="es-ES"/>
        </w:rPr>
        <w:t>年</w:t>
      </w:r>
      <w:r>
        <w:rPr>
          <w:rFonts w:hint="eastAsia"/>
          <w:lang w:val="es-ES"/>
        </w:rPr>
        <w:t>9</w:t>
      </w:r>
      <w:r>
        <w:rPr>
          <w:rFonts w:hint="eastAsia"/>
          <w:lang w:val="es-ES"/>
        </w:rPr>
        <w:t>月</w:t>
      </w:r>
      <w:r>
        <w:rPr>
          <w:rFonts w:hint="eastAsia"/>
          <w:lang w:val="es-ES"/>
        </w:rPr>
        <w:t>23</w:t>
      </w:r>
      <w:r>
        <w:rPr>
          <w:rFonts w:hint="eastAsia"/>
          <w:lang w:val="es-ES"/>
        </w:rPr>
        <w:t>日获得通过。选举最高法庭明确规定最低额度应该用于候选人席位，各政党必须在各自的机制结构内推行最低额度制度，并按照规定的方式和比例有效保障妇女的参与。作为补充，还制订了相应的惩罚措施，对那些不履行上述规</w:t>
      </w:r>
      <w:r>
        <w:rPr>
          <w:rFonts w:hint="eastAsia"/>
          <w:lang w:val="es-ES"/>
        </w:rPr>
        <w:t>定的政党进行严厉的惩处。</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关于候选人席位（即那些事实上极有可能被选中的席位）的定义和候选人席位计算方法的</w:t>
      </w:r>
      <w:r>
        <w:rPr>
          <w:rFonts w:hint="eastAsia"/>
          <w:lang w:val="es-ES"/>
        </w:rPr>
        <w:t>2837</w:t>
      </w:r>
      <w:r>
        <w:rPr>
          <w:rFonts w:hint="eastAsia"/>
          <w:lang w:val="es-ES"/>
        </w:rPr>
        <w:t>号决议于</w:t>
      </w:r>
      <w:r>
        <w:rPr>
          <w:rFonts w:hint="eastAsia"/>
          <w:lang w:val="es-ES"/>
        </w:rPr>
        <w:t>1999</w:t>
      </w:r>
      <w:r>
        <w:rPr>
          <w:rFonts w:hint="eastAsia"/>
          <w:lang w:val="es-ES"/>
        </w:rPr>
        <w:t>年</w:t>
      </w:r>
      <w:r>
        <w:rPr>
          <w:rFonts w:hint="eastAsia"/>
          <w:lang w:val="es-ES"/>
        </w:rPr>
        <w:t>12</w:t>
      </w:r>
      <w:r>
        <w:rPr>
          <w:rFonts w:hint="eastAsia"/>
          <w:lang w:val="es-ES"/>
        </w:rPr>
        <w:t>月</w:t>
      </w:r>
      <w:r>
        <w:rPr>
          <w:rFonts w:hint="eastAsia"/>
          <w:lang w:val="es-ES"/>
        </w:rPr>
        <w:t>12</w:t>
      </w:r>
      <w:r>
        <w:rPr>
          <w:rFonts w:hint="eastAsia"/>
          <w:lang w:val="es-ES"/>
        </w:rPr>
        <w:t>日获得通过。最高</w:t>
      </w:r>
      <w:r>
        <w:rPr>
          <w:rFonts w:hint="eastAsia"/>
        </w:rPr>
        <w:t>选举</w:t>
      </w:r>
      <w:r>
        <w:rPr>
          <w:rFonts w:hint="eastAsia"/>
          <w:lang w:val="es-ES"/>
        </w:rPr>
        <w:t>法庭规定候选人席位应该按照“历史平均数”，即“根据政治团体多年来参与竞选活动中同实际被选中人数极为相近的选举席位的结果计算出平均数……”来确定。</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关于市政议员和国会议员席位中的</w:t>
      </w:r>
      <w:r>
        <w:rPr>
          <w:rFonts w:hint="eastAsia"/>
        </w:rPr>
        <w:t>最低</w:t>
      </w:r>
      <w:r>
        <w:rPr>
          <w:rFonts w:hint="eastAsia"/>
          <w:lang w:val="es-ES"/>
        </w:rPr>
        <w:t>额度制度的总体贯彻情况的</w:t>
      </w:r>
      <w:r>
        <w:rPr>
          <w:rFonts w:hint="eastAsia"/>
          <w:lang w:val="es-ES"/>
        </w:rPr>
        <w:t>804-E-2000</w:t>
      </w:r>
      <w:r>
        <w:rPr>
          <w:rFonts w:hint="eastAsia"/>
          <w:lang w:val="es-ES"/>
        </w:rPr>
        <w:t>号决议于</w:t>
      </w:r>
      <w:r>
        <w:rPr>
          <w:rFonts w:hint="eastAsia"/>
          <w:lang w:val="es-ES"/>
        </w:rPr>
        <w:t>2000</w:t>
      </w:r>
      <w:r>
        <w:rPr>
          <w:rFonts w:hint="eastAsia"/>
          <w:lang w:val="es-ES"/>
        </w:rPr>
        <w:t>年</w:t>
      </w:r>
      <w:r>
        <w:rPr>
          <w:rFonts w:hint="eastAsia"/>
          <w:lang w:val="es-ES"/>
        </w:rPr>
        <w:t>5</w:t>
      </w:r>
      <w:r>
        <w:rPr>
          <w:rFonts w:hint="eastAsia"/>
          <w:lang w:val="es-ES"/>
        </w:rPr>
        <w:t>月</w:t>
      </w:r>
      <w:r>
        <w:rPr>
          <w:rFonts w:hint="eastAsia"/>
          <w:lang w:val="es-ES"/>
        </w:rPr>
        <w:t>2</w:t>
      </w:r>
      <w:r>
        <w:rPr>
          <w:rFonts w:hint="eastAsia"/>
          <w:lang w:val="es-ES"/>
        </w:rPr>
        <w:t>日获得通过。</w:t>
      </w:r>
    </w:p>
    <w:p w:rsidR="00000000" w:rsidRDefault="00CA422F">
      <w:pPr>
        <w:spacing w:after="240" w:line="360" w:lineRule="exact"/>
        <w:rPr>
          <w:rFonts w:hint="eastAsia"/>
          <w:lang w:val="es-ES"/>
        </w:rPr>
      </w:pPr>
      <w:r>
        <w:rPr>
          <w:rFonts w:hint="eastAsia"/>
          <w:lang w:val="es-ES"/>
        </w:rPr>
        <w:t>193</w:t>
      </w:r>
      <w:r>
        <w:rPr>
          <w:rFonts w:hint="eastAsia"/>
          <w:lang w:val="es-ES"/>
        </w:rPr>
        <w:t>．上述决议的通过为各个政党内部妇女参政的最低额度及其结构调整等方面的不同的实施程度带</w:t>
      </w:r>
      <w:r>
        <w:rPr>
          <w:rFonts w:hint="eastAsia"/>
          <w:lang w:val="es-ES"/>
        </w:rPr>
        <w:t>来了必要的定义和协商过程。这一过程将全面披露该最低额度的有效执行。并最终导致妇女与随后无法获得候选人席位的实施过程中的复杂条件的抵触现象。</w:t>
      </w:r>
      <w:r>
        <w:rPr>
          <w:rFonts w:hint="eastAsia"/>
          <w:lang w:val="es-ES"/>
        </w:rPr>
        <w:t>2002</w:t>
      </w:r>
      <w:r>
        <w:rPr>
          <w:rFonts w:hint="eastAsia"/>
          <w:lang w:val="es-ES"/>
        </w:rPr>
        <w:t>年</w:t>
      </w:r>
      <w:r>
        <w:rPr>
          <w:rFonts w:hint="eastAsia"/>
          <w:lang w:val="es-ES"/>
        </w:rPr>
        <w:t>2</w:t>
      </w:r>
      <w:r>
        <w:rPr>
          <w:rFonts w:hint="eastAsia"/>
          <w:lang w:val="es-ES"/>
        </w:rPr>
        <w:t>月大选的结果表明，最低额度这一历史性的进步方法无法确实保障妇女获得候选人席位，因为该项规定无法控制被选举人行为中出现的变化，正如这次选举中出现的那样。只有公民行动党在投票选举过程中采用了男女交替方法。在其它任何政党的选举中，妇女能够获得候选人资格的都是一些无关紧要的席位，而且大部分妇女最终都无法当选。</w:t>
      </w:r>
    </w:p>
    <w:p w:rsidR="00000000" w:rsidRDefault="00CA422F">
      <w:pPr>
        <w:spacing w:after="240" w:line="360" w:lineRule="exact"/>
        <w:rPr>
          <w:rFonts w:hint="eastAsia"/>
          <w:lang w:val="es-ES"/>
        </w:rPr>
      </w:pPr>
      <w:r>
        <w:rPr>
          <w:rFonts w:hint="eastAsia"/>
          <w:lang w:val="es-ES"/>
        </w:rPr>
        <w:t>194</w:t>
      </w:r>
      <w:r>
        <w:rPr>
          <w:rFonts w:hint="eastAsia"/>
          <w:lang w:val="es-ES"/>
        </w:rPr>
        <w:t>．对上届大选的数据进行的分析表明，妇女人数在立法议会</w:t>
      </w:r>
      <w:r>
        <w:rPr>
          <w:rFonts w:hint="eastAsia"/>
          <w:lang w:val="es-ES"/>
        </w:rPr>
        <w:t>（</w:t>
      </w:r>
      <w:r>
        <w:rPr>
          <w:rFonts w:hint="eastAsia"/>
          <w:lang w:val="es-ES"/>
        </w:rPr>
        <w:t>35.08%</w:t>
      </w:r>
      <w:r>
        <w:rPr>
          <w:rFonts w:hint="eastAsia"/>
          <w:lang w:val="es-ES"/>
        </w:rPr>
        <w:t>）和市政议会（市政议员中直接当选的妇女占</w:t>
      </w:r>
      <w:r>
        <w:rPr>
          <w:rFonts w:hint="eastAsia"/>
          <w:lang w:val="es-ES"/>
        </w:rPr>
        <w:t>46.7%</w:t>
      </w:r>
      <w:r>
        <w:rPr>
          <w:rFonts w:hint="eastAsia"/>
          <w:lang w:val="es-ES"/>
        </w:rPr>
        <w:t>，候补议员中的女性比例为</w:t>
      </w:r>
      <w:r>
        <w:rPr>
          <w:rFonts w:hint="eastAsia"/>
          <w:lang w:val="es-ES"/>
        </w:rPr>
        <w:t>53.3%</w:t>
      </w:r>
      <w:r>
        <w:rPr>
          <w:rFonts w:hint="eastAsia"/>
          <w:lang w:val="es-ES"/>
        </w:rPr>
        <w:t>）中的人数有所增加，但是这同妇女按照规定参与“候选人”席位的数量仍然存在一定的差距。至于国会议员席位方面，妇女代表席位勉强能达到</w:t>
      </w:r>
      <w:r>
        <w:rPr>
          <w:rFonts w:hint="eastAsia"/>
          <w:lang w:val="es-ES"/>
        </w:rPr>
        <w:t>40%</w:t>
      </w:r>
      <w:r>
        <w:rPr>
          <w:rFonts w:hint="eastAsia"/>
          <w:lang w:val="es-ES"/>
        </w:rPr>
        <w:t>的最低额度。虽然女性取得了重大成就，但是女性个人和集体为此做出的努力和花费的金钱同她们的所得实在相差太大。</w:t>
      </w:r>
    </w:p>
    <w:p w:rsidR="00000000" w:rsidRDefault="00CA422F">
      <w:pPr>
        <w:spacing w:after="240" w:line="360" w:lineRule="exact"/>
        <w:rPr>
          <w:rFonts w:hint="eastAsia"/>
          <w:lang w:val="es-ES"/>
        </w:rPr>
      </w:pPr>
      <w:r>
        <w:rPr>
          <w:rFonts w:hint="eastAsia"/>
          <w:lang w:val="es-ES"/>
        </w:rPr>
        <w:t>195</w:t>
      </w:r>
      <w:r>
        <w:rPr>
          <w:rFonts w:hint="eastAsia"/>
          <w:lang w:val="es-ES"/>
        </w:rPr>
        <w:t>．应该重点指出的是，选举最高法庭在</w:t>
      </w:r>
      <w:r>
        <w:rPr>
          <w:rFonts w:hint="eastAsia"/>
          <w:lang w:val="es-ES"/>
        </w:rPr>
        <w:t>2002</w:t>
      </w:r>
      <w:r>
        <w:rPr>
          <w:rFonts w:hint="eastAsia"/>
          <w:lang w:val="es-ES"/>
        </w:rPr>
        <w:t>年选举过程中为保障妇女参政的最低额度的贯彻执行，特别是为保障民选席位中该最低额度的落实，在监督和验证方面做出了巨大努力。</w:t>
      </w:r>
    </w:p>
    <w:p w:rsidR="00000000" w:rsidRDefault="00CA422F">
      <w:pPr>
        <w:spacing w:after="240" w:line="360" w:lineRule="exact"/>
        <w:rPr>
          <w:rFonts w:hint="eastAsia"/>
          <w:lang w:val="es-ES"/>
        </w:rPr>
      </w:pPr>
      <w:r>
        <w:rPr>
          <w:rFonts w:hint="eastAsia"/>
          <w:lang w:val="es-ES"/>
        </w:rPr>
        <w:t>1</w:t>
      </w:r>
      <w:r>
        <w:rPr>
          <w:rFonts w:hint="eastAsia"/>
          <w:lang w:val="es-ES"/>
        </w:rPr>
        <w:t>96</w:t>
      </w:r>
      <w:r>
        <w:rPr>
          <w:rFonts w:hint="eastAsia"/>
          <w:lang w:val="es-ES"/>
        </w:rPr>
        <w:t>．最近两次选举过程中积累的经验表明，只有促进各类司法修正案的创建，才能真正解决前面提到的各类阻挠。在贯彻本公约这一方面的有关规定时，两项极为重要的立法草案已经进入立法流程中：</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《政党法修改草案》（编号</w:t>
      </w:r>
      <w:r>
        <w:rPr>
          <w:rFonts w:hint="eastAsia"/>
          <w:lang w:val="es-ES"/>
        </w:rPr>
        <w:t>13862</w:t>
      </w:r>
      <w:r>
        <w:rPr>
          <w:rFonts w:hint="eastAsia"/>
          <w:lang w:val="es-ES"/>
        </w:rPr>
        <w:t>）将在政党内部和民选席位等政党结构内推行妇女</w:t>
      </w:r>
      <w:r>
        <w:rPr>
          <w:rFonts w:hint="eastAsia"/>
          <w:lang w:val="es-ES"/>
        </w:rPr>
        <w:t>40%</w:t>
      </w:r>
      <w:r>
        <w:rPr>
          <w:rFonts w:hint="eastAsia"/>
          <w:lang w:val="es-ES"/>
        </w:rPr>
        <w:t>的最低参与额度，作为补充内容写入有关规定之中。此外，告诫各个政党都应该对上述组织中的妇女进行政治培训，同时将《</w:t>
      </w:r>
      <w:r>
        <w:rPr>
          <w:rFonts w:hint="eastAsia"/>
          <w:lang w:val="es-ES"/>
        </w:rPr>
        <w:t>1996</w:t>
      </w:r>
      <w:r>
        <w:rPr>
          <w:rFonts w:hint="eastAsia"/>
          <w:lang w:val="es-ES"/>
        </w:rPr>
        <w:t>年选举法修正案》中目前含混不清的规定内容进行明确的阐释。</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《选举法修正草案》，试图采取一项有效措施，保障政党结构、投票选举、选举候</w:t>
      </w:r>
      <w:r>
        <w:rPr>
          <w:rFonts w:hint="eastAsia"/>
          <w:lang w:val="es-ES"/>
        </w:rPr>
        <w:t>选人的提名或任命在下列八个职位的任命中达到女性的最低参与额度达到</w:t>
      </w:r>
      <w:r>
        <w:rPr>
          <w:rFonts w:hint="eastAsia"/>
          <w:lang w:val="es-ES"/>
        </w:rPr>
        <w:t>40%</w:t>
      </w:r>
      <w:r>
        <w:rPr>
          <w:rFonts w:hint="eastAsia"/>
          <w:lang w:val="es-ES"/>
        </w:rPr>
        <w:t>这一标准：部长、副部长、办公室主任、局长、执行主席、领导委员会、自治机构的经理和副经理。</w:t>
      </w:r>
    </w:p>
    <w:p w:rsidR="00000000" w:rsidRDefault="00CA422F">
      <w:pPr>
        <w:spacing w:after="240" w:line="360" w:lineRule="exact"/>
        <w:jc w:val="center"/>
        <w:rPr>
          <w:rFonts w:eastAsia="SimHei" w:hint="eastAsia"/>
          <w:sz w:val="24"/>
          <w:lang w:val="es-ES"/>
        </w:rPr>
      </w:pPr>
      <w:r>
        <w:rPr>
          <w:rFonts w:eastAsia="SimHei" w:hint="eastAsia"/>
          <w:sz w:val="24"/>
          <w:lang w:val="es-ES"/>
        </w:rPr>
        <w:t>其它领域内旨在加速男女平等的特殊措施</w:t>
      </w:r>
    </w:p>
    <w:p w:rsidR="00000000" w:rsidRDefault="00CA422F">
      <w:pPr>
        <w:spacing w:after="240" w:line="360" w:lineRule="exact"/>
        <w:rPr>
          <w:rFonts w:hint="eastAsia"/>
          <w:lang w:val="es-ES"/>
        </w:rPr>
      </w:pPr>
      <w:r>
        <w:rPr>
          <w:rFonts w:hint="eastAsia"/>
          <w:lang w:val="es-ES"/>
        </w:rPr>
        <w:t>197</w:t>
      </w:r>
      <w:r>
        <w:rPr>
          <w:rFonts w:hint="eastAsia"/>
          <w:lang w:val="es-ES"/>
        </w:rPr>
        <w:t>．《妇女社会平等促进法》通过各类社会计划将不动产纳入妇女名下，这些措施为保障事实婚姻关系中妇女享有的权利制订了一系列特殊规定。对该法律第七条的诠释被认为部分违反了宪法的规定，因为涉及事实婚姻时，财产应该为夫妻双方共同拥有。</w:t>
      </w:r>
    </w:p>
    <w:p w:rsidR="00000000" w:rsidRDefault="00CA422F">
      <w:pPr>
        <w:spacing w:after="240" w:line="360" w:lineRule="exact"/>
        <w:rPr>
          <w:rFonts w:hint="eastAsia"/>
          <w:lang w:val="es-ES"/>
        </w:rPr>
      </w:pPr>
      <w:r>
        <w:rPr>
          <w:rFonts w:hint="eastAsia"/>
          <w:lang w:val="es-ES"/>
        </w:rPr>
        <w:t>198</w:t>
      </w:r>
      <w:r>
        <w:rPr>
          <w:rFonts w:hint="eastAsia"/>
          <w:lang w:val="es-ES"/>
        </w:rPr>
        <w:t>．</w:t>
      </w:r>
      <w:r>
        <w:rPr>
          <w:rFonts w:hint="eastAsia"/>
          <w:lang w:val="es-ES"/>
        </w:rPr>
        <w:t>1996</w:t>
      </w:r>
      <w:r>
        <w:rPr>
          <w:rFonts w:hint="eastAsia"/>
          <w:lang w:val="es-ES"/>
        </w:rPr>
        <w:t>年通过了《残疾人机遇平等法》，即</w:t>
      </w:r>
      <w:r>
        <w:rPr>
          <w:rFonts w:hint="eastAsia"/>
          <w:lang w:val="es-ES"/>
        </w:rPr>
        <w:t>7600</w:t>
      </w:r>
      <w:r>
        <w:rPr>
          <w:rFonts w:hint="eastAsia"/>
          <w:lang w:val="es-ES"/>
        </w:rPr>
        <w:t>号法律。虽然该法律没有特别提</w:t>
      </w:r>
      <w:r>
        <w:rPr>
          <w:rFonts w:hint="eastAsia"/>
          <w:lang w:val="es-ES"/>
        </w:rPr>
        <w:t>及妇女，但是为保障包括妇女在内的残疾人平等获得机遇和消除对他们的歧视而采取必要的措施奠定了司法和物质方面的基础。这些都要求提供区别关注，建立特殊的基础结构，以保障能够获得及时而高质量的医疗服务、怀孕和分娩时的特殊关注、在保障残疾人自尊的前提下对他们进行职业和就业培训、参与体育和娱乐计划、接受正规教育、获得家庭暴力和性暴力的预防和关注服务等方面的各类服务。</w:t>
      </w:r>
    </w:p>
    <w:p w:rsidR="00000000" w:rsidRDefault="00CA422F">
      <w:pPr>
        <w:spacing w:after="240" w:line="360" w:lineRule="exact"/>
        <w:rPr>
          <w:rFonts w:hint="eastAsia"/>
          <w:lang w:val="es-ES"/>
        </w:rPr>
      </w:pPr>
      <w:r>
        <w:rPr>
          <w:rFonts w:hint="eastAsia"/>
          <w:lang w:val="es-ES"/>
        </w:rPr>
        <w:t>199</w:t>
      </w:r>
      <w:r>
        <w:rPr>
          <w:rFonts w:hint="eastAsia"/>
          <w:lang w:val="es-ES"/>
        </w:rPr>
        <w:t>．</w:t>
      </w:r>
      <w:r>
        <w:rPr>
          <w:rFonts w:hint="eastAsia"/>
          <w:lang w:val="es-ES"/>
        </w:rPr>
        <w:t>1998</w:t>
      </w:r>
      <w:r>
        <w:rPr>
          <w:rFonts w:hint="eastAsia"/>
          <w:lang w:val="es-ES"/>
        </w:rPr>
        <w:t>年</w:t>
      </w:r>
      <w:r>
        <w:rPr>
          <w:rFonts w:hint="eastAsia"/>
          <w:lang w:val="es-ES"/>
        </w:rPr>
        <w:t>4</w:t>
      </w:r>
      <w:r>
        <w:rPr>
          <w:rFonts w:hint="eastAsia"/>
          <w:lang w:val="es-ES"/>
        </w:rPr>
        <w:t>月</w:t>
      </w:r>
      <w:r>
        <w:rPr>
          <w:rFonts w:hint="eastAsia"/>
          <w:lang w:val="es-ES"/>
        </w:rPr>
        <w:t>24</w:t>
      </w:r>
      <w:r>
        <w:rPr>
          <w:rFonts w:hint="eastAsia"/>
          <w:lang w:val="es-ES"/>
        </w:rPr>
        <w:t>日，</w:t>
      </w:r>
      <w:r>
        <w:rPr>
          <w:rFonts w:hint="eastAsia"/>
          <w:lang w:val="es-ES"/>
        </w:rPr>
        <w:t>7769</w:t>
      </w:r>
      <w:r>
        <w:rPr>
          <w:rFonts w:hint="eastAsia"/>
          <w:lang w:val="es-ES"/>
        </w:rPr>
        <w:t>号法律，即《贫困妇女关注法》获得通过。保障贫困妇女权利的一系列特殊措施由此转变成了国家职业学院提供的培训计划和其它服</w:t>
      </w:r>
      <w:r>
        <w:rPr>
          <w:rFonts w:hint="eastAsia"/>
          <w:lang w:val="es-ES"/>
        </w:rPr>
        <w:t>务计划，教导贫困妇女像行使人权一样行使她们享有的相关权利。针对贫困妇女的“共同前进计划”就是其中一项著名计划。社会联合援助所作为哥斯达黎加关注贫困妇女的负责机构负责该计划的整体实施过程，选择并成立一个培训、监督和追踪小组。国家妇女研究所依法使用社会联合援助所的各项资源，开展了人权培训或目前统称为妇女个人和集体加强培训计划的计划。然而，面对计划开展过程中资源匮乏的现象，国家妇女研究所还是尽力达到和保障了上述计划的技术含量。这一计划的人力和经济资助都来自三个机构（社会联合援助所、国家妇女研究所和国家职业学院）。</w:t>
      </w:r>
    </w:p>
    <w:p w:rsidR="00000000" w:rsidRDefault="00CA422F">
      <w:pPr>
        <w:spacing w:after="240" w:line="360" w:lineRule="exact"/>
        <w:rPr>
          <w:rFonts w:hint="eastAsia"/>
          <w:lang w:val="es-ES"/>
        </w:rPr>
      </w:pPr>
      <w:r>
        <w:rPr>
          <w:rFonts w:hint="eastAsia"/>
          <w:lang w:val="es-ES"/>
        </w:rPr>
        <w:t>200</w:t>
      </w:r>
      <w:r>
        <w:rPr>
          <w:rFonts w:hint="eastAsia"/>
          <w:lang w:val="es-ES"/>
        </w:rPr>
        <w:t>．为达到上述目标，国家妇女研究所过去和目前一直在积极参与培训、监督和追踪小组的选择和成立过程，借助</w:t>
      </w:r>
      <w:r>
        <w:rPr>
          <w:rFonts w:hint="eastAsia"/>
          <w:lang w:val="es-ES"/>
        </w:rPr>
        <w:t xml:space="preserve"> </w:t>
      </w:r>
      <w:r>
        <w:rPr>
          <w:rFonts w:hint="eastAsia"/>
          <w:lang w:val="es-ES"/>
        </w:rPr>
        <w:t>“让我们的智慧和能力充分发挥作用”这一模式的技术和方法指导，积极参与培训过程中的技术和方法引导。此外，还积极参与该计划技术秘书处和该计划跨部门国家管理委员会的工作，将妇女的需求和兴趣引入各项决策的过程中。</w:t>
      </w:r>
    </w:p>
    <w:p w:rsidR="00000000" w:rsidRDefault="00CA422F">
      <w:pPr>
        <w:spacing w:after="240" w:line="360" w:lineRule="exact"/>
        <w:rPr>
          <w:rFonts w:hint="eastAsia"/>
          <w:lang w:val="es-ES"/>
        </w:rPr>
      </w:pPr>
      <w:r>
        <w:rPr>
          <w:rFonts w:hint="eastAsia"/>
          <w:lang w:val="es-ES"/>
        </w:rPr>
        <w:t>201</w:t>
      </w:r>
      <w:r>
        <w:rPr>
          <w:rFonts w:hint="eastAsia"/>
          <w:lang w:val="es-ES"/>
        </w:rPr>
        <w:t>．</w:t>
      </w:r>
      <w:r>
        <w:rPr>
          <w:rFonts w:hint="eastAsia"/>
          <w:lang w:val="es-ES"/>
        </w:rPr>
        <w:t>1998</w:t>
      </w:r>
      <w:r>
        <w:rPr>
          <w:rFonts w:hint="eastAsia"/>
          <w:lang w:val="es-ES"/>
        </w:rPr>
        <w:t>年创建了“爱与青年和构筑机会”，其法律依据便是《少年儿童法》（</w:t>
      </w:r>
      <w:r>
        <w:rPr>
          <w:rFonts w:hint="eastAsia"/>
          <w:lang w:val="es-ES"/>
        </w:rPr>
        <w:t>7739</w:t>
      </w:r>
      <w:r>
        <w:rPr>
          <w:rFonts w:hint="eastAsia"/>
          <w:lang w:val="es-ES"/>
        </w:rPr>
        <w:t>号法律）和《少女母亲保护总法》（</w:t>
      </w:r>
      <w:r>
        <w:rPr>
          <w:rFonts w:hint="eastAsia"/>
          <w:lang w:val="es-ES"/>
        </w:rPr>
        <w:t>7735</w:t>
      </w:r>
      <w:r>
        <w:rPr>
          <w:rFonts w:hint="eastAsia"/>
          <w:lang w:val="es-ES"/>
        </w:rPr>
        <w:t>号法律）。随着构筑机会计划的推行，建立了一系列特殊规定，为女童、少女母亲</w:t>
      </w:r>
      <w:r>
        <w:rPr>
          <w:rFonts w:hint="eastAsia"/>
          <w:lang w:val="es-ES"/>
        </w:rPr>
        <w:t>和怀孕的少女，特别是那些处境贫困的女童、少女母亲和怀孕少女能够平等地获得和享受机遇创造有利条件。该计划可以分为三个重要组成部分，分别力争让上述人群重返正规教育体系和不再中途退出、通过信息和赋予其能力等过程使她们作为个人或集体加强人权的行使以及对她们进行非传统领域和竞争性领域的技术培训。</w:t>
      </w:r>
    </w:p>
    <w:p w:rsidR="00000000" w:rsidRDefault="00CA422F">
      <w:pPr>
        <w:spacing w:after="240" w:line="360" w:lineRule="exact"/>
        <w:rPr>
          <w:rFonts w:hint="eastAsia"/>
          <w:lang w:val="es-ES"/>
        </w:rPr>
      </w:pPr>
      <w:r>
        <w:rPr>
          <w:rFonts w:hint="eastAsia"/>
          <w:lang w:val="es-ES"/>
        </w:rPr>
        <w:t>202</w:t>
      </w:r>
      <w:r>
        <w:rPr>
          <w:rFonts w:hint="eastAsia"/>
          <w:lang w:val="es-ES"/>
        </w:rPr>
        <w:t>．技术秘书处负责对社会联合援助所和国家妇女研究所共同制订上述计划的后续和评价工作。第一步是同社会组织共同组建执行委员会，第二步是同公共教育部共同组建执行委员会，而第三步则是同国家职业学院和国立大学合作。取得的主要成就如</w:t>
      </w:r>
      <w:r>
        <w:rPr>
          <w:rFonts w:hint="eastAsia"/>
          <w:lang w:val="es-ES"/>
        </w:rPr>
        <w:t>下：</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目前每年约有</w:t>
      </w:r>
      <w:r>
        <w:rPr>
          <w:rFonts w:hint="eastAsia"/>
          <w:lang w:val="es-ES"/>
        </w:rPr>
        <w:t>4 000</w:t>
      </w:r>
      <w:r>
        <w:rPr>
          <w:rFonts w:hint="eastAsia"/>
          <w:lang w:val="es-ES"/>
        </w:rPr>
        <w:t>名女童、少女和怀孕少女参与该项计划。六个月内，向拥有</w:t>
      </w:r>
      <w:r>
        <w:rPr>
          <w:rFonts w:hint="eastAsia"/>
          <w:lang w:val="es-ES"/>
        </w:rPr>
        <w:t>20</w:t>
      </w:r>
      <w:r>
        <w:rPr>
          <w:rFonts w:hint="eastAsia"/>
          <w:lang w:val="es-ES"/>
        </w:rPr>
        <w:t>名女童的团体举办每星期四个小时的培训班。这些培训班由各类社会组织赞助举办。培训期间，社会联合援助所向每位参加培训的女童提供每月</w:t>
      </w:r>
      <w:r>
        <w:rPr>
          <w:rFonts w:hint="eastAsia"/>
          <w:lang w:val="es-ES"/>
        </w:rPr>
        <w:t>43</w:t>
      </w:r>
      <w:r>
        <w:rPr>
          <w:rFonts w:hint="eastAsia"/>
          <w:lang w:val="es-ES"/>
        </w:rPr>
        <w:t>美元（</w:t>
      </w:r>
      <w:r>
        <w:rPr>
          <w:rFonts w:hint="eastAsia"/>
          <w:lang w:val="es-ES"/>
        </w:rPr>
        <w:t>15 000</w:t>
      </w:r>
      <w:r>
        <w:rPr>
          <w:rFonts w:hint="eastAsia"/>
          <w:lang w:val="es-ES"/>
        </w:rPr>
        <w:t>科朗）的补贴以及其它各类经济援助等（例如发放奖学金等）。</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上述培训班的培训结果由社会组织负责评估，结果发现虽然初级阶段的能力培训过程刚刚出现，但是不少接受培训的女孩已经对她们享有的权利和如何行使权利有了进一步的了解；加强了她们的自我认识和自我尊重意识，使她们认识到自己能够获得他人</w:t>
      </w:r>
      <w:r>
        <w:rPr>
          <w:rFonts w:hint="eastAsia"/>
          <w:lang w:val="es-ES"/>
        </w:rPr>
        <w:t>的尊重；帮助她们更好地了解自己（能力、潜能、缺陷和不足等）；使她们认识到通过该计划获得的资源和服务是她们应该享受的权利而不是他人的施舍；使她们更能充分面对导致少女母亲怀孕和贫困的偏见和侮辱。此外，能力培训结束以后，大部分女孩已经改变了从前对集体的看法，认为集体是一个进行交流、获得支持、使集体和个人都获得加强的空间。最初，</w:t>
      </w:r>
      <w:r>
        <w:rPr>
          <w:rFonts w:hint="eastAsia"/>
          <w:lang w:val="es-ES"/>
        </w:rPr>
        <w:t>80%</w:t>
      </w:r>
      <w:r>
        <w:rPr>
          <w:rFonts w:hint="eastAsia"/>
          <w:lang w:val="es-ES"/>
        </w:rPr>
        <w:t>的女孩根本不曾参加过或者只短期参加过某个组织，因此她们非常孤僻。近一半的女孩重新返回了学校或者接受了技术培训，她们的目标都是为了在获得尊重和准备面对竞争的条件下进入劳动力市场（妇女研究</w:t>
      </w:r>
      <w:r>
        <w:rPr>
          <w:rFonts w:hint="eastAsia"/>
          <w:lang w:val="es-ES"/>
        </w:rPr>
        <w:t>调查中心，</w:t>
      </w:r>
      <w:r>
        <w:rPr>
          <w:rFonts w:hint="eastAsia"/>
          <w:lang w:val="es-ES"/>
        </w:rPr>
        <w:t>2002</w:t>
      </w:r>
      <w:r>
        <w:rPr>
          <w:rFonts w:hint="eastAsia"/>
          <w:lang w:val="es-ES"/>
        </w:rPr>
        <w:t>年）。</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该计划同哥斯达黎加社会保险公司的青少年整体关注计划在提供信息、推动怀孕少女和少女母亲及其子女在生命的最初几年获得医疗保健服务等方面开展合作。为此目的，为参与该计划的少女母亲和怀孕少女获得社会保险卡提供一定的便利，帮助她们摆脱直接投保或由家人代办保险的处境。</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推动少女母亲重返正规教育体系，主要通过开放式教育的选择，使其能够完成小学和中学的教育。这些活动得到了公共教育部的支持。教育提供形式灵活多变，同时又为这些女孩借助代替性的而且较少拘泥于形式的选择方式接受教育提供了一定的保障。</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同国</w:t>
      </w:r>
      <w:r>
        <w:rPr>
          <w:rFonts w:hint="eastAsia"/>
          <w:lang w:val="es-ES"/>
        </w:rPr>
        <w:t>家奖学金基金会（</w:t>
      </w:r>
      <w:r>
        <w:rPr>
          <w:rFonts w:hint="eastAsia"/>
          <w:lang w:val="es-ES"/>
        </w:rPr>
        <w:t>FONABE</w:t>
      </w:r>
      <w:r>
        <w:rPr>
          <w:rFonts w:hint="eastAsia"/>
          <w:lang w:val="es-ES"/>
        </w:rPr>
        <w:t>）开展合作，向这一群体发放奖学金。</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推动她们参与国家职业学院开展的技术培训计划。</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通过公立大学和社会组织向女性青少年的技术培训逐步开放全新的选择方式。</w:t>
      </w:r>
      <w:r>
        <w:rPr>
          <w:rFonts w:hint="eastAsia"/>
          <w:lang w:val="es-ES"/>
        </w:rPr>
        <w:t>2000</w:t>
      </w:r>
      <w:r>
        <w:rPr>
          <w:rFonts w:hint="eastAsia"/>
          <w:lang w:val="es-ES"/>
        </w:rPr>
        <w:t>年同哥斯达黎加科技学院开展合作，在计算机、英语、细木加工和食品加工等领域获得了第一次成功。</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设立“非传统竞争性领域技术培训计划”，由哥斯达黎加科技学院和国家大学共同负责执行。第一年期间，提出了</w:t>
      </w:r>
      <w:r>
        <w:rPr>
          <w:rFonts w:hint="eastAsia"/>
          <w:lang w:val="es-ES"/>
        </w:rPr>
        <w:t>23</w:t>
      </w:r>
      <w:r>
        <w:rPr>
          <w:rFonts w:hint="eastAsia"/>
          <w:lang w:val="es-ES"/>
        </w:rPr>
        <w:t>项为期六个月的选修课程，约有</w:t>
      </w:r>
      <w:r>
        <w:rPr>
          <w:rFonts w:hint="eastAsia"/>
          <w:lang w:val="es-ES"/>
        </w:rPr>
        <w:t>1 500</w:t>
      </w:r>
      <w:r>
        <w:rPr>
          <w:rFonts w:hint="eastAsia"/>
          <w:lang w:val="es-ES"/>
        </w:rPr>
        <w:t>名女孩参加。资金主要由国家烟酒税收（</w:t>
      </w:r>
      <w:r>
        <w:rPr>
          <w:rFonts w:hint="eastAsia"/>
          <w:lang w:val="es-ES"/>
        </w:rPr>
        <w:t>7972</w:t>
      </w:r>
      <w:r>
        <w:rPr>
          <w:rFonts w:hint="eastAsia"/>
          <w:lang w:val="es-ES"/>
        </w:rPr>
        <w:t>号法律）赞助的少年儿童基金提供。</w:t>
      </w:r>
    </w:p>
    <w:p w:rsidR="00000000" w:rsidRDefault="00CA422F">
      <w:pPr>
        <w:numPr>
          <w:ilvl w:val="0"/>
          <w:numId w:val="807"/>
        </w:numPr>
        <w:tabs>
          <w:tab w:val="clear" w:pos="720"/>
          <w:tab w:val="num" w:pos="840"/>
        </w:tabs>
        <w:spacing w:after="240" w:line="360" w:lineRule="exact"/>
        <w:ind w:left="840"/>
        <w:rPr>
          <w:rFonts w:hint="eastAsia"/>
          <w:lang w:val="es-ES"/>
        </w:rPr>
      </w:pPr>
      <w:r>
        <w:rPr>
          <w:rFonts w:hint="eastAsia"/>
          <w:lang w:val="es-ES"/>
        </w:rPr>
        <w:t>参加培训课程的</w:t>
      </w:r>
      <w:r>
        <w:rPr>
          <w:rFonts w:hint="eastAsia"/>
          <w:lang w:val="es-ES"/>
        </w:rPr>
        <w:t>女孩中有三分之一参与了各种形式的技术培训，而且成绩优秀。然而，其中一半以上的女孩在进入劳动力市场寻找与其受到的培训相关的工作时仍然面临了不少的困难，这主要是因为目标人权评价的在校时间为</w:t>
      </w:r>
      <w:r>
        <w:rPr>
          <w:rFonts w:hint="eastAsia"/>
          <w:lang w:val="es-ES"/>
        </w:rPr>
        <w:t>5</w:t>
      </w:r>
      <w:r>
        <w:rPr>
          <w:rFonts w:hint="eastAsia"/>
          <w:lang w:val="es-ES"/>
        </w:rPr>
        <w:t>－</w:t>
      </w:r>
      <w:r>
        <w:rPr>
          <w:rFonts w:hint="eastAsia"/>
          <w:lang w:val="es-ES"/>
        </w:rPr>
        <w:t>6</w:t>
      </w:r>
      <w:r>
        <w:rPr>
          <w:rFonts w:hint="eastAsia"/>
          <w:lang w:val="es-ES"/>
        </w:rPr>
        <w:t>年。这些工作职位大部分要求三年级以下的学生。该计划正准备借助同时进行正规教育和技术培训的灵活创新建议来解决这一问题。该计划目前受到的最严重的指责之一便是如何克服缺少援助和选择、女孩的贫困和目前仍然存在的偏见等社会结构中存在的困难。必须将这一方面的努力纳入经济和社会政策之中。</w:t>
      </w:r>
    </w:p>
    <w:p w:rsidR="00000000" w:rsidRDefault="00CA422F">
      <w:pPr>
        <w:spacing w:after="240" w:line="360" w:lineRule="exact"/>
        <w:rPr>
          <w:rFonts w:hint="eastAsia"/>
          <w:lang w:val="es-ES"/>
        </w:rPr>
      </w:pPr>
      <w:r>
        <w:rPr>
          <w:rFonts w:hint="eastAsia"/>
          <w:lang w:val="es-ES"/>
        </w:rPr>
        <w:t>203</w:t>
      </w:r>
      <w:r>
        <w:rPr>
          <w:rFonts w:hint="eastAsia"/>
          <w:lang w:val="es-ES"/>
        </w:rPr>
        <w:t>．构筑机会计划支持的模式表明，这是向哥斯</w:t>
      </w:r>
      <w:r>
        <w:rPr>
          <w:rFonts w:hint="eastAsia"/>
          <w:lang w:val="es-ES"/>
        </w:rPr>
        <w:t>达黎加正在遭受严重歧视和侮辱的少女贫困母亲这一群体推动机遇平等的又一项崭新的选择方式。以成年人为中心的家长制社会对那些胆敢触犯社会规范，尤其是同性行为相关的社会规范的未成年女性进行严厉的惩罚。社会想像中仍然存在着一种顽固的社会观念，认为上述人群的年龄（未成年）和社会条件（贫困）交织在一起，使她们处于不利和不平等的地位，同时还认为她们是不完美的、有问题的。如果在上述条件中再加入怀孕二字，那么这种歧视和排外就显得更为强烈。负责提供教育服务与技术和社会培训的保障机构中的绝大部分工作人员也同样受到这种观点的限制。这</w:t>
      </w:r>
      <w:r>
        <w:rPr>
          <w:rFonts w:hint="eastAsia"/>
          <w:lang w:val="es-ES"/>
        </w:rPr>
        <w:t>种传统的社会观念极难破坏。</w:t>
      </w:r>
    </w:p>
    <w:p w:rsidR="00000000" w:rsidRDefault="00CA422F">
      <w:pPr>
        <w:spacing w:after="240" w:line="360" w:lineRule="exact"/>
        <w:jc w:val="center"/>
        <w:rPr>
          <w:rFonts w:eastAsia="SimHei" w:hint="eastAsia"/>
          <w:sz w:val="24"/>
          <w:lang w:val="es-ES"/>
        </w:rPr>
      </w:pPr>
      <w:r>
        <w:rPr>
          <w:rFonts w:eastAsia="SimHei" w:hint="eastAsia"/>
          <w:sz w:val="24"/>
          <w:lang w:val="es-ES"/>
        </w:rPr>
        <w:t>旨在保护少女母亲的特殊措施</w:t>
      </w:r>
    </w:p>
    <w:p w:rsidR="00000000" w:rsidRDefault="00CA422F">
      <w:pPr>
        <w:spacing w:after="240" w:line="360" w:lineRule="exact"/>
        <w:rPr>
          <w:rFonts w:hint="eastAsia"/>
          <w:lang w:val="es-ES"/>
        </w:rPr>
      </w:pPr>
      <w:r>
        <w:rPr>
          <w:rFonts w:hint="eastAsia"/>
          <w:lang w:val="es-ES"/>
        </w:rPr>
        <w:t>204</w:t>
      </w:r>
      <w:r>
        <w:rPr>
          <w:rFonts w:hint="eastAsia"/>
          <w:lang w:val="es-ES"/>
        </w:rPr>
        <w:t>．《少女母亲保护法》对母亲做出了一系列的保护和整体援助的规定，旨在保障上述人群享有的人权，因为从整体上来说，这一群体因性别原因在其生活的各个领域都处于弱势地位。随着构筑机会计划的法制化，出台了一系列的保护和援助措施。</w:t>
      </w:r>
    </w:p>
    <w:p w:rsidR="00000000" w:rsidRDefault="00CA422F">
      <w:pPr>
        <w:spacing w:after="240" w:line="360" w:lineRule="exact"/>
        <w:rPr>
          <w:rFonts w:hint="eastAsia"/>
          <w:lang w:val="es-ES"/>
        </w:rPr>
      </w:pPr>
      <w:r>
        <w:rPr>
          <w:rFonts w:hint="eastAsia"/>
          <w:lang w:val="es-ES"/>
        </w:rPr>
        <w:t>205</w:t>
      </w:r>
      <w:r>
        <w:rPr>
          <w:rFonts w:hint="eastAsia"/>
          <w:lang w:val="es-ES"/>
        </w:rPr>
        <w:t>．其中一项旨在保障少女母亲及其子女平等地享有医疗保健服务的特殊措施就是社会保险卡的使用。全国少女母亲保护委员会同哥斯达黎加社会保险公司共同采取了宣传措施，以保障该权利的效力。一部分的怀孕少女和少女母亲至今持有社会保险卡。哥斯达</w:t>
      </w:r>
      <w:r>
        <w:rPr>
          <w:rFonts w:hint="eastAsia"/>
          <w:lang w:val="es-ES"/>
        </w:rPr>
        <w:t>黎加妇女研究调查中心开展的一项研究（</w:t>
      </w:r>
      <w:r>
        <w:rPr>
          <w:rFonts w:hint="eastAsia"/>
          <w:lang w:val="es-ES"/>
        </w:rPr>
        <w:t>2002</w:t>
      </w:r>
      <w:r>
        <w:rPr>
          <w:rFonts w:hint="eastAsia"/>
          <w:lang w:val="es-ES"/>
        </w:rPr>
        <w:t>年）找到了主要原因：对这项权利缺乏信息；对如何使用这项资源缺乏了解；偏远地区的少女需要花费大量的手续费用；繁琐的申请手续（例如，大量的文件和访谈）；以及信息服务中心工作人员和手续办理人员的偏见和不够完善的服务等。</w:t>
      </w:r>
    </w:p>
    <w:p w:rsidR="00000000" w:rsidRDefault="00CA422F">
      <w:pPr>
        <w:spacing w:after="240" w:line="360" w:lineRule="exact"/>
        <w:rPr>
          <w:rFonts w:hint="eastAsia"/>
        </w:rPr>
      </w:pPr>
      <w:r>
        <w:rPr>
          <w:rFonts w:hint="eastAsia"/>
        </w:rPr>
        <w:t>206</w:t>
      </w:r>
      <w:r>
        <w:rPr>
          <w:rFonts w:hint="eastAsia"/>
        </w:rPr>
        <w:t>．</w:t>
      </w:r>
      <w:r>
        <w:rPr>
          <w:rFonts w:hint="eastAsia"/>
        </w:rPr>
        <w:t>28118-S</w:t>
      </w:r>
      <w:r>
        <w:rPr>
          <w:rFonts w:hint="eastAsia"/>
        </w:rPr>
        <w:t>号行政法令规定，哥斯达黎加社会保险公司必须关注任何一位怀孕、分娩和产后的女性，无论其社会经济条件如何，无论其是否为移民。该规定意味着为促进医疗保健服务中的男女平等的努力已经取得了重大进展。事实表明，哥斯达黎加家庭中没有间接或直接购买</w:t>
      </w:r>
      <w:r>
        <w:rPr>
          <w:rFonts w:hint="eastAsia"/>
        </w:rPr>
        <w:t>疾病和生育保险的女性比例偏高，因为她们没有收入、她们的男伴也没有购买社会保险，或者她们缺少独立支付保险费的经济能力。此外，哥斯达黎加还有为数不少尼加拉瓜的非法女性移民，她们同样需要产前、分娩和产后各个时期的关注，如果缺乏这些关注，这些女性及其子女都将面临严重的危险。虽然在这一领域取得了不少成绩，但是在以文化为主的方面仍然存在着不少困难，为确保这一权利的有效行使，必须消除下列这些困扰因素：</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在接受治疗的过程中医疗工作人员并非总是把这些女性看作有权享受服务的人而尊重她们。对单身的少女母亲和尼加拉瓜女性的偏见最为</w:t>
      </w:r>
      <w:r>
        <w:rPr>
          <w:rFonts w:hint="eastAsia"/>
        </w:rPr>
        <w:t>严重。</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在女性医疗保健服务中存在着大男子主义的典型例子，在以男性为中心的观念中，女性只不过是一架“生育”机器。应该在整个医疗服务体系中推行相应措施，以唤醒医疗服务人员的意识，尊重母亲作为人的权利和尊严，尊重她们的情感、兴趣、感情需要和她们怀有的梦想。</w:t>
      </w:r>
    </w:p>
    <w:p w:rsidR="00000000" w:rsidRDefault="00CA422F">
      <w:pPr>
        <w:pStyle w:val="20"/>
        <w:adjustRightInd w:val="0"/>
        <w:spacing w:beforeLines="0" w:before="0" w:afterLines="0" w:after="240" w:line="360" w:lineRule="atLeast"/>
        <w:textAlignment w:val="baseline"/>
        <w:rPr>
          <w:rFonts w:ascii="Times New Roman" w:eastAsia="SimSun" w:hAnsi="Times New Roman"/>
          <w:kern w:val="0"/>
          <w:szCs w:val="20"/>
          <w:lang w:val="en-US"/>
        </w:rPr>
      </w:pPr>
    </w:p>
    <w:p w:rsidR="00000000" w:rsidRDefault="00CA422F">
      <w:pPr>
        <w:spacing w:after="240" w:line="360" w:lineRule="exact"/>
        <w:jc w:val="center"/>
        <w:rPr>
          <w:rFonts w:eastAsia="SimHei"/>
          <w:sz w:val="24"/>
        </w:rPr>
      </w:pPr>
      <w:r>
        <w:rPr>
          <w:sz w:val="24"/>
        </w:rPr>
        <w:br w:type="page"/>
      </w:r>
      <w:r>
        <w:rPr>
          <w:rFonts w:eastAsia="SimHei" w:hint="eastAsia"/>
          <w:sz w:val="24"/>
        </w:rPr>
        <w:t>第五条：改变性别作用和性别类型的措施</w:t>
      </w:r>
    </w:p>
    <w:p w:rsidR="00000000" w:rsidRDefault="00CA422F" w:rsidP="00CA422F">
      <w:pPr>
        <w:spacing w:after="240" w:line="360" w:lineRule="exact"/>
        <w:ind w:left="31680" w:hangingChars="257" w:firstLine="31680"/>
        <w:rPr>
          <w:rFonts w:ascii="SimHei" w:eastAsia="SimHei" w:hAnsi="SimSun"/>
        </w:rPr>
      </w:pPr>
      <w:r>
        <w:rPr>
          <w:rFonts w:ascii="SimHei" w:eastAsia="SimHei" w:hAnsi="SimSun" w:hint="eastAsia"/>
        </w:rPr>
        <w:t>第五条：</w:t>
      </w:r>
    </w:p>
    <w:p w:rsidR="00000000" w:rsidRDefault="00CA422F" w:rsidP="00CA422F">
      <w:pPr>
        <w:pStyle w:val="NormalIndent"/>
        <w:spacing w:after="240" w:line="360" w:lineRule="exact"/>
        <w:ind w:firstLineChars="200" w:firstLine="31680"/>
        <w:rPr>
          <w:rFonts w:ascii="KaiTi_GB2312" w:eastAsia="KaiTi_GB2312"/>
          <w:kern w:val="0"/>
        </w:rPr>
      </w:pPr>
      <w:r>
        <w:rPr>
          <w:rFonts w:ascii="KaiTi_GB2312" w:eastAsia="KaiTi_GB2312" w:hint="eastAsia"/>
          <w:kern w:val="0"/>
        </w:rPr>
        <w:t>缔约各国应采取一切适当措施：</w:t>
      </w:r>
    </w:p>
    <w:p w:rsidR="00000000" w:rsidRDefault="00CA422F" w:rsidP="00CA422F">
      <w:pPr>
        <w:spacing w:after="240" w:line="360" w:lineRule="exact"/>
        <w:ind w:leftChars="200" w:left="31680" w:hangingChars="250" w:firstLine="31680"/>
        <w:rPr>
          <w:rFonts w:ascii="KaiTi_GB2312" w:eastAsia="KaiTi_GB2312" w:hint="eastAsia"/>
        </w:rPr>
      </w:pPr>
      <w:r>
        <w:rPr>
          <w:rFonts w:ascii="KaiTi_GB2312" w:eastAsia="KaiTi_GB2312" w:hint="eastAsia"/>
        </w:rPr>
        <w:t>（</w:t>
      </w:r>
      <w:r>
        <w:rPr>
          <w:rFonts w:ascii="KaiTi_GB2312" w:eastAsia="KaiTi_GB2312" w:hint="eastAsia"/>
        </w:rPr>
        <w:t>a</w:t>
      </w:r>
      <w:r>
        <w:rPr>
          <w:rFonts w:ascii="KaiTi_GB2312" w:eastAsia="KaiTi_GB2312" w:hint="eastAsia"/>
        </w:rPr>
        <w:t>）改变男女的社会和文化行为模式，以消除基于性别而分尊卑观念或基于男女定型任务的偏见、习俗和一切其他作法；</w:t>
      </w:r>
    </w:p>
    <w:p w:rsidR="00000000" w:rsidRDefault="00CA422F" w:rsidP="00CA422F">
      <w:pPr>
        <w:spacing w:after="240" w:line="360" w:lineRule="exact"/>
        <w:ind w:leftChars="200" w:left="31680" w:hangingChars="250" w:firstLine="31680"/>
        <w:rPr>
          <w:rFonts w:ascii="KaiTi_GB2312" w:eastAsia="KaiTi_GB2312"/>
        </w:rPr>
      </w:pPr>
      <w:r>
        <w:rPr>
          <w:rFonts w:ascii="KaiTi_GB2312" w:eastAsia="KaiTi_GB2312" w:hint="eastAsia"/>
        </w:rPr>
        <w:t>（</w:t>
      </w:r>
      <w:r>
        <w:rPr>
          <w:rFonts w:ascii="KaiTi_GB2312" w:eastAsia="KaiTi_GB2312" w:hint="eastAsia"/>
        </w:rPr>
        <w:t>b</w:t>
      </w:r>
      <w:r>
        <w:rPr>
          <w:rFonts w:ascii="KaiTi_GB2312" w:eastAsia="KaiTi_GB2312" w:hint="eastAsia"/>
        </w:rPr>
        <w:t>）保证家庭教育应包括正确了解母性的社会功能和确认教养子女是父母的</w:t>
      </w:r>
      <w:r>
        <w:rPr>
          <w:rFonts w:ascii="KaiTi_GB2312" w:eastAsia="KaiTi_GB2312" w:hint="eastAsia"/>
        </w:rPr>
        <w:t>共同责任，但了解到在任何情况下应首先考虑子女的利益。</w:t>
      </w:r>
    </w:p>
    <w:p w:rsidR="00000000" w:rsidRDefault="00CA422F">
      <w:pPr>
        <w:spacing w:after="240" w:line="360" w:lineRule="exact"/>
        <w:jc w:val="center"/>
        <w:rPr>
          <w:rFonts w:eastAsia="SimHei" w:hint="eastAsia"/>
          <w:sz w:val="24"/>
        </w:rPr>
      </w:pPr>
      <w:r>
        <w:rPr>
          <w:rFonts w:eastAsia="SimHei" w:hint="eastAsia"/>
          <w:sz w:val="24"/>
        </w:rPr>
        <w:t>教育中的性别作用和性别类型</w:t>
      </w:r>
    </w:p>
    <w:p w:rsidR="00000000" w:rsidRDefault="00CA422F">
      <w:pPr>
        <w:spacing w:after="240" w:line="360" w:lineRule="exact"/>
        <w:rPr>
          <w:rFonts w:hint="eastAsia"/>
        </w:rPr>
      </w:pPr>
      <w:r>
        <w:rPr>
          <w:rFonts w:hint="eastAsia"/>
        </w:rPr>
        <w:t>207</w:t>
      </w:r>
      <w:r>
        <w:rPr>
          <w:rFonts w:hint="eastAsia"/>
        </w:rPr>
        <w:t>．为确立男女参与再生产进程的指数，必须努力确定青年男女各自专门从事家务劳动的比例。</w:t>
      </w:r>
      <w:r>
        <w:rPr>
          <w:rFonts w:hint="eastAsia"/>
        </w:rPr>
        <w:t>Ramos</w:t>
      </w:r>
      <w:r>
        <w:rPr>
          <w:rFonts w:hint="eastAsia"/>
        </w:rPr>
        <w:t>的研究（</w:t>
      </w:r>
      <w:r>
        <w:rPr>
          <w:rFonts w:hint="eastAsia"/>
        </w:rPr>
        <w:t>2001</w:t>
      </w:r>
      <w:r>
        <w:rPr>
          <w:rFonts w:hint="eastAsia"/>
        </w:rPr>
        <w:t>年）表明</w:t>
      </w:r>
      <w:r>
        <w:t>,</w:t>
      </w:r>
      <w:r>
        <w:rPr>
          <w:rFonts w:hint="eastAsia"/>
        </w:rPr>
        <w:t>不同性别在从事家务劳动方面存在着明显的差异。从每年来看</w:t>
      </w:r>
      <w:r>
        <w:t>,</w:t>
      </w:r>
      <w:r>
        <w:rPr>
          <w:rFonts w:hint="eastAsia"/>
        </w:rPr>
        <w:t xml:space="preserve"> </w:t>
      </w:r>
      <w:r>
        <w:rPr>
          <w:rFonts w:hint="eastAsia"/>
        </w:rPr>
        <w:t>各个收入层次的男性的数据并不具多大意义，但是把这些数据综合起来就可以发现，</w:t>
      </w:r>
      <w:r>
        <w:rPr>
          <w:rFonts w:hint="eastAsia"/>
        </w:rPr>
        <w:t>12</w:t>
      </w:r>
      <w:r>
        <w:rPr>
          <w:rFonts w:hint="eastAsia"/>
        </w:rPr>
        <w:t>岁至</w:t>
      </w:r>
      <w:r>
        <w:rPr>
          <w:rFonts w:hint="eastAsia"/>
        </w:rPr>
        <w:t>17</w:t>
      </w:r>
      <w:r>
        <w:rPr>
          <w:rFonts w:hint="eastAsia"/>
        </w:rPr>
        <w:t>岁的青年男性专门从事再生产工作的比例大约在</w:t>
      </w:r>
      <w:r>
        <w:rPr>
          <w:rFonts w:hint="eastAsia"/>
        </w:rPr>
        <w:t>1%</w:t>
      </w:r>
      <w:r>
        <w:rPr>
          <w:rFonts w:hint="eastAsia"/>
        </w:rPr>
        <w:t>至</w:t>
      </w:r>
      <w:r>
        <w:rPr>
          <w:rFonts w:hint="eastAsia"/>
        </w:rPr>
        <w:t>2%</w:t>
      </w:r>
      <w:r>
        <w:rPr>
          <w:rFonts w:hint="eastAsia"/>
        </w:rPr>
        <w:t>之间。低收入家庭中的性别差异更为明显。这些家庭中的男性比例达到了最高水平，也就是说在前五个月中约有</w:t>
      </w:r>
      <w:r>
        <w:rPr>
          <w:rFonts w:hint="eastAsia"/>
        </w:rPr>
        <w:t>22%</w:t>
      </w:r>
      <w:r>
        <w:rPr>
          <w:rFonts w:hint="eastAsia"/>
        </w:rPr>
        <w:t>的女性</w:t>
      </w:r>
      <w:r>
        <w:rPr>
          <w:rFonts w:hint="eastAsia"/>
        </w:rPr>
        <w:t>专门从事家务劳动，而男性中有</w:t>
      </w:r>
      <w:r>
        <w:rPr>
          <w:rFonts w:hint="eastAsia"/>
        </w:rPr>
        <w:t>2%</w:t>
      </w:r>
      <w:r>
        <w:rPr>
          <w:rFonts w:hint="eastAsia"/>
        </w:rPr>
        <w:t>的人才专门从事该项劳动。后五个月中男女双方的差异没有这么悬殊，但是可以肯定的是，主要由女性、特别是年轻女性来承担家庭中的再生产任务，而且这一点上不会随着社会经济水平的提高发生太大的变化。</w:t>
      </w:r>
    </w:p>
    <w:p w:rsidR="00000000" w:rsidRDefault="00CA422F">
      <w:pPr>
        <w:spacing w:after="240" w:line="360" w:lineRule="exact"/>
        <w:rPr>
          <w:rFonts w:hint="eastAsia"/>
        </w:rPr>
      </w:pPr>
      <w:r>
        <w:rPr>
          <w:rFonts w:hint="eastAsia"/>
        </w:rPr>
        <w:t>208</w:t>
      </w:r>
      <w:r>
        <w:rPr>
          <w:rFonts w:hint="eastAsia"/>
        </w:rPr>
        <w:t>．专门从事家务劳动会妨碍女性的个人发展，毁坏她们的自我形象，因为这不仅意味着被完全排除在教育体系之外，同时还因为从社会角度来看她们从事的这一劳动无法获得任何承认，并且还经常被认为在国家的社会经济整体关系中“无足轻重”。然而事实上应该将这项工作看作是为家庭节省货币资源，并为其他成年或未成</w:t>
      </w:r>
      <w:r>
        <w:rPr>
          <w:rFonts w:hint="eastAsia"/>
        </w:rPr>
        <w:t>年的家庭成员参与劳动力市场提供便利条件，此项工作应纳入国民经济的目录之中。</w:t>
      </w:r>
    </w:p>
    <w:p w:rsidR="00000000" w:rsidRDefault="00CA422F">
      <w:pPr>
        <w:spacing w:after="240" w:line="360" w:lineRule="exact"/>
        <w:rPr>
          <w:rFonts w:hint="eastAsia"/>
        </w:rPr>
      </w:pPr>
      <w:r>
        <w:rPr>
          <w:rFonts w:hint="eastAsia"/>
        </w:rPr>
        <w:t>209</w:t>
      </w:r>
      <w:r>
        <w:rPr>
          <w:rFonts w:hint="eastAsia"/>
        </w:rPr>
        <w:t>．在上述这种理念的支配下，将劳动和学校结合起来看，可以发现年轻女性从事其它劳动的比例略高于年轻男性。低收入人群中有</w:t>
      </w:r>
      <w:r>
        <w:rPr>
          <w:rFonts w:hint="eastAsia"/>
        </w:rPr>
        <w:t>31%</w:t>
      </w:r>
      <w:r>
        <w:rPr>
          <w:rFonts w:hint="eastAsia"/>
        </w:rPr>
        <w:t>的女性从事某项劳动，而男性占</w:t>
      </w:r>
      <w:r>
        <w:rPr>
          <w:rFonts w:hint="eastAsia"/>
        </w:rPr>
        <w:t>28%</w:t>
      </w:r>
      <w:r>
        <w:rPr>
          <w:rFonts w:hint="eastAsia"/>
        </w:rPr>
        <w:t>。总体来说，从事劳动的年轻男女的比例相当：女性为</w:t>
      </w:r>
      <w:r>
        <w:rPr>
          <w:rFonts w:hint="eastAsia"/>
        </w:rPr>
        <w:t>27%</w:t>
      </w:r>
      <w:r>
        <w:rPr>
          <w:rFonts w:hint="eastAsia"/>
        </w:rPr>
        <w:t>、男性为</w:t>
      </w:r>
      <w:r>
        <w:rPr>
          <w:rFonts w:hint="eastAsia"/>
        </w:rPr>
        <w:t>27.6%</w:t>
      </w:r>
      <w:r>
        <w:rPr>
          <w:rFonts w:hint="eastAsia"/>
        </w:rPr>
        <w:t>。随着家庭收入水平的提高，可以看到年轻女性从事劳动的比例逐渐下降，直至小于年轻男性。此外，拥有较少经济资源的女性中从事劳动的人比收入较高的女性多。因此，必须改变家庭中对家务劳动过程来自文化和经济等方面的各</w:t>
      </w:r>
      <w:r>
        <w:rPr>
          <w:rFonts w:hint="eastAsia"/>
        </w:rPr>
        <w:t>种偏见，并将其作为对那些出于各种原因不得不专门从事家务劳动的年轻男女创造的价值进行评估的第一步。</w:t>
      </w:r>
    </w:p>
    <w:p w:rsidR="00000000" w:rsidRDefault="00CA422F">
      <w:pPr>
        <w:spacing w:after="240" w:line="360" w:lineRule="exact"/>
        <w:rPr>
          <w:rFonts w:hint="eastAsia"/>
        </w:rPr>
      </w:pPr>
      <w:r>
        <w:rPr>
          <w:rFonts w:hint="eastAsia"/>
        </w:rPr>
        <w:t>210</w:t>
      </w:r>
      <w:r>
        <w:rPr>
          <w:rFonts w:hint="eastAsia"/>
        </w:rPr>
        <w:t>．教室内外充斥着由传统的社会文化认知模式造成的偏见和实际行动中的性别歧视。性别不平等现象无法借助让同等人数的女性参加教育机构的学习这一方式获得解决。这一方式也同样无法杜绝女性的辍学和初级教育中的复读现象。不少研究均表明，女性在学习过程中表现良好，但是这种“对优秀视而不见”的现象仍在发生。这是一种同性别歧视、性别作用和社会制度企图法制化的男女关系相关的教育模式，不但限制了女性的能力发展和潜能的开发，同时通过</w:t>
      </w:r>
      <w:r>
        <w:rPr>
          <w:rFonts w:hint="eastAsia"/>
        </w:rPr>
        <w:t>对女性的从属地位和性别歧视等方面的教育，对男性的能力和潜能造成了一定的伤害（民族国家计划，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211</w:t>
      </w:r>
      <w:r>
        <w:rPr>
          <w:rFonts w:hint="eastAsia"/>
        </w:rPr>
        <w:t>．国家妇女研究所同公共教育部开展合作，推动各类积极措施，旨在审查教育计划、编写帮助教员和学生的教育材料、为编写引入男女差异的课本提供一定的便利条件并创建一种消除性别歧视的教育方法。然而，学校的课程设置在物质基础设施和教学材料方面都没有考虑到男女各自的特殊要求。上述“对优秀视而不见”的现象不但存在于教室、学校或学院中，甚至还存在于家庭中，与之相对应的就是对不同性别人士的区别对待。这种实践活动对个人的</w:t>
      </w:r>
      <w:r>
        <w:rPr>
          <w:rFonts w:hint="eastAsia"/>
        </w:rPr>
        <w:t>发展造成了很大的伤害，同时也违背了宪法和国际法中关于保障男女平等和公正地获得接受教育的权利和享受各自权利的有关规定。</w:t>
      </w:r>
    </w:p>
    <w:p w:rsidR="00000000" w:rsidRDefault="00CA422F">
      <w:pPr>
        <w:spacing w:after="240" w:line="360" w:lineRule="exact"/>
        <w:rPr>
          <w:rFonts w:hint="eastAsia"/>
        </w:rPr>
      </w:pPr>
      <w:r>
        <w:rPr>
          <w:rFonts w:hint="eastAsia"/>
        </w:rPr>
        <w:t>212</w:t>
      </w:r>
      <w:r>
        <w:rPr>
          <w:rFonts w:hint="eastAsia"/>
        </w:rPr>
        <w:t>．迈向</w:t>
      </w:r>
      <w:r>
        <w:rPr>
          <w:rFonts w:hint="eastAsia"/>
        </w:rPr>
        <w:t>21</w:t>
      </w:r>
      <w:r>
        <w:rPr>
          <w:rFonts w:hint="eastAsia"/>
        </w:rPr>
        <w:t>世纪系列教科书的出版标志着哥斯达黎加政府通过几十年的努力，已经开始在教育体系中采用语言和插图都没有性别作用和性别歧视等问题的课本。保障所有的公立教育中心获得这些课本的一大阻碍是第四法庭通过的一项保护决议，那是由许多出版企业感觉到自己的利益受到了伤害和看到将这些课本定为正式教材后他们需要面临自由竞争的局面而向法庭递交的。国家妇女研究所对这些企业开展了各种男女平等宣传培训和咨询活</w:t>
      </w:r>
      <w:r>
        <w:rPr>
          <w:rFonts w:hint="eastAsia"/>
        </w:rPr>
        <w:t>动，旨在推动使用无性别歧视语言并消除性别歧视的内容。</w:t>
      </w:r>
    </w:p>
    <w:p w:rsidR="00000000" w:rsidRDefault="00CA422F">
      <w:pPr>
        <w:spacing w:after="240" w:line="360" w:lineRule="exact"/>
        <w:rPr>
          <w:rFonts w:hint="eastAsia"/>
        </w:rPr>
      </w:pPr>
      <w:r>
        <w:rPr>
          <w:rFonts w:hint="eastAsia"/>
        </w:rPr>
        <w:t>213</w:t>
      </w:r>
      <w:r>
        <w:rPr>
          <w:rFonts w:hint="eastAsia"/>
        </w:rPr>
        <w:t>．已经明确指出的问题之一便是，虽然教学材料的内容已经出现了更新和改编，但是，制度上对女性的贬低和在课本内容及插图中使用充满性别歧视的语言——大量在市场上可以随意购买的课本——的现象仍然存在。此外，性别术语、复数形式的男性化和性别歧视现象的存在将女性推向了家庭，又同时将男性推向公共领域。</w:t>
      </w:r>
    </w:p>
    <w:p w:rsidR="00000000" w:rsidRDefault="00CA422F">
      <w:pPr>
        <w:spacing w:after="240" w:line="360" w:lineRule="exact"/>
        <w:rPr>
          <w:rFonts w:hint="eastAsia"/>
        </w:rPr>
      </w:pPr>
      <w:r>
        <w:rPr>
          <w:rFonts w:hint="eastAsia"/>
        </w:rPr>
        <w:t>214</w:t>
      </w:r>
      <w:r>
        <w:rPr>
          <w:rFonts w:hint="eastAsia"/>
        </w:rPr>
        <w:t>．</w:t>
      </w:r>
      <w:r>
        <w:rPr>
          <w:rFonts w:hint="eastAsia"/>
        </w:rPr>
        <w:t>1994</w:t>
      </w:r>
      <w:r>
        <w:rPr>
          <w:rFonts w:hint="eastAsia"/>
        </w:rPr>
        <w:t>年以来，为在教育和管理过程中引入性别观点进行了不少努力。其中成效最为显著的一项经验便是名为“在领导学校创造男女平等文化”的计划，</w:t>
      </w:r>
      <w:r>
        <w:rPr>
          <w:rFonts w:hint="eastAsia"/>
        </w:rPr>
        <w:t>1999</w:t>
      </w:r>
      <w:r>
        <w:rPr>
          <w:rFonts w:hint="eastAsia"/>
        </w:rPr>
        <w:t>至</w:t>
      </w:r>
      <w:r>
        <w:rPr>
          <w:rFonts w:hint="eastAsia"/>
        </w:rPr>
        <w:t>2002</w:t>
      </w:r>
      <w:r>
        <w:rPr>
          <w:rFonts w:hint="eastAsia"/>
        </w:rPr>
        <w:t>年</w:t>
      </w:r>
      <w:r>
        <w:rPr>
          <w:rFonts w:hint="eastAsia"/>
        </w:rPr>
        <w:t>间与第一夫人办公室共同开展活动。该计划的主要活动之一便是在教室内安放一个能够对实际行动中的性别歧视现象进行识别和分析的诊断器械。这已经被认为是一项有效手段，能够帮助改变教室和娱乐空间的均衡分配现象，根据非性别歧视标准对男女同学的不同性格进行确认，并能改变桌椅摆放方式和学习小组的组建等。</w:t>
      </w:r>
    </w:p>
    <w:p w:rsidR="00000000" w:rsidRDefault="00CA422F">
      <w:pPr>
        <w:spacing w:after="240" w:line="360" w:lineRule="exact"/>
        <w:rPr>
          <w:rFonts w:hint="eastAsia"/>
        </w:rPr>
      </w:pPr>
      <w:r>
        <w:rPr>
          <w:rFonts w:hint="eastAsia"/>
        </w:rPr>
        <w:t>215</w:t>
      </w:r>
      <w:r>
        <w:rPr>
          <w:rFonts w:hint="eastAsia"/>
        </w:rPr>
        <w:t>．另一项突出的成就便是公共教育部战略行动计划的制订和操作行动、计划（</w:t>
      </w:r>
      <w:r>
        <w:rPr>
          <w:rFonts w:hint="eastAsia"/>
        </w:rPr>
        <w:t>PAO</w:t>
      </w:r>
      <w:r>
        <w:rPr>
          <w:rFonts w:hint="eastAsia"/>
        </w:rPr>
        <w:t>）及下属责任单位中</w:t>
      </w:r>
      <w:r>
        <w:rPr>
          <w:rFonts w:hint="eastAsia"/>
        </w:rPr>
        <w:t>21</w:t>
      </w:r>
      <w:r>
        <w:rPr>
          <w:rFonts w:hint="eastAsia"/>
        </w:rPr>
        <w:t>项措施的引进。然而，学习计划的改变和性别歧视内容的消除都要求对教学人员进行连续的、系统的男女平等宣传培训。国家妇女研究所和</w:t>
      </w:r>
      <w:r>
        <w:rPr>
          <w:rFonts w:hint="eastAsia"/>
        </w:rPr>
        <w:t>公共教育部性别事务单位都指出，目前面临的一个重要困难就是有限的资金无法支付上述活动参与人员的差旅费，这些人员也很难在参加为期</w:t>
      </w:r>
      <w:r>
        <w:rPr>
          <w:rFonts w:hint="eastAsia"/>
        </w:rPr>
        <w:t>200</w:t>
      </w:r>
      <w:r>
        <w:rPr>
          <w:rFonts w:hint="eastAsia"/>
        </w:rPr>
        <w:t>天的培训时领取平时的收入。</w:t>
      </w:r>
    </w:p>
    <w:p w:rsidR="00000000" w:rsidRDefault="00CA422F">
      <w:pPr>
        <w:spacing w:after="240" w:line="360" w:lineRule="exact"/>
        <w:rPr>
          <w:rFonts w:hint="eastAsia"/>
        </w:rPr>
      </w:pPr>
      <w:r>
        <w:rPr>
          <w:rFonts w:hint="eastAsia"/>
        </w:rPr>
        <w:t>216</w:t>
      </w:r>
      <w:r>
        <w:rPr>
          <w:rFonts w:hint="eastAsia"/>
        </w:rPr>
        <w:t>．在一些职业和培训领域仍然存在着显著的性别分离现象，主要表现为科学技术等教育领域将女性排除在外现象。这一问题也体现在技术学院、国家职业学院、大学预科和各个大学的专业选择过程中。例如，普通学校之外的专业技术培训（国家职业学院）中的性别分类比例为</w:t>
      </w:r>
      <w:r>
        <w:rPr>
          <w:rFonts w:hint="eastAsia"/>
        </w:rPr>
        <w:t>21%</w:t>
      </w:r>
      <w:r>
        <w:rPr>
          <w:rFonts w:hint="eastAsia"/>
        </w:rPr>
        <w:t>，同女性</w:t>
      </w:r>
      <w:r>
        <w:rPr>
          <w:rFonts w:hint="eastAsia"/>
        </w:rPr>
        <w:t>45%</w:t>
      </w:r>
      <w:r>
        <w:rPr>
          <w:rFonts w:hint="eastAsia"/>
        </w:rPr>
        <w:t>的比例相比确实是一个不小的比重。国立大学中的性别分离指数有所下降（</w:t>
      </w:r>
      <w:r>
        <w:rPr>
          <w:rFonts w:hint="eastAsia"/>
        </w:rPr>
        <w:t>16.5%</w:t>
      </w:r>
      <w:r>
        <w:rPr>
          <w:rFonts w:hint="eastAsia"/>
        </w:rPr>
        <w:t>），因为女</w:t>
      </w:r>
      <w:r>
        <w:rPr>
          <w:rFonts w:hint="eastAsia"/>
        </w:rPr>
        <w:t>性占学生总人数的</w:t>
      </w:r>
      <w:r>
        <w:rPr>
          <w:rFonts w:hint="eastAsia"/>
        </w:rPr>
        <w:t>50%</w:t>
      </w:r>
      <w:r>
        <w:rPr>
          <w:rFonts w:hint="eastAsia"/>
        </w:rPr>
        <w:t>以上。不同的研究均表明性别分离的现象已经有所好转，因为女性在许多“男性化”专业中的注册人数出现了显著增长，虽然如此，女性在科学技术等专业中的注册人数仍然较少（民族国家计划，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217</w:t>
      </w:r>
      <w:r>
        <w:rPr>
          <w:rFonts w:hint="eastAsia"/>
        </w:rPr>
        <w:t>．上述这些性别分离现象反映了专门从事精密科学、自然科学、农业科学、工程学和技术等专业的女性人数稀少。国家科学技术委员会指出，</w:t>
      </w:r>
      <w:r>
        <w:rPr>
          <w:rFonts w:hint="eastAsia"/>
        </w:rPr>
        <w:t>1998</w:t>
      </w:r>
      <w:r>
        <w:rPr>
          <w:rFonts w:hint="eastAsia"/>
        </w:rPr>
        <w:t>年至</w:t>
      </w:r>
      <w:r>
        <w:rPr>
          <w:rFonts w:hint="eastAsia"/>
        </w:rPr>
        <w:t>1999</w:t>
      </w:r>
      <w:r>
        <w:rPr>
          <w:rFonts w:hint="eastAsia"/>
        </w:rPr>
        <w:t>年间，不同性别在专业“科学”领域中的参与率出现了一定的增长。增长率为</w:t>
      </w:r>
      <w:r>
        <w:rPr>
          <w:rFonts w:hint="eastAsia"/>
        </w:rPr>
        <w:t>2.2%</w:t>
      </w:r>
      <w:r>
        <w:rPr>
          <w:rFonts w:hint="eastAsia"/>
        </w:rPr>
        <w:t>，这同劳动力市场中女性技术和专业人士占</w:t>
      </w:r>
      <w:r>
        <w:rPr>
          <w:rFonts w:hint="eastAsia"/>
        </w:rPr>
        <w:t>47%</w:t>
      </w:r>
      <w:r>
        <w:rPr>
          <w:rFonts w:hint="eastAsia"/>
        </w:rPr>
        <w:t>的比例相比，增长率显然无法满足需</w:t>
      </w:r>
      <w:r>
        <w:rPr>
          <w:rFonts w:hint="eastAsia"/>
        </w:rPr>
        <w:t>要。</w:t>
      </w:r>
    </w:p>
    <w:p w:rsidR="00000000" w:rsidRDefault="00CA422F">
      <w:pPr>
        <w:spacing w:after="240" w:line="360" w:lineRule="exact"/>
        <w:rPr>
          <w:rFonts w:hint="eastAsia"/>
        </w:rPr>
      </w:pPr>
      <w:r>
        <w:rPr>
          <w:rFonts w:hint="eastAsia"/>
        </w:rPr>
        <w:t>218</w:t>
      </w:r>
      <w:r>
        <w:rPr>
          <w:rFonts w:hint="eastAsia"/>
        </w:rPr>
        <w:t>．此外，还应指出的是家庭环境在教育和择业导向中扮演的重要作用，在男女分别占据主要位置的一些职业和职位进行选择时人们普遍遭受压力。所有这些都重复或者加强了女性在教育机构中所遭受的歧视。</w:t>
      </w:r>
    </w:p>
    <w:p w:rsidR="00000000" w:rsidRDefault="00CA422F">
      <w:pPr>
        <w:spacing w:after="240" w:line="360" w:lineRule="exact"/>
        <w:rPr>
          <w:rFonts w:hint="eastAsia"/>
        </w:rPr>
      </w:pPr>
      <w:r>
        <w:rPr>
          <w:rFonts w:hint="eastAsia"/>
        </w:rPr>
        <w:t>219</w:t>
      </w:r>
      <w:r>
        <w:rPr>
          <w:rFonts w:hint="eastAsia"/>
        </w:rPr>
        <w:t>．上述这些情况表明，女性进入传统意义上性别分离的教育领域以及女性的机遇平等——特别是在科学技术教育领域——仍然是该领域里两性平等需要克服的主要困难。</w:t>
      </w:r>
    </w:p>
    <w:p w:rsidR="00000000" w:rsidRDefault="00CA422F">
      <w:pPr>
        <w:spacing w:after="240" w:line="360" w:lineRule="exact"/>
        <w:rPr>
          <w:rFonts w:hint="eastAsia"/>
        </w:rPr>
      </w:pPr>
      <w:r>
        <w:rPr>
          <w:rFonts w:hint="eastAsia"/>
        </w:rPr>
        <w:t>220</w:t>
      </w:r>
      <w:r>
        <w:rPr>
          <w:rFonts w:hint="eastAsia"/>
        </w:rPr>
        <w:t>．在</w:t>
      </w:r>
      <w:r>
        <w:rPr>
          <w:rFonts w:hint="eastAsia"/>
        </w:rPr>
        <w:t>1998</w:t>
      </w:r>
      <w:r>
        <w:rPr>
          <w:rFonts w:hint="eastAsia"/>
        </w:rPr>
        <w:t>年全国技术教育体系（</w:t>
      </w:r>
      <w:r>
        <w:rPr>
          <w:rFonts w:hint="eastAsia"/>
        </w:rPr>
        <w:t>SINETEC</w:t>
      </w:r>
      <w:r>
        <w:rPr>
          <w:rFonts w:hint="eastAsia"/>
        </w:rPr>
        <w:t>）建立以来，取得了不少重要进展。作为这一机构的组成部分的技术教育妇女委员会也接纳了来自国家妇女研究所的成员。</w:t>
      </w:r>
      <w:r>
        <w:rPr>
          <w:rFonts w:hint="eastAsia"/>
        </w:rPr>
        <w:t>全国技术教育体系的主要目标之一便是推动一项培训方案，为女性从事广泛的高收入职业提供便利条件。</w:t>
      </w:r>
    </w:p>
    <w:p w:rsidR="00000000" w:rsidRDefault="00CA422F">
      <w:pPr>
        <w:spacing w:after="240" w:line="360" w:lineRule="exact"/>
        <w:rPr>
          <w:rFonts w:hint="eastAsia"/>
        </w:rPr>
      </w:pPr>
      <w:r>
        <w:rPr>
          <w:rFonts w:hint="eastAsia"/>
        </w:rPr>
        <w:t>221</w:t>
      </w:r>
      <w:r>
        <w:rPr>
          <w:rFonts w:hint="eastAsia"/>
        </w:rPr>
        <w:t>．各个公立大学通过各自的女性研究和两性平等的专门机构，为改变大学课程设置和培训服务而采取了各项不同措施。哥斯达黎加大学于</w:t>
      </w:r>
      <w:r>
        <w:rPr>
          <w:rFonts w:hint="eastAsia"/>
        </w:rPr>
        <w:t>2001</w:t>
      </w:r>
      <w:r>
        <w:rPr>
          <w:rFonts w:hint="eastAsia"/>
        </w:rPr>
        <w:t>年提出了关于哥斯达黎加大学两性平等和公正状况的第一次报告。这一举动是以校长——高等教育机构中最高权力行使人——的帐目收益情况为基础，在各个大学中推行两性平等和公正政策的第一次尝试。除诊断之外，还提供了不少宝贵的数据，为对日后履行承诺的工作过程进行评估提供了一定的便利条件。</w:t>
      </w:r>
    </w:p>
    <w:p w:rsidR="00000000" w:rsidRDefault="00CA422F">
      <w:pPr>
        <w:spacing w:after="240" w:line="360" w:lineRule="exact"/>
        <w:rPr>
          <w:rFonts w:hint="eastAsia"/>
        </w:rPr>
      </w:pPr>
      <w:r>
        <w:rPr>
          <w:rFonts w:hint="eastAsia"/>
        </w:rPr>
        <w:t>222</w:t>
      </w:r>
      <w:r>
        <w:rPr>
          <w:rFonts w:hint="eastAsia"/>
        </w:rPr>
        <w:t>．哥</w:t>
      </w:r>
      <w:r>
        <w:rPr>
          <w:rFonts w:hint="eastAsia"/>
        </w:rPr>
        <w:t>斯达黎加政府在履行《北京行动纲要》中所作的承诺时取得的重大成就，表现为在健康、全面、以人为主而不是只涉及生殖活动的性观念前提下，将性观点引入教育领域。这一改变意味着同社会和教育体系原有的性观点决裂。因此，这一改变过程中充满了抵触、斗争和反复。</w:t>
      </w:r>
    </w:p>
    <w:p w:rsidR="00000000" w:rsidRDefault="00CA422F">
      <w:pPr>
        <w:spacing w:after="240" w:line="360" w:lineRule="exact"/>
        <w:rPr>
          <w:rFonts w:hint="eastAsia"/>
        </w:rPr>
      </w:pPr>
      <w:r>
        <w:rPr>
          <w:rFonts w:hint="eastAsia"/>
        </w:rPr>
        <w:t>223</w:t>
      </w:r>
      <w:r>
        <w:rPr>
          <w:rFonts w:hint="eastAsia"/>
        </w:rPr>
        <w:t>．</w:t>
      </w:r>
      <w:r>
        <w:rPr>
          <w:rFonts w:hint="eastAsia"/>
        </w:rPr>
        <w:t>1984</w:t>
      </w:r>
      <w:r>
        <w:rPr>
          <w:rFonts w:hint="eastAsia"/>
        </w:rPr>
        <w:t>年编写了性教育指导手册的最初几个章节，主要面向第三教育阶段（</w:t>
      </w:r>
      <w:r>
        <w:rPr>
          <w:rFonts w:hint="eastAsia"/>
        </w:rPr>
        <w:t>7</w:t>
      </w:r>
      <w:r>
        <w:rPr>
          <w:rFonts w:hint="eastAsia"/>
        </w:rPr>
        <w:t>、</w:t>
      </w:r>
      <w:r>
        <w:rPr>
          <w:rFonts w:hint="eastAsia"/>
        </w:rPr>
        <w:t>8</w:t>
      </w:r>
      <w:r>
        <w:rPr>
          <w:rFonts w:hint="eastAsia"/>
        </w:rPr>
        <w:t>和</w:t>
      </w:r>
      <w:r>
        <w:rPr>
          <w:rFonts w:hint="eastAsia"/>
        </w:rPr>
        <w:t>9</w:t>
      </w:r>
      <w:r>
        <w:rPr>
          <w:rFonts w:hint="eastAsia"/>
        </w:rPr>
        <w:t>年级）中的教师。由于天主教教会在主教会议上对该手册进行了强烈的抨击，致使为全民教育计划编写的第一版没能发行。</w:t>
      </w:r>
      <w:r>
        <w:rPr>
          <w:rFonts w:hint="eastAsia"/>
        </w:rPr>
        <w:t>1993</w:t>
      </w:r>
      <w:r>
        <w:rPr>
          <w:rFonts w:hint="eastAsia"/>
        </w:rPr>
        <w:t>年，性教育手册的内容被逐渐移植到了另一些教材中，最终出现在整个教育</w:t>
      </w:r>
      <w:r>
        <w:rPr>
          <w:rFonts w:hint="eastAsia"/>
        </w:rPr>
        <w:t>体系，包括学前教育在内的各个教育阶段。虽然形式上已经取得了这些成就，但是在实际操作中进展缓慢，主要是因为受到来自公共教育部当局及其工作人员以及一些同天主教相关组织，如主教会议等方面的抵制。</w:t>
      </w:r>
    </w:p>
    <w:p w:rsidR="00000000" w:rsidRDefault="00CA422F">
      <w:pPr>
        <w:spacing w:after="240" w:line="360" w:lineRule="exact"/>
        <w:rPr>
          <w:rFonts w:hint="eastAsia"/>
        </w:rPr>
      </w:pPr>
      <w:r>
        <w:rPr>
          <w:rFonts w:hint="eastAsia"/>
        </w:rPr>
        <w:t>224</w:t>
      </w:r>
      <w:r>
        <w:rPr>
          <w:rFonts w:hint="eastAsia"/>
        </w:rPr>
        <w:t>．</w:t>
      </w:r>
      <w:r>
        <w:rPr>
          <w:rFonts w:hint="eastAsia"/>
        </w:rPr>
        <w:t>1998</w:t>
      </w:r>
      <w:r>
        <w:rPr>
          <w:rFonts w:hint="eastAsia"/>
        </w:rPr>
        <w:t>年在罗德里格斯政府的倡导下开始执行爱与青年计划。该计划再次强调了男童、女童和青少年都有权接受教育，以便能够健康而负责地行使各自的性权利。公共教育部和其它一些社会组织和机构开展了一系列的定义以及加强和拓宽教育体系内横向范围内的性教育机会等活动。该计划的重点并不集中在某一方面，而是要成为接受正式或非正式教育的</w:t>
      </w:r>
      <w:r>
        <w:rPr>
          <w:rFonts w:hint="eastAsia"/>
        </w:rPr>
        <w:t>青少年日常生活的一部分。因而，该计划希望能够加强对少年儿童的教育，使其能够在各自的家庭以及整个社会的共同参与下实现个人和社会化的成长。该计划的主要活动包括：</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用各种方式——生理、心理、社会、司法——来表现性，也就是说，将其作为人类发展的有机组成部分。</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区分性方面的成人需求和青少年自身的需求。</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要求支持和参与不同领域和不同活动：少年儿童、父母、公务员和整个社会。</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承认少年儿童是权利的主体，他们能够负责地发表意见，参与任何社会或个体领域。这意味着同样承认少年儿童有权自觉而负责地行使他们享有的性权利。</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尽量减少女</w:t>
      </w:r>
      <w:r>
        <w:rPr>
          <w:rFonts w:hint="eastAsia"/>
        </w:rPr>
        <w:t>童和少女的怀孕现象，这些现象会妨碍她们及其子女的个人发展。</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承认少年儿童面临着其它各类危险，如自身的性别条件、性暴力和家庭暴力、信息匮乏、性教育缺乏、特别服务稀缺、对性是少年儿童全面发展的组成部分的否认、因社会、文化和经济等方面存在的巨大不平等而将一些领域排除在社会和经济发展之外等（爱与青年和构筑机会计划，</w:t>
      </w:r>
      <w:r>
        <w:rPr>
          <w:rFonts w:hint="eastAsia"/>
        </w:rPr>
        <w:t>1999</w:t>
      </w:r>
      <w:r>
        <w:rPr>
          <w:rFonts w:hint="eastAsia"/>
        </w:rPr>
        <w:t>年）。</w:t>
      </w:r>
    </w:p>
    <w:p w:rsidR="00000000" w:rsidRDefault="00CA422F">
      <w:pPr>
        <w:spacing w:after="240" w:line="360" w:lineRule="exact"/>
        <w:rPr>
          <w:rFonts w:hint="eastAsia"/>
          <w:lang w:val="es-ES"/>
        </w:rPr>
      </w:pPr>
      <w:r>
        <w:rPr>
          <w:rFonts w:hint="eastAsia"/>
          <w:lang w:val="es-ES"/>
        </w:rPr>
        <w:t>225</w:t>
      </w:r>
      <w:r>
        <w:rPr>
          <w:rFonts w:hint="eastAsia"/>
          <w:lang w:val="es-ES"/>
        </w:rPr>
        <w:t>．</w:t>
      </w:r>
      <w:r>
        <w:rPr>
          <w:lang w:val="es-ES"/>
        </w:rPr>
        <w:t>Faerrón</w:t>
      </w:r>
      <w:r>
        <w:rPr>
          <w:rFonts w:hint="eastAsia"/>
          <w:lang w:val="es-ES"/>
        </w:rPr>
        <w:t>（</w:t>
      </w:r>
      <w:r>
        <w:rPr>
          <w:rFonts w:hint="eastAsia"/>
          <w:lang w:val="es-ES"/>
        </w:rPr>
        <w:t>2002</w:t>
      </w:r>
      <w:r>
        <w:rPr>
          <w:rFonts w:hint="eastAsia"/>
          <w:lang w:val="es-ES"/>
        </w:rPr>
        <w:t>年）在其开展的一项研究中指出，在上述领域，哥斯达黎加在性教育方面制订的计划毫无成效。根据这些计划开展的教育只是在教育体系内增加性比重，作为一个广为人知的理念</w:t>
      </w:r>
      <w:r>
        <w:rPr>
          <w:rFonts w:hint="eastAsia"/>
          <w:lang w:val="es-ES"/>
        </w:rPr>
        <w:t>，而这的确已经深入少年儿童的内心。</w:t>
      </w:r>
    </w:p>
    <w:p w:rsidR="00000000" w:rsidRDefault="00CA422F">
      <w:pPr>
        <w:spacing w:after="240" w:line="360" w:lineRule="exact"/>
        <w:rPr>
          <w:rFonts w:hint="eastAsia"/>
          <w:lang w:val="es-ES"/>
        </w:rPr>
      </w:pPr>
      <w:r>
        <w:rPr>
          <w:rFonts w:hint="eastAsia"/>
          <w:lang w:val="es-ES"/>
        </w:rPr>
        <w:t>226</w:t>
      </w:r>
      <w:r>
        <w:rPr>
          <w:rFonts w:hint="eastAsia"/>
          <w:lang w:val="es-ES"/>
        </w:rPr>
        <w:t>．该计划试图在性教育过程中引入新的教育重点，并将其建立在把性作为学科之间的视角的基础之上，以人权、性别观点和辈份观点为重点，推动和要求权利、男女之间的平等关系、各个辈份之间或各自内部的对话、相互尊重以及各种价值观的和平共处。试图为现行的各类在否认、片面和主要集中在性的信息特征内容上的教育战略方针提供一项全新的选择。从这个意义上来说，爱与青年是一项力求将性纳入公共教育政策的基础并因此保障其长期的持续性的先锋计划。</w:t>
      </w:r>
    </w:p>
    <w:p w:rsidR="00000000" w:rsidRDefault="00CA422F">
      <w:pPr>
        <w:spacing w:after="240" w:line="360" w:lineRule="exact"/>
        <w:rPr>
          <w:rFonts w:hint="eastAsia"/>
          <w:lang w:val="es-ES"/>
        </w:rPr>
      </w:pPr>
      <w:r>
        <w:rPr>
          <w:rFonts w:hint="eastAsia"/>
          <w:lang w:val="es-ES"/>
        </w:rPr>
        <w:t>227</w:t>
      </w:r>
      <w:r>
        <w:rPr>
          <w:rFonts w:hint="eastAsia"/>
          <w:lang w:val="es-ES"/>
        </w:rPr>
        <w:t>．已经做出的努力不是对成人世界的不安的一种回答或</w:t>
      </w:r>
      <w:r>
        <w:rPr>
          <w:rFonts w:hint="eastAsia"/>
          <w:lang w:val="es-ES"/>
        </w:rPr>
        <w:t>结果，而是从少年儿童自身的需求和表示出发的。这些努力并非集中在个人的性与生殖保健服务上，而是对年轻女性为获得接受全面的性教育的权利做出的努力进行指导。该计划旨在完成哥斯达黎加政府在通过《儿童权利公约》、《公民发展国际会议行动纲要》和《第四次妇女问题世界会议行动纲要》时许下的诺言。第四次妇女问题世界会议承认：</w:t>
      </w:r>
    </w:p>
    <w:p w:rsidR="00000000" w:rsidRDefault="00CA422F">
      <w:pPr>
        <w:pStyle w:val="BodyTextIndent"/>
        <w:rPr>
          <w:rFonts w:eastAsia="KaiTi_GB2312" w:hint="eastAsia"/>
        </w:rPr>
      </w:pPr>
      <w:r>
        <w:rPr>
          <w:rFonts w:eastAsia="KaiTi_GB2312" w:hint="eastAsia"/>
        </w:rPr>
        <w:t>“妇女的人权包括她们在不受强迫、歧视和暴力的条件下自由和负责任地控制与其性有关的事项包括性保健和生殖保健并作出决定的权利。男女在性关系和生殖事项中的平等关系、包括对人身完整的充分尊重，需要互相尊重、同意</w:t>
      </w:r>
      <w:r>
        <w:rPr>
          <w:rFonts w:eastAsia="KaiTi_GB2312" w:hint="eastAsia"/>
        </w:rPr>
        <w:t>并愿意为性行为及其后果承担责任。”</w:t>
      </w:r>
    </w:p>
    <w:p w:rsidR="00000000" w:rsidRDefault="00CA422F">
      <w:pPr>
        <w:spacing w:after="240" w:line="360" w:lineRule="exact"/>
        <w:rPr>
          <w:rFonts w:hint="eastAsia"/>
          <w:lang w:val="es-ES"/>
        </w:rPr>
      </w:pPr>
      <w:r>
        <w:rPr>
          <w:rFonts w:hint="eastAsia"/>
          <w:lang w:val="es-ES"/>
        </w:rPr>
        <w:t>228</w:t>
      </w:r>
      <w:r>
        <w:rPr>
          <w:rFonts w:hint="eastAsia"/>
          <w:lang w:val="es-ES"/>
        </w:rPr>
        <w:t>．该计划的总体方针将技术配备放在首位，用它们对教学人员进行培训，也可以对学习计划进行审核。并将这一目标同其它针对没有接受学校教育的行动措施结合起来。主要内容涉及五个方面：培训、宣传、参与、对司法规定进行分析和调查，事实上只有三项内容能够付诸实践：培训、宣传和参与。</w:t>
      </w:r>
    </w:p>
    <w:p w:rsidR="00000000" w:rsidRDefault="00CA422F">
      <w:pPr>
        <w:spacing w:after="240" w:line="360" w:lineRule="exact"/>
        <w:rPr>
          <w:rFonts w:hint="eastAsia"/>
          <w:lang w:val="es-ES"/>
        </w:rPr>
      </w:pPr>
      <w:r>
        <w:rPr>
          <w:rFonts w:hint="eastAsia"/>
          <w:lang w:val="es-ES"/>
        </w:rPr>
        <w:t>229</w:t>
      </w:r>
      <w:r>
        <w:rPr>
          <w:rFonts w:hint="eastAsia"/>
          <w:lang w:val="es-ES"/>
        </w:rPr>
        <w:t>．在从事性教育的两个领域推行一项协调战略：在正式的课程设置中让学生接受毫无偏见的性教育，公共教育部中已经接受上述方面培训的教学、技术和管理人员开设这些课程；而非正式的课程设置则通过教育中心内的非正规</w:t>
      </w:r>
      <w:r>
        <w:rPr>
          <w:rFonts w:hint="eastAsia"/>
          <w:lang w:val="es-ES"/>
        </w:rPr>
        <w:t>学习来进行。</w:t>
      </w:r>
    </w:p>
    <w:p w:rsidR="00000000" w:rsidRDefault="00CA422F">
      <w:pPr>
        <w:spacing w:after="240" w:line="360" w:lineRule="exact"/>
        <w:rPr>
          <w:rFonts w:hint="eastAsia"/>
          <w:lang w:val="es-ES"/>
        </w:rPr>
      </w:pPr>
      <w:r>
        <w:rPr>
          <w:rFonts w:hint="eastAsia"/>
          <w:lang w:val="es-ES"/>
        </w:rPr>
        <w:t>230</w:t>
      </w:r>
      <w:r>
        <w:rPr>
          <w:rFonts w:hint="eastAsia"/>
          <w:lang w:val="es-ES"/>
        </w:rPr>
        <w:t>．性培训的基础课程（</w:t>
      </w:r>
      <w:r>
        <w:rPr>
          <w:rFonts w:hint="eastAsia"/>
          <w:lang w:val="es-ES"/>
        </w:rPr>
        <w:t>TBPS</w:t>
      </w:r>
      <w:r>
        <w:rPr>
          <w:rFonts w:hint="eastAsia"/>
          <w:lang w:val="es-ES"/>
        </w:rPr>
        <w:t>）涉及的内容包括：性生活、全面的性概念、性的生理内容和社会内容等。利用参加培训人员自身的生活经验而采取一种参与性的教学手段，对这些经验中的偏见、评价、态度和社会化进行审核，并在少年儿童的性教学方面纳入技术和理念的相关内容。作为补充，教学计划还力求收集各类批评、经历、生活经验、教学方法的实践以及对培训课程的拟订开展明确的讨论，使参加培训的人员同社区、其它教学团体、学生等保持联系，以便更好地开展性行为方面的各类活动。</w:t>
      </w:r>
    </w:p>
    <w:p w:rsidR="00000000" w:rsidRDefault="00CA422F">
      <w:pPr>
        <w:spacing w:after="240" w:line="360" w:lineRule="exact"/>
        <w:rPr>
          <w:rFonts w:hint="eastAsia"/>
          <w:lang w:val="es-ES"/>
        </w:rPr>
      </w:pPr>
      <w:r>
        <w:rPr>
          <w:rFonts w:hint="eastAsia"/>
          <w:lang w:val="es-ES"/>
        </w:rPr>
        <w:t>231</w:t>
      </w:r>
      <w:r>
        <w:rPr>
          <w:rFonts w:hint="eastAsia"/>
          <w:lang w:val="es-ES"/>
        </w:rPr>
        <w:t>．国家妇女研究所支持上述活动，并进行一定</w:t>
      </w:r>
      <w:r>
        <w:rPr>
          <w:rFonts w:hint="eastAsia"/>
          <w:lang w:val="es-ES"/>
        </w:rPr>
        <w:t>的协调，同时开展了一项“培训计划：教育部的性教学手段”。该计划已经培训了</w:t>
      </w:r>
      <w:r>
        <w:rPr>
          <w:rFonts w:hint="eastAsia"/>
          <w:lang w:val="es-ES"/>
        </w:rPr>
        <w:t>1 166</w:t>
      </w:r>
      <w:r>
        <w:rPr>
          <w:rFonts w:hint="eastAsia"/>
          <w:lang w:val="es-ES"/>
        </w:rPr>
        <w:t>名专业人士，包括来自</w:t>
      </w:r>
      <w:r>
        <w:rPr>
          <w:lang w:val="es-ES"/>
        </w:rPr>
        <w:t>德森帕拉多斯</w:t>
      </w:r>
      <w:r>
        <w:rPr>
          <w:rFonts w:hint="eastAsia"/>
          <w:lang w:val="es-ES"/>
        </w:rPr>
        <w:t>、圣卡洛斯、</w:t>
      </w:r>
      <w:r>
        <w:rPr>
          <w:rFonts w:hint="eastAsia"/>
        </w:rPr>
        <w:t>彭塔雷纳斯、利蒙、卡塔戈等省的公共教育</w:t>
      </w:r>
      <w:r>
        <w:rPr>
          <w:rFonts w:hint="eastAsia"/>
          <w:lang w:val="es-ES"/>
        </w:rPr>
        <w:t>部地方教育局、</w:t>
      </w:r>
      <w:r>
        <w:rPr>
          <w:rFonts w:hint="eastAsia"/>
          <w:lang w:val="es-ES"/>
        </w:rPr>
        <w:t>PROMECUM</w:t>
      </w:r>
      <w:r>
        <w:rPr>
          <w:rFonts w:hint="eastAsia"/>
          <w:lang w:val="es-ES"/>
        </w:rPr>
        <w:t>机构</w:t>
      </w:r>
      <w:r>
        <w:rPr>
          <w:rStyle w:val="FootnoteReference"/>
          <w:lang w:val="es-ES"/>
        </w:rPr>
        <w:footnoteReference w:customMarkFollows="1" w:id="15"/>
        <w:t>14</w:t>
      </w:r>
      <w:r>
        <w:rPr>
          <w:rFonts w:hint="eastAsia"/>
          <w:lang w:val="es-ES"/>
        </w:rPr>
        <w:t>和土著机构等部门的教师、技术和管理人员。该计划使得这些教学人员工作的教育机构能够开始执行性教育教学手段计划，其中包括对教学人员、学生及其家庭开展的正式和非正式的男女平等宣传指导活动。</w:t>
      </w:r>
    </w:p>
    <w:p w:rsidR="00000000" w:rsidRDefault="00CA422F">
      <w:pPr>
        <w:spacing w:after="240" w:line="360" w:lineRule="exact"/>
        <w:rPr>
          <w:rFonts w:hint="eastAsia"/>
          <w:lang w:val="es-ES"/>
        </w:rPr>
      </w:pPr>
      <w:r>
        <w:rPr>
          <w:rFonts w:hint="eastAsia"/>
          <w:lang w:val="es-ES"/>
        </w:rPr>
        <w:t>232</w:t>
      </w:r>
      <w:r>
        <w:rPr>
          <w:rFonts w:hint="eastAsia"/>
          <w:lang w:val="es-ES"/>
        </w:rPr>
        <w:t>．另一方面，一些地方活动同样是为了在承认儿童享有性权利的基础上，借助社区活动，把性纳入日常的工作日程中。与此同时，社区领</w:t>
      </w:r>
      <w:r>
        <w:rPr>
          <w:rFonts w:hint="eastAsia"/>
          <w:lang w:val="es-ES"/>
        </w:rPr>
        <w:t>导委员会也为少年儿童更加自由地谈论自己的性生活提供了可能，他们可以在一个开放的环境中公开谈论，而无需担心自己会受到指责或会被人无端打断自己的思路。</w:t>
      </w:r>
    </w:p>
    <w:p w:rsidR="00000000" w:rsidRDefault="00CA422F">
      <w:pPr>
        <w:spacing w:after="240" w:line="360" w:lineRule="exact"/>
        <w:rPr>
          <w:rFonts w:hint="eastAsia"/>
          <w:lang w:val="es-ES"/>
        </w:rPr>
      </w:pPr>
      <w:r>
        <w:rPr>
          <w:rFonts w:hint="eastAsia"/>
          <w:lang w:val="es-ES"/>
        </w:rPr>
        <w:t>233</w:t>
      </w:r>
      <w:r>
        <w:rPr>
          <w:rFonts w:hint="eastAsia"/>
          <w:lang w:val="es-ES"/>
        </w:rPr>
        <w:t>．</w:t>
      </w:r>
      <w:r>
        <w:rPr>
          <w:rFonts w:hint="eastAsia"/>
          <w:spacing w:val="4"/>
          <w:lang w:val="es-ES"/>
        </w:rPr>
        <w:t>“爱与青年”引进了其它国家，特别是墨西哥、哥伦比亚和智利等国的相关经验。采用最先由智利使用、随后被墨西哥、巴西、玻利维亚和阿根廷借鉴的模式，举办了“情感与性讨论大会”。这次大会为“爱与青年”计划走出教育体系提供了一定的可能性，但是，该计划的具体执行却异常艰难。一方面由于采取的教学手段遭到了专业人员的抵触；另一方面，号召社区开展活动情况复杂，有时教学人员或</w:t>
      </w:r>
      <w:r>
        <w:rPr>
          <w:rFonts w:hint="eastAsia"/>
          <w:spacing w:val="4"/>
          <w:lang w:val="es-ES"/>
        </w:rPr>
        <w:t>社区本身对参与活动没有任何兴趣。此外，这次大会召开的时间也不允许在社区或某个群体中开展更为实际的伴随活动。</w:t>
      </w:r>
    </w:p>
    <w:p w:rsidR="00000000" w:rsidRDefault="00CA422F">
      <w:pPr>
        <w:spacing w:after="240" w:line="360" w:lineRule="exact"/>
        <w:rPr>
          <w:rFonts w:hint="eastAsia"/>
          <w:lang w:val="es-ES"/>
        </w:rPr>
      </w:pPr>
      <w:r>
        <w:rPr>
          <w:rFonts w:hint="eastAsia"/>
          <w:lang w:val="es-ES"/>
        </w:rPr>
        <w:t>234</w:t>
      </w:r>
      <w:r>
        <w:rPr>
          <w:rFonts w:hint="eastAsia"/>
          <w:lang w:val="es-ES"/>
        </w:rPr>
        <w:t>．该计划在执行过程中遇到了来自教育部当局及其工作人员的抵制，受到了新保守团体和主教大会的强烈反对。这种状况导致了政府和天主教教会的协商，其结果便是修改该计划的哲学理念和战略方针。正如</w:t>
      </w:r>
      <w:r>
        <w:rPr>
          <w:lang w:val="es-ES"/>
        </w:rPr>
        <w:t>Faerrón</w:t>
      </w:r>
      <w:r>
        <w:rPr>
          <w:rFonts w:hint="eastAsia"/>
          <w:lang w:val="es-ES"/>
        </w:rPr>
        <w:t>在对该计划的评价中指出的那样（</w:t>
      </w:r>
      <w:r>
        <w:rPr>
          <w:rFonts w:hint="eastAsia"/>
          <w:lang w:val="es-ES"/>
        </w:rPr>
        <w:t>2002</w:t>
      </w:r>
      <w:r>
        <w:rPr>
          <w:rFonts w:hint="eastAsia"/>
          <w:lang w:val="es-ES"/>
        </w:rPr>
        <w:t>年：</w:t>
      </w:r>
      <w:r>
        <w:rPr>
          <w:rFonts w:hint="eastAsia"/>
          <w:lang w:val="es-ES"/>
        </w:rPr>
        <w:t>143</w:t>
      </w:r>
      <w:r>
        <w:rPr>
          <w:rFonts w:hint="eastAsia"/>
          <w:lang w:val="es-ES"/>
        </w:rPr>
        <w:t>－</w:t>
      </w:r>
      <w:r>
        <w:rPr>
          <w:rFonts w:hint="eastAsia"/>
          <w:lang w:val="es-ES"/>
        </w:rPr>
        <w:t>144</w:t>
      </w:r>
      <w:r>
        <w:rPr>
          <w:rFonts w:hint="eastAsia"/>
          <w:lang w:val="es-ES"/>
        </w:rPr>
        <w:t>）：</w:t>
      </w:r>
    </w:p>
    <w:p w:rsidR="00000000" w:rsidRDefault="00CA422F" w:rsidP="00CA422F">
      <w:pPr>
        <w:spacing w:after="240" w:line="360" w:lineRule="exact"/>
        <w:ind w:leftChars="200" w:left="31680" w:firstLineChars="200" w:firstLine="31680"/>
        <w:rPr>
          <w:rFonts w:eastAsia="KaiTi_GB2312" w:hint="eastAsia"/>
          <w:lang w:val="es-ES"/>
        </w:rPr>
      </w:pPr>
      <w:r>
        <w:rPr>
          <w:rFonts w:hint="eastAsia"/>
          <w:lang w:val="es-ES"/>
        </w:rPr>
        <w:t>……</w:t>
      </w:r>
      <w:r>
        <w:rPr>
          <w:rFonts w:eastAsia="KaiTi_GB2312" w:hint="eastAsia"/>
          <w:lang w:val="es-ES"/>
        </w:rPr>
        <w:t>爱与青年计划激发并唤起了许多希望，因为该计划通过对青少年以及成年人的性行为的现状进行批评性评价而涉足性这一敏感话题。该计划在组织范畴、概</w:t>
      </w:r>
      <w:r>
        <w:rPr>
          <w:rFonts w:eastAsia="KaiTi_GB2312" w:hint="eastAsia"/>
          <w:lang w:val="es-ES"/>
        </w:rPr>
        <w:t>念范畴和司法范畴内为性政策的建立奠定了基础。然而，许多人仍然害怕将其头脑中的盘算公之于众，因此，正如过去的经验表明的那样，在培训计划、地方活动和社区大会等开展的每一项实际行动战略中，都会不断出现反对该计划的团体或部门。正因如此，爱与青年计划提出的建议才会遭到天主教教会的批驳。</w:t>
      </w:r>
    </w:p>
    <w:p w:rsidR="00000000" w:rsidRDefault="00CA422F">
      <w:pPr>
        <w:spacing w:after="240" w:line="360" w:lineRule="exact"/>
        <w:rPr>
          <w:rFonts w:hint="eastAsia"/>
          <w:lang w:val="es-ES"/>
        </w:rPr>
      </w:pPr>
      <w:r>
        <w:rPr>
          <w:rFonts w:hint="eastAsia"/>
          <w:lang w:val="es-ES"/>
        </w:rPr>
        <w:t>235</w:t>
      </w:r>
      <w:r>
        <w:rPr>
          <w:rFonts w:hint="eastAsia"/>
          <w:lang w:val="es-ES"/>
        </w:rPr>
        <w:t>．这一过程加强了对该话题的不能容忍，同时还加重了公开谈论此话题的困难。此外，还表明天主教教会仍然具有强大的威慑力，对人们享有的受教育权利和日常生活中的重大问题仍能施加一定的压力。所有这些都同《政治宪法》保护宗教自由的权利完全背道</w:t>
      </w:r>
      <w:r>
        <w:rPr>
          <w:rFonts w:hint="eastAsia"/>
          <w:lang w:val="es-ES"/>
        </w:rPr>
        <w:t>而驰。</w:t>
      </w:r>
    </w:p>
    <w:p w:rsidR="00000000" w:rsidRDefault="00CA422F">
      <w:pPr>
        <w:spacing w:after="240" w:line="360" w:lineRule="exact"/>
        <w:rPr>
          <w:rFonts w:hint="eastAsia"/>
          <w:lang w:val="es-ES"/>
        </w:rPr>
      </w:pPr>
      <w:r>
        <w:rPr>
          <w:rFonts w:hint="eastAsia"/>
          <w:lang w:val="es-ES"/>
        </w:rPr>
        <w:t>236</w:t>
      </w:r>
      <w:r>
        <w:rPr>
          <w:rFonts w:hint="eastAsia"/>
          <w:lang w:val="es-ES"/>
        </w:rPr>
        <w:t>．该计划继续为教员、地方活动和社区大会开办培训课程，但是其培训的重点已经发生了变化，以传授性与生殖保健知识为主，而不再要求我们对性的原有认识进行反思，也不再教导我们如何既负责而又完整地行使这项人权。研究期间，哥斯达黎加社会保险公司主要向青少年提供性信息和性导向，“跟我说”电话热线仍在继续投入使用。</w:t>
      </w:r>
    </w:p>
    <w:p w:rsidR="00000000" w:rsidRDefault="00CA422F">
      <w:pPr>
        <w:spacing w:after="240" w:line="360" w:lineRule="exact"/>
        <w:rPr>
          <w:rFonts w:hint="eastAsia"/>
          <w:lang w:val="es-ES"/>
        </w:rPr>
      </w:pPr>
      <w:r>
        <w:rPr>
          <w:rFonts w:hint="eastAsia"/>
          <w:lang w:val="es-ES"/>
        </w:rPr>
        <w:t>237</w:t>
      </w:r>
      <w:r>
        <w:rPr>
          <w:rFonts w:hint="eastAsia"/>
          <w:lang w:val="es-ES"/>
        </w:rPr>
        <w:t>．上述这些经验表明，现在环境中的公共政策并不是不带任何意识形态色彩的中立措施，也不是来自一方的决策结果，而是政府为了更好地面对来自社会发展和社会秩序中的意识形态的指责而采取的一项协调方式。因此</w:t>
      </w:r>
      <w:r>
        <w:rPr>
          <w:rFonts w:hint="eastAsia"/>
          <w:lang w:val="es-ES"/>
        </w:rPr>
        <w:t>，如果能够明确推动这一方面发生重大变化的战略是公共政策，尤其是教育政策的一种表现形式，那么就不难理解为什么说这是政府同社会的特殊联系方式，其目的是在协商而不是强迫执行的基础上合理组织社会秩序。</w:t>
      </w:r>
    </w:p>
    <w:p w:rsidR="00000000" w:rsidRDefault="00CA422F">
      <w:pPr>
        <w:spacing w:after="240" w:line="360" w:lineRule="exact"/>
        <w:jc w:val="center"/>
        <w:rPr>
          <w:rFonts w:eastAsia="SimHei" w:hint="eastAsia"/>
          <w:sz w:val="24"/>
          <w:lang w:val="es-ES"/>
        </w:rPr>
      </w:pPr>
      <w:r>
        <w:rPr>
          <w:rFonts w:eastAsia="SimHei" w:hint="eastAsia"/>
          <w:sz w:val="24"/>
          <w:lang w:val="es-ES"/>
        </w:rPr>
        <w:t>用作广告宣传目的的女性形象</w:t>
      </w:r>
    </w:p>
    <w:p w:rsidR="00000000" w:rsidRDefault="00CA422F">
      <w:pPr>
        <w:spacing w:after="240" w:line="360" w:lineRule="exact"/>
        <w:rPr>
          <w:rFonts w:hint="eastAsia"/>
        </w:rPr>
      </w:pPr>
      <w:r>
        <w:rPr>
          <w:rFonts w:hint="eastAsia"/>
          <w:lang w:val="es-ES"/>
        </w:rPr>
        <w:t>238</w:t>
      </w:r>
      <w:r>
        <w:rPr>
          <w:rFonts w:hint="eastAsia"/>
          <w:lang w:val="es-ES"/>
        </w:rPr>
        <w:t>．面对妇女遭受的来自大众媒体的暴力伤害以及将其形象用作商业目的的行为，已经制订了两项保护法律：《</w:t>
      </w:r>
      <w:r>
        <w:rPr>
          <w:rFonts w:hint="eastAsia"/>
          <w:lang w:val="es-ES"/>
        </w:rPr>
        <w:t>7440</w:t>
      </w:r>
      <w:r>
        <w:rPr>
          <w:rFonts w:hint="eastAsia"/>
          <w:lang w:val="es-ES"/>
        </w:rPr>
        <w:t>号公共演出控制法》和包括妇女远离</w:t>
      </w:r>
      <w:r>
        <w:rPr>
          <w:rFonts w:hint="eastAsia"/>
        </w:rPr>
        <w:t>商业宣传的《</w:t>
      </w:r>
      <w:r>
        <w:rPr>
          <w:rFonts w:hint="eastAsia"/>
        </w:rPr>
        <w:t>5811</w:t>
      </w:r>
      <w:r>
        <w:rPr>
          <w:rFonts w:hint="eastAsia"/>
        </w:rPr>
        <w:t>号法律》。政府在这方面一直表现得非常软弱，对大众媒体中包括商业化宣传中无视人类尊严而使用妇女形象在内的性别暴力行为的控制力度也不</w:t>
      </w:r>
      <w:r>
        <w:rPr>
          <w:rFonts w:hint="eastAsia"/>
        </w:rPr>
        <w:t>够。这一领域内缺乏明确而持续的国家政策来保障例如面对来自私人企业（如广告公司和传媒公司等）的压力。此外，在提出的反对这些机制第一部分的保护法案获得通过之后，现行的保护制度将受到严重的威胁。目前宪法法庭还没有通过这项保护法案。</w:t>
      </w:r>
    </w:p>
    <w:p w:rsidR="00000000" w:rsidRDefault="00CA422F">
      <w:pPr>
        <w:pStyle w:val="BodyTextIndent"/>
        <w:ind w:left="540" w:hanging="540"/>
        <w:jc w:val="center"/>
        <w:rPr>
          <w:rFonts w:eastAsia="SimHei" w:hint="eastAsia"/>
          <w:sz w:val="24"/>
        </w:rPr>
      </w:pPr>
      <w:r>
        <w:br w:type="page"/>
      </w:r>
      <w:r>
        <w:rPr>
          <w:rFonts w:eastAsia="SimHei" w:hint="eastAsia"/>
          <w:sz w:val="24"/>
        </w:rPr>
        <w:t>第六条：禁止一切形式的贩卖妇女和强迫妇女卖淫对她们进行剥削的行为</w:t>
      </w:r>
    </w:p>
    <w:p w:rsidR="00000000" w:rsidRDefault="00CA422F">
      <w:pPr>
        <w:spacing w:after="240" w:line="360" w:lineRule="exact"/>
        <w:rPr>
          <w:rFonts w:eastAsia="KaiTi_GB2312"/>
        </w:rPr>
      </w:pPr>
      <w:r>
        <w:rPr>
          <w:rFonts w:eastAsia="SimHei" w:hint="eastAsia"/>
        </w:rPr>
        <w:t>第六条</w:t>
      </w:r>
      <w:r>
        <w:rPr>
          <w:rFonts w:eastAsia="KaiTi_GB2312" w:hint="eastAsia"/>
        </w:rPr>
        <w:t>：缔约各国应采取一切适当措施，包括制定法律，以禁止一切形式贩卖妇女和强迫妇女卖淫对她们进行剥削的行为。</w:t>
      </w:r>
    </w:p>
    <w:p w:rsidR="00000000" w:rsidRDefault="00CA422F">
      <w:pPr>
        <w:spacing w:after="240" w:line="360" w:lineRule="exact"/>
        <w:jc w:val="center"/>
        <w:rPr>
          <w:rFonts w:eastAsia="SimHei" w:hint="eastAsia"/>
          <w:sz w:val="24"/>
        </w:rPr>
      </w:pPr>
      <w:r>
        <w:rPr>
          <w:rFonts w:eastAsia="SimHei" w:hint="eastAsia"/>
          <w:sz w:val="24"/>
        </w:rPr>
        <w:t>性剥削和强迫女童和少女卖淫</w:t>
      </w:r>
    </w:p>
    <w:p w:rsidR="00000000" w:rsidRDefault="00CA422F">
      <w:pPr>
        <w:spacing w:after="240" w:line="360" w:lineRule="exact"/>
        <w:rPr>
          <w:rFonts w:hint="eastAsia"/>
        </w:rPr>
      </w:pPr>
      <w:r>
        <w:rPr>
          <w:rFonts w:hint="eastAsia"/>
        </w:rPr>
        <w:t>239</w:t>
      </w:r>
      <w:r>
        <w:rPr>
          <w:rFonts w:hint="eastAsia"/>
        </w:rPr>
        <w:t>．在本领域内影响最深远的进步是</w:t>
      </w:r>
      <w:r>
        <w:rPr>
          <w:rFonts w:hint="eastAsia"/>
        </w:rPr>
        <w:t>1999</w:t>
      </w:r>
      <w:r>
        <w:rPr>
          <w:rFonts w:hint="eastAsia"/>
        </w:rPr>
        <w:t>年颁布了《打击对未成年人的色情剥削法</w:t>
      </w:r>
      <w:r>
        <w:rPr>
          <w:rFonts w:hint="eastAsia"/>
        </w:rPr>
        <w:t>》</w:t>
      </w:r>
      <w:r>
        <w:rPr>
          <w:rStyle w:val="FootnoteReference"/>
        </w:rPr>
        <w:footnoteReference w:customMarkFollows="1" w:id="16"/>
        <w:t>15</w:t>
      </w:r>
      <w:r>
        <w:rPr>
          <w:rFonts w:hint="eastAsia"/>
        </w:rPr>
        <w:t>（</w:t>
      </w:r>
      <w:r>
        <w:rPr>
          <w:rFonts w:hint="eastAsia"/>
        </w:rPr>
        <w:t>7899</w:t>
      </w:r>
      <w:r>
        <w:rPr>
          <w:rFonts w:hint="eastAsia"/>
        </w:rPr>
        <w:t>号法律），以及组建性犯罪检察官办公室（</w:t>
      </w:r>
      <w:r>
        <w:rPr>
          <w:rFonts w:hint="eastAsia"/>
        </w:rPr>
        <w:t>1998</w:t>
      </w:r>
      <w:r>
        <w:rPr>
          <w:rFonts w:hint="eastAsia"/>
        </w:rPr>
        <w:t>年）和在公共安全部（</w:t>
      </w:r>
      <w:r>
        <w:rPr>
          <w:rFonts w:hint="eastAsia"/>
        </w:rPr>
        <w:t>MSP</w:t>
      </w:r>
      <w:r>
        <w:rPr>
          <w:rFonts w:hint="eastAsia"/>
        </w:rPr>
        <w:t>）中设立性剥削问题司。</w:t>
      </w:r>
    </w:p>
    <w:p w:rsidR="00000000" w:rsidRDefault="00CA422F">
      <w:pPr>
        <w:spacing w:after="240" w:line="360" w:lineRule="exact"/>
        <w:rPr>
          <w:rFonts w:hint="eastAsia"/>
        </w:rPr>
      </w:pPr>
      <w:r>
        <w:rPr>
          <w:rFonts w:hint="eastAsia"/>
        </w:rPr>
        <w:t>240</w:t>
      </w:r>
      <w:r>
        <w:rPr>
          <w:rFonts w:hint="eastAsia"/>
        </w:rPr>
        <w:t>．针对女童和少女的商业色情性剥削是性暴力的一种形式，是“……以性交易为目的贩卖女童、男童和少年、驱使该群体的成员从事性交易或者卖淫以及进行色情活动”（国家政府报告，</w:t>
      </w:r>
      <w:r>
        <w:rPr>
          <w:rFonts w:hint="eastAsia"/>
        </w:rPr>
        <w:t>2001</w:t>
      </w:r>
      <w:r>
        <w:rPr>
          <w:rFonts w:hint="eastAsia"/>
        </w:rPr>
        <w:t>年），对受害者的生活及其周边社会造成了严重的伤害。《打击以未成年人为对象的性剥削法》通过之前，每年涉及贩卖儿童和妇女、败坏未成年人和介绍卖淫的控告大概有</w:t>
      </w:r>
      <w:r>
        <w:rPr>
          <w:rFonts w:hint="eastAsia"/>
        </w:rPr>
        <w:t>82</w:t>
      </w:r>
      <w:r>
        <w:rPr>
          <w:rFonts w:hint="eastAsia"/>
        </w:rPr>
        <w:t>宗。在这一类型的侵犯人权的行为中——特别是侵害未成年人人权的行为被</w:t>
      </w:r>
      <w:r>
        <w:rPr>
          <w:rFonts w:hint="eastAsia"/>
        </w:rPr>
        <w:t>界定为犯罪之后，诉讼由</w:t>
      </w:r>
      <w:r>
        <w:rPr>
          <w:rFonts w:hint="eastAsia"/>
        </w:rPr>
        <w:t>1999</w:t>
      </w:r>
      <w:r>
        <w:rPr>
          <w:rFonts w:hint="eastAsia"/>
        </w:rPr>
        <w:t>年的</w:t>
      </w:r>
      <w:r>
        <w:rPr>
          <w:rFonts w:hint="eastAsia"/>
        </w:rPr>
        <w:t>185</w:t>
      </w:r>
      <w:r>
        <w:rPr>
          <w:rFonts w:hint="eastAsia"/>
        </w:rPr>
        <w:t>宗增加到</w:t>
      </w:r>
      <w:r>
        <w:rPr>
          <w:rFonts w:hint="eastAsia"/>
        </w:rPr>
        <w:t>2000</w:t>
      </w:r>
      <w:r>
        <w:rPr>
          <w:rFonts w:hint="eastAsia"/>
        </w:rPr>
        <w:t>年的</w:t>
      </w:r>
      <w:r>
        <w:rPr>
          <w:rFonts w:hint="eastAsia"/>
        </w:rPr>
        <w:t>345</w:t>
      </w:r>
      <w:r>
        <w:rPr>
          <w:rFonts w:hint="eastAsia"/>
        </w:rPr>
        <w:t>宗（司法机构，</w:t>
      </w:r>
      <w:r>
        <w:rPr>
          <w:rFonts w:hint="eastAsia"/>
        </w:rPr>
        <w:t>2001</w:t>
      </w:r>
      <w:r>
        <w:rPr>
          <w:rFonts w:hint="eastAsia"/>
        </w:rPr>
        <w:t>年）。</w:t>
      </w:r>
    </w:p>
    <w:p w:rsidR="00000000" w:rsidRDefault="00CA422F">
      <w:pPr>
        <w:spacing w:after="240" w:line="360" w:lineRule="exact"/>
        <w:rPr>
          <w:rFonts w:hint="eastAsia"/>
        </w:rPr>
      </w:pPr>
      <w:r>
        <w:rPr>
          <w:rFonts w:hint="eastAsia"/>
        </w:rPr>
        <w:t>241</w:t>
      </w:r>
      <w:r>
        <w:rPr>
          <w:rFonts w:hint="eastAsia"/>
        </w:rPr>
        <w:t>．通过</w:t>
      </w:r>
      <w:r>
        <w:rPr>
          <w:rFonts w:hint="eastAsia"/>
        </w:rPr>
        <w:t>7899</w:t>
      </w:r>
      <w:r>
        <w:rPr>
          <w:rFonts w:hint="eastAsia"/>
        </w:rPr>
        <w:t>号法律，哥斯达黎加接受了相关的国际法原则和理解性剥削现象及问题的一种新规范。为了取缔公认的三种对儿童性剥削的形式，国家承认这是一种涉及侵犯人权和进行性剥削的行为，而不是遭受侵犯的受害者的堕落行径。这样，必须为此负责的是唆使和煽动的个人和团体，而非受害者本人。当前行动的重点是制裁犯罪行为和惩罚犯罪责任人，同时保护和帮助女童、男童和少年。</w:t>
      </w:r>
    </w:p>
    <w:p w:rsidR="00000000" w:rsidRDefault="00CA422F">
      <w:pPr>
        <w:spacing w:after="240" w:line="360" w:lineRule="exact"/>
        <w:rPr>
          <w:rFonts w:hint="eastAsia"/>
        </w:rPr>
      </w:pPr>
      <w:r>
        <w:rPr>
          <w:rFonts w:hint="eastAsia"/>
        </w:rPr>
        <w:t>242</w:t>
      </w:r>
      <w:r>
        <w:rPr>
          <w:rFonts w:hint="eastAsia"/>
        </w:rPr>
        <w:t>．以未成人为对象的性剥削问题在全国范围内逐渐被承认，</w:t>
      </w:r>
      <w:r>
        <w:rPr>
          <w:rFonts w:hint="eastAsia"/>
        </w:rPr>
        <w:t>这方面取得了进展，尽管某些部门依然拒绝承认这个问题或者贬低其严重程度。鉴于正确确定了犯罪原因和犯罪责任，性剥削问题的定义得到了认可。另外，还了解和认识了教唆和对儿童性剥削的犯罪人的行动方式。</w:t>
      </w:r>
    </w:p>
    <w:p w:rsidR="00000000" w:rsidRDefault="00CA422F">
      <w:pPr>
        <w:spacing w:after="240" w:line="360" w:lineRule="exact"/>
        <w:rPr>
          <w:rFonts w:hint="eastAsia"/>
        </w:rPr>
      </w:pPr>
      <w:r>
        <w:rPr>
          <w:rFonts w:hint="eastAsia"/>
        </w:rPr>
        <w:t>243</w:t>
      </w:r>
      <w:r>
        <w:rPr>
          <w:rFonts w:hint="eastAsia"/>
        </w:rPr>
        <w:t>．</w:t>
      </w:r>
      <w:r>
        <w:rPr>
          <w:rFonts w:hint="eastAsia"/>
        </w:rPr>
        <w:t>1998</w:t>
      </w:r>
      <w:r>
        <w:rPr>
          <w:rFonts w:hint="eastAsia"/>
        </w:rPr>
        <w:t>年</w:t>
      </w:r>
      <w:r>
        <w:rPr>
          <w:rFonts w:hint="eastAsia"/>
        </w:rPr>
        <w:t>1</w:t>
      </w:r>
      <w:r>
        <w:rPr>
          <w:rFonts w:hint="eastAsia"/>
        </w:rPr>
        <w:t>月组建了性犯罪和家庭暴力特别检察官办公室。它隶属于检察院，负责受理、处理和调查性犯罪。根据司法机关的报告，截止</w:t>
      </w:r>
      <w:r>
        <w:rPr>
          <w:rFonts w:hint="eastAsia"/>
        </w:rPr>
        <w:t>2001</w:t>
      </w:r>
      <w:r>
        <w:rPr>
          <w:rFonts w:hint="eastAsia"/>
        </w:rPr>
        <w:t>年</w:t>
      </w:r>
      <w:r>
        <w:rPr>
          <w:rFonts w:hint="eastAsia"/>
        </w:rPr>
        <w:t>1</w:t>
      </w:r>
      <w:r>
        <w:rPr>
          <w:rFonts w:hint="eastAsia"/>
        </w:rPr>
        <w:t>月，该机构已经受理了总计</w:t>
      </w:r>
      <w:r>
        <w:rPr>
          <w:rFonts w:hint="eastAsia"/>
        </w:rPr>
        <w:t>309</w:t>
      </w:r>
      <w:r>
        <w:rPr>
          <w:rFonts w:hint="eastAsia"/>
        </w:rPr>
        <w:t>宗涉及介绍卖淫和严重败坏未成年人的案件，其中有</w:t>
      </w:r>
      <w:r>
        <w:rPr>
          <w:rFonts w:hint="eastAsia"/>
        </w:rPr>
        <w:t>136</w:t>
      </w:r>
      <w:r>
        <w:rPr>
          <w:rFonts w:hint="eastAsia"/>
        </w:rPr>
        <w:t>件正在调查之中。截止当时，还对</w:t>
      </w:r>
      <w:r>
        <w:rPr>
          <w:rFonts w:hint="eastAsia"/>
        </w:rPr>
        <w:t>47</w:t>
      </w:r>
      <w:r>
        <w:rPr>
          <w:rFonts w:hint="eastAsia"/>
        </w:rPr>
        <w:t>人提出起诉，其中有</w:t>
      </w:r>
      <w:r>
        <w:rPr>
          <w:rFonts w:hint="eastAsia"/>
        </w:rPr>
        <w:t>5</w:t>
      </w:r>
      <w:r>
        <w:rPr>
          <w:rFonts w:hint="eastAsia"/>
        </w:rPr>
        <w:t>人已经被定罪，受到了法律的制裁。尽管如此，</w:t>
      </w:r>
      <w:r>
        <w:rPr>
          <w:rFonts w:hint="eastAsia"/>
        </w:rPr>
        <w:t>几乎没有一个剥削者——客户受到审理（国家妇女研究所，</w:t>
      </w:r>
      <w:r>
        <w:rPr>
          <w:rFonts w:hint="eastAsia"/>
        </w:rPr>
        <w:t>2002</w:t>
      </w:r>
      <w:r>
        <w:rPr>
          <w:rFonts w:hint="eastAsia"/>
        </w:rPr>
        <w:t>年）。</w:t>
      </w:r>
    </w:p>
    <w:p w:rsidR="00000000" w:rsidRDefault="00CA422F">
      <w:pPr>
        <w:spacing w:after="240" w:line="360" w:lineRule="exact"/>
        <w:rPr>
          <w:rFonts w:hint="eastAsia"/>
        </w:rPr>
      </w:pPr>
      <w:r>
        <w:rPr>
          <w:rFonts w:hint="eastAsia"/>
        </w:rPr>
        <w:t>244</w:t>
      </w:r>
      <w:r>
        <w:rPr>
          <w:rFonts w:hint="eastAsia"/>
        </w:rPr>
        <w:t>．</w:t>
      </w:r>
      <w:r>
        <w:rPr>
          <w:rFonts w:hint="eastAsia"/>
        </w:rPr>
        <w:t>1998</w:t>
      </w:r>
      <w:r>
        <w:rPr>
          <w:rFonts w:hint="eastAsia"/>
        </w:rPr>
        <w:t>年成立了特蕾阿姨之家。这是一个非国有的公共机构，是哥斯达黎加唯一一家专门的长期收容机构，负责照料那些遭受商业色情剥削侵害的女童和男童。与之类似，多个致力于照顾社会危难人群的非政府组织也加入到预防和处理对儿童的性剥削问题的行列之中。联盟之家是其中表现最突出的非政府组织，它已经开始公开揭露、调查和检举这一现象。</w:t>
      </w:r>
    </w:p>
    <w:p w:rsidR="00000000" w:rsidRDefault="00CA422F">
      <w:pPr>
        <w:spacing w:after="240" w:line="360" w:lineRule="exact"/>
        <w:rPr>
          <w:rFonts w:hint="eastAsia"/>
        </w:rPr>
      </w:pPr>
      <w:r>
        <w:rPr>
          <w:rFonts w:hint="eastAsia"/>
        </w:rPr>
        <w:t>245</w:t>
      </w:r>
      <w:r>
        <w:rPr>
          <w:rFonts w:hint="eastAsia"/>
        </w:rPr>
        <w:t>．同样，多个国家机关也开始围绕这一问题开展培训活动、提高公众对儿童遭受性剥削问题的认识并编写相关材料。司法部、国</w:t>
      </w:r>
      <w:r>
        <w:rPr>
          <w:rFonts w:hint="eastAsia"/>
        </w:rPr>
        <w:t>家妇女研究所、国家儿童保护组织（</w:t>
      </w:r>
      <w:r>
        <w:rPr>
          <w:rFonts w:hint="eastAsia"/>
        </w:rPr>
        <w:t>PANI</w:t>
      </w:r>
      <w:r>
        <w:rPr>
          <w:rFonts w:hint="eastAsia"/>
        </w:rPr>
        <w:t>）是其中表现最为突出的国家机构。这些机构还与哥斯达黎加旅游协会合作，联手打击性旅游业。另一方面，居民保护组织也就这一问题颁布了指导标准和建议。在努力组建工作团队的过程中，为了培训那些负责处理对儿童的性剥削问题的工作人员，国家司法机关优化委员会（</w:t>
      </w:r>
      <w:r>
        <w:rPr>
          <w:rFonts w:hint="eastAsia"/>
        </w:rPr>
        <w:t xml:space="preserve"> CONAMAJ</w:t>
      </w:r>
      <w:r>
        <w:rPr>
          <w:rFonts w:hint="eastAsia"/>
        </w:rPr>
        <w:t>）在司法机构各个部门中实施了一个专门的培训方案。</w:t>
      </w:r>
    </w:p>
    <w:p w:rsidR="00000000" w:rsidRDefault="00CA422F">
      <w:pPr>
        <w:spacing w:after="240" w:line="360" w:lineRule="exact"/>
        <w:rPr>
          <w:rFonts w:hint="eastAsia"/>
        </w:rPr>
      </w:pPr>
      <w:r>
        <w:rPr>
          <w:rFonts w:hint="eastAsia"/>
        </w:rPr>
        <w:t>246</w:t>
      </w:r>
      <w:r>
        <w:rPr>
          <w:rFonts w:hint="eastAsia"/>
        </w:rPr>
        <w:t>．反对商业色情剥削全国常务工作委员会（</w:t>
      </w:r>
      <w:r>
        <w:rPr>
          <w:rFonts w:hint="eastAsia"/>
        </w:rPr>
        <w:t xml:space="preserve">CONACOES </w:t>
      </w:r>
      <w:r>
        <w:rPr>
          <w:rFonts w:hint="eastAsia"/>
        </w:rPr>
        <w:t>）成立于</w:t>
      </w:r>
      <w:r>
        <w:rPr>
          <w:rFonts w:hint="eastAsia"/>
        </w:rPr>
        <w:t>1997</w:t>
      </w:r>
      <w:r>
        <w:rPr>
          <w:rFonts w:hint="eastAsia"/>
        </w:rPr>
        <w:t>年，现已完成了机构重组并且调整了它的工作方向。该工作委员会汇集了民间社会和政府机构的</w:t>
      </w:r>
      <w:r>
        <w:rPr>
          <w:rFonts w:hint="eastAsia"/>
        </w:rPr>
        <w:t>代表。尽管如此，</w:t>
      </w:r>
      <w:r>
        <w:rPr>
          <w:rFonts w:hint="eastAsia"/>
        </w:rPr>
        <w:t>2001</w:t>
      </w:r>
      <w:r>
        <w:rPr>
          <w:rFonts w:hint="eastAsia"/>
        </w:rPr>
        <w:t>年下半年对政府活动进行重新调整和改组，政府任命了一名总统代表负责制订这方面的打击政策和计划，因此，工作委员会失去了自己的目标。作为这一行动的结果，一些主要的非政府组织代表宣布退出了该常务工作委员会。</w:t>
      </w:r>
    </w:p>
    <w:p w:rsidR="00000000" w:rsidRDefault="00CA422F">
      <w:pPr>
        <w:spacing w:after="240" w:line="360" w:lineRule="exact"/>
        <w:rPr>
          <w:rFonts w:hint="eastAsia"/>
        </w:rPr>
      </w:pPr>
      <w:r>
        <w:rPr>
          <w:rFonts w:hint="eastAsia"/>
        </w:rPr>
        <w:t>247</w:t>
      </w:r>
      <w:r>
        <w:rPr>
          <w:rFonts w:hint="eastAsia"/>
        </w:rPr>
        <w:t>．在预防和打击对未成年人的性剥削方面，哥斯达黎加政府已经迈出了重要的步伐，然而，正如不同来源的资料显示（</w:t>
      </w:r>
      <w:r>
        <w:rPr>
          <w:rFonts w:hint="eastAsia"/>
        </w:rPr>
        <w:t>C</w:t>
      </w:r>
      <w:r>
        <w:t>l</w:t>
      </w:r>
      <w:r>
        <w:rPr>
          <w:rFonts w:hint="eastAsia"/>
        </w:rPr>
        <w:t>aramunt</w:t>
      </w:r>
      <w:r>
        <w:rPr>
          <w:rFonts w:hint="eastAsia"/>
        </w:rPr>
        <w:t>，</w:t>
      </w:r>
      <w:r>
        <w:rPr>
          <w:rFonts w:hint="eastAsia"/>
        </w:rPr>
        <w:t>2001</w:t>
      </w:r>
      <w:r>
        <w:rPr>
          <w:rFonts w:hint="eastAsia"/>
        </w:rPr>
        <w:t>年；国家妇女研究所，</w:t>
      </w:r>
      <w:r>
        <w:rPr>
          <w:rFonts w:hint="eastAsia"/>
        </w:rPr>
        <w:t>2002</w:t>
      </w:r>
      <w:r>
        <w:rPr>
          <w:rFonts w:hint="eastAsia"/>
        </w:rPr>
        <w:t>年），政府缺乏明显有效的介入手段，干预力度不够。缺乏具有针对性的公共政策，而且不同的政府机构和非政府组织开展的行动一直相互</w:t>
      </w:r>
      <w:r>
        <w:rPr>
          <w:rFonts w:hint="eastAsia"/>
        </w:rPr>
        <w:t>脱节。大部分行动都围绕救助受害者展开，基本上没有开展任何预防工作。围绕着对儿童的性剥削问题依然存在着许多偏见，妨碍了对该问题的公开处理。</w:t>
      </w:r>
    </w:p>
    <w:p w:rsidR="00000000" w:rsidRDefault="00CA422F">
      <w:pPr>
        <w:rPr>
          <w:rFonts w:hint="eastAsia"/>
        </w:rPr>
      </w:pPr>
    </w:p>
    <w:p w:rsidR="00000000" w:rsidRDefault="00CA422F">
      <w:pPr>
        <w:pStyle w:val="Date"/>
        <w:spacing w:line="360" w:lineRule="auto"/>
        <w:rPr>
          <w:rFonts w:hint="eastAsia"/>
        </w:rPr>
      </w:pPr>
    </w:p>
    <w:p w:rsidR="00000000" w:rsidRDefault="00CA422F" w:rsidP="00CA422F">
      <w:pPr>
        <w:spacing w:after="240" w:line="360" w:lineRule="exact"/>
        <w:ind w:left="31680" w:hangingChars="257" w:firstLine="31680"/>
        <w:jc w:val="center"/>
        <w:rPr>
          <w:rFonts w:eastAsia="SimHei"/>
          <w:sz w:val="24"/>
        </w:rPr>
      </w:pPr>
      <w:r>
        <w:rPr>
          <w:sz w:val="24"/>
        </w:rPr>
        <w:br w:type="page"/>
      </w:r>
      <w:r>
        <w:rPr>
          <w:rFonts w:eastAsia="SimHei" w:hint="eastAsia"/>
          <w:sz w:val="24"/>
        </w:rPr>
        <w:t>第七条：参与国家政治与公共生活</w:t>
      </w:r>
    </w:p>
    <w:p w:rsidR="00000000" w:rsidRDefault="00CA422F">
      <w:pPr>
        <w:pStyle w:val="Date"/>
        <w:spacing w:after="240" w:line="360" w:lineRule="exact"/>
        <w:rPr>
          <w:rFonts w:eastAsia="SimHei" w:hint="eastAsia"/>
        </w:rPr>
      </w:pPr>
      <w:r>
        <w:rPr>
          <w:rFonts w:eastAsia="SimHei" w:hint="eastAsia"/>
        </w:rPr>
        <w:t>第七条：</w:t>
      </w:r>
    </w:p>
    <w:p w:rsidR="00000000" w:rsidRDefault="00CA422F" w:rsidP="00CA422F">
      <w:pPr>
        <w:spacing w:after="240" w:line="360" w:lineRule="exact"/>
        <w:ind w:firstLineChars="200" w:firstLine="31680"/>
        <w:rPr>
          <w:rFonts w:eastAsia="KaiTi_GB2312" w:hint="eastAsia"/>
        </w:rPr>
      </w:pPr>
      <w:r>
        <w:rPr>
          <w:rFonts w:eastAsia="KaiTi_GB2312" w:hint="eastAsia"/>
        </w:rPr>
        <w:t>缔约各国应采取一切适当措施，消除在本国政治和公众事务中对妇女的歧视，特别应保证妇女在与男子平等的条件下：</w:t>
      </w:r>
    </w:p>
    <w:p w:rsidR="00000000" w:rsidRDefault="00CA422F" w:rsidP="00CA422F">
      <w:pPr>
        <w:spacing w:after="240" w:line="360" w:lineRule="exact"/>
        <w:ind w:firstLineChars="100" w:firstLine="31680"/>
        <w:rPr>
          <w:rFonts w:eastAsia="KaiTi_GB2312" w:hint="eastAsia"/>
        </w:rPr>
      </w:pPr>
      <w:r>
        <w:rPr>
          <w:rFonts w:eastAsia="KaiTi_GB2312" w:hint="eastAsia"/>
        </w:rPr>
        <w:t>（</w:t>
      </w:r>
      <w:r>
        <w:rPr>
          <w:rFonts w:eastAsia="KaiTi_GB2312" w:hint="eastAsia"/>
        </w:rPr>
        <w:t>a</w:t>
      </w:r>
      <w:r>
        <w:rPr>
          <w:rFonts w:eastAsia="KaiTi_GB2312" w:hint="eastAsia"/>
        </w:rPr>
        <w:t>）</w:t>
      </w:r>
      <w:r>
        <w:rPr>
          <w:rFonts w:eastAsia="KaiTi_GB2312" w:hint="eastAsia"/>
        </w:rPr>
        <w:t xml:space="preserve"> </w:t>
      </w:r>
      <w:r>
        <w:rPr>
          <w:rFonts w:eastAsia="KaiTi_GB2312" w:hint="eastAsia"/>
        </w:rPr>
        <w:t>在一切选举和公民投票中有选举权，并在一切民选机构有被选举权；</w:t>
      </w:r>
    </w:p>
    <w:p w:rsidR="00000000" w:rsidRDefault="00CA422F" w:rsidP="00CA422F">
      <w:pPr>
        <w:spacing w:after="240" w:line="360" w:lineRule="exact"/>
        <w:ind w:firstLineChars="100" w:firstLine="31680"/>
        <w:rPr>
          <w:rFonts w:eastAsia="KaiTi_GB2312" w:hint="eastAsia"/>
        </w:rPr>
      </w:pPr>
      <w:r>
        <w:rPr>
          <w:rFonts w:eastAsia="KaiTi_GB2312" w:hint="eastAsia"/>
        </w:rPr>
        <w:t>（</w:t>
      </w:r>
      <w:r>
        <w:rPr>
          <w:rFonts w:eastAsia="KaiTi_GB2312" w:hint="eastAsia"/>
        </w:rPr>
        <w:t>b</w:t>
      </w:r>
      <w:r>
        <w:rPr>
          <w:rFonts w:eastAsia="KaiTi_GB2312" w:hint="eastAsia"/>
        </w:rPr>
        <w:t>）</w:t>
      </w:r>
      <w:r>
        <w:rPr>
          <w:rFonts w:eastAsia="KaiTi_GB2312" w:hint="eastAsia"/>
        </w:rPr>
        <w:t xml:space="preserve"> </w:t>
      </w:r>
      <w:r>
        <w:rPr>
          <w:rFonts w:eastAsia="KaiTi_GB2312" w:hint="eastAsia"/>
        </w:rPr>
        <w:t>参加政府政策的制订及其执行，并担任各级政府公职，执行一切公务；</w:t>
      </w:r>
    </w:p>
    <w:p w:rsidR="00000000" w:rsidRDefault="00CA422F" w:rsidP="00CA422F">
      <w:pPr>
        <w:spacing w:after="240" w:line="360" w:lineRule="exact"/>
        <w:ind w:leftChars="100" w:left="31680" w:hangingChars="157" w:firstLine="31680"/>
      </w:pPr>
      <w:r>
        <w:rPr>
          <w:rFonts w:eastAsia="KaiTi_GB2312" w:hint="eastAsia"/>
        </w:rPr>
        <w:t>（</w:t>
      </w:r>
      <w:r>
        <w:rPr>
          <w:rFonts w:eastAsia="KaiTi_GB2312" w:hint="eastAsia"/>
        </w:rPr>
        <w:t>c</w:t>
      </w:r>
      <w:r>
        <w:rPr>
          <w:rFonts w:eastAsia="KaiTi_GB2312" w:hint="eastAsia"/>
        </w:rPr>
        <w:t>）</w:t>
      </w:r>
      <w:r>
        <w:rPr>
          <w:rFonts w:eastAsia="KaiTi_GB2312" w:hint="eastAsia"/>
        </w:rPr>
        <w:t xml:space="preserve"> </w:t>
      </w:r>
      <w:r>
        <w:rPr>
          <w:rFonts w:eastAsia="KaiTi_GB2312" w:hint="eastAsia"/>
        </w:rPr>
        <w:t>参加有关本国公众和政治事务的非政府组织和协会。</w:t>
      </w:r>
    </w:p>
    <w:p w:rsidR="00000000" w:rsidRDefault="00CA422F">
      <w:pPr>
        <w:spacing w:after="240" w:line="360" w:lineRule="exact"/>
        <w:jc w:val="center"/>
        <w:rPr>
          <w:rFonts w:eastAsia="SimHei" w:hint="eastAsia"/>
          <w:sz w:val="24"/>
        </w:rPr>
      </w:pPr>
      <w:r>
        <w:rPr>
          <w:rFonts w:eastAsia="SimHei" w:hint="eastAsia"/>
          <w:sz w:val="24"/>
        </w:rPr>
        <w:t>妇女的政治参与</w:t>
      </w:r>
    </w:p>
    <w:p w:rsidR="00000000" w:rsidRDefault="00CA422F">
      <w:pPr>
        <w:spacing w:after="240" w:line="360" w:lineRule="exact"/>
        <w:rPr>
          <w:rFonts w:hint="eastAsia"/>
        </w:rPr>
      </w:pPr>
      <w:r>
        <w:rPr>
          <w:rFonts w:hint="eastAsia"/>
        </w:rPr>
        <w:t>248</w:t>
      </w:r>
      <w:r>
        <w:rPr>
          <w:rFonts w:hint="eastAsia"/>
        </w:rPr>
        <w:t>．自从哥斯达黎加妇女在</w:t>
      </w:r>
      <w:r>
        <w:rPr>
          <w:rFonts w:hint="eastAsia"/>
        </w:rPr>
        <w:t>50</w:t>
      </w:r>
      <w:r>
        <w:rPr>
          <w:rFonts w:hint="eastAsia"/>
        </w:rPr>
        <w:t>余年前获得选举权之后，她们一直在不懈地斗争，努力争取切实、积极地行使公民权利，而不仅仅是在每四年举行一次选举中往投票箱里放一张选票。妇女最主要的愿望和抱负一直是通过斗争在担任普选职务、政府决策职务和进入政党的领导机关方面享有平等的代表权。在这一问题上，</w:t>
      </w:r>
      <w:r>
        <w:rPr>
          <w:rFonts w:hint="eastAsia"/>
        </w:rPr>
        <w:t>90</w:t>
      </w:r>
      <w:r>
        <w:rPr>
          <w:rFonts w:hint="eastAsia"/>
        </w:rPr>
        <w:t>年代取得了重大进展，这是妇女组织、担任高级职务的妇女和促进妇女进步的各种国家机构联合努力的成果（民族国家计划，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249</w:t>
      </w:r>
      <w:r>
        <w:rPr>
          <w:rFonts w:hint="eastAsia"/>
        </w:rPr>
        <w:t>．长期以来，妇女在地方、地区和国家各级都为建设高民主质量做出了重大贡献。尽管离实现真正的平等还很远</w:t>
      </w:r>
      <w:r>
        <w:rPr>
          <w:rFonts w:hint="eastAsia"/>
        </w:rPr>
        <w:t>，但已经取得了意义深远的进步。一方面，男子担任普选职务（主席、副主席、议员、市政议会议员）的指数由</w:t>
      </w:r>
      <w:r>
        <w:rPr>
          <w:rFonts w:hint="eastAsia"/>
        </w:rPr>
        <w:t>1994</w:t>
      </w:r>
      <w:r>
        <w:rPr>
          <w:rFonts w:hint="eastAsia"/>
        </w:rPr>
        <w:t>年的</w:t>
      </w:r>
      <w:r>
        <w:rPr>
          <w:rFonts w:hint="eastAsia"/>
        </w:rPr>
        <w:t>5.95</w:t>
      </w:r>
      <w:r>
        <w:rPr>
          <w:rFonts w:hint="eastAsia"/>
        </w:rPr>
        <w:t>下降到</w:t>
      </w:r>
      <w:r>
        <w:rPr>
          <w:rFonts w:hint="eastAsia"/>
        </w:rPr>
        <w:t>1998</w:t>
      </w:r>
      <w:r>
        <w:rPr>
          <w:rFonts w:hint="eastAsia"/>
        </w:rPr>
        <w:t>年的</w:t>
      </w:r>
      <w:r>
        <w:rPr>
          <w:rFonts w:hint="eastAsia"/>
        </w:rPr>
        <w:t>2.01</w:t>
      </w:r>
      <w:r>
        <w:rPr>
          <w:rFonts w:hint="eastAsia"/>
        </w:rPr>
        <w:t>。这些成果表明情况已经发生了显著变化（民族国家计划，</w:t>
      </w:r>
      <w:r>
        <w:rPr>
          <w:rFonts w:hint="eastAsia"/>
        </w:rPr>
        <w:t>2001</w:t>
      </w:r>
      <w:r>
        <w:rPr>
          <w:rFonts w:hint="eastAsia"/>
        </w:rPr>
        <w:t>年）。</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为了担任这些职务，妇女必须首先打破政党内部的壁垒或者障碍；（</w:t>
      </w:r>
      <w:r>
        <w:rPr>
          <w:rFonts w:hint="eastAsia"/>
        </w:rPr>
        <w:t xml:space="preserve"> Torres</w:t>
      </w:r>
      <w:r>
        <w:rPr>
          <w:rFonts w:hint="eastAsia"/>
        </w:rPr>
        <w:t>，</w:t>
      </w:r>
      <w:r>
        <w:rPr>
          <w:rFonts w:hint="eastAsia"/>
        </w:rPr>
        <w:t>2001</w:t>
      </w:r>
      <w:r>
        <w:rPr>
          <w:rFonts w:hint="eastAsia"/>
        </w:rPr>
        <w:t>年）；</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依然有贬低妇女才干、能力和行为的观点存在；</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家庭内外双重工作，伴侣和子女的需求加重了负担；</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金字塔形权力结构由男子控制，一旦进入权力塔尖，空缺职位很少，此外，权力结构是由男子控制的，他们占据了大部分决策职位。</w:t>
      </w:r>
      <w:r>
        <w:rPr>
          <w:rFonts w:hint="eastAsia"/>
        </w:rPr>
        <w:t>这使得男子能够掌握各种正式和非正式的决策及选举机制，同时，提拔和帮助其他男子成为候选人。</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总体上讲，妇女缺乏金融资源资助自己的选举，另一个不争的事实是许多妇女得不到来自家庭的经济和精神支持。</w:t>
      </w:r>
    </w:p>
    <w:p w:rsidR="00000000" w:rsidRDefault="00CA422F">
      <w:pPr>
        <w:numPr>
          <w:ilvl w:val="0"/>
          <w:numId w:val="807"/>
        </w:numPr>
        <w:tabs>
          <w:tab w:val="clear" w:pos="720"/>
          <w:tab w:val="num" w:pos="840"/>
        </w:tabs>
        <w:spacing w:after="240" w:line="360" w:lineRule="exact"/>
        <w:ind w:left="840"/>
        <w:rPr>
          <w:rFonts w:hint="eastAsia"/>
        </w:rPr>
      </w:pPr>
      <w:r>
        <w:rPr>
          <w:rFonts w:hint="eastAsia"/>
        </w:rPr>
        <w:t>妇女很少能够接触到战略情报，这损害了她们的协商能力并且不利于妇女提高自己的领导地位。</w:t>
      </w:r>
    </w:p>
    <w:p w:rsidR="00000000" w:rsidRDefault="00CA422F">
      <w:pPr>
        <w:spacing w:after="240" w:line="360" w:lineRule="exact"/>
        <w:rPr>
          <w:rFonts w:hint="eastAsia"/>
        </w:rPr>
      </w:pPr>
      <w:r>
        <w:rPr>
          <w:rFonts w:hint="eastAsia"/>
        </w:rPr>
        <w:t>250</w:t>
      </w:r>
      <w:r>
        <w:rPr>
          <w:rFonts w:hint="eastAsia"/>
        </w:rPr>
        <w:t>．在最近四年内，政府致力于理顺机制，切实落实妇女政治参与最低配额的标准规定，同时通过国家机制增强妇女的能力，使她们能够积极地行使自己的公民权利。</w:t>
      </w:r>
    </w:p>
    <w:p w:rsidR="00000000" w:rsidRDefault="00CA422F">
      <w:pPr>
        <w:spacing w:after="240" w:line="360" w:lineRule="exact"/>
        <w:jc w:val="center"/>
        <w:rPr>
          <w:rFonts w:eastAsia="SimHei" w:hint="eastAsia"/>
          <w:sz w:val="24"/>
        </w:rPr>
      </w:pPr>
      <w:r>
        <w:rPr>
          <w:rFonts w:eastAsia="SimHei" w:hint="eastAsia"/>
          <w:sz w:val="24"/>
        </w:rPr>
        <w:t>参与公共管理和担任公共职务</w:t>
      </w:r>
    </w:p>
    <w:p w:rsidR="00000000" w:rsidRDefault="00CA422F">
      <w:pPr>
        <w:spacing w:after="240" w:line="360" w:lineRule="exact"/>
        <w:rPr>
          <w:rFonts w:hint="eastAsia"/>
        </w:rPr>
      </w:pPr>
      <w:r>
        <w:rPr>
          <w:rFonts w:hint="eastAsia"/>
        </w:rPr>
        <w:t>251</w:t>
      </w:r>
      <w:r>
        <w:rPr>
          <w:rFonts w:hint="eastAsia"/>
        </w:rPr>
        <w:t>．在本报告所涉时期内，可以发现妇女在参与公共管理</w:t>
      </w:r>
      <w:r>
        <w:rPr>
          <w:rFonts w:hint="eastAsia"/>
        </w:rPr>
        <w:t>方面取得了显著进展。在行政机构方面，罗德里格斯政府（</w:t>
      </w:r>
      <w:r>
        <w:rPr>
          <w:rFonts w:hint="eastAsia"/>
        </w:rPr>
        <w:t>1998</w:t>
      </w:r>
      <w:r>
        <w:rPr>
          <w:rFonts w:hint="eastAsia"/>
        </w:rPr>
        <w:t>年至</w:t>
      </w:r>
      <w:r>
        <w:rPr>
          <w:rFonts w:hint="eastAsia"/>
        </w:rPr>
        <w:t>2002</w:t>
      </w:r>
      <w:r>
        <w:rPr>
          <w:rFonts w:hint="eastAsia"/>
        </w:rPr>
        <w:t>年）吸收了两名妇女担任共和国副总统，</w:t>
      </w:r>
      <w:r>
        <w:rPr>
          <w:rFonts w:hint="eastAsia"/>
        </w:rPr>
        <w:t>1998</w:t>
      </w:r>
      <w:r>
        <w:rPr>
          <w:rFonts w:hint="eastAsia"/>
        </w:rPr>
        <w:t>年还任命国家妇女研究所执行主席担任妇女地位部部长。同年，两位女性副总统都被任命为部长，其中一位后来宣布辞职。</w:t>
      </w:r>
    </w:p>
    <w:p w:rsidR="00000000" w:rsidRDefault="00CA422F">
      <w:pPr>
        <w:spacing w:after="240" w:line="360" w:lineRule="exact"/>
        <w:rPr>
          <w:rFonts w:hint="eastAsia"/>
        </w:rPr>
      </w:pPr>
      <w:r>
        <w:rPr>
          <w:rFonts w:hint="eastAsia"/>
        </w:rPr>
        <w:t>252</w:t>
      </w:r>
      <w:r>
        <w:rPr>
          <w:rFonts w:hint="eastAsia"/>
        </w:rPr>
        <w:t>．政府的</w:t>
      </w:r>
      <w:r>
        <w:rPr>
          <w:rFonts w:hint="eastAsia"/>
        </w:rPr>
        <w:t>15</w:t>
      </w:r>
      <w:r>
        <w:rPr>
          <w:rFonts w:hint="eastAsia"/>
        </w:rPr>
        <w:t>个部委中只有</w:t>
      </w:r>
      <w:r>
        <w:rPr>
          <w:rFonts w:hint="eastAsia"/>
        </w:rPr>
        <w:t>3</w:t>
      </w:r>
      <w:r>
        <w:rPr>
          <w:rFonts w:hint="eastAsia"/>
        </w:rPr>
        <w:t>个部委的负责人是妇女。在这种机会下，女部长人数达到了部长级领导的</w:t>
      </w:r>
      <w:r>
        <w:rPr>
          <w:rFonts w:hint="eastAsia"/>
        </w:rPr>
        <w:t>20%</w:t>
      </w:r>
      <w:r>
        <w:rPr>
          <w:rFonts w:hint="eastAsia"/>
        </w:rPr>
        <w:t>，比上届政府期间增长了</w:t>
      </w:r>
      <w:r>
        <w:rPr>
          <w:rFonts w:hint="eastAsia"/>
        </w:rPr>
        <w:t>18%</w:t>
      </w:r>
      <w:r>
        <w:rPr>
          <w:rFonts w:hint="eastAsia"/>
        </w:rPr>
        <w:t>。在自治机构中，有</w:t>
      </w:r>
      <w:r>
        <w:rPr>
          <w:rFonts w:hint="eastAsia"/>
        </w:rPr>
        <w:t>18%</w:t>
      </w:r>
      <w:r>
        <w:rPr>
          <w:rFonts w:hint="eastAsia"/>
        </w:rPr>
        <w:t>的自治机构的执行主席是妇女。总而言之，罗德里格斯政府任命的女性内阁成员达到了内阁成员总数的</w:t>
      </w:r>
      <w:r>
        <w:rPr>
          <w:rFonts w:hint="eastAsia"/>
        </w:rPr>
        <w:t>23.5%</w:t>
      </w:r>
      <w:r>
        <w:rPr>
          <w:rFonts w:hint="eastAsia"/>
        </w:rPr>
        <w:t>。这届政府还延续了以往政府的做法</w:t>
      </w:r>
      <w:r>
        <w:rPr>
          <w:rFonts w:hint="eastAsia"/>
        </w:rPr>
        <w:t>，宁愿任命妇女担任副部长而不愿意让她们担任正职。</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2</w:t>
      </w:r>
      <w:r>
        <w:rPr>
          <w:rFonts w:ascii="SimHei" w:eastAsia="SimHei"/>
        </w:rPr>
        <w:br/>
      </w:r>
      <w:r>
        <w:rPr>
          <w:rFonts w:ascii="SimHei" w:eastAsia="SimHei" w:hint="eastAsia"/>
        </w:rPr>
        <w:t>2002</w:t>
      </w:r>
      <w:r>
        <w:rPr>
          <w:rFonts w:hint="eastAsia"/>
        </w:rPr>
        <w:t>－</w:t>
      </w:r>
      <w:r>
        <w:rPr>
          <w:rFonts w:ascii="SimHei" w:eastAsia="SimHei" w:hint="eastAsia"/>
        </w:rPr>
        <w:t>2006</w:t>
      </w:r>
      <w:r>
        <w:rPr>
          <w:rFonts w:ascii="SimHei" w:eastAsia="SimHei" w:hint="eastAsia"/>
        </w:rPr>
        <w:t>年间的妇女任命情况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9"/>
        <w:gridCol w:w="2405"/>
        <w:gridCol w:w="2405"/>
        <w:gridCol w:w="2405"/>
      </w:tblGrid>
      <w:tr w:rsidR="00000000">
        <w:tblPrEx>
          <w:tblCellMar>
            <w:top w:w="0" w:type="dxa"/>
            <w:bottom w:w="0" w:type="dxa"/>
          </w:tblCellMar>
        </w:tblPrEx>
        <w:tc>
          <w:tcPr>
            <w:tcW w:w="1379" w:type="pct"/>
          </w:tcPr>
          <w:p w:rsidR="00000000" w:rsidRDefault="00CA422F">
            <w:pPr>
              <w:pStyle w:val="Header"/>
              <w:pBdr>
                <w:bottom w:val="none" w:sz="0" w:space="0" w:color="auto"/>
              </w:pBdr>
              <w:tabs>
                <w:tab w:val="clear" w:pos="4320"/>
                <w:tab w:val="clear" w:pos="8640"/>
              </w:tabs>
              <w:spacing w:afterLines="50" w:after="120" w:line="360" w:lineRule="exact"/>
              <w:rPr>
                <w:rFonts w:eastAsia="SimHei" w:hint="eastAsia"/>
              </w:rPr>
            </w:pPr>
            <w:r>
              <w:rPr>
                <w:rFonts w:eastAsia="SimHei" w:hint="eastAsia"/>
              </w:rPr>
              <w:t>职位</w:t>
            </w:r>
          </w:p>
        </w:tc>
        <w:tc>
          <w:tcPr>
            <w:tcW w:w="1207" w:type="pct"/>
          </w:tcPr>
          <w:p w:rsidR="00000000" w:rsidRDefault="00CA422F">
            <w:pPr>
              <w:spacing w:afterLines="50" w:after="120" w:line="360" w:lineRule="exact"/>
              <w:jc w:val="center"/>
              <w:rPr>
                <w:rFonts w:eastAsia="SimHei" w:hint="eastAsia"/>
                <w:sz w:val="18"/>
              </w:rPr>
            </w:pPr>
            <w:r>
              <w:rPr>
                <w:rFonts w:eastAsia="SimHei" w:hint="eastAsia"/>
                <w:sz w:val="18"/>
              </w:rPr>
              <w:t>职位总数</w:t>
            </w:r>
          </w:p>
        </w:tc>
        <w:tc>
          <w:tcPr>
            <w:tcW w:w="1207" w:type="pct"/>
          </w:tcPr>
          <w:p w:rsidR="00000000" w:rsidRDefault="00CA422F">
            <w:pPr>
              <w:spacing w:afterLines="50" w:after="120" w:line="360" w:lineRule="exact"/>
              <w:jc w:val="center"/>
              <w:rPr>
                <w:rFonts w:eastAsia="SimHei" w:hint="eastAsia"/>
                <w:sz w:val="18"/>
              </w:rPr>
            </w:pPr>
            <w:r>
              <w:rPr>
                <w:rFonts w:eastAsia="SimHei" w:hint="eastAsia"/>
                <w:sz w:val="18"/>
              </w:rPr>
              <w:t>妇女担任的职位总数</w:t>
            </w:r>
          </w:p>
        </w:tc>
        <w:tc>
          <w:tcPr>
            <w:tcW w:w="1207" w:type="pct"/>
          </w:tcPr>
          <w:p w:rsidR="00000000" w:rsidRDefault="00CA422F">
            <w:pPr>
              <w:spacing w:afterLines="50" w:after="120" w:line="360" w:lineRule="exact"/>
              <w:jc w:val="center"/>
              <w:rPr>
                <w:rFonts w:eastAsia="SimHei" w:hint="eastAsia"/>
                <w:sz w:val="18"/>
              </w:rPr>
            </w:pPr>
            <w:r>
              <w:rPr>
                <w:rFonts w:eastAsia="SimHei" w:hint="eastAsia"/>
                <w:sz w:val="18"/>
              </w:rPr>
              <w:t>妇女任职比例（％）</w:t>
            </w:r>
          </w:p>
        </w:tc>
      </w:tr>
      <w:tr w:rsidR="00000000">
        <w:tblPrEx>
          <w:tblCellMar>
            <w:top w:w="0" w:type="dxa"/>
            <w:bottom w:w="0" w:type="dxa"/>
          </w:tblCellMar>
        </w:tblPrEx>
        <w:tc>
          <w:tcPr>
            <w:tcW w:w="1379" w:type="pct"/>
          </w:tcPr>
          <w:p w:rsidR="00000000" w:rsidRDefault="00CA422F">
            <w:pPr>
              <w:spacing w:afterLines="50" w:after="120" w:line="360" w:lineRule="exact"/>
              <w:rPr>
                <w:rFonts w:hint="eastAsia"/>
                <w:sz w:val="18"/>
              </w:rPr>
            </w:pPr>
            <w:r>
              <w:rPr>
                <w:rFonts w:hint="eastAsia"/>
                <w:sz w:val="18"/>
              </w:rPr>
              <w:t>部长（男</w:t>
            </w:r>
            <w:r>
              <w:rPr>
                <w:rFonts w:hint="eastAsia"/>
                <w:sz w:val="18"/>
              </w:rPr>
              <w:t>/</w:t>
            </w:r>
            <w:r>
              <w:rPr>
                <w:rFonts w:hint="eastAsia"/>
                <w:sz w:val="18"/>
              </w:rPr>
              <w:t>女）</w:t>
            </w:r>
          </w:p>
        </w:tc>
        <w:tc>
          <w:tcPr>
            <w:tcW w:w="1207" w:type="pct"/>
          </w:tcPr>
          <w:p w:rsidR="00000000" w:rsidRDefault="00CA422F">
            <w:pPr>
              <w:spacing w:afterLines="50" w:after="120" w:line="360" w:lineRule="exact"/>
              <w:jc w:val="center"/>
              <w:rPr>
                <w:rFonts w:hint="eastAsia"/>
                <w:sz w:val="18"/>
              </w:rPr>
            </w:pPr>
            <w:r>
              <w:rPr>
                <w:rFonts w:hint="eastAsia"/>
                <w:sz w:val="18"/>
              </w:rPr>
              <w:t>20</w:t>
            </w:r>
          </w:p>
        </w:tc>
        <w:tc>
          <w:tcPr>
            <w:tcW w:w="1207" w:type="pct"/>
          </w:tcPr>
          <w:p w:rsidR="00000000" w:rsidRDefault="00CA422F">
            <w:pPr>
              <w:spacing w:afterLines="50" w:after="120" w:line="360" w:lineRule="exact"/>
              <w:jc w:val="center"/>
              <w:rPr>
                <w:rFonts w:hint="eastAsia"/>
                <w:sz w:val="18"/>
              </w:rPr>
            </w:pPr>
            <w:r>
              <w:rPr>
                <w:rFonts w:hint="eastAsia"/>
                <w:sz w:val="18"/>
              </w:rPr>
              <w:t>5</w:t>
            </w:r>
          </w:p>
        </w:tc>
        <w:tc>
          <w:tcPr>
            <w:tcW w:w="1207" w:type="pct"/>
          </w:tcPr>
          <w:p w:rsidR="00000000" w:rsidRDefault="00CA422F">
            <w:pPr>
              <w:spacing w:afterLines="50" w:after="120" w:line="360" w:lineRule="exact"/>
              <w:jc w:val="center"/>
              <w:rPr>
                <w:rFonts w:hint="eastAsia"/>
                <w:sz w:val="18"/>
              </w:rPr>
            </w:pPr>
            <w:r>
              <w:rPr>
                <w:rFonts w:hint="eastAsia"/>
                <w:sz w:val="18"/>
              </w:rPr>
              <w:t>25</w:t>
            </w:r>
            <w:r>
              <w:rPr>
                <w:rFonts w:hint="eastAsia"/>
                <w:sz w:val="18"/>
              </w:rPr>
              <w:t>％</w:t>
            </w:r>
          </w:p>
        </w:tc>
      </w:tr>
      <w:tr w:rsidR="00000000">
        <w:tblPrEx>
          <w:tblCellMar>
            <w:top w:w="0" w:type="dxa"/>
            <w:bottom w:w="0" w:type="dxa"/>
          </w:tblCellMar>
        </w:tblPrEx>
        <w:tc>
          <w:tcPr>
            <w:tcW w:w="1379" w:type="pct"/>
          </w:tcPr>
          <w:p w:rsidR="00000000" w:rsidRDefault="00CA422F">
            <w:pPr>
              <w:spacing w:afterLines="50" w:after="120" w:line="360" w:lineRule="exact"/>
              <w:rPr>
                <w:rFonts w:hint="eastAsia"/>
                <w:sz w:val="18"/>
              </w:rPr>
            </w:pPr>
            <w:r>
              <w:rPr>
                <w:rFonts w:hint="eastAsia"/>
                <w:sz w:val="18"/>
              </w:rPr>
              <w:t>副部长（男</w:t>
            </w:r>
            <w:r>
              <w:rPr>
                <w:rFonts w:hint="eastAsia"/>
                <w:sz w:val="18"/>
              </w:rPr>
              <w:t>/</w:t>
            </w:r>
            <w:r>
              <w:rPr>
                <w:rFonts w:hint="eastAsia"/>
                <w:sz w:val="18"/>
              </w:rPr>
              <w:t>女）</w:t>
            </w:r>
          </w:p>
        </w:tc>
        <w:tc>
          <w:tcPr>
            <w:tcW w:w="1207" w:type="pct"/>
          </w:tcPr>
          <w:p w:rsidR="00000000" w:rsidRDefault="00CA422F">
            <w:pPr>
              <w:spacing w:afterLines="50" w:after="120" w:line="360" w:lineRule="exact"/>
              <w:jc w:val="center"/>
              <w:rPr>
                <w:rFonts w:hint="eastAsia"/>
                <w:sz w:val="18"/>
              </w:rPr>
            </w:pPr>
            <w:r>
              <w:rPr>
                <w:rFonts w:hint="eastAsia"/>
                <w:sz w:val="18"/>
              </w:rPr>
              <w:t>25</w:t>
            </w:r>
          </w:p>
        </w:tc>
        <w:tc>
          <w:tcPr>
            <w:tcW w:w="1207" w:type="pct"/>
          </w:tcPr>
          <w:p w:rsidR="00000000" w:rsidRDefault="00CA422F">
            <w:pPr>
              <w:spacing w:afterLines="50" w:after="120" w:line="360" w:lineRule="exact"/>
              <w:jc w:val="center"/>
              <w:rPr>
                <w:rFonts w:hint="eastAsia"/>
                <w:sz w:val="18"/>
              </w:rPr>
            </w:pPr>
            <w:r>
              <w:rPr>
                <w:rFonts w:hint="eastAsia"/>
                <w:sz w:val="18"/>
              </w:rPr>
              <w:t>12</w:t>
            </w:r>
          </w:p>
        </w:tc>
        <w:tc>
          <w:tcPr>
            <w:tcW w:w="1207" w:type="pct"/>
          </w:tcPr>
          <w:p w:rsidR="00000000" w:rsidRDefault="00CA422F">
            <w:pPr>
              <w:spacing w:afterLines="50" w:after="120" w:line="360" w:lineRule="exact"/>
              <w:jc w:val="center"/>
              <w:rPr>
                <w:rFonts w:hint="eastAsia"/>
                <w:sz w:val="18"/>
              </w:rPr>
            </w:pPr>
            <w:r>
              <w:rPr>
                <w:rFonts w:hint="eastAsia"/>
                <w:sz w:val="18"/>
              </w:rPr>
              <w:t>48</w:t>
            </w:r>
            <w:r>
              <w:rPr>
                <w:rFonts w:hint="eastAsia"/>
                <w:sz w:val="18"/>
              </w:rPr>
              <w:t>％</w:t>
            </w:r>
          </w:p>
        </w:tc>
      </w:tr>
      <w:tr w:rsidR="00000000">
        <w:tblPrEx>
          <w:tblCellMar>
            <w:top w:w="0" w:type="dxa"/>
            <w:bottom w:w="0" w:type="dxa"/>
          </w:tblCellMar>
        </w:tblPrEx>
        <w:tc>
          <w:tcPr>
            <w:tcW w:w="1379" w:type="pct"/>
          </w:tcPr>
          <w:p w:rsidR="00000000" w:rsidRDefault="00CA422F">
            <w:pPr>
              <w:spacing w:afterLines="50" w:after="120" w:line="360" w:lineRule="exact"/>
              <w:rPr>
                <w:rFonts w:hint="eastAsia"/>
                <w:sz w:val="18"/>
              </w:rPr>
            </w:pPr>
            <w:r>
              <w:rPr>
                <w:rFonts w:hint="eastAsia"/>
                <w:sz w:val="18"/>
              </w:rPr>
              <w:t>执行主席（男</w:t>
            </w:r>
            <w:r>
              <w:rPr>
                <w:rFonts w:hint="eastAsia"/>
                <w:sz w:val="18"/>
              </w:rPr>
              <w:t>/</w:t>
            </w:r>
            <w:r>
              <w:rPr>
                <w:rFonts w:hint="eastAsia"/>
                <w:sz w:val="18"/>
              </w:rPr>
              <w:t>女）</w:t>
            </w:r>
          </w:p>
        </w:tc>
        <w:tc>
          <w:tcPr>
            <w:tcW w:w="1207" w:type="pct"/>
          </w:tcPr>
          <w:p w:rsidR="00000000" w:rsidRDefault="00CA422F">
            <w:pPr>
              <w:spacing w:afterLines="50" w:after="120" w:line="360" w:lineRule="exact"/>
              <w:jc w:val="center"/>
              <w:rPr>
                <w:rFonts w:hint="eastAsia"/>
                <w:sz w:val="18"/>
              </w:rPr>
            </w:pPr>
            <w:r>
              <w:rPr>
                <w:rFonts w:hint="eastAsia"/>
                <w:sz w:val="18"/>
              </w:rPr>
              <w:t>21</w:t>
            </w:r>
          </w:p>
        </w:tc>
        <w:tc>
          <w:tcPr>
            <w:tcW w:w="1207" w:type="pct"/>
          </w:tcPr>
          <w:p w:rsidR="00000000" w:rsidRDefault="00CA422F">
            <w:pPr>
              <w:spacing w:afterLines="50" w:after="120" w:line="360" w:lineRule="exact"/>
              <w:jc w:val="center"/>
              <w:rPr>
                <w:rFonts w:hint="eastAsia"/>
                <w:sz w:val="18"/>
              </w:rPr>
            </w:pPr>
            <w:r>
              <w:rPr>
                <w:rFonts w:hint="eastAsia"/>
                <w:sz w:val="18"/>
              </w:rPr>
              <w:t>5</w:t>
            </w:r>
          </w:p>
        </w:tc>
        <w:tc>
          <w:tcPr>
            <w:tcW w:w="1207" w:type="pct"/>
          </w:tcPr>
          <w:p w:rsidR="00000000" w:rsidRDefault="00CA422F">
            <w:pPr>
              <w:spacing w:afterLines="50" w:after="120" w:line="360" w:lineRule="exact"/>
              <w:jc w:val="center"/>
              <w:rPr>
                <w:rFonts w:hint="eastAsia"/>
                <w:sz w:val="18"/>
              </w:rPr>
            </w:pPr>
            <w:r>
              <w:rPr>
                <w:rFonts w:hint="eastAsia"/>
                <w:sz w:val="18"/>
              </w:rPr>
              <w:t>23.8%</w:t>
            </w:r>
          </w:p>
        </w:tc>
      </w:tr>
      <w:tr w:rsidR="00000000">
        <w:tblPrEx>
          <w:tblCellMar>
            <w:top w:w="0" w:type="dxa"/>
            <w:bottom w:w="0" w:type="dxa"/>
          </w:tblCellMar>
        </w:tblPrEx>
        <w:tc>
          <w:tcPr>
            <w:tcW w:w="1379" w:type="pct"/>
          </w:tcPr>
          <w:p w:rsidR="00000000" w:rsidRDefault="00CA422F">
            <w:pPr>
              <w:spacing w:afterLines="50" w:after="120" w:line="360" w:lineRule="exact"/>
              <w:rPr>
                <w:rFonts w:hint="eastAsia"/>
                <w:sz w:val="18"/>
              </w:rPr>
            </w:pPr>
            <w:r>
              <w:rPr>
                <w:rFonts w:hint="eastAsia"/>
                <w:sz w:val="18"/>
              </w:rPr>
              <w:t>主任</w:t>
            </w:r>
            <w:r>
              <w:rPr>
                <w:rFonts w:hint="eastAsia"/>
                <w:sz w:val="18"/>
              </w:rPr>
              <w:t>/</w:t>
            </w:r>
            <w:r>
              <w:rPr>
                <w:rFonts w:hint="eastAsia"/>
                <w:sz w:val="18"/>
              </w:rPr>
              <w:t>主管</w:t>
            </w:r>
          </w:p>
        </w:tc>
        <w:tc>
          <w:tcPr>
            <w:tcW w:w="1207" w:type="pct"/>
          </w:tcPr>
          <w:p w:rsidR="00000000" w:rsidRDefault="00CA422F">
            <w:pPr>
              <w:spacing w:afterLines="50" w:after="120" w:line="360" w:lineRule="exact"/>
              <w:jc w:val="center"/>
              <w:rPr>
                <w:rFonts w:hint="eastAsia"/>
                <w:sz w:val="18"/>
              </w:rPr>
            </w:pPr>
            <w:r>
              <w:rPr>
                <w:rFonts w:hint="eastAsia"/>
                <w:sz w:val="18"/>
              </w:rPr>
              <w:t>21</w:t>
            </w:r>
          </w:p>
        </w:tc>
        <w:tc>
          <w:tcPr>
            <w:tcW w:w="1207" w:type="pct"/>
          </w:tcPr>
          <w:p w:rsidR="00000000" w:rsidRDefault="00CA422F">
            <w:pPr>
              <w:spacing w:afterLines="50" w:after="120" w:line="360" w:lineRule="exact"/>
              <w:jc w:val="center"/>
              <w:rPr>
                <w:rFonts w:hint="eastAsia"/>
                <w:sz w:val="18"/>
              </w:rPr>
            </w:pPr>
            <w:r>
              <w:rPr>
                <w:rFonts w:hint="eastAsia"/>
                <w:sz w:val="18"/>
              </w:rPr>
              <w:t>3</w:t>
            </w:r>
          </w:p>
        </w:tc>
        <w:tc>
          <w:tcPr>
            <w:tcW w:w="1207" w:type="pct"/>
          </w:tcPr>
          <w:p w:rsidR="00000000" w:rsidRDefault="00CA422F">
            <w:pPr>
              <w:spacing w:afterLines="50" w:after="120" w:line="360" w:lineRule="exact"/>
              <w:jc w:val="center"/>
              <w:rPr>
                <w:rFonts w:hint="eastAsia"/>
                <w:sz w:val="18"/>
              </w:rPr>
            </w:pPr>
            <w:r>
              <w:rPr>
                <w:rFonts w:hint="eastAsia"/>
                <w:sz w:val="18"/>
              </w:rPr>
              <w:t>14.28%</w:t>
            </w:r>
          </w:p>
        </w:tc>
      </w:tr>
    </w:tbl>
    <w:p w:rsidR="00000000" w:rsidRDefault="00CA422F">
      <w:pPr>
        <w:spacing w:after="240" w:line="360" w:lineRule="exact"/>
        <w:rPr>
          <w:rFonts w:hint="eastAsia"/>
          <w:sz w:val="18"/>
        </w:rPr>
      </w:pPr>
      <w:r>
        <w:rPr>
          <w:rFonts w:hint="eastAsia"/>
          <w:sz w:val="18"/>
        </w:rPr>
        <w:t>资料来源：公民权利、领导地位和地方管理处（国家妇女研究所），</w:t>
      </w:r>
      <w:r>
        <w:rPr>
          <w:rFonts w:hint="eastAsia"/>
          <w:sz w:val="18"/>
        </w:rPr>
        <w:t>2002</w:t>
      </w:r>
      <w:r>
        <w:rPr>
          <w:rFonts w:hint="eastAsia"/>
          <w:sz w:val="18"/>
        </w:rPr>
        <w:t>年。</w:t>
      </w:r>
    </w:p>
    <w:p w:rsidR="00000000" w:rsidRDefault="00CA422F">
      <w:pPr>
        <w:spacing w:after="240" w:line="360" w:lineRule="exact"/>
        <w:rPr>
          <w:rFonts w:hint="eastAsia"/>
        </w:rPr>
      </w:pPr>
      <w:r>
        <w:rPr>
          <w:rFonts w:hint="eastAsia"/>
        </w:rPr>
        <w:t>253</w:t>
      </w:r>
      <w:r>
        <w:rPr>
          <w:rFonts w:hint="eastAsia"/>
        </w:rPr>
        <w:t>．在</w:t>
      </w:r>
      <w:r>
        <w:rPr>
          <w:rFonts w:hint="eastAsia"/>
        </w:rPr>
        <w:t>90</w:t>
      </w:r>
      <w:r>
        <w:rPr>
          <w:rFonts w:hint="eastAsia"/>
        </w:rPr>
        <w:t>年代没有看到立法议会女议员人数出现大幅度增长，尽管作为候选人参加竞选的妇女明显增多了。虽然妇女在候选人名单中占有重</w:t>
      </w:r>
      <w:r>
        <w:rPr>
          <w:rFonts w:hint="eastAsia"/>
        </w:rPr>
        <w:t>要比例，但是在获得职位方面存在着性别差异，因为大部分妇女仅仅充当的是那些所谓的“非可当选职位”的候选人。值得一提的是，尽管如此，</w:t>
      </w:r>
      <w:r>
        <w:rPr>
          <w:rFonts w:hint="eastAsia"/>
        </w:rPr>
        <w:t>1990</w:t>
      </w:r>
      <w:r>
        <w:rPr>
          <w:rFonts w:hint="eastAsia"/>
        </w:rPr>
        <w:t>至</w:t>
      </w:r>
      <w:r>
        <w:rPr>
          <w:rFonts w:hint="eastAsia"/>
        </w:rPr>
        <w:t>1998</w:t>
      </w:r>
      <w:r>
        <w:rPr>
          <w:rFonts w:hint="eastAsia"/>
        </w:rPr>
        <w:t>年间，在选举中妇女成为首要职位候选人的比例大大增加，由</w:t>
      </w:r>
      <w:r>
        <w:rPr>
          <w:rFonts w:hint="eastAsia"/>
        </w:rPr>
        <w:t>6.7%</w:t>
      </w:r>
      <w:r>
        <w:rPr>
          <w:rFonts w:hint="eastAsia"/>
        </w:rPr>
        <w:t>上升为</w:t>
      </w:r>
      <w:r>
        <w:rPr>
          <w:rFonts w:hint="eastAsia"/>
        </w:rPr>
        <w:t>25.1%</w:t>
      </w:r>
      <w:r>
        <w:rPr>
          <w:rFonts w:hint="eastAsia"/>
        </w:rPr>
        <w:t>（民族国家计划，</w:t>
      </w:r>
      <w:r>
        <w:rPr>
          <w:rFonts w:hint="eastAsia"/>
        </w:rPr>
        <w:t>2001</w:t>
      </w:r>
      <w:r>
        <w:rPr>
          <w:rFonts w:hint="eastAsia"/>
        </w:rPr>
        <w:t>年）。这种差异证明妇女并不享有与男子同等的当选机会，无法在选票上占有一席之地。</w:t>
      </w:r>
    </w:p>
    <w:p w:rsidR="00000000" w:rsidRDefault="00CA422F">
      <w:pPr>
        <w:spacing w:after="240" w:line="360" w:lineRule="exact"/>
        <w:rPr>
          <w:rFonts w:hint="eastAsia"/>
        </w:rPr>
      </w:pPr>
    </w:p>
    <w:p w:rsidR="00000000" w:rsidRDefault="00CA422F">
      <w:pPr>
        <w:spacing w:after="240" w:line="360" w:lineRule="exact"/>
        <w:jc w:val="center"/>
        <w:rPr>
          <w:rFonts w:ascii="SimHei" w:eastAsia="SimHei" w:hint="eastAsia"/>
        </w:rPr>
      </w:pPr>
      <w:r>
        <w:rPr>
          <w:b/>
          <w:bCs/>
        </w:rPr>
        <w:br w:type="page"/>
      </w:r>
      <w:r>
        <w:rPr>
          <w:rFonts w:ascii="SimHei" w:eastAsia="SimHei" w:hint="eastAsia"/>
        </w:rPr>
        <w:t>表</w:t>
      </w:r>
      <w:r>
        <w:rPr>
          <w:rFonts w:ascii="SimHei" w:eastAsia="SimHei" w:hint="eastAsia"/>
        </w:rPr>
        <w:t>3</w:t>
      </w:r>
      <w:r>
        <w:rPr>
          <w:rFonts w:ascii="SimHei" w:eastAsia="SimHei"/>
        </w:rPr>
        <w:br/>
      </w:r>
      <w:r>
        <w:rPr>
          <w:rFonts w:ascii="SimHei" w:eastAsia="SimHei" w:hint="eastAsia"/>
        </w:rPr>
        <w:t>参加立法议会的妇女，</w:t>
      </w:r>
      <w:r>
        <w:rPr>
          <w:rFonts w:ascii="SimHei" w:eastAsia="SimHei" w:hint="eastAsia"/>
        </w:rPr>
        <w:t>1958</w:t>
      </w:r>
      <w:r>
        <w:rPr>
          <w:rFonts w:ascii="SimHei" w:eastAsia="SimHei" w:hint="eastAsia"/>
        </w:rPr>
        <w:t>－</w:t>
      </w:r>
      <w:r>
        <w:rPr>
          <w:rFonts w:ascii="SimHei" w:eastAsia="SimHei" w:hint="eastAsia"/>
        </w:rPr>
        <w:t>2006</w:t>
      </w:r>
      <w:r>
        <w:rPr>
          <w:rFonts w:ascii="SimHei" w:eastAsia="SimHei" w:hint="eastAsia"/>
        </w:rPr>
        <w:t>年</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2446"/>
        <w:gridCol w:w="2446"/>
        <w:gridCol w:w="2446"/>
      </w:tblGrid>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ascii="SimHei" w:eastAsia="SimHei" w:hint="eastAsia"/>
                <w:sz w:val="18"/>
              </w:rPr>
            </w:pPr>
            <w:r>
              <w:rPr>
                <w:rFonts w:ascii="SimHei" w:eastAsia="SimHei" w:hint="eastAsia"/>
                <w:sz w:val="18"/>
              </w:rPr>
              <w:t>时期</w:t>
            </w:r>
          </w:p>
        </w:tc>
        <w:tc>
          <w:tcPr>
            <w:tcW w:w="1258" w:type="pct"/>
          </w:tcPr>
          <w:p w:rsidR="00000000" w:rsidRDefault="00CA422F" w:rsidP="00CA422F">
            <w:pPr>
              <w:spacing w:line="360" w:lineRule="exact"/>
              <w:ind w:left="31680" w:hangingChars="257" w:firstLine="31680"/>
              <w:jc w:val="center"/>
              <w:rPr>
                <w:rFonts w:ascii="SimHei" w:eastAsia="SimHei" w:hint="eastAsia"/>
                <w:sz w:val="18"/>
              </w:rPr>
            </w:pPr>
            <w:r>
              <w:rPr>
                <w:rFonts w:ascii="SimHei" w:eastAsia="SimHei" w:hint="eastAsia"/>
                <w:sz w:val="18"/>
              </w:rPr>
              <w:t>议员绝对人数（男</w:t>
            </w:r>
            <w:r>
              <w:rPr>
                <w:rFonts w:ascii="SimHei" w:eastAsia="SimHei" w:hint="eastAsia"/>
                <w:sz w:val="18"/>
              </w:rPr>
              <w:t>/</w:t>
            </w:r>
            <w:r>
              <w:rPr>
                <w:rFonts w:ascii="SimHei" w:eastAsia="SimHei" w:hint="eastAsia"/>
                <w:sz w:val="18"/>
              </w:rPr>
              <w:t>女）</w:t>
            </w:r>
          </w:p>
        </w:tc>
        <w:tc>
          <w:tcPr>
            <w:tcW w:w="1258" w:type="pct"/>
          </w:tcPr>
          <w:p w:rsidR="00000000" w:rsidRDefault="00CA422F" w:rsidP="00CA422F">
            <w:pPr>
              <w:spacing w:line="360" w:lineRule="exact"/>
              <w:ind w:left="31680" w:hangingChars="257" w:firstLine="31680"/>
              <w:jc w:val="center"/>
              <w:rPr>
                <w:rFonts w:ascii="SimHei" w:eastAsia="SimHei" w:hint="eastAsia"/>
                <w:sz w:val="18"/>
              </w:rPr>
            </w:pPr>
            <w:r>
              <w:rPr>
                <w:rFonts w:ascii="SimHei" w:eastAsia="SimHei" w:hint="eastAsia"/>
                <w:sz w:val="18"/>
              </w:rPr>
              <w:t>女议员绝对人数</w:t>
            </w:r>
          </w:p>
        </w:tc>
        <w:tc>
          <w:tcPr>
            <w:tcW w:w="1258" w:type="pct"/>
          </w:tcPr>
          <w:p w:rsidR="00000000" w:rsidRDefault="00CA422F" w:rsidP="00CA422F">
            <w:pPr>
              <w:spacing w:line="360" w:lineRule="exact"/>
              <w:ind w:left="31680" w:hangingChars="257" w:firstLine="31680"/>
              <w:jc w:val="center"/>
              <w:rPr>
                <w:rFonts w:ascii="SimHei" w:eastAsia="SimHei" w:hint="eastAsia"/>
                <w:sz w:val="18"/>
              </w:rPr>
            </w:pPr>
            <w:r>
              <w:rPr>
                <w:rFonts w:ascii="SimHei" w:eastAsia="SimHei" w:hint="eastAsia"/>
                <w:sz w:val="18"/>
              </w:rPr>
              <w:t>妇女所占比例</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1953</w:t>
            </w:r>
            <w:r>
              <w:rPr>
                <w:rFonts w:hint="eastAsia"/>
                <w:sz w:val="18"/>
              </w:rPr>
              <w:t>－</w:t>
            </w:r>
            <w:r>
              <w:rPr>
                <w:rFonts w:hint="eastAsia"/>
                <w:sz w:val="18"/>
              </w:rPr>
              <w:t>1958</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45</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3</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6. 7</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1958</w:t>
            </w:r>
            <w:r>
              <w:rPr>
                <w:rFonts w:hint="eastAsia"/>
                <w:sz w:val="18"/>
              </w:rPr>
              <w:t>－</w:t>
            </w:r>
            <w:r>
              <w:rPr>
                <w:rFonts w:hint="eastAsia"/>
                <w:sz w:val="18"/>
              </w:rPr>
              <w:t>1962</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45</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2</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4. 4</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1962</w:t>
            </w:r>
            <w:r>
              <w:rPr>
                <w:rFonts w:hint="eastAsia"/>
                <w:sz w:val="18"/>
              </w:rPr>
              <w:t>－</w:t>
            </w:r>
            <w:r>
              <w:rPr>
                <w:rFonts w:hint="eastAsia"/>
                <w:sz w:val="18"/>
              </w:rPr>
              <w:t>1966</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1</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1. 8</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1966</w:t>
            </w:r>
            <w:r>
              <w:rPr>
                <w:rFonts w:hint="eastAsia"/>
                <w:sz w:val="18"/>
              </w:rPr>
              <w:t>－</w:t>
            </w:r>
            <w:r>
              <w:rPr>
                <w:rFonts w:hint="eastAsia"/>
                <w:sz w:val="18"/>
              </w:rPr>
              <w:t>1970</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3</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5. 3</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1970</w:t>
            </w:r>
            <w:r>
              <w:rPr>
                <w:rFonts w:hint="eastAsia"/>
                <w:sz w:val="18"/>
              </w:rPr>
              <w:t>－</w:t>
            </w:r>
            <w:r>
              <w:rPr>
                <w:rFonts w:hint="eastAsia"/>
                <w:sz w:val="18"/>
              </w:rPr>
              <w:t>1974</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4</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7. 0</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1974</w:t>
            </w:r>
            <w:r>
              <w:rPr>
                <w:rFonts w:hint="eastAsia"/>
                <w:sz w:val="18"/>
              </w:rPr>
              <w:t>－</w:t>
            </w:r>
            <w:r>
              <w:rPr>
                <w:rFonts w:hint="eastAsia"/>
                <w:sz w:val="18"/>
              </w:rPr>
              <w:t>1978</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4</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7. 0</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1978</w:t>
            </w:r>
            <w:r>
              <w:rPr>
                <w:rFonts w:hint="eastAsia"/>
                <w:sz w:val="18"/>
              </w:rPr>
              <w:t>－</w:t>
            </w:r>
            <w:r>
              <w:rPr>
                <w:rFonts w:hint="eastAsia"/>
                <w:sz w:val="18"/>
              </w:rPr>
              <w:t>1982</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8. 8</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1982</w:t>
            </w:r>
            <w:r>
              <w:rPr>
                <w:rFonts w:hint="eastAsia"/>
                <w:sz w:val="18"/>
              </w:rPr>
              <w:t>－</w:t>
            </w:r>
            <w:r>
              <w:rPr>
                <w:rFonts w:hint="eastAsia"/>
                <w:sz w:val="18"/>
              </w:rPr>
              <w:t>1986</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4</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7. 0</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1986</w:t>
            </w:r>
            <w:r>
              <w:rPr>
                <w:rFonts w:hint="eastAsia"/>
                <w:sz w:val="18"/>
              </w:rPr>
              <w:t>－</w:t>
            </w:r>
            <w:r>
              <w:rPr>
                <w:rFonts w:hint="eastAsia"/>
                <w:sz w:val="18"/>
              </w:rPr>
              <w:t>1990</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12. 3</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1990</w:t>
            </w:r>
            <w:r>
              <w:rPr>
                <w:rFonts w:hint="eastAsia"/>
                <w:sz w:val="18"/>
              </w:rPr>
              <w:t>－</w:t>
            </w:r>
            <w:r>
              <w:rPr>
                <w:rFonts w:hint="eastAsia"/>
                <w:sz w:val="18"/>
              </w:rPr>
              <w:t>1994</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12. 3</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1994</w:t>
            </w:r>
            <w:r>
              <w:rPr>
                <w:rFonts w:hint="eastAsia"/>
                <w:sz w:val="18"/>
              </w:rPr>
              <w:t>－</w:t>
            </w:r>
            <w:r>
              <w:rPr>
                <w:rFonts w:hint="eastAsia"/>
                <w:sz w:val="18"/>
              </w:rPr>
              <w:t>1998</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9</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15. 8</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1998</w:t>
            </w:r>
            <w:r>
              <w:rPr>
                <w:rFonts w:hint="eastAsia"/>
                <w:sz w:val="18"/>
              </w:rPr>
              <w:t>－</w:t>
            </w:r>
            <w:r>
              <w:rPr>
                <w:rFonts w:hint="eastAsia"/>
                <w:sz w:val="18"/>
              </w:rPr>
              <w:t>2002</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11</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19. 3</w:t>
            </w:r>
            <w:r>
              <w:rPr>
                <w:rFonts w:hint="eastAsia"/>
                <w:sz w:val="18"/>
              </w:rPr>
              <w:t>％</w:t>
            </w:r>
          </w:p>
        </w:tc>
      </w:tr>
      <w:tr w:rsidR="00000000">
        <w:tblPrEx>
          <w:tblCellMar>
            <w:top w:w="0" w:type="dxa"/>
            <w:bottom w:w="0" w:type="dxa"/>
          </w:tblCellMar>
        </w:tblPrEx>
        <w:tc>
          <w:tcPr>
            <w:tcW w:w="1226" w:type="pct"/>
          </w:tcPr>
          <w:p w:rsidR="00000000" w:rsidRDefault="00CA422F" w:rsidP="00CA422F">
            <w:pPr>
              <w:spacing w:line="360" w:lineRule="exact"/>
              <w:ind w:left="31680" w:hangingChars="257" w:firstLine="31680"/>
              <w:rPr>
                <w:rFonts w:hint="eastAsia"/>
                <w:sz w:val="18"/>
              </w:rPr>
            </w:pPr>
            <w:r>
              <w:rPr>
                <w:rFonts w:hint="eastAsia"/>
                <w:sz w:val="18"/>
              </w:rPr>
              <w:t>2002</w:t>
            </w:r>
            <w:r>
              <w:rPr>
                <w:rFonts w:hint="eastAsia"/>
                <w:sz w:val="18"/>
              </w:rPr>
              <w:t>－</w:t>
            </w:r>
            <w:r>
              <w:rPr>
                <w:rFonts w:hint="eastAsia"/>
                <w:sz w:val="18"/>
              </w:rPr>
              <w:t>2006</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57</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20</w:t>
            </w:r>
          </w:p>
        </w:tc>
        <w:tc>
          <w:tcPr>
            <w:tcW w:w="1258" w:type="pct"/>
          </w:tcPr>
          <w:p w:rsidR="00000000" w:rsidRDefault="00CA422F" w:rsidP="00CA422F">
            <w:pPr>
              <w:spacing w:line="360" w:lineRule="exact"/>
              <w:ind w:left="31680" w:hangingChars="257" w:firstLine="31680"/>
              <w:jc w:val="center"/>
              <w:rPr>
                <w:rFonts w:hint="eastAsia"/>
                <w:sz w:val="18"/>
              </w:rPr>
            </w:pPr>
            <w:r>
              <w:rPr>
                <w:rFonts w:hint="eastAsia"/>
                <w:sz w:val="18"/>
              </w:rPr>
              <w:t>35. 08</w:t>
            </w:r>
            <w:r>
              <w:rPr>
                <w:rFonts w:hint="eastAsia"/>
                <w:sz w:val="18"/>
              </w:rPr>
              <w:t>％</w:t>
            </w:r>
          </w:p>
        </w:tc>
      </w:tr>
    </w:tbl>
    <w:p w:rsidR="00000000" w:rsidRDefault="00CA422F">
      <w:pPr>
        <w:spacing w:after="240" w:line="360" w:lineRule="exact"/>
        <w:rPr>
          <w:rFonts w:hint="eastAsia"/>
          <w:sz w:val="18"/>
        </w:rPr>
      </w:pPr>
      <w:r>
        <w:rPr>
          <w:rFonts w:hint="eastAsia"/>
          <w:sz w:val="18"/>
        </w:rPr>
        <w:t>资料来源：公民权利、领导地位和地方管理处（国家妇女研究所），</w:t>
      </w:r>
      <w:r>
        <w:rPr>
          <w:rFonts w:hint="eastAsia"/>
          <w:sz w:val="18"/>
        </w:rPr>
        <w:t>2002</w:t>
      </w:r>
      <w:r>
        <w:rPr>
          <w:rFonts w:hint="eastAsia"/>
          <w:sz w:val="18"/>
        </w:rPr>
        <w:t>年。</w:t>
      </w:r>
    </w:p>
    <w:p w:rsidR="00000000" w:rsidRDefault="00CA422F">
      <w:pPr>
        <w:spacing w:after="240" w:line="360" w:lineRule="exact"/>
        <w:rPr>
          <w:rFonts w:hint="eastAsia"/>
        </w:rPr>
      </w:pPr>
      <w:r>
        <w:rPr>
          <w:rFonts w:hint="eastAsia"/>
        </w:rPr>
        <w:t>254</w:t>
      </w:r>
      <w:r>
        <w:rPr>
          <w:rFonts w:hint="eastAsia"/>
        </w:rPr>
        <w:t>．规定妇女在议会选举中的政治参与程度是这方面的一个例证。在</w:t>
      </w:r>
      <w:r>
        <w:rPr>
          <w:rFonts w:hint="eastAsia"/>
        </w:rPr>
        <w:t>1990</w:t>
      </w:r>
      <w:r>
        <w:rPr>
          <w:rFonts w:hint="eastAsia"/>
        </w:rPr>
        <w:t>年大选中，圣何塞省</w:t>
      </w:r>
      <w:r>
        <w:rPr>
          <w:rFonts w:hint="eastAsia"/>
        </w:rPr>
        <w:t>27.3%</w:t>
      </w:r>
      <w:r>
        <w:rPr>
          <w:rFonts w:hint="eastAsia"/>
        </w:rPr>
        <w:t>的候选人（总计</w:t>
      </w:r>
      <w:r>
        <w:rPr>
          <w:rFonts w:hint="eastAsia"/>
        </w:rPr>
        <w:t>87</w:t>
      </w:r>
      <w:r>
        <w:rPr>
          <w:rFonts w:hint="eastAsia"/>
        </w:rPr>
        <w:t>人）是妇女。</w:t>
      </w:r>
      <w:r>
        <w:rPr>
          <w:rFonts w:hint="eastAsia"/>
        </w:rPr>
        <w:t>1994</w:t>
      </w:r>
      <w:r>
        <w:rPr>
          <w:rFonts w:hint="eastAsia"/>
        </w:rPr>
        <w:t>年的选举也保持了相似的比例（妇女候选人占总共</w:t>
      </w:r>
      <w:r>
        <w:rPr>
          <w:rFonts w:hint="eastAsia"/>
        </w:rPr>
        <w:t>168</w:t>
      </w:r>
      <w:r>
        <w:rPr>
          <w:rFonts w:hint="eastAsia"/>
        </w:rPr>
        <w:t>个席位的</w:t>
      </w:r>
      <w:r>
        <w:rPr>
          <w:rFonts w:hint="eastAsia"/>
        </w:rPr>
        <w:t>28%</w:t>
      </w:r>
      <w:r>
        <w:rPr>
          <w:rFonts w:hint="eastAsia"/>
        </w:rPr>
        <w:t>），而</w:t>
      </w:r>
      <w:r>
        <w:rPr>
          <w:rFonts w:hint="eastAsia"/>
        </w:rPr>
        <w:t>1998</w:t>
      </w:r>
      <w:r>
        <w:rPr>
          <w:rFonts w:hint="eastAsia"/>
        </w:rPr>
        <w:t>年，这一比例攀升到占总共</w:t>
      </w:r>
      <w:r>
        <w:rPr>
          <w:rFonts w:hint="eastAsia"/>
        </w:rPr>
        <w:t>267</w:t>
      </w:r>
      <w:r>
        <w:rPr>
          <w:rFonts w:hint="eastAsia"/>
        </w:rPr>
        <w:t>个席位的</w:t>
      </w:r>
      <w:r>
        <w:rPr>
          <w:rFonts w:hint="eastAsia"/>
        </w:rPr>
        <w:t>47.9%</w:t>
      </w:r>
      <w:r>
        <w:rPr>
          <w:rFonts w:hint="eastAsia"/>
        </w:rPr>
        <w:t>。利蒙省取得了重大进展，女候选人人数由</w:t>
      </w:r>
      <w:r>
        <w:rPr>
          <w:rFonts w:hint="eastAsia"/>
        </w:rPr>
        <w:t>1994</w:t>
      </w:r>
      <w:r>
        <w:rPr>
          <w:rFonts w:hint="eastAsia"/>
        </w:rPr>
        <w:t>年的</w:t>
      </w:r>
      <w:r>
        <w:rPr>
          <w:rFonts w:hint="eastAsia"/>
        </w:rPr>
        <w:t>3</w:t>
      </w:r>
      <w:r>
        <w:rPr>
          <w:rFonts w:hint="eastAsia"/>
        </w:rPr>
        <w:t>人增加到</w:t>
      </w:r>
      <w:r>
        <w:rPr>
          <w:rFonts w:hint="eastAsia"/>
        </w:rPr>
        <w:t>1998</w:t>
      </w:r>
      <w:r>
        <w:rPr>
          <w:rFonts w:hint="eastAsia"/>
        </w:rPr>
        <w:t>年的</w:t>
      </w:r>
      <w:r>
        <w:rPr>
          <w:rFonts w:hint="eastAsia"/>
        </w:rPr>
        <w:t>26</w:t>
      </w:r>
      <w:r>
        <w:rPr>
          <w:rFonts w:hint="eastAsia"/>
        </w:rPr>
        <w:t>人。相反，瓜纳卡斯特省却出现了女候选人人数锐减现象，由</w:t>
      </w:r>
      <w:r>
        <w:rPr>
          <w:rFonts w:hint="eastAsia"/>
        </w:rPr>
        <w:t>1990</w:t>
      </w:r>
      <w:r>
        <w:rPr>
          <w:rFonts w:hint="eastAsia"/>
        </w:rPr>
        <w:t>年的</w:t>
      </w:r>
      <w:r>
        <w:rPr>
          <w:rFonts w:hint="eastAsia"/>
        </w:rPr>
        <w:t>9</w:t>
      </w:r>
      <w:r>
        <w:rPr>
          <w:rFonts w:hint="eastAsia"/>
        </w:rPr>
        <w:t>人下降到</w:t>
      </w:r>
      <w:r>
        <w:rPr>
          <w:rFonts w:hint="eastAsia"/>
        </w:rPr>
        <w:t>1994</w:t>
      </w:r>
      <w:r>
        <w:rPr>
          <w:rFonts w:hint="eastAsia"/>
        </w:rPr>
        <w:t>年的</w:t>
      </w:r>
      <w:r>
        <w:rPr>
          <w:rFonts w:hint="eastAsia"/>
        </w:rPr>
        <w:t>7</w:t>
      </w:r>
      <w:r>
        <w:rPr>
          <w:rFonts w:hint="eastAsia"/>
        </w:rPr>
        <w:t>人</w:t>
      </w:r>
      <w:r>
        <w:rPr>
          <w:rFonts w:hint="eastAsia"/>
        </w:rPr>
        <w:t>，不过，</w:t>
      </w:r>
      <w:r>
        <w:rPr>
          <w:rFonts w:hint="eastAsia"/>
        </w:rPr>
        <w:t>1998</w:t>
      </w:r>
      <w:r>
        <w:rPr>
          <w:rFonts w:hint="eastAsia"/>
        </w:rPr>
        <w:t>年又恢复并提高至</w:t>
      </w:r>
      <w:r>
        <w:rPr>
          <w:rFonts w:hint="eastAsia"/>
        </w:rPr>
        <w:t>34</w:t>
      </w:r>
      <w:r>
        <w:rPr>
          <w:rFonts w:hint="eastAsia"/>
        </w:rPr>
        <w:t>人。</w:t>
      </w:r>
    </w:p>
    <w:p w:rsidR="00000000" w:rsidRDefault="00CA422F">
      <w:pPr>
        <w:spacing w:after="240" w:line="360" w:lineRule="exact"/>
        <w:rPr>
          <w:rFonts w:hint="eastAsia"/>
        </w:rPr>
      </w:pPr>
      <w:r>
        <w:rPr>
          <w:rFonts w:hint="eastAsia"/>
        </w:rPr>
        <w:t>255</w:t>
      </w:r>
      <w:r>
        <w:rPr>
          <w:rFonts w:hint="eastAsia"/>
        </w:rPr>
        <w:t>．男女候选人在议员候选名单上占据的位置或者顺序差别甚大，致使男女在当选议席数量上存在着性别差异，在</w:t>
      </w:r>
      <w:r>
        <w:rPr>
          <w:rFonts w:hint="eastAsia"/>
        </w:rPr>
        <w:t>1994</w:t>
      </w:r>
      <w:r>
        <w:rPr>
          <w:rFonts w:hint="eastAsia"/>
        </w:rPr>
        <w:t>年和</w:t>
      </w:r>
      <w:r>
        <w:rPr>
          <w:rFonts w:hint="eastAsia"/>
        </w:rPr>
        <w:t>1998</w:t>
      </w:r>
      <w:r>
        <w:rPr>
          <w:rFonts w:hint="eastAsia"/>
        </w:rPr>
        <w:t>年的大选中，共有</w:t>
      </w:r>
      <w:r>
        <w:rPr>
          <w:rFonts w:hint="eastAsia"/>
        </w:rPr>
        <w:t>57</w:t>
      </w:r>
      <w:r>
        <w:rPr>
          <w:rFonts w:hint="eastAsia"/>
        </w:rPr>
        <w:t>名妇女参加众议员选举，分别只有</w:t>
      </w:r>
      <w:r>
        <w:rPr>
          <w:rFonts w:hint="eastAsia"/>
        </w:rPr>
        <w:t>9</w:t>
      </w:r>
      <w:r>
        <w:rPr>
          <w:rFonts w:hint="eastAsia"/>
        </w:rPr>
        <w:t>名和</w:t>
      </w:r>
      <w:r>
        <w:rPr>
          <w:rFonts w:hint="eastAsia"/>
        </w:rPr>
        <w:t>11</w:t>
      </w:r>
      <w:r>
        <w:rPr>
          <w:rFonts w:hint="eastAsia"/>
        </w:rPr>
        <w:t>名妇女当选。尽管如此，越来越多的妇女正在成为五个首要选举席位的候选人，该比例由</w:t>
      </w:r>
      <w:r>
        <w:rPr>
          <w:rFonts w:hint="eastAsia"/>
        </w:rPr>
        <w:t>90</w:t>
      </w:r>
      <w:r>
        <w:rPr>
          <w:rFonts w:hint="eastAsia"/>
        </w:rPr>
        <w:t>年代第一次大选（</w:t>
      </w:r>
      <w:r>
        <w:rPr>
          <w:rFonts w:hint="eastAsia"/>
        </w:rPr>
        <w:t>1990</w:t>
      </w:r>
      <w:r>
        <w:rPr>
          <w:rFonts w:hint="eastAsia"/>
        </w:rPr>
        <w:t>年）中的</w:t>
      </w:r>
      <w:r>
        <w:rPr>
          <w:rFonts w:hint="eastAsia"/>
        </w:rPr>
        <w:t>6.7%</w:t>
      </w:r>
      <w:r>
        <w:rPr>
          <w:rFonts w:hint="eastAsia"/>
        </w:rPr>
        <w:t>上升到</w:t>
      </w:r>
      <w:r>
        <w:rPr>
          <w:rFonts w:hint="eastAsia"/>
        </w:rPr>
        <w:t>1998</w:t>
      </w:r>
      <w:r>
        <w:rPr>
          <w:rFonts w:hint="eastAsia"/>
        </w:rPr>
        <w:t>年的</w:t>
      </w:r>
      <w:r>
        <w:rPr>
          <w:rFonts w:hint="eastAsia"/>
        </w:rPr>
        <w:t>25.1%</w:t>
      </w:r>
      <w:r>
        <w:rPr>
          <w:rFonts w:hint="eastAsia"/>
        </w:rPr>
        <w:t>，它清楚地表明妇女在这方面取得了令人瞩目的进步。</w:t>
      </w:r>
    </w:p>
    <w:p w:rsidR="00000000" w:rsidRDefault="00CA422F">
      <w:pPr>
        <w:spacing w:after="240" w:line="360" w:lineRule="exact"/>
        <w:rPr>
          <w:rFonts w:hint="eastAsia"/>
        </w:rPr>
      </w:pPr>
      <w:r>
        <w:rPr>
          <w:rFonts w:hint="eastAsia"/>
        </w:rPr>
        <w:t>256</w:t>
      </w:r>
      <w:r>
        <w:rPr>
          <w:rFonts w:hint="eastAsia"/>
        </w:rPr>
        <w:t>．在地方选举中也可以看到类似的情况。在市政议员选举中成功当选的女候选人远远超过希</w:t>
      </w:r>
      <w:r>
        <w:rPr>
          <w:rFonts w:hint="eastAsia"/>
        </w:rPr>
        <w:t>望在众议院中获得议席的妇女：</w:t>
      </w:r>
      <w:r>
        <w:rPr>
          <w:rFonts w:hint="eastAsia"/>
        </w:rPr>
        <w:t>1990</w:t>
      </w:r>
      <w:r>
        <w:rPr>
          <w:rFonts w:hint="eastAsia"/>
        </w:rPr>
        <w:t>年妇女赢得了</w:t>
      </w:r>
      <w:r>
        <w:rPr>
          <w:rFonts w:hint="eastAsia"/>
        </w:rPr>
        <w:t>12.4%</w:t>
      </w:r>
      <w:r>
        <w:rPr>
          <w:rFonts w:hint="eastAsia"/>
        </w:rPr>
        <w:t>的议席，</w:t>
      </w:r>
      <w:r>
        <w:rPr>
          <w:rFonts w:hint="eastAsia"/>
        </w:rPr>
        <w:t>1998</w:t>
      </w:r>
      <w:r>
        <w:rPr>
          <w:rFonts w:hint="eastAsia"/>
        </w:rPr>
        <w:t>年为</w:t>
      </w:r>
      <w:r>
        <w:rPr>
          <w:rFonts w:hint="eastAsia"/>
        </w:rPr>
        <w:t>34.4%</w:t>
      </w:r>
      <w:r>
        <w:rPr>
          <w:rFonts w:hint="eastAsia"/>
        </w:rPr>
        <w:t>，</w:t>
      </w:r>
      <w:r>
        <w:rPr>
          <w:rFonts w:hint="eastAsia"/>
        </w:rPr>
        <w:t>2002</w:t>
      </w:r>
      <w:r>
        <w:rPr>
          <w:rFonts w:hint="eastAsia"/>
        </w:rPr>
        <w:t>年，妇女赢得了市政议会中</w:t>
      </w:r>
      <w:r>
        <w:rPr>
          <w:rFonts w:hint="eastAsia"/>
        </w:rPr>
        <w:t>46.70%</w:t>
      </w:r>
      <w:r>
        <w:rPr>
          <w:rFonts w:hint="eastAsia"/>
        </w:rPr>
        <w:t>的正式议员和</w:t>
      </w:r>
      <w:r>
        <w:rPr>
          <w:rFonts w:hint="eastAsia"/>
        </w:rPr>
        <w:t>53.30%</w:t>
      </w:r>
      <w:r>
        <w:rPr>
          <w:rFonts w:hint="eastAsia"/>
        </w:rPr>
        <w:t>的候补议员席位。与之相反，在担任可以行使高级决策权的市镇长官职务方面，</w:t>
      </w:r>
      <w:r>
        <w:rPr>
          <w:rFonts w:hint="eastAsia"/>
        </w:rPr>
        <w:t>1998</w:t>
      </w:r>
      <w:r>
        <w:rPr>
          <w:rFonts w:hint="eastAsia"/>
        </w:rPr>
        <w:t>年妇女在当选市长中（总计</w:t>
      </w:r>
      <w:r>
        <w:rPr>
          <w:rFonts w:hint="eastAsia"/>
        </w:rPr>
        <w:t>81</w:t>
      </w:r>
      <w:r>
        <w:rPr>
          <w:rFonts w:hint="eastAsia"/>
        </w:rPr>
        <w:t>位）仅仅占</w:t>
      </w:r>
      <w:r>
        <w:rPr>
          <w:rFonts w:hint="eastAsia"/>
        </w:rPr>
        <w:t>6%</w:t>
      </w:r>
      <w:r>
        <w:rPr>
          <w:rFonts w:hint="eastAsia"/>
        </w:rPr>
        <w:t>（民族国家计划，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257</w:t>
      </w:r>
      <w:r>
        <w:rPr>
          <w:rFonts w:hint="eastAsia"/>
        </w:rPr>
        <w:t>．正如报告反复强调过那样，在《促进妇女社会平等法》的推动下，国家正在展开积极行动，鼓励和促进妇女在选举进程中享有同等的机会，并且已经在这方面取得了初步进展。</w:t>
      </w:r>
      <w:r>
        <w:rPr>
          <w:rFonts w:hint="eastAsia"/>
        </w:rPr>
        <w:t>1996</w:t>
      </w:r>
      <w:r>
        <w:rPr>
          <w:rFonts w:hint="eastAsia"/>
        </w:rPr>
        <w:t>年，对《选举法》第五十八条（</w:t>
      </w:r>
      <w:r>
        <w:rPr>
          <w:rFonts w:hint="eastAsia"/>
        </w:rPr>
        <w:t>n</w:t>
      </w:r>
      <w:r>
        <w:rPr>
          <w:rFonts w:hint="eastAsia"/>
        </w:rPr>
        <w:t>）</w:t>
      </w:r>
      <w:r>
        <w:rPr>
          <w:rFonts w:hint="eastAsia"/>
        </w:rPr>
        <w:t>款和（</w:t>
      </w:r>
      <w:r>
        <w:rPr>
          <w:lang w:val="es-ES"/>
        </w:rPr>
        <w:t>ñ</w:t>
      </w:r>
      <w:r>
        <w:rPr>
          <w:rFonts w:hint="eastAsia"/>
        </w:rPr>
        <w:t>）款以及第六十条进行了修订（</w:t>
      </w:r>
      <w:r>
        <w:rPr>
          <w:rFonts w:hint="eastAsia"/>
        </w:rPr>
        <w:t>7653</w:t>
      </w:r>
      <w:r>
        <w:rPr>
          <w:rFonts w:hint="eastAsia"/>
        </w:rPr>
        <w:t>号法律），引入了妇女参与最低配额比例制度，规定在政党的组织机制和普选席位候选名单中妇女比例必须达到</w:t>
      </w:r>
      <w:r>
        <w:rPr>
          <w:rFonts w:hint="eastAsia"/>
        </w:rPr>
        <w:t>40%</w:t>
      </w:r>
      <w:r>
        <w:rPr>
          <w:rFonts w:hint="eastAsia"/>
        </w:rPr>
        <w:t>。该修正案还规定，县、地区和省议会中妇女代表的最低限额为</w:t>
      </w:r>
      <w:r>
        <w:rPr>
          <w:rFonts w:hint="eastAsia"/>
        </w:rPr>
        <w:t>40%</w:t>
      </w:r>
      <w:r>
        <w:rPr>
          <w:rFonts w:hint="eastAsia"/>
        </w:rPr>
        <w:t>。另外，修正案还规定各政党在党章中必须明确规定，要依据《促进妇女社会平等法》第六条有关规定，将该政党有权支配的政治公债按照一定比例用于促进妇女的政治教育和政治参与。</w:t>
      </w:r>
    </w:p>
    <w:p w:rsidR="00000000" w:rsidRDefault="00CA422F">
      <w:pPr>
        <w:spacing w:after="240" w:line="360" w:lineRule="exact"/>
        <w:rPr>
          <w:rFonts w:hint="eastAsia"/>
        </w:rPr>
      </w:pPr>
      <w:r>
        <w:rPr>
          <w:rFonts w:hint="eastAsia"/>
        </w:rPr>
        <w:t>258</w:t>
      </w:r>
      <w:r>
        <w:rPr>
          <w:rFonts w:hint="eastAsia"/>
        </w:rPr>
        <w:t>．尽管有上文提及的种种规定，在</w:t>
      </w:r>
      <w:r>
        <w:rPr>
          <w:rFonts w:hint="eastAsia"/>
        </w:rPr>
        <w:t>1998</w:t>
      </w:r>
      <w:r>
        <w:rPr>
          <w:rFonts w:hint="eastAsia"/>
        </w:rPr>
        <w:t>年的选举中，至少在人民监票和计票的可当选职位中没有适用</w:t>
      </w:r>
      <w:r>
        <w:rPr>
          <w:rFonts w:hint="eastAsia"/>
        </w:rPr>
        <w:t>40%</w:t>
      </w:r>
      <w:r>
        <w:rPr>
          <w:rFonts w:hint="eastAsia"/>
        </w:rPr>
        <w:t>的最低配额规定。正如下表所示，妇</w:t>
      </w:r>
      <w:r>
        <w:rPr>
          <w:rFonts w:hint="eastAsia"/>
        </w:rPr>
        <w:t>女往往担任第一和第二副主席的职务（</w:t>
      </w:r>
      <w:r>
        <w:rPr>
          <w:rFonts w:hint="eastAsia"/>
        </w:rPr>
        <w:t>61.5%</w:t>
      </w:r>
      <w:r>
        <w:rPr>
          <w:rFonts w:hint="eastAsia"/>
        </w:rPr>
        <w:t>），但是她们依然未能跻身首要位置，当选众议员——甚至市政议会议员。</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4</w:t>
      </w:r>
      <w:r>
        <w:rPr>
          <w:rFonts w:ascii="SimHei" w:eastAsia="SimHei"/>
        </w:rPr>
        <w:br/>
      </w:r>
      <w:r>
        <w:rPr>
          <w:rFonts w:ascii="SimHei" w:eastAsia="SimHei" w:hint="eastAsia"/>
        </w:rPr>
        <w:t>不同性别担任普选职位的情况，</w:t>
      </w:r>
      <w:r>
        <w:rPr>
          <w:rFonts w:ascii="SimHei" w:eastAsia="SimHei"/>
        </w:rPr>
        <w:br/>
      </w:r>
      <w:r>
        <w:rPr>
          <w:rFonts w:ascii="SimHei" w:eastAsia="SimHei" w:hint="eastAsia"/>
        </w:rPr>
        <w:t>根据</w:t>
      </w:r>
      <w:r>
        <w:rPr>
          <w:rFonts w:ascii="SimHei" w:eastAsia="SimHei" w:hint="eastAsia"/>
        </w:rPr>
        <w:t>2002</w:t>
      </w:r>
      <w:r>
        <w:rPr>
          <w:rFonts w:ascii="SimHei" w:eastAsia="SimHei" w:hint="eastAsia"/>
        </w:rPr>
        <w:t>－</w:t>
      </w:r>
      <w:r>
        <w:rPr>
          <w:rFonts w:ascii="SimHei" w:eastAsia="SimHei" w:hint="eastAsia"/>
        </w:rPr>
        <w:t>2006</w:t>
      </w:r>
      <w:r>
        <w:rPr>
          <w:rFonts w:ascii="SimHei" w:eastAsia="SimHei" w:hint="eastAsia"/>
        </w:rPr>
        <w:t>年选举期的职位名册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5"/>
        <w:gridCol w:w="1262"/>
        <w:gridCol w:w="1262"/>
        <w:gridCol w:w="1261"/>
        <w:gridCol w:w="1261"/>
        <w:gridCol w:w="1261"/>
        <w:gridCol w:w="1261"/>
        <w:gridCol w:w="1261"/>
      </w:tblGrid>
      <w:tr w:rsidR="00000000">
        <w:tblPrEx>
          <w:tblCellMar>
            <w:top w:w="0" w:type="dxa"/>
            <w:bottom w:w="0" w:type="dxa"/>
          </w:tblCellMar>
        </w:tblPrEx>
        <w:trPr>
          <w:cantSplit/>
        </w:trPr>
        <w:tc>
          <w:tcPr>
            <w:tcW w:w="569" w:type="pct"/>
            <w:vMerge w:val="restart"/>
          </w:tcPr>
          <w:p w:rsidR="00000000" w:rsidRDefault="00CA422F">
            <w:pPr>
              <w:spacing w:line="360" w:lineRule="exact"/>
              <w:jc w:val="center"/>
              <w:rPr>
                <w:rFonts w:eastAsia="SimHei" w:hint="eastAsia"/>
                <w:sz w:val="18"/>
              </w:rPr>
            </w:pPr>
            <w:r>
              <w:rPr>
                <w:rFonts w:eastAsia="SimHei" w:hint="eastAsia"/>
                <w:sz w:val="18"/>
              </w:rPr>
              <w:t>普选职位</w:t>
            </w:r>
          </w:p>
        </w:tc>
        <w:tc>
          <w:tcPr>
            <w:tcW w:w="633" w:type="pct"/>
            <w:vMerge w:val="restart"/>
          </w:tcPr>
          <w:p w:rsidR="00000000" w:rsidRDefault="00CA422F">
            <w:pPr>
              <w:pStyle w:val="Header"/>
              <w:pBdr>
                <w:bottom w:val="none" w:sz="0" w:space="0" w:color="auto"/>
              </w:pBdr>
              <w:tabs>
                <w:tab w:val="clear" w:pos="4320"/>
                <w:tab w:val="clear" w:pos="8640"/>
              </w:tabs>
              <w:spacing w:line="360" w:lineRule="exact"/>
              <w:rPr>
                <w:rFonts w:eastAsia="SimHei" w:hint="eastAsia"/>
              </w:rPr>
            </w:pPr>
            <w:r>
              <w:rPr>
                <w:rFonts w:eastAsia="SimHei" w:hint="eastAsia"/>
              </w:rPr>
              <w:t>名册上</w:t>
            </w:r>
          </w:p>
          <w:p w:rsidR="00000000" w:rsidRDefault="00CA422F">
            <w:pPr>
              <w:spacing w:line="360" w:lineRule="exact"/>
              <w:jc w:val="center"/>
              <w:rPr>
                <w:rFonts w:eastAsia="SimHei" w:hint="eastAsia"/>
                <w:sz w:val="18"/>
              </w:rPr>
            </w:pPr>
            <w:r>
              <w:rPr>
                <w:rFonts w:eastAsia="SimHei" w:hint="eastAsia"/>
                <w:sz w:val="18"/>
              </w:rPr>
              <w:t>的职位</w:t>
            </w:r>
          </w:p>
        </w:tc>
        <w:tc>
          <w:tcPr>
            <w:tcW w:w="3798" w:type="pct"/>
            <w:gridSpan w:val="6"/>
            <w:tcBorders>
              <w:right w:val="single" w:sz="4" w:space="0" w:color="auto"/>
            </w:tcBorders>
          </w:tcPr>
          <w:p w:rsidR="00000000" w:rsidRDefault="00CA422F">
            <w:pPr>
              <w:spacing w:line="360" w:lineRule="exact"/>
              <w:jc w:val="center"/>
              <w:rPr>
                <w:rFonts w:eastAsia="SimHei" w:hint="eastAsia"/>
                <w:sz w:val="18"/>
              </w:rPr>
            </w:pPr>
            <w:r>
              <w:rPr>
                <w:rFonts w:eastAsia="SimHei" w:hint="eastAsia"/>
                <w:sz w:val="18"/>
              </w:rPr>
              <w:t>不同性别的担任情况</w:t>
            </w:r>
          </w:p>
        </w:tc>
      </w:tr>
      <w:tr w:rsidR="00000000">
        <w:tblPrEx>
          <w:tblCellMar>
            <w:top w:w="0" w:type="dxa"/>
            <w:bottom w:w="0" w:type="dxa"/>
          </w:tblCellMar>
        </w:tblPrEx>
        <w:trPr>
          <w:cantSplit/>
        </w:trPr>
        <w:tc>
          <w:tcPr>
            <w:tcW w:w="569" w:type="pct"/>
            <w:vMerge/>
          </w:tcPr>
          <w:p w:rsidR="00000000" w:rsidRDefault="00CA422F">
            <w:pPr>
              <w:spacing w:line="360" w:lineRule="exact"/>
              <w:jc w:val="center"/>
              <w:rPr>
                <w:rFonts w:eastAsia="SimHei" w:hint="eastAsia"/>
                <w:sz w:val="18"/>
              </w:rPr>
            </w:pPr>
          </w:p>
        </w:tc>
        <w:tc>
          <w:tcPr>
            <w:tcW w:w="633" w:type="pct"/>
            <w:vMerge/>
          </w:tcPr>
          <w:p w:rsidR="00000000" w:rsidRDefault="00CA422F">
            <w:pPr>
              <w:spacing w:line="360" w:lineRule="exact"/>
              <w:jc w:val="center"/>
              <w:rPr>
                <w:rFonts w:eastAsia="SimHei" w:hint="eastAsia"/>
                <w:sz w:val="18"/>
              </w:rPr>
            </w:pPr>
          </w:p>
        </w:tc>
        <w:tc>
          <w:tcPr>
            <w:tcW w:w="1899" w:type="pct"/>
            <w:gridSpan w:val="3"/>
          </w:tcPr>
          <w:p w:rsidR="00000000" w:rsidRDefault="00CA422F">
            <w:pPr>
              <w:spacing w:line="360" w:lineRule="exact"/>
              <w:jc w:val="center"/>
              <w:rPr>
                <w:rFonts w:eastAsia="SimHei" w:hint="eastAsia"/>
                <w:sz w:val="18"/>
              </w:rPr>
            </w:pPr>
            <w:r>
              <w:rPr>
                <w:rFonts w:eastAsia="SimHei" w:hint="eastAsia"/>
                <w:sz w:val="18"/>
              </w:rPr>
              <w:t>绝对数字</w:t>
            </w:r>
          </w:p>
        </w:tc>
        <w:tc>
          <w:tcPr>
            <w:tcW w:w="1899" w:type="pct"/>
            <w:gridSpan w:val="3"/>
            <w:tcBorders>
              <w:right w:val="single" w:sz="4" w:space="0" w:color="auto"/>
            </w:tcBorders>
          </w:tcPr>
          <w:p w:rsidR="00000000" w:rsidRDefault="00CA422F">
            <w:pPr>
              <w:spacing w:line="360" w:lineRule="exact"/>
              <w:jc w:val="center"/>
              <w:rPr>
                <w:rFonts w:eastAsia="SimHei" w:hint="eastAsia"/>
                <w:sz w:val="18"/>
              </w:rPr>
            </w:pPr>
            <w:r>
              <w:rPr>
                <w:rFonts w:eastAsia="SimHei" w:hint="eastAsia"/>
                <w:sz w:val="18"/>
              </w:rPr>
              <w:t>有关比例</w:t>
            </w:r>
          </w:p>
        </w:tc>
      </w:tr>
      <w:tr w:rsidR="00000000">
        <w:tblPrEx>
          <w:tblCellMar>
            <w:top w:w="0" w:type="dxa"/>
            <w:bottom w:w="0" w:type="dxa"/>
          </w:tblCellMar>
        </w:tblPrEx>
        <w:trPr>
          <w:cantSplit/>
        </w:trPr>
        <w:tc>
          <w:tcPr>
            <w:tcW w:w="569" w:type="pct"/>
            <w:vMerge/>
          </w:tcPr>
          <w:p w:rsidR="00000000" w:rsidRDefault="00CA422F">
            <w:pPr>
              <w:spacing w:line="360" w:lineRule="exact"/>
              <w:jc w:val="center"/>
              <w:rPr>
                <w:rFonts w:eastAsia="SimHei" w:hint="eastAsia"/>
                <w:sz w:val="18"/>
              </w:rPr>
            </w:pPr>
          </w:p>
        </w:tc>
        <w:tc>
          <w:tcPr>
            <w:tcW w:w="633" w:type="pct"/>
            <w:vMerge/>
          </w:tcPr>
          <w:p w:rsidR="00000000" w:rsidRDefault="00CA422F">
            <w:pPr>
              <w:spacing w:line="360" w:lineRule="exact"/>
              <w:jc w:val="center"/>
              <w:rPr>
                <w:rFonts w:eastAsia="SimHei" w:hint="eastAsia"/>
                <w:sz w:val="18"/>
              </w:rPr>
            </w:pPr>
          </w:p>
        </w:tc>
        <w:tc>
          <w:tcPr>
            <w:tcW w:w="633" w:type="pct"/>
          </w:tcPr>
          <w:p w:rsidR="00000000" w:rsidRDefault="00CA422F">
            <w:pPr>
              <w:spacing w:line="360" w:lineRule="exact"/>
              <w:jc w:val="center"/>
              <w:rPr>
                <w:rFonts w:eastAsia="SimHei" w:hint="eastAsia"/>
                <w:sz w:val="18"/>
              </w:rPr>
            </w:pPr>
            <w:r>
              <w:rPr>
                <w:rFonts w:eastAsia="SimHei" w:hint="eastAsia"/>
                <w:sz w:val="18"/>
              </w:rPr>
              <w:t>妇女</w:t>
            </w:r>
          </w:p>
        </w:tc>
        <w:tc>
          <w:tcPr>
            <w:tcW w:w="633" w:type="pct"/>
          </w:tcPr>
          <w:p w:rsidR="00000000" w:rsidRDefault="00CA422F">
            <w:pPr>
              <w:spacing w:line="360" w:lineRule="exact"/>
              <w:jc w:val="center"/>
              <w:rPr>
                <w:rFonts w:eastAsia="SimHei" w:hint="eastAsia"/>
                <w:sz w:val="18"/>
              </w:rPr>
            </w:pPr>
            <w:r>
              <w:rPr>
                <w:rFonts w:eastAsia="SimHei" w:hint="eastAsia"/>
                <w:sz w:val="18"/>
              </w:rPr>
              <w:t>男子</w:t>
            </w:r>
          </w:p>
        </w:tc>
        <w:tc>
          <w:tcPr>
            <w:tcW w:w="633" w:type="pct"/>
          </w:tcPr>
          <w:p w:rsidR="00000000" w:rsidRDefault="00CA422F">
            <w:pPr>
              <w:spacing w:line="360" w:lineRule="exact"/>
              <w:jc w:val="center"/>
              <w:rPr>
                <w:rFonts w:eastAsia="SimHei" w:hint="eastAsia"/>
                <w:sz w:val="18"/>
              </w:rPr>
            </w:pPr>
            <w:r>
              <w:rPr>
                <w:rFonts w:eastAsia="SimHei" w:hint="eastAsia"/>
                <w:sz w:val="18"/>
              </w:rPr>
              <w:t>总计</w:t>
            </w:r>
          </w:p>
        </w:tc>
        <w:tc>
          <w:tcPr>
            <w:tcW w:w="633" w:type="pct"/>
            <w:tcBorders>
              <w:top w:val="nil"/>
            </w:tcBorders>
          </w:tcPr>
          <w:p w:rsidR="00000000" w:rsidRDefault="00CA422F">
            <w:pPr>
              <w:spacing w:line="360" w:lineRule="exact"/>
              <w:jc w:val="center"/>
              <w:rPr>
                <w:rFonts w:eastAsia="SimHei" w:hint="eastAsia"/>
                <w:sz w:val="18"/>
              </w:rPr>
            </w:pPr>
            <w:r>
              <w:rPr>
                <w:rFonts w:eastAsia="SimHei" w:hint="eastAsia"/>
                <w:sz w:val="18"/>
              </w:rPr>
              <w:t>妇女</w:t>
            </w:r>
          </w:p>
        </w:tc>
        <w:tc>
          <w:tcPr>
            <w:tcW w:w="633" w:type="pct"/>
            <w:tcBorders>
              <w:top w:val="nil"/>
            </w:tcBorders>
          </w:tcPr>
          <w:p w:rsidR="00000000" w:rsidRDefault="00CA422F">
            <w:pPr>
              <w:spacing w:line="360" w:lineRule="exact"/>
              <w:jc w:val="center"/>
              <w:rPr>
                <w:rFonts w:eastAsia="SimHei" w:hint="eastAsia"/>
                <w:sz w:val="18"/>
              </w:rPr>
            </w:pPr>
            <w:r>
              <w:rPr>
                <w:rFonts w:eastAsia="SimHei" w:hint="eastAsia"/>
                <w:sz w:val="18"/>
              </w:rPr>
              <w:t>男子</w:t>
            </w:r>
          </w:p>
        </w:tc>
        <w:tc>
          <w:tcPr>
            <w:tcW w:w="633" w:type="pct"/>
          </w:tcPr>
          <w:p w:rsidR="00000000" w:rsidRDefault="00CA422F">
            <w:pPr>
              <w:spacing w:line="360" w:lineRule="exact"/>
              <w:jc w:val="center"/>
              <w:rPr>
                <w:rFonts w:eastAsia="SimHei" w:hint="eastAsia"/>
                <w:sz w:val="18"/>
              </w:rPr>
            </w:pPr>
            <w:r>
              <w:rPr>
                <w:rFonts w:eastAsia="SimHei" w:hint="eastAsia"/>
                <w:sz w:val="18"/>
              </w:rPr>
              <w:t>总计</w:t>
            </w:r>
          </w:p>
        </w:tc>
      </w:tr>
      <w:tr w:rsidR="00000000">
        <w:tblPrEx>
          <w:tblCellMar>
            <w:top w:w="0" w:type="dxa"/>
            <w:bottom w:w="0" w:type="dxa"/>
          </w:tblCellMar>
        </w:tblPrEx>
        <w:trPr>
          <w:cantSplit/>
        </w:trPr>
        <w:tc>
          <w:tcPr>
            <w:tcW w:w="569" w:type="pct"/>
            <w:vMerge w:val="restart"/>
          </w:tcPr>
          <w:p w:rsidR="00000000" w:rsidRDefault="00CA422F">
            <w:pPr>
              <w:pStyle w:val="Header"/>
              <w:pBdr>
                <w:bottom w:val="none" w:sz="0" w:space="0" w:color="auto"/>
              </w:pBdr>
              <w:tabs>
                <w:tab w:val="clear" w:pos="4320"/>
                <w:tab w:val="clear" w:pos="8640"/>
              </w:tabs>
              <w:spacing w:line="360" w:lineRule="exact"/>
              <w:rPr>
                <w:rFonts w:hint="eastAsia"/>
              </w:rPr>
            </w:pPr>
            <w:r>
              <w:rPr>
                <w:rFonts w:hint="eastAsia"/>
              </w:rPr>
              <w:t>共和国总统和副总统</w:t>
            </w:r>
          </w:p>
        </w:tc>
        <w:tc>
          <w:tcPr>
            <w:tcW w:w="633" w:type="pct"/>
          </w:tcPr>
          <w:p w:rsidR="00000000" w:rsidRDefault="00CA422F">
            <w:pPr>
              <w:pStyle w:val="20"/>
              <w:spacing w:beforeLines="0" w:before="0" w:afterLines="0" w:after="0" w:line="360" w:lineRule="exact"/>
              <w:rPr>
                <w:rFonts w:ascii="Times New Roman" w:eastAsia="SimSun" w:hAnsi="Times New Roman" w:hint="eastAsia"/>
                <w:sz w:val="18"/>
                <w:lang w:val="en-US"/>
              </w:rPr>
            </w:pPr>
            <w:r>
              <w:rPr>
                <w:rFonts w:ascii="Times New Roman" w:eastAsia="SimSun" w:hAnsi="Times New Roman" w:hint="eastAsia"/>
                <w:sz w:val="18"/>
                <w:lang w:val="en-US"/>
              </w:rPr>
              <w:t>总统</w:t>
            </w:r>
          </w:p>
        </w:tc>
        <w:tc>
          <w:tcPr>
            <w:tcW w:w="633" w:type="pct"/>
          </w:tcPr>
          <w:p w:rsidR="00000000" w:rsidRDefault="00CA422F">
            <w:pPr>
              <w:spacing w:line="360" w:lineRule="exact"/>
              <w:jc w:val="center"/>
              <w:rPr>
                <w:rFonts w:hint="eastAsia"/>
                <w:sz w:val="18"/>
              </w:rPr>
            </w:pPr>
            <w:r>
              <w:rPr>
                <w:rFonts w:hint="eastAsia"/>
                <w:sz w:val="18"/>
              </w:rPr>
              <w:t>0</w:t>
            </w:r>
          </w:p>
        </w:tc>
        <w:tc>
          <w:tcPr>
            <w:tcW w:w="633" w:type="pct"/>
          </w:tcPr>
          <w:p w:rsidR="00000000" w:rsidRDefault="00CA422F">
            <w:pPr>
              <w:spacing w:line="360" w:lineRule="exact"/>
              <w:jc w:val="center"/>
              <w:rPr>
                <w:rFonts w:hint="eastAsia"/>
                <w:sz w:val="18"/>
              </w:rPr>
            </w:pPr>
            <w:r>
              <w:rPr>
                <w:rFonts w:hint="eastAsia"/>
                <w:sz w:val="18"/>
              </w:rPr>
              <w:t>13</w:t>
            </w:r>
          </w:p>
        </w:tc>
        <w:tc>
          <w:tcPr>
            <w:tcW w:w="633" w:type="pct"/>
          </w:tcPr>
          <w:p w:rsidR="00000000" w:rsidRDefault="00CA422F">
            <w:pPr>
              <w:spacing w:line="360" w:lineRule="exact"/>
              <w:jc w:val="center"/>
              <w:rPr>
                <w:rFonts w:hint="eastAsia"/>
                <w:sz w:val="18"/>
              </w:rPr>
            </w:pPr>
            <w:r>
              <w:rPr>
                <w:rFonts w:hint="eastAsia"/>
                <w:sz w:val="18"/>
              </w:rPr>
              <w:t>13</w:t>
            </w:r>
          </w:p>
        </w:tc>
        <w:tc>
          <w:tcPr>
            <w:tcW w:w="633" w:type="pct"/>
            <w:tcBorders>
              <w:top w:val="nil"/>
            </w:tcBorders>
          </w:tcPr>
          <w:p w:rsidR="00000000" w:rsidRDefault="00CA422F">
            <w:pPr>
              <w:spacing w:line="360" w:lineRule="exact"/>
              <w:jc w:val="center"/>
              <w:rPr>
                <w:rFonts w:hint="eastAsia"/>
                <w:sz w:val="18"/>
              </w:rPr>
            </w:pPr>
            <w:r>
              <w:rPr>
                <w:rFonts w:hint="eastAsia"/>
                <w:sz w:val="18"/>
              </w:rPr>
              <w:t>0</w:t>
            </w:r>
          </w:p>
        </w:tc>
        <w:tc>
          <w:tcPr>
            <w:tcW w:w="633" w:type="pct"/>
            <w:tcBorders>
              <w:top w:val="nil"/>
            </w:tcBorders>
          </w:tcPr>
          <w:p w:rsidR="00000000" w:rsidRDefault="00CA422F">
            <w:pPr>
              <w:spacing w:line="360" w:lineRule="exact"/>
              <w:jc w:val="center"/>
              <w:rPr>
                <w:rFonts w:hint="eastAsia"/>
                <w:sz w:val="18"/>
              </w:rPr>
            </w:pPr>
            <w:r>
              <w:rPr>
                <w:rFonts w:hint="eastAsia"/>
                <w:sz w:val="18"/>
              </w:rPr>
              <w:t>100</w:t>
            </w:r>
          </w:p>
        </w:tc>
        <w:tc>
          <w:tcPr>
            <w:tcW w:w="633" w:type="pct"/>
          </w:tcPr>
          <w:p w:rsidR="00000000" w:rsidRDefault="00CA422F">
            <w:pPr>
              <w:spacing w:line="360" w:lineRule="exact"/>
              <w:jc w:val="center"/>
              <w:rPr>
                <w:rFonts w:hint="eastAsia"/>
                <w:sz w:val="18"/>
              </w:rPr>
            </w:pPr>
            <w:r>
              <w:rPr>
                <w:rFonts w:hint="eastAsia"/>
                <w:sz w:val="18"/>
              </w:rPr>
              <w:t>100</w:t>
            </w:r>
          </w:p>
        </w:tc>
      </w:tr>
      <w:tr w:rsidR="00000000">
        <w:tblPrEx>
          <w:tblCellMar>
            <w:top w:w="0" w:type="dxa"/>
            <w:bottom w:w="0" w:type="dxa"/>
          </w:tblCellMar>
        </w:tblPrEx>
        <w:trPr>
          <w:cantSplit/>
        </w:trPr>
        <w:tc>
          <w:tcPr>
            <w:tcW w:w="569" w:type="pct"/>
            <w:vMerge/>
          </w:tcPr>
          <w:p w:rsidR="00000000" w:rsidRDefault="00CA422F">
            <w:pPr>
              <w:spacing w:line="360" w:lineRule="exact"/>
              <w:jc w:val="center"/>
              <w:rPr>
                <w:rFonts w:hint="eastAsia"/>
                <w:sz w:val="18"/>
              </w:rPr>
            </w:pPr>
          </w:p>
        </w:tc>
        <w:tc>
          <w:tcPr>
            <w:tcW w:w="633" w:type="pct"/>
          </w:tcPr>
          <w:p w:rsidR="00000000" w:rsidRDefault="00CA422F">
            <w:pPr>
              <w:pStyle w:val="20"/>
              <w:spacing w:beforeLines="0" w:before="0" w:afterLines="0" w:after="0" w:line="360" w:lineRule="exact"/>
              <w:rPr>
                <w:rFonts w:ascii="Times New Roman" w:eastAsia="SimSun" w:hAnsi="Times New Roman" w:hint="eastAsia"/>
                <w:sz w:val="18"/>
                <w:lang w:val="en-US"/>
              </w:rPr>
            </w:pPr>
            <w:r>
              <w:rPr>
                <w:rFonts w:ascii="Times New Roman" w:eastAsia="SimSun" w:hAnsi="Times New Roman" w:hint="eastAsia"/>
                <w:sz w:val="18"/>
                <w:lang w:val="en-US"/>
              </w:rPr>
              <w:t>第一副总统</w:t>
            </w:r>
          </w:p>
        </w:tc>
        <w:tc>
          <w:tcPr>
            <w:tcW w:w="633" w:type="pct"/>
          </w:tcPr>
          <w:p w:rsidR="00000000" w:rsidRDefault="00CA422F">
            <w:pPr>
              <w:spacing w:line="360" w:lineRule="exact"/>
              <w:jc w:val="center"/>
              <w:rPr>
                <w:rFonts w:hint="eastAsia"/>
                <w:sz w:val="18"/>
              </w:rPr>
            </w:pPr>
            <w:r>
              <w:rPr>
                <w:rFonts w:hint="eastAsia"/>
                <w:sz w:val="18"/>
              </w:rPr>
              <w:t>8</w:t>
            </w:r>
          </w:p>
        </w:tc>
        <w:tc>
          <w:tcPr>
            <w:tcW w:w="633" w:type="pct"/>
          </w:tcPr>
          <w:p w:rsidR="00000000" w:rsidRDefault="00CA422F">
            <w:pPr>
              <w:spacing w:line="360" w:lineRule="exact"/>
              <w:jc w:val="center"/>
              <w:rPr>
                <w:rFonts w:hint="eastAsia"/>
                <w:sz w:val="18"/>
              </w:rPr>
            </w:pPr>
            <w:r>
              <w:rPr>
                <w:rFonts w:hint="eastAsia"/>
                <w:sz w:val="18"/>
              </w:rPr>
              <w:t>5</w:t>
            </w:r>
          </w:p>
        </w:tc>
        <w:tc>
          <w:tcPr>
            <w:tcW w:w="633" w:type="pct"/>
          </w:tcPr>
          <w:p w:rsidR="00000000" w:rsidRDefault="00CA422F">
            <w:pPr>
              <w:spacing w:line="360" w:lineRule="exact"/>
              <w:jc w:val="center"/>
              <w:rPr>
                <w:rFonts w:hint="eastAsia"/>
                <w:sz w:val="18"/>
              </w:rPr>
            </w:pPr>
            <w:r>
              <w:rPr>
                <w:rFonts w:hint="eastAsia"/>
                <w:sz w:val="18"/>
              </w:rPr>
              <w:t>13</w:t>
            </w:r>
          </w:p>
        </w:tc>
        <w:tc>
          <w:tcPr>
            <w:tcW w:w="633" w:type="pct"/>
          </w:tcPr>
          <w:p w:rsidR="00000000" w:rsidRDefault="00CA422F">
            <w:pPr>
              <w:spacing w:line="360" w:lineRule="exact"/>
              <w:jc w:val="center"/>
              <w:rPr>
                <w:rFonts w:hint="eastAsia"/>
                <w:sz w:val="18"/>
              </w:rPr>
            </w:pPr>
            <w:r>
              <w:rPr>
                <w:rFonts w:hint="eastAsia"/>
                <w:sz w:val="18"/>
              </w:rPr>
              <w:t>61.5</w:t>
            </w:r>
          </w:p>
        </w:tc>
        <w:tc>
          <w:tcPr>
            <w:tcW w:w="633" w:type="pct"/>
          </w:tcPr>
          <w:p w:rsidR="00000000" w:rsidRDefault="00CA422F">
            <w:pPr>
              <w:spacing w:line="360" w:lineRule="exact"/>
              <w:jc w:val="center"/>
              <w:rPr>
                <w:rFonts w:hint="eastAsia"/>
                <w:sz w:val="18"/>
              </w:rPr>
            </w:pPr>
            <w:r>
              <w:rPr>
                <w:rFonts w:hint="eastAsia"/>
                <w:sz w:val="18"/>
              </w:rPr>
              <w:t>38.5</w:t>
            </w:r>
          </w:p>
        </w:tc>
        <w:tc>
          <w:tcPr>
            <w:tcW w:w="633" w:type="pct"/>
          </w:tcPr>
          <w:p w:rsidR="00000000" w:rsidRDefault="00CA422F">
            <w:pPr>
              <w:spacing w:line="360" w:lineRule="exact"/>
              <w:jc w:val="center"/>
              <w:rPr>
                <w:rFonts w:hint="eastAsia"/>
                <w:sz w:val="18"/>
              </w:rPr>
            </w:pPr>
            <w:r>
              <w:rPr>
                <w:rFonts w:hint="eastAsia"/>
                <w:sz w:val="18"/>
              </w:rPr>
              <w:t>100</w:t>
            </w:r>
          </w:p>
        </w:tc>
      </w:tr>
      <w:tr w:rsidR="00000000">
        <w:tblPrEx>
          <w:tblCellMar>
            <w:top w:w="0" w:type="dxa"/>
            <w:bottom w:w="0" w:type="dxa"/>
          </w:tblCellMar>
        </w:tblPrEx>
        <w:trPr>
          <w:cantSplit/>
        </w:trPr>
        <w:tc>
          <w:tcPr>
            <w:tcW w:w="569" w:type="pct"/>
            <w:vMerge/>
          </w:tcPr>
          <w:p w:rsidR="00000000" w:rsidRDefault="00CA422F">
            <w:pPr>
              <w:spacing w:line="360" w:lineRule="exact"/>
              <w:jc w:val="center"/>
              <w:rPr>
                <w:rFonts w:hint="eastAsia"/>
                <w:sz w:val="18"/>
              </w:rPr>
            </w:pPr>
          </w:p>
        </w:tc>
        <w:tc>
          <w:tcPr>
            <w:tcW w:w="633" w:type="pct"/>
          </w:tcPr>
          <w:p w:rsidR="00000000" w:rsidRDefault="00CA422F">
            <w:pPr>
              <w:spacing w:line="360" w:lineRule="exact"/>
              <w:rPr>
                <w:rFonts w:hint="eastAsia"/>
                <w:sz w:val="18"/>
              </w:rPr>
            </w:pPr>
            <w:r>
              <w:rPr>
                <w:rFonts w:hint="eastAsia"/>
                <w:sz w:val="18"/>
              </w:rPr>
              <w:t>第二副总统</w:t>
            </w:r>
          </w:p>
        </w:tc>
        <w:tc>
          <w:tcPr>
            <w:tcW w:w="633" w:type="pct"/>
          </w:tcPr>
          <w:p w:rsidR="00000000" w:rsidRDefault="00CA422F">
            <w:pPr>
              <w:spacing w:line="360" w:lineRule="exact"/>
              <w:jc w:val="center"/>
              <w:rPr>
                <w:rFonts w:hint="eastAsia"/>
                <w:sz w:val="18"/>
              </w:rPr>
            </w:pPr>
            <w:r>
              <w:rPr>
                <w:rFonts w:hint="eastAsia"/>
                <w:sz w:val="18"/>
              </w:rPr>
              <w:t>8</w:t>
            </w:r>
          </w:p>
        </w:tc>
        <w:tc>
          <w:tcPr>
            <w:tcW w:w="633" w:type="pct"/>
          </w:tcPr>
          <w:p w:rsidR="00000000" w:rsidRDefault="00CA422F">
            <w:pPr>
              <w:spacing w:line="360" w:lineRule="exact"/>
              <w:jc w:val="center"/>
              <w:rPr>
                <w:rFonts w:hint="eastAsia"/>
                <w:sz w:val="18"/>
              </w:rPr>
            </w:pPr>
            <w:r>
              <w:rPr>
                <w:rFonts w:hint="eastAsia"/>
                <w:sz w:val="18"/>
              </w:rPr>
              <w:t>5</w:t>
            </w:r>
          </w:p>
        </w:tc>
        <w:tc>
          <w:tcPr>
            <w:tcW w:w="633" w:type="pct"/>
          </w:tcPr>
          <w:p w:rsidR="00000000" w:rsidRDefault="00CA422F">
            <w:pPr>
              <w:spacing w:line="360" w:lineRule="exact"/>
              <w:jc w:val="center"/>
              <w:rPr>
                <w:rFonts w:hint="eastAsia"/>
                <w:sz w:val="18"/>
              </w:rPr>
            </w:pPr>
            <w:r>
              <w:rPr>
                <w:rFonts w:hint="eastAsia"/>
                <w:sz w:val="18"/>
              </w:rPr>
              <w:t>13</w:t>
            </w:r>
          </w:p>
        </w:tc>
        <w:tc>
          <w:tcPr>
            <w:tcW w:w="633" w:type="pct"/>
          </w:tcPr>
          <w:p w:rsidR="00000000" w:rsidRDefault="00CA422F">
            <w:pPr>
              <w:spacing w:line="360" w:lineRule="exact"/>
              <w:jc w:val="center"/>
              <w:rPr>
                <w:rFonts w:hint="eastAsia"/>
                <w:sz w:val="18"/>
              </w:rPr>
            </w:pPr>
            <w:r>
              <w:rPr>
                <w:rFonts w:hint="eastAsia"/>
                <w:sz w:val="18"/>
              </w:rPr>
              <w:t>61.5</w:t>
            </w:r>
          </w:p>
        </w:tc>
        <w:tc>
          <w:tcPr>
            <w:tcW w:w="633" w:type="pct"/>
          </w:tcPr>
          <w:p w:rsidR="00000000" w:rsidRDefault="00CA422F">
            <w:pPr>
              <w:spacing w:line="360" w:lineRule="exact"/>
              <w:jc w:val="center"/>
              <w:rPr>
                <w:rFonts w:hint="eastAsia"/>
                <w:sz w:val="18"/>
              </w:rPr>
            </w:pPr>
            <w:r>
              <w:rPr>
                <w:rFonts w:hint="eastAsia"/>
                <w:sz w:val="18"/>
              </w:rPr>
              <w:t>38.5</w:t>
            </w:r>
          </w:p>
        </w:tc>
        <w:tc>
          <w:tcPr>
            <w:tcW w:w="633" w:type="pct"/>
          </w:tcPr>
          <w:p w:rsidR="00000000" w:rsidRDefault="00CA422F">
            <w:pPr>
              <w:spacing w:line="360" w:lineRule="exact"/>
              <w:jc w:val="center"/>
              <w:rPr>
                <w:rFonts w:hint="eastAsia"/>
                <w:sz w:val="18"/>
              </w:rPr>
            </w:pPr>
            <w:r>
              <w:rPr>
                <w:rFonts w:hint="eastAsia"/>
                <w:sz w:val="18"/>
              </w:rPr>
              <w:t>100</w:t>
            </w:r>
          </w:p>
        </w:tc>
      </w:tr>
      <w:tr w:rsidR="00000000">
        <w:tblPrEx>
          <w:tblCellMar>
            <w:top w:w="0" w:type="dxa"/>
            <w:bottom w:w="0" w:type="dxa"/>
          </w:tblCellMar>
        </w:tblPrEx>
        <w:trPr>
          <w:cantSplit/>
        </w:trPr>
        <w:tc>
          <w:tcPr>
            <w:tcW w:w="569" w:type="pct"/>
            <w:vMerge w:val="restart"/>
          </w:tcPr>
          <w:p w:rsidR="00000000" w:rsidRDefault="00CA422F">
            <w:pPr>
              <w:spacing w:line="360" w:lineRule="exact"/>
              <w:jc w:val="center"/>
              <w:rPr>
                <w:rFonts w:hint="eastAsia"/>
                <w:sz w:val="18"/>
              </w:rPr>
            </w:pPr>
            <w:r>
              <w:rPr>
                <w:rFonts w:hint="eastAsia"/>
                <w:sz w:val="18"/>
              </w:rPr>
              <w:t>众议员</w:t>
            </w:r>
          </w:p>
        </w:tc>
        <w:tc>
          <w:tcPr>
            <w:tcW w:w="633" w:type="pct"/>
          </w:tcPr>
          <w:p w:rsidR="00000000" w:rsidRDefault="00CA422F">
            <w:pPr>
              <w:spacing w:line="360" w:lineRule="exact"/>
              <w:rPr>
                <w:rFonts w:hint="eastAsia"/>
                <w:sz w:val="18"/>
              </w:rPr>
            </w:pPr>
            <w:r>
              <w:rPr>
                <w:rFonts w:hint="eastAsia"/>
                <w:sz w:val="18"/>
              </w:rPr>
              <w:t>第一</w:t>
            </w:r>
          </w:p>
        </w:tc>
        <w:tc>
          <w:tcPr>
            <w:tcW w:w="633" w:type="pct"/>
          </w:tcPr>
          <w:p w:rsidR="00000000" w:rsidRDefault="00CA422F">
            <w:pPr>
              <w:spacing w:line="360" w:lineRule="exact"/>
              <w:jc w:val="center"/>
              <w:rPr>
                <w:rFonts w:hint="eastAsia"/>
                <w:sz w:val="18"/>
              </w:rPr>
            </w:pPr>
            <w:r>
              <w:rPr>
                <w:rFonts w:hint="eastAsia"/>
                <w:sz w:val="18"/>
              </w:rPr>
              <w:t>23</w:t>
            </w:r>
          </w:p>
        </w:tc>
        <w:tc>
          <w:tcPr>
            <w:tcW w:w="633" w:type="pct"/>
          </w:tcPr>
          <w:p w:rsidR="00000000" w:rsidRDefault="00CA422F">
            <w:pPr>
              <w:spacing w:line="360" w:lineRule="exact"/>
              <w:jc w:val="center"/>
              <w:rPr>
                <w:rFonts w:hint="eastAsia"/>
                <w:sz w:val="18"/>
              </w:rPr>
            </w:pPr>
            <w:r>
              <w:rPr>
                <w:rFonts w:hint="eastAsia"/>
                <w:sz w:val="18"/>
              </w:rPr>
              <w:t>73</w:t>
            </w:r>
          </w:p>
        </w:tc>
        <w:tc>
          <w:tcPr>
            <w:tcW w:w="633" w:type="pct"/>
          </w:tcPr>
          <w:p w:rsidR="00000000" w:rsidRDefault="00CA422F">
            <w:pPr>
              <w:spacing w:line="360" w:lineRule="exact"/>
              <w:jc w:val="center"/>
              <w:rPr>
                <w:rFonts w:hint="eastAsia"/>
                <w:sz w:val="18"/>
              </w:rPr>
            </w:pPr>
            <w:r>
              <w:rPr>
                <w:rFonts w:hint="eastAsia"/>
                <w:sz w:val="18"/>
              </w:rPr>
              <w:t>96</w:t>
            </w:r>
          </w:p>
        </w:tc>
        <w:tc>
          <w:tcPr>
            <w:tcW w:w="633" w:type="pct"/>
          </w:tcPr>
          <w:p w:rsidR="00000000" w:rsidRDefault="00CA422F">
            <w:pPr>
              <w:spacing w:line="360" w:lineRule="exact"/>
              <w:jc w:val="center"/>
              <w:rPr>
                <w:rFonts w:hint="eastAsia"/>
                <w:sz w:val="18"/>
              </w:rPr>
            </w:pPr>
            <w:r>
              <w:rPr>
                <w:rFonts w:hint="eastAsia"/>
                <w:sz w:val="18"/>
              </w:rPr>
              <w:t>24.0</w:t>
            </w:r>
          </w:p>
        </w:tc>
        <w:tc>
          <w:tcPr>
            <w:tcW w:w="633" w:type="pct"/>
          </w:tcPr>
          <w:p w:rsidR="00000000" w:rsidRDefault="00CA422F">
            <w:pPr>
              <w:spacing w:line="360" w:lineRule="exact"/>
              <w:jc w:val="center"/>
              <w:rPr>
                <w:rFonts w:hint="eastAsia"/>
                <w:sz w:val="18"/>
              </w:rPr>
            </w:pPr>
            <w:r>
              <w:rPr>
                <w:rFonts w:hint="eastAsia"/>
                <w:sz w:val="18"/>
              </w:rPr>
              <w:t>76</w:t>
            </w:r>
          </w:p>
        </w:tc>
        <w:tc>
          <w:tcPr>
            <w:tcW w:w="633" w:type="pct"/>
          </w:tcPr>
          <w:p w:rsidR="00000000" w:rsidRDefault="00CA422F">
            <w:pPr>
              <w:spacing w:line="360" w:lineRule="exact"/>
              <w:jc w:val="center"/>
              <w:rPr>
                <w:rFonts w:hint="eastAsia"/>
                <w:sz w:val="18"/>
              </w:rPr>
            </w:pPr>
            <w:r>
              <w:rPr>
                <w:rFonts w:hint="eastAsia"/>
                <w:sz w:val="18"/>
              </w:rPr>
              <w:t>100</w:t>
            </w:r>
          </w:p>
        </w:tc>
      </w:tr>
      <w:tr w:rsidR="00000000">
        <w:tblPrEx>
          <w:tblCellMar>
            <w:top w:w="0" w:type="dxa"/>
            <w:bottom w:w="0" w:type="dxa"/>
          </w:tblCellMar>
        </w:tblPrEx>
        <w:trPr>
          <w:cantSplit/>
        </w:trPr>
        <w:tc>
          <w:tcPr>
            <w:tcW w:w="569" w:type="pct"/>
            <w:vMerge/>
          </w:tcPr>
          <w:p w:rsidR="00000000" w:rsidRDefault="00CA422F">
            <w:pPr>
              <w:spacing w:line="360" w:lineRule="exact"/>
              <w:jc w:val="center"/>
              <w:rPr>
                <w:rFonts w:hint="eastAsia"/>
                <w:sz w:val="18"/>
              </w:rPr>
            </w:pPr>
          </w:p>
        </w:tc>
        <w:tc>
          <w:tcPr>
            <w:tcW w:w="633" w:type="pct"/>
          </w:tcPr>
          <w:p w:rsidR="00000000" w:rsidRDefault="00CA422F">
            <w:pPr>
              <w:spacing w:line="360" w:lineRule="exact"/>
              <w:rPr>
                <w:rFonts w:hint="eastAsia"/>
                <w:sz w:val="18"/>
              </w:rPr>
            </w:pPr>
            <w:r>
              <w:rPr>
                <w:rFonts w:hint="eastAsia"/>
                <w:sz w:val="18"/>
              </w:rPr>
              <w:t>第二</w:t>
            </w:r>
          </w:p>
        </w:tc>
        <w:tc>
          <w:tcPr>
            <w:tcW w:w="633" w:type="pct"/>
          </w:tcPr>
          <w:p w:rsidR="00000000" w:rsidRDefault="00CA422F">
            <w:pPr>
              <w:spacing w:line="360" w:lineRule="exact"/>
              <w:jc w:val="center"/>
              <w:rPr>
                <w:rFonts w:hint="eastAsia"/>
                <w:sz w:val="18"/>
              </w:rPr>
            </w:pPr>
            <w:r>
              <w:rPr>
                <w:rFonts w:hint="eastAsia"/>
                <w:sz w:val="18"/>
              </w:rPr>
              <w:t>49</w:t>
            </w:r>
          </w:p>
        </w:tc>
        <w:tc>
          <w:tcPr>
            <w:tcW w:w="633" w:type="pct"/>
          </w:tcPr>
          <w:p w:rsidR="00000000" w:rsidRDefault="00CA422F">
            <w:pPr>
              <w:spacing w:line="360" w:lineRule="exact"/>
              <w:jc w:val="center"/>
              <w:rPr>
                <w:rFonts w:hint="eastAsia"/>
                <w:sz w:val="18"/>
              </w:rPr>
            </w:pPr>
            <w:r>
              <w:rPr>
                <w:rFonts w:hint="eastAsia"/>
                <w:sz w:val="18"/>
              </w:rPr>
              <w:t>47</w:t>
            </w:r>
          </w:p>
        </w:tc>
        <w:tc>
          <w:tcPr>
            <w:tcW w:w="633" w:type="pct"/>
          </w:tcPr>
          <w:p w:rsidR="00000000" w:rsidRDefault="00CA422F">
            <w:pPr>
              <w:spacing w:line="360" w:lineRule="exact"/>
              <w:jc w:val="center"/>
              <w:rPr>
                <w:rFonts w:hint="eastAsia"/>
                <w:sz w:val="18"/>
              </w:rPr>
            </w:pPr>
            <w:r>
              <w:rPr>
                <w:rFonts w:hint="eastAsia"/>
                <w:sz w:val="18"/>
              </w:rPr>
              <w:t>96</w:t>
            </w:r>
          </w:p>
        </w:tc>
        <w:tc>
          <w:tcPr>
            <w:tcW w:w="633" w:type="pct"/>
          </w:tcPr>
          <w:p w:rsidR="00000000" w:rsidRDefault="00CA422F">
            <w:pPr>
              <w:spacing w:line="360" w:lineRule="exact"/>
              <w:jc w:val="center"/>
              <w:rPr>
                <w:rFonts w:hint="eastAsia"/>
                <w:sz w:val="18"/>
              </w:rPr>
            </w:pPr>
            <w:r>
              <w:rPr>
                <w:rFonts w:hint="eastAsia"/>
                <w:sz w:val="18"/>
              </w:rPr>
              <w:t>51.0</w:t>
            </w:r>
          </w:p>
        </w:tc>
        <w:tc>
          <w:tcPr>
            <w:tcW w:w="633" w:type="pct"/>
          </w:tcPr>
          <w:p w:rsidR="00000000" w:rsidRDefault="00CA422F">
            <w:pPr>
              <w:spacing w:line="360" w:lineRule="exact"/>
              <w:jc w:val="center"/>
              <w:rPr>
                <w:rFonts w:hint="eastAsia"/>
                <w:sz w:val="18"/>
              </w:rPr>
            </w:pPr>
            <w:r>
              <w:rPr>
                <w:rFonts w:hint="eastAsia"/>
                <w:sz w:val="18"/>
              </w:rPr>
              <w:t>49</w:t>
            </w:r>
          </w:p>
        </w:tc>
        <w:tc>
          <w:tcPr>
            <w:tcW w:w="633" w:type="pct"/>
          </w:tcPr>
          <w:p w:rsidR="00000000" w:rsidRDefault="00CA422F">
            <w:pPr>
              <w:spacing w:line="360" w:lineRule="exact"/>
              <w:jc w:val="center"/>
              <w:rPr>
                <w:rFonts w:hint="eastAsia"/>
                <w:sz w:val="18"/>
              </w:rPr>
            </w:pPr>
            <w:r>
              <w:rPr>
                <w:rFonts w:hint="eastAsia"/>
                <w:sz w:val="18"/>
              </w:rPr>
              <w:t>100</w:t>
            </w:r>
          </w:p>
        </w:tc>
      </w:tr>
      <w:tr w:rsidR="00000000">
        <w:tblPrEx>
          <w:tblCellMar>
            <w:top w:w="0" w:type="dxa"/>
            <w:bottom w:w="0" w:type="dxa"/>
          </w:tblCellMar>
        </w:tblPrEx>
        <w:trPr>
          <w:cantSplit/>
        </w:trPr>
        <w:tc>
          <w:tcPr>
            <w:tcW w:w="569" w:type="pct"/>
            <w:vMerge w:val="restart"/>
          </w:tcPr>
          <w:p w:rsidR="00000000" w:rsidRDefault="00CA422F">
            <w:pPr>
              <w:spacing w:line="360" w:lineRule="exact"/>
              <w:jc w:val="center"/>
              <w:rPr>
                <w:rFonts w:hint="eastAsia"/>
                <w:sz w:val="18"/>
              </w:rPr>
            </w:pPr>
            <w:r>
              <w:rPr>
                <w:rFonts w:hint="eastAsia"/>
                <w:sz w:val="18"/>
              </w:rPr>
              <w:t>市政议员</w:t>
            </w:r>
          </w:p>
        </w:tc>
        <w:tc>
          <w:tcPr>
            <w:tcW w:w="633" w:type="pct"/>
          </w:tcPr>
          <w:p w:rsidR="00000000" w:rsidRDefault="00CA422F">
            <w:pPr>
              <w:spacing w:line="360" w:lineRule="exact"/>
              <w:rPr>
                <w:rFonts w:hint="eastAsia"/>
                <w:sz w:val="18"/>
              </w:rPr>
            </w:pPr>
            <w:r>
              <w:rPr>
                <w:rFonts w:hint="eastAsia"/>
                <w:sz w:val="18"/>
              </w:rPr>
              <w:t>第一</w:t>
            </w:r>
          </w:p>
        </w:tc>
        <w:tc>
          <w:tcPr>
            <w:tcW w:w="633" w:type="pct"/>
          </w:tcPr>
          <w:p w:rsidR="00000000" w:rsidRDefault="00CA422F">
            <w:pPr>
              <w:spacing w:line="360" w:lineRule="exact"/>
              <w:jc w:val="center"/>
              <w:rPr>
                <w:rFonts w:hint="eastAsia"/>
                <w:sz w:val="18"/>
              </w:rPr>
            </w:pPr>
            <w:r>
              <w:rPr>
                <w:rFonts w:hint="eastAsia"/>
                <w:sz w:val="18"/>
              </w:rPr>
              <w:t>217</w:t>
            </w:r>
          </w:p>
        </w:tc>
        <w:tc>
          <w:tcPr>
            <w:tcW w:w="633" w:type="pct"/>
          </w:tcPr>
          <w:p w:rsidR="00000000" w:rsidRDefault="00CA422F">
            <w:pPr>
              <w:spacing w:line="360" w:lineRule="exact"/>
              <w:jc w:val="center"/>
              <w:rPr>
                <w:rFonts w:hint="eastAsia"/>
                <w:sz w:val="18"/>
              </w:rPr>
            </w:pPr>
            <w:r>
              <w:rPr>
                <w:rFonts w:hint="eastAsia"/>
                <w:sz w:val="18"/>
              </w:rPr>
              <w:t>501</w:t>
            </w:r>
          </w:p>
        </w:tc>
        <w:tc>
          <w:tcPr>
            <w:tcW w:w="633" w:type="pct"/>
          </w:tcPr>
          <w:p w:rsidR="00000000" w:rsidRDefault="00CA422F">
            <w:pPr>
              <w:spacing w:line="360" w:lineRule="exact"/>
              <w:jc w:val="center"/>
              <w:rPr>
                <w:rFonts w:hint="eastAsia"/>
                <w:sz w:val="18"/>
              </w:rPr>
            </w:pPr>
            <w:r>
              <w:rPr>
                <w:rFonts w:hint="eastAsia"/>
                <w:sz w:val="18"/>
              </w:rPr>
              <w:t>718</w:t>
            </w:r>
          </w:p>
        </w:tc>
        <w:tc>
          <w:tcPr>
            <w:tcW w:w="633" w:type="pct"/>
          </w:tcPr>
          <w:p w:rsidR="00000000" w:rsidRDefault="00CA422F">
            <w:pPr>
              <w:spacing w:line="360" w:lineRule="exact"/>
              <w:jc w:val="center"/>
              <w:rPr>
                <w:rFonts w:hint="eastAsia"/>
                <w:sz w:val="18"/>
              </w:rPr>
            </w:pPr>
            <w:r>
              <w:rPr>
                <w:rFonts w:hint="eastAsia"/>
                <w:sz w:val="18"/>
              </w:rPr>
              <w:t>30.2</w:t>
            </w:r>
          </w:p>
        </w:tc>
        <w:tc>
          <w:tcPr>
            <w:tcW w:w="633" w:type="pct"/>
          </w:tcPr>
          <w:p w:rsidR="00000000" w:rsidRDefault="00CA422F">
            <w:pPr>
              <w:spacing w:line="360" w:lineRule="exact"/>
              <w:jc w:val="center"/>
              <w:rPr>
                <w:rFonts w:hint="eastAsia"/>
                <w:sz w:val="18"/>
              </w:rPr>
            </w:pPr>
            <w:r>
              <w:rPr>
                <w:rFonts w:hint="eastAsia"/>
                <w:sz w:val="18"/>
              </w:rPr>
              <w:t>69.8</w:t>
            </w:r>
          </w:p>
        </w:tc>
        <w:tc>
          <w:tcPr>
            <w:tcW w:w="633" w:type="pct"/>
          </w:tcPr>
          <w:p w:rsidR="00000000" w:rsidRDefault="00CA422F">
            <w:pPr>
              <w:spacing w:line="360" w:lineRule="exact"/>
              <w:jc w:val="center"/>
              <w:rPr>
                <w:rFonts w:hint="eastAsia"/>
                <w:sz w:val="18"/>
              </w:rPr>
            </w:pPr>
            <w:r>
              <w:rPr>
                <w:rFonts w:hint="eastAsia"/>
                <w:sz w:val="18"/>
              </w:rPr>
              <w:t>100</w:t>
            </w:r>
          </w:p>
        </w:tc>
      </w:tr>
      <w:tr w:rsidR="00000000">
        <w:tblPrEx>
          <w:tblCellMar>
            <w:top w:w="0" w:type="dxa"/>
            <w:bottom w:w="0" w:type="dxa"/>
          </w:tblCellMar>
        </w:tblPrEx>
        <w:trPr>
          <w:cantSplit/>
        </w:trPr>
        <w:tc>
          <w:tcPr>
            <w:tcW w:w="569" w:type="pct"/>
            <w:vMerge/>
          </w:tcPr>
          <w:p w:rsidR="00000000" w:rsidRDefault="00CA422F">
            <w:pPr>
              <w:spacing w:line="360" w:lineRule="exact"/>
              <w:jc w:val="center"/>
              <w:rPr>
                <w:rFonts w:hint="eastAsia"/>
                <w:sz w:val="18"/>
              </w:rPr>
            </w:pPr>
          </w:p>
        </w:tc>
        <w:tc>
          <w:tcPr>
            <w:tcW w:w="633" w:type="pct"/>
          </w:tcPr>
          <w:p w:rsidR="00000000" w:rsidRDefault="00CA422F">
            <w:pPr>
              <w:spacing w:line="360" w:lineRule="exact"/>
              <w:rPr>
                <w:rFonts w:hint="eastAsia"/>
                <w:sz w:val="18"/>
              </w:rPr>
            </w:pPr>
            <w:r>
              <w:rPr>
                <w:rFonts w:hint="eastAsia"/>
                <w:sz w:val="18"/>
              </w:rPr>
              <w:t>第二</w:t>
            </w:r>
          </w:p>
        </w:tc>
        <w:tc>
          <w:tcPr>
            <w:tcW w:w="633" w:type="pct"/>
          </w:tcPr>
          <w:p w:rsidR="00000000" w:rsidRDefault="00CA422F">
            <w:pPr>
              <w:spacing w:line="360" w:lineRule="exact"/>
              <w:jc w:val="center"/>
              <w:rPr>
                <w:rFonts w:hint="eastAsia"/>
                <w:sz w:val="18"/>
              </w:rPr>
            </w:pPr>
            <w:r>
              <w:rPr>
                <w:rFonts w:hint="eastAsia"/>
                <w:sz w:val="18"/>
              </w:rPr>
              <w:t>332</w:t>
            </w:r>
          </w:p>
        </w:tc>
        <w:tc>
          <w:tcPr>
            <w:tcW w:w="633" w:type="pct"/>
          </w:tcPr>
          <w:p w:rsidR="00000000" w:rsidRDefault="00CA422F">
            <w:pPr>
              <w:spacing w:line="360" w:lineRule="exact"/>
              <w:jc w:val="center"/>
              <w:rPr>
                <w:rFonts w:hint="eastAsia"/>
                <w:sz w:val="18"/>
              </w:rPr>
            </w:pPr>
            <w:r>
              <w:rPr>
                <w:rFonts w:hint="eastAsia"/>
                <w:sz w:val="18"/>
              </w:rPr>
              <w:t>386</w:t>
            </w:r>
          </w:p>
        </w:tc>
        <w:tc>
          <w:tcPr>
            <w:tcW w:w="633" w:type="pct"/>
          </w:tcPr>
          <w:p w:rsidR="00000000" w:rsidRDefault="00CA422F">
            <w:pPr>
              <w:spacing w:line="360" w:lineRule="exact"/>
              <w:jc w:val="center"/>
              <w:rPr>
                <w:rFonts w:hint="eastAsia"/>
                <w:sz w:val="18"/>
              </w:rPr>
            </w:pPr>
            <w:r>
              <w:rPr>
                <w:rFonts w:hint="eastAsia"/>
                <w:sz w:val="18"/>
              </w:rPr>
              <w:t>718</w:t>
            </w:r>
          </w:p>
        </w:tc>
        <w:tc>
          <w:tcPr>
            <w:tcW w:w="633" w:type="pct"/>
          </w:tcPr>
          <w:p w:rsidR="00000000" w:rsidRDefault="00CA422F">
            <w:pPr>
              <w:spacing w:line="360" w:lineRule="exact"/>
              <w:jc w:val="center"/>
              <w:rPr>
                <w:rFonts w:hint="eastAsia"/>
                <w:sz w:val="18"/>
              </w:rPr>
            </w:pPr>
            <w:r>
              <w:rPr>
                <w:rFonts w:hint="eastAsia"/>
                <w:sz w:val="18"/>
              </w:rPr>
              <w:t>46.2</w:t>
            </w:r>
          </w:p>
        </w:tc>
        <w:tc>
          <w:tcPr>
            <w:tcW w:w="633" w:type="pct"/>
          </w:tcPr>
          <w:p w:rsidR="00000000" w:rsidRDefault="00CA422F">
            <w:pPr>
              <w:spacing w:line="360" w:lineRule="exact"/>
              <w:jc w:val="center"/>
              <w:rPr>
                <w:rFonts w:hint="eastAsia"/>
                <w:sz w:val="18"/>
              </w:rPr>
            </w:pPr>
            <w:r>
              <w:rPr>
                <w:rFonts w:hint="eastAsia"/>
                <w:sz w:val="18"/>
              </w:rPr>
              <w:t>53.8</w:t>
            </w:r>
          </w:p>
        </w:tc>
        <w:tc>
          <w:tcPr>
            <w:tcW w:w="633" w:type="pct"/>
          </w:tcPr>
          <w:p w:rsidR="00000000" w:rsidRDefault="00CA422F">
            <w:pPr>
              <w:spacing w:line="360" w:lineRule="exact"/>
              <w:jc w:val="center"/>
              <w:rPr>
                <w:rFonts w:hint="eastAsia"/>
                <w:sz w:val="18"/>
              </w:rPr>
            </w:pPr>
            <w:r>
              <w:rPr>
                <w:rFonts w:hint="eastAsia"/>
                <w:sz w:val="18"/>
              </w:rPr>
              <w:t>100</w:t>
            </w:r>
          </w:p>
        </w:tc>
      </w:tr>
      <w:tr w:rsidR="00000000">
        <w:tblPrEx>
          <w:tblCellMar>
            <w:top w:w="0" w:type="dxa"/>
            <w:bottom w:w="0" w:type="dxa"/>
          </w:tblCellMar>
        </w:tblPrEx>
        <w:trPr>
          <w:cantSplit/>
        </w:trPr>
        <w:tc>
          <w:tcPr>
            <w:tcW w:w="1202" w:type="pct"/>
            <w:gridSpan w:val="2"/>
          </w:tcPr>
          <w:p w:rsidR="00000000" w:rsidRDefault="00CA422F">
            <w:pPr>
              <w:pStyle w:val="Header"/>
              <w:pBdr>
                <w:bottom w:val="none" w:sz="0" w:space="0" w:color="auto"/>
              </w:pBdr>
              <w:tabs>
                <w:tab w:val="clear" w:pos="4320"/>
                <w:tab w:val="clear" w:pos="8640"/>
              </w:tabs>
              <w:spacing w:line="360" w:lineRule="exact"/>
              <w:rPr>
                <w:rFonts w:hint="eastAsia"/>
              </w:rPr>
            </w:pPr>
            <w:r>
              <w:rPr>
                <w:rFonts w:hint="eastAsia"/>
              </w:rPr>
              <w:t>总计</w:t>
            </w:r>
          </w:p>
        </w:tc>
        <w:tc>
          <w:tcPr>
            <w:tcW w:w="633" w:type="pct"/>
          </w:tcPr>
          <w:p w:rsidR="00000000" w:rsidRDefault="00CA422F">
            <w:pPr>
              <w:spacing w:line="360" w:lineRule="exact"/>
              <w:jc w:val="center"/>
              <w:rPr>
                <w:rFonts w:hint="eastAsia"/>
                <w:sz w:val="18"/>
              </w:rPr>
            </w:pPr>
            <w:r>
              <w:rPr>
                <w:rFonts w:hint="eastAsia"/>
                <w:sz w:val="18"/>
              </w:rPr>
              <w:t>637</w:t>
            </w:r>
          </w:p>
        </w:tc>
        <w:tc>
          <w:tcPr>
            <w:tcW w:w="633" w:type="pct"/>
          </w:tcPr>
          <w:p w:rsidR="00000000" w:rsidRDefault="00CA422F">
            <w:pPr>
              <w:spacing w:line="360" w:lineRule="exact"/>
              <w:jc w:val="center"/>
              <w:rPr>
                <w:rFonts w:hint="eastAsia"/>
                <w:sz w:val="18"/>
              </w:rPr>
            </w:pPr>
            <w:r>
              <w:rPr>
                <w:rFonts w:hint="eastAsia"/>
                <w:sz w:val="18"/>
              </w:rPr>
              <w:t>1 030</w:t>
            </w:r>
          </w:p>
        </w:tc>
        <w:tc>
          <w:tcPr>
            <w:tcW w:w="633" w:type="pct"/>
          </w:tcPr>
          <w:p w:rsidR="00000000" w:rsidRDefault="00CA422F">
            <w:pPr>
              <w:spacing w:line="360" w:lineRule="exact"/>
              <w:jc w:val="center"/>
              <w:rPr>
                <w:rFonts w:hint="eastAsia"/>
                <w:sz w:val="18"/>
              </w:rPr>
            </w:pPr>
            <w:r>
              <w:rPr>
                <w:rFonts w:hint="eastAsia"/>
                <w:sz w:val="18"/>
              </w:rPr>
              <w:t>1 667</w:t>
            </w:r>
          </w:p>
        </w:tc>
        <w:tc>
          <w:tcPr>
            <w:tcW w:w="633" w:type="pct"/>
          </w:tcPr>
          <w:p w:rsidR="00000000" w:rsidRDefault="00CA422F">
            <w:pPr>
              <w:spacing w:line="360" w:lineRule="exact"/>
              <w:jc w:val="center"/>
              <w:rPr>
                <w:rFonts w:hint="eastAsia"/>
                <w:sz w:val="18"/>
              </w:rPr>
            </w:pPr>
            <w:r>
              <w:rPr>
                <w:rFonts w:hint="eastAsia"/>
                <w:sz w:val="18"/>
              </w:rPr>
              <w:t>38.2</w:t>
            </w:r>
          </w:p>
        </w:tc>
        <w:tc>
          <w:tcPr>
            <w:tcW w:w="633" w:type="pct"/>
          </w:tcPr>
          <w:p w:rsidR="00000000" w:rsidRDefault="00CA422F">
            <w:pPr>
              <w:spacing w:line="360" w:lineRule="exact"/>
              <w:jc w:val="center"/>
              <w:rPr>
                <w:rFonts w:hint="eastAsia"/>
                <w:sz w:val="18"/>
              </w:rPr>
            </w:pPr>
            <w:r>
              <w:rPr>
                <w:rFonts w:hint="eastAsia"/>
                <w:sz w:val="18"/>
              </w:rPr>
              <w:t>61.8</w:t>
            </w:r>
          </w:p>
        </w:tc>
        <w:tc>
          <w:tcPr>
            <w:tcW w:w="633" w:type="pct"/>
          </w:tcPr>
          <w:p w:rsidR="00000000" w:rsidRDefault="00CA422F">
            <w:pPr>
              <w:spacing w:line="360" w:lineRule="exact"/>
              <w:jc w:val="center"/>
              <w:rPr>
                <w:rFonts w:hint="eastAsia"/>
                <w:sz w:val="18"/>
              </w:rPr>
            </w:pPr>
            <w:r>
              <w:rPr>
                <w:rFonts w:hint="eastAsia"/>
                <w:sz w:val="18"/>
              </w:rPr>
              <w:t>100</w:t>
            </w:r>
          </w:p>
        </w:tc>
      </w:tr>
    </w:tbl>
    <w:p w:rsidR="00000000" w:rsidRDefault="00CA422F">
      <w:pPr>
        <w:spacing w:after="240" w:line="360" w:lineRule="exact"/>
        <w:rPr>
          <w:rFonts w:hint="eastAsia"/>
          <w:sz w:val="18"/>
        </w:rPr>
      </w:pPr>
      <w:r>
        <w:rPr>
          <w:rFonts w:hint="eastAsia"/>
          <w:sz w:val="18"/>
        </w:rPr>
        <w:t>资料来源：公民权利、领导地位和地方管理处（国家妇女研究所）。根据国家户籍登记总局通过的决定编写，</w:t>
      </w:r>
      <w:r>
        <w:rPr>
          <w:rFonts w:hint="eastAsia"/>
          <w:sz w:val="18"/>
        </w:rPr>
        <w:t>2002</w:t>
      </w:r>
      <w:r>
        <w:rPr>
          <w:rFonts w:hint="eastAsia"/>
          <w:sz w:val="18"/>
        </w:rPr>
        <w:t>年。</w:t>
      </w:r>
    </w:p>
    <w:p w:rsidR="00000000" w:rsidRDefault="00CA422F">
      <w:pPr>
        <w:spacing w:after="240" w:line="360" w:lineRule="exact"/>
        <w:rPr>
          <w:rFonts w:hint="eastAsia"/>
        </w:rPr>
      </w:pPr>
      <w:r>
        <w:rPr>
          <w:rFonts w:hint="eastAsia"/>
        </w:rPr>
        <w:t>259</w:t>
      </w:r>
      <w:r>
        <w:rPr>
          <w:rFonts w:hint="eastAsia"/>
        </w:rPr>
        <w:t>．为此，必须促进变革，切实落实妇女的这项权利。</w:t>
      </w:r>
      <w:r>
        <w:rPr>
          <w:rFonts w:hint="eastAsia"/>
        </w:rPr>
        <w:t>1999</w:t>
      </w:r>
      <w:r>
        <w:rPr>
          <w:rFonts w:hint="eastAsia"/>
        </w:rPr>
        <w:t>年</w:t>
      </w:r>
      <w:r>
        <w:rPr>
          <w:rFonts w:hint="eastAsia"/>
        </w:rPr>
        <w:t>9</w:t>
      </w:r>
      <w:r>
        <w:rPr>
          <w:rFonts w:hint="eastAsia"/>
        </w:rPr>
        <w:t>月</w:t>
      </w:r>
      <w:r>
        <w:rPr>
          <w:rFonts w:hint="eastAsia"/>
        </w:rPr>
        <w:t>23</w:t>
      </w:r>
      <w:r>
        <w:rPr>
          <w:rFonts w:hint="eastAsia"/>
        </w:rPr>
        <w:t>日，应妇女地位部部长和国家妇女研究所执行主席的请</w:t>
      </w:r>
      <w:r>
        <w:rPr>
          <w:rFonts w:hint="eastAsia"/>
        </w:rPr>
        <w:t>求，最高选举法庭发布</w:t>
      </w:r>
      <w:r>
        <w:rPr>
          <w:rFonts w:hint="eastAsia"/>
        </w:rPr>
        <w:t>1863</w:t>
      </w:r>
      <w:r>
        <w:rPr>
          <w:rFonts w:hint="eastAsia"/>
        </w:rPr>
        <w:t>号意见，规定：</w:t>
      </w:r>
    </w:p>
    <w:p w:rsidR="00000000" w:rsidRDefault="00CA422F">
      <w:pPr>
        <w:spacing w:after="240" w:line="360" w:lineRule="exact"/>
        <w:rPr>
          <w:rFonts w:hint="eastAsia"/>
        </w:rPr>
      </w:pPr>
      <w:r>
        <w:rPr>
          <w:rFonts w:hint="eastAsia"/>
        </w:rPr>
        <w:t>260</w:t>
      </w:r>
      <w:r>
        <w:rPr>
          <w:rFonts w:hint="eastAsia"/>
        </w:rPr>
        <w:t>．“……在众议员、市政议会议员和工会选举的候选人名单中，妇女应该获得</w:t>
      </w:r>
      <w:r>
        <w:rPr>
          <w:rFonts w:hint="eastAsia"/>
        </w:rPr>
        <w:t>40%</w:t>
      </w:r>
      <w:r>
        <w:rPr>
          <w:rFonts w:hint="eastAsia"/>
        </w:rPr>
        <w:t>的配额，而且必须是可当选席位的</w:t>
      </w:r>
      <w:r>
        <w:rPr>
          <w:rFonts w:hint="eastAsia"/>
        </w:rPr>
        <w:t>40%</w:t>
      </w:r>
      <w:r>
        <w:rPr>
          <w:rFonts w:hint="eastAsia"/>
        </w:rPr>
        <w:t>”。政党在指派县、地区和省议会的代表时，也必须满足上文提及的配额要求，此外，各个政党必须在本党的章程中加入</w:t>
      </w:r>
      <w:r>
        <w:rPr>
          <w:rFonts w:hint="eastAsia"/>
        </w:rPr>
        <w:t xml:space="preserve"> </w:t>
      </w:r>
      <w:r>
        <w:rPr>
          <w:rFonts w:hint="eastAsia"/>
        </w:rPr>
        <w:t>“进行必要的调整，切实保障妇女按照这里规定的形式和比例参与政治活动。若不符合上述标准，户籍管理处将拒绝登记候选人名单。”</w:t>
      </w:r>
    </w:p>
    <w:p w:rsidR="00000000" w:rsidRDefault="00CA422F">
      <w:pPr>
        <w:spacing w:after="240" w:line="360" w:lineRule="exact"/>
        <w:rPr>
          <w:rFonts w:hint="eastAsia"/>
        </w:rPr>
      </w:pPr>
      <w:r>
        <w:rPr>
          <w:rFonts w:hint="eastAsia"/>
        </w:rPr>
        <w:t>261</w:t>
      </w:r>
      <w:r>
        <w:rPr>
          <w:rFonts w:hint="eastAsia"/>
        </w:rPr>
        <w:t>．国家妇女研究所提供的数据（</w:t>
      </w:r>
      <w:r>
        <w:rPr>
          <w:rFonts w:hint="eastAsia"/>
        </w:rPr>
        <w:t>2002</w:t>
      </w:r>
      <w:r>
        <w:rPr>
          <w:rFonts w:hint="eastAsia"/>
        </w:rPr>
        <w:t>年）反映了这方面的情况。这些数据促使户籍管理总局发布了</w:t>
      </w:r>
      <w:r>
        <w:rPr>
          <w:rFonts w:hint="eastAsia"/>
        </w:rPr>
        <w:t>73</w:t>
      </w:r>
      <w:r>
        <w:rPr>
          <w:rFonts w:hint="eastAsia"/>
        </w:rPr>
        <w:t>项决定，向未达到</w:t>
      </w:r>
      <w:r>
        <w:rPr>
          <w:rFonts w:hint="eastAsia"/>
        </w:rPr>
        <w:t>40%</w:t>
      </w:r>
      <w:r>
        <w:rPr>
          <w:rFonts w:hint="eastAsia"/>
        </w:rPr>
        <w:t>的最低妇女参与配额的</w:t>
      </w:r>
      <w:r>
        <w:rPr>
          <w:rFonts w:hint="eastAsia"/>
        </w:rPr>
        <w:t>11</w:t>
      </w:r>
      <w:r>
        <w:rPr>
          <w:rFonts w:hint="eastAsia"/>
        </w:rPr>
        <w:t>个政党（</w:t>
      </w:r>
      <w:r>
        <w:rPr>
          <w:rFonts w:hint="eastAsia"/>
        </w:rPr>
        <w:t>10</w:t>
      </w:r>
      <w:r>
        <w:rPr>
          <w:rFonts w:hint="eastAsia"/>
        </w:rPr>
        <w:t>个全国性政党和一个省级政党）提出警告。</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5</w:t>
      </w:r>
      <w:r>
        <w:rPr>
          <w:rFonts w:ascii="SimHei" w:eastAsia="SimHei"/>
        </w:rPr>
        <w:br/>
      </w:r>
      <w:r>
        <w:rPr>
          <w:rFonts w:ascii="SimHei" w:eastAsia="SimHei" w:hint="eastAsia"/>
        </w:rPr>
        <w:t>没有达到</w:t>
      </w:r>
      <w:r>
        <w:rPr>
          <w:rFonts w:ascii="SimHei" w:eastAsia="SimHei" w:hint="eastAsia"/>
        </w:rPr>
        <w:t>40</w:t>
      </w:r>
      <w:r>
        <w:rPr>
          <w:rFonts w:ascii="SimHei" w:eastAsia="SimHei" w:hint="eastAsia"/>
        </w:rPr>
        <w:t>％妇女最低参与配额比例的政党提供的职位编制数量，</w:t>
      </w:r>
      <w:r>
        <w:rPr>
          <w:rFonts w:ascii="SimHei" w:eastAsia="SimHei"/>
        </w:rPr>
        <w:br/>
      </w:r>
      <w:r>
        <w:rPr>
          <w:rFonts w:ascii="SimHei" w:eastAsia="SimHei" w:hint="eastAsia"/>
        </w:rPr>
        <w:t>2002-2006</w:t>
      </w:r>
      <w:r>
        <w:rPr>
          <w:rFonts w:ascii="SimHei" w:eastAsia="SimHei" w:hint="eastAsia"/>
        </w:rPr>
        <w:t>年选举期</w:t>
      </w:r>
    </w:p>
    <w:tbl>
      <w:tblPr>
        <w:tblW w:w="3794" w:type="pct"/>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4"/>
        <w:gridCol w:w="3767"/>
      </w:tblGrid>
      <w:tr w:rsidR="00000000">
        <w:tblPrEx>
          <w:tblCellMar>
            <w:top w:w="0" w:type="dxa"/>
            <w:bottom w:w="0" w:type="dxa"/>
          </w:tblCellMar>
        </w:tblPrEx>
        <w:tc>
          <w:tcPr>
            <w:tcW w:w="2509" w:type="pct"/>
          </w:tcPr>
          <w:p w:rsidR="00000000" w:rsidRDefault="00CA422F">
            <w:pPr>
              <w:spacing w:line="360" w:lineRule="exact"/>
              <w:jc w:val="center"/>
              <w:rPr>
                <w:rFonts w:eastAsia="SimHei" w:hint="eastAsia"/>
                <w:sz w:val="18"/>
              </w:rPr>
            </w:pPr>
            <w:r>
              <w:rPr>
                <w:rFonts w:eastAsia="SimHei" w:hint="eastAsia"/>
                <w:sz w:val="18"/>
              </w:rPr>
              <w:t>政党名称</w:t>
            </w:r>
          </w:p>
        </w:tc>
        <w:tc>
          <w:tcPr>
            <w:tcW w:w="2491" w:type="pct"/>
          </w:tcPr>
          <w:p w:rsidR="00000000" w:rsidRDefault="00CA422F">
            <w:pPr>
              <w:spacing w:line="360" w:lineRule="exact"/>
              <w:jc w:val="center"/>
              <w:rPr>
                <w:rFonts w:eastAsia="SimHei" w:hint="eastAsia"/>
                <w:sz w:val="18"/>
              </w:rPr>
            </w:pPr>
            <w:r>
              <w:rPr>
                <w:rFonts w:eastAsia="SimHei" w:hint="eastAsia"/>
                <w:sz w:val="18"/>
              </w:rPr>
              <w:t>提供的职位数量</w:t>
            </w:r>
          </w:p>
        </w:tc>
      </w:tr>
      <w:tr w:rsidR="00000000">
        <w:tblPrEx>
          <w:tblCellMar>
            <w:top w:w="0" w:type="dxa"/>
            <w:bottom w:w="0" w:type="dxa"/>
          </w:tblCellMar>
        </w:tblPrEx>
        <w:tc>
          <w:tcPr>
            <w:tcW w:w="2509" w:type="pct"/>
          </w:tcPr>
          <w:p w:rsidR="00000000" w:rsidRDefault="00CA422F">
            <w:pPr>
              <w:pStyle w:val="20"/>
              <w:spacing w:beforeLines="0" w:before="0" w:afterLines="0" w:after="0" w:line="360" w:lineRule="exact"/>
              <w:rPr>
                <w:rFonts w:ascii="Times New Roman" w:eastAsia="SimSun" w:hAnsi="Times New Roman" w:hint="eastAsia"/>
                <w:sz w:val="18"/>
                <w:lang w:val="en-US"/>
              </w:rPr>
            </w:pPr>
            <w:r>
              <w:rPr>
                <w:rFonts w:ascii="Times New Roman" w:eastAsia="SimSun" w:hAnsi="Times New Roman" w:hint="eastAsia"/>
                <w:sz w:val="18"/>
                <w:lang w:val="en-US"/>
              </w:rPr>
              <w:t>公民行动党</w:t>
            </w:r>
          </w:p>
        </w:tc>
        <w:tc>
          <w:tcPr>
            <w:tcW w:w="2491" w:type="pct"/>
          </w:tcPr>
          <w:p w:rsidR="00000000" w:rsidRDefault="00CA422F">
            <w:pPr>
              <w:spacing w:line="360" w:lineRule="exact"/>
              <w:jc w:val="center"/>
              <w:rPr>
                <w:rFonts w:hint="eastAsia"/>
                <w:sz w:val="18"/>
              </w:rPr>
            </w:pPr>
            <w:r>
              <w:rPr>
                <w:rFonts w:hint="eastAsia"/>
                <w:sz w:val="18"/>
              </w:rPr>
              <w:t>2</w:t>
            </w:r>
          </w:p>
        </w:tc>
      </w:tr>
      <w:tr w:rsidR="00000000">
        <w:tblPrEx>
          <w:tblCellMar>
            <w:top w:w="0" w:type="dxa"/>
            <w:bottom w:w="0" w:type="dxa"/>
          </w:tblCellMar>
        </w:tblPrEx>
        <w:tc>
          <w:tcPr>
            <w:tcW w:w="2509" w:type="pct"/>
          </w:tcPr>
          <w:p w:rsidR="00000000" w:rsidRDefault="00CA422F">
            <w:pPr>
              <w:pStyle w:val="20"/>
              <w:spacing w:beforeLines="0" w:before="0" w:afterLines="0" w:after="0" w:line="360" w:lineRule="exact"/>
              <w:rPr>
                <w:rFonts w:ascii="Times New Roman" w:eastAsia="SimSun" w:hAnsi="Times New Roman" w:hint="eastAsia"/>
                <w:sz w:val="18"/>
                <w:lang w:val="en-US"/>
              </w:rPr>
            </w:pPr>
            <w:r>
              <w:rPr>
                <w:rFonts w:ascii="Times New Roman" w:eastAsia="SimSun" w:hAnsi="Times New Roman" w:hint="eastAsia"/>
                <w:sz w:val="18"/>
                <w:lang w:val="en-US"/>
              </w:rPr>
              <w:t>民主力量党</w:t>
            </w:r>
          </w:p>
        </w:tc>
        <w:tc>
          <w:tcPr>
            <w:tcW w:w="2491" w:type="pct"/>
          </w:tcPr>
          <w:p w:rsidR="00000000" w:rsidRDefault="00CA422F">
            <w:pPr>
              <w:spacing w:line="360" w:lineRule="exact"/>
              <w:jc w:val="center"/>
              <w:rPr>
                <w:rFonts w:hint="eastAsia"/>
                <w:sz w:val="18"/>
              </w:rPr>
            </w:pPr>
            <w:r>
              <w:rPr>
                <w:rFonts w:hint="eastAsia"/>
                <w:sz w:val="18"/>
              </w:rPr>
              <w:t>12</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工人自由党</w:t>
            </w:r>
          </w:p>
        </w:tc>
        <w:tc>
          <w:tcPr>
            <w:tcW w:w="2491" w:type="pct"/>
          </w:tcPr>
          <w:p w:rsidR="00000000" w:rsidRDefault="00CA422F">
            <w:pPr>
              <w:spacing w:line="360" w:lineRule="exact"/>
              <w:jc w:val="center"/>
              <w:rPr>
                <w:rFonts w:hint="eastAsia"/>
                <w:sz w:val="18"/>
              </w:rPr>
            </w:pPr>
            <w:r>
              <w:rPr>
                <w:rFonts w:hint="eastAsia"/>
                <w:sz w:val="18"/>
              </w:rPr>
              <w:t>22</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国家统一党</w:t>
            </w:r>
          </w:p>
        </w:tc>
        <w:tc>
          <w:tcPr>
            <w:tcW w:w="2491" w:type="pct"/>
          </w:tcPr>
          <w:p w:rsidR="00000000" w:rsidRDefault="00CA422F">
            <w:pPr>
              <w:spacing w:line="360" w:lineRule="exact"/>
              <w:jc w:val="center"/>
              <w:rPr>
                <w:rFonts w:hint="eastAsia"/>
                <w:sz w:val="18"/>
              </w:rPr>
            </w:pPr>
            <w:r>
              <w:rPr>
                <w:rFonts w:hint="eastAsia"/>
                <w:sz w:val="18"/>
              </w:rPr>
              <w:t>13</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民族解放党</w:t>
            </w:r>
          </w:p>
        </w:tc>
        <w:tc>
          <w:tcPr>
            <w:tcW w:w="2491" w:type="pct"/>
          </w:tcPr>
          <w:p w:rsidR="00000000" w:rsidRDefault="00CA422F">
            <w:pPr>
              <w:spacing w:line="360" w:lineRule="exact"/>
              <w:jc w:val="center"/>
              <w:rPr>
                <w:rFonts w:hint="eastAsia"/>
                <w:sz w:val="18"/>
              </w:rPr>
            </w:pPr>
            <w:r>
              <w:rPr>
                <w:rFonts w:hint="eastAsia"/>
                <w:sz w:val="18"/>
              </w:rPr>
              <w:t>6</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自由运动党</w:t>
            </w:r>
          </w:p>
        </w:tc>
        <w:tc>
          <w:tcPr>
            <w:tcW w:w="2491" w:type="pct"/>
          </w:tcPr>
          <w:p w:rsidR="00000000" w:rsidRDefault="00CA422F">
            <w:pPr>
              <w:spacing w:line="360" w:lineRule="exact"/>
              <w:jc w:val="center"/>
              <w:rPr>
                <w:rFonts w:hint="eastAsia"/>
                <w:sz w:val="18"/>
              </w:rPr>
            </w:pPr>
            <w:r>
              <w:rPr>
                <w:rFonts w:hint="eastAsia"/>
                <w:sz w:val="18"/>
              </w:rPr>
              <w:t>2</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变革联盟</w:t>
            </w:r>
            <w:r>
              <w:rPr>
                <w:rFonts w:hint="eastAsia"/>
                <w:sz w:val="18"/>
              </w:rPr>
              <w:t>2000</w:t>
            </w:r>
          </w:p>
        </w:tc>
        <w:tc>
          <w:tcPr>
            <w:tcW w:w="2491" w:type="pct"/>
          </w:tcPr>
          <w:p w:rsidR="00000000" w:rsidRDefault="00CA422F">
            <w:pPr>
              <w:spacing w:line="360" w:lineRule="exact"/>
              <w:jc w:val="center"/>
              <w:rPr>
                <w:rFonts w:hint="eastAsia"/>
                <w:sz w:val="18"/>
              </w:rPr>
            </w:pPr>
            <w:r>
              <w:rPr>
                <w:rFonts w:hint="eastAsia"/>
                <w:sz w:val="18"/>
              </w:rPr>
              <w:t>4</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哥斯达黎加改革党</w:t>
            </w:r>
          </w:p>
        </w:tc>
        <w:tc>
          <w:tcPr>
            <w:tcW w:w="2491" w:type="pct"/>
          </w:tcPr>
          <w:p w:rsidR="00000000" w:rsidRDefault="00CA422F">
            <w:pPr>
              <w:spacing w:line="360" w:lineRule="exact"/>
              <w:jc w:val="center"/>
              <w:rPr>
                <w:rFonts w:hint="eastAsia"/>
                <w:sz w:val="18"/>
              </w:rPr>
            </w:pPr>
            <w:r>
              <w:rPr>
                <w:rFonts w:hint="eastAsia"/>
                <w:sz w:val="18"/>
              </w:rPr>
              <w:t>2</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国家拯救党</w:t>
            </w:r>
          </w:p>
        </w:tc>
        <w:tc>
          <w:tcPr>
            <w:tcW w:w="2491" w:type="pct"/>
          </w:tcPr>
          <w:p w:rsidR="00000000" w:rsidRDefault="00CA422F">
            <w:pPr>
              <w:spacing w:line="360" w:lineRule="exact"/>
              <w:jc w:val="center"/>
              <w:rPr>
                <w:rFonts w:hint="eastAsia"/>
                <w:sz w:val="18"/>
              </w:rPr>
            </w:pPr>
            <w:r>
              <w:rPr>
                <w:rFonts w:hint="eastAsia"/>
                <w:sz w:val="18"/>
              </w:rPr>
              <w:t>1</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基督教社会联盟</w:t>
            </w:r>
          </w:p>
        </w:tc>
        <w:tc>
          <w:tcPr>
            <w:tcW w:w="2491" w:type="pct"/>
          </w:tcPr>
          <w:p w:rsidR="00000000" w:rsidRDefault="00CA422F">
            <w:pPr>
              <w:spacing w:line="360" w:lineRule="exact"/>
              <w:jc w:val="center"/>
              <w:rPr>
                <w:rFonts w:hint="eastAsia"/>
                <w:sz w:val="18"/>
              </w:rPr>
            </w:pPr>
            <w:r>
              <w:rPr>
                <w:rFonts w:hint="eastAsia"/>
                <w:sz w:val="18"/>
              </w:rPr>
              <w:t>2</w:t>
            </w:r>
          </w:p>
        </w:tc>
      </w:tr>
      <w:tr w:rsidR="00000000">
        <w:tblPrEx>
          <w:tblCellMar>
            <w:top w:w="0" w:type="dxa"/>
            <w:bottom w:w="0" w:type="dxa"/>
          </w:tblCellMar>
        </w:tblPrEx>
        <w:tc>
          <w:tcPr>
            <w:tcW w:w="2509" w:type="pct"/>
          </w:tcPr>
          <w:p w:rsidR="00000000" w:rsidRDefault="00CA422F">
            <w:pPr>
              <w:spacing w:line="360" w:lineRule="exact"/>
              <w:rPr>
                <w:rFonts w:hint="eastAsia"/>
                <w:sz w:val="18"/>
              </w:rPr>
            </w:pPr>
            <w:r>
              <w:rPr>
                <w:rFonts w:hint="eastAsia"/>
                <w:sz w:val="18"/>
              </w:rPr>
              <w:t>农业工人运动（省级党）</w:t>
            </w:r>
          </w:p>
        </w:tc>
        <w:tc>
          <w:tcPr>
            <w:tcW w:w="2491" w:type="pct"/>
          </w:tcPr>
          <w:p w:rsidR="00000000" w:rsidRDefault="00CA422F">
            <w:pPr>
              <w:spacing w:line="360" w:lineRule="exact"/>
              <w:jc w:val="center"/>
              <w:rPr>
                <w:rFonts w:hint="eastAsia"/>
                <w:sz w:val="18"/>
              </w:rPr>
            </w:pPr>
            <w:r>
              <w:rPr>
                <w:rFonts w:hint="eastAsia"/>
                <w:sz w:val="18"/>
              </w:rPr>
              <w:t>7</w:t>
            </w:r>
          </w:p>
        </w:tc>
      </w:tr>
      <w:tr w:rsidR="00000000">
        <w:tblPrEx>
          <w:tblCellMar>
            <w:top w:w="0" w:type="dxa"/>
            <w:bottom w:w="0" w:type="dxa"/>
          </w:tblCellMar>
        </w:tblPrEx>
        <w:tc>
          <w:tcPr>
            <w:tcW w:w="2509" w:type="pct"/>
          </w:tcPr>
          <w:p w:rsidR="00000000" w:rsidRDefault="00CA422F">
            <w:pPr>
              <w:pStyle w:val="Header"/>
              <w:pBdr>
                <w:bottom w:val="none" w:sz="0" w:space="0" w:color="auto"/>
              </w:pBdr>
              <w:tabs>
                <w:tab w:val="clear" w:pos="4320"/>
                <w:tab w:val="clear" w:pos="8640"/>
              </w:tabs>
              <w:spacing w:line="360" w:lineRule="exact"/>
              <w:rPr>
                <w:rFonts w:eastAsia="SimHei" w:hint="eastAsia"/>
              </w:rPr>
            </w:pPr>
            <w:r>
              <w:rPr>
                <w:rFonts w:eastAsia="SimHei" w:hint="eastAsia"/>
              </w:rPr>
              <w:t>总计：</w:t>
            </w:r>
          </w:p>
        </w:tc>
        <w:tc>
          <w:tcPr>
            <w:tcW w:w="2491" w:type="pct"/>
          </w:tcPr>
          <w:p w:rsidR="00000000" w:rsidRDefault="00CA422F">
            <w:pPr>
              <w:spacing w:line="360" w:lineRule="exact"/>
              <w:jc w:val="center"/>
              <w:rPr>
                <w:rFonts w:hint="eastAsia"/>
                <w:b/>
                <w:bCs/>
                <w:sz w:val="18"/>
              </w:rPr>
            </w:pPr>
            <w:r>
              <w:rPr>
                <w:rFonts w:hint="eastAsia"/>
                <w:b/>
                <w:bCs/>
                <w:sz w:val="18"/>
              </w:rPr>
              <w:t>73</w:t>
            </w:r>
          </w:p>
        </w:tc>
      </w:tr>
    </w:tbl>
    <w:p w:rsidR="00000000" w:rsidRDefault="00CA422F" w:rsidP="00CA422F">
      <w:pPr>
        <w:spacing w:after="240" w:line="360" w:lineRule="exact"/>
        <w:ind w:leftChars="500" w:left="31680" w:rightChars="500" w:right="31680"/>
        <w:rPr>
          <w:rFonts w:hint="eastAsia"/>
          <w:sz w:val="18"/>
        </w:rPr>
      </w:pPr>
      <w:r>
        <w:rPr>
          <w:rFonts w:hint="eastAsia"/>
          <w:sz w:val="18"/>
        </w:rPr>
        <w:t>资料来源：公民权利、领导地位和地方管理处（国家妇女研究所）。根据</w:t>
      </w:r>
      <w:r>
        <w:rPr>
          <w:rFonts w:hint="eastAsia"/>
          <w:sz w:val="18"/>
        </w:rPr>
        <w:t>国家户籍登记总局通过的决定编写，</w:t>
      </w:r>
      <w:r>
        <w:rPr>
          <w:rFonts w:hint="eastAsia"/>
          <w:sz w:val="18"/>
        </w:rPr>
        <w:t>2002</w:t>
      </w:r>
      <w:r>
        <w:rPr>
          <w:rFonts w:hint="eastAsia"/>
          <w:sz w:val="18"/>
        </w:rPr>
        <w:t>年。</w:t>
      </w:r>
    </w:p>
    <w:p w:rsidR="00000000" w:rsidRDefault="00CA422F">
      <w:pPr>
        <w:spacing w:after="240" w:line="360" w:lineRule="exact"/>
        <w:rPr>
          <w:rFonts w:hint="eastAsia"/>
        </w:rPr>
      </w:pPr>
      <w:r>
        <w:rPr>
          <w:rFonts w:hint="eastAsia"/>
        </w:rPr>
        <w:t>262</w:t>
      </w:r>
      <w:r>
        <w:rPr>
          <w:rFonts w:hint="eastAsia"/>
        </w:rPr>
        <w:t>．根据《促进妇女社会平等法》第</w:t>
      </w:r>
      <w:r>
        <w:rPr>
          <w:rFonts w:hint="eastAsia"/>
        </w:rPr>
        <w:t>4</w:t>
      </w:r>
      <w:r>
        <w:rPr>
          <w:rFonts w:hint="eastAsia"/>
        </w:rPr>
        <w:t>条和第</w:t>
      </w:r>
      <w:r>
        <w:rPr>
          <w:rFonts w:hint="eastAsia"/>
        </w:rPr>
        <w:t>5</w:t>
      </w:r>
      <w:r>
        <w:rPr>
          <w:rFonts w:hint="eastAsia"/>
        </w:rPr>
        <w:t>条的有关规定，依据前文提到的决定，各政党应该考虑在委任党内领导机关成员和选派党员担任公职时使妇女比例达到</w:t>
      </w:r>
      <w:r>
        <w:rPr>
          <w:rFonts w:hint="eastAsia"/>
        </w:rPr>
        <w:t>40%</w:t>
      </w:r>
      <w:r>
        <w:rPr>
          <w:rFonts w:hint="eastAsia"/>
        </w:rPr>
        <w:t>，将此作为该党的义务和职责，并且将这一配额规定列入党章。</w:t>
      </w:r>
    </w:p>
    <w:p w:rsidR="00000000" w:rsidRDefault="00CA422F" w:rsidP="00CA422F">
      <w:pPr>
        <w:pStyle w:val="BlockText"/>
        <w:spacing w:line="360" w:lineRule="exact"/>
        <w:ind w:leftChars="200" w:left="31680" w:right="0" w:firstLineChars="200" w:firstLine="31680"/>
        <w:rPr>
          <w:rFonts w:eastAsia="KaiTi_GB2312" w:hint="eastAsia"/>
        </w:rPr>
      </w:pPr>
      <w:r>
        <w:rPr>
          <w:rFonts w:eastAsia="KaiTi_GB2312" w:hint="eastAsia"/>
        </w:rPr>
        <w:t>“第四条，人权保护组织将采取适当和必要的措施，确保妇女享有有利于她们的机会均等权利，目的是消除针对妇女在中央行政机关和地方分权单位中担任公共职务的歧视行为。”</w:t>
      </w:r>
    </w:p>
    <w:p w:rsidR="00000000" w:rsidRDefault="00CA422F" w:rsidP="00CA422F">
      <w:pPr>
        <w:pStyle w:val="BlockText"/>
        <w:spacing w:line="360" w:lineRule="exact"/>
        <w:ind w:leftChars="200" w:left="31680" w:right="0" w:firstLineChars="200" w:firstLine="31680"/>
        <w:rPr>
          <w:rFonts w:eastAsia="KaiTi_GB2312" w:hint="eastAsia"/>
          <w:i/>
          <w:iCs/>
        </w:rPr>
      </w:pPr>
      <w:r>
        <w:rPr>
          <w:rFonts w:eastAsia="KaiTi_GB2312" w:hint="eastAsia"/>
        </w:rPr>
        <w:t>第五条，各政党在党章中列出有效机制，鼓励并保障妇女切实参与该党的内部选举、进入党的领导机关以</w:t>
      </w:r>
      <w:r>
        <w:rPr>
          <w:rFonts w:eastAsia="KaiTi_GB2312" w:hint="eastAsia"/>
        </w:rPr>
        <w:t>及作为候选人出现在选票上。”</w:t>
      </w:r>
    </w:p>
    <w:p w:rsidR="00000000" w:rsidRDefault="00CA422F">
      <w:pPr>
        <w:spacing w:after="240" w:line="360" w:lineRule="exact"/>
        <w:rPr>
          <w:rFonts w:hint="eastAsia"/>
        </w:rPr>
      </w:pPr>
      <w:r>
        <w:rPr>
          <w:rFonts w:hint="eastAsia"/>
        </w:rPr>
        <w:t>263</w:t>
      </w:r>
      <w:r>
        <w:rPr>
          <w:rFonts w:hint="eastAsia"/>
        </w:rPr>
        <w:t>．前一段提到的规定应该包括有效的配合机制，切实保障在任命副部长、高级政府官员、政府机关总负责人时妇女的有效比例，同时，还要确保分权机构的领导委员会、执行主席团、管理部门和部门管理层中有效的妇女比例。</w:t>
      </w:r>
    </w:p>
    <w:p w:rsidR="00000000" w:rsidRDefault="00CA422F">
      <w:pPr>
        <w:spacing w:after="240" w:line="360" w:lineRule="exact"/>
        <w:rPr>
          <w:rFonts w:hint="eastAsia"/>
        </w:rPr>
      </w:pPr>
      <w:r>
        <w:rPr>
          <w:rFonts w:hint="eastAsia"/>
        </w:rPr>
        <w:t>264</w:t>
      </w:r>
      <w:r>
        <w:rPr>
          <w:rFonts w:hint="eastAsia"/>
        </w:rPr>
        <w:t>．经验表明需要且必须为各个政党确定一种统一的工作方法，确保落实妇女配额比例规定，而且也不会像某些政党决定使用某些机制时那样对妇女产生严重的敌对情绪。就这个意义而言，在选票解冻的情况下（正如目前的情况），最好的选择是代表选择制——其中明确规定了自然登记制度，而不是最高选举</w:t>
      </w:r>
      <w:r>
        <w:rPr>
          <w:rFonts w:hint="eastAsia"/>
        </w:rPr>
        <w:t>法庭在《选举法》修正案中提出的局部解冻。</w:t>
      </w:r>
    </w:p>
    <w:p w:rsidR="00000000" w:rsidRDefault="00CA422F">
      <w:pPr>
        <w:spacing w:after="240" w:line="360" w:lineRule="exact"/>
        <w:rPr>
          <w:rFonts w:hint="eastAsia"/>
        </w:rPr>
      </w:pPr>
      <w:r>
        <w:rPr>
          <w:rFonts w:hint="eastAsia"/>
        </w:rPr>
        <w:t>265</w:t>
      </w:r>
      <w:r>
        <w:rPr>
          <w:rFonts w:hint="eastAsia"/>
        </w:rPr>
        <w:t>．根据《公约》第七条的有关规定，最高法院宪法厅在</w:t>
      </w:r>
      <w:r>
        <w:rPr>
          <w:rFonts w:hint="eastAsia"/>
        </w:rPr>
        <w:t>1998</w:t>
      </w:r>
      <w:r>
        <w:rPr>
          <w:rFonts w:hint="eastAsia"/>
        </w:rPr>
        <w:t>年</w:t>
      </w:r>
      <w:r>
        <w:rPr>
          <w:rFonts w:hint="eastAsia"/>
        </w:rPr>
        <w:t>2</w:t>
      </w:r>
      <w:r>
        <w:rPr>
          <w:rFonts w:hint="eastAsia"/>
        </w:rPr>
        <w:t>月</w:t>
      </w:r>
      <w:r>
        <w:rPr>
          <w:rFonts w:hint="eastAsia"/>
        </w:rPr>
        <w:t>6</w:t>
      </w:r>
      <w:r>
        <w:rPr>
          <w:rFonts w:hint="eastAsia"/>
        </w:rPr>
        <w:t>日的</w:t>
      </w:r>
      <w:r>
        <w:rPr>
          <w:rFonts w:hint="eastAsia"/>
        </w:rPr>
        <w:t>0716</w:t>
      </w:r>
      <w:r>
        <w:rPr>
          <w:rFonts w:hint="eastAsia"/>
        </w:rPr>
        <w:t>－</w:t>
      </w:r>
      <w:r>
        <w:rPr>
          <w:rFonts w:hint="eastAsia"/>
        </w:rPr>
        <w:t>98</w:t>
      </w:r>
      <w:r>
        <w:rPr>
          <w:rFonts w:hint="eastAsia"/>
        </w:rPr>
        <w:t>号决定中肯定地指出：“……为了消除妇女遭受的歧视，法律法规给予她们特别保护并且要求政府任命一定数量的妇女担任公共职务，因为，从另一个方面看，尽管妇女具备专业素养和能力，她们依然难以获得担任公共职务的机会。”</w:t>
      </w:r>
    </w:p>
    <w:p w:rsidR="00000000" w:rsidRDefault="00CA422F">
      <w:pPr>
        <w:spacing w:after="240" w:line="360" w:lineRule="exact"/>
        <w:rPr>
          <w:rFonts w:hint="eastAsia"/>
        </w:rPr>
      </w:pPr>
      <w:r>
        <w:rPr>
          <w:rFonts w:hint="eastAsia"/>
        </w:rPr>
        <w:t>266</w:t>
      </w:r>
      <w:r>
        <w:rPr>
          <w:rFonts w:hint="eastAsia"/>
        </w:rPr>
        <w:t>．最高选举法庭为了回答妇女地位部部长和国家妇女研究所执行主席的疑问，发布了</w:t>
      </w:r>
      <w:r>
        <w:rPr>
          <w:rFonts w:hint="eastAsia"/>
        </w:rPr>
        <w:t>1863</w:t>
      </w:r>
      <w:r>
        <w:rPr>
          <w:rFonts w:hint="eastAsia"/>
        </w:rPr>
        <w:t>号、</w:t>
      </w:r>
      <w:r>
        <w:rPr>
          <w:rFonts w:hint="eastAsia"/>
        </w:rPr>
        <w:t>2837</w:t>
      </w:r>
      <w:r>
        <w:rPr>
          <w:rFonts w:hint="eastAsia"/>
        </w:rPr>
        <w:t>号和</w:t>
      </w:r>
      <w:r>
        <w:rPr>
          <w:rFonts w:hint="eastAsia"/>
        </w:rPr>
        <w:t>804</w:t>
      </w:r>
      <w:r>
        <w:rPr>
          <w:rFonts w:hint="eastAsia"/>
        </w:rPr>
        <w:t>－</w:t>
      </w:r>
      <w:r>
        <w:rPr>
          <w:rFonts w:hint="eastAsia"/>
        </w:rPr>
        <w:t>E</w:t>
      </w:r>
      <w:r>
        <w:rPr>
          <w:rFonts w:hint="eastAsia"/>
        </w:rPr>
        <w:t>－</w:t>
      </w:r>
      <w:r>
        <w:rPr>
          <w:rFonts w:hint="eastAsia"/>
        </w:rPr>
        <w:t>2000</w:t>
      </w:r>
      <w:r>
        <w:rPr>
          <w:rFonts w:hint="eastAsia"/>
        </w:rPr>
        <w:t>号决定，要求各政党必须采取适当的内部机制，推行妇女</w:t>
      </w:r>
      <w:r>
        <w:rPr>
          <w:rFonts w:hint="eastAsia"/>
        </w:rPr>
        <w:t>最低政治参与配额标准、使她们能够在立法议会和市政议会选举的可当选席位候选人名单上占据应有的份额。在前进的道路上，大部分政党的女候选人都会面对数不胜数的困难和障碍，但是由于国家要求必须采取一定的程序和措施，满足最低配额标准，在</w:t>
      </w:r>
      <w:r>
        <w:rPr>
          <w:rFonts w:hint="eastAsia"/>
        </w:rPr>
        <w:t>2002</w:t>
      </w:r>
      <w:r>
        <w:rPr>
          <w:rFonts w:hint="eastAsia"/>
        </w:rPr>
        <w:t>年</w:t>
      </w:r>
      <w:r>
        <w:rPr>
          <w:rFonts w:hint="eastAsia"/>
        </w:rPr>
        <w:t>2</w:t>
      </w:r>
      <w:r>
        <w:rPr>
          <w:rFonts w:hint="eastAsia"/>
        </w:rPr>
        <w:t>月的选举中，在立法议会的</w:t>
      </w:r>
      <w:r>
        <w:rPr>
          <w:rFonts w:hint="eastAsia"/>
        </w:rPr>
        <w:t>57</w:t>
      </w:r>
      <w:r>
        <w:rPr>
          <w:rFonts w:hint="eastAsia"/>
        </w:rPr>
        <w:t>个议席中，现在妇女获得了将近</w:t>
      </w:r>
      <w:r>
        <w:rPr>
          <w:rFonts w:hint="eastAsia"/>
        </w:rPr>
        <w:t>36%</w:t>
      </w:r>
      <w:r>
        <w:rPr>
          <w:rFonts w:hint="eastAsia"/>
        </w:rPr>
        <w:t>。经验表明应该而且必须用候选名单代表席位选择制取代传统的方法。</w:t>
      </w:r>
    </w:p>
    <w:p w:rsidR="00000000" w:rsidRDefault="00CA422F">
      <w:pPr>
        <w:spacing w:after="240" w:line="360" w:lineRule="exact"/>
        <w:rPr>
          <w:rFonts w:hint="eastAsia"/>
        </w:rPr>
      </w:pPr>
      <w:r>
        <w:rPr>
          <w:rFonts w:hint="eastAsia"/>
        </w:rPr>
        <w:t>267</w:t>
      </w:r>
      <w:r>
        <w:rPr>
          <w:rFonts w:hint="eastAsia"/>
        </w:rPr>
        <w:t>．最后，</w:t>
      </w:r>
      <w:r>
        <w:rPr>
          <w:rFonts w:hint="eastAsia"/>
        </w:rPr>
        <w:t>2000</w:t>
      </w:r>
      <w:r>
        <w:rPr>
          <w:rFonts w:hint="eastAsia"/>
        </w:rPr>
        <w:t>年国家人口普查结果非常值得关注和重视，因为鉴于各省人口分布上的变化，选举图有可能发生改变。</w:t>
      </w:r>
    </w:p>
    <w:p w:rsidR="00000000" w:rsidRDefault="00CA422F">
      <w:pPr>
        <w:spacing w:after="240" w:line="360" w:lineRule="exact"/>
        <w:rPr>
          <w:rFonts w:hint="eastAsia"/>
        </w:rPr>
      </w:pPr>
      <w:r>
        <w:rPr>
          <w:rFonts w:hint="eastAsia"/>
        </w:rPr>
        <w:t>268</w:t>
      </w:r>
      <w:r>
        <w:rPr>
          <w:rFonts w:hint="eastAsia"/>
        </w:rPr>
        <w:t>．正如</w:t>
      </w:r>
      <w:r>
        <w:rPr>
          <w:rFonts w:hint="eastAsia"/>
        </w:rPr>
        <w:t>7142</w:t>
      </w:r>
      <w:r>
        <w:rPr>
          <w:rFonts w:hint="eastAsia"/>
        </w:rPr>
        <w:t>号法律第</w:t>
      </w:r>
      <w:r>
        <w:rPr>
          <w:rFonts w:hint="eastAsia"/>
        </w:rPr>
        <w:t>5</w:t>
      </w:r>
      <w:r>
        <w:rPr>
          <w:rFonts w:hint="eastAsia"/>
        </w:rPr>
        <w:t>条阐明</w:t>
      </w:r>
      <w:r>
        <w:rPr>
          <w:rFonts w:hint="eastAsia"/>
        </w:rPr>
        <w:t>的那样，各政党必须在党章中列出有效的机制，切实保障在任命副部长、高级政府官员、政府机关总负责人时妇女的有效比例，同时，还要确保分权机构的领导委员会、执行主席团、管理部门和部门管理层中有效的妇女比例。然而，现实清楚地告诉我们，在大部分情况下这种机制根本就不存在或者只是一些非常笼统的规定，因此这类政党和机构中并没有满足妇女政治参与最低配额标准。譬如说，自治机构执行主席团中的妇女代表比例仅仅为</w:t>
      </w:r>
      <w:r>
        <w:rPr>
          <w:rFonts w:hint="eastAsia"/>
        </w:rPr>
        <w:t>18%</w:t>
      </w:r>
      <w:r>
        <w:rPr>
          <w:rFonts w:hint="eastAsia"/>
        </w:rPr>
        <w:t>（国家妇女研究所，</w:t>
      </w:r>
      <w:r>
        <w:rPr>
          <w:rFonts w:hint="eastAsia"/>
        </w:rPr>
        <w:t>2000</w:t>
      </w:r>
      <w:r>
        <w:rPr>
          <w:rFonts w:hint="eastAsia"/>
        </w:rPr>
        <w:t>年</w:t>
      </w:r>
      <w:r>
        <w:t>b</w:t>
      </w:r>
      <w:r>
        <w:rPr>
          <w:rFonts w:hint="eastAsia"/>
        </w:rPr>
        <w:t>）。</w:t>
      </w:r>
    </w:p>
    <w:p w:rsidR="00000000" w:rsidRDefault="00CA422F">
      <w:pPr>
        <w:spacing w:after="240" w:line="360" w:lineRule="exact"/>
        <w:rPr>
          <w:rFonts w:hint="eastAsia"/>
        </w:rPr>
      </w:pPr>
      <w:r>
        <w:rPr>
          <w:rFonts w:hint="eastAsia"/>
        </w:rPr>
        <w:t>269</w:t>
      </w:r>
      <w:r>
        <w:rPr>
          <w:rFonts w:hint="eastAsia"/>
        </w:rPr>
        <w:t>．将妇女排斥在决策职位之外侵犯了她们的参与权利。这是居民保护组织在官方调查</w:t>
      </w:r>
      <w:r>
        <w:rPr>
          <w:rFonts w:hint="eastAsia"/>
        </w:rPr>
        <w:t>中关注的一个问题（工作报告，</w:t>
      </w:r>
      <w:r>
        <w:rPr>
          <w:rFonts w:hint="eastAsia"/>
        </w:rPr>
        <w:t>2000</w:t>
      </w:r>
      <w:r>
        <w:rPr>
          <w:rFonts w:hint="eastAsia"/>
        </w:rPr>
        <w:t>－</w:t>
      </w:r>
      <w:r>
        <w:rPr>
          <w:rFonts w:hint="eastAsia"/>
        </w:rPr>
        <w:t>2001</w:t>
      </w:r>
      <w:r>
        <w:rPr>
          <w:rFonts w:hint="eastAsia"/>
        </w:rPr>
        <w:t>年）。</w:t>
      </w:r>
      <w:r>
        <w:rPr>
          <w:rFonts w:hint="eastAsia"/>
        </w:rPr>
        <w:t>2001</w:t>
      </w:r>
      <w:r>
        <w:rPr>
          <w:rFonts w:hint="eastAsia"/>
        </w:rPr>
        <w:t>年，了解到妇女政策日程提出的一项诉讼。该妇女组织认为，在任命自治机构领导委员会成员时，必须符合国内法和国际法的有关规定以及</w:t>
      </w:r>
      <w:r>
        <w:rPr>
          <w:rFonts w:hint="eastAsia"/>
        </w:rPr>
        <w:t>716</w:t>
      </w:r>
      <w:r>
        <w:rPr>
          <w:rFonts w:hint="eastAsia"/>
        </w:rPr>
        <w:t>－</w:t>
      </w:r>
      <w:r>
        <w:rPr>
          <w:rFonts w:hint="eastAsia"/>
        </w:rPr>
        <w:t>98</w:t>
      </w:r>
      <w:r>
        <w:rPr>
          <w:rFonts w:hint="eastAsia"/>
        </w:rPr>
        <w:t>号宪法决议（</w:t>
      </w:r>
      <w:r>
        <w:rPr>
          <w:rFonts w:hint="eastAsia"/>
        </w:rPr>
        <w:t>1998</w:t>
      </w:r>
      <w:r>
        <w:rPr>
          <w:rFonts w:hint="eastAsia"/>
        </w:rPr>
        <w:t>年</w:t>
      </w:r>
      <w:r>
        <w:rPr>
          <w:rFonts w:hint="eastAsia"/>
        </w:rPr>
        <w:t>2</w:t>
      </w:r>
      <w:r>
        <w:rPr>
          <w:rFonts w:hint="eastAsia"/>
        </w:rPr>
        <w:t>月</w:t>
      </w:r>
      <w:r>
        <w:rPr>
          <w:rFonts w:hint="eastAsia"/>
        </w:rPr>
        <w:t>6</w:t>
      </w:r>
      <w:r>
        <w:rPr>
          <w:rFonts w:hint="eastAsia"/>
        </w:rPr>
        <w:t>日</w:t>
      </w:r>
      <w:r>
        <w:rPr>
          <w:rFonts w:hint="eastAsia"/>
        </w:rPr>
        <w:t>11</w:t>
      </w:r>
      <w:r>
        <w:rPr>
          <w:rFonts w:hint="eastAsia"/>
        </w:rPr>
        <w:t>时</w:t>
      </w:r>
      <w:r>
        <w:rPr>
          <w:rFonts w:hint="eastAsia"/>
        </w:rPr>
        <w:t>51</w:t>
      </w:r>
      <w:r>
        <w:rPr>
          <w:rFonts w:hint="eastAsia"/>
        </w:rPr>
        <w:t>分）的要求。</w:t>
      </w:r>
      <w:r>
        <w:rPr>
          <w:rFonts w:hint="eastAsia"/>
        </w:rPr>
        <w:t>716</w:t>
      </w:r>
      <w:r>
        <w:rPr>
          <w:rFonts w:hint="eastAsia"/>
        </w:rPr>
        <w:t>－</w:t>
      </w:r>
      <w:r>
        <w:rPr>
          <w:rFonts w:hint="eastAsia"/>
        </w:rPr>
        <w:t>98</w:t>
      </w:r>
      <w:r>
        <w:rPr>
          <w:rFonts w:hint="eastAsia"/>
        </w:rPr>
        <w:t>号决议规定，任命妇女进入领导委员会是一项强制性义务。根据居民保护组织对</w:t>
      </w:r>
      <w:r>
        <w:rPr>
          <w:rFonts w:hint="eastAsia"/>
        </w:rPr>
        <w:t>2000</w:t>
      </w:r>
      <w:r>
        <w:rPr>
          <w:rFonts w:hint="eastAsia"/>
        </w:rPr>
        <w:t>年、国家妇女研究所对</w:t>
      </w:r>
      <w:r>
        <w:rPr>
          <w:rFonts w:hint="eastAsia"/>
        </w:rPr>
        <w:t>2002</w:t>
      </w:r>
      <w:r>
        <w:rPr>
          <w:rFonts w:hint="eastAsia"/>
        </w:rPr>
        <w:t>年至</w:t>
      </w:r>
      <w:r>
        <w:rPr>
          <w:rFonts w:hint="eastAsia"/>
        </w:rPr>
        <w:t>2006</w:t>
      </w:r>
      <w:r>
        <w:rPr>
          <w:rFonts w:hint="eastAsia"/>
        </w:rPr>
        <w:t>年阶段进行的调查，下表列出了男子和妇女在某些自治机构领导委员会中的任职情况。</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6</w:t>
      </w:r>
      <w:r>
        <w:rPr>
          <w:rFonts w:ascii="SimHei" w:eastAsia="SimHei"/>
        </w:rPr>
        <w:br/>
      </w:r>
      <w:r>
        <w:rPr>
          <w:rFonts w:ascii="SimHei" w:eastAsia="SimHei" w:hint="eastAsia"/>
        </w:rPr>
        <w:t>男子和妇女在自治机构、半自治机构、</w:t>
      </w:r>
      <w:r>
        <w:rPr>
          <w:rFonts w:ascii="SimHei" w:eastAsia="SimHei"/>
        </w:rPr>
        <w:br/>
      </w:r>
      <w:r>
        <w:rPr>
          <w:rFonts w:ascii="SimHei" w:eastAsia="SimHei" w:hint="eastAsia"/>
        </w:rPr>
        <w:t>分权机关和共和国</w:t>
      </w:r>
      <w:r>
        <w:rPr>
          <w:rFonts w:ascii="SimHei" w:eastAsia="SimHei" w:hint="eastAsia"/>
        </w:rPr>
        <w:t>总统办公室的任职情况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09"/>
        <w:gridCol w:w="1564"/>
        <w:gridCol w:w="1505"/>
        <w:gridCol w:w="1534"/>
        <w:gridCol w:w="1552"/>
      </w:tblGrid>
      <w:tr w:rsidR="00000000">
        <w:tblPrEx>
          <w:tblCellMar>
            <w:top w:w="0" w:type="dxa"/>
            <w:bottom w:w="0" w:type="dxa"/>
          </w:tblCellMar>
        </w:tblPrEx>
        <w:trPr>
          <w:cantSplit/>
          <w:tblHeader/>
        </w:trPr>
        <w:tc>
          <w:tcPr>
            <w:tcW w:w="1911" w:type="pct"/>
            <w:vMerge w:val="restart"/>
            <w:vAlign w:val="center"/>
          </w:tcPr>
          <w:p w:rsidR="00000000" w:rsidRDefault="00CA422F">
            <w:pPr>
              <w:spacing w:line="360" w:lineRule="atLeast"/>
              <w:jc w:val="center"/>
              <w:rPr>
                <w:rFonts w:hint="eastAsia"/>
                <w:sz w:val="18"/>
              </w:rPr>
            </w:pPr>
            <w:r>
              <w:rPr>
                <w:rFonts w:hint="eastAsia"/>
                <w:sz w:val="18"/>
              </w:rPr>
              <w:t>机构</w:t>
            </w:r>
          </w:p>
        </w:tc>
        <w:tc>
          <w:tcPr>
            <w:tcW w:w="1540" w:type="pct"/>
            <w:gridSpan w:val="2"/>
          </w:tcPr>
          <w:p w:rsidR="00000000" w:rsidRDefault="00CA422F">
            <w:pPr>
              <w:spacing w:line="280" w:lineRule="exact"/>
              <w:jc w:val="center"/>
              <w:rPr>
                <w:rFonts w:hint="eastAsia"/>
                <w:sz w:val="18"/>
              </w:rPr>
            </w:pPr>
            <w:r>
              <w:rPr>
                <w:rFonts w:hint="eastAsia"/>
                <w:sz w:val="18"/>
              </w:rPr>
              <w:t>2000</w:t>
            </w:r>
            <w:r>
              <w:rPr>
                <w:rFonts w:hint="eastAsia"/>
                <w:sz w:val="18"/>
              </w:rPr>
              <w:t>年任职比例</w:t>
            </w:r>
          </w:p>
          <w:p w:rsidR="00000000" w:rsidRDefault="00CA422F">
            <w:pPr>
              <w:spacing w:line="280" w:lineRule="exact"/>
              <w:jc w:val="center"/>
              <w:rPr>
                <w:rFonts w:hint="eastAsia"/>
                <w:sz w:val="18"/>
              </w:rPr>
            </w:pPr>
            <w:r>
              <w:rPr>
                <w:rFonts w:hint="eastAsia"/>
                <w:sz w:val="18"/>
              </w:rPr>
              <w:t>（按性别计）</w:t>
            </w:r>
            <w:r>
              <w:rPr>
                <w:rStyle w:val="FootnoteReference"/>
                <w:sz w:val="18"/>
              </w:rPr>
              <w:footnoteReference w:customMarkFollows="1" w:id="17"/>
              <w:t>16</w:t>
            </w:r>
          </w:p>
        </w:tc>
        <w:tc>
          <w:tcPr>
            <w:tcW w:w="1549" w:type="pct"/>
            <w:gridSpan w:val="2"/>
          </w:tcPr>
          <w:p w:rsidR="00000000" w:rsidRDefault="00CA422F">
            <w:pPr>
              <w:spacing w:line="280" w:lineRule="exact"/>
              <w:jc w:val="center"/>
              <w:rPr>
                <w:rFonts w:hint="eastAsia"/>
                <w:sz w:val="18"/>
              </w:rPr>
            </w:pPr>
            <w:r>
              <w:rPr>
                <w:rFonts w:hint="eastAsia"/>
                <w:sz w:val="18"/>
              </w:rPr>
              <w:t>2000</w:t>
            </w:r>
            <w:r>
              <w:rPr>
                <w:rFonts w:hint="eastAsia"/>
                <w:sz w:val="18"/>
              </w:rPr>
              <w:t>年至</w:t>
            </w:r>
            <w:r>
              <w:rPr>
                <w:rFonts w:hint="eastAsia"/>
                <w:sz w:val="18"/>
              </w:rPr>
              <w:t>2006</w:t>
            </w:r>
            <w:r>
              <w:rPr>
                <w:rFonts w:hint="eastAsia"/>
                <w:sz w:val="18"/>
              </w:rPr>
              <w:t>年任职比例</w:t>
            </w:r>
            <w:r>
              <w:rPr>
                <w:sz w:val="18"/>
              </w:rPr>
              <w:br/>
            </w:r>
            <w:r>
              <w:rPr>
                <w:rFonts w:hint="eastAsia"/>
                <w:sz w:val="18"/>
              </w:rPr>
              <w:t>（按性别计）</w:t>
            </w:r>
            <w:r>
              <w:rPr>
                <w:rStyle w:val="FootnoteReference"/>
                <w:sz w:val="18"/>
              </w:rPr>
              <w:footnoteReference w:customMarkFollows="1" w:id="18"/>
              <w:t>17</w:t>
            </w:r>
          </w:p>
        </w:tc>
      </w:tr>
      <w:tr w:rsidR="00000000">
        <w:tblPrEx>
          <w:tblCellMar>
            <w:top w:w="0" w:type="dxa"/>
            <w:bottom w:w="0" w:type="dxa"/>
          </w:tblCellMar>
        </w:tblPrEx>
        <w:trPr>
          <w:cantSplit/>
          <w:tblHeader/>
        </w:trPr>
        <w:tc>
          <w:tcPr>
            <w:tcW w:w="1911" w:type="pct"/>
            <w:vMerge/>
          </w:tcPr>
          <w:p w:rsidR="00000000" w:rsidRDefault="00CA422F">
            <w:pPr>
              <w:spacing w:line="360" w:lineRule="atLeast"/>
              <w:jc w:val="center"/>
              <w:rPr>
                <w:rFonts w:hint="eastAsia"/>
                <w:sz w:val="18"/>
              </w:rPr>
            </w:pPr>
          </w:p>
        </w:tc>
        <w:tc>
          <w:tcPr>
            <w:tcW w:w="785" w:type="pct"/>
          </w:tcPr>
          <w:p w:rsidR="00000000" w:rsidRDefault="00CA422F">
            <w:pPr>
              <w:spacing w:line="360" w:lineRule="atLeast"/>
              <w:jc w:val="center"/>
              <w:rPr>
                <w:rFonts w:hint="eastAsia"/>
                <w:sz w:val="18"/>
              </w:rPr>
            </w:pPr>
            <w:r>
              <w:rPr>
                <w:rFonts w:hint="eastAsia"/>
                <w:sz w:val="18"/>
              </w:rPr>
              <w:t>男子</w:t>
            </w:r>
          </w:p>
        </w:tc>
        <w:tc>
          <w:tcPr>
            <w:tcW w:w="755" w:type="pct"/>
          </w:tcPr>
          <w:p w:rsidR="00000000" w:rsidRDefault="00CA422F">
            <w:pPr>
              <w:spacing w:line="360" w:lineRule="atLeast"/>
              <w:jc w:val="center"/>
              <w:rPr>
                <w:rFonts w:hint="eastAsia"/>
                <w:sz w:val="18"/>
              </w:rPr>
            </w:pPr>
            <w:r>
              <w:rPr>
                <w:rFonts w:hint="eastAsia"/>
                <w:sz w:val="18"/>
              </w:rPr>
              <w:t>妇女</w:t>
            </w:r>
          </w:p>
        </w:tc>
        <w:tc>
          <w:tcPr>
            <w:tcW w:w="770" w:type="pct"/>
          </w:tcPr>
          <w:p w:rsidR="00000000" w:rsidRDefault="00CA422F">
            <w:pPr>
              <w:spacing w:line="360" w:lineRule="atLeast"/>
              <w:jc w:val="center"/>
              <w:rPr>
                <w:rFonts w:hint="eastAsia"/>
                <w:sz w:val="18"/>
              </w:rPr>
            </w:pPr>
            <w:r>
              <w:rPr>
                <w:rFonts w:hint="eastAsia"/>
                <w:sz w:val="18"/>
              </w:rPr>
              <w:t>男子</w:t>
            </w:r>
          </w:p>
        </w:tc>
        <w:tc>
          <w:tcPr>
            <w:tcW w:w="779" w:type="pct"/>
          </w:tcPr>
          <w:p w:rsidR="00000000" w:rsidRDefault="00CA422F">
            <w:pPr>
              <w:spacing w:line="360" w:lineRule="atLeast"/>
              <w:jc w:val="center"/>
              <w:rPr>
                <w:rFonts w:hint="eastAsia"/>
                <w:sz w:val="18"/>
              </w:rPr>
            </w:pPr>
            <w:r>
              <w:rPr>
                <w:rFonts w:hint="eastAsia"/>
                <w:sz w:val="18"/>
              </w:rPr>
              <w:t>妇女</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公共服务管理局</w:t>
            </w:r>
          </w:p>
        </w:tc>
        <w:tc>
          <w:tcPr>
            <w:tcW w:w="785" w:type="pct"/>
          </w:tcPr>
          <w:p w:rsidR="00000000" w:rsidRDefault="00CA422F">
            <w:pPr>
              <w:spacing w:line="360" w:lineRule="atLeast"/>
              <w:jc w:val="center"/>
              <w:rPr>
                <w:rFonts w:hint="eastAsia"/>
                <w:sz w:val="18"/>
              </w:rPr>
            </w:pPr>
            <w:r>
              <w:rPr>
                <w:rFonts w:hint="eastAsia"/>
                <w:sz w:val="18"/>
              </w:rPr>
              <w:t>60</w:t>
            </w:r>
            <w:r>
              <w:rPr>
                <w:rFonts w:hint="eastAsia"/>
                <w:sz w:val="18"/>
              </w:rPr>
              <w:t>％</w:t>
            </w:r>
          </w:p>
        </w:tc>
        <w:tc>
          <w:tcPr>
            <w:tcW w:w="755" w:type="pct"/>
          </w:tcPr>
          <w:p w:rsidR="00000000" w:rsidRDefault="00CA422F">
            <w:pPr>
              <w:spacing w:line="360" w:lineRule="atLeast"/>
              <w:jc w:val="center"/>
              <w:rPr>
                <w:rFonts w:hint="eastAsia"/>
                <w:sz w:val="18"/>
              </w:rPr>
            </w:pPr>
            <w:r>
              <w:rPr>
                <w:rFonts w:hint="eastAsia"/>
                <w:sz w:val="18"/>
              </w:rPr>
              <w:t>40</w:t>
            </w:r>
            <w:r>
              <w:rPr>
                <w:rFonts w:hint="eastAsia"/>
                <w:sz w:val="18"/>
              </w:rPr>
              <w:t>％</w:t>
            </w:r>
          </w:p>
        </w:tc>
        <w:tc>
          <w:tcPr>
            <w:tcW w:w="770" w:type="pct"/>
          </w:tcPr>
          <w:p w:rsidR="00000000" w:rsidRDefault="00CA422F">
            <w:pPr>
              <w:spacing w:line="360" w:lineRule="atLeast"/>
              <w:jc w:val="center"/>
              <w:rPr>
                <w:rFonts w:hint="eastAsia"/>
                <w:sz w:val="18"/>
              </w:rPr>
            </w:pPr>
            <w:r>
              <w:rPr>
                <w:rFonts w:hint="eastAsia"/>
                <w:sz w:val="18"/>
              </w:rPr>
              <w:t>60</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40</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哥斯达黎加上下水道协会</w:t>
            </w:r>
          </w:p>
        </w:tc>
        <w:tc>
          <w:tcPr>
            <w:tcW w:w="785" w:type="pct"/>
          </w:tcPr>
          <w:p w:rsidR="00000000" w:rsidRDefault="00CA422F">
            <w:pPr>
              <w:spacing w:line="360" w:lineRule="atLeast"/>
              <w:jc w:val="center"/>
              <w:rPr>
                <w:rFonts w:hint="eastAsia"/>
                <w:sz w:val="18"/>
              </w:rPr>
            </w:pPr>
            <w:r>
              <w:rPr>
                <w:rFonts w:hint="eastAsia"/>
                <w:sz w:val="18"/>
              </w:rPr>
              <w:t>100</w:t>
            </w:r>
            <w:r>
              <w:rPr>
                <w:rFonts w:hint="eastAsia"/>
                <w:sz w:val="18"/>
              </w:rPr>
              <w:t>％</w:t>
            </w:r>
          </w:p>
        </w:tc>
        <w:tc>
          <w:tcPr>
            <w:tcW w:w="755" w:type="pct"/>
          </w:tcPr>
          <w:p w:rsidR="00000000" w:rsidRDefault="00CA422F">
            <w:pPr>
              <w:spacing w:line="360" w:lineRule="atLeast"/>
              <w:jc w:val="center"/>
              <w:rPr>
                <w:rFonts w:hint="eastAsia"/>
                <w:sz w:val="18"/>
              </w:rPr>
            </w:pPr>
            <w:r>
              <w:rPr>
                <w:rFonts w:hint="eastAsia"/>
                <w:sz w:val="18"/>
              </w:rPr>
              <w:t>0</w:t>
            </w:r>
            <w:r>
              <w:rPr>
                <w:rFonts w:hint="eastAsia"/>
                <w:sz w:val="18"/>
              </w:rPr>
              <w:t>％</w:t>
            </w:r>
          </w:p>
        </w:tc>
        <w:tc>
          <w:tcPr>
            <w:tcW w:w="770" w:type="pct"/>
          </w:tcPr>
          <w:p w:rsidR="00000000" w:rsidRDefault="00CA422F">
            <w:pPr>
              <w:spacing w:line="360" w:lineRule="atLeast"/>
              <w:jc w:val="center"/>
              <w:rPr>
                <w:rFonts w:hint="eastAsia"/>
                <w:sz w:val="18"/>
              </w:rPr>
            </w:pP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哥斯达黎加中央银行</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rPr>
            </w:pPr>
            <w:r>
              <w:rPr>
                <w:rFonts w:hint="eastAsia"/>
                <w:sz w:val="18"/>
              </w:rPr>
              <w:t>86</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14</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卡塔戈农业信贷银行</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rPr>
            </w:pPr>
            <w:r>
              <w:rPr>
                <w:rFonts w:hint="eastAsia"/>
                <w:sz w:val="18"/>
              </w:rPr>
              <w:t>86</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14</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哥斯达黎加银行</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rPr>
            </w:pPr>
            <w:r>
              <w:rPr>
                <w:rFonts w:hint="eastAsia"/>
                <w:sz w:val="18"/>
              </w:rPr>
              <w:t>71</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29</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国家银行</w:t>
            </w:r>
          </w:p>
        </w:tc>
        <w:tc>
          <w:tcPr>
            <w:tcW w:w="785" w:type="pct"/>
          </w:tcPr>
          <w:p w:rsidR="00000000" w:rsidRDefault="00CA422F">
            <w:pPr>
              <w:spacing w:line="360" w:lineRule="atLeast"/>
              <w:jc w:val="center"/>
              <w:rPr>
                <w:rFonts w:hint="eastAsia"/>
                <w:sz w:val="18"/>
              </w:rPr>
            </w:pPr>
            <w:r>
              <w:rPr>
                <w:rFonts w:hint="eastAsia"/>
                <w:sz w:val="18"/>
              </w:rPr>
              <w:t>100</w:t>
            </w:r>
            <w:r>
              <w:rPr>
                <w:rFonts w:hint="eastAsia"/>
                <w:sz w:val="18"/>
              </w:rPr>
              <w:t>％</w:t>
            </w:r>
          </w:p>
        </w:tc>
        <w:tc>
          <w:tcPr>
            <w:tcW w:w="755" w:type="pct"/>
          </w:tcPr>
          <w:p w:rsidR="00000000" w:rsidRDefault="00CA422F">
            <w:pPr>
              <w:spacing w:line="360" w:lineRule="atLeast"/>
              <w:jc w:val="center"/>
              <w:rPr>
                <w:rFonts w:hint="eastAsia"/>
                <w:sz w:val="18"/>
              </w:rPr>
            </w:pPr>
            <w:r>
              <w:rPr>
                <w:rFonts w:hint="eastAsia"/>
                <w:sz w:val="18"/>
              </w:rPr>
              <w:t>0</w:t>
            </w:r>
            <w:r>
              <w:rPr>
                <w:rFonts w:hint="eastAsia"/>
                <w:sz w:val="18"/>
              </w:rPr>
              <w:t>％</w:t>
            </w:r>
          </w:p>
        </w:tc>
        <w:tc>
          <w:tcPr>
            <w:tcW w:w="770" w:type="pct"/>
          </w:tcPr>
          <w:p w:rsidR="00000000" w:rsidRDefault="00CA422F">
            <w:pPr>
              <w:spacing w:line="360" w:lineRule="atLeast"/>
              <w:jc w:val="center"/>
              <w:rPr>
                <w:rFonts w:hint="eastAsia"/>
                <w:sz w:val="18"/>
              </w:rPr>
            </w:pPr>
            <w:r>
              <w:rPr>
                <w:rFonts w:hint="eastAsia"/>
                <w:sz w:val="18"/>
              </w:rPr>
              <w:t>87.5</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12.5</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住宅抵押银行</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rPr>
            </w:pPr>
            <w:r>
              <w:rPr>
                <w:rFonts w:hint="eastAsia"/>
                <w:sz w:val="18"/>
              </w:rPr>
              <w:t>100</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0</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哥斯达黎加社会保险公司</w:t>
            </w:r>
          </w:p>
        </w:tc>
        <w:tc>
          <w:tcPr>
            <w:tcW w:w="785" w:type="pct"/>
          </w:tcPr>
          <w:p w:rsidR="00000000" w:rsidRDefault="00CA422F">
            <w:pPr>
              <w:spacing w:line="360" w:lineRule="atLeast"/>
              <w:jc w:val="center"/>
              <w:rPr>
                <w:rFonts w:hint="eastAsia"/>
                <w:sz w:val="18"/>
              </w:rPr>
            </w:pPr>
            <w:r>
              <w:rPr>
                <w:rFonts w:hint="eastAsia"/>
                <w:sz w:val="18"/>
              </w:rPr>
              <w:t>100</w:t>
            </w:r>
            <w:r>
              <w:rPr>
                <w:rFonts w:hint="eastAsia"/>
                <w:sz w:val="18"/>
              </w:rPr>
              <w:t>％</w:t>
            </w:r>
          </w:p>
        </w:tc>
        <w:tc>
          <w:tcPr>
            <w:tcW w:w="755" w:type="pct"/>
          </w:tcPr>
          <w:p w:rsidR="00000000" w:rsidRDefault="00CA422F">
            <w:pPr>
              <w:spacing w:line="360" w:lineRule="atLeast"/>
              <w:jc w:val="center"/>
              <w:rPr>
                <w:rFonts w:hint="eastAsia"/>
                <w:sz w:val="18"/>
              </w:rPr>
            </w:pPr>
            <w:r>
              <w:rPr>
                <w:rFonts w:hint="eastAsia"/>
                <w:sz w:val="18"/>
              </w:rPr>
              <w:t>0</w:t>
            </w:r>
            <w:r>
              <w:rPr>
                <w:rFonts w:hint="eastAsia"/>
                <w:sz w:val="18"/>
              </w:rPr>
              <w:t>％</w:t>
            </w:r>
          </w:p>
        </w:tc>
        <w:tc>
          <w:tcPr>
            <w:tcW w:w="770" w:type="pct"/>
          </w:tcPr>
          <w:p w:rsidR="00000000" w:rsidRDefault="00CA422F">
            <w:pPr>
              <w:spacing w:line="360" w:lineRule="atLeast"/>
              <w:jc w:val="center"/>
              <w:rPr>
                <w:rFonts w:hint="eastAsia"/>
                <w:sz w:val="18"/>
              </w:rPr>
            </w:pPr>
            <w:r>
              <w:rPr>
                <w:rFonts w:hint="eastAsia"/>
                <w:sz w:val="18"/>
              </w:rPr>
              <w:t>87.5</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12.5</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国家能源委员会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rPr>
            </w:pPr>
            <w:r>
              <w:rPr>
                <w:rFonts w:hint="eastAsia"/>
                <w:sz w:val="18"/>
              </w:rPr>
              <w:t>67%</w:t>
            </w:r>
          </w:p>
        </w:tc>
        <w:tc>
          <w:tcPr>
            <w:tcW w:w="779" w:type="pct"/>
          </w:tcPr>
          <w:p w:rsidR="00000000" w:rsidRDefault="00CA422F">
            <w:pPr>
              <w:spacing w:line="360" w:lineRule="atLeast"/>
              <w:jc w:val="center"/>
              <w:rPr>
                <w:rFonts w:hint="eastAsia"/>
                <w:sz w:val="18"/>
              </w:rPr>
            </w:pPr>
            <w:r>
              <w:rPr>
                <w:rFonts w:hint="eastAsia"/>
                <w:sz w:val="18"/>
              </w:rPr>
              <w:t>33</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国家生产总局</w:t>
            </w:r>
          </w:p>
        </w:tc>
        <w:tc>
          <w:tcPr>
            <w:tcW w:w="785" w:type="pct"/>
          </w:tcPr>
          <w:p w:rsidR="00000000" w:rsidRDefault="00CA422F">
            <w:pPr>
              <w:spacing w:line="360" w:lineRule="atLeast"/>
              <w:jc w:val="center"/>
              <w:rPr>
                <w:rFonts w:hint="eastAsia"/>
                <w:sz w:val="18"/>
              </w:rPr>
            </w:pPr>
            <w:r>
              <w:rPr>
                <w:rFonts w:hint="eastAsia"/>
                <w:sz w:val="18"/>
              </w:rPr>
              <w:t>100</w:t>
            </w:r>
            <w:r>
              <w:rPr>
                <w:rFonts w:hint="eastAsia"/>
                <w:sz w:val="18"/>
              </w:rPr>
              <w:t>％</w:t>
            </w:r>
          </w:p>
        </w:tc>
        <w:tc>
          <w:tcPr>
            <w:tcW w:w="755" w:type="pct"/>
          </w:tcPr>
          <w:p w:rsidR="00000000" w:rsidRDefault="00CA422F">
            <w:pPr>
              <w:spacing w:line="360" w:lineRule="atLeast"/>
              <w:jc w:val="center"/>
              <w:rPr>
                <w:rFonts w:hint="eastAsia"/>
                <w:sz w:val="18"/>
              </w:rPr>
            </w:pPr>
            <w:r>
              <w:rPr>
                <w:rFonts w:hint="eastAsia"/>
                <w:sz w:val="18"/>
              </w:rPr>
              <w:t>0</w:t>
            </w:r>
            <w:r>
              <w:rPr>
                <w:rFonts w:hint="eastAsia"/>
                <w:sz w:val="18"/>
              </w:rPr>
              <w:t>％</w:t>
            </w:r>
          </w:p>
        </w:tc>
        <w:tc>
          <w:tcPr>
            <w:tcW w:w="770" w:type="pct"/>
          </w:tcPr>
          <w:p w:rsidR="00000000" w:rsidRDefault="00CA422F">
            <w:pPr>
              <w:spacing w:line="360" w:lineRule="atLeast"/>
              <w:jc w:val="center"/>
              <w:rPr>
                <w:rFonts w:hint="eastAsia"/>
                <w:sz w:val="18"/>
              </w:rPr>
            </w:pPr>
            <w:r>
              <w:rPr>
                <w:rFonts w:hint="eastAsia"/>
                <w:sz w:val="18"/>
              </w:rPr>
              <w:t>100</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0</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国家科学技术委员会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rPr>
            </w:pPr>
            <w:r>
              <w:rPr>
                <w:rFonts w:hint="eastAsia"/>
                <w:sz w:val="18"/>
              </w:rPr>
              <w:t>100</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0</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哥斯达黎加邮政总局</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rPr>
            </w:pPr>
            <w:r>
              <w:rPr>
                <w:rFonts w:hint="eastAsia"/>
                <w:sz w:val="18"/>
              </w:rPr>
              <w:t>60</w:t>
            </w:r>
            <w:r>
              <w:rPr>
                <w:rFonts w:hint="eastAsia"/>
                <w:sz w:val="18"/>
              </w:rPr>
              <w:t>％</w:t>
            </w:r>
          </w:p>
        </w:tc>
        <w:tc>
          <w:tcPr>
            <w:tcW w:w="779" w:type="pct"/>
          </w:tcPr>
          <w:p w:rsidR="00000000" w:rsidRDefault="00CA422F">
            <w:pPr>
              <w:spacing w:line="360" w:lineRule="atLeast"/>
              <w:jc w:val="center"/>
              <w:rPr>
                <w:rFonts w:hint="eastAsia"/>
                <w:sz w:val="18"/>
              </w:rPr>
            </w:pPr>
            <w:r>
              <w:rPr>
                <w:rFonts w:hint="eastAsia"/>
                <w:sz w:val="18"/>
              </w:rPr>
              <w:t>40</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国家共同发展领导总局</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50%</w:t>
            </w:r>
          </w:p>
        </w:tc>
        <w:tc>
          <w:tcPr>
            <w:tcW w:w="779" w:type="pct"/>
          </w:tcPr>
          <w:p w:rsidR="00000000" w:rsidRDefault="00CA422F">
            <w:pPr>
              <w:spacing w:line="360" w:lineRule="atLeast"/>
              <w:jc w:val="center"/>
              <w:rPr>
                <w:rFonts w:hint="eastAsia"/>
                <w:sz w:val="18"/>
                <w:lang w:val="es-ES"/>
              </w:rPr>
            </w:pPr>
            <w:r>
              <w:rPr>
                <w:rFonts w:hint="eastAsia"/>
                <w:sz w:val="18"/>
                <w:lang w:val="es-ES"/>
              </w:rPr>
              <w:t>50%</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哥斯达黎加上下水道协会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100%</w:t>
            </w:r>
          </w:p>
        </w:tc>
        <w:tc>
          <w:tcPr>
            <w:tcW w:w="779" w:type="pct"/>
          </w:tcPr>
          <w:p w:rsidR="00000000" w:rsidRDefault="00CA422F">
            <w:pPr>
              <w:spacing w:line="360" w:lineRule="atLeast"/>
              <w:jc w:val="center"/>
              <w:rPr>
                <w:rFonts w:hint="eastAsia"/>
                <w:sz w:val="18"/>
                <w:lang w:val="es-ES"/>
              </w:rPr>
            </w:pPr>
            <w:r>
              <w:rPr>
                <w:rFonts w:hint="eastAsia"/>
                <w:sz w:val="18"/>
                <w:lang w:val="es-ES"/>
              </w:rPr>
              <w:t>0%</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哥斯达黎加电力协会</w:t>
            </w:r>
          </w:p>
        </w:tc>
        <w:tc>
          <w:tcPr>
            <w:tcW w:w="785" w:type="pct"/>
          </w:tcPr>
          <w:p w:rsidR="00000000" w:rsidRDefault="00CA422F">
            <w:pPr>
              <w:spacing w:line="360" w:lineRule="atLeast"/>
              <w:jc w:val="center"/>
              <w:rPr>
                <w:rFonts w:hint="eastAsia"/>
                <w:sz w:val="18"/>
                <w:lang w:val="es-ES"/>
              </w:rPr>
            </w:pPr>
            <w:r>
              <w:rPr>
                <w:rFonts w:hint="eastAsia"/>
                <w:sz w:val="18"/>
                <w:lang w:val="es-ES"/>
              </w:rPr>
              <w:t>100%</w:t>
            </w:r>
          </w:p>
        </w:tc>
        <w:tc>
          <w:tcPr>
            <w:tcW w:w="755" w:type="pct"/>
          </w:tcPr>
          <w:p w:rsidR="00000000" w:rsidRDefault="00CA422F">
            <w:pPr>
              <w:spacing w:line="360" w:lineRule="atLeast"/>
              <w:jc w:val="center"/>
              <w:rPr>
                <w:rFonts w:hint="eastAsia"/>
                <w:sz w:val="18"/>
                <w:lang w:val="es-ES"/>
              </w:rPr>
            </w:pPr>
            <w:r>
              <w:rPr>
                <w:rFonts w:hint="eastAsia"/>
                <w:sz w:val="18"/>
                <w:lang w:val="es-ES"/>
              </w:rPr>
              <w:t>0%</w:t>
            </w:r>
          </w:p>
        </w:tc>
        <w:tc>
          <w:tcPr>
            <w:tcW w:w="770" w:type="pct"/>
          </w:tcPr>
          <w:p w:rsidR="00000000" w:rsidRDefault="00CA422F">
            <w:pPr>
              <w:spacing w:line="360" w:lineRule="atLeast"/>
              <w:jc w:val="center"/>
              <w:rPr>
                <w:rFonts w:hint="eastAsia"/>
                <w:sz w:val="18"/>
                <w:lang w:val="es-ES"/>
              </w:rPr>
            </w:pPr>
            <w:r>
              <w:rPr>
                <w:rFonts w:hint="eastAsia"/>
                <w:sz w:val="18"/>
                <w:lang w:val="es-ES"/>
              </w:rPr>
              <w:t>100%</w:t>
            </w:r>
          </w:p>
        </w:tc>
        <w:tc>
          <w:tcPr>
            <w:tcW w:w="779" w:type="pct"/>
          </w:tcPr>
          <w:p w:rsidR="00000000" w:rsidRDefault="00CA422F">
            <w:pPr>
              <w:spacing w:line="360" w:lineRule="atLeast"/>
              <w:jc w:val="center"/>
              <w:rPr>
                <w:rFonts w:hint="eastAsia"/>
                <w:sz w:val="18"/>
                <w:lang w:val="es-ES"/>
              </w:rPr>
            </w:pPr>
            <w:r>
              <w:rPr>
                <w:rFonts w:hint="eastAsia"/>
                <w:sz w:val="18"/>
                <w:lang w:val="es-ES"/>
              </w:rPr>
              <w:t>0%</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体育和娱乐协会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86</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14</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哥斯达黎加旅游协会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86</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14</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农业发展研究院</w:t>
            </w:r>
          </w:p>
        </w:tc>
        <w:tc>
          <w:tcPr>
            <w:tcW w:w="785" w:type="pct"/>
          </w:tcPr>
          <w:p w:rsidR="00000000" w:rsidRDefault="00CA422F">
            <w:pPr>
              <w:spacing w:line="360" w:lineRule="atLeast"/>
              <w:jc w:val="center"/>
              <w:rPr>
                <w:rFonts w:hint="eastAsia"/>
                <w:sz w:val="18"/>
                <w:lang w:val="es-ES"/>
              </w:rPr>
            </w:pPr>
            <w:r>
              <w:rPr>
                <w:rFonts w:hint="eastAsia"/>
                <w:sz w:val="18"/>
                <w:lang w:val="es-ES"/>
              </w:rPr>
              <w:t>85.7</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14.3</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市政咨</w:t>
            </w:r>
            <w:r>
              <w:rPr>
                <w:rFonts w:hint="eastAsia"/>
                <w:sz w:val="18"/>
                <w:lang w:val="es-ES"/>
              </w:rPr>
              <w:t>询和促进发展协会</w:t>
            </w:r>
          </w:p>
        </w:tc>
        <w:tc>
          <w:tcPr>
            <w:tcW w:w="785" w:type="pct"/>
          </w:tcPr>
          <w:p w:rsidR="00000000" w:rsidRDefault="00CA422F">
            <w:pPr>
              <w:spacing w:line="360" w:lineRule="atLeast"/>
              <w:jc w:val="center"/>
              <w:rPr>
                <w:rFonts w:hint="eastAsia"/>
                <w:sz w:val="18"/>
                <w:lang w:val="es-ES"/>
              </w:rPr>
            </w:pPr>
            <w:r>
              <w:rPr>
                <w:rFonts w:hint="eastAsia"/>
                <w:sz w:val="18"/>
                <w:lang w:val="es-ES"/>
              </w:rPr>
              <w:t>85.7</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14.3</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71</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29</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社会援助联合研究所</w:t>
            </w:r>
          </w:p>
        </w:tc>
        <w:tc>
          <w:tcPr>
            <w:tcW w:w="785" w:type="pct"/>
          </w:tcPr>
          <w:p w:rsidR="00000000" w:rsidRDefault="00CA422F">
            <w:pPr>
              <w:spacing w:line="360" w:lineRule="atLeast"/>
              <w:jc w:val="center"/>
              <w:rPr>
                <w:rFonts w:hint="eastAsia"/>
                <w:sz w:val="18"/>
                <w:lang w:val="es-ES"/>
              </w:rPr>
            </w:pPr>
            <w:r>
              <w:rPr>
                <w:rFonts w:hint="eastAsia"/>
                <w:sz w:val="18"/>
                <w:lang w:val="es-ES"/>
              </w:rPr>
              <w:t>40</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60</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29</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71</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国家职业学院</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78</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22</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国家妇女研究所</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哥斯达黎加铁路协会</w:t>
            </w:r>
          </w:p>
        </w:tc>
        <w:tc>
          <w:tcPr>
            <w:tcW w:w="785" w:type="pct"/>
          </w:tcPr>
          <w:p w:rsidR="00000000" w:rsidRDefault="00CA422F">
            <w:pPr>
              <w:spacing w:line="360" w:lineRule="atLeast"/>
              <w:jc w:val="center"/>
              <w:rPr>
                <w:rFonts w:hint="eastAsia"/>
                <w:sz w:val="18"/>
                <w:lang w:val="es-ES"/>
              </w:rPr>
            </w:pPr>
            <w:r>
              <w:rPr>
                <w:rFonts w:hint="eastAsia"/>
                <w:sz w:val="18"/>
                <w:lang w:val="es-ES"/>
              </w:rPr>
              <w:t>71.4</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28.6</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哥斯达黎加渔业和农业协会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91</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9</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国家人口普查和统计协会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国家合作化运动促进协会</w:t>
            </w:r>
          </w:p>
        </w:tc>
        <w:tc>
          <w:tcPr>
            <w:tcW w:w="785" w:type="pct"/>
          </w:tcPr>
          <w:p w:rsidR="00000000" w:rsidRDefault="00CA422F">
            <w:pPr>
              <w:spacing w:line="360" w:lineRule="atLeast"/>
              <w:jc w:val="center"/>
              <w:rPr>
                <w:rFonts w:hint="eastAsia"/>
                <w:sz w:val="18"/>
                <w:lang w:val="es-ES"/>
              </w:rPr>
            </w:pPr>
            <w:r>
              <w:rPr>
                <w:rFonts w:hint="eastAsia"/>
                <w:sz w:val="18"/>
                <w:lang w:val="es-ES"/>
              </w:rPr>
              <w:t>85.7</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14.3</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全国保险委员会</w:t>
            </w:r>
          </w:p>
        </w:tc>
        <w:tc>
          <w:tcPr>
            <w:tcW w:w="785" w:type="pct"/>
          </w:tcPr>
          <w:p w:rsidR="00000000" w:rsidRDefault="00CA422F">
            <w:pPr>
              <w:spacing w:line="360" w:lineRule="atLeast"/>
              <w:jc w:val="center"/>
              <w:rPr>
                <w:rFonts w:hint="eastAsia"/>
                <w:sz w:val="18"/>
                <w:lang w:val="es-ES"/>
              </w:rPr>
            </w:pPr>
            <w:r>
              <w:rPr>
                <w:rFonts w:hint="eastAsia"/>
                <w:sz w:val="18"/>
                <w:lang w:val="es-ES"/>
              </w:rPr>
              <w:t>90</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10</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86</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14</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哥斯达黎加太平洋港口协会</w:t>
            </w:r>
          </w:p>
        </w:tc>
        <w:tc>
          <w:tcPr>
            <w:tcW w:w="785" w:type="pct"/>
          </w:tcPr>
          <w:p w:rsidR="00000000" w:rsidRDefault="00CA422F">
            <w:pPr>
              <w:pStyle w:val="Header"/>
              <w:pBdr>
                <w:bottom w:val="none" w:sz="0" w:space="0" w:color="auto"/>
              </w:pBdr>
              <w:tabs>
                <w:tab w:val="clear" w:pos="4320"/>
                <w:tab w:val="clear" w:pos="8640"/>
              </w:tabs>
              <w:spacing w:line="360" w:lineRule="atLeast"/>
              <w:rPr>
                <w:rFonts w:hint="eastAsia"/>
                <w:lang w:val="es-ES"/>
              </w:rPr>
            </w:pPr>
            <w:r>
              <w:rPr>
                <w:rFonts w:hint="eastAsia"/>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57</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43</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rPr>
              <w:t>国家市政规划和住宅建设协会</w:t>
            </w:r>
          </w:p>
        </w:tc>
        <w:tc>
          <w:tcPr>
            <w:tcW w:w="785"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大西洋沿岸港口管理与经济发展委员会</w:t>
            </w:r>
          </w:p>
        </w:tc>
        <w:tc>
          <w:tcPr>
            <w:tcW w:w="785" w:type="pct"/>
          </w:tcPr>
          <w:p w:rsidR="00000000" w:rsidRDefault="00CA422F">
            <w:pPr>
              <w:spacing w:line="360" w:lineRule="atLeast"/>
              <w:jc w:val="cente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86</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14</w:t>
            </w:r>
            <w:r>
              <w:rPr>
                <w:rFonts w:hint="eastAsia"/>
                <w:sz w:val="18"/>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rPr>
            </w:pPr>
            <w:r>
              <w:rPr>
                <w:rFonts w:hint="eastAsia"/>
                <w:sz w:val="18"/>
              </w:rPr>
              <w:t>JUNTA PROT. SOCIAL</w:t>
            </w:r>
          </w:p>
        </w:tc>
        <w:tc>
          <w:tcPr>
            <w:tcW w:w="785" w:type="pct"/>
          </w:tcPr>
          <w:p w:rsidR="00000000" w:rsidRDefault="00CA422F">
            <w:pPr>
              <w:spacing w:line="360" w:lineRule="atLeast"/>
              <w:jc w:val="center"/>
              <w:rPr>
                <w:rFonts w:hint="eastAsia"/>
                <w:sz w:val="18"/>
                <w:lang w:val="es-ES"/>
              </w:rPr>
            </w:pPr>
            <w:r>
              <w:rPr>
                <w:rFonts w:hint="eastAsia"/>
                <w:sz w:val="18"/>
                <w:lang w:val="es-ES"/>
              </w:rPr>
              <w:t>60</w:t>
            </w:r>
            <w:r>
              <w:rPr>
                <w:rFonts w:hint="eastAsia"/>
                <w:sz w:val="18"/>
              </w:rPr>
              <w:t>％</w:t>
            </w:r>
          </w:p>
        </w:tc>
        <w:tc>
          <w:tcPr>
            <w:tcW w:w="755" w:type="pct"/>
          </w:tcPr>
          <w:p w:rsidR="00000000" w:rsidRDefault="00CA422F">
            <w:pPr>
              <w:spacing w:line="360" w:lineRule="atLeast"/>
              <w:jc w:val="center"/>
              <w:rPr>
                <w:rFonts w:hint="eastAsia"/>
                <w:sz w:val="18"/>
                <w:lang w:val="es-ES"/>
              </w:rPr>
            </w:pPr>
            <w:r>
              <w:rPr>
                <w:rFonts w:hint="eastAsia"/>
                <w:sz w:val="18"/>
                <w:lang w:val="es-ES"/>
              </w:rPr>
              <w:t>40</w:t>
            </w:r>
            <w:r>
              <w:rPr>
                <w:rFonts w:hint="eastAsia"/>
                <w:sz w:val="18"/>
              </w:rPr>
              <w:t>％</w:t>
            </w:r>
          </w:p>
        </w:tc>
        <w:tc>
          <w:tcPr>
            <w:tcW w:w="770" w:type="pct"/>
          </w:tcPr>
          <w:p w:rsidR="00000000" w:rsidRDefault="00CA422F">
            <w:pPr>
              <w:spacing w:line="360" w:lineRule="atLeast"/>
              <w:jc w:val="center"/>
              <w:rPr>
                <w:rFonts w:hint="eastAsia"/>
                <w:sz w:val="18"/>
                <w:lang w:val="es-ES"/>
              </w:rPr>
            </w:pPr>
            <w:r>
              <w:rPr>
                <w:rFonts w:hint="eastAsia"/>
                <w:sz w:val="18"/>
                <w:lang w:val="es-ES"/>
              </w:rPr>
              <w:t>50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50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国家儿童慈善会</w:t>
            </w:r>
          </w:p>
        </w:tc>
        <w:tc>
          <w:tcPr>
            <w:tcW w:w="785"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哥斯达黎加石油炼造公司</w:t>
            </w:r>
          </w:p>
        </w:tc>
        <w:tc>
          <w:tcPr>
            <w:tcW w:w="785" w:type="pct"/>
          </w:tcPr>
          <w:p w:rsidR="00000000" w:rsidRDefault="00CA422F">
            <w:pPr>
              <w:spacing w:line="360" w:lineRule="atLeast"/>
              <w:jc w:val="center"/>
              <w:rPr>
                <w:rFonts w:hint="eastAsia"/>
                <w:sz w:val="18"/>
                <w:lang w:val="es-ES"/>
              </w:rPr>
            </w:pPr>
            <w:r>
              <w:rPr>
                <w:rFonts w:hint="eastAsia"/>
                <w:sz w:val="18"/>
                <w:lang w:val="es-ES"/>
              </w:rPr>
              <w:t>71.4</w:t>
            </w:r>
            <w:r>
              <w:rPr>
                <w:rFonts w:hint="eastAsia"/>
                <w:sz w:val="18"/>
                <w:lang w:val="es-ES"/>
              </w:rPr>
              <w:t>％</w:t>
            </w:r>
          </w:p>
        </w:tc>
        <w:tc>
          <w:tcPr>
            <w:tcW w:w="755" w:type="pct"/>
          </w:tcPr>
          <w:p w:rsidR="00000000" w:rsidRDefault="00CA422F">
            <w:pPr>
              <w:spacing w:line="360" w:lineRule="atLeast"/>
              <w:jc w:val="center"/>
              <w:rPr>
                <w:rFonts w:hint="eastAsia"/>
                <w:sz w:val="18"/>
                <w:lang w:val="es-ES"/>
              </w:rPr>
            </w:pPr>
            <w:r>
              <w:rPr>
                <w:rFonts w:hint="eastAsia"/>
                <w:sz w:val="18"/>
                <w:lang w:val="es-ES"/>
              </w:rPr>
              <w:t>28.6</w:t>
            </w: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86%</w:t>
            </w:r>
          </w:p>
        </w:tc>
        <w:tc>
          <w:tcPr>
            <w:tcW w:w="779" w:type="pct"/>
          </w:tcPr>
          <w:p w:rsidR="00000000" w:rsidRDefault="00CA422F">
            <w:pPr>
              <w:spacing w:line="360" w:lineRule="atLeast"/>
              <w:jc w:val="center"/>
              <w:rPr>
                <w:rFonts w:hint="eastAsia"/>
                <w:sz w:val="18"/>
                <w:lang w:val="es-ES"/>
              </w:rPr>
            </w:pPr>
            <w:r>
              <w:rPr>
                <w:rFonts w:hint="eastAsia"/>
                <w:sz w:val="18"/>
                <w:lang w:val="es-ES"/>
              </w:rPr>
              <w:t>14%</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国家地下水、灌溉和排水服务</w:t>
            </w:r>
          </w:p>
        </w:tc>
        <w:tc>
          <w:tcPr>
            <w:tcW w:w="785" w:type="pct"/>
          </w:tcPr>
          <w:p w:rsidR="00000000" w:rsidRDefault="00CA422F">
            <w:pPr>
              <w:pStyle w:val="Header"/>
              <w:pBdr>
                <w:bottom w:val="none" w:sz="0" w:space="0" w:color="auto"/>
              </w:pBdr>
              <w:tabs>
                <w:tab w:val="clear" w:pos="4320"/>
                <w:tab w:val="clear" w:pos="8640"/>
              </w:tabs>
              <w:spacing w:line="360" w:lineRule="atLeast"/>
              <w:rPr>
                <w:rFonts w:hint="eastAsia"/>
                <w:lang w:val="es-ES"/>
              </w:rPr>
            </w:pPr>
            <w:r>
              <w:rPr>
                <w:rFonts w:hint="eastAsia"/>
                <w:lang w:val="es-ES"/>
              </w:rPr>
              <w:t>*</w:t>
            </w:r>
          </w:p>
        </w:tc>
        <w:tc>
          <w:tcPr>
            <w:tcW w:w="755" w:type="pct"/>
          </w:tcPr>
          <w:p w:rsidR="00000000" w:rsidRDefault="00CA422F">
            <w:pPr>
              <w:pStyle w:val="Header"/>
              <w:pBdr>
                <w:bottom w:val="none" w:sz="0" w:space="0" w:color="auto"/>
              </w:pBdr>
              <w:tabs>
                <w:tab w:val="clear" w:pos="4320"/>
                <w:tab w:val="clear" w:pos="8640"/>
              </w:tabs>
              <w:spacing w:line="360" w:lineRule="atLeast"/>
              <w:rPr>
                <w:lang w:val="es-ES"/>
              </w:rPr>
            </w:pPr>
            <w:r>
              <w:rPr>
                <w:rFonts w:hint="eastAsia"/>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100</w:t>
            </w:r>
            <w:r>
              <w:rPr>
                <w:rFonts w:hint="eastAsia"/>
                <w:sz w:val="18"/>
                <w:lang w:val="es-ES"/>
              </w:rPr>
              <w:t>％</w:t>
            </w:r>
          </w:p>
        </w:tc>
        <w:tc>
          <w:tcPr>
            <w:tcW w:w="779" w:type="pct"/>
          </w:tcPr>
          <w:p w:rsidR="00000000" w:rsidRDefault="00CA422F">
            <w:pPr>
              <w:spacing w:line="360" w:lineRule="atLeast"/>
              <w:jc w:val="center"/>
              <w:rPr>
                <w:rFonts w:hint="eastAsia"/>
                <w:sz w:val="18"/>
                <w:lang w:val="es-ES"/>
              </w:rPr>
            </w:pPr>
            <w:r>
              <w:rPr>
                <w:rFonts w:hint="eastAsia"/>
                <w:sz w:val="18"/>
                <w:lang w:val="es-ES"/>
              </w:rPr>
              <w:t>0</w:t>
            </w:r>
            <w:r>
              <w:rPr>
                <w:rFonts w:hint="eastAsia"/>
                <w:sz w:val="18"/>
                <w:lang w:val="es-ES"/>
              </w:rPr>
              <w:t>％</w:t>
            </w:r>
          </w:p>
        </w:tc>
      </w:tr>
      <w:tr w:rsidR="00000000">
        <w:tblPrEx>
          <w:tblCellMar>
            <w:top w:w="0" w:type="dxa"/>
            <w:bottom w:w="0" w:type="dxa"/>
          </w:tblCellMar>
        </w:tblPrEx>
        <w:tc>
          <w:tcPr>
            <w:tcW w:w="1911" w:type="pct"/>
          </w:tcPr>
          <w:p w:rsidR="00000000" w:rsidRDefault="00CA422F">
            <w:pPr>
              <w:spacing w:line="360" w:lineRule="atLeast"/>
              <w:rPr>
                <w:rFonts w:hint="eastAsia"/>
                <w:sz w:val="18"/>
                <w:lang w:val="es-ES"/>
              </w:rPr>
            </w:pPr>
            <w:r>
              <w:rPr>
                <w:rFonts w:hint="eastAsia"/>
                <w:sz w:val="18"/>
                <w:lang w:val="es-ES"/>
              </w:rPr>
              <w:t>广播电视系统</w:t>
            </w:r>
          </w:p>
        </w:tc>
        <w:tc>
          <w:tcPr>
            <w:tcW w:w="785" w:type="pct"/>
          </w:tcPr>
          <w:p w:rsidR="00000000" w:rsidRDefault="00CA422F">
            <w:pPr>
              <w:spacing w:line="360" w:lineRule="atLeast"/>
              <w:jc w:val="center"/>
              <w:rPr>
                <w:rFonts w:hint="eastAsia"/>
                <w:sz w:val="18"/>
                <w:lang w:val="es-ES"/>
              </w:rPr>
            </w:pPr>
            <w:r>
              <w:rPr>
                <w:rFonts w:hint="eastAsia"/>
                <w:sz w:val="18"/>
                <w:lang w:val="es-ES"/>
              </w:rPr>
              <w:t>*</w:t>
            </w:r>
          </w:p>
        </w:tc>
        <w:tc>
          <w:tcPr>
            <w:tcW w:w="755" w:type="pct"/>
          </w:tcPr>
          <w:p w:rsidR="00000000" w:rsidRDefault="00CA422F">
            <w:pPr>
              <w:spacing w:line="360" w:lineRule="atLeast"/>
              <w:jc w:val="center"/>
            </w:pPr>
            <w:r>
              <w:rPr>
                <w:rFonts w:hint="eastAsia"/>
                <w:sz w:val="18"/>
                <w:lang w:val="es-ES"/>
              </w:rPr>
              <w:t>*</w:t>
            </w:r>
          </w:p>
        </w:tc>
        <w:tc>
          <w:tcPr>
            <w:tcW w:w="770" w:type="pct"/>
          </w:tcPr>
          <w:p w:rsidR="00000000" w:rsidRDefault="00CA422F">
            <w:pPr>
              <w:spacing w:line="360" w:lineRule="atLeast"/>
              <w:jc w:val="center"/>
              <w:rPr>
                <w:rFonts w:hint="eastAsia"/>
                <w:sz w:val="18"/>
                <w:lang w:val="es-ES"/>
              </w:rPr>
            </w:pPr>
            <w:r>
              <w:rPr>
                <w:rFonts w:hint="eastAsia"/>
                <w:sz w:val="18"/>
                <w:lang w:val="es-ES"/>
              </w:rPr>
              <w:t>57%</w:t>
            </w:r>
          </w:p>
        </w:tc>
        <w:tc>
          <w:tcPr>
            <w:tcW w:w="779" w:type="pct"/>
          </w:tcPr>
          <w:p w:rsidR="00000000" w:rsidRDefault="00CA422F">
            <w:pPr>
              <w:spacing w:line="360" w:lineRule="atLeast"/>
              <w:jc w:val="center"/>
              <w:rPr>
                <w:rFonts w:hint="eastAsia"/>
                <w:sz w:val="18"/>
                <w:lang w:val="es-ES"/>
              </w:rPr>
            </w:pPr>
            <w:r>
              <w:rPr>
                <w:rFonts w:hint="eastAsia"/>
                <w:sz w:val="18"/>
                <w:lang w:val="es-ES"/>
              </w:rPr>
              <w:t>43%</w:t>
            </w:r>
          </w:p>
        </w:tc>
      </w:tr>
    </w:tbl>
    <w:p w:rsidR="00000000" w:rsidRDefault="00CA422F">
      <w:pPr>
        <w:pStyle w:val="FootnoteText"/>
        <w:spacing w:after="120" w:line="360" w:lineRule="exact"/>
        <w:rPr>
          <w:rFonts w:eastAsia="SimSun" w:hint="eastAsia"/>
        </w:rPr>
      </w:pPr>
      <w:r>
        <w:rPr>
          <w:rFonts w:eastAsia="SimSun" w:hint="eastAsia"/>
          <w:lang w:val="es-ES"/>
        </w:rPr>
        <w:t>资料来源：</w:t>
      </w:r>
      <w:r>
        <w:rPr>
          <w:rFonts w:eastAsia="SimSun" w:hint="eastAsia"/>
        </w:rPr>
        <w:t>居民保护组织，</w:t>
      </w:r>
      <w:r>
        <w:rPr>
          <w:rFonts w:eastAsia="SimSun" w:hint="eastAsia"/>
        </w:rPr>
        <w:t>2000</w:t>
      </w:r>
      <w:r>
        <w:rPr>
          <w:rFonts w:eastAsia="SimSun" w:hint="eastAsia"/>
        </w:rPr>
        <w:t>年。公民权利、领导地位和地方管理处（国家妇女研究所），</w:t>
      </w:r>
      <w:r>
        <w:rPr>
          <w:rFonts w:eastAsia="SimSun" w:hint="eastAsia"/>
        </w:rPr>
        <w:t>2002</w:t>
      </w:r>
      <w:r>
        <w:rPr>
          <w:rFonts w:eastAsia="SimSun" w:hint="eastAsia"/>
        </w:rPr>
        <w:t>年。</w:t>
      </w:r>
    </w:p>
    <w:p w:rsidR="00000000" w:rsidRDefault="00CA422F">
      <w:pPr>
        <w:pStyle w:val="FootnoteText"/>
        <w:spacing w:after="240" w:line="360" w:lineRule="exact"/>
        <w:rPr>
          <w:rFonts w:eastAsia="SimSun" w:hint="eastAsia"/>
          <w:lang w:val="es-ES"/>
        </w:rPr>
      </w:pPr>
      <w:r>
        <w:rPr>
          <w:rFonts w:eastAsia="SimSun" w:hint="eastAsia"/>
        </w:rPr>
        <w:t>（</w:t>
      </w:r>
      <w:r>
        <w:rPr>
          <w:rFonts w:eastAsia="SimSun" w:hint="eastAsia"/>
        </w:rPr>
        <w:t>*</w:t>
      </w:r>
      <w:r>
        <w:rPr>
          <w:rFonts w:eastAsia="SimSun" w:hint="eastAsia"/>
        </w:rPr>
        <w:t>）无资料来源。</w:t>
      </w:r>
    </w:p>
    <w:p w:rsidR="00000000" w:rsidRDefault="00CA422F">
      <w:pPr>
        <w:spacing w:after="240" w:line="360" w:lineRule="exact"/>
        <w:rPr>
          <w:rFonts w:hint="eastAsia"/>
        </w:rPr>
      </w:pPr>
      <w:r>
        <w:rPr>
          <w:rFonts w:hint="eastAsia"/>
        </w:rPr>
        <w:t>270</w:t>
      </w:r>
      <w:r>
        <w:rPr>
          <w:rFonts w:hint="eastAsia"/>
        </w:rPr>
        <w:t>．居民保护组织认为，这些数据证明在担任决策职务方面（如参加领导委员会），男子和妇女占有的职位根本不成比例。在某些情况下，甚至没有一名妇女能够加入决策层。</w:t>
      </w:r>
      <w:r>
        <w:rPr>
          <w:rFonts w:hint="eastAsia"/>
        </w:rPr>
        <w:t>34</w:t>
      </w:r>
      <w:r>
        <w:rPr>
          <w:rFonts w:hint="eastAsia"/>
        </w:rPr>
        <w:t>名妇女成为领导委员会成员，并不能表明法律关于“有效数量的妇女”的要求已经得到了满足，而且最严重的是，哥斯达黎加社会保险公司、哥斯达黎加电力协会、国家市政规划和住宅建设协会、国家生产总局、哥斯达黎加上下水道委员会和国家银行的领导委员会中没有一名女性成员。这一现象损害了妇女的政治权利，特别是侵犯了她们的当选权。国家妇女研究所的一项研</w:t>
      </w:r>
      <w:r>
        <w:rPr>
          <w:rFonts w:hint="eastAsia"/>
        </w:rPr>
        <w:t>究证明，在</w:t>
      </w:r>
      <w:r>
        <w:rPr>
          <w:rFonts w:hint="eastAsia"/>
        </w:rPr>
        <w:t>30</w:t>
      </w:r>
      <w:r>
        <w:rPr>
          <w:rFonts w:hint="eastAsia"/>
        </w:rPr>
        <w:t>个机构总计</w:t>
      </w:r>
      <w:r>
        <w:rPr>
          <w:rFonts w:hint="eastAsia"/>
        </w:rPr>
        <w:t>215</w:t>
      </w:r>
      <w:r>
        <w:rPr>
          <w:rFonts w:hint="eastAsia"/>
        </w:rPr>
        <w:t>个决策职位中，妇女仅仅占有</w:t>
      </w:r>
      <w:r>
        <w:rPr>
          <w:rFonts w:hint="eastAsia"/>
        </w:rPr>
        <w:t>54</w:t>
      </w:r>
      <w:r>
        <w:rPr>
          <w:rFonts w:hint="eastAsia"/>
        </w:rPr>
        <w:t>个席位（</w:t>
      </w:r>
      <w:r>
        <w:rPr>
          <w:rFonts w:hint="eastAsia"/>
        </w:rPr>
        <w:t>25.12%</w:t>
      </w:r>
      <w:r>
        <w:rPr>
          <w:rFonts w:hint="eastAsia"/>
        </w:rPr>
        <w:t>），而男子则拥有</w:t>
      </w:r>
      <w:r>
        <w:rPr>
          <w:rFonts w:hint="eastAsia"/>
        </w:rPr>
        <w:t>161</w:t>
      </w:r>
      <w:r>
        <w:rPr>
          <w:rFonts w:hint="eastAsia"/>
        </w:rPr>
        <w:t>个席位，换言之，男子控制了</w:t>
      </w:r>
      <w:r>
        <w:rPr>
          <w:rFonts w:hint="eastAsia"/>
        </w:rPr>
        <w:t>74.88%</w:t>
      </w:r>
      <w:r>
        <w:rPr>
          <w:rFonts w:hint="eastAsia"/>
        </w:rPr>
        <w:t>的决策职务。</w:t>
      </w:r>
    </w:p>
    <w:p w:rsidR="00000000" w:rsidRDefault="00CA422F">
      <w:pPr>
        <w:spacing w:after="240" w:line="360" w:lineRule="exact"/>
        <w:rPr>
          <w:rFonts w:hint="eastAsia"/>
        </w:rPr>
      </w:pPr>
      <w:r>
        <w:rPr>
          <w:rFonts w:hint="eastAsia"/>
        </w:rPr>
        <w:t>271</w:t>
      </w:r>
      <w:r>
        <w:rPr>
          <w:rFonts w:hint="eastAsia"/>
        </w:rPr>
        <w:t>．很明显，《促进妇女社会平等法》在确定国家</w:t>
      </w:r>
      <w:r>
        <w:rPr>
          <w:rFonts w:hint="eastAsia"/>
        </w:rPr>
        <w:t>/</w:t>
      </w:r>
      <w:r>
        <w:rPr>
          <w:rFonts w:hint="eastAsia"/>
        </w:rPr>
        <w:t>政府责任时阐述得既不明确，使用的论据也并非无可辩驳。尽管如此，《公约》和不歧视原则促使《促进妇女社会平等法》对妇女加入各种政治决策领域产生了勿庸置疑的影响。</w:t>
      </w:r>
    </w:p>
    <w:p w:rsidR="00000000" w:rsidRDefault="00CA422F">
      <w:pPr>
        <w:spacing w:after="240" w:line="360" w:lineRule="exact"/>
        <w:rPr>
          <w:rFonts w:hint="eastAsia"/>
        </w:rPr>
      </w:pPr>
      <w:r>
        <w:rPr>
          <w:rFonts w:hint="eastAsia"/>
        </w:rPr>
        <w:t>272</w:t>
      </w:r>
      <w:r>
        <w:rPr>
          <w:rFonts w:hint="eastAsia"/>
        </w:rPr>
        <w:t>．政府的解释理由是，上文提到的某些机构在任命领导委员会成员时，必须从在委员会中有代表席位的其他组织提出的三名候选人中挑选人选。虽然在某些情况下存</w:t>
      </w:r>
      <w:r>
        <w:rPr>
          <w:rFonts w:hint="eastAsia"/>
        </w:rPr>
        <w:t>在着这种三候选人制的影响，但是政府或者内阁掌握着最后决定权，因此，必须明确政府或者内阁对参与配额标准应当承担的责任。呼吁政府至少应该告知这些组织和机构，在提出建议人选时，需要履行国家条例规定的义务。</w:t>
      </w:r>
    </w:p>
    <w:p w:rsidR="00000000" w:rsidRDefault="00CA422F">
      <w:pPr>
        <w:spacing w:after="240" w:line="360" w:lineRule="exact"/>
        <w:rPr>
          <w:rFonts w:hint="eastAsia"/>
        </w:rPr>
      </w:pPr>
      <w:r>
        <w:rPr>
          <w:rFonts w:hint="eastAsia"/>
        </w:rPr>
        <w:t>273</w:t>
      </w:r>
      <w:r>
        <w:rPr>
          <w:rFonts w:hint="eastAsia"/>
        </w:rPr>
        <w:t>．共和国总统办公室主任提出法律规定的获得决策职位的必备条件，是导致罗德里格斯政府任职期间（</w:t>
      </w:r>
      <w:r>
        <w:rPr>
          <w:rFonts w:hint="eastAsia"/>
        </w:rPr>
        <w:t>1998</w:t>
      </w:r>
      <w:r>
        <w:rPr>
          <w:rFonts w:hint="eastAsia"/>
        </w:rPr>
        <w:t>至</w:t>
      </w:r>
      <w:r>
        <w:rPr>
          <w:rFonts w:hint="eastAsia"/>
        </w:rPr>
        <w:t>2002</w:t>
      </w:r>
      <w:r>
        <w:rPr>
          <w:rFonts w:hint="eastAsia"/>
        </w:rPr>
        <w:t>年）妇女难以进入决策层的因素之一。居民保护组织反驳说，除了妇女的个人条件之外，社会因素——分配给妇女在家庭中扮演的角色、家庭负担要求妇女必须付出的时间、主流文化对妇女加入传统的男性领域的模式化偏见等</w:t>
      </w:r>
      <w:r>
        <w:rPr>
          <w:rFonts w:hint="eastAsia"/>
        </w:rPr>
        <w:t>等——是决定妇女参与活动的关键因素。与此观点相同，</w:t>
      </w:r>
      <w:r>
        <w:rPr>
          <w:rFonts w:hint="eastAsia"/>
        </w:rPr>
        <w:t>1987</w:t>
      </w:r>
      <w:r>
        <w:rPr>
          <w:rFonts w:hint="eastAsia"/>
        </w:rPr>
        <w:t>年，美洲妇女委员会在召开的一次专家会议上指出，当选权方面的障碍并非仅仅与个人条件有关，而是由其他因素——如家庭因素、主观因素和经济因素造成的（</w:t>
      </w:r>
      <w:r>
        <w:rPr>
          <w:lang w:val="es-ES"/>
        </w:rPr>
        <w:t>García Prince</w:t>
      </w:r>
      <w:r>
        <w:rPr>
          <w:rFonts w:hint="eastAsia"/>
        </w:rPr>
        <w:t>，</w:t>
      </w:r>
      <w:r>
        <w:rPr>
          <w:rFonts w:hint="eastAsia"/>
        </w:rPr>
        <w:t>2001</w:t>
      </w:r>
      <w:r>
        <w:rPr>
          <w:rFonts w:hint="eastAsia"/>
        </w:rPr>
        <w:t>年）。</w:t>
      </w:r>
    </w:p>
    <w:p w:rsidR="00000000" w:rsidRDefault="00CA422F">
      <w:pPr>
        <w:spacing w:after="240" w:line="360" w:lineRule="exact"/>
        <w:rPr>
          <w:rFonts w:hint="eastAsia"/>
        </w:rPr>
      </w:pPr>
      <w:r>
        <w:rPr>
          <w:rFonts w:hint="eastAsia"/>
        </w:rPr>
        <w:t>274</w:t>
      </w:r>
      <w:r>
        <w:rPr>
          <w:rFonts w:hint="eastAsia"/>
        </w:rPr>
        <w:t>．由于具有与人权相互依赖的特性，损害妇女的当选权不仅仅是对权利自身的否定与侵害，而且还危害到妇女其他的权利。毫无疑问，限制妇女的参与权利必然会削弱作为国家政府构成形式的民主制度，与此同时，也将半数居民的意见、利益和前途弃之不顾。</w:t>
      </w:r>
    </w:p>
    <w:p w:rsidR="00000000" w:rsidRDefault="00CA422F">
      <w:pPr>
        <w:spacing w:after="240" w:line="360" w:lineRule="exact"/>
        <w:rPr>
          <w:rFonts w:hint="eastAsia"/>
        </w:rPr>
      </w:pPr>
      <w:r>
        <w:rPr>
          <w:rFonts w:hint="eastAsia"/>
        </w:rPr>
        <w:t>275</w:t>
      </w:r>
      <w:r>
        <w:rPr>
          <w:rFonts w:hint="eastAsia"/>
        </w:rPr>
        <w:t>．关于妇女的政治参与，居民</w:t>
      </w:r>
      <w:r>
        <w:rPr>
          <w:rFonts w:hint="eastAsia"/>
        </w:rPr>
        <w:t>保护组织指出，必须承认妇女在行使权利方面取得了进步，而且政府为实现这些进步承担了大量责任并发挥了积极的促进作用，尽管如此，依然没有消除针对妇女享受当选权和进入机关的种种限制。因此，必须加强和增强妇女在社会公共生活中，尤其是在政治领域之中的作用。为此，必须克服社会文化和意识形态障碍——体现为家庭内部的男女不平等，而且那些繁殖男性权力系统、拒绝任命妇女进入各种决策机关的政府官员也必须改变态度。</w:t>
      </w:r>
    </w:p>
    <w:p w:rsidR="00000000" w:rsidRDefault="00CA422F">
      <w:pPr>
        <w:spacing w:after="240" w:line="360" w:lineRule="exact"/>
        <w:rPr>
          <w:rFonts w:hint="eastAsia"/>
        </w:rPr>
      </w:pPr>
      <w:r>
        <w:rPr>
          <w:rFonts w:hint="eastAsia"/>
        </w:rPr>
        <w:t>276</w:t>
      </w:r>
      <w:r>
        <w:rPr>
          <w:rFonts w:hint="eastAsia"/>
        </w:rPr>
        <w:t>．尽管国际法和国家条例都涉及到这个问题，然而仅有法律条文是不够的，而且它们也没有明确界定政府应当承担的责任。因为</w:t>
      </w:r>
      <w:r>
        <w:rPr>
          <w:rFonts w:hint="eastAsia"/>
        </w:rPr>
        <w:t>如果某一政党已经组成政府，当选权就不可能是仅仅关系到政党的责任。宪法厅本身最近也在一项意见（</w:t>
      </w:r>
      <w:r>
        <w:rPr>
          <w:rFonts w:hint="eastAsia"/>
        </w:rPr>
        <w:t>2000-4350</w:t>
      </w:r>
      <w:r>
        <w:rPr>
          <w:rFonts w:hint="eastAsia"/>
        </w:rPr>
        <w:t>号意见，</w:t>
      </w:r>
      <w:r>
        <w:rPr>
          <w:rFonts w:hint="eastAsia"/>
        </w:rPr>
        <w:t xml:space="preserve"> 99</w:t>
      </w:r>
      <w:r>
        <w:rPr>
          <w:rFonts w:hint="eastAsia"/>
        </w:rPr>
        <w:t>－</w:t>
      </w:r>
      <w:r>
        <w:rPr>
          <w:rFonts w:hint="eastAsia"/>
        </w:rPr>
        <w:t>7171</w:t>
      </w:r>
      <w:r>
        <w:rPr>
          <w:rFonts w:hint="eastAsia"/>
        </w:rPr>
        <w:t>－</w:t>
      </w:r>
      <w:r>
        <w:rPr>
          <w:rFonts w:hint="eastAsia"/>
        </w:rPr>
        <w:t>0007</w:t>
      </w:r>
      <w:r>
        <w:rPr>
          <w:rFonts w:hint="eastAsia"/>
        </w:rPr>
        <w:t>－</w:t>
      </w:r>
      <w:r>
        <w:rPr>
          <w:rFonts w:hint="eastAsia"/>
        </w:rPr>
        <w:t>CO</w:t>
      </w:r>
      <w:r>
        <w:rPr>
          <w:rFonts w:hint="eastAsia"/>
        </w:rPr>
        <w:t>号保障要求）中表达了这一立场：</w:t>
      </w:r>
    </w:p>
    <w:p w:rsidR="00000000" w:rsidRDefault="00CA422F" w:rsidP="00CA422F">
      <w:pPr>
        <w:pStyle w:val="BlockText"/>
        <w:spacing w:line="360" w:lineRule="exact"/>
        <w:ind w:leftChars="200" w:left="31680" w:right="0" w:firstLineChars="200" w:firstLine="31680"/>
        <w:rPr>
          <w:rFonts w:eastAsia="KaiTi_GB2312" w:hint="eastAsia"/>
        </w:rPr>
      </w:pPr>
      <w:r>
        <w:rPr>
          <w:rFonts w:eastAsia="KaiTi_GB2312" w:hint="eastAsia"/>
        </w:rPr>
        <w:t>“这里讨论的宪法和法律义务一方面确认了不遭受歧视的权利，另一方面规定公共当局机关和政党有义务采取措施保障妇女的参与，然而从上述原则中不能够派生出一项在这一程序中能够行使监护责任的原始权利，以使任命有效比率的妇女担任公共职务。”</w:t>
      </w:r>
    </w:p>
    <w:p w:rsidR="00000000" w:rsidRDefault="00CA422F">
      <w:pPr>
        <w:spacing w:after="240" w:line="360" w:lineRule="exact"/>
        <w:rPr>
          <w:rFonts w:hint="eastAsia"/>
        </w:rPr>
      </w:pPr>
      <w:r>
        <w:rPr>
          <w:rFonts w:hint="eastAsia"/>
        </w:rPr>
        <w:t>277</w:t>
      </w:r>
      <w:r>
        <w:rPr>
          <w:rFonts w:hint="eastAsia"/>
        </w:rPr>
        <w:t>．这些建议表明，除目前已经完成的立法改革工作之外，还必须继续修订有关法律。面对这些问题，利用在这</w:t>
      </w:r>
      <w:r>
        <w:rPr>
          <w:rFonts w:hint="eastAsia"/>
        </w:rPr>
        <w:t>方面拥有的强制咨商权（来自立法议会处理法律草案的各个委员会），国家妇女研究所提出了一整套修订建议，以便将它们纳入选举法修正案草案之中（</w:t>
      </w:r>
      <w:r>
        <w:rPr>
          <w:rFonts w:hint="eastAsia"/>
        </w:rPr>
        <w:t>14268</w:t>
      </w:r>
      <w:r>
        <w:rPr>
          <w:rFonts w:hint="eastAsia"/>
        </w:rPr>
        <w:t>号文件）。目前，立法议会法律事务委员会正在处理这个法律草案。希望这些分析和建议能够促成对《选举法》的全面修订，解决目前已经确认的问题和填补现存的法律空白。以下将概括介绍国家妇女研究所的建议。</w:t>
      </w:r>
    </w:p>
    <w:p w:rsidR="00000000" w:rsidRDefault="00CA422F">
      <w:pPr>
        <w:spacing w:after="240" w:line="360" w:lineRule="exact"/>
        <w:rPr>
          <w:rFonts w:hint="eastAsia"/>
        </w:rPr>
      </w:pPr>
      <w:r>
        <w:rPr>
          <w:rFonts w:hint="eastAsia"/>
        </w:rPr>
        <w:t>278</w:t>
      </w:r>
      <w:r>
        <w:rPr>
          <w:rFonts w:hint="eastAsia"/>
        </w:rPr>
        <w:t>．选举法修正案建议各政党在国家及地方选举的候选人名单中交替排列男女候选人的名字。虽然将选举名单按照性别交错排列，并不确保满足妇女</w:t>
      </w:r>
      <w:r>
        <w:rPr>
          <w:rFonts w:hint="eastAsia"/>
        </w:rPr>
        <w:t>40%</w:t>
      </w:r>
      <w:r>
        <w:rPr>
          <w:rFonts w:hint="eastAsia"/>
        </w:rPr>
        <w:t>的最低参与配额标准，但是由于优先票权</w:t>
      </w:r>
      <w:r>
        <w:rPr>
          <w:rFonts w:hint="eastAsia"/>
        </w:rPr>
        <w:t>的存在（第</w:t>
      </w:r>
      <w:r>
        <w:rPr>
          <w:rFonts w:hint="eastAsia"/>
        </w:rPr>
        <w:t>167</w:t>
      </w:r>
      <w:r>
        <w:rPr>
          <w:rFonts w:hint="eastAsia"/>
        </w:rPr>
        <w:t>条），候选人名单成了一个不被冻结的名单，将根据每位候选人（男</w:t>
      </w:r>
      <w:r>
        <w:rPr>
          <w:rFonts w:hint="eastAsia"/>
        </w:rPr>
        <w:t>/</w:t>
      </w:r>
      <w:r>
        <w:rPr>
          <w:rFonts w:hint="eastAsia"/>
        </w:rPr>
        <w:t>女）获得的优先票数，最终决定议席或者职位的归属（第</w:t>
      </w:r>
      <w:r>
        <w:rPr>
          <w:rFonts w:hint="eastAsia"/>
        </w:rPr>
        <w:t>168</w:t>
      </w:r>
      <w:r>
        <w:rPr>
          <w:rFonts w:hint="eastAsia"/>
        </w:rPr>
        <w:t>条）。依据法律条款的规定，“获得优先票数较多的候选人将按照递减次序排列在首要位置。未能获得优先票的候选人排列在前者之后，并保持他们</w:t>
      </w:r>
      <w:r>
        <w:rPr>
          <w:rFonts w:hint="eastAsia"/>
        </w:rPr>
        <w:t>/</w:t>
      </w:r>
      <w:r>
        <w:rPr>
          <w:rFonts w:hint="eastAsia"/>
        </w:rPr>
        <w:t>她们在已经提交的候选人名单上的原始次序。”为此国家妇女研究所建议冻结候选人名单。</w:t>
      </w:r>
    </w:p>
    <w:p w:rsidR="00000000" w:rsidRDefault="00CA422F">
      <w:pPr>
        <w:spacing w:after="240" w:line="360" w:lineRule="exact"/>
        <w:rPr>
          <w:rFonts w:hint="eastAsia"/>
        </w:rPr>
      </w:pPr>
      <w:r>
        <w:rPr>
          <w:rFonts w:hint="eastAsia"/>
        </w:rPr>
        <w:t>279</w:t>
      </w:r>
      <w:r>
        <w:rPr>
          <w:rFonts w:hint="eastAsia"/>
        </w:rPr>
        <w:t>．各政党必须在党章中加入相应条款，明确表示尊重有关原则标准，执行妇女参与最低配额规定（</w:t>
      </w:r>
      <w:r>
        <w:rPr>
          <w:rFonts w:hint="eastAsia"/>
        </w:rPr>
        <w:t>40%</w:t>
      </w:r>
      <w:r>
        <w:rPr>
          <w:rFonts w:hint="eastAsia"/>
        </w:rPr>
        <w:t>），并且按照相关的最低拨款比率提供资金，开展妇女培训和教育工作（第</w:t>
      </w:r>
      <w:r>
        <w:rPr>
          <w:rFonts w:hint="eastAsia"/>
        </w:rPr>
        <w:t>51</w:t>
      </w:r>
      <w:r>
        <w:rPr>
          <w:rFonts w:hint="eastAsia"/>
        </w:rPr>
        <w:t>条）。上述规定以《促进妇女社会平等法》（</w:t>
      </w:r>
      <w:r>
        <w:rPr>
          <w:rFonts w:hint="eastAsia"/>
        </w:rPr>
        <w:t>7142</w:t>
      </w:r>
      <w:r>
        <w:rPr>
          <w:rFonts w:hint="eastAsia"/>
        </w:rPr>
        <w:t>号法律）第</w:t>
      </w:r>
      <w:r>
        <w:rPr>
          <w:rFonts w:hint="eastAsia"/>
        </w:rPr>
        <w:t>6</w:t>
      </w:r>
      <w:r>
        <w:rPr>
          <w:rFonts w:hint="eastAsia"/>
        </w:rPr>
        <w:t>条作为法律依据，它规定“……各政党应该把一定比率的资源用于推动妇女培训工作和促进她们的政治参与。”妇女地位部部长建议，各政党应该按照最低比例的规定，把部分国家税收用于为政治培训提供资金，其中，至少有</w:t>
      </w:r>
      <w:r>
        <w:rPr>
          <w:rFonts w:hint="eastAsia"/>
        </w:rPr>
        <w:t>30%</w:t>
      </w:r>
      <w:r>
        <w:rPr>
          <w:rFonts w:hint="eastAsia"/>
        </w:rPr>
        <w:t>应该用于妇女教育和培训活动。</w:t>
      </w:r>
    </w:p>
    <w:p w:rsidR="00000000" w:rsidRDefault="00CA422F">
      <w:pPr>
        <w:spacing w:after="240" w:line="360" w:lineRule="exact"/>
        <w:rPr>
          <w:rFonts w:hint="eastAsia"/>
        </w:rPr>
      </w:pPr>
      <w:r>
        <w:rPr>
          <w:rFonts w:hint="eastAsia"/>
        </w:rPr>
        <w:t>280</w:t>
      </w:r>
      <w:r>
        <w:rPr>
          <w:rFonts w:hint="eastAsia"/>
        </w:rPr>
        <w:t>．另外，还建议选举最高法庭在内部设立促进性别平等处，负责推动实施把性别观点纳入机构政策、计划、方案、行动及其提供的服务之中的战略。</w:t>
      </w:r>
    </w:p>
    <w:p w:rsidR="00000000" w:rsidRDefault="00CA422F">
      <w:pPr>
        <w:spacing w:after="240" w:line="360" w:lineRule="exact"/>
        <w:rPr>
          <w:rFonts w:hint="eastAsia"/>
        </w:rPr>
      </w:pPr>
      <w:r>
        <w:rPr>
          <w:rFonts w:hint="eastAsia"/>
        </w:rPr>
        <w:t>281</w:t>
      </w:r>
      <w:r>
        <w:rPr>
          <w:rFonts w:hint="eastAsia"/>
        </w:rPr>
        <w:t>．强调在战略性文件中最好使用包含性词汇（例如，第</w:t>
      </w:r>
      <w:r>
        <w:rPr>
          <w:rFonts w:hint="eastAsia"/>
        </w:rPr>
        <w:t>4</w:t>
      </w:r>
      <w:r>
        <w:rPr>
          <w:rFonts w:hint="eastAsia"/>
        </w:rPr>
        <w:t>条：男性选民或者女性</w:t>
      </w:r>
      <w:r>
        <w:rPr>
          <w:rFonts w:hint="eastAsia"/>
        </w:rPr>
        <w:t>选民；第</w:t>
      </w:r>
      <w:r>
        <w:rPr>
          <w:rFonts w:hint="eastAsia"/>
        </w:rPr>
        <w:t>8</w:t>
      </w:r>
      <w:r>
        <w:rPr>
          <w:rFonts w:hint="eastAsia"/>
        </w:rPr>
        <w:t>条：男性成员</w:t>
      </w:r>
      <w:r>
        <w:rPr>
          <w:rFonts w:hint="eastAsia"/>
        </w:rPr>
        <w:t>/</w:t>
      </w:r>
      <w:r>
        <w:rPr>
          <w:rFonts w:hint="eastAsia"/>
        </w:rPr>
        <w:t>女性成员缺席（或者改为男性</w:t>
      </w:r>
      <w:r>
        <w:rPr>
          <w:rFonts w:hint="eastAsia"/>
        </w:rPr>
        <w:t>/</w:t>
      </w:r>
      <w:r>
        <w:rPr>
          <w:rFonts w:hint="eastAsia"/>
        </w:rPr>
        <w:t>女性组成的成员缺席）；第十五条：候补审判长（男</w:t>
      </w:r>
      <w:r>
        <w:rPr>
          <w:rFonts w:hint="eastAsia"/>
        </w:rPr>
        <w:t>/</w:t>
      </w:r>
      <w:r>
        <w:rPr>
          <w:rFonts w:hint="eastAsia"/>
        </w:rPr>
        <w:t>女）；第二十一条：主席（男</w:t>
      </w:r>
      <w:r>
        <w:rPr>
          <w:rFonts w:hint="eastAsia"/>
        </w:rPr>
        <w:t>/</w:t>
      </w:r>
      <w:r>
        <w:rPr>
          <w:rFonts w:hint="eastAsia"/>
        </w:rPr>
        <w:t>女）和副主席（男</w:t>
      </w:r>
      <w:r>
        <w:rPr>
          <w:rFonts w:hint="eastAsia"/>
        </w:rPr>
        <w:t>/</w:t>
      </w:r>
      <w:r>
        <w:rPr>
          <w:rFonts w:hint="eastAsia"/>
        </w:rPr>
        <w:t>女）；第四章：代表（男</w:t>
      </w:r>
      <w:r>
        <w:rPr>
          <w:rFonts w:hint="eastAsia"/>
        </w:rPr>
        <w:t>/</w:t>
      </w:r>
      <w:r>
        <w:rPr>
          <w:rFonts w:hint="eastAsia"/>
        </w:rPr>
        <w:t>女）团），在谈到公民时也应该单独列出女公民，谈到候选人时要使用男</w:t>
      </w:r>
      <w:r>
        <w:rPr>
          <w:rFonts w:hint="eastAsia"/>
        </w:rPr>
        <w:t>/</w:t>
      </w:r>
      <w:r>
        <w:rPr>
          <w:rFonts w:hint="eastAsia"/>
        </w:rPr>
        <w:t>女候选人。</w:t>
      </w:r>
    </w:p>
    <w:p w:rsidR="00000000" w:rsidRDefault="00CA422F">
      <w:pPr>
        <w:spacing w:after="240" w:line="360" w:lineRule="exact"/>
        <w:rPr>
          <w:rFonts w:hint="eastAsia"/>
        </w:rPr>
      </w:pPr>
      <w:r>
        <w:rPr>
          <w:rFonts w:hint="eastAsia"/>
        </w:rPr>
        <w:t>282</w:t>
      </w:r>
      <w:r>
        <w:rPr>
          <w:rFonts w:hint="eastAsia"/>
        </w:rPr>
        <w:t>．统计资料——包括每个政党提交的有关内部选举、国家选举、地方选举程序和选票构成的资料，必须按照性别分类。</w:t>
      </w:r>
    </w:p>
    <w:p w:rsidR="00000000" w:rsidRDefault="00CA422F">
      <w:pPr>
        <w:spacing w:after="240" w:line="360" w:lineRule="exact"/>
        <w:rPr>
          <w:rFonts w:hint="eastAsia"/>
        </w:rPr>
      </w:pPr>
      <w:r>
        <w:rPr>
          <w:rFonts w:hint="eastAsia"/>
        </w:rPr>
        <w:t>283</w:t>
      </w:r>
      <w:r>
        <w:rPr>
          <w:rFonts w:hint="eastAsia"/>
        </w:rPr>
        <w:t>．鉴于选举最高法庭代表（男</w:t>
      </w:r>
      <w:r>
        <w:rPr>
          <w:rFonts w:hint="eastAsia"/>
        </w:rPr>
        <w:t>/</w:t>
      </w:r>
      <w:r>
        <w:rPr>
          <w:rFonts w:hint="eastAsia"/>
        </w:rPr>
        <w:t>女）的“申请者无论是男子还是妇女都享有同等的机会”，建议增加一个新条款，明确规定必要的保障条件，以确保选举最高法庭任命</w:t>
      </w:r>
      <w:r>
        <w:rPr>
          <w:rFonts w:hint="eastAsia"/>
        </w:rPr>
        <w:t>代表（男</w:t>
      </w:r>
      <w:r>
        <w:rPr>
          <w:rFonts w:hint="eastAsia"/>
        </w:rPr>
        <w:t>/</w:t>
      </w:r>
      <w:r>
        <w:rPr>
          <w:rFonts w:hint="eastAsia"/>
        </w:rPr>
        <w:t>女）时能够做到机会均等。</w:t>
      </w:r>
    </w:p>
    <w:p w:rsidR="00000000" w:rsidRDefault="00CA422F">
      <w:pPr>
        <w:spacing w:after="240" w:line="360" w:lineRule="exact"/>
        <w:rPr>
          <w:rFonts w:eastAsia="SimHei" w:hint="eastAsia"/>
        </w:rPr>
      </w:pPr>
      <w:r>
        <w:rPr>
          <w:rFonts w:hint="eastAsia"/>
        </w:rPr>
        <w:t>284</w:t>
      </w:r>
      <w:r>
        <w:rPr>
          <w:rFonts w:hint="eastAsia"/>
        </w:rPr>
        <w:t>．第</w:t>
      </w:r>
      <w:r>
        <w:rPr>
          <w:rFonts w:hint="eastAsia"/>
        </w:rPr>
        <w:t>48</w:t>
      </w:r>
      <w:r>
        <w:rPr>
          <w:rFonts w:hint="eastAsia"/>
        </w:rPr>
        <w:t>条涉及到政党内部组织和内部民主，它提到多项应当作为政党组织指导依据的基本民主原则。鉴于当前仅仅提到平等原则，国家妇女研究所建议补充为</w:t>
      </w:r>
      <w:r>
        <w:rPr>
          <w:rFonts w:eastAsia="SimHei" w:hint="eastAsia"/>
        </w:rPr>
        <w:t>……平等与公平原则……</w:t>
      </w:r>
    </w:p>
    <w:p w:rsidR="00000000" w:rsidRDefault="00CA422F">
      <w:pPr>
        <w:spacing w:after="240" w:line="360" w:lineRule="exact"/>
        <w:rPr>
          <w:rFonts w:hint="eastAsia"/>
        </w:rPr>
      </w:pPr>
      <w:r>
        <w:rPr>
          <w:rFonts w:hint="eastAsia"/>
        </w:rPr>
        <w:t>285</w:t>
      </w:r>
      <w:r>
        <w:rPr>
          <w:rFonts w:hint="eastAsia"/>
        </w:rPr>
        <w:t>．同样，为了确保《选举法》的全部正文内容都涉及到妇女，国家妇女研究所建议扩大政党成员的权利：“妇女有权在与男子平等和同等的条件下加入各种决策层和担任各种决策职务。”同时，“推动消除对妇女一切形式的歧视”是一项义务。</w:t>
      </w:r>
    </w:p>
    <w:p w:rsidR="00000000" w:rsidRDefault="00CA422F">
      <w:pPr>
        <w:spacing w:after="240" w:line="360" w:lineRule="exact"/>
        <w:rPr>
          <w:rFonts w:hint="eastAsia"/>
        </w:rPr>
      </w:pPr>
      <w:r>
        <w:rPr>
          <w:rFonts w:hint="eastAsia"/>
        </w:rPr>
        <w:t>286</w:t>
      </w:r>
      <w:r>
        <w:rPr>
          <w:rFonts w:hint="eastAsia"/>
        </w:rPr>
        <w:t>．修正案草案扩大了政党和独立团体的权利，它们应该努力通过自己开展的宣传和调查活</w:t>
      </w:r>
      <w:r>
        <w:rPr>
          <w:rFonts w:hint="eastAsia"/>
        </w:rPr>
        <w:t>动推动公民教育、</w:t>
      </w:r>
      <w:r>
        <w:rPr>
          <w:rFonts w:eastAsia="SimHei" w:hint="eastAsia"/>
        </w:rPr>
        <w:t>促进公民参与和展现妇女为这个国家政治文化建设做出的贡献</w:t>
      </w:r>
      <w:r>
        <w:rPr>
          <w:rFonts w:hint="eastAsia"/>
        </w:rPr>
        <w:t>。</w:t>
      </w:r>
    </w:p>
    <w:p w:rsidR="00000000" w:rsidRDefault="00CA422F">
      <w:pPr>
        <w:spacing w:after="240" w:line="360" w:lineRule="exact"/>
        <w:jc w:val="center"/>
        <w:rPr>
          <w:rFonts w:eastAsia="SimHei" w:hint="eastAsia"/>
          <w:sz w:val="24"/>
        </w:rPr>
      </w:pPr>
      <w:r>
        <w:rPr>
          <w:rFonts w:eastAsia="SimHei" w:hint="eastAsia"/>
          <w:sz w:val="24"/>
        </w:rPr>
        <w:t>妇女担任法官职务的情况</w:t>
      </w:r>
    </w:p>
    <w:p w:rsidR="00000000" w:rsidRDefault="00CA422F">
      <w:pPr>
        <w:spacing w:after="240" w:line="360" w:lineRule="exact"/>
        <w:rPr>
          <w:rFonts w:hint="eastAsia"/>
        </w:rPr>
      </w:pPr>
      <w:r>
        <w:rPr>
          <w:rFonts w:hint="eastAsia"/>
        </w:rPr>
        <w:t>287</w:t>
      </w:r>
      <w:r>
        <w:rPr>
          <w:rFonts w:hint="eastAsia"/>
        </w:rPr>
        <w:t>．</w:t>
      </w:r>
      <w:r>
        <w:rPr>
          <w:rFonts w:hint="eastAsia"/>
        </w:rPr>
        <w:t>1994</w:t>
      </w:r>
      <w:r>
        <w:rPr>
          <w:rFonts w:hint="eastAsia"/>
        </w:rPr>
        <w:t>年至</w:t>
      </w:r>
      <w:r>
        <w:rPr>
          <w:rFonts w:hint="eastAsia"/>
        </w:rPr>
        <w:t>2000</w:t>
      </w:r>
      <w:r>
        <w:rPr>
          <w:rFonts w:hint="eastAsia"/>
        </w:rPr>
        <w:t>年间，在国家司法系统内部一共任命了</w:t>
      </w:r>
      <w:r>
        <w:rPr>
          <w:rFonts w:hint="eastAsia"/>
        </w:rPr>
        <w:t>43</w:t>
      </w:r>
      <w:r>
        <w:rPr>
          <w:rFonts w:hint="eastAsia"/>
        </w:rPr>
        <w:t>名法官，其中女法官</w:t>
      </w:r>
      <w:r>
        <w:rPr>
          <w:rFonts w:hint="eastAsia"/>
        </w:rPr>
        <w:t>18</w:t>
      </w:r>
      <w:r>
        <w:rPr>
          <w:rFonts w:hint="eastAsia"/>
        </w:rPr>
        <w:t>人，占总人数的</w:t>
      </w:r>
      <w:r>
        <w:rPr>
          <w:rFonts w:hint="eastAsia"/>
        </w:rPr>
        <w:t>43%</w:t>
      </w:r>
      <w:r>
        <w:rPr>
          <w:rFonts w:hint="eastAsia"/>
        </w:rPr>
        <w:t>。这些数据显示担任法官的妇女人数呈缓慢上升趋势。然而，必须指出的是，妇女在获得司法系统最高级别职位——如最高法院法官和审判长方面——依然面临重重困难和障碍。</w:t>
      </w:r>
    </w:p>
    <w:p w:rsidR="00000000" w:rsidRDefault="00CA422F">
      <w:pPr>
        <w:spacing w:after="240" w:line="360" w:lineRule="exact"/>
        <w:jc w:val="center"/>
        <w:rPr>
          <w:rFonts w:hint="eastAsia"/>
          <w:b/>
          <w:bCs/>
        </w:rPr>
      </w:pPr>
    </w:p>
    <w:p w:rsidR="00000000" w:rsidRDefault="00CA422F">
      <w:pPr>
        <w:spacing w:after="240" w:line="360" w:lineRule="exact"/>
        <w:jc w:val="center"/>
        <w:rPr>
          <w:rFonts w:eastAsia="SimHei" w:hint="eastAsia"/>
          <w:sz w:val="24"/>
        </w:rPr>
      </w:pPr>
      <w:r>
        <w:rPr>
          <w:rFonts w:eastAsia="SimHei" w:hint="eastAsia"/>
          <w:sz w:val="24"/>
        </w:rPr>
        <w:t>妇女在最高选举法庭的任职情况</w:t>
      </w:r>
    </w:p>
    <w:p w:rsidR="00000000" w:rsidRDefault="00CA422F">
      <w:pPr>
        <w:spacing w:after="240" w:line="360" w:lineRule="exact"/>
        <w:rPr>
          <w:rFonts w:hint="eastAsia"/>
        </w:rPr>
      </w:pPr>
      <w:r>
        <w:rPr>
          <w:rFonts w:hint="eastAsia"/>
        </w:rPr>
        <w:t>288</w:t>
      </w:r>
      <w:r>
        <w:rPr>
          <w:rFonts w:hint="eastAsia"/>
        </w:rPr>
        <w:t>．</w:t>
      </w:r>
      <w:r>
        <w:rPr>
          <w:rFonts w:hint="eastAsia"/>
        </w:rPr>
        <w:t>1998</w:t>
      </w:r>
      <w:r>
        <w:rPr>
          <w:rFonts w:hint="eastAsia"/>
        </w:rPr>
        <w:t>年，最高选举法庭（</w:t>
      </w:r>
      <w:r>
        <w:rPr>
          <w:rFonts w:hint="eastAsia"/>
        </w:rPr>
        <w:t>TSE</w:t>
      </w:r>
      <w:r>
        <w:rPr>
          <w:rFonts w:hint="eastAsia"/>
        </w:rPr>
        <w:t>）第一次任命了一位女审判长。这一事实标志着妇女在进入国家权力机关方面取得了重</w:t>
      </w:r>
      <w:r>
        <w:rPr>
          <w:rFonts w:hint="eastAsia"/>
        </w:rPr>
        <w:t>大进展，因为直到那时，最高选举法庭是唯一没有妇女任职的机构。直到今天，一直未能任命更多的女审判长。</w:t>
      </w:r>
    </w:p>
    <w:p w:rsidR="00000000" w:rsidRDefault="00CA422F">
      <w:pPr>
        <w:spacing w:after="240" w:line="360" w:lineRule="exact"/>
        <w:jc w:val="center"/>
        <w:rPr>
          <w:rFonts w:eastAsia="SimHei" w:hint="eastAsia"/>
          <w:sz w:val="24"/>
        </w:rPr>
      </w:pPr>
      <w:r>
        <w:rPr>
          <w:rFonts w:eastAsia="SimHei" w:hint="eastAsia"/>
          <w:sz w:val="24"/>
        </w:rPr>
        <w:t>妇女运动的贡献</w:t>
      </w:r>
    </w:p>
    <w:p w:rsidR="00000000" w:rsidRDefault="00CA422F">
      <w:pPr>
        <w:spacing w:after="240" w:line="360" w:lineRule="exact"/>
        <w:rPr>
          <w:rFonts w:hint="eastAsia"/>
        </w:rPr>
      </w:pPr>
      <w:r>
        <w:rPr>
          <w:rFonts w:hint="eastAsia"/>
        </w:rPr>
        <w:t>289</w:t>
      </w:r>
      <w:r>
        <w:rPr>
          <w:rFonts w:hint="eastAsia"/>
        </w:rPr>
        <w:t>．哥斯达黎加妇女运动表现形式不一，以多样化的方式参与消除不平等与性别歧视、发展以两性社会关系平等为特征的民主制度。妇女运动是有着坚实基础的“发展中的社会运动”，尽管还有不足之处，并且面临许多困难，但在执行公约和第四次妇女问题世界会议北京宣言的各项协议的过程中，妇女运动依然完成了它的战略使命。</w:t>
      </w:r>
    </w:p>
    <w:p w:rsidR="00000000" w:rsidRDefault="00CA422F">
      <w:pPr>
        <w:spacing w:after="240" w:line="360" w:lineRule="exact"/>
        <w:rPr>
          <w:rFonts w:hint="eastAsia"/>
        </w:rPr>
      </w:pPr>
      <w:r>
        <w:rPr>
          <w:rFonts w:hint="eastAsia"/>
        </w:rPr>
        <w:t>290</w:t>
      </w:r>
      <w:r>
        <w:rPr>
          <w:rFonts w:hint="eastAsia"/>
        </w:rPr>
        <w:t>．正如《中美洲北京后续行动倡仪》（</w:t>
      </w:r>
      <w:r>
        <w:rPr>
          <w:rFonts w:hint="eastAsia"/>
        </w:rPr>
        <w:t>1999</w:t>
      </w:r>
      <w:r>
        <w:rPr>
          <w:rFonts w:hint="eastAsia"/>
        </w:rPr>
        <w:t>年）指出的那样，</w:t>
      </w:r>
      <w:r>
        <w:rPr>
          <w:rFonts w:hint="eastAsia"/>
        </w:rPr>
        <w:t>90</w:t>
      </w:r>
      <w:r>
        <w:rPr>
          <w:rFonts w:hint="eastAsia"/>
        </w:rPr>
        <w:t>年代，妇女运动、女权运动和非</w:t>
      </w:r>
      <w:r>
        <w:rPr>
          <w:rFonts w:hint="eastAsia"/>
        </w:rPr>
        <w:t>政府组织在非传统参与机制方面发展并积累了宝贵的经验。这些进步构成了“妇女与政府进行对话的非传统的抗议空间”，使人们可以从某些方面对性别不平等的权力行使方式提出质疑。</w:t>
      </w:r>
    </w:p>
    <w:p w:rsidR="00000000" w:rsidRDefault="00CA422F">
      <w:pPr>
        <w:spacing w:after="240" w:line="360" w:lineRule="exact"/>
        <w:rPr>
          <w:rFonts w:hint="eastAsia"/>
        </w:rPr>
      </w:pPr>
      <w:r>
        <w:rPr>
          <w:rFonts w:hint="eastAsia"/>
        </w:rPr>
        <w:t>291</w:t>
      </w:r>
      <w:r>
        <w:rPr>
          <w:rFonts w:hint="eastAsia"/>
        </w:rPr>
        <w:t>．在本报告所涉时期，妇女运动的主要斗争活动和突出成就有：</w:t>
      </w:r>
    </w:p>
    <w:p w:rsidR="00000000" w:rsidRDefault="00CA422F">
      <w:pPr>
        <w:spacing w:after="240" w:line="360" w:lineRule="exact"/>
        <w:rPr>
          <w:rFonts w:hint="eastAsia"/>
        </w:rPr>
      </w:pPr>
      <w:r>
        <w:rPr>
          <w:rFonts w:hint="eastAsia"/>
        </w:rPr>
        <w:t>292</w:t>
      </w:r>
      <w:r>
        <w:rPr>
          <w:rFonts w:hint="eastAsia"/>
        </w:rPr>
        <w:t>．</w:t>
      </w:r>
      <w:r>
        <w:rPr>
          <w:rFonts w:hint="eastAsia"/>
        </w:rPr>
        <w:t>7801</w:t>
      </w:r>
      <w:r>
        <w:rPr>
          <w:rFonts w:hint="eastAsia"/>
        </w:rPr>
        <w:t>号法律获得通过。根据</w:t>
      </w:r>
      <w:r>
        <w:rPr>
          <w:rFonts w:hint="eastAsia"/>
        </w:rPr>
        <w:t>7801</w:t>
      </w:r>
      <w:r>
        <w:rPr>
          <w:rFonts w:hint="eastAsia"/>
        </w:rPr>
        <w:t>号法律成立了国家妇女研究所。作为自治机构，它的自治权和政治级别都超过了它的前身国家妇女和家庭发展中心。在妇女运动的倡议和坚持下，非政府组织的代表终于进入了国家妇女研究所的领导委员会。</w:t>
      </w:r>
    </w:p>
    <w:p w:rsidR="00000000" w:rsidRDefault="00CA422F">
      <w:pPr>
        <w:spacing w:after="240" w:line="360" w:lineRule="exact"/>
        <w:rPr>
          <w:rFonts w:hint="eastAsia"/>
        </w:rPr>
      </w:pPr>
      <w:r>
        <w:rPr>
          <w:rFonts w:hint="eastAsia"/>
        </w:rPr>
        <w:t>293</w:t>
      </w:r>
      <w:r>
        <w:rPr>
          <w:rFonts w:hint="eastAsia"/>
        </w:rPr>
        <w:t>．作为多个妇女组织的联合体而且与其他社会部门之间</w:t>
      </w:r>
      <w:r>
        <w:rPr>
          <w:rFonts w:hint="eastAsia"/>
        </w:rPr>
        <w:t>一直保持联盟关系，妇女自治论坛在国家调整进程中参加了电信、家庭补贴与社会发展、养老金、腐败和农村发展工作委员会方面的工作（</w:t>
      </w:r>
      <w:r>
        <w:rPr>
          <w:rFonts w:hint="eastAsia"/>
        </w:rPr>
        <w:t>1998</w:t>
      </w:r>
      <w:r>
        <w:rPr>
          <w:rFonts w:hint="eastAsia"/>
        </w:rPr>
        <w:t>年、</w:t>
      </w:r>
      <w:r>
        <w:rPr>
          <w:rFonts w:hint="eastAsia"/>
        </w:rPr>
        <w:t>1999</w:t>
      </w:r>
      <w:r>
        <w:rPr>
          <w:rFonts w:hint="eastAsia"/>
        </w:rPr>
        <w:t>年）。</w:t>
      </w:r>
    </w:p>
    <w:p w:rsidR="00000000" w:rsidRDefault="00CA422F">
      <w:pPr>
        <w:spacing w:after="240" w:line="360" w:lineRule="exact"/>
        <w:rPr>
          <w:rFonts w:hint="eastAsia"/>
        </w:rPr>
      </w:pPr>
      <w:r>
        <w:rPr>
          <w:rFonts w:hint="eastAsia"/>
        </w:rPr>
        <w:t>294</w:t>
      </w:r>
      <w:r>
        <w:rPr>
          <w:rFonts w:hint="eastAsia"/>
        </w:rPr>
        <w:t>．结扎条例草案修订案（</w:t>
      </w:r>
      <w:r>
        <w:rPr>
          <w:rFonts w:hint="eastAsia"/>
        </w:rPr>
        <w:t>1998</w:t>
      </w:r>
      <w:r>
        <w:rPr>
          <w:rFonts w:hint="eastAsia"/>
        </w:rPr>
        <w:t>年</w:t>
      </w:r>
      <w:r>
        <w:rPr>
          <w:rFonts w:hint="eastAsia"/>
        </w:rPr>
        <w:t>7</w:t>
      </w:r>
      <w:r>
        <w:rPr>
          <w:rFonts w:hint="eastAsia"/>
        </w:rPr>
        <w:t>月）。</w:t>
      </w:r>
    </w:p>
    <w:p w:rsidR="00000000" w:rsidRDefault="00CA422F">
      <w:pPr>
        <w:spacing w:after="240" w:line="360" w:lineRule="exact"/>
        <w:rPr>
          <w:rFonts w:hint="eastAsia"/>
        </w:rPr>
      </w:pPr>
      <w:r>
        <w:rPr>
          <w:rFonts w:hint="eastAsia"/>
        </w:rPr>
        <w:t>295</w:t>
      </w:r>
      <w:r>
        <w:rPr>
          <w:rFonts w:hint="eastAsia"/>
        </w:rPr>
        <w:t>．妇女运动以各种不同的表现形式捍卫妇女参与最低配额标准，要求尊重妇女担任</w:t>
      </w:r>
      <w:r>
        <w:rPr>
          <w:rFonts w:hint="eastAsia"/>
        </w:rPr>
        <w:t>40%</w:t>
      </w:r>
      <w:r>
        <w:rPr>
          <w:rFonts w:hint="eastAsia"/>
        </w:rPr>
        <w:t>的可当选职位的最低配额规定。这促使最高选举法庭在</w:t>
      </w:r>
      <w:r>
        <w:rPr>
          <w:rFonts w:hint="eastAsia"/>
        </w:rPr>
        <w:t>1998</w:t>
      </w:r>
      <w:r>
        <w:rPr>
          <w:rFonts w:hint="eastAsia"/>
        </w:rPr>
        <w:t>年</w:t>
      </w:r>
      <w:r>
        <w:rPr>
          <w:rFonts w:hint="eastAsia"/>
        </w:rPr>
        <w:t>10</w:t>
      </w:r>
      <w:r>
        <w:rPr>
          <w:rFonts w:hint="eastAsia"/>
        </w:rPr>
        <w:t>月就这一问题做出了有利于妇女的裁决。</w:t>
      </w:r>
    </w:p>
    <w:p w:rsidR="00000000" w:rsidRDefault="00CA422F">
      <w:pPr>
        <w:spacing w:after="240" w:line="360" w:lineRule="exact"/>
        <w:rPr>
          <w:rFonts w:hint="eastAsia"/>
        </w:rPr>
      </w:pPr>
      <w:r>
        <w:rPr>
          <w:rFonts w:hint="eastAsia"/>
        </w:rPr>
        <w:t>296</w:t>
      </w:r>
      <w:r>
        <w:rPr>
          <w:rFonts w:hint="eastAsia"/>
        </w:rPr>
        <w:t>．在第一次直接选举中（</w:t>
      </w:r>
      <w:r>
        <w:rPr>
          <w:rFonts w:hint="eastAsia"/>
        </w:rPr>
        <w:t>1997</w:t>
      </w:r>
      <w:r>
        <w:rPr>
          <w:rFonts w:hint="eastAsia"/>
        </w:rPr>
        <w:t>年至</w:t>
      </w:r>
      <w:r>
        <w:rPr>
          <w:rFonts w:hint="eastAsia"/>
        </w:rPr>
        <w:t>1998</w:t>
      </w:r>
      <w:r>
        <w:rPr>
          <w:rFonts w:hint="eastAsia"/>
        </w:rPr>
        <w:t>年），一个由来自不同社会和政治部门的妇女组织组成的联盟——“妇女政治署”拟定了一份</w:t>
      </w:r>
      <w:r>
        <w:rPr>
          <w:rFonts w:hint="eastAsia"/>
        </w:rPr>
        <w:t>她们一致通过的维权文件，而且要求将该文件递交给参加选举的各个政党。为了</w:t>
      </w:r>
      <w:r>
        <w:rPr>
          <w:rFonts w:hint="eastAsia"/>
        </w:rPr>
        <w:t>2002</w:t>
      </w:r>
      <w:r>
        <w:rPr>
          <w:rFonts w:hint="eastAsia"/>
        </w:rPr>
        <w:t>年的选举，妇女政治署在其他组织的帮助下，推动达成了一项协议，即十二点最低日程。它已经送交到</w:t>
      </w:r>
      <w:r>
        <w:rPr>
          <w:rFonts w:hint="eastAsia"/>
        </w:rPr>
        <w:t>13</w:t>
      </w:r>
      <w:r>
        <w:rPr>
          <w:rFonts w:hint="eastAsia"/>
        </w:rPr>
        <w:t>位共和国总统候选人手中，并且与其中的</w:t>
      </w:r>
      <w:r>
        <w:rPr>
          <w:rFonts w:hint="eastAsia"/>
        </w:rPr>
        <w:t>8</w:t>
      </w:r>
      <w:r>
        <w:rPr>
          <w:rFonts w:hint="eastAsia"/>
        </w:rPr>
        <w:t>位候选人就该日程进行了磋商。他们都签署了这项协议。“妇女政治署”是妇女运动的一种表现形式，其目标是寻找新的组织形式使政策能够以妇女为出发点并为她们服务。该组织的首要使命是从以人权、政治参与和性别民主为根本依据的民主实践出发，加强妇女运动和民间社会（中美洲北京后续行动倡议：哥斯达黎加部分）。</w:t>
      </w:r>
    </w:p>
    <w:p w:rsidR="00000000" w:rsidRDefault="00CA422F">
      <w:pPr>
        <w:spacing w:after="240" w:line="360" w:lineRule="exact"/>
        <w:rPr>
          <w:rFonts w:hint="eastAsia"/>
        </w:rPr>
      </w:pPr>
      <w:r>
        <w:rPr>
          <w:rFonts w:hint="eastAsia"/>
        </w:rPr>
        <w:t>297</w:t>
      </w:r>
      <w:r>
        <w:rPr>
          <w:rFonts w:hint="eastAsia"/>
        </w:rPr>
        <w:t>．女</w:t>
      </w:r>
      <w:r>
        <w:rPr>
          <w:rFonts w:hint="eastAsia"/>
        </w:rPr>
        <w:t>权主义运动是妇女运动的一种表现形式。为了推动立法工作并促使法律草案获得批准，女权主义运动发挥了重要作用。这些法律包括：《反对教育和工作中的性骚扰法》（</w:t>
      </w:r>
      <w:r>
        <w:rPr>
          <w:rFonts w:hint="eastAsia"/>
        </w:rPr>
        <w:t>1995</w:t>
      </w:r>
      <w:r>
        <w:rPr>
          <w:rFonts w:hint="eastAsia"/>
        </w:rPr>
        <w:t>年）、《消除家庭暴力法》（</w:t>
      </w:r>
      <w:r>
        <w:rPr>
          <w:rFonts w:hint="eastAsia"/>
        </w:rPr>
        <w:t>1996</w:t>
      </w:r>
      <w:r>
        <w:rPr>
          <w:rFonts w:hint="eastAsia"/>
        </w:rPr>
        <w:t>年）、《打击对未成年人的色情剥削法》（</w:t>
      </w:r>
      <w:r>
        <w:rPr>
          <w:rFonts w:hint="eastAsia"/>
        </w:rPr>
        <w:t>1999</w:t>
      </w:r>
      <w:r>
        <w:rPr>
          <w:rFonts w:hint="eastAsia"/>
        </w:rPr>
        <w:t>年）、《父子关系责任法》（</w:t>
      </w:r>
      <w:r>
        <w:rPr>
          <w:rFonts w:hint="eastAsia"/>
        </w:rPr>
        <w:t>2001</w:t>
      </w:r>
      <w:r>
        <w:rPr>
          <w:rFonts w:hint="eastAsia"/>
        </w:rPr>
        <w:t>年）、《消除对妇女一切形式歧视公约任择议定书》（</w:t>
      </w:r>
      <w:r>
        <w:rPr>
          <w:rFonts w:hint="eastAsia"/>
        </w:rPr>
        <w:t>2001</w:t>
      </w:r>
      <w:r>
        <w:rPr>
          <w:rFonts w:hint="eastAsia"/>
        </w:rPr>
        <w:t>年）。</w:t>
      </w:r>
    </w:p>
    <w:p w:rsidR="00000000" w:rsidRDefault="00CA422F">
      <w:pPr>
        <w:spacing w:after="240" w:line="360" w:lineRule="exact"/>
        <w:rPr>
          <w:rFonts w:hint="eastAsia"/>
        </w:rPr>
      </w:pPr>
      <w:r>
        <w:rPr>
          <w:rFonts w:hint="eastAsia"/>
        </w:rPr>
        <w:t>298</w:t>
      </w:r>
      <w:r>
        <w:rPr>
          <w:rFonts w:hint="eastAsia"/>
        </w:rPr>
        <w:t>．作为妇女运动在这一领域中的一种表现，国家妇女研究所的妇女论坛向立法议会提交了《国家妇女研究所组建法修正案草案》。草案提出扩大民间社会组织在该机构领导委员中的比例，同时吸</w:t>
      </w:r>
      <w:r>
        <w:rPr>
          <w:rFonts w:hint="eastAsia"/>
        </w:rPr>
        <w:t>纳公立大学的代表加入领导委员会，从而实现决策民主化。另外，草案提出的变革建议将确保妇女论坛拥有真正的自治权，成为来自民间社会的咨询协商机制。立法议会妇女问题常设特别委员会正在研究这个草案。</w:t>
      </w:r>
    </w:p>
    <w:p w:rsidR="00000000" w:rsidRDefault="00CA422F">
      <w:pPr>
        <w:spacing w:after="240" w:line="360" w:lineRule="exact"/>
        <w:rPr>
          <w:rFonts w:hint="eastAsia"/>
        </w:rPr>
      </w:pPr>
      <w:r>
        <w:rPr>
          <w:rFonts w:hint="eastAsia"/>
        </w:rPr>
        <w:t>299</w:t>
      </w:r>
      <w:r>
        <w:rPr>
          <w:rFonts w:hint="eastAsia"/>
        </w:rPr>
        <w:t>．“北京会议五周年”论坛同样引人注目，它为达成多项不同倡议提出了空间。这些倡仪包括：“多样性之源”、“北京后续行动的区域倡议”、“大陆土著妇女倡议”、“</w:t>
      </w:r>
      <w:r>
        <w:rPr>
          <w:rFonts w:hint="eastAsia"/>
          <w:lang w:val="es-ES"/>
        </w:rPr>
        <w:t>生境</w:t>
      </w:r>
      <w:r>
        <w:rPr>
          <w:rFonts w:hint="eastAsia"/>
        </w:rPr>
        <w:t>峰会倡议及其与北京的联系”，以及“非政府组织和以个人身份参与的妇女”。通过论坛</w:t>
      </w:r>
      <w:r>
        <w:rPr>
          <w:rFonts w:hint="eastAsia"/>
          <w:lang w:val="es-ES"/>
        </w:rPr>
        <w:t>，</w:t>
      </w:r>
      <w:r>
        <w:rPr>
          <w:rFonts w:hint="eastAsia"/>
        </w:rPr>
        <w:t>国家妇女研究所与妇女运动之间确立了一个协作执行倡议的道德框架，同时，为妇女进入和</w:t>
      </w:r>
      <w:r>
        <w:rPr>
          <w:rFonts w:hint="eastAsia"/>
        </w:rPr>
        <w:t>加入决策机关创造了可能，促进她们的政治参与，从而努力从民间社会推动联合国国际会议协定的后续行动（中美洲北京后续行动倡议：哥斯达黎加部分，</w:t>
      </w:r>
      <w:r>
        <w:rPr>
          <w:rFonts w:hint="eastAsia"/>
        </w:rPr>
        <w:t>1999</w:t>
      </w:r>
      <w:r>
        <w:rPr>
          <w:rFonts w:hint="eastAsia"/>
        </w:rPr>
        <w:t>年）。</w:t>
      </w:r>
    </w:p>
    <w:p w:rsidR="00000000" w:rsidRDefault="00CA422F">
      <w:pPr>
        <w:spacing w:after="240" w:line="360" w:lineRule="exact"/>
        <w:rPr>
          <w:rFonts w:hint="eastAsia"/>
        </w:rPr>
      </w:pPr>
      <w:r>
        <w:rPr>
          <w:rFonts w:hint="eastAsia"/>
        </w:rPr>
        <w:t>300</w:t>
      </w:r>
      <w:r>
        <w:rPr>
          <w:rFonts w:hint="eastAsia"/>
        </w:rPr>
        <w:t>．在寻求行使民主权利和公民权利的过程中，和其他倡仪一样，无论是“哥斯达黎加妇女政治署”，还是“北京会议五周年”论坛，它们都是妇女运动政治工作的成果。这为创立机制提供了可能性，使妇女能够进入决策机关，从而将妇女的权利与需要纳入政府的议事日程（哥斯达黎加部分，</w:t>
      </w:r>
      <w:r>
        <w:rPr>
          <w:rFonts w:hint="eastAsia"/>
        </w:rPr>
        <w:t>1999</w:t>
      </w:r>
      <w:r>
        <w:rPr>
          <w:rFonts w:hint="eastAsia"/>
        </w:rPr>
        <w:t>年）。</w:t>
      </w:r>
    </w:p>
    <w:p w:rsidR="00000000" w:rsidRDefault="00CA422F">
      <w:pPr>
        <w:pStyle w:val="20"/>
        <w:adjustRightInd w:val="0"/>
        <w:spacing w:beforeLines="0" w:before="0" w:afterLines="0" w:after="240" w:line="360" w:lineRule="atLeast"/>
        <w:textAlignment w:val="baseline"/>
        <w:rPr>
          <w:rFonts w:ascii="Times New Roman" w:eastAsia="SimSun" w:hAnsi="Times New Roman"/>
          <w:kern w:val="0"/>
          <w:szCs w:val="20"/>
          <w:lang w:val="en-US"/>
        </w:rPr>
      </w:pPr>
    </w:p>
    <w:p w:rsidR="00000000" w:rsidRDefault="00CA422F" w:rsidP="00CA422F">
      <w:pPr>
        <w:spacing w:beforeLines="50" w:before="120" w:after="360" w:line="360" w:lineRule="exact"/>
        <w:ind w:left="31680" w:hangingChars="257" w:firstLine="31680"/>
        <w:jc w:val="center"/>
        <w:rPr>
          <w:rFonts w:eastAsia="SimHei"/>
          <w:sz w:val="24"/>
        </w:rPr>
      </w:pPr>
      <w:r>
        <w:rPr>
          <w:sz w:val="24"/>
        </w:rPr>
        <w:br w:type="page"/>
      </w:r>
      <w:r>
        <w:rPr>
          <w:rFonts w:eastAsia="SimHei" w:hint="eastAsia"/>
          <w:sz w:val="24"/>
        </w:rPr>
        <w:t>第八条：国际代表与参加国际组织</w:t>
      </w:r>
    </w:p>
    <w:p w:rsidR="00000000" w:rsidRDefault="00CA422F">
      <w:pPr>
        <w:spacing w:after="240" w:line="360" w:lineRule="exact"/>
        <w:rPr>
          <w:rFonts w:hint="eastAsia"/>
        </w:rPr>
      </w:pPr>
      <w:r>
        <w:rPr>
          <w:rFonts w:eastAsia="SimHei" w:hint="eastAsia"/>
        </w:rPr>
        <w:t>第八条：</w:t>
      </w:r>
      <w:r>
        <w:rPr>
          <w:rFonts w:eastAsia="KaiTi_GB2312" w:hint="eastAsia"/>
        </w:rPr>
        <w:t>缔约各国应采取一切适当措施，保证妇女在</w:t>
      </w:r>
      <w:r>
        <w:rPr>
          <w:rFonts w:eastAsia="KaiTi_GB2312" w:hint="eastAsia"/>
        </w:rPr>
        <w:t>与男子平等不受任何歧视的条件下，有机会在国际上代表本国政府参加各国际组织的工作。</w:t>
      </w:r>
    </w:p>
    <w:p w:rsidR="00000000" w:rsidRDefault="00CA422F">
      <w:pPr>
        <w:spacing w:after="240" w:line="360" w:lineRule="exact"/>
        <w:jc w:val="center"/>
        <w:rPr>
          <w:rFonts w:eastAsia="SimHei" w:hint="eastAsia"/>
          <w:sz w:val="24"/>
        </w:rPr>
      </w:pPr>
      <w:r>
        <w:rPr>
          <w:rFonts w:eastAsia="SimHei" w:hint="eastAsia"/>
          <w:sz w:val="24"/>
        </w:rPr>
        <w:t>妇女担任外交代表的情况</w:t>
      </w:r>
    </w:p>
    <w:p w:rsidR="00000000" w:rsidRDefault="00CA422F">
      <w:pPr>
        <w:spacing w:after="240" w:line="360" w:lineRule="exact"/>
        <w:rPr>
          <w:rFonts w:hint="eastAsia"/>
        </w:rPr>
      </w:pPr>
      <w:r>
        <w:rPr>
          <w:rFonts w:hint="eastAsia"/>
        </w:rPr>
        <w:t>301</w:t>
      </w:r>
      <w:r>
        <w:rPr>
          <w:rFonts w:hint="eastAsia"/>
        </w:rPr>
        <w:t>．</w:t>
      </w:r>
      <w:r>
        <w:rPr>
          <w:rFonts w:hint="eastAsia"/>
        </w:rPr>
        <w:t>90</w:t>
      </w:r>
      <w:r>
        <w:rPr>
          <w:rFonts w:hint="eastAsia"/>
        </w:rPr>
        <w:t>年代以来，越来越多的妇女进入外交和信仰部工作。罗德里格斯政府（</w:t>
      </w:r>
      <w:r>
        <w:rPr>
          <w:rFonts w:hint="eastAsia"/>
        </w:rPr>
        <w:t>1998</w:t>
      </w:r>
      <w:r>
        <w:rPr>
          <w:rFonts w:hint="eastAsia"/>
        </w:rPr>
        <w:t>至</w:t>
      </w:r>
      <w:r>
        <w:rPr>
          <w:rFonts w:hint="eastAsia"/>
        </w:rPr>
        <w:t>2002</w:t>
      </w:r>
      <w:r>
        <w:rPr>
          <w:rFonts w:hint="eastAsia"/>
        </w:rPr>
        <w:t>年）首次任命了一名妇女出任外交部副部长。截止</w:t>
      </w:r>
      <w:r>
        <w:rPr>
          <w:rFonts w:hint="eastAsia"/>
        </w:rPr>
        <w:t>2002</w:t>
      </w:r>
      <w:r>
        <w:rPr>
          <w:rFonts w:hint="eastAsia"/>
        </w:rPr>
        <w:t>年初，妇女占哥斯达黎加居民总数的</w:t>
      </w:r>
      <w:r>
        <w:rPr>
          <w:rFonts w:hint="eastAsia"/>
        </w:rPr>
        <w:t>58%</w:t>
      </w:r>
      <w:r>
        <w:rPr>
          <w:rFonts w:hint="eastAsia"/>
        </w:rPr>
        <w:t>。除担任领导职位的情况之外，无法获取有关她们在外交部现有职位的任职数据。在领导职务方面，妇女担任的职务达到</w:t>
      </w:r>
      <w:r>
        <w:rPr>
          <w:rFonts w:hint="eastAsia"/>
        </w:rPr>
        <w:t>41%</w:t>
      </w:r>
      <w:r>
        <w:rPr>
          <w:rFonts w:hint="eastAsia"/>
        </w:rPr>
        <w:t>，男子担任的为</w:t>
      </w:r>
      <w:r>
        <w:rPr>
          <w:rFonts w:hint="eastAsia"/>
        </w:rPr>
        <w:t>59%</w:t>
      </w:r>
      <w:r>
        <w:rPr>
          <w:rFonts w:hint="eastAsia"/>
        </w:rPr>
        <w:t>，这些数据表明，同以往相比，情况有了很多改善，照这个增长趋势持续下去，将在五年左右实现性别比</w:t>
      </w:r>
      <w:r>
        <w:rPr>
          <w:rFonts w:hint="eastAsia"/>
        </w:rPr>
        <w:t>例相等。</w:t>
      </w:r>
    </w:p>
    <w:p w:rsidR="00000000" w:rsidRDefault="00CA422F">
      <w:pPr>
        <w:spacing w:after="240" w:line="360" w:lineRule="exact"/>
        <w:rPr>
          <w:rFonts w:hint="eastAsia"/>
        </w:rPr>
      </w:pPr>
      <w:r>
        <w:rPr>
          <w:rFonts w:hint="eastAsia"/>
        </w:rPr>
        <w:t>302</w:t>
      </w:r>
      <w:r>
        <w:rPr>
          <w:rFonts w:hint="eastAsia"/>
        </w:rPr>
        <w:t>．在外交服务方面，数据显示男女差距依然存在。这一现象自身就能够说明在获得各种职位方面都存在着不平等。申请从事外交职业的</w:t>
      </w:r>
      <w:r>
        <w:rPr>
          <w:rFonts w:hint="eastAsia"/>
        </w:rPr>
        <w:t>57</w:t>
      </w:r>
      <w:r>
        <w:rPr>
          <w:rFonts w:hint="eastAsia"/>
        </w:rPr>
        <w:t>名候选人中有</w:t>
      </w:r>
      <w:r>
        <w:rPr>
          <w:rFonts w:hint="eastAsia"/>
        </w:rPr>
        <w:t>28</w:t>
      </w:r>
      <w:r>
        <w:rPr>
          <w:rFonts w:hint="eastAsia"/>
        </w:rPr>
        <w:t>名女性申请人，占总人数的</w:t>
      </w:r>
      <w:r>
        <w:rPr>
          <w:rFonts w:hint="eastAsia"/>
        </w:rPr>
        <w:t>57%</w:t>
      </w:r>
      <w:r>
        <w:rPr>
          <w:rFonts w:hint="eastAsia"/>
        </w:rPr>
        <w:t>，半数女性申请人的年龄在</w:t>
      </w:r>
      <w:r>
        <w:rPr>
          <w:rFonts w:hint="eastAsia"/>
        </w:rPr>
        <w:t>20</w:t>
      </w:r>
      <w:r>
        <w:rPr>
          <w:rFonts w:hint="eastAsia"/>
        </w:rPr>
        <w:t>岁至</w:t>
      </w:r>
      <w:r>
        <w:rPr>
          <w:rFonts w:hint="eastAsia"/>
        </w:rPr>
        <w:t>29</w:t>
      </w:r>
      <w:r>
        <w:rPr>
          <w:rFonts w:hint="eastAsia"/>
        </w:rPr>
        <w:t>岁之间，</w:t>
      </w:r>
      <w:r>
        <w:rPr>
          <w:rFonts w:hint="eastAsia"/>
        </w:rPr>
        <w:t>68%</w:t>
      </w:r>
      <w:r>
        <w:rPr>
          <w:rFonts w:hint="eastAsia"/>
        </w:rPr>
        <w:t>是单身女子，</w:t>
      </w:r>
      <w:r>
        <w:rPr>
          <w:rFonts w:hint="eastAsia"/>
        </w:rPr>
        <w:t>32%</w:t>
      </w:r>
      <w:r>
        <w:rPr>
          <w:rFonts w:hint="eastAsia"/>
        </w:rPr>
        <w:t>是已婚女子。总之，年青的单身女子表现出她们更有条件和能力从事外交服务，这或许是因为她们不承担照顾家庭的义务，能够被自由调动。</w:t>
      </w:r>
      <w:r>
        <w:rPr>
          <w:rFonts w:hint="eastAsia"/>
        </w:rPr>
        <w:t>39%</w:t>
      </w:r>
      <w:r>
        <w:rPr>
          <w:rFonts w:hint="eastAsia"/>
        </w:rPr>
        <w:t>的应聘者有在私人部门供职的经验，另外</w:t>
      </w:r>
      <w:r>
        <w:rPr>
          <w:rFonts w:hint="eastAsia"/>
        </w:rPr>
        <w:t>30.6%</w:t>
      </w:r>
      <w:r>
        <w:rPr>
          <w:rFonts w:hint="eastAsia"/>
        </w:rPr>
        <w:t>的申请人说她们来自公共部门。另一个有趣的数据是，</w:t>
      </w:r>
      <w:r>
        <w:rPr>
          <w:rFonts w:hint="eastAsia"/>
        </w:rPr>
        <w:t>71%</w:t>
      </w:r>
      <w:r>
        <w:rPr>
          <w:rFonts w:hint="eastAsia"/>
        </w:rPr>
        <w:t>的应聘者并不是外交部的公职人员</w:t>
      </w:r>
      <w:r>
        <w:rPr>
          <w:rFonts w:hint="eastAsia"/>
        </w:rPr>
        <w:t>（男性</w:t>
      </w:r>
      <w:r>
        <w:rPr>
          <w:rFonts w:hint="eastAsia"/>
        </w:rPr>
        <w:t>/</w:t>
      </w:r>
      <w:r>
        <w:rPr>
          <w:rFonts w:hint="eastAsia"/>
        </w:rPr>
        <w:t>女性），其余的</w:t>
      </w:r>
      <w:r>
        <w:rPr>
          <w:rFonts w:hint="eastAsia"/>
        </w:rPr>
        <w:t>29%</w:t>
      </w:r>
      <w:r>
        <w:rPr>
          <w:rFonts w:hint="eastAsia"/>
        </w:rPr>
        <w:t>当时在外交部任职。这方面没有发现明显的男女差距。</w:t>
      </w:r>
    </w:p>
    <w:p w:rsidR="00000000" w:rsidRDefault="00CA422F">
      <w:pPr>
        <w:spacing w:after="240" w:line="360" w:lineRule="exact"/>
        <w:rPr>
          <w:rFonts w:hint="eastAsia"/>
        </w:rPr>
      </w:pPr>
      <w:r>
        <w:rPr>
          <w:rFonts w:hint="eastAsia"/>
        </w:rPr>
        <w:t>303</w:t>
      </w:r>
      <w:r>
        <w:rPr>
          <w:rFonts w:hint="eastAsia"/>
        </w:rPr>
        <w:t>．</w:t>
      </w:r>
      <w:r>
        <w:rPr>
          <w:rFonts w:hint="eastAsia"/>
          <w:spacing w:val="6"/>
        </w:rPr>
        <w:t>表</w:t>
      </w:r>
      <w:r>
        <w:rPr>
          <w:rFonts w:hint="eastAsia"/>
          <w:spacing w:val="6"/>
        </w:rPr>
        <w:t>7</w:t>
      </w:r>
      <w:r>
        <w:rPr>
          <w:rFonts w:hint="eastAsia"/>
          <w:spacing w:val="6"/>
        </w:rPr>
        <w:t>概括了在本报告所涉的四年中外交部外交服务人员的任命情况。虽然不知道有多少名申请者（男</w:t>
      </w:r>
      <w:r>
        <w:rPr>
          <w:rFonts w:hint="eastAsia"/>
          <w:spacing w:val="6"/>
        </w:rPr>
        <w:t>/</w:t>
      </w:r>
      <w:r>
        <w:rPr>
          <w:rFonts w:hint="eastAsia"/>
          <w:spacing w:val="6"/>
        </w:rPr>
        <w:t>女</w:t>
      </w:r>
      <w:r>
        <w:rPr>
          <w:rFonts w:hint="eastAsia"/>
        </w:rPr>
        <w:t>）被最终选拔出来，这明显反映出以下趋势：</w:t>
      </w:r>
    </w:p>
    <w:p w:rsidR="00000000" w:rsidRDefault="00CA422F">
      <w:pPr>
        <w:numPr>
          <w:ilvl w:val="0"/>
          <w:numId w:val="826"/>
        </w:numPr>
        <w:tabs>
          <w:tab w:val="clear" w:pos="1362"/>
          <w:tab w:val="num" w:pos="960"/>
        </w:tabs>
        <w:spacing w:after="240" w:line="360" w:lineRule="exact"/>
        <w:ind w:left="960" w:hanging="438"/>
        <w:rPr>
          <w:rFonts w:hint="eastAsia"/>
        </w:rPr>
      </w:pPr>
      <w:r>
        <w:rPr>
          <w:rFonts w:hint="eastAsia"/>
        </w:rPr>
        <w:t>将近</w:t>
      </w:r>
      <w:r>
        <w:rPr>
          <w:rFonts w:hint="eastAsia"/>
        </w:rPr>
        <w:t>60%</w:t>
      </w:r>
      <w:r>
        <w:rPr>
          <w:rFonts w:hint="eastAsia"/>
        </w:rPr>
        <w:t>的求职者是妇女，她们希望能够从事外交服务工作，然而过去四年的任命情况与此不成比例。尚有待确定的是，这种结果是性别倾斜的产物，还是因为妇女在测试成绩中不如男子。</w:t>
      </w:r>
    </w:p>
    <w:p w:rsidR="00000000" w:rsidRDefault="00CA422F">
      <w:pPr>
        <w:numPr>
          <w:ilvl w:val="0"/>
          <w:numId w:val="826"/>
        </w:numPr>
        <w:tabs>
          <w:tab w:val="clear" w:pos="1362"/>
          <w:tab w:val="num" w:pos="960"/>
        </w:tabs>
        <w:spacing w:after="240" w:line="360" w:lineRule="exact"/>
        <w:ind w:left="960" w:hanging="438"/>
      </w:pPr>
      <w:r>
        <w:rPr>
          <w:rFonts w:hint="eastAsia"/>
        </w:rPr>
        <w:t>在大使、领事、名誉领事、公使衔参赞和外交系统内其他高级职务中，有</w:t>
      </w:r>
      <w:r>
        <w:rPr>
          <w:rFonts w:hint="eastAsia"/>
        </w:rPr>
        <w:t>605</w:t>
      </w:r>
      <w:r>
        <w:rPr>
          <w:rFonts w:hint="eastAsia"/>
        </w:rPr>
        <w:t>个职位是由男子担任的。妇女被安排出任行政助理等传统女</w:t>
      </w:r>
      <w:r>
        <w:rPr>
          <w:rFonts w:hint="eastAsia"/>
        </w:rPr>
        <w:t>性职位或者在外交使团中担任低级别职务。这表明外交职位任职构成上存在着性别分割。</w:t>
      </w:r>
    </w:p>
    <w:p w:rsidR="00000000" w:rsidRDefault="00CA422F">
      <w:pPr>
        <w:spacing w:after="240" w:line="360" w:lineRule="atLeast"/>
        <w:rPr>
          <w:sz w:val="24"/>
        </w:rPr>
      </w:pPr>
    </w:p>
    <w:p w:rsidR="00000000" w:rsidRDefault="00CA422F">
      <w:pPr>
        <w:spacing w:after="240" w:line="360" w:lineRule="exact"/>
        <w:jc w:val="center"/>
        <w:rPr>
          <w:rFonts w:ascii="SimHei" w:eastAsia="SimHei" w:hint="eastAsia"/>
        </w:rPr>
      </w:pPr>
      <w:r>
        <w:rPr>
          <w:sz w:val="24"/>
        </w:rPr>
        <w:br w:type="page"/>
      </w:r>
      <w:r>
        <w:rPr>
          <w:rFonts w:ascii="SimHei" w:eastAsia="SimHei" w:hint="eastAsia"/>
        </w:rPr>
        <w:t>表</w:t>
      </w:r>
      <w:r>
        <w:rPr>
          <w:rFonts w:ascii="SimHei" w:eastAsia="SimHei" w:hint="eastAsia"/>
        </w:rPr>
        <w:t>7</w:t>
      </w:r>
      <w:r>
        <w:rPr>
          <w:rFonts w:ascii="SimHei" w:eastAsia="SimHei"/>
        </w:rPr>
        <w:br/>
      </w:r>
      <w:r>
        <w:rPr>
          <w:rFonts w:ascii="SimHei" w:eastAsia="SimHei" w:hint="eastAsia"/>
        </w:rPr>
        <w:t>不同性别担任外交服务职务的情况，</w:t>
      </w:r>
      <w:r>
        <w:rPr>
          <w:rFonts w:ascii="SimHei" w:eastAsia="SimHei"/>
        </w:rPr>
        <w:br/>
      </w:r>
      <w:r>
        <w:rPr>
          <w:rFonts w:ascii="SimHei" w:eastAsia="SimHei" w:hint="eastAsia"/>
        </w:rPr>
        <w:t>1998</w:t>
      </w:r>
      <w:r>
        <w:rPr>
          <w:rFonts w:hint="eastAsia"/>
        </w:rPr>
        <w:t>－</w:t>
      </w:r>
      <w:r>
        <w:rPr>
          <w:rFonts w:ascii="SimHei" w:eastAsia="SimHei" w:hint="eastAsia"/>
        </w:rPr>
        <w:t>2002</w:t>
      </w:r>
      <w:r>
        <w:rPr>
          <w:rFonts w:ascii="SimHei" w:eastAsia="SimHei"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0"/>
        <w:gridCol w:w="815"/>
        <w:gridCol w:w="819"/>
        <w:gridCol w:w="815"/>
        <w:gridCol w:w="815"/>
        <w:gridCol w:w="815"/>
        <w:gridCol w:w="815"/>
        <w:gridCol w:w="815"/>
        <w:gridCol w:w="815"/>
        <w:gridCol w:w="815"/>
        <w:gridCol w:w="815"/>
      </w:tblGrid>
      <w:tr w:rsidR="00000000">
        <w:tblPrEx>
          <w:tblCellMar>
            <w:top w:w="0" w:type="dxa"/>
            <w:bottom w:w="0" w:type="dxa"/>
          </w:tblCellMar>
        </w:tblPrEx>
        <w:trPr>
          <w:cantSplit/>
        </w:trPr>
        <w:tc>
          <w:tcPr>
            <w:tcW w:w="908" w:type="pct"/>
            <w:vMerge w:val="restart"/>
            <w:vAlign w:val="center"/>
          </w:tcPr>
          <w:p w:rsidR="00000000" w:rsidRDefault="00CA422F">
            <w:pPr>
              <w:pStyle w:val="Header"/>
              <w:pBdr>
                <w:bottom w:val="none" w:sz="0" w:space="0" w:color="auto"/>
              </w:pBdr>
              <w:tabs>
                <w:tab w:val="clear" w:pos="4320"/>
                <w:tab w:val="clear" w:pos="8640"/>
              </w:tabs>
              <w:spacing w:line="320" w:lineRule="exact"/>
              <w:rPr>
                <w:rFonts w:eastAsia="SimHei" w:hint="eastAsia"/>
              </w:rPr>
            </w:pPr>
            <w:r>
              <w:rPr>
                <w:rFonts w:eastAsia="SimHei" w:hint="eastAsia"/>
              </w:rPr>
              <w:t>职务名称</w:t>
            </w:r>
          </w:p>
        </w:tc>
        <w:tc>
          <w:tcPr>
            <w:tcW w:w="820" w:type="pct"/>
            <w:gridSpan w:val="2"/>
          </w:tcPr>
          <w:p w:rsidR="00000000" w:rsidRDefault="00CA422F">
            <w:pPr>
              <w:spacing w:line="360" w:lineRule="exact"/>
              <w:jc w:val="center"/>
              <w:rPr>
                <w:rFonts w:hint="eastAsia"/>
                <w:b/>
                <w:bCs/>
                <w:sz w:val="18"/>
              </w:rPr>
            </w:pPr>
            <w:r>
              <w:rPr>
                <w:rFonts w:hint="eastAsia"/>
                <w:b/>
                <w:bCs/>
                <w:sz w:val="18"/>
              </w:rPr>
              <w:t>1998</w:t>
            </w:r>
          </w:p>
        </w:tc>
        <w:tc>
          <w:tcPr>
            <w:tcW w:w="818" w:type="pct"/>
            <w:gridSpan w:val="2"/>
          </w:tcPr>
          <w:p w:rsidR="00000000" w:rsidRDefault="00CA422F">
            <w:pPr>
              <w:spacing w:line="360" w:lineRule="exact"/>
              <w:jc w:val="center"/>
              <w:rPr>
                <w:rFonts w:hint="eastAsia"/>
                <w:b/>
                <w:bCs/>
                <w:sz w:val="18"/>
              </w:rPr>
            </w:pPr>
            <w:r>
              <w:rPr>
                <w:rFonts w:hint="eastAsia"/>
                <w:b/>
                <w:bCs/>
                <w:sz w:val="18"/>
              </w:rPr>
              <w:t>1999</w:t>
            </w:r>
          </w:p>
        </w:tc>
        <w:tc>
          <w:tcPr>
            <w:tcW w:w="818" w:type="pct"/>
            <w:gridSpan w:val="2"/>
          </w:tcPr>
          <w:p w:rsidR="00000000" w:rsidRDefault="00CA422F">
            <w:pPr>
              <w:spacing w:line="360" w:lineRule="exact"/>
              <w:jc w:val="center"/>
              <w:rPr>
                <w:rFonts w:hint="eastAsia"/>
                <w:b/>
                <w:bCs/>
                <w:sz w:val="18"/>
              </w:rPr>
            </w:pPr>
            <w:r>
              <w:rPr>
                <w:rFonts w:hint="eastAsia"/>
                <w:b/>
                <w:bCs/>
                <w:sz w:val="18"/>
              </w:rPr>
              <w:t>2000</w:t>
            </w:r>
          </w:p>
        </w:tc>
        <w:tc>
          <w:tcPr>
            <w:tcW w:w="818" w:type="pct"/>
            <w:gridSpan w:val="2"/>
          </w:tcPr>
          <w:p w:rsidR="00000000" w:rsidRDefault="00CA422F">
            <w:pPr>
              <w:spacing w:line="360" w:lineRule="exact"/>
              <w:jc w:val="center"/>
              <w:rPr>
                <w:rFonts w:hint="eastAsia"/>
                <w:b/>
                <w:bCs/>
                <w:sz w:val="18"/>
              </w:rPr>
            </w:pPr>
            <w:r>
              <w:rPr>
                <w:rFonts w:hint="eastAsia"/>
                <w:b/>
                <w:bCs/>
                <w:sz w:val="18"/>
              </w:rPr>
              <w:t>2001</w:t>
            </w:r>
          </w:p>
        </w:tc>
        <w:tc>
          <w:tcPr>
            <w:tcW w:w="818" w:type="pct"/>
            <w:gridSpan w:val="2"/>
          </w:tcPr>
          <w:p w:rsidR="00000000" w:rsidRDefault="00CA422F">
            <w:pPr>
              <w:spacing w:line="360" w:lineRule="exact"/>
              <w:jc w:val="center"/>
              <w:rPr>
                <w:rFonts w:hint="eastAsia"/>
                <w:b/>
                <w:bCs/>
                <w:sz w:val="18"/>
              </w:rPr>
            </w:pPr>
            <w:r>
              <w:rPr>
                <w:rFonts w:hint="eastAsia"/>
                <w:b/>
                <w:bCs/>
                <w:sz w:val="18"/>
              </w:rPr>
              <w:t>2002</w:t>
            </w:r>
          </w:p>
        </w:tc>
      </w:tr>
      <w:tr w:rsidR="00000000">
        <w:tblPrEx>
          <w:tblCellMar>
            <w:top w:w="0" w:type="dxa"/>
            <w:bottom w:w="0" w:type="dxa"/>
          </w:tblCellMar>
        </w:tblPrEx>
        <w:trPr>
          <w:cantSplit/>
        </w:trPr>
        <w:tc>
          <w:tcPr>
            <w:tcW w:w="908" w:type="pct"/>
            <w:vMerge/>
          </w:tcPr>
          <w:p w:rsidR="00000000" w:rsidRDefault="00CA422F">
            <w:pPr>
              <w:spacing w:line="320" w:lineRule="exact"/>
              <w:rPr>
                <w:rFonts w:hint="eastAsia"/>
                <w:sz w:val="18"/>
              </w:rPr>
            </w:pPr>
          </w:p>
        </w:tc>
        <w:tc>
          <w:tcPr>
            <w:tcW w:w="409" w:type="pct"/>
          </w:tcPr>
          <w:p w:rsidR="00000000" w:rsidRDefault="00CA422F">
            <w:pPr>
              <w:pStyle w:val="Header"/>
              <w:pBdr>
                <w:bottom w:val="none" w:sz="0" w:space="0" w:color="auto"/>
              </w:pBdr>
              <w:tabs>
                <w:tab w:val="clear" w:pos="4320"/>
                <w:tab w:val="clear" w:pos="8640"/>
              </w:tabs>
              <w:spacing w:line="320" w:lineRule="exact"/>
              <w:rPr>
                <w:rFonts w:hint="eastAsia"/>
              </w:rPr>
            </w:pPr>
            <w:r>
              <w:rPr>
                <w:rFonts w:hint="eastAsia"/>
              </w:rPr>
              <w:t>男子</w:t>
            </w:r>
          </w:p>
        </w:tc>
        <w:tc>
          <w:tcPr>
            <w:tcW w:w="411" w:type="pct"/>
          </w:tcPr>
          <w:p w:rsidR="00000000" w:rsidRDefault="00CA422F">
            <w:pPr>
              <w:spacing w:line="320" w:lineRule="exact"/>
              <w:jc w:val="center"/>
              <w:rPr>
                <w:rFonts w:hint="eastAsia"/>
                <w:sz w:val="18"/>
              </w:rPr>
            </w:pPr>
            <w:r>
              <w:rPr>
                <w:rFonts w:hint="eastAsia"/>
                <w:sz w:val="18"/>
              </w:rPr>
              <w:t>妇女</w:t>
            </w:r>
          </w:p>
        </w:tc>
        <w:tc>
          <w:tcPr>
            <w:tcW w:w="409" w:type="pct"/>
          </w:tcPr>
          <w:p w:rsidR="00000000" w:rsidRDefault="00CA422F">
            <w:pPr>
              <w:spacing w:line="320" w:lineRule="exact"/>
              <w:jc w:val="center"/>
              <w:rPr>
                <w:rFonts w:hint="eastAsia"/>
                <w:sz w:val="18"/>
              </w:rPr>
            </w:pPr>
            <w:r>
              <w:rPr>
                <w:rFonts w:hint="eastAsia"/>
                <w:sz w:val="18"/>
              </w:rPr>
              <w:t>男子</w:t>
            </w:r>
          </w:p>
        </w:tc>
        <w:tc>
          <w:tcPr>
            <w:tcW w:w="409" w:type="pct"/>
          </w:tcPr>
          <w:p w:rsidR="00000000" w:rsidRDefault="00CA422F">
            <w:pPr>
              <w:spacing w:line="320" w:lineRule="exact"/>
              <w:jc w:val="center"/>
              <w:rPr>
                <w:rFonts w:hint="eastAsia"/>
                <w:sz w:val="18"/>
              </w:rPr>
            </w:pPr>
            <w:r>
              <w:rPr>
                <w:rFonts w:hint="eastAsia"/>
                <w:sz w:val="18"/>
              </w:rPr>
              <w:t>妇女</w:t>
            </w:r>
          </w:p>
        </w:tc>
        <w:tc>
          <w:tcPr>
            <w:tcW w:w="409" w:type="pct"/>
          </w:tcPr>
          <w:p w:rsidR="00000000" w:rsidRDefault="00CA422F">
            <w:pPr>
              <w:spacing w:line="320" w:lineRule="exact"/>
              <w:jc w:val="center"/>
              <w:rPr>
                <w:rFonts w:hint="eastAsia"/>
                <w:sz w:val="18"/>
              </w:rPr>
            </w:pPr>
            <w:r>
              <w:rPr>
                <w:rFonts w:hint="eastAsia"/>
                <w:sz w:val="18"/>
              </w:rPr>
              <w:t>男子</w:t>
            </w:r>
          </w:p>
        </w:tc>
        <w:tc>
          <w:tcPr>
            <w:tcW w:w="409" w:type="pct"/>
          </w:tcPr>
          <w:p w:rsidR="00000000" w:rsidRDefault="00CA422F">
            <w:pPr>
              <w:spacing w:line="320" w:lineRule="exact"/>
              <w:jc w:val="center"/>
              <w:rPr>
                <w:rFonts w:hint="eastAsia"/>
                <w:sz w:val="18"/>
              </w:rPr>
            </w:pPr>
            <w:r>
              <w:rPr>
                <w:rFonts w:hint="eastAsia"/>
                <w:sz w:val="18"/>
              </w:rPr>
              <w:t>妇女</w:t>
            </w:r>
          </w:p>
        </w:tc>
        <w:tc>
          <w:tcPr>
            <w:tcW w:w="409" w:type="pct"/>
          </w:tcPr>
          <w:p w:rsidR="00000000" w:rsidRDefault="00CA422F">
            <w:pPr>
              <w:spacing w:line="320" w:lineRule="exact"/>
              <w:jc w:val="center"/>
              <w:rPr>
                <w:rFonts w:hint="eastAsia"/>
                <w:sz w:val="18"/>
              </w:rPr>
            </w:pPr>
            <w:r>
              <w:rPr>
                <w:rFonts w:hint="eastAsia"/>
                <w:sz w:val="18"/>
              </w:rPr>
              <w:t>男子</w:t>
            </w:r>
          </w:p>
        </w:tc>
        <w:tc>
          <w:tcPr>
            <w:tcW w:w="409" w:type="pct"/>
          </w:tcPr>
          <w:p w:rsidR="00000000" w:rsidRDefault="00CA422F">
            <w:pPr>
              <w:spacing w:line="320" w:lineRule="exact"/>
              <w:jc w:val="center"/>
              <w:rPr>
                <w:rFonts w:hint="eastAsia"/>
                <w:sz w:val="18"/>
              </w:rPr>
            </w:pPr>
            <w:r>
              <w:rPr>
                <w:rFonts w:hint="eastAsia"/>
                <w:sz w:val="18"/>
              </w:rPr>
              <w:t>妇女</w:t>
            </w:r>
          </w:p>
        </w:tc>
        <w:tc>
          <w:tcPr>
            <w:tcW w:w="409" w:type="pct"/>
          </w:tcPr>
          <w:p w:rsidR="00000000" w:rsidRDefault="00CA422F">
            <w:pPr>
              <w:spacing w:line="320" w:lineRule="exact"/>
              <w:jc w:val="center"/>
              <w:rPr>
                <w:rFonts w:hint="eastAsia"/>
                <w:sz w:val="18"/>
              </w:rPr>
            </w:pPr>
            <w:r>
              <w:rPr>
                <w:rFonts w:hint="eastAsia"/>
                <w:sz w:val="18"/>
              </w:rPr>
              <w:t>男子</w:t>
            </w:r>
          </w:p>
        </w:tc>
        <w:tc>
          <w:tcPr>
            <w:tcW w:w="409" w:type="pct"/>
          </w:tcPr>
          <w:p w:rsidR="00000000" w:rsidRDefault="00CA422F">
            <w:pPr>
              <w:spacing w:line="320" w:lineRule="exact"/>
              <w:jc w:val="center"/>
              <w:rPr>
                <w:rFonts w:hint="eastAsia"/>
                <w:sz w:val="18"/>
              </w:rPr>
            </w:pPr>
            <w:r>
              <w:rPr>
                <w:rFonts w:hint="eastAsia"/>
                <w:sz w:val="18"/>
              </w:rPr>
              <w:t>妇女</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大使（男</w:t>
            </w:r>
            <w:r>
              <w:rPr>
                <w:rFonts w:hint="eastAsia"/>
                <w:sz w:val="18"/>
              </w:rPr>
              <w:t>/</w:t>
            </w:r>
            <w:r>
              <w:rPr>
                <w:rFonts w:hint="eastAsia"/>
                <w:sz w:val="18"/>
              </w:rPr>
              <w:t>女）</w:t>
            </w:r>
          </w:p>
        </w:tc>
        <w:tc>
          <w:tcPr>
            <w:tcW w:w="409" w:type="pct"/>
          </w:tcPr>
          <w:p w:rsidR="00000000" w:rsidRDefault="00CA422F">
            <w:pPr>
              <w:spacing w:line="320" w:lineRule="exact"/>
              <w:jc w:val="center"/>
              <w:rPr>
                <w:rFonts w:hint="eastAsia"/>
                <w:sz w:val="18"/>
              </w:rPr>
            </w:pPr>
            <w:r>
              <w:rPr>
                <w:rFonts w:hint="eastAsia"/>
                <w:sz w:val="18"/>
              </w:rPr>
              <w:t>21</w:t>
            </w:r>
          </w:p>
        </w:tc>
        <w:tc>
          <w:tcPr>
            <w:tcW w:w="411" w:type="pct"/>
          </w:tcPr>
          <w:p w:rsidR="00000000" w:rsidRDefault="00CA422F">
            <w:pPr>
              <w:spacing w:line="320" w:lineRule="exact"/>
              <w:jc w:val="center"/>
              <w:rPr>
                <w:rFonts w:hint="eastAsia"/>
                <w:sz w:val="18"/>
              </w:rPr>
            </w:pPr>
            <w:r>
              <w:rPr>
                <w:rFonts w:hint="eastAsia"/>
                <w:sz w:val="18"/>
              </w:rPr>
              <w:t>9</w:t>
            </w:r>
          </w:p>
        </w:tc>
        <w:tc>
          <w:tcPr>
            <w:tcW w:w="409" w:type="pct"/>
          </w:tcPr>
          <w:p w:rsidR="00000000" w:rsidRDefault="00CA422F">
            <w:pPr>
              <w:spacing w:line="320" w:lineRule="exact"/>
              <w:jc w:val="center"/>
              <w:rPr>
                <w:rFonts w:hint="eastAsia"/>
                <w:sz w:val="18"/>
              </w:rPr>
            </w:pPr>
            <w:r>
              <w:rPr>
                <w:rFonts w:hint="eastAsia"/>
                <w:sz w:val="18"/>
              </w:rPr>
              <w:t>4</w:t>
            </w:r>
          </w:p>
        </w:tc>
        <w:tc>
          <w:tcPr>
            <w:tcW w:w="409" w:type="pct"/>
          </w:tcPr>
          <w:p w:rsidR="00000000" w:rsidRDefault="00CA422F">
            <w:pPr>
              <w:spacing w:line="320" w:lineRule="exact"/>
              <w:jc w:val="center"/>
              <w:rPr>
                <w:rFonts w:hint="eastAsia"/>
                <w:sz w:val="18"/>
              </w:rPr>
            </w:pPr>
            <w:r>
              <w:rPr>
                <w:rFonts w:hint="eastAsia"/>
                <w:sz w:val="18"/>
              </w:rPr>
              <w:t>3</w:t>
            </w:r>
          </w:p>
        </w:tc>
        <w:tc>
          <w:tcPr>
            <w:tcW w:w="409" w:type="pct"/>
          </w:tcPr>
          <w:p w:rsidR="00000000" w:rsidRDefault="00CA422F">
            <w:pPr>
              <w:spacing w:line="320" w:lineRule="exact"/>
              <w:jc w:val="center"/>
              <w:rPr>
                <w:rFonts w:hint="eastAsia"/>
                <w:sz w:val="18"/>
              </w:rPr>
            </w:pPr>
            <w:r>
              <w:rPr>
                <w:rFonts w:hint="eastAsia"/>
                <w:sz w:val="18"/>
              </w:rPr>
              <w:t>3</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8</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6</w:t>
            </w:r>
          </w:p>
        </w:tc>
        <w:tc>
          <w:tcPr>
            <w:tcW w:w="409" w:type="pct"/>
          </w:tcPr>
          <w:p w:rsidR="00000000" w:rsidRDefault="00CA422F">
            <w:pPr>
              <w:spacing w:line="320" w:lineRule="exact"/>
              <w:jc w:val="center"/>
              <w:rPr>
                <w:rFonts w:hint="eastAsia"/>
                <w:sz w:val="18"/>
              </w:rPr>
            </w:pPr>
            <w:r>
              <w:rPr>
                <w:rFonts w:hint="eastAsia"/>
                <w:sz w:val="18"/>
              </w:rPr>
              <w:t>4</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行政秘书</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6</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5</w:t>
            </w:r>
          </w:p>
        </w:tc>
        <w:tc>
          <w:tcPr>
            <w:tcW w:w="409" w:type="pct"/>
          </w:tcPr>
          <w:p w:rsidR="00000000" w:rsidRDefault="00CA422F">
            <w:pPr>
              <w:spacing w:line="320" w:lineRule="exact"/>
              <w:jc w:val="center"/>
              <w:rPr>
                <w:rFonts w:hint="eastAsia"/>
                <w:sz w:val="18"/>
              </w:rPr>
            </w:pPr>
            <w:r>
              <w:rPr>
                <w:rFonts w:hint="eastAsia"/>
                <w:sz w:val="18"/>
              </w:rPr>
              <w:t>3</w:t>
            </w:r>
          </w:p>
        </w:tc>
        <w:tc>
          <w:tcPr>
            <w:tcW w:w="409" w:type="pct"/>
          </w:tcPr>
          <w:p w:rsidR="00000000" w:rsidRDefault="00CA422F">
            <w:pPr>
              <w:spacing w:line="320" w:lineRule="exact"/>
              <w:jc w:val="center"/>
              <w:rPr>
                <w:rFonts w:hint="eastAsia"/>
                <w:sz w:val="18"/>
              </w:rPr>
            </w:pPr>
            <w:r>
              <w:rPr>
                <w:rFonts w:hint="eastAsia"/>
                <w:sz w:val="18"/>
              </w:rPr>
              <w:t>5</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4</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公使</w:t>
            </w:r>
            <w:r>
              <w:rPr>
                <w:rFonts w:hint="eastAsia"/>
                <w:sz w:val="18"/>
              </w:rPr>
              <w:t>/</w:t>
            </w:r>
            <w:r>
              <w:rPr>
                <w:rFonts w:hint="eastAsia"/>
                <w:sz w:val="18"/>
              </w:rPr>
              <w:t>参赞</w:t>
            </w:r>
          </w:p>
        </w:tc>
        <w:tc>
          <w:tcPr>
            <w:tcW w:w="409" w:type="pct"/>
          </w:tcPr>
          <w:p w:rsidR="00000000" w:rsidRDefault="00CA422F">
            <w:pPr>
              <w:spacing w:line="320" w:lineRule="exact"/>
              <w:jc w:val="center"/>
              <w:rPr>
                <w:rFonts w:hint="eastAsia"/>
                <w:sz w:val="18"/>
              </w:rPr>
            </w:pPr>
            <w:r>
              <w:rPr>
                <w:rFonts w:hint="eastAsia"/>
                <w:sz w:val="18"/>
              </w:rPr>
              <w:t>10</w:t>
            </w:r>
          </w:p>
        </w:tc>
        <w:tc>
          <w:tcPr>
            <w:tcW w:w="411" w:type="pct"/>
          </w:tcPr>
          <w:p w:rsidR="00000000" w:rsidRDefault="00CA422F">
            <w:pPr>
              <w:spacing w:line="320" w:lineRule="exact"/>
              <w:jc w:val="center"/>
              <w:rPr>
                <w:rFonts w:hint="eastAsia"/>
                <w:sz w:val="18"/>
              </w:rPr>
            </w:pPr>
            <w:r>
              <w:rPr>
                <w:rFonts w:hint="eastAsia"/>
                <w:sz w:val="18"/>
              </w:rPr>
              <w:t>18</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5</w:t>
            </w:r>
          </w:p>
        </w:tc>
        <w:tc>
          <w:tcPr>
            <w:tcW w:w="409" w:type="pct"/>
          </w:tcPr>
          <w:p w:rsidR="00000000" w:rsidRDefault="00CA422F">
            <w:pPr>
              <w:spacing w:line="320" w:lineRule="exact"/>
              <w:jc w:val="center"/>
              <w:rPr>
                <w:rFonts w:hint="eastAsia"/>
                <w:sz w:val="18"/>
              </w:rPr>
            </w:pPr>
            <w:r>
              <w:rPr>
                <w:rFonts w:hint="eastAsia"/>
                <w:sz w:val="18"/>
              </w:rPr>
              <w:t>4</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名誉领事</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9</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6</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4</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3</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临时代办</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行政助理</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文化随员</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一秘</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4</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公使和总领事</w:t>
            </w:r>
          </w:p>
        </w:tc>
        <w:tc>
          <w:tcPr>
            <w:tcW w:w="409" w:type="pct"/>
          </w:tcPr>
          <w:p w:rsidR="00000000" w:rsidRDefault="00CA422F">
            <w:pPr>
              <w:spacing w:line="320" w:lineRule="exact"/>
              <w:jc w:val="center"/>
              <w:rPr>
                <w:rFonts w:hint="eastAsia"/>
                <w:sz w:val="18"/>
              </w:rPr>
            </w:pPr>
            <w:r>
              <w:rPr>
                <w:rFonts w:hint="eastAsia"/>
                <w:sz w:val="18"/>
              </w:rPr>
              <w:t>11</w:t>
            </w:r>
          </w:p>
        </w:tc>
        <w:tc>
          <w:tcPr>
            <w:tcW w:w="411" w:type="pct"/>
          </w:tcPr>
          <w:p w:rsidR="00000000" w:rsidRDefault="00CA422F">
            <w:pPr>
              <w:spacing w:line="320" w:lineRule="exact"/>
              <w:jc w:val="center"/>
              <w:rPr>
                <w:rFonts w:hint="eastAsia"/>
                <w:sz w:val="18"/>
              </w:rPr>
            </w:pPr>
            <w:r>
              <w:rPr>
                <w:rFonts w:hint="eastAsia"/>
                <w:sz w:val="18"/>
              </w:rPr>
              <w:t>7</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3</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司机</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参赞</w:t>
            </w:r>
          </w:p>
        </w:tc>
        <w:tc>
          <w:tcPr>
            <w:tcW w:w="409" w:type="pct"/>
          </w:tcPr>
          <w:p w:rsidR="00000000" w:rsidRDefault="00CA422F">
            <w:pPr>
              <w:spacing w:line="320" w:lineRule="exact"/>
              <w:jc w:val="center"/>
              <w:rPr>
                <w:rFonts w:hint="eastAsia"/>
                <w:sz w:val="18"/>
              </w:rPr>
            </w:pPr>
            <w:r>
              <w:rPr>
                <w:rFonts w:hint="eastAsia"/>
                <w:sz w:val="18"/>
              </w:rPr>
              <w:t>7</w:t>
            </w:r>
          </w:p>
        </w:tc>
        <w:tc>
          <w:tcPr>
            <w:tcW w:w="411" w:type="pct"/>
          </w:tcPr>
          <w:p w:rsidR="00000000" w:rsidRDefault="00CA422F">
            <w:pPr>
              <w:spacing w:line="320" w:lineRule="exact"/>
              <w:jc w:val="center"/>
              <w:rPr>
                <w:rFonts w:hint="eastAsia"/>
                <w:sz w:val="18"/>
              </w:rPr>
            </w:pPr>
            <w:r>
              <w:rPr>
                <w:rFonts w:hint="eastAsia"/>
                <w:sz w:val="18"/>
              </w:rPr>
              <w:t>7</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3</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3</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商务随员</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5</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总领事</w:t>
            </w:r>
          </w:p>
        </w:tc>
        <w:tc>
          <w:tcPr>
            <w:tcW w:w="409" w:type="pct"/>
          </w:tcPr>
          <w:p w:rsidR="00000000" w:rsidRDefault="00CA422F">
            <w:pPr>
              <w:spacing w:line="320" w:lineRule="exact"/>
              <w:jc w:val="center"/>
              <w:rPr>
                <w:rFonts w:hint="eastAsia"/>
                <w:sz w:val="18"/>
              </w:rPr>
            </w:pPr>
            <w:r>
              <w:rPr>
                <w:rFonts w:hint="eastAsia"/>
                <w:sz w:val="18"/>
              </w:rPr>
              <w:t>15</w:t>
            </w:r>
          </w:p>
        </w:tc>
        <w:tc>
          <w:tcPr>
            <w:tcW w:w="411"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参赞和领事</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一秘</w:t>
            </w:r>
            <w:r>
              <w:rPr>
                <w:rFonts w:hint="eastAsia"/>
                <w:sz w:val="18"/>
              </w:rPr>
              <w:t>/</w:t>
            </w:r>
            <w:r>
              <w:rPr>
                <w:rFonts w:hint="eastAsia"/>
                <w:sz w:val="18"/>
              </w:rPr>
              <w:t>副领事</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二秘</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副领事</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名誉副领事</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3</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随员</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2</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2</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商务随员和副领事</w:t>
            </w:r>
          </w:p>
        </w:tc>
        <w:tc>
          <w:tcPr>
            <w:tcW w:w="409" w:type="pct"/>
          </w:tcPr>
          <w:p w:rsidR="00000000" w:rsidRDefault="00CA422F">
            <w:pPr>
              <w:spacing w:line="320" w:lineRule="exact"/>
              <w:jc w:val="center"/>
              <w:rPr>
                <w:rFonts w:hint="eastAsia"/>
                <w:sz w:val="18"/>
              </w:rPr>
            </w:pPr>
            <w:r>
              <w:rPr>
                <w:rFonts w:hint="eastAsia"/>
                <w:sz w:val="18"/>
              </w:rPr>
              <w:t>1</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领事</w:t>
            </w:r>
          </w:p>
        </w:tc>
        <w:tc>
          <w:tcPr>
            <w:tcW w:w="409" w:type="pct"/>
          </w:tcPr>
          <w:p w:rsidR="00000000" w:rsidRDefault="00CA422F">
            <w:pPr>
              <w:spacing w:line="320" w:lineRule="exact"/>
              <w:jc w:val="center"/>
              <w:rPr>
                <w:rFonts w:hint="eastAsia"/>
                <w:sz w:val="18"/>
              </w:rPr>
            </w:pPr>
            <w:r>
              <w:rPr>
                <w:rFonts w:hint="eastAsia"/>
                <w:sz w:val="18"/>
              </w:rPr>
              <w:t>4</w:t>
            </w:r>
          </w:p>
        </w:tc>
        <w:tc>
          <w:tcPr>
            <w:tcW w:w="411" w:type="pct"/>
          </w:tcPr>
          <w:p w:rsidR="00000000" w:rsidRDefault="00CA422F">
            <w:pPr>
              <w:spacing w:line="320" w:lineRule="exact"/>
              <w:jc w:val="center"/>
              <w:rPr>
                <w:rFonts w:hint="eastAsia"/>
                <w:sz w:val="18"/>
              </w:rPr>
            </w:pPr>
            <w:r>
              <w:rPr>
                <w:rFonts w:hint="eastAsia"/>
                <w:sz w:val="18"/>
              </w:rPr>
              <w:t>6</w:t>
            </w:r>
          </w:p>
        </w:tc>
        <w:tc>
          <w:tcPr>
            <w:tcW w:w="409" w:type="pct"/>
          </w:tcPr>
          <w:p w:rsidR="00000000" w:rsidRDefault="00CA422F">
            <w:pPr>
              <w:spacing w:line="320" w:lineRule="exact"/>
              <w:jc w:val="center"/>
              <w:rPr>
                <w:rFonts w:hint="eastAsia"/>
                <w:sz w:val="18"/>
              </w:rPr>
            </w:pPr>
            <w:r>
              <w:rPr>
                <w:rFonts w:hint="eastAsia"/>
                <w:sz w:val="18"/>
              </w:rPr>
              <w:t>4</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随员和领事</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商务代办</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名誉领事</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投资</w:t>
            </w:r>
            <w:r>
              <w:rPr>
                <w:rFonts w:hint="eastAsia"/>
                <w:sz w:val="18"/>
              </w:rPr>
              <w:t>事务随员</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名誉总领事</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公使</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公使衔参赞和公使</w:t>
            </w:r>
          </w:p>
        </w:tc>
        <w:tc>
          <w:tcPr>
            <w:tcW w:w="409" w:type="pct"/>
          </w:tcPr>
          <w:p w:rsidR="00000000" w:rsidRDefault="00CA422F">
            <w:pPr>
              <w:spacing w:line="320" w:lineRule="exact"/>
              <w:jc w:val="center"/>
              <w:rPr>
                <w:rFonts w:hint="eastAsia"/>
                <w:sz w:val="18"/>
              </w:rPr>
            </w:pPr>
            <w:r>
              <w:rPr>
                <w:rFonts w:hint="eastAsia"/>
                <w:sz w:val="18"/>
              </w:rPr>
              <w:t>0</w:t>
            </w:r>
          </w:p>
        </w:tc>
        <w:tc>
          <w:tcPr>
            <w:tcW w:w="411"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1</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c>
          <w:tcPr>
            <w:tcW w:w="409" w:type="pct"/>
          </w:tcPr>
          <w:p w:rsidR="00000000" w:rsidRDefault="00CA422F">
            <w:pPr>
              <w:spacing w:line="320" w:lineRule="exact"/>
              <w:jc w:val="center"/>
              <w:rPr>
                <w:rFonts w:hint="eastAsia"/>
                <w:sz w:val="18"/>
              </w:rPr>
            </w:pPr>
            <w:r>
              <w:rPr>
                <w:rFonts w:hint="eastAsia"/>
                <w:sz w:val="18"/>
              </w:rPr>
              <w:t>0</w:t>
            </w:r>
          </w:p>
        </w:tc>
      </w:tr>
      <w:tr w:rsidR="00000000">
        <w:tblPrEx>
          <w:tblCellMar>
            <w:top w:w="0" w:type="dxa"/>
            <w:bottom w:w="0" w:type="dxa"/>
          </w:tblCellMar>
        </w:tblPrEx>
        <w:tc>
          <w:tcPr>
            <w:tcW w:w="908" w:type="pct"/>
          </w:tcPr>
          <w:p w:rsidR="00000000" w:rsidRDefault="00CA422F">
            <w:pPr>
              <w:spacing w:line="320" w:lineRule="exact"/>
              <w:rPr>
                <w:rFonts w:hint="eastAsia"/>
                <w:sz w:val="18"/>
              </w:rPr>
            </w:pPr>
            <w:r>
              <w:rPr>
                <w:rFonts w:hint="eastAsia"/>
                <w:sz w:val="18"/>
              </w:rPr>
              <w:t>总计</w:t>
            </w:r>
          </w:p>
        </w:tc>
        <w:tc>
          <w:tcPr>
            <w:tcW w:w="409" w:type="pct"/>
          </w:tcPr>
          <w:p w:rsidR="00000000" w:rsidRDefault="00CA422F">
            <w:pPr>
              <w:spacing w:line="320" w:lineRule="exact"/>
              <w:jc w:val="center"/>
              <w:rPr>
                <w:rFonts w:hint="eastAsia"/>
                <w:sz w:val="18"/>
              </w:rPr>
            </w:pPr>
            <w:r>
              <w:rPr>
                <w:rFonts w:hint="eastAsia"/>
                <w:sz w:val="18"/>
              </w:rPr>
              <w:t>82</w:t>
            </w:r>
          </w:p>
          <w:p w:rsidR="00000000" w:rsidRDefault="00CA422F">
            <w:pPr>
              <w:spacing w:line="320" w:lineRule="exact"/>
              <w:jc w:val="center"/>
              <w:rPr>
                <w:sz w:val="18"/>
              </w:rPr>
            </w:pPr>
            <w:r>
              <w:rPr>
                <w:sz w:val="18"/>
              </w:rPr>
              <w:t>(</w:t>
            </w:r>
            <w:r>
              <w:rPr>
                <w:rFonts w:hint="eastAsia"/>
                <w:sz w:val="18"/>
              </w:rPr>
              <w:t>55%</w:t>
            </w:r>
            <w:r>
              <w:rPr>
                <w:sz w:val="18"/>
              </w:rPr>
              <w:t>)</w:t>
            </w:r>
          </w:p>
        </w:tc>
        <w:tc>
          <w:tcPr>
            <w:tcW w:w="411" w:type="pct"/>
          </w:tcPr>
          <w:p w:rsidR="00000000" w:rsidRDefault="00CA422F">
            <w:pPr>
              <w:spacing w:line="320" w:lineRule="exact"/>
              <w:jc w:val="center"/>
              <w:rPr>
                <w:rFonts w:hint="eastAsia"/>
                <w:sz w:val="18"/>
              </w:rPr>
            </w:pPr>
            <w:r>
              <w:rPr>
                <w:rFonts w:hint="eastAsia"/>
                <w:sz w:val="18"/>
              </w:rPr>
              <w:t>66-67</w:t>
            </w:r>
          </w:p>
          <w:p w:rsidR="00000000" w:rsidRDefault="00CA422F">
            <w:pPr>
              <w:spacing w:line="320" w:lineRule="exact"/>
              <w:jc w:val="center"/>
              <w:rPr>
                <w:sz w:val="18"/>
              </w:rPr>
            </w:pPr>
            <w:r>
              <w:rPr>
                <w:sz w:val="18"/>
              </w:rPr>
              <w:t>(</w:t>
            </w:r>
            <w:r>
              <w:rPr>
                <w:rFonts w:hint="eastAsia"/>
                <w:sz w:val="18"/>
              </w:rPr>
              <w:t>45%</w:t>
            </w:r>
            <w:r>
              <w:rPr>
                <w:sz w:val="18"/>
              </w:rPr>
              <w:t>)</w:t>
            </w:r>
          </w:p>
        </w:tc>
        <w:tc>
          <w:tcPr>
            <w:tcW w:w="409" w:type="pct"/>
          </w:tcPr>
          <w:p w:rsidR="00000000" w:rsidRDefault="00CA422F">
            <w:pPr>
              <w:spacing w:line="320" w:lineRule="exact"/>
              <w:jc w:val="center"/>
              <w:rPr>
                <w:rFonts w:hint="eastAsia"/>
                <w:sz w:val="18"/>
              </w:rPr>
            </w:pPr>
            <w:r>
              <w:rPr>
                <w:rFonts w:hint="eastAsia"/>
                <w:sz w:val="18"/>
              </w:rPr>
              <w:t>30</w:t>
            </w:r>
          </w:p>
          <w:p w:rsidR="00000000" w:rsidRDefault="00CA422F">
            <w:pPr>
              <w:spacing w:line="320" w:lineRule="exact"/>
              <w:jc w:val="center"/>
              <w:rPr>
                <w:rFonts w:hint="eastAsia"/>
                <w:sz w:val="18"/>
              </w:rPr>
            </w:pPr>
            <w:r>
              <w:rPr>
                <w:rFonts w:hint="eastAsia"/>
                <w:sz w:val="18"/>
              </w:rPr>
              <w:t>(61%)</w:t>
            </w:r>
          </w:p>
        </w:tc>
        <w:tc>
          <w:tcPr>
            <w:tcW w:w="409" w:type="pct"/>
          </w:tcPr>
          <w:p w:rsidR="00000000" w:rsidRDefault="00CA422F">
            <w:pPr>
              <w:spacing w:line="320" w:lineRule="exact"/>
              <w:jc w:val="center"/>
              <w:rPr>
                <w:rFonts w:hint="eastAsia"/>
                <w:sz w:val="18"/>
              </w:rPr>
            </w:pPr>
            <w:r>
              <w:rPr>
                <w:rFonts w:hint="eastAsia"/>
                <w:sz w:val="18"/>
              </w:rPr>
              <w:t>19</w:t>
            </w:r>
          </w:p>
          <w:p w:rsidR="00000000" w:rsidRDefault="00CA422F">
            <w:pPr>
              <w:spacing w:line="320" w:lineRule="exact"/>
              <w:jc w:val="center"/>
              <w:rPr>
                <w:rFonts w:hint="eastAsia"/>
                <w:sz w:val="18"/>
              </w:rPr>
            </w:pPr>
            <w:r>
              <w:rPr>
                <w:rFonts w:hint="eastAsia"/>
                <w:sz w:val="18"/>
              </w:rPr>
              <w:t>(39%)</w:t>
            </w:r>
          </w:p>
        </w:tc>
        <w:tc>
          <w:tcPr>
            <w:tcW w:w="409" w:type="pct"/>
          </w:tcPr>
          <w:p w:rsidR="00000000" w:rsidRDefault="00CA422F">
            <w:pPr>
              <w:spacing w:line="320" w:lineRule="exact"/>
              <w:jc w:val="center"/>
              <w:rPr>
                <w:rFonts w:hint="eastAsia"/>
                <w:sz w:val="18"/>
              </w:rPr>
            </w:pPr>
            <w:r>
              <w:rPr>
                <w:rFonts w:hint="eastAsia"/>
                <w:sz w:val="18"/>
              </w:rPr>
              <w:t>23</w:t>
            </w:r>
          </w:p>
          <w:p w:rsidR="00000000" w:rsidRDefault="00CA422F">
            <w:pPr>
              <w:spacing w:line="320" w:lineRule="exact"/>
              <w:jc w:val="center"/>
              <w:rPr>
                <w:rFonts w:hint="eastAsia"/>
                <w:sz w:val="18"/>
              </w:rPr>
            </w:pPr>
            <w:r>
              <w:rPr>
                <w:rFonts w:hint="eastAsia"/>
                <w:sz w:val="18"/>
              </w:rPr>
              <w:t>(63%)</w:t>
            </w:r>
          </w:p>
        </w:tc>
        <w:tc>
          <w:tcPr>
            <w:tcW w:w="409" w:type="pct"/>
          </w:tcPr>
          <w:p w:rsidR="00000000" w:rsidRDefault="00CA422F">
            <w:pPr>
              <w:spacing w:line="320" w:lineRule="exact"/>
              <w:jc w:val="center"/>
              <w:rPr>
                <w:rFonts w:hint="eastAsia"/>
                <w:sz w:val="18"/>
              </w:rPr>
            </w:pPr>
            <w:r>
              <w:rPr>
                <w:rFonts w:hint="eastAsia"/>
                <w:sz w:val="18"/>
              </w:rPr>
              <w:t>13</w:t>
            </w:r>
          </w:p>
          <w:p w:rsidR="00000000" w:rsidRDefault="00CA422F">
            <w:pPr>
              <w:spacing w:line="320" w:lineRule="exact"/>
              <w:jc w:val="center"/>
              <w:rPr>
                <w:rFonts w:hint="eastAsia"/>
                <w:sz w:val="18"/>
              </w:rPr>
            </w:pPr>
            <w:r>
              <w:rPr>
                <w:rFonts w:hint="eastAsia"/>
                <w:sz w:val="18"/>
              </w:rPr>
              <w:t>(37%)</w:t>
            </w:r>
          </w:p>
        </w:tc>
        <w:tc>
          <w:tcPr>
            <w:tcW w:w="409" w:type="pct"/>
          </w:tcPr>
          <w:p w:rsidR="00000000" w:rsidRDefault="00CA422F">
            <w:pPr>
              <w:spacing w:line="320" w:lineRule="exact"/>
              <w:jc w:val="center"/>
              <w:rPr>
                <w:rFonts w:hint="eastAsia"/>
                <w:sz w:val="18"/>
              </w:rPr>
            </w:pPr>
            <w:r>
              <w:rPr>
                <w:rFonts w:hint="eastAsia"/>
                <w:sz w:val="18"/>
              </w:rPr>
              <w:t>31</w:t>
            </w:r>
          </w:p>
          <w:p w:rsidR="00000000" w:rsidRDefault="00CA422F">
            <w:pPr>
              <w:spacing w:line="320" w:lineRule="exact"/>
              <w:jc w:val="center"/>
              <w:rPr>
                <w:rFonts w:hint="eastAsia"/>
                <w:sz w:val="18"/>
              </w:rPr>
            </w:pPr>
            <w:r>
              <w:rPr>
                <w:rFonts w:hint="eastAsia"/>
                <w:sz w:val="18"/>
              </w:rPr>
              <w:t>(62)</w:t>
            </w:r>
          </w:p>
        </w:tc>
        <w:tc>
          <w:tcPr>
            <w:tcW w:w="409" w:type="pct"/>
          </w:tcPr>
          <w:p w:rsidR="00000000" w:rsidRDefault="00CA422F">
            <w:pPr>
              <w:spacing w:line="320" w:lineRule="exact"/>
              <w:jc w:val="center"/>
              <w:rPr>
                <w:rFonts w:hint="eastAsia"/>
                <w:sz w:val="18"/>
              </w:rPr>
            </w:pPr>
            <w:r>
              <w:rPr>
                <w:rFonts w:hint="eastAsia"/>
                <w:sz w:val="18"/>
              </w:rPr>
              <w:t>20</w:t>
            </w:r>
          </w:p>
          <w:p w:rsidR="00000000" w:rsidRDefault="00CA422F">
            <w:pPr>
              <w:spacing w:line="320" w:lineRule="exact"/>
              <w:jc w:val="center"/>
              <w:rPr>
                <w:rFonts w:hint="eastAsia"/>
                <w:sz w:val="18"/>
              </w:rPr>
            </w:pPr>
            <w:r>
              <w:rPr>
                <w:rFonts w:hint="eastAsia"/>
                <w:sz w:val="18"/>
              </w:rPr>
              <w:t>(38%)</w:t>
            </w:r>
          </w:p>
        </w:tc>
        <w:tc>
          <w:tcPr>
            <w:tcW w:w="409" w:type="pct"/>
          </w:tcPr>
          <w:p w:rsidR="00000000" w:rsidRDefault="00CA422F">
            <w:pPr>
              <w:spacing w:line="320" w:lineRule="exact"/>
              <w:jc w:val="center"/>
              <w:rPr>
                <w:rFonts w:hint="eastAsia"/>
                <w:sz w:val="18"/>
              </w:rPr>
            </w:pPr>
            <w:r>
              <w:rPr>
                <w:rFonts w:hint="eastAsia"/>
                <w:sz w:val="18"/>
              </w:rPr>
              <w:t>14</w:t>
            </w:r>
          </w:p>
          <w:p w:rsidR="00000000" w:rsidRDefault="00CA422F">
            <w:pPr>
              <w:spacing w:line="320" w:lineRule="exact"/>
              <w:jc w:val="center"/>
              <w:rPr>
                <w:rFonts w:hint="eastAsia"/>
                <w:sz w:val="18"/>
              </w:rPr>
            </w:pPr>
            <w:r>
              <w:rPr>
                <w:rFonts w:hint="eastAsia"/>
                <w:sz w:val="18"/>
              </w:rPr>
              <w:t>(49%)</w:t>
            </w:r>
          </w:p>
        </w:tc>
        <w:tc>
          <w:tcPr>
            <w:tcW w:w="409" w:type="pct"/>
          </w:tcPr>
          <w:p w:rsidR="00000000" w:rsidRDefault="00CA422F">
            <w:pPr>
              <w:spacing w:line="320" w:lineRule="exact"/>
              <w:jc w:val="center"/>
              <w:rPr>
                <w:rFonts w:hint="eastAsia"/>
                <w:sz w:val="18"/>
              </w:rPr>
            </w:pPr>
            <w:r>
              <w:rPr>
                <w:rFonts w:hint="eastAsia"/>
                <w:sz w:val="18"/>
              </w:rPr>
              <w:t>15</w:t>
            </w:r>
          </w:p>
          <w:p w:rsidR="00000000" w:rsidRDefault="00CA422F">
            <w:pPr>
              <w:spacing w:line="320" w:lineRule="exact"/>
              <w:jc w:val="center"/>
              <w:rPr>
                <w:rFonts w:hint="eastAsia"/>
                <w:sz w:val="18"/>
              </w:rPr>
            </w:pPr>
            <w:r>
              <w:rPr>
                <w:rFonts w:hint="eastAsia"/>
                <w:sz w:val="18"/>
              </w:rPr>
              <w:t>(51%)</w:t>
            </w:r>
          </w:p>
        </w:tc>
      </w:tr>
    </w:tbl>
    <w:p w:rsidR="00000000" w:rsidRDefault="00CA422F">
      <w:pPr>
        <w:spacing w:after="240" w:line="360" w:lineRule="atLeast"/>
        <w:rPr>
          <w:sz w:val="18"/>
        </w:rPr>
      </w:pPr>
      <w:r>
        <w:rPr>
          <w:rFonts w:hint="eastAsia"/>
          <w:sz w:val="18"/>
        </w:rPr>
        <w:t>资料来源：根据国家外交和信仰部的数据编制，</w:t>
      </w:r>
      <w:r>
        <w:rPr>
          <w:rFonts w:hint="eastAsia"/>
          <w:sz w:val="18"/>
        </w:rPr>
        <w:t>2002</w:t>
      </w:r>
      <w:r>
        <w:rPr>
          <w:rFonts w:hint="eastAsia"/>
          <w:sz w:val="18"/>
        </w:rPr>
        <w:t>年。</w:t>
      </w:r>
    </w:p>
    <w:p w:rsidR="00000000" w:rsidRDefault="00CA422F">
      <w:pPr>
        <w:spacing w:after="240" w:line="360" w:lineRule="exact"/>
        <w:jc w:val="center"/>
        <w:rPr>
          <w:rFonts w:eastAsia="SimHei" w:hint="eastAsia"/>
          <w:sz w:val="24"/>
        </w:rPr>
      </w:pPr>
      <w:r>
        <w:rPr>
          <w:rFonts w:eastAsia="SimHei" w:hint="eastAsia"/>
          <w:sz w:val="24"/>
        </w:rPr>
        <w:t>对外政策中的两性平等</w:t>
      </w:r>
    </w:p>
    <w:p w:rsidR="00000000" w:rsidRDefault="00CA422F">
      <w:pPr>
        <w:spacing w:after="240" w:line="360" w:lineRule="exact"/>
        <w:rPr>
          <w:rFonts w:hint="eastAsia"/>
        </w:rPr>
      </w:pPr>
      <w:r>
        <w:rPr>
          <w:rFonts w:hint="eastAsia"/>
        </w:rPr>
        <w:t>304</w:t>
      </w:r>
      <w:r>
        <w:rPr>
          <w:rFonts w:hint="eastAsia"/>
        </w:rPr>
        <w:t>．</w:t>
      </w:r>
      <w:r>
        <w:rPr>
          <w:rFonts w:hint="eastAsia"/>
        </w:rPr>
        <w:t xml:space="preserve"> </w:t>
      </w:r>
      <w:r>
        <w:rPr>
          <w:rFonts w:hint="eastAsia"/>
        </w:rPr>
        <w:t>合并定期报告明确指</w:t>
      </w:r>
      <w:r>
        <w:rPr>
          <w:rFonts w:hint="eastAsia"/>
        </w:rPr>
        <w:t>出国家为了在对外政策中实现两性平等面临了种种困难。为了消除其中的某些障碍，作为机构专门政策的一个组成部分，国家妇女研究所与外交部合作开展了一系列活动。该项倡议产生了以下成果（国家妇女研究所，</w:t>
      </w:r>
      <w:r>
        <w:rPr>
          <w:rFonts w:hint="eastAsia"/>
        </w:rPr>
        <w:t>2000</w:t>
      </w:r>
      <w:r>
        <w:rPr>
          <w:rFonts w:hint="eastAsia"/>
        </w:rPr>
        <w:t>年）：</w:t>
      </w:r>
    </w:p>
    <w:p w:rsidR="00000000" w:rsidRDefault="00CA422F">
      <w:pPr>
        <w:numPr>
          <w:ilvl w:val="0"/>
          <w:numId w:val="828"/>
        </w:numPr>
        <w:tabs>
          <w:tab w:val="clear" w:pos="360"/>
          <w:tab w:val="num" w:pos="840"/>
        </w:tabs>
        <w:spacing w:after="240" w:line="360" w:lineRule="exact"/>
        <w:ind w:left="840" w:hanging="378"/>
        <w:rPr>
          <w:rFonts w:hint="eastAsia"/>
        </w:rPr>
      </w:pPr>
      <w:r>
        <w:rPr>
          <w:rFonts w:hint="eastAsia"/>
        </w:rPr>
        <w:t>宣传和普及有关性别问题的公共政策；</w:t>
      </w:r>
    </w:p>
    <w:p w:rsidR="00000000" w:rsidRDefault="00CA422F">
      <w:pPr>
        <w:numPr>
          <w:ilvl w:val="0"/>
          <w:numId w:val="828"/>
        </w:numPr>
        <w:tabs>
          <w:tab w:val="clear" w:pos="360"/>
          <w:tab w:val="num" w:pos="840"/>
        </w:tabs>
        <w:spacing w:after="240" w:line="360" w:lineRule="exact"/>
        <w:ind w:left="840" w:hanging="378"/>
        <w:rPr>
          <w:rFonts w:hint="eastAsia"/>
        </w:rPr>
      </w:pPr>
      <w:r>
        <w:rPr>
          <w:rFonts w:hint="eastAsia"/>
        </w:rPr>
        <w:t>承认国家妇女研究所（国家机构）是促进两性平等政策的领导机关。这一进步使国家妇女研究所能够向驻外使团以及在相关的国际论坛上就对外政策的立场发表意见。</w:t>
      </w:r>
    </w:p>
    <w:p w:rsidR="00000000" w:rsidRDefault="00CA422F">
      <w:pPr>
        <w:numPr>
          <w:ilvl w:val="0"/>
          <w:numId w:val="828"/>
        </w:numPr>
        <w:tabs>
          <w:tab w:val="clear" w:pos="360"/>
          <w:tab w:val="num" w:pos="840"/>
        </w:tabs>
        <w:spacing w:after="240" w:line="360" w:lineRule="exact"/>
        <w:ind w:left="840" w:hanging="378"/>
        <w:rPr>
          <w:rFonts w:hint="eastAsia"/>
        </w:rPr>
      </w:pPr>
      <w:r>
        <w:rPr>
          <w:rFonts w:hint="eastAsia"/>
        </w:rPr>
        <w:t>委任国家妇女研究所的代表作为官方代表团成员参加有关妇女和性别问题的政府间会议。例如，在联合国拉丁美洲经济委员会妇女政策部长</w:t>
      </w:r>
      <w:r>
        <w:rPr>
          <w:rFonts w:hint="eastAsia"/>
        </w:rPr>
        <w:t>和负责人会议上，哥斯达黎加代表团团长是由国家妇女研究所代表担任的。</w:t>
      </w:r>
    </w:p>
    <w:p w:rsidR="00000000" w:rsidRDefault="00CA422F">
      <w:pPr>
        <w:spacing w:after="240" w:line="360" w:lineRule="exact"/>
        <w:rPr>
          <w:rFonts w:hint="eastAsia"/>
        </w:rPr>
      </w:pPr>
      <w:r>
        <w:rPr>
          <w:rFonts w:hint="eastAsia"/>
        </w:rPr>
        <w:t>305</w:t>
      </w:r>
      <w:r>
        <w:rPr>
          <w:rFonts w:hint="eastAsia"/>
        </w:rPr>
        <w:t>．这一政策的执行，以及在实施政策的同时开展系统的、有国际影响的活动，这为争取国际合作资源成为可能，从而能够加强国家妇女研究所的执行能力，实施促进两性平等的政策和开展相关的宣传活动，以及执行以提高觉悟为目标的公共政策。在这一战略的指导下，源自国际合作的资源被用于强化现已启动的活动，以避免从依赖国际合作资源转到对国际捐助者的依赖，同时，也确保行动的可持续性。</w:t>
      </w:r>
    </w:p>
    <w:p w:rsidR="00000000" w:rsidRDefault="00CA422F">
      <w:pPr>
        <w:spacing w:after="240" w:line="360" w:lineRule="exact"/>
        <w:rPr>
          <w:rFonts w:hint="eastAsia"/>
        </w:rPr>
      </w:pPr>
      <w:r>
        <w:rPr>
          <w:rFonts w:hint="eastAsia"/>
        </w:rPr>
        <w:t>306</w:t>
      </w:r>
      <w:r>
        <w:rPr>
          <w:rFonts w:hint="eastAsia"/>
        </w:rPr>
        <w:t>．根据对这一政策的理解，国家妇女研究所在</w:t>
      </w:r>
      <w:r>
        <w:rPr>
          <w:rFonts w:hint="eastAsia"/>
        </w:rPr>
        <w:t>1996</w:t>
      </w:r>
      <w:r>
        <w:rPr>
          <w:rFonts w:hint="eastAsia"/>
        </w:rPr>
        <w:t>至</w:t>
      </w:r>
      <w:r>
        <w:rPr>
          <w:rFonts w:hint="eastAsia"/>
        </w:rPr>
        <w:t>1999</w:t>
      </w:r>
      <w:r>
        <w:rPr>
          <w:rFonts w:hint="eastAsia"/>
        </w:rPr>
        <w:t>年间被任命为拉丁</w:t>
      </w:r>
      <w:r>
        <w:rPr>
          <w:rFonts w:hint="eastAsia"/>
        </w:rPr>
        <w:t>美洲及加勒比地区政府妇女组织或国家妇女机构网的区域总协调员，后来又被推选在</w:t>
      </w:r>
      <w:r>
        <w:rPr>
          <w:rFonts w:hint="eastAsia"/>
        </w:rPr>
        <w:t>1998</w:t>
      </w:r>
      <w:r>
        <w:rPr>
          <w:rFonts w:hint="eastAsia"/>
        </w:rPr>
        <w:t>至</w:t>
      </w:r>
      <w:r>
        <w:rPr>
          <w:rFonts w:hint="eastAsia"/>
        </w:rPr>
        <w:t>2001</w:t>
      </w:r>
      <w:r>
        <w:rPr>
          <w:rFonts w:hint="eastAsia"/>
        </w:rPr>
        <w:t>年间再次担任这个职务。在行使这一职责的过程中，国家妇女研究所在哥斯达黎外交部的帮助下，推动召开了数次中美洲、南半球和伊比利亚美洲首脑会议，会议达成了决议，从政策－行政、预算和技术各个层面强化各国的妇女机构（国家妇女研究所，</w:t>
      </w:r>
      <w:r>
        <w:rPr>
          <w:rFonts w:hint="eastAsia"/>
        </w:rPr>
        <w:t>2000</w:t>
      </w:r>
      <w:r>
        <w:rPr>
          <w:rFonts w:hint="eastAsia"/>
        </w:rPr>
        <w:t>年）。</w:t>
      </w:r>
    </w:p>
    <w:p w:rsidR="00000000" w:rsidRDefault="00CA422F">
      <w:pPr>
        <w:spacing w:after="240" w:line="360" w:lineRule="exact"/>
        <w:rPr>
          <w:rFonts w:hint="eastAsia"/>
        </w:rPr>
      </w:pPr>
      <w:r>
        <w:rPr>
          <w:rFonts w:hint="eastAsia"/>
        </w:rPr>
        <w:t>307</w:t>
      </w:r>
      <w:r>
        <w:rPr>
          <w:rFonts w:hint="eastAsia"/>
        </w:rPr>
        <w:t>．在这一背景下出现了强化国家妇女研究所作用的要求，以便除明确涉及性别问题之外，它能够长期向驻外使团和国际论坛就对外政策的决策问题提供参考意见。外交部必须承认对外政策的一切事务都</w:t>
      </w:r>
      <w:r>
        <w:rPr>
          <w:rFonts w:hint="eastAsia"/>
        </w:rPr>
        <w:t>与两性平等与公平问题有关，因此，对于那些讨论和决定影响妇女生活事务的首脑会议，国家妇女研究所也应该积极参与，如美洲自由贸易区和其他外贸组织的会议，以及在南非德班举行的向种族主义和种族歧视进行战斗世界会议。</w:t>
      </w:r>
    </w:p>
    <w:p w:rsidR="00000000" w:rsidRDefault="00CA422F">
      <w:pPr>
        <w:spacing w:after="240" w:line="360" w:lineRule="exact"/>
        <w:jc w:val="center"/>
        <w:rPr>
          <w:rFonts w:eastAsia="SimHei" w:hint="eastAsia"/>
          <w:sz w:val="24"/>
        </w:rPr>
      </w:pPr>
      <w:r>
        <w:rPr>
          <w:rFonts w:eastAsia="SimHei" w:hint="eastAsia"/>
          <w:sz w:val="24"/>
        </w:rPr>
        <w:t>提交有关促进两性平等与公平的国际承诺的报告</w:t>
      </w:r>
    </w:p>
    <w:p w:rsidR="00000000" w:rsidRDefault="00CA422F">
      <w:pPr>
        <w:spacing w:after="240" w:line="360" w:lineRule="exact"/>
        <w:rPr>
          <w:rFonts w:hint="eastAsia"/>
        </w:rPr>
      </w:pPr>
      <w:r>
        <w:rPr>
          <w:rFonts w:hint="eastAsia"/>
        </w:rPr>
        <w:t>308</w:t>
      </w:r>
      <w:r>
        <w:rPr>
          <w:rFonts w:hint="eastAsia"/>
        </w:rPr>
        <w:t>．最近四年以来，外交和信仰部一直努力按时向联合国系统特别委员会和国际人权保护系统提交报告。大多数报告中依然没有涉及妇女状况的内容，因此，内阁必须采取更强有力的行动，促使在这些报告中加入对各项公约进行逐条评估的内容，并总结妇女的权利状况。</w:t>
      </w:r>
    </w:p>
    <w:p w:rsidR="00000000" w:rsidRDefault="00CA422F">
      <w:pPr>
        <w:spacing w:after="240" w:line="360" w:lineRule="exact"/>
        <w:rPr>
          <w:rFonts w:hint="eastAsia"/>
        </w:rPr>
      </w:pPr>
      <w:r>
        <w:rPr>
          <w:rFonts w:hint="eastAsia"/>
        </w:rPr>
        <w:t>309</w:t>
      </w:r>
      <w:r>
        <w:rPr>
          <w:rFonts w:hint="eastAsia"/>
        </w:rPr>
        <w:t>．</w:t>
      </w:r>
      <w:r>
        <w:rPr>
          <w:rFonts w:hint="eastAsia"/>
          <w:spacing w:val="4"/>
        </w:rPr>
        <w:t>家庭和妇女</w:t>
      </w:r>
      <w:r>
        <w:rPr>
          <w:rFonts w:hint="eastAsia"/>
          <w:spacing w:val="4"/>
        </w:rPr>
        <w:t>发展中心是国家妇女研究所的前身。后者成立之后实施了多项动议，以便按时提交有关消除对妇女一切歧视问题的报告。作为该进程的一个组成部分，国家妇女研究所注重在上述动议的框架内与民间社会的妇女组织展开对话和磋商，使北京会议五周年总结工作更加具体。支持这一努力的是信心，相信在体制化和反思的共同促进下，能够实现相互学习与相互信赖，从而开辟继续前进的机会，同时，能够在各方之间开展良好的对话和确立良好的联盟关系。达成和签署“国家妇女研究所和非政府妇女组织对话与磋商的道德框架”协议是在上述进程中形成的第一项正式成果。它为促进</w:t>
      </w:r>
      <w:r>
        <w:rPr>
          <w:rFonts w:hint="eastAsia"/>
          <w:spacing w:val="4"/>
        </w:rPr>
        <w:t>拟订各种协议和协定的常设后续机制与监督机制奠定了工作基础。这是一种非常好的做法，值得推荐以发扬光大（国家妇女研究所，</w:t>
      </w:r>
      <w:r>
        <w:rPr>
          <w:rFonts w:hint="eastAsia"/>
          <w:spacing w:val="4"/>
        </w:rPr>
        <w:t>2000</w:t>
      </w:r>
      <w:r>
        <w:rPr>
          <w:rFonts w:hint="eastAsia"/>
          <w:spacing w:val="4"/>
        </w:rPr>
        <w:t>年）。</w:t>
      </w:r>
    </w:p>
    <w:p w:rsidR="00000000" w:rsidRDefault="00CA422F">
      <w:pPr>
        <w:spacing w:after="240" w:line="360" w:lineRule="exact"/>
        <w:rPr>
          <w:rFonts w:hint="eastAsia"/>
        </w:rPr>
      </w:pPr>
    </w:p>
    <w:p w:rsidR="00000000" w:rsidRDefault="00CA422F">
      <w:pPr>
        <w:spacing w:after="240" w:line="360" w:lineRule="exact"/>
        <w:jc w:val="center"/>
        <w:rPr>
          <w:rFonts w:eastAsia="SimHei" w:hint="eastAsia"/>
          <w:color w:val="000000"/>
          <w:sz w:val="24"/>
        </w:rPr>
      </w:pPr>
      <w:r>
        <w:br w:type="page"/>
      </w:r>
      <w:r>
        <w:rPr>
          <w:rFonts w:eastAsia="SimHei" w:hint="eastAsia"/>
          <w:color w:val="000000"/>
          <w:sz w:val="24"/>
        </w:rPr>
        <w:t>第九条：国籍和公民身份</w:t>
      </w:r>
    </w:p>
    <w:p w:rsidR="00000000" w:rsidRDefault="00CA422F">
      <w:pPr>
        <w:spacing w:after="240" w:line="360" w:lineRule="exact"/>
        <w:rPr>
          <w:rFonts w:eastAsia="SimHei" w:hint="eastAsia"/>
          <w:color w:val="000000"/>
        </w:rPr>
      </w:pPr>
      <w:r>
        <w:rPr>
          <w:rFonts w:eastAsia="SimHei" w:hint="eastAsia"/>
          <w:color w:val="000000"/>
        </w:rPr>
        <w:t>第九条：</w:t>
      </w:r>
    </w:p>
    <w:p w:rsidR="00000000" w:rsidRDefault="00CA422F">
      <w:pPr>
        <w:spacing w:after="240" w:line="360" w:lineRule="exact"/>
        <w:rPr>
          <w:rFonts w:ascii="KaiTi_GB2312" w:eastAsia="KaiTi_GB2312" w:hint="eastAsia"/>
          <w:color w:val="000000"/>
        </w:rPr>
      </w:pPr>
      <w:r>
        <w:rPr>
          <w:rFonts w:ascii="KaiTi_GB2312" w:eastAsia="KaiTi_GB2312" w:hint="eastAsia"/>
          <w:color w:val="000000"/>
        </w:rPr>
        <w:t>1</w:t>
      </w:r>
      <w:r>
        <w:rPr>
          <w:rFonts w:ascii="KaiTi_GB2312" w:eastAsia="KaiTi_GB2312" w:hint="eastAsia"/>
          <w:color w:val="000000"/>
        </w:rPr>
        <w:t>．缔约各国应给予妇女与男子有取得、改变或保留国籍的同等权利。它们应特别保证，与外国人结婚或于婚姻存续期间丈夫改变国籍均不当改变妻子的国籍，使她成为无国籍人，或把丈夫的国籍强加于她。</w:t>
      </w:r>
    </w:p>
    <w:p w:rsidR="00000000" w:rsidRDefault="00CA422F">
      <w:pPr>
        <w:spacing w:after="240" w:line="360" w:lineRule="exact"/>
        <w:rPr>
          <w:rFonts w:ascii="KaiTi_GB2312" w:eastAsia="KaiTi_GB2312" w:hint="eastAsia"/>
          <w:color w:val="000000"/>
        </w:rPr>
      </w:pPr>
      <w:r>
        <w:rPr>
          <w:rFonts w:ascii="KaiTi_GB2312" w:eastAsia="KaiTi_GB2312" w:hint="eastAsia"/>
          <w:color w:val="000000"/>
        </w:rPr>
        <w:t>2</w:t>
      </w:r>
      <w:r>
        <w:rPr>
          <w:rFonts w:ascii="KaiTi_GB2312" w:eastAsia="KaiTi_GB2312" w:hint="eastAsia"/>
          <w:color w:val="000000"/>
        </w:rPr>
        <w:t>．缔约各国在关于子女的国籍方面，应给予妇女与男子平等的权利。</w:t>
      </w:r>
    </w:p>
    <w:p w:rsidR="00000000" w:rsidRDefault="00CA422F">
      <w:pPr>
        <w:spacing w:after="240" w:line="360" w:lineRule="exact"/>
        <w:jc w:val="center"/>
        <w:rPr>
          <w:rFonts w:eastAsia="SimHei" w:hint="eastAsia"/>
          <w:color w:val="000000"/>
          <w:sz w:val="24"/>
        </w:rPr>
      </w:pPr>
      <w:r>
        <w:rPr>
          <w:rFonts w:eastAsia="SimHei" w:hint="eastAsia"/>
          <w:color w:val="000000"/>
          <w:sz w:val="24"/>
        </w:rPr>
        <w:t>移民造成公民身份的新问题</w:t>
      </w:r>
    </w:p>
    <w:p w:rsidR="00000000" w:rsidRDefault="00CA422F">
      <w:pPr>
        <w:spacing w:after="240" w:line="360" w:lineRule="exact"/>
        <w:rPr>
          <w:rFonts w:hint="eastAsia"/>
          <w:color w:val="000000"/>
        </w:rPr>
      </w:pPr>
      <w:r>
        <w:rPr>
          <w:rFonts w:hint="eastAsia"/>
          <w:color w:val="000000"/>
        </w:rPr>
        <w:t>310</w:t>
      </w:r>
      <w:r>
        <w:rPr>
          <w:rFonts w:hint="eastAsia"/>
          <w:color w:val="000000"/>
        </w:rPr>
        <w:t>．哥斯达黎加妇女在过去十年已经消除了国籍和公民身份方面的两性不</w:t>
      </w:r>
      <w:r>
        <w:rPr>
          <w:rFonts w:hint="eastAsia"/>
          <w:color w:val="000000"/>
        </w:rPr>
        <w:t>平等现象。目前，她们同男性一样平等地享有获得、改变或保留国籍的权利，政府也保障她们的子女享有国籍方面的有关权利。然而，现在遭受不平等的是居住在哥斯达黎加的尼加拉瓜妇女，由于她们人数不多且情况各异，在这方面则遭到了极大的歧视。</w:t>
      </w:r>
    </w:p>
    <w:p w:rsidR="00000000" w:rsidRDefault="00CA422F">
      <w:pPr>
        <w:spacing w:after="240" w:line="360" w:lineRule="exact"/>
        <w:rPr>
          <w:rFonts w:hint="eastAsia"/>
          <w:color w:val="000000"/>
        </w:rPr>
      </w:pPr>
      <w:r>
        <w:rPr>
          <w:rFonts w:hint="eastAsia"/>
          <w:color w:val="000000"/>
        </w:rPr>
        <w:t>311</w:t>
      </w:r>
      <w:r>
        <w:rPr>
          <w:rFonts w:hint="eastAsia"/>
          <w:color w:val="000000"/>
        </w:rPr>
        <w:t>．哥斯达黎加一直就有提供避难所的悠久传统。由于最近几十年中美洲的战争冲突，哥斯达黎加已经接收了为数众多的移民；因为武装冲突的结果及其带来的经济、社会和政治等问题，这些移民前来寻求庇护。最先是来自萨尔瓦多的移民，男女均有。后来，时至今日，</w:t>
      </w:r>
      <w:r>
        <w:rPr>
          <w:rFonts w:hint="eastAsia"/>
          <w:color w:val="000000"/>
        </w:rPr>
        <w:t>80</w:t>
      </w:r>
      <w:r>
        <w:rPr>
          <w:rFonts w:hint="eastAsia"/>
          <w:color w:val="000000"/>
        </w:rPr>
        <w:t>％的移民都来自尼加拉瓜。不少移民都是通过</w:t>
      </w:r>
      <w:r>
        <w:rPr>
          <w:rFonts w:hint="eastAsia"/>
          <w:color w:val="000000"/>
        </w:rPr>
        <w:t>非正常手段进入哥斯达黎加的，这无疑是使他们面临人权被践踏的危险。而女性移民出于性别原因，则遭受更大的歧视和压迫。</w:t>
      </w:r>
    </w:p>
    <w:p w:rsidR="00000000" w:rsidRDefault="00CA422F">
      <w:pPr>
        <w:spacing w:after="240" w:line="360" w:lineRule="exact"/>
        <w:jc w:val="center"/>
        <w:rPr>
          <w:rFonts w:eastAsia="SimHei" w:hint="eastAsia"/>
          <w:color w:val="000000"/>
          <w:sz w:val="24"/>
        </w:rPr>
      </w:pPr>
      <w:r>
        <w:rPr>
          <w:rFonts w:eastAsia="SimHei" w:hint="eastAsia"/>
          <w:color w:val="000000"/>
          <w:sz w:val="24"/>
        </w:rPr>
        <w:t>来自尼加拉瓜的女移民</w:t>
      </w:r>
    </w:p>
    <w:p w:rsidR="00000000" w:rsidRDefault="00CA422F">
      <w:pPr>
        <w:spacing w:after="240" w:line="360" w:lineRule="exact"/>
        <w:rPr>
          <w:rFonts w:hint="eastAsia"/>
          <w:color w:val="000000"/>
        </w:rPr>
      </w:pPr>
      <w:r>
        <w:rPr>
          <w:rFonts w:hint="eastAsia"/>
          <w:color w:val="000000"/>
        </w:rPr>
        <w:t>312</w:t>
      </w:r>
      <w:r>
        <w:rPr>
          <w:rFonts w:hint="eastAsia"/>
          <w:color w:val="000000"/>
        </w:rPr>
        <w:t>．造成哥斯达黎加境内尼加拉瓜移民人数众多的原因来自经济、政治和社会各个方面，哥斯达黎加和尼加拉瓜的不少信息来源和领域都曾对其进行过讨论。但是，针对来到哥斯达黎加的尼加拉瓜女移民及其因性别原因而受到的非常规待遇的研究却少得可怜。居民保护组织受理的申诉中有不少都是对国家机构拒绝为尼加拉瓜女移民及其子女提供医疗服务或者因为她们没有移民证件而拒绝授予学习证书等的控诉。不少借助</w:t>
      </w:r>
      <w:r>
        <w:rPr>
          <w:rFonts w:hint="eastAsia"/>
          <w:color w:val="000000"/>
        </w:rPr>
        <w:t>非正常手段来到哥斯达黎加的女移民都因缺少证件而无法办理移民身份，如尼加拉瓜的出生证明，事实上，尼加拉瓜根本不办理此类证明。</w:t>
      </w:r>
    </w:p>
    <w:p w:rsidR="00000000" w:rsidRDefault="00CA422F">
      <w:pPr>
        <w:spacing w:after="240" w:line="360" w:lineRule="exact"/>
        <w:rPr>
          <w:rFonts w:hint="eastAsia"/>
          <w:color w:val="000000"/>
        </w:rPr>
      </w:pPr>
      <w:r>
        <w:rPr>
          <w:rFonts w:hint="eastAsia"/>
          <w:color w:val="000000"/>
        </w:rPr>
        <w:t>313</w:t>
      </w:r>
      <w:r>
        <w:rPr>
          <w:rFonts w:hint="eastAsia"/>
          <w:color w:val="000000"/>
        </w:rPr>
        <w:t>．菲格雷斯执政期间在贫民窟开展的人口普查表明，居住在圣何塞中央省、能够勉强维持的家庭中，有</w:t>
      </w:r>
      <w:r>
        <w:rPr>
          <w:rFonts w:hint="eastAsia"/>
          <w:color w:val="000000"/>
        </w:rPr>
        <w:t>42</w:t>
      </w:r>
      <w:r>
        <w:rPr>
          <w:rFonts w:hint="eastAsia"/>
          <w:color w:val="000000"/>
        </w:rPr>
        <w:t>％来自尼加拉瓜。其中又有</w:t>
      </w:r>
      <w:r>
        <w:rPr>
          <w:rFonts w:hint="eastAsia"/>
          <w:color w:val="000000"/>
        </w:rPr>
        <w:t>42</w:t>
      </w:r>
      <w:r>
        <w:rPr>
          <w:rFonts w:hint="eastAsia"/>
          <w:color w:val="000000"/>
        </w:rPr>
        <w:t>％的家庭由女性持家，或者是非核心家庭。也就是说，家庭关系扩大成了血缘关系，有时候家庭成员甚至还包括毫无血缘关系的局外人（</w:t>
      </w:r>
      <w:r>
        <w:rPr>
          <w:rFonts w:hint="eastAsia"/>
          <w:color w:val="000000"/>
        </w:rPr>
        <w:t>Chen</w:t>
      </w:r>
      <w:r>
        <w:rPr>
          <w:rFonts w:hint="eastAsia"/>
          <w:color w:val="000000"/>
        </w:rPr>
        <w:t>等，</w:t>
      </w:r>
      <w:r>
        <w:rPr>
          <w:rFonts w:hint="eastAsia"/>
          <w:color w:val="000000"/>
        </w:rPr>
        <w:t>2001</w:t>
      </w:r>
      <w:r>
        <w:rPr>
          <w:rFonts w:hint="eastAsia"/>
          <w:color w:val="000000"/>
        </w:rPr>
        <w:t>年）。</w:t>
      </w:r>
    </w:p>
    <w:p w:rsidR="00000000" w:rsidRDefault="00CA422F">
      <w:pPr>
        <w:spacing w:after="240" w:line="360" w:lineRule="exact"/>
        <w:rPr>
          <w:rFonts w:hint="eastAsia"/>
          <w:color w:val="000000"/>
        </w:rPr>
      </w:pPr>
      <w:r>
        <w:rPr>
          <w:rFonts w:hint="eastAsia"/>
          <w:color w:val="000000"/>
        </w:rPr>
        <w:t>314</w:t>
      </w:r>
      <w:r>
        <w:rPr>
          <w:rFonts w:hint="eastAsia"/>
          <w:color w:val="000000"/>
        </w:rPr>
        <w:t>．虽然哥斯达黎加境内的尼加拉瓜移民人数众多，并且已经构成了公共政策有关社会内容的实施过程中应该兼顾的人口因</w:t>
      </w:r>
      <w:r>
        <w:rPr>
          <w:rFonts w:hint="eastAsia"/>
          <w:color w:val="000000"/>
        </w:rPr>
        <w:t>素，但是，专门针对哥斯达黎加境内的尼加拉瓜移民的法律至今仍未出台。应该承认，过去十年的各届政府都曾采取了一定的机制来解决移民，特别是尼加拉瓜移民的问题。著名的例子有二，一是罗德里格斯政府针对</w:t>
      </w:r>
      <w:r>
        <w:rPr>
          <w:rFonts w:hint="eastAsia"/>
          <w:color w:val="000000"/>
        </w:rPr>
        <w:t>1998</w:t>
      </w:r>
      <w:r>
        <w:rPr>
          <w:rFonts w:hint="eastAsia"/>
          <w:color w:val="000000"/>
        </w:rPr>
        <w:t>年前已经生活在哥斯达黎加的中美洲移民施行的《移民抗辩法》，另一个就是《临时工作证特许法》。上述两项法律都体现出哥斯达黎加政府对尼加拉瓜移民的就业采取了一定的控制措施。</w:t>
      </w:r>
    </w:p>
    <w:p w:rsidR="00000000" w:rsidRDefault="00CA422F">
      <w:pPr>
        <w:spacing w:after="240" w:line="360" w:lineRule="exact"/>
        <w:rPr>
          <w:rFonts w:hint="eastAsia"/>
          <w:color w:val="000000"/>
        </w:rPr>
      </w:pPr>
      <w:r>
        <w:rPr>
          <w:rFonts w:hint="eastAsia"/>
          <w:color w:val="000000"/>
        </w:rPr>
        <w:t>315</w:t>
      </w:r>
      <w:r>
        <w:rPr>
          <w:rFonts w:hint="eastAsia"/>
          <w:color w:val="000000"/>
        </w:rPr>
        <w:t>．对这类移民群体开展的调查表明，女移民处于极为不利的地位。哥斯达黎加的尼加拉瓜女移民中，</w:t>
      </w:r>
      <w:r>
        <w:rPr>
          <w:rFonts w:hint="eastAsia"/>
          <w:color w:val="000000"/>
        </w:rPr>
        <w:t>45%</w:t>
      </w:r>
      <w:r>
        <w:rPr>
          <w:rFonts w:hint="eastAsia"/>
          <w:color w:val="000000"/>
        </w:rPr>
        <w:t>没有完成初等教育，</w:t>
      </w:r>
      <w:r>
        <w:rPr>
          <w:rFonts w:hint="eastAsia"/>
          <w:color w:val="000000"/>
        </w:rPr>
        <w:t>11</w:t>
      </w:r>
      <w:r>
        <w:rPr>
          <w:rFonts w:hint="eastAsia"/>
          <w:color w:val="000000"/>
        </w:rPr>
        <w:t>％则根本没有接受过任何程</w:t>
      </w:r>
      <w:r>
        <w:rPr>
          <w:rFonts w:hint="eastAsia"/>
          <w:color w:val="000000"/>
        </w:rPr>
        <w:t>度的教育（</w:t>
      </w:r>
      <w:r>
        <w:rPr>
          <w:rFonts w:hint="eastAsia"/>
          <w:color w:val="000000"/>
        </w:rPr>
        <w:t>Chen</w:t>
      </w:r>
      <w:r>
        <w:rPr>
          <w:rFonts w:hint="eastAsia"/>
          <w:color w:val="000000"/>
        </w:rPr>
        <w:t>等，</w:t>
      </w:r>
      <w:r>
        <w:rPr>
          <w:rFonts w:hint="eastAsia"/>
          <w:color w:val="000000"/>
        </w:rPr>
        <w:t>2001</w:t>
      </w:r>
      <w:r>
        <w:rPr>
          <w:rFonts w:hint="eastAsia"/>
          <w:color w:val="000000"/>
        </w:rPr>
        <w:t>年）。因此，她们进入劳动力市场是极不稳定的，从事的职业也主要集中在有偿的服务行业，最明显的就是大多数女移民都从事家政服务（民族国家计划，</w:t>
      </w:r>
      <w:r>
        <w:rPr>
          <w:rFonts w:hint="eastAsia"/>
          <w:color w:val="000000"/>
        </w:rPr>
        <w:t>2000</w:t>
      </w:r>
      <w:r>
        <w:rPr>
          <w:rFonts w:hint="eastAsia"/>
          <w:color w:val="000000"/>
        </w:rPr>
        <w:t>年）。其中不少女性虽然已经参与了劳动力市场，但是由于自身的非法状况或者对于相关法律认识不够，并没有向雇主提出保障她们相应劳动权利的要求。</w:t>
      </w:r>
    </w:p>
    <w:p w:rsidR="00000000" w:rsidRDefault="00CA422F">
      <w:pPr>
        <w:spacing w:after="240" w:line="360" w:lineRule="exact"/>
        <w:rPr>
          <w:rFonts w:hint="eastAsia"/>
          <w:color w:val="000000"/>
        </w:rPr>
      </w:pPr>
      <w:r>
        <w:rPr>
          <w:rFonts w:hint="eastAsia"/>
          <w:color w:val="000000"/>
        </w:rPr>
        <w:t>316</w:t>
      </w:r>
      <w:r>
        <w:rPr>
          <w:rFonts w:hint="eastAsia"/>
          <w:color w:val="000000"/>
        </w:rPr>
        <w:t>．不少量化研究的结果表明，在哥斯达黎加的尼加拉瓜男女移民中存在着覆盖面极为广阔的援助网络，其中女性发挥着主导作用，她们为家里提供经济援助或帮助家人前来哥斯达黎加，使更多的尼加拉瓜移民前往哥斯达黎</w:t>
      </w:r>
      <w:r>
        <w:rPr>
          <w:rFonts w:hint="eastAsia"/>
          <w:color w:val="000000"/>
        </w:rPr>
        <w:t>加寻求新的机遇，或者使留在尼加拉瓜的亲朋好友能够生活得更好（</w:t>
      </w:r>
      <w:r>
        <w:rPr>
          <w:rFonts w:hint="eastAsia"/>
          <w:color w:val="000000"/>
        </w:rPr>
        <w:t>Chen</w:t>
      </w:r>
      <w:r>
        <w:rPr>
          <w:rFonts w:hint="eastAsia"/>
          <w:color w:val="000000"/>
        </w:rPr>
        <w:t>等，</w:t>
      </w:r>
      <w:r>
        <w:rPr>
          <w:rFonts w:hint="eastAsia"/>
          <w:color w:val="000000"/>
        </w:rPr>
        <w:t>2001</w:t>
      </w:r>
      <w:r>
        <w:rPr>
          <w:rFonts w:hint="eastAsia"/>
          <w:color w:val="000000"/>
        </w:rPr>
        <w:t>年）。</w:t>
      </w:r>
    </w:p>
    <w:p w:rsidR="00000000" w:rsidRDefault="00CA422F">
      <w:pPr>
        <w:spacing w:after="240" w:line="360" w:lineRule="exact"/>
        <w:rPr>
          <w:rFonts w:hint="eastAsia"/>
          <w:color w:val="000000"/>
        </w:rPr>
      </w:pPr>
      <w:r>
        <w:rPr>
          <w:rFonts w:hint="eastAsia"/>
          <w:color w:val="000000"/>
        </w:rPr>
        <w:t>317</w:t>
      </w:r>
      <w:r>
        <w:rPr>
          <w:rFonts w:hint="eastAsia"/>
          <w:color w:val="000000"/>
        </w:rPr>
        <w:t>．由于国内有移民，不少哥斯达黎加社会机构都把尼加拉瓜移民群体看作是一种威胁，并认为女移民是造成这一现象的罪魁祸首，觉得她们尤其破坏了公共服务体系。为证明这一点，这些机构指出，处于育龄阶段的尼加拉瓜女移民的生殖率大大高于哥斯达黎加女性，后者平均生育</w:t>
      </w:r>
      <w:r>
        <w:rPr>
          <w:rFonts w:hint="eastAsia"/>
          <w:color w:val="000000"/>
        </w:rPr>
        <w:t>2.8</w:t>
      </w:r>
      <w:r>
        <w:rPr>
          <w:rFonts w:hint="eastAsia"/>
          <w:color w:val="000000"/>
        </w:rPr>
        <w:t>个孩子，而尼加拉瓜女性则平均生育</w:t>
      </w:r>
      <w:r>
        <w:rPr>
          <w:rFonts w:hint="eastAsia"/>
          <w:color w:val="000000"/>
        </w:rPr>
        <w:t>3.8</w:t>
      </w:r>
      <w:r>
        <w:rPr>
          <w:rFonts w:hint="eastAsia"/>
          <w:color w:val="000000"/>
        </w:rPr>
        <w:t>个孩子（</w:t>
      </w:r>
      <w:r>
        <w:rPr>
          <w:rFonts w:hint="eastAsia"/>
          <w:color w:val="000000"/>
        </w:rPr>
        <w:t>Chen</w:t>
      </w:r>
      <w:r>
        <w:rPr>
          <w:rFonts w:hint="eastAsia"/>
          <w:color w:val="000000"/>
        </w:rPr>
        <w:t>等，</w:t>
      </w:r>
      <w:r>
        <w:rPr>
          <w:rFonts w:hint="eastAsia"/>
          <w:color w:val="000000"/>
        </w:rPr>
        <w:t>2001</w:t>
      </w:r>
      <w:r>
        <w:rPr>
          <w:rFonts w:hint="eastAsia"/>
          <w:color w:val="000000"/>
        </w:rPr>
        <w:t>年）。因此，举例来说，</w:t>
      </w:r>
      <w:r>
        <w:rPr>
          <w:rFonts w:hint="eastAsia"/>
          <w:color w:val="000000"/>
        </w:rPr>
        <w:t>1999</w:t>
      </w:r>
      <w:r>
        <w:rPr>
          <w:rFonts w:hint="eastAsia"/>
          <w:color w:val="000000"/>
        </w:rPr>
        <w:t>年，哥斯达黎加的新生儿中有，</w:t>
      </w:r>
      <w:r>
        <w:rPr>
          <w:rFonts w:hint="eastAsia"/>
          <w:color w:val="000000"/>
        </w:rPr>
        <w:t>12.3%</w:t>
      </w:r>
      <w:r>
        <w:rPr>
          <w:rFonts w:hint="eastAsia"/>
          <w:color w:val="000000"/>
        </w:rPr>
        <w:t>为尼加拉瓜女移民的子女（民族国家</w:t>
      </w:r>
      <w:r>
        <w:rPr>
          <w:rFonts w:hint="eastAsia"/>
          <w:color w:val="000000"/>
        </w:rPr>
        <w:t>计划，</w:t>
      </w:r>
      <w:r>
        <w:rPr>
          <w:rFonts w:hint="eastAsia"/>
          <w:color w:val="000000"/>
        </w:rPr>
        <w:t>2000</w:t>
      </w:r>
      <w:r>
        <w:rPr>
          <w:rFonts w:hint="eastAsia"/>
          <w:color w:val="000000"/>
        </w:rPr>
        <w:t>等）。</w:t>
      </w:r>
    </w:p>
    <w:p w:rsidR="00000000" w:rsidRDefault="00CA422F">
      <w:pPr>
        <w:spacing w:after="240" w:line="360" w:lineRule="exact"/>
        <w:rPr>
          <w:rFonts w:hint="eastAsia"/>
        </w:rPr>
      </w:pPr>
      <w:r>
        <w:rPr>
          <w:rFonts w:hint="eastAsia"/>
          <w:color w:val="000000"/>
        </w:rPr>
        <w:t>318</w:t>
      </w:r>
      <w:r>
        <w:rPr>
          <w:rFonts w:hint="eastAsia"/>
          <w:color w:val="000000"/>
        </w:rPr>
        <w:t>．这就解释了为什么尼加拉瓜移民群体最经常使用的公共服务就是医疗和教育，既然孩子的出生率这么高，必然需要经常光顾医院和学校，对上述两项服务也就造成了明显的冲击</w:t>
      </w:r>
      <w:r>
        <w:rPr>
          <w:rStyle w:val="FootnoteReference"/>
          <w:color w:val="000000"/>
        </w:rPr>
        <w:footnoteReference w:customMarkFollows="1" w:id="19"/>
        <w:t>18</w:t>
      </w:r>
      <w:r>
        <w:rPr>
          <w:rFonts w:hint="eastAsia"/>
          <w:color w:val="000000"/>
        </w:rPr>
        <w:t>。对医疗服务造成的影响同样还体现为处于育龄阶段的尼加拉瓜女移民采用的避孕方式。拥有男伴的上述女性采取避孕的人数高达</w:t>
      </w:r>
      <w:r>
        <w:rPr>
          <w:rFonts w:hint="eastAsia"/>
          <w:color w:val="000000"/>
        </w:rPr>
        <w:t>70%</w:t>
      </w:r>
      <w:r>
        <w:rPr>
          <w:rFonts w:hint="eastAsia"/>
          <w:color w:val="000000"/>
        </w:rPr>
        <w:t>，避孕用品主要由</w:t>
      </w:r>
      <w:r>
        <w:rPr>
          <w:rFonts w:hint="eastAsia"/>
        </w:rPr>
        <w:t>哥斯达黎加社会保险公司提供。同样，在过去三年中，生育儿女的尼加拉瓜女移民中有</w:t>
      </w:r>
      <w:r>
        <w:rPr>
          <w:rFonts w:hint="eastAsia"/>
        </w:rPr>
        <w:t>84%</w:t>
      </w:r>
      <w:r>
        <w:rPr>
          <w:rFonts w:hint="eastAsia"/>
        </w:rPr>
        <w:t>在国家医疗体系中受到了与哥斯达黎加女性同等的待遇（</w:t>
      </w:r>
      <w:r>
        <w:rPr>
          <w:rFonts w:hint="eastAsia"/>
        </w:rPr>
        <w:t>Chen</w:t>
      </w:r>
      <w:r>
        <w:rPr>
          <w:rFonts w:hint="eastAsia"/>
        </w:rPr>
        <w:t>等，</w:t>
      </w:r>
      <w:r>
        <w:rPr>
          <w:rFonts w:hint="eastAsia"/>
        </w:rPr>
        <w:t>2001</w:t>
      </w:r>
      <w:r>
        <w:rPr>
          <w:rFonts w:hint="eastAsia"/>
        </w:rPr>
        <w:t>年）。</w:t>
      </w:r>
    </w:p>
    <w:p w:rsidR="00000000" w:rsidRDefault="00CA422F">
      <w:pPr>
        <w:spacing w:after="240" w:line="360" w:lineRule="exact"/>
        <w:rPr>
          <w:rFonts w:hint="eastAsia"/>
        </w:rPr>
      </w:pPr>
      <w:r>
        <w:rPr>
          <w:rFonts w:hint="eastAsia"/>
        </w:rPr>
        <w:t>319</w:t>
      </w:r>
      <w:r>
        <w:rPr>
          <w:rFonts w:hint="eastAsia"/>
        </w:rPr>
        <w:t>．事实表明，绝大部分尼</w:t>
      </w:r>
      <w:r>
        <w:rPr>
          <w:rFonts w:hint="eastAsia"/>
        </w:rPr>
        <w:t>加拉瓜女性及其移民子女的目的是想定居哥斯达黎加，但是，获得移民身份、居留权或哥斯达黎加国籍的机会实在有限。总的来说，他们遭受来自经济、文化以及社会结构等方面的种种阻挠，无法在尼加拉瓜获得必要的证件，或者更无法通过哥斯达黎加政府机构办理繁琐的手续。这种状况对他们行使和享受人权造成了严重的伤害，例如：</w:t>
      </w:r>
    </w:p>
    <w:p w:rsidR="00000000" w:rsidRDefault="00CA422F">
      <w:pPr>
        <w:numPr>
          <w:ilvl w:val="0"/>
          <w:numId w:val="829"/>
        </w:numPr>
        <w:spacing w:after="240" w:line="360" w:lineRule="exact"/>
        <w:rPr>
          <w:rFonts w:hint="eastAsia"/>
        </w:rPr>
      </w:pPr>
      <w:r>
        <w:rPr>
          <w:rFonts w:hint="eastAsia"/>
        </w:rPr>
        <w:t>集中居住在大都市地区。</w:t>
      </w:r>
    </w:p>
    <w:p w:rsidR="00000000" w:rsidRDefault="00CA422F">
      <w:pPr>
        <w:numPr>
          <w:ilvl w:val="0"/>
          <w:numId w:val="829"/>
        </w:numPr>
        <w:spacing w:after="240" w:line="360" w:lineRule="exact"/>
        <w:rPr>
          <w:rFonts w:hint="eastAsia"/>
          <w:color w:val="000000"/>
        </w:rPr>
      </w:pPr>
      <w:r>
        <w:rPr>
          <w:rFonts w:hint="eastAsia"/>
        </w:rPr>
        <w:t>社会援助联合研究所针对弱势女性开展的各项社会关注计划并没有将这一群体列入享受津贴的行列，其主要原因就在于她们是尼加拉瓜人。</w:t>
      </w:r>
    </w:p>
    <w:p w:rsidR="00000000" w:rsidRDefault="00CA422F">
      <w:pPr>
        <w:numPr>
          <w:ilvl w:val="0"/>
          <w:numId w:val="829"/>
        </w:numPr>
        <w:spacing w:after="240" w:line="360" w:lineRule="exact"/>
        <w:rPr>
          <w:rFonts w:hint="eastAsia"/>
          <w:color w:val="000000"/>
        </w:rPr>
      </w:pPr>
      <w:r>
        <w:rPr>
          <w:rFonts w:hint="eastAsia"/>
          <w:spacing w:val="4"/>
        </w:rPr>
        <w:t>在贫民窟解决居住问题，往往意味着女性需要向中间人缴纳一定数额的费</w:t>
      </w:r>
      <w:r>
        <w:rPr>
          <w:rFonts w:hint="eastAsia"/>
          <w:spacing w:val="4"/>
        </w:rPr>
        <w:t>用以获得相应的居住空间</w:t>
      </w:r>
      <w:r>
        <w:rPr>
          <w:rStyle w:val="FootnoteReference"/>
          <w:spacing w:val="4"/>
        </w:rPr>
        <w:footnoteReference w:customMarkFollows="1" w:id="20"/>
        <w:t>19</w:t>
      </w:r>
      <w:r>
        <w:rPr>
          <w:rFonts w:hint="eastAsia"/>
        </w:rPr>
        <w:t>。</w:t>
      </w:r>
    </w:p>
    <w:p w:rsidR="00000000" w:rsidRDefault="00CA422F">
      <w:pPr>
        <w:numPr>
          <w:ilvl w:val="0"/>
          <w:numId w:val="829"/>
        </w:numPr>
        <w:spacing w:after="240" w:line="360" w:lineRule="exact"/>
        <w:rPr>
          <w:rFonts w:hint="eastAsia"/>
          <w:color w:val="000000"/>
        </w:rPr>
      </w:pPr>
      <w:r>
        <w:rPr>
          <w:rFonts w:hint="eastAsia"/>
          <w:color w:val="000000"/>
        </w:rPr>
        <w:t>尼加拉瓜女移民时常面临失去非法居住空间的危险；因为她们没有合法的移民身份，这两项加起来就构成了双重非法身份。不少女移民的子女出生在哥斯达黎加，他们应该享有哥斯达黎加国籍，然而有关当局对此并不承认。</w:t>
      </w:r>
    </w:p>
    <w:p w:rsidR="00000000" w:rsidRDefault="00CA422F">
      <w:pPr>
        <w:numPr>
          <w:ilvl w:val="0"/>
          <w:numId w:val="829"/>
        </w:numPr>
        <w:spacing w:after="240" w:line="360" w:lineRule="exact"/>
        <w:rPr>
          <w:rFonts w:hint="eastAsia"/>
          <w:color w:val="000000"/>
        </w:rPr>
      </w:pPr>
      <w:r>
        <w:rPr>
          <w:rFonts w:hint="eastAsia"/>
          <w:color w:val="000000"/>
        </w:rPr>
        <w:t>居住在贫民窟的女移民同样需要缴纳水电费，具体费用根据她们使用的家用电器件数来收取。这一情况引起了广泛的冲突。尼加拉瓜移民群体必须联合起来，共同改善历史上通常由女性负责的生活条件。因为在贫民窟共同面对水电费支付风波的恰恰就是女性。</w:t>
      </w:r>
    </w:p>
    <w:p w:rsidR="00000000" w:rsidRDefault="00CA422F">
      <w:pPr>
        <w:numPr>
          <w:ilvl w:val="0"/>
          <w:numId w:val="829"/>
        </w:numPr>
        <w:spacing w:after="240" w:line="360" w:lineRule="exact"/>
        <w:rPr>
          <w:rFonts w:hint="eastAsia"/>
          <w:color w:val="000000"/>
        </w:rPr>
      </w:pPr>
      <w:r>
        <w:rPr>
          <w:rFonts w:hint="eastAsia"/>
          <w:color w:val="000000"/>
        </w:rPr>
        <w:t>跟随母亲非法移民到哥斯达黎加的子女无法出具哥斯达黎加学</w:t>
      </w:r>
      <w:r>
        <w:rPr>
          <w:rFonts w:hint="eastAsia"/>
          <w:color w:val="000000"/>
        </w:rPr>
        <w:t>校为其办理注册登记所需要的任何证件。这是尼加拉瓜女性移民必须解决的又一个问题。</w:t>
      </w:r>
    </w:p>
    <w:p w:rsidR="00000000" w:rsidRDefault="00CA422F">
      <w:pPr>
        <w:numPr>
          <w:ilvl w:val="0"/>
          <w:numId w:val="829"/>
        </w:numPr>
        <w:spacing w:after="240" w:line="360" w:lineRule="exact"/>
        <w:rPr>
          <w:rFonts w:hint="eastAsia"/>
          <w:color w:val="000000"/>
        </w:rPr>
      </w:pPr>
      <w:r>
        <w:rPr>
          <w:rFonts w:hint="eastAsia"/>
          <w:color w:val="000000"/>
        </w:rPr>
        <w:t>大部分的尼加拉瓜女移民抛夫弃子来到了哥斯达黎加，为了能够移民，她们不得不把孩子留在尼加拉瓜，来到哥斯达黎加寻找工作，然后再把子女的生活费托人带回尼加拉瓜。</w:t>
      </w:r>
    </w:p>
    <w:p w:rsidR="00000000" w:rsidRDefault="00CA422F">
      <w:pPr>
        <w:numPr>
          <w:ilvl w:val="0"/>
          <w:numId w:val="829"/>
        </w:numPr>
        <w:spacing w:after="240" w:line="360" w:lineRule="exact"/>
        <w:rPr>
          <w:rFonts w:hint="eastAsia"/>
          <w:color w:val="000000"/>
        </w:rPr>
      </w:pPr>
      <w:r>
        <w:rPr>
          <w:rFonts w:hint="eastAsia"/>
          <w:color w:val="000000"/>
        </w:rPr>
        <w:t>接受过一定程度的教育、甚至能够拥有一技之长的尼加拉瓜女移民在哥斯达黎加只能从事较差的职业，这使她们处于极为不利的弱势地位。</w:t>
      </w:r>
    </w:p>
    <w:p w:rsidR="00000000" w:rsidRDefault="00CA422F">
      <w:pPr>
        <w:spacing w:after="240" w:line="360" w:lineRule="exact"/>
        <w:rPr>
          <w:rFonts w:hint="eastAsia"/>
          <w:color w:val="000000"/>
        </w:rPr>
      </w:pPr>
      <w:r>
        <w:rPr>
          <w:rFonts w:hint="eastAsia"/>
          <w:color w:val="000000"/>
        </w:rPr>
        <w:t>320</w:t>
      </w:r>
      <w:r>
        <w:rPr>
          <w:rFonts w:hint="eastAsia"/>
          <w:color w:val="000000"/>
        </w:rPr>
        <w:t>．哥斯达黎加法律对本国公民和外国公民享有的司法权利并没有做出任何区别规定。然而，处于非正常情景中的外国公民在行使其享有的权利时却往往受到一定程度的</w:t>
      </w:r>
      <w:r>
        <w:rPr>
          <w:rFonts w:hint="eastAsia"/>
          <w:color w:val="000000"/>
        </w:rPr>
        <w:t>限制。应该指出的是，虽然经常出现上述情况，但是哥斯达黎加的法律不仅仅面向哥斯达黎加公民，还面向所有居住在哥斯达黎加的人，不管他们拥有哪种国籍或者是否持有相应的证件。这既是对权利的保障，也是对义务的保障。因此，尽管一个人在哥斯达黎加处于“非法”境地，但他仍然有权享受和捍卫自己的人权，其中包括：尊重其身体健全、尊重其人格尊严以及保障他在紧急情况下享有医疗服务的权利。事实上，这些权利并非都能受到尊重，这些权利经常会被过度使用或被用作压迫的手段。</w:t>
      </w:r>
    </w:p>
    <w:p w:rsidR="00000000" w:rsidRDefault="00CA422F">
      <w:pPr>
        <w:spacing w:after="240" w:line="360" w:lineRule="exact"/>
        <w:rPr>
          <w:rFonts w:hint="eastAsia"/>
          <w:color w:val="000000"/>
        </w:rPr>
      </w:pPr>
      <w:r>
        <w:rPr>
          <w:rFonts w:hint="eastAsia"/>
          <w:color w:val="000000"/>
        </w:rPr>
        <w:t>321</w:t>
      </w:r>
      <w:r>
        <w:rPr>
          <w:rFonts w:hint="eastAsia"/>
          <w:color w:val="000000"/>
        </w:rPr>
        <w:t>．有一些公共机构向外国公民提供服务。《哥斯达黎加宪法》承认公民</w:t>
      </w:r>
      <w:r>
        <w:rPr>
          <w:rFonts w:hint="eastAsia"/>
          <w:color w:val="000000"/>
        </w:rPr>
        <w:t>享有政府提供教育服务的权利，这表明正常移民条件以外（是否拥有证件）的移民及其子女都能接受教育。《哥斯达黎加政治宪法》规定，在哥斯达黎加，任何人都不应该成为任何破坏人权的歧视对象（第</w:t>
      </w:r>
      <w:r>
        <w:rPr>
          <w:rFonts w:hint="eastAsia"/>
          <w:color w:val="000000"/>
        </w:rPr>
        <w:t>33</w:t>
      </w:r>
      <w:r>
        <w:rPr>
          <w:rFonts w:hint="eastAsia"/>
          <w:color w:val="000000"/>
        </w:rPr>
        <w:t>条，</w:t>
      </w:r>
      <w:r>
        <w:rPr>
          <w:rFonts w:hint="eastAsia"/>
          <w:color w:val="000000"/>
        </w:rPr>
        <w:t>1968</w:t>
      </w:r>
      <w:r>
        <w:rPr>
          <w:rFonts w:hint="eastAsia"/>
          <w:color w:val="000000"/>
        </w:rPr>
        <w:t>年修正案），任何人都不应该成为暴力和诽谤的对象（第</w:t>
      </w:r>
      <w:r>
        <w:rPr>
          <w:rFonts w:hint="eastAsia"/>
          <w:color w:val="000000"/>
        </w:rPr>
        <w:t>40</w:t>
      </w:r>
      <w:r>
        <w:rPr>
          <w:rFonts w:hint="eastAsia"/>
          <w:color w:val="000000"/>
        </w:rPr>
        <w:t>条）。此外，宪法还规定，国家必须最大限度地向全国居民提供各种福利措施（第</w:t>
      </w:r>
      <w:r>
        <w:rPr>
          <w:rFonts w:hint="eastAsia"/>
          <w:color w:val="000000"/>
        </w:rPr>
        <w:t>50</w:t>
      </w:r>
      <w:r>
        <w:rPr>
          <w:rFonts w:hint="eastAsia"/>
          <w:color w:val="000000"/>
        </w:rPr>
        <w:t>条），特别是保障成为母亲的妇女及其子女享有一定的福利（第</w:t>
      </w:r>
      <w:r>
        <w:rPr>
          <w:rFonts w:hint="eastAsia"/>
          <w:color w:val="000000"/>
        </w:rPr>
        <w:t>51</w:t>
      </w:r>
      <w:r>
        <w:rPr>
          <w:rFonts w:hint="eastAsia"/>
          <w:color w:val="000000"/>
        </w:rPr>
        <w:t>和第</w:t>
      </w:r>
      <w:r>
        <w:rPr>
          <w:rFonts w:hint="eastAsia"/>
          <w:color w:val="000000"/>
        </w:rPr>
        <w:t>55</w:t>
      </w:r>
      <w:r>
        <w:rPr>
          <w:rFonts w:hint="eastAsia"/>
          <w:color w:val="000000"/>
        </w:rPr>
        <w:t>条），尤其是在劳动、教育和医疗等方面（国家妇女研究所，</w:t>
      </w:r>
      <w:r>
        <w:rPr>
          <w:rFonts w:hint="eastAsia"/>
          <w:color w:val="000000"/>
        </w:rPr>
        <w:t>2000</w:t>
      </w:r>
      <w:r>
        <w:rPr>
          <w:rFonts w:hint="eastAsia"/>
          <w:color w:val="000000"/>
        </w:rPr>
        <w:t>年）。</w:t>
      </w:r>
    </w:p>
    <w:p w:rsidR="00000000" w:rsidRDefault="00CA422F">
      <w:pPr>
        <w:spacing w:after="240" w:line="360" w:lineRule="exact"/>
        <w:rPr>
          <w:rFonts w:hint="eastAsia"/>
          <w:color w:val="000000"/>
        </w:rPr>
      </w:pPr>
      <w:r>
        <w:rPr>
          <w:rFonts w:hint="eastAsia"/>
          <w:color w:val="000000"/>
        </w:rPr>
        <w:t>322</w:t>
      </w:r>
      <w:r>
        <w:rPr>
          <w:rFonts w:hint="eastAsia"/>
          <w:color w:val="000000"/>
        </w:rPr>
        <w:t>．例如，哥斯达黎加社会保险公司为上述妇女和</w:t>
      </w:r>
      <w:r>
        <w:rPr>
          <w:rFonts w:hint="eastAsia"/>
          <w:color w:val="000000"/>
        </w:rPr>
        <w:t>怀孕女性提供意外保险服务。劳动法早在相关法律出台之前便已做出了同样的规定。另一方面，</w:t>
      </w:r>
      <w:r>
        <w:rPr>
          <w:rFonts w:hint="eastAsia"/>
          <w:color w:val="000000"/>
        </w:rPr>
        <w:t>1998</w:t>
      </w:r>
      <w:r>
        <w:rPr>
          <w:rFonts w:hint="eastAsia"/>
          <w:color w:val="000000"/>
        </w:rPr>
        <w:t>年</w:t>
      </w:r>
      <w:r>
        <w:rPr>
          <w:rFonts w:hint="eastAsia"/>
          <w:color w:val="000000"/>
        </w:rPr>
        <w:t>1</w:t>
      </w:r>
      <w:r>
        <w:rPr>
          <w:rFonts w:hint="eastAsia"/>
          <w:color w:val="000000"/>
        </w:rPr>
        <w:t>月</w:t>
      </w:r>
      <w:r>
        <w:rPr>
          <w:rFonts w:hint="eastAsia"/>
          <w:color w:val="000000"/>
        </w:rPr>
        <w:t>9</w:t>
      </w:r>
      <w:r>
        <w:rPr>
          <w:rFonts w:hint="eastAsia"/>
          <w:color w:val="000000"/>
        </w:rPr>
        <w:t>日颁布的</w:t>
      </w:r>
      <w:r>
        <w:rPr>
          <w:rFonts w:hint="eastAsia"/>
          <w:color w:val="000000"/>
        </w:rPr>
        <w:t>26634</w:t>
      </w:r>
      <w:r>
        <w:rPr>
          <w:rFonts w:hint="eastAsia"/>
          <w:color w:val="000000"/>
        </w:rPr>
        <w:t>－</w:t>
      </w:r>
      <w:r>
        <w:rPr>
          <w:rFonts w:hint="eastAsia"/>
          <w:color w:val="000000"/>
        </w:rPr>
        <w:t>SP</w:t>
      </w:r>
      <w:r>
        <w:rPr>
          <w:rFonts w:hint="eastAsia"/>
          <w:color w:val="000000"/>
        </w:rPr>
        <w:t>号法令规定，从事家务劳动的女性工作者申请居所时可以减免一定的保证金。该措施为女性参与劳动力市场提供了一定的帮助，还缓和了她们所处的弱势地位。</w:t>
      </w:r>
    </w:p>
    <w:p w:rsidR="00000000" w:rsidRDefault="00CA422F">
      <w:pPr>
        <w:spacing w:after="240" w:line="360" w:lineRule="exact"/>
        <w:rPr>
          <w:rFonts w:hint="eastAsia"/>
          <w:color w:val="000000"/>
        </w:rPr>
      </w:pPr>
      <w:r>
        <w:rPr>
          <w:rFonts w:hint="eastAsia"/>
          <w:color w:val="000000"/>
        </w:rPr>
        <w:t>323</w:t>
      </w:r>
      <w:r>
        <w:rPr>
          <w:rFonts w:hint="eastAsia"/>
          <w:color w:val="000000"/>
        </w:rPr>
        <w:t>．出于性别原因，女移民的权利经常被人践踏，主要体现在来自男性的性虐待、性骚扰和性暴力等方面。这些男性从家庭成员、移民局的工作人员到同事不一而足。女移民还面临着工作中更为严重的压迫，主要表现为较低的工作收入和较差的劳动条件。不少女移民无论在由</w:t>
      </w:r>
      <w:r>
        <w:rPr>
          <w:rFonts w:hint="eastAsia"/>
          <w:color w:val="000000"/>
        </w:rPr>
        <w:t>来的国度还是在前往的国度，都需要承担部分家庭经济责任，这使得她们不得不接受这种严重的压迫条件。</w:t>
      </w:r>
    </w:p>
    <w:p w:rsidR="00000000" w:rsidRDefault="00CA422F">
      <w:pPr>
        <w:spacing w:after="240" w:line="360" w:lineRule="exact"/>
        <w:rPr>
          <w:rFonts w:hint="eastAsia"/>
          <w:color w:val="000000"/>
        </w:rPr>
      </w:pPr>
      <w:r>
        <w:rPr>
          <w:rFonts w:hint="eastAsia"/>
          <w:color w:val="000000"/>
        </w:rPr>
        <w:t>324</w:t>
      </w:r>
      <w:r>
        <w:rPr>
          <w:rFonts w:hint="eastAsia"/>
          <w:color w:val="000000"/>
        </w:rPr>
        <w:t>．</w:t>
      </w:r>
      <w:r>
        <w:rPr>
          <w:rFonts w:hint="eastAsia"/>
          <w:color w:val="000000"/>
        </w:rPr>
        <w:t>2002</w:t>
      </w:r>
      <w:r>
        <w:rPr>
          <w:rFonts w:hint="eastAsia"/>
          <w:color w:val="000000"/>
        </w:rPr>
        <w:t>年人口普查的资料显示，来自尼加拉瓜的女移民人数众多，其中大部分女性的子女都是出生在哥斯达黎加。不少女移民希望能在哥斯达黎加定居，她们正在通过自己的劳动为哥斯达黎加社会经济的发展做出重要贡献。哥斯达黎加必须制定一项纳入性别观点的移民政策，应该考虑到尼加拉瓜移民以及其他通过非正常手段前来的移民的性别因素，同时，他们的权利也应该得到相应的保护。</w:t>
      </w:r>
    </w:p>
    <w:p w:rsidR="00000000" w:rsidRDefault="00CA422F">
      <w:pPr>
        <w:spacing w:after="240" w:line="360" w:lineRule="exact"/>
        <w:rPr>
          <w:rFonts w:hint="eastAsia"/>
          <w:color w:val="000000"/>
        </w:rPr>
      </w:pPr>
    </w:p>
    <w:p w:rsidR="00000000" w:rsidRDefault="00CA422F">
      <w:pPr>
        <w:spacing w:after="240" w:line="360" w:lineRule="exact"/>
        <w:jc w:val="center"/>
        <w:rPr>
          <w:rFonts w:eastAsia="SimHei" w:hint="eastAsia"/>
          <w:color w:val="000000"/>
          <w:sz w:val="24"/>
        </w:rPr>
      </w:pPr>
      <w:r>
        <w:br w:type="page"/>
      </w:r>
      <w:r>
        <w:rPr>
          <w:rFonts w:eastAsia="SimHei" w:hint="eastAsia"/>
          <w:color w:val="000000"/>
          <w:sz w:val="24"/>
        </w:rPr>
        <w:t>第十条：文化、教育及培养方面的平等权利</w:t>
      </w:r>
    </w:p>
    <w:p w:rsidR="00000000" w:rsidRDefault="00CA422F">
      <w:pPr>
        <w:spacing w:after="240" w:line="360" w:lineRule="exact"/>
        <w:rPr>
          <w:rFonts w:eastAsia="SimHei" w:hint="eastAsia"/>
          <w:color w:val="000000"/>
        </w:rPr>
      </w:pPr>
      <w:r>
        <w:rPr>
          <w:rFonts w:eastAsia="SimHei" w:hint="eastAsia"/>
          <w:color w:val="000000"/>
        </w:rPr>
        <w:t>第十条：</w:t>
      </w:r>
    </w:p>
    <w:p w:rsidR="00000000" w:rsidRDefault="00CA422F" w:rsidP="00CA422F">
      <w:pPr>
        <w:spacing w:after="240" w:line="360" w:lineRule="exact"/>
        <w:ind w:firstLineChars="200" w:firstLine="31680"/>
        <w:rPr>
          <w:rFonts w:eastAsia="KaiTi_GB2312" w:hint="eastAsia"/>
          <w:color w:val="000000"/>
        </w:rPr>
      </w:pPr>
      <w:r>
        <w:rPr>
          <w:rFonts w:eastAsia="KaiTi_GB2312" w:hint="eastAsia"/>
          <w:color w:val="000000"/>
        </w:rPr>
        <w:t>缔约</w:t>
      </w:r>
      <w:r>
        <w:rPr>
          <w:rFonts w:eastAsia="KaiTi_GB2312" w:hint="eastAsia"/>
          <w:color w:val="000000"/>
        </w:rPr>
        <w:t>国应采取一切适当措施以消除对妇女的歧视，并保证妇女在教育方面享有与男子平等的权利，特别是在男女平等的基础上保证：</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a.  </w:t>
      </w:r>
      <w:r>
        <w:rPr>
          <w:rFonts w:eastAsia="KaiTi_GB2312" w:hint="eastAsia"/>
          <w:color w:val="000000"/>
        </w:rPr>
        <w:t>在各类教育机构中，不论其在农村或城市，职业和行业辅导、学习的机会和文凭的取得，条件相同。在学前教育、普通教育、技术、专业和高等技术教育以及各种职业训练方面，都应保证这种平等；</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b. </w:t>
      </w:r>
      <w:r>
        <w:rPr>
          <w:rFonts w:eastAsia="KaiTi_GB2312" w:hint="eastAsia"/>
          <w:color w:val="000000"/>
        </w:rPr>
        <w:tab/>
      </w:r>
      <w:r>
        <w:rPr>
          <w:rFonts w:eastAsia="KaiTi_GB2312" w:hint="eastAsia"/>
          <w:color w:val="000000"/>
        </w:rPr>
        <w:t>课程、考试、师资的标准、校舍和设备的质量一律相同；</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c. </w:t>
      </w:r>
      <w:r>
        <w:rPr>
          <w:rFonts w:eastAsia="KaiTi_GB2312" w:hint="eastAsia"/>
          <w:color w:val="000000"/>
        </w:rPr>
        <w:tab/>
      </w:r>
      <w:r>
        <w:rPr>
          <w:rFonts w:eastAsia="KaiTi_GB2312" w:hint="eastAsia"/>
          <w:color w:val="000000"/>
        </w:rPr>
        <w:t>为消除在各级和各种方式的教育中对男女任务的任何定型观念，应鼓励施行男女同校和其他有助于实现这个目的的教育形式，并特别应修订教科书和课程以及相应地修</w:t>
      </w:r>
      <w:r>
        <w:rPr>
          <w:rFonts w:eastAsia="KaiTi_GB2312" w:hint="eastAsia"/>
          <w:color w:val="000000"/>
        </w:rPr>
        <w:t>改教学方法；</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d. </w:t>
      </w:r>
      <w:r>
        <w:rPr>
          <w:rFonts w:eastAsia="KaiTi_GB2312" w:hint="eastAsia"/>
          <w:color w:val="000000"/>
        </w:rPr>
        <w:tab/>
      </w:r>
      <w:r>
        <w:rPr>
          <w:rFonts w:eastAsia="KaiTi_GB2312" w:hint="eastAsia"/>
          <w:color w:val="000000"/>
        </w:rPr>
        <w:t>领受奖学金和其他研究补助金的机会相同；</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e. </w:t>
      </w:r>
      <w:r>
        <w:rPr>
          <w:rFonts w:eastAsia="KaiTi_GB2312" w:hint="eastAsia"/>
          <w:color w:val="000000"/>
        </w:rPr>
        <w:tab/>
      </w:r>
      <w:r>
        <w:rPr>
          <w:rFonts w:eastAsia="KaiTi_GB2312" w:hint="eastAsia"/>
          <w:color w:val="000000"/>
        </w:rPr>
        <w:t>接受成人教育、包括成人识字和实用识字教育的机会相同，特别是为了尽早缩短男女之间存在的教育水平的一起差距；</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f. </w:t>
      </w:r>
      <w:r>
        <w:rPr>
          <w:rFonts w:eastAsia="KaiTi_GB2312" w:hint="eastAsia"/>
          <w:color w:val="000000"/>
        </w:rPr>
        <w:tab/>
      </w:r>
      <w:r>
        <w:rPr>
          <w:rFonts w:eastAsia="KaiTi_GB2312" w:hint="eastAsia"/>
          <w:color w:val="000000"/>
        </w:rPr>
        <w:t>减少女生退学率，并为离校过早的少女和妇女办理种种方案；</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g. </w:t>
      </w:r>
      <w:r>
        <w:rPr>
          <w:rFonts w:eastAsia="KaiTi_GB2312" w:hint="eastAsia"/>
          <w:color w:val="000000"/>
        </w:rPr>
        <w:tab/>
      </w:r>
      <w:r>
        <w:rPr>
          <w:rFonts w:eastAsia="KaiTi_GB2312" w:hint="eastAsia"/>
          <w:color w:val="000000"/>
        </w:rPr>
        <w:t>积极参加运动和体育的计划相同；</w:t>
      </w:r>
    </w:p>
    <w:p w:rsidR="00000000" w:rsidRDefault="00CA422F" w:rsidP="00CA422F">
      <w:pPr>
        <w:spacing w:after="240" w:line="360" w:lineRule="exact"/>
        <w:ind w:leftChars="200" w:left="31680" w:hanging="420"/>
        <w:rPr>
          <w:rFonts w:eastAsia="KaiTi_GB2312" w:hint="eastAsia"/>
          <w:color w:val="000000"/>
        </w:rPr>
      </w:pPr>
      <w:r>
        <w:rPr>
          <w:rFonts w:eastAsia="KaiTi_GB2312"/>
          <w:color w:val="000000"/>
        </w:rPr>
        <w:t xml:space="preserve">h. </w:t>
      </w:r>
      <w:r>
        <w:rPr>
          <w:rFonts w:eastAsia="KaiTi_GB2312" w:hint="eastAsia"/>
          <w:color w:val="000000"/>
        </w:rPr>
        <w:tab/>
      </w:r>
      <w:r>
        <w:rPr>
          <w:rFonts w:eastAsia="KaiTi_GB2312" w:hint="eastAsia"/>
          <w:color w:val="000000"/>
        </w:rPr>
        <w:t>有接受特殊教育性辅导的机会，以保障家庭健康和幸福，包括关于计划生育的知识和辅导在内。</w:t>
      </w:r>
    </w:p>
    <w:p w:rsidR="00000000" w:rsidRDefault="00CA422F">
      <w:pPr>
        <w:spacing w:after="240" w:line="360" w:lineRule="exact"/>
        <w:jc w:val="center"/>
        <w:rPr>
          <w:rFonts w:eastAsia="SimHei" w:hint="eastAsia"/>
          <w:sz w:val="24"/>
        </w:rPr>
      </w:pPr>
      <w:r>
        <w:rPr>
          <w:rFonts w:eastAsia="SimHei" w:hint="eastAsia"/>
          <w:sz w:val="24"/>
        </w:rPr>
        <w:t>接受教育和培训</w:t>
      </w:r>
    </w:p>
    <w:p w:rsidR="00000000" w:rsidRDefault="00CA422F">
      <w:pPr>
        <w:spacing w:after="240" w:line="360" w:lineRule="exact"/>
        <w:rPr>
          <w:rFonts w:hint="eastAsia"/>
        </w:rPr>
      </w:pPr>
      <w:r>
        <w:rPr>
          <w:rFonts w:hint="eastAsia"/>
        </w:rPr>
        <w:t>325</w:t>
      </w:r>
      <w:r>
        <w:rPr>
          <w:rFonts w:hint="eastAsia"/>
        </w:rPr>
        <w:t>．《民族国家计划第七次报告》的资料显示，初等教育中女性的总体参与率要高于或基本上类似女性在正规教育体系中的参与率。事</w:t>
      </w:r>
      <w:r>
        <w:rPr>
          <w:rFonts w:hint="eastAsia"/>
        </w:rPr>
        <w:t>实上，男性的参与比例和普及率都低于女性，而辍学率却高于女性（民族国家计划，</w:t>
      </w:r>
      <w:r>
        <w:rPr>
          <w:rFonts w:hint="eastAsia"/>
        </w:rPr>
        <w:t>2001</w:t>
      </w:r>
      <w:r>
        <w:rPr>
          <w:rFonts w:hint="eastAsia"/>
        </w:rPr>
        <w:t>年）。因此，按照个人受教育年限计算出来的扫盲指数表明男女之间的差异并不是很大，这无疑是平等的体现。</w:t>
      </w:r>
    </w:p>
    <w:p w:rsidR="00000000" w:rsidRDefault="00CA422F">
      <w:pPr>
        <w:spacing w:after="240" w:line="360" w:lineRule="exact"/>
        <w:rPr>
          <w:rFonts w:hint="eastAsia"/>
        </w:rPr>
      </w:pPr>
      <w:r>
        <w:rPr>
          <w:rFonts w:hint="eastAsia"/>
        </w:rPr>
        <w:t>326</w:t>
      </w:r>
      <w:r>
        <w:rPr>
          <w:rFonts w:hint="eastAsia"/>
        </w:rPr>
        <w:t>．从各类指数概况表（附件</w:t>
      </w:r>
      <w:r>
        <w:rPr>
          <w:rFonts w:hint="eastAsia"/>
        </w:rPr>
        <w:t>1</w:t>
      </w:r>
      <w:r>
        <w:rPr>
          <w:rFonts w:hint="eastAsia"/>
        </w:rPr>
        <w:t>）看出，中学教育普及率中的男女差异（女性百分比与男性百分比的差异）对女性比较有利，如</w:t>
      </w:r>
      <w:r>
        <w:rPr>
          <w:rFonts w:hint="eastAsia"/>
        </w:rPr>
        <w:t>1997</w:t>
      </w:r>
      <w:r>
        <w:rPr>
          <w:rFonts w:hint="eastAsia"/>
        </w:rPr>
        <w:t>年为</w:t>
      </w:r>
      <w:r>
        <w:rPr>
          <w:rFonts w:hint="eastAsia"/>
        </w:rPr>
        <w:t>4.6</w:t>
      </w:r>
      <w:r>
        <w:rPr>
          <w:rFonts w:hint="eastAsia"/>
        </w:rPr>
        <w:t>个百分点，而</w:t>
      </w:r>
      <w:r>
        <w:rPr>
          <w:rFonts w:hint="eastAsia"/>
        </w:rPr>
        <w:t>1999</w:t>
      </w:r>
      <w:r>
        <w:rPr>
          <w:rFonts w:hint="eastAsia"/>
        </w:rPr>
        <w:t>和</w:t>
      </w:r>
      <w:r>
        <w:rPr>
          <w:rFonts w:hint="eastAsia"/>
        </w:rPr>
        <w:t>2000</w:t>
      </w:r>
      <w:r>
        <w:rPr>
          <w:rFonts w:hint="eastAsia"/>
        </w:rPr>
        <w:t>年则为</w:t>
      </w:r>
      <w:r>
        <w:rPr>
          <w:rFonts w:hint="eastAsia"/>
        </w:rPr>
        <w:t>4.9</w:t>
      </w:r>
      <w:r>
        <w:rPr>
          <w:rFonts w:hint="eastAsia"/>
        </w:rPr>
        <w:t>个百分点。同样，辍学率方面的男女差异（男性百分比与女性百分比的差异）情况也有利于女性。有关数据表明，在三个不同的教育阶段，每年辍学的男性多于女性。两性之间</w:t>
      </w:r>
      <w:r>
        <w:rPr>
          <w:rFonts w:hint="eastAsia"/>
        </w:rPr>
        <w:t>的最大差异体现在第二和第四教育阶段，</w:t>
      </w:r>
      <w:r>
        <w:rPr>
          <w:rFonts w:hint="eastAsia"/>
        </w:rPr>
        <w:t>1999</w:t>
      </w:r>
      <w:r>
        <w:rPr>
          <w:rFonts w:hint="eastAsia"/>
        </w:rPr>
        <w:t>年，男女差异则达到了</w:t>
      </w:r>
      <w:r>
        <w:rPr>
          <w:rFonts w:hint="eastAsia"/>
        </w:rPr>
        <w:t>2.7</w:t>
      </w:r>
      <w:r>
        <w:rPr>
          <w:rFonts w:hint="eastAsia"/>
        </w:rPr>
        <w:t>个百分点。</w:t>
      </w:r>
    </w:p>
    <w:p w:rsidR="00000000" w:rsidRDefault="00CA422F">
      <w:pPr>
        <w:spacing w:after="240" w:line="360" w:lineRule="exact"/>
        <w:jc w:val="center"/>
        <w:rPr>
          <w:rFonts w:eastAsia="SimHei" w:hint="eastAsia"/>
          <w:sz w:val="24"/>
        </w:rPr>
      </w:pPr>
      <w:r>
        <w:rPr>
          <w:rFonts w:eastAsia="SimHei" w:hint="eastAsia"/>
          <w:sz w:val="24"/>
        </w:rPr>
        <w:t>公立高等教育中的女性</w:t>
      </w:r>
    </w:p>
    <w:p w:rsidR="00000000" w:rsidRDefault="00CA422F">
      <w:pPr>
        <w:spacing w:after="240" w:line="360" w:lineRule="exact"/>
        <w:rPr>
          <w:rFonts w:hint="eastAsia"/>
        </w:rPr>
      </w:pPr>
      <w:r>
        <w:rPr>
          <w:rFonts w:hint="eastAsia"/>
        </w:rPr>
        <w:t>327</w:t>
      </w:r>
      <w:r>
        <w:rPr>
          <w:rFonts w:hint="eastAsia"/>
        </w:rPr>
        <w:t>．接受第三阶段教育（高等教育）的状况表明，对女性来说已经取得了一定的进展，总的来说，在公立大学教育机构中注册的女性人数要多于男性，男女比例为</w:t>
      </w:r>
      <w:r>
        <w:rPr>
          <w:rFonts w:hint="eastAsia"/>
        </w:rPr>
        <w:t>10</w:t>
      </w:r>
      <w:r>
        <w:rPr>
          <w:rFonts w:hint="eastAsia"/>
        </w:rPr>
        <w:t>比</w:t>
      </w:r>
      <w:r>
        <w:rPr>
          <w:rFonts w:hint="eastAsia"/>
        </w:rPr>
        <w:t>12</w:t>
      </w:r>
      <w:r>
        <w:rPr>
          <w:rFonts w:hint="eastAsia"/>
        </w:rPr>
        <w:t>。虽然如此，不同教育机构和不同专业之间的男女差异仍然非常明显（全国大学校长委员会，</w:t>
      </w:r>
      <w:r>
        <w:rPr>
          <w:rFonts w:hint="eastAsia"/>
        </w:rPr>
        <w:t>2000</w:t>
      </w:r>
      <w:r>
        <w:rPr>
          <w:rFonts w:hint="eastAsia"/>
        </w:rPr>
        <w:t>年）。</w:t>
      </w:r>
    </w:p>
    <w:p w:rsidR="00000000" w:rsidRDefault="00CA422F">
      <w:pPr>
        <w:spacing w:after="240" w:line="360" w:lineRule="exact"/>
        <w:rPr>
          <w:rFonts w:hint="eastAsia"/>
        </w:rPr>
      </w:pPr>
      <w:r>
        <w:rPr>
          <w:rFonts w:hint="eastAsia"/>
        </w:rPr>
        <w:t>328</w:t>
      </w:r>
      <w:r>
        <w:rPr>
          <w:rFonts w:hint="eastAsia"/>
        </w:rPr>
        <w:t>．《民族国家第七次报告》（民族国家计划，</w:t>
      </w:r>
      <w:r>
        <w:rPr>
          <w:rFonts w:hint="eastAsia"/>
        </w:rPr>
        <w:t>2001</w:t>
      </w:r>
      <w:r>
        <w:rPr>
          <w:rFonts w:hint="eastAsia"/>
        </w:rPr>
        <w:t>年）显示，虽然在形式上存在着一定程度的分离，女性在公立大学的注册中人数还是多于男性。这一数据在九十年</w:t>
      </w:r>
      <w:r>
        <w:rPr>
          <w:rFonts w:hint="eastAsia"/>
        </w:rPr>
        <w:t>代一直稳定地保持在</w:t>
      </w:r>
      <w:r>
        <w:rPr>
          <w:rFonts w:hint="eastAsia"/>
        </w:rPr>
        <w:t>15.5%</w:t>
      </w:r>
      <w:r>
        <w:rPr>
          <w:rFonts w:hint="eastAsia"/>
        </w:rPr>
        <w:t>左右。这就表明在取样过程中出现了一定的分离现象，因为大学生总数中的女性比例占据了</w:t>
      </w:r>
      <w:r>
        <w:rPr>
          <w:rFonts w:hint="eastAsia"/>
        </w:rPr>
        <w:t>50</w:t>
      </w:r>
      <w:r>
        <w:rPr>
          <w:rFonts w:hint="eastAsia"/>
        </w:rPr>
        <w:t>％以上。</w:t>
      </w:r>
    </w:p>
    <w:p w:rsidR="00000000" w:rsidRDefault="00CA422F">
      <w:pPr>
        <w:spacing w:after="240" w:line="360" w:lineRule="exact"/>
        <w:rPr>
          <w:rFonts w:hint="eastAsia"/>
        </w:rPr>
      </w:pPr>
      <w:r>
        <w:rPr>
          <w:rFonts w:hint="eastAsia"/>
        </w:rPr>
        <w:t>329</w:t>
      </w:r>
      <w:r>
        <w:rPr>
          <w:rFonts w:hint="eastAsia"/>
        </w:rPr>
        <w:t>．在一些教育机构，如</w:t>
      </w:r>
      <w:r>
        <w:rPr>
          <w:rFonts w:hint="eastAsia"/>
          <w:color w:val="0000FF"/>
        </w:rPr>
        <w:t>哥斯达黎加科技学院（</w:t>
      </w:r>
      <w:r>
        <w:rPr>
          <w:rFonts w:hint="eastAsia"/>
          <w:color w:val="0000FF"/>
        </w:rPr>
        <w:t>ITEC</w:t>
      </w:r>
      <w:r>
        <w:rPr>
          <w:rFonts w:hint="eastAsia"/>
          <w:color w:val="0000FF"/>
        </w:rPr>
        <w:t>）</w:t>
      </w:r>
      <w:r>
        <w:rPr>
          <w:rFonts w:hint="eastAsia"/>
        </w:rPr>
        <w:t>中男性比例较高：男女比例为</w:t>
      </w:r>
      <w:r>
        <w:rPr>
          <w:rFonts w:hint="eastAsia"/>
        </w:rPr>
        <w:t>100</w:t>
      </w:r>
      <w:r>
        <w:rPr>
          <w:rFonts w:hint="eastAsia"/>
        </w:rPr>
        <w:t>比</w:t>
      </w:r>
      <w:r>
        <w:rPr>
          <w:rFonts w:hint="eastAsia"/>
        </w:rPr>
        <w:t>35</w:t>
      </w:r>
      <w:r>
        <w:rPr>
          <w:rFonts w:hint="eastAsia"/>
        </w:rPr>
        <w:t>，而国家函授大学（</w:t>
      </w:r>
      <w:r>
        <w:rPr>
          <w:rFonts w:hint="eastAsia"/>
        </w:rPr>
        <w:t>UNED</w:t>
      </w:r>
      <w:r>
        <w:rPr>
          <w:rFonts w:hint="eastAsia"/>
        </w:rPr>
        <w:t>）中的女性人数较多，几乎是男性人数的两倍。哥斯达黎加科技学院以科技专业为主，而国家函授大学则以企业管理和教育见长，因而在职业培训以及随后的劳动力市场的参与中出现了明显的区别。</w:t>
      </w:r>
    </w:p>
    <w:p w:rsidR="00000000" w:rsidRDefault="00CA422F">
      <w:pPr>
        <w:spacing w:after="240" w:line="360" w:lineRule="exact"/>
        <w:rPr>
          <w:rFonts w:hint="eastAsia"/>
        </w:rPr>
      </w:pPr>
      <w:r>
        <w:rPr>
          <w:rFonts w:hint="eastAsia"/>
        </w:rPr>
        <w:t>330</w:t>
      </w:r>
      <w:r>
        <w:rPr>
          <w:rFonts w:hint="eastAsia"/>
        </w:rPr>
        <w:t>．诸如工程学的一些专业，从注册到毕业几乎都见不到女性的身影。基础科学专业的毕业情况表明这</w:t>
      </w:r>
      <w:r>
        <w:rPr>
          <w:rFonts w:hint="eastAsia"/>
        </w:rPr>
        <w:t>些专业几乎都以男性为主，但是，女性的参与正在不断增加。文学、艺术以及教育等专业则以女性为主。</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8</w:t>
      </w:r>
      <w:r>
        <w:rPr>
          <w:rFonts w:ascii="SimHei" w:eastAsia="SimHei"/>
        </w:rPr>
        <w:br/>
      </w:r>
      <w:r>
        <w:rPr>
          <w:rFonts w:ascii="SimHei" w:eastAsia="SimHei" w:hint="eastAsia"/>
        </w:rPr>
        <w:t>公立大学不同专业毕业生中的女性同男性的比率</w:t>
      </w:r>
      <w:r>
        <w:rPr>
          <w:rFonts w:ascii="SimHei" w:eastAsia="SimHei"/>
        </w:rPr>
        <w:br/>
      </w:r>
      <w:r>
        <w:rPr>
          <w:rFonts w:ascii="SimHei" w:eastAsia="SimHei" w:hint="eastAsia"/>
        </w:rPr>
        <w:t>1990</w:t>
      </w:r>
      <w:r>
        <w:rPr>
          <w:rFonts w:ascii="SimHei" w:eastAsia="SimHei" w:hint="eastAsia"/>
        </w:rPr>
        <w:t>年、</w:t>
      </w:r>
      <w:r>
        <w:rPr>
          <w:rFonts w:ascii="SimHei" w:eastAsia="SimHei" w:hint="eastAsia"/>
        </w:rPr>
        <w:t>1995</w:t>
      </w:r>
      <w:r>
        <w:rPr>
          <w:rFonts w:ascii="SimHei" w:eastAsia="SimHei" w:hint="eastAsia"/>
        </w:rPr>
        <w:t>年、</w:t>
      </w:r>
      <w:r>
        <w:rPr>
          <w:rFonts w:ascii="SimHei" w:eastAsia="SimHei" w:hint="eastAsia"/>
        </w:rPr>
        <w:t>1996</w:t>
      </w:r>
      <w:r>
        <w:rPr>
          <w:rFonts w:ascii="SimHei" w:eastAsia="SimHei" w:hint="eastAsia"/>
        </w:rPr>
        <w:t>至</w:t>
      </w:r>
      <w:r>
        <w:rPr>
          <w:rFonts w:ascii="SimHei" w:eastAsia="SimHei" w:hint="eastAsia"/>
        </w:rPr>
        <w:t>1999</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0"/>
        <w:gridCol w:w="1220"/>
        <w:gridCol w:w="1222"/>
        <w:gridCol w:w="1222"/>
        <w:gridCol w:w="1222"/>
        <w:gridCol w:w="1222"/>
        <w:gridCol w:w="1218"/>
      </w:tblGrid>
      <w:tr w:rsidR="00000000">
        <w:tblPrEx>
          <w:tblCellMar>
            <w:top w:w="0" w:type="dxa"/>
            <w:bottom w:w="0" w:type="dxa"/>
          </w:tblCellMar>
        </w:tblPrEx>
        <w:tc>
          <w:tcPr>
            <w:tcW w:w="1283" w:type="pct"/>
          </w:tcPr>
          <w:p w:rsidR="00000000" w:rsidRDefault="00CA422F">
            <w:pPr>
              <w:spacing w:line="360" w:lineRule="exact"/>
              <w:rPr>
                <w:rFonts w:eastAsia="SimHei" w:hint="eastAsia"/>
                <w:sz w:val="18"/>
              </w:rPr>
            </w:pPr>
            <w:r>
              <w:rPr>
                <w:rFonts w:eastAsia="SimHei" w:hint="eastAsia"/>
                <w:sz w:val="18"/>
              </w:rPr>
              <w:t>不同专业</w:t>
            </w:r>
          </w:p>
        </w:tc>
        <w:tc>
          <w:tcPr>
            <w:tcW w:w="619" w:type="pct"/>
          </w:tcPr>
          <w:p w:rsidR="00000000" w:rsidRDefault="00CA422F">
            <w:pPr>
              <w:spacing w:line="360" w:lineRule="exact"/>
              <w:jc w:val="center"/>
              <w:rPr>
                <w:rFonts w:eastAsia="SimHei" w:hint="eastAsia"/>
                <w:b/>
                <w:bCs/>
                <w:sz w:val="18"/>
              </w:rPr>
            </w:pPr>
            <w:r>
              <w:rPr>
                <w:rFonts w:eastAsia="SimHei" w:hint="eastAsia"/>
                <w:b/>
                <w:bCs/>
                <w:sz w:val="18"/>
              </w:rPr>
              <w:t>1990</w:t>
            </w:r>
          </w:p>
        </w:tc>
        <w:tc>
          <w:tcPr>
            <w:tcW w:w="620" w:type="pct"/>
          </w:tcPr>
          <w:p w:rsidR="00000000" w:rsidRDefault="00CA422F">
            <w:pPr>
              <w:spacing w:line="360" w:lineRule="exact"/>
              <w:jc w:val="center"/>
              <w:rPr>
                <w:rFonts w:eastAsia="SimHei" w:hint="eastAsia"/>
                <w:b/>
                <w:bCs/>
                <w:sz w:val="18"/>
              </w:rPr>
            </w:pPr>
            <w:r>
              <w:rPr>
                <w:rFonts w:eastAsia="SimHei" w:hint="eastAsia"/>
                <w:b/>
                <w:bCs/>
                <w:sz w:val="18"/>
              </w:rPr>
              <w:t>1995</w:t>
            </w:r>
          </w:p>
        </w:tc>
        <w:tc>
          <w:tcPr>
            <w:tcW w:w="620" w:type="pct"/>
          </w:tcPr>
          <w:p w:rsidR="00000000" w:rsidRDefault="00CA422F">
            <w:pPr>
              <w:spacing w:line="360" w:lineRule="exact"/>
              <w:jc w:val="center"/>
              <w:rPr>
                <w:rFonts w:eastAsia="SimHei" w:hint="eastAsia"/>
                <w:b/>
                <w:bCs/>
                <w:sz w:val="18"/>
              </w:rPr>
            </w:pPr>
            <w:r>
              <w:rPr>
                <w:rFonts w:eastAsia="SimHei" w:hint="eastAsia"/>
                <w:b/>
                <w:bCs/>
                <w:sz w:val="18"/>
              </w:rPr>
              <w:t>1996</w:t>
            </w:r>
          </w:p>
        </w:tc>
        <w:tc>
          <w:tcPr>
            <w:tcW w:w="620" w:type="pct"/>
          </w:tcPr>
          <w:p w:rsidR="00000000" w:rsidRDefault="00CA422F">
            <w:pPr>
              <w:spacing w:line="360" w:lineRule="exact"/>
              <w:jc w:val="center"/>
              <w:rPr>
                <w:rFonts w:eastAsia="SimHei" w:hint="eastAsia"/>
                <w:b/>
                <w:bCs/>
                <w:sz w:val="18"/>
              </w:rPr>
            </w:pPr>
            <w:r>
              <w:rPr>
                <w:rFonts w:eastAsia="SimHei" w:hint="eastAsia"/>
                <w:b/>
                <w:bCs/>
                <w:sz w:val="18"/>
              </w:rPr>
              <w:t>1997</w:t>
            </w:r>
          </w:p>
        </w:tc>
        <w:tc>
          <w:tcPr>
            <w:tcW w:w="620" w:type="pct"/>
          </w:tcPr>
          <w:p w:rsidR="00000000" w:rsidRDefault="00CA422F">
            <w:pPr>
              <w:spacing w:line="360" w:lineRule="exact"/>
              <w:jc w:val="center"/>
              <w:rPr>
                <w:rFonts w:eastAsia="SimHei" w:hint="eastAsia"/>
                <w:b/>
                <w:bCs/>
                <w:sz w:val="18"/>
              </w:rPr>
            </w:pPr>
            <w:r>
              <w:rPr>
                <w:rFonts w:eastAsia="SimHei" w:hint="eastAsia"/>
                <w:b/>
                <w:bCs/>
                <w:sz w:val="18"/>
              </w:rPr>
              <w:t>1998</w:t>
            </w:r>
          </w:p>
        </w:tc>
        <w:tc>
          <w:tcPr>
            <w:tcW w:w="618" w:type="pct"/>
          </w:tcPr>
          <w:p w:rsidR="00000000" w:rsidRDefault="00CA422F">
            <w:pPr>
              <w:spacing w:line="360" w:lineRule="exact"/>
              <w:jc w:val="center"/>
              <w:rPr>
                <w:rFonts w:eastAsia="SimHei" w:hint="eastAsia"/>
                <w:b/>
                <w:bCs/>
                <w:sz w:val="18"/>
              </w:rPr>
            </w:pPr>
            <w:r>
              <w:rPr>
                <w:rFonts w:eastAsia="SimHei" w:hint="eastAsia"/>
                <w:b/>
                <w:bCs/>
                <w:sz w:val="18"/>
              </w:rPr>
              <w:t>1999</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基础科学</w:t>
            </w:r>
          </w:p>
        </w:tc>
        <w:tc>
          <w:tcPr>
            <w:tcW w:w="619" w:type="pct"/>
          </w:tcPr>
          <w:p w:rsidR="00000000" w:rsidRDefault="00CA422F">
            <w:pPr>
              <w:spacing w:line="360" w:lineRule="exact"/>
              <w:jc w:val="center"/>
              <w:rPr>
                <w:rFonts w:hint="eastAsia"/>
                <w:sz w:val="18"/>
              </w:rPr>
            </w:pPr>
            <w:r>
              <w:rPr>
                <w:rFonts w:hint="eastAsia"/>
                <w:sz w:val="18"/>
              </w:rPr>
              <w:t>42.9</w:t>
            </w:r>
          </w:p>
        </w:tc>
        <w:tc>
          <w:tcPr>
            <w:tcW w:w="620" w:type="pct"/>
          </w:tcPr>
          <w:p w:rsidR="00000000" w:rsidRDefault="00CA422F">
            <w:pPr>
              <w:spacing w:line="360" w:lineRule="exact"/>
              <w:jc w:val="center"/>
              <w:rPr>
                <w:rFonts w:hint="eastAsia"/>
                <w:sz w:val="18"/>
              </w:rPr>
            </w:pPr>
            <w:r>
              <w:rPr>
                <w:rFonts w:hint="eastAsia"/>
                <w:sz w:val="18"/>
              </w:rPr>
              <w:t>55.9</w:t>
            </w:r>
          </w:p>
        </w:tc>
        <w:tc>
          <w:tcPr>
            <w:tcW w:w="620" w:type="pct"/>
          </w:tcPr>
          <w:p w:rsidR="00000000" w:rsidRDefault="00CA422F">
            <w:pPr>
              <w:spacing w:line="360" w:lineRule="exact"/>
              <w:jc w:val="center"/>
              <w:rPr>
                <w:rFonts w:hint="eastAsia"/>
                <w:sz w:val="18"/>
              </w:rPr>
            </w:pPr>
            <w:r>
              <w:rPr>
                <w:rFonts w:hint="eastAsia"/>
                <w:sz w:val="18"/>
              </w:rPr>
              <w:t>49.2</w:t>
            </w:r>
          </w:p>
        </w:tc>
        <w:tc>
          <w:tcPr>
            <w:tcW w:w="620" w:type="pct"/>
          </w:tcPr>
          <w:p w:rsidR="00000000" w:rsidRDefault="00CA422F">
            <w:pPr>
              <w:spacing w:line="360" w:lineRule="exact"/>
              <w:jc w:val="center"/>
              <w:rPr>
                <w:rFonts w:hint="eastAsia"/>
                <w:sz w:val="18"/>
              </w:rPr>
            </w:pPr>
            <w:r>
              <w:rPr>
                <w:rFonts w:hint="eastAsia"/>
                <w:sz w:val="18"/>
              </w:rPr>
              <w:t>57.4</w:t>
            </w:r>
          </w:p>
        </w:tc>
        <w:tc>
          <w:tcPr>
            <w:tcW w:w="620" w:type="pct"/>
          </w:tcPr>
          <w:p w:rsidR="00000000" w:rsidRDefault="00CA422F">
            <w:pPr>
              <w:spacing w:line="360" w:lineRule="exact"/>
              <w:jc w:val="center"/>
              <w:rPr>
                <w:rFonts w:hint="eastAsia"/>
                <w:sz w:val="18"/>
              </w:rPr>
            </w:pPr>
            <w:r>
              <w:rPr>
                <w:rFonts w:hint="eastAsia"/>
                <w:sz w:val="18"/>
              </w:rPr>
              <w:t>575</w:t>
            </w:r>
          </w:p>
        </w:tc>
        <w:tc>
          <w:tcPr>
            <w:tcW w:w="618" w:type="pct"/>
          </w:tcPr>
          <w:p w:rsidR="00000000" w:rsidRDefault="00CA422F">
            <w:pPr>
              <w:spacing w:line="360" w:lineRule="exact"/>
              <w:jc w:val="center"/>
              <w:rPr>
                <w:rFonts w:hint="eastAsia"/>
                <w:sz w:val="18"/>
              </w:rPr>
            </w:pPr>
            <w:r>
              <w:rPr>
                <w:rFonts w:hint="eastAsia"/>
                <w:sz w:val="18"/>
              </w:rPr>
              <w:t>55.0</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社会科学</w:t>
            </w:r>
          </w:p>
        </w:tc>
        <w:tc>
          <w:tcPr>
            <w:tcW w:w="619" w:type="pct"/>
          </w:tcPr>
          <w:p w:rsidR="00000000" w:rsidRDefault="00CA422F">
            <w:pPr>
              <w:spacing w:line="360" w:lineRule="exact"/>
              <w:jc w:val="center"/>
              <w:rPr>
                <w:rFonts w:hint="eastAsia"/>
                <w:sz w:val="18"/>
              </w:rPr>
            </w:pPr>
            <w:r>
              <w:rPr>
                <w:rFonts w:hint="eastAsia"/>
                <w:sz w:val="18"/>
              </w:rPr>
              <w:t>108.7</w:t>
            </w:r>
          </w:p>
        </w:tc>
        <w:tc>
          <w:tcPr>
            <w:tcW w:w="620" w:type="pct"/>
          </w:tcPr>
          <w:p w:rsidR="00000000" w:rsidRDefault="00CA422F">
            <w:pPr>
              <w:spacing w:line="360" w:lineRule="exact"/>
              <w:jc w:val="center"/>
              <w:rPr>
                <w:rFonts w:hint="eastAsia"/>
                <w:sz w:val="18"/>
              </w:rPr>
            </w:pPr>
            <w:r>
              <w:rPr>
                <w:rFonts w:hint="eastAsia"/>
                <w:sz w:val="18"/>
              </w:rPr>
              <w:t>102.5</w:t>
            </w:r>
          </w:p>
        </w:tc>
        <w:tc>
          <w:tcPr>
            <w:tcW w:w="620" w:type="pct"/>
          </w:tcPr>
          <w:p w:rsidR="00000000" w:rsidRDefault="00CA422F">
            <w:pPr>
              <w:spacing w:line="360" w:lineRule="exact"/>
              <w:jc w:val="center"/>
              <w:rPr>
                <w:rFonts w:hint="eastAsia"/>
                <w:sz w:val="18"/>
              </w:rPr>
            </w:pPr>
            <w:r>
              <w:rPr>
                <w:rFonts w:hint="eastAsia"/>
                <w:sz w:val="18"/>
              </w:rPr>
              <w:t>83.6</w:t>
            </w:r>
          </w:p>
        </w:tc>
        <w:tc>
          <w:tcPr>
            <w:tcW w:w="620" w:type="pct"/>
          </w:tcPr>
          <w:p w:rsidR="00000000" w:rsidRDefault="00CA422F">
            <w:pPr>
              <w:spacing w:line="360" w:lineRule="exact"/>
              <w:jc w:val="center"/>
              <w:rPr>
                <w:rFonts w:hint="eastAsia"/>
                <w:sz w:val="18"/>
              </w:rPr>
            </w:pPr>
            <w:r>
              <w:rPr>
                <w:rFonts w:hint="eastAsia"/>
                <w:sz w:val="18"/>
              </w:rPr>
              <w:t>85.7</w:t>
            </w:r>
          </w:p>
        </w:tc>
        <w:tc>
          <w:tcPr>
            <w:tcW w:w="620" w:type="pct"/>
          </w:tcPr>
          <w:p w:rsidR="00000000" w:rsidRDefault="00CA422F">
            <w:pPr>
              <w:spacing w:line="360" w:lineRule="exact"/>
              <w:jc w:val="center"/>
              <w:rPr>
                <w:rFonts w:hint="eastAsia"/>
                <w:sz w:val="18"/>
              </w:rPr>
            </w:pPr>
            <w:r>
              <w:rPr>
                <w:rFonts w:hint="eastAsia"/>
                <w:sz w:val="18"/>
              </w:rPr>
              <w:t>97.6</w:t>
            </w:r>
          </w:p>
        </w:tc>
        <w:tc>
          <w:tcPr>
            <w:tcW w:w="618" w:type="pct"/>
          </w:tcPr>
          <w:p w:rsidR="00000000" w:rsidRDefault="00CA422F">
            <w:pPr>
              <w:spacing w:line="360" w:lineRule="exact"/>
              <w:jc w:val="center"/>
              <w:rPr>
                <w:rFonts w:hint="eastAsia"/>
                <w:sz w:val="18"/>
              </w:rPr>
            </w:pPr>
            <w:r>
              <w:rPr>
                <w:rFonts w:hint="eastAsia"/>
                <w:sz w:val="18"/>
              </w:rPr>
              <w:t>106.0</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教育学</w:t>
            </w:r>
          </w:p>
        </w:tc>
        <w:tc>
          <w:tcPr>
            <w:tcW w:w="619" w:type="pct"/>
          </w:tcPr>
          <w:p w:rsidR="00000000" w:rsidRDefault="00CA422F">
            <w:pPr>
              <w:spacing w:line="360" w:lineRule="exact"/>
              <w:jc w:val="center"/>
              <w:rPr>
                <w:rFonts w:hint="eastAsia"/>
                <w:sz w:val="18"/>
              </w:rPr>
            </w:pPr>
            <w:r>
              <w:rPr>
                <w:rFonts w:hint="eastAsia"/>
                <w:sz w:val="18"/>
              </w:rPr>
              <w:t>334.5</w:t>
            </w:r>
          </w:p>
        </w:tc>
        <w:tc>
          <w:tcPr>
            <w:tcW w:w="620" w:type="pct"/>
          </w:tcPr>
          <w:p w:rsidR="00000000" w:rsidRDefault="00CA422F">
            <w:pPr>
              <w:spacing w:line="360" w:lineRule="exact"/>
              <w:jc w:val="center"/>
              <w:rPr>
                <w:rFonts w:hint="eastAsia"/>
                <w:sz w:val="18"/>
              </w:rPr>
            </w:pPr>
            <w:r>
              <w:rPr>
                <w:rFonts w:hint="eastAsia"/>
                <w:sz w:val="18"/>
              </w:rPr>
              <w:t>329.0</w:t>
            </w:r>
          </w:p>
        </w:tc>
        <w:tc>
          <w:tcPr>
            <w:tcW w:w="620" w:type="pct"/>
          </w:tcPr>
          <w:p w:rsidR="00000000" w:rsidRDefault="00CA422F">
            <w:pPr>
              <w:spacing w:line="360" w:lineRule="exact"/>
              <w:jc w:val="center"/>
              <w:rPr>
                <w:rFonts w:hint="eastAsia"/>
                <w:sz w:val="18"/>
              </w:rPr>
            </w:pPr>
            <w:r>
              <w:rPr>
                <w:rFonts w:hint="eastAsia"/>
                <w:sz w:val="18"/>
              </w:rPr>
              <w:t>332.5</w:t>
            </w:r>
          </w:p>
        </w:tc>
        <w:tc>
          <w:tcPr>
            <w:tcW w:w="620" w:type="pct"/>
          </w:tcPr>
          <w:p w:rsidR="00000000" w:rsidRDefault="00CA422F">
            <w:pPr>
              <w:spacing w:line="360" w:lineRule="exact"/>
              <w:jc w:val="center"/>
              <w:rPr>
                <w:rFonts w:hint="eastAsia"/>
                <w:sz w:val="18"/>
              </w:rPr>
            </w:pPr>
            <w:r>
              <w:rPr>
                <w:rFonts w:hint="eastAsia"/>
                <w:sz w:val="18"/>
              </w:rPr>
              <w:t>351.9</w:t>
            </w:r>
          </w:p>
        </w:tc>
        <w:tc>
          <w:tcPr>
            <w:tcW w:w="620" w:type="pct"/>
          </w:tcPr>
          <w:p w:rsidR="00000000" w:rsidRDefault="00CA422F">
            <w:pPr>
              <w:spacing w:line="360" w:lineRule="exact"/>
              <w:jc w:val="center"/>
              <w:rPr>
                <w:rFonts w:hint="eastAsia"/>
                <w:sz w:val="18"/>
              </w:rPr>
            </w:pPr>
            <w:r>
              <w:rPr>
                <w:rFonts w:hint="eastAsia"/>
                <w:sz w:val="18"/>
              </w:rPr>
              <w:t>386.7</w:t>
            </w:r>
          </w:p>
        </w:tc>
        <w:tc>
          <w:tcPr>
            <w:tcW w:w="618" w:type="pct"/>
          </w:tcPr>
          <w:p w:rsidR="00000000" w:rsidRDefault="00CA422F">
            <w:pPr>
              <w:spacing w:line="360" w:lineRule="exact"/>
              <w:jc w:val="center"/>
              <w:rPr>
                <w:rFonts w:hint="eastAsia"/>
                <w:sz w:val="18"/>
              </w:rPr>
            </w:pPr>
            <w:r>
              <w:rPr>
                <w:rFonts w:hint="eastAsia"/>
                <w:sz w:val="18"/>
              </w:rPr>
              <w:t>369.0</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自然科学</w:t>
            </w:r>
          </w:p>
        </w:tc>
        <w:tc>
          <w:tcPr>
            <w:tcW w:w="619" w:type="pct"/>
          </w:tcPr>
          <w:p w:rsidR="00000000" w:rsidRDefault="00CA422F">
            <w:pPr>
              <w:spacing w:line="360" w:lineRule="exact"/>
              <w:jc w:val="center"/>
              <w:rPr>
                <w:rFonts w:hint="eastAsia"/>
                <w:sz w:val="18"/>
              </w:rPr>
            </w:pPr>
            <w:r>
              <w:rPr>
                <w:rFonts w:hint="eastAsia"/>
                <w:sz w:val="18"/>
              </w:rPr>
              <w:t>30.1</w:t>
            </w:r>
          </w:p>
        </w:tc>
        <w:tc>
          <w:tcPr>
            <w:tcW w:w="620" w:type="pct"/>
          </w:tcPr>
          <w:p w:rsidR="00000000" w:rsidRDefault="00CA422F">
            <w:pPr>
              <w:spacing w:line="360" w:lineRule="exact"/>
              <w:jc w:val="center"/>
              <w:rPr>
                <w:rFonts w:hint="eastAsia"/>
                <w:sz w:val="18"/>
              </w:rPr>
            </w:pPr>
            <w:r>
              <w:rPr>
                <w:rFonts w:hint="eastAsia"/>
                <w:sz w:val="18"/>
              </w:rPr>
              <w:t>35.1</w:t>
            </w:r>
          </w:p>
        </w:tc>
        <w:tc>
          <w:tcPr>
            <w:tcW w:w="620" w:type="pct"/>
          </w:tcPr>
          <w:p w:rsidR="00000000" w:rsidRDefault="00CA422F">
            <w:pPr>
              <w:spacing w:line="360" w:lineRule="exact"/>
              <w:jc w:val="center"/>
              <w:rPr>
                <w:rFonts w:hint="eastAsia"/>
                <w:sz w:val="18"/>
              </w:rPr>
            </w:pPr>
            <w:r>
              <w:rPr>
                <w:rFonts w:hint="eastAsia"/>
                <w:sz w:val="18"/>
              </w:rPr>
              <w:t>30.0</w:t>
            </w:r>
          </w:p>
        </w:tc>
        <w:tc>
          <w:tcPr>
            <w:tcW w:w="620" w:type="pct"/>
          </w:tcPr>
          <w:p w:rsidR="00000000" w:rsidRDefault="00CA422F">
            <w:pPr>
              <w:spacing w:line="360" w:lineRule="exact"/>
              <w:jc w:val="center"/>
              <w:rPr>
                <w:rFonts w:hint="eastAsia"/>
                <w:sz w:val="18"/>
              </w:rPr>
            </w:pPr>
            <w:r>
              <w:rPr>
                <w:rFonts w:hint="eastAsia"/>
                <w:sz w:val="18"/>
              </w:rPr>
              <w:t>23.3</w:t>
            </w:r>
          </w:p>
        </w:tc>
        <w:tc>
          <w:tcPr>
            <w:tcW w:w="620" w:type="pct"/>
          </w:tcPr>
          <w:p w:rsidR="00000000" w:rsidRDefault="00CA422F">
            <w:pPr>
              <w:spacing w:line="360" w:lineRule="exact"/>
              <w:jc w:val="center"/>
              <w:rPr>
                <w:rFonts w:hint="eastAsia"/>
                <w:sz w:val="18"/>
              </w:rPr>
            </w:pPr>
            <w:r>
              <w:rPr>
                <w:rFonts w:hint="eastAsia"/>
                <w:sz w:val="18"/>
              </w:rPr>
              <w:t>32.9</w:t>
            </w:r>
          </w:p>
        </w:tc>
        <w:tc>
          <w:tcPr>
            <w:tcW w:w="618" w:type="pct"/>
          </w:tcPr>
          <w:p w:rsidR="00000000" w:rsidRDefault="00CA422F">
            <w:pPr>
              <w:spacing w:line="360" w:lineRule="exact"/>
              <w:jc w:val="center"/>
              <w:rPr>
                <w:rFonts w:hint="eastAsia"/>
                <w:sz w:val="18"/>
              </w:rPr>
            </w:pPr>
            <w:r>
              <w:rPr>
                <w:rFonts w:hint="eastAsia"/>
                <w:sz w:val="18"/>
              </w:rPr>
              <w:t>34.4</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工程学</w:t>
            </w:r>
          </w:p>
        </w:tc>
        <w:tc>
          <w:tcPr>
            <w:tcW w:w="619" w:type="pct"/>
          </w:tcPr>
          <w:p w:rsidR="00000000" w:rsidRDefault="00CA422F">
            <w:pPr>
              <w:spacing w:line="360" w:lineRule="exact"/>
              <w:jc w:val="center"/>
              <w:rPr>
                <w:rFonts w:hint="eastAsia"/>
                <w:sz w:val="18"/>
              </w:rPr>
            </w:pPr>
            <w:r>
              <w:rPr>
                <w:rFonts w:hint="eastAsia"/>
                <w:sz w:val="18"/>
              </w:rPr>
              <w:t>22.1</w:t>
            </w:r>
          </w:p>
        </w:tc>
        <w:tc>
          <w:tcPr>
            <w:tcW w:w="620" w:type="pct"/>
          </w:tcPr>
          <w:p w:rsidR="00000000" w:rsidRDefault="00CA422F">
            <w:pPr>
              <w:spacing w:line="360" w:lineRule="exact"/>
              <w:jc w:val="center"/>
              <w:rPr>
                <w:rFonts w:hint="eastAsia"/>
                <w:sz w:val="18"/>
              </w:rPr>
            </w:pPr>
            <w:r>
              <w:rPr>
                <w:rFonts w:hint="eastAsia"/>
                <w:sz w:val="18"/>
              </w:rPr>
              <w:t>22.2</w:t>
            </w:r>
          </w:p>
        </w:tc>
        <w:tc>
          <w:tcPr>
            <w:tcW w:w="620" w:type="pct"/>
          </w:tcPr>
          <w:p w:rsidR="00000000" w:rsidRDefault="00CA422F">
            <w:pPr>
              <w:spacing w:line="360" w:lineRule="exact"/>
              <w:jc w:val="center"/>
              <w:rPr>
                <w:rFonts w:hint="eastAsia"/>
                <w:sz w:val="18"/>
              </w:rPr>
            </w:pPr>
            <w:r>
              <w:rPr>
                <w:rFonts w:hint="eastAsia"/>
                <w:sz w:val="18"/>
              </w:rPr>
              <w:t>18.1</w:t>
            </w:r>
          </w:p>
        </w:tc>
        <w:tc>
          <w:tcPr>
            <w:tcW w:w="620" w:type="pct"/>
          </w:tcPr>
          <w:p w:rsidR="00000000" w:rsidRDefault="00CA422F">
            <w:pPr>
              <w:spacing w:line="360" w:lineRule="exact"/>
              <w:jc w:val="center"/>
              <w:rPr>
                <w:rFonts w:hint="eastAsia"/>
                <w:sz w:val="18"/>
              </w:rPr>
            </w:pPr>
            <w:r>
              <w:rPr>
                <w:rFonts w:hint="eastAsia"/>
                <w:sz w:val="18"/>
              </w:rPr>
              <w:t>17.4</w:t>
            </w:r>
          </w:p>
        </w:tc>
        <w:tc>
          <w:tcPr>
            <w:tcW w:w="620" w:type="pct"/>
          </w:tcPr>
          <w:p w:rsidR="00000000" w:rsidRDefault="00CA422F">
            <w:pPr>
              <w:spacing w:line="360" w:lineRule="exact"/>
              <w:jc w:val="center"/>
              <w:rPr>
                <w:rFonts w:hint="eastAsia"/>
                <w:sz w:val="18"/>
              </w:rPr>
            </w:pPr>
            <w:r>
              <w:rPr>
                <w:rFonts w:hint="eastAsia"/>
                <w:sz w:val="18"/>
              </w:rPr>
              <w:t>16.8</w:t>
            </w:r>
          </w:p>
        </w:tc>
        <w:tc>
          <w:tcPr>
            <w:tcW w:w="618" w:type="pct"/>
          </w:tcPr>
          <w:p w:rsidR="00000000" w:rsidRDefault="00CA422F">
            <w:pPr>
              <w:spacing w:line="360" w:lineRule="exact"/>
              <w:jc w:val="center"/>
              <w:rPr>
                <w:rFonts w:hint="eastAsia"/>
                <w:sz w:val="18"/>
              </w:rPr>
            </w:pPr>
            <w:r>
              <w:rPr>
                <w:rFonts w:hint="eastAsia"/>
                <w:sz w:val="18"/>
              </w:rPr>
              <w:t>24.4</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医疗学科</w:t>
            </w:r>
          </w:p>
        </w:tc>
        <w:tc>
          <w:tcPr>
            <w:tcW w:w="619" w:type="pct"/>
          </w:tcPr>
          <w:p w:rsidR="00000000" w:rsidRDefault="00CA422F">
            <w:pPr>
              <w:spacing w:line="360" w:lineRule="exact"/>
              <w:jc w:val="center"/>
              <w:rPr>
                <w:rFonts w:hint="eastAsia"/>
                <w:sz w:val="18"/>
              </w:rPr>
            </w:pPr>
            <w:r>
              <w:rPr>
                <w:rFonts w:hint="eastAsia"/>
                <w:sz w:val="18"/>
              </w:rPr>
              <w:t>165.9</w:t>
            </w:r>
          </w:p>
        </w:tc>
        <w:tc>
          <w:tcPr>
            <w:tcW w:w="620" w:type="pct"/>
          </w:tcPr>
          <w:p w:rsidR="00000000" w:rsidRDefault="00CA422F">
            <w:pPr>
              <w:spacing w:line="360" w:lineRule="exact"/>
              <w:jc w:val="center"/>
              <w:rPr>
                <w:rFonts w:hint="eastAsia"/>
                <w:sz w:val="18"/>
              </w:rPr>
            </w:pPr>
            <w:r>
              <w:rPr>
                <w:rFonts w:hint="eastAsia"/>
                <w:sz w:val="18"/>
              </w:rPr>
              <w:t>124.7</w:t>
            </w:r>
          </w:p>
        </w:tc>
        <w:tc>
          <w:tcPr>
            <w:tcW w:w="620" w:type="pct"/>
          </w:tcPr>
          <w:p w:rsidR="00000000" w:rsidRDefault="00CA422F">
            <w:pPr>
              <w:spacing w:line="360" w:lineRule="exact"/>
              <w:jc w:val="center"/>
              <w:rPr>
                <w:rFonts w:hint="eastAsia"/>
                <w:sz w:val="18"/>
              </w:rPr>
            </w:pPr>
            <w:r>
              <w:rPr>
                <w:rFonts w:hint="eastAsia"/>
                <w:sz w:val="18"/>
              </w:rPr>
              <w:t>144.5</w:t>
            </w:r>
          </w:p>
        </w:tc>
        <w:tc>
          <w:tcPr>
            <w:tcW w:w="620" w:type="pct"/>
          </w:tcPr>
          <w:p w:rsidR="00000000" w:rsidRDefault="00CA422F">
            <w:pPr>
              <w:spacing w:line="360" w:lineRule="exact"/>
              <w:jc w:val="center"/>
              <w:rPr>
                <w:rFonts w:hint="eastAsia"/>
                <w:sz w:val="18"/>
              </w:rPr>
            </w:pPr>
            <w:r>
              <w:rPr>
                <w:rFonts w:hint="eastAsia"/>
                <w:sz w:val="18"/>
              </w:rPr>
              <w:t>138.9</w:t>
            </w:r>
          </w:p>
        </w:tc>
        <w:tc>
          <w:tcPr>
            <w:tcW w:w="620" w:type="pct"/>
          </w:tcPr>
          <w:p w:rsidR="00000000" w:rsidRDefault="00CA422F">
            <w:pPr>
              <w:spacing w:line="360" w:lineRule="exact"/>
              <w:jc w:val="center"/>
              <w:rPr>
                <w:rFonts w:hint="eastAsia"/>
                <w:sz w:val="18"/>
              </w:rPr>
            </w:pPr>
            <w:r>
              <w:rPr>
                <w:rFonts w:hint="eastAsia"/>
                <w:sz w:val="18"/>
              </w:rPr>
              <w:t>145.8</w:t>
            </w:r>
          </w:p>
        </w:tc>
        <w:tc>
          <w:tcPr>
            <w:tcW w:w="618" w:type="pct"/>
          </w:tcPr>
          <w:p w:rsidR="00000000" w:rsidRDefault="00CA422F">
            <w:pPr>
              <w:spacing w:line="360" w:lineRule="exact"/>
              <w:jc w:val="center"/>
              <w:rPr>
                <w:rFonts w:hint="eastAsia"/>
                <w:sz w:val="18"/>
              </w:rPr>
            </w:pPr>
            <w:r>
              <w:rPr>
                <w:rFonts w:hint="eastAsia"/>
                <w:sz w:val="18"/>
              </w:rPr>
              <w:t>132.6</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医学（人类及动物）</w:t>
            </w:r>
          </w:p>
        </w:tc>
        <w:tc>
          <w:tcPr>
            <w:tcW w:w="619" w:type="pct"/>
          </w:tcPr>
          <w:p w:rsidR="00000000" w:rsidRDefault="00CA422F">
            <w:pPr>
              <w:spacing w:line="360" w:lineRule="exact"/>
              <w:jc w:val="center"/>
              <w:rPr>
                <w:rFonts w:hint="eastAsia"/>
                <w:sz w:val="18"/>
              </w:rPr>
            </w:pPr>
            <w:r>
              <w:rPr>
                <w:rFonts w:hint="eastAsia"/>
                <w:sz w:val="18"/>
              </w:rPr>
              <w:t>87.3</w:t>
            </w:r>
          </w:p>
        </w:tc>
        <w:tc>
          <w:tcPr>
            <w:tcW w:w="620" w:type="pct"/>
          </w:tcPr>
          <w:p w:rsidR="00000000" w:rsidRDefault="00CA422F">
            <w:pPr>
              <w:spacing w:line="360" w:lineRule="exact"/>
              <w:jc w:val="center"/>
              <w:rPr>
                <w:rFonts w:hint="eastAsia"/>
                <w:sz w:val="18"/>
              </w:rPr>
            </w:pPr>
            <w:r>
              <w:rPr>
                <w:rFonts w:hint="eastAsia"/>
                <w:sz w:val="18"/>
              </w:rPr>
              <w:t>55.4</w:t>
            </w:r>
          </w:p>
        </w:tc>
        <w:tc>
          <w:tcPr>
            <w:tcW w:w="620" w:type="pct"/>
          </w:tcPr>
          <w:p w:rsidR="00000000" w:rsidRDefault="00CA422F">
            <w:pPr>
              <w:spacing w:line="360" w:lineRule="exact"/>
              <w:jc w:val="center"/>
              <w:rPr>
                <w:rFonts w:hint="eastAsia"/>
                <w:sz w:val="18"/>
              </w:rPr>
            </w:pPr>
            <w:r>
              <w:rPr>
                <w:rFonts w:hint="eastAsia"/>
                <w:sz w:val="18"/>
              </w:rPr>
              <w:t>92.0</w:t>
            </w:r>
          </w:p>
        </w:tc>
        <w:tc>
          <w:tcPr>
            <w:tcW w:w="620" w:type="pct"/>
          </w:tcPr>
          <w:p w:rsidR="00000000" w:rsidRDefault="00CA422F">
            <w:pPr>
              <w:spacing w:line="360" w:lineRule="exact"/>
              <w:jc w:val="center"/>
              <w:rPr>
                <w:rFonts w:hint="eastAsia"/>
                <w:sz w:val="18"/>
              </w:rPr>
            </w:pPr>
            <w:r>
              <w:rPr>
                <w:rFonts w:hint="eastAsia"/>
                <w:sz w:val="18"/>
              </w:rPr>
              <w:t>74.5</w:t>
            </w:r>
          </w:p>
        </w:tc>
        <w:tc>
          <w:tcPr>
            <w:tcW w:w="620" w:type="pct"/>
          </w:tcPr>
          <w:p w:rsidR="00000000" w:rsidRDefault="00CA422F">
            <w:pPr>
              <w:spacing w:line="360" w:lineRule="exact"/>
              <w:jc w:val="center"/>
              <w:rPr>
                <w:rFonts w:hint="eastAsia"/>
                <w:sz w:val="18"/>
              </w:rPr>
            </w:pPr>
            <w:r>
              <w:rPr>
                <w:rFonts w:hint="eastAsia"/>
                <w:sz w:val="18"/>
              </w:rPr>
              <w:t>86.7</w:t>
            </w:r>
          </w:p>
        </w:tc>
        <w:tc>
          <w:tcPr>
            <w:tcW w:w="618" w:type="pct"/>
          </w:tcPr>
          <w:p w:rsidR="00000000" w:rsidRDefault="00CA422F">
            <w:pPr>
              <w:spacing w:line="360" w:lineRule="exact"/>
              <w:jc w:val="center"/>
              <w:rPr>
                <w:rFonts w:hint="eastAsia"/>
                <w:sz w:val="18"/>
              </w:rPr>
            </w:pPr>
            <w:r>
              <w:rPr>
                <w:rFonts w:hint="eastAsia"/>
                <w:sz w:val="18"/>
              </w:rPr>
              <w:t>64.2</w:t>
            </w:r>
          </w:p>
        </w:tc>
      </w:tr>
      <w:tr w:rsidR="00000000">
        <w:tblPrEx>
          <w:tblCellMar>
            <w:top w:w="0" w:type="dxa"/>
            <w:bottom w:w="0" w:type="dxa"/>
          </w:tblCellMar>
        </w:tblPrEx>
        <w:tc>
          <w:tcPr>
            <w:tcW w:w="1283" w:type="pct"/>
          </w:tcPr>
          <w:p w:rsidR="00000000" w:rsidRDefault="00CA422F">
            <w:pPr>
              <w:spacing w:line="360" w:lineRule="exact"/>
              <w:rPr>
                <w:rFonts w:hint="eastAsia"/>
                <w:sz w:val="18"/>
              </w:rPr>
            </w:pPr>
            <w:r>
              <w:rPr>
                <w:rFonts w:hint="eastAsia"/>
                <w:sz w:val="18"/>
              </w:rPr>
              <w:t>其它医疗学科</w:t>
            </w:r>
          </w:p>
        </w:tc>
        <w:tc>
          <w:tcPr>
            <w:tcW w:w="619" w:type="pct"/>
          </w:tcPr>
          <w:p w:rsidR="00000000" w:rsidRDefault="00CA422F">
            <w:pPr>
              <w:spacing w:line="360" w:lineRule="exact"/>
              <w:jc w:val="center"/>
              <w:rPr>
                <w:rFonts w:hint="eastAsia"/>
                <w:sz w:val="18"/>
              </w:rPr>
            </w:pPr>
            <w:r>
              <w:rPr>
                <w:rFonts w:hint="eastAsia"/>
                <w:sz w:val="18"/>
              </w:rPr>
              <w:t>298.8</w:t>
            </w:r>
          </w:p>
        </w:tc>
        <w:tc>
          <w:tcPr>
            <w:tcW w:w="620" w:type="pct"/>
          </w:tcPr>
          <w:p w:rsidR="00000000" w:rsidRDefault="00CA422F">
            <w:pPr>
              <w:spacing w:line="360" w:lineRule="exact"/>
              <w:jc w:val="center"/>
              <w:rPr>
                <w:rFonts w:hint="eastAsia"/>
                <w:sz w:val="18"/>
              </w:rPr>
            </w:pPr>
            <w:r>
              <w:rPr>
                <w:rFonts w:hint="eastAsia"/>
                <w:sz w:val="18"/>
              </w:rPr>
              <w:t>365.7</w:t>
            </w:r>
          </w:p>
        </w:tc>
        <w:tc>
          <w:tcPr>
            <w:tcW w:w="620" w:type="pct"/>
          </w:tcPr>
          <w:p w:rsidR="00000000" w:rsidRDefault="00CA422F">
            <w:pPr>
              <w:spacing w:line="360" w:lineRule="exact"/>
              <w:jc w:val="center"/>
              <w:rPr>
                <w:rFonts w:hint="eastAsia"/>
                <w:sz w:val="18"/>
              </w:rPr>
            </w:pPr>
            <w:r>
              <w:rPr>
                <w:rFonts w:hint="eastAsia"/>
                <w:sz w:val="18"/>
              </w:rPr>
              <w:t>288.0</w:t>
            </w:r>
          </w:p>
        </w:tc>
        <w:tc>
          <w:tcPr>
            <w:tcW w:w="620" w:type="pct"/>
          </w:tcPr>
          <w:p w:rsidR="00000000" w:rsidRDefault="00CA422F">
            <w:pPr>
              <w:spacing w:line="360" w:lineRule="exact"/>
              <w:jc w:val="center"/>
              <w:rPr>
                <w:rFonts w:hint="eastAsia"/>
                <w:sz w:val="18"/>
              </w:rPr>
            </w:pPr>
            <w:r>
              <w:rPr>
                <w:rFonts w:hint="eastAsia"/>
                <w:sz w:val="18"/>
              </w:rPr>
              <w:t>303.2</w:t>
            </w:r>
          </w:p>
        </w:tc>
        <w:tc>
          <w:tcPr>
            <w:tcW w:w="620" w:type="pct"/>
          </w:tcPr>
          <w:p w:rsidR="00000000" w:rsidRDefault="00CA422F">
            <w:pPr>
              <w:spacing w:line="360" w:lineRule="exact"/>
              <w:jc w:val="center"/>
              <w:rPr>
                <w:rFonts w:hint="eastAsia"/>
                <w:sz w:val="18"/>
              </w:rPr>
            </w:pPr>
            <w:r>
              <w:rPr>
                <w:rFonts w:hint="eastAsia"/>
                <w:sz w:val="18"/>
              </w:rPr>
              <w:t>279.8</w:t>
            </w:r>
          </w:p>
        </w:tc>
        <w:tc>
          <w:tcPr>
            <w:tcW w:w="618" w:type="pct"/>
          </w:tcPr>
          <w:p w:rsidR="00000000" w:rsidRDefault="00CA422F">
            <w:pPr>
              <w:spacing w:line="360" w:lineRule="exact"/>
              <w:jc w:val="center"/>
              <w:rPr>
                <w:rFonts w:hint="eastAsia"/>
                <w:sz w:val="18"/>
              </w:rPr>
            </w:pPr>
            <w:r>
              <w:rPr>
                <w:rFonts w:hint="eastAsia"/>
                <w:sz w:val="18"/>
              </w:rPr>
              <w:t>316.5</w:t>
            </w:r>
          </w:p>
        </w:tc>
      </w:tr>
    </w:tbl>
    <w:p w:rsidR="00000000" w:rsidRDefault="00CA422F">
      <w:pPr>
        <w:spacing w:after="240" w:line="360" w:lineRule="exact"/>
        <w:rPr>
          <w:rFonts w:hint="eastAsia"/>
          <w:sz w:val="18"/>
        </w:rPr>
      </w:pPr>
      <w:r>
        <w:rPr>
          <w:rFonts w:hint="eastAsia"/>
          <w:sz w:val="18"/>
        </w:rPr>
        <w:t>资料来源：哥斯达黎加人口与统计总局－劳动和社会保障部。有关家庭和多种因素调查。相关年份。</w:t>
      </w:r>
    </w:p>
    <w:p w:rsidR="00000000" w:rsidRDefault="00CA422F">
      <w:pPr>
        <w:spacing w:after="240" w:line="360" w:lineRule="exact"/>
        <w:rPr>
          <w:rFonts w:hint="eastAsia"/>
        </w:rPr>
      </w:pPr>
      <w:r>
        <w:rPr>
          <w:rFonts w:hint="eastAsia"/>
        </w:rPr>
        <w:t>331</w:t>
      </w:r>
      <w:r>
        <w:rPr>
          <w:rFonts w:hint="eastAsia"/>
        </w:rPr>
        <w:t>．值得指出的是，毕业于“女性化”专业的男</w:t>
      </w:r>
      <w:r>
        <w:rPr>
          <w:rFonts w:hint="eastAsia"/>
        </w:rPr>
        <w:t>性比例没有发生较大的变化，而毕业于“男性化”专业的女性比例却呈现出微弱的上升趋势：</w:t>
      </w:r>
      <w:r>
        <w:rPr>
          <w:rFonts w:hint="eastAsia"/>
        </w:rPr>
        <w:t>1990</w:t>
      </w:r>
      <w:r>
        <w:rPr>
          <w:rFonts w:hint="eastAsia"/>
        </w:rPr>
        <w:t>年为</w:t>
      </w:r>
      <w:r>
        <w:rPr>
          <w:rFonts w:hint="eastAsia"/>
        </w:rPr>
        <w:t>23</w:t>
      </w:r>
      <w:r>
        <w:rPr>
          <w:rFonts w:hint="eastAsia"/>
        </w:rPr>
        <w:t>％，</w:t>
      </w:r>
      <w:r>
        <w:rPr>
          <w:rFonts w:hint="eastAsia"/>
        </w:rPr>
        <w:t>1999</w:t>
      </w:r>
      <w:r>
        <w:rPr>
          <w:rFonts w:hint="eastAsia"/>
        </w:rPr>
        <w:t>年为</w:t>
      </w:r>
      <w:r>
        <w:rPr>
          <w:rFonts w:hint="eastAsia"/>
        </w:rPr>
        <w:t>27.4</w:t>
      </w:r>
      <w:r>
        <w:rPr>
          <w:rFonts w:hint="eastAsia"/>
        </w:rPr>
        <w:t>％。之所以出现这种趋势，主要是诸如生物、统计、数学、计算机等基础科学的女性人数有所增加（女性比例高于</w:t>
      </w:r>
      <w:r>
        <w:rPr>
          <w:rFonts w:hint="eastAsia"/>
        </w:rPr>
        <w:t>30</w:t>
      </w:r>
      <w:r>
        <w:rPr>
          <w:rFonts w:hint="eastAsia"/>
        </w:rPr>
        <w:t>％）。</w:t>
      </w:r>
      <w:r>
        <w:rPr>
          <w:rFonts w:hint="eastAsia"/>
        </w:rPr>
        <w:t>1995</w:t>
      </w:r>
      <w:r>
        <w:rPr>
          <w:rFonts w:hint="eastAsia"/>
        </w:rPr>
        <w:t>年女性在“男性化”专业中所占比例急速上升，除了上述原因之外，还应该归功于女性在“男性化”的医学中发挥相对重要的作用，毕业于医学专业的女性达到了</w:t>
      </w:r>
      <w:r>
        <w:rPr>
          <w:rFonts w:hint="eastAsia"/>
        </w:rPr>
        <w:t>35</w:t>
      </w:r>
      <w:r>
        <w:rPr>
          <w:rFonts w:hint="eastAsia"/>
        </w:rPr>
        <w:t>％，几乎达到了医学专业对招收女生所规定的上限（</w:t>
      </w:r>
      <w:r>
        <w:rPr>
          <w:rFonts w:hint="eastAsia"/>
        </w:rPr>
        <w:t>40</w:t>
      </w:r>
      <w:r>
        <w:rPr>
          <w:rFonts w:hint="eastAsia"/>
        </w:rPr>
        <w:t>％）。至此以后，医学也被纳入上述基础科学的范围。</w:t>
      </w:r>
    </w:p>
    <w:p w:rsidR="00000000" w:rsidRDefault="00CA422F">
      <w:pPr>
        <w:spacing w:after="240" w:line="360" w:lineRule="exact"/>
        <w:rPr>
          <w:rFonts w:hint="eastAsia"/>
        </w:rPr>
      </w:pPr>
      <w:r>
        <w:rPr>
          <w:rFonts w:hint="eastAsia"/>
        </w:rPr>
        <w:t>332</w:t>
      </w:r>
      <w:r>
        <w:rPr>
          <w:rFonts w:hint="eastAsia"/>
        </w:rPr>
        <w:t>．中等技术培训教育部</w:t>
      </w:r>
      <w:r>
        <w:rPr>
          <w:rFonts w:hint="eastAsia"/>
        </w:rPr>
        <w:t>门中的男女差异情况类似：女性主要集中在服务行业，女性同男性的比例超过了</w:t>
      </w:r>
      <w:r>
        <w:rPr>
          <w:rFonts w:hint="eastAsia"/>
        </w:rPr>
        <w:t>200</w:t>
      </w:r>
      <w:r>
        <w:rPr>
          <w:rFonts w:hint="eastAsia"/>
        </w:rPr>
        <w:t>％；而男性主要集中在农牧业和工业部门，所占比例近</w:t>
      </w:r>
      <w:r>
        <w:rPr>
          <w:rFonts w:hint="eastAsia"/>
        </w:rPr>
        <w:t>60</w:t>
      </w:r>
      <w:r>
        <w:rPr>
          <w:rFonts w:hint="eastAsia"/>
        </w:rPr>
        <w:t>％。</w:t>
      </w:r>
    </w:p>
    <w:p w:rsidR="00000000" w:rsidRDefault="00CA422F">
      <w:pPr>
        <w:spacing w:after="240" w:line="360" w:lineRule="exact"/>
        <w:rPr>
          <w:rFonts w:hint="eastAsia"/>
        </w:rPr>
      </w:pPr>
      <w:r>
        <w:rPr>
          <w:rFonts w:hint="eastAsia"/>
        </w:rPr>
        <w:t>333</w:t>
      </w:r>
      <w:r>
        <w:rPr>
          <w:rFonts w:hint="eastAsia"/>
        </w:rPr>
        <w:t>．通过国家职业学院（</w:t>
      </w:r>
      <w:r>
        <w:rPr>
          <w:rFonts w:hint="eastAsia"/>
        </w:rPr>
        <w:t>INA</w:t>
      </w:r>
      <w:r>
        <w:rPr>
          <w:rFonts w:hint="eastAsia"/>
        </w:rPr>
        <w:t>）的培训活动来掌握普通学校无法接触的专项技能表明，该领域中的男女差异高达</w:t>
      </w:r>
      <w:r>
        <w:rPr>
          <w:rFonts w:hint="eastAsia"/>
        </w:rPr>
        <w:t>21</w:t>
      </w:r>
      <w:r>
        <w:rPr>
          <w:rFonts w:hint="eastAsia"/>
        </w:rPr>
        <w:t>％；同女性在这些活动中的参与情况相比（</w:t>
      </w:r>
      <w:r>
        <w:rPr>
          <w:rFonts w:hint="eastAsia"/>
        </w:rPr>
        <w:t>45</w:t>
      </w:r>
      <w:r>
        <w:rPr>
          <w:rFonts w:hint="eastAsia"/>
        </w:rPr>
        <w:t>％），这一差距显得极为突出（民族国家计划，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334</w:t>
      </w:r>
      <w:r>
        <w:rPr>
          <w:rFonts w:hint="eastAsia"/>
        </w:rPr>
        <w:t>．上述这种差异的结果主要表现为从事科学研究的专业女性人数稀少。国家科学技术委员会（</w:t>
      </w:r>
      <w:r>
        <w:rPr>
          <w:rFonts w:hint="eastAsia"/>
        </w:rPr>
        <w:t>CONICIT</w:t>
      </w:r>
      <w:r>
        <w:rPr>
          <w:rFonts w:hint="eastAsia"/>
        </w:rPr>
        <w:t>）</w:t>
      </w:r>
      <w:r>
        <w:rPr>
          <w:rFonts w:hint="eastAsia"/>
        </w:rPr>
        <w:t>1988</w:t>
      </w:r>
      <w:r>
        <w:rPr>
          <w:rFonts w:hint="eastAsia"/>
        </w:rPr>
        <w:t>至</w:t>
      </w:r>
      <w:r>
        <w:rPr>
          <w:rFonts w:hint="eastAsia"/>
        </w:rPr>
        <w:t>1999</w:t>
      </w:r>
      <w:r>
        <w:rPr>
          <w:rFonts w:hint="eastAsia"/>
        </w:rPr>
        <w:t>年间的注册资料表明，从事科学研究的女性人数有了一</w:t>
      </w:r>
      <w:r>
        <w:rPr>
          <w:rFonts w:hint="eastAsia"/>
        </w:rPr>
        <w:t>定的增加：直至九十年代末，该领域的女性比例达到了</w:t>
      </w:r>
      <w:r>
        <w:rPr>
          <w:rFonts w:hint="eastAsia"/>
        </w:rPr>
        <w:t>2.2</w:t>
      </w:r>
      <w:r>
        <w:rPr>
          <w:rFonts w:hint="eastAsia"/>
        </w:rPr>
        <w:t>个百分点。然而，这种微弱的改善远远不能令人满意（</w:t>
      </w:r>
      <w:r>
        <w:rPr>
          <w:rFonts w:hint="eastAsia"/>
        </w:rPr>
        <w:t>34</w:t>
      </w:r>
      <w:r>
        <w:rPr>
          <w:rFonts w:hint="eastAsia"/>
        </w:rPr>
        <w:t>％）。应该注意到技术领域的专业女性人数已经达到了</w:t>
      </w:r>
      <w:r>
        <w:rPr>
          <w:rFonts w:hint="eastAsia"/>
        </w:rPr>
        <w:t>47</w:t>
      </w:r>
      <w:r>
        <w:rPr>
          <w:rFonts w:hint="eastAsia"/>
        </w:rPr>
        <w:t>％（民族国家计划，</w:t>
      </w:r>
      <w:r>
        <w:rPr>
          <w:rFonts w:hint="eastAsia"/>
        </w:rPr>
        <w:t>2001</w:t>
      </w:r>
      <w:r>
        <w:rPr>
          <w:rFonts w:hint="eastAsia"/>
        </w:rPr>
        <w:t>年）。</w:t>
      </w:r>
    </w:p>
    <w:p w:rsidR="00000000" w:rsidRDefault="00CA422F">
      <w:pPr>
        <w:spacing w:after="240" w:line="360" w:lineRule="exact"/>
        <w:jc w:val="center"/>
        <w:rPr>
          <w:rFonts w:ascii="SimHei" w:eastAsia="SimHei" w:hint="eastAsia"/>
          <w:sz w:val="24"/>
          <w:lang w:val="es-ES"/>
        </w:rPr>
      </w:pPr>
      <w:r>
        <w:rPr>
          <w:rFonts w:ascii="SimHei" w:eastAsia="SimHei" w:hint="eastAsia"/>
          <w:sz w:val="24"/>
        </w:rPr>
        <w:t>哥斯达黎加大学中的两性平等和公正</w:t>
      </w:r>
      <w:r>
        <w:rPr>
          <w:rFonts w:ascii="SimHei" w:eastAsia="SimHei"/>
          <w:sz w:val="24"/>
        </w:rPr>
        <w:br/>
      </w:r>
      <w:r>
        <w:rPr>
          <w:rFonts w:ascii="SimHei" w:eastAsia="SimHei" w:hint="eastAsia"/>
          <w:sz w:val="24"/>
          <w:lang w:val="es-ES"/>
        </w:rPr>
        <w:t>（哥斯达黎加大学，</w:t>
      </w:r>
      <w:r>
        <w:rPr>
          <w:rFonts w:ascii="SimHei" w:eastAsia="SimHei" w:hint="eastAsia"/>
          <w:sz w:val="24"/>
          <w:lang w:val="es-ES"/>
        </w:rPr>
        <w:t>2001</w:t>
      </w:r>
      <w:r>
        <w:rPr>
          <w:rFonts w:ascii="SimHei" w:eastAsia="SimHei" w:hint="eastAsia"/>
          <w:sz w:val="24"/>
          <w:lang w:val="es-ES"/>
        </w:rPr>
        <w:t>年）</w:t>
      </w:r>
    </w:p>
    <w:p w:rsidR="00000000" w:rsidRDefault="00CA422F">
      <w:pPr>
        <w:spacing w:after="240" w:line="360" w:lineRule="exact"/>
        <w:rPr>
          <w:rFonts w:hint="eastAsia"/>
        </w:rPr>
      </w:pPr>
      <w:r>
        <w:rPr>
          <w:rFonts w:hint="eastAsia"/>
        </w:rPr>
        <w:t>335</w:t>
      </w:r>
      <w:r>
        <w:rPr>
          <w:rFonts w:hint="eastAsia"/>
        </w:rPr>
        <w:t>．纵观哥斯达黎加大学的历史，在诸如教育学和护理专业等传统的女性化专业中注册的男生极为稀少或者几乎为零，这正是社会偏见和倾向的反映。某些拒绝接受男生或女生的专业恰好是性别歧视的一种表现。此外，社会分工中对女性或男性存在的偏见和已经定型的思维模式也导致</w:t>
      </w:r>
      <w:r>
        <w:rPr>
          <w:rFonts w:hint="eastAsia"/>
        </w:rPr>
        <w:t>某些领域和活动中出现性别分离，一些部门的分离程度大于另一些部门：公共部门大于私人领域，生产领域高于生育领域，传统的男性化行业大于女性化行业</w:t>
      </w:r>
      <w:r>
        <w:rPr>
          <w:rStyle w:val="FootnoteReference"/>
        </w:rPr>
        <w:footnoteReference w:customMarkFollows="1" w:id="21"/>
        <w:t>20</w:t>
      </w:r>
      <w:r>
        <w:rPr>
          <w:rFonts w:hint="eastAsia"/>
        </w:rPr>
        <w:t>。</w:t>
      </w:r>
    </w:p>
    <w:p w:rsidR="00000000" w:rsidRDefault="00CA422F">
      <w:pPr>
        <w:spacing w:after="240" w:line="360" w:lineRule="exact"/>
        <w:rPr>
          <w:rFonts w:hint="eastAsia"/>
        </w:rPr>
      </w:pPr>
      <w:r>
        <w:rPr>
          <w:rFonts w:hint="eastAsia"/>
        </w:rPr>
        <w:t>336</w:t>
      </w:r>
      <w:r>
        <w:rPr>
          <w:rFonts w:hint="eastAsia"/>
        </w:rPr>
        <w:t>．哥斯达黎加大学是二十世纪后五十年内倡导创建两性更为平等的社会机构之一。目前，该高等教育部门的女性注册人数已经略高于男性，没有一个本科专业出现女生空缺的情形。然而，在总共</w:t>
      </w:r>
      <w:r>
        <w:rPr>
          <w:rFonts w:hint="eastAsia"/>
        </w:rPr>
        <w:t>48</w:t>
      </w:r>
      <w:r>
        <w:rPr>
          <w:rFonts w:hint="eastAsia"/>
        </w:rPr>
        <w:t>个院系</w:t>
      </w:r>
      <w:r>
        <w:rPr>
          <w:rStyle w:val="FootnoteReference"/>
        </w:rPr>
        <w:footnoteReference w:customMarkFollows="1" w:id="22"/>
        <w:t>21</w:t>
      </w:r>
      <w:r>
        <w:rPr>
          <w:rFonts w:hint="eastAsia"/>
        </w:rPr>
        <w:t>中，还有近</w:t>
      </w:r>
      <w:r>
        <w:rPr>
          <w:rFonts w:hint="eastAsia"/>
        </w:rPr>
        <w:t>20</w:t>
      </w:r>
      <w:r>
        <w:rPr>
          <w:rFonts w:hint="eastAsia"/>
        </w:rPr>
        <w:t>个院系的女性注册人数低于总数的</w:t>
      </w:r>
      <w:r>
        <w:rPr>
          <w:rFonts w:hint="eastAsia"/>
        </w:rPr>
        <w:t>40</w:t>
      </w:r>
      <w:r>
        <w:rPr>
          <w:rFonts w:hint="eastAsia"/>
        </w:rPr>
        <w:t>％，而这种状况主要集中在工程学和基础科学等领域。这些院系的专业传统上被认为是男性的专业，不但要求理性思维，而且数学占据了较大的比</w:t>
      </w:r>
      <w:r>
        <w:rPr>
          <w:rFonts w:hint="eastAsia"/>
        </w:rPr>
        <w:t>重。另一方面，有</w:t>
      </w:r>
      <w:r>
        <w:rPr>
          <w:rFonts w:hint="eastAsia"/>
        </w:rPr>
        <w:t>15</w:t>
      </w:r>
      <w:r>
        <w:rPr>
          <w:rFonts w:hint="eastAsia"/>
        </w:rPr>
        <w:t>个院系的男生注册人数低于</w:t>
      </w:r>
      <w:r>
        <w:rPr>
          <w:rFonts w:hint="eastAsia"/>
        </w:rPr>
        <w:t>40</w:t>
      </w:r>
      <w:r>
        <w:rPr>
          <w:rFonts w:hint="eastAsia"/>
        </w:rPr>
        <w:t>％，这一现象主要出现在卫生和社会科学，特别是如何照顾他人和如何教学等传统意义上认为符合女性特征或能力的相关专业内。除此之外，在奖学金等方面，男女比例相对平衡，获得奖学金的女性约占总人数的</w:t>
      </w:r>
      <w:r>
        <w:rPr>
          <w:rFonts w:hint="eastAsia"/>
        </w:rPr>
        <w:t>53</w:t>
      </w:r>
      <w:r>
        <w:rPr>
          <w:rFonts w:hint="eastAsia"/>
        </w:rPr>
        <w:t>％。</w:t>
      </w:r>
    </w:p>
    <w:p w:rsidR="00000000" w:rsidRDefault="00CA422F">
      <w:pPr>
        <w:spacing w:after="240" w:line="360" w:lineRule="exact"/>
        <w:rPr>
          <w:rFonts w:hint="eastAsia"/>
        </w:rPr>
      </w:pPr>
      <w:r>
        <w:rPr>
          <w:rFonts w:hint="eastAsia"/>
        </w:rPr>
        <w:t>337</w:t>
      </w:r>
      <w:r>
        <w:rPr>
          <w:rFonts w:hint="eastAsia"/>
        </w:rPr>
        <w:t>．教师中的女性比例达到</w:t>
      </w:r>
      <w:r>
        <w:rPr>
          <w:rFonts w:hint="eastAsia"/>
        </w:rPr>
        <w:t>42</w:t>
      </w:r>
      <w:r>
        <w:rPr>
          <w:rFonts w:hint="eastAsia"/>
        </w:rPr>
        <w:t>％，总的来说，同上述不同领域内两性不平衡现象类似，虽然个别领域内还存在比较极端的现象。在</w:t>
      </w:r>
      <w:r>
        <w:rPr>
          <w:rFonts w:hint="eastAsia"/>
        </w:rPr>
        <w:t>5</w:t>
      </w:r>
      <w:r>
        <w:rPr>
          <w:rFonts w:hint="eastAsia"/>
        </w:rPr>
        <w:t>个教学和科研机构中，</w:t>
      </w:r>
      <w:r>
        <w:rPr>
          <w:rFonts w:hint="eastAsia"/>
        </w:rPr>
        <w:t>81</w:t>
      </w:r>
      <w:r>
        <w:rPr>
          <w:rFonts w:hint="eastAsia"/>
        </w:rPr>
        <w:t>个院系中男教师占绝大多数，女教员占据绝对优势的只有</w:t>
      </w:r>
      <w:r>
        <w:rPr>
          <w:rFonts w:hint="eastAsia"/>
        </w:rPr>
        <w:t>5</w:t>
      </w:r>
      <w:r>
        <w:rPr>
          <w:rFonts w:hint="eastAsia"/>
        </w:rPr>
        <w:t>个院系，此外，有</w:t>
      </w:r>
      <w:r>
        <w:rPr>
          <w:rFonts w:hint="eastAsia"/>
        </w:rPr>
        <w:t>24</w:t>
      </w:r>
      <w:r>
        <w:rPr>
          <w:rFonts w:hint="eastAsia"/>
        </w:rPr>
        <w:t>个院系的男女教员人数大致相当，分别为</w:t>
      </w:r>
      <w:r>
        <w:rPr>
          <w:rFonts w:hint="eastAsia"/>
        </w:rPr>
        <w:t>60%</w:t>
      </w:r>
      <w:r>
        <w:rPr>
          <w:rFonts w:hint="eastAsia"/>
        </w:rPr>
        <w:t>和</w:t>
      </w:r>
      <w:r>
        <w:rPr>
          <w:rFonts w:hint="eastAsia"/>
        </w:rPr>
        <w:t>40</w:t>
      </w:r>
      <w:r>
        <w:rPr>
          <w:rFonts w:hint="eastAsia"/>
        </w:rPr>
        <w:t>％</w:t>
      </w:r>
      <w:r>
        <w:rPr>
          <w:rFonts w:hint="eastAsia"/>
        </w:rPr>
        <w:t>。在研究过程中男女参与情况也大致如此，女教员的人数虽然达到了</w:t>
      </w:r>
      <w:r>
        <w:rPr>
          <w:rFonts w:hint="eastAsia"/>
        </w:rPr>
        <w:t>44</w:t>
      </w:r>
      <w:r>
        <w:rPr>
          <w:rFonts w:hint="eastAsia"/>
        </w:rPr>
        <w:t>％，但是参加研究的男女比例也在不同领域中出现了一定的区别。同一领域内还存在着不利于女性的不平等现象：在获得博士学位的教师中男性占四分之三，而近一半的女教师只获得了学士学位，其中只有</w:t>
      </w:r>
      <w:r>
        <w:rPr>
          <w:rFonts w:hint="eastAsia"/>
        </w:rPr>
        <w:t>42</w:t>
      </w:r>
      <w:r>
        <w:rPr>
          <w:rFonts w:hint="eastAsia"/>
        </w:rPr>
        <w:t>％女教师拥有硕士学位。另外，在学科职称方面，四分之三的教授为男性。而副教授职称中女性只占</w:t>
      </w:r>
      <w:r>
        <w:rPr>
          <w:rFonts w:hint="eastAsia"/>
        </w:rPr>
        <w:t>39</w:t>
      </w:r>
      <w:r>
        <w:rPr>
          <w:rFonts w:hint="eastAsia"/>
        </w:rPr>
        <w:t>％，助教等级的女教师占</w:t>
      </w:r>
      <w:r>
        <w:rPr>
          <w:rFonts w:hint="eastAsia"/>
        </w:rPr>
        <w:t>43</w:t>
      </w:r>
      <w:r>
        <w:rPr>
          <w:rFonts w:hint="eastAsia"/>
        </w:rPr>
        <w:t>％，讲师职位的女性占</w:t>
      </w:r>
      <w:r>
        <w:rPr>
          <w:rFonts w:hint="eastAsia"/>
        </w:rPr>
        <w:t>31</w:t>
      </w:r>
      <w:r>
        <w:rPr>
          <w:rFonts w:hint="eastAsia"/>
        </w:rPr>
        <w:t>％。上述所有职称中接受研究生教育的女性比例高于男性。</w:t>
      </w:r>
    </w:p>
    <w:p w:rsidR="00000000" w:rsidRDefault="00CA422F">
      <w:pPr>
        <w:spacing w:after="240" w:line="360" w:lineRule="exact"/>
        <w:rPr>
          <w:rFonts w:hint="eastAsia"/>
        </w:rPr>
      </w:pPr>
      <w:r>
        <w:rPr>
          <w:rFonts w:hint="eastAsia"/>
        </w:rPr>
        <w:t>338</w:t>
      </w:r>
      <w:r>
        <w:rPr>
          <w:rFonts w:hint="eastAsia"/>
        </w:rPr>
        <w:t>．男女比例失调最明显的是行政部门，其中女性只占总人数的</w:t>
      </w:r>
      <w:r>
        <w:rPr>
          <w:rFonts w:hint="eastAsia"/>
        </w:rPr>
        <w:t>43</w:t>
      </w:r>
      <w:r>
        <w:rPr>
          <w:rFonts w:hint="eastAsia"/>
        </w:rPr>
        <w:t>％。</w:t>
      </w:r>
      <w:r>
        <w:rPr>
          <w:rFonts w:hint="eastAsia"/>
        </w:rPr>
        <w:t>151</w:t>
      </w:r>
      <w:r>
        <w:rPr>
          <w:rFonts w:hint="eastAsia"/>
        </w:rPr>
        <w:t>个职位中只雇男性的职位就有</w:t>
      </w:r>
      <w:r>
        <w:rPr>
          <w:rFonts w:hint="eastAsia"/>
        </w:rPr>
        <w:t>65</w:t>
      </w:r>
      <w:r>
        <w:rPr>
          <w:rFonts w:hint="eastAsia"/>
        </w:rPr>
        <w:t>个，而有</w:t>
      </w:r>
      <w:r>
        <w:rPr>
          <w:rFonts w:hint="eastAsia"/>
        </w:rPr>
        <w:t>12</w:t>
      </w:r>
      <w:r>
        <w:rPr>
          <w:rFonts w:hint="eastAsia"/>
        </w:rPr>
        <w:t>种职位只有女性担任。只有</w:t>
      </w:r>
      <w:r>
        <w:rPr>
          <w:rFonts w:hint="eastAsia"/>
        </w:rPr>
        <w:t>20</w:t>
      </w:r>
      <w:r>
        <w:rPr>
          <w:rFonts w:hint="eastAsia"/>
        </w:rPr>
        <w:t>个职位基本上达到了两性平衡。</w:t>
      </w:r>
      <w:r>
        <w:rPr>
          <w:rFonts w:hint="eastAsia"/>
        </w:rPr>
        <w:t>25</w:t>
      </w:r>
      <w:r>
        <w:rPr>
          <w:rFonts w:hint="eastAsia"/>
        </w:rPr>
        <w:t>％的男性行政人员占据了那些从不雇佣女性的职位，其中包括</w:t>
      </w:r>
      <w:r>
        <w:rPr>
          <w:rFonts w:hint="eastAsia"/>
        </w:rPr>
        <w:t>48</w:t>
      </w:r>
      <w:r>
        <w:rPr>
          <w:rFonts w:hint="eastAsia"/>
        </w:rPr>
        <w:t>名收发员、</w:t>
      </w:r>
      <w:r>
        <w:rPr>
          <w:rFonts w:hint="eastAsia"/>
        </w:rPr>
        <w:t>30</w:t>
      </w:r>
      <w:r>
        <w:rPr>
          <w:rFonts w:hint="eastAsia"/>
        </w:rPr>
        <w:t>名司机、</w:t>
      </w:r>
      <w:r>
        <w:rPr>
          <w:rFonts w:hint="eastAsia"/>
        </w:rPr>
        <w:t>19</w:t>
      </w:r>
      <w:r>
        <w:rPr>
          <w:rFonts w:hint="eastAsia"/>
        </w:rPr>
        <w:t>名库房管理员、</w:t>
      </w:r>
      <w:r>
        <w:rPr>
          <w:rFonts w:hint="eastAsia"/>
        </w:rPr>
        <w:t>12</w:t>
      </w:r>
      <w:r>
        <w:rPr>
          <w:rFonts w:hint="eastAsia"/>
        </w:rPr>
        <w:t>名交通协管员、</w:t>
      </w:r>
      <w:r>
        <w:rPr>
          <w:rFonts w:hint="eastAsia"/>
        </w:rPr>
        <w:t>59</w:t>
      </w:r>
      <w:r>
        <w:rPr>
          <w:rFonts w:hint="eastAsia"/>
        </w:rPr>
        <w:t>名食物加工员和</w:t>
      </w:r>
      <w:r>
        <w:rPr>
          <w:rFonts w:hint="eastAsia"/>
        </w:rPr>
        <w:t>69</w:t>
      </w:r>
      <w:r>
        <w:rPr>
          <w:rFonts w:hint="eastAsia"/>
        </w:rPr>
        <w:t>名农业生产人员。</w:t>
      </w:r>
    </w:p>
    <w:p w:rsidR="00000000" w:rsidRDefault="00CA422F">
      <w:pPr>
        <w:spacing w:after="240" w:line="360" w:lineRule="exact"/>
        <w:rPr>
          <w:rFonts w:hint="eastAsia"/>
        </w:rPr>
      </w:pPr>
      <w:r>
        <w:rPr>
          <w:rFonts w:hint="eastAsia"/>
        </w:rPr>
        <w:t>339</w:t>
      </w:r>
      <w:r>
        <w:rPr>
          <w:rFonts w:hint="eastAsia"/>
        </w:rPr>
        <w:t>．担任大学领导部门正规结构层次中的决策职位的女性占据了</w:t>
      </w:r>
      <w:r>
        <w:rPr>
          <w:rFonts w:hint="eastAsia"/>
        </w:rPr>
        <w:t>36</w:t>
      </w:r>
      <w:r>
        <w:rPr>
          <w:rFonts w:hint="eastAsia"/>
        </w:rPr>
        <w:t>％，并没有达到预定的最低额度。情况最糟糕的要数研究中心的领导职位（</w:t>
      </w:r>
      <w:r>
        <w:rPr>
          <w:rFonts w:hint="eastAsia"/>
        </w:rPr>
        <w:t>22</w:t>
      </w:r>
      <w:r>
        <w:rPr>
          <w:rFonts w:hint="eastAsia"/>
        </w:rPr>
        <w:t>人中只有</w:t>
      </w:r>
      <w:r>
        <w:rPr>
          <w:rFonts w:hint="eastAsia"/>
        </w:rPr>
        <w:t>6</w:t>
      </w:r>
      <w:r>
        <w:rPr>
          <w:rFonts w:hint="eastAsia"/>
        </w:rPr>
        <w:t>名女性）、硕士研究生院领导职位（</w:t>
      </w:r>
      <w:r>
        <w:rPr>
          <w:rFonts w:hint="eastAsia"/>
        </w:rPr>
        <w:t>55</w:t>
      </w:r>
      <w:r>
        <w:rPr>
          <w:rFonts w:hint="eastAsia"/>
        </w:rPr>
        <w:t>人中只有</w:t>
      </w:r>
      <w:r>
        <w:rPr>
          <w:rFonts w:hint="eastAsia"/>
        </w:rPr>
        <w:t>20</w:t>
      </w:r>
      <w:r>
        <w:rPr>
          <w:rFonts w:hint="eastAsia"/>
        </w:rPr>
        <w:t>名女性）、行政办公室负责人职位（</w:t>
      </w:r>
      <w:r>
        <w:rPr>
          <w:rFonts w:hint="eastAsia"/>
        </w:rPr>
        <w:t>18</w:t>
      </w:r>
      <w:r>
        <w:rPr>
          <w:rFonts w:hint="eastAsia"/>
        </w:rPr>
        <w:t>人中只有</w:t>
      </w:r>
      <w:r>
        <w:rPr>
          <w:rFonts w:hint="eastAsia"/>
        </w:rPr>
        <w:t>6</w:t>
      </w:r>
      <w:r>
        <w:rPr>
          <w:rFonts w:hint="eastAsia"/>
        </w:rPr>
        <w:t>名女性）以</w:t>
      </w:r>
      <w:r>
        <w:rPr>
          <w:rFonts w:hint="eastAsia"/>
        </w:rPr>
        <w:t>及大学管理委员会中的代表席位（</w:t>
      </w:r>
      <w:r>
        <w:rPr>
          <w:rFonts w:hint="eastAsia"/>
        </w:rPr>
        <w:t>11</w:t>
      </w:r>
      <w:r>
        <w:rPr>
          <w:rFonts w:hint="eastAsia"/>
        </w:rPr>
        <w:t>名代表中只有</w:t>
      </w:r>
      <w:r>
        <w:rPr>
          <w:rFonts w:hint="eastAsia"/>
        </w:rPr>
        <w:t>3</w:t>
      </w:r>
      <w:r>
        <w:rPr>
          <w:rFonts w:hint="eastAsia"/>
        </w:rPr>
        <w:t>名女性）。与之完全相反的是，</w:t>
      </w:r>
      <w:r>
        <w:rPr>
          <w:rFonts w:hint="eastAsia"/>
        </w:rPr>
        <w:t>5</w:t>
      </w:r>
      <w:r>
        <w:rPr>
          <w:rFonts w:hint="eastAsia"/>
        </w:rPr>
        <w:t>名副校长中就有</w:t>
      </w:r>
      <w:r>
        <w:rPr>
          <w:rFonts w:hint="eastAsia"/>
        </w:rPr>
        <w:t>3</w:t>
      </w:r>
      <w:r>
        <w:rPr>
          <w:rFonts w:hint="eastAsia"/>
        </w:rPr>
        <w:t>名女性，各个院系共</w:t>
      </w:r>
      <w:r>
        <w:rPr>
          <w:rFonts w:hint="eastAsia"/>
        </w:rPr>
        <w:t>45</w:t>
      </w:r>
      <w:r>
        <w:rPr>
          <w:rFonts w:hint="eastAsia"/>
        </w:rPr>
        <w:t>个领导职位中女性所占比例也达到了</w:t>
      </w:r>
      <w:r>
        <w:rPr>
          <w:rFonts w:hint="eastAsia"/>
        </w:rPr>
        <w:t>40</w:t>
      </w:r>
      <w:r>
        <w:rPr>
          <w:rFonts w:hint="eastAsia"/>
        </w:rPr>
        <w:t>％，</w:t>
      </w:r>
      <w:r>
        <w:rPr>
          <w:rFonts w:hint="eastAsia"/>
        </w:rPr>
        <w:t>12</w:t>
      </w:r>
      <w:r>
        <w:rPr>
          <w:rFonts w:hint="eastAsia"/>
        </w:rPr>
        <w:t>个研究所的领导职位中女性占了一半，特别是工程学研究所的领导职位中女性首次达到了总人数的一半。上述大部分决策职位的担任者由选举产生。女性人数最多的是校长人选决定之后产生的副校长一职。这表明，消除决策职位中存在的男女不平等现象已经成为哥斯达黎加大学必须履行的职责，所取得的成就已经遥遥领先于大部分权力机构。</w:t>
      </w:r>
    </w:p>
    <w:p w:rsidR="00000000" w:rsidRDefault="00CA422F">
      <w:pPr>
        <w:spacing w:after="240" w:line="360" w:lineRule="exact"/>
        <w:rPr>
          <w:rFonts w:hint="eastAsia"/>
        </w:rPr>
      </w:pPr>
      <w:r>
        <w:rPr>
          <w:rFonts w:hint="eastAsia"/>
        </w:rPr>
        <w:t>340</w:t>
      </w:r>
      <w:r>
        <w:rPr>
          <w:rFonts w:hint="eastAsia"/>
        </w:rPr>
        <w:t>．哥斯达黎加大学成立六十多年以来取得的成效</w:t>
      </w:r>
      <w:r>
        <w:rPr>
          <w:rFonts w:hint="eastAsia"/>
        </w:rPr>
        <w:t>有目共睹。总体来说，上述三大领域的男女比例相对平衡。男女平等最突出的成就表现在奖学金的发放、研究的参与、职称的评定、教学任务的分配以及特殊职位的任命等方面。这表明，该高等教育机构首先需要克服的巨大困难已经不存在了。然而，一次更加深刻的分析表明，某些领域和活动中仍然存在着社会无法消除的性别歧视，其中就包括女性担任决策职位的情况。</w:t>
      </w:r>
    </w:p>
    <w:p w:rsidR="00000000" w:rsidRDefault="00CA422F">
      <w:pPr>
        <w:spacing w:after="240" w:line="360" w:lineRule="exact"/>
        <w:rPr>
          <w:rFonts w:hint="eastAsia"/>
        </w:rPr>
      </w:pPr>
      <w:r>
        <w:rPr>
          <w:rFonts w:hint="eastAsia"/>
        </w:rPr>
        <w:t>341</w:t>
      </w:r>
      <w:r>
        <w:rPr>
          <w:rFonts w:hint="eastAsia"/>
        </w:rPr>
        <w:t>．另一方面，哥斯达黎加大学在探求两性平等的理论、实践和满足女性需求等方面表现出较高的敏感度和采取了比较开明的态度。多学科性别研究方案（</w:t>
      </w:r>
      <w:r>
        <w:rPr>
          <w:rFonts w:hint="eastAsia"/>
        </w:rPr>
        <w:t>PRIEG</w:t>
      </w:r>
      <w:r>
        <w:rPr>
          <w:rFonts w:hint="eastAsia"/>
        </w:rPr>
        <w:t>）开展的工作、目前妇女调查研究中</w:t>
      </w:r>
      <w:r>
        <w:rPr>
          <w:rFonts w:hint="eastAsia"/>
        </w:rPr>
        <w:t>心（</w:t>
      </w:r>
      <w:r>
        <w:rPr>
          <w:rFonts w:hint="eastAsia"/>
        </w:rPr>
        <w:t>CIEM</w:t>
      </w:r>
      <w:r>
        <w:rPr>
          <w:rFonts w:hint="eastAsia"/>
        </w:rPr>
        <w:t>）从事的工作，以及国立大学</w:t>
      </w:r>
      <w:r>
        <w:rPr>
          <w:rFonts w:hint="eastAsia"/>
        </w:rPr>
        <w:t xml:space="preserve">/ </w:t>
      </w:r>
      <w:r>
        <w:rPr>
          <w:rFonts w:hint="eastAsia"/>
        </w:rPr>
        <w:t>哥斯达黎加大学共同开办的中美洲妇女研究硕士课程等，已经成为了向研究机构介绍</w:t>
      </w:r>
      <w:r>
        <w:rPr>
          <w:rFonts w:hint="eastAsia"/>
        </w:rPr>
        <w:t>15</w:t>
      </w:r>
      <w:r>
        <w:rPr>
          <w:rFonts w:hint="eastAsia"/>
        </w:rPr>
        <w:t>年前不被其认识的带有激励作用的全新研究视角的主要机构。</w:t>
      </w:r>
    </w:p>
    <w:p w:rsidR="00000000" w:rsidRDefault="00CA422F">
      <w:pPr>
        <w:spacing w:after="240" w:line="360" w:lineRule="exact"/>
        <w:rPr>
          <w:rFonts w:hint="eastAsia"/>
        </w:rPr>
      </w:pPr>
      <w:r>
        <w:rPr>
          <w:rFonts w:hint="eastAsia"/>
        </w:rPr>
        <w:t>342</w:t>
      </w:r>
      <w:r>
        <w:rPr>
          <w:rFonts w:hint="eastAsia"/>
        </w:rPr>
        <w:t>．大学是为妇女提供从学习各类学科到担任领导职位的各种机会的重要机构。举例来说，国立大学（</w:t>
      </w:r>
      <w:r>
        <w:rPr>
          <w:rFonts w:hint="eastAsia"/>
        </w:rPr>
        <w:t>UNA</w:t>
      </w:r>
      <w:r>
        <w:rPr>
          <w:rFonts w:hint="eastAsia"/>
        </w:rPr>
        <w:t>）是哥斯达黎加全国范围内最高领导职位两次由女性担任的唯一一所高等教育机构。最近几年，该校的女教师人数已经达到了近</w:t>
      </w:r>
      <w:r>
        <w:rPr>
          <w:rFonts w:hint="eastAsia"/>
        </w:rPr>
        <w:t>40</w:t>
      </w:r>
      <w:r>
        <w:rPr>
          <w:rFonts w:hint="eastAsia"/>
        </w:rPr>
        <w:t>％（国立大学，计划办公室）。</w:t>
      </w:r>
    </w:p>
    <w:p w:rsidR="00000000" w:rsidRDefault="00CA422F">
      <w:pPr>
        <w:spacing w:after="240" w:line="360" w:lineRule="exact"/>
        <w:rPr>
          <w:rFonts w:hint="eastAsia"/>
        </w:rPr>
      </w:pPr>
      <w:r>
        <w:rPr>
          <w:rFonts w:hint="eastAsia"/>
        </w:rPr>
        <w:t>343</w:t>
      </w:r>
      <w:r>
        <w:rPr>
          <w:rFonts w:hint="eastAsia"/>
        </w:rPr>
        <w:t>．对于高等教育的录取情况和学生的学习过程，哥斯达黎加科技学院（</w:t>
      </w:r>
      <w:r>
        <w:rPr>
          <w:rFonts w:hint="eastAsia"/>
        </w:rPr>
        <w:t>ITCR</w:t>
      </w:r>
      <w:r>
        <w:rPr>
          <w:rFonts w:hint="eastAsia"/>
        </w:rPr>
        <w:t>）两性平等办公</w:t>
      </w:r>
      <w:r>
        <w:rPr>
          <w:rFonts w:hint="eastAsia"/>
        </w:rPr>
        <w:t>室针对这些过程中可能存在的性别隔离现象已经开展了调查和咨询活动。并在此基础之上对教育服务着手进行审查（</w:t>
      </w:r>
      <w:r>
        <w:rPr>
          <w:rFonts w:hint="eastAsia"/>
        </w:rPr>
        <w:t>Ruiz</w:t>
      </w:r>
      <w:r>
        <w:rPr>
          <w:rFonts w:hint="eastAsia"/>
        </w:rPr>
        <w:t>，</w:t>
      </w:r>
      <w:r>
        <w:rPr>
          <w:rFonts w:hint="eastAsia"/>
        </w:rPr>
        <w:t>2001</w:t>
      </w:r>
      <w:r>
        <w:rPr>
          <w:rFonts w:hint="eastAsia"/>
        </w:rPr>
        <w:t>年）。</w:t>
      </w:r>
    </w:p>
    <w:p w:rsidR="00000000" w:rsidRDefault="00CA422F">
      <w:pPr>
        <w:spacing w:beforeLines="50" w:before="120" w:after="360" w:line="360" w:lineRule="exact"/>
        <w:jc w:val="center"/>
        <w:rPr>
          <w:rFonts w:eastAsia="SimHei" w:hint="eastAsia"/>
          <w:sz w:val="24"/>
        </w:rPr>
      </w:pPr>
      <w:r>
        <w:br w:type="page"/>
      </w:r>
      <w:r>
        <w:rPr>
          <w:rFonts w:eastAsia="SimHei" w:hint="eastAsia"/>
          <w:sz w:val="24"/>
        </w:rPr>
        <w:t>第十一条：同样参加工作</w:t>
      </w:r>
    </w:p>
    <w:p w:rsidR="00000000" w:rsidRDefault="00CA422F">
      <w:pPr>
        <w:pStyle w:val="Date"/>
        <w:spacing w:after="240" w:line="360" w:lineRule="exact"/>
        <w:rPr>
          <w:rFonts w:eastAsia="SimHei" w:hint="eastAsia"/>
        </w:rPr>
      </w:pPr>
      <w:r>
        <w:rPr>
          <w:rFonts w:eastAsia="SimHei"/>
        </w:rPr>
        <w:t>第十一条</w:t>
      </w:r>
    </w:p>
    <w:p w:rsidR="00000000" w:rsidRDefault="00CA422F">
      <w:pPr>
        <w:spacing w:after="240" w:line="360" w:lineRule="exact"/>
        <w:rPr>
          <w:rFonts w:ascii="KaiTi_GB2312" w:eastAsia="KaiTi_GB2312" w:hint="eastAsia"/>
        </w:rPr>
      </w:pPr>
      <w:r>
        <w:rPr>
          <w:rFonts w:ascii="KaiTi_GB2312" w:eastAsia="KaiTi_GB2312"/>
        </w:rPr>
        <w:t>1.</w:t>
      </w:r>
      <w:r>
        <w:rPr>
          <w:rFonts w:ascii="KaiTi_GB2312" w:eastAsia="KaiTi_GB2312" w:hint="eastAsia"/>
        </w:rPr>
        <w:t xml:space="preserve"> </w:t>
      </w:r>
      <w:r>
        <w:rPr>
          <w:rFonts w:ascii="KaiTi_GB2312" w:eastAsia="KaiTi_GB2312"/>
        </w:rPr>
        <w:t>缔约各国应采取一切适当措施，消除在就业方面对妇女的歧视，以保证她们在男女平等的基础上享有相同权利，特别是：</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eastAsia="KaiTi_GB2312"/>
        </w:rPr>
        <w:t>(</w:t>
      </w:r>
      <w:r>
        <w:rPr>
          <w:rFonts w:ascii="KaiTi_GB2312" w:eastAsia="KaiTi_GB2312"/>
        </w:rPr>
        <w:t>A)</w:t>
      </w:r>
      <w:r>
        <w:rPr>
          <w:rFonts w:ascii="KaiTi_GB2312" w:eastAsia="KaiTi_GB2312"/>
        </w:rPr>
        <w:tab/>
      </w:r>
      <w:r>
        <w:rPr>
          <w:rFonts w:ascii="KaiTi_GB2312" w:eastAsia="KaiTi_GB2312"/>
        </w:rPr>
        <w:t>人人有不可剥夺的工作权利；</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rPr>
        <w:t>享有相同就业机会的权利，包括在就业方面相同的甄选标准；</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rPr>
        <w:t>享有自由选择专业和职业，提升和工作保障，一切服务福利和条件，接受职业训练和再训练，包括实习训练，高等职业训练和经常训练的</w:t>
      </w:r>
      <w:r>
        <w:rPr>
          <w:rFonts w:ascii="KaiTi_GB2312" w:eastAsia="KaiTi_GB2312"/>
        </w:rPr>
        <w:t>权利；</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rPr>
        <w:t>同样价值的工作享有同等报酬包括福利和享有平等待遇的权利，在评定工作的表现方面，享有平等待遇的权利；</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ascii="KaiTi_GB2312" w:eastAsia="KaiTi_GB2312"/>
        </w:rPr>
        <w:t>(E)</w:t>
      </w:r>
      <w:r>
        <w:rPr>
          <w:rFonts w:ascii="KaiTi_GB2312" w:eastAsia="KaiTi_GB2312"/>
        </w:rPr>
        <w:tab/>
      </w:r>
      <w:r>
        <w:rPr>
          <w:rFonts w:ascii="KaiTi_GB2312" w:eastAsia="KaiTi_GB2312"/>
        </w:rPr>
        <w:t>享有社会保障的权利，特别是在退休、失业、疾病、残废和老年或在其他丧失工作能力的情况下，以及享有带薪假的权利；</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(F)</w:t>
      </w:r>
      <w:r>
        <w:rPr>
          <w:rFonts w:ascii="KaiTi_GB2312" w:eastAsia="KaiTi_GB2312"/>
        </w:rPr>
        <w:tab/>
      </w:r>
      <w:r>
        <w:rPr>
          <w:rFonts w:ascii="KaiTi_GB2312" w:eastAsia="KaiTi_GB2312"/>
        </w:rPr>
        <w:t>在工作条件中享有健康和安全保障，包括保障生育机能的权利。</w:t>
      </w:r>
      <w:r>
        <w:rPr>
          <w:rFonts w:ascii="KaiTi_GB2312" w:eastAsia="KaiTi_GB2312"/>
        </w:rPr>
        <w:t> </w:t>
      </w:r>
    </w:p>
    <w:p w:rsidR="00000000" w:rsidRDefault="00CA422F">
      <w:pPr>
        <w:spacing w:after="240" w:line="360" w:lineRule="exact"/>
        <w:rPr>
          <w:rFonts w:ascii="KaiTi_GB2312" w:eastAsia="KaiTi_GB2312" w:hint="eastAsia"/>
        </w:rPr>
      </w:pPr>
      <w:r>
        <w:rPr>
          <w:rFonts w:ascii="KaiTi_GB2312" w:eastAsia="KaiTi_GB2312"/>
        </w:rPr>
        <w:t>2.</w:t>
      </w:r>
      <w:r>
        <w:rPr>
          <w:rFonts w:ascii="KaiTi_GB2312" w:eastAsia="KaiTi_GB2312" w:hint="eastAsia"/>
        </w:rPr>
        <w:t xml:space="preserve"> </w:t>
      </w:r>
      <w:r>
        <w:rPr>
          <w:rFonts w:ascii="KaiTi_GB2312" w:eastAsia="KaiTi_GB2312"/>
        </w:rPr>
        <w:tab/>
      </w:r>
      <w:r>
        <w:rPr>
          <w:rFonts w:ascii="KaiTi_GB2312" w:eastAsia="KaiTi_GB2312"/>
        </w:rPr>
        <w:t>缔约各国为使妇女不致因结婚或生育而受歧视，又为保障其有效的工作权利起见，应采取适当措施：</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ascii="KaiTi_GB2312" w:eastAsia="KaiTi_GB2312"/>
        </w:rPr>
        <w:t>(A)</w:t>
      </w:r>
      <w:r>
        <w:rPr>
          <w:rFonts w:ascii="KaiTi_GB2312" w:eastAsia="KaiTi_GB2312"/>
        </w:rPr>
        <w:tab/>
      </w:r>
      <w:r>
        <w:rPr>
          <w:rFonts w:ascii="KaiTi_GB2312" w:eastAsia="KaiTi_GB2312"/>
          <w:spacing w:val="-4"/>
        </w:rPr>
        <w:t>禁止以怀孕或产假为理由予以解雇，以及以婚姻状况为理由予以解雇的歧视，违反规定者得受处分；</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ascii="KaiTi_GB2312" w:eastAsia="KaiTi_GB2312"/>
        </w:rPr>
        <w:t>(B</w:t>
      </w:r>
      <w:r>
        <w:rPr>
          <w:rFonts w:ascii="KaiTi_GB2312" w:eastAsia="KaiTi_GB2312"/>
        </w:rPr>
        <w:t>)</w:t>
      </w:r>
      <w:r>
        <w:rPr>
          <w:rFonts w:ascii="KaiTi_GB2312" w:eastAsia="KaiTi_GB2312"/>
        </w:rPr>
        <w:tab/>
      </w:r>
      <w:r>
        <w:rPr>
          <w:rFonts w:ascii="KaiTi_GB2312" w:eastAsia="KaiTi_GB2312"/>
        </w:rPr>
        <w:t>实施带薪产假或具有同等社会福利的产假，不丧失原有工作、年资或社会津贴；</w:t>
      </w:r>
      <w:r>
        <w:rPr>
          <w:rFonts w:ascii="KaiTi_GB2312" w:eastAsia="KaiTi_GB2312"/>
        </w:rPr>
        <w:t> </w:t>
      </w:r>
    </w:p>
    <w:p w:rsidR="00000000" w:rsidRDefault="00CA422F" w:rsidP="00CA422F">
      <w:pPr>
        <w:spacing w:after="120" w:line="360" w:lineRule="exact"/>
        <w:ind w:leftChars="2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rPr>
        <w:t>鼓励提供必要的辅助性社会服务，特别是通过促进建立和发展托儿设施</w:t>
      </w:r>
      <w:r>
        <w:rPr>
          <w:rFonts w:ascii="KaiTi_GB2312" w:eastAsia="KaiTi_GB2312" w:hint="eastAsia"/>
        </w:rPr>
        <w:t>系统，</w:t>
      </w:r>
      <w:r>
        <w:rPr>
          <w:rFonts w:ascii="KaiTi_GB2312" w:eastAsia="KaiTi_GB2312"/>
        </w:rPr>
        <w:t>使父母得以兼顾家庭义务和工作责任并参与公共事务；</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rPr>
        <w:t>对于怀孕期间从事确实有害于健康的工作的妇女，给予特别保护。</w:t>
      </w:r>
      <w:r>
        <w:rPr>
          <w:rFonts w:ascii="KaiTi_GB2312" w:eastAsia="KaiTi_GB2312"/>
        </w:rPr>
        <w:t> </w:t>
      </w:r>
    </w:p>
    <w:p w:rsidR="00000000" w:rsidRDefault="00CA422F">
      <w:pPr>
        <w:spacing w:after="240" w:line="360" w:lineRule="exact"/>
        <w:rPr>
          <w:rFonts w:ascii="KaiTi_GB2312" w:eastAsia="KaiTi_GB2312" w:hint="eastAsia"/>
        </w:rPr>
      </w:pPr>
      <w:r>
        <w:rPr>
          <w:rFonts w:ascii="KaiTi_GB2312" w:eastAsia="KaiTi_GB2312"/>
        </w:rPr>
        <w:t>3.</w:t>
      </w:r>
      <w:r>
        <w:rPr>
          <w:rFonts w:ascii="KaiTi_GB2312" w:eastAsia="KaiTi_GB2312" w:hint="eastAsia"/>
        </w:rPr>
        <w:t xml:space="preserve"> </w:t>
      </w:r>
      <w:r>
        <w:rPr>
          <w:rFonts w:ascii="KaiTi_GB2312" w:eastAsia="KaiTi_GB2312"/>
        </w:rPr>
        <w:tab/>
      </w:r>
      <w:r>
        <w:rPr>
          <w:rFonts w:ascii="KaiTi_GB2312" w:eastAsia="KaiTi_GB2312"/>
        </w:rPr>
        <w:t>应参照科技知识，定期审查与本条所包涵的内容有关的保护性法律，必要时应加以修订、废止或推广。</w:t>
      </w:r>
      <w:r>
        <w:rPr>
          <w:rFonts w:ascii="KaiTi_GB2312" w:eastAsia="KaiTi_GB2312"/>
        </w:rPr>
        <w:t> </w:t>
      </w:r>
    </w:p>
    <w:p w:rsidR="00000000" w:rsidRDefault="00CA422F">
      <w:pPr>
        <w:spacing w:after="240" w:line="360" w:lineRule="exact"/>
        <w:jc w:val="center"/>
        <w:rPr>
          <w:rFonts w:eastAsia="SimHei" w:hint="eastAsia"/>
          <w:sz w:val="24"/>
        </w:rPr>
      </w:pPr>
      <w:r>
        <w:rPr>
          <w:rFonts w:eastAsia="SimHei" w:hint="eastAsia"/>
          <w:sz w:val="24"/>
        </w:rPr>
        <w:t>妇女的就业情况有所好转，但仍然处于劣势</w:t>
      </w:r>
    </w:p>
    <w:p w:rsidR="00000000" w:rsidRDefault="00CA422F">
      <w:pPr>
        <w:spacing w:after="240" w:line="360" w:lineRule="exact"/>
        <w:rPr>
          <w:rFonts w:hint="eastAsia"/>
        </w:rPr>
      </w:pPr>
      <w:r>
        <w:rPr>
          <w:rFonts w:hint="eastAsia"/>
        </w:rPr>
        <w:t>344</w:t>
      </w:r>
      <w:r>
        <w:rPr>
          <w:rFonts w:hint="eastAsia"/>
        </w:rPr>
        <w:t>．在哥斯达黎加，妇女的就业率有所上升，因为妇女在工作中的份量越来越重。</w:t>
      </w:r>
      <w:r>
        <w:rPr>
          <w:rFonts w:hint="eastAsia"/>
        </w:rPr>
        <w:t>1995</w:t>
      </w:r>
      <w:r>
        <w:rPr>
          <w:rFonts w:hint="eastAsia"/>
        </w:rPr>
        <w:t>年以来，经</w:t>
      </w:r>
      <w:r>
        <w:rPr>
          <w:rFonts w:hint="eastAsia"/>
        </w:rPr>
        <w:t>济上有劳动力的妇女的增长速度要高于同类男性（</w:t>
      </w:r>
      <w:r>
        <w:rPr>
          <w:rFonts w:hint="eastAsia"/>
        </w:rPr>
        <w:t>19</w:t>
      </w:r>
      <w:r>
        <w:t>.</w:t>
      </w:r>
      <w:r>
        <w:rPr>
          <w:rFonts w:hint="eastAsia"/>
        </w:rPr>
        <w:t>1%</w:t>
      </w:r>
      <w:r>
        <w:rPr>
          <w:rFonts w:hint="eastAsia"/>
        </w:rPr>
        <w:t>与</w:t>
      </w:r>
      <w:r>
        <w:rPr>
          <w:rFonts w:hint="eastAsia"/>
        </w:rPr>
        <w:t>10</w:t>
      </w:r>
      <w:r>
        <w:t>.</w:t>
      </w:r>
      <w:r>
        <w:rPr>
          <w:rFonts w:hint="eastAsia"/>
        </w:rPr>
        <w:t>2%</w:t>
      </w:r>
      <w:r>
        <w:rPr>
          <w:rFonts w:hint="eastAsia"/>
        </w:rPr>
        <w:t>），女性就业率也同样高于男性（</w:t>
      </w:r>
      <w:r>
        <w:rPr>
          <w:rFonts w:hint="eastAsia"/>
        </w:rPr>
        <w:t>18</w:t>
      </w:r>
      <w:r>
        <w:t>.</w:t>
      </w:r>
      <w:r>
        <w:rPr>
          <w:rFonts w:hint="eastAsia"/>
        </w:rPr>
        <w:t>6%</w:t>
      </w:r>
      <w:r>
        <w:rPr>
          <w:rFonts w:hint="eastAsia"/>
        </w:rPr>
        <w:t>比</w:t>
      </w:r>
      <w:r>
        <w:rPr>
          <w:rFonts w:hint="eastAsia"/>
        </w:rPr>
        <w:t>10</w:t>
      </w:r>
      <w:r>
        <w:t>.</w:t>
      </w:r>
      <w:r>
        <w:rPr>
          <w:rFonts w:hint="eastAsia"/>
        </w:rPr>
        <w:t>4%</w:t>
      </w:r>
      <w:r>
        <w:rPr>
          <w:rFonts w:hint="eastAsia"/>
        </w:rPr>
        <w:t>）。然而，与此同时，女性的失业率也高于男性。此外，整体的劳动力使用不足，对女性造成的影响要大于对男性的影响；她们并没有失业，但是劳动时间却被强制缩减（明显的就业不足）或者无法获得足够的劳动报酬（隐性就业不足）（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345</w:t>
      </w:r>
      <w:r>
        <w:rPr>
          <w:rFonts w:hint="eastAsia"/>
        </w:rPr>
        <w:t>．同样，女性劳动者的部分劳动收入来路不明时有发生，这是由于缺乏准确声明或是由于女性承担诸如满足个人需求的基本劳动等工作不计入就业数据之内。非法雇用的</w:t>
      </w:r>
      <w:r>
        <w:rPr>
          <w:rFonts w:hint="eastAsia"/>
        </w:rPr>
        <w:t>数据正好体现了男女之间存在的差异，如</w:t>
      </w:r>
      <w:r>
        <w:rPr>
          <w:rFonts w:hint="eastAsia"/>
        </w:rPr>
        <w:t>2000</w:t>
      </w:r>
      <w:r>
        <w:rPr>
          <w:rFonts w:hint="eastAsia"/>
        </w:rPr>
        <w:t>年，非法雇佣的男性比例只为</w:t>
      </w:r>
      <w:r>
        <w:rPr>
          <w:rFonts w:hint="eastAsia"/>
        </w:rPr>
        <w:t>2</w:t>
      </w:r>
      <w:r>
        <w:t>.</w:t>
      </w:r>
      <w:r>
        <w:rPr>
          <w:rFonts w:hint="eastAsia"/>
        </w:rPr>
        <w:t>3%</w:t>
      </w:r>
      <w:r>
        <w:rPr>
          <w:rFonts w:hint="eastAsia"/>
        </w:rPr>
        <w:t>，而却对</w:t>
      </w:r>
      <w:r>
        <w:rPr>
          <w:rFonts w:hint="eastAsia"/>
        </w:rPr>
        <w:t>5</w:t>
      </w:r>
      <w:r>
        <w:t>.</w:t>
      </w:r>
      <w:r>
        <w:rPr>
          <w:rFonts w:hint="eastAsia"/>
        </w:rPr>
        <w:t>1%</w:t>
      </w:r>
      <w:r>
        <w:rPr>
          <w:rFonts w:hint="eastAsia"/>
        </w:rPr>
        <w:t>处于工龄的女性劳动者带来了一定伤害（民族国家计划，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346</w:t>
      </w:r>
      <w:r>
        <w:rPr>
          <w:rFonts w:hint="eastAsia"/>
        </w:rPr>
        <w:t>．如果女性能够克服本身的性别条件造成的种种限制，参与劳动力市场的人数会出现一定的上升。一向被认为经济上比较消极的女性（女性的数字大大高于男性，每</w:t>
      </w:r>
      <w:r>
        <w:rPr>
          <w:rFonts w:hint="eastAsia"/>
        </w:rPr>
        <w:t>100</w:t>
      </w:r>
      <w:r>
        <w:rPr>
          <w:rFonts w:hint="eastAsia"/>
        </w:rPr>
        <w:t>名女性只对应</w:t>
      </w:r>
      <w:r>
        <w:rPr>
          <w:rFonts w:hint="eastAsia"/>
        </w:rPr>
        <w:t>2</w:t>
      </w:r>
      <w:r>
        <w:rPr>
          <w:rFonts w:hint="eastAsia"/>
        </w:rPr>
        <w:t>名男性）指出，出于家庭责任和个人原因，她们无法参加工作。每</w:t>
      </w:r>
      <w:r>
        <w:rPr>
          <w:rFonts w:hint="eastAsia"/>
        </w:rPr>
        <w:t>100</w:t>
      </w:r>
      <w:r>
        <w:rPr>
          <w:rFonts w:hint="eastAsia"/>
        </w:rPr>
        <w:t>名女性只对应</w:t>
      </w:r>
      <w:r>
        <w:rPr>
          <w:rFonts w:hint="eastAsia"/>
        </w:rPr>
        <w:t>2</w:t>
      </w:r>
      <w:r>
        <w:rPr>
          <w:rFonts w:hint="eastAsia"/>
        </w:rPr>
        <w:t>名男性将上述理由作为无法参加劳动力市场的限制条件（民族国家计划，</w:t>
      </w:r>
      <w:r>
        <w:rPr>
          <w:rFonts w:hint="eastAsia"/>
        </w:rPr>
        <w:t>2001</w:t>
      </w:r>
      <w:r>
        <w:rPr>
          <w:rFonts w:hint="eastAsia"/>
        </w:rPr>
        <w:t>年）。就业人口中这个比例要大得多</w:t>
      </w:r>
      <w:r>
        <w:rPr>
          <w:rFonts w:hint="eastAsia"/>
        </w:rPr>
        <w:t>，但是女性仍然处于不利地位，与</w:t>
      </w:r>
      <w:r>
        <w:rPr>
          <w:rFonts w:hint="eastAsia"/>
        </w:rPr>
        <w:t>100</w:t>
      </w:r>
      <w:r>
        <w:rPr>
          <w:rFonts w:hint="eastAsia"/>
        </w:rPr>
        <w:t>名女性相对应的</w:t>
      </w:r>
      <w:r>
        <w:rPr>
          <w:rFonts w:hint="eastAsia"/>
        </w:rPr>
        <w:t>30</w:t>
      </w:r>
      <w:r>
        <w:rPr>
          <w:rFonts w:hint="eastAsia"/>
        </w:rPr>
        <w:t>名男性指出，出于家庭责任和个人原因，他们无法延长工作时间。研究表明，女性参加劳动的限制条件很可能来自家庭（如承担家务），而男性的限制条件则多为个人原因。</w:t>
      </w:r>
    </w:p>
    <w:p w:rsidR="00000000" w:rsidRDefault="00CA422F">
      <w:pPr>
        <w:spacing w:after="240" w:line="360" w:lineRule="exact"/>
        <w:jc w:val="center"/>
        <w:rPr>
          <w:rFonts w:eastAsia="SimHei" w:hint="eastAsia"/>
          <w:sz w:val="24"/>
        </w:rPr>
      </w:pPr>
      <w:r>
        <w:rPr>
          <w:rFonts w:eastAsia="SimHei" w:hint="eastAsia"/>
          <w:sz w:val="24"/>
        </w:rPr>
        <w:t>经济行业的参与差异</w:t>
      </w:r>
    </w:p>
    <w:p w:rsidR="00000000" w:rsidRDefault="00CA422F">
      <w:pPr>
        <w:spacing w:after="240" w:line="360" w:lineRule="exact"/>
        <w:rPr>
          <w:rFonts w:hint="eastAsia"/>
        </w:rPr>
      </w:pPr>
      <w:r>
        <w:rPr>
          <w:rFonts w:hint="eastAsia"/>
        </w:rPr>
        <w:t>347</w:t>
      </w:r>
      <w:r>
        <w:rPr>
          <w:rFonts w:hint="eastAsia"/>
        </w:rPr>
        <w:t>．男女所从事的经济行业的分布向我们表明了两性之间存在的差异。男性基本集中在主要部门，而女性则大多从事社会与个人服务行业、商业和加工制造业。男性也从事商业、个人与社会服务业和加工制造业，并且这三个行业之间的分布大致相当，如表</w:t>
      </w:r>
      <w:r>
        <w:rPr>
          <w:rFonts w:hint="eastAsia"/>
        </w:rPr>
        <w:t>9</w:t>
      </w:r>
      <w:r>
        <w:rPr>
          <w:rFonts w:hint="eastAsia"/>
        </w:rPr>
        <w:t>所示，女性主要集中在上述第三个行业。</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9</w:t>
      </w:r>
      <w:r>
        <w:rPr>
          <w:rFonts w:ascii="SimHei" w:eastAsia="SimHei"/>
        </w:rPr>
        <w:br/>
      </w:r>
      <w:r>
        <w:rPr>
          <w:rFonts w:ascii="SimHei" w:eastAsia="SimHei" w:hint="eastAsia"/>
        </w:rPr>
        <w:t>不同性别在</w:t>
      </w:r>
      <w:r>
        <w:rPr>
          <w:rFonts w:ascii="SimHei" w:eastAsia="SimHei" w:hint="eastAsia"/>
        </w:rPr>
        <w:t>不同行业中的相对分布情况，</w:t>
      </w:r>
      <w:r>
        <w:rPr>
          <w:rFonts w:ascii="SimHei" w:eastAsia="SimHei" w:hint="eastAsia"/>
        </w:rPr>
        <w:t>1999</w:t>
      </w:r>
      <w:r>
        <w:rPr>
          <w:rFonts w:ascii="SimHei" w:eastAsia="SimHei" w:hint="eastAsia"/>
        </w:rPr>
        <w:t>年</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4"/>
        <w:gridCol w:w="2251"/>
        <w:gridCol w:w="2251"/>
        <w:gridCol w:w="2115"/>
      </w:tblGrid>
      <w:tr w:rsidR="00000000">
        <w:tblPrEx>
          <w:tblCellMar>
            <w:top w:w="0" w:type="dxa"/>
            <w:bottom w:w="0" w:type="dxa"/>
          </w:tblCellMar>
        </w:tblPrEx>
        <w:trPr>
          <w:trHeight w:val="284"/>
        </w:trPr>
        <w:tc>
          <w:tcPr>
            <w:tcW w:w="1596" w:type="pct"/>
          </w:tcPr>
          <w:p w:rsidR="00000000" w:rsidRDefault="00CA422F">
            <w:pPr>
              <w:spacing w:line="340" w:lineRule="exact"/>
              <w:rPr>
                <w:rFonts w:eastAsia="SimHei" w:hint="eastAsia"/>
                <w:sz w:val="18"/>
              </w:rPr>
            </w:pPr>
            <w:r>
              <w:rPr>
                <w:rFonts w:eastAsia="SimHei" w:hint="eastAsia"/>
                <w:sz w:val="18"/>
              </w:rPr>
              <w:t>行业</w:t>
            </w:r>
          </w:p>
        </w:tc>
        <w:tc>
          <w:tcPr>
            <w:tcW w:w="1158" w:type="pct"/>
          </w:tcPr>
          <w:p w:rsidR="00000000" w:rsidRDefault="00CA422F">
            <w:pPr>
              <w:spacing w:line="340" w:lineRule="exact"/>
              <w:jc w:val="center"/>
              <w:rPr>
                <w:rFonts w:eastAsia="SimHei" w:hint="eastAsia"/>
                <w:sz w:val="18"/>
              </w:rPr>
            </w:pPr>
            <w:r>
              <w:rPr>
                <w:rFonts w:eastAsia="SimHei" w:hint="eastAsia"/>
                <w:sz w:val="18"/>
              </w:rPr>
              <w:t>总数</w:t>
            </w:r>
          </w:p>
        </w:tc>
        <w:tc>
          <w:tcPr>
            <w:tcW w:w="1158" w:type="pct"/>
          </w:tcPr>
          <w:p w:rsidR="00000000" w:rsidRDefault="00CA422F">
            <w:pPr>
              <w:spacing w:line="340" w:lineRule="exact"/>
              <w:jc w:val="center"/>
              <w:rPr>
                <w:rFonts w:eastAsia="SimHei" w:hint="eastAsia"/>
                <w:sz w:val="18"/>
              </w:rPr>
            </w:pPr>
            <w:r>
              <w:rPr>
                <w:rFonts w:eastAsia="SimHei" w:hint="eastAsia"/>
                <w:sz w:val="18"/>
              </w:rPr>
              <w:t>男性</w:t>
            </w:r>
          </w:p>
        </w:tc>
        <w:tc>
          <w:tcPr>
            <w:tcW w:w="1088" w:type="pct"/>
          </w:tcPr>
          <w:p w:rsidR="00000000" w:rsidRDefault="00CA422F">
            <w:pPr>
              <w:spacing w:line="340" w:lineRule="exact"/>
              <w:jc w:val="center"/>
              <w:rPr>
                <w:rFonts w:eastAsia="SimHei" w:hint="eastAsia"/>
                <w:sz w:val="18"/>
              </w:rPr>
            </w:pPr>
            <w:r>
              <w:rPr>
                <w:rFonts w:eastAsia="SimHei" w:hint="eastAsia"/>
                <w:sz w:val="18"/>
              </w:rPr>
              <w:t>女性</w:t>
            </w:r>
          </w:p>
        </w:tc>
      </w:tr>
      <w:tr w:rsidR="00000000">
        <w:tblPrEx>
          <w:tblCellMar>
            <w:top w:w="0" w:type="dxa"/>
            <w:bottom w:w="0" w:type="dxa"/>
          </w:tblCellMar>
        </w:tblPrEx>
        <w:trPr>
          <w:trHeight w:val="284"/>
        </w:trPr>
        <w:tc>
          <w:tcPr>
            <w:tcW w:w="1596" w:type="pct"/>
          </w:tcPr>
          <w:p w:rsidR="00000000" w:rsidRDefault="00CA422F">
            <w:pPr>
              <w:pStyle w:val="60"/>
              <w:spacing w:beforeLines="0" w:before="0" w:afterLines="0" w:after="0" w:line="340" w:lineRule="exact"/>
              <w:rPr>
                <w:rFonts w:ascii="Times New Roman" w:eastAsia="SimSun" w:hAnsi="Times New Roman" w:hint="eastAsia"/>
                <w:sz w:val="18"/>
                <w:lang w:val="en-US"/>
              </w:rPr>
            </w:pPr>
            <w:r>
              <w:rPr>
                <w:rFonts w:ascii="Times New Roman" w:eastAsia="SimSun" w:hAnsi="Times New Roman" w:hint="eastAsia"/>
                <w:sz w:val="18"/>
                <w:lang w:val="en-US"/>
              </w:rPr>
              <w:t>总数</w:t>
            </w:r>
          </w:p>
        </w:tc>
        <w:tc>
          <w:tcPr>
            <w:tcW w:w="1158" w:type="pct"/>
          </w:tcPr>
          <w:p w:rsidR="00000000" w:rsidRDefault="00CA422F">
            <w:pPr>
              <w:spacing w:line="340" w:lineRule="exact"/>
              <w:jc w:val="center"/>
              <w:rPr>
                <w:rFonts w:hint="eastAsia"/>
                <w:sz w:val="18"/>
              </w:rPr>
            </w:pPr>
            <w:r>
              <w:rPr>
                <w:rFonts w:hint="eastAsia"/>
                <w:sz w:val="18"/>
              </w:rPr>
              <w:t>100</w:t>
            </w:r>
            <w:r>
              <w:rPr>
                <w:sz w:val="18"/>
              </w:rPr>
              <w:t>.</w:t>
            </w:r>
            <w:r>
              <w:rPr>
                <w:rFonts w:hint="eastAsia"/>
                <w:sz w:val="18"/>
              </w:rPr>
              <w:t>0</w:t>
            </w:r>
          </w:p>
        </w:tc>
        <w:tc>
          <w:tcPr>
            <w:tcW w:w="1158" w:type="pct"/>
          </w:tcPr>
          <w:p w:rsidR="00000000" w:rsidRDefault="00CA422F">
            <w:pPr>
              <w:spacing w:line="340" w:lineRule="exact"/>
              <w:jc w:val="center"/>
              <w:rPr>
                <w:rFonts w:hint="eastAsia"/>
                <w:sz w:val="18"/>
              </w:rPr>
            </w:pPr>
            <w:r>
              <w:rPr>
                <w:rFonts w:hint="eastAsia"/>
                <w:sz w:val="18"/>
              </w:rPr>
              <w:t>100</w:t>
            </w:r>
            <w:r>
              <w:rPr>
                <w:sz w:val="18"/>
              </w:rPr>
              <w:t>.</w:t>
            </w:r>
            <w:r>
              <w:rPr>
                <w:rFonts w:hint="eastAsia"/>
                <w:sz w:val="18"/>
              </w:rPr>
              <w:t>0</w:t>
            </w:r>
          </w:p>
        </w:tc>
        <w:tc>
          <w:tcPr>
            <w:tcW w:w="1088" w:type="pct"/>
          </w:tcPr>
          <w:p w:rsidR="00000000" w:rsidRDefault="00CA422F">
            <w:pPr>
              <w:spacing w:line="340" w:lineRule="exact"/>
              <w:jc w:val="center"/>
              <w:rPr>
                <w:rFonts w:hint="eastAsia"/>
                <w:sz w:val="18"/>
              </w:rPr>
            </w:pPr>
            <w:r>
              <w:rPr>
                <w:rFonts w:hint="eastAsia"/>
                <w:sz w:val="18"/>
              </w:rPr>
              <w:t>100</w:t>
            </w:r>
            <w:r>
              <w:rPr>
                <w:sz w:val="18"/>
              </w:rPr>
              <w:t>.</w:t>
            </w:r>
            <w:r>
              <w:rPr>
                <w:rFonts w:hint="eastAsia"/>
                <w:sz w:val="18"/>
              </w:rPr>
              <w:t>0</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农牧业</w:t>
            </w:r>
          </w:p>
        </w:tc>
        <w:tc>
          <w:tcPr>
            <w:tcW w:w="1158" w:type="pct"/>
          </w:tcPr>
          <w:p w:rsidR="00000000" w:rsidRDefault="00CA422F">
            <w:pPr>
              <w:spacing w:line="340" w:lineRule="exact"/>
              <w:jc w:val="center"/>
              <w:rPr>
                <w:rFonts w:hint="eastAsia"/>
                <w:sz w:val="18"/>
              </w:rPr>
            </w:pPr>
            <w:r>
              <w:rPr>
                <w:rFonts w:hint="eastAsia"/>
                <w:sz w:val="18"/>
              </w:rPr>
              <w:t>19</w:t>
            </w:r>
            <w:r>
              <w:rPr>
                <w:sz w:val="18"/>
              </w:rPr>
              <w:t>.</w:t>
            </w:r>
            <w:r>
              <w:rPr>
                <w:rFonts w:hint="eastAsia"/>
                <w:sz w:val="18"/>
              </w:rPr>
              <w:t>6</w:t>
            </w:r>
          </w:p>
        </w:tc>
        <w:tc>
          <w:tcPr>
            <w:tcW w:w="1158" w:type="pct"/>
          </w:tcPr>
          <w:p w:rsidR="00000000" w:rsidRDefault="00CA422F">
            <w:pPr>
              <w:spacing w:line="340" w:lineRule="exact"/>
              <w:jc w:val="center"/>
              <w:rPr>
                <w:sz w:val="18"/>
              </w:rPr>
            </w:pPr>
            <w:r>
              <w:rPr>
                <w:rFonts w:hint="eastAsia"/>
                <w:sz w:val="18"/>
              </w:rPr>
              <w:t>26</w:t>
            </w:r>
            <w:r>
              <w:rPr>
                <w:sz w:val="18"/>
              </w:rPr>
              <w:t>.8</w:t>
            </w:r>
          </w:p>
        </w:tc>
        <w:tc>
          <w:tcPr>
            <w:tcW w:w="1088" w:type="pct"/>
          </w:tcPr>
          <w:p w:rsidR="00000000" w:rsidRDefault="00CA422F">
            <w:pPr>
              <w:spacing w:line="340" w:lineRule="exact"/>
              <w:jc w:val="center"/>
              <w:rPr>
                <w:rFonts w:hint="eastAsia"/>
                <w:sz w:val="18"/>
              </w:rPr>
            </w:pPr>
            <w:r>
              <w:rPr>
                <w:rFonts w:hint="eastAsia"/>
                <w:sz w:val="18"/>
              </w:rPr>
              <w:t>4</w:t>
            </w:r>
            <w:r>
              <w:rPr>
                <w:sz w:val="18"/>
              </w:rPr>
              <w:t>.</w:t>
            </w:r>
            <w:r>
              <w:rPr>
                <w:rFonts w:hint="eastAsia"/>
                <w:sz w:val="18"/>
              </w:rPr>
              <w:t>9</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加工制造业和采矿</w:t>
            </w:r>
          </w:p>
        </w:tc>
        <w:tc>
          <w:tcPr>
            <w:tcW w:w="1158" w:type="pct"/>
          </w:tcPr>
          <w:p w:rsidR="00000000" w:rsidRDefault="00CA422F">
            <w:pPr>
              <w:spacing w:line="340" w:lineRule="exact"/>
              <w:jc w:val="center"/>
              <w:rPr>
                <w:rFonts w:hint="eastAsia"/>
                <w:sz w:val="18"/>
              </w:rPr>
            </w:pPr>
            <w:r>
              <w:rPr>
                <w:rFonts w:hint="eastAsia"/>
                <w:sz w:val="18"/>
              </w:rPr>
              <w:t>1</w:t>
            </w:r>
            <w:r>
              <w:rPr>
                <w:sz w:val="18"/>
              </w:rPr>
              <w:t>.</w:t>
            </w:r>
            <w:r>
              <w:rPr>
                <w:rFonts w:hint="eastAsia"/>
                <w:sz w:val="18"/>
              </w:rPr>
              <w:t>9</w:t>
            </w:r>
          </w:p>
        </w:tc>
        <w:tc>
          <w:tcPr>
            <w:tcW w:w="1158" w:type="pct"/>
          </w:tcPr>
          <w:p w:rsidR="00000000" w:rsidRDefault="00CA422F">
            <w:pPr>
              <w:spacing w:line="340" w:lineRule="exact"/>
              <w:jc w:val="center"/>
              <w:rPr>
                <w:rFonts w:hint="eastAsia"/>
                <w:sz w:val="18"/>
              </w:rPr>
            </w:pPr>
            <w:r>
              <w:rPr>
                <w:rFonts w:hint="eastAsia"/>
                <w:sz w:val="18"/>
              </w:rPr>
              <w:t>15</w:t>
            </w:r>
            <w:r>
              <w:rPr>
                <w:sz w:val="18"/>
              </w:rPr>
              <w:t>.</w:t>
            </w:r>
            <w:r>
              <w:rPr>
                <w:rFonts w:hint="eastAsia"/>
                <w:sz w:val="18"/>
              </w:rPr>
              <w:t>4</w:t>
            </w:r>
          </w:p>
        </w:tc>
        <w:tc>
          <w:tcPr>
            <w:tcW w:w="1088" w:type="pct"/>
          </w:tcPr>
          <w:p w:rsidR="00000000" w:rsidRDefault="00CA422F">
            <w:pPr>
              <w:spacing w:line="340" w:lineRule="exact"/>
              <w:jc w:val="center"/>
              <w:rPr>
                <w:rFonts w:hint="eastAsia"/>
                <w:sz w:val="18"/>
              </w:rPr>
            </w:pPr>
            <w:r>
              <w:rPr>
                <w:rFonts w:hint="eastAsia"/>
                <w:sz w:val="18"/>
              </w:rPr>
              <w:t>16</w:t>
            </w:r>
            <w:r>
              <w:rPr>
                <w:sz w:val="18"/>
              </w:rPr>
              <w:t>.</w:t>
            </w:r>
            <w:r>
              <w:rPr>
                <w:rFonts w:hint="eastAsia"/>
                <w:sz w:val="18"/>
              </w:rPr>
              <w:t>7</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水、电、气</w:t>
            </w:r>
          </w:p>
        </w:tc>
        <w:tc>
          <w:tcPr>
            <w:tcW w:w="1158" w:type="pct"/>
          </w:tcPr>
          <w:p w:rsidR="00000000" w:rsidRDefault="00CA422F">
            <w:pPr>
              <w:spacing w:line="340" w:lineRule="exact"/>
              <w:jc w:val="center"/>
              <w:rPr>
                <w:rFonts w:hint="eastAsia"/>
                <w:sz w:val="18"/>
              </w:rPr>
            </w:pPr>
            <w:r>
              <w:rPr>
                <w:rFonts w:hint="eastAsia"/>
                <w:sz w:val="18"/>
              </w:rPr>
              <w:t>1</w:t>
            </w:r>
            <w:r>
              <w:rPr>
                <w:sz w:val="18"/>
              </w:rPr>
              <w:t>.</w:t>
            </w:r>
            <w:r>
              <w:rPr>
                <w:rFonts w:hint="eastAsia"/>
                <w:sz w:val="18"/>
              </w:rPr>
              <w:t>0</w:t>
            </w:r>
          </w:p>
        </w:tc>
        <w:tc>
          <w:tcPr>
            <w:tcW w:w="1158" w:type="pct"/>
          </w:tcPr>
          <w:p w:rsidR="00000000" w:rsidRDefault="00CA422F">
            <w:pPr>
              <w:spacing w:line="340" w:lineRule="exact"/>
              <w:jc w:val="center"/>
              <w:rPr>
                <w:rFonts w:hint="eastAsia"/>
                <w:sz w:val="18"/>
              </w:rPr>
            </w:pPr>
            <w:r>
              <w:rPr>
                <w:rFonts w:hint="eastAsia"/>
                <w:sz w:val="18"/>
              </w:rPr>
              <w:t>1</w:t>
            </w:r>
            <w:r>
              <w:rPr>
                <w:sz w:val="18"/>
              </w:rPr>
              <w:t>.</w:t>
            </w:r>
            <w:r>
              <w:rPr>
                <w:rFonts w:hint="eastAsia"/>
                <w:sz w:val="18"/>
              </w:rPr>
              <w:t>3</w:t>
            </w:r>
          </w:p>
        </w:tc>
        <w:tc>
          <w:tcPr>
            <w:tcW w:w="1088" w:type="pct"/>
          </w:tcPr>
          <w:p w:rsidR="00000000" w:rsidRDefault="00CA422F">
            <w:pPr>
              <w:spacing w:line="340" w:lineRule="exact"/>
              <w:jc w:val="center"/>
              <w:rPr>
                <w:rFonts w:hint="eastAsia"/>
                <w:sz w:val="18"/>
              </w:rPr>
            </w:pPr>
            <w:r>
              <w:rPr>
                <w:rFonts w:hint="eastAsia"/>
                <w:sz w:val="18"/>
              </w:rPr>
              <w:t>0</w:t>
            </w:r>
            <w:r>
              <w:rPr>
                <w:sz w:val="18"/>
              </w:rPr>
              <w:t>.</w:t>
            </w:r>
            <w:r>
              <w:rPr>
                <w:rFonts w:hint="eastAsia"/>
                <w:sz w:val="18"/>
              </w:rPr>
              <w:t>3</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建筑业</w:t>
            </w:r>
          </w:p>
        </w:tc>
        <w:tc>
          <w:tcPr>
            <w:tcW w:w="1158" w:type="pct"/>
          </w:tcPr>
          <w:p w:rsidR="00000000" w:rsidRDefault="00CA422F">
            <w:pPr>
              <w:spacing w:line="340" w:lineRule="exact"/>
              <w:jc w:val="center"/>
              <w:rPr>
                <w:rFonts w:hint="eastAsia"/>
                <w:sz w:val="18"/>
              </w:rPr>
            </w:pPr>
            <w:r>
              <w:rPr>
                <w:rFonts w:hint="eastAsia"/>
                <w:sz w:val="18"/>
              </w:rPr>
              <w:t>6</w:t>
            </w:r>
            <w:r>
              <w:rPr>
                <w:sz w:val="18"/>
              </w:rPr>
              <w:t>.</w:t>
            </w:r>
            <w:r>
              <w:rPr>
                <w:rFonts w:hint="eastAsia"/>
                <w:sz w:val="18"/>
              </w:rPr>
              <w:t>5</w:t>
            </w:r>
          </w:p>
        </w:tc>
        <w:tc>
          <w:tcPr>
            <w:tcW w:w="1158" w:type="pct"/>
          </w:tcPr>
          <w:p w:rsidR="00000000" w:rsidRDefault="00CA422F">
            <w:pPr>
              <w:spacing w:line="340" w:lineRule="exact"/>
              <w:jc w:val="center"/>
              <w:rPr>
                <w:rFonts w:hint="eastAsia"/>
                <w:sz w:val="18"/>
              </w:rPr>
            </w:pPr>
            <w:r>
              <w:rPr>
                <w:rFonts w:hint="eastAsia"/>
                <w:sz w:val="18"/>
              </w:rPr>
              <w:t>9</w:t>
            </w:r>
            <w:r>
              <w:rPr>
                <w:sz w:val="18"/>
              </w:rPr>
              <w:t>.</w:t>
            </w:r>
            <w:r>
              <w:rPr>
                <w:rFonts w:hint="eastAsia"/>
                <w:sz w:val="18"/>
              </w:rPr>
              <w:t>6</w:t>
            </w:r>
          </w:p>
        </w:tc>
        <w:tc>
          <w:tcPr>
            <w:tcW w:w="1088" w:type="pct"/>
          </w:tcPr>
          <w:p w:rsidR="00000000" w:rsidRDefault="00CA422F">
            <w:pPr>
              <w:spacing w:line="340" w:lineRule="exact"/>
              <w:jc w:val="center"/>
              <w:rPr>
                <w:rFonts w:hint="eastAsia"/>
                <w:sz w:val="18"/>
              </w:rPr>
            </w:pPr>
            <w:r>
              <w:rPr>
                <w:rFonts w:hint="eastAsia"/>
                <w:sz w:val="18"/>
              </w:rPr>
              <w:t>0</w:t>
            </w:r>
            <w:r>
              <w:rPr>
                <w:sz w:val="18"/>
              </w:rPr>
              <w:t>.</w:t>
            </w:r>
            <w:r>
              <w:rPr>
                <w:rFonts w:hint="eastAsia"/>
                <w:sz w:val="18"/>
              </w:rPr>
              <w:t>2</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商业</w:t>
            </w:r>
          </w:p>
        </w:tc>
        <w:tc>
          <w:tcPr>
            <w:tcW w:w="1158" w:type="pct"/>
          </w:tcPr>
          <w:p w:rsidR="00000000" w:rsidRDefault="00CA422F">
            <w:pPr>
              <w:spacing w:line="340" w:lineRule="exact"/>
              <w:jc w:val="center"/>
              <w:rPr>
                <w:rFonts w:hint="eastAsia"/>
                <w:sz w:val="18"/>
              </w:rPr>
            </w:pPr>
            <w:r>
              <w:rPr>
                <w:rFonts w:hint="eastAsia"/>
                <w:sz w:val="18"/>
              </w:rPr>
              <w:t>20</w:t>
            </w:r>
            <w:r>
              <w:rPr>
                <w:sz w:val="18"/>
              </w:rPr>
              <w:t>.</w:t>
            </w:r>
            <w:r>
              <w:rPr>
                <w:rFonts w:hint="eastAsia"/>
                <w:sz w:val="18"/>
              </w:rPr>
              <w:t>7</w:t>
            </w:r>
          </w:p>
        </w:tc>
        <w:tc>
          <w:tcPr>
            <w:tcW w:w="1158" w:type="pct"/>
          </w:tcPr>
          <w:p w:rsidR="00000000" w:rsidRDefault="00CA422F">
            <w:pPr>
              <w:spacing w:line="340" w:lineRule="exact"/>
              <w:jc w:val="center"/>
              <w:rPr>
                <w:rFonts w:hint="eastAsia"/>
                <w:sz w:val="18"/>
              </w:rPr>
            </w:pPr>
            <w:r>
              <w:rPr>
                <w:rFonts w:hint="eastAsia"/>
                <w:sz w:val="18"/>
              </w:rPr>
              <w:t>17</w:t>
            </w:r>
            <w:r>
              <w:rPr>
                <w:sz w:val="18"/>
              </w:rPr>
              <w:t>.</w:t>
            </w:r>
            <w:r>
              <w:rPr>
                <w:rFonts w:hint="eastAsia"/>
                <w:sz w:val="18"/>
              </w:rPr>
              <w:t>6</w:t>
            </w:r>
          </w:p>
        </w:tc>
        <w:tc>
          <w:tcPr>
            <w:tcW w:w="1088" w:type="pct"/>
          </w:tcPr>
          <w:p w:rsidR="00000000" w:rsidRDefault="00CA422F">
            <w:pPr>
              <w:spacing w:line="340" w:lineRule="exact"/>
              <w:jc w:val="center"/>
              <w:rPr>
                <w:rFonts w:hint="eastAsia"/>
                <w:sz w:val="18"/>
              </w:rPr>
            </w:pPr>
            <w:r>
              <w:rPr>
                <w:rFonts w:hint="eastAsia"/>
                <w:sz w:val="18"/>
              </w:rPr>
              <w:t>7</w:t>
            </w:r>
            <w:r>
              <w:rPr>
                <w:sz w:val="18"/>
              </w:rPr>
              <w:t>.</w:t>
            </w:r>
            <w:r>
              <w:rPr>
                <w:rFonts w:hint="eastAsia"/>
                <w:sz w:val="18"/>
              </w:rPr>
              <w:t>0</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交通、百货和社区</w:t>
            </w:r>
          </w:p>
        </w:tc>
        <w:tc>
          <w:tcPr>
            <w:tcW w:w="1158" w:type="pct"/>
          </w:tcPr>
          <w:p w:rsidR="00000000" w:rsidRDefault="00CA422F">
            <w:pPr>
              <w:spacing w:line="340" w:lineRule="exact"/>
              <w:jc w:val="center"/>
              <w:rPr>
                <w:rFonts w:hint="eastAsia"/>
                <w:sz w:val="18"/>
              </w:rPr>
            </w:pPr>
            <w:r>
              <w:rPr>
                <w:rFonts w:hint="eastAsia"/>
                <w:sz w:val="18"/>
              </w:rPr>
              <w:t>5</w:t>
            </w:r>
            <w:r>
              <w:rPr>
                <w:sz w:val="18"/>
              </w:rPr>
              <w:t>.</w:t>
            </w:r>
            <w:r>
              <w:rPr>
                <w:rFonts w:hint="eastAsia"/>
                <w:sz w:val="18"/>
              </w:rPr>
              <w:t>6</w:t>
            </w:r>
          </w:p>
        </w:tc>
        <w:tc>
          <w:tcPr>
            <w:tcW w:w="1158" w:type="pct"/>
          </w:tcPr>
          <w:p w:rsidR="00000000" w:rsidRDefault="00CA422F">
            <w:pPr>
              <w:spacing w:line="340" w:lineRule="exact"/>
              <w:jc w:val="center"/>
              <w:rPr>
                <w:rFonts w:hint="eastAsia"/>
                <w:sz w:val="18"/>
              </w:rPr>
            </w:pPr>
            <w:r>
              <w:rPr>
                <w:rFonts w:hint="eastAsia"/>
                <w:sz w:val="18"/>
              </w:rPr>
              <w:t>7</w:t>
            </w:r>
            <w:r>
              <w:rPr>
                <w:sz w:val="18"/>
              </w:rPr>
              <w:t>.</w:t>
            </w:r>
            <w:r>
              <w:rPr>
                <w:rFonts w:hint="eastAsia"/>
                <w:sz w:val="18"/>
              </w:rPr>
              <w:t>5</w:t>
            </w:r>
          </w:p>
        </w:tc>
        <w:tc>
          <w:tcPr>
            <w:tcW w:w="1088" w:type="pct"/>
          </w:tcPr>
          <w:p w:rsidR="00000000" w:rsidRDefault="00CA422F">
            <w:pPr>
              <w:spacing w:line="340" w:lineRule="exact"/>
              <w:jc w:val="center"/>
              <w:rPr>
                <w:rFonts w:hint="eastAsia"/>
                <w:sz w:val="18"/>
              </w:rPr>
            </w:pPr>
            <w:r>
              <w:rPr>
                <w:rFonts w:hint="eastAsia"/>
                <w:sz w:val="18"/>
              </w:rPr>
              <w:t>1</w:t>
            </w:r>
            <w:r>
              <w:rPr>
                <w:sz w:val="18"/>
              </w:rPr>
              <w:t>.</w:t>
            </w:r>
            <w:r>
              <w:rPr>
                <w:rFonts w:hint="eastAsia"/>
                <w:sz w:val="18"/>
              </w:rPr>
              <w:t>7</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金融机构</w:t>
            </w:r>
          </w:p>
        </w:tc>
        <w:tc>
          <w:tcPr>
            <w:tcW w:w="1158" w:type="pct"/>
          </w:tcPr>
          <w:p w:rsidR="00000000" w:rsidRDefault="00CA422F">
            <w:pPr>
              <w:spacing w:line="340" w:lineRule="exact"/>
              <w:jc w:val="center"/>
              <w:rPr>
                <w:rFonts w:hint="eastAsia"/>
                <w:sz w:val="18"/>
              </w:rPr>
            </w:pPr>
            <w:r>
              <w:rPr>
                <w:rFonts w:hint="eastAsia"/>
                <w:sz w:val="18"/>
              </w:rPr>
              <w:t>5</w:t>
            </w:r>
            <w:r>
              <w:rPr>
                <w:sz w:val="18"/>
              </w:rPr>
              <w:t>.</w:t>
            </w:r>
            <w:r>
              <w:rPr>
                <w:rFonts w:hint="eastAsia"/>
                <w:sz w:val="18"/>
              </w:rPr>
              <w:t>0</w:t>
            </w:r>
          </w:p>
        </w:tc>
        <w:tc>
          <w:tcPr>
            <w:tcW w:w="1158" w:type="pct"/>
          </w:tcPr>
          <w:p w:rsidR="00000000" w:rsidRDefault="00CA422F">
            <w:pPr>
              <w:spacing w:line="340" w:lineRule="exact"/>
              <w:jc w:val="center"/>
              <w:rPr>
                <w:rFonts w:hint="eastAsia"/>
                <w:sz w:val="18"/>
              </w:rPr>
            </w:pPr>
            <w:r>
              <w:rPr>
                <w:rFonts w:hint="eastAsia"/>
                <w:sz w:val="18"/>
              </w:rPr>
              <w:t>5</w:t>
            </w:r>
            <w:r>
              <w:rPr>
                <w:sz w:val="18"/>
              </w:rPr>
              <w:t>.</w:t>
            </w:r>
            <w:r>
              <w:rPr>
                <w:rFonts w:hint="eastAsia"/>
                <w:sz w:val="18"/>
              </w:rPr>
              <w:t>1</w:t>
            </w:r>
          </w:p>
        </w:tc>
        <w:tc>
          <w:tcPr>
            <w:tcW w:w="1088" w:type="pct"/>
          </w:tcPr>
          <w:p w:rsidR="00000000" w:rsidRDefault="00CA422F">
            <w:pPr>
              <w:spacing w:line="340" w:lineRule="exact"/>
              <w:jc w:val="center"/>
              <w:rPr>
                <w:rFonts w:hint="eastAsia"/>
                <w:sz w:val="18"/>
              </w:rPr>
            </w:pPr>
            <w:r>
              <w:rPr>
                <w:rFonts w:hint="eastAsia"/>
                <w:sz w:val="18"/>
              </w:rPr>
              <w:t>4</w:t>
            </w:r>
            <w:r>
              <w:rPr>
                <w:sz w:val="18"/>
              </w:rPr>
              <w:t>.</w:t>
            </w:r>
            <w:r>
              <w:rPr>
                <w:rFonts w:hint="eastAsia"/>
                <w:sz w:val="18"/>
              </w:rPr>
              <w:t>7</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社区服务和社会服务</w:t>
            </w:r>
          </w:p>
        </w:tc>
        <w:tc>
          <w:tcPr>
            <w:tcW w:w="1158" w:type="pct"/>
          </w:tcPr>
          <w:p w:rsidR="00000000" w:rsidRDefault="00CA422F">
            <w:pPr>
              <w:spacing w:line="340" w:lineRule="exact"/>
              <w:jc w:val="center"/>
              <w:rPr>
                <w:rFonts w:hint="eastAsia"/>
                <w:sz w:val="18"/>
              </w:rPr>
            </w:pPr>
            <w:r>
              <w:rPr>
                <w:rFonts w:hint="eastAsia"/>
                <w:sz w:val="18"/>
              </w:rPr>
              <w:t>24</w:t>
            </w:r>
            <w:r>
              <w:rPr>
                <w:sz w:val="18"/>
              </w:rPr>
              <w:t>.</w:t>
            </w:r>
            <w:r>
              <w:rPr>
                <w:rFonts w:hint="eastAsia"/>
                <w:sz w:val="18"/>
              </w:rPr>
              <w:t>5</w:t>
            </w:r>
          </w:p>
        </w:tc>
        <w:tc>
          <w:tcPr>
            <w:tcW w:w="1158" w:type="pct"/>
          </w:tcPr>
          <w:p w:rsidR="00000000" w:rsidRDefault="00CA422F">
            <w:pPr>
              <w:spacing w:line="340" w:lineRule="exact"/>
              <w:jc w:val="center"/>
              <w:rPr>
                <w:rFonts w:hint="eastAsia"/>
                <w:sz w:val="18"/>
              </w:rPr>
            </w:pPr>
            <w:r>
              <w:rPr>
                <w:rFonts w:hint="eastAsia"/>
                <w:sz w:val="18"/>
              </w:rPr>
              <w:t>15</w:t>
            </w:r>
            <w:r>
              <w:rPr>
                <w:sz w:val="18"/>
              </w:rPr>
              <w:t>.</w:t>
            </w:r>
            <w:r>
              <w:rPr>
                <w:rFonts w:hint="eastAsia"/>
                <w:sz w:val="18"/>
              </w:rPr>
              <w:t>6</w:t>
            </w:r>
          </w:p>
        </w:tc>
        <w:tc>
          <w:tcPr>
            <w:tcW w:w="1088" w:type="pct"/>
          </w:tcPr>
          <w:p w:rsidR="00000000" w:rsidRDefault="00CA422F">
            <w:pPr>
              <w:spacing w:line="340" w:lineRule="exact"/>
              <w:jc w:val="center"/>
              <w:rPr>
                <w:rFonts w:hint="eastAsia"/>
                <w:sz w:val="18"/>
              </w:rPr>
            </w:pPr>
            <w:r>
              <w:rPr>
                <w:rFonts w:hint="eastAsia"/>
                <w:sz w:val="18"/>
              </w:rPr>
              <w:t>42</w:t>
            </w:r>
            <w:r>
              <w:rPr>
                <w:sz w:val="18"/>
              </w:rPr>
              <w:t>.</w:t>
            </w:r>
            <w:r>
              <w:rPr>
                <w:rFonts w:hint="eastAsia"/>
                <w:sz w:val="18"/>
              </w:rPr>
              <w:t>4</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综合</w:t>
            </w:r>
          </w:p>
        </w:tc>
        <w:tc>
          <w:tcPr>
            <w:tcW w:w="1158" w:type="pct"/>
          </w:tcPr>
          <w:p w:rsidR="00000000" w:rsidRDefault="00CA422F">
            <w:pPr>
              <w:spacing w:line="340" w:lineRule="exact"/>
              <w:jc w:val="center"/>
              <w:rPr>
                <w:rFonts w:hint="eastAsia"/>
                <w:sz w:val="18"/>
              </w:rPr>
            </w:pPr>
            <w:r>
              <w:rPr>
                <w:rFonts w:hint="eastAsia"/>
                <w:sz w:val="18"/>
              </w:rPr>
              <w:t>0</w:t>
            </w:r>
            <w:r>
              <w:rPr>
                <w:sz w:val="18"/>
              </w:rPr>
              <w:t>.</w:t>
            </w:r>
            <w:r>
              <w:rPr>
                <w:rFonts w:hint="eastAsia"/>
                <w:sz w:val="18"/>
              </w:rPr>
              <w:t>5</w:t>
            </w:r>
          </w:p>
        </w:tc>
        <w:tc>
          <w:tcPr>
            <w:tcW w:w="1158" w:type="pct"/>
          </w:tcPr>
          <w:p w:rsidR="00000000" w:rsidRDefault="00CA422F">
            <w:pPr>
              <w:spacing w:line="340" w:lineRule="exact"/>
              <w:jc w:val="center"/>
              <w:rPr>
                <w:rFonts w:hint="eastAsia"/>
                <w:sz w:val="18"/>
              </w:rPr>
            </w:pPr>
            <w:r>
              <w:rPr>
                <w:rFonts w:hint="eastAsia"/>
                <w:sz w:val="18"/>
              </w:rPr>
              <w:t>0</w:t>
            </w:r>
            <w:r>
              <w:rPr>
                <w:sz w:val="18"/>
              </w:rPr>
              <w:t>.</w:t>
            </w:r>
            <w:r>
              <w:rPr>
                <w:rFonts w:hint="eastAsia"/>
                <w:sz w:val="18"/>
              </w:rPr>
              <w:t>6</w:t>
            </w:r>
          </w:p>
        </w:tc>
        <w:tc>
          <w:tcPr>
            <w:tcW w:w="1088" w:type="pct"/>
          </w:tcPr>
          <w:p w:rsidR="00000000" w:rsidRDefault="00CA422F">
            <w:pPr>
              <w:spacing w:line="340" w:lineRule="exact"/>
              <w:jc w:val="center"/>
              <w:rPr>
                <w:rFonts w:hint="eastAsia"/>
                <w:sz w:val="18"/>
              </w:rPr>
            </w:pPr>
            <w:r>
              <w:rPr>
                <w:rFonts w:hint="eastAsia"/>
                <w:sz w:val="18"/>
              </w:rPr>
              <w:t>0</w:t>
            </w:r>
            <w:r>
              <w:rPr>
                <w:sz w:val="18"/>
              </w:rPr>
              <w:t>.</w:t>
            </w:r>
            <w:r>
              <w:rPr>
                <w:rFonts w:hint="eastAsia"/>
                <w:sz w:val="18"/>
              </w:rPr>
              <w:t>5</w:t>
            </w:r>
          </w:p>
        </w:tc>
      </w:tr>
      <w:tr w:rsidR="00000000">
        <w:tblPrEx>
          <w:tblCellMar>
            <w:top w:w="0" w:type="dxa"/>
            <w:bottom w:w="0" w:type="dxa"/>
          </w:tblCellMar>
        </w:tblPrEx>
        <w:trPr>
          <w:trHeight w:val="284"/>
        </w:trPr>
        <w:tc>
          <w:tcPr>
            <w:tcW w:w="1596" w:type="pct"/>
          </w:tcPr>
          <w:p w:rsidR="00000000" w:rsidRDefault="00CA422F">
            <w:pPr>
              <w:spacing w:line="340" w:lineRule="exact"/>
              <w:rPr>
                <w:rFonts w:hint="eastAsia"/>
                <w:sz w:val="18"/>
              </w:rPr>
            </w:pPr>
            <w:r>
              <w:rPr>
                <w:rFonts w:hint="eastAsia"/>
                <w:sz w:val="18"/>
              </w:rPr>
              <w:t>第一次就业</w:t>
            </w:r>
          </w:p>
        </w:tc>
        <w:tc>
          <w:tcPr>
            <w:tcW w:w="1158" w:type="pct"/>
          </w:tcPr>
          <w:p w:rsidR="00000000" w:rsidRDefault="00CA422F">
            <w:pPr>
              <w:spacing w:line="340" w:lineRule="exact"/>
              <w:jc w:val="center"/>
              <w:rPr>
                <w:rFonts w:hint="eastAsia"/>
                <w:sz w:val="18"/>
              </w:rPr>
            </w:pPr>
            <w:r>
              <w:rPr>
                <w:rFonts w:hint="eastAsia"/>
                <w:sz w:val="18"/>
              </w:rPr>
              <w:t>0</w:t>
            </w:r>
            <w:r>
              <w:rPr>
                <w:sz w:val="18"/>
              </w:rPr>
              <w:t>.</w:t>
            </w:r>
            <w:r>
              <w:rPr>
                <w:rFonts w:hint="eastAsia"/>
                <w:sz w:val="18"/>
              </w:rPr>
              <w:t>9</w:t>
            </w:r>
          </w:p>
        </w:tc>
        <w:tc>
          <w:tcPr>
            <w:tcW w:w="1158" w:type="pct"/>
          </w:tcPr>
          <w:p w:rsidR="00000000" w:rsidRDefault="00CA422F">
            <w:pPr>
              <w:spacing w:line="340" w:lineRule="exact"/>
              <w:jc w:val="center"/>
              <w:rPr>
                <w:rFonts w:hint="eastAsia"/>
                <w:sz w:val="18"/>
              </w:rPr>
            </w:pPr>
            <w:r>
              <w:rPr>
                <w:rFonts w:hint="eastAsia"/>
                <w:sz w:val="18"/>
              </w:rPr>
              <w:t>0</w:t>
            </w:r>
            <w:r>
              <w:rPr>
                <w:sz w:val="18"/>
              </w:rPr>
              <w:t>.</w:t>
            </w:r>
            <w:r>
              <w:rPr>
                <w:rFonts w:hint="eastAsia"/>
                <w:sz w:val="18"/>
              </w:rPr>
              <w:t>6</w:t>
            </w:r>
          </w:p>
        </w:tc>
        <w:tc>
          <w:tcPr>
            <w:tcW w:w="1088" w:type="pct"/>
          </w:tcPr>
          <w:p w:rsidR="00000000" w:rsidRDefault="00CA422F">
            <w:pPr>
              <w:spacing w:line="340" w:lineRule="exact"/>
              <w:jc w:val="center"/>
              <w:rPr>
                <w:rFonts w:hint="eastAsia"/>
                <w:sz w:val="18"/>
              </w:rPr>
            </w:pPr>
            <w:r>
              <w:rPr>
                <w:rFonts w:hint="eastAsia"/>
                <w:sz w:val="18"/>
              </w:rPr>
              <w:t>1</w:t>
            </w:r>
            <w:r>
              <w:rPr>
                <w:sz w:val="18"/>
              </w:rPr>
              <w:t>.</w:t>
            </w:r>
            <w:r>
              <w:rPr>
                <w:rFonts w:hint="eastAsia"/>
                <w:sz w:val="18"/>
              </w:rPr>
              <w:t>5</w:t>
            </w:r>
          </w:p>
        </w:tc>
      </w:tr>
    </w:tbl>
    <w:p w:rsidR="00000000" w:rsidRDefault="00CA422F">
      <w:pPr>
        <w:spacing w:after="240" w:line="360" w:lineRule="exact"/>
        <w:rPr>
          <w:rFonts w:hint="eastAsia"/>
          <w:sz w:val="18"/>
        </w:rPr>
      </w:pPr>
      <w:r>
        <w:rPr>
          <w:rFonts w:hint="eastAsia"/>
          <w:sz w:val="18"/>
        </w:rPr>
        <w:t>资料来源</w:t>
      </w:r>
      <w:r>
        <w:rPr>
          <w:rFonts w:hint="eastAsia"/>
          <w:sz w:val="18"/>
        </w:rPr>
        <w:t>：哥斯达黎加人口与统计总局－劳动和社会保障部。有关家庭和多种因素调查。相关年份。</w:t>
      </w:r>
    </w:p>
    <w:p w:rsidR="00000000" w:rsidRDefault="00CA422F">
      <w:pPr>
        <w:spacing w:after="240" w:line="360" w:lineRule="exact"/>
        <w:rPr>
          <w:rFonts w:hint="eastAsia"/>
        </w:rPr>
      </w:pPr>
      <w:r>
        <w:rPr>
          <w:rFonts w:hint="eastAsia"/>
        </w:rPr>
        <w:t>348</w:t>
      </w:r>
      <w:r>
        <w:rPr>
          <w:rFonts w:hint="eastAsia"/>
        </w:rPr>
        <w:t>．如上表所示，女性劳动者主要集中在个人、社会和社区服务业（</w:t>
      </w:r>
      <w:r>
        <w:rPr>
          <w:rFonts w:hint="eastAsia"/>
        </w:rPr>
        <w:t>42</w:t>
      </w:r>
      <w:r>
        <w:t>.</w:t>
      </w:r>
      <w:r>
        <w:rPr>
          <w:rFonts w:hint="eastAsia"/>
        </w:rPr>
        <w:t>4%</w:t>
      </w:r>
      <w:r>
        <w:rPr>
          <w:rFonts w:hint="eastAsia"/>
        </w:rPr>
        <w:t>）以及商业（</w:t>
      </w:r>
      <w:r>
        <w:rPr>
          <w:rFonts w:hint="eastAsia"/>
        </w:rPr>
        <w:t>27</w:t>
      </w:r>
      <w:r>
        <w:t>.</w:t>
      </w:r>
      <w:r>
        <w:rPr>
          <w:rFonts w:hint="eastAsia"/>
        </w:rPr>
        <w:t>0%</w:t>
      </w:r>
      <w:r>
        <w:rPr>
          <w:rFonts w:hint="eastAsia"/>
        </w:rPr>
        <w:t>）中。</w:t>
      </w:r>
    </w:p>
    <w:p w:rsidR="00000000" w:rsidRDefault="00CA422F">
      <w:pPr>
        <w:spacing w:after="240" w:line="360" w:lineRule="exact"/>
        <w:rPr>
          <w:rFonts w:hint="eastAsia"/>
        </w:rPr>
      </w:pPr>
      <w:r>
        <w:rPr>
          <w:rFonts w:hint="eastAsia"/>
        </w:rPr>
        <w:t>349</w:t>
      </w:r>
      <w:r>
        <w:rPr>
          <w:rFonts w:hint="eastAsia"/>
        </w:rPr>
        <w:t>．众所周知，农牧业中许多妇女都是从事非法雇佣的工作，尤其是那些满足个人需求的基本劳动更是情况不明，因此，妇女在农牧业中所占据的相对比例还应该更高（</w:t>
      </w:r>
      <w:r>
        <w:rPr>
          <w:rFonts w:hint="eastAsia"/>
        </w:rPr>
        <w:t>Trejos</w:t>
      </w:r>
      <w:r>
        <w:rPr>
          <w:rFonts w:hint="eastAsia"/>
        </w:rPr>
        <w:t>，</w:t>
      </w:r>
      <w:r>
        <w:rPr>
          <w:rFonts w:hint="eastAsia"/>
        </w:rPr>
        <w:t>2000</w:t>
      </w:r>
      <w:r>
        <w:rPr>
          <w:rFonts w:hint="eastAsia"/>
        </w:rPr>
        <w:t>年）</w:t>
      </w:r>
    </w:p>
    <w:p w:rsidR="00000000" w:rsidRDefault="00CA422F">
      <w:pPr>
        <w:spacing w:after="240" w:line="360" w:lineRule="exact"/>
        <w:jc w:val="center"/>
        <w:rPr>
          <w:rFonts w:eastAsia="SimHei" w:hint="eastAsia"/>
          <w:sz w:val="24"/>
        </w:rPr>
      </w:pPr>
      <w:r>
        <w:rPr>
          <w:rFonts w:eastAsia="SimHei" w:hint="eastAsia"/>
          <w:sz w:val="24"/>
        </w:rPr>
        <w:t>男女工资差距正在逐步缩小</w:t>
      </w:r>
    </w:p>
    <w:p w:rsidR="00000000" w:rsidRDefault="00CA422F">
      <w:pPr>
        <w:spacing w:after="240" w:line="360" w:lineRule="exact"/>
        <w:rPr>
          <w:rFonts w:hint="eastAsia"/>
          <w:spacing w:val="2"/>
        </w:rPr>
      </w:pPr>
      <w:r>
        <w:rPr>
          <w:rFonts w:hint="eastAsia"/>
          <w:spacing w:val="2"/>
        </w:rPr>
        <w:t>350</w:t>
      </w:r>
      <w:r>
        <w:rPr>
          <w:rFonts w:hint="eastAsia"/>
          <w:spacing w:val="2"/>
        </w:rPr>
        <w:t>．男女的差异同样体现在他们的工资收入上。女性因性别原因在工资差距中经常处于不利位置。虽然</w:t>
      </w:r>
      <w:r>
        <w:rPr>
          <w:rFonts w:hint="eastAsia"/>
          <w:spacing w:val="2"/>
        </w:rPr>
        <w:t>1999</w:t>
      </w:r>
      <w:r>
        <w:rPr>
          <w:rFonts w:hint="eastAsia"/>
          <w:spacing w:val="2"/>
        </w:rPr>
        <w:t>年女性每小时的平均</w:t>
      </w:r>
      <w:r>
        <w:rPr>
          <w:rFonts w:hint="eastAsia"/>
          <w:spacing w:val="2"/>
        </w:rPr>
        <w:t>工资又有所下降，但是对整个有收入的劳动群体而言，这种差异正在日益缩减。然而，有利于女性的趋势并没有体现在所有的劳动时段、所有不同的教育程度和所有工作职位上（民族国家计划，</w:t>
      </w:r>
      <w:r>
        <w:rPr>
          <w:rFonts w:hint="eastAsia"/>
          <w:spacing w:val="2"/>
        </w:rPr>
        <w:t>2001</w:t>
      </w:r>
      <w:r>
        <w:rPr>
          <w:rFonts w:hint="eastAsia"/>
          <w:spacing w:val="2"/>
        </w:rPr>
        <w:t>年）。</w:t>
      </w:r>
    </w:p>
    <w:p w:rsidR="00000000" w:rsidRDefault="00CA422F">
      <w:pPr>
        <w:spacing w:after="240" w:line="360" w:lineRule="exact"/>
        <w:rPr>
          <w:rFonts w:hint="eastAsia"/>
        </w:rPr>
      </w:pPr>
      <w:r>
        <w:rPr>
          <w:rFonts w:hint="eastAsia"/>
        </w:rPr>
        <w:t>351</w:t>
      </w:r>
      <w:r>
        <w:rPr>
          <w:rFonts w:hint="eastAsia"/>
        </w:rPr>
        <w:t>．如果将休息时间计算在内，女性在超过整个工作日（超过</w:t>
      </w:r>
      <w:r>
        <w:rPr>
          <w:rFonts w:hint="eastAsia"/>
        </w:rPr>
        <w:t>48</w:t>
      </w:r>
      <w:r>
        <w:rPr>
          <w:rFonts w:hint="eastAsia"/>
        </w:rPr>
        <w:t>小时）的时间段内领取的工资要低于男性；然而，在半个工作日（</w:t>
      </w:r>
      <w:r>
        <w:rPr>
          <w:rFonts w:hint="eastAsia"/>
        </w:rPr>
        <w:t>24</w:t>
      </w:r>
      <w:r>
        <w:rPr>
          <w:rFonts w:hint="eastAsia"/>
        </w:rPr>
        <w:t>至</w:t>
      </w:r>
      <w:r>
        <w:rPr>
          <w:rFonts w:hint="eastAsia"/>
        </w:rPr>
        <w:t>36</w:t>
      </w:r>
      <w:r>
        <w:rPr>
          <w:rFonts w:hint="eastAsia"/>
        </w:rPr>
        <w:t>小时）以及整个工作日（</w:t>
      </w:r>
      <w:r>
        <w:rPr>
          <w:rFonts w:hint="eastAsia"/>
        </w:rPr>
        <w:t>36</w:t>
      </w:r>
      <w:r>
        <w:rPr>
          <w:rFonts w:hint="eastAsia"/>
        </w:rPr>
        <w:t>至</w:t>
      </w:r>
      <w:r>
        <w:rPr>
          <w:rFonts w:hint="eastAsia"/>
        </w:rPr>
        <w:t>48</w:t>
      </w:r>
      <w:r>
        <w:rPr>
          <w:rFonts w:hint="eastAsia"/>
        </w:rPr>
        <w:t>小时）内，每小时的平均工资对女性较为有利。之所以出现这些情况，主要是因为在按照上述工作日工作的女性当中，从事专业和领导工作的女性比例高于担任同等职位的男性比例。</w:t>
      </w:r>
      <w:r>
        <w:rPr>
          <w:rFonts w:hint="eastAsia"/>
        </w:rPr>
        <w:t>19</w:t>
      </w:r>
      <w:r>
        <w:rPr>
          <w:rFonts w:hint="eastAsia"/>
        </w:rPr>
        <w:t>99</w:t>
      </w:r>
      <w:r>
        <w:rPr>
          <w:rFonts w:hint="eastAsia"/>
        </w:rPr>
        <w:t>年，工作半天的女性中有</w:t>
      </w:r>
      <w:r>
        <w:rPr>
          <w:rFonts w:hint="eastAsia"/>
        </w:rPr>
        <w:t>25</w:t>
      </w:r>
      <w:r>
        <w:rPr>
          <w:rFonts w:hint="eastAsia"/>
        </w:rPr>
        <w:t>％的人从事专业或领导工作，而同样工作半天的男性中却只有</w:t>
      </w:r>
      <w:r>
        <w:rPr>
          <w:rFonts w:hint="eastAsia"/>
        </w:rPr>
        <w:t>12</w:t>
      </w:r>
      <w:r>
        <w:t>.</w:t>
      </w:r>
      <w:r>
        <w:rPr>
          <w:rFonts w:hint="eastAsia"/>
        </w:rPr>
        <w:t>8%</w:t>
      </w:r>
      <w:r>
        <w:rPr>
          <w:rFonts w:hint="eastAsia"/>
        </w:rPr>
        <w:t>的人从事同等工作。同样，工作整个工作日的女性中有</w:t>
      </w:r>
      <w:r>
        <w:rPr>
          <w:rFonts w:hint="eastAsia"/>
        </w:rPr>
        <w:t>28</w:t>
      </w:r>
      <w:r>
        <w:rPr>
          <w:rFonts w:hint="eastAsia"/>
        </w:rPr>
        <w:t>％从事专业或领导工作，而同等条件下男性只占</w:t>
      </w:r>
      <w:r>
        <w:rPr>
          <w:rFonts w:hint="eastAsia"/>
        </w:rPr>
        <w:t>15</w:t>
      </w:r>
      <w:r>
        <w:t>.</w:t>
      </w:r>
      <w:r>
        <w:rPr>
          <w:rFonts w:hint="eastAsia"/>
        </w:rPr>
        <w:t>7%</w:t>
      </w:r>
      <w:r>
        <w:rPr>
          <w:rFonts w:hint="eastAsia"/>
        </w:rPr>
        <w:t>。从受教育程度来看，大学工作人员中也存在着类似的状况。</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10</w:t>
      </w:r>
      <w:r>
        <w:rPr>
          <w:rFonts w:ascii="SimHei" w:eastAsia="SimHei"/>
        </w:rPr>
        <w:br/>
      </w:r>
      <w:r>
        <w:rPr>
          <w:rFonts w:ascii="SimHei" w:eastAsia="SimHei" w:hint="eastAsia"/>
        </w:rPr>
        <w:t>各个教育程度上的女性对男性的每小时平均工资的比率，</w:t>
      </w:r>
      <w:r>
        <w:rPr>
          <w:rFonts w:ascii="SimHei" w:eastAsia="SimHei"/>
        </w:rPr>
        <w:br/>
      </w:r>
      <w:r>
        <w:rPr>
          <w:rFonts w:ascii="SimHei" w:eastAsia="SimHei" w:hint="eastAsia"/>
        </w:rPr>
        <w:t>1990</w:t>
      </w:r>
      <w:r>
        <w:rPr>
          <w:rFonts w:ascii="SimHei" w:eastAsia="SimHei" w:hint="eastAsia"/>
        </w:rPr>
        <w:t>、</w:t>
      </w:r>
      <w:r>
        <w:rPr>
          <w:rFonts w:ascii="SimHei" w:eastAsia="SimHei" w:hint="eastAsia"/>
        </w:rPr>
        <w:t>1995</w:t>
      </w:r>
      <w:r>
        <w:rPr>
          <w:rFonts w:ascii="SimHei" w:eastAsia="SimHei" w:hint="eastAsia"/>
        </w:rPr>
        <w:t>、</w:t>
      </w:r>
      <w:r>
        <w:rPr>
          <w:rFonts w:ascii="SimHei" w:eastAsia="SimHei" w:hint="eastAsia"/>
        </w:rPr>
        <w:t>1996</w:t>
      </w:r>
      <w:r>
        <w:rPr>
          <w:rFonts w:ascii="SimHei" w:eastAsia="SimHei" w:hint="eastAsia"/>
        </w:rPr>
        <w:t>－</w:t>
      </w:r>
      <w:r>
        <w:rPr>
          <w:rFonts w:ascii="SimHei" w:eastAsia="SimHei" w:hint="eastAsia"/>
        </w:rPr>
        <w:t>1999</w:t>
      </w:r>
      <w:r>
        <w:rPr>
          <w:rFonts w:ascii="SimHei" w:eastAsia="SimHei" w:hint="eastAsia"/>
        </w:rPr>
        <w:t>年</w:t>
      </w:r>
    </w:p>
    <w:tbl>
      <w:tblPr>
        <w:tblW w:w="4946" w:type="pct"/>
        <w:tblInd w:w="108" w:type="dxa"/>
        <w:tblBorders>
          <w:top w:val="single" w:sz="12" w:space="0" w:color="008000"/>
          <w:left w:val="nil"/>
          <w:bottom w:val="single" w:sz="12" w:space="0" w:color="008000"/>
          <w:right w:val="nil"/>
          <w:insideH w:val="nil"/>
          <w:insideV w:val="nil"/>
        </w:tblBorders>
        <w:tblLook w:val="00BF" w:firstRow="1" w:lastRow="0" w:firstColumn="1" w:lastColumn="0" w:noHBand="0" w:noVBand="0"/>
      </w:tblPr>
      <w:tblGrid>
        <w:gridCol w:w="2753"/>
        <w:gridCol w:w="1182"/>
        <w:gridCol w:w="1185"/>
        <w:gridCol w:w="1185"/>
        <w:gridCol w:w="1185"/>
        <w:gridCol w:w="1185"/>
        <w:gridCol w:w="1181"/>
      </w:tblGrid>
      <w:tr w:rsidR="00000000">
        <w:tblPrEx>
          <w:tblCellMar>
            <w:top w:w="0" w:type="dxa"/>
            <w:bottom w:w="0" w:type="dxa"/>
          </w:tblCellMar>
        </w:tblPrEx>
        <w:tc>
          <w:tcPr>
            <w:tcW w:w="1397" w:type="pct"/>
            <w:tcBorders>
              <w:bottom w:val="single" w:sz="6" w:space="0" w:color="008000"/>
            </w:tcBorders>
          </w:tcPr>
          <w:p w:rsidR="00000000" w:rsidRDefault="00CA422F">
            <w:pPr>
              <w:spacing w:line="380" w:lineRule="exact"/>
              <w:rPr>
                <w:rFonts w:eastAsia="SimHei" w:hint="eastAsia"/>
                <w:sz w:val="18"/>
              </w:rPr>
            </w:pPr>
            <w:r>
              <w:rPr>
                <w:rFonts w:eastAsia="SimHei" w:hint="eastAsia"/>
                <w:sz w:val="18"/>
              </w:rPr>
              <w:t>受教育程度</w:t>
            </w:r>
          </w:p>
        </w:tc>
        <w:tc>
          <w:tcPr>
            <w:tcW w:w="600" w:type="pct"/>
            <w:tcBorders>
              <w:bottom w:val="single" w:sz="6" w:space="0" w:color="008000"/>
            </w:tcBorders>
          </w:tcPr>
          <w:p w:rsidR="00000000" w:rsidRDefault="00CA422F">
            <w:pPr>
              <w:spacing w:line="380" w:lineRule="exact"/>
              <w:jc w:val="center"/>
              <w:rPr>
                <w:rFonts w:eastAsia="SimHei" w:hint="eastAsia"/>
                <w:b/>
                <w:bCs/>
                <w:sz w:val="18"/>
              </w:rPr>
            </w:pPr>
            <w:r>
              <w:rPr>
                <w:rFonts w:eastAsia="SimHei" w:hint="eastAsia"/>
                <w:b/>
                <w:bCs/>
                <w:sz w:val="18"/>
              </w:rPr>
              <w:t>1990</w:t>
            </w:r>
          </w:p>
        </w:tc>
        <w:tc>
          <w:tcPr>
            <w:tcW w:w="601" w:type="pct"/>
            <w:tcBorders>
              <w:bottom w:val="single" w:sz="6" w:space="0" w:color="008000"/>
            </w:tcBorders>
          </w:tcPr>
          <w:p w:rsidR="00000000" w:rsidRDefault="00CA422F">
            <w:pPr>
              <w:spacing w:line="380" w:lineRule="exact"/>
              <w:jc w:val="center"/>
              <w:rPr>
                <w:rFonts w:eastAsia="SimHei" w:hint="eastAsia"/>
                <w:b/>
                <w:bCs/>
                <w:sz w:val="18"/>
              </w:rPr>
            </w:pPr>
            <w:r>
              <w:rPr>
                <w:rFonts w:eastAsia="SimHei" w:hint="eastAsia"/>
                <w:b/>
                <w:bCs/>
                <w:sz w:val="18"/>
              </w:rPr>
              <w:t>1995</w:t>
            </w:r>
          </w:p>
        </w:tc>
        <w:tc>
          <w:tcPr>
            <w:tcW w:w="601" w:type="pct"/>
            <w:tcBorders>
              <w:bottom w:val="single" w:sz="6" w:space="0" w:color="008000"/>
            </w:tcBorders>
          </w:tcPr>
          <w:p w:rsidR="00000000" w:rsidRDefault="00CA422F">
            <w:pPr>
              <w:spacing w:line="380" w:lineRule="exact"/>
              <w:jc w:val="center"/>
              <w:rPr>
                <w:rFonts w:eastAsia="SimHei" w:hint="eastAsia"/>
                <w:b/>
                <w:bCs/>
                <w:sz w:val="18"/>
              </w:rPr>
            </w:pPr>
            <w:r>
              <w:rPr>
                <w:rFonts w:eastAsia="SimHei" w:hint="eastAsia"/>
                <w:b/>
                <w:bCs/>
                <w:sz w:val="18"/>
              </w:rPr>
              <w:t>1996</w:t>
            </w:r>
          </w:p>
        </w:tc>
        <w:tc>
          <w:tcPr>
            <w:tcW w:w="601" w:type="pct"/>
            <w:tcBorders>
              <w:bottom w:val="single" w:sz="6" w:space="0" w:color="008000"/>
            </w:tcBorders>
          </w:tcPr>
          <w:p w:rsidR="00000000" w:rsidRDefault="00CA422F">
            <w:pPr>
              <w:spacing w:line="380" w:lineRule="exact"/>
              <w:jc w:val="center"/>
              <w:rPr>
                <w:rFonts w:eastAsia="SimHei" w:hint="eastAsia"/>
                <w:b/>
                <w:bCs/>
                <w:sz w:val="18"/>
              </w:rPr>
            </w:pPr>
            <w:r>
              <w:rPr>
                <w:rFonts w:eastAsia="SimHei" w:hint="eastAsia"/>
                <w:b/>
                <w:bCs/>
                <w:sz w:val="18"/>
              </w:rPr>
              <w:t>1997</w:t>
            </w:r>
          </w:p>
        </w:tc>
        <w:tc>
          <w:tcPr>
            <w:tcW w:w="601" w:type="pct"/>
            <w:tcBorders>
              <w:bottom w:val="single" w:sz="6" w:space="0" w:color="008000"/>
            </w:tcBorders>
          </w:tcPr>
          <w:p w:rsidR="00000000" w:rsidRDefault="00CA422F">
            <w:pPr>
              <w:spacing w:line="380" w:lineRule="exact"/>
              <w:jc w:val="center"/>
              <w:rPr>
                <w:rFonts w:eastAsia="SimHei" w:hint="eastAsia"/>
                <w:b/>
                <w:bCs/>
                <w:sz w:val="18"/>
              </w:rPr>
            </w:pPr>
            <w:r>
              <w:rPr>
                <w:rFonts w:eastAsia="SimHei" w:hint="eastAsia"/>
                <w:b/>
                <w:bCs/>
                <w:sz w:val="18"/>
              </w:rPr>
              <w:t>1998</w:t>
            </w:r>
          </w:p>
        </w:tc>
        <w:tc>
          <w:tcPr>
            <w:tcW w:w="601" w:type="pct"/>
            <w:tcBorders>
              <w:bottom w:val="single" w:sz="6" w:space="0" w:color="008000"/>
            </w:tcBorders>
          </w:tcPr>
          <w:p w:rsidR="00000000" w:rsidRDefault="00CA422F">
            <w:pPr>
              <w:spacing w:line="380" w:lineRule="exact"/>
              <w:jc w:val="center"/>
              <w:rPr>
                <w:rFonts w:eastAsia="SimHei" w:hint="eastAsia"/>
                <w:b/>
                <w:bCs/>
                <w:sz w:val="18"/>
              </w:rPr>
            </w:pPr>
            <w:r>
              <w:rPr>
                <w:rFonts w:eastAsia="SimHei" w:hint="eastAsia"/>
                <w:b/>
                <w:bCs/>
                <w:sz w:val="18"/>
              </w:rPr>
              <w:t>1999</w:t>
            </w:r>
          </w:p>
        </w:tc>
      </w:tr>
      <w:tr w:rsidR="00000000">
        <w:tblPrEx>
          <w:tblCellMar>
            <w:top w:w="0" w:type="dxa"/>
            <w:bottom w:w="0" w:type="dxa"/>
          </w:tblCellMar>
        </w:tblPrEx>
        <w:tc>
          <w:tcPr>
            <w:tcW w:w="1397" w:type="pct"/>
            <w:tcBorders>
              <w:top w:val="single" w:sz="6" w:space="0" w:color="008000"/>
            </w:tcBorders>
          </w:tcPr>
          <w:p w:rsidR="00000000" w:rsidRDefault="00CA422F">
            <w:pPr>
              <w:spacing w:line="380" w:lineRule="exact"/>
              <w:rPr>
                <w:rFonts w:hint="eastAsia"/>
                <w:sz w:val="18"/>
              </w:rPr>
            </w:pPr>
            <w:r>
              <w:rPr>
                <w:rFonts w:hint="eastAsia"/>
                <w:sz w:val="18"/>
              </w:rPr>
              <w:t>未受任何教育</w:t>
            </w:r>
          </w:p>
        </w:tc>
        <w:tc>
          <w:tcPr>
            <w:tcW w:w="600" w:type="pct"/>
            <w:tcBorders>
              <w:top w:val="single" w:sz="6" w:space="0" w:color="008000"/>
            </w:tcBorders>
          </w:tcPr>
          <w:p w:rsidR="00000000" w:rsidRDefault="00CA422F">
            <w:pPr>
              <w:spacing w:line="380" w:lineRule="exact"/>
              <w:jc w:val="center"/>
              <w:rPr>
                <w:rFonts w:hint="eastAsia"/>
                <w:sz w:val="18"/>
              </w:rPr>
            </w:pPr>
            <w:r>
              <w:rPr>
                <w:rFonts w:hint="eastAsia"/>
                <w:sz w:val="18"/>
              </w:rPr>
              <w:t>67</w:t>
            </w:r>
            <w:r>
              <w:rPr>
                <w:sz w:val="18"/>
              </w:rPr>
              <w:t>.</w:t>
            </w:r>
            <w:r>
              <w:rPr>
                <w:rFonts w:hint="eastAsia"/>
                <w:sz w:val="18"/>
              </w:rPr>
              <w:t>6</w:t>
            </w:r>
          </w:p>
        </w:tc>
        <w:tc>
          <w:tcPr>
            <w:tcW w:w="601" w:type="pct"/>
            <w:tcBorders>
              <w:top w:val="single" w:sz="6" w:space="0" w:color="008000"/>
            </w:tcBorders>
          </w:tcPr>
          <w:p w:rsidR="00000000" w:rsidRDefault="00CA422F">
            <w:pPr>
              <w:spacing w:line="380" w:lineRule="exact"/>
              <w:jc w:val="center"/>
              <w:rPr>
                <w:rFonts w:hint="eastAsia"/>
                <w:sz w:val="18"/>
              </w:rPr>
            </w:pPr>
            <w:r>
              <w:rPr>
                <w:rFonts w:hint="eastAsia"/>
                <w:sz w:val="18"/>
              </w:rPr>
              <w:t>73</w:t>
            </w:r>
            <w:r>
              <w:rPr>
                <w:sz w:val="18"/>
              </w:rPr>
              <w:t>.</w:t>
            </w:r>
            <w:r>
              <w:rPr>
                <w:rFonts w:hint="eastAsia"/>
                <w:sz w:val="18"/>
              </w:rPr>
              <w:t>3</w:t>
            </w:r>
          </w:p>
        </w:tc>
        <w:tc>
          <w:tcPr>
            <w:tcW w:w="601" w:type="pct"/>
            <w:tcBorders>
              <w:top w:val="single" w:sz="6" w:space="0" w:color="008000"/>
            </w:tcBorders>
          </w:tcPr>
          <w:p w:rsidR="00000000" w:rsidRDefault="00CA422F">
            <w:pPr>
              <w:spacing w:line="380" w:lineRule="exact"/>
              <w:jc w:val="center"/>
              <w:rPr>
                <w:rFonts w:hint="eastAsia"/>
                <w:sz w:val="18"/>
              </w:rPr>
            </w:pPr>
            <w:r>
              <w:rPr>
                <w:rFonts w:hint="eastAsia"/>
                <w:sz w:val="18"/>
              </w:rPr>
              <w:t>94</w:t>
            </w:r>
            <w:r>
              <w:rPr>
                <w:sz w:val="18"/>
              </w:rPr>
              <w:t>.</w:t>
            </w:r>
            <w:r>
              <w:rPr>
                <w:rFonts w:hint="eastAsia"/>
                <w:sz w:val="18"/>
              </w:rPr>
              <w:t>1</w:t>
            </w:r>
          </w:p>
        </w:tc>
        <w:tc>
          <w:tcPr>
            <w:tcW w:w="601" w:type="pct"/>
            <w:tcBorders>
              <w:top w:val="single" w:sz="6" w:space="0" w:color="008000"/>
            </w:tcBorders>
          </w:tcPr>
          <w:p w:rsidR="00000000" w:rsidRDefault="00CA422F">
            <w:pPr>
              <w:spacing w:line="380" w:lineRule="exact"/>
              <w:jc w:val="center"/>
              <w:rPr>
                <w:rFonts w:hint="eastAsia"/>
                <w:sz w:val="18"/>
              </w:rPr>
            </w:pPr>
            <w:r>
              <w:rPr>
                <w:rFonts w:hint="eastAsia"/>
                <w:sz w:val="18"/>
              </w:rPr>
              <w:t>92</w:t>
            </w:r>
            <w:r>
              <w:rPr>
                <w:sz w:val="18"/>
              </w:rPr>
              <w:t>.</w:t>
            </w:r>
            <w:r>
              <w:rPr>
                <w:rFonts w:hint="eastAsia"/>
                <w:sz w:val="18"/>
              </w:rPr>
              <w:t>3</w:t>
            </w:r>
          </w:p>
        </w:tc>
        <w:tc>
          <w:tcPr>
            <w:tcW w:w="601" w:type="pct"/>
            <w:tcBorders>
              <w:top w:val="single" w:sz="6" w:space="0" w:color="008000"/>
            </w:tcBorders>
          </w:tcPr>
          <w:p w:rsidR="00000000" w:rsidRDefault="00CA422F">
            <w:pPr>
              <w:spacing w:line="380" w:lineRule="exact"/>
              <w:jc w:val="center"/>
              <w:rPr>
                <w:rFonts w:hint="eastAsia"/>
                <w:sz w:val="18"/>
              </w:rPr>
            </w:pPr>
            <w:r>
              <w:rPr>
                <w:rFonts w:hint="eastAsia"/>
                <w:sz w:val="18"/>
              </w:rPr>
              <w:t>68</w:t>
            </w:r>
            <w:r>
              <w:rPr>
                <w:sz w:val="18"/>
              </w:rPr>
              <w:t>.</w:t>
            </w:r>
            <w:r>
              <w:rPr>
                <w:rFonts w:hint="eastAsia"/>
                <w:sz w:val="18"/>
              </w:rPr>
              <w:t>2</w:t>
            </w:r>
          </w:p>
        </w:tc>
        <w:tc>
          <w:tcPr>
            <w:tcW w:w="601" w:type="pct"/>
            <w:tcBorders>
              <w:top w:val="single" w:sz="6" w:space="0" w:color="008000"/>
            </w:tcBorders>
          </w:tcPr>
          <w:p w:rsidR="00000000" w:rsidRDefault="00CA422F">
            <w:pPr>
              <w:spacing w:line="380" w:lineRule="exact"/>
              <w:jc w:val="center"/>
              <w:rPr>
                <w:rFonts w:hint="eastAsia"/>
                <w:sz w:val="18"/>
              </w:rPr>
            </w:pPr>
            <w:r>
              <w:rPr>
                <w:rFonts w:hint="eastAsia"/>
                <w:sz w:val="18"/>
              </w:rPr>
              <w:t>73</w:t>
            </w:r>
            <w:r>
              <w:rPr>
                <w:sz w:val="18"/>
              </w:rPr>
              <w:t>.</w:t>
            </w:r>
            <w:r>
              <w:rPr>
                <w:rFonts w:hint="eastAsia"/>
                <w:sz w:val="18"/>
              </w:rPr>
              <w:t>7</w:t>
            </w:r>
          </w:p>
        </w:tc>
      </w:tr>
      <w:tr w:rsidR="00000000">
        <w:tblPrEx>
          <w:tblCellMar>
            <w:top w:w="0" w:type="dxa"/>
            <w:bottom w:w="0" w:type="dxa"/>
          </w:tblCellMar>
        </w:tblPrEx>
        <w:tc>
          <w:tcPr>
            <w:tcW w:w="1397" w:type="pct"/>
          </w:tcPr>
          <w:p w:rsidR="00000000" w:rsidRDefault="00CA422F">
            <w:pPr>
              <w:spacing w:line="380" w:lineRule="exact"/>
              <w:rPr>
                <w:rFonts w:hint="eastAsia"/>
                <w:sz w:val="18"/>
              </w:rPr>
            </w:pPr>
            <w:r>
              <w:rPr>
                <w:rFonts w:hint="eastAsia"/>
                <w:sz w:val="18"/>
              </w:rPr>
              <w:t>小学肄</w:t>
            </w:r>
            <w:r>
              <w:rPr>
                <w:rFonts w:hint="eastAsia"/>
                <w:sz w:val="18"/>
              </w:rPr>
              <w:t>业</w:t>
            </w:r>
          </w:p>
        </w:tc>
        <w:tc>
          <w:tcPr>
            <w:tcW w:w="600" w:type="pct"/>
          </w:tcPr>
          <w:p w:rsidR="00000000" w:rsidRDefault="00CA422F">
            <w:pPr>
              <w:spacing w:line="380" w:lineRule="exact"/>
              <w:jc w:val="center"/>
              <w:rPr>
                <w:rFonts w:hint="eastAsia"/>
                <w:sz w:val="18"/>
              </w:rPr>
            </w:pPr>
            <w:r>
              <w:rPr>
                <w:rFonts w:hint="eastAsia"/>
                <w:sz w:val="18"/>
              </w:rPr>
              <w:t>71</w:t>
            </w:r>
            <w:r>
              <w:rPr>
                <w:sz w:val="18"/>
              </w:rPr>
              <w:t>.</w:t>
            </w:r>
            <w:r>
              <w:rPr>
                <w:rFonts w:hint="eastAsia"/>
                <w:sz w:val="18"/>
              </w:rPr>
              <w:t>3</w:t>
            </w:r>
          </w:p>
        </w:tc>
        <w:tc>
          <w:tcPr>
            <w:tcW w:w="601" w:type="pct"/>
          </w:tcPr>
          <w:p w:rsidR="00000000" w:rsidRDefault="00CA422F">
            <w:pPr>
              <w:spacing w:line="380" w:lineRule="exact"/>
              <w:jc w:val="center"/>
              <w:rPr>
                <w:rFonts w:hint="eastAsia"/>
                <w:sz w:val="18"/>
              </w:rPr>
            </w:pPr>
            <w:r>
              <w:rPr>
                <w:rFonts w:hint="eastAsia"/>
                <w:sz w:val="18"/>
              </w:rPr>
              <w:t>79</w:t>
            </w:r>
            <w:r>
              <w:rPr>
                <w:sz w:val="18"/>
              </w:rPr>
              <w:t>.</w:t>
            </w:r>
            <w:r>
              <w:rPr>
                <w:rFonts w:hint="eastAsia"/>
                <w:sz w:val="18"/>
              </w:rPr>
              <w:t>5</w:t>
            </w:r>
          </w:p>
        </w:tc>
        <w:tc>
          <w:tcPr>
            <w:tcW w:w="601" w:type="pct"/>
          </w:tcPr>
          <w:p w:rsidR="00000000" w:rsidRDefault="00CA422F">
            <w:pPr>
              <w:spacing w:line="380" w:lineRule="exact"/>
              <w:jc w:val="center"/>
              <w:rPr>
                <w:rFonts w:hint="eastAsia"/>
                <w:sz w:val="18"/>
              </w:rPr>
            </w:pPr>
            <w:r>
              <w:rPr>
                <w:rFonts w:hint="eastAsia"/>
                <w:sz w:val="18"/>
              </w:rPr>
              <w:t>79</w:t>
            </w:r>
            <w:r>
              <w:rPr>
                <w:sz w:val="18"/>
              </w:rPr>
              <w:t>.</w:t>
            </w:r>
            <w:r>
              <w:rPr>
                <w:rFonts w:hint="eastAsia"/>
                <w:sz w:val="18"/>
              </w:rPr>
              <w:t>6</w:t>
            </w:r>
          </w:p>
        </w:tc>
        <w:tc>
          <w:tcPr>
            <w:tcW w:w="601" w:type="pct"/>
          </w:tcPr>
          <w:p w:rsidR="00000000" w:rsidRDefault="00CA422F">
            <w:pPr>
              <w:spacing w:line="380" w:lineRule="exact"/>
              <w:jc w:val="center"/>
              <w:rPr>
                <w:rFonts w:hint="eastAsia"/>
                <w:sz w:val="18"/>
              </w:rPr>
            </w:pPr>
            <w:r>
              <w:rPr>
                <w:rFonts w:hint="eastAsia"/>
                <w:sz w:val="18"/>
              </w:rPr>
              <w:t>77</w:t>
            </w:r>
            <w:r>
              <w:rPr>
                <w:sz w:val="18"/>
              </w:rPr>
              <w:t>.</w:t>
            </w:r>
            <w:r>
              <w:rPr>
                <w:rFonts w:hint="eastAsia"/>
                <w:sz w:val="18"/>
              </w:rPr>
              <w:t>6</w:t>
            </w:r>
          </w:p>
        </w:tc>
        <w:tc>
          <w:tcPr>
            <w:tcW w:w="601" w:type="pct"/>
          </w:tcPr>
          <w:p w:rsidR="00000000" w:rsidRDefault="00CA422F">
            <w:pPr>
              <w:spacing w:line="380" w:lineRule="exact"/>
              <w:jc w:val="center"/>
              <w:rPr>
                <w:rFonts w:hint="eastAsia"/>
                <w:sz w:val="18"/>
              </w:rPr>
            </w:pPr>
            <w:r>
              <w:rPr>
                <w:rFonts w:hint="eastAsia"/>
                <w:sz w:val="18"/>
              </w:rPr>
              <w:t>80</w:t>
            </w:r>
            <w:r>
              <w:rPr>
                <w:sz w:val="18"/>
              </w:rPr>
              <w:t>.</w:t>
            </w:r>
            <w:r>
              <w:rPr>
                <w:rFonts w:hint="eastAsia"/>
                <w:sz w:val="18"/>
              </w:rPr>
              <w:t>7</w:t>
            </w:r>
          </w:p>
        </w:tc>
        <w:tc>
          <w:tcPr>
            <w:tcW w:w="601" w:type="pct"/>
          </w:tcPr>
          <w:p w:rsidR="00000000" w:rsidRDefault="00CA422F">
            <w:pPr>
              <w:spacing w:line="380" w:lineRule="exact"/>
              <w:jc w:val="center"/>
              <w:rPr>
                <w:rFonts w:hint="eastAsia"/>
                <w:sz w:val="18"/>
              </w:rPr>
            </w:pPr>
            <w:r>
              <w:rPr>
                <w:rFonts w:hint="eastAsia"/>
                <w:sz w:val="18"/>
              </w:rPr>
              <w:t>82</w:t>
            </w:r>
            <w:r>
              <w:rPr>
                <w:sz w:val="18"/>
              </w:rPr>
              <w:t>.</w:t>
            </w:r>
            <w:r>
              <w:rPr>
                <w:rFonts w:hint="eastAsia"/>
                <w:sz w:val="18"/>
              </w:rPr>
              <w:t>0</w:t>
            </w:r>
          </w:p>
        </w:tc>
      </w:tr>
      <w:tr w:rsidR="00000000">
        <w:tblPrEx>
          <w:tblCellMar>
            <w:top w:w="0" w:type="dxa"/>
            <w:bottom w:w="0" w:type="dxa"/>
          </w:tblCellMar>
        </w:tblPrEx>
        <w:tc>
          <w:tcPr>
            <w:tcW w:w="1397" w:type="pct"/>
          </w:tcPr>
          <w:p w:rsidR="00000000" w:rsidRDefault="00CA422F">
            <w:pPr>
              <w:spacing w:line="380" w:lineRule="exact"/>
              <w:rPr>
                <w:rFonts w:hint="eastAsia"/>
                <w:sz w:val="18"/>
              </w:rPr>
            </w:pPr>
            <w:r>
              <w:rPr>
                <w:rFonts w:hint="eastAsia"/>
                <w:sz w:val="18"/>
              </w:rPr>
              <w:t>小学毕业</w:t>
            </w:r>
          </w:p>
        </w:tc>
        <w:tc>
          <w:tcPr>
            <w:tcW w:w="600" w:type="pct"/>
          </w:tcPr>
          <w:p w:rsidR="00000000" w:rsidRDefault="00CA422F">
            <w:pPr>
              <w:spacing w:line="380" w:lineRule="exact"/>
              <w:jc w:val="center"/>
              <w:rPr>
                <w:rFonts w:hint="eastAsia"/>
                <w:sz w:val="18"/>
              </w:rPr>
            </w:pPr>
            <w:r>
              <w:rPr>
                <w:rFonts w:hint="eastAsia"/>
                <w:sz w:val="18"/>
              </w:rPr>
              <w:t>77</w:t>
            </w:r>
            <w:r>
              <w:rPr>
                <w:sz w:val="18"/>
              </w:rPr>
              <w:t>.</w:t>
            </w:r>
            <w:r>
              <w:rPr>
                <w:rFonts w:hint="eastAsia"/>
                <w:sz w:val="18"/>
              </w:rPr>
              <w:t>1</w:t>
            </w:r>
          </w:p>
        </w:tc>
        <w:tc>
          <w:tcPr>
            <w:tcW w:w="601" w:type="pct"/>
          </w:tcPr>
          <w:p w:rsidR="00000000" w:rsidRDefault="00CA422F">
            <w:pPr>
              <w:spacing w:line="380" w:lineRule="exact"/>
              <w:jc w:val="center"/>
              <w:rPr>
                <w:rFonts w:hint="eastAsia"/>
                <w:sz w:val="18"/>
              </w:rPr>
            </w:pPr>
            <w:r>
              <w:rPr>
                <w:rFonts w:hint="eastAsia"/>
                <w:sz w:val="18"/>
              </w:rPr>
              <w:t>78</w:t>
            </w:r>
            <w:r>
              <w:rPr>
                <w:sz w:val="18"/>
              </w:rPr>
              <w:t>.</w:t>
            </w:r>
            <w:r>
              <w:rPr>
                <w:rFonts w:hint="eastAsia"/>
                <w:sz w:val="18"/>
              </w:rPr>
              <w:t>1</w:t>
            </w:r>
          </w:p>
        </w:tc>
        <w:tc>
          <w:tcPr>
            <w:tcW w:w="601" w:type="pct"/>
          </w:tcPr>
          <w:p w:rsidR="00000000" w:rsidRDefault="00CA422F">
            <w:pPr>
              <w:spacing w:line="380" w:lineRule="exact"/>
              <w:jc w:val="center"/>
              <w:rPr>
                <w:rFonts w:hint="eastAsia"/>
                <w:sz w:val="18"/>
              </w:rPr>
            </w:pPr>
            <w:r>
              <w:rPr>
                <w:rFonts w:hint="eastAsia"/>
                <w:sz w:val="18"/>
              </w:rPr>
              <w:t>83</w:t>
            </w:r>
            <w:r>
              <w:rPr>
                <w:sz w:val="18"/>
              </w:rPr>
              <w:t>.</w:t>
            </w:r>
            <w:r>
              <w:rPr>
                <w:rFonts w:hint="eastAsia"/>
                <w:sz w:val="18"/>
              </w:rPr>
              <w:t>5</w:t>
            </w:r>
          </w:p>
        </w:tc>
        <w:tc>
          <w:tcPr>
            <w:tcW w:w="601" w:type="pct"/>
          </w:tcPr>
          <w:p w:rsidR="00000000" w:rsidRDefault="00CA422F">
            <w:pPr>
              <w:spacing w:line="380" w:lineRule="exact"/>
              <w:jc w:val="center"/>
              <w:rPr>
                <w:rFonts w:hint="eastAsia"/>
                <w:sz w:val="18"/>
              </w:rPr>
            </w:pPr>
            <w:r>
              <w:rPr>
                <w:rFonts w:hint="eastAsia"/>
                <w:sz w:val="18"/>
              </w:rPr>
              <w:t>82</w:t>
            </w:r>
            <w:r>
              <w:rPr>
                <w:sz w:val="18"/>
              </w:rPr>
              <w:t>.</w:t>
            </w:r>
            <w:r>
              <w:rPr>
                <w:rFonts w:hint="eastAsia"/>
                <w:sz w:val="18"/>
              </w:rPr>
              <w:t>0</w:t>
            </w:r>
          </w:p>
        </w:tc>
        <w:tc>
          <w:tcPr>
            <w:tcW w:w="601" w:type="pct"/>
          </w:tcPr>
          <w:p w:rsidR="00000000" w:rsidRDefault="00CA422F">
            <w:pPr>
              <w:spacing w:line="380" w:lineRule="exact"/>
              <w:jc w:val="center"/>
              <w:rPr>
                <w:rFonts w:hint="eastAsia"/>
                <w:sz w:val="18"/>
              </w:rPr>
            </w:pPr>
            <w:r>
              <w:rPr>
                <w:rFonts w:hint="eastAsia"/>
                <w:sz w:val="18"/>
              </w:rPr>
              <w:t>81</w:t>
            </w:r>
            <w:r>
              <w:rPr>
                <w:sz w:val="18"/>
              </w:rPr>
              <w:t>.</w:t>
            </w:r>
            <w:r>
              <w:rPr>
                <w:rFonts w:hint="eastAsia"/>
                <w:sz w:val="18"/>
              </w:rPr>
              <w:t>8</w:t>
            </w:r>
          </w:p>
        </w:tc>
        <w:tc>
          <w:tcPr>
            <w:tcW w:w="601" w:type="pct"/>
          </w:tcPr>
          <w:p w:rsidR="00000000" w:rsidRDefault="00CA422F">
            <w:pPr>
              <w:spacing w:line="380" w:lineRule="exact"/>
              <w:jc w:val="center"/>
              <w:rPr>
                <w:rFonts w:hint="eastAsia"/>
                <w:sz w:val="18"/>
              </w:rPr>
            </w:pPr>
            <w:r>
              <w:rPr>
                <w:rFonts w:hint="eastAsia"/>
                <w:sz w:val="18"/>
              </w:rPr>
              <w:t>80</w:t>
            </w:r>
            <w:r>
              <w:rPr>
                <w:sz w:val="18"/>
              </w:rPr>
              <w:t>.</w:t>
            </w:r>
            <w:r>
              <w:rPr>
                <w:rFonts w:hint="eastAsia"/>
                <w:sz w:val="18"/>
              </w:rPr>
              <w:t>4</w:t>
            </w:r>
          </w:p>
        </w:tc>
      </w:tr>
      <w:tr w:rsidR="00000000">
        <w:tblPrEx>
          <w:tblCellMar>
            <w:top w:w="0" w:type="dxa"/>
            <w:bottom w:w="0" w:type="dxa"/>
          </w:tblCellMar>
        </w:tblPrEx>
        <w:tc>
          <w:tcPr>
            <w:tcW w:w="1397" w:type="pct"/>
          </w:tcPr>
          <w:p w:rsidR="00000000" w:rsidRDefault="00CA422F">
            <w:pPr>
              <w:spacing w:line="380" w:lineRule="exact"/>
              <w:rPr>
                <w:rFonts w:hint="eastAsia"/>
                <w:sz w:val="18"/>
              </w:rPr>
            </w:pPr>
            <w:r>
              <w:rPr>
                <w:rFonts w:hint="eastAsia"/>
                <w:sz w:val="18"/>
              </w:rPr>
              <w:t>中学肄业（专业中学和普通中学）</w:t>
            </w:r>
          </w:p>
        </w:tc>
        <w:tc>
          <w:tcPr>
            <w:tcW w:w="600" w:type="pct"/>
          </w:tcPr>
          <w:p w:rsidR="00000000" w:rsidRDefault="00CA422F">
            <w:pPr>
              <w:spacing w:line="380" w:lineRule="exact"/>
              <w:jc w:val="center"/>
              <w:rPr>
                <w:rFonts w:hint="eastAsia"/>
                <w:sz w:val="18"/>
              </w:rPr>
            </w:pPr>
            <w:r>
              <w:rPr>
                <w:rFonts w:hint="eastAsia"/>
                <w:sz w:val="18"/>
              </w:rPr>
              <w:t>74</w:t>
            </w:r>
            <w:r>
              <w:rPr>
                <w:sz w:val="18"/>
              </w:rPr>
              <w:t>.</w:t>
            </w:r>
            <w:r>
              <w:rPr>
                <w:rFonts w:hint="eastAsia"/>
                <w:sz w:val="18"/>
              </w:rPr>
              <w:t>4</w:t>
            </w:r>
          </w:p>
        </w:tc>
        <w:tc>
          <w:tcPr>
            <w:tcW w:w="601" w:type="pct"/>
          </w:tcPr>
          <w:p w:rsidR="00000000" w:rsidRDefault="00CA422F">
            <w:pPr>
              <w:spacing w:line="380" w:lineRule="exact"/>
              <w:jc w:val="center"/>
              <w:rPr>
                <w:rFonts w:hint="eastAsia"/>
                <w:sz w:val="18"/>
              </w:rPr>
            </w:pPr>
            <w:r>
              <w:rPr>
                <w:rFonts w:hint="eastAsia"/>
                <w:sz w:val="18"/>
              </w:rPr>
              <w:t>78</w:t>
            </w:r>
            <w:r>
              <w:rPr>
                <w:sz w:val="18"/>
              </w:rPr>
              <w:t>.</w:t>
            </w:r>
            <w:r>
              <w:rPr>
                <w:rFonts w:hint="eastAsia"/>
                <w:sz w:val="18"/>
              </w:rPr>
              <w:t>8</w:t>
            </w:r>
          </w:p>
        </w:tc>
        <w:tc>
          <w:tcPr>
            <w:tcW w:w="601" w:type="pct"/>
          </w:tcPr>
          <w:p w:rsidR="00000000" w:rsidRDefault="00CA422F">
            <w:pPr>
              <w:spacing w:line="380" w:lineRule="exact"/>
              <w:jc w:val="center"/>
              <w:rPr>
                <w:rFonts w:hint="eastAsia"/>
                <w:sz w:val="18"/>
              </w:rPr>
            </w:pPr>
            <w:r>
              <w:rPr>
                <w:rFonts w:hint="eastAsia"/>
                <w:sz w:val="18"/>
              </w:rPr>
              <w:t>86</w:t>
            </w:r>
            <w:r>
              <w:rPr>
                <w:sz w:val="18"/>
              </w:rPr>
              <w:t>.</w:t>
            </w:r>
            <w:r>
              <w:rPr>
                <w:rFonts w:hint="eastAsia"/>
                <w:sz w:val="18"/>
              </w:rPr>
              <w:t>1</w:t>
            </w:r>
          </w:p>
        </w:tc>
        <w:tc>
          <w:tcPr>
            <w:tcW w:w="601" w:type="pct"/>
          </w:tcPr>
          <w:p w:rsidR="00000000" w:rsidRDefault="00CA422F">
            <w:pPr>
              <w:spacing w:line="380" w:lineRule="exact"/>
              <w:jc w:val="center"/>
              <w:rPr>
                <w:rFonts w:hint="eastAsia"/>
                <w:sz w:val="18"/>
              </w:rPr>
            </w:pPr>
            <w:r>
              <w:rPr>
                <w:rFonts w:hint="eastAsia"/>
                <w:sz w:val="18"/>
              </w:rPr>
              <w:t>87</w:t>
            </w:r>
            <w:r>
              <w:rPr>
                <w:sz w:val="18"/>
              </w:rPr>
              <w:t>.</w:t>
            </w:r>
            <w:r>
              <w:rPr>
                <w:rFonts w:hint="eastAsia"/>
                <w:sz w:val="18"/>
              </w:rPr>
              <w:t>8</w:t>
            </w:r>
          </w:p>
        </w:tc>
        <w:tc>
          <w:tcPr>
            <w:tcW w:w="601" w:type="pct"/>
          </w:tcPr>
          <w:p w:rsidR="00000000" w:rsidRDefault="00CA422F">
            <w:pPr>
              <w:spacing w:line="380" w:lineRule="exact"/>
              <w:jc w:val="center"/>
              <w:rPr>
                <w:rFonts w:hint="eastAsia"/>
                <w:sz w:val="18"/>
              </w:rPr>
            </w:pPr>
            <w:r>
              <w:rPr>
                <w:rFonts w:hint="eastAsia"/>
                <w:sz w:val="18"/>
              </w:rPr>
              <w:t>87</w:t>
            </w:r>
            <w:r>
              <w:rPr>
                <w:sz w:val="18"/>
              </w:rPr>
              <w:t>.</w:t>
            </w:r>
            <w:r>
              <w:rPr>
                <w:rFonts w:hint="eastAsia"/>
                <w:sz w:val="18"/>
              </w:rPr>
              <w:t>2</w:t>
            </w:r>
          </w:p>
        </w:tc>
        <w:tc>
          <w:tcPr>
            <w:tcW w:w="601" w:type="pct"/>
          </w:tcPr>
          <w:p w:rsidR="00000000" w:rsidRDefault="00CA422F">
            <w:pPr>
              <w:spacing w:line="380" w:lineRule="exact"/>
              <w:jc w:val="center"/>
              <w:rPr>
                <w:rFonts w:hint="eastAsia"/>
                <w:sz w:val="18"/>
              </w:rPr>
            </w:pPr>
            <w:r>
              <w:rPr>
                <w:rFonts w:hint="eastAsia"/>
                <w:sz w:val="18"/>
              </w:rPr>
              <w:t>81</w:t>
            </w:r>
            <w:r>
              <w:rPr>
                <w:sz w:val="18"/>
              </w:rPr>
              <w:t>.</w:t>
            </w:r>
            <w:r>
              <w:rPr>
                <w:rFonts w:hint="eastAsia"/>
                <w:sz w:val="18"/>
              </w:rPr>
              <w:t>6</w:t>
            </w:r>
          </w:p>
        </w:tc>
      </w:tr>
      <w:tr w:rsidR="00000000">
        <w:tblPrEx>
          <w:tblCellMar>
            <w:top w:w="0" w:type="dxa"/>
            <w:bottom w:w="0" w:type="dxa"/>
          </w:tblCellMar>
        </w:tblPrEx>
        <w:tc>
          <w:tcPr>
            <w:tcW w:w="1397" w:type="pct"/>
          </w:tcPr>
          <w:p w:rsidR="00000000" w:rsidRDefault="00CA422F">
            <w:pPr>
              <w:spacing w:line="380" w:lineRule="exact"/>
              <w:rPr>
                <w:rFonts w:hint="eastAsia"/>
                <w:sz w:val="18"/>
              </w:rPr>
            </w:pPr>
            <w:r>
              <w:rPr>
                <w:rFonts w:hint="eastAsia"/>
                <w:sz w:val="18"/>
              </w:rPr>
              <w:t>普通中学毕业</w:t>
            </w:r>
          </w:p>
        </w:tc>
        <w:tc>
          <w:tcPr>
            <w:tcW w:w="600" w:type="pct"/>
          </w:tcPr>
          <w:p w:rsidR="00000000" w:rsidRDefault="00CA422F">
            <w:pPr>
              <w:spacing w:line="380" w:lineRule="exact"/>
              <w:jc w:val="center"/>
              <w:rPr>
                <w:rFonts w:hint="eastAsia"/>
                <w:sz w:val="18"/>
              </w:rPr>
            </w:pPr>
            <w:r>
              <w:rPr>
                <w:rFonts w:hint="eastAsia"/>
                <w:sz w:val="18"/>
              </w:rPr>
              <w:t>85</w:t>
            </w:r>
            <w:r>
              <w:rPr>
                <w:sz w:val="18"/>
              </w:rPr>
              <w:t>.</w:t>
            </w:r>
            <w:r>
              <w:rPr>
                <w:rFonts w:hint="eastAsia"/>
                <w:sz w:val="18"/>
              </w:rPr>
              <w:t>6</w:t>
            </w:r>
          </w:p>
        </w:tc>
        <w:tc>
          <w:tcPr>
            <w:tcW w:w="601" w:type="pct"/>
          </w:tcPr>
          <w:p w:rsidR="00000000" w:rsidRDefault="00CA422F">
            <w:pPr>
              <w:spacing w:line="380" w:lineRule="exact"/>
              <w:jc w:val="center"/>
              <w:rPr>
                <w:rFonts w:hint="eastAsia"/>
                <w:sz w:val="18"/>
              </w:rPr>
            </w:pPr>
            <w:r>
              <w:rPr>
                <w:rFonts w:hint="eastAsia"/>
                <w:sz w:val="18"/>
              </w:rPr>
              <w:t>85</w:t>
            </w:r>
            <w:r>
              <w:rPr>
                <w:sz w:val="18"/>
              </w:rPr>
              <w:t>.</w:t>
            </w:r>
            <w:r>
              <w:rPr>
                <w:rFonts w:hint="eastAsia"/>
                <w:sz w:val="18"/>
              </w:rPr>
              <w:t>1</w:t>
            </w:r>
          </w:p>
        </w:tc>
        <w:tc>
          <w:tcPr>
            <w:tcW w:w="601" w:type="pct"/>
          </w:tcPr>
          <w:p w:rsidR="00000000" w:rsidRDefault="00CA422F">
            <w:pPr>
              <w:spacing w:line="380" w:lineRule="exact"/>
              <w:jc w:val="center"/>
              <w:rPr>
                <w:rFonts w:hint="eastAsia"/>
                <w:sz w:val="18"/>
              </w:rPr>
            </w:pPr>
            <w:r>
              <w:rPr>
                <w:rFonts w:hint="eastAsia"/>
                <w:sz w:val="18"/>
              </w:rPr>
              <w:t>81</w:t>
            </w:r>
            <w:r>
              <w:rPr>
                <w:sz w:val="18"/>
              </w:rPr>
              <w:t>.</w:t>
            </w:r>
            <w:r>
              <w:rPr>
                <w:rFonts w:hint="eastAsia"/>
                <w:sz w:val="18"/>
              </w:rPr>
              <w:t>8</w:t>
            </w:r>
          </w:p>
        </w:tc>
        <w:tc>
          <w:tcPr>
            <w:tcW w:w="601" w:type="pct"/>
          </w:tcPr>
          <w:p w:rsidR="00000000" w:rsidRDefault="00CA422F">
            <w:pPr>
              <w:spacing w:line="380" w:lineRule="exact"/>
              <w:jc w:val="center"/>
              <w:rPr>
                <w:rFonts w:hint="eastAsia"/>
                <w:sz w:val="18"/>
              </w:rPr>
            </w:pPr>
            <w:r>
              <w:rPr>
                <w:rFonts w:hint="eastAsia"/>
                <w:sz w:val="18"/>
              </w:rPr>
              <w:t>89</w:t>
            </w:r>
            <w:r>
              <w:rPr>
                <w:sz w:val="18"/>
              </w:rPr>
              <w:t>.</w:t>
            </w:r>
            <w:r>
              <w:rPr>
                <w:rFonts w:hint="eastAsia"/>
                <w:sz w:val="18"/>
              </w:rPr>
              <w:t>4</w:t>
            </w:r>
          </w:p>
        </w:tc>
        <w:tc>
          <w:tcPr>
            <w:tcW w:w="601" w:type="pct"/>
          </w:tcPr>
          <w:p w:rsidR="00000000" w:rsidRDefault="00CA422F">
            <w:pPr>
              <w:spacing w:line="380" w:lineRule="exact"/>
              <w:jc w:val="center"/>
              <w:rPr>
                <w:rFonts w:hint="eastAsia"/>
                <w:sz w:val="18"/>
              </w:rPr>
            </w:pPr>
            <w:r>
              <w:rPr>
                <w:rFonts w:hint="eastAsia"/>
                <w:sz w:val="18"/>
              </w:rPr>
              <w:t>87</w:t>
            </w:r>
            <w:r>
              <w:rPr>
                <w:sz w:val="18"/>
              </w:rPr>
              <w:t>.</w:t>
            </w:r>
            <w:r>
              <w:rPr>
                <w:rFonts w:hint="eastAsia"/>
                <w:sz w:val="18"/>
              </w:rPr>
              <w:t>8</w:t>
            </w:r>
          </w:p>
        </w:tc>
        <w:tc>
          <w:tcPr>
            <w:tcW w:w="601" w:type="pct"/>
          </w:tcPr>
          <w:p w:rsidR="00000000" w:rsidRDefault="00CA422F">
            <w:pPr>
              <w:spacing w:line="380" w:lineRule="exact"/>
              <w:jc w:val="center"/>
              <w:rPr>
                <w:rFonts w:hint="eastAsia"/>
                <w:sz w:val="18"/>
              </w:rPr>
            </w:pPr>
            <w:r>
              <w:rPr>
                <w:rFonts w:hint="eastAsia"/>
                <w:sz w:val="18"/>
              </w:rPr>
              <w:t>78</w:t>
            </w:r>
            <w:r>
              <w:rPr>
                <w:sz w:val="18"/>
              </w:rPr>
              <w:t>.</w:t>
            </w:r>
            <w:r>
              <w:rPr>
                <w:rFonts w:hint="eastAsia"/>
                <w:sz w:val="18"/>
              </w:rPr>
              <w:t>4</w:t>
            </w:r>
          </w:p>
        </w:tc>
      </w:tr>
      <w:tr w:rsidR="00000000">
        <w:tblPrEx>
          <w:tblCellMar>
            <w:top w:w="0" w:type="dxa"/>
            <w:bottom w:w="0" w:type="dxa"/>
          </w:tblCellMar>
        </w:tblPrEx>
        <w:tc>
          <w:tcPr>
            <w:tcW w:w="1397" w:type="pct"/>
          </w:tcPr>
          <w:p w:rsidR="00000000" w:rsidRDefault="00CA422F">
            <w:pPr>
              <w:spacing w:line="380" w:lineRule="exact"/>
              <w:rPr>
                <w:rFonts w:hint="eastAsia"/>
                <w:sz w:val="18"/>
              </w:rPr>
            </w:pPr>
            <w:r>
              <w:rPr>
                <w:rFonts w:hint="eastAsia"/>
                <w:sz w:val="18"/>
              </w:rPr>
              <w:t>专业中学毕业</w:t>
            </w:r>
          </w:p>
        </w:tc>
        <w:tc>
          <w:tcPr>
            <w:tcW w:w="600" w:type="pct"/>
          </w:tcPr>
          <w:p w:rsidR="00000000" w:rsidRDefault="00CA422F">
            <w:pPr>
              <w:spacing w:line="380" w:lineRule="exact"/>
              <w:jc w:val="center"/>
              <w:rPr>
                <w:rFonts w:hint="eastAsia"/>
                <w:sz w:val="18"/>
              </w:rPr>
            </w:pPr>
            <w:r>
              <w:rPr>
                <w:rFonts w:hint="eastAsia"/>
                <w:sz w:val="18"/>
              </w:rPr>
              <w:t>91</w:t>
            </w:r>
            <w:r>
              <w:rPr>
                <w:sz w:val="18"/>
              </w:rPr>
              <w:t>.</w:t>
            </w:r>
            <w:r>
              <w:rPr>
                <w:rFonts w:hint="eastAsia"/>
                <w:sz w:val="18"/>
              </w:rPr>
              <w:t>0</w:t>
            </w:r>
          </w:p>
        </w:tc>
        <w:tc>
          <w:tcPr>
            <w:tcW w:w="601" w:type="pct"/>
          </w:tcPr>
          <w:p w:rsidR="00000000" w:rsidRDefault="00CA422F">
            <w:pPr>
              <w:spacing w:line="380" w:lineRule="exact"/>
              <w:jc w:val="center"/>
              <w:rPr>
                <w:rFonts w:hint="eastAsia"/>
                <w:sz w:val="18"/>
              </w:rPr>
            </w:pPr>
            <w:r>
              <w:rPr>
                <w:rFonts w:hint="eastAsia"/>
                <w:sz w:val="18"/>
              </w:rPr>
              <w:t>82</w:t>
            </w:r>
            <w:r>
              <w:rPr>
                <w:sz w:val="18"/>
              </w:rPr>
              <w:t>.</w:t>
            </w:r>
            <w:r>
              <w:rPr>
                <w:rFonts w:hint="eastAsia"/>
                <w:sz w:val="18"/>
              </w:rPr>
              <w:t>5</w:t>
            </w:r>
          </w:p>
        </w:tc>
        <w:tc>
          <w:tcPr>
            <w:tcW w:w="601" w:type="pct"/>
          </w:tcPr>
          <w:p w:rsidR="00000000" w:rsidRDefault="00CA422F">
            <w:pPr>
              <w:spacing w:line="380" w:lineRule="exact"/>
              <w:jc w:val="center"/>
              <w:rPr>
                <w:rFonts w:hint="eastAsia"/>
                <w:sz w:val="18"/>
              </w:rPr>
            </w:pPr>
            <w:r>
              <w:rPr>
                <w:rFonts w:hint="eastAsia"/>
                <w:sz w:val="18"/>
              </w:rPr>
              <w:t>91</w:t>
            </w:r>
            <w:r>
              <w:rPr>
                <w:sz w:val="18"/>
              </w:rPr>
              <w:t>.</w:t>
            </w:r>
            <w:r>
              <w:rPr>
                <w:rFonts w:hint="eastAsia"/>
                <w:sz w:val="18"/>
              </w:rPr>
              <w:t>8</w:t>
            </w:r>
          </w:p>
        </w:tc>
        <w:tc>
          <w:tcPr>
            <w:tcW w:w="601" w:type="pct"/>
          </w:tcPr>
          <w:p w:rsidR="00000000" w:rsidRDefault="00CA422F">
            <w:pPr>
              <w:spacing w:line="380" w:lineRule="exact"/>
              <w:jc w:val="center"/>
              <w:rPr>
                <w:rFonts w:hint="eastAsia"/>
                <w:sz w:val="18"/>
              </w:rPr>
            </w:pPr>
            <w:r>
              <w:rPr>
                <w:rFonts w:hint="eastAsia"/>
                <w:sz w:val="18"/>
              </w:rPr>
              <w:t>107</w:t>
            </w:r>
            <w:r>
              <w:rPr>
                <w:sz w:val="18"/>
              </w:rPr>
              <w:t>.</w:t>
            </w:r>
            <w:r>
              <w:rPr>
                <w:rFonts w:hint="eastAsia"/>
                <w:sz w:val="18"/>
              </w:rPr>
              <w:t>7</w:t>
            </w:r>
          </w:p>
        </w:tc>
        <w:tc>
          <w:tcPr>
            <w:tcW w:w="601" w:type="pct"/>
          </w:tcPr>
          <w:p w:rsidR="00000000" w:rsidRDefault="00CA422F">
            <w:pPr>
              <w:spacing w:line="380" w:lineRule="exact"/>
              <w:jc w:val="center"/>
              <w:rPr>
                <w:rFonts w:hint="eastAsia"/>
                <w:sz w:val="18"/>
              </w:rPr>
            </w:pPr>
            <w:r>
              <w:rPr>
                <w:rFonts w:hint="eastAsia"/>
                <w:sz w:val="18"/>
              </w:rPr>
              <w:t>100</w:t>
            </w:r>
            <w:r>
              <w:rPr>
                <w:sz w:val="18"/>
              </w:rPr>
              <w:t>.</w:t>
            </w:r>
            <w:r>
              <w:rPr>
                <w:rFonts w:hint="eastAsia"/>
                <w:sz w:val="18"/>
              </w:rPr>
              <w:t>0</w:t>
            </w:r>
          </w:p>
        </w:tc>
        <w:tc>
          <w:tcPr>
            <w:tcW w:w="601" w:type="pct"/>
          </w:tcPr>
          <w:p w:rsidR="00000000" w:rsidRDefault="00CA422F">
            <w:pPr>
              <w:spacing w:line="380" w:lineRule="exact"/>
              <w:jc w:val="center"/>
              <w:rPr>
                <w:rFonts w:hint="eastAsia"/>
                <w:sz w:val="18"/>
              </w:rPr>
            </w:pPr>
            <w:r>
              <w:rPr>
                <w:rFonts w:hint="eastAsia"/>
                <w:sz w:val="18"/>
              </w:rPr>
              <w:t>87</w:t>
            </w:r>
            <w:r>
              <w:rPr>
                <w:sz w:val="18"/>
              </w:rPr>
              <w:t>.</w:t>
            </w:r>
            <w:r>
              <w:rPr>
                <w:rFonts w:hint="eastAsia"/>
                <w:sz w:val="18"/>
              </w:rPr>
              <w:t>4</w:t>
            </w:r>
          </w:p>
        </w:tc>
      </w:tr>
      <w:tr w:rsidR="00000000">
        <w:tblPrEx>
          <w:tblCellMar>
            <w:top w:w="0" w:type="dxa"/>
            <w:bottom w:w="0" w:type="dxa"/>
          </w:tblCellMar>
        </w:tblPrEx>
        <w:tc>
          <w:tcPr>
            <w:tcW w:w="1397" w:type="pct"/>
          </w:tcPr>
          <w:p w:rsidR="00000000" w:rsidRDefault="00CA422F">
            <w:pPr>
              <w:spacing w:line="380" w:lineRule="exact"/>
              <w:rPr>
                <w:rFonts w:hint="eastAsia"/>
                <w:sz w:val="18"/>
              </w:rPr>
            </w:pPr>
            <w:r>
              <w:rPr>
                <w:rFonts w:hint="eastAsia"/>
                <w:sz w:val="18"/>
              </w:rPr>
              <w:t>大学预科</w:t>
            </w:r>
          </w:p>
        </w:tc>
        <w:tc>
          <w:tcPr>
            <w:tcW w:w="600" w:type="pct"/>
          </w:tcPr>
          <w:p w:rsidR="00000000" w:rsidRDefault="00CA422F">
            <w:pPr>
              <w:spacing w:line="380" w:lineRule="exact"/>
              <w:jc w:val="center"/>
              <w:rPr>
                <w:rFonts w:hint="eastAsia"/>
                <w:sz w:val="18"/>
              </w:rPr>
            </w:pPr>
            <w:r>
              <w:rPr>
                <w:rFonts w:hint="eastAsia"/>
                <w:sz w:val="18"/>
              </w:rPr>
              <w:t>91</w:t>
            </w:r>
            <w:r>
              <w:rPr>
                <w:sz w:val="18"/>
              </w:rPr>
              <w:t>.</w:t>
            </w:r>
            <w:r>
              <w:rPr>
                <w:rFonts w:hint="eastAsia"/>
                <w:sz w:val="18"/>
              </w:rPr>
              <w:t>2</w:t>
            </w:r>
          </w:p>
        </w:tc>
        <w:tc>
          <w:tcPr>
            <w:tcW w:w="601" w:type="pct"/>
          </w:tcPr>
          <w:p w:rsidR="00000000" w:rsidRDefault="00CA422F">
            <w:pPr>
              <w:spacing w:line="380" w:lineRule="exact"/>
              <w:jc w:val="center"/>
              <w:rPr>
                <w:rFonts w:hint="eastAsia"/>
                <w:sz w:val="18"/>
              </w:rPr>
            </w:pPr>
            <w:r>
              <w:rPr>
                <w:rFonts w:hint="eastAsia"/>
                <w:sz w:val="18"/>
              </w:rPr>
              <w:t>84</w:t>
            </w:r>
            <w:r>
              <w:rPr>
                <w:sz w:val="18"/>
              </w:rPr>
              <w:t>.</w:t>
            </w:r>
            <w:r>
              <w:rPr>
                <w:rFonts w:hint="eastAsia"/>
                <w:sz w:val="18"/>
              </w:rPr>
              <w:t>6</w:t>
            </w:r>
          </w:p>
        </w:tc>
        <w:tc>
          <w:tcPr>
            <w:tcW w:w="601" w:type="pct"/>
          </w:tcPr>
          <w:p w:rsidR="00000000" w:rsidRDefault="00CA422F">
            <w:pPr>
              <w:spacing w:line="380" w:lineRule="exact"/>
              <w:jc w:val="center"/>
              <w:rPr>
                <w:rFonts w:hint="eastAsia"/>
                <w:sz w:val="18"/>
              </w:rPr>
            </w:pPr>
            <w:r>
              <w:rPr>
                <w:rFonts w:hint="eastAsia"/>
                <w:sz w:val="18"/>
              </w:rPr>
              <w:t>64</w:t>
            </w:r>
            <w:r>
              <w:rPr>
                <w:sz w:val="18"/>
              </w:rPr>
              <w:t>.</w:t>
            </w:r>
            <w:r>
              <w:rPr>
                <w:rFonts w:hint="eastAsia"/>
                <w:sz w:val="18"/>
              </w:rPr>
              <w:t>9</w:t>
            </w:r>
          </w:p>
        </w:tc>
        <w:tc>
          <w:tcPr>
            <w:tcW w:w="601" w:type="pct"/>
          </w:tcPr>
          <w:p w:rsidR="00000000" w:rsidRDefault="00CA422F">
            <w:pPr>
              <w:spacing w:line="380" w:lineRule="exact"/>
              <w:jc w:val="center"/>
              <w:rPr>
                <w:rFonts w:hint="eastAsia"/>
                <w:sz w:val="18"/>
              </w:rPr>
            </w:pPr>
            <w:r>
              <w:rPr>
                <w:rFonts w:hint="eastAsia"/>
                <w:sz w:val="18"/>
              </w:rPr>
              <w:t>97</w:t>
            </w:r>
            <w:r>
              <w:rPr>
                <w:sz w:val="18"/>
              </w:rPr>
              <w:t>.</w:t>
            </w:r>
            <w:r>
              <w:rPr>
                <w:rFonts w:hint="eastAsia"/>
                <w:sz w:val="18"/>
              </w:rPr>
              <w:t>4</w:t>
            </w:r>
          </w:p>
        </w:tc>
        <w:tc>
          <w:tcPr>
            <w:tcW w:w="601" w:type="pct"/>
          </w:tcPr>
          <w:p w:rsidR="00000000" w:rsidRDefault="00CA422F">
            <w:pPr>
              <w:spacing w:line="380" w:lineRule="exact"/>
              <w:jc w:val="center"/>
              <w:rPr>
                <w:rFonts w:hint="eastAsia"/>
                <w:sz w:val="18"/>
              </w:rPr>
            </w:pPr>
            <w:r>
              <w:rPr>
                <w:rFonts w:hint="eastAsia"/>
                <w:sz w:val="18"/>
              </w:rPr>
              <w:t>86</w:t>
            </w:r>
            <w:r>
              <w:rPr>
                <w:sz w:val="18"/>
              </w:rPr>
              <w:t>.</w:t>
            </w:r>
            <w:r>
              <w:rPr>
                <w:rFonts w:hint="eastAsia"/>
                <w:sz w:val="18"/>
              </w:rPr>
              <w:t>6</w:t>
            </w:r>
          </w:p>
        </w:tc>
        <w:tc>
          <w:tcPr>
            <w:tcW w:w="601" w:type="pct"/>
          </w:tcPr>
          <w:p w:rsidR="00000000" w:rsidRDefault="00CA422F">
            <w:pPr>
              <w:spacing w:line="380" w:lineRule="exact"/>
              <w:jc w:val="center"/>
              <w:rPr>
                <w:rFonts w:hint="eastAsia"/>
                <w:sz w:val="18"/>
              </w:rPr>
            </w:pPr>
            <w:r>
              <w:rPr>
                <w:rFonts w:hint="eastAsia"/>
                <w:sz w:val="18"/>
              </w:rPr>
              <w:t>77</w:t>
            </w:r>
            <w:r>
              <w:rPr>
                <w:sz w:val="18"/>
              </w:rPr>
              <w:t>.</w:t>
            </w:r>
            <w:r>
              <w:rPr>
                <w:rFonts w:hint="eastAsia"/>
                <w:sz w:val="18"/>
              </w:rPr>
              <w:t>1</w:t>
            </w:r>
          </w:p>
        </w:tc>
      </w:tr>
      <w:tr w:rsidR="00000000">
        <w:tblPrEx>
          <w:tblCellMar>
            <w:top w:w="0" w:type="dxa"/>
            <w:bottom w:w="0" w:type="dxa"/>
          </w:tblCellMar>
        </w:tblPrEx>
        <w:tc>
          <w:tcPr>
            <w:tcW w:w="1397" w:type="pct"/>
          </w:tcPr>
          <w:p w:rsidR="00000000" w:rsidRDefault="00CA422F">
            <w:pPr>
              <w:spacing w:line="380" w:lineRule="exact"/>
              <w:rPr>
                <w:rFonts w:hint="eastAsia"/>
                <w:sz w:val="18"/>
              </w:rPr>
            </w:pPr>
            <w:r>
              <w:rPr>
                <w:rFonts w:hint="eastAsia"/>
                <w:sz w:val="18"/>
              </w:rPr>
              <w:t>大学</w:t>
            </w:r>
          </w:p>
        </w:tc>
        <w:tc>
          <w:tcPr>
            <w:tcW w:w="600" w:type="pct"/>
          </w:tcPr>
          <w:p w:rsidR="00000000" w:rsidRDefault="00CA422F">
            <w:pPr>
              <w:spacing w:line="380" w:lineRule="exact"/>
              <w:jc w:val="center"/>
              <w:rPr>
                <w:rFonts w:hint="eastAsia"/>
                <w:sz w:val="18"/>
              </w:rPr>
            </w:pPr>
            <w:r>
              <w:rPr>
                <w:rFonts w:hint="eastAsia"/>
                <w:sz w:val="18"/>
              </w:rPr>
              <w:t>76</w:t>
            </w:r>
            <w:r>
              <w:rPr>
                <w:sz w:val="18"/>
              </w:rPr>
              <w:t>.</w:t>
            </w:r>
            <w:r>
              <w:rPr>
                <w:rFonts w:hint="eastAsia"/>
                <w:sz w:val="18"/>
              </w:rPr>
              <w:t>4</w:t>
            </w:r>
          </w:p>
        </w:tc>
        <w:tc>
          <w:tcPr>
            <w:tcW w:w="601" w:type="pct"/>
          </w:tcPr>
          <w:p w:rsidR="00000000" w:rsidRDefault="00CA422F">
            <w:pPr>
              <w:spacing w:line="380" w:lineRule="exact"/>
              <w:jc w:val="center"/>
              <w:rPr>
                <w:rFonts w:hint="eastAsia"/>
                <w:sz w:val="18"/>
              </w:rPr>
            </w:pPr>
            <w:r>
              <w:rPr>
                <w:rFonts w:hint="eastAsia"/>
                <w:sz w:val="18"/>
              </w:rPr>
              <w:t>84</w:t>
            </w:r>
            <w:r>
              <w:rPr>
                <w:sz w:val="18"/>
              </w:rPr>
              <w:t>.</w:t>
            </w:r>
            <w:r>
              <w:rPr>
                <w:rFonts w:hint="eastAsia"/>
                <w:sz w:val="18"/>
              </w:rPr>
              <w:t>5</w:t>
            </w:r>
          </w:p>
        </w:tc>
        <w:tc>
          <w:tcPr>
            <w:tcW w:w="601" w:type="pct"/>
          </w:tcPr>
          <w:p w:rsidR="00000000" w:rsidRDefault="00CA422F">
            <w:pPr>
              <w:spacing w:line="380" w:lineRule="exact"/>
              <w:jc w:val="center"/>
              <w:rPr>
                <w:rFonts w:hint="eastAsia"/>
                <w:sz w:val="18"/>
              </w:rPr>
            </w:pPr>
            <w:r>
              <w:rPr>
                <w:rFonts w:hint="eastAsia"/>
                <w:sz w:val="18"/>
              </w:rPr>
              <w:t>81</w:t>
            </w:r>
            <w:r>
              <w:rPr>
                <w:sz w:val="18"/>
              </w:rPr>
              <w:t>.</w:t>
            </w:r>
            <w:r>
              <w:rPr>
                <w:rFonts w:hint="eastAsia"/>
                <w:sz w:val="18"/>
              </w:rPr>
              <w:t>4</w:t>
            </w:r>
          </w:p>
        </w:tc>
        <w:tc>
          <w:tcPr>
            <w:tcW w:w="601" w:type="pct"/>
          </w:tcPr>
          <w:p w:rsidR="00000000" w:rsidRDefault="00CA422F">
            <w:pPr>
              <w:spacing w:line="380" w:lineRule="exact"/>
              <w:jc w:val="center"/>
              <w:rPr>
                <w:rFonts w:hint="eastAsia"/>
                <w:sz w:val="18"/>
              </w:rPr>
            </w:pPr>
            <w:r>
              <w:rPr>
                <w:rFonts w:hint="eastAsia"/>
                <w:sz w:val="18"/>
              </w:rPr>
              <w:t>91</w:t>
            </w:r>
            <w:r>
              <w:rPr>
                <w:sz w:val="18"/>
              </w:rPr>
              <w:t>.</w:t>
            </w:r>
            <w:r>
              <w:rPr>
                <w:rFonts w:hint="eastAsia"/>
                <w:sz w:val="18"/>
              </w:rPr>
              <w:t>7</w:t>
            </w:r>
          </w:p>
        </w:tc>
        <w:tc>
          <w:tcPr>
            <w:tcW w:w="601" w:type="pct"/>
          </w:tcPr>
          <w:p w:rsidR="00000000" w:rsidRDefault="00CA422F">
            <w:pPr>
              <w:spacing w:line="380" w:lineRule="exact"/>
              <w:jc w:val="center"/>
              <w:rPr>
                <w:rFonts w:hint="eastAsia"/>
                <w:sz w:val="18"/>
              </w:rPr>
            </w:pPr>
            <w:r>
              <w:rPr>
                <w:rFonts w:hint="eastAsia"/>
                <w:sz w:val="18"/>
              </w:rPr>
              <w:t>91</w:t>
            </w:r>
            <w:r>
              <w:rPr>
                <w:sz w:val="18"/>
              </w:rPr>
              <w:t>.</w:t>
            </w:r>
            <w:r>
              <w:rPr>
                <w:rFonts w:hint="eastAsia"/>
                <w:sz w:val="18"/>
              </w:rPr>
              <w:t>3</w:t>
            </w:r>
          </w:p>
        </w:tc>
        <w:tc>
          <w:tcPr>
            <w:tcW w:w="601" w:type="pct"/>
          </w:tcPr>
          <w:p w:rsidR="00000000" w:rsidRDefault="00CA422F">
            <w:pPr>
              <w:spacing w:line="380" w:lineRule="exact"/>
              <w:jc w:val="center"/>
              <w:rPr>
                <w:rFonts w:hint="eastAsia"/>
                <w:sz w:val="18"/>
              </w:rPr>
            </w:pPr>
            <w:r>
              <w:rPr>
                <w:rFonts w:hint="eastAsia"/>
                <w:sz w:val="18"/>
              </w:rPr>
              <w:t>85</w:t>
            </w:r>
            <w:r>
              <w:rPr>
                <w:sz w:val="18"/>
              </w:rPr>
              <w:t>.</w:t>
            </w:r>
            <w:r>
              <w:rPr>
                <w:rFonts w:hint="eastAsia"/>
                <w:sz w:val="18"/>
              </w:rPr>
              <w:t>4</w:t>
            </w:r>
          </w:p>
        </w:tc>
      </w:tr>
    </w:tbl>
    <w:p w:rsidR="00000000" w:rsidRDefault="00CA422F">
      <w:pPr>
        <w:spacing w:after="240" w:line="360" w:lineRule="exact"/>
        <w:rPr>
          <w:rFonts w:hint="eastAsia"/>
          <w:sz w:val="18"/>
        </w:rPr>
      </w:pPr>
      <w:r>
        <w:rPr>
          <w:rFonts w:hint="eastAsia"/>
          <w:sz w:val="18"/>
        </w:rPr>
        <w:t>资料来源：哥斯达黎加人口与统计总局</w:t>
      </w:r>
      <w:r>
        <w:rPr>
          <w:rFonts w:ascii="SimSun" w:hAnsi="SimSun" w:hint="eastAsia"/>
          <w:sz w:val="18"/>
        </w:rPr>
        <w:t>-</w:t>
      </w:r>
      <w:r>
        <w:rPr>
          <w:rFonts w:hint="eastAsia"/>
          <w:sz w:val="18"/>
        </w:rPr>
        <w:t>劳动及社会保障部，有关家庭和多种因素调查。相关年份。</w:t>
      </w:r>
    </w:p>
    <w:p w:rsidR="00000000" w:rsidRDefault="00CA422F">
      <w:pPr>
        <w:pStyle w:val="Date"/>
        <w:spacing w:after="240" w:line="360" w:lineRule="exact"/>
        <w:rPr>
          <w:rFonts w:hint="eastAsia"/>
        </w:rPr>
      </w:pPr>
    </w:p>
    <w:p w:rsidR="00000000" w:rsidRDefault="00CA422F">
      <w:pPr>
        <w:spacing w:after="240" w:line="360" w:lineRule="exact"/>
        <w:rPr>
          <w:rFonts w:hint="eastAsia"/>
        </w:rPr>
      </w:pPr>
      <w:r>
        <w:rPr>
          <w:rFonts w:hint="eastAsia"/>
        </w:rPr>
        <w:t>352</w:t>
      </w:r>
      <w:r>
        <w:rPr>
          <w:rFonts w:hint="eastAsia"/>
        </w:rPr>
        <w:t>．女性在学业上取得的优良成绩并没有帮助她们接近同等教育程度的男性每小时的平均工资，但确实帮助她们缩小了工资差距。在大学中，女性占男性工资之比</w:t>
      </w:r>
      <w:r>
        <w:rPr>
          <w:rFonts w:hint="eastAsia"/>
        </w:rPr>
        <w:t>1999</w:t>
      </w:r>
      <w:r>
        <w:rPr>
          <w:rFonts w:hint="eastAsia"/>
        </w:rPr>
        <w:t>年为</w:t>
      </w:r>
      <w:r>
        <w:rPr>
          <w:rFonts w:hint="eastAsia"/>
        </w:rPr>
        <w:t>85</w:t>
      </w:r>
      <w:r>
        <w:rPr>
          <w:rFonts w:hint="eastAsia"/>
        </w:rPr>
        <w:t>％、而</w:t>
      </w:r>
      <w:r>
        <w:rPr>
          <w:rFonts w:hint="eastAsia"/>
        </w:rPr>
        <w:t>1990</w:t>
      </w:r>
      <w:r>
        <w:rPr>
          <w:rFonts w:hint="eastAsia"/>
        </w:rPr>
        <w:t>年只有</w:t>
      </w:r>
      <w:r>
        <w:rPr>
          <w:rFonts w:hint="eastAsia"/>
        </w:rPr>
        <w:t>76</w:t>
      </w:r>
      <w:r>
        <w:rPr>
          <w:rFonts w:hint="eastAsia"/>
        </w:rPr>
        <w:t>％。此外，还应该指出</w:t>
      </w:r>
      <w:r>
        <w:rPr>
          <w:rFonts w:hint="eastAsia"/>
        </w:rPr>
        <w:t>1997</w:t>
      </w:r>
      <w:r>
        <w:rPr>
          <w:rFonts w:hint="eastAsia"/>
        </w:rPr>
        <w:t>年和</w:t>
      </w:r>
      <w:r>
        <w:rPr>
          <w:rFonts w:hint="eastAsia"/>
        </w:rPr>
        <w:t>1998</w:t>
      </w:r>
      <w:r>
        <w:rPr>
          <w:rFonts w:hint="eastAsia"/>
        </w:rPr>
        <w:t>年间，专业中学毕业的女性每小时的平均工资甚至超过了男性，因此，接受专业中学教育被认为是一项不错的选择。</w:t>
      </w:r>
    </w:p>
    <w:p w:rsidR="00000000" w:rsidRDefault="00CA422F">
      <w:pPr>
        <w:spacing w:after="240" w:line="360" w:lineRule="exact"/>
        <w:rPr>
          <w:rFonts w:hint="eastAsia"/>
        </w:rPr>
      </w:pPr>
      <w:r>
        <w:rPr>
          <w:rFonts w:hint="eastAsia"/>
        </w:rPr>
        <w:t>353</w:t>
      </w:r>
      <w:r>
        <w:rPr>
          <w:rFonts w:hint="eastAsia"/>
        </w:rPr>
        <w:t>．另一方面，担任领导职位的女性和男性每小时平均工资之比为</w:t>
      </w:r>
      <w:r>
        <w:rPr>
          <w:rFonts w:hint="eastAsia"/>
        </w:rPr>
        <w:t>95</w:t>
      </w:r>
      <w:r>
        <w:rPr>
          <w:rFonts w:hint="eastAsia"/>
        </w:rPr>
        <w:t>％，这表</w:t>
      </w:r>
      <w:r>
        <w:rPr>
          <w:rFonts w:hint="eastAsia"/>
        </w:rPr>
        <w:t>明，同九十年代初期</w:t>
      </w:r>
      <w:r>
        <w:rPr>
          <w:rFonts w:hint="eastAsia"/>
        </w:rPr>
        <w:t>80%</w:t>
      </w:r>
      <w:r>
        <w:rPr>
          <w:rFonts w:hint="eastAsia"/>
        </w:rPr>
        <w:t>的比例相比已经有了很大的进步。</w:t>
      </w:r>
      <w:r>
        <w:rPr>
          <w:rFonts w:hint="eastAsia"/>
        </w:rPr>
        <w:t>1998</w:t>
      </w:r>
      <w:r>
        <w:rPr>
          <w:rFonts w:hint="eastAsia"/>
        </w:rPr>
        <w:t>年，上述比例甚至超过了</w:t>
      </w:r>
      <w:r>
        <w:rPr>
          <w:rFonts w:hint="eastAsia"/>
        </w:rPr>
        <w:t>100%</w:t>
      </w:r>
      <w:r>
        <w:rPr>
          <w:rFonts w:hint="eastAsia"/>
        </w:rPr>
        <w:t>。</w:t>
      </w:r>
      <w:r>
        <w:rPr>
          <w:rFonts w:hint="eastAsia"/>
        </w:rPr>
        <w:t>1997</w:t>
      </w:r>
      <w:r>
        <w:rPr>
          <w:rFonts w:hint="eastAsia"/>
        </w:rPr>
        <w:t>年和</w:t>
      </w:r>
      <w:r>
        <w:rPr>
          <w:rFonts w:hint="eastAsia"/>
        </w:rPr>
        <w:t>1998</w:t>
      </w:r>
      <w:r>
        <w:rPr>
          <w:rFonts w:hint="eastAsia"/>
        </w:rPr>
        <w:t>年，专业和技术人员中女性与男性的工资比例也超过了</w:t>
      </w:r>
      <w:r>
        <w:rPr>
          <w:rFonts w:hint="eastAsia"/>
        </w:rPr>
        <w:t>100</w:t>
      </w:r>
      <w:r>
        <w:rPr>
          <w:rFonts w:hint="eastAsia"/>
        </w:rPr>
        <w:t>％，虽然</w:t>
      </w:r>
      <w:r>
        <w:rPr>
          <w:rFonts w:hint="eastAsia"/>
        </w:rPr>
        <w:t>1999</w:t>
      </w:r>
      <w:r>
        <w:rPr>
          <w:rFonts w:hint="eastAsia"/>
        </w:rPr>
        <w:t>年该比例降至</w:t>
      </w:r>
      <w:r>
        <w:rPr>
          <w:rFonts w:hint="eastAsia"/>
        </w:rPr>
        <w:t>87</w:t>
      </w:r>
      <w:r>
        <w:t>.</w:t>
      </w:r>
      <w:r>
        <w:rPr>
          <w:rFonts w:hint="eastAsia"/>
        </w:rPr>
        <w:t>3%</w:t>
      </w:r>
      <w:r>
        <w:rPr>
          <w:rFonts w:hint="eastAsia"/>
        </w:rPr>
        <w:t>，但仍高于</w:t>
      </w:r>
      <w:r>
        <w:rPr>
          <w:rFonts w:hint="eastAsia"/>
        </w:rPr>
        <w:t>1990</w:t>
      </w:r>
      <w:r>
        <w:rPr>
          <w:rFonts w:hint="eastAsia"/>
        </w:rPr>
        <w:t>年的数据。上述数据体现了工资差异正在逐步缩小的趋势。</w:t>
      </w:r>
    </w:p>
    <w:p w:rsidR="00000000" w:rsidRDefault="00CA422F">
      <w:pPr>
        <w:spacing w:after="240" w:line="360" w:lineRule="exact"/>
        <w:rPr>
          <w:rFonts w:hint="eastAsia"/>
        </w:rPr>
      </w:pPr>
      <w:r>
        <w:rPr>
          <w:rFonts w:hint="eastAsia"/>
        </w:rPr>
        <w:t>354</w:t>
      </w:r>
      <w:r>
        <w:rPr>
          <w:rFonts w:hint="eastAsia"/>
        </w:rPr>
        <w:t>．除了“行政管理人员”以外，其它所有工作职位中女性和男性每小时平均工资之比都出现了不同程度的增长。而行政管理人员的男女工资差距似乎并没有缩小，反而有所加大，</w:t>
      </w:r>
      <w:r>
        <w:rPr>
          <w:rFonts w:hint="eastAsia"/>
        </w:rPr>
        <w:t>1990</w:t>
      </w:r>
      <w:r>
        <w:rPr>
          <w:rFonts w:hint="eastAsia"/>
        </w:rPr>
        <w:t>年到</w:t>
      </w:r>
      <w:r>
        <w:rPr>
          <w:rFonts w:hint="eastAsia"/>
        </w:rPr>
        <w:t>1999</w:t>
      </w:r>
      <w:r>
        <w:rPr>
          <w:rFonts w:hint="eastAsia"/>
        </w:rPr>
        <w:t>年，该比例由</w:t>
      </w:r>
      <w:r>
        <w:rPr>
          <w:rFonts w:hint="eastAsia"/>
        </w:rPr>
        <w:t>99</w:t>
      </w:r>
      <w:r>
        <w:rPr>
          <w:rFonts w:hint="eastAsia"/>
        </w:rPr>
        <w:t>％降至</w:t>
      </w:r>
      <w:r>
        <w:rPr>
          <w:rFonts w:hint="eastAsia"/>
        </w:rPr>
        <w:t>88</w:t>
      </w:r>
      <w:r>
        <w:rPr>
          <w:rFonts w:hint="eastAsia"/>
        </w:rPr>
        <w:t>％。</w:t>
      </w:r>
    </w:p>
    <w:p w:rsidR="00000000" w:rsidRDefault="00CA422F">
      <w:pPr>
        <w:spacing w:after="240" w:line="360" w:lineRule="exact"/>
        <w:rPr>
          <w:rFonts w:hint="eastAsia"/>
        </w:rPr>
      </w:pPr>
      <w:r>
        <w:rPr>
          <w:rFonts w:hint="eastAsia"/>
        </w:rPr>
        <w:t>355</w:t>
      </w:r>
      <w:r>
        <w:rPr>
          <w:rFonts w:hint="eastAsia"/>
        </w:rPr>
        <w:t>．还应该指出的</w:t>
      </w:r>
      <w:r>
        <w:rPr>
          <w:rFonts w:hint="eastAsia"/>
        </w:rPr>
        <w:t>是，虽然男女之间的工资差距正在逐步缩小，但这种差距仍在不断困扰着大多数女性，因为女性和男性之间较低的工资比例主要集中在商业和个人及社会服务等女性劳动力密集的行业。这些行业的收入显然不高，而且最缺乏对劳动基本权利的保障（</w:t>
      </w:r>
      <w:r>
        <w:rPr>
          <w:lang w:val="es-ES"/>
        </w:rPr>
        <w:t>Fernández</w:t>
      </w:r>
      <w:r>
        <w:rPr>
          <w:rFonts w:hint="eastAsia"/>
        </w:rPr>
        <w:t>，</w:t>
      </w:r>
      <w:r>
        <w:rPr>
          <w:rFonts w:hint="eastAsia"/>
        </w:rPr>
        <w:t>2001</w:t>
      </w:r>
      <w:r>
        <w:rPr>
          <w:rFonts w:hint="eastAsia"/>
        </w:rPr>
        <w:t>年）。</w:t>
      </w:r>
    </w:p>
    <w:p w:rsidR="00000000" w:rsidRDefault="00CA422F">
      <w:pPr>
        <w:spacing w:after="240" w:line="360" w:lineRule="exact"/>
        <w:jc w:val="center"/>
        <w:rPr>
          <w:rFonts w:eastAsia="SimHei" w:hint="eastAsia"/>
          <w:sz w:val="24"/>
        </w:rPr>
      </w:pPr>
      <w:r>
        <w:rPr>
          <w:rFonts w:eastAsia="SimHei" w:hint="eastAsia"/>
          <w:sz w:val="24"/>
        </w:rPr>
        <w:t>工作中的性别分离</w:t>
      </w:r>
    </w:p>
    <w:p w:rsidR="00000000" w:rsidRDefault="00CA422F">
      <w:pPr>
        <w:spacing w:after="240" w:line="360" w:lineRule="exact"/>
        <w:rPr>
          <w:rFonts w:hint="eastAsia"/>
        </w:rPr>
      </w:pPr>
      <w:r>
        <w:rPr>
          <w:rFonts w:hint="eastAsia"/>
        </w:rPr>
        <w:t>356</w:t>
      </w:r>
      <w:r>
        <w:rPr>
          <w:rFonts w:hint="eastAsia"/>
        </w:rPr>
        <w:t>．劳动力市场因性别分为女性职位和男性职位两大类。因此，男性在“女性”职位中占据的就业空间远远大于女性在“男性”职位中占据的空间。</w:t>
      </w:r>
      <w:r>
        <w:rPr>
          <w:rFonts w:hint="eastAsia"/>
        </w:rPr>
        <w:t>19</w:t>
      </w:r>
      <w:r>
        <w:rPr>
          <w:rFonts w:hint="eastAsia"/>
        </w:rPr>
        <w:t>％的男性占据了以女性为主的职位，而只有</w:t>
      </w:r>
      <w:r>
        <w:rPr>
          <w:rFonts w:hint="eastAsia"/>
        </w:rPr>
        <w:t>12</w:t>
      </w:r>
      <w:r>
        <w:t>.</w:t>
      </w:r>
      <w:r>
        <w:rPr>
          <w:rFonts w:hint="eastAsia"/>
        </w:rPr>
        <w:t>7%</w:t>
      </w:r>
      <w:r>
        <w:rPr>
          <w:rFonts w:hint="eastAsia"/>
        </w:rPr>
        <w:t>的女性获得了男性为主的职位（民族国家计划，</w:t>
      </w:r>
      <w:r>
        <w:rPr>
          <w:rFonts w:hint="eastAsia"/>
        </w:rPr>
        <w:t>2001</w:t>
      </w:r>
      <w:r>
        <w:rPr>
          <w:rFonts w:hint="eastAsia"/>
        </w:rPr>
        <w:t>年）</w:t>
      </w:r>
      <w:r>
        <w:rPr>
          <w:rFonts w:hint="eastAsia"/>
        </w:rPr>
        <w:t>。</w:t>
      </w:r>
    </w:p>
    <w:p w:rsidR="00000000" w:rsidRDefault="00CA422F">
      <w:pPr>
        <w:spacing w:after="240" w:line="360" w:lineRule="exact"/>
        <w:rPr>
          <w:rFonts w:hint="eastAsia"/>
        </w:rPr>
      </w:pPr>
      <w:r>
        <w:rPr>
          <w:rFonts w:hint="eastAsia"/>
        </w:rPr>
        <w:t>357</w:t>
      </w:r>
      <w:r>
        <w:rPr>
          <w:rFonts w:hint="eastAsia"/>
        </w:rPr>
        <w:t>．九十年代工作职位中的性别分离指数为</w:t>
      </w:r>
      <w:r>
        <w:rPr>
          <w:rFonts w:hint="eastAsia"/>
        </w:rPr>
        <w:t>25</w:t>
      </w:r>
      <w:r>
        <w:rPr>
          <w:rFonts w:hint="eastAsia"/>
        </w:rPr>
        <w:t>％，如果同</w:t>
      </w:r>
      <w:r>
        <w:rPr>
          <w:rFonts w:hint="eastAsia"/>
        </w:rPr>
        <w:t>1998</w:t>
      </w:r>
      <w:r>
        <w:rPr>
          <w:rFonts w:hint="eastAsia"/>
        </w:rPr>
        <w:t>年女性占所有劳动人口</w:t>
      </w:r>
      <w:r>
        <w:rPr>
          <w:rFonts w:hint="eastAsia"/>
        </w:rPr>
        <w:t>32%</w:t>
      </w:r>
      <w:r>
        <w:rPr>
          <w:rFonts w:hint="eastAsia"/>
        </w:rPr>
        <w:t>这一事实联系起来看，应该说上述指数是相当高的。这表明，如果想维持男女双方占据同等数目的职位，所有女性劳动者都“必须”转换职业（民族国家计划，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358</w:t>
      </w:r>
      <w:r>
        <w:rPr>
          <w:rFonts w:hint="eastAsia"/>
        </w:rPr>
        <w:t>．可以想见，随着两性平等的不断推进，“兼顾两性”的行业会不断增加。两性平等的趋势虽然缓慢却真实可信，因为“兼顾两性”的行业从</w:t>
      </w:r>
      <w:r>
        <w:rPr>
          <w:rFonts w:hint="eastAsia"/>
        </w:rPr>
        <w:t>1990</w:t>
      </w:r>
      <w:r>
        <w:rPr>
          <w:rFonts w:hint="eastAsia"/>
        </w:rPr>
        <w:t>年的四个增加到</w:t>
      </w:r>
      <w:r>
        <w:rPr>
          <w:rFonts w:hint="eastAsia"/>
        </w:rPr>
        <w:t>2000</w:t>
      </w:r>
      <w:r>
        <w:rPr>
          <w:rFonts w:hint="eastAsia"/>
        </w:rPr>
        <w:t>年的九个。建筑、工程、自然资源、专业销售机构、电力和形像艺术等被认为排除女性的行业，应该对此加以特别关</w:t>
      </w:r>
      <w:r>
        <w:rPr>
          <w:rFonts w:hint="eastAsia"/>
        </w:rPr>
        <w:t>注（民族国家计划，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359</w:t>
      </w:r>
      <w:r>
        <w:rPr>
          <w:rFonts w:hint="eastAsia"/>
        </w:rPr>
        <w:t>．</w:t>
      </w:r>
      <w:r>
        <w:rPr>
          <w:rFonts w:hint="eastAsia"/>
        </w:rPr>
        <w:t>2000</w:t>
      </w:r>
      <w:r>
        <w:rPr>
          <w:rFonts w:hint="eastAsia"/>
        </w:rPr>
        <w:t>年开展的人口普查提供的数据证明了在哥斯达黎加职业结构中的确存在着性别隔离和男女不平等现象。在</w:t>
      </w:r>
      <w:r>
        <w:rPr>
          <w:rFonts w:hint="eastAsia"/>
        </w:rPr>
        <w:t>Pilar Ramos</w:t>
      </w:r>
      <w:r>
        <w:rPr>
          <w:rFonts w:hint="eastAsia"/>
        </w:rPr>
        <w:t>（</w:t>
      </w:r>
      <w:r>
        <w:rPr>
          <w:rFonts w:hint="eastAsia"/>
        </w:rPr>
        <w:t>2002</w:t>
      </w:r>
      <w:r>
        <w:rPr>
          <w:rFonts w:hint="eastAsia"/>
        </w:rPr>
        <w:t>年）进行调查的一百零七种职业中，只有三十八种职业被认为是女性职业，而只有九种职业为“兼顾两性”的职业。</w:t>
      </w:r>
    </w:p>
    <w:p w:rsidR="00000000" w:rsidRDefault="00CA422F">
      <w:pPr>
        <w:spacing w:after="240" w:line="360" w:lineRule="exact"/>
        <w:rPr>
          <w:rFonts w:hint="eastAsia"/>
        </w:rPr>
      </w:pPr>
    </w:p>
    <w:p w:rsidR="00000000" w:rsidRDefault="00CA422F">
      <w:pPr>
        <w:spacing w:after="240" w:line="360" w:lineRule="exact"/>
        <w:jc w:val="center"/>
        <w:rPr>
          <w:rFonts w:eastAsia="SimHei" w:hint="eastAsia"/>
          <w:sz w:val="24"/>
        </w:rPr>
      </w:pPr>
      <w:r>
        <w:rPr>
          <w:rFonts w:eastAsia="SimHei" w:hint="eastAsia"/>
          <w:sz w:val="24"/>
        </w:rPr>
        <w:t>女性在特殊职位中发挥着重要作用</w:t>
      </w:r>
    </w:p>
    <w:p w:rsidR="00000000" w:rsidRDefault="00CA422F">
      <w:pPr>
        <w:spacing w:after="240" w:line="360" w:lineRule="exact"/>
        <w:rPr>
          <w:rFonts w:hint="eastAsia"/>
        </w:rPr>
      </w:pPr>
      <w:r>
        <w:rPr>
          <w:rFonts w:hint="eastAsia"/>
        </w:rPr>
        <w:t>360</w:t>
      </w:r>
      <w:r>
        <w:rPr>
          <w:rFonts w:hint="eastAsia"/>
        </w:rPr>
        <w:t>．女性很少进入“男性”职业中任职，与此事实完全相反的是，她们在特殊职位中扮演着极为重要的角色；所谓的特殊职位主要是指专业和技术职位与领导职位。女性几乎占据了一半专业和技术职位，公共部门的情况更为</w:t>
      </w:r>
      <w:r>
        <w:rPr>
          <w:rFonts w:hint="eastAsia"/>
        </w:rPr>
        <w:t>突出（民族国家计划，</w:t>
      </w:r>
      <w:r>
        <w:rPr>
          <w:rFonts w:hint="eastAsia"/>
        </w:rPr>
        <w:t>2001</w:t>
      </w:r>
      <w:r>
        <w:rPr>
          <w:rFonts w:hint="eastAsia"/>
        </w:rPr>
        <w:t>年）。</w:t>
      </w:r>
    </w:p>
    <w:p w:rsidR="00000000" w:rsidRDefault="00CA422F">
      <w:pPr>
        <w:spacing w:after="240" w:line="360" w:lineRule="exact"/>
        <w:jc w:val="center"/>
        <w:rPr>
          <w:rFonts w:ascii="SimHei" w:eastAsia="SimHei" w:hint="eastAsia"/>
        </w:rPr>
      </w:pPr>
      <w:r>
        <w:rPr>
          <w:rFonts w:ascii="SimHei" w:eastAsia="SimHei" w:hint="eastAsia"/>
        </w:rPr>
        <w:t>图表</w:t>
      </w:r>
      <w:r>
        <w:rPr>
          <w:rFonts w:ascii="SimHei" w:eastAsia="SimHei" w:hint="eastAsia"/>
        </w:rPr>
        <w:t>2</w:t>
      </w:r>
      <w:r>
        <w:rPr>
          <w:rFonts w:ascii="SimHei" w:eastAsia="SimHei"/>
        </w:rPr>
        <w:br/>
      </w:r>
      <w:r>
        <w:rPr>
          <w:rFonts w:ascii="SimHei" w:eastAsia="SimHei" w:hint="eastAsia"/>
        </w:rPr>
        <w:t>不同机构内女性占据特殊职位的比例，</w:t>
      </w:r>
      <w:r>
        <w:rPr>
          <w:rFonts w:ascii="SimHei" w:eastAsia="SimHei" w:hint="eastAsia"/>
        </w:rPr>
        <w:t>1999</w:t>
      </w:r>
      <w:r>
        <w:rPr>
          <w:rFonts w:ascii="SimHei" w:eastAsia="SimHei" w:hint="eastAsia"/>
        </w:rPr>
        <w:t>年</w:t>
      </w:r>
    </w:p>
    <w:p w:rsidR="00000000" w:rsidRDefault="00CA422F">
      <w:pPr>
        <w:spacing w:line="240" w:lineRule="atLeast"/>
        <w:jc w:val="center"/>
        <w:rPr>
          <w:rFonts w:hint="eastAsia"/>
        </w:rPr>
      </w:pPr>
      <w:r>
        <w:object w:dxaOrig="7845" w:dyaOrig="3810">
          <v:shape id="_x0000_i1027" type="#_x0000_t75" style="width:392.25pt;height:190.5pt" o:ole="">
            <v:imagedata r:id="rId11" o:title=""/>
          </v:shape>
          <o:OLEObject Type="Embed" ProgID="Excel.Chart.8" ShapeID="_x0000_i1027" DrawAspect="Content" ObjectID="_1394547691" r:id="rId12">
            <o:FieldCodes>\s</o:FieldCodes>
          </o:OLEObject>
        </w:object>
      </w:r>
    </w:p>
    <w:p w:rsidR="00000000" w:rsidRDefault="00CA422F" w:rsidP="00CA422F">
      <w:pPr>
        <w:spacing w:after="240" w:line="360" w:lineRule="exact"/>
        <w:ind w:firstLineChars="666" w:firstLine="31680"/>
        <w:rPr>
          <w:rFonts w:hint="eastAsia"/>
          <w:sz w:val="18"/>
        </w:rPr>
      </w:pPr>
      <w:r>
        <w:rPr>
          <w:rFonts w:hint="eastAsia"/>
          <w:sz w:val="18"/>
        </w:rPr>
        <w:t>资料来源：哥斯达黎加人口与统计总局</w:t>
      </w:r>
      <w:r>
        <w:rPr>
          <w:rFonts w:ascii="SimSun" w:hAnsi="SimSun" w:hint="eastAsia"/>
          <w:sz w:val="18"/>
        </w:rPr>
        <w:t>-</w:t>
      </w:r>
      <w:r>
        <w:rPr>
          <w:rFonts w:hint="eastAsia"/>
          <w:sz w:val="18"/>
        </w:rPr>
        <w:t>劳动及社会保障部，有关家庭和多种因素调查。相关年份。</w:t>
      </w:r>
    </w:p>
    <w:p w:rsidR="00000000" w:rsidRDefault="00CA422F">
      <w:pPr>
        <w:spacing w:after="240" w:line="360" w:lineRule="exact"/>
        <w:rPr>
          <w:rFonts w:hint="eastAsia"/>
        </w:rPr>
      </w:pPr>
      <w:r>
        <w:rPr>
          <w:rFonts w:hint="eastAsia"/>
        </w:rPr>
        <w:t>361</w:t>
      </w:r>
      <w:r>
        <w:rPr>
          <w:rFonts w:hint="eastAsia"/>
        </w:rPr>
        <w:t>．也许公共部门的女性专业人士为数较多的现象并不能解释清楚女性为何从事这些职业。或许可以说这种高责任、低报酬、高劳动保障和尊重扮演诸如家庭人口繁衍等其它人生角色的工作条件还能被女性接受，却无法获得男性的青睐。男性倾向于选择私人机构提供的酬劳较高的特殊职位，虽然这意味着将</w:t>
      </w:r>
      <w:r>
        <w:rPr>
          <w:rFonts w:hint="eastAsia"/>
        </w:rPr>
        <w:t>对他们个人和家庭生活造成一定程度的侵扰。</w:t>
      </w:r>
    </w:p>
    <w:p w:rsidR="00000000" w:rsidRDefault="00CA422F">
      <w:pPr>
        <w:spacing w:after="240" w:line="360" w:lineRule="exact"/>
        <w:rPr>
          <w:rFonts w:hint="eastAsia"/>
        </w:rPr>
      </w:pPr>
      <w:r>
        <w:rPr>
          <w:rFonts w:hint="eastAsia"/>
        </w:rPr>
        <w:t>362</w:t>
      </w:r>
      <w:r>
        <w:rPr>
          <w:rFonts w:hint="eastAsia"/>
        </w:rPr>
        <w:t>．无论在公共部门还是私人机构的领导职位上，女性都只占近三分之一的比例。这表明虽然有不少女性专业人士，但决策职位还是大都留给了男性。</w:t>
      </w:r>
    </w:p>
    <w:p w:rsidR="00000000" w:rsidRDefault="00CA422F">
      <w:pPr>
        <w:spacing w:after="240" w:line="360" w:lineRule="exact"/>
        <w:rPr>
          <w:rFonts w:hint="eastAsia"/>
        </w:rPr>
      </w:pPr>
      <w:r>
        <w:rPr>
          <w:rFonts w:hint="eastAsia"/>
        </w:rPr>
        <w:t>363</w:t>
      </w:r>
      <w:r>
        <w:rPr>
          <w:rFonts w:hint="eastAsia"/>
        </w:rPr>
        <w:t>．虽然在包括公共部门在内的机构中占据特殊职位的女性较多，但是在诸如安全部和惩罚机构的某些部门里，女性就业还存在着明显的不平等。这些部门不但男性人数大于女性，而且符合男性需求和生理条件的组织结构模式也一直占据着主要地位。</w:t>
      </w:r>
    </w:p>
    <w:p w:rsidR="00000000" w:rsidRDefault="00CA422F">
      <w:pPr>
        <w:spacing w:after="240" w:line="360" w:lineRule="exact"/>
        <w:jc w:val="center"/>
        <w:rPr>
          <w:rFonts w:eastAsia="SimHei" w:hint="eastAsia"/>
          <w:sz w:val="24"/>
        </w:rPr>
      </w:pPr>
      <w:r>
        <w:rPr>
          <w:rFonts w:eastAsia="SimHei" w:hint="eastAsia"/>
          <w:sz w:val="24"/>
        </w:rPr>
        <w:t>女性在企业中的参与</w:t>
      </w:r>
    </w:p>
    <w:p w:rsidR="00000000" w:rsidRDefault="00CA422F">
      <w:pPr>
        <w:spacing w:after="240" w:line="360" w:lineRule="exact"/>
        <w:rPr>
          <w:rFonts w:hint="eastAsia"/>
        </w:rPr>
      </w:pPr>
      <w:r>
        <w:rPr>
          <w:rFonts w:hint="eastAsia"/>
        </w:rPr>
        <w:t>364</w:t>
      </w:r>
      <w:r>
        <w:rPr>
          <w:rFonts w:hint="eastAsia"/>
        </w:rPr>
        <w:t>．企业中可以接触资金的一至九级职位上的女性均少于男性。然而，该数据在九十年代呈现</w:t>
      </w:r>
      <w:r>
        <w:rPr>
          <w:rFonts w:hint="eastAsia"/>
        </w:rPr>
        <w:t>出上升趋势，从</w:t>
      </w:r>
      <w:r>
        <w:rPr>
          <w:rFonts w:hint="eastAsia"/>
        </w:rPr>
        <w:t>1990</w:t>
      </w:r>
      <w:r>
        <w:rPr>
          <w:rFonts w:hint="eastAsia"/>
        </w:rPr>
        <w:t>年的</w:t>
      </w:r>
      <w:r>
        <w:rPr>
          <w:rFonts w:hint="eastAsia"/>
        </w:rPr>
        <w:t>9</w:t>
      </w:r>
      <w:r>
        <w:t>.</w:t>
      </w:r>
      <w:r>
        <w:rPr>
          <w:rFonts w:hint="eastAsia"/>
        </w:rPr>
        <w:t>6%</w:t>
      </w:r>
      <w:r>
        <w:rPr>
          <w:rFonts w:hint="eastAsia"/>
        </w:rPr>
        <w:t>上升到了</w:t>
      </w:r>
      <w:r>
        <w:rPr>
          <w:rFonts w:hint="eastAsia"/>
        </w:rPr>
        <w:t>1999</w:t>
      </w:r>
      <w:r>
        <w:rPr>
          <w:rFonts w:hint="eastAsia"/>
        </w:rPr>
        <w:t>年的</w:t>
      </w:r>
      <w:r>
        <w:rPr>
          <w:rFonts w:hint="eastAsia"/>
        </w:rPr>
        <w:t>17</w:t>
      </w:r>
      <w:r>
        <w:t>.</w:t>
      </w:r>
      <w:r>
        <w:rPr>
          <w:rFonts w:hint="eastAsia"/>
        </w:rPr>
        <w:t>7%</w:t>
      </w:r>
      <w:r>
        <w:rPr>
          <w:rFonts w:hint="eastAsia"/>
        </w:rPr>
        <w:t>。农村地区女性企业主数量的增长尤为突出（民族国家计划，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365</w:t>
      </w:r>
      <w:r>
        <w:rPr>
          <w:rFonts w:hint="eastAsia"/>
        </w:rPr>
        <w:t>．农村地区增长速度最快的不是农牧业，而是加工制造业（一至四级职位和五至九级职位）和商业（一至四级职位），这表明除了满足基本需要的劳动之外，女性还创造了新的就业机会。</w:t>
      </w:r>
    </w:p>
    <w:p w:rsidR="00000000" w:rsidRDefault="00CA422F">
      <w:pPr>
        <w:spacing w:after="240" w:line="360" w:lineRule="exact"/>
        <w:jc w:val="center"/>
        <w:rPr>
          <w:rFonts w:ascii="SimHei" w:eastAsia="SimHei" w:hint="eastAsia"/>
        </w:rPr>
      </w:pPr>
      <w:r>
        <w:rPr>
          <w:noProof/>
          <w:sz w:val="20"/>
        </w:rPr>
        <w:pict>
          <v:shapetype id="_x0000_t202" coordsize="21600,21600" o:spt="202" path="m,l,21600r21600,l21600,xe">
            <v:stroke joinstyle="miter"/>
            <v:path gradientshapeok="t" o:connecttype="rect"/>
          </v:shapetype>
          <v:shape id="_x0000_s1028" type="#_x0000_t202" style="position:absolute;left:0;text-align:left;margin-left:24pt;margin-top:44.4pt;width:414pt;height:213.2pt;z-index:1" filled="f" stroked="f">
            <v:textbox>
              <w:txbxContent>
                <w:p w:rsidR="00000000" w:rsidRDefault="00CA422F">
                  <w:pPr>
                    <w:rPr>
                      <w:rFonts w:hint="eastAsia"/>
                    </w:rPr>
                  </w:pPr>
                  <w:r>
                    <w:pict>
                      <v:shape id="_x0000_i1028" type="#_x0000_t75" style="width:394.5pt;height:201pt">
                        <v:imagedata r:id="rId13" o:title=""/>
                      </v:shape>
                    </w:pict>
                  </w:r>
                </w:p>
                <w:p w:rsidR="00000000" w:rsidRDefault="00CA422F">
                  <w:pPr>
                    <w:pStyle w:val="Date"/>
                    <w:rPr>
                      <w:rFonts w:hint="eastAsia"/>
                    </w:rPr>
                  </w:pPr>
                </w:p>
              </w:txbxContent>
            </v:textbox>
          </v:shape>
        </w:pict>
      </w:r>
      <w:r>
        <w:rPr>
          <w:rFonts w:ascii="SimHei" w:eastAsia="SimHei" w:hint="eastAsia"/>
        </w:rPr>
        <w:t>图表</w:t>
      </w:r>
      <w:r>
        <w:rPr>
          <w:rFonts w:ascii="SimHei" w:eastAsia="SimHei" w:hint="eastAsia"/>
        </w:rPr>
        <w:t>3</w:t>
      </w:r>
      <w:r>
        <w:rPr>
          <w:rFonts w:ascii="SimHei" w:eastAsia="SimHei"/>
        </w:rPr>
        <w:br/>
      </w:r>
      <w:r>
        <w:rPr>
          <w:rFonts w:ascii="SimHei" w:eastAsia="SimHei" w:hint="eastAsia"/>
        </w:rPr>
        <w:t>不同行业女企业主比例的变化情况，</w:t>
      </w:r>
      <w:r>
        <w:rPr>
          <w:rFonts w:ascii="SimHei" w:eastAsia="SimHei" w:hint="eastAsia"/>
        </w:rPr>
        <w:t>1990</w:t>
      </w:r>
      <w:r>
        <w:rPr>
          <w:rFonts w:ascii="SimHei" w:eastAsia="SimHei" w:hint="eastAsia"/>
        </w:rPr>
        <w:t>－</w:t>
      </w:r>
      <w:r>
        <w:rPr>
          <w:rFonts w:ascii="SimHei" w:eastAsia="SimHei" w:hint="eastAsia"/>
        </w:rPr>
        <w:t>1999</w:t>
      </w:r>
      <w:r>
        <w:rPr>
          <w:rFonts w:ascii="SimHei" w:eastAsia="SimHei" w:hint="eastAsia"/>
        </w:rPr>
        <w:t>年</w:t>
      </w:r>
    </w:p>
    <w:p w:rsidR="00000000" w:rsidRDefault="00CA422F">
      <w:pPr>
        <w:spacing w:after="240" w:line="360" w:lineRule="exact"/>
        <w:jc w:val="center"/>
        <w:rPr>
          <w:rFonts w:hint="eastAsia"/>
        </w:rPr>
      </w:pPr>
    </w:p>
    <w:p w:rsidR="00000000" w:rsidRDefault="00CA422F">
      <w:pPr>
        <w:spacing w:after="240" w:line="360" w:lineRule="exact"/>
        <w:rPr>
          <w:rFonts w:hint="eastAsia"/>
        </w:rPr>
      </w:pPr>
    </w:p>
    <w:p w:rsidR="00000000" w:rsidRDefault="00CA422F">
      <w:pPr>
        <w:spacing w:after="240" w:line="360" w:lineRule="exact"/>
        <w:rPr>
          <w:rFonts w:hint="eastAsia"/>
        </w:rPr>
      </w:pPr>
    </w:p>
    <w:p w:rsidR="00000000" w:rsidRDefault="00CA422F">
      <w:pPr>
        <w:spacing w:after="240" w:line="360" w:lineRule="exact"/>
        <w:rPr>
          <w:rFonts w:hint="eastAsia"/>
        </w:rPr>
      </w:pPr>
    </w:p>
    <w:p w:rsidR="00000000" w:rsidRDefault="00CA422F">
      <w:pPr>
        <w:spacing w:after="240" w:line="360" w:lineRule="exact"/>
        <w:rPr>
          <w:rFonts w:hint="eastAsia"/>
        </w:rPr>
      </w:pPr>
    </w:p>
    <w:p w:rsidR="00000000" w:rsidRDefault="00CA422F">
      <w:pPr>
        <w:spacing w:after="240" w:line="360" w:lineRule="exact"/>
        <w:rPr>
          <w:rFonts w:hint="eastAsia"/>
        </w:rPr>
      </w:pPr>
      <w:r>
        <w:rPr>
          <w:noProof/>
          <w:sz w:val="20"/>
        </w:rPr>
        <w:pict>
          <v:shape id="_x0000_s1029" type="#_x0000_t202" style="position:absolute;left:0;text-align:left;margin-left:60pt;margin-top:12.8pt;width:264pt;height:46.8pt;z-index:2" filled="f" stroked="f">
            <v:textbox inset=",1.8mm">
              <w:txbxContent>
                <w:p w:rsidR="00000000" w:rsidRDefault="00CA422F">
                  <w:pPr>
                    <w:spacing w:line="220" w:lineRule="exact"/>
                    <w:rPr>
                      <w:rFonts w:hint="eastAsia"/>
                      <w:sz w:val="18"/>
                    </w:rPr>
                  </w:pPr>
                  <w:r>
                    <w:rPr>
                      <w:rFonts w:hint="eastAsia"/>
                      <w:sz w:val="18"/>
                    </w:rPr>
                    <w:t>总数</w:t>
                  </w:r>
                  <w:r>
                    <w:rPr>
                      <w:rFonts w:hint="eastAsia"/>
                      <w:sz w:val="18"/>
                    </w:rPr>
                    <w:t xml:space="preserve">                                    </w:t>
                  </w:r>
                  <w:r>
                    <w:rPr>
                      <w:rFonts w:hint="eastAsia"/>
                      <w:sz w:val="18"/>
                    </w:rPr>
                    <w:t>农牧业</w:t>
                  </w:r>
                </w:p>
                <w:p w:rsidR="00000000" w:rsidRDefault="00CA422F">
                  <w:pPr>
                    <w:spacing w:line="220" w:lineRule="exact"/>
                    <w:rPr>
                      <w:rFonts w:hint="eastAsia"/>
                      <w:sz w:val="18"/>
                    </w:rPr>
                  </w:pPr>
                  <w:r>
                    <w:rPr>
                      <w:rFonts w:hint="eastAsia"/>
                      <w:sz w:val="18"/>
                    </w:rPr>
                    <w:t>工业</w:t>
                  </w:r>
                  <w:r>
                    <w:rPr>
                      <w:rFonts w:hint="eastAsia"/>
                      <w:sz w:val="18"/>
                    </w:rPr>
                    <w:t xml:space="preserve">                                    </w:t>
                  </w:r>
                  <w:r>
                    <w:rPr>
                      <w:rFonts w:hint="eastAsia"/>
                      <w:sz w:val="18"/>
                    </w:rPr>
                    <w:t>商业</w:t>
                  </w:r>
                </w:p>
                <w:p w:rsidR="00000000" w:rsidRDefault="00CA422F">
                  <w:pPr>
                    <w:spacing w:line="220" w:lineRule="exact"/>
                    <w:rPr>
                      <w:sz w:val="18"/>
                    </w:rPr>
                  </w:pPr>
                  <w:r>
                    <w:rPr>
                      <w:rFonts w:hint="eastAsia"/>
                      <w:sz w:val="18"/>
                    </w:rPr>
                    <w:t>社区、社会和个人服务业</w:t>
                  </w:r>
                </w:p>
              </w:txbxContent>
            </v:textbox>
          </v:shape>
        </w:pict>
      </w:r>
    </w:p>
    <w:p w:rsidR="00000000" w:rsidRDefault="00CA422F">
      <w:pPr>
        <w:spacing w:after="240" w:line="360" w:lineRule="exact"/>
        <w:rPr>
          <w:rFonts w:hint="eastAsia"/>
        </w:rPr>
      </w:pPr>
    </w:p>
    <w:p w:rsidR="00000000" w:rsidRDefault="00CA422F">
      <w:pPr>
        <w:spacing w:line="240" w:lineRule="exact"/>
        <w:rPr>
          <w:rFonts w:hint="eastAsia"/>
        </w:rPr>
      </w:pPr>
    </w:p>
    <w:p w:rsidR="00000000" w:rsidRDefault="00CA422F" w:rsidP="00CA422F">
      <w:pPr>
        <w:spacing w:after="240" w:line="360" w:lineRule="exact"/>
        <w:ind w:firstLineChars="400" w:firstLine="31680"/>
        <w:rPr>
          <w:rFonts w:hint="eastAsia"/>
          <w:sz w:val="18"/>
        </w:rPr>
      </w:pPr>
      <w:r>
        <w:rPr>
          <w:rFonts w:hint="eastAsia"/>
          <w:sz w:val="18"/>
        </w:rPr>
        <w:t>资料来源：哥斯达黎加人口与统计总局</w:t>
      </w:r>
      <w:r>
        <w:rPr>
          <w:rFonts w:hint="eastAsia"/>
        </w:rPr>
        <w:t>－</w:t>
      </w:r>
      <w:r>
        <w:rPr>
          <w:rFonts w:hint="eastAsia"/>
          <w:sz w:val="18"/>
        </w:rPr>
        <w:t>劳动和社会保障部，有关家庭和多种因素调查。相关年份。</w:t>
      </w:r>
    </w:p>
    <w:p w:rsidR="00000000" w:rsidRDefault="00CA422F">
      <w:pPr>
        <w:spacing w:after="240" w:line="360" w:lineRule="exact"/>
        <w:rPr>
          <w:rFonts w:hint="eastAsia"/>
        </w:rPr>
      </w:pPr>
      <w:r>
        <w:rPr>
          <w:rFonts w:hint="eastAsia"/>
        </w:rPr>
        <w:t>366</w:t>
      </w:r>
      <w:r>
        <w:rPr>
          <w:rFonts w:hint="eastAsia"/>
        </w:rPr>
        <w:t>．综上所述，同男性相比，女性</w:t>
      </w:r>
      <w:r>
        <w:rPr>
          <w:rFonts w:hint="eastAsia"/>
        </w:rPr>
        <w:t>在企业中一至九级职位上创造就业机会的能力有所增加。九十年代，借助上述能力所创造的新职位由</w:t>
      </w:r>
      <w:r>
        <w:rPr>
          <w:rFonts w:hint="eastAsia"/>
        </w:rPr>
        <w:t>10</w:t>
      </w:r>
      <w:r>
        <w:rPr>
          <w:rFonts w:hint="eastAsia"/>
        </w:rPr>
        <w:t>％上升到了</w:t>
      </w:r>
      <w:r>
        <w:rPr>
          <w:rFonts w:hint="eastAsia"/>
        </w:rPr>
        <w:t>21</w:t>
      </w:r>
      <w:r>
        <w:rPr>
          <w:rFonts w:hint="eastAsia"/>
        </w:rPr>
        <w:t>％，商业和工业中显得尤为突出。因此，不但女性企业主的数量有所增加，而且女性在新职位创造中的参与程度也有所增加（民族国家计划，</w:t>
      </w:r>
      <w:r>
        <w:rPr>
          <w:rFonts w:hint="eastAsia"/>
        </w:rPr>
        <w:t>2001</w:t>
      </w:r>
      <w:r>
        <w:rPr>
          <w:rFonts w:hint="eastAsia"/>
        </w:rPr>
        <w:t>年）。从地区上来看，城镇地区女性创造就业机会的能力较高，而农村地区这方面的增长速度较快。</w:t>
      </w:r>
    </w:p>
    <w:p w:rsidR="00000000" w:rsidRDefault="00CA422F">
      <w:pPr>
        <w:spacing w:after="240" w:line="360" w:lineRule="exact"/>
        <w:rPr>
          <w:rFonts w:hint="eastAsia"/>
        </w:rPr>
      </w:pPr>
      <w:r>
        <w:rPr>
          <w:rFonts w:hint="eastAsia"/>
        </w:rPr>
        <w:t>367</w:t>
      </w:r>
      <w:r>
        <w:rPr>
          <w:rFonts w:hint="eastAsia"/>
        </w:rPr>
        <w:t>．女性在创造就业机会中不断增加的能力应该得到保护，尤其是对收入较低的女性而言，这种创造力应该被看作摆脱贫困的一种有效方式。尽管取得了各方面的成功，应该指出的是，贫困仍然困扰着大多</w:t>
      </w:r>
      <w:r>
        <w:rPr>
          <w:rFonts w:hint="eastAsia"/>
        </w:rPr>
        <w:t>数的家庭主妇。这主要是因为创办效益较好企业的女性主要来自中等以上的社会阶层，而从事生活必需品贸易或边缘贸易的女性则大多集中在中等以下社会阶层中（</w:t>
      </w:r>
      <w:r>
        <w:rPr>
          <w:rFonts w:hint="eastAsia"/>
        </w:rPr>
        <w:t>Trejos</w:t>
      </w:r>
      <w:r>
        <w:rPr>
          <w:rFonts w:hint="eastAsia"/>
        </w:rPr>
        <w:t>，</w:t>
      </w:r>
      <w:r>
        <w:rPr>
          <w:rFonts w:hint="eastAsia"/>
        </w:rPr>
        <w:t>2000</w:t>
      </w:r>
      <w:r>
        <w:rPr>
          <w:rFonts w:hint="eastAsia"/>
        </w:rPr>
        <w:t>年）。前者较高的经济能力使其能够在自己创办的企业中投入较多的资金。因此，应该指出的是，借助适当的经济援助和技术支持，收入较低的女性也能提高自己的创业能力和收入水平。</w:t>
      </w:r>
    </w:p>
    <w:p w:rsidR="00000000" w:rsidRDefault="00CA422F">
      <w:pPr>
        <w:spacing w:after="240" w:line="360" w:lineRule="exact"/>
        <w:jc w:val="center"/>
        <w:rPr>
          <w:rFonts w:eastAsia="SimHei" w:hint="eastAsia"/>
          <w:sz w:val="24"/>
        </w:rPr>
      </w:pPr>
      <w:r>
        <w:rPr>
          <w:rFonts w:eastAsia="SimHei" w:hint="eastAsia"/>
          <w:sz w:val="24"/>
        </w:rPr>
        <w:t>非正规行业中的女性</w:t>
      </w:r>
    </w:p>
    <w:p w:rsidR="00000000" w:rsidRDefault="00CA422F">
      <w:pPr>
        <w:spacing w:after="240" w:line="360" w:lineRule="exact"/>
        <w:rPr>
          <w:rFonts w:hint="eastAsia"/>
        </w:rPr>
      </w:pPr>
      <w:r>
        <w:rPr>
          <w:rFonts w:hint="eastAsia"/>
        </w:rPr>
        <w:t>368</w:t>
      </w:r>
      <w:r>
        <w:rPr>
          <w:rFonts w:hint="eastAsia"/>
        </w:rPr>
        <w:t>．总的来说，生产率较低行业的层状结构中的女性要多于男性。男性主要集中在所谓的“简单积累”行业中，在“扩大积累”的行业中也占有一定优势，也就是说，虽然同样处</w:t>
      </w:r>
      <w:r>
        <w:rPr>
          <w:rFonts w:hint="eastAsia"/>
        </w:rPr>
        <w:t>于生产率低下的行业，男性仍然具有积累和将企业转化为小型盈利企业的潜能，而女性则更胜任家务劳动和满足基本需求的工作（民族国家计划，</w:t>
      </w:r>
      <w:r>
        <w:rPr>
          <w:rFonts w:hint="eastAsia"/>
        </w:rPr>
        <w:t>2001</w:t>
      </w:r>
      <w:r>
        <w:rPr>
          <w:rFonts w:hint="eastAsia"/>
        </w:rPr>
        <w:t>年）。</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11</w:t>
      </w:r>
      <w:r>
        <w:rPr>
          <w:rFonts w:ascii="SimHei" w:eastAsia="SimHei"/>
        </w:rPr>
        <w:br/>
      </w:r>
      <w:r>
        <w:rPr>
          <w:rFonts w:ascii="SimHei" w:eastAsia="SimHei" w:hint="eastAsia"/>
        </w:rPr>
        <w:t>生产率低行业中不同层次上的男女劳动人数（占总数）的比率，</w:t>
      </w:r>
      <w:r>
        <w:rPr>
          <w:rFonts w:ascii="SimHei" w:eastAsia="SimHei"/>
        </w:rPr>
        <w:br/>
      </w:r>
      <w:r>
        <w:rPr>
          <w:rFonts w:ascii="SimHei" w:eastAsia="SimHei" w:hint="eastAsia"/>
        </w:rPr>
        <w:t>哥斯达黎加，</w:t>
      </w:r>
      <w:r>
        <w:rPr>
          <w:rFonts w:ascii="SimHei" w:eastAsia="SimHei" w:hint="eastAsia"/>
        </w:rPr>
        <w:t>2000</w:t>
      </w:r>
      <w:r>
        <w:rPr>
          <w:rFonts w:ascii="SimHei" w:eastAsia="SimHei" w:hint="eastAsia"/>
        </w:rPr>
        <w:t>年</w:t>
      </w:r>
    </w:p>
    <w:tbl>
      <w:tblPr>
        <w:tblW w:w="4946" w:type="pct"/>
        <w:tblInd w:w="108" w:type="dxa"/>
        <w:tblBorders>
          <w:top w:val="single" w:sz="12" w:space="0" w:color="008000"/>
          <w:left w:val="nil"/>
          <w:bottom w:val="single" w:sz="12" w:space="0" w:color="008000"/>
          <w:right w:val="nil"/>
          <w:insideH w:val="nil"/>
          <w:insideV w:val="nil"/>
        </w:tblBorders>
        <w:tblLook w:val="00BF" w:firstRow="1" w:lastRow="0" w:firstColumn="1" w:lastColumn="0" w:noHBand="0" w:noVBand="0"/>
      </w:tblPr>
      <w:tblGrid>
        <w:gridCol w:w="4022"/>
        <w:gridCol w:w="1946"/>
        <w:gridCol w:w="1946"/>
        <w:gridCol w:w="1942"/>
      </w:tblGrid>
      <w:tr w:rsidR="00000000">
        <w:tblPrEx>
          <w:tblCellMar>
            <w:top w:w="0" w:type="dxa"/>
            <w:bottom w:w="0" w:type="dxa"/>
          </w:tblCellMar>
        </w:tblPrEx>
        <w:trPr>
          <w:trHeight w:val="284"/>
        </w:trPr>
        <w:tc>
          <w:tcPr>
            <w:tcW w:w="2040" w:type="pct"/>
            <w:tcBorders>
              <w:bottom w:val="single" w:sz="6" w:space="0" w:color="008000"/>
            </w:tcBorders>
          </w:tcPr>
          <w:p w:rsidR="00000000" w:rsidRDefault="00CA422F">
            <w:pPr>
              <w:spacing w:line="400" w:lineRule="exact"/>
              <w:rPr>
                <w:rFonts w:eastAsia="SimHei" w:hint="eastAsia"/>
                <w:sz w:val="18"/>
              </w:rPr>
            </w:pPr>
            <w:r>
              <w:rPr>
                <w:rFonts w:eastAsia="SimHei" w:hint="eastAsia"/>
                <w:sz w:val="18"/>
              </w:rPr>
              <w:t>不同层次</w:t>
            </w:r>
          </w:p>
        </w:tc>
        <w:tc>
          <w:tcPr>
            <w:tcW w:w="987" w:type="pct"/>
            <w:tcBorders>
              <w:bottom w:val="single" w:sz="6" w:space="0" w:color="008000"/>
            </w:tcBorders>
          </w:tcPr>
          <w:p w:rsidR="00000000" w:rsidRDefault="00CA422F">
            <w:pPr>
              <w:spacing w:line="400" w:lineRule="exact"/>
              <w:jc w:val="center"/>
              <w:rPr>
                <w:rFonts w:eastAsia="SimHei" w:hint="eastAsia"/>
                <w:sz w:val="18"/>
              </w:rPr>
            </w:pPr>
            <w:r>
              <w:rPr>
                <w:rFonts w:eastAsia="SimHei" w:hint="eastAsia"/>
                <w:sz w:val="18"/>
              </w:rPr>
              <w:t>男性</w:t>
            </w:r>
          </w:p>
        </w:tc>
        <w:tc>
          <w:tcPr>
            <w:tcW w:w="987" w:type="pct"/>
            <w:tcBorders>
              <w:bottom w:val="single" w:sz="6" w:space="0" w:color="008000"/>
            </w:tcBorders>
          </w:tcPr>
          <w:p w:rsidR="00000000" w:rsidRDefault="00CA422F">
            <w:pPr>
              <w:spacing w:line="400" w:lineRule="exact"/>
              <w:jc w:val="center"/>
              <w:rPr>
                <w:rFonts w:eastAsia="SimHei" w:hint="eastAsia"/>
                <w:sz w:val="18"/>
              </w:rPr>
            </w:pPr>
            <w:r>
              <w:rPr>
                <w:rFonts w:eastAsia="SimHei" w:hint="eastAsia"/>
                <w:sz w:val="18"/>
              </w:rPr>
              <w:t>女性</w:t>
            </w:r>
          </w:p>
        </w:tc>
        <w:tc>
          <w:tcPr>
            <w:tcW w:w="985" w:type="pct"/>
            <w:tcBorders>
              <w:bottom w:val="single" w:sz="6" w:space="0" w:color="008000"/>
            </w:tcBorders>
          </w:tcPr>
          <w:p w:rsidR="00000000" w:rsidRDefault="00CA422F">
            <w:pPr>
              <w:spacing w:line="400" w:lineRule="exact"/>
              <w:jc w:val="center"/>
              <w:rPr>
                <w:rFonts w:eastAsia="SimHei" w:hint="eastAsia"/>
                <w:sz w:val="18"/>
              </w:rPr>
            </w:pPr>
            <w:r>
              <w:rPr>
                <w:rFonts w:eastAsia="SimHei" w:hint="eastAsia"/>
                <w:sz w:val="18"/>
              </w:rPr>
              <w:t>差距</w:t>
            </w:r>
          </w:p>
        </w:tc>
      </w:tr>
      <w:tr w:rsidR="00000000">
        <w:tblPrEx>
          <w:tblCellMar>
            <w:top w:w="0" w:type="dxa"/>
            <w:bottom w:w="0" w:type="dxa"/>
          </w:tblCellMar>
        </w:tblPrEx>
        <w:trPr>
          <w:trHeight w:val="284"/>
        </w:trPr>
        <w:tc>
          <w:tcPr>
            <w:tcW w:w="2040" w:type="pct"/>
            <w:tcBorders>
              <w:top w:val="single" w:sz="6" w:space="0" w:color="008000"/>
            </w:tcBorders>
          </w:tcPr>
          <w:p w:rsidR="00000000" w:rsidRDefault="00CA422F">
            <w:pPr>
              <w:pStyle w:val="60"/>
              <w:spacing w:beforeLines="0" w:before="0" w:afterLines="0" w:after="0" w:line="400" w:lineRule="exact"/>
              <w:rPr>
                <w:rFonts w:ascii="Times New Roman" w:eastAsia="SimHei" w:hAnsi="Times New Roman" w:hint="eastAsia"/>
                <w:sz w:val="18"/>
                <w:lang w:val="en-US"/>
              </w:rPr>
            </w:pPr>
            <w:r>
              <w:rPr>
                <w:rFonts w:ascii="Times New Roman" w:eastAsia="SimHei" w:hAnsi="Times New Roman" w:hint="eastAsia"/>
                <w:sz w:val="18"/>
                <w:lang w:val="en-US"/>
              </w:rPr>
              <w:t>总数</w:t>
            </w:r>
          </w:p>
        </w:tc>
        <w:tc>
          <w:tcPr>
            <w:tcW w:w="987" w:type="pct"/>
            <w:tcBorders>
              <w:top w:val="single" w:sz="6" w:space="0" w:color="008000"/>
            </w:tcBorders>
          </w:tcPr>
          <w:p w:rsidR="00000000" w:rsidRDefault="00CA422F">
            <w:pPr>
              <w:spacing w:line="400" w:lineRule="exact"/>
              <w:jc w:val="center"/>
              <w:rPr>
                <w:rFonts w:hint="eastAsia"/>
                <w:sz w:val="18"/>
              </w:rPr>
            </w:pPr>
            <w:r>
              <w:rPr>
                <w:rFonts w:hint="eastAsia"/>
                <w:sz w:val="18"/>
              </w:rPr>
              <w:t>25</w:t>
            </w:r>
            <w:r>
              <w:rPr>
                <w:sz w:val="18"/>
              </w:rPr>
              <w:t>.</w:t>
            </w:r>
            <w:r>
              <w:rPr>
                <w:rFonts w:hint="eastAsia"/>
                <w:sz w:val="18"/>
              </w:rPr>
              <w:t>4</w:t>
            </w:r>
          </w:p>
        </w:tc>
        <w:tc>
          <w:tcPr>
            <w:tcW w:w="987" w:type="pct"/>
            <w:tcBorders>
              <w:top w:val="single" w:sz="6" w:space="0" w:color="008000"/>
            </w:tcBorders>
          </w:tcPr>
          <w:p w:rsidR="00000000" w:rsidRDefault="00CA422F">
            <w:pPr>
              <w:spacing w:line="400" w:lineRule="exact"/>
              <w:jc w:val="center"/>
              <w:rPr>
                <w:rFonts w:hint="eastAsia"/>
                <w:sz w:val="18"/>
              </w:rPr>
            </w:pPr>
            <w:r>
              <w:rPr>
                <w:rFonts w:hint="eastAsia"/>
                <w:sz w:val="18"/>
              </w:rPr>
              <w:t>41</w:t>
            </w:r>
            <w:r>
              <w:rPr>
                <w:sz w:val="18"/>
              </w:rPr>
              <w:t>.</w:t>
            </w:r>
            <w:r>
              <w:rPr>
                <w:rFonts w:hint="eastAsia"/>
                <w:sz w:val="18"/>
              </w:rPr>
              <w:t>0</w:t>
            </w:r>
          </w:p>
        </w:tc>
        <w:tc>
          <w:tcPr>
            <w:tcW w:w="985" w:type="pct"/>
            <w:tcBorders>
              <w:top w:val="single" w:sz="6" w:space="0" w:color="008000"/>
            </w:tcBorders>
          </w:tcPr>
          <w:p w:rsidR="00000000" w:rsidRDefault="00CA422F">
            <w:pPr>
              <w:spacing w:line="400" w:lineRule="exact"/>
              <w:jc w:val="center"/>
              <w:rPr>
                <w:rFonts w:hint="eastAsia"/>
                <w:sz w:val="18"/>
              </w:rPr>
            </w:pPr>
            <w:r>
              <w:rPr>
                <w:rFonts w:hint="eastAsia"/>
                <w:sz w:val="18"/>
              </w:rPr>
              <w:t>-15</w:t>
            </w:r>
            <w:r>
              <w:rPr>
                <w:sz w:val="18"/>
              </w:rPr>
              <w:t>.</w:t>
            </w:r>
            <w:r>
              <w:rPr>
                <w:rFonts w:hint="eastAsia"/>
                <w:sz w:val="18"/>
              </w:rPr>
              <w:t>5</w:t>
            </w:r>
          </w:p>
        </w:tc>
      </w:tr>
      <w:tr w:rsidR="00000000">
        <w:tblPrEx>
          <w:tblCellMar>
            <w:top w:w="0" w:type="dxa"/>
            <w:bottom w:w="0" w:type="dxa"/>
          </w:tblCellMar>
        </w:tblPrEx>
        <w:trPr>
          <w:trHeight w:val="284"/>
        </w:trPr>
        <w:tc>
          <w:tcPr>
            <w:tcW w:w="2040" w:type="pct"/>
          </w:tcPr>
          <w:p w:rsidR="00000000" w:rsidRDefault="00CA422F">
            <w:pPr>
              <w:spacing w:line="400" w:lineRule="exact"/>
              <w:rPr>
                <w:rFonts w:hint="eastAsia"/>
                <w:sz w:val="18"/>
              </w:rPr>
            </w:pPr>
            <w:r>
              <w:rPr>
                <w:rFonts w:hint="eastAsia"/>
                <w:sz w:val="18"/>
              </w:rPr>
              <w:t>扩大积累</w:t>
            </w:r>
          </w:p>
        </w:tc>
        <w:tc>
          <w:tcPr>
            <w:tcW w:w="987" w:type="pct"/>
          </w:tcPr>
          <w:p w:rsidR="00000000" w:rsidRDefault="00CA422F">
            <w:pPr>
              <w:spacing w:line="400" w:lineRule="exact"/>
              <w:jc w:val="center"/>
              <w:rPr>
                <w:rFonts w:hint="eastAsia"/>
                <w:sz w:val="18"/>
              </w:rPr>
            </w:pPr>
            <w:r>
              <w:rPr>
                <w:rFonts w:hint="eastAsia"/>
                <w:sz w:val="18"/>
              </w:rPr>
              <w:t>5</w:t>
            </w:r>
            <w:r>
              <w:rPr>
                <w:sz w:val="18"/>
              </w:rPr>
              <w:t>.</w:t>
            </w:r>
            <w:r>
              <w:rPr>
                <w:rFonts w:hint="eastAsia"/>
                <w:sz w:val="18"/>
              </w:rPr>
              <w:t>5</w:t>
            </w:r>
          </w:p>
        </w:tc>
        <w:tc>
          <w:tcPr>
            <w:tcW w:w="987" w:type="pct"/>
          </w:tcPr>
          <w:p w:rsidR="00000000" w:rsidRDefault="00CA422F">
            <w:pPr>
              <w:spacing w:line="400" w:lineRule="exact"/>
              <w:jc w:val="center"/>
              <w:rPr>
                <w:rFonts w:hint="eastAsia"/>
                <w:sz w:val="18"/>
              </w:rPr>
            </w:pPr>
            <w:r>
              <w:rPr>
                <w:rFonts w:hint="eastAsia"/>
                <w:sz w:val="18"/>
              </w:rPr>
              <w:t>3</w:t>
            </w:r>
            <w:r>
              <w:rPr>
                <w:sz w:val="18"/>
              </w:rPr>
              <w:t>.</w:t>
            </w:r>
            <w:r>
              <w:rPr>
                <w:rFonts w:hint="eastAsia"/>
                <w:sz w:val="18"/>
              </w:rPr>
              <w:t>9</w:t>
            </w:r>
          </w:p>
        </w:tc>
        <w:tc>
          <w:tcPr>
            <w:tcW w:w="985" w:type="pct"/>
          </w:tcPr>
          <w:p w:rsidR="00000000" w:rsidRDefault="00CA422F">
            <w:pPr>
              <w:spacing w:line="400" w:lineRule="exact"/>
              <w:jc w:val="center"/>
              <w:rPr>
                <w:rFonts w:hint="eastAsia"/>
                <w:sz w:val="18"/>
              </w:rPr>
            </w:pPr>
            <w:r>
              <w:rPr>
                <w:rFonts w:hint="eastAsia"/>
                <w:sz w:val="18"/>
              </w:rPr>
              <w:t>1</w:t>
            </w:r>
            <w:r>
              <w:rPr>
                <w:sz w:val="18"/>
              </w:rPr>
              <w:t>.</w:t>
            </w:r>
            <w:r>
              <w:rPr>
                <w:rFonts w:hint="eastAsia"/>
                <w:sz w:val="18"/>
              </w:rPr>
              <w:t>6</w:t>
            </w:r>
          </w:p>
        </w:tc>
      </w:tr>
      <w:tr w:rsidR="00000000">
        <w:tblPrEx>
          <w:tblCellMar>
            <w:top w:w="0" w:type="dxa"/>
            <w:bottom w:w="0" w:type="dxa"/>
          </w:tblCellMar>
        </w:tblPrEx>
        <w:trPr>
          <w:trHeight w:val="284"/>
        </w:trPr>
        <w:tc>
          <w:tcPr>
            <w:tcW w:w="2040" w:type="pct"/>
          </w:tcPr>
          <w:p w:rsidR="00000000" w:rsidRDefault="00CA422F">
            <w:pPr>
              <w:spacing w:line="400" w:lineRule="exact"/>
              <w:rPr>
                <w:rFonts w:hint="eastAsia"/>
                <w:sz w:val="18"/>
              </w:rPr>
            </w:pPr>
            <w:r>
              <w:rPr>
                <w:rFonts w:hint="eastAsia"/>
                <w:sz w:val="18"/>
              </w:rPr>
              <w:t>简单积累</w:t>
            </w:r>
          </w:p>
        </w:tc>
        <w:tc>
          <w:tcPr>
            <w:tcW w:w="987" w:type="pct"/>
          </w:tcPr>
          <w:p w:rsidR="00000000" w:rsidRDefault="00CA422F">
            <w:pPr>
              <w:spacing w:line="400" w:lineRule="exact"/>
              <w:jc w:val="center"/>
              <w:rPr>
                <w:rFonts w:hint="eastAsia"/>
                <w:sz w:val="18"/>
              </w:rPr>
            </w:pPr>
            <w:r>
              <w:rPr>
                <w:rFonts w:hint="eastAsia"/>
                <w:sz w:val="18"/>
              </w:rPr>
              <w:t>1</w:t>
            </w:r>
            <w:r>
              <w:rPr>
                <w:sz w:val="18"/>
              </w:rPr>
              <w:t>3.</w:t>
            </w:r>
            <w:r>
              <w:rPr>
                <w:rFonts w:hint="eastAsia"/>
                <w:sz w:val="18"/>
              </w:rPr>
              <w:t>1</w:t>
            </w:r>
          </w:p>
        </w:tc>
        <w:tc>
          <w:tcPr>
            <w:tcW w:w="987" w:type="pct"/>
          </w:tcPr>
          <w:p w:rsidR="00000000" w:rsidRDefault="00CA422F">
            <w:pPr>
              <w:spacing w:line="400" w:lineRule="exact"/>
              <w:jc w:val="center"/>
              <w:rPr>
                <w:rFonts w:hint="eastAsia"/>
                <w:sz w:val="18"/>
              </w:rPr>
            </w:pPr>
            <w:r>
              <w:rPr>
                <w:sz w:val="18"/>
              </w:rPr>
              <w:t>9.</w:t>
            </w:r>
            <w:r>
              <w:rPr>
                <w:rFonts w:hint="eastAsia"/>
                <w:sz w:val="18"/>
              </w:rPr>
              <w:t>8</w:t>
            </w:r>
          </w:p>
        </w:tc>
        <w:tc>
          <w:tcPr>
            <w:tcW w:w="985" w:type="pct"/>
          </w:tcPr>
          <w:p w:rsidR="00000000" w:rsidRDefault="00CA422F">
            <w:pPr>
              <w:spacing w:line="400" w:lineRule="exact"/>
              <w:jc w:val="center"/>
              <w:rPr>
                <w:rFonts w:hint="eastAsia"/>
                <w:sz w:val="18"/>
              </w:rPr>
            </w:pPr>
            <w:r>
              <w:rPr>
                <w:sz w:val="18"/>
              </w:rPr>
              <w:t>3.</w:t>
            </w:r>
            <w:r>
              <w:rPr>
                <w:rFonts w:hint="eastAsia"/>
                <w:sz w:val="18"/>
              </w:rPr>
              <w:t>3</w:t>
            </w:r>
          </w:p>
        </w:tc>
      </w:tr>
      <w:tr w:rsidR="00000000">
        <w:tblPrEx>
          <w:tblCellMar>
            <w:top w:w="0" w:type="dxa"/>
            <w:bottom w:w="0" w:type="dxa"/>
          </w:tblCellMar>
        </w:tblPrEx>
        <w:trPr>
          <w:trHeight w:val="284"/>
        </w:trPr>
        <w:tc>
          <w:tcPr>
            <w:tcW w:w="2040" w:type="pct"/>
          </w:tcPr>
          <w:p w:rsidR="00000000" w:rsidRDefault="00CA422F">
            <w:pPr>
              <w:spacing w:line="400" w:lineRule="exact"/>
              <w:rPr>
                <w:rFonts w:hint="eastAsia"/>
                <w:sz w:val="18"/>
              </w:rPr>
            </w:pPr>
            <w:r>
              <w:rPr>
                <w:rFonts w:hint="eastAsia"/>
                <w:sz w:val="18"/>
              </w:rPr>
              <w:t>满足基本需求的工作</w:t>
            </w:r>
          </w:p>
        </w:tc>
        <w:tc>
          <w:tcPr>
            <w:tcW w:w="987" w:type="pct"/>
          </w:tcPr>
          <w:p w:rsidR="00000000" w:rsidRDefault="00CA422F">
            <w:pPr>
              <w:spacing w:line="400" w:lineRule="exact"/>
              <w:jc w:val="center"/>
              <w:rPr>
                <w:rFonts w:hint="eastAsia"/>
                <w:sz w:val="18"/>
              </w:rPr>
            </w:pPr>
            <w:r>
              <w:rPr>
                <w:rFonts w:hint="eastAsia"/>
                <w:sz w:val="18"/>
              </w:rPr>
              <w:t>6</w:t>
            </w:r>
            <w:r>
              <w:rPr>
                <w:sz w:val="18"/>
              </w:rPr>
              <w:t>.</w:t>
            </w:r>
            <w:r>
              <w:rPr>
                <w:rFonts w:hint="eastAsia"/>
                <w:sz w:val="18"/>
              </w:rPr>
              <w:t>5</w:t>
            </w:r>
          </w:p>
        </w:tc>
        <w:tc>
          <w:tcPr>
            <w:tcW w:w="987" w:type="pct"/>
          </w:tcPr>
          <w:p w:rsidR="00000000" w:rsidRDefault="00CA422F">
            <w:pPr>
              <w:spacing w:line="400" w:lineRule="exact"/>
              <w:jc w:val="center"/>
              <w:rPr>
                <w:rFonts w:hint="eastAsia"/>
                <w:sz w:val="18"/>
              </w:rPr>
            </w:pPr>
            <w:r>
              <w:rPr>
                <w:rFonts w:hint="eastAsia"/>
                <w:sz w:val="18"/>
              </w:rPr>
              <w:t>12</w:t>
            </w:r>
            <w:r>
              <w:rPr>
                <w:sz w:val="18"/>
              </w:rPr>
              <w:t>.</w:t>
            </w:r>
            <w:r>
              <w:rPr>
                <w:rFonts w:hint="eastAsia"/>
                <w:sz w:val="18"/>
              </w:rPr>
              <w:t>8</w:t>
            </w:r>
          </w:p>
        </w:tc>
        <w:tc>
          <w:tcPr>
            <w:tcW w:w="985" w:type="pct"/>
          </w:tcPr>
          <w:p w:rsidR="00000000" w:rsidRDefault="00CA422F">
            <w:pPr>
              <w:spacing w:line="400" w:lineRule="exact"/>
              <w:jc w:val="center"/>
              <w:rPr>
                <w:rFonts w:hint="eastAsia"/>
                <w:sz w:val="18"/>
              </w:rPr>
            </w:pPr>
            <w:r>
              <w:rPr>
                <w:rFonts w:hint="eastAsia"/>
                <w:sz w:val="18"/>
              </w:rPr>
              <w:t>-6</w:t>
            </w:r>
            <w:r>
              <w:rPr>
                <w:sz w:val="18"/>
              </w:rPr>
              <w:t>.</w:t>
            </w:r>
            <w:r>
              <w:rPr>
                <w:rFonts w:hint="eastAsia"/>
                <w:sz w:val="18"/>
              </w:rPr>
              <w:t>3</w:t>
            </w:r>
          </w:p>
        </w:tc>
      </w:tr>
      <w:tr w:rsidR="00000000">
        <w:tblPrEx>
          <w:tblCellMar>
            <w:top w:w="0" w:type="dxa"/>
            <w:bottom w:w="0" w:type="dxa"/>
          </w:tblCellMar>
        </w:tblPrEx>
        <w:trPr>
          <w:trHeight w:val="284"/>
        </w:trPr>
        <w:tc>
          <w:tcPr>
            <w:tcW w:w="2040" w:type="pct"/>
          </w:tcPr>
          <w:p w:rsidR="00000000" w:rsidRDefault="00CA422F">
            <w:pPr>
              <w:spacing w:line="400" w:lineRule="exact"/>
              <w:rPr>
                <w:rFonts w:hint="eastAsia"/>
                <w:sz w:val="18"/>
              </w:rPr>
            </w:pPr>
            <w:r>
              <w:rPr>
                <w:rFonts w:hint="eastAsia"/>
                <w:sz w:val="18"/>
              </w:rPr>
              <w:t>家务劳动</w:t>
            </w:r>
          </w:p>
        </w:tc>
        <w:tc>
          <w:tcPr>
            <w:tcW w:w="987" w:type="pct"/>
          </w:tcPr>
          <w:p w:rsidR="00000000" w:rsidRDefault="00CA422F">
            <w:pPr>
              <w:spacing w:line="400" w:lineRule="exact"/>
              <w:jc w:val="center"/>
              <w:rPr>
                <w:rFonts w:hint="eastAsia"/>
                <w:sz w:val="18"/>
              </w:rPr>
            </w:pPr>
            <w:r>
              <w:rPr>
                <w:rFonts w:hint="eastAsia"/>
                <w:sz w:val="18"/>
              </w:rPr>
              <w:t>0</w:t>
            </w:r>
            <w:r>
              <w:rPr>
                <w:sz w:val="18"/>
              </w:rPr>
              <w:t>.</w:t>
            </w:r>
            <w:r>
              <w:rPr>
                <w:rFonts w:hint="eastAsia"/>
                <w:sz w:val="18"/>
              </w:rPr>
              <w:t>4</w:t>
            </w:r>
          </w:p>
        </w:tc>
        <w:tc>
          <w:tcPr>
            <w:tcW w:w="987" w:type="pct"/>
          </w:tcPr>
          <w:p w:rsidR="00000000" w:rsidRDefault="00CA422F">
            <w:pPr>
              <w:spacing w:line="400" w:lineRule="exact"/>
              <w:jc w:val="center"/>
              <w:rPr>
                <w:rFonts w:hint="eastAsia"/>
                <w:sz w:val="18"/>
              </w:rPr>
            </w:pPr>
            <w:r>
              <w:rPr>
                <w:rFonts w:hint="eastAsia"/>
                <w:sz w:val="18"/>
              </w:rPr>
              <w:t>14</w:t>
            </w:r>
            <w:r>
              <w:rPr>
                <w:sz w:val="18"/>
              </w:rPr>
              <w:t>.</w:t>
            </w:r>
            <w:r>
              <w:rPr>
                <w:rFonts w:hint="eastAsia"/>
                <w:sz w:val="18"/>
              </w:rPr>
              <w:t>5</w:t>
            </w:r>
          </w:p>
        </w:tc>
        <w:tc>
          <w:tcPr>
            <w:tcW w:w="985" w:type="pct"/>
          </w:tcPr>
          <w:p w:rsidR="00000000" w:rsidRDefault="00CA422F">
            <w:pPr>
              <w:spacing w:line="400" w:lineRule="exact"/>
              <w:jc w:val="center"/>
              <w:rPr>
                <w:rFonts w:hint="eastAsia"/>
                <w:sz w:val="18"/>
              </w:rPr>
            </w:pPr>
            <w:r>
              <w:rPr>
                <w:rFonts w:hint="eastAsia"/>
                <w:sz w:val="18"/>
              </w:rPr>
              <w:t>-14</w:t>
            </w:r>
            <w:r>
              <w:rPr>
                <w:sz w:val="18"/>
              </w:rPr>
              <w:t>.</w:t>
            </w:r>
            <w:r>
              <w:rPr>
                <w:rFonts w:hint="eastAsia"/>
                <w:sz w:val="18"/>
              </w:rPr>
              <w:t>1</w:t>
            </w:r>
          </w:p>
        </w:tc>
      </w:tr>
    </w:tbl>
    <w:p w:rsidR="00000000" w:rsidRDefault="00CA422F">
      <w:pPr>
        <w:spacing w:after="240" w:line="360" w:lineRule="exact"/>
        <w:rPr>
          <w:rFonts w:hint="eastAsia"/>
          <w:sz w:val="18"/>
        </w:rPr>
      </w:pPr>
      <w:r>
        <w:rPr>
          <w:rFonts w:hint="eastAsia"/>
          <w:sz w:val="18"/>
        </w:rPr>
        <w:t>资料来源：民族国家计划，</w:t>
      </w:r>
      <w:r>
        <w:rPr>
          <w:rFonts w:hint="eastAsia"/>
          <w:sz w:val="18"/>
        </w:rPr>
        <w:t>2001</w:t>
      </w:r>
      <w:r>
        <w:rPr>
          <w:rFonts w:hint="eastAsia"/>
          <w:sz w:val="18"/>
        </w:rPr>
        <w:t>年。</w:t>
      </w:r>
    </w:p>
    <w:p w:rsidR="00000000" w:rsidRDefault="00CA422F">
      <w:pPr>
        <w:spacing w:after="240" w:line="380" w:lineRule="exact"/>
        <w:rPr>
          <w:rFonts w:hint="eastAsia"/>
        </w:rPr>
      </w:pPr>
      <w:r>
        <w:rPr>
          <w:rFonts w:hint="eastAsia"/>
        </w:rPr>
        <w:t>36</w:t>
      </w:r>
      <w:r>
        <w:rPr>
          <w:rFonts w:hint="eastAsia"/>
        </w:rPr>
        <w:t>9</w:t>
      </w:r>
      <w:r>
        <w:rPr>
          <w:rFonts w:hint="eastAsia"/>
        </w:rPr>
        <w:t>．妇女组织指出，在经济的开放和全球化过程中，女性大量集中在诸如自营行业、微型企业和化妆美容等不稳定和非固定行业中，是导致生活质量下降的一大因素，其结果便是践踏了女性享有的劳动权利。</w:t>
      </w:r>
    </w:p>
    <w:p w:rsidR="00000000" w:rsidRDefault="00CA422F">
      <w:pPr>
        <w:spacing w:after="240" w:line="380" w:lineRule="exact"/>
        <w:jc w:val="center"/>
        <w:rPr>
          <w:rFonts w:eastAsia="SimHei" w:hint="eastAsia"/>
          <w:sz w:val="24"/>
        </w:rPr>
      </w:pPr>
      <w:r>
        <w:rPr>
          <w:rFonts w:eastAsia="SimHei" w:hint="eastAsia"/>
          <w:sz w:val="24"/>
        </w:rPr>
        <w:t>无偿家务劳动</w:t>
      </w:r>
    </w:p>
    <w:p w:rsidR="00000000" w:rsidRDefault="00CA422F">
      <w:pPr>
        <w:spacing w:after="240" w:line="380" w:lineRule="exact"/>
        <w:rPr>
          <w:rFonts w:hint="eastAsia"/>
        </w:rPr>
      </w:pPr>
      <w:r>
        <w:rPr>
          <w:rFonts w:hint="eastAsia"/>
        </w:rPr>
        <w:t>370</w:t>
      </w:r>
      <w:r>
        <w:rPr>
          <w:rFonts w:hint="eastAsia"/>
        </w:rPr>
        <w:t>．国家清算制度并没有将主要落在女性身上的繁衍后代责任纳入劳动范围之内。将这项工作以货币形式纳入国民生产总值计算范围之内的想法已经出现，并且自</w:t>
      </w:r>
      <w:r>
        <w:rPr>
          <w:rFonts w:hint="eastAsia"/>
        </w:rPr>
        <w:t>1996</w:t>
      </w:r>
      <w:r>
        <w:rPr>
          <w:rFonts w:hint="eastAsia"/>
        </w:rPr>
        <w:t>年以来民族国家计划一直在对该责任进行评估。来自计算国内的时间使用调查中完全没有提及女性用于完成该项任务所需时间，各种限制条件使得无法获得比较确凿的数据。然而，虽</w:t>
      </w:r>
      <w:r>
        <w:rPr>
          <w:rFonts w:hint="eastAsia"/>
        </w:rPr>
        <w:t>然存在方法学领域和上述各类条件中的限制（参见民族国家计划，</w:t>
      </w:r>
      <w:r>
        <w:rPr>
          <w:rFonts w:hint="eastAsia"/>
        </w:rPr>
        <w:t>1998</w:t>
      </w:r>
      <w:r>
        <w:rPr>
          <w:rFonts w:hint="eastAsia"/>
        </w:rPr>
        <w:t>年，第四次报告），推定该评估工作无疑是正确的，正好以此说明那种认为女性生儿育女的活动对国家经济没有任何贡献的想法是完全错误的。</w:t>
      </w:r>
    </w:p>
    <w:p w:rsidR="00000000" w:rsidRDefault="00CA422F">
      <w:pPr>
        <w:spacing w:after="240" w:line="360" w:lineRule="exact"/>
        <w:jc w:val="center"/>
        <w:rPr>
          <w:rFonts w:ascii="SimHei" w:eastAsia="SimHei" w:hint="eastAsia"/>
        </w:rPr>
      </w:pPr>
      <w:r>
        <w:rPr>
          <w:rFonts w:ascii="SimHei" w:eastAsia="SimHei"/>
        </w:rPr>
        <w:br w:type="page"/>
      </w:r>
      <w:r>
        <w:rPr>
          <w:rFonts w:ascii="SimHei" w:eastAsia="SimHei" w:hint="eastAsia"/>
        </w:rPr>
        <w:t>表</w:t>
      </w:r>
      <w:r>
        <w:rPr>
          <w:rFonts w:ascii="SimHei" w:eastAsia="SimHei" w:hint="eastAsia"/>
        </w:rPr>
        <w:t>12</w:t>
      </w:r>
      <w:r>
        <w:rPr>
          <w:rFonts w:ascii="SimHei" w:eastAsia="SimHei"/>
        </w:rPr>
        <w:br/>
      </w:r>
      <w:r>
        <w:rPr>
          <w:rFonts w:ascii="SimHei" w:eastAsia="SimHei" w:hint="eastAsia"/>
        </w:rPr>
        <w:t>无偿家务劳动在国内生产总值中所占的比率，</w:t>
      </w:r>
      <w:r>
        <w:rPr>
          <w:rFonts w:ascii="SimHei" w:eastAsia="SimHei"/>
        </w:rPr>
        <w:br/>
      </w:r>
      <w:r>
        <w:rPr>
          <w:rFonts w:ascii="SimHei" w:eastAsia="SimHei" w:hint="eastAsia"/>
        </w:rPr>
        <w:t>1995</w:t>
      </w:r>
      <w:r>
        <w:rPr>
          <w:rFonts w:ascii="SimHei" w:eastAsia="SimHei" w:hint="eastAsia"/>
        </w:rPr>
        <w:t>－</w:t>
      </w:r>
      <w:r>
        <w:rPr>
          <w:rFonts w:ascii="SimHei" w:eastAsia="SimHei" w:hint="eastAsia"/>
        </w:rPr>
        <w:t>1997</w:t>
      </w:r>
      <w:r>
        <w:rPr>
          <w:rFonts w:ascii="SimHei" w:eastAsia="SimHei"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6"/>
        <w:gridCol w:w="1530"/>
        <w:gridCol w:w="1530"/>
        <w:gridCol w:w="1528"/>
      </w:tblGrid>
      <w:tr w:rsidR="00000000">
        <w:tblPrEx>
          <w:tblCellMar>
            <w:top w:w="0" w:type="dxa"/>
            <w:bottom w:w="0" w:type="dxa"/>
          </w:tblCellMar>
        </w:tblPrEx>
        <w:tc>
          <w:tcPr>
            <w:tcW w:w="2697" w:type="pct"/>
          </w:tcPr>
          <w:p w:rsidR="00000000" w:rsidRDefault="00CA422F">
            <w:pPr>
              <w:spacing w:line="360" w:lineRule="exact"/>
              <w:rPr>
                <w:rFonts w:hint="eastAsia"/>
                <w:sz w:val="18"/>
              </w:rPr>
            </w:pPr>
            <w:r>
              <w:rPr>
                <w:rFonts w:hint="eastAsia"/>
                <w:sz w:val="18"/>
              </w:rPr>
              <w:t>家务劳动在国内生产总值中所占％</w:t>
            </w:r>
          </w:p>
        </w:tc>
        <w:tc>
          <w:tcPr>
            <w:tcW w:w="768" w:type="pct"/>
          </w:tcPr>
          <w:p w:rsidR="00000000" w:rsidRDefault="00CA422F">
            <w:pPr>
              <w:spacing w:line="360" w:lineRule="exact"/>
              <w:jc w:val="center"/>
              <w:rPr>
                <w:rFonts w:hint="eastAsia"/>
                <w:sz w:val="18"/>
              </w:rPr>
            </w:pPr>
            <w:r>
              <w:rPr>
                <w:rFonts w:hint="eastAsia"/>
                <w:sz w:val="18"/>
              </w:rPr>
              <w:t>1995</w:t>
            </w:r>
          </w:p>
        </w:tc>
        <w:tc>
          <w:tcPr>
            <w:tcW w:w="768" w:type="pct"/>
          </w:tcPr>
          <w:p w:rsidR="00000000" w:rsidRDefault="00CA422F">
            <w:pPr>
              <w:spacing w:line="360" w:lineRule="exact"/>
              <w:jc w:val="center"/>
              <w:rPr>
                <w:rFonts w:hint="eastAsia"/>
                <w:sz w:val="18"/>
              </w:rPr>
            </w:pPr>
            <w:r>
              <w:rPr>
                <w:rFonts w:hint="eastAsia"/>
                <w:sz w:val="18"/>
              </w:rPr>
              <w:t>1996</w:t>
            </w:r>
          </w:p>
        </w:tc>
        <w:tc>
          <w:tcPr>
            <w:tcW w:w="768" w:type="pct"/>
          </w:tcPr>
          <w:p w:rsidR="00000000" w:rsidRDefault="00CA422F">
            <w:pPr>
              <w:spacing w:line="360" w:lineRule="exact"/>
              <w:jc w:val="center"/>
              <w:rPr>
                <w:rFonts w:hint="eastAsia"/>
                <w:sz w:val="18"/>
              </w:rPr>
            </w:pPr>
            <w:r>
              <w:rPr>
                <w:rFonts w:hint="eastAsia"/>
                <w:sz w:val="18"/>
              </w:rPr>
              <w:t>1997</w:t>
            </w:r>
          </w:p>
        </w:tc>
      </w:tr>
      <w:tr w:rsidR="00000000">
        <w:tblPrEx>
          <w:tblCellMar>
            <w:top w:w="0" w:type="dxa"/>
            <w:bottom w:w="0" w:type="dxa"/>
          </w:tblCellMar>
        </w:tblPrEx>
        <w:tc>
          <w:tcPr>
            <w:tcW w:w="2697" w:type="pct"/>
          </w:tcPr>
          <w:p w:rsidR="00000000" w:rsidRDefault="00CA422F">
            <w:pPr>
              <w:spacing w:line="360" w:lineRule="exact"/>
              <w:rPr>
                <w:rFonts w:hint="eastAsia"/>
                <w:sz w:val="18"/>
              </w:rPr>
            </w:pPr>
            <w:r>
              <w:rPr>
                <w:rFonts w:hint="eastAsia"/>
                <w:sz w:val="18"/>
              </w:rPr>
              <w:t>新的国民账户（第五册）</w:t>
            </w:r>
          </w:p>
        </w:tc>
        <w:tc>
          <w:tcPr>
            <w:tcW w:w="768" w:type="pct"/>
          </w:tcPr>
          <w:p w:rsidR="00000000" w:rsidRDefault="00CA422F">
            <w:pPr>
              <w:spacing w:line="360" w:lineRule="exact"/>
              <w:jc w:val="center"/>
              <w:rPr>
                <w:rFonts w:hint="eastAsia"/>
                <w:sz w:val="18"/>
              </w:rPr>
            </w:pPr>
            <w:r>
              <w:rPr>
                <w:rFonts w:hint="eastAsia"/>
                <w:sz w:val="18"/>
              </w:rPr>
              <w:t>9.4</w:t>
            </w:r>
          </w:p>
        </w:tc>
        <w:tc>
          <w:tcPr>
            <w:tcW w:w="768" w:type="pct"/>
          </w:tcPr>
          <w:p w:rsidR="00000000" w:rsidRDefault="00CA422F">
            <w:pPr>
              <w:spacing w:line="360" w:lineRule="exact"/>
              <w:jc w:val="center"/>
              <w:rPr>
                <w:rFonts w:hint="eastAsia"/>
                <w:sz w:val="18"/>
              </w:rPr>
            </w:pPr>
            <w:r>
              <w:rPr>
                <w:rFonts w:hint="eastAsia"/>
                <w:sz w:val="18"/>
              </w:rPr>
              <w:t>10.6</w:t>
            </w:r>
          </w:p>
        </w:tc>
        <w:tc>
          <w:tcPr>
            <w:tcW w:w="768" w:type="pct"/>
          </w:tcPr>
          <w:p w:rsidR="00000000" w:rsidRDefault="00CA422F">
            <w:pPr>
              <w:spacing w:line="360" w:lineRule="exact"/>
              <w:jc w:val="center"/>
              <w:rPr>
                <w:rFonts w:hint="eastAsia"/>
                <w:sz w:val="18"/>
              </w:rPr>
            </w:pPr>
            <w:r>
              <w:rPr>
                <w:rFonts w:hint="eastAsia"/>
                <w:sz w:val="18"/>
              </w:rPr>
              <w:t>10.5</w:t>
            </w:r>
          </w:p>
        </w:tc>
      </w:tr>
      <w:tr w:rsidR="00000000">
        <w:tblPrEx>
          <w:tblCellMar>
            <w:top w:w="0" w:type="dxa"/>
            <w:bottom w:w="0" w:type="dxa"/>
          </w:tblCellMar>
        </w:tblPrEx>
        <w:tc>
          <w:tcPr>
            <w:tcW w:w="2697" w:type="pct"/>
          </w:tcPr>
          <w:p w:rsidR="00000000" w:rsidRDefault="00CA422F">
            <w:pPr>
              <w:spacing w:line="360" w:lineRule="exact"/>
              <w:rPr>
                <w:rFonts w:hint="eastAsia"/>
                <w:sz w:val="18"/>
              </w:rPr>
            </w:pPr>
            <w:r>
              <w:rPr>
                <w:rFonts w:hint="eastAsia"/>
                <w:sz w:val="18"/>
              </w:rPr>
              <w:t>未经调整的国内生产总值（原始数据）</w:t>
            </w:r>
          </w:p>
        </w:tc>
        <w:tc>
          <w:tcPr>
            <w:tcW w:w="768" w:type="pct"/>
          </w:tcPr>
          <w:p w:rsidR="00000000" w:rsidRDefault="00CA422F">
            <w:pPr>
              <w:spacing w:line="360" w:lineRule="exact"/>
              <w:jc w:val="center"/>
              <w:rPr>
                <w:rFonts w:hint="eastAsia"/>
                <w:sz w:val="18"/>
              </w:rPr>
            </w:pPr>
            <w:r>
              <w:rPr>
                <w:rFonts w:hint="eastAsia"/>
                <w:sz w:val="18"/>
              </w:rPr>
              <w:t>12.13</w:t>
            </w:r>
          </w:p>
        </w:tc>
        <w:tc>
          <w:tcPr>
            <w:tcW w:w="768" w:type="pct"/>
          </w:tcPr>
          <w:p w:rsidR="00000000" w:rsidRDefault="00CA422F">
            <w:pPr>
              <w:spacing w:line="360" w:lineRule="exact"/>
              <w:jc w:val="center"/>
              <w:rPr>
                <w:rFonts w:hint="eastAsia"/>
                <w:sz w:val="18"/>
              </w:rPr>
            </w:pPr>
            <w:r>
              <w:rPr>
                <w:rFonts w:hint="eastAsia"/>
                <w:sz w:val="18"/>
              </w:rPr>
              <w:t>13.77</w:t>
            </w:r>
          </w:p>
        </w:tc>
        <w:tc>
          <w:tcPr>
            <w:tcW w:w="768" w:type="pct"/>
          </w:tcPr>
          <w:p w:rsidR="00000000" w:rsidRDefault="00CA422F">
            <w:pPr>
              <w:spacing w:line="360" w:lineRule="exact"/>
              <w:jc w:val="center"/>
              <w:rPr>
                <w:rFonts w:hint="eastAsia"/>
                <w:sz w:val="18"/>
              </w:rPr>
            </w:pPr>
            <w:r>
              <w:rPr>
                <w:rFonts w:hint="eastAsia"/>
                <w:sz w:val="18"/>
              </w:rPr>
              <w:t>14.07</w:t>
            </w:r>
          </w:p>
        </w:tc>
      </w:tr>
    </w:tbl>
    <w:p w:rsidR="00000000" w:rsidRDefault="00CA422F">
      <w:pPr>
        <w:spacing w:after="240" w:line="360" w:lineRule="exact"/>
        <w:rPr>
          <w:rFonts w:hint="eastAsia"/>
          <w:sz w:val="18"/>
        </w:rPr>
      </w:pPr>
      <w:r>
        <w:rPr>
          <w:rFonts w:hint="eastAsia"/>
          <w:sz w:val="18"/>
        </w:rPr>
        <w:t>资料来源：</w:t>
      </w:r>
      <w:r>
        <w:rPr>
          <w:sz w:val="18"/>
          <w:lang w:val="es-ES"/>
        </w:rPr>
        <w:t>Sánchez</w:t>
      </w:r>
      <w:r>
        <w:rPr>
          <w:rFonts w:hint="eastAsia"/>
          <w:sz w:val="18"/>
          <w:lang w:val="es-ES"/>
        </w:rPr>
        <w:t>，</w:t>
      </w:r>
      <w:r>
        <w:rPr>
          <w:sz w:val="18"/>
          <w:lang w:val="es-ES"/>
        </w:rPr>
        <w:t>E</w:t>
      </w:r>
      <w:r>
        <w:rPr>
          <w:rFonts w:hint="eastAsia"/>
          <w:sz w:val="18"/>
        </w:rPr>
        <w:t>，民族国家计划，</w:t>
      </w:r>
      <w:r>
        <w:rPr>
          <w:rFonts w:hint="eastAsia"/>
          <w:sz w:val="18"/>
        </w:rPr>
        <w:t>2002</w:t>
      </w:r>
      <w:r>
        <w:rPr>
          <w:rFonts w:hint="eastAsia"/>
          <w:sz w:val="18"/>
        </w:rPr>
        <w:t>年。</w:t>
      </w:r>
    </w:p>
    <w:p w:rsidR="00000000" w:rsidRDefault="00CA422F">
      <w:pPr>
        <w:spacing w:after="240" w:line="360" w:lineRule="exact"/>
        <w:rPr>
          <w:rFonts w:hint="eastAsia"/>
        </w:rPr>
      </w:pPr>
      <w:r>
        <w:rPr>
          <w:rFonts w:hint="eastAsia"/>
        </w:rPr>
        <w:t>371</w:t>
      </w:r>
      <w:r>
        <w:rPr>
          <w:rFonts w:hint="eastAsia"/>
        </w:rPr>
        <w:t>．在信息来源所涉及的年份（见附件</w:t>
      </w:r>
      <w:r>
        <w:rPr>
          <w:rFonts w:hint="eastAsia"/>
        </w:rPr>
        <w:t>1</w:t>
      </w:r>
      <w:r>
        <w:rPr>
          <w:rFonts w:hint="eastAsia"/>
        </w:rPr>
        <w:t>）中，家务劳动在国内生产总值中所占比例在</w:t>
      </w:r>
      <w:r>
        <w:rPr>
          <w:rFonts w:hint="eastAsia"/>
        </w:rPr>
        <w:t>12%</w:t>
      </w:r>
      <w:r>
        <w:rPr>
          <w:rFonts w:hint="eastAsia"/>
        </w:rPr>
        <w:t>至</w:t>
      </w:r>
      <w:r>
        <w:rPr>
          <w:rFonts w:hint="eastAsia"/>
        </w:rPr>
        <w:t>14%</w:t>
      </w:r>
      <w:r>
        <w:rPr>
          <w:rFonts w:hint="eastAsia"/>
        </w:rPr>
        <w:t>之间。中央银行</w:t>
      </w:r>
      <w:r>
        <w:rPr>
          <w:rFonts w:hint="eastAsia"/>
        </w:rPr>
        <w:t>2000</w:t>
      </w:r>
      <w:r>
        <w:rPr>
          <w:rFonts w:hint="eastAsia"/>
        </w:rPr>
        <w:t>年对国民账户进行重新清算，发现由于国内生产总值下降了近</w:t>
      </w:r>
      <w:r>
        <w:rPr>
          <w:rFonts w:hint="eastAsia"/>
        </w:rPr>
        <w:t>30</w:t>
      </w:r>
      <w:r>
        <w:rPr>
          <w:rFonts w:hint="eastAsia"/>
        </w:rPr>
        <w:t>％，所有同国内生产总值相关的指数都出现了下降的趋势。家务劳动所占比例也随着国内生产总值的下降而有所降低，在</w:t>
      </w:r>
      <w:r>
        <w:rPr>
          <w:rFonts w:hint="eastAsia"/>
        </w:rPr>
        <w:t>9%</w:t>
      </w:r>
      <w:r>
        <w:rPr>
          <w:rFonts w:hint="eastAsia"/>
        </w:rPr>
        <w:t>至</w:t>
      </w:r>
      <w:r>
        <w:rPr>
          <w:rFonts w:hint="eastAsia"/>
        </w:rPr>
        <w:t>10%</w:t>
      </w:r>
      <w:r>
        <w:rPr>
          <w:rFonts w:hint="eastAsia"/>
        </w:rPr>
        <w:t>之间。应该重点指出的是，劳动部和国家妇女研究所合作，于</w:t>
      </w:r>
      <w:r>
        <w:rPr>
          <w:rFonts w:hint="eastAsia"/>
        </w:rPr>
        <w:t>1999</w:t>
      </w:r>
      <w:r>
        <w:rPr>
          <w:rFonts w:hint="eastAsia"/>
        </w:rPr>
        <w:t>年采用更先进的方法，对该比例重新进行计算。</w:t>
      </w:r>
    </w:p>
    <w:p w:rsidR="00000000" w:rsidRDefault="00CA422F">
      <w:pPr>
        <w:spacing w:after="240" w:line="360" w:lineRule="exact"/>
        <w:jc w:val="center"/>
        <w:rPr>
          <w:rFonts w:eastAsia="SimHei" w:hint="eastAsia"/>
          <w:sz w:val="24"/>
        </w:rPr>
      </w:pPr>
      <w:r>
        <w:rPr>
          <w:rFonts w:eastAsia="SimHei" w:hint="eastAsia"/>
          <w:sz w:val="24"/>
        </w:rPr>
        <w:t>有偿家务劳动：女性家庭义务的延伸</w:t>
      </w:r>
    </w:p>
    <w:p w:rsidR="00000000" w:rsidRDefault="00CA422F">
      <w:pPr>
        <w:spacing w:after="240" w:line="360" w:lineRule="exact"/>
        <w:rPr>
          <w:rFonts w:hint="eastAsia"/>
        </w:rPr>
      </w:pPr>
      <w:r>
        <w:rPr>
          <w:rFonts w:hint="eastAsia"/>
        </w:rPr>
        <w:t>372</w:t>
      </w:r>
      <w:r>
        <w:rPr>
          <w:rFonts w:hint="eastAsia"/>
        </w:rPr>
        <w:t>．作为生产活动的有偿家务劳动几乎全部由女性承担，对此现象的评价明显不</w:t>
      </w:r>
      <w:r>
        <w:rPr>
          <w:rFonts w:hint="eastAsia"/>
        </w:rPr>
        <w:t>足。根据这个观点，该行业的现有劳动制度同其它行业的劳动制度存在着一定差距：如歧视和特殊现象极为普遍，主要特点集中在每天工作长达十二个小时，休息时间减半，每星期只能休息一天，而且星期天也不一定能休息（《劳动法》第八章）。家务劳动是私人领域中工资最低的行业，目前该行业的月收入总额只有</w:t>
      </w:r>
      <w:r>
        <w:rPr>
          <w:rFonts w:hint="eastAsia"/>
        </w:rPr>
        <w:t>47 963</w:t>
      </w:r>
      <w:r>
        <w:rPr>
          <w:rFonts w:hint="eastAsia"/>
        </w:rPr>
        <w:t>科朗（合</w:t>
      </w:r>
      <w:r>
        <w:rPr>
          <w:rFonts w:hint="eastAsia"/>
        </w:rPr>
        <w:t>143.60</w:t>
      </w:r>
      <w:r>
        <w:rPr>
          <w:rFonts w:hint="eastAsia"/>
        </w:rPr>
        <w:t>美元）（民族国家计划，</w:t>
      </w:r>
      <w:r>
        <w:rPr>
          <w:rFonts w:hint="eastAsia"/>
        </w:rPr>
        <w:t>2001</w:t>
      </w:r>
      <w:r>
        <w:rPr>
          <w:rFonts w:hint="eastAsia"/>
        </w:rPr>
        <w:t>年）。</w:t>
      </w:r>
    </w:p>
    <w:p w:rsidR="00000000" w:rsidRDefault="00CA422F">
      <w:pPr>
        <w:spacing w:after="240" w:line="360" w:lineRule="exact"/>
        <w:rPr>
          <w:rFonts w:hint="eastAsia"/>
          <w:lang w:val="es-ES"/>
        </w:rPr>
      </w:pPr>
      <w:r>
        <w:rPr>
          <w:rFonts w:hint="eastAsia"/>
        </w:rPr>
        <w:t>373</w:t>
      </w:r>
      <w:r>
        <w:rPr>
          <w:rFonts w:hint="eastAsia"/>
        </w:rPr>
        <w:t>．从事有偿家务劳动的女性总体来说无法享受劳动保护和社会保障范围内的医疗保险及养老保险等权利，而基本的社会保障应该包括劳动事故保险、医疗保险、养老保险以及意外</w:t>
      </w:r>
      <w:r>
        <w:rPr>
          <w:rFonts w:hint="eastAsia"/>
        </w:rPr>
        <w:t>伤亡保险等。截止</w:t>
      </w:r>
      <w:r>
        <w:rPr>
          <w:rFonts w:hint="eastAsia"/>
        </w:rPr>
        <w:t>2000</w:t>
      </w:r>
      <w:r>
        <w:rPr>
          <w:rFonts w:hint="eastAsia"/>
        </w:rPr>
        <w:t>年</w:t>
      </w:r>
      <w:r>
        <w:rPr>
          <w:rFonts w:hint="eastAsia"/>
        </w:rPr>
        <w:t>12</w:t>
      </w:r>
      <w:r>
        <w:rPr>
          <w:rFonts w:hint="eastAsia"/>
        </w:rPr>
        <w:t>月，《残疾</w:t>
      </w:r>
      <w:r>
        <w:rPr>
          <w:rFonts w:hint="eastAsia"/>
          <w:lang w:val="es-ES"/>
        </w:rPr>
        <w:t>、养老和伤亡保障法》提交的各项数据表明，只有</w:t>
      </w:r>
      <w:r>
        <w:rPr>
          <w:rFonts w:hint="eastAsia"/>
          <w:lang w:val="es-ES"/>
        </w:rPr>
        <w:t>7 514</w:t>
      </w:r>
      <w:r>
        <w:rPr>
          <w:rFonts w:hint="eastAsia"/>
          <w:lang w:val="es-ES"/>
        </w:rPr>
        <w:t>名女性家务劳动者有权享受上述保障。同当年十一月和十月分别为</w:t>
      </w:r>
      <w:r>
        <w:rPr>
          <w:rFonts w:hint="eastAsia"/>
          <w:lang w:val="es-ES"/>
        </w:rPr>
        <w:t>7 617</w:t>
      </w:r>
      <w:r>
        <w:rPr>
          <w:rFonts w:hint="eastAsia"/>
          <w:lang w:val="es-ES"/>
        </w:rPr>
        <w:t>人和</w:t>
      </w:r>
      <w:r>
        <w:rPr>
          <w:rFonts w:hint="eastAsia"/>
          <w:lang w:val="es-ES"/>
        </w:rPr>
        <w:t>7 607</w:t>
      </w:r>
      <w:r>
        <w:rPr>
          <w:rFonts w:hint="eastAsia"/>
          <w:lang w:val="es-ES"/>
        </w:rPr>
        <w:t>人的数据相比，已出现一定程度的下降。这种下降趋势虽然不甚明显，但在该行业的劳动力市场上无法找到出现上述现象的合理因素（企业主、劳动者及薪酬调查，保险统计和经济计划部，哥斯达黎加社会保险公司，</w:t>
      </w:r>
      <w:r>
        <w:rPr>
          <w:rFonts w:hint="eastAsia"/>
          <w:lang w:val="es-ES"/>
        </w:rPr>
        <w:t>2000</w:t>
      </w:r>
      <w:r>
        <w:rPr>
          <w:rFonts w:hint="eastAsia"/>
          <w:lang w:val="es-ES"/>
        </w:rPr>
        <w:t>年）。</w:t>
      </w:r>
      <w:r>
        <w:rPr>
          <w:rFonts w:hint="eastAsia"/>
          <w:lang w:val="es-ES"/>
        </w:rPr>
        <w:t>2000</w:t>
      </w:r>
      <w:r>
        <w:rPr>
          <w:rFonts w:hint="eastAsia"/>
          <w:lang w:val="es-ES"/>
        </w:rPr>
        <w:t>年全国家庭女工协会（</w:t>
      </w:r>
      <w:r>
        <w:rPr>
          <w:rFonts w:hint="eastAsia"/>
          <w:lang w:val="es-ES"/>
        </w:rPr>
        <w:t>ASTRADOMES</w:t>
      </w:r>
      <w:r>
        <w:rPr>
          <w:rFonts w:hint="eastAsia"/>
          <w:lang w:val="es-ES"/>
        </w:rPr>
        <w:t>）对</w:t>
      </w:r>
      <w:r>
        <w:rPr>
          <w:rFonts w:hint="eastAsia"/>
          <w:lang w:val="es-ES"/>
        </w:rPr>
        <w:t>80 000</w:t>
      </w:r>
      <w:r>
        <w:rPr>
          <w:rFonts w:hint="eastAsia"/>
          <w:lang w:val="es-ES"/>
        </w:rPr>
        <w:t>名从事家务劳动的女工进行的调查表明，获得上述相关保障的人数不到总人数</w:t>
      </w:r>
      <w:r>
        <w:rPr>
          <w:rFonts w:hint="eastAsia"/>
          <w:lang w:val="es-ES"/>
        </w:rPr>
        <w:t>的</w:t>
      </w:r>
      <w:r>
        <w:rPr>
          <w:rFonts w:hint="eastAsia"/>
          <w:lang w:val="es-ES"/>
        </w:rPr>
        <w:t>10</w:t>
      </w:r>
      <w:r>
        <w:rPr>
          <w:rFonts w:hint="eastAsia"/>
          <w:lang w:val="es-ES"/>
        </w:rPr>
        <w:t>％。至于劳动事故保险，全国家庭女工协会开展的一项调查表明，每年平均只有</w:t>
      </w:r>
      <w:r>
        <w:rPr>
          <w:rFonts w:hint="eastAsia"/>
          <w:lang w:val="es-ES"/>
        </w:rPr>
        <w:t>200</w:t>
      </w:r>
      <w:r>
        <w:rPr>
          <w:rFonts w:hint="eastAsia"/>
          <w:lang w:val="es-ES"/>
        </w:rPr>
        <w:t>名女工能享受到这种福利（居民保护组织</w:t>
      </w:r>
      <w:r>
        <w:rPr>
          <w:rFonts w:hint="eastAsia"/>
          <w:lang w:val="es-ES"/>
        </w:rPr>
        <w:t>, s. f.</w:t>
      </w:r>
      <w:r>
        <w:rPr>
          <w:rFonts w:hint="eastAsia"/>
          <w:lang w:val="es-ES"/>
        </w:rPr>
        <w:t>）。</w:t>
      </w:r>
    </w:p>
    <w:p w:rsidR="00000000" w:rsidRDefault="00CA422F">
      <w:pPr>
        <w:spacing w:after="240" w:line="360" w:lineRule="exact"/>
        <w:rPr>
          <w:rFonts w:hint="eastAsia"/>
          <w:lang w:val="es-ES"/>
        </w:rPr>
      </w:pPr>
      <w:r>
        <w:rPr>
          <w:rFonts w:hint="eastAsia"/>
          <w:lang w:val="es-ES"/>
        </w:rPr>
        <w:t>374</w:t>
      </w:r>
      <w:r>
        <w:rPr>
          <w:rFonts w:hint="eastAsia"/>
          <w:lang w:val="es-ES"/>
        </w:rPr>
        <w:t>．来自尼加拉瓜的女移民的这种不利情况尤为突出，因为她们主要从事家务劳动，而她们的非法身份和对劳动权利的无知却为雇佣者不遵守相关法律提供了很好的借口。</w:t>
      </w:r>
    </w:p>
    <w:p w:rsidR="00000000" w:rsidRDefault="00CA422F">
      <w:pPr>
        <w:spacing w:after="240" w:line="360" w:lineRule="exact"/>
        <w:rPr>
          <w:rFonts w:hint="eastAsia"/>
          <w:lang w:val="es-ES"/>
        </w:rPr>
      </w:pPr>
      <w:r>
        <w:rPr>
          <w:rFonts w:hint="eastAsia"/>
          <w:lang w:val="es-ES"/>
        </w:rPr>
        <w:t>375</w:t>
      </w:r>
      <w:r>
        <w:rPr>
          <w:rFonts w:hint="eastAsia"/>
          <w:lang w:val="es-ES"/>
        </w:rPr>
        <w:t>．覆盖面如此之广的劳动行业缺乏信息，也在一定程度上影响着国库收入。</w:t>
      </w:r>
      <w:r>
        <w:rPr>
          <w:rFonts w:hint="eastAsia"/>
          <w:lang w:val="es-ES"/>
        </w:rPr>
        <w:t>1999</w:t>
      </w:r>
      <w:r>
        <w:rPr>
          <w:rFonts w:hint="eastAsia"/>
          <w:lang w:val="es-ES"/>
        </w:rPr>
        <w:t>年妇女保护组织经过计算发现，当年有偿家务劳动的现有基本工资总额为</w:t>
      </w:r>
      <w:r>
        <w:rPr>
          <w:rFonts w:hint="eastAsia"/>
          <w:lang w:val="es-ES"/>
        </w:rPr>
        <w:t>5 200 000 000</w:t>
      </w:r>
      <w:r>
        <w:rPr>
          <w:rFonts w:hint="eastAsia"/>
          <w:lang w:val="es-ES"/>
        </w:rPr>
        <w:t>科朗，按照企业主占</w:t>
      </w:r>
      <w:r>
        <w:rPr>
          <w:rFonts w:hint="eastAsia"/>
          <w:lang w:val="es-ES"/>
        </w:rPr>
        <w:t>0.23</w:t>
      </w:r>
      <w:r>
        <w:rPr>
          <w:rFonts w:hint="eastAsia"/>
          <w:lang w:val="es-ES"/>
        </w:rPr>
        <w:t>的比例计算，平均每月工</w:t>
      </w:r>
      <w:r>
        <w:rPr>
          <w:rFonts w:hint="eastAsia"/>
          <w:lang w:val="es-ES"/>
        </w:rPr>
        <w:t>资为</w:t>
      </w:r>
      <w:r>
        <w:rPr>
          <w:rFonts w:hint="eastAsia"/>
          <w:lang w:val="es-ES"/>
        </w:rPr>
        <w:t xml:space="preserve">37 000 </w:t>
      </w:r>
      <w:r>
        <w:rPr>
          <w:rFonts w:hint="eastAsia"/>
          <w:lang w:val="es-ES"/>
        </w:rPr>
        <w:t>科朗，此外，还有</w:t>
      </w:r>
      <w:r>
        <w:rPr>
          <w:rFonts w:hint="eastAsia"/>
          <w:lang w:val="es-ES"/>
        </w:rPr>
        <w:t>51 232</w:t>
      </w:r>
      <w:r>
        <w:rPr>
          <w:rFonts w:hint="eastAsia"/>
          <w:lang w:val="es-ES"/>
        </w:rPr>
        <w:t>名劳动者没有被纳入计算范围（居民保护组织，</w:t>
      </w:r>
      <w:r>
        <w:rPr>
          <w:rFonts w:hint="eastAsia"/>
          <w:lang w:val="es-ES"/>
        </w:rPr>
        <w:t>s. f.</w:t>
      </w:r>
      <w:r>
        <w:rPr>
          <w:rFonts w:hint="eastAsia"/>
          <w:lang w:val="es-ES"/>
        </w:rPr>
        <w:t>）。</w:t>
      </w:r>
    </w:p>
    <w:p w:rsidR="00000000" w:rsidRDefault="00CA422F">
      <w:pPr>
        <w:spacing w:after="240" w:line="360" w:lineRule="exact"/>
        <w:rPr>
          <w:rFonts w:hint="eastAsia"/>
          <w:lang w:val="es-ES"/>
        </w:rPr>
      </w:pPr>
      <w:r>
        <w:rPr>
          <w:rFonts w:hint="eastAsia"/>
          <w:lang w:val="es-ES"/>
        </w:rPr>
        <w:t>376</w:t>
      </w:r>
      <w:r>
        <w:rPr>
          <w:rFonts w:hint="eastAsia"/>
          <w:lang w:val="es-ES"/>
        </w:rPr>
        <w:t>．家务劳动的法律与其它劳动形式的法律之间存在的差异，是违背公平原则的违宪行为。勿庸置疑，解决上述问题的最佳方案就是制订一部特殊法规（宪法法庭，</w:t>
      </w:r>
      <w:r>
        <w:rPr>
          <w:rFonts w:hint="eastAsia"/>
          <w:lang w:val="es-ES"/>
        </w:rPr>
        <w:t>327-91</w:t>
      </w:r>
      <w:r>
        <w:rPr>
          <w:rFonts w:hint="eastAsia"/>
          <w:lang w:val="es-ES"/>
        </w:rPr>
        <w:t>号决议）。已向立法议会递交的修正案于</w:t>
      </w:r>
      <w:r>
        <w:rPr>
          <w:rFonts w:hint="eastAsia"/>
          <w:lang w:val="es-ES"/>
        </w:rPr>
        <w:t>1997</w:t>
      </w:r>
      <w:r>
        <w:rPr>
          <w:rFonts w:hint="eastAsia"/>
          <w:lang w:val="es-ES"/>
        </w:rPr>
        <w:t>年获得通过，编号为</w:t>
      </w:r>
      <w:r>
        <w:rPr>
          <w:rFonts w:hint="eastAsia"/>
          <w:lang w:val="es-ES"/>
        </w:rPr>
        <w:t>7680</w:t>
      </w:r>
      <w:r>
        <w:rPr>
          <w:rFonts w:hint="eastAsia"/>
          <w:lang w:val="es-ES"/>
        </w:rPr>
        <w:t>，旨在将家务劳动的相关规定纳入整个司法体系中有关劳动法的基本规定之内。然而，虽然该法律对有关未成年人参加劳动的规定也做了一定的修改，但是却无视《儿童权利公约》的规定，将</w:t>
      </w:r>
      <w:r>
        <w:rPr>
          <w:rFonts w:hint="eastAsia"/>
          <w:lang w:val="es-ES"/>
        </w:rPr>
        <w:t>12</w:t>
      </w:r>
      <w:r>
        <w:rPr>
          <w:rFonts w:hint="eastAsia"/>
          <w:lang w:val="es-ES"/>
        </w:rPr>
        <w:t>周岁定</w:t>
      </w:r>
      <w:r>
        <w:rPr>
          <w:rFonts w:hint="eastAsia"/>
          <w:lang w:val="es-ES"/>
        </w:rPr>
        <w:t>为最低工作年龄。共和国总统府——居民保护组织机构之一——于</w:t>
      </w:r>
      <w:r>
        <w:rPr>
          <w:rFonts w:hint="eastAsia"/>
          <w:lang w:val="es-ES"/>
        </w:rPr>
        <w:t>1997</w:t>
      </w:r>
      <w:r>
        <w:rPr>
          <w:rFonts w:hint="eastAsia"/>
          <w:lang w:val="es-ES"/>
        </w:rPr>
        <w:t>年</w:t>
      </w:r>
      <w:r>
        <w:rPr>
          <w:rFonts w:hint="eastAsia"/>
          <w:lang w:val="es-ES"/>
        </w:rPr>
        <w:t>7</w:t>
      </w:r>
      <w:r>
        <w:rPr>
          <w:rFonts w:hint="eastAsia"/>
          <w:lang w:val="es-ES"/>
        </w:rPr>
        <w:t>月</w:t>
      </w:r>
      <w:r>
        <w:rPr>
          <w:rFonts w:hint="eastAsia"/>
          <w:lang w:val="es-ES"/>
        </w:rPr>
        <w:t>24</w:t>
      </w:r>
      <w:r>
        <w:rPr>
          <w:rFonts w:hint="eastAsia"/>
          <w:lang w:val="es-ES"/>
        </w:rPr>
        <w:t>日否决了该项修正案的提议。</w:t>
      </w:r>
    </w:p>
    <w:p w:rsidR="00000000" w:rsidRDefault="00CA422F">
      <w:pPr>
        <w:spacing w:after="240" w:line="360" w:lineRule="exact"/>
        <w:jc w:val="center"/>
        <w:rPr>
          <w:rFonts w:eastAsia="SimHei" w:hint="eastAsia"/>
          <w:sz w:val="24"/>
          <w:lang w:val="es-ES"/>
        </w:rPr>
      </w:pPr>
      <w:r>
        <w:rPr>
          <w:rFonts w:eastAsia="SimHei" w:hint="eastAsia"/>
          <w:sz w:val="24"/>
          <w:lang w:val="es-ES"/>
        </w:rPr>
        <w:t>劳动权利</w:t>
      </w:r>
    </w:p>
    <w:p w:rsidR="00000000" w:rsidRDefault="00CA422F">
      <w:pPr>
        <w:spacing w:after="240" w:line="360" w:lineRule="exact"/>
        <w:rPr>
          <w:rFonts w:hint="eastAsia"/>
          <w:lang w:val="es-ES"/>
        </w:rPr>
      </w:pPr>
      <w:r>
        <w:rPr>
          <w:rFonts w:hint="eastAsia"/>
          <w:lang w:val="es-ES"/>
        </w:rPr>
        <w:t>377</w:t>
      </w:r>
      <w:r>
        <w:rPr>
          <w:rFonts w:hint="eastAsia"/>
          <w:lang w:val="es-ES"/>
        </w:rPr>
        <w:t>．以工作稳定著称的公共部门吸纳了大部分的劳动人口。但是，来自居民保护组织的数字表明，并非所有的劳动者都能享有稳定的工作待遇。能够享受这种待遇的最弱的群体之一便是身怀六甲的女性劳动者，正是这些女性要求在怀孕、分娩和产后期间，不仅她们自身，就连她们将要出生的儿女都应得到最好的保护和最大程度的保障（居民保护组织，</w:t>
      </w:r>
      <w:r>
        <w:rPr>
          <w:rFonts w:hint="eastAsia"/>
          <w:lang w:val="es-ES"/>
        </w:rPr>
        <w:t>2000</w:t>
      </w:r>
      <w:r>
        <w:rPr>
          <w:rFonts w:hint="eastAsia"/>
          <w:lang w:val="es-ES"/>
        </w:rPr>
        <w:t>－</w:t>
      </w:r>
      <w:r>
        <w:rPr>
          <w:rFonts w:hint="eastAsia"/>
          <w:lang w:val="es-ES"/>
        </w:rPr>
        <w:t>2001</w:t>
      </w:r>
      <w:r>
        <w:rPr>
          <w:rFonts w:hint="eastAsia"/>
          <w:lang w:val="es-ES"/>
        </w:rPr>
        <w:t>年劳动报告）。</w:t>
      </w:r>
    </w:p>
    <w:p w:rsidR="00000000" w:rsidRDefault="00CA422F">
      <w:pPr>
        <w:spacing w:after="240" w:line="360" w:lineRule="exact"/>
        <w:rPr>
          <w:rFonts w:hint="eastAsia"/>
        </w:rPr>
      </w:pPr>
      <w:r>
        <w:rPr>
          <w:rFonts w:hint="eastAsia"/>
          <w:lang w:val="es-ES"/>
        </w:rPr>
        <w:t>378</w:t>
      </w:r>
      <w:r>
        <w:rPr>
          <w:rFonts w:hint="eastAsia"/>
          <w:lang w:val="es-ES"/>
        </w:rPr>
        <w:t>．对居民保护组织而言，</w:t>
      </w:r>
      <w:r>
        <w:rPr>
          <w:rFonts w:hint="eastAsia"/>
        </w:rPr>
        <w:t>实际工作中将女性按照是</w:t>
      </w:r>
      <w:r>
        <w:rPr>
          <w:rFonts w:hint="eastAsia"/>
        </w:rPr>
        <w:t>否怀孕进行区分，或因怀孕同她们重新签订劳动合同，完全背离了他们日常工作中一再“强调”的母亲的重要和“崇高”原则。虽然人们极少公开表示或坦白承认，但是处于孕期的女性经常被看作是雇佣者的“负担”，这已是不争的事实，并且这种观念在不少政府机构内都很流行。</w:t>
      </w:r>
    </w:p>
    <w:p w:rsidR="00000000" w:rsidRDefault="00CA422F">
      <w:pPr>
        <w:spacing w:after="240" w:line="360" w:lineRule="exact"/>
        <w:rPr>
          <w:rFonts w:hint="eastAsia"/>
        </w:rPr>
      </w:pPr>
      <w:r>
        <w:rPr>
          <w:rFonts w:hint="eastAsia"/>
        </w:rPr>
        <w:t>379</w:t>
      </w:r>
      <w:r>
        <w:rPr>
          <w:rFonts w:hint="eastAsia"/>
        </w:rPr>
        <w:t>．不少女性前往居民保护组织咨询有关怀孕妇女的劳动权利问题，还有临时女工同时反映，一旦怀孕，工作单位不惜借助各种手段把她们踢出工作岗位。保护署已经证实不少临时雇佣的女性替工人员虽长期担当某一职位，一旦她们怀孕，工作单位就中止劳动合同。换言之，管理机制为员工在</w:t>
      </w:r>
      <w:r>
        <w:rPr>
          <w:rFonts w:hint="eastAsia"/>
        </w:rPr>
        <w:t>病假、事假及其它各类假期时寻找临时顶替的人员创造了条件，但这种假期却将那些因怀孕而被顶替的女性劳动者排除在外。</w:t>
      </w:r>
    </w:p>
    <w:p w:rsidR="00000000" w:rsidRDefault="00CA422F">
      <w:pPr>
        <w:spacing w:after="240" w:line="360" w:lineRule="exact"/>
        <w:rPr>
          <w:rFonts w:hint="eastAsia"/>
        </w:rPr>
      </w:pPr>
      <w:r>
        <w:rPr>
          <w:rFonts w:hint="eastAsia"/>
        </w:rPr>
        <w:t>380</w:t>
      </w:r>
      <w:r>
        <w:rPr>
          <w:rFonts w:hint="eastAsia"/>
        </w:rPr>
        <w:t>．从制度上来说，明显不希望由别人来顶替工作，因为这些顶替的人最终同样需要获得法律许可。顶替他人工作的临时女工也会很快失去这份工作，因为在其它情况下，这些女性完全可以顶着临时工的头衔继续从事顶替的工作。不过，虽然存在这样的事实，但对行政管理部门的态度展开全面的调查却受到了许多条件的限制，因为正如他们的表现会一如既往，行政管理部门会向居民保护组织申明没有空闲的职位可以用来继续雇佣因怀孕而休假的女</w:t>
      </w:r>
      <w:r>
        <w:rPr>
          <w:rFonts w:hint="eastAsia"/>
        </w:rPr>
        <w:t>性劳动者。同样，如果对此类临时任命随时进行调整是行政管理部门必须具备的基本能力，那么居民保护组织的工作就难以开展，因为居民保护组织作为监控机构，必须确定哪些顶替是必要的而哪些是不必要的。</w:t>
      </w:r>
    </w:p>
    <w:p w:rsidR="00000000" w:rsidRDefault="00CA422F">
      <w:pPr>
        <w:spacing w:after="240" w:line="360" w:lineRule="exact"/>
        <w:rPr>
          <w:rFonts w:hint="eastAsia"/>
        </w:rPr>
      </w:pPr>
      <w:r>
        <w:rPr>
          <w:rFonts w:hint="eastAsia"/>
        </w:rPr>
        <w:t>381</w:t>
      </w:r>
      <w:r>
        <w:rPr>
          <w:rFonts w:hint="eastAsia"/>
        </w:rPr>
        <w:t>．在上述情况下，如果无法证实确实存在需要替代的职位，居民保护组织无法强迫工作单位为怀孕女工寻找临时顶替的员工；但是，如果某个临时雇佣的女工因怀孕无法工作、她的劳动合同已经到期、工作单位不愿同她续签劳动合同，这时居民保护组织的确可以采取一定措施，强制要求行政管理部门以产假为由，通过各种方式，要求企业按照法律规定支付一定</w:t>
      </w:r>
      <w:r>
        <w:rPr>
          <w:rFonts w:hint="eastAsia"/>
        </w:rPr>
        <w:t>数量的金额表示赔偿。用这种方式来维持——至少从在经济上——向处于孕期的女性提供相应保障的保护机制。</w:t>
      </w:r>
    </w:p>
    <w:p w:rsidR="00000000" w:rsidRDefault="00CA422F">
      <w:pPr>
        <w:spacing w:after="240" w:line="360" w:lineRule="exact"/>
        <w:rPr>
          <w:rFonts w:hint="eastAsia"/>
        </w:rPr>
      </w:pPr>
      <w:r>
        <w:rPr>
          <w:rFonts w:hint="eastAsia"/>
        </w:rPr>
        <w:t>382</w:t>
      </w:r>
      <w:r>
        <w:rPr>
          <w:rFonts w:hint="eastAsia"/>
        </w:rPr>
        <w:t>．劳动范围内的孕妇劳动者情况的相关标准主要是依据宪法和《怀孕女工保护法》的相关规定制定的。根据《怀孕女工保护法》，管理层对女性工作的临时性和不稳定性的规定被视为性别歧视的一种方式。正因为在以男性为主的社会中广泛存在着性别歧视现象，从而导致了二分法和排除的观点，对工作和母性的概念也产生了一定影响。</w:t>
      </w:r>
    </w:p>
    <w:p w:rsidR="00000000" w:rsidRDefault="00CA422F">
      <w:pPr>
        <w:spacing w:after="240" w:line="360" w:lineRule="exact"/>
        <w:rPr>
          <w:rFonts w:hint="eastAsia"/>
        </w:rPr>
      </w:pPr>
      <w:r>
        <w:rPr>
          <w:rFonts w:hint="eastAsia"/>
        </w:rPr>
        <w:t>383</w:t>
      </w:r>
      <w:r>
        <w:rPr>
          <w:rFonts w:hint="eastAsia"/>
        </w:rPr>
        <w:t>．同样，对于怀孕的确也存在着概念模糊的现象，例如，无法正确区分产假和病假。具体来说，如果女性劳动者在怀</w:t>
      </w:r>
      <w:r>
        <w:rPr>
          <w:rFonts w:hint="eastAsia"/>
        </w:rPr>
        <w:t>孕期间，即在怀孕的第六、第七或第八个月自愿引产，很难确定这种假期究竟是病假还是产假。一些单位认为是病假，可以休息八天，但假期不一定能延长；另一些单位则认为是产假，假期为产假的一半，也就是说，可以休息一个半月。这个问题无疑是制订女性权利保障制度工作的轴心问题之一。</w:t>
      </w:r>
    </w:p>
    <w:p w:rsidR="00000000" w:rsidRDefault="00CA422F">
      <w:pPr>
        <w:spacing w:after="240" w:line="360" w:lineRule="exact"/>
        <w:rPr>
          <w:rFonts w:hint="eastAsia"/>
        </w:rPr>
      </w:pPr>
      <w:r>
        <w:rPr>
          <w:rFonts w:hint="eastAsia"/>
        </w:rPr>
        <w:t>384</w:t>
      </w:r>
      <w:r>
        <w:rPr>
          <w:rFonts w:hint="eastAsia"/>
        </w:rPr>
        <w:t>．劳动领域中另一个经常被居民保护组织提及的问题就是在诸如警察等传统上以男性为主的职业中女性劳动者的状况。她们也一再申诉诸如担任的职位、工作时间的分配、职位的提升、接受职业培训以及性骚扰等方面的各种不同形式的歧视（居民保护组织，</w:t>
      </w:r>
      <w:r>
        <w:rPr>
          <w:rFonts w:hint="eastAsia"/>
        </w:rPr>
        <w:t>2000</w:t>
      </w:r>
      <w:r>
        <w:rPr>
          <w:rFonts w:hint="eastAsia"/>
        </w:rPr>
        <w:t>－</w:t>
      </w:r>
      <w:r>
        <w:rPr>
          <w:rFonts w:hint="eastAsia"/>
        </w:rPr>
        <w:t>200</w:t>
      </w:r>
      <w:r>
        <w:rPr>
          <w:rFonts w:hint="eastAsia"/>
        </w:rPr>
        <w:t>1</w:t>
      </w:r>
      <w:r>
        <w:rPr>
          <w:rFonts w:hint="eastAsia"/>
        </w:rPr>
        <w:t>年劳动报告）。居民保护组织认为，对女性提起申诉进行分析，不能不考虑的事实在于这些工作领域主要是为男性设计的，并且一直由男性占据主导，至今仍未针对警察机构内女性劳动者的存在而形成明确的规定。由于缺乏全面的政策，公共安全部针对女警察采取的制度虽然准确却仍只是个别行为，但是，如果考虑到女警察的数量一直都在稳步增长，相信上述个别现象很快就会扩大到整个制度。目前，哥斯达黎加警察机构内约有</w:t>
      </w:r>
      <w:r>
        <w:rPr>
          <w:rFonts w:hint="eastAsia"/>
        </w:rPr>
        <w:t>400</w:t>
      </w:r>
      <w:r>
        <w:rPr>
          <w:rFonts w:hint="eastAsia"/>
        </w:rPr>
        <w:t>名女性。</w:t>
      </w:r>
    </w:p>
    <w:p w:rsidR="00000000" w:rsidRDefault="00CA422F">
      <w:pPr>
        <w:spacing w:after="240" w:line="360" w:lineRule="exact"/>
        <w:rPr>
          <w:rFonts w:hint="eastAsia"/>
        </w:rPr>
      </w:pPr>
      <w:r>
        <w:rPr>
          <w:rFonts w:hint="eastAsia"/>
        </w:rPr>
        <w:t>385</w:t>
      </w:r>
      <w:r>
        <w:rPr>
          <w:rFonts w:hint="eastAsia"/>
        </w:rPr>
        <w:t>．一条全面的政策是，应该在决策时刻本着平等原则兼顾男女之间的性别差异。宪法法庭已经在颁布的多项法令中涉及了平</w:t>
      </w:r>
      <w:r>
        <w:rPr>
          <w:rFonts w:hint="eastAsia"/>
        </w:rPr>
        <w:t>等原则，其中</w:t>
      </w:r>
      <w:r>
        <w:rPr>
          <w:rFonts w:hint="eastAsia"/>
        </w:rPr>
        <w:t>1770-94</w:t>
      </w:r>
      <w:r>
        <w:rPr>
          <w:rFonts w:hint="eastAsia"/>
        </w:rPr>
        <w:t>号法令指出：</w:t>
      </w:r>
    </w:p>
    <w:p w:rsidR="00000000" w:rsidRDefault="00CA422F" w:rsidP="00CA422F">
      <w:pPr>
        <w:spacing w:after="240" w:line="360" w:lineRule="exact"/>
        <w:ind w:leftChars="200" w:left="31680" w:firstLine="420"/>
        <w:rPr>
          <w:rFonts w:eastAsia="KaiTi_GB2312" w:hint="eastAsia"/>
        </w:rPr>
      </w:pPr>
      <w:r>
        <w:rPr>
          <w:rFonts w:eastAsia="KaiTi_GB2312" w:hint="eastAsia"/>
        </w:rPr>
        <w:t>“《政治宪法》第</w:t>
      </w:r>
      <w:r>
        <w:rPr>
          <w:rFonts w:eastAsia="KaiTi_GB2312" w:hint="eastAsia"/>
        </w:rPr>
        <w:t>33</w:t>
      </w:r>
      <w:r>
        <w:rPr>
          <w:rFonts w:eastAsia="KaiTi_GB2312" w:hint="eastAsia"/>
        </w:rPr>
        <w:t>条中提及的平等原则，并不是指在任何情况下都采取相同的处理方式，而不考虑司法体制内可能存在的不同因素……平等，正如该法庭指出的那样，当因缺乏客观而正当的理由造成不平等时，就受到了玷污……”</w:t>
      </w:r>
    </w:p>
    <w:p w:rsidR="00000000" w:rsidRDefault="00CA422F">
      <w:pPr>
        <w:spacing w:after="240" w:line="360" w:lineRule="exact"/>
        <w:rPr>
          <w:rFonts w:hint="eastAsia"/>
        </w:rPr>
      </w:pPr>
      <w:r>
        <w:rPr>
          <w:rFonts w:hint="eastAsia"/>
        </w:rPr>
        <w:t>386</w:t>
      </w:r>
      <w:r>
        <w:rPr>
          <w:rFonts w:hint="eastAsia"/>
        </w:rPr>
        <w:t>．在履行公共武装部的司法机制规定的权利和义务时，平等是最基本的原则；然而，平等概念最真实的诠释就是重视男女之间正当而合理的差异，并且在此基础上为消除两性之间任何方式的歧视确立必要的运转机制。为此目的，应该正确认识作为警察的女性本身含有的特殊意义，并且在阐释和</w:t>
      </w:r>
      <w:r>
        <w:rPr>
          <w:rFonts w:hint="eastAsia"/>
        </w:rPr>
        <w:t>使用规章制度时将这些特殊意义纳入考虑范围。</w:t>
      </w:r>
    </w:p>
    <w:p w:rsidR="00000000" w:rsidRDefault="00CA422F">
      <w:pPr>
        <w:spacing w:after="240" w:line="360" w:lineRule="exact"/>
        <w:rPr>
          <w:rFonts w:eastAsia="KaiTi_GB2312" w:hint="eastAsia"/>
        </w:rPr>
      </w:pPr>
      <w:r>
        <w:rPr>
          <w:rFonts w:hint="eastAsia"/>
        </w:rPr>
        <w:t>387</w:t>
      </w:r>
      <w:r>
        <w:rPr>
          <w:rFonts w:hint="eastAsia"/>
        </w:rPr>
        <w:t>．从这个意义上来说，例如，在分配工作时间时，应该考虑女警察是否为家庭主妇，孩子是否成年，是否拥有家庭额外资源，可以在夜晚或持续照顾孩子。在机制允许的范围内这些因素值得考虑、同时也应该对此进行必要的评价。关于这个方面，</w:t>
      </w:r>
      <w:r>
        <w:rPr>
          <w:rFonts w:hint="eastAsia"/>
        </w:rPr>
        <w:t>Alda Facio</w:t>
      </w:r>
      <w:r>
        <w:rPr>
          <w:rFonts w:hint="eastAsia"/>
        </w:rPr>
        <w:t>（</w:t>
      </w:r>
      <w:r>
        <w:rPr>
          <w:rFonts w:hint="eastAsia"/>
        </w:rPr>
        <w:t>1992</w:t>
      </w:r>
      <w:r>
        <w:rPr>
          <w:rFonts w:hint="eastAsia"/>
        </w:rPr>
        <w:t>年）写下了下面这一段非常有意义的文字：“</w:t>
      </w:r>
      <w:r>
        <w:rPr>
          <w:rFonts w:hint="eastAsia"/>
          <w:i/>
          <w:iCs/>
        </w:rPr>
        <w:t>……</w:t>
      </w:r>
      <w:r>
        <w:rPr>
          <w:rFonts w:eastAsia="KaiTi_GB2312" w:hint="eastAsia"/>
        </w:rPr>
        <w:t>如果我们真正理解男性和女性存在差异的话，我们不会认为怀孕、分娩、月经、更年期等现象是导致女性同男性－人类模本－行为方式不一致的原因，因此，问题不在于女性不同于这种人类模本，</w:t>
      </w:r>
      <w:r>
        <w:rPr>
          <w:rFonts w:eastAsia="KaiTi_GB2312" w:hint="eastAsia"/>
        </w:rPr>
        <w:t>而是我们应该明白，问题的关键在于社会不认同有时女性和男性具有不同的需求、并且这些需求同等重要。因此，比如说，我们能够明白问题不在于外出工作的女性怀孕了，而在于有偿劳动和劳动机制主要是为不会怀孕的男人考虑和制定的”。</w:t>
      </w:r>
    </w:p>
    <w:p w:rsidR="00000000" w:rsidRDefault="00CA422F">
      <w:pPr>
        <w:spacing w:after="240" w:line="360" w:lineRule="exact"/>
        <w:rPr>
          <w:rFonts w:hint="eastAsia"/>
        </w:rPr>
      </w:pPr>
      <w:r>
        <w:rPr>
          <w:rFonts w:hint="eastAsia"/>
        </w:rPr>
        <w:t>388</w:t>
      </w:r>
      <w:r>
        <w:rPr>
          <w:rFonts w:hint="eastAsia"/>
        </w:rPr>
        <w:t>．在该体系政策的制订过程中应该从某些差异的确认和重新策划入手，将女性警察揭示的一些状况纳入其中。这些状况包括：</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警察机构中分配给女性的工作具有奴役倾向，因为这些工作通常同她们在家里承担的事务颇为类似；</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缺乏适合女性使用的基础设施；</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女性在职位晋升、奖励和职业培训方面受到的待遇往往不同于她们</w:t>
      </w:r>
      <w:r>
        <w:rPr>
          <w:rFonts w:hint="eastAsia"/>
        </w:rPr>
        <w:t>的男性同事；</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工作中的性骚扰。</w:t>
      </w:r>
    </w:p>
    <w:p w:rsidR="00000000" w:rsidRDefault="00CA422F">
      <w:pPr>
        <w:spacing w:after="240" w:line="360" w:lineRule="exact"/>
        <w:rPr>
          <w:rFonts w:hint="eastAsia"/>
        </w:rPr>
      </w:pPr>
      <w:r>
        <w:rPr>
          <w:rFonts w:hint="eastAsia"/>
        </w:rPr>
        <w:t>389</w:t>
      </w:r>
      <w:r>
        <w:rPr>
          <w:rFonts w:hint="eastAsia"/>
        </w:rPr>
        <w:t>．居民保护组织向公共安全部女副部长和警察总署建议制订一项关注警察系统内的女性特殊状况的政策，以使该体系拥有明确而具体的概念和规章制度，做出认同女性特殊性的决策。该建议已经被接纳，并作为对警力总署和安全部服务监控部门的箴言，以便制定一项适合女警察的公共政策方案。居民保护组织为该计划提供技术支持，无论是计划的制订还是具体执行，都会对加强女性的战略参与起决定性作用，同时还能保障警察体系内的女性权利的有效性。</w:t>
      </w:r>
    </w:p>
    <w:p w:rsidR="00000000" w:rsidRDefault="00CA422F">
      <w:pPr>
        <w:spacing w:after="240" w:line="360" w:lineRule="exact"/>
        <w:jc w:val="center"/>
        <w:rPr>
          <w:rFonts w:eastAsia="SimHei" w:hint="eastAsia"/>
          <w:sz w:val="24"/>
        </w:rPr>
      </w:pPr>
      <w:r>
        <w:rPr>
          <w:rFonts w:eastAsia="SimHei" w:hint="eastAsia"/>
          <w:sz w:val="24"/>
        </w:rPr>
        <w:t>女性劳动权利国际组织</w:t>
      </w:r>
    </w:p>
    <w:p w:rsidR="00000000" w:rsidRDefault="00CA422F">
      <w:pPr>
        <w:spacing w:after="240" w:line="360" w:lineRule="exact"/>
        <w:rPr>
          <w:rFonts w:hint="eastAsia"/>
          <w:lang w:val="es-ES"/>
        </w:rPr>
      </w:pPr>
      <w:r>
        <w:rPr>
          <w:rFonts w:hint="eastAsia"/>
        </w:rPr>
        <w:t>390</w:t>
      </w:r>
      <w:r>
        <w:rPr>
          <w:rFonts w:hint="eastAsia"/>
        </w:rPr>
        <w:t>．女性在劳动中面临各种形式的歧视和不平等</w:t>
      </w:r>
      <w:r>
        <w:rPr>
          <w:rFonts w:hint="eastAsia"/>
        </w:rPr>
        <w:t>现象：影响生活质量的劳动条件、性骚扰、将不平等待遇合法化的规章制度的存在、女性从事的特殊工作缺乏相关规定以及各种法外开恩现象的存在，女性家务劳动者无法享受其他男性和女性劳动者拥有的人权等等，上述这些因素，为女性劳动权利国际组织的存在和开展工作做了充分的准备。该国际组织由居民保护组织、国家妇女研究所、劳动部、国际劳工组织、</w:t>
      </w:r>
      <w:r>
        <w:rPr>
          <w:rFonts w:hint="eastAsia"/>
          <w:lang w:val="es-ES"/>
        </w:rPr>
        <w:t>联合国拉丁美洲预防犯罪和罪犯待遇研究所（拉美防犯所）以及一些其它非政府组织的代表共同组成。他们共同开展工作，分析生产行业中扮演重要作用的女性的劳动条件，分析提高生活质量的劳动产生的影响，制订</w:t>
      </w:r>
      <w:r>
        <w:rPr>
          <w:rFonts w:hint="eastAsia"/>
          <w:lang w:val="es-ES"/>
        </w:rPr>
        <w:t>法律草案，为有关劳动权利的公共政策献计献策，同所有保障劳动权利的监控机构开展联合。</w:t>
      </w:r>
    </w:p>
    <w:p w:rsidR="00000000" w:rsidRDefault="00CA422F">
      <w:pPr>
        <w:spacing w:after="180" w:line="360" w:lineRule="exact"/>
        <w:rPr>
          <w:rFonts w:hint="eastAsia"/>
        </w:rPr>
      </w:pPr>
      <w:r>
        <w:rPr>
          <w:rFonts w:hint="eastAsia"/>
          <w:lang w:val="es-ES"/>
        </w:rPr>
        <w:t>391</w:t>
      </w:r>
      <w:r>
        <w:rPr>
          <w:rFonts w:hint="eastAsia"/>
          <w:lang w:val="es-ES"/>
        </w:rPr>
        <w:t>．该组织旨在开展中期或长期的工作，旨在引起经济、意识形态和立法等主要方面的深刻变化。同时，一些法律修正案的提案意味着对议会的各位先生女士进行说服和协商工作，例如《劳动法》第八章中就有家庭女工法规的提案和</w:t>
      </w:r>
      <w:r>
        <w:rPr>
          <w:rFonts w:hint="eastAsia"/>
        </w:rPr>
        <w:t>反对教育和工作中性骚扰法修正案的提案。上述两个提案至今仍未获得表决通过，这显然是该组织今后工作的重点所在。</w:t>
      </w:r>
    </w:p>
    <w:p w:rsidR="00000000" w:rsidRDefault="00CA422F">
      <w:pPr>
        <w:spacing w:after="180" w:line="360" w:lineRule="exact"/>
        <w:rPr>
          <w:rFonts w:hint="eastAsia"/>
        </w:rPr>
      </w:pPr>
      <w:r>
        <w:rPr>
          <w:rFonts w:hint="eastAsia"/>
        </w:rPr>
        <w:t>392</w:t>
      </w:r>
      <w:r>
        <w:rPr>
          <w:rFonts w:hint="eastAsia"/>
        </w:rPr>
        <w:t>．该组织各个下属机构在过去一年中开展了各项活动，特别是那些与劳动领域的功能和责任相关的活动，花费了该组织的</w:t>
      </w:r>
      <w:r>
        <w:rPr>
          <w:rFonts w:hint="eastAsia"/>
        </w:rPr>
        <w:t>主要精力，因此，该组织力争今年能够在规范夜班、化妆美容、父母证明、</w:t>
      </w:r>
      <w:r>
        <w:rPr>
          <w:rFonts w:hint="eastAsia"/>
          <w:lang w:val="es-ES"/>
        </w:rPr>
        <w:t>农牧业中的女性劳动者等</w:t>
      </w:r>
      <w:r>
        <w:rPr>
          <w:rFonts w:hint="eastAsia"/>
        </w:rPr>
        <w:t>提案工作方面取得更大的成绩。</w:t>
      </w:r>
    </w:p>
    <w:p w:rsidR="00000000" w:rsidRDefault="00CA422F">
      <w:pPr>
        <w:spacing w:after="180" w:line="360" w:lineRule="exact"/>
        <w:jc w:val="center"/>
        <w:rPr>
          <w:rFonts w:eastAsia="SimHei" w:hint="eastAsia"/>
          <w:sz w:val="24"/>
        </w:rPr>
      </w:pPr>
      <w:r>
        <w:rPr>
          <w:rFonts w:eastAsia="SimHei" w:hint="eastAsia"/>
          <w:sz w:val="24"/>
        </w:rPr>
        <w:t>贫困妇女</w:t>
      </w:r>
    </w:p>
    <w:p w:rsidR="00000000" w:rsidRDefault="00CA422F">
      <w:pPr>
        <w:spacing w:after="180" w:line="360" w:lineRule="exact"/>
        <w:rPr>
          <w:rFonts w:hint="eastAsia"/>
        </w:rPr>
      </w:pPr>
      <w:r>
        <w:rPr>
          <w:rFonts w:hint="eastAsia"/>
        </w:rPr>
        <w:t>393</w:t>
      </w:r>
      <w:r>
        <w:rPr>
          <w:rFonts w:hint="eastAsia"/>
        </w:rPr>
        <w:t>．虽然女性的劳动投入（公认有收入的工作）提供了摆脱贫困的可能，但是哥斯达黎加还是出现了“贫困人口不断女性化”的现象。这不禁让人联想到处于贫困中的女性数量多于男性、而且方式也不同于男性。这包括：</w:t>
      </w:r>
    </w:p>
    <w:p w:rsidR="00000000" w:rsidRDefault="00CA422F">
      <w:pPr>
        <w:numPr>
          <w:ilvl w:val="0"/>
          <w:numId w:val="832"/>
        </w:numPr>
        <w:tabs>
          <w:tab w:val="clear" w:pos="720"/>
          <w:tab w:val="num" w:pos="840"/>
        </w:tabs>
        <w:spacing w:after="180" w:line="360" w:lineRule="exact"/>
        <w:ind w:left="840"/>
        <w:rPr>
          <w:rFonts w:hint="eastAsia"/>
        </w:rPr>
      </w:pPr>
      <w:r>
        <w:rPr>
          <w:rFonts w:hint="eastAsia"/>
        </w:rPr>
        <w:t>正如本报告第一部分中提及的那样，贫困人口中的女性人数多于男性。</w:t>
      </w:r>
    </w:p>
    <w:p w:rsidR="00000000" w:rsidRDefault="00CA422F">
      <w:pPr>
        <w:numPr>
          <w:ilvl w:val="0"/>
          <w:numId w:val="832"/>
        </w:numPr>
        <w:tabs>
          <w:tab w:val="clear" w:pos="720"/>
          <w:tab w:val="num" w:pos="840"/>
        </w:tabs>
        <w:spacing w:after="180" w:line="360" w:lineRule="exact"/>
        <w:ind w:left="840"/>
        <w:rPr>
          <w:rFonts w:hint="eastAsia"/>
        </w:rPr>
      </w:pPr>
      <w:r>
        <w:rPr>
          <w:rFonts w:hint="eastAsia"/>
        </w:rPr>
        <w:t>贫困人口中过多的女性数量仍在不断增加——贫困人口女性化是一个过程，而不仅仅是一段特定历史时期内的状况。</w:t>
      </w:r>
    </w:p>
    <w:p w:rsidR="00000000" w:rsidRDefault="00CA422F">
      <w:pPr>
        <w:numPr>
          <w:ilvl w:val="0"/>
          <w:numId w:val="832"/>
        </w:numPr>
        <w:tabs>
          <w:tab w:val="clear" w:pos="720"/>
          <w:tab w:val="num" w:pos="840"/>
        </w:tabs>
        <w:spacing w:after="180" w:line="360" w:lineRule="exact"/>
        <w:ind w:left="840"/>
        <w:rPr>
          <w:rFonts w:hint="eastAsia"/>
        </w:rPr>
      </w:pPr>
      <w:r>
        <w:rPr>
          <w:rFonts w:hint="eastAsia"/>
        </w:rPr>
        <w:t>没有任何一项措施</w:t>
      </w:r>
      <w:r>
        <w:rPr>
          <w:rFonts w:hint="eastAsia"/>
        </w:rPr>
        <w:t>可以毫无条件地向任何核心家庭的成员提供福利：“家庭单位内某个成员在许多意义上要比其它成员贫困得多：他（她）吃得比较少，健康状况比较差，在医疗和教育方面受到的关注较少，穿得比较差，休闲娱乐活动较少，自由时间少，用家庭收入来消费的支配能力低等”（</w:t>
      </w:r>
      <w:r>
        <w:rPr>
          <w:rFonts w:hint="eastAsia"/>
        </w:rPr>
        <w:t>Anderson</w:t>
      </w:r>
      <w:r>
        <w:rPr>
          <w:rFonts w:hint="eastAsia"/>
        </w:rPr>
        <w:t>，</w:t>
      </w:r>
      <w:r>
        <w:rPr>
          <w:rFonts w:hint="eastAsia"/>
        </w:rPr>
        <w:t>1994</w:t>
      </w:r>
      <w:r>
        <w:rPr>
          <w:rFonts w:hint="eastAsia"/>
        </w:rPr>
        <w:t>年：</w:t>
      </w:r>
      <w:r>
        <w:rPr>
          <w:rFonts w:hint="eastAsia"/>
        </w:rPr>
        <w:t>15</w:t>
      </w:r>
      <w:r>
        <w:rPr>
          <w:rFonts w:hint="eastAsia"/>
        </w:rPr>
        <w:t>）。</w:t>
      </w:r>
    </w:p>
    <w:p w:rsidR="00000000" w:rsidRDefault="00CA422F">
      <w:pPr>
        <w:spacing w:after="180" w:line="360" w:lineRule="exact"/>
        <w:rPr>
          <w:rFonts w:hint="eastAsia"/>
        </w:rPr>
      </w:pPr>
      <w:r>
        <w:rPr>
          <w:rFonts w:hint="eastAsia"/>
        </w:rPr>
        <w:t>394</w:t>
      </w:r>
      <w:r>
        <w:rPr>
          <w:rFonts w:hint="eastAsia"/>
        </w:rPr>
        <w:t>．贫困人口女性化限制了个人发展，因而也就限制了男女双方的机会平等。贫困女性研究的主要困扰，一方面来自研究方式和信息来源的多样性，另一方面也同样来自这些信息来源中缺乏女性贫困的特殊情况（国家妇女研究所，</w:t>
      </w:r>
      <w:r>
        <w:rPr>
          <w:rFonts w:hint="eastAsia"/>
        </w:rPr>
        <w:t>2000</w:t>
      </w:r>
      <w:r>
        <w:rPr>
          <w:rFonts w:hint="eastAsia"/>
        </w:rPr>
        <w:t>年）。</w:t>
      </w:r>
    </w:p>
    <w:p w:rsidR="00000000" w:rsidRDefault="00CA422F">
      <w:pPr>
        <w:spacing w:after="180" w:line="360" w:lineRule="exact"/>
        <w:rPr>
          <w:rFonts w:hint="eastAsia"/>
        </w:rPr>
      </w:pPr>
      <w:r>
        <w:rPr>
          <w:rFonts w:hint="eastAsia"/>
        </w:rPr>
        <w:t>395</w:t>
      </w:r>
      <w:r>
        <w:rPr>
          <w:rFonts w:hint="eastAsia"/>
        </w:rPr>
        <w:t>．</w:t>
      </w:r>
      <w:r>
        <w:rPr>
          <w:rFonts w:hint="eastAsia"/>
        </w:rPr>
        <w:t>有关家庭和多种因素调查提供的数据证明了大家的忧虑，对多个领域进行的分析发现，贫困对家庭主妇的影响要比对男性的影响大得多，而这一区别一直贯穿整个九十年代。贫困家庭中不同性别担当户主比例中存在的差异也出现了重要的增长，比九十年代初的数据增长了三倍，截至</w:t>
      </w:r>
      <w:r>
        <w:rPr>
          <w:rFonts w:hint="eastAsia"/>
        </w:rPr>
        <w:t>1999</w:t>
      </w:r>
      <w:r>
        <w:rPr>
          <w:rFonts w:hint="eastAsia"/>
        </w:rPr>
        <w:t>年，贫困家庭中女性担当户主的比例出现了明显的增长。</w:t>
      </w:r>
      <w:r>
        <w:rPr>
          <w:rFonts w:hint="eastAsia"/>
        </w:rPr>
        <w:t>1999</w:t>
      </w:r>
      <w:r>
        <w:rPr>
          <w:rFonts w:hint="eastAsia"/>
        </w:rPr>
        <w:t>年，不同性别之间的差距达到了整个九十年代的最大值：近十个百分点（民族国家计划，</w:t>
      </w:r>
      <w:r>
        <w:rPr>
          <w:rFonts w:hint="eastAsia"/>
        </w:rPr>
        <w:t>2001</w:t>
      </w:r>
      <w:r>
        <w:rPr>
          <w:rFonts w:hint="eastAsia"/>
        </w:rPr>
        <w:t>年）。</w:t>
      </w:r>
    </w:p>
    <w:p w:rsidR="00000000" w:rsidRDefault="00CA422F">
      <w:pPr>
        <w:spacing w:after="180" w:line="360" w:lineRule="exact"/>
        <w:rPr>
          <w:rFonts w:hint="eastAsia"/>
        </w:rPr>
      </w:pPr>
      <w:r>
        <w:rPr>
          <w:rFonts w:hint="eastAsia"/>
        </w:rPr>
        <w:t>396</w:t>
      </w:r>
      <w:r>
        <w:rPr>
          <w:rFonts w:hint="eastAsia"/>
        </w:rPr>
        <w:t>．对待这项分析还应该特别谨慎。当我们从贫困家庭不同性别担当户主的不同比例的角度来研究女性，很可能会</w:t>
      </w:r>
      <w:r>
        <w:rPr>
          <w:rFonts w:hint="eastAsia"/>
        </w:rPr>
        <w:t>得出女性担当户主是导致妇女贫困的又一个原因的危险结论。担当户主并不会直接导致贫困，而只会加深贫困化。</w:t>
      </w:r>
    </w:p>
    <w:p w:rsidR="00000000" w:rsidRDefault="00CA422F">
      <w:pPr>
        <w:spacing w:after="240" w:line="360" w:lineRule="exact"/>
        <w:jc w:val="center"/>
        <w:rPr>
          <w:rFonts w:ascii="SimHei" w:eastAsia="SimHei" w:hint="eastAsia"/>
        </w:rPr>
      </w:pPr>
      <w:r>
        <w:br w:type="page"/>
      </w:r>
      <w:r>
        <w:rPr>
          <w:rFonts w:ascii="SimHei" w:eastAsia="SimHei" w:hint="eastAsia"/>
        </w:rPr>
        <w:t>图表</w:t>
      </w:r>
      <w:r>
        <w:rPr>
          <w:rFonts w:ascii="SimHei" w:eastAsia="SimHei" w:hint="eastAsia"/>
        </w:rPr>
        <w:t>4</w:t>
      </w:r>
      <w:r>
        <w:rPr>
          <w:rFonts w:ascii="SimHei" w:eastAsia="SimHei"/>
        </w:rPr>
        <w:br/>
      </w:r>
      <w:r>
        <w:rPr>
          <w:rFonts w:ascii="SimHei" w:eastAsia="SimHei" w:hint="eastAsia"/>
        </w:rPr>
        <w:t>不同性别担当户主的贫困家庭比例，</w:t>
      </w:r>
      <w:r>
        <w:rPr>
          <w:rFonts w:ascii="SimHei" w:eastAsia="SimHei"/>
        </w:rPr>
        <w:br/>
      </w:r>
      <w:r>
        <w:rPr>
          <w:rFonts w:ascii="SimHei" w:eastAsia="SimHei" w:hint="eastAsia"/>
        </w:rPr>
        <w:t>1990</w:t>
      </w:r>
      <w:r>
        <w:rPr>
          <w:rFonts w:ascii="SimHei" w:eastAsia="SimHei" w:hint="eastAsia"/>
        </w:rPr>
        <w:t>－</w:t>
      </w:r>
      <w:r>
        <w:rPr>
          <w:rFonts w:ascii="SimHei" w:eastAsia="SimHei" w:hint="eastAsia"/>
        </w:rPr>
        <w:t>1999</w:t>
      </w:r>
      <w:r>
        <w:rPr>
          <w:rFonts w:ascii="SimHei" w:eastAsia="SimHei" w:hint="eastAsia"/>
        </w:rPr>
        <w:t>年，</w:t>
      </w:r>
      <w:r>
        <w:rPr>
          <w:rFonts w:ascii="SimHei" w:eastAsia="SimHei"/>
        </w:rPr>
        <w:br/>
      </w:r>
      <w:r>
        <w:rPr>
          <w:rFonts w:ascii="SimHei" w:eastAsia="SimHei" w:hint="eastAsia"/>
        </w:rPr>
        <w:t>（占家庭总数的％）</w:t>
      </w:r>
    </w:p>
    <w:p w:rsidR="00000000" w:rsidRDefault="00CA422F">
      <w:pPr>
        <w:spacing w:after="240" w:line="360" w:lineRule="exact"/>
        <w:jc w:val="center"/>
        <w:rPr>
          <w:rFonts w:hint="eastAsia"/>
        </w:rPr>
      </w:pPr>
      <w:r>
        <w:rPr>
          <w:noProof/>
          <w:sz w:val="20"/>
        </w:rPr>
        <w:pict>
          <v:shape id="_x0000_s1030" type="#_x0000_t202" style="position:absolute;left:0;text-align:left;margin-left:53.85pt;margin-top:-.8pt;width:371.95pt;height:190.6pt;z-index:3" filled="f" stroked="f">
            <v:textbox>
              <w:txbxContent>
                <w:p w:rsidR="00000000" w:rsidRDefault="00CA422F">
                  <w:pPr>
                    <w:jc w:val="center"/>
                    <w:rPr>
                      <w:rFonts w:hint="eastAsia"/>
                    </w:rPr>
                  </w:pPr>
                  <w:r>
                    <w:pict>
                      <v:shape id="_x0000_i1029" type="#_x0000_t75" style="width:323.25pt;height:165.75pt">
                        <v:imagedata r:id="rId14" o:title=""/>
                      </v:shape>
                    </w:pict>
                  </w:r>
                </w:p>
                <w:p w:rsidR="00000000" w:rsidRDefault="00CA422F">
                  <w:pPr>
                    <w:rPr>
                      <w:rFonts w:hint="eastAsia"/>
                    </w:rPr>
                  </w:pPr>
                </w:p>
              </w:txbxContent>
            </v:textbox>
          </v:shape>
        </w:pict>
      </w:r>
    </w:p>
    <w:p w:rsidR="00000000" w:rsidRDefault="00CA422F">
      <w:pPr>
        <w:spacing w:after="240" w:line="360" w:lineRule="exact"/>
        <w:jc w:val="center"/>
        <w:rPr>
          <w:rFonts w:hint="eastAsia"/>
        </w:rPr>
      </w:pPr>
      <w:r>
        <w:rPr>
          <w:noProof/>
          <w:sz w:val="20"/>
        </w:rPr>
        <w:pict>
          <v:shape id="_x0000_s1031" type="#_x0000_t202" style="position:absolute;left:0;text-align:left;margin-left:5in;margin-top:21.2pt;width:42pt;height:52pt;z-index:4" filled="f" stroked="f">
            <v:textbox inset=",1.8mm">
              <w:txbxContent>
                <w:p w:rsidR="00000000" w:rsidRDefault="00CA422F">
                  <w:pPr>
                    <w:spacing w:after="240" w:line="360" w:lineRule="exact"/>
                    <w:rPr>
                      <w:rFonts w:hint="eastAsia"/>
                      <w:sz w:val="18"/>
                    </w:rPr>
                  </w:pPr>
                  <w:r>
                    <w:rPr>
                      <w:rFonts w:hint="eastAsia"/>
                      <w:sz w:val="18"/>
                    </w:rPr>
                    <w:t>男性</w:t>
                  </w:r>
                </w:p>
                <w:p w:rsidR="00000000" w:rsidRDefault="00CA422F">
                  <w:pPr>
                    <w:pStyle w:val="Date"/>
                    <w:spacing w:line="260" w:lineRule="atLeast"/>
                    <w:rPr>
                      <w:sz w:val="18"/>
                    </w:rPr>
                  </w:pPr>
                  <w:r>
                    <w:rPr>
                      <w:rFonts w:hint="eastAsia"/>
                      <w:sz w:val="18"/>
                    </w:rPr>
                    <w:t>女性</w:t>
                  </w:r>
                </w:p>
              </w:txbxContent>
            </v:textbox>
          </v:shape>
        </w:pict>
      </w:r>
    </w:p>
    <w:p w:rsidR="00000000" w:rsidRDefault="00CA422F">
      <w:pPr>
        <w:spacing w:after="240" w:line="360" w:lineRule="exact"/>
        <w:jc w:val="center"/>
        <w:rPr>
          <w:rFonts w:hint="eastAsia"/>
        </w:rPr>
      </w:pPr>
    </w:p>
    <w:p w:rsidR="00000000" w:rsidRDefault="00CA422F">
      <w:pPr>
        <w:spacing w:after="240" w:line="360" w:lineRule="exact"/>
        <w:jc w:val="center"/>
        <w:rPr>
          <w:rFonts w:hint="eastAsia"/>
        </w:rPr>
      </w:pPr>
    </w:p>
    <w:p w:rsidR="00000000" w:rsidRDefault="00CA422F">
      <w:pPr>
        <w:spacing w:after="240" w:line="360" w:lineRule="exact"/>
        <w:jc w:val="center"/>
        <w:rPr>
          <w:rFonts w:hint="eastAsia"/>
        </w:rPr>
      </w:pPr>
    </w:p>
    <w:p w:rsidR="00000000" w:rsidRDefault="00CA422F">
      <w:pPr>
        <w:spacing w:after="240" w:line="360" w:lineRule="exact"/>
        <w:jc w:val="center"/>
        <w:rPr>
          <w:rFonts w:hint="eastAsia"/>
        </w:rPr>
      </w:pPr>
    </w:p>
    <w:p w:rsidR="00000000" w:rsidRDefault="00CA422F" w:rsidP="00CA422F">
      <w:pPr>
        <w:spacing w:after="240" w:line="360" w:lineRule="exact"/>
        <w:ind w:firstLineChars="800" w:firstLine="31680"/>
        <w:rPr>
          <w:rFonts w:hint="eastAsia"/>
          <w:sz w:val="18"/>
        </w:rPr>
      </w:pPr>
      <w:r>
        <w:rPr>
          <w:rFonts w:hint="eastAsia"/>
          <w:sz w:val="18"/>
        </w:rPr>
        <w:t>资料来源：哥斯达黎加人口与统计总局</w:t>
      </w:r>
      <w:r>
        <w:rPr>
          <w:rFonts w:hint="eastAsia"/>
          <w:sz w:val="18"/>
        </w:rPr>
        <w:t>-</w:t>
      </w:r>
      <w:r>
        <w:rPr>
          <w:rFonts w:hint="eastAsia"/>
          <w:sz w:val="18"/>
        </w:rPr>
        <w:t>劳动和社会保障部，有关家庭和多种因素调查。相关年份</w:t>
      </w:r>
    </w:p>
    <w:p w:rsidR="00000000" w:rsidRDefault="00CA422F">
      <w:pPr>
        <w:spacing w:after="240" w:line="360" w:lineRule="exact"/>
        <w:rPr>
          <w:rFonts w:hint="eastAsia"/>
        </w:rPr>
      </w:pPr>
      <w:r>
        <w:rPr>
          <w:rFonts w:hint="eastAsia"/>
        </w:rPr>
        <w:t>397</w:t>
      </w:r>
      <w:r>
        <w:rPr>
          <w:rFonts w:hint="eastAsia"/>
        </w:rPr>
        <w:t>．应该指出的是，</w:t>
      </w:r>
      <w:r>
        <w:rPr>
          <w:rFonts w:hint="eastAsia"/>
        </w:rPr>
        <w:t>1999</w:t>
      </w:r>
      <w:r>
        <w:rPr>
          <w:rFonts w:hint="eastAsia"/>
        </w:rPr>
        <w:t>年，由于有关家庭和多种因素调查的数据发生了一定变化，这是因为根据为</w:t>
      </w:r>
      <w:r>
        <w:rPr>
          <w:rFonts w:hint="eastAsia"/>
        </w:rPr>
        <w:t>2000</w:t>
      </w:r>
      <w:r>
        <w:rPr>
          <w:rFonts w:hint="eastAsia"/>
        </w:rPr>
        <w:t>年人口普查绘制的最新地图而采取了全新的抽样方法。如果沿用前几次的抽样方法，贫困家庭的比例一定会更高（民族国家计划，</w:t>
      </w:r>
      <w:r>
        <w:rPr>
          <w:rFonts w:hint="eastAsia"/>
        </w:rPr>
        <w:t>2001</w:t>
      </w:r>
      <w:r>
        <w:rPr>
          <w:rFonts w:hint="eastAsia"/>
        </w:rPr>
        <w:t>年）。然而，值得注意的是，女性担当户主的贫困家庭比例有了明显上升，而男性当家的贫困家庭的比例却几乎没什么变化，这表明新的抽样反映了女性担当户主比率较高的贫困家庭的安置率有所上升，特别是在城镇地区。如果除去</w:t>
      </w:r>
      <w:r>
        <w:rPr>
          <w:rFonts w:hint="eastAsia"/>
        </w:rPr>
        <w:t>1999</w:t>
      </w:r>
      <w:r>
        <w:rPr>
          <w:rFonts w:hint="eastAsia"/>
        </w:rPr>
        <w:t>年，九十年代的数据似乎验证了“我们国家的贫困拥有女性面孔”的说法。</w:t>
      </w:r>
    </w:p>
    <w:p w:rsidR="00000000" w:rsidRDefault="00CA422F">
      <w:pPr>
        <w:spacing w:after="240" w:line="360" w:lineRule="exact"/>
        <w:rPr>
          <w:rFonts w:hint="eastAsia"/>
        </w:rPr>
      </w:pPr>
      <w:r>
        <w:rPr>
          <w:rFonts w:hint="eastAsia"/>
        </w:rPr>
        <w:t>398</w:t>
      </w:r>
      <w:r>
        <w:rPr>
          <w:rFonts w:hint="eastAsia"/>
        </w:rPr>
        <w:t>．不同年龄层次间的差异表明年轻的家庭主妇（</w:t>
      </w:r>
      <w:r>
        <w:rPr>
          <w:rFonts w:hint="eastAsia"/>
        </w:rPr>
        <w:t>34</w:t>
      </w:r>
      <w:r>
        <w:rPr>
          <w:rFonts w:hint="eastAsia"/>
        </w:rPr>
        <w:t>岁或</w:t>
      </w:r>
      <w:r>
        <w:rPr>
          <w:rFonts w:hint="eastAsia"/>
        </w:rPr>
        <w:t>34</w:t>
      </w:r>
      <w:r>
        <w:rPr>
          <w:rFonts w:hint="eastAsia"/>
        </w:rPr>
        <w:t>岁以下）受贫困影响较大，经常处于极端贫困之中，而且该年龄段的男性当家与女性作主的贫困家庭的比例的差异最大。这应该引起大家的关注，特别是考虑到这些家庭中学前和上学的孩</w:t>
      </w:r>
      <w:r>
        <w:rPr>
          <w:rFonts w:hint="eastAsia"/>
        </w:rPr>
        <w:t>子较多，他们的需要不能完全满足，同时也缺乏将来获得较高生活质量的机会，那些没有父亲，即意味着父亲无法履行职责的孩子的情况尤为突出（</w:t>
      </w:r>
      <w:r>
        <w:rPr>
          <w:rFonts w:hint="eastAsia"/>
        </w:rPr>
        <w:t>Ramos</w:t>
      </w:r>
      <w:r>
        <w:rPr>
          <w:rFonts w:hint="eastAsia"/>
        </w:rPr>
        <w:t>，</w:t>
      </w:r>
      <w:r>
        <w:rPr>
          <w:rFonts w:hint="eastAsia"/>
        </w:rPr>
        <w:t>2001</w:t>
      </w:r>
      <w:r>
        <w:rPr>
          <w:rFonts w:hint="eastAsia"/>
        </w:rPr>
        <w:t>年）。</w:t>
      </w:r>
    </w:p>
    <w:p w:rsidR="00000000" w:rsidRDefault="00CA422F">
      <w:pPr>
        <w:spacing w:after="240" w:line="360" w:lineRule="exact"/>
        <w:rPr>
          <w:rFonts w:hint="eastAsia"/>
        </w:rPr>
      </w:pPr>
      <w:r>
        <w:rPr>
          <w:rFonts w:hint="eastAsia"/>
        </w:rPr>
        <w:t>399</w:t>
      </w:r>
      <w:r>
        <w:rPr>
          <w:rFonts w:hint="eastAsia"/>
        </w:rPr>
        <w:t>．单身女性或者单亲家庭的女主人受贫困影响最大。</w:t>
      </w:r>
      <w:r>
        <w:rPr>
          <w:rFonts w:hint="eastAsia"/>
        </w:rPr>
        <w:t>1999</w:t>
      </w:r>
      <w:r>
        <w:rPr>
          <w:rFonts w:hint="eastAsia"/>
        </w:rPr>
        <w:t>年，单身女性或单亲家庭的女主人是所有贫困家庭中最贫困的（分别为</w:t>
      </w:r>
      <w:r>
        <w:rPr>
          <w:rFonts w:hint="eastAsia"/>
        </w:rPr>
        <w:t>29</w:t>
      </w:r>
      <w:r>
        <w:rPr>
          <w:rFonts w:hint="eastAsia"/>
        </w:rPr>
        <w:t>％和</w:t>
      </w:r>
      <w:r>
        <w:rPr>
          <w:rFonts w:hint="eastAsia"/>
        </w:rPr>
        <w:t>25</w:t>
      </w:r>
      <w:r>
        <w:rPr>
          <w:rFonts w:hint="eastAsia"/>
        </w:rPr>
        <w:t>％）。此外，在单亲家庭中，女主人和男主人之间的差距更大。</w:t>
      </w:r>
    </w:p>
    <w:p w:rsidR="00000000" w:rsidRDefault="00CA422F">
      <w:pPr>
        <w:spacing w:after="240" w:line="360" w:lineRule="exact"/>
        <w:rPr>
          <w:rFonts w:hint="eastAsia"/>
        </w:rPr>
      </w:pPr>
      <w:r>
        <w:rPr>
          <w:rFonts w:hint="eastAsia"/>
        </w:rPr>
        <w:t>400</w:t>
      </w:r>
      <w:r>
        <w:rPr>
          <w:rFonts w:hint="eastAsia"/>
        </w:rPr>
        <w:t>．同样，极端贫困对单亲家庭的女主人非常不利，占总数的百分之八，高于全国平均水平（</w:t>
      </w:r>
      <w:r>
        <w:rPr>
          <w:rFonts w:hint="eastAsia"/>
        </w:rPr>
        <w:t>Ramos</w:t>
      </w:r>
      <w:r>
        <w:rPr>
          <w:rFonts w:hint="eastAsia"/>
        </w:rPr>
        <w:t>，</w:t>
      </w:r>
      <w:r>
        <w:rPr>
          <w:rFonts w:hint="eastAsia"/>
        </w:rPr>
        <w:t>2000</w:t>
      </w:r>
      <w:r>
        <w:rPr>
          <w:rFonts w:hint="eastAsia"/>
        </w:rPr>
        <w:t>年）。如表</w:t>
      </w:r>
      <w:r>
        <w:rPr>
          <w:rFonts w:hint="eastAsia"/>
        </w:rPr>
        <w:t>13</w:t>
      </w:r>
      <w:r>
        <w:rPr>
          <w:rFonts w:hint="eastAsia"/>
        </w:rPr>
        <w:t>所示，受贫困影响最大的为农村地区和中央谷地</w:t>
      </w:r>
      <w:r>
        <w:rPr>
          <w:rFonts w:hint="eastAsia"/>
        </w:rPr>
        <w:t>之外的地区，不仅表现在同全国家庭的平均数据的关系上，也同样体现在女性担当户主的家庭的相关数据上（民族国家计划，</w:t>
      </w:r>
      <w:r>
        <w:rPr>
          <w:rFonts w:hint="eastAsia"/>
        </w:rPr>
        <w:t>2001</w:t>
      </w:r>
      <w:r>
        <w:rPr>
          <w:rFonts w:hint="eastAsia"/>
        </w:rPr>
        <w:t>年）。</w:t>
      </w:r>
    </w:p>
    <w:p w:rsidR="00000000" w:rsidRDefault="00CA422F">
      <w:pPr>
        <w:spacing w:after="240" w:line="360" w:lineRule="exact"/>
        <w:jc w:val="center"/>
        <w:rPr>
          <w:rFonts w:ascii="SimHei" w:eastAsia="SimHei" w:hint="eastAsia"/>
        </w:rPr>
      </w:pPr>
      <w:r>
        <w:rPr>
          <w:rFonts w:ascii="SimHei" w:eastAsia="SimHei" w:hint="eastAsia"/>
        </w:rPr>
        <w:t>表</w:t>
      </w:r>
      <w:r>
        <w:rPr>
          <w:rFonts w:ascii="SimHei" w:eastAsia="SimHei" w:hint="eastAsia"/>
        </w:rPr>
        <w:t>13</w:t>
      </w:r>
      <w:r>
        <w:rPr>
          <w:rFonts w:ascii="SimHei" w:eastAsia="SimHei"/>
        </w:rPr>
        <w:br/>
      </w:r>
      <w:r>
        <w:rPr>
          <w:rFonts w:ascii="SimHei" w:eastAsia="SimHei" w:hint="eastAsia"/>
        </w:rPr>
        <w:t>不同性别和不同居住区家庭贫困状况的演变，</w:t>
      </w:r>
      <w:r>
        <w:rPr>
          <w:rFonts w:ascii="SimHei" w:eastAsia="SimHei" w:hint="eastAsia"/>
        </w:rPr>
        <w:t>1989</w:t>
      </w:r>
      <w:r>
        <w:rPr>
          <w:rFonts w:ascii="SimHei" w:eastAsia="SimHei" w:hint="eastAsia"/>
        </w:rPr>
        <w:t>－</w:t>
      </w:r>
      <w:r>
        <w:rPr>
          <w:rFonts w:ascii="SimHei" w:eastAsia="SimHei" w:hint="eastAsia"/>
        </w:rPr>
        <w:t>1997</w:t>
      </w:r>
      <w:r>
        <w:rPr>
          <w:rFonts w:ascii="SimHei" w:eastAsia="SimHei" w:hint="eastAsia"/>
        </w:rPr>
        <w:t>年</w:t>
      </w:r>
      <w:r>
        <w:rPr>
          <w:rFonts w:ascii="SimHei" w:eastAsia="SimHei"/>
        </w:rPr>
        <w:br/>
      </w:r>
      <w:r>
        <w:rPr>
          <w:rFonts w:ascii="SimHei" w:eastAsia="SimHei" w:hint="eastAsia"/>
        </w:rPr>
        <w:t>（绝对数据和相对比率）</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2"/>
        <w:gridCol w:w="1082"/>
        <w:gridCol w:w="1082"/>
        <w:gridCol w:w="1082"/>
        <w:gridCol w:w="1082"/>
        <w:gridCol w:w="1082"/>
        <w:gridCol w:w="1082"/>
        <w:gridCol w:w="1072"/>
      </w:tblGrid>
      <w:tr w:rsidR="00000000">
        <w:tblPrEx>
          <w:tblCellMar>
            <w:top w:w="0" w:type="dxa"/>
            <w:bottom w:w="0" w:type="dxa"/>
          </w:tblCellMar>
        </w:tblPrEx>
        <w:trPr>
          <w:cantSplit/>
        </w:trPr>
        <w:tc>
          <w:tcPr>
            <w:tcW w:w="1162" w:type="pct"/>
            <w:vMerge w:val="restart"/>
            <w:vAlign w:val="center"/>
          </w:tcPr>
          <w:p w:rsidR="00000000" w:rsidRDefault="00CA422F">
            <w:pPr>
              <w:pStyle w:val="Header"/>
              <w:pBdr>
                <w:bottom w:val="none" w:sz="0" w:space="0" w:color="auto"/>
              </w:pBdr>
              <w:tabs>
                <w:tab w:val="clear" w:pos="4320"/>
                <w:tab w:val="clear" w:pos="8640"/>
              </w:tabs>
              <w:spacing w:line="360" w:lineRule="exact"/>
              <w:rPr>
                <w:rFonts w:eastAsia="SimHei" w:hint="eastAsia"/>
              </w:rPr>
            </w:pPr>
            <w:r>
              <w:rPr>
                <w:rFonts w:eastAsia="SimHei" w:hint="eastAsia"/>
              </w:rPr>
              <w:t>指数</w:t>
            </w:r>
          </w:p>
        </w:tc>
        <w:tc>
          <w:tcPr>
            <w:tcW w:w="1098" w:type="pct"/>
            <w:gridSpan w:val="2"/>
          </w:tcPr>
          <w:p w:rsidR="00000000" w:rsidRDefault="00CA422F">
            <w:pPr>
              <w:spacing w:line="360" w:lineRule="exact"/>
              <w:jc w:val="center"/>
              <w:rPr>
                <w:rFonts w:hint="eastAsia"/>
                <w:sz w:val="18"/>
              </w:rPr>
            </w:pPr>
            <w:r>
              <w:rPr>
                <w:rFonts w:eastAsia="SimHei" w:hint="eastAsia"/>
                <w:sz w:val="18"/>
              </w:rPr>
              <w:t>贫困家庭</w:t>
            </w:r>
          </w:p>
        </w:tc>
        <w:tc>
          <w:tcPr>
            <w:tcW w:w="1098" w:type="pct"/>
            <w:gridSpan w:val="2"/>
          </w:tcPr>
          <w:p w:rsidR="00000000" w:rsidRDefault="00CA422F">
            <w:pPr>
              <w:spacing w:line="360" w:lineRule="exact"/>
              <w:jc w:val="center"/>
              <w:rPr>
                <w:rFonts w:hint="eastAsia"/>
                <w:sz w:val="18"/>
              </w:rPr>
            </w:pPr>
            <w:r>
              <w:rPr>
                <w:rFonts w:eastAsia="SimHei" w:hint="eastAsia"/>
                <w:sz w:val="18"/>
              </w:rPr>
              <w:t>1989</w:t>
            </w:r>
            <w:r>
              <w:rPr>
                <w:rFonts w:eastAsia="SimHei" w:hint="eastAsia"/>
                <w:sz w:val="18"/>
              </w:rPr>
              <w:t>－</w:t>
            </w:r>
            <w:r>
              <w:rPr>
                <w:rFonts w:eastAsia="SimHei" w:hint="eastAsia"/>
                <w:sz w:val="18"/>
              </w:rPr>
              <w:t>1997</w:t>
            </w:r>
            <w:r>
              <w:rPr>
                <w:rFonts w:eastAsia="SimHei" w:hint="eastAsia"/>
                <w:sz w:val="18"/>
              </w:rPr>
              <w:t>年间的变化</w:t>
            </w:r>
          </w:p>
        </w:tc>
        <w:tc>
          <w:tcPr>
            <w:tcW w:w="1643" w:type="pct"/>
            <w:gridSpan w:val="3"/>
          </w:tcPr>
          <w:p w:rsidR="00000000" w:rsidRDefault="00CA422F">
            <w:pPr>
              <w:spacing w:line="360" w:lineRule="exact"/>
              <w:jc w:val="center"/>
              <w:rPr>
                <w:rFonts w:hint="eastAsia"/>
                <w:sz w:val="18"/>
              </w:rPr>
            </w:pPr>
            <w:r>
              <w:rPr>
                <w:rFonts w:eastAsia="SimHei" w:hint="eastAsia"/>
                <w:sz w:val="18"/>
              </w:rPr>
              <w:t>贫困指数</w:t>
            </w:r>
          </w:p>
        </w:tc>
      </w:tr>
      <w:tr w:rsidR="00000000">
        <w:tblPrEx>
          <w:tblCellMar>
            <w:top w:w="0" w:type="dxa"/>
            <w:bottom w:w="0" w:type="dxa"/>
          </w:tblCellMar>
        </w:tblPrEx>
        <w:trPr>
          <w:cantSplit/>
        </w:trPr>
        <w:tc>
          <w:tcPr>
            <w:tcW w:w="1162" w:type="pct"/>
            <w:vMerge/>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r>
              <w:rPr>
                <w:rFonts w:hint="eastAsia"/>
                <w:sz w:val="18"/>
              </w:rPr>
              <w:t>1989</w:t>
            </w:r>
          </w:p>
        </w:tc>
        <w:tc>
          <w:tcPr>
            <w:tcW w:w="549" w:type="pct"/>
          </w:tcPr>
          <w:p w:rsidR="00000000" w:rsidRDefault="00CA422F">
            <w:pPr>
              <w:spacing w:line="360" w:lineRule="exact"/>
              <w:jc w:val="center"/>
              <w:rPr>
                <w:rFonts w:hint="eastAsia"/>
                <w:sz w:val="18"/>
              </w:rPr>
            </w:pPr>
            <w:r>
              <w:rPr>
                <w:rFonts w:hint="eastAsia"/>
                <w:sz w:val="18"/>
              </w:rPr>
              <w:t>1997</w:t>
            </w:r>
          </w:p>
        </w:tc>
        <w:tc>
          <w:tcPr>
            <w:tcW w:w="549" w:type="pct"/>
          </w:tcPr>
          <w:p w:rsidR="00000000" w:rsidRDefault="00CA422F">
            <w:pPr>
              <w:spacing w:line="360" w:lineRule="exact"/>
              <w:jc w:val="center"/>
              <w:rPr>
                <w:rFonts w:hint="eastAsia"/>
                <w:sz w:val="18"/>
              </w:rPr>
            </w:pPr>
            <w:r>
              <w:rPr>
                <w:rFonts w:hint="eastAsia"/>
                <w:sz w:val="18"/>
              </w:rPr>
              <w:t>绝对数据</w:t>
            </w:r>
          </w:p>
        </w:tc>
        <w:tc>
          <w:tcPr>
            <w:tcW w:w="549" w:type="pct"/>
          </w:tcPr>
          <w:p w:rsidR="00000000" w:rsidRDefault="00CA422F">
            <w:pPr>
              <w:spacing w:line="360" w:lineRule="exact"/>
              <w:jc w:val="center"/>
              <w:rPr>
                <w:rFonts w:hint="eastAsia"/>
                <w:sz w:val="18"/>
              </w:rPr>
            </w:pPr>
            <w:r>
              <w:rPr>
                <w:rFonts w:hint="eastAsia"/>
                <w:sz w:val="18"/>
              </w:rPr>
              <w:t>相对比例</w:t>
            </w:r>
          </w:p>
        </w:tc>
        <w:tc>
          <w:tcPr>
            <w:tcW w:w="549" w:type="pct"/>
          </w:tcPr>
          <w:p w:rsidR="00000000" w:rsidRDefault="00CA422F">
            <w:pPr>
              <w:spacing w:line="360" w:lineRule="exact"/>
              <w:jc w:val="center"/>
              <w:rPr>
                <w:rFonts w:hint="eastAsia"/>
                <w:sz w:val="18"/>
              </w:rPr>
            </w:pPr>
            <w:r>
              <w:rPr>
                <w:rFonts w:hint="eastAsia"/>
                <w:sz w:val="18"/>
              </w:rPr>
              <w:t>1989</w:t>
            </w:r>
          </w:p>
        </w:tc>
        <w:tc>
          <w:tcPr>
            <w:tcW w:w="549" w:type="pct"/>
          </w:tcPr>
          <w:p w:rsidR="00000000" w:rsidRDefault="00CA422F">
            <w:pPr>
              <w:spacing w:line="360" w:lineRule="exact"/>
              <w:jc w:val="center"/>
              <w:rPr>
                <w:rFonts w:hint="eastAsia"/>
                <w:sz w:val="18"/>
              </w:rPr>
            </w:pPr>
            <w:r>
              <w:rPr>
                <w:rFonts w:hint="eastAsia"/>
                <w:sz w:val="18"/>
              </w:rPr>
              <w:t>1997</w:t>
            </w:r>
          </w:p>
        </w:tc>
        <w:tc>
          <w:tcPr>
            <w:tcW w:w="545" w:type="pct"/>
          </w:tcPr>
          <w:p w:rsidR="00000000" w:rsidRDefault="00CA422F">
            <w:pPr>
              <w:spacing w:line="360" w:lineRule="exact"/>
              <w:jc w:val="center"/>
              <w:rPr>
                <w:rFonts w:hint="eastAsia"/>
                <w:sz w:val="18"/>
              </w:rPr>
            </w:pPr>
            <w:r>
              <w:rPr>
                <w:rFonts w:hint="eastAsia"/>
                <w:sz w:val="18"/>
              </w:rPr>
              <w:t>变化</w:t>
            </w:r>
          </w:p>
        </w:tc>
      </w:tr>
      <w:tr w:rsidR="00000000">
        <w:tblPrEx>
          <w:tblCellMar>
            <w:top w:w="0" w:type="dxa"/>
            <w:bottom w:w="0" w:type="dxa"/>
          </w:tblCellMar>
        </w:tblPrEx>
        <w:tc>
          <w:tcPr>
            <w:tcW w:w="1162" w:type="pct"/>
          </w:tcPr>
          <w:p w:rsidR="00000000" w:rsidRDefault="00CA422F">
            <w:pPr>
              <w:spacing w:line="360" w:lineRule="exact"/>
              <w:rPr>
                <w:rFonts w:eastAsia="SimHei" w:hint="eastAsia"/>
                <w:sz w:val="18"/>
              </w:rPr>
            </w:pPr>
            <w:r>
              <w:rPr>
                <w:rFonts w:eastAsia="SimHei" w:hint="eastAsia"/>
                <w:sz w:val="18"/>
              </w:rPr>
              <w:t>总人数（千）</w:t>
            </w:r>
          </w:p>
        </w:tc>
        <w:tc>
          <w:tcPr>
            <w:tcW w:w="549" w:type="pct"/>
          </w:tcPr>
          <w:p w:rsidR="00000000" w:rsidRDefault="00CA422F">
            <w:pPr>
              <w:spacing w:line="360" w:lineRule="exact"/>
              <w:jc w:val="center"/>
              <w:rPr>
                <w:sz w:val="18"/>
                <w:lang w:val="es-ES"/>
              </w:rPr>
            </w:pPr>
            <w:r>
              <w:rPr>
                <w:sz w:val="18"/>
                <w:lang w:val="es-ES"/>
              </w:rPr>
              <w:t>243.5</w:t>
            </w:r>
          </w:p>
        </w:tc>
        <w:tc>
          <w:tcPr>
            <w:tcW w:w="549" w:type="pct"/>
          </w:tcPr>
          <w:p w:rsidR="00000000" w:rsidRDefault="00CA422F">
            <w:pPr>
              <w:spacing w:line="360" w:lineRule="exact"/>
              <w:jc w:val="center"/>
              <w:rPr>
                <w:sz w:val="18"/>
                <w:lang w:val="es-ES"/>
              </w:rPr>
            </w:pPr>
            <w:r>
              <w:rPr>
                <w:sz w:val="18"/>
                <w:lang w:val="es-ES"/>
              </w:rPr>
              <w:t>310.8</w:t>
            </w:r>
          </w:p>
        </w:tc>
        <w:tc>
          <w:tcPr>
            <w:tcW w:w="549" w:type="pct"/>
          </w:tcPr>
          <w:p w:rsidR="00000000" w:rsidRDefault="00CA422F">
            <w:pPr>
              <w:spacing w:line="360" w:lineRule="exact"/>
              <w:jc w:val="center"/>
              <w:rPr>
                <w:sz w:val="18"/>
                <w:lang w:val="es-ES"/>
              </w:rPr>
            </w:pPr>
            <w:r>
              <w:rPr>
                <w:sz w:val="18"/>
                <w:lang w:val="es-ES"/>
              </w:rPr>
              <w:t>67.4</w:t>
            </w: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5" w:type="pct"/>
          </w:tcPr>
          <w:p w:rsidR="00000000" w:rsidRDefault="00CA422F">
            <w:pPr>
              <w:spacing w:line="360" w:lineRule="exact"/>
              <w:jc w:val="center"/>
              <w:rPr>
                <w:rFonts w:hint="eastAsia"/>
                <w:sz w:val="18"/>
              </w:rPr>
            </w:pPr>
          </w:p>
        </w:tc>
      </w:tr>
      <w:tr w:rsidR="00000000">
        <w:tblPrEx>
          <w:tblCellMar>
            <w:top w:w="0" w:type="dxa"/>
            <w:bottom w:w="0" w:type="dxa"/>
          </w:tblCellMar>
        </w:tblPrEx>
        <w:tc>
          <w:tcPr>
            <w:tcW w:w="1162" w:type="pct"/>
          </w:tcPr>
          <w:p w:rsidR="00000000" w:rsidRDefault="00CA422F">
            <w:pPr>
              <w:spacing w:line="360" w:lineRule="exact"/>
              <w:rPr>
                <w:rFonts w:hint="eastAsia"/>
                <w:sz w:val="18"/>
              </w:rPr>
            </w:pPr>
            <w:r>
              <w:rPr>
                <w:rFonts w:hint="eastAsia"/>
                <w:sz w:val="18"/>
              </w:rPr>
              <w:t>总数（比例）</w:t>
            </w:r>
          </w:p>
        </w:tc>
        <w:tc>
          <w:tcPr>
            <w:tcW w:w="549" w:type="pct"/>
          </w:tcPr>
          <w:p w:rsidR="00000000" w:rsidRDefault="00CA422F">
            <w:pPr>
              <w:spacing w:line="360" w:lineRule="exact"/>
              <w:jc w:val="center"/>
              <w:rPr>
                <w:sz w:val="18"/>
                <w:lang w:val="es-ES"/>
              </w:rPr>
            </w:pPr>
            <w:r>
              <w:rPr>
                <w:sz w:val="18"/>
                <w:lang w:val="es-ES"/>
              </w:rPr>
              <w:t>100.0</w:t>
            </w:r>
          </w:p>
        </w:tc>
        <w:tc>
          <w:tcPr>
            <w:tcW w:w="549" w:type="pct"/>
          </w:tcPr>
          <w:p w:rsidR="00000000" w:rsidRDefault="00CA422F">
            <w:pPr>
              <w:spacing w:line="360" w:lineRule="exact"/>
              <w:jc w:val="center"/>
              <w:rPr>
                <w:sz w:val="18"/>
                <w:lang w:val="es-ES"/>
              </w:rPr>
            </w:pPr>
            <w:r>
              <w:rPr>
                <w:sz w:val="18"/>
                <w:lang w:val="es-ES"/>
              </w:rPr>
              <w:t>100.0</w:t>
            </w:r>
          </w:p>
        </w:tc>
        <w:tc>
          <w:tcPr>
            <w:tcW w:w="549" w:type="pct"/>
          </w:tcPr>
          <w:p w:rsidR="00000000" w:rsidRDefault="00CA422F">
            <w:pPr>
              <w:spacing w:line="360" w:lineRule="exact"/>
              <w:jc w:val="center"/>
              <w:rPr>
                <w:sz w:val="18"/>
                <w:lang w:val="es-ES"/>
              </w:rPr>
            </w:pPr>
            <w:r>
              <w:rPr>
                <w:sz w:val="18"/>
                <w:lang w:val="es-ES"/>
              </w:rPr>
              <w:t>100.0</w:t>
            </w:r>
          </w:p>
        </w:tc>
        <w:tc>
          <w:tcPr>
            <w:tcW w:w="549" w:type="pct"/>
          </w:tcPr>
          <w:p w:rsidR="00000000" w:rsidRDefault="00CA422F">
            <w:pPr>
              <w:spacing w:line="360" w:lineRule="exact"/>
              <w:jc w:val="center"/>
              <w:rPr>
                <w:sz w:val="18"/>
                <w:lang w:val="es-ES"/>
              </w:rPr>
            </w:pPr>
            <w:r>
              <w:rPr>
                <w:sz w:val="18"/>
                <w:lang w:val="es-ES"/>
              </w:rPr>
              <w:t>3.1</w:t>
            </w:r>
          </w:p>
        </w:tc>
        <w:tc>
          <w:tcPr>
            <w:tcW w:w="549" w:type="pct"/>
          </w:tcPr>
          <w:p w:rsidR="00000000" w:rsidRDefault="00CA422F">
            <w:pPr>
              <w:spacing w:line="360" w:lineRule="exact"/>
              <w:jc w:val="center"/>
              <w:rPr>
                <w:sz w:val="18"/>
                <w:lang w:val="es-ES"/>
              </w:rPr>
            </w:pPr>
            <w:r>
              <w:rPr>
                <w:sz w:val="18"/>
                <w:lang w:val="es-ES"/>
              </w:rPr>
              <w:t>53.7</w:t>
            </w:r>
          </w:p>
        </w:tc>
        <w:tc>
          <w:tcPr>
            <w:tcW w:w="549" w:type="pct"/>
          </w:tcPr>
          <w:p w:rsidR="00000000" w:rsidRDefault="00CA422F">
            <w:pPr>
              <w:spacing w:line="360" w:lineRule="exact"/>
              <w:jc w:val="center"/>
              <w:rPr>
                <w:sz w:val="18"/>
                <w:lang w:val="es-ES"/>
              </w:rPr>
            </w:pPr>
            <w:r>
              <w:rPr>
                <w:sz w:val="18"/>
                <w:lang w:val="es-ES"/>
              </w:rPr>
              <w:t>46.4</w:t>
            </w:r>
          </w:p>
        </w:tc>
        <w:tc>
          <w:tcPr>
            <w:tcW w:w="545" w:type="pct"/>
          </w:tcPr>
          <w:p w:rsidR="00000000" w:rsidRDefault="00CA422F">
            <w:pPr>
              <w:spacing w:line="360" w:lineRule="exact"/>
              <w:jc w:val="center"/>
              <w:rPr>
                <w:sz w:val="18"/>
              </w:rPr>
            </w:pPr>
            <w:r>
              <w:rPr>
                <w:sz w:val="18"/>
              </w:rPr>
              <w:t>-7.3</w:t>
            </w:r>
          </w:p>
        </w:tc>
      </w:tr>
      <w:tr w:rsidR="00000000">
        <w:tblPrEx>
          <w:tblCellMar>
            <w:top w:w="0" w:type="dxa"/>
            <w:bottom w:w="0" w:type="dxa"/>
          </w:tblCellMar>
        </w:tblPrEx>
        <w:tc>
          <w:tcPr>
            <w:tcW w:w="1162" w:type="pct"/>
          </w:tcPr>
          <w:p w:rsidR="00000000" w:rsidRDefault="00CA422F">
            <w:pPr>
              <w:spacing w:line="360" w:lineRule="exact"/>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5" w:type="pct"/>
          </w:tcPr>
          <w:p w:rsidR="00000000" w:rsidRDefault="00CA422F">
            <w:pPr>
              <w:spacing w:line="360" w:lineRule="exact"/>
              <w:jc w:val="center"/>
              <w:rPr>
                <w:rFonts w:hint="eastAsia"/>
                <w:sz w:val="18"/>
              </w:rPr>
            </w:pPr>
          </w:p>
        </w:tc>
      </w:tr>
      <w:tr w:rsidR="00000000">
        <w:tblPrEx>
          <w:tblCellMar>
            <w:top w:w="0" w:type="dxa"/>
            <w:bottom w:w="0" w:type="dxa"/>
          </w:tblCellMar>
        </w:tblPrEx>
        <w:tc>
          <w:tcPr>
            <w:tcW w:w="1162" w:type="pct"/>
          </w:tcPr>
          <w:p w:rsidR="00000000" w:rsidRDefault="00CA422F">
            <w:pPr>
              <w:spacing w:line="360" w:lineRule="exact"/>
              <w:rPr>
                <w:rFonts w:hint="eastAsia"/>
                <w:b/>
                <w:bCs/>
                <w:sz w:val="18"/>
              </w:rPr>
            </w:pPr>
            <w:r>
              <w:rPr>
                <w:rFonts w:eastAsia="SimHei" w:hint="eastAsia"/>
                <w:sz w:val="18"/>
              </w:rPr>
              <w:t>性别</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3.1</w:t>
            </w:r>
          </w:p>
        </w:tc>
        <w:tc>
          <w:tcPr>
            <w:tcW w:w="549" w:type="pct"/>
          </w:tcPr>
          <w:p w:rsidR="00000000" w:rsidRDefault="00CA422F">
            <w:pPr>
              <w:spacing w:line="360" w:lineRule="exact"/>
              <w:jc w:val="center"/>
              <w:rPr>
                <w:sz w:val="18"/>
              </w:rPr>
            </w:pPr>
            <w:r>
              <w:rPr>
                <w:rFonts w:hint="eastAsia"/>
                <w:sz w:val="18"/>
              </w:rPr>
              <w:t>5</w:t>
            </w:r>
            <w:r>
              <w:rPr>
                <w:sz w:val="18"/>
              </w:rPr>
              <w:t>3.7</w:t>
            </w:r>
          </w:p>
        </w:tc>
        <w:tc>
          <w:tcPr>
            <w:tcW w:w="549" w:type="pct"/>
          </w:tcPr>
          <w:p w:rsidR="00000000" w:rsidRDefault="00CA422F">
            <w:pPr>
              <w:spacing w:line="360" w:lineRule="exact"/>
              <w:jc w:val="center"/>
              <w:rPr>
                <w:sz w:val="18"/>
              </w:rPr>
            </w:pPr>
            <w:r>
              <w:rPr>
                <w:sz w:val="18"/>
              </w:rPr>
              <w:t>46.4</w:t>
            </w:r>
          </w:p>
        </w:tc>
        <w:tc>
          <w:tcPr>
            <w:tcW w:w="545" w:type="pct"/>
          </w:tcPr>
          <w:p w:rsidR="00000000" w:rsidRDefault="00CA422F">
            <w:pPr>
              <w:spacing w:line="360" w:lineRule="exact"/>
              <w:jc w:val="center"/>
              <w:rPr>
                <w:sz w:val="18"/>
              </w:rPr>
            </w:pPr>
            <w:r>
              <w:rPr>
                <w:sz w:val="18"/>
              </w:rPr>
              <w:t>-7.3</w:t>
            </w:r>
          </w:p>
        </w:tc>
      </w:tr>
      <w:tr w:rsidR="00000000">
        <w:tblPrEx>
          <w:tblCellMar>
            <w:top w:w="0" w:type="dxa"/>
            <w:bottom w:w="0" w:type="dxa"/>
          </w:tblCellMar>
        </w:tblPrEx>
        <w:tc>
          <w:tcPr>
            <w:tcW w:w="1162" w:type="pct"/>
          </w:tcPr>
          <w:p w:rsidR="00000000" w:rsidRDefault="00CA422F">
            <w:pPr>
              <w:spacing w:line="360" w:lineRule="exact"/>
              <w:rPr>
                <w:rFonts w:hint="eastAsia"/>
                <w:sz w:val="18"/>
              </w:rPr>
            </w:pPr>
            <w:r>
              <w:rPr>
                <w:rFonts w:hint="eastAsia"/>
                <w:sz w:val="18"/>
              </w:rPr>
              <w:t>男性</w:t>
            </w:r>
          </w:p>
        </w:tc>
        <w:tc>
          <w:tcPr>
            <w:tcW w:w="549" w:type="pct"/>
          </w:tcPr>
          <w:p w:rsidR="00000000" w:rsidRDefault="00CA422F">
            <w:pPr>
              <w:spacing w:line="360" w:lineRule="exact"/>
              <w:jc w:val="center"/>
              <w:rPr>
                <w:sz w:val="18"/>
              </w:rPr>
            </w:pPr>
            <w:r>
              <w:rPr>
                <w:sz w:val="18"/>
              </w:rPr>
              <w:t>81.5</w:t>
            </w:r>
          </w:p>
        </w:tc>
        <w:tc>
          <w:tcPr>
            <w:tcW w:w="549" w:type="pct"/>
          </w:tcPr>
          <w:p w:rsidR="00000000" w:rsidRDefault="00CA422F">
            <w:pPr>
              <w:spacing w:line="360" w:lineRule="exact"/>
              <w:jc w:val="center"/>
              <w:rPr>
                <w:sz w:val="18"/>
              </w:rPr>
            </w:pPr>
            <w:r>
              <w:rPr>
                <w:sz w:val="18"/>
              </w:rPr>
              <w:t>78.0</w:t>
            </w:r>
          </w:p>
        </w:tc>
        <w:tc>
          <w:tcPr>
            <w:tcW w:w="549" w:type="pct"/>
          </w:tcPr>
          <w:p w:rsidR="00000000" w:rsidRDefault="00CA422F">
            <w:pPr>
              <w:spacing w:line="360" w:lineRule="exact"/>
              <w:jc w:val="center"/>
              <w:rPr>
                <w:sz w:val="18"/>
              </w:rPr>
            </w:pPr>
            <w:r>
              <w:rPr>
                <w:sz w:val="18"/>
              </w:rPr>
              <w:t>65.7</w:t>
            </w:r>
          </w:p>
        </w:tc>
        <w:tc>
          <w:tcPr>
            <w:tcW w:w="549" w:type="pct"/>
          </w:tcPr>
          <w:p w:rsidR="00000000" w:rsidRDefault="00CA422F">
            <w:pPr>
              <w:spacing w:line="360" w:lineRule="exact"/>
              <w:jc w:val="center"/>
              <w:rPr>
                <w:sz w:val="18"/>
              </w:rPr>
            </w:pPr>
            <w:r>
              <w:rPr>
                <w:sz w:val="18"/>
              </w:rPr>
              <w:t>2.6</w:t>
            </w:r>
          </w:p>
        </w:tc>
        <w:tc>
          <w:tcPr>
            <w:tcW w:w="549" w:type="pct"/>
          </w:tcPr>
          <w:p w:rsidR="00000000" w:rsidRDefault="00CA422F">
            <w:pPr>
              <w:spacing w:line="360" w:lineRule="exact"/>
              <w:jc w:val="center"/>
              <w:rPr>
                <w:sz w:val="18"/>
              </w:rPr>
            </w:pPr>
            <w:r>
              <w:rPr>
                <w:sz w:val="18"/>
              </w:rPr>
              <w:t>53.0</w:t>
            </w:r>
          </w:p>
        </w:tc>
        <w:tc>
          <w:tcPr>
            <w:tcW w:w="549" w:type="pct"/>
          </w:tcPr>
          <w:p w:rsidR="00000000" w:rsidRDefault="00CA422F">
            <w:pPr>
              <w:spacing w:line="360" w:lineRule="exact"/>
              <w:jc w:val="center"/>
              <w:rPr>
                <w:sz w:val="18"/>
              </w:rPr>
            </w:pPr>
            <w:r>
              <w:rPr>
                <w:sz w:val="18"/>
              </w:rPr>
              <w:t>45.6</w:t>
            </w:r>
          </w:p>
        </w:tc>
        <w:tc>
          <w:tcPr>
            <w:tcW w:w="545" w:type="pct"/>
          </w:tcPr>
          <w:p w:rsidR="00000000" w:rsidRDefault="00CA422F">
            <w:pPr>
              <w:spacing w:line="360" w:lineRule="exact"/>
              <w:jc w:val="center"/>
              <w:rPr>
                <w:sz w:val="18"/>
              </w:rPr>
            </w:pPr>
            <w:r>
              <w:rPr>
                <w:sz w:val="18"/>
              </w:rPr>
              <w:t>-7.4</w:t>
            </w:r>
          </w:p>
        </w:tc>
      </w:tr>
      <w:tr w:rsidR="00000000">
        <w:tblPrEx>
          <w:tblCellMar>
            <w:top w:w="0" w:type="dxa"/>
            <w:bottom w:w="0" w:type="dxa"/>
          </w:tblCellMar>
        </w:tblPrEx>
        <w:tc>
          <w:tcPr>
            <w:tcW w:w="1162" w:type="pct"/>
          </w:tcPr>
          <w:p w:rsidR="00000000" w:rsidRDefault="00CA422F">
            <w:pPr>
              <w:spacing w:line="360" w:lineRule="exact"/>
              <w:rPr>
                <w:rFonts w:hint="eastAsia"/>
                <w:sz w:val="18"/>
              </w:rPr>
            </w:pPr>
            <w:r>
              <w:rPr>
                <w:rFonts w:hint="eastAsia"/>
                <w:sz w:val="18"/>
              </w:rPr>
              <w:t>女性</w:t>
            </w:r>
          </w:p>
        </w:tc>
        <w:tc>
          <w:tcPr>
            <w:tcW w:w="549" w:type="pct"/>
          </w:tcPr>
          <w:p w:rsidR="00000000" w:rsidRDefault="00CA422F">
            <w:pPr>
              <w:spacing w:line="360" w:lineRule="exact"/>
              <w:jc w:val="center"/>
              <w:rPr>
                <w:sz w:val="18"/>
              </w:rPr>
            </w:pPr>
            <w:r>
              <w:rPr>
                <w:sz w:val="18"/>
              </w:rPr>
              <w:t>18.5</w:t>
            </w:r>
          </w:p>
        </w:tc>
        <w:tc>
          <w:tcPr>
            <w:tcW w:w="549" w:type="pct"/>
          </w:tcPr>
          <w:p w:rsidR="00000000" w:rsidRDefault="00CA422F">
            <w:pPr>
              <w:spacing w:line="360" w:lineRule="exact"/>
              <w:jc w:val="center"/>
              <w:rPr>
                <w:sz w:val="18"/>
              </w:rPr>
            </w:pPr>
            <w:r>
              <w:rPr>
                <w:sz w:val="18"/>
              </w:rPr>
              <w:t>22.0</w:t>
            </w:r>
          </w:p>
        </w:tc>
        <w:tc>
          <w:tcPr>
            <w:tcW w:w="549" w:type="pct"/>
          </w:tcPr>
          <w:p w:rsidR="00000000" w:rsidRDefault="00CA422F">
            <w:pPr>
              <w:spacing w:line="360" w:lineRule="exact"/>
              <w:jc w:val="center"/>
              <w:rPr>
                <w:sz w:val="18"/>
              </w:rPr>
            </w:pPr>
            <w:r>
              <w:rPr>
                <w:sz w:val="18"/>
              </w:rPr>
              <w:t>34.3</w:t>
            </w:r>
          </w:p>
        </w:tc>
        <w:tc>
          <w:tcPr>
            <w:tcW w:w="549" w:type="pct"/>
          </w:tcPr>
          <w:p w:rsidR="00000000" w:rsidRDefault="00CA422F">
            <w:pPr>
              <w:spacing w:line="360" w:lineRule="exact"/>
              <w:jc w:val="center"/>
              <w:rPr>
                <w:sz w:val="18"/>
              </w:rPr>
            </w:pPr>
            <w:r>
              <w:rPr>
                <w:sz w:val="18"/>
              </w:rPr>
              <w:t>5.3</w:t>
            </w:r>
          </w:p>
        </w:tc>
        <w:tc>
          <w:tcPr>
            <w:tcW w:w="549" w:type="pct"/>
          </w:tcPr>
          <w:p w:rsidR="00000000" w:rsidRDefault="00CA422F">
            <w:pPr>
              <w:spacing w:line="360" w:lineRule="exact"/>
              <w:jc w:val="center"/>
              <w:rPr>
                <w:sz w:val="18"/>
              </w:rPr>
            </w:pPr>
            <w:r>
              <w:rPr>
                <w:sz w:val="18"/>
              </w:rPr>
              <w:t>6.5</w:t>
            </w:r>
          </w:p>
        </w:tc>
        <w:tc>
          <w:tcPr>
            <w:tcW w:w="549" w:type="pct"/>
          </w:tcPr>
          <w:p w:rsidR="00000000" w:rsidRDefault="00CA422F">
            <w:pPr>
              <w:spacing w:line="360" w:lineRule="exact"/>
              <w:jc w:val="center"/>
              <w:rPr>
                <w:sz w:val="18"/>
              </w:rPr>
            </w:pPr>
            <w:r>
              <w:rPr>
                <w:sz w:val="18"/>
              </w:rPr>
              <w:t>49.2</w:t>
            </w:r>
          </w:p>
        </w:tc>
        <w:tc>
          <w:tcPr>
            <w:tcW w:w="545" w:type="pct"/>
          </w:tcPr>
          <w:p w:rsidR="00000000" w:rsidRDefault="00CA422F">
            <w:pPr>
              <w:spacing w:line="360" w:lineRule="exact"/>
              <w:jc w:val="center"/>
              <w:rPr>
                <w:sz w:val="18"/>
              </w:rPr>
            </w:pPr>
            <w:r>
              <w:rPr>
                <w:sz w:val="18"/>
              </w:rPr>
              <w:t>-7.3</w:t>
            </w:r>
          </w:p>
        </w:tc>
      </w:tr>
      <w:tr w:rsidR="00000000">
        <w:tblPrEx>
          <w:tblCellMar>
            <w:top w:w="0" w:type="dxa"/>
            <w:bottom w:w="0" w:type="dxa"/>
          </w:tblCellMar>
        </w:tblPrEx>
        <w:tc>
          <w:tcPr>
            <w:tcW w:w="1162" w:type="pct"/>
          </w:tcPr>
          <w:p w:rsidR="00000000" w:rsidRDefault="00CA422F">
            <w:pPr>
              <w:spacing w:line="360" w:lineRule="exact"/>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5" w:type="pct"/>
          </w:tcPr>
          <w:p w:rsidR="00000000" w:rsidRDefault="00CA422F">
            <w:pPr>
              <w:spacing w:line="360" w:lineRule="exact"/>
              <w:jc w:val="center"/>
              <w:rPr>
                <w:rFonts w:hint="eastAsia"/>
                <w:sz w:val="18"/>
              </w:rPr>
            </w:pPr>
          </w:p>
        </w:tc>
      </w:tr>
      <w:tr w:rsidR="00000000">
        <w:tblPrEx>
          <w:tblCellMar>
            <w:top w:w="0" w:type="dxa"/>
            <w:bottom w:w="0" w:type="dxa"/>
          </w:tblCellMar>
        </w:tblPrEx>
        <w:tc>
          <w:tcPr>
            <w:tcW w:w="1162" w:type="pct"/>
          </w:tcPr>
          <w:p w:rsidR="00000000" w:rsidRDefault="00CA422F">
            <w:pPr>
              <w:spacing w:line="360" w:lineRule="exact"/>
              <w:rPr>
                <w:rFonts w:hint="eastAsia"/>
                <w:b/>
                <w:bCs/>
                <w:sz w:val="18"/>
              </w:rPr>
            </w:pPr>
            <w:r>
              <w:rPr>
                <w:rFonts w:eastAsia="SimHei" w:hint="eastAsia"/>
                <w:sz w:val="18"/>
              </w:rPr>
              <w:t>居住区域</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3.1</w:t>
            </w:r>
          </w:p>
        </w:tc>
        <w:tc>
          <w:tcPr>
            <w:tcW w:w="549" w:type="pct"/>
          </w:tcPr>
          <w:p w:rsidR="00000000" w:rsidRDefault="00CA422F">
            <w:pPr>
              <w:spacing w:line="360" w:lineRule="exact"/>
              <w:jc w:val="center"/>
              <w:rPr>
                <w:sz w:val="18"/>
              </w:rPr>
            </w:pPr>
            <w:r>
              <w:rPr>
                <w:sz w:val="18"/>
              </w:rPr>
              <w:t>53.7</w:t>
            </w:r>
          </w:p>
        </w:tc>
        <w:tc>
          <w:tcPr>
            <w:tcW w:w="549" w:type="pct"/>
          </w:tcPr>
          <w:p w:rsidR="00000000" w:rsidRDefault="00CA422F">
            <w:pPr>
              <w:spacing w:line="360" w:lineRule="exact"/>
              <w:jc w:val="center"/>
              <w:rPr>
                <w:sz w:val="18"/>
              </w:rPr>
            </w:pPr>
            <w:r>
              <w:rPr>
                <w:sz w:val="18"/>
              </w:rPr>
              <w:t>48.4</w:t>
            </w:r>
          </w:p>
        </w:tc>
        <w:tc>
          <w:tcPr>
            <w:tcW w:w="545" w:type="pct"/>
          </w:tcPr>
          <w:p w:rsidR="00000000" w:rsidRDefault="00CA422F">
            <w:pPr>
              <w:spacing w:line="360" w:lineRule="exact"/>
              <w:jc w:val="center"/>
              <w:rPr>
                <w:sz w:val="18"/>
              </w:rPr>
            </w:pPr>
            <w:r>
              <w:rPr>
                <w:sz w:val="18"/>
              </w:rPr>
              <w:t>-7.3</w:t>
            </w:r>
          </w:p>
        </w:tc>
      </w:tr>
      <w:tr w:rsidR="00000000">
        <w:tblPrEx>
          <w:tblCellMar>
            <w:top w:w="0" w:type="dxa"/>
            <w:bottom w:w="0" w:type="dxa"/>
          </w:tblCellMar>
        </w:tblPrEx>
        <w:tc>
          <w:tcPr>
            <w:tcW w:w="1162" w:type="pct"/>
          </w:tcPr>
          <w:p w:rsidR="00000000" w:rsidRDefault="00CA422F">
            <w:pPr>
              <w:spacing w:line="360" w:lineRule="exact"/>
              <w:rPr>
                <w:rFonts w:hint="eastAsia"/>
                <w:sz w:val="18"/>
              </w:rPr>
            </w:pPr>
            <w:r>
              <w:rPr>
                <w:rFonts w:hint="eastAsia"/>
                <w:sz w:val="18"/>
              </w:rPr>
              <w:t>城镇</w:t>
            </w:r>
          </w:p>
        </w:tc>
        <w:tc>
          <w:tcPr>
            <w:tcW w:w="549" w:type="pct"/>
          </w:tcPr>
          <w:p w:rsidR="00000000" w:rsidRDefault="00CA422F">
            <w:pPr>
              <w:spacing w:line="360" w:lineRule="exact"/>
              <w:jc w:val="center"/>
              <w:rPr>
                <w:sz w:val="18"/>
              </w:rPr>
            </w:pPr>
            <w:r>
              <w:rPr>
                <w:sz w:val="18"/>
              </w:rPr>
              <w:t>35.5</w:t>
            </w:r>
          </w:p>
        </w:tc>
        <w:tc>
          <w:tcPr>
            <w:tcW w:w="549" w:type="pct"/>
          </w:tcPr>
          <w:p w:rsidR="00000000" w:rsidRDefault="00CA422F">
            <w:pPr>
              <w:spacing w:line="360" w:lineRule="exact"/>
              <w:jc w:val="center"/>
              <w:rPr>
                <w:sz w:val="18"/>
              </w:rPr>
            </w:pPr>
            <w:r>
              <w:rPr>
                <w:sz w:val="18"/>
              </w:rPr>
              <w:t>31.6</w:t>
            </w:r>
          </w:p>
        </w:tc>
        <w:tc>
          <w:tcPr>
            <w:tcW w:w="549" w:type="pct"/>
          </w:tcPr>
          <w:p w:rsidR="00000000" w:rsidRDefault="00CA422F">
            <w:pPr>
              <w:spacing w:line="360" w:lineRule="exact"/>
              <w:jc w:val="center"/>
              <w:rPr>
                <w:sz w:val="18"/>
              </w:rPr>
            </w:pPr>
            <w:r>
              <w:rPr>
                <w:sz w:val="18"/>
              </w:rPr>
              <w:t>17.5</w:t>
            </w:r>
          </w:p>
        </w:tc>
        <w:tc>
          <w:tcPr>
            <w:tcW w:w="549" w:type="pct"/>
          </w:tcPr>
          <w:p w:rsidR="00000000" w:rsidRDefault="00CA422F">
            <w:pPr>
              <w:spacing w:line="360" w:lineRule="exact"/>
              <w:jc w:val="center"/>
              <w:rPr>
                <w:sz w:val="18"/>
              </w:rPr>
            </w:pPr>
            <w:r>
              <w:rPr>
                <w:sz w:val="18"/>
              </w:rPr>
              <w:t>1.6</w:t>
            </w:r>
          </w:p>
        </w:tc>
        <w:tc>
          <w:tcPr>
            <w:tcW w:w="549" w:type="pct"/>
          </w:tcPr>
          <w:p w:rsidR="00000000" w:rsidRDefault="00CA422F">
            <w:pPr>
              <w:spacing w:line="360" w:lineRule="exact"/>
              <w:jc w:val="center"/>
              <w:rPr>
                <w:sz w:val="18"/>
              </w:rPr>
            </w:pPr>
            <w:r>
              <w:rPr>
                <w:sz w:val="18"/>
              </w:rPr>
              <w:t>41.9</w:t>
            </w:r>
          </w:p>
        </w:tc>
        <w:tc>
          <w:tcPr>
            <w:tcW w:w="549" w:type="pct"/>
          </w:tcPr>
          <w:p w:rsidR="00000000" w:rsidRDefault="00CA422F">
            <w:pPr>
              <w:spacing w:line="360" w:lineRule="exact"/>
              <w:jc w:val="center"/>
              <w:rPr>
                <w:sz w:val="18"/>
              </w:rPr>
            </w:pPr>
            <w:r>
              <w:rPr>
                <w:sz w:val="18"/>
              </w:rPr>
              <w:t>33.4</w:t>
            </w:r>
          </w:p>
        </w:tc>
        <w:tc>
          <w:tcPr>
            <w:tcW w:w="545" w:type="pct"/>
          </w:tcPr>
          <w:p w:rsidR="00000000" w:rsidRDefault="00CA422F">
            <w:pPr>
              <w:spacing w:line="360" w:lineRule="exact"/>
              <w:jc w:val="center"/>
              <w:rPr>
                <w:sz w:val="18"/>
              </w:rPr>
            </w:pPr>
            <w:r>
              <w:rPr>
                <w:sz w:val="18"/>
              </w:rPr>
              <w:t>-8.5</w:t>
            </w:r>
          </w:p>
        </w:tc>
      </w:tr>
      <w:tr w:rsidR="00000000">
        <w:tblPrEx>
          <w:tblCellMar>
            <w:top w:w="0" w:type="dxa"/>
            <w:bottom w:w="0" w:type="dxa"/>
          </w:tblCellMar>
        </w:tblPrEx>
        <w:tc>
          <w:tcPr>
            <w:tcW w:w="1162" w:type="pct"/>
          </w:tcPr>
          <w:p w:rsidR="00000000" w:rsidRDefault="00CA422F">
            <w:pPr>
              <w:spacing w:line="360" w:lineRule="exact"/>
              <w:rPr>
                <w:rFonts w:hint="eastAsia"/>
                <w:sz w:val="18"/>
              </w:rPr>
            </w:pPr>
            <w:r>
              <w:rPr>
                <w:rFonts w:hint="eastAsia"/>
                <w:sz w:val="18"/>
              </w:rPr>
              <w:t>农村</w:t>
            </w:r>
          </w:p>
        </w:tc>
        <w:tc>
          <w:tcPr>
            <w:tcW w:w="549" w:type="pct"/>
          </w:tcPr>
          <w:p w:rsidR="00000000" w:rsidRDefault="00CA422F">
            <w:pPr>
              <w:spacing w:line="360" w:lineRule="exact"/>
              <w:jc w:val="center"/>
              <w:rPr>
                <w:sz w:val="18"/>
              </w:rPr>
            </w:pPr>
            <w:r>
              <w:rPr>
                <w:sz w:val="18"/>
              </w:rPr>
              <w:t>64.5</w:t>
            </w:r>
          </w:p>
        </w:tc>
        <w:tc>
          <w:tcPr>
            <w:tcW w:w="549" w:type="pct"/>
          </w:tcPr>
          <w:p w:rsidR="00000000" w:rsidRDefault="00CA422F">
            <w:pPr>
              <w:spacing w:line="360" w:lineRule="exact"/>
              <w:jc w:val="center"/>
              <w:rPr>
                <w:sz w:val="18"/>
              </w:rPr>
            </w:pPr>
            <w:r>
              <w:rPr>
                <w:sz w:val="18"/>
              </w:rPr>
              <w:t>68.4</w:t>
            </w:r>
          </w:p>
        </w:tc>
        <w:tc>
          <w:tcPr>
            <w:tcW w:w="549" w:type="pct"/>
          </w:tcPr>
          <w:p w:rsidR="00000000" w:rsidRDefault="00CA422F">
            <w:pPr>
              <w:spacing w:line="360" w:lineRule="exact"/>
              <w:jc w:val="center"/>
              <w:rPr>
                <w:sz w:val="18"/>
              </w:rPr>
            </w:pPr>
            <w:r>
              <w:rPr>
                <w:sz w:val="18"/>
              </w:rPr>
              <w:t>82.5</w:t>
            </w:r>
          </w:p>
        </w:tc>
        <w:tc>
          <w:tcPr>
            <w:tcW w:w="549" w:type="pct"/>
          </w:tcPr>
          <w:p w:rsidR="00000000" w:rsidRDefault="00CA422F">
            <w:pPr>
              <w:spacing w:line="360" w:lineRule="exact"/>
              <w:jc w:val="center"/>
              <w:rPr>
                <w:sz w:val="18"/>
              </w:rPr>
            </w:pPr>
            <w:r>
              <w:rPr>
                <w:sz w:val="18"/>
              </w:rPr>
              <w:t>3.9</w:t>
            </w:r>
          </w:p>
        </w:tc>
        <w:tc>
          <w:tcPr>
            <w:tcW w:w="549" w:type="pct"/>
          </w:tcPr>
          <w:p w:rsidR="00000000" w:rsidRDefault="00CA422F">
            <w:pPr>
              <w:spacing w:line="360" w:lineRule="exact"/>
              <w:jc w:val="center"/>
              <w:rPr>
                <w:sz w:val="18"/>
              </w:rPr>
            </w:pPr>
            <w:r>
              <w:rPr>
                <w:sz w:val="18"/>
              </w:rPr>
              <w:t>63.5</w:t>
            </w:r>
          </w:p>
        </w:tc>
        <w:tc>
          <w:tcPr>
            <w:tcW w:w="549" w:type="pct"/>
          </w:tcPr>
          <w:p w:rsidR="00000000" w:rsidRDefault="00CA422F">
            <w:pPr>
              <w:spacing w:line="360" w:lineRule="exact"/>
              <w:jc w:val="center"/>
              <w:rPr>
                <w:sz w:val="18"/>
              </w:rPr>
            </w:pPr>
            <w:r>
              <w:rPr>
                <w:sz w:val="18"/>
              </w:rPr>
              <w:t>66.5</w:t>
            </w:r>
          </w:p>
        </w:tc>
        <w:tc>
          <w:tcPr>
            <w:tcW w:w="545" w:type="pct"/>
          </w:tcPr>
          <w:p w:rsidR="00000000" w:rsidRDefault="00CA422F">
            <w:pPr>
              <w:spacing w:line="360" w:lineRule="exact"/>
              <w:jc w:val="center"/>
              <w:rPr>
                <w:sz w:val="18"/>
              </w:rPr>
            </w:pPr>
            <w:r>
              <w:rPr>
                <w:sz w:val="18"/>
              </w:rPr>
              <w:t>-7.0</w:t>
            </w:r>
          </w:p>
        </w:tc>
      </w:tr>
      <w:tr w:rsidR="00000000">
        <w:tblPrEx>
          <w:tblCellMar>
            <w:top w:w="0" w:type="dxa"/>
            <w:bottom w:w="0" w:type="dxa"/>
          </w:tblCellMar>
        </w:tblPrEx>
        <w:tc>
          <w:tcPr>
            <w:tcW w:w="1162" w:type="pct"/>
          </w:tcPr>
          <w:p w:rsidR="00000000" w:rsidRDefault="00CA422F">
            <w:pPr>
              <w:spacing w:line="360" w:lineRule="exact"/>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9" w:type="pct"/>
          </w:tcPr>
          <w:p w:rsidR="00000000" w:rsidRDefault="00CA422F">
            <w:pPr>
              <w:spacing w:line="360" w:lineRule="exact"/>
              <w:jc w:val="center"/>
              <w:rPr>
                <w:rFonts w:hint="eastAsia"/>
                <w:sz w:val="18"/>
              </w:rPr>
            </w:pPr>
          </w:p>
        </w:tc>
        <w:tc>
          <w:tcPr>
            <w:tcW w:w="545" w:type="pct"/>
          </w:tcPr>
          <w:p w:rsidR="00000000" w:rsidRDefault="00CA422F">
            <w:pPr>
              <w:spacing w:line="360" w:lineRule="exact"/>
              <w:jc w:val="center"/>
              <w:rPr>
                <w:rFonts w:hint="eastAsia"/>
                <w:sz w:val="18"/>
              </w:rPr>
            </w:pPr>
          </w:p>
        </w:tc>
      </w:tr>
      <w:tr w:rsidR="00000000">
        <w:tblPrEx>
          <w:tblCellMar>
            <w:top w:w="0" w:type="dxa"/>
            <w:bottom w:w="0" w:type="dxa"/>
          </w:tblCellMar>
        </w:tblPrEx>
        <w:tc>
          <w:tcPr>
            <w:tcW w:w="1162" w:type="pct"/>
          </w:tcPr>
          <w:p w:rsidR="00000000" w:rsidRDefault="00CA422F">
            <w:pPr>
              <w:spacing w:line="360" w:lineRule="exact"/>
              <w:rPr>
                <w:rFonts w:hint="eastAsia"/>
                <w:b/>
                <w:bCs/>
                <w:sz w:val="18"/>
              </w:rPr>
            </w:pPr>
            <w:r>
              <w:rPr>
                <w:rFonts w:eastAsia="SimHei" w:hint="eastAsia"/>
                <w:sz w:val="18"/>
              </w:rPr>
              <w:t>具体</w:t>
            </w:r>
            <w:r>
              <w:rPr>
                <w:rFonts w:eastAsia="SimHei" w:hint="eastAsia"/>
                <w:sz w:val="18"/>
              </w:rPr>
              <w:t>省份</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100.0</w:t>
            </w:r>
          </w:p>
        </w:tc>
        <w:tc>
          <w:tcPr>
            <w:tcW w:w="549" w:type="pct"/>
          </w:tcPr>
          <w:p w:rsidR="00000000" w:rsidRDefault="00CA422F">
            <w:pPr>
              <w:spacing w:line="360" w:lineRule="exact"/>
              <w:jc w:val="center"/>
              <w:rPr>
                <w:sz w:val="18"/>
              </w:rPr>
            </w:pPr>
            <w:r>
              <w:rPr>
                <w:sz w:val="18"/>
              </w:rPr>
              <w:t>3.1</w:t>
            </w:r>
          </w:p>
        </w:tc>
        <w:tc>
          <w:tcPr>
            <w:tcW w:w="549" w:type="pct"/>
          </w:tcPr>
          <w:p w:rsidR="00000000" w:rsidRDefault="00CA422F">
            <w:pPr>
              <w:spacing w:line="360" w:lineRule="exact"/>
              <w:jc w:val="center"/>
              <w:rPr>
                <w:sz w:val="18"/>
              </w:rPr>
            </w:pPr>
            <w:r>
              <w:rPr>
                <w:sz w:val="18"/>
              </w:rPr>
              <w:t>53.7</w:t>
            </w:r>
          </w:p>
        </w:tc>
        <w:tc>
          <w:tcPr>
            <w:tcW w:w="549" w:type="pct"/>
          </w:tcPr>
          <w:p w:rsidR="00000000" w:rsidRDefault="00CA422F">
            <w:pPr>
              <w:spacing w:line="360" w:lineRule="exact"/>
              <w:jc w:val="center"/>
              <w:rPr>
                <w:sz w:val="18"/>
              </w:rPr>
            </w:pPr>
            <w:r>
              <w:rPr>
                <w:sz w:val="18"/>
              </w:rPr>
              <w:t>46.4</w:t>
            </w:r>
          </w:p>
        </w:tc>
        <w:tc>
          <w:tcPr>
            <w:tcW w:w="545" w:type="pct"/>
          </w:tcPr>
          <w:p w:rsidR="00000000" w:rsidRDefault="00CA422F">
            <w:pPr>
              <w:spacing w:line="360" w:lineRule="exact"/>
              <w:jc w:val="center"/>
              <w:rPr>
                <w:sz w:val="18"/>
              </w:rPr>
            </w:pPr>
            <w:r>
              <w:rPr>
                <w:sz w:val="18"/>
              </w:rPr>
              <w:t>-7.3</w:t>
            </w:r>
          </w:p>
        </w:tc>
      </w:tr>
      <w:tr w:rsidR="00000000">
        <w:tblPrEx>
          <w:tblCellMar>
            <w:top w:w="0" w:type="dxa"/>
            <w:bottom w:w="0" w:type="dxa"/>
          </w:tblCellMar>
        </w:tblPrEx>
        <w:tc>
          <w:tcPr>
            <w:tcW w:w="1162" w:type="pct"/>
          </w:tcPr>
          <w:p w:rsidR="00000000" w:rsidRDefault="00CA422F">
            <w:pPr>
              <w:spacing w:line="360" w:lineRule="exact"/>
              <w:rPr>
                <w:color w:val="FF0000"/>
                <w:sz w:val="18"/>
                <w:lang w:val="es-ES"/>
              </w:rPr>
            </w:pPr>
            <w:r>
              <w:rPr>
                <w:rFonts w:hint="eastAsia"/>
                <w:sz w:val="18"/>
              </w:rPr>
              <w:t>中央地区</w:t>
            </w:r>
          </w:p>
        </w:tc>
        <w:tc>
          <w:tcPr>
            <w:tcW w:w="549" w:type="pct"/>
          </w:tcPr>
          <w:p w:rsidR="00000000" w:rsidRDefault="00CA422F">
            <w:pPr>
              <w:spacing w:line="360" w:lineRule="exact"/>
              <w:jc w:val="center"/>
              <w:rPr>
                <w:sz w:val="18"/>
                <w:lang w:val="es-ES"/>
              </w:rPr>
            </w:pPr>
            <w:r>
              <w:rPr>
                <w:sz w:val="18"/>
                <w:lang w:val="es-ES"/>
              </w:rPr>
              <w:t>62.6</w:t>
            </w:r>
          </w:p>
        </w:tc>
        <w:tc>
          <w:tcPr>
            <w:tcW w:w="549" w:type="pct"/>
          </w:tcPr>
          <w:p w:rsidR="00000000" w:rsidRDefault="00CA422F">
            <w:pPr>
              <w:spacing w:line="360" w:lineRule="exact"/>
              <w:jc w:val="center"/>
              <w:rPr>
                <w:sz w:val="18"/>
                <w:lang w:val="es-ES"/>
              </w:rPr>
            </w:pPr>
            <w:r>
              <w:rPr>
                <w:sz w:val="18"/>
                <w:lang w:val="es-ES"/>
              </w:rPr>
              <w:t>49.9</w:t>
            </w:r>
          </w:p>
        </w:tc>
        <w:tc>
          <w:tcPr>
            <w:tcW w:w="549" w:type="pct"/>
          </w:tcPr>
          <w:p w:rsidR="00000000" w:rsidRDefault="00CA422F">
            <w:pPr>
              <w:spacing w:line="360" w:lineRule="exact"/>
              <w:jc w:val="center"/>
              <w:rPr>
                <w:sz w:val="18"/>
                <w:lang w:val="es-ES"/>
              </w:rPr>
            </w:pPr>
            <w:r>
              <w:rPr>
                <w:sz w:val="18"/>
                <w:lang w:val="es-ES"/>
              </w:rPr>
              <w:t>40.1</w:t>
            </w:r>
          </w:p>
        </w:tc>
        <w:tc>
          <w:tcPr>
            <w:tcW w:w="549" w:type="pct"/>
          </w:tcPr>
          <w:p w:rsidR="00000000" w:rsidRDefault="00CA422F">
            <w:pPr>
              <w:spacing w:line="360" w:lineRule="exact"/>
              <w:jc w:val="center"/>
              <w:rPr>
                <w:sz w:val="18"/>
                <w:lang w:val="es-ES"/>
              </w:rPr>
            </w:pPr>
            <w:r>
              <w:rPr>
                <w:sz w:val="18"/>
                <w:lang w:val="es-ES"/>
              </w:rPr>
              <w:t>2.4</w:t>
            </w:r>
          </w:p>
        </w:tc>
        <w:tc>
          <w:tcPr>
            <w:tcW w:w="549" w:type="pct"/>
          </w:tcPr>
          <w:p w:rsidR="00000000" w:rsidRDefault="00CA422F">
            <w:pPr>
              <w:spacing w:line="360" w:lineRule="exact"/>
              <w:jc w:val="center"/>
              <w:rPr>
                <w:sz w:val="18"/>
                <w:lang w:val="es-ES"/>
              </w:rPr>
            </w:pPr>
            <w:r>
              <w:rPr>
                <w:sz w:val="18"/>
                <w:lang w:val="es-ES"/>
              </w:rPr>
              <w:t>45.2</w:t>
            </w:r>
          </w:p>
        </w:tc>
        <w:tc>
          <w:tcPr>
            <w:tcW w:w="549" w:type="pct"/>
          </w:tcPr>
          <w:p w:rsidR="00000000" w:rsidRDefault="00CA422F">
            <w:pPr>
              <w:spacing w:line="360" w:lineRule="exact"/>
              <w:jc w:val="center"/>
              <w:rPr>
                <w:sz w:val="18"/>
                <w:lang w:val="es-ES"/>
              </w:rPr>
            </w:pPr>
            <w:r>
              <w:rPr>
                <w:sz w:val="18"/>
                <w:lang w:val="es-ES"/>
              </w:rPr>
              <w:t>37.0</w:t>
            </w:r>
          </w:p>
        </w:tc>
        <w:tc>
          <w:tcPr>
            <w:tcW w:w="545" w:type="pct"/>
          </w:tcPr>
          <w:p w:rsidR="00000000" w:rsidRDefault="00CA422F">
            <w:pPr>
              <w:spacing w:line="360" w:lineRule="exact"/>
              <w:jc w:val="center"/>
              <w:rPr>
                <w:sz w:val="18"/>
                <w:lang w:val="es-ES"/>
              </w:rPr>
            </w:pPr>
            <w:r>
              <w:rPr>
                <w:sz w:val="18"/>
                <w:lang w:val="es-ES"/>
              </w:rPr>
              <w:t>-8.3</w:t>
            </w:r>
          </w:p>
        </w:tc>
      </w:tr>
      <w:tr w:rsidR="00000000">
        <w:tblPrEx>
          <w:tblCellMar>
            <w:top w:w="0" w:type="dxa"/>
            <w:bottom w:w="0" w:type="dxa"/>
          </w:tblCellMar>
        </w:tblPrEx>
        <w:tc>
          <w:tcPr>
            <w:tcW w:w="1162" w:type="pct"/>
          </w:tcPr>
          <w:p w:rsidR="00000000" w:rsidRDefault="00CA422F">
            <w:pPr>
              <w:spacing w:line="360" w:lineRule="exact"/>
              <w:rPr>
                <w:rFonts w:hint="eastAsia"/>
                <w:sz w:val="18"/>
                <w:lang w:val="es-ES"/>
              </w:rPr>
            </w:pPr>
            <w:r>
              <w:rPr>
                <w:rFonts w:hint="eastAsia"/>
                <w:sz w:val="18"/>
                <w:lang w:val="es-ES"/>
              </w:rPr>
              <w:t>大都市地区</w:t>
            </w:r>
          </w:p>
        </w:tc>
        <w:tc>
          <w:tcPr>
            <w:tcW w:w="549" w:type="pct"/>
          </w:tcPr>
          <w:p w:rsidR="00000000" w:rsidRDefault="00CA422F">
            <w:pPr>
              <w:spacing w:line="360" w:lineRule="exact"/>
              <w:jc w:val="center"/>
              <w:rPr>
                <w:sz w:val="18"/>
                <w:lang w:val="es-ES"/>
              </w:rPr>
            </w:pPr>
            <w:r>
              <w:rPr>
                <w:sz w:val="18"/>
                <w:lang w:val="es-ES"/>
              </w:rPr>
              <w:t>18.5</w:t>
            </w:r>
          </w:p>
        </w:tc>
        <w:tc>
          <w:tcPr>
            <w:tcW w:w="549" w:type="pct"/>
          </w:tcPr>
          <w:p w:rsidR="00000000" w:rsidRDefault="00CA422F">
            <w:pPr>
              <w:spacing w:line="360" w:lineRule="exact"/>
              <w:jc w:val="center"/>
              <w:rPr>
                <w:sz w:val="18"/>
                <w:lang w:val="es-ES"/>
              </w:rPr>
            </w:pPr>
            <w:r>
              <w:rPr>
                <w:sz w:val="18"/>
                <w:lang w:val="es-ES"/>
              </w:rPr>
              <w:t>20.7</w:t>
            </w:r>
          </w:p>
        </w:tc>
        <w:tc>
          <w:tcPr>
            <w:tcW w:w="549" w:type="pct"/>
          </w:tcPr>
          <w:p w:rsidR="00000000" w:rsidRDefault="00CA422F">
            <w:pPr>
              <w:spacing w:line="360" w:lineRule="exact"/>
              <w:jc w:val="center"/>
              <w:rPr>
                <w:sz w:val="18"/>
                <w:lang w:val="es-ES"/>
              </w:rPr>
            </w:pPr>
            <w:r>
              <w:rPr>
                <w:sz w:val="18"/>
                <w:lang w:val="es-ES"/>
              </w:rPr>
              <w:t>28.9</w:t>
            </w:r>
          </w:p>
        </w:tc>
        <w:tc>
          <w:tcPr>
            <w:tcW w:w="549" w:type="pct"/>
          </w:tcPr>
          <w:p w:rsidR="00000000" w:rsidRDefault="00CA422F">
            <w:pPr>
              <w:spacing w:line="360" w:lineRule="exact"/>
              <w:jc w:val="center"/>
              <w:rPr>
                <w:sz w:val="18"/>
                <w:lang w:val="es-ES"/>
              </w:rPr>
            </w:pPr>
            <w:r>
              <w:rPr>
                <w:sz w:val="18"/>
                <w:lang w:val="es-ES"/>
              </w:rPr>
              <w:t>4.6</w:t>
            </w:r>
          </w:p>
        </w:tc>
        <w:tc>
          <w:tcPr>
            <w:tcW w:w="549" w:type="pct"/>
          </w:tcPr>
          <w:p w:rsidR="00000000" w:rsidRDefault="00CA422F">
            <w:pPr>
              <w:spacing w:line="360" w:lineRule="exact"/>
              <w:jc w:val="center"/>
              <w:rPr>
                <w:sz w:val="18"/>
                <w:lang w:val="es-ES"/>
              </w:rPr>
            </w:pPr>
            <w:r>
              <w:rPr>
                <w:sz w:val="18"/>
                <w:lang w:val="es-ES"/>
              </w:rPr>
              <w:t>38.3</w:t>
            </w:r>
          </w:p>
        </w:tc>
        <w:tc>
          <w:tcPr>
            <w:tcW w:w="549" w:type="pct"/>
          </w:tcPr>
          <w:p w:rsidR="00000000" w:rsidRDefault="00CA422F">
            <w:pPr>
              <w:spacing w:line="360" w:lineRule="exact"/>
              <w:jc w:val="center"/>
              <w:rPr>
                <w:sz w:val="18"/>
                <w:lang w:val="es-ES"/>
              </w:rPr>
            </w:pPr>
            <w:r>
              <w:rPr>
                <w:sz w:val="18"/>
                <w:lang w:val="es-ES"/>
              </w:rPr>
              <w:t>32.7</w:t>
            </w:r>
          </w:p>
        </w:tc>
        <w:tc>
          <w:tcPr>
            <w:tcW w:w="545" w:type="pct"/>
          </w:tcPr>
          <w:p w:rsidR="00000000" w:rsidRDefault="00CA422F">
            <w:pPr>
              <w:spacing w:line="360" w:lineRule="exact"/>
              <w:jc w:val="center"/>
              <w:rPr>
                <w:sz w:val="18"/>
                <w:lang w:val="es-ES"/>
              </w:rPr>
            </w:pPr>
            <w:r>
              <w:rPr>
                <w:sz w:val="18"/>
                <w:lang w:val="es-ES"/>
              </w:rPr>
              <w:t>-5.6</w:t>
            </w:r>
          </w:p>
        </w:tc>
      </w:tr>
      <w:tr w:rsidR="00000000">
        <w:tblPrEx>
          <w:tblCellMar>
            <w:top w:w="0" w:type="dxa"/>
            <w:bottom w:w="0" w:type="dxa"/>
          </w:tblCellMar>
        </w:tblPrEx>
        <w:tc>
          <w:tcPr>
            <w:tcW w:w="1162" w:type="pct"/>
          </w:tcPr>
          <w:p w:rsidR="00000000" w:rsidRDefault="00CA422F">
            <w:pPr>
              <w:spacing w:line="360" w:lineRule="exact"/>
              <w:rPr>
                <w:rFonts w:hint="eastAsia"/>
                <w:sz w:val="18"/>
                <w:lang w:val="es-ES"/>
              </w:rPr>
            </w:pPr>
            <w:r>
              <w:rPr>
                <w:rFonts w:hint="eastAsia"/>
                <w:sz w:val="18"/>
                <w:lang w:val="es-ES"/>
              </w:rPr>
              <w:t>中央地区其它地方</w:t>
            </w:r>
          </w:p>
        </w:tc>
        <w:tc>
          <w:tcPr>
            <w:tcW w:w="549" w:type="pct"/>
          </w:tcPr>
          <w:p w:rsidR="00000000" w:rsidRDefault="00CA422F">
            <w:pPr>
              <w:spacing w:line="360" w:lineRule="exact"/>
              <w:jc w:val="center"/>
              <w:rPr>
                <w:sz w:val="18"/>
                <w:lang w:val="es-ES"/>
              </w:rPr>
            </w:pPr>
            <w:r>
              <w:rPr>
                <w:sz w:val="18"/>
                <w:lang w:val="es-ES"/>
              </w:rPr>
              <w:t>34.2</w:t>
            </w:r>
          </w:p>
        </w:tc>
        <w:tc>
          <w:tcPr>
            <w:tcW w:w="549" w:type="pct"/>
          </w:tcPr>
          <w:p w:rsidR="00000000" w:rsidRDefault="00CA422F">
            <w:pPr>
              <w:spacing w:line="360" w:lineRule="exact"/>
              <w:jc w:val="center"/>
              <w:rPr>
                <w:sz w:val="18"/>
                <w:lang w:val="es-ES"/>
              </w:rPr>
            </w:pPr>
            <w:r>
              <w:rPr>
                <w:sz w:val="18"/>
                <w:lang w:val="es-ES"/>
              </w:rPr>
              <w:t>29.2</w:t>
            </w:r>
          </w:p>
        </w:tc>
        <w:tc>
          <w:tcPr>
            <w:tcW w:w="549" w:type="pct"/>
          </w:tcPr>
          <w:p w:rsidR="00000000" w:rsidRDefault="00CA422F">
            <w:pPr>
              <w:spacing w:line="360" w:lineRule="exact"/>
              <w:jc w:val="center"/>
              <w:rPr>
                <w:sz w:val="18"/>
                <w:lang w:val="es-ES"/>
              </w:rPr>
            </w:pPr>
            <w:r>
              <w:rPr>
                <w:sz w:val="18"/>
                <w:lang w:val="es-ES"/>
              </w:rPr>
              <w:t>11.3</w:t>
            </w:r>
          </w:p>
        </w:tc>
        <w:tc>
          <w:tcPr>
            <w:tcW w:w="549" w:type="pct"/>
          </w:tcPr>
          <w:p w:rsidR="00000000" w:rsidRDefault="00CA422F">
            <w:pPr>
              <w:spacing w:line="360" w:lineRule="exact"/>
              <w:jc w:val="center"/>
              <w:rPr>
                <w:sz w:val="18"/>
                <w:lang w:val="es-ES"/>
              </w:rPr>
            </w:pPr>
            <w:r>
              <w:rPr>
                <w:sz w:val="18"/>
                <w:lang w:val="es-ES"/>
              </w:rPr>
              <w:t>1.1</w:t>
            </w:r>
          </w:p>
        </w:tc>
        <w:tc>
          <w:tcPr>
            <w:tcW w:w="549" w:type="pct"/>
          </w:tcPr>
          <w:p w:rsidR="00000000" w:rsidRDefault="00CA422F">
            <w:pPr>
              <w:spacing w:line="360" w:lineRule="exact"/>
              <w:jc w:val="center"/>
              <w:rPr>
                <w:sz w:val="18"/>
                <w:lang w:val="es-ES"/>
              </w:rPr>
            </w:pPr>
            <w:r>
              <w:rPr>
                <w:sz w:val="18"/>
                <w:lang w:val="es-ES"/>
              </w:rPr>
              <w:t>60.1</w:t>
            </w:r>
          </w:p>
        </w:tc>
        <w:tc>
          <w:tcPr>
            <w:tcW w:w="549" w:type="pct"/>
          </w:tcPr>
          <w:p w:rsidR="00000000" w:rsidRDefault="00CA422F">
            <w:pPr>
              <w:spacing w:line="360" w:lineRule="exact"/>
              <w:jc w:val="center"/>
              <w:rPr>
                <w:sz w:val="18"/>
                <w:lang w:val="es-ES"/>
              </w:rPr>
            </w:pPr>
            <w:r>
              <w:rPr>
                <w:sz w:val="18"/>
                <w:lang w:val="es-ES"/>
              </w:rPr>
              <w:t>40.7</w:t>
            </w:r>
          </w:p>
        </w:tc>
        <w:tc>
          <w:tcPr>
            <w:tcW w:w="545" w:type="pct"/>
          </w:tcPr>
          <w:p w:rsidR="00000000" w:rsidRDefault="00CA422F">
            <w:pPr>
              <w:spacing w:line="360" w:lineRule="exact"/>
              <w:jc w:val="center"/>
              <w:rPr>
                <w:sz w:val="18"/>
                <w:lang w:val="es-ES"/>
              </w:rPr>
            </w:pPr>
            <w:r>
              <w:rPr>
                <w:sz w:val="18"/>
                <w:lang w:val="es-ES"/>
              </w:rPr>
              <w:t>-9.4</w:t>
            </w:r>
          </w:p>
        </w:tc>
      </w:tr>
      <w:tr w:rsidR="00000000">
        <w:tblPrEx>
          <w:tblCellMar>
            <w:top w:w="0" w:type="dxa"/>
            <w:bottom w:w="0" w:type="dxa"/>
          </w:tblCellMar>
        </w:tblPrEx>
        <w:tc>
          <w:tcPr>
            <w:tcW w:w="1162" w:type="pct"/>
          </w:tcPr>
          <w:p w:rsidR="00000000" w:rsidRDefault="00CA422F">
            <w:pPr>
              <w:spacing w:line="360" w:lineRule="exact"/>
              <w:rPr>
                <w:color w:val="FF0000"/>
                <w:sz w:val="18"/>
                <w:lang w:val="es-ES"/>
              </w:rPr>
            </w:pPr>
            <w:r>
              <w:rPr>
                <w:rFonts w:hint="eastAsia"/>
                <w:sz w:val="18"/>
              </w:rPr>
              <w:t>邱罗特加地区</w:t>
            </w:r>
          </w:p>
        </w:tc>
        <w:tc>
          <w:tcPr>
            <w:tcW w:w="549" w:type="pct"/>
          </w:tcPr>
          <w:p w:rsidR="00000000" w:rsidRDefault="00CA422F">
            <w:pPr>
              <w:spacing w:line="360" w:lineRule="exact"/>
              <w:jc w:val="center"/>
              <w:rPr>
                <w:sz w:val="18"/>
                <w:lang w:val="es-ES"/>
              </w:rPr>
            </w:pPr>
            <w:r>
              <w:rPr>
                <w:sz w:val="18"/>
                <w:lang w:val="es-ES"/>
              </w:rPr>
              <w:t>11.4</w:t>
            </w:r>
          </w:p>
        </w:tc>
        <w:tc>
          <w:tcPr>
            <w:tcW w:w="549" w:type="pct"/>
          </w:tcPr>
          <w:p w:rsidR="00000000" w:rsidRDefault="00CA422F">
            <w:pPr>
              <w:spacing w:line="360" w:lineRule="exact"/>
              <w:jc w:val="center"/>
              <w:rPr>
                <w:sz w:val="18"/>
                <w:lang w:val="es-ES"/>
              </w:rPr>
            </w:pPr>
            <w:r>
              <w:rPr>
                <w:sz w:val="18"/>
                <w:lang w:val="es-ES"/>
              </w:rPr>
              <w:t>10.2</w:t>
            </w:r>
          </w:p>
        </w:tc>
        <w:tc>
          <w:tcPr>
            <w:tcW w:w="549" w:type="pct"/>
          </w:tcPr>
          <w:p w:rsidR="00000000" w:rsidRDefault="00CA422F">
            <w:pPr>
              <w:spacing w:line="360" w:lineRule="exact"/>
              <w:jc w:val="center"/>
              <w:rPr>
                <w:sz w:val="18"/>
                <w:lang w:val="es-ES"/>
              </w:rPr>
            </w:pPr>
            <w:r>
              <w:rPr>
                <w:sz w:val="18"/>
                <w:lang w:val="es-ES"/>
              </w:rPr>
              <w:t>6.1</w:t>
            </w:r>
          </w:p>
        </w:tc>
        <w:tc>
          <w:tcPr>
            <w:tcW w:w="549" w:type="pct"/>
          </w:tcPr>
          <w:p w:rsidR="00000000" w:rsidRDefault="00CA422F">
            <w:pPr>
              <w:spacing w:line="360" w:lineRule="exact"/>
              <w:jc w:val="center"/>
              <w:rPr>
                <w:sz w:val="18"/>
                <w:lang w:val="es-ES"/>
              </w:rPr>
            </w:pPr>
            <w:r>
              <w:rPr>
                <w:sz w:val="18"/>
                <w:lang w:val="es-ES"/>
              </w:rPr>
              <w:t>1.8</w:t>
            </w:r>
          </w:p>
        </w:tc>
        <w:tc>
          <w:tcPr>
            <w:tcW w:w="549" w:type="pct"/>
          </w:tcPr>
          <w:p w:rsidR="00000000" w:rsidRDefault="00CA422F">
            <w:pPr>
              <w:spacing w:line="360" w:lineRule="exact"/>
              <w:jc w:val="center"/>
              <w:rPr>
                <w:sz w:val="18"/>
                <w:lang w:val="es-ES"/>
              </w:rPr>
            </w:pPr>
            <w:r>
              <w:rPr>
                <w:sz w:val="18"/>
                <w:lang w:val="es-ES"/>
              </w:rPr>
              <w:t>70.1</w:t>
            </w:r>
          </w:p>
        </w:tc>
        <w:tc>
          <w:tcPr>
            <w:tcW w:w="549" w:type="pct"/>
          </w:tcPr>
          <w:p w:rsidR="00000000" w:rsidRDefault="00CA422F">
            <w:pPr>
              <w:spacing w:line="360" w:lineRule="exact"/>
              <w:jc w:val="center"/>
              <w:rPr>
                <w:sz w:val="18"/>
                <w:lang w:val="es-ES"/>
              </w:rPr>
            </w:pPr>
            <w:r>
              <w:rPr>
                <w:sz w:val="18"/>
                <w:lang w:val="es-ES"/>
              </w:rPr>
              <w:t>64.0</w:t>
            </w:r>
          </w:p>
        </w:tc>
        <w:tc>
          <w:tcPr>
            <w:tcW w:w="545" w:type="pct"/>
          </w:tcPr>
          <w:p w:rsidR="00000000" w:rsidRDefault="00CA422F">
            <w:pPr>
              <w:spacing w:line="360" w:lineRule="exact"/>
              <w:jc w:val="center"/>
              <w:rPr>
                <w:sz w:val="18"/>
                <w:lang w:val="es-ES"/>
              </w:rPr>
            </w:pPr>
            <w:r>
              <w:rPr>
                <w:sz w:val="18"/>
                <w:lang w:val="es-ES"/>
              </w:rPr>
              <w:t>-6.1</w:t>
            </w:r>
          </w:p>
        </w:tc>
      </w:tr>
      <w:tr w:rsidR="00000000">
        <w:tblPrEx>
          <w:tblCellMar>
            <w:top w:w="0" w:type="dxa"/>
            <w:bottom w:w="0" w:type="dxa"/>
          </w:tblCellMar>
        </w:tblPrEx>
        <w:tc>
          <w:tcPr>
            <w:tcW w:w="1162" w:type="pct"/>
          </w:tcPr>
          <w:p w:rsidR="00000000" w:rsidRDefault="00CA422F">
            <w:pPr>
              <w:tabs>
                <w:tab w:val="center" w:pos="770"/>
              </w:tabs>
              <w:spacing w:line="360" w:lineRule="exact"/>
              <w:rPr>
                <w:color w:val="FF0000"/>
                <w:sz w:val="18"/>
                <w:lang w:val="es-ES"/>
              </w:rPr>
            </w:pPr>
            <w:r>
              <w:rPr>
                <w:rFonts w:hint="eastAsia"/>
                <w:sz w:val="18"/>
              </w:rPr>
              <w:t>中部太平洋沿岸地区</w:t>
            </w:r>
          </w:p>
        </w:tc>
        <w:tc>
          <w:tcPr>
            <w:tcW w:w="549" w:type="pct"/>
          </w:tcPr>
          <w:p w:rsidR="00000000" w:rsidRDefault="00CA422F">
            <w:pPr>
              <w:spacing w:line="360" w:lineRule="exact"/>
              <w:jc w:val="center"/>
              <w:rPr>
                <w:sz w:val="18"/>
                <w:lang w:val="es-ES"/>
              </w:rPr>
            </w:pPr>
            <w:r>
              <w:rPr>
                <w:sz w:val="18"/>
                <w:lang w:val="es-ES"/>
              </w:rPr>
              <w:t>7.3</w:t>
            </w:r>
          </w:p>
        </w:tc>
        <w:tc>
          <w:tcPr>
            <w:tcW w:w="549" w:type="pct"/>
          </w:tcPr>
          <w:p w:rsidR="00000000" w:rsidRDefault="00CA422F">
            <w:pPr>
              <w:spacing w:line="360" w:lineRule="exact"/>
              <w:jc w:val="center"/>
              <w:rPr>
                <w:sz w:val="18"/>
                <w:lang w:val="es-ES"/>
              </w:rPr>
            </w:pPr>
            <w:r>
              <w:rPr>
                <w:sz w:val="18"/>
                <w:lang w:val="es-ES"/>
              </w:rPr>
              <w:t>6.8</w:t>
            </w:r>
          </w:p>
        </w:tc>
        <w:tc>
          <w:tcPr>
            <w:tcW w:w="549" w:type="pct"/>
          </w:tcPr>
          <w:p w:rsidR="00000000" w:rsidRDefault="00CA422F">
            <w:pPr>
              <w:spacing w:line="360" w:lineRule="exact"/>
              <w:jc w:val="center"/>
              <w:rPr>
                <w:sz w:val="18"/>
                <w:lang w:val="es-ES"/>
              </w:rPr>
            </w:pPr>
            <w:r>
              <w:rPr>
                <w:sz w:val="18"/>
                <w:lang w:val="es-ES"/>
              </w:rPr>
              <w:t>5.6</w:t>
            </w:r>
          </w:p>
        </w:tc>
        <w:tc>
          <w:tcPr>
            <w:tcW w:w="549" w:type="pct"/>
          </w:tcPr>
          <w:p w:rsidR="00000000" w:rsidRDefault="00CA422F">
            <w:pPr>
              <w:spacing w:line="360" w:lineRule="exact"/>
              <w:jc w:val="center"/>
              <w:rPr>
                <w:sz w:val="18"/>
                <w:lang w:val="es-ES"/>
              </w:rPr>
            </w:pPr>
            <w:r>
              <w:rPr>
                <w:sz w:val="18"/>
                <w:lang w:val="es-ES"/>
              </w:rPr>
              <w:t>2.4</w:t>
            </w:r>
          </w:p>
        </w:tc>
        <w:tc>
          <w:tcPr>
            <w:tcW w:w="549" w:type="pct"/>
          </w:tcPr>
          <w:p w:rsidR="00000000" w:rsidRDefault="00CA422F">
            <w:pPr>
              <w:spacing w:line="360" w:lineRule="exact"/>
              <w:jc w:val="center"/>
              <w:rPr>
                <w:sz w:val="18"/>
                <w:lang w:val="es-ES"/>
              </w:rPr>
            </w:pPr>
            <w:r>
              <w:rPr>
                <w:sz w:val="18"/>
                <w:lang w:val="es-ES"/>
              </w:rPr>
              <w:t>63.3</w:t>
            </w:r>
          </w:p>
        </w:tc>
        <w:tc>
          <w:tcPr>
            <w:tcW w:w="549" w:type="pct"/>
          </w:tcPr>
          <w:p w:rsidR="00000000" w:rsidRDefault="00CA422F">
            <w:pPr>
              <w:spacing w:line="360" w:lineRule="exact"/>
              <w:jc w:val="center"/>
              <w:rPr>
                <w:sz w:val="18"/>
                <w:lang w:val="es-ES"/>
              </w:rPr>
            </w:pPr>
            <w:r>
              <w:rPr>
                <w:sz w:val="18"/>
                <w:lang w:val="es-ES"/>
              </w:rPr>
              <w:t>57.2</w:t>
            </w:r>
          </w:p>
        </w:tc>
        <w:tc>
          <w:tcPr>
            <w:tcW w:w="545" w:type="pct"/>
          </w:tcPr>
          <w:p w:rsidR="00000000" w:rsidRDefault="00CA422F">
            <w:pPr>
              <w:spacing w:line="360" w:lineRule="exact"/>
              <w:jc w:val="center"/>
              <w:rPr>
                <w:sz w:val="18"/>
                <w:lang w:val="es-ES"/>
              </w:rPr>
            </w:pPr>
            <w:r>
              <w:rPr>
                <w:sz w:val="18"/>
                <w:lang w:val="es-ES"/>
              </w:rPr>
              <w:t>-6.1</w:t>
            </w:r>
          </w:p>
        </w:tc>
      </w:tr>
      <w:tr w:rsidR="00000000">
        <w:tblPrEx>
          <w:tblCellMar>
            <w:top w:w="0" w:type="dxa"/>
            <w:bottom w:w="0" w:type="dxa"/>
          </w:tblCellMar>
        </w:tblPrEx>
        <w:tc>
          <w:tcPr>
            <w:tcW w:w="1162" w:type="pct"/>
          </w:tcPr>
          <w:p w:rsidR="00000000" w:rsidRDefault="00CA422F">
            <w:pPr>
              <w:spacing w:line="360" w:lineRule="exact"/>
              <w:rPr>
                <w:sz w:val="18"/>
                <w:lang w:val="es-ES"/>
              </w:rPr>
            </w:pPr>
            <w:r>
              <w:rPr>
                <w:sz w:val="18"/>
                <w:lang w:val="es-ES"/>
              </w:rPr>
              <w:t>不隆卡地区</w:t>
            </w:r>
          </w:p>
        </w:tc>
        <w:tc>
          <w:tcPr>
            <w:tcW w:w="549" w:type="pct"/>
          </w:tcPr>
          <w:p w:rsidR="00000000" w:rsidRDefault="00CA422F">
            <w:pPr>
              <w:spacing w:line="360" w:lineRule="exact"/>
              <w:jc w:val="center"/>
              <w:rPr>
                <w:sz w:val="18"/>
                <w:lang w:val="es-ES"/>
              </w:rPr>
            </w:pPr>
            <w:r>
              <w:rPr>
                <w:sz w:val="18"/>
                <w:lang w:val="es-ES"/>
              </w:rPr>
              <w:t>1</w:t>
            </w:r>
            <w:r>
              <w:rPr>
                <w:sz w:val="18"/>
                <w:lang w:val="es-ES"/>
              </w:rPr>
              <w:t>3.5</w:t>
            </w:r>
          </w:p>
        </w:tc>
        <w:tc>
          <w:tcPr>
            <w:tcW w:w="549" w:type="pct"/>
          </w:tcPr>
          <w:p w:rsidR="00000000" w:rsidRDefault="00CA422F">
            <w:pPr>
              <w:spacing w:line="360" w:lineRule="exact"/>
              <w:jc w:val="center"/>
              <w:rPr>
                <w:sz w:val="18"/>
                <w:lang w:val="es-ES"/>
              </w:rPr>
            </w:pPr>
            <w:r>
              <w:rPr>
                <w:sz w:val="18"/>
                <w:lang w:val="es-ES"/>
              </w:rPr>
              <w:t>13.7</w:t>
            </w:r>
          </w:p>
        </w:tc>
        <w:tc>
          <w:tcPr>
            <w:tcW w:w="549" w:type="pct"/>
          </w:tcPr>
          <w:p w:rsidR="00000000" w:rsidRDefault="00CA422F">
            <w:pPr>
              <w:spacing w:line="360" w:lineRule="exact"/>
              <w:jc w:val="center"/>
              <w:rPr>
                <w:sz w:val="18"/>
                <w:lang w:val="es-ES"/>
              </w:rPr>
            </w:pPr>
            <w:r>
              <w:rPr>
                <w:sz w:val="18"/>
                <w:lang w:val="es-ES"/>
              </w:rPr>
              <w:t>14.4</w:t>
            </w:r>
          </w:p>
        </w:tc>
        <w:tc>
          <w:tcPr>
            <w:tcW w:w="549" w:type="pct"/>
          </w:tcPr>
          <w:p w:rsidR="00000000" w:rsidRDefault="00CA422F">
            <w:pPr>
              <w:spacing w:line="360" w:lineRule="exact"/>
              <w:jc w:val="center"/>
              <w:rPr>
                <w:sz w:val="18"/>
                <w:lang w:val="es-ES"/>
              </w:rPr>
            </w:pPr>
            <w:r>
              <w:rPr>
                <w:sz w:val="18"/>
                <w:lang w:val="es-ES"/>
              </w:rPr>
              <w:t>3.3</w:t>
            </w:r>
          </w:p>
        </w:tc>
        <w:tc>
          <w:tcPr>
            <w:tcW w:w="549" w:type="pct"/>
          </w:tcPr>
          <w:p w:rsidR="00000000" w:rsidRDefault="00CA422F">
            <w:pPr>
              <w:spacing w:line="360" w:lineRule="exact"/>
              <w:jc w:val="center"/>
              <w:rPr>
                <w:sz w:val="18"/>
                <w:lang w:val="es-ES"/>
              </w:rPr>
            </w:pPr>
            <w:r>
              <w:rPr>
                <w:sz w:val="18"/>
                <w:lang w:val="es-ES"/>
              </w:rPr>
              <w:t>73.2</w:t>
            </w:r>
          </w:p>
        </w:tc>
        <w:tc>
          <w:tcPr>
            <w:tcW w:w="549" w:type="pct"/>
          </w:tcPr>
          <w:p w:rsidR="00000000" w:rsidRDefault="00CA422F">
            <w:pPr>
              <w:spacing w:line="360" w:lineRule="exact"/>
              <w:jc w:val="center"/>
              <w:rPr>
                <w:sz w:val="18"/>
                <w:lang w:val="es-ES"/>
              </w:rPr>
            </w:pPr>
            <w:r>
              <w:rPr>
                <w:sz w:val="18"/>
                <w:lang w:val="es-ES"/>
              </w:rPr>
              <w:t>65.0</w:t>
            </w:r>
          </w:p>
        </w:tc>
        <w:tc>
          <w:tcPr>
            <w:tcW w:w="545" w:type="pct"/>
          </w:tcPr>
          <w:p w:rsidR="00000000" w:rsidRDefault="00CA422F">
            <w:pPr>
              <w:spacing w:line="360" w:lineRule="exact"/>
              <w:jc w:val="center"/>
              <w:rPr>
                <w:sz w:val="18"/>
                <w:lang w:val="es-ES"/>
              </w:rPr>
            </w:pPr>
            <w:r>
              <w:rPr>
                <w:sz w:val="18"/>
                <w:lang w:val="es-ES"/>
              </w:rPr>
              <w:t>-8.2</w:t>
            </w:r>
          </w:p>
        </w:tc>
      </w:tr>
      <w:tr w:rsidR="00000000">
        <w:tblPrEx>
          <w:tblCellMar>
            <w:top w:w="0" w:type="dxa"/>
            <w:bottom w:w="0" w:type="dxa"/>
          </w:tblCellMar>
        </w:tblPrEx>
        <w:tc>
          <w:tcPr>
            <w:tcW w:w="1162" w:type="pct"/>
          </w:tcPr>
          <w:p w:rsidR="00000000" w:rsidRDefault="00CA422F">
            <w:pPr>
              <w:spacing w:line="360" w:lineRule="exact"/>
              <w:rPr>
                <w:sz w:val="18"/>
                <w:lang w:val="es-ES"/>
              </w:rPr>
            </w:pPr>
            <w:r>
              <w:rPr>
                <w:sz w:val="18"/>
                <w:lang w:val="es-ES"/>
              </w:rPr>
              <w:t>乌埃塔尔大西洋沿岸地区</w:t>
            </w:r>
          </w:p>
        </w:tc>
        <w:tc>
          <w:tcPr>
            <w:tcW w:w="549" w:type="pct"/>
          </w:tcPr>
          <w:p w:rsidR="00000000" w:rsidRDefault="00CA422F">
            <w:pPr>
              <w:spacing w:line="360" w:lineRule="exact"/>
              <w:jc w:val="center"/>
              <w:rPr>
                <w:sz w:val="18"/>
                <w:lang w:val="es-ES"/>
              </w:rPr>
            </w:pPr>
            <w:r>
              <w:rPr>
                <w:sz w:val="18"/>
                <w:lang w:val="es-ES"/>
              </w:rPr>
              <w:t>10.6</w:t>
            </w:r>
          </w:p>
        </w:tc>
        <w:tc>
          <w:tcPr>
            <w:tcW w:w="549" w:type="pct"/>
          </w:tcPr>
          <w:p w:rsidR="00000000" w:rsidRDefault="00CA422F">
            <w:pPr>
              <w:spacing w:line="360" w:lineRule="exact"/>
              <w:jc w:val="center"/>
              <w:rPr>
                <w:sz w:val="18"/>
                <w:lang w:val="es-ES"/>
              </w:rPr>
            </w:pPr>
            <w:r>
              <w:rPr>
                <w:sz w:val="18"/>
                <w:lang w:val="es-ES"/>
              </w:rPr>
              <w:t>13.1</w:t>
            </w:r>
          </w:p>
        </w:tc>
        <w:tc>
          <w:tcPr>
            <w:tcW w:w="549" w:type="pct"/>
          </w:tcPr>
          <w:p w:rsidR="00000000" w:rsidRDefault="00CA422F">
            <w:pPr>
              <w:spacing w:line="360" w:lineRule="exact"/>
              <w:jc w:val="center"/>
              <w:rPr>
                <w:sz w:val="18"/>
                <w:lang w:val="es-ES"/>
              </w:rPr>
            </w:pPr>
            <w:r>
              <w:rPr>
                <w:sz w:val="18"/>
                <w:lang w:val="es-ES"/>
              </w:rPr>
              <w:t>22.1</w:t>
            </w:r>
          </w:p>
        </w:tc>
        <w:tc>
          <w:tcPr>
            <w:tcW w:w="549" w:type="pct"/>
          </w:tcPr>
          <w:p w:rsidR="00000000" w:rsidRDefault="00CA422F">
            <w:pPr>
              <w:spacing w:line="360" w:lineRule="exact"/>
              <w:jc w:val="center"/>
              <w:rPr>
                <w:sz w:val="18"/>
                <w:lang w:val="es-ES"/>
              </w:rPr>
            </w:pPr>
            <w:r>
              <w:rPr>
                <w:sz w:val="18"/>
                <w:lang w:val="es-ES"/>
              </w:rPr>
              <w:t>5.9</w:t>
            </w:r>
          </w:p>
        </w:tc>
        <w:tc>
          <w:tcPr>
            <w:tcW w:w="549" w:type="pct"/>
          </w:tcPr>
          <w:p w:rsidR="00000000" w:rsidRDefault="00CA422F">
            <w:pPr>
              <w:spacing w:line="360" w:lineRule="exact"/>
              <w:jc w:val="center"/>
              <w:rPr>
                <w:sz w:val="18"/>
                <w:lang w:val="es-ES"/>
              </w:rPr>
            </w:pPr>
            <w:r>
              <w:rPr>
                <w:sz w:val="18"/>
                <w:lang w:val="es-ES"/>
              </w:rPr>
              <w:t>61.3</w:t>
            </w:r>
          </w:p>
        </w:tc>
        <w:tc>
          <w:tcPr>
            <w:tcW w:w="549" w:type="pct"/>
          </w:tcPr>
          <w:p w:rsidR="00000000" w:rsidRDefault="00CA422F">
            <w:pPr>
              <w:spacing w:line="360" w:lineRule="exact"/>
              <w:jc w:val="center"/>
              <w:rPr>
                <w:sz w:val="18"/>
                <w:lang w:val="es-ES"/>
              </w:rPr>
            </w:pPr>
            <w:r>
              <w:rPr>
                <w:sz w:val="18"/>
                <w:lang w:val="es-ES"/>
              </w:rPr>
              <w:t>61.2</w:t>
            </w:r>
          </w:p>
        </w:tc>
        <w:tc>
          <w:tcPr>
            <w:tcW w:w="545" w:type="pct"/>
          </w:tcPr>
          <w:p w:rsidR="00000000" w:rsidRDefault="00CA422F">
            <w:pPr>
              <w:spacing w:line="360" w:lineRule="exact"/>
              <w:jc w:val="center"/>
              <w:rPr>
                <w:sz w:val="18"/>
                <w:lang w:val="es-ES"/>
              </w:rPr>
            </w:pPr>
            <w:r>
              <w:rPr>
                <w:sz w:val="18"/>
                <w:lang w:val="es-ES"/>
              </w:rPr>
              <w:t>-0.2</w:t>
            </w:r>
          </w:p>
        </w:tc>
      </w:tr>
      <w:tr w:rsidR="00000000">
        <w:tblPrEx>
          <w:tblCellMar>
            <w:top w:w="0" w:type="dxa"/>
            <w:bottom w:w="0" w:type="dxa"/>
          </w:tblCellMar>
        </w:tblPrEx>
        <w:tc>
          <w:tcPr>
            <w:tcW w:w="1162" w:type="pct"/>
          </w:tcPr>
          <w:p w:rsidR="00000000" w:rsidRDefault="00CA422F">
            <w:pPr>
              <w:spacing w:line="360" w:lineRule="exact"/>
              <w:rPr>
                <w:sz w:val="18"/>
                <w:lang w:val="es-ES"/>
              </w:rPr>
            </w:pPr>
            <w:r>
              <w:rPr>
                <w:sz w:val="18"/>
                <w:lang w:val="es-ES"/>
              </w:rPr>
              <w:t>北乌埃塔尔地区</w:t>
            </w:r>
          </w:p>
        </w:tc>
        <w:tc>
          <w:tcPr>
            <w:tcW w:w="549" w:type="pct"/>
          </w:tcPr>
          <w:p w:rsidR="00000000" w:rsidRDefault="00CA422F">
            <w:pPr>
              <w:spacing w:line="360" w:lineRule="exact"/>
              <w:jc w:val="center"/>
              <w:rPr>
                <w:sz w:val="18"/>
                <w:lang w:val="es-ES"/>
              </w:rPr>
            </w:pPr>
            <w:r>
              <w:rPr>
                <w:sz w:val="18"/>
                <w:lang w:val="es-ES"/>
              </w:rPr>
              <w:t>4.6</w:t>
            </w:r>
          </w:p>
        </w:tc>
        <w:tc>
          <w:tcPr>
            <w:tcW w:w="549" w:type="pct"/>
          </w:tcPr>
          <w:p w:rsidR="00000000" w:rsidRDefault="00CA422F">
            <w:pPr>
              <w:spacing w:line="360" w:lineRule="exact"/>
              <w:jc w:val="center"/>
              <w:rPr>
                <w:sz w:val="18"/>
                <w:lang w:val="es-ES"/>
              </w:rPr>
            </w:pPr>
            <w:r>
              <w:rPr>
                <w:sz w:val="18"/>
                <w:lang w:val="es-ES"/>
              </w:rPr>
              <w:t>8.2</w:t>
            </w:r>
          </w:p>
        </w:tc>
        <w:tc>
          <w:tcPr>
            <w:tcW w:w="549" w:type="pct"/>
          </w:tcPr>
          <w:p w:rsidR="00000000" w:rsidRDefault="00CA422F">
            <w:pPr>
              <w:spacing w:line="360" w:lineRule="exact"/>
              <w:jc w:val="center"/>
              <w:rPr>
                <w:sz w:val="18"/>
                <w:lang w:val="es-ES"/>
              </w:rPr>
            </w:pPr>
            <w:r>
              <w:rPr>
                <w:sz w:val="18"/>
                <w:lang w:val="es-ES"/>
              </w:rPr>
              <w:t>11.7</w:t>
            </w:r>
          </w:p>
        </w:tc>
        <w:tc>
          <w:tcPr>
            <w:tcW w:w="549" w:type="pct"/>
          </w:tcPr>
          <w:p w:rsidR="00000000" w:rsidRDefault="00CA422F">
            <w:pPr>
              <w:spacing w:line="360" w:lineRule="exact"/>
              <w:jc w:val="center"/>
              <w:rPr>
                <w:sz w:val="18"/>
                <w:lang w:val="es-ES"/>
              </w:rPr>
            </w:pPr>
            <w:r>
              <w:rPr>
                <w:sz w:val="18"/>
                <w:lang w:val="es-ES"/>
              </w:rPr>
              <w:t>6.9</w:t>
            </w:r>
          </w:p>
        </w:tc>
        <w:tc>
          <w:tcPr>
            <w:tcW w:w="549" w:type="pct"/>
          </w:tcPr>
          <w:p w:rsidR="00000000" w:rsidRDefault="00CA422F">
            <w:pPr>
              <w:spacing w:line="360" w:lineRule="exact"/>
              <w:jc w:val="center"/>
              <w:rPr>
                <w:sz w:val="18"/>
                <w:lang w:val="es-ES"/>
              </w:rPr>
            </w:pPr>
            <w:r>
              <w:rPr>
                <w:sz w:val="18"/>
                <w:lang w:val="es-ES"/>
              </w:rPr>
              <w:t>70.7</w:t>
            </w:r>
          </w:p>
        </w:tc>
        <w:tc>
          <w:tcPr>
            <w:tcW w:w="549" w:type="pct"/>
          </w:tcPr>
          <w:p w:rsidR="00000000" w:rsidRDefault="00CA422F">
            <w:pPr>
              <w:spacing w:line="360" w:lineRule="exact"/>
              <w:jc w:val="center"/>
              <w:rPr>
                <w:sz w:val="18"/>
                <w:lang w:val="es-ES"/>
              </w:rPr>
            </w:pPr>
            <w:r>
              <w:rPr>
                <w:sz w:val="18"/>
                <w:lang w:val="es-ES"/>
              </w:rPr>
              <w:t>60.8</w:t>
            </w:r>
          </w:p>
        </w:tc>
        <w:tc>
          <w:tcPr>
            <w:tcW w:w="545" w:type="pct"/>
          </w:tcPr>
          <w:p w:rsidR="00000000" w:rsidRDefault="00CA422F">
            <w:pPr>
              <w:spacing w:line="360" w:lineRule="exact"/>
              <w:jc w:val="center"/>
              <w:rPr>
                <w:sz w:val="18"/>
                <w:lang w:val="es-ES"/>
              </w:rPr>
            </w:pPr>
            <w:r>
              <w:rPr>
                <w:sz w:val="18"/>
                <w:lang w:val="es-ES"/>
              </w:rPr>
              <w:t>-9.9</w:t>
            </w:r>
          </w:p>
        </w:tc>
      </w:tr>
    </w:tbl>
    <w:p w:rsidR="00000000" w:rsidRDefault="00CA422F">
      <w:pPr>
        <w:spacing w:after="240" w:line="360" w:lineRule="exact"/>
        <w:rPr>
          <w:rFonts w:hint="eastAsia"/>
          <w:sz w:val="18"/>
          <w:lang w:val="es-ES"/>
        </w:rPr>
      </w:pPr>
      <w:r>
        <w:rPr>
          <w:rFonts w:hint="eastAsia"/>
          <w:sz w:val="18"/>
        </w:rPr>
        <w:t>资料来源</w:t>
      </w:r>
      <w:r>
        <w:rPr>
          <w:rFonts w:hint="eastAsia"/>
          <w:sz w:val="18"/>
          <w:lang w:val="es-ES"/>
        </w:rPr>
        <w:t>：</w:t>
      </w:r>
      <w:r>
        <w:rPr>
          <w:rFonts w:hint="eastAsia"/>
          <w:sz w:val="18"/>
          <w:lang w:val="es-ES"/>
        </w:rPr>
        <w:t>Trejos</w:t>
      </w:r>
      <w:r>
        <w:rPr>
          <w:rFonts w:hint="eastAsia"/>
          <w:sz w:val="18"/>
          <w:lang w:val="es-ES"/>
        </w:rPr>
        <w:t>（</w:t>
      </w:r>
      <w:r>
        <w:rPr>
          <w:rFonts w:hint="eastAsia"/>
          <w:sz w:val="18"/>
          <w:lang w:val="es-ES"/>
        </w:rPr>
        <w:t>2000</w:t>
      </w:r>
      <w:r>
        <w:rPr>
          <w:rFonts w:hint="eastAsia"/>
          <w:sz w:val="18"/>
          <w:lang w:val="es-ES"/>
        </w:rPr>
        <w:t>年），</w:t>
      </w:r>
      <w:r>
        <w:rPr>
          <w:rFonts w:hint="eastAsia"/>
          <w:sz w:val="18"/>
        </w:rPr>
        <w:t>有关家庭和多种因素调查</w:t>
      </w:r>
      <w:r>
        <w:rPr>
          <w:rFonts w:hint="eastAsia"/>
          <w:sz w:val="18"/>
          <w:lang w:val="es-ES"/>
        </w:rPr>
        <w:t>，</w:t>
      </w:r>
      <w:r>
        <w:rPr>
          <w:rFonts w:hint="eastAsia"/>
          <w:sz w:val="18"/>
        </w:rPr>
        <w:t>国家人口与统计研究所</w:t>
      </w:r>
      <w:r>
        <w:rPr>
          <w:rFonts w:hint="eastAsia"/>
          <w:sz w:val="18"/>
          <w:lang w:val="es-ES"/>
        </w:rPr>
        <w:t>，</w:t>
      </w:r>
      <w:r>
        <w:rPr>
          <w:rFonts w:hint="eastAsia"/>
          <w:sz w:val="18"/>
          <w:lang w:val="es-ES"/>
        </w:rPr>
        <w:t>2000</w:t>
      </w:r>
      <w:r>
        <w:rPr>
          <w:rFonts w:hint="eastAsia"/>
          <w:sz w:val="18"/>
          <w:lang w:val="es-ES"/>
        </w:rPr>
        <w:t>年</w:t>
      </w:r>
      <w:r>
        <w:rPr>
          <w:rFonts w:hint="eastAsia"/>
          <w:sz w:val="18"/>
        </w:rPr>
        <w:t>。</w:t>
      </w:r>
    </w:p>
    <w:p w:rsidR="00000000" w:rsidRDefault="00CA422F">
      <w:pPr>
        <w:spacing w:after="240" w:line="360" w:lineRule="exact"/>
        <w:jc w:val="center"/>
        <w:rPr>
          <w:rFonts w:eastAsia="SimHei" w:hint="eastAsia"/>
          <w:sz w:val="24"/>
        </w:rPr>
      </w:pPr>
      <w:r>
        <w:rPr>
          <w:rFonts w:eastAsia="SimHei" w:hint="eastAsia"/>
          <w:sz w:val="24"/>
        </w:rPr>
        <w:t>对贫困妇女的关注</w:t>
      </w:r>
    </w:p>
    <w:p w:rsidR="00000000" w:rsidRDefault="00CA422F">
      <w:pPr>
        <w:spacing w:after="240" w:line="360" w:lineRule="exact"/>
        <w:rPr>
          <w:rFonts w:hint="eastAsia"/>
        </w:rPr>
      </w:pPr>
      <w:r>
        <w:rPr>
          <w:rFonts w:hint="eastAsia"/>
        </w:rPr>
        <w:t>401</w:t>
      </w:r>
      <w:r>
        <w:rPr>
          <w:rFonts w:hint="eastAsia"/>
        </w:rPr>
        <w:t>．国家执行关注贫困妇女的政策，在某些机构（中美洲北京后续行动倡仪</w:t>
      </w:r>
      <w:r>
        <w:rPr>
          <w:rFonts w:hint="eastAsia"/>
          <w:color w:val="FF0000"/>
        </w:rPr>
        <w:t>，</w:t>
      </w:r>
      <w:r>
        <w:rPr>
          <w:rFonts w:hint="eastAsia"/>
          <w:lang w:val="es-ES"/>
        </w:rPr>
        <w:t>哥斯达黎加部分</w:t>
      </w:r>
      <w:r>
        <w:rPr>
          <w:rFonts w:hint="eastAsia"/>
        </w:rPr>
        <w:t>，</w:t>
      </w:r>
      <w:r>
        <w:rPr>
          <w:rFonts w:hint="eastAsia"/>
        </w:rPr>
        <w:t>1999</w:t>
      </w:r>
      <w:r>
        <w:rPr>
          <w:rFonts w:hint="eastAsia"/>
        </w:rPr>
        <w:t>年）看来，该政策的制订标准是建立在社会补偿、对社会投资费</w:t>
      </w:r>
      <w:r>
        <w:rPr>
          <w:rFonts w:hint="eastAsia"/>
        </w:rPr>
        <w:t>用的关注和为女性的社会化创造有利的社会经济条件等方面的基础之上的。直接援助、发放救济券、推动自营职业的微型贷款、传统职业培训、少量的技术创新以及劳动力市场和收入方面因缺乏机遇平等的轴心推动措施而无法实现各个经济部门纵向一体化等，都是上述政策的内容和不足之处，其主要目的在于培训贫困妇女的就业能力，使其能够正视贫困。</w:t>
      </w:r>
    </w:p>
    <w:p w:rsidR="00000000" w:rsidRDefault="00CA422F">
      <w:pPr>
        <w:spacing w:after="240" w:line="360" w:lineRule="exact"/>
        <w:rPr>
          <w:rFonts w:hint="eastAsia"/>
        </w:rPr>
      </w:pPr>
      <w:r>
        <w:rPr>
          <w:rFonts w:hint="eastAsia"/>
        </w:rPr>
        <w:t>402</w:t>
      </w:r>
      <w:r>
        <w:rPr>
          <w:rFonts w:hint="eastAsia"/>
        </w:rPr>
        <w:t>．关注贫困妇女的机构已经取得了重大进展，这是有目共睹的。具体而言，就是一项关注计划——贫困妇女救助计划，</w:t>
      </w:r>
      <w:r>
        <w:rPr>
          <w:rFonts w:hint="eastAsia"/>
          <w:lang w:val="es-ES"/>
        </w:rPr>
        <w:t>增强女性的个人能力，并将其作为开启女性自我独立的能力的一把钥匙。然而，上述计划在执行过</w:t>
      </w:r>
      <w:r>
        <w:rPr>
          <w:rFonts w:hint="eastAsia"/>
          <w:lang w:val="es-ES"/>
        </w:rPr>
        <w:t>程中如果缺少协调各个机构之间的举措来为女性的自我独立提供物质和经济基础的话，那么该政策的各项活动显然不够充分（中美洲北京后续行动倡议，哥斯达黎加部分</w:t>
      </w:r>
      <w:r>
        <w:rPr>
          <w:rFonts w:hint="eastAsia"/>
        </w:rPr>
        <w:t>，</w:t>
      </w:r>
      <w:r>
        <w:rPr>
          <w:rFonts w:hint="eastAsia"/>
        </w:rPr>
        <w:t>1999</w:t>
      </w:r>
      <w:r>
        <w:rPr>
          <w:rFonts w:hint="eastAsia"/>
        </w:rPr>
        <w:t>年）。</w:t>
      </w:r>
    </w:p>
    <w:p w:rsidR="00000000" w:rsidRDefault="00CA422F">
      <w:pPr>
        <w:spacing w:after="240" w:line="360" w:lineRule="exact"/>
        <w:rPr>
          <w:rFonts w:hint="eastAsia"/>
          <w:lang w:val="es-ES"/>
        </w:rPr>
      </w:pPr>
      <w:r>
        <w:rPr>
          <w:rFonts w:hint="eastAsia"/>
        </w:rPr>
        <w:t>403</w:t>
      </w:r>
      <w:r>
        <w:rPr>
          <w:rFonts w:hint="eastAsia"/>
        </w:rPr>
        <w:t>．从国家妇女研究所，尤其是从</w:t>
      </w:r>
      <w:r>
        <w:rPr>
          <w:rFonts w:hint="eastAsia"/>
          <w:lang w:val="es-ES"/>
        </w:rPr>
        <w:t>有效的公民部门地方领导和管理处来说，他们一直都在为帮助女性恢复个人和集体的能力而努力工作。这些机构的主要目的在于，在男女平等前提下，让女性在行使公民权利的同时，找到自我、学会自我控制、并能得到城镇、地方及城市各个层次的经济、社会、文化和政治等方面的资源（</w:t>
      </w:r>
      <w:r>
        <w:rPr>
          <w:rFonts w:hint="eastAsia"/>
          <w:lang w:val="es-ES"/>
        </w:rPr>
        <w:t>Piedra</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404</w:t>
      </w:r>
      <w:r>
        <w:rPr>
          <w:rFonts w:hint="eastAsia"/>
          <w:lang w:val="es-ES"/>
        </w:rPr>
        <w:t>．在推动与加强女性的公</w:t>
      </w:r>
      <w:r>
        <w:rPr>
          <w:rFonts w:hint="eastAsia"/>
          <w:lang w:val="es-ES"/>
        </w:rPr>
        <w:t>民参与和领导轴心计划中，为了能够彻底执行该计划并让女性享受她们的人权，特别制订了“共同前进”计划。这是为履行《贫困妇女关注法》而制订的一项国家政策。参加这项计划的人数</w:t>
      </w:r>
      <w:r>
        <w:rPr>
          <w:rFonts w:hint="eastAsia"/>
          <w:lang w:val="es-ES"/>
        </w:rPr>
        <w:t>1999</w:t>
      </w:r>
      <w:r>
        <w:rPr>
          <w:rFonts w:hint="eastAsia"/>
          <w:lang w:val="es-ES"/>
        </w:rPr>
        <w:t>年约为</w:t>
      </w:r>
      <w:r>
        <w:rPr>
          <w:rFonts w:hint="eastAsia"/>
          <w:lang w:val="es-ES"/>
        </w:rPr>
        <w:t>4</w:t>
      </w:r>
      <w:r>
        <w:t xml:space="preserve"> </w:t>
      </w:r>
      <w:r>
        <w:rPr>
          <w:rFonts w:hint="eastAsia"/>
          <w:lang w:val="es-ES"/>
        </w:rPr>
        <w:t>500</w:t>
      </w:r>
      <w:r>
        <w:rPr>
          <w:rFonts w:hint="eastAsia"/>
          <w:lang w:val="es-ES"/>
        </w:rPr>
        <w:t>名女性，</w:t>
      </w:r>
      <w:r>
        <w:rPr>
          <w:rFonts w:hint="eastAsia"/>
          <w:lang w:val="es-ES"/>
        </w:rPr>
        <w:t>2000</w:t>
      </w:r>
      <w:r>
        <w:rPr>
          <w:rFonts w:hint="eastAsia"/>
          <w:lang w:val="es-ES"/>
        </w:rPr>
        <w:t>和</w:t>
      </w:r>
      <w:r>
        <w:rPr>
          <w:rFonts w:hint="eastAsia"/>
          <w:lang w:val="es-ES"/>
        </w:rPr>
        <w:t>2001</w:t>
      </w:r>
      <w:r>
        <w:rPr>
          <w:rFonts w:hint="eastAsia"/>
          <w:lang w:val="es-ES"/>
        </w:rPr>
        <w:t>年则接近</w:t>
      </w:r>
      <w:r>
        <w:rPr>
          <w:rFonts w:hint="eastAsia"/>
          <w:lang w:val="es-ES"/>
        </w:rPr>
        <w:t>4</w:t>
      </w:r>
      <w:r>
        <w:rPr>
          <w:lang w:val="es-ES"/>
        </w:rPr>
        <w:t xml:space="preserve"> </w:t>
      </w:r>
      <w:r>
        <w:rPr>
          <w:rFonts w:hint="eastAsia"/>
          <w:lang w:val="es-ES"/>
        </w:rPr>
        <w:t>000</w:t>
      </w:r>
      <w:r>
        <w:rPr>
          <w:rFonts w:hint="eastAsia"/>
          <w:lang w:val="es-ES"/>
        </w:rPr>
        <w:t>人（</w:t>
      </w:r>
      <w:r>
        <w:rPr>
          <w:rFonts w:hint="eastAsia"/>
          <w:lang w:val="es-ES"/>
        </w:rPr>
        <w:t>Piedra</w:t>
      </w:r>
      <w:r>
        <w:rPr>
          <w:rFonts w:hint="eastAsia"/>
          <w:lang w:val="es-ES"/>
        </w:rPr>
        <w:t>，</w:t>
      </w:r>
      <w:r>
        <w:rPr>
          <w:rFonts w:hint="eastAsia"/>
          <w:lang w:val="es-ES"/>
        </w:rPr>
        <w:t>2001</w:t>
      </w:r>
      <w:r>
        <w:rPr>
          <w:rFonts w:hint="eastAsia"/>
          <w:lang w:val="es-ES"/>
        </w:rPr>
        <w:t>年）。该计划包括：</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女性个人和集体加强计划，其主要目的是对贫困妇女进行职业培训，帮助她们适应和使用情感和认识等手段，在生命的不同阶段和</w:t>
      </w:r>
      <w:r>
        <w:rPr>
          <w:rFonts w:hint="eastAsia"/>
        </w:rPr>
        <w:t>摆脱</w:t>
      </w:r>
      <w:r>
        <w:rPr>
          <w:rFonts w:hint="eastAsia"/>
          <w:lang w:val="es-ES"/>
        </w:rPr>
        <w:t>贫困状况的时候，为谋求个人和集体的改变而做出正确的决定。</w:t>
      </w:r>
    </w:p>
    <w:p w:rsidR="00000000" w:rsidRDefault="00CA422F">
      <w:pPr>
        <w:numPr>
          <w:ilvl w:val="0"/>
          <w:numId w:val="832"/>
        </w:numPr>
        <w:tabs>
          <w:tab w:val="clear" w:pos="720"/>
          <w:tab w:val="num" w:pos="840"/>
        </w:tabs>
        <w:spacing w:after="240" w:line="360" w:lineRule="exact"/>
        <w:ind w:left="840"/>
        <w:rPr>
          <w:rFonts w:hint="eastAsia"/>
        </w:rPr>
      </w:pPr>
      <w:r>
        <w:rPr>
          <w:rFonts w:hint="eastAsia"/>
          <w:lang w:val="es-ES"/>
        </w:rPr>
        <w:t>劳动职业技术培训，由</w:t>
      </w:r>
      <w:r>
        <w:rPr>
          <w:rFonts w:hint="eastAsia"/>
        </w:rPr>
        <w:t>国家职业学院负责，目的在于开展职业技</w:t>
      </w:r>
      <w:r>
        <w:rPr>
          <w:rFonts w:hint="eastAsia"/>
        </w:rPr>
        <w:t>术培训课程，以便增加科技含量，尊重女性的兴趣、需要和选择，与生活计划目标的发展保持一致。</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劳动投入，由劳动和社会保障部负责，主要是支持女性在设计方面的主动性，创建能够持久的独立或集体生产机构；同样也支持现有的小型企业。</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经济鼓励计划，由社会援助联合研究所负责，主要是以鼓励的方式，为女性提供一定的经济援助，为她们选择全新的生活目标创造更多的机会。同时，该计划还将帮助提供女性因贫困或极端贫困而无法获得的基本生存需要。社会援助联合研究所向她们提供了一定的经济补助（平均每月</w:t>
      </w:r>
      <w:r>
        <w:rPr>
          <w:rFonts w:hint="eastAsia"/>
        </w:rPr>
        <w:t>15 000</w:t>
      </w:r>
      <w:r>
        <w:rPr>
          <w:rFonts w:hint="eastAsia"/>
        </w:rPr>
        <w:t>科朗或</w:t>
      </w:r>
      <w:r>
        <w:rPr>
          <w:rFonts w:hint="eastAsia"/>
        </w:rPr>
        <w:t>45</w:t>
      </w:r>
      <w:r>
        <w:t>.</w:t>
      </w:r>
      <w:r>
        <w:rPr>
          <w:rFonts w:hint="eastAsia"/>
        </w:rPr>
        <w:t>00</w:t>
      </w:r>
      <w:r>
        <w:rPr>
          <w:rFonts w:hint="eastAsia"/>
        </w:rPr>
        <w:t>美元），为期六</w:t>
      </w:r>
      <w:r>
        <w:rPr>
          <w:rFonts w:hint="eastAsia"/>
        </w:rPr>
        <w:t>个月，支付居住、饮食和照顾子女的费用。此外，还将向她们提供一次性的补充资助（</w:t>
      </w:r>
      <w:r>
        <w:rPr>
          <w:rFonts w:hint="eastAsia"/>
        </w:rPr>
        <w:t>18 000</w:t>
      </w:r>
      <w:r>
        <w:rPr>
          <w:rFonts w:hint="eastAsia"/>
        </w:rPr>
        <w:t>科朗，即</w:t>
      </w:r>
      <w:r>
        <w:rPr>
          <w:rFonts w:hint="eastAsia"/>
        </w:rPr>
        <w:t>46</w:t>
      </w:r>
      <w:r>
        <w:t>.</w:t>
      </w:r>
      <w:r>
        <w:rPr>
          <w:rFonts w:hint="eastAsia"/>
        </w:rPr>
        <w:t>00</w:t>
      </w:r>
      <w:r>
        <w:rPr>
          <w:rFonts w:hint="eastAsia"/>
        </w:rPr>
        <w:t>美元），以支付上述过程中的教学费用。</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住房获得计划，由</w:t>
      </w:r>
      <w:r>
        <w:rPr>
          <w:rFonts w:hint="eastAsia"/>
          <w:lang w:val="es-ES"/>
        </w:rPr>
        <w:t>人类居住和安置部</w:t>
      </w:r>
      <w:r>
        <w:rPr>
          <w:rFonts w:hint="eastAsia"/>
        </w:rPr>
        <w:t>负责。根据规定，</w:t>
      </w:r>
      <w:r>
        <w:rPr>
          <w:rFonts w:hint="eastAsia"/>
          <w:lang w:val="es-ES"/>
        </w:rPr>
        <w:t>人类居住和安置部</w:t>
      </w:r>
      <w:r>
        <w:rPr>
          <w:rFonts w:hint="eastAsia"/>
        </w:rPr>
        <w:t>每六个月递交一次报告，列举贫困妇女的名单，以便根据法律的规定，在决定发放住房救济券时优先考虑。</w:t>
      </w:r>
    </w:p>
    <w:p w:rsidR="00000000" w:rsidRDefault="00CA422F">
      <w:pPr>
        <w:spacing w:after="240" w:line="360" w:lineRule="exact"/>
        <w:rPr>
          <w:rFonts w:hint="eastAsia"/>
        </w:rPr>
      </w:pPr>
    </w:p>
    <w:p w:rsidR="00000000" w:rsidRDefault="00CA422F">
      <w:pPr>
        <w:spacing w:after="240" w:line="360" w:lineRule="exact"/>
        <w:jc w:val="center"/>
        <w:rPr>
          <w:rFonts w:eastAsia="SimHei" w:hint="eastAsia"/>
          <w:sz w:val="24"/>
        </w:rPr>
      </w:pPr>
      <w:r>
        <w:rPr>
          <w:rFonts w:eastAsia="SimHei" w:hint="eastAsia"/>
          <w:sz w:val="24"/>
        </w:rPr>
        <w:t>妇女劳动与国家就业政策</w:t>
      </w:r>
    </w:p>
    <w:p w:rsidR="00000000" w:rsidRDefault="00CA422F">
      <w:pPr>
        <w:spacing w:after="240" w:line="360" w:lineRule="exact"/>
        <w:rPr>
          <w:rFonts w:hint="eastAsia"/>
          <w:lang w:val="es-ES"/>
        </w:rPr>
      </w:pPr>
      <w:r>
        <w:rPr>
          <w:rFonts w:hint="eastAsia"/>
        </w:rPr>
        <w:t>405</w:t>
      </w:r>
      <w:r>
        <w:rPr>
          <w:rFonts w:hint="eastAsia"/>
        </w:rPr>
        <w:t>．</w:t>
      </w:r>
      <w:r>
        <w:rPr>
          <w:rFonts w:hint="eastAsia"/>
        </w:rPr>
        <w:t>1999</w:t>
      </w:r>
      <w:r>
        <w:rPr>
          <w:rFonts w:hint="eastAsia"/>
        </w:rPr>
        <w:t>年</w:t>
      </w:r>
      <w:r>
        <w:rPr>
          <w:rFonts w:hint="eastAsia"/>
        </w:rPr>
        <w:t>3</w:t>
      </w:r>
      <w:r>
        <w:rPr>
          <w:rFonts w:hint="eastAsia"/>
        </w:rPr>
        <w:t>月以来，在劳动和社会保障部的配合下，国家妇女研究所为全国各个地区的妇女组织开办了多个咨询课堂，其目的是为了制订一项国家妇女劳动与就业政策。咨询课堂中扩充基本概念，</w:t>
      </w:r>
      <w:r>
        <w:rPr>
          <w:rFonts w:hint="eastAsia"/>
        </w:rPr>
        <w:t>将女性人口繁衍的任务也包括在该政策的制订中，为女性工作获得社会认可，寻找可行性较高的战略计划（国家妇女计划，</w:t>
      </w:r>
      <w:r>
        <w:rPr>
          <w:rFonts w:hint="eastAsia"/>
        </w:rPr>
        <w:t>2000</w:t>
      </w:r>
      <w:r>
        <w:rPr>
          <w:rFonts w:hint="eastAsia"/>
        </w:rPr>
        <w:t>年）。除了机构间的协调工作外，这些咨询课堂带来了第一手资料，从女性的角度进行系统化工作，在公共政策的制订中为女性争得一席之地。这方面的成就之一便是国家政治署就</w:t>
      </w:r>
      <w:r>
        <w:rPr>
          <w:rFonts w:hint="eastAsia"/>
          <w:lang w:val="es-ES"/>
        </w:rPr>
        <w:t>妇女、劳动和就业等方面达成了协议，包括五个中心（国家妇女研究所，</w:t>
      </w:r>
      <w:r>
        <w:rPr>
          <w:rFonts w:hint="eastAsia"/>
          <w:lang w:val="es-ES"/>
        </w:rPr>
        <w:t>2000</w:t>
      </w:r>
      <w:r>
        <w:rPr>
          <w:rFonts w:hint="eastAsia"/>
          <w:lang w:val="es-ES"/>
        </w:rPr>
        <w:t>年）：</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妇女在国家经济支柱产业中潜在的参与劳动。</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妇女对国家经济的贡献。</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扩大为妇女提供保障的社会保障部门。</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妇女劳动组织机构的加强。</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在劳动部门制度中推进两性平等。</w:t>
      </w:r>
    </w:p>
    <w:p w:rsidR="00000000" w:rsidRDefault="00CA422F">
      <w:pPr>
        <w:spacing w:after="240" w:line="360" w:lineRule="exact"/>
        <w:rPr>
          <w:rFonts w:hint="eastAsia"/>
          <w:lang w:val="es-ES"/>
        </w:rPr>
      </w:pPr>
      <w:r>
        <w:rPr>
          <w:rFonts w:hint="eastAsia"/>
          <w:lang w:val="es-ES"/>
        </w:rPr>
        <w:t>406</w:t>
      </w:r>
      <w:r>
        <w:rPr>
          <w:rFonts w:hint="eastAsia"/>
          <w:lang w:val="es-ES"/>
        </w:rPr>
        <w:t>．在符合国家妇女研究所与劳动和社会保障部（</w:t>
      </w:r>
      <w:r>
        <w:rPr>
          <w:rFonts w:hint="eastAsia"/>
          <w:lang w:val="es-ES"/>
        </w:rPr>
        <w:t>MTSS</w:t>
      </w:r>
      <w:r>
        <w:rPr>
          <w:rFonts w:hint="eastAsia"/>
          <w:lang w:val="es-ES"/>
        </w:rPr>
        <w:t>）签定的协议许可的范围内，于</w:t>
      </w:r>
      <w:r>
        <w:rPr>
          <w:rFonts w:hint="eastAsia"/>
          <w:lang w:val="es-ES"/>
        </w:rPr>
        <w:t>2000</w:t>
      </w:r>
      <w:r>
        <w:rPr>
          <w:rFonts w:hint="eastAsia"/>
          <w:lang w:val="es-ES"/>
        </w:rPr>
        <w:t>年</w:t>
      </w:r>
      <w:r>
        <w:rPr>
          <w:rFonts w:hint="eastAsia"/>
          <w:lang w:val="es-ES"/>
        </w:rPr>
        <w:t>12</w:t>
      </w:r>
      <w:r>
        <w:rPr>
          <w:rFonts w:hint="eastAsia"/>
          <w:lang w:val="es-ES"/>
        </w:rPr>
        <w:t>月通过了两性平等行动计划（</w:t>
      </w:r>
      <w:r>
        <w:rPr>
          <w:rFonts w:hint="eastAsia"/>
          <w:lang w:val="es-ES"/>
        </w:rPr>
        <w:t>2000</w:t>
      </w:r>
      <w:r>
        <w:rPr>
          <w:rFonts w:hint="eastAsia"/>
          <w:lang w:val="es-ES"/>
        </w:rPr>
        <w:t>－</w:t>
      </w:r>
      <w:r>
        <w:rPr>
          <w:rFonts w:hint="eastAsia"/>
          <w:lang w:val="es-ES"/>
        </w:rPr>
        <w:t>2002</w:t>
      </w:r>
      <w:r>
        <w:rPr>
          <w:rFonts w:hint="eastAsia"/>
          <w:lang w:val="es-ES"/>
        </w:rPr>
        <w:t>年），并且制订了劳动部性别机构行政法令。该行动计划已经开展了下列五项活动：</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对妇女进行劳动权利的培训：</w:t>
      </w:r>
      <w:r>
        <w:rPr>
          <w:rFonts w:hint="eastAsia"/>
          <w:lang w:val="es-ES"/>
        </w:rPr>
        <w:t>2000</w:t>
      </w:r>
      <w:r>
        <w:rPr>
          <w:rFonts w:hint="eastAsia"/>
          <w:lang w:val="es-ES"/>
        </w:rPr>
        <w:t>年</w:t>
      </w:r>
      <w:r>
        <w:rPr>
          <w:rFonts w:hint="eastAsia"/>
          <w:lang w:val="es-ES"/>
        </w:rPr>
        <w:t>9</w:t>
      </w:r>
      <w:r>
        <w:rPr>
          <w:rFonts w:hint="eastAsia"/>
          <w:lang w:val="es-ES"/>
        </w:rPr>
        <w:t>月以来，劳动和社会保障部在国家妇女研究所、国际劳工组织的技术支持和美国劳动机构的经济支援下，按照推动女性劳动权利的战略方针开展了一系列活动。紧接着，</w:t>
      </w:r>
      <w:r>
        <w:rPr>
          <w:rFonts w:hint="eastAsia"/>
          <w:lang w:val="es-ES"/>
        </w:rPr>
        <w:t>2000</w:t>
      </w:r>
      <w:r>
        <w:rPr>
          <w:rFonts w:hint="eastAsia"/>
          <w:lang w:val="es-ES"/>
        </w:rPr>
        <w:t>年</w:t>
      </w:r>
      <w:r>
        <w:rPr>
          <w:rFonts w:hint="eastAsia"/>
          <w:lang w:val="es-ES"/>
        </w:rPr>
        <w:t>11</w:t>
      </w:r>
      <w:r>
        <w:rPr>
          <w:rFonts w:hint="eastAsia"/>
          <w:lang w:val="es-ES"/>
        </w:rPr>
        <w:t>月对</w:t>
      </w:r>
      <w:r>
        <w:rPr>
          <w:rFonts w:hint="eastAsia"/>
          <w:lang w:val="es-ES"/>
        </w:rPr>
        <w:t>84</w:t>
      </w:r>
      <w:r>
        <w:rPr>
          <w:rFonts w:hint="eastAsia"/>
          <w:lang w:val="es-ES"/>
        </w:rPr>
        <w:t>名女性领导人进行培训，目前，接受培训的妇女对充满争议的四个领域的女性劳动权利进行宣传</w:t>
      </w:r>
      <w:r>
        <w:rPr>
          <w:rFonts w:hint="eastAsia"/>
          <w:lang w:val="es-ES"/>
        </w:rPr>
        <w:t>：孕期和哺乳期、性骚扰、工作歧视（包括工作的获得和晋升）和劳动卫生。此次培训中还有</w:t>
      </w:r>
      <w:r>
        <w:rPr>
          <w:rFonts w:hint="eastAsia"/>
          <w:lang w:val="es-ES"/>
        </w:rPr>
        <w:t>15</w:t>
      </w:r>
      <w:r>
        <w:rPr>
          <w:rFonts w:hint="eastAsia"/>
          <w:lang w:val="es-ES"/>
        </w:rPr>
        <w:t>名来自劳动部的劳动监察员。</w:t>
      </w:r>
      <w:r>
        <w:rPr>
          <w:rFonts w:hint="eastAsia"/>
          <w:lang w:val="es-ES"/>
        </w:rPr>
        <w:t>2001</w:t>
      </w:r>
      <w:r>
        <w:rPr>
          <w:rFonts w:hint="eastAsia"/>
          <w:lang w:val="es-ES"/>
        </w:rPr>
        <w:t>年，上述对女性领导人进行女性劳动权利培训的课堂还对近</w:t>
      </w:r>
      <w:r>
        <w:rPr>
          <w:rFonts w:hint="eastAsia"/>
          <w:lang w:val="es-ES"/>
        </w:rPr>
        <w:t>1 500</w:t>
      </w:r>
      <w:r>
        <w:rPr>
          <w:rFonts w:hint="eastAsia"/>
          <w:lang w:val="es-ES"/>
        </w:rPr>
        <w:t>名来自全国各地的女性、劳动和社会保障部的技术人员和市级妇女办公室（</w:t>
      </w:r>
      <w:r>
        <w:rPr>
          <w:rFonts w:hint="eastAsia"/>
          <w:lang w:val="es-ES"/>
        </w:rPr>
        <w:t>OFIM</w:t>
      </w:r>
      <w:r>
        <w:rPr>
          <w:rFonts w:hint="eastAsia"/>
          <w:lang w:val="es-ES"/>
        </w:rPr>
        <w:t>）的员工进行培训。</w:t>
      </w:r>
      <w:r>
        <w:rPr>
          <w:rFonts w:hint="eastAsia"/>
          <w:lang w:val="es-ES"/>
        </w:rPr>
        <w:t>2001</w:t>
      </w:r>
      <w:r>
        <w:rPr>
          <w:rFonts w:hint="eastAsia"/>
          <w:lang w:val="es-ES"/>
        </w:rPr>
        <w:t>年</w:t>
      </w:r>
      <w:r>
        <w:rPr>
          <w:rFonts w:hint="eastAsia"/>
          <w:lang w:val="es-ES"/>
        </w:rPr>
        <w:t>11</w:t>
      </w:r>
      <w:r>
        <w:rPr>
          <w:rFonts w:hint="eastAsia"/>
          <w:lang w:val="es-ES"/>
        </w:rPr>
        <w:t>月，又组织了为期三天的培训课堂，共有</w:t>
      </w:r>
      <w:r>
        <w:rPr>
          <w:rFonts w:hint="eastAsia"/>
          <w:lang w:val="es-ES"/>
        </w:rPr>
        <w:t>32</w:t>
      </w:r>
      <w:r>
        <w:rPr>
          <w:rFonts w:hint="eastAsia"/>
          <w:lang w:val="es-ES"/>
        </w:rPr>
        <w:t>名女领导和</w:t>
      </w:r>
      <w:r>
        <w:rPr>
          <w:rFonts w:hint="eastAsia"/>
          <w:lang w:val="es-ES"/>
        </w:rPr>
        <w:t>25</w:t>
      </w:r>
      <w:r>
        <w:rPr>
          <w:rFonts w:hint="eastAsia"/>
          <w:lang w:val="es-ES"/>
        </w:rPr>
        <w:t>名新的女领导接受劳动权利受训。全国共有</w:t>
      </w:r>
      <w:r>
        <w:rPr>
          <w:rFonts w:hint="eastAsia"/>
          <w:lang w:val="es-ES"/>
        </w:rPr>
        <w:t>57</w:t>
      </w:r>
      <w:r>
        <w:rPr>
          <w:rFonts w:hint="eastAsia"/>
          <w:lang w:val="es-ES"/>
        </w:rPr>
        <w:t>名女性参加了此次培训，她们为推动劳动权利制订了八个地区方案，希望</w:t>
      </w:r>
      <w:r>
        <w:rPr>
          <w:rFonts w:hint="eastAsia"/>
          <w:lang w:val="es-ES"/>
        </w:rPr>
        <w:t>2002</w:t>
      </w:r>
      <w:r>
        <w:rPr>
          <w:rFonts w:hint="eastAsia"/>
          <w:lang w:val="es-ES"/>
        </w:rPr>
        <w:t>年能够获得通过。</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妇女劳动权利运动：</w:t>
      </w:r>
      <w:r>
        <w:rPr>
          <w:rFonts w:hint="eastAsia"/>
          <w:lang w:val="es-ES"/>
        </w:rPr>
        <w:t>2001</w:t>
      </w:r>
      <w:r>
        <w:rPr>
          <w:rFonts w:hint="eastAsia"/>
          <w:lang w:val="es-ES"/>
        </w:rPr>
        <w:t>年</w:t>
      </w:r>
      <w:r>
        <w:rPr>
          <w:rFonts w:hint="eastAsia"/>
          <w:lang w:val="es-ES"/>
        </w:rPr>
        <w:t>3</w:t>
      </w:r>
      <w:r>
        <w:rPr>
          <w:rFonts w:hint="eastAsia"/>
          <w:lang w:val="es-ES"/>
        </w:rPr>
        <w:t>月至</w:t>
      </w:r>
      <w:r>
        <w:rPr>
          <w:rFonts w:hint="eastAsia"/>
          <w:lang w:val="es-ES"/>
        </w:rPr>
        <w:t>10</w:t>
      </w:r>
      <w:r>
        <w:rPr>
          <w:rFonts w:hint="eastAsia"/>
          <w:lang w:val="es-ES"/>
        </w:rPr>
        <w:t>月，大众媒体开展了关于妇女劳动权利的一项运动，同样也由美国劳动机构出资协助。这项运动完成了对有关权利宣传的工作、促使公众尊重女性劳动者和推进女性劳动权利的保护等方面的工作。此次运动在电台和电视上各播出四则公益广告。</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800</w:t>
      </w:r>
      <w:r>
        <w:rPr>
          <w:rFonts w:hint="eastAsia"/>
          <w:lang w:val="es-ES"/>
        </w:rPr>
        <w:t>工作热线：在同一机构的领导下，</w:t>
      </w:r>
      <w:r>
        <w:rPr>
          <w:rFonts w:hint="eastAsia"/>
          <w:lang w:val="es-ES"/>
        </w:rPr>
        <w:t>2001</w:t>
      </w:r>
      <w:r>
        <w:rPr>
          <w:rFonts w:hint="eastAsia"/>
          <w:lang w:val="es-ES"/>
        </w:rPr>
        <w:t>年</w:t>
      </w:r>
      <w:r>
        <w:rPr>
          <w:rFonts w:hint="eastAsia"/>
          <w:lang w:val="es-ES"/>
        </w:rPr>
        <w:t>3</w:t>
      </w:r>
      <w:r>
        <w:rPr>
          <w:rFonts w:hint="eastAsia"/>
          <w:lang w:val="es-ES"/>
        </w:rPr>
        <w:t>月开通了</w:t>
      </w:r>
      <w:r>
        <w:rPr>
          <w:rFonts w:hint="eastAsia"/>
          <w:lang w:val="es-ES"/>
        </w:rPr>
        <w:t>800</w:t>
      </w:r>
      <w:r>
        <w:rPr>
          <w:rFonts w:hint="eastAsia"/>
          <w:lang w:val="es-ES"/>
        </w:rPr>
        <w:t>工作热线，为劳动权利受到侵犯的妇女提供了一个申诉渠道，方便她们向劳动和社会保障部直接递交申诉或提出咨询要求。该热线设置在劳动和社会保障部劳动关系管理处，由专职人员负责接听。该服务和公益广告一样，关注妇女状况，使她们在行使公民权利的同时</w:t>
      </w:r>
      <w:r>
        <w:rPr>
          <w:rFonts w:hint="eastAsia"/>
          <w:lang w:val="es-ES"/>
        </w:rPr>
        <w:t>，能够更好地使用哥斯达黎加政府为保障其权利的正确行使而提供的方便</w:t>
      </w:r>
      <w:r>
        <w:rPr>
          <w:rFonts w:hint="eastAsia"/>
        </w:rPr>
        <w:t>，而</w:t>
      </w:r>
      <w:r>
        <w:rPr>
          <w:rFonts w:hint="eastAsia"/>
          <w:lang w:val="es-ES"/>
        </w:rPr>
        <w:t>劳动部、劳动法庭、居民保护组织和宪法法庭都已对这些权利做出了相应规定。这项关于女性劳动权益的运动提出的口号是：不要拒绝你们的权利，应该要求权利！</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对劳动部男女工作人员进行职业培训。前两项活动让男的劳动监察员以及市级女性办公室的员工在对女性的劳动状况进行调查和分析时能够更好地进行沟通。随后，</w:t>
      </w:r>
      <w:r>
        <w:rPr>
          <w:rFonts w:hint="eastAsia"/>
          <w:lang w:val="es-ES"/>
        </w:rPr>
        <w:t>2001</w:t>
      </w:r>
      <w:r>
        <w:rPr>
          <w:rFonts w:hint="eastAsia"/>
          <w:lang w:val="es-ES"/>
        </w:rPr>
        <w:t>年</w:t>
      </w:r>
      <w:r>
        <w:rPr>
          <w:rFonts w:hint="eastAsia"/>
          <w:lang w:val="es-ES"/>
        </w:rPr>
        <w:t>12</w:t>
      </w:r>
      <w:r>
        <w:rPr>
          <w:rFonts w:hint="eastAsia"/>
          <w:lang w:val="es-ES"/>
        </w:rPr>
        <w:t>月，组织了两次为期三天关于“劳动权益和性别”的培训，共有</w:t>
      </w:r>
      <w:r>
        <w:rPr>
          <w:rFonts w:hint="eastAsia"/>
          <w:lang w:val="es-ES"/>
        </w:rPr>
        <w:t>45</w:t>
      </w:r>
      <w:r>
        <w:rPr>
          <w:rFonts w:hint="eastAsia"/>
          <w:lang w:val="es-ES"/>
        </w:rPr>
        <w:t>人参加。劳动和社会保障部、国家妇女研究所和国际劳动组织参加了上述所有活动，拉美防</w:t>
      </w:r>
      <w:r>
        <w:rPr>
          <w:rFonts w:hint="eastAsia"/>
          <w:lang w:val="es-ES"/>
        </w:rPr>
        <w:t>犯所则参加了后两项活动。</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《两性平等劳动实践手册》。</w:t>
      </w:r>
      <w:r>
        <w:rPr>
          <w:rFonts w:hint="eastAsia"/>
          <w:lang w:val="es-ES"/>
        </w:rPr>
        <w:t>2001</w:t>
      </w:r>
      <w:r>
        <w:rPr>
          <w:rFonts w:hint="eastAsia"/>
          <w:lang w:val="es-ES"/>
        </w:rPr>
        <w:t>年期间，推动开展了一项名为“两性平等劳动实践”的调查，并将其作为手册制订方案的主要资料，为那些希望获得两性平等标记的企业提供评判标准。前后共走访了国内</w:t>
      </w:r>
      <w:r>
        <w:rPr>
          <w:rFonts w:hint="eastAsia"/>
          <w:lang w:val="es-ES"/>
        </w:rPr>
        <w:t>37</w:t>
      </w:r>
      <w:r>
        <w:rPr>
          <w:rFonts w:hint="eastAsia"/>
          <w:lang w:val="es-ES"/>
        </w:rPr>
        <w:t>家企业的人力资源经理和相关领导。上述活动的结果就是于</w:t>
      </w:r>
      <w:r>
        <w:rPr>
          <w:rFonts w:hint="eastAsia"/>
          <w:lang w:val="es-ES"/>
        </w:rPr>
        <w:t>2002</w:t>
      </w:r>
      <w:r>
        <w:rPr>
          <w:rFonts w:hint="eastAsia"/>
          <w:lang w:val="es-ES"/>
        </w:rPr>
        <w:t>年</w:t>
      </w:r>
      <w:r>
        <w:rPr>
          <w:rFonts w:hint="eastAsia"/>
          <w:lang w:val="es-ES"/>
        </w:rPr>
        <w:t>3</w:t>
      </w:r>
      <w:r>
        <w:rPr>
          <w:rFonts w:hint="eastAsia"/>
          <w:lang w:val="es-ES"/>
        </w:rPr>
        <w:t>月</w:t>
      </w:r>
      <w:r>
        <w:rPr>
          <w:rFonts w:hint="eastAsia"/>
          <w:lang w:val="es-ES"/>
        </w:rPr>
        <w:t>7</w:t>
      </w:r>
      <w:r>
        <w:rPr>
          <w:rFonts w:hint="eastAsia"/>
          <w:lang w:val="es-ES"/>
        </w:rPr>
        <w:t>日出版了《两性平等劳动实践手册》，收录了各类企业近</w:t>
      </w:r>
      <w:r>
        <w:rPr>
          <w:rFonts w:hint="eastAsia"/>
          <w:lang w:val="es-ES"/>
        </w:rPr>
        <w:t>80</w:t>
      </w:r>
      <w:r>
        <w:rPr>
          <w:rFonts w:hint="eastAsia"/>
          <w:lang w:val="es-ES"/>
        </w:rPr>
        <w:t>名相关人士的经验。该手册一共印制了</w:t>
      </w:r>
      <w:r>
        <w:rPr>
          <w:rFonts w:hint="eastAsia"/>
          <w:lang w:val="es-ES"/>
        </w:rPr>
        <w:t>7 000</w:t>
      </w:r>
      <w:r>
        <w:rPr>
          <w:rFonts w:hint="eastAsia"/>
          <w:lang w:val="es-ES"/>
        </w:rPr>
        <w:t>册，分发给各类企业的下属公司以及劳动和社会保障部的地区分支机构。该活动整个过程由某一跨部门机构提供技术支持，其中包括来自国家妇女研究</w:t>
      </w:r>
      <w:r>
        <w:rPr>
          <w:rFonts w:hint="eastAsia"/>
          <w:lang w:val="es-ES"/>
        </w:rPr>
        <w:t>所、劳动和社会保障部、国际劳工组织等机构的成员。经济方面则由美国劳动机构提供赞助。</w:t>
      </w:r>
    </w:p>
    <w:p w:rsidR="00000000" w:rsidRDefault="00CA422F">
      <w:pPr>
        <w:spacing w:after="240" w:line="360" w:lineRule="exact"/>
        <w:rPr>
          <w:rFonts w:hint="eastAsia"/>
          <w:lang w:val="es-ES"/>
        </w:rPr>
      </w:pPr>
      <w:r>
        <w:rPr>
          <w:rFonts w:hint="eastAsia"/>
          <w:lang w:val="es-ES"/>
        </w:rPr>
        <w:t>407</w:t>
      </w:r>
      <w:r>
        <w:rPr>
          <w:rFonts w:hint="eastAsia"/>
          <w:lang w:val="es-ES"/>
        </w:rPr>
        <w:t>．国家妇女研究所在同一领域采取的其它措施如下：</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两性平等标记计划：国家妇女研究所和哥斯达黎加国际竞争力倡导委员会（哥斯达黎加国际竞争力倡导委员会方案－</w:t>
      </w:r>
      <w:r>
        <w:rPr>
          <w:rFonts w:hint="eastAsia"/>
          <w:lang w:val="es-ES"/>
        </w:rPr>
        <w:t>3</w:t>
      </w:r>
      <w:r>
        <w:rPr>
          <w:rFonts w:hint="eastAsia"/>
          <w:lang w:val="es-ES"/>
        </w:rPr>
        <w:t>）于</w:t>
      </w:r>
      <w:r>
        <w:rPr>
          <w:rFonts w:hint="eastAsia"/>
          <w:lang w:val="es-ES"/>
        </w:rPr>
        <w:t>2002</w:t>
      </w:r>
      <w:r>
        <w:rPr>
          <w:rFonts w:hint="eastAsia"/>
          <w:lang w:val="es-ES"/>
        </w:rPr>
        <w:t>年</w:t>
      </w:r>
      <w:r>
        <w:rPr>
          <w:rFonts w:hint="eastAsia"/>
          <w:lang w:val="es-ES"/>
        </w:rPr>
        <w:t>2</w:t>
      </w:r>
      <w:r>
        <w:rPr>
          <w:rFonts w:hint="eastAsia"/>
          <w:lang w:val="es-ES"/>
        </w:rPr>
        <w:t>月</w:t>
      </w:r>
      <w:r>
        <w:rPr>
          <w:rFonts w:hint="eastAsia"/>
          <w:lang w:val="es-ES"/>
        </w:rPr>
        <w:t>15</w:t>
      </w:r>
      <w:r>
        <w:rPr>
          <w:rFonts w:hint="eastAsia"/>
          <w:lang w:val="es-ES"/>
        </w:rPr>
        <w:t>日制定了上述计划：“创建一个专门对哥斯达黎加各个生产行业进行两性平等标记的机构”。本计划的目的在于创建全国及国际承认的机构，旨在帮助哥斯达黎加个人和集体组织和企业改变态度和管理模式，在两性平等的前提下，加强整个国家人力和社会资源的投入。</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家务劳动入</w:t>
      </w:r>
      <w:r>
        <w:rPr>
          <w:rFonts w:hint="eastAsia"/>
          <w:lang w:val="es-ES"/>
        </w:rPr>
        <w:t>帐：劳动和社会保障部通过一项严格而细致的工作，对家务劳动的价值进行了计算。根据这项工作，女性的家务劳动的市场价值大致相当于国内生产总值的</w:t>
      </w:r>
      <w:r>
        <w:rPr>
          <w:rFonts w:hint="eastAsia"/>
          <w:lang w:val="es-ES"/>
        </w:rPr>
        <w:t>17</w:t>
      </w:r>
      <w:r>
        <w:rPr>
          <w:rFonts w:hint="eastAsia"/>
          <w:lang w:val="es-ES"/>
        </w:rPr>
        <w:t>％，而男性的家务劳动只占国内生产总值的</w:t>
      </w:r>
      <w:r>
        <w:rPr>
          <w:rFonts w:hint="eastAsia"/>
          <w:lang w:val="es-ES"/>
        </w:rPr>
        <w:t>1.2</w:t>
      </w:r>
      <w:r>
        <w:rPr>
          <w:rFonts w:hint="eastAsia"/>
          <w:lang w:val="es-ES"/>
        </w:rPr>
        <w:t>％。在评估标准方面，国家妇女研究所本着尽量依据并非评估而是来自第一手资料的具体数据的宗旨，创建一个跨部门机构，其目的主要在于推动时间使用调查的设计和使用以及帮助设计一项全国清算体系的外围账户，用以测算女性对国家发展所做的贡献。此外，该机构还从性别角度对家庭调查报告进行审查，使其调查结果显得更为客观。</w:t>
      </w:r>
    </w:p>
    <w:p w:rsidR="00000000" w:rsidRDefault="00CA422F">
      <w:pPr>
        <w:numPr>
          <w:ilvl w:val="0"/>
          <w:numId w:val="832"/>
        </w:numPr>
        <w:tabs>
          <w:tab w:val="clear" w:pos="720"/>
          <w:tab w:val="num" w:pos="840"/>
        </w:tabs>
        <w:spacing w:after="240" w:line="360" w:lineRule="exact"/>
        <w:ind w:left="840"/>
        <w:rPr>
          <w:rFonts w:hint="eastAsia"/>
        </w:rPr>
      </w:pPr>
      <w:r>
        <w:rPr>
          <w:rFonts w:hint="eastAsia"/>
          <w:lang w:val="es-ES"/>
        </w:rPr>
        <w:t>就业信息、指导和协调。根据</w:t>
      </w:r>
      <w:r>
        <w:rPr>
          <w:rFonts w:hint="eastAsia"/>
          <w:lang w:val="es-ES"/>
        </w:rPr>
        <w:t>劳动和社会保障部</w:t>
      </w:r>
      <w:r>
        <w:rPr>
          <w:rFonts w:hint="eastAsia"/>
          <w:lang w:val="es-ES"/>
        </w:rPr>
        <w:t>29219</w:t>
      </w:r>
      <w:r>
        <w:rPr>
          <w:rFonts w:hint="eastAsia"/>
          <w:lang w:val="es-ES"/>
        </w:rPr>
        <w:t>号法令，制定了“国家就业信息、指导和协调制度”，其职责便是推行一项同名的国家政策。该制度的规定来自各个机构，如劳动和社会保障部（负责机构）、国家妇女研究所、公共教育部、</w:t>
      </w:r>
      <w:r>
        <w:rPr>
          <w:rFonts w:hint="eastAsia"/>
        </w:rPr>
        <w:t>国家职业学院、全国教育贷款委员会、</w:t>
      </w:r>
      <w:r>
        <w:rPr>
          <w:rFonts w:hint="eastAsia"/>
          <w:lang w:val="es-ES"/>
        </w:rPr>
        <w:t>哥斯达黎加职业联合会及私企协会</w:t>
      </w:r>
      <w:r>
        <w:rPr>
          <w:rFonts w:hint="eastAsia"/>
        </w:rPr>
        <w:t>、工会、预科学校、技术教育研究和提高中心、公共服务、全国安居委员会、市政府以及公立大学等。国家妇女研究所参与了各类劳动机构，督促它们在开展任何行动和制订任何战略中都采用性别观点。</w:t>
      </w:r>
    </w:p>
    <w:p w:rsidR="00000000" w:rsidRDefault="00CA422F">
      <w:pPr>
        <w:spacing w:after="240" w:line="360" w:lineRule="exact"/>
        <w:rPr>
          <w:rFonts w:hint="eastAsia"/>
        </w:rPr>
      </w:pPr>
      <w:r>
        <w:rPr>
          <w:rFonts w:hint="eastAsia"/>
        </w:rPr>
        <w:t>408</w:t>
      </w:r>
      <w:r>
        <w:rPr>
          <w:rFonts w:hint="eastAsia"/>
        </w:rPr>
        <w:t>．另一方面，在国家妇女研究所行政负责机构和妇女状况负责人的提议和协商</w:t>
      </w:r>
      <w:r>
        <w:rPr>
          <w:rFonts w:hint="eastAsia"/>
        </w:rPr>
        <w:t>的基础上，在国务院的领导下，对妇女发放贷款作了特殊规定，使国立银行能够调动各种资源，大力支持微型和小型企业，为它们在本生产行业中发展创造各类有利条件（国家妇女研究所，账目结算……，</w:t>
      </w:r>
      <w:r>
        <w:rPr>
          <w:rFonts w:hint="eastAsia"/>
        </w:rPr>
        <w:t>2000</w:t>
      </w:r>
      <w:r>
        <w:rPr>
          <w:rFonts w:hint="eastAsia"/>
        </w:rPr>
        <w:t>年）。此外，国家妇女研究所还在以下两个方面作了不少努力：加强传统的信贷方式，让女性也可以获得贷款；创建专门关注女性信贷及其生产投资需求的特殊信贷部门（国家妇女研究所，账目结算……，</w:t>
      </w:r>
      <w:r>
        <w:rPr>
          <w:rFonts w:hint="eastAsia"/>
        </w:rPr>
        <w:t>2000</w:t>
      </w:r>
      <w:r>
        <w:rPr>
          <w:rFonts w:hint="eastAsia"/>
        </w:rPr>
        <w:t>年）。</w:t>
      </w:r>
    </w:p>
    <w:p w:rsidR="00000000" w:rsidRDefault="00CA422F">
      <w:pPr>
        <w:spacing w:after="240" w:line="360" w:lineRule="exact"/>
        <w:rPr>
          <w:rFonts w:hint="eastAsia"/>
        </w:rPr>
      </w:pPr>
      <w:r>
        <w:rPr>
          <w:rFonts w:hint="eastAsia"/>
        </w:rPr>
        <w:t>409</w:t>
      </w:r>
      <w:r>
        <w:rPr>
          <w:rFonts w:hint="eastAsia"/>
        </w:rPr>
        <w:t>．为缩减收入和就业机遇中存在的男女差距，制订常规经济行业吸纳女性的就业政策迫在眉睫。与此同时，作为上述努力的一部分，还应该</w:t>
      </w:r>
      <w:r>
        <w:rPr>
          <w:rFonts w:hint="eastAsia"/>
        </w:rPr>
        <w:t>鼓励企业的发展，以便能够容纳和维持所雇佣的女性员工的数目不断增长，同时帮助女性向高收入的职位晋升，并根据企业金字塔形的职位设置方式，为她们提供更多参加职业培训和担任重要职位的机会。</w:t>
      </w:r>
    </w:p>
    <w:p w:rsidR="00000000" w:rsidRDefault="00CA422F">
      <w:pPr>
        <w:spacing w:after="240" w:line="360" w:lineRule="exact"/>
        <w:rPr>
          <w:rFonts w:hint="eastAsia"/>
        </w:rPr>
      </w:pPr>
      <w:r>
        <w:rPr>
          <w:rFonts w:hint="eastAsia"/>
        </w:rPr>
        <w:t>410</w:t>
      </w:r>
      <w:r>
        <w:rPr>
          <w:rFonts w:hint="eastAsia"/>
        </w:rPr>
        <w:t>．目前，不少妇女组织在国家妇女研究所的号召下，为了解和证实本报告而参加了咨询论坛。这些组织指出，在保护妇女劳动权益的立法方面虽然已经取得了不少进展，但事实上这些保护措施并未获得有效执行。在哥斯达黎加，虽然我们已经通过立法制订了不少保护妇女的法律，但是这些法律大多只是纸上谈兵。不少企业主和雇主认为——不少时候都处于宪法法庭决</w:t>
      </w:r>
      <w:r>
        <w:rPr>
          <w:rFonts w:hint="eastAsia"/>
        </w:rPr>
        <w:t>议的庇护之下——正是所谓的保护法将妇女逐出了就业市场。事实上，目前在就业领域仍然存在着不同方式的性别歧视，这就要求企业主和雇主结合社会经济因素，尊重妇女的劳动权益；同样需要创建一个专门机构——国家和私人企业共同参与，负责分配执行现行法律所需要的费用。</w:t>
      </w:r>
    </w:p>
    <w:p w:rsidR="00000000" w:rsidRDefault="00CA422F">
      <w:pPr>
        <w:spacing w:after="240" w:line="360" w:lineRule="exact"/>
        <w:rPr>
          <w:rFonts w:hint="eastAsia"/>
        </w:rPr>
      </w:pPr>
      <w:r>
        <w:rPr>
          <w:rFonts w:hint="eastAsia"/>
        </w:rPr>
        <w:t>411</w:t>
      </w:r>
      <w:r>
        <w:rPr>
          <w:rFonts w:hint="eastAsia"/>
        </w:rPr>
        <w:t>．为保障女性就业的新机会和高质量，拓宽女性平等进入劳动力市场的机会，需要刻不容缓地采取积极措施。此外，为女性在劳动力市场极具竞争力的职业和领域、技术学院、国家职业学院以及各类公立和私立大学中的参与，做出女性比例不断增加的规定。同时，还应该推动一项“</w:t>
      </w:r>
      <w:r>
        <w:rPr>
          <w:rFonts w:hint="eastAsia"/>
          <w:lang w:val="es-ES"/>
        </w:rPr>
        <w:t>妇女新</w:t>
      </w:r>
      <w:r>
        <w:rPr>
          <w:rFonts w:hint="eastAsia"/>
          <w:lang w:val="es-ES"/>
        </w:rPr>
        <w:t>兴职业</w:t>
      </w:r>
      <w:r>
        <w:rPr>
          <w:rFonts w:hint="eastAsia"/>
        </w:rPr>
        <w:t>”计划，重点在于加强技术学院、各类学院、国家职业学院和各类大学的择业和从业指导，并将传统优良行业实行男女并收作为工作的主要目标之一。</w:t>
      </w:r>
    </w:p>
    <w:p w:rsidR="00000000" w:rsidRDefault="00CA422F">
      <w:pPr>
        <w:spacing w:after="240" w:line="360" w:lineRule="exact"/>
        <w:rPr>
          <w:rFonts w:hint="eastAsia"/>
        </w:rPr>
      </w:pPr>
      <w:r>
        <w:rPr>
          <w:rFonts w:hint="eastAsia"/>
        </w:rPr>
        <w:t>412</w:t>
      </w:r>
      <w:r>
        <w:rPr>
          <w:rFonts w:hint="eastAsia"/>
        </w:rPr>
        <w:t>．此外，还应该建立一个专门的机构，以保障妇女能够长期参与诸如奖学金、支持服务和其它奖励措施等领域。</w:t>
      </w:r>
    </w:p>
    <w:p w:rsidR="00000000" w:rsidRDefault="00CA422F">
      <w:pPr>
        <w:spacing w:beforeLines="50" w:before="120" w:after="360" w:line="360" w:lineRule="exact"/>
        <w:jc w:val="center"/>
        <w:rPr>
          <w:rFonts w:eastAsia="SimHei" w:hint="eastAsia"/>
          <w:sz w:val="24"/>
        </w:rPr>
      </w:pPr>
      <w:r>
        <w:br w:type="page"/>
      </w:r>
      <w:r>
        <w:rPr>
          <w:rFonts w:eastAsia="SimHei" w:hint="eastAsia"/>
          <w:sz w:val="24"/>
        </w:rPr>
        <w:t>第十二条：获得保健服务的同等权利</w:t>
      </w:r>
    </w:p>
    <w:p w:rsidR="00000000" w:rsidRDefault="00CA422F">
      <w:pPr>
        <w:pStyle w:val="21"/>
        <w:spacing w:beforeLines="0" w:before="0" w:afterLines="0" w:after="240" w:line="360" w:lineRule="exact"/>
        <w:rPr>
          <w:rFonts w:eastAsia="SimHei" w:hint="eastAsia"/>
          <w:b w:val="0"/>
          <w:szCs w:val="20"/>
        </w:rPr>
      </w:pPr>
      <w:r>
        <w:rPr>
          <w:rFonts w:eastAsia="SimHei" w:hint="eastAsia"/>
          <w:b w:val="0"/>
          <w:szCs w:val="20"/>
        </w:rPr>
        <w:t>第十二条：</w:t>
      </w:r>
    </w:p>
    <w:p w:rsidR="00000000" w:rsidRDefault="00CA422F">
      <w:pPr>
        <w:spacing w:after="240" w:line="360" w:lineRule="exact"/>
        <w:rPr>
          <w:rFonts w:ascii="KaiTi_GB2312" w:eastAsia="KaiTi_GB2312" w:hint="eastAsia"/>
        </w:rPr>
      </w:pPr>
      <w:r>
        <w:rPr>
          <w:rFonts w:ascii="KaiTi_GB2312" w:eastAsia="KaiTi_GB2312"/>
        </w:rPr>
        <w:t>1</w:t>
      </w:r>
      <w:r>
        <w:rPr>
          <w:rFonts w:ascii="KaiTi_GB2312" w:eastAsia="KaiTi_GB2312"/>
        </w:rPr>
        <w:t>．缔约各国应采取一切适当措施以消除在保健方面对妇女的歧视，保证她们在男女平等的基础上取得各种保健服务，包括有关计划生育的保健服务。</w:t>
      </w:r>
      <w:r>
        <w:rPr>
          <w:rFonts w:ascii="KaiTi_GB2312" w:eastAsia="KaiTi_GB2312"/>
        </w:rPr>
        <w:t> </w:t>
      </w:r>
      <w:r>
        <w:rPr>
          <w:rFonts w:ascii="KaiTi_GB2312" w:eastAsia="KaiTi_GB2312"/>
        </w:rPr>
        <w:br/>
      </w:r>
      <w:r>
        <w:rPr>
          <w:rFonts w:ascii="KaiTi_GB2312" w:eastAsia="KaiTi_GB2312"/>
        </w:rPr>
        <w:t> </w:t>
      </w:r>
      <w:r>
        <w:rPr>
          <w:rFonts w:ascii="KaiTi_GB2312" w:eastAsia="KaiTi_GB2312"/>
        </w:rPr>
        <w:t>2</w:t>
      </w:r>
      <w:r>
        <w:rPr>
          <w:rFonts w:ascii="KaiTi_GB2312" w:eastAsia="KaiTi_GB2312" w:hint="eastAsia"/>
        </w:rPr>
        <w:t>。</w:t>
      </w:r>
      <w:r>
        <w:rPr>
          <w:rFonts w:ascii="KaiTi_GB2312" w:eastAsia="KaiTi_GB2312"/>
        </w:rPr>
        <w:t>尽管有本条第</w:t>
      </w:r>
      <w:r>
        <w:rPr>
          <w:rFonts w:ascii="KaiTi_GB2312" w:eastAsia="KaiTi_GB2312"/>
        </w:rPr>
        <w:t>1</w:t>
      </w:r>
      <w:r>
        <w:rPr>
          <w:rFonts w:ascii="KaiTi_GB2312" w:eastAsia="KaiTi_GB2312"/>
        </w:rPr>
        <w:t>款的规定，缔约各国应保证为妇女提供有关怀孕、分娩和产后期间的适</w:t>
      </w:r>
      <w:r>
        <w:rPr>
          <w:rFonts w:ascii="KaiTi_GB2312" w:eastAsia="KaiTi_GB2312"/>
        </w:rPr>
        <w:t>当服务，于必要时给予免费服务，并保证在怀孕和哺乳期间得到充分营养。</w:t>
      </w:r>
      <w:r>
        <w:rPr>
          <w:rFonts w:ascii="KaiTi_GB2312" w:eastAsia="KaiTi_GB2312"/>
        </w:rPr>
        <w:t> </w:t>
      </w:r>
    </w:p>
    <w:p w:rsidR="00000000" w:rsidRDefault="00CA422F">
      <w:pPr>
        <w:spacing w:after="240" w:line="360" w:lineRule="exact"/>
        <w:jc w:val="center"/>
        <w:rPr>
          <w:rFonts w:eastAsia="SimHei" w:hint="eastAsia"/>
          <w:sz w:val="24"/>
        </w:rPr>
      </w:pPr>
      <w:r>
        <w:rPr>
          <w:rFonts w:eastAsia="SimHei" w:hint="eastAsia"/>
          <w:sz w:val="24"/>
        </w:rPr>
        <w:t>获得保健服务的平等权利</w:t>
      </w:r>
    </w:p>
    <w:p w:rsidR="00000000" w:rsidRDefault="00CA422F">
      <w:pPr>
        <w:spacing w:after="240" w:line="360" w:lineRule="exact"/>
        <w:rPr>
          <w:rFonts w:hint="eastAsia"/>
        </w:rPr>
      </w:pPr>
      <w:r>
        <w:rPr>
          <w:rFonts w:hint="eastAsia"/>
        </w:rPr>
        <w:t>413</w:t>
      </w:r>
      <w:r>
        <w:rPr>
          <w:rFonts w:hint="eastAsia"/>
        </w:rPr>
        <w:t>．哥斯达黎加在改善妇女保健服务方面取得了突出成绩。每一千名新生婴儿中只有</w:t>
      </w:r>
      <w:r>
        <w:rPr>
          <w:rFonts w:hint="eastAsia"/>
        </w:rPr>
        <w:t>10.2</w:t>
      </w:r>
      <w:r>
        <w:rPr>
          <w:rFonts w:hint="eastAsia"/>
        </w:rPr>
        <w:t>个死亡，在某种程度上，确保哥斯达黎加的人均寿命达到发达国家的水平。事实上，女性的平均寿命明显高于男性。因此，九十年代男女平均寿命的差距有所增加，</w:t>
      </w:r>
      <w:r>
        <w:rPr>
          <w:rFonts w:hint="eastAsia"/>
        </w:rPr>
        <w:t>2000</w:t>
      </w:r>
      <w:r>
        <w:rPr>
          <w:rFonts w:hint="eastAsia"/>
        </w:rPr>
        <w:t>年更是增至</w:t>
      </w:r>
      <w:r>
        <w:rPr>
          <w:rFonts w:hint="eastAsia"/>
        </w:rPr>
        <w:t>5</w:t>
      </w:r>
      <w:r>
        <w:t>.</w:t>
      </w:r>
      <w:r>
        <w:rPr>
          <w:rFonts w:hint="eastAsia"/>
        </w:rPr>
        <w:t>4</w:t>
      </w:r>
      <w:r>
        <w:rPr>
          <w:rFonts w:hint="eastAsia"/>
        </w:rPr>
        <w:t>岁（女性的平均寿命为</w:t>
      </w:r>
      <w:r>
        <w:rPr>
          <w:rFonts w:hint="eastAsia"/>
        </w:rPr>
        <w:t>80</w:t>
      </w:r>
      <w:r>
        <w:t>.</w:t>
      </w:r>
      <w:r>
        <w:rPr>
          <w:rFonts w:hint="eastAsia"/>
        </w:rPr>
        <w:t>24</w:t>
      </w:r>
      <w:r>
        <w:rPr>
          <w:rFonts w:hint="eastAsia"/>
        </w:rPr>
        <w:t>岁）（民族国家计划，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414</w:t>
      </w:r>
      <w:r>
        <w:rPr>
          <w:rFonts w:hint="eastAsia"/>
        </w:rPr>
        <w:t>．同样，女性的死亡率也低于男性。</w:t>
      </w:r>
      <w:r>
        <w:rPr>
          <w:rFonts w:hint="eastAsia"/>
        </w:rPr>
        <w:t>2000</w:t>
      </w:r>
      <w:r>
        <w:rPr>
          <w:rFonts w:hint="eastAsia"/>
        </w:rPr>
        <w:t>年，男女的死亡比例为</w:t>
      </w:r>
      <w:r>
        <w:rPr>
          <w:rFonts w:hint="eastAsia"/>
        </w:rPr>
        <w:t>134</w:t>
      </w:r>
      <w:r>
        <w:rPr>
          <w:rFonts w:hint="eastAsia"/>
        </w:rPr>
        <w:t>比</w:t>
      </w:r>
      <w:r>
        <w:rPr>
          <w:rFonts w:hint="eastAsia"/>
        </w:rPr>
        <w:t>100</w:t>
      </w:r>
      <w:r>
        <w:rPr>
          <w:rFonts w:hint="eastAsia"/>
        </w:rPr>
        <w:t>。引起双方死亡的最</w:t>
      </w:r>
      <w:r>
        <w:rPr>
          <w:rFonts w:hint="eastAsia"/>
        </w:rPr>
        <w:t>主要原因是循环系统疾病，其次是肿瘤，特别是胃部肿瘤。</w:t>
      </w:r>
      <w:r>
        <w:rPr>
          <w:rFonts w:hint="eastAsia"/>
        </w:rPr>
        <w:t>2000</w:t>
      </w:r>
      <w:r>
        <w:rPr>
          <w:rFonts w:hint="eastAsia"/>
        </w:rPr>
        <w:t>年，平均每十万名男性中约有</w:t>
      </w:r>
      <w:r>
        <w:rPr>
          <w:rFonts w:hint="eastAsia"/>
        </w:rPr>
        <w:t>17</w:t>
      </w:r>
      <w:r>
        <w:t>.</w:t>
      </w:r>
      <w:r>
        <w:rPr>
          <w:rFonts w:hint="eastAsia"/>
        </w:rPr>
        <w:t>6</w:t>
      </w:r>
      <w:r>
        <w:rPr>
          <w:rFonts w:hint="eastAsia"/>
        </w:rPr>
        <w:t>人死于胃部肿瘤，而平均每十万名女性中只有</w:t>
      </w:r>
      <w:r>
        <w:rPr>
          <w:rFonts w:hint="eastAsia"/>
        </w:rPr>
        <w:t>10</w:t>
      </w:r>
      <w:r>
        <w:t>.</w:t>
      </w:r>
      <w:r>
        <w:rPr>
          <w:rFonts w:hint="eastAsia"/>
        </w:rPr>
        <w:t>7</w:t>
      </w:r>
      <w:r>
        <w:rPr>
          <w:rFonts w:hint="eastAsia"/>
        </w:rPr>
        <w:t>人死于上述疾病（民族国家计划，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415</w:t>
      </w:r>
      <w:r>
        <w:rPr>
          <w:rFonts w:hint="eastAsia"/>
        </w:rPr>
        <w:t>．造成男女双方死亡的特殊原因主要是局部缺血和心脑血管疾病（卫生部，</w:t>
      </w:r>
      <w:r>
        <w:rPr>
          <w:rFonts w:hint="eastAsia"/>
        </w:rPr>
        <w:t>2001</w:t>
      </w:r>
      <w:r>
        <w:rPr>
          <w:rFonts w:hint="eastAsia"/>
        </w:rPr>
        <w:t>年）。虽然造成大量死亡的循环系统疾病最近几年呈现微弱的上升趋势，但是，患有循环系统疾病的女性人数却出现了一定程度的下降，</w:t>
      </w:r>
      <w:r>
        <w:rPr>
          <w:rFonts w:hint="eastAsia"/>
        </w:rPr>
        <w:t>1992</w:t>
      </w:r>
      <w:r>
        <w:rPr>
          <w:rFonts w:hint="eastAsia"/>
        </w:rPr>
        <w:t>年平均每十万名患者中有</w:t>
      </w:r>
      <w:r>
        <w:rPr>
          <w:rFonts w:hint="eastAsia"/>
        </w:rPr>
        <w:t>111</w:t>
      </w:r>
      <w:r>
        <w:rPr>
          <w:rFonts w:hint="eastAsia"/>
        </w:rPr>
        <w:t>人死于该病，到</w:t>
      </w:r>
      <w:r>
        <w:rPr>
          <w:rFonts w:hint="eastAsia"/>
        </w:rPr>
        <w:t>1997</w:t>
      </w:r>
      <w:r>
        <w:rPr>
          <w:rFonts w:hint="eastAsia"/>
        </w:rPr>
        <w:t>年则下降到</w:t>
      </w:r>
      <w:r>
        <w:rPr>
          <w:rFonts w:hint="eastAsia"/>
        </w:rPr>
        <w:t>103</w:t>
      </w:r>
      <w:r>
        <w:rPr>
          <w:rFonts w:hint="eastAsia"/>
        </w:rPr>
        <w:t>人。糖尿病也是造成男女双方，特别是女性死亡的主要因</w:t>
      </w:r>
      <w:r>
        <w:rPr>
          <w:rFonts w:hint="eastAsia"/>
        </w:rPr>
        <w:t>素之一。女性糖尿病患者的死亡率由</w:t>
      </w:r>
      <w:r>
        <w:rPr>
          <w:rFonts w:hint="eastAsia"/>
        </w:rPr>
        <w:t>1990</w:t>
      </w:r>
      <w:r>
        <w:rPr>
          <w:rFonts w:hint="eastAsia"/>
        </w:rPr>
        <w:t>年平均每十万名中</w:t>
      </w:r>
      <w:r>
        <w:rPr>
          <w:rFonts w:hint="eastAsia"/>
        </w:rPr>
        <w:t>10</w:t>
      </w:r>
      <w:r>
        <w:t>.</w:t>
      </w:r>
      <w:r>
        <w:rPr>
          <w:rFonts w:hint="eastAsia"/>
        </w:rPr>
        <w:t>56</w:t>
      </w:r>
      <w:r>
        <w:rPr>
          <w:rFonts w:hint="eastAsia"/>
        </w:rPr>
        <w:t>人上升到</w:t>
      </w:r>
      <w:r>
        <w:rPr>
          <w:rFonts w:hint="eastAsia"/>
        </w:rPr>
        <w:t>1997</w:t>
      </w:r>
      <w:r>
        <w:rPr>
          <w:rFonts w:hint="eastAsia"/>
        </w:rPr>
        <w:t>年的</w:t>
      </w:r>
      <w:r>
        <w:rPr>
          <w:rFonts w:hint="eastAsia"/>
        </w:rPr>
        <w:t>15</w:t>
      </w:r>
      <w:r>
        <w:t>.</w:t>
      </w:r>
      <w:r>
        <w:rPr>
          <w:rFonts w:hint="eastAsia"/>
        </w:rPr>
        <w:t>29</w:t>
      </w:r>
      <w:r>
        <w:rPr>
          <w:rFonts w:hint="eastAsia"/>
        </w:rPr>
        <w:t>人。另一方面，女性糖尿病患者在全体女性人口中的比例由</w:t>
      </w:r>
      <w:r>
        <w:rPr>
          <w:rFonts w:hint="eastAsia"/>
        </w:rPr>
        <w:t>2</w:t>
      </w:r>
      <w:r>
        <w:t>.</w:t>
      </w:r>
      <w:r>
        <w:rPr>
          <w:rFonts w:hint="eastAsia"/>
        </w:rPr>
        <w:t>28%</w:t>
      </w:r>
      <w:r>
        <w:rPr>
          <w:rFonts w:hint="eastAsia"/>
        </w:rPr>
        <w:t>（</w:t>
      </w:r>
      <w:r>
        <w:rPr>
          <w:rFonts w:hint="eastAsia"/>
        </w:rPr>
        <w:t>1987</w:t>
      </w:r>
      <w:r>
        <w:rPr>
          <w:rFonts w:hint="eastAsia"/>
        </w:rPr>
        <w:t>年）上升到了</w:t>
      </w:r>
      <w:r>
        <w:rPr>
          <w:rFonts w:hint="eastAsia"/>
        </w:rPr>
        <w:t>3</w:t>
      </w:r>
      <w:r>
        <w:t>.</w:t>
      </w:r>
      <w:r>
        <w:rPr>
          <w:rFonts w:hint="eastAsia"/>
        </w:rPr>
        <w:t>81%</w:t>
      </w:r>
      <w:r>
        <w:rPr>
          <w:rFonts w:hint="eastAsia"/>
        </w:rPr>
        <w:t>（</w:t>
      </w:r>
      <w:r>
        <w:rPr>
          <w:rFonts w:hint="eastAsia"/>
        </w:rPr>
        <w:t>1997</w:t>
      </w:r>
      <w:r>
        <w:rPr>
          <w:rFonts w:hint="eastAsia"/>
        </w:rPr>
        <w:t>年）（哥斯达黎加社会保险公司，</w:t>
      </w:r>
      <w:r>
        <w:rPr>
          <w:rFonts w:hint="eastAsia"/>
        </w:rPr>
        <w:t>1999</w:t>
      </w:r>
      <w:r>
        <w:rPr>
          <w:rFonts w:hint="eastAsia"/>
        </w:rPr>
        <w:t>年）。这一趋势大概同患者的性别不无关系（饮食、日常活动和劳动力市场参与等方面的变化）。</w:t>
      </w:r>
    </w:p>
    <w:p w:rsidR="00000000" w:rsidRDefault="00CA422F">
      <w:pPr>
        <w:spacing w:after="240" w:line="360" w:lineRule="exact"/>
        <w:rPr>
          <w:rFonts w:hint="eastAsia"/>
        </w:rPr>
      </w:pPr>
      <w:r>
        <w:rPr>
          <w:rFonts w:hint="eastAsia"/>
        </w:rPr>
        <w:t>416</w:t>
      </w:r>
      <w:r>
        <w:rPr>
          <w:rFonts w:hint="eastAsia"/>
        </w:rPr>
        <w:t>．至于肿瘤方面，胃癌是造成人类死亡的主要原因。对男女双方而言，胃癌都是最大的死亡原因。</w:t>
      </w:r>
      <w:r>
        <w:rPr>
          <w:rFonts w:hint="eastAsia"/>
        </w:rPr>
        <w:t>1999</w:t>
      </w:r>
      <w:r>
        <w:rPr>
          <w:rFonts w:hint="eastAsia"/>
        </w:rPr>
        <w:t>年，平均每十万名男性中就有</w:t>
      </w:r>
      <w:r>
        <w:rPr>
          <w:rFonts w:hint="eastAsia"/>
        </w:rPr>
        <w:t>17</w:t>
      </w:r>
      <w:r>
        <w:t>.</w:t>
      </w:r>
      <w:r>
        <w:rPr>
          <w:rFonts w:hint="eastAsia"/>
        </w:rPr>
        <w:t>6</w:t>
      </w:r>
      <w:r>
        <w:rPr>
          <w:rFonts w:hint="eastAsia"/>
        </w:rPr>
        <w:t>人因胃癌丧生。而</w:t>
      </w:r>
      <w:r>
        <w:rPr>
          <w:rFonts w:hint="eastAsia"/>
        </w:rPr>
        <w:t>1999</w:t>
      </w:r>
      <w:r>
        <w:rPr>
          <w:rFonts w:hint="eastAsia"/>
        </w:rPr>
        <w:t>年宫颈癌（造成女性死亡的主要</w:t>
      </w:r>
      <w:r>
        <w:rPr>
          <w:rFonts w:hint="eastAsia"/>
        </w:rPr>
        <w:t>原因）在平均每十万名女性中引起了</w:t>
      </w:r>
      <w:r>
        <w:rPr>
          <w:rFonts w:hint="eastAsia"/>
        </w:rPr>
        <w:t>9</w:t>
      </w:r>
      <w:r>
        <w:t>.</w:t>
      </w:r>
      <w:r>
        <w:rPr>
          <w:rFonts w:hint="eastAsia"/>
        </w:rPr>
        <w:t>3</w:t>
      </w:r>
      <w:r>
        <w:rPr>
          <w:rFonts w:hint="eastAsia"/>
        </w:rPr>
        <w:t>人死亡。</w:t>
      </w:r>
    </w:p>
    <w:p w:rsidR="00000000" w:rsidRDefault="00CA422F">
      <w:pPr>
        <w:spacing w:after="240" w:line="360" w:lineRule="exact"/>
        <w:rPr>
          <w:rFonts w:hint="eastAsia"/>
        </w:rPr>
      </w:pPr>
      <w:r>
        <w:rPr>
          <w:rFonts w:hint="eastAsia"/>
        </w:rPr>
        <w:t>417</w:t>
      </w:r>
      <w:r>
        <w:rPr>
          <w:rFonts w:hint="eastAsia"/>
        </w:rPr>
        <w:t>．全国营养调查显示，女性的肥胖随着年龄的增长而略有上升。年龄在</w:t>
      </w:r>
      <w:r>
        <w:rPr>
          <w:rFonts w:hint="eastAsia"/>
        </w:rPr>
        <w:t>20</w:t>
      </w:r>
      <w:r>
        <w:rPr>
          <w:rFonts w:hint="eastAsia"/>
        </w:rPr>
        <w:t>至</w:t>
      </w:r>
      <w:r>
        <w:rPr>
          <w:rFonts w:hint="eastAsia"/>
        </w:rPr>
        <w:t>59</w:t>
      </w:r>
      <w:r>
        <w:rPr>
          <w:rFonts w:hint="eastAsia"/>
        </w:rPr>
        <w:t>岁之间的肥胖女性从</w:t>
      </w:r>
      <w:r>
        <w:rPr>
          <w:rFonts w:hint="eastAsia"/>
        </w:rPr>
        <w:t>1982</w:t>
      </w:r>
      <w:r>
        <w:rPr>
          <w:rFonts w:hint="eastAsia"/>
        </w:rPr>
        <w:t>年的</w:t>
      </w:r>
      <w:r>
        <w:rPr>
          <w:rFonts w:hint="eastAsia"/>
        </w:rPr>
        <w:t>39</w:t>
      </w:r>
      <w:r>
        <w:t>.</w:t>
      </w:r>
      <w:r>
        <w:rPr>
          <w:rFonts w:hint="eastAsia"/>
        </w:rPr>
        <w:t>7%</w:t>
      </w:r>
      <w:r>
        <w:rPr>
          <w:rFonts w:hint="eastAsia"/>
        </w:rPr>
        <w:t>上升到了</w:t>
      </w:r>
      <w:r>
        <w:rPr>
          <w:rFonts w:hint="eastAsia"/>
        </w:rPr>
        <w:t>1996</w:t>
      </w:r>
      <w:r>
        <w:rPr>
          <w:rFonts w:hint="eastAsia"/>
        </w:rPr>
        <w:t>年的</w:t>
      </w:r>
      <w:r>
        <w:rPr>
          <w:rFonts w:hint="eastAsia"/>
        </w:rPr>
        <w:t>45</w:t>
      </w:r>
      <w:r>
        <w:t>.</w:t>
      </w:r>
      <w:r>
        <w:rPr>
          <w:rFonts w:hint="eastAsia"/>
        </w:rPr>
        <w:t>9%</w:t>
      </w:r>
      <w:r>
        <w:rPr>
          <w:rFonts w:hint="eastAsia"/>
        </w:rPr>
        <w:t>。年龄在</w:t>
      </w:r>
      <w:r>
        <w:rPr>
          <w:rFonts w:hint="eastAsia"/>
        </w:rPr>
        <w:t>20</w:t>
      </w:r>
      <w:r>
        <w:rPr>
          <w:rFonts w:hint="eastAsia"/>
        </w:rPr>
        <w:t>至</w:t>
      </w:r>
      <w:r>
        <w:rPr>
          <w:rFonts w:hint="eastAsia"/>
        </w:rPr>
        <w:t>44</w:t>
      </w:r>
      <w:r>
        <w:rPr>
          <w:rFonts w:hint="eastAsia"/>
        </w:rPr>
        <w:t>岁之间的女性，其肥胖率从</w:t>
      </w:r>
      <w:r>
        <w:rPr>
          <w:rFonts w:hint="eastAsia"/>
        </w:rPr>
        <w:t>34</w:t>
      </w:r>
      <w:r>
        <w:t>.</w:t>
      </w:r>
      <w:r>
        <w:rPr>
          <w:rFonts w:hint="eastAsia"/>
        </w:rPr>
        <w:t>6%</w:t>
      </w:r>
      <w:r>
        <w:rPr>
          <w:rFonts w:hint="eastAsia"/>
        </w:rPr>
        <w:t>上升到了</w:t>
      </w:r>
      <w:r>
        <w:rPr>
          <w:rFonts w:hint="eastAsia"/>
        </w:rPr>
        <w:t>45</w:t>
      </w:r>
      <w:r>
        <w:t>.</w:t>
      </w:r>
      <w:r>
        <w:rPr>
          <w:rFonts w:hint="eastAsia"/>
        </w:rPr>
        <w:t>9%</w:t>
      </w:r>
      <w:r>
        <w:rPr>
          <w:rFonts w:hint="eastAsia"/>
        </w:rPr>
        <w:t>，而年龄在</w:t>
      </w:r>
      <w:r>
        <w:rPr>
          <w:rFonts w:hint="eastAsia"/>
        </w:rPr>
        <w:t>45</w:t>
      </w:r>
      <w:r>
        <w:rPr>
          <w:rFonts w:hint="eastAsia"/>
        </w:rPr>
        <w:t>到</w:t>
      </w:r>
      <w:r>
        <w:rPr>
          <w:rFonts w:hint="eastAsia"/>
        </w:rPr>
        <w:t>59</w:t>
      </w:r>
      <w:r>
        <w:rPr>
          <w:rFonts w:hint="eastAsia"/>
        </w:rPr>
        <w:t>之间的女性，其肥胖率则从</w:t>
      </w:r>
      <w:r>
        <w:rPr>
          <w:rFonts w:hint="eastAsia"/>
        </w:rPr>
        <w:t>55</w:t>
      </w:r>
      <w:r>
        <w:t>.</w:t>
      </w:r>
      <w:r>
        <w:rPr>
          <w:rFonts w:hint="eastAsia"/>
        </w:rPr>
        <w:t>6%</w:t>
      </w:r>
      <w:r>
        <w:rPr>
          <w:rFonts w:hint="eastAsia"/>
        </w:rPr>
        <w:t>上升到了</w:t>
      </w:r>
      <w:r>
        <w:rPr>
          <w:rFonts w:hint="eastAsia"/>
        </w:rPr>
        <w:t>75%</w:t>
      </w:r>
      <w:r>
        <w:rPr>
          <w:rFonts w:hint="eastAsia"/>
        </w:rPr>
        <w:t>。女性的肥胖现象在城镇和农村中都很普遍，而且以前者为甚。卫生部提供的资料显示，</w:t>
      </w:r>
      <w:r>
        <w:rPr>
          <w:rFonts w:hint="eastAsia"/>
        </w:rPr>
        <w:t>1996</w:t>
      </w:r>
      <w:r>
        <w:rPr>
          <w:rFonts w:hint="eastAsia"/>
        </w:rPr>
        <w:t>至</w:t>
      </w:r>
      <w:r>
        <w:rPr>
          <w:rFonts w:hint="eastAsia"/>
        </w:rPr>
        <w:t>2000</w:t>
      </w:r>
      <w:r>
        <w:rPr>
          <w:rFonts w:hint="eastAsia"/>
        </w:rPr>
        <w:t>年间，农村女性的肥胖率从</w:t>
      </w:r>
      <w:r>
        <w:rPr>
          <w:rFonts w:hint="eastAsia"/>
        </w:rPr>
        <w:t>50</w:t>
      </w:r>
      <w:r>
        <w:t>.</w:t>
      </w:r>
      <w:r>
        <w:rPr>
          <w:rFonts w:hint="eastAsia"/>
        </w:rPr>
        <w:t>6%</w:t>
      </w:r>
      <w:r>
        <w:rPr>
          <w:rFonts w:hint="eastAsia"/>
        </w:rPr>
        <w:t>增加到了</w:t>
      </w:r>
      <w:r>
        <w:rPr>
          <w:rFonts w:hint="eastAsia"/>
        </w:rPr>
        <w:t>56</w:t>
      </w:r>
      <w:r>
        <w:t>.</w:t>
      </w:r>
      <w:r>
        <w:rPr>
          <w:rFonts w:hint="eastAsia"/>
        </w:rPr>
        <w:t>6%</w:t>
      </w:r>
      <w:r>
        <w:rPr>
          <w:rFonts w:hint="eastAsia"/>
        </w:rPr>
        <w:t>，而城镇在</w:t>
      </w:r>
      <w:r>
        <w:rPr>
          <w:rFonts w:hint="eastAsia"/>
        </w:rPr>
        <w:t>1996</w:t>
      </w:r>
      <w:r>
        <w:rPr>
          <w:rFonts w:hint="eastAsia"/>
        </w:rPr>
        <w:t>至</w:t>
      </w:r>
      <w:r>
        <w:rPr>
          <w:rFonts w:hint="eastAsia"/>
        </w:rPr>
        <w:t>1999</w:t>
      </w:r>
      <w:r>
        <w:rPr>
          <w:rFonts w:hint="eastAsia"/>
        </w:rPr>
        <w:t>年</w:t>
      </w:r>
      <w:r>
        <w:rPr>
          <w:rFonts w:hint="eastAsia"/>
        </w:rPr>
        <w:t>间，女性的肥胖率则从</w:t>
      </w:r>
      <w:r>
        <w:rPr>
          <w:rFonts w:hint="eastAsia"/>
        </w:rPr>
        <w:t>44</w:t>
      </w:r>
      <w:r>
        <w:t>.</w:t>
      </w:r>
      <w:r>
        <w:rPr>
          <w:rFonts w:hint="eastAsia"/>
        </w:rPr>
        <w:t>8%</w:t>
      </w:r>
      <w:r>
        <w:rPr>
          <w:rFonts w:hint="eastAsia"/>
        </w:rPr>
        <w:t>上升为</w:t>
      </w:r>
      <w:r>
        <w:rPr>
          <w:rFonts w:hint="eastAsia"/>
        </w:rPr>
        <w:t>56</w:t>
      </w:r>
      <w:r>
        <w:t>.</w:t>
      </w:r>
      <w:r>
        <w:rPr>
          <w:rFonts w:hint="eastAsia"/>
        </w:rPr>
        <w:t>4%</w:t>
      </w:r>
      <w:r>
        <w:rPr>
          <w:rFonts w:hint="eastAsia"/>
        </w:rPr>
        <w:t>（卫生部，</w:t>
      </w:r>
      <w:r>
        <w:rPr>
          <w:rFonts w:hint="eastAsia"/>
        </w:rPr>
        <w:t>2001</w:t>
      </w:r>
      <w:r>
        <w:rPr>
          <w:rFonts w:hint="eastAsia"/>
        </w:rPr>
        <w:t>年）。学前儿童的营养指数表明，女婴很少出现营养不良现象，然而，她们的体重经常超重，或者经常面临着过度肥胖的危险，这大概同她们缺乏体育锻炼和摄入过度的碳水化合物等有关。总之，不同的居住区域和不同的教育程度在健康指数方面存在着很大的区别，因为受教育程度较高、又居住在城镇的妇女的健康状况极为良好（民族国家计划，</w:t>
      </w:r>
      <w:r>
        <w:rPr>
          <w:rFonts w:hint="eastAsia"/>
        </w:rPr>
        <w:t>2001</w:t>
      </w:r>
      <w:r>
        <w:rPr>
          <w:rFonts w:hint="eastAsia"/>
        </w:rPr>
        <w:t>年）。</w:t>
      </w:r>
    </w:p>
    <w:p w:rsidR="00000000" w:rsidRDefault="00CA422F">
      <w:pPr>
        <w:spacing w:after="240" w:line="360" w:lineRule="exact"/>
        <w:rPr>
          <w:rFonts w:hint="eastAsia"/>
        </w:rPr>
      </w:pPr>
      <w:r>
        <w:rPr>
          <w:rFonts w:hint="eastAsia"/>
        </w:rPr>
        <w:t>418</w:t>
      </w:r>
      <w:r>
        <w:rPr>
          <w:rFonts w:hint="eastAsia"/>
        </w:rPr>
        <w:t>．另一个已经取得重大成绩的就是医疗服务的普及。国家生育卫生调查</w:t>
      </w:r>
      <w:r>
        <w:rPr>
          <w:rStyle w:val="FootnoteReference"/>
        </w:rPr>
        <w:footnoteReference w:customMarkFollows="1" w:id="23"/>
        <w:t>22</w:t>
      </w:r>
      <w:r>
        <w:rPr>
          <w:rFonts w:hint="eastAsia"/>
        </w:rPr>
        <w:t>显示，女性的医护治疗得到了很大普及，被调查的女性中</w:t>
      </w:r>
      <w:r>
        <w:rPr>
          <w:rFonts w:hint="eastAsia"/>
        </w:rPr>
        <w:t>97</w:t>
      </w:r>
      <w:r>
        <w:rPr>
          <w:rFonts w:hint="eastAsia"/>
        </w:rPr>
        <w:t>%</w:t>
      </w:r>
      <w:r>
        <w:rPr>
          <w:rFonts w:hint="eastAsia"/>
        </w:rPr>
        <w:t>的人数表示，曾在最近五年内接受过医疗服务。接受医疗服务之间的差异同受教育程度关系密切，最近一年中小学肄业的人只有</w:t>
      </w:r>
      <w:r>
        <w:rPr>
          <w:rFonts w:hint="eastAsia"/>
        </w:rPr>
        <w:t>74%</w:t>
      </w:r>
      <w:r>
        <w:rPr>
          <w:rFonts w:hint="eastAsia"/>
        </w:rPr>
        <w:t>接受了医疗服务，而拥有中学学历或曾经接受更高程度的教育的人中却有</w:t>
      </w:r>
      <w:r>
        <w:rPr>
          <w:rFonts w:hint="eastAsia"/>
        </w:rPr>
        <w:t>85%</w:t>
      </w:r>
      <w:r>
        <w:rPr>
          <w:rFonts w:hint="eastAsia"/>
        </w:rPr>
        <w:t>接受了医疗服务。</w:t>
      </w:r>
      <w:r>
        <w:rPr>
          <w:rFonts w:hint="eastAsia"/>
        </w:rPr>
        <w:t>1999</w:t>
      </w:r>
      <w:r>
        <w:rPr>
          <w:rFonts w:hint="eastAsia"/>
        </w:rPr>
        <w:t>年最严重的疾病仍然同</w:t>
      </w:r>
      <w:r>
        <w:rPr>
          <w:rFonts w:hint="eastAsia"/>
        </w:rPr>
        <w:t>1992</w:t>
      </w:r>
      <w:r>
        <w:rPr>
          <w:rFonts w:hint="eastAsia"/>
        </w:rPr>
        <w:t>年保持一致，但具体的数据却出现了下降趋势。静脉曲张成了最常见的疾病，随后是子宫感染和高血压等病症。这些疾病的发病率和肿瘤、子宫肌瘤和不育症等疾病的发病率极为相似。大部分病症中发病率较高的均为年龄较大的女性（</w:t>
      </w:r>
      <w:r>
        <w:rPr>
          <w:rFonts w:hint="eastAsia"/>
        </w:rPr>
        <w:t>30</w:t>
      </w:r>
      <w:r>
        <w:rPr>
          <w:rFonts w:hint="eastAsia"/>
        </w:rPr>
        <w:t>至</w:t>
      </w:r>
      <w:r>
        <w:rPr>
          <w:rFonts w:hint="eastAsia"/>
        </w:rPr>
        <w:t>44</w:t>
      </w:r>
      <w:r>
        <w:rPr>
          <w:rFonts w:hint="eastAsia"/>
        </w:rPr>
        <w:t>岁）。</w:t>
      </w:r>
    </w:p>
    <w:p w:rsidR="00000000" w:rsidRDefault="00CA422F">
      <w:pPr>
        <w:spacing w:after="240" w:line="360" w:lineRule="exact"/>
        <w:jc w:val="center"/>
        <w:rPr>
          <w:rFonts w:eastAsia="SimHei" w:hint="eastAsia"/>
          <w:sz w:val="24"/>
        </w:rPr>
      </w:pPr>
      <w:r>
        <w:rPr>
          <w:rFonts w:eastAsia="SimHei" w:hint="eastAsia"/>
          <w:sz w:val="24"/>
        </w:rPr>
        <w:t>性和生殖保健服务的相关规定和标准</w:t>
      </w:r>
    </w:p>
    <w:p w:rsidR="00000000" w:rsidRDefault="00CA422F">
      <w:pPr>
        <w:spacing w:after="240" w:line="360" w:lineRule="exact"/>
        <w:rPr>
          <w:rFonts w:hint="eastAsia"/>
        </w:rPr>
      </w:pPr>
      <w:r>
        <w:rPr>
          <w:rFonts w:hint="eastAsia"/>
        </w:rPr>
        <w:t>419</w:t>
      </w:r>
      <w:r>
        <w:rPr>
          <w:rFonts w:hint="eastAsia"/>
        </w:rPr>
        <w:t>．哥斯</w:t>
      </w:r>
      <w:r>
        <w:rPr>
          <w:rFonts w:hint="eastAsia"/>
        </w:rPr>
        <w:t>达黎加社会保险公司为女性的健康标准专门编写了一本规范手册，其中包括性和生殖保健服务的有关规定。这些规定主要是根据女性生殖的生理过程的相关标准制定的。手册中的规定包括出生率控制、产前关注、分娩、产后调理、“计划生育”等方面，还特别为细胞检查和乳腺检查频率做出了相应的规定（</w:t>
      </w:r>
      <w:r>
        <w:rPr>
          <w:rFonts w:hint="eastAsia"/>
        </w:rPr>
        <w:t>Goldenberg</w:t>
      </w:r>
      <w:r>
        <w:rPr>
          <w:rFonts w:hint="eastAsia"/>
        </w:rPr>
        <w:t>，</w:t>
      </w:r>
      <w:r>
        <w:rPr>
          <w:rFonts w:hint="eastAsia"/>
        </w:rPr>
        <w:t>2001</w:t>
      </w:r>
      <w:r>
        <w:rPr>
          <w:rFonts w:hint="eastAsia"/>
        </w:rPr>
        <w:t>年）。</w:t>
      </w:r>
    </w:p>
    <w:p w:rsidR="00000000" w:rsidRDefault="00CA422F">
      <w:pPr>
        <w:spacing w:after="240" w:line="360" w:lineRule="exact"/>
        <w:rPr>
          <w:rFonts w:hint="eastAsia"/>
        </w:rPr>
      </w:pPr>
      <w:r>
        <w:rPr>
          <w:rFonts w:hint="eastAsia"/>
        </w:rPr>
        <w:t>420</w:t>
      </w:r>
      <w:r>
        <w:rPr>
          <w:rFonts w:hint="eastAsia"/>
        </w:rPr>
        <w:t>．</w:t>
      </w:r>
      <w:r>
        <w:rPr>
          <w:rFonts w:hint="eastAsia"/>
        </w:rPr>
        <w:t>1999</w:t>
      </w:r>
      <w:r>
        <w:rPr>
          <w:rFonts w:hint="eastAsia"/>
        </w:rPr>
        <w:t>年，根据</w:t>
      </w:r>
      <w:r>
        <w:rPr>
          <w:rFonts w:hint="eastAsia"/>
        </w:rPr>
        <w:t>5</w:t>
      </w:r>
      <w:r>
        <w:rPr>
          <w:rFonts w:hint="eastAsia"/>
        </w:rPr>
        <w:t>月</w:t>
      </w:r>
      <w:r>
        <w:rPr>
          <w:rFonts w:hint="eastAsia"/>
        </w:rPr>
        <w:t>14</w:t>
      </w:r>
      <w:r>
        <w:rPr>
          <w:rFonts w:hint="eastAsia"/>
        </w:rPr>
        <w:t>日颁布的</w:t>
      </w:r>
      <w:r>
        <w:rPr>
          <w:rFonts w:hint="eastAsia"/>
        </w:rPr>
        <w:t>27913-S</w:t>
      </w:r>
      <w:r>
        <w:rPr>
          <w:rFonts w:hint="eastAsia"/>
        </w:rPr>
        <w:t>号行政法令，成立了</w:t>
      </w:r>
      <w:r>
        <w:rPr>
          <w:rFonts w:hint="eastAsia"/>
          <w:lang w:val="es-ES"/>
        </w:rPr>
        <w:t>性与生殖保健服务跨部门委员会</w:t>
      </w:r>
      <w:r>
        <w:rPr>
          <w:rFonts w:hint="eastAsia"/>
        </w:rPr>
        <w:t>。政府之所以做出该项决定是建立在下列考虑之上的：</w:t>
      </w:r>
    </w:p>
    <w:p w:rsidR="00000000" w:rsidRDefault="00CA422F" w:rsidP="00CA422F">
      <w:pPr>
        <w:spacing w:after="240" w:line="360" w:lineRule="exact"/>
        <w:ind w:leftChars="200" w:left="31680" w:firstLineChars="200" w:firstLine="31680"/>
        <w:rPr>
          <w:rFonts w:ascii="KaiTi_GB2312" w:eastAsia="KaiTi_GB2312" w:hint="eastAsia"/>
        </w:rPr>
      </w:pPr>
      <w:r>
        <w:rPr>
          <w:rFonts w:ascii="KaiTi_GB2312" w:eastAsia="KaiTi_GB2312" w:hint="eastAsia"/>
        </w:rPr>
        <w:t>“哥斯达黎加政府对维护全国人民的性与生殖保健权利和服务</w:t>
      </w:r>
      <w:r>
        <w:rPr>
          <w:rFonts w:ascii="KaiTi_GB2312" w:eastAsia="KaiTi_GB2312" w:hint="eastAsia"/>
        </w:rPr>
        <w:t>负有不可推卸的责任，因此，政府应该尊重和遵循跨部门机构对该领域所作的各种承诺，承认全体人民享有保障各种卫生条件，特别是维护各自生育能力的权利”。（前提</w:t>
      </w:r>
      <w:r>
        <w:rPr>
          <w:rFonts w:ascii="KaiTi_GB2312" w:eastAsia="KaiTi_GB2312" w:hint="eastAsia"/>
        </w:rPr>
        <w:t>5</w:t>
      </w:r>
      <w:r>
        <w:rPr>
          <w:rFonts w:ascii="KaiTi_GB2312" w:eastAsia="KaiTi_GB2312" w:hint="eastAsia"/>
        </w:rPr>
        <w:t>）。</w:t>
      </w:r>
    </w:p>
    <w:p w:rsidR="00000000" w:rsidRDefault="00CA422F">
      <w:pPr>
        <w:spacing w:after="240" w:line="360" w:lineRule="exact"/>
        <w:rPr>
          <w:rFonts w:hint="eastAsia"/>
        </w:rPr>
      </w:pPr>
      <w:r>
        <w:rPr>
          <w:rFonts w:hint="eastAsia"/>
        </w:rPr>
        <w:t>421</w:t>
      </w:r>
      <w:r>
        <w:rPr>
          <w:rFonts w:hint="eastAsia"/>
        </w:rPr>
        <w:t>．上述法令第四款规定，“在提供性与生殖保健服务的各类不同层次的公共和私人服务机构中”，创建“</w:t>
      </w:r>
      <w:r>
        <w:rPr>
          <w:rFonts w:hint="eastAsia"/>
          <w:lang w:val="es-ES"/>
        </w:rPr>
        <w:t>性与生殖权利和保健服务管理委员会</w:t>
      </w:r>
      <w:r>
        <w:rPr>
          <w:rFonts w:hint="eastAsia"/>
        </w:rPr>
        <w:t>”。该机构将尽可能组建一支跨学科的队伍，包括在这两方面曾接受专业培训的专业人士以及经验丰富的专家。上述法令第五条对此委员会的职责做出了具体规定，其中包括：</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策划和开展有关性与生殖权利和保健服务的教育和宣传运动。</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组织卫生部门</w:t>
      </w:r>
      <w:r>
        <w:rPr>
          <w:rFonts w:hint="eastAsia"/>
        </w:rPr>
        <w:t>相关</w:t>
      </w:r>
      <w:r>
        <w:rPr>
          <w:rFonts w:hint="eastAsia"/>
          <w:lang w:val="es-ES"/>
        </w:rPr>
        <w:t>人员</w:t>
      </w:r>
      <w:r>
        <w:rPr>
          <w:rFonts w:hint="eastAsia"/>
        </w:rPr>
        <w:t>进行培训，并开展相关的行动。</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“向接受医疗服务的集体或个人提供信息，包括有关各类节育方法（临时性的或永久性的）的优势、缺陷和矛盾，帮助选择最合适的方法；承认、赞同和尊重服务接受人员的意见”。</w:t>
      </w:r>
    </w:p>
    <w:p w:rsidR="00000000" w:rsidRDefault="00CA422F">
      <w:pPr>
        <w:spacing w:after="240" w:line="360" w:lineRule="exact"/>
        <w:rPr>
          <w:rFonts w:hint="eastAsia"/>
        </w:rPr>
      </w:pPr>
      <w:r>
        <w:rPr>
          <w:rFonts w:hint="eastAsia"/>
        </w:rPr>
        <w:t>422</w:t>
      </w:r>
      <w:r>
        <w:rPr>
          <w:rFonts w:hint="eastAsia"/>
        </w:rPr>
        <w:t>．另一方面，</w:t>
      </w:r>
      <w:r>
        <w:rPr>
          <w:rFonts w:hint="eastAsia"/>
        </w:rPr>
        <w:t>1999</w:t>
      </w:r>
      <w:r>
        <w:rPr>
          <w:rFonts w:hint="eastAsia"/>
        </w:rPr>
        <w:t>年，为了更好地执行北京和开罗会议中关于性与生殖保健服务的相关协议的规定，哥斯达黎加成立了由政府、社会和协助机构共同召开了</w:t>
      </w:r>
      <w:r>
        <w:rPr>
          <w:rFonts w:eastAsia="SimHei" w:hint="eastAsia"/>
        </w:rPr>
        <w:t>三方领导委员会</w:t>
      </w:r>
      <w:r>
        <w:rPr>
          <w:rFonts w:hint="eastAsia"/>
        </w:rPr>
        <w:t>。一直以来，三方会议同国家</w:t>
      </w:r>
      <w:r>
        <w:rPr>
          <w:rFonts w:hint="eastAsia"/>
          <w:lang w:val="es-ES"/>
        </w:rPr>
        <w:t>性与生殖权利和保健服务管理委员会</w:t>
      </w:r>
      <w:r>
        <w:rPr>
          <w:rFonts w:hint="eastAsia"/>
        </w:rPr>
        <w:t>共同努力，一起开展各项工作，双方的许多人员都参与了对方的工作。</w:t>
      </w:r>
    </w:p>
    <w:p w:rsidR="00000000" w:rsidRDefault="00CA422F">
      <w:pPr>
        <w:spacing w:after="240" w:line="360" w:lineRule="exact"/>
        <w:rPr>
          <w:rFonts w:hint="eastAsia"/>
        </w:rPr>
      </w:pPr>
      <w:r>
        <w:rPr>
          <w:rFonts w:hint="eastAsia"/>
        </w:rPr>
        <w:t>423</w:t>
      </w:r>
      <w:r>
        <w:rPr>
          <w:rFonts w:hint="eastAsia"/>
        </w:rPr>
        <w:t>．性与生殖保健服务跨部门</w:t>
      </w:r>
      <w:r>
        <w:rPr>
          <w:rFonts w:hint="eastAsia"/>
        </w:rPr>
        <w:t>委员会的组织结构非常有趣，各个机构的代表都有各自的工作领域，只对组织向所在机构提出的问题负责。这正好解释了该组织是如何获得信息的、为什么从某种意义上来说该组织甚至有些武断、以及该组织为何参与其它的活动过程，例如，国家妇女医院虽然不是该组织的有机组成部分，但是却有不少来自该组织的人士。该组织的工作和孕期关注、产后调理、性与生殖保健服务等方面的政策有一定的联系，与此同时，还确定了工作重心和工作范畴，允许不同的关注机构开展工作和贡献自己的力量。目前，该机构认为必须确定一个整体框架，为性与生殖的权利和保健服务的关注</w:t>
      </w:r>
      <w:r>
        <w:rPr>
          <w:rFonts w:hint="eastAsia"/>
        </w:rPr>
        <w:t>奠定一个坚实的基础，这就是目前我们称之为行动大纲的执行方案（</w:t>
      </w:r>
      <w:r>
        <w:rPr>
          <w:rFonts w:hint="eastAsia"/>
        </w:rPr>
        <w:t>Goldenberg</w:t>
      </w:r>
      <w:r>
        <w:rPr>
          <w:rFonts w:hint="eastAsia"/>
        </w:rPr>
        <w:t>，</w:t>
      </w:r>
      <w:r>
        <w:rPr>
          <w:rFonts w:hint="eastAsia"/>
        </w:rPr>
        <w:t>2001</w:t>
      </w:r>
      <w:r>
        <w:rPr>
          <w:rFonts w:hint="eastAsia"/>
        </w:rPr>
        <w:t>年）。</w:t>
      </w:r>
    </w:p>
    <w:p w:rsidR="00000000" w:rsidRDefault="00CA422F">
      <w:pPr>
        <w:spacing w:after="240" w:line="360" w:lineRule="exact"/>
        <w:rPr>
          <w:rFonts w:hint="eastAsia"/>
        </w:rPr>
      </w:pPr>
      <w:r>
        <w:rPr>
          <w:rFonts w:hint="eastAsia"/>
        </w:rPr>
        <w:t>424</w:t>
      </w:r>
      <w:r>
        <w:rPr>
          <w:rFonts w:hint="eastAsia"/>
        </w:rPr>
        <w:t>．该组织对各个委员会所取得的成就以及工作中存在的问题进行了研究，发现在新的重点工作的开展过程中存在着明显的抗拒行为，拒绝的理由往往同</w:t>
      </w:r>
      <w:r>
        <w:rPr>
          <w:rFonts w:hint="eastAsia"/>
        </w:rPr>
        <w:t>99</w:t>
      </w:r>
      <w:r>
        <w:rPr>
          <w:rFonts w:hint="eastAsia"/>
        </w:rPr>
        <w:t>年</w:t>
      </w:r>
      <w:r>
        <w:rPr>
          <w:rFonts w:hint="eastAsia"/>
        </w:rPr>
        <w:t>6</w:t>
      </w:r>
      <w:r>
        <w:rPr>
          <w:rFonts w:hint="eastAsia"/>
        </w:rPr>
        <w:t>月颁布的行政法令有关规定下令清除的观念极为相似。研究收集的证据种类繁多，从医生的各类辩护词，如为逃避自愿手术节育负责而寻找的理由，到卫生中心执行的各种严格要求的制定，如手术后必须有专人负责照料手术病人等，不一而足。虽然有如此严格的规定，但是却缺乏足够的护理人员来承担该</w:t>
      </w:r>
      <w:r>
        <w:rPr>
          <w:rFonts w:hint="eastAsia"/>
        </w:rPr>
        <w:t>项工作，也就是说，虽然外部诊疗认为应该施行大手术，但是由于人员缺乏，上午被送入手术室的病人在当天下午较晚的时候必须离开该卫生中心（</w:t>
      </w:r>
      <w:r>
        <w:rPr>
          <w:rFonts w:hint="eastAsia"/>
        </w:rPr>
        <w:t>Goldenberg</w:t>
      </w:r>
      <w:r>
        <w:rPr>
          <w:rFonts w:hint="eastAsia"/>
        </w:rPr>
        <w:t>，</w:t>
      </w:r>
      <w:r>
        <w:rPr>
          <w:rFonts w:hint="eastAsia"/>
        </w:rPr>
        <w:t>2001</w:t>
      </w:r>
      <w:r>
        <w:rPr>
          <w:rFonts w:hint="eastAsia"/>
        </w:rPr>
        <w:t>年）。</w:t>
      </w:r>
    </w:p>
    <w:p w:rsidR="00000000" w:rsidRDefault="00CA422F">
      <w:pPr>
        <w:spacing w:after="240" w:line="360" w:lineRule="exact"/>
        <w:jc w:val="center"/>
        <w:rPr>
          <w:rFonts w:eastAsia="SimHei" w:hint="eastAsia"/>
          <w:sz w:val="24"/>
        </w:rPr>
      </w:pPr>
      <w:r>
        <w:rPr>
          <w:rFonts w:eastAsia="SimHei" w:hint="eastAsia"/>
          <w:sz w:val="24"/>
          <w:lang w:val="es-ES"/>
        </w:rPr>
        <w:t>性与生殖权利和保健服务管理委员会</w:t>
      </w:r>
      <w:r>
        <w:rPr>
          <w:rFonts w:eastAsia="SimHei" w:hint="eastAsia"/>
          <w:sz w:val="24"/>
        </w:rPr>
        <w:t>的重要性</w:t>
      </w:r>
    </w:p>
    <w:p w:rsidR="00000000" w:rsidRDefault="00CA422F">
      <w:pPr>
        <w:spacing w:after="240" w:line="360" w:lineRule="exact"/>
        <w:rPr>
          <w:rFonts w:hint="eastAsia"/>
        </w:rPr>
      </w:pPr>
      <w:r>
        <w:rPr>
          <w:rFonts w:hint="eastAsia"/>
        </w:rPr>
        <w:t>425</w:t>
      </w:r>
      <w:r>
        <w:rPr>
          <w:rFonts w:hint="eastAsia"/>
        </w:rPr>
        <w:t>．目前，居民保护组织正在同哥斯达黎加社会保险公司共同推进一项工作，希望说服民众，使他们认识到性与生殖权利和保健服务管理委员会工作的必要性。另一方面，正在不断证明，包括男女医生以及社会服务人员、心理医生、产科医生护士以及其他专业人士在内的所有人员，都必须接受性与生殖保健服务和权利的培训。这些人士的</w:t>
      </w:r>
      <w:r>
        <w:rPr>
          <w:rFonts w:hint="eastAsia"/>
        </w:rPr>
        <w:t>专业水准能够保障他们的敏锐性，理解管理委员会的工作，不包括宣传他们个人性观念、进行道德评判、应该从哪个年龄开始性生活或者男女双方是否已婚等事务（妇女保护组织，由</w:t>
      </w:r>
      <w:r>
        <w:rPr>
          <w:rFonts w:hint="eastAsia"/>
        </w:rPr>
        <w:t>Goldenberg</w:t>
      </w:r>
      <w:r>
        <w:rPr>
          <w:rFonts w:hint="eastAsia"/>
        </w:rPr>
        <w:t>引用，</w:t>
      </w:r>
      <w:r>
        <w:rPr>
          <w:rFonts w:hint="eastAsia"/>
        </w:rPr>
        <w:t>2001</w:t>
      </w:r>
      <w:r>
        <w:rPr>
          <w:rFonts w:hint="eastAsia"/>
        </w:rPr>
        <w:t>年）。</w:t>
      </w:r>
    </w:p>
    <w:p w:rsidR="00000000" w:rsidRDefault="00CA422F">
      <w:pPr>
        <w:spacing w:after="240" w:line="360" w:lineRule="exact"/>
        <w:rPr>
          <w:rFonts w:hint="eastAsia"/>
        </w:rPr>
      </w:pPr>
      <w:r>
        <w:rPr>
          <w:rFonts w:hint="eastAsia"/>
        </w:rPr>
        <w:t>426</w:t>
      </w:r>
      <w:r>
        <w:rPr>
          <w:rFonts w:hint="eastAsia"/>
        </w:rPr>
        <w:t>．应该重点说明的是，哥斯达黎加社会保险公司作为向民众提供保健服务的负责机构所发挥的作用和承担的责任。尤其值得一提的是，为了更有效地执行</w:t>
      </w:r>
      <w:r>
        <w:rPr>
          <w:rFonts w:hint="eastAsia"/>
        </w:rPr>
        <w:t>27913-S</w:t>
      </w:r>
      <w:r>
        <w:rPr>
          <w:rFonts w:hint="eastAsia"/>
        </w:rPr>
        <w:t>号行政法令而成立的妇女保健服务机构开展的活动。管理委员会对各个部门的保健服务人员进行培训，同时制订具体的规章制度、推动体系内该行政法令的法制化进程，尤其对消</w:t>
      </w:r>
      <w:r>
        <w:rPr>
          <w:rFonts w:hint="eastAsia"/>
        </w:rPr>
        <w:t>除司法机构内的阻碍因素做出了一定贡献。上述规定已经被不少医生用来判断道德、宗教、文化、性别等方面受到的抗拒和阻挠（妇女保护组织，由</w:t>
      </w:r>
      <w:r>
        <w:rPr>
          <w:rFonts w:hint="eastAsia"/>
        </w:rPr>
        <w:t>Goldenberg</w:t>
      </w:r>
      <w:r>
        <w:rPr>
          <w:rFonts w:hint="eastAsia"/>
        </w:rPr>
        <w:t>引用，</w:t>
      </w:r>
      <w:r>
        <w:rPr>
          <w:rFonts w:hint="eastAsia"/>
        </w:rPr>
        <w:t>2001</w:t>
      </w:r>
      <w:r>
        <w:rPr>
          <w:rFonts w:hint="eastAsia"/>
        </w:rPr>
        <w:t>年）。</w:t>
      </w:r>
    </w:p>
    <w:p w:rsidR="00000000" w:rsidRDefault="00CA422F">
      <w:pPr>
        <w:spacing w:after="240" w:line="360" w:lineRule="exact"/>
        <w:rPr>
          <w:rFonts w:hint="eastAsia"/>
        </w:rPr>
      </w:pPr>
      <w:r>
        <w:rPr>
          <w:rFonts w:hint="eastAsia"/>
        </w:rPr>
        <w:t>427</w:t>
      </w:r>
      <w:r>
        <w:rPr>
          <w:rFonts w:hint="eastAsia"/>
        </w:rPr>
        <w:t>．管理委员会已经在许多医院组织了多次座谈，平均每星期座谈多次，座谈的主题大多集中在生殖保健、控制生育的各种可能，甚至节育等问题上。虽然这些公开的座谈在程序上组织得有些不当，也不是谈论性生活这样敏感话题的最好方式，但这确实是唯一的方式。然而，人们普遍认为，这类活动必须建立在其它方式的支持下，在机构更加接近用户的基础上才能顺利开展（妇女</w:t>
      </w:r>
      <w:r>
        <w:rPr>
          <w:rFonts w:hint="eastAsia"/>
        </w:rPr>
        <w:t>保护组织，由</w:t>
      </w:r>
      <w:r>
        <w:rPr>
          <w:rFonts w:hint="eastAsia"/>
        </w:rPr>
        <w:t>Goldenberg</w:t>
      </w:r>
      <w:r>
        <w:rPr>
          <w:rFonts w:hint="eastAsia"/>
        </w:rPr>
        <w:t>引用，</w:t>
      </w:r>
      <w:r>
        <w:rPr>
          <w:rFonts w:hint="eastAsia"/>
        </w:rPr>
        <w:t>2001</w:t>
      </w:r>
      <w:r>
        <w:rPr>
          <w:rFonts w:hint="eastAsia"/>
        </w:rPr>
        <w:t>年）。</w:t>
      </w:r>
    </w:p>
    <w:p w:rsidR="00000000" w:rsidRDefault="00CA422F">
      <w:pPr>
        <w:spacing w:after="240" w:line="360" w:lineRule="exact"/>
        <w:rPr>
          <w:rFonts w:hint="eastAsia"/>
        </w:rPr>
      </w:pPr>
      <w:r>
        <w:rPr>
          <w:rFonts w:hint="eastAsia"/>
        </w:rPr>
        <w:t>428</w:t>
      </w:r>
      <w:r>
        <w:rPr>
          <w:rFonts w:hint="eastAsia"/>
        </w:rPr>
        <w:t>．虽然公共教育部也做出了不同的努力，然而，正规教育制度中的性别、性保健和性权利等方面仍然存在着重大困难。鉴于这些限制条件，公共卫生保健服务系统急需对大众进行性知识培训，主要就是我们所说的性生活权利，包括如何熟悉和了解权利，如何行使权利以及如何在正当权利受到侵犯时进行申诉（妇女保护组织，由</w:t>
      </w:r>
      <w:r>
        <w:rPr>
          <w:rFonts w:hint="eastAsia"/>
        </w:rPr>
        <w:t>Goldenberg</w:t>
      </w:r>
      <w:r>
        <w:rPr>
          <w:rFonts w:hint="eastAsia"/>
        </w:rPr>
        <w:t>引用，</w:t>
      </w:r>
      <w:r>
        <w:rPr>
          <w:rFonts w:hint="eastAsia"/>
        </w:rPr>
        <w:t>2001</w:t>
      </w:r>
      <w:r>
        <w:rPr>
          <w:rFonts w:hint="eastAsia"/>
        </w:rPr>
        <w:t>年）。</w:t>
      </w:r>
    </w:p>
    <w:p w:rsidR="00000000" w:rsidRDefault="00CA422F">
      <w:pPr>
        <w:spacing w:after="240" w:line="360" w:lineRule="exact"/>
        <w:rPr>
          <w:rFonts w:hint="eastAsia"/>
        </w:rPr>
      </w:pPr>
      <w:r>
        <w:rPr>
          <w:rFonts w:hint="eastAsia"/>
        </w:rPr>
        <w:t>429</w:t>
      </w:r>
      <w:r>
        <w:rPr>
          <w:rFonts w:hint="eastAsia"/>
        </w:rPr>
        <w:t>．关于节育问题，要求在信息和准备方面，尤其是根据每个女性的不同状况，投入特殊的努力（妇女保护组织，由</w:t>
      </w:r>
      <w:r>
        <w:rPr>
          <w:rFonts w:hint="eastAsia"/>
        </w:rPr>
        <w:t>Goldenbe</w:t>
      </w:r>
      <w:r>
        <w:rPr>
          <w:rFonts w:hint="eastAsia"/>
        </w:rPr>
        <w:t>rg</w:t>
      </w:r>
      <w:r>
        <w:rPr>
          <w:rFonts w:hint="eastAsia"/>
        </w:rPr>
        <w:t>引用，</w:t>
      </w:r>
      <w:r>
        <w:rPr>
          <w:rFonts w:hint="eastAsia"/>
        </w:rPr>
        <w:t>2001</w:t>
      </w:r>
      <w:r>
        <w:rPr>
          <w:rFonts w:hint="eastAsia"/>
        </w:rPr>
        <w:t>年）：</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“将手术的不可逆转性告知妇女是至关重要的（事实上，</w:t>
      </w:r>
      <w:r>
        <w:rPr>
          <w:rFonts w:hint="eastAsia"/>
        </w:rPr>
        <w:t xml:space="preserve"> </w:t>
      </w:r>
      <w:r>
        <w:rPr>
          <w:rFonts w:hint="eastAsia"/>
        </w:rPr>
        <w:t>接受节育手术的女性</w:t>
      </w:r>
      <w:r>
        <w:rPr>
          <w:rFonts w:hint="eastAsia"/>
        </w:rPr>
        <w:t>100%</w:t>
      </w:r>
      <w:r>
        <w:rPr>
          <w:rFonts w:hint="eastAsia"/>
        </w:rPr>
        <w:t>都不会再生育了）。关于这一点，应该明确告知女性，特别是年轻女性，因为在哥斯达黎加，年满</w:t>
      </w:r>
      <w:r>
        <w:rPr>
          <w:rFonts w:hint="eastAsia"/>
        </w:rPr>
        <w:t>18</w:t>
      </w:r>
      <w:r>
        <w:rPr>
          <w:rFonts w:hint="eastAsia"/>
        </w:rPr>
        <w:t>岁的女性有权自己决定是否接受节育手术”。</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“节育是一项手术治疗，意味着要打开女性的腹腔，把各类器械和药物注入其中。因此委员会下属的任何机构和组织均不认为这是最有效的‘方式’。然而，大部分女性则认为这是她们目前唯一的一种有效选择。</w:t>
      </w:r>
      <w:r>
        <w:rPr>
          <w:rFonts w:hint="eastAsia"/>
        </w:rPr>
        <w:t>1992</w:t>
      </w:r>
      <w:r>
        <w:rPr>
          <w:rFonts w:hint="eastAsia"/>
        </w:rPr>
        <w:t>年以来，已经克服了接受节育手术必须由丈夫签字的困难，还通过了一项法令，规定任何人—</w:t>
      </w:r>
      <w:r>
        <w:rPr>
          <w:rFonts w:hint="eastAsia"/>
        </w:rPr>
        <w:t>—男性或女性——都有权独立决定是否接受节育手术，无需采纳各自配偶或男伴的意见，这确实为女性赢得了自由，例如，女性可以在得知自己的男伴不愿使用任何预防措施的情况下，拒绝用药物手段来控制生育；另外，节育的方式还能为已婚妇女受到丈夫的性侵犯却暂时无法离开丈夫独立生活而获得一定程度的解脱，因为节育手术至少在一定程度上保障了上述这些女性不再怀孕”。</w:t>
      </w:r>
    </w:p>
    <w:p w:rsidR="00000000" w:rsidRDefault="00CA422F">
      <w:pPr>
        <w:spacing w:after="240" w:line="360" w:lineRule="exact"/>
        <w:rPr>
          <w:rFonts w:hint="eastAsia"/>
        </w:rPr>
      </w:pPr>
      <w:r>
        <w:rPr>
          <w:rFonts w:hint="eastAsia"/>
        </w:rPr>
        <w:t>430</w:t>
      </w:r>
      <w:r>
        <w:rPr>
          <w:rFonts w:hint="eastAsia"/>
        </w:rPr>
        <w:t>．从严格的意义上说，手术前“获悉并同意”的签字表示病人已经了解节育手术会造成什么样的结果，也就是说，病人理解并接受自己做出的这种决定会带来的后果。“接受节育手术表示</w:t>
      </w:r>
      <w:r>
        <w:rPr>
          <w:rFonts w:hint="eastAsia"/>
        </w:rPr>
        <w:t>手术后万一反悔或者再要孩子时，病人都不再追究医生或医院的刑事责任。这并非为医疗事故推卸责任，因为节育手术要求较高的医疗手段。这不但是有效的原则，同时也是我们手术接受者应该维护的人权”（妇女保护组织，由</w:t>
      </w:r>
      <w:r>
        <w:rPr>
          <w:rFonts w:hint="eastAsia"/>
        </w:rPr>
        <w:t>Goldenberg</w:t>
      </w:r>
      <w:r>
        <w:rPr>
          <w:rFonts w:hint="eastAsia"/>
        </w:rPr>
        <w:t>引用，</w:t>
      </w:r>
      <w:r>
        <w:rPr>
          <w:rFonts w:hint="eastAsia"/>
        </w:rPr>
        <w:t>2001</w:t>
      </w:r>
      <w:r>
        <w:rPr>
          <w:rFonts w:hint="eastAsia"/>
        </w:rPr>
        <w:t>年）。</w:t>
      </w:r>
    </w:p>
    <w:p w:rsidR="00000000" w:rsidRDefault="00CA422F">
      <w:pPr>
        <w:spacing w:after="240" w:line="360" w:lineRule="exact"/>
        <w:rPr>
          <w:rFonts w:hint="eastAsia"/>
        </w:rPr>
      </w:pPr>
      <w:r>
        <w:rPr>
          <w:rFonts w:hint="eastAsia"/>
        </w:rPr>
        <w:t>431</w:t>
      </w:r>
      <w:r>
        <w:rPr>
          <w:rFonts w:hint="eastAsia"/>
        </w:rPr>
        <w:t>．截止目前，申请实施输精管切除术的男性非常稀少，由于对手术过程及其结构缺乏了解，一般人对手术仍然比较惧怕。此外，“……在节育和一切同生殖有关的事务都应由女性负责的这种观念同事实完全背道而驰，然而，尽管男性每年都让为数众多的女性怀孕，但是几乎所有的节育措施和所有同生</w:t>
      </w:r>
      <w:r>
        <w:rPr>
          <w:rFonts w:hint="eastAsia"/>
        </w:rPr>
        <w:t>育有关的计划都是针对女性而设立的。事实上，每个女性一年都很难怀孕一次，而她们却需要承担怀孕的各种责任和过错，或者需要千方百计地采取各种措施，不让自己生育更多的儿女”（妇女保护组织，由</w:t>
      </w:r>
      <w:r>
        <w:rPr>
          <w:rFonts w:hint="eastAsia"/>
        </w:rPr>
        <w:t>Goldenberg</w:t>
      </w:r>
      <w:r>
        <w:rPr>
          <w:rFonts w:hint="eastAsia"/>
        </w:rPr>
        <w:t>引用，</w:t>
      </w:r>
      <w:r>
        <w:rPr>
          <w:rFonts w:hint="eastAsia"/>
        </w:rPr>
        <w:t>2001</w:t>
      </w:r>
      <w:r>
        <w:rPr>
          <w:rFonts w:hint="eastAsia"/>
        </w:rPr>
        <w:t>年）。</w:t>
      </w:r>
    </w:p>
    <w:p w:rsidR="00000000" w:rsidRDefault="00CA422F">
      <w:pPr>
        <w:spacing w:after="240" w:line="360" w:lineRule="exact"/>
        <w:rPr>
          <w:rFonts w:hint="eastAsia"/>
        </w:rPr>
      </w:pPr>
      <w:r>
        <w:rPr>
          <w:rFonts w:hint="eastAsia"/>
        </w:rPr>
        <w:t>432</w:t>
      </w:r>
      <w:r>
        <w:rPr>
          <w:rFonts w:hint="eastAsia"/>
        </w:rPr>
        <w:t>．上述问题迫使性与生殖保健服务国家管理委员会提出一项草案，以针对男性在上述问题以及性与生殖权利等方面必须承担的责任开展运动，说明男性的节育手术危险性明显低于女性，不但无需住院治疗，而且手术费用较低。“也就是说，这种方式为开展上述运动提供了便利条件，让男性承担他们应该承担的责任，通过</w:t>
      </w:r>
      <w:r>
        <w:rPr>
          <w:rFonts w:hint="eastAsia"/>
        </w:rPr>
        <w:t>良好的医疗手段，按一定要求对男性施行输精管切除手术”（妇女保护组织，由</w:t>
      </w:r>
      <w:r>
        <w:rPr>
          <w:rFonts w:hint="eastAsia"/>
        </w:rPr>
        <w:t>Goldenberg</w:t>
      </w:r>
      <w:r>
        <w:rPr>
          <w:rFonts w:hint="eastAsia"/>
        </w:rPr>
        <w:t>引用，</w:t>
      </w:r>
      <w:r>
        <w:rPr>
          <w:rFonts w:hint="eastAsia"/>
        </w:rPr>
        <w:t>2001</w:t>
      </w:r>
      <w:r>
        <w:rPr>
          <w:rFonts w:hint="eastAsia"/>
        </w:rPr>
        <w:t>年）。</w:t>
      </w:r>
    </w:p>
    <w:p w:rsidR="00000000" w:rsidRDefault="00CA422F">
      <w:pPr>
        <w:spacing w:after="240" w:line="360" w:lineRule="exact"/>
        <w:rPr>
          <w:rFonts w:hint="eastAsia"/>
          <w:lang w:val="es-ES"/>
        </w:rPr>
      </w:pPr>
      <w:r>
        <w:rPr>
          <w:rFonts w:hint="eastAsia"/>
        </w:rPr>
        <w:t>433</w:t>
      </w:r>
      <w:r>
        <w:rPr>
          <w:rFonts w:hint="eastAsia"/>
        </w:rPr>
        <w:t>．哥斯达黎加社会保险公司</w:t>
      </w:r>
      <w:r>
        <w:rPr>
          <w:rFonts w:hint="eastAsia"/>
          <w:lang w:val="es-ES"/>
        </w:rPr>
        <w:t>药物预防部和妇女保健服务机构为明确永久性的外科手术的操作过程，已经借助法律、技术和道德等咨询方式，采取了各种行动。上述设想已于</w:t>
      </w:r>
      <w:r>
        <w:rPr>
          <w:rFonts w:hint="eastAsia"/>
          <w:lang w:val="es-ES"/>
        </w:rPr>
        <w:t>2000</w:t>
      </w:r>
      <w:r>
        <w:rPr>
          <w:rFonts w:hint="eastAsia"/>
          <w:lang w:val="es-ES"/>
        </w:rPr>
        <w:t>年和</w:t>
      </w:r>
      <w:r>
        <w:rPr>
          <w:rFonts w:hint="eastAsia"/>
          <w:lang w:val="es-ES"/>
        </w:rPr>
        <w:t>2001</w:t>
      </w:r>
      <w:r>
        <w:rPr>
          <w:rFonts w:hint="eastAsia"/>
          <w:lang w:val="es-ES"/>
        </w:rPr>
        <w:t>年转变成了非集中性医院和都市诊所的附属药物机构的指导方针。其中包括手术节育管理委员会的相关通知，要求取消上述机构中现有的节育机构，而重新购置管理委员会规定的设备以及委员会不同层次的关注机构必需的使用器械；为男女提供同等条件，</w:t>
      </w:r>
      <w:r>
        <w:rPr>
          <w:rFonts w:hint="eastAsia"/>
          <w:lang w:val="es-ES"/>
        </w:rPr>
        <w:t>以便更好地接受委员会的服务和选择永久的或暂时的手术避孕方式；取消没有纳入</w:t>
      </w:r>
      <w:r>
        <w:rPr>
          <w:rFonts w:hint="eastAsia"/>
          <w:lang w:val="es-ES"/>
        </w:rPr>
        <w:t>27913</w:t>
      </w:r>
      <w:r>
        <w:rPr>
          <w:rFonts w:hint="eastAsia"/>
          <w:lang w:val="es-ES"/>
        </w:rPr>
        <w:t>－</w:t>
      </w:r>
      <w:r>
        <w:rPr>
          <w:rFonts w:hint="eastAsia"/>
          <w:lang w:val="es-ES"/>
        </w:rPr>
        <w:t>S</w:t>
      </w:r>
      <w:r>
        <w:rPr>
          <w:rFonts w:hint="eastAsia"/>
          <w:lang w:val="es-ES"/>
        </w:rPr>
        <w:t>号行政法令、但在实际操作中已经构成性别歧视的一些要求。此外，还指出应该建立一个听取同此项服务相关的意见、批评和建议的机构，因为只有足够重视这些意见、批评和建议才能做出有效的决策（妇女保护组织，由</w:t>
      </w:r>
      <w:r>
        <w:rPr>
          <w:rFonts w:hint="eastAsia"/>
          <w:lang w:val="es-ES"/>
        </w:rPr>
        <w:t>Goldenberg</w:t>
      </w:r>
      <w:r>
        <w:rPr>
          <w:rFonts w:hint="eastAsia"/>
          <w:lang w:val="es-ES"/>
        </w:rPr>
        <w:t>引用，</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434</w:t>
      </w:r>
      <w:r>
        <w:rPr>
          <w:rFonts w:hint="eastAsia"/>
          <w:lang w:val="es-ES"/>
        </w:rPr>
        <w:t>．为本报告提供信息的一些妇女机构指出，上述工作中的阻碍因素之一便是无法组建管理委员会。其它方面的阻碍则来自文化和意识形态领域。不少保健服务人员仍然认为怀孕和女性的生理结构存在着不少神秘</w:t>
      </w:r>
      <w:r>
        <w:rPr>
          <w:rFonts w:hint="eastAsia"/>
          <w:lang w:val="es-ES"/>
        </w:rPr>
        <w:t>之处，对它们一直存有偏见。</w:t>
      </w:r>
    </w:p>
    <w:p w:rsidR="00000000" w:rsidRDefault="00CA422F">
      <w:pPr>
        <w:spacing w:after="240" w:line="360" w:lineRule="exact"/>
        <w:jc w:val="center"/>
        <w:rPr>
          <w:rFonts w:eastAsia="SimHei" w:hint="eastAsia"/>
          <w:sz w:val="24"/>
          <w:lang w:val="es-ES"/>
        </w:rPr>
      </w:pPr>
      <w:r>
        <w:rPr>
          <w:rFonts w:eastAsia="SimHei" w:hint="eastAsia"/>
          <w:sz w:val="24"/>
        </w:rPr>
        <w:t>有关性与生殖保健服务的规定和标准的适应化过程</w:t>
      </w:r>
    </w:p>
    <w:p w:rsidR="00000000" w:rsidRDefault="00CA422F">
      <w:pPr>
        <w:spacing w:after="240" w:line="360" w:lineRule="exact"/>
        <w:rPr>
          <w:rFonts w:hint="eastAsia"/>
          <w:lang w:val="es-ES"/>
        </w:rPr>
      </w:pPr>
      <w:r>
        <w:rPr>
          <w:rFonts w:hint="eastAsia"/>
          <w:lang w:val="es-ES"/>
        </w:rPr>
        <w:t>435</w:t>
      </w:r>
      <w:r>
        <w:rPr>
          <w:rFonts w:hint="eastAsia"/>
          <w:lang w:val="es-ES"/>
        </w:rPr>
        <w:t>．性与生殖保健服务方面的规定和标准不计其数。其中不少服务是针对人体的生理机制设立的，所以对性与生殖方面的保健服务目前主要集中在对人类生殖和繁衍生理过程的关注上。这些方面的规定也为数不少。其主要目的在于确定同性与生殖权利和保健服务的整体机制有关的规定和标准。应该对管理委员会工作中制定的方针政策进行专业化规范，随后再推广到保健服务的实际操作过程中。这一步骤至关重要，因为最终决定服务质量的是保健服务的实际操作过程，而服务质量因提升成本</w:t>
      </w:r>
      <w:r>
        <w:rPr>
          <w:rFonts w:hint="eastAsia"/>
          <w:lang w:val="es-ES"/>
        </w:rPr>
        <w:t>较高而进度缓慢。虽然如此，对服务过程进行的评估表明，目前的规定和标准非常贫乏，正如我们在前面指出的那样，多年来实际操作中一直推行的是专门针对人体生理机制的模式。</w:t>
      </w:r>
    </w:p>
    <w:p w:rsidR="00000000" w:rsidRDefault="00CA422F">
      <w:pPr>
        <w:spacing w:after="240" w:line="360" w:lineRule="exact"/>
        <w:rPr>
          <w:rFonts w:hint="eastAsia"/>
          <w:lang w:val="es-ES"/>
        </w:rPr>
      </w:pPr>
      <w:r>
        <w:rPr>
          <w:rFonts w:hint="eastAsia"/>
          <w:lang w:val="es-ES"/>
        </w:rPr>
        <w:t>436</w:t>
      </w:r>
      <w:r>
        <w:rPr>
          <w:rFonts w:hint="eastAsia"/>
          <w:lang w:val="es-ES"/>
        </w:rPr>
        <w:t>．确定了新的重点之后，相关的规定必须为性与生殖权利和保健服务方面存在的问题提出全新的解决方案，与此同时还应该为实际操作过程中出现的变化提出新的指导。新的规定应该包括新的任务、或者在现有任务的执行过程中引入质量要求。有时，需要关注的除了任务本身，还有任务的方式。转变过程中的安全因素将是一个更集体化、更多学科化、服务接受者更积极参与的重点问题。这</w:t>
      </w:r>
      <w:r>
        <w:rPr>
          <w:rFonts w:hint="eastAsia"/>
          <w:lang w:val="es-ES"/>
        </w:rPr>
        <w:t>将引发一场深刻的变化。</w:t>
      </w:r>
    </w:p>
    <w:p w:rsidR="00000000" w:rsidRDefault="00CA422F">
      <w:pPr>
        <w:spacing w:after="240" w:line="360" w:lineRule="exact"/>
        <w:rPr>
          <w:rFonts w:hint="eastAsia"/>
          <w:lang w:val="es-ES"/>
        </w:rPr>
      </w:pPr>
      <w:r>
        <w:rPr>
          <w:rFonts w:hint="eastAsia"/>
          <w:lang w:val="es-ES"/>
        </w:rPr>
        <w:t>437</w:t>
      </w:r>
      <w:r>
        <w:rPr>
          <w:rFonts w:hint="eastAsia"/>
          <w:lang w:val="es-ES"/>
        </w:rPr>
        <w:t>．应该考虑的是，目前在保健服务领域内之所以施行技术规范，就是为了兑现一定的管理诺言。正因如此，这些规范也就失去了约束力。可以看到，目前存在的趋势是更加重视作为赞助实体的管理诺言，而忽略了技术规范本身，因为这些规范并非一定包含需要履行的管理诺言之内。这一机制正在逐步改变包括占据重要位置的生理机制在内的游戏规则。</w:t>
      </w:r>
    </w:p>
    <w:p w:rsidR="00000000" w:rsidRDefault="00CA422F">
      <w:pPr>
        <w:spacing w:after="240" w:line="360" w:lineRule="exact"/>
        <w:rPr>
          <w:rFonts w:hint="eastAsia"/>
          <w:lang w:val="es-ES"/>
        </w:rPr>
      </w:pPr>
      <w:r>
        <w:rPr>
          <w:rFonts w:hint="eastAsia"/>
          <w:lang w:val="es-ES"/>
        </w:rPr>
        <w:t>438</w:t>
      </w:r>
      <w:r>
        <w:rPr>
          <w:rFonts w:hint="eastAsia"/>
          <w:lang w:val="es-ES"/>
        </w:rPr>
        <w:t>．从妇女医院和其它机构已经获得的经验来看，对管理诺言的审查已经做出了不小的努力。这里所说的努力有两层含义。一方面，将制定</w:t>
      </w:r>
      <w:r>
        <w:rPr>
          <w:rFonts w:hint="eastAsia"/>
          <w:lang w:val="es-ES"/>
        </w:rPr>
        <w:t>2003</w:t>
      </w:r>
      <w:r>
        <w:rPr>
          <w:rFonts w:hint="eastAsia"/>
          <w:lang w:val="es-ES"/>
        </w:rPr>
        <w:t>年的管理指数，以便支援妇女健康状况整</w:t>
      </w:r>
      <w:r>
        <w:rPr>
          <w:rFonts w:hint="eastAsia"/>
          <w:lang w:val="es-ES"/>
        </w:rPr>
        <w:t>体关注模式的配备。预定的指数中有五个数据是为了加强互联网上的保健服务、整体方案的发展、妇女在方案和计划设计及决策方面的实际参与、以及人权和性别方面人力资源发展和关注的质量等方面的管理。另一方面，建议成立一个跨部门机构，对相关的指数和情况进行系统的审核，这些相关的指数和情况包括：规定、规范、信息汇总的方法和过程等。</w:t>
      </w:r>
    </w:p>
    <w:p w:rsidR="00000000" w:rsidRDefault="00CA422F">
      <w:pPr>
        <w:spacing w:after="240" w:line="360" w:lineRule="exact"/>
        <w:jc w:val="center"/>
        <w:rPr>
          <w:rFonts w:eastAsia="SimHei" w:hint="eastAsia"/>
          <w:sz w:val="24"/>
          <w:lang w:val="es-ES"/>
        </w:rPr>
      </w:pPr>
      <w:r>
        <w:rPr>
          <w:rFonts w:eastAsia="SimHei" w:hint="eastAsia"/>
          <w:sz w:val="24"/>
          <w:lang w:val="es-ES"/>
        </w:rPr>
        <w:t>癌症与女性</w:t>
      </w:r>
    </w:p>
    <w:p w:rsidR="00000000" w:rsidRDefault="00CA422F">
      <w:pPr>
        <w:spacing w:after="240" w:line="360" w:lineRule="exact"/>
        <w:rPr>
          <w:rFonts w:hint="eastAsia"/>
          <w:lang w:val="es-ES"/>
        </w:rPr>
      </w:pPr>
      <w:r>
        <w:rPr>
          <w:rFonts w:hint="eastAsia"/>
          <w:lang w:val="es-ES"/>
        </w:rPr>
        <w:t>439</w:t>
      </w:r>
      <w:r>
        <w:rPr>
          <w:rFonts w:hint="eastAsia"/>
          <w:lang w:val="es-ES"/>
        </w:rPr>
        <w:t>．癌症是对哥斯达黎加和世界均造成巨大伤害的一种疾病。甚至有人把癌症说成一种瘟疫。在哥斯达黎加，女性的主要癌症包括子宫癌、乳腺癌和胃癌。</w:t>
      </w:r>
    </w:p>
    <w:p w:rsidR="00000000" w:rsidRDefault="00CA422F">
      <w:pPr>
        <w:spacing w:after="240" w:line="360" w:lineRule="exact"/>
        <w:rPr>
          <w:rFonts w:hint="eastAsia"/>
          <w:lang w:val="es-ES"/>
        </w:rPr>
      </w:pPr>
      <w:r>
        <w:rPr>
          <w:rFonts w:hint="eastAsia"/>
          <w:lang w:val="es-ES"/>
        </w:rPr>
        <w:t>440</w:t>
      </w:r>
      <w:r>
        <w:rPr>
          <w:rFonts w:hint="eastAsia"/>
          <w:lang w:val="es-ES"/>
        </w:rPr>
        <w:t>．宫颈癌和乳腺癌在九十年代前五年经历</w:t>
      </w:r>
      <w:r>
        <w:rPr>
          <w:rFonts w:hint="eastAsia"/>
          <w:lang w:val="es-ES"/>
        </w:rPr>
        <w:t>了一定程度的增长，随后这一数据在</w:t>
      </w:r>
      <w:r>
        <w:rPr>
          <w:rFonts w:hint="eastAsia"/>
          <w:lang w:val="es-ES"/>
        </w:rPr>
        <w:t>1995</w:t>
      </w:r>
      <w:r>
        <w:rPr>
          <w:rFonts w:hint="eastAsia"/>
          <w:lang w:val="es-ES"/>
        </w:rPr>
        <w:t>年至</w:t>
      </w:r>
      <w:r>
        <w:rPr>
          <w:rFonts w:hint="eastAsia"/>
          <w:lang w:val="es-ES"/>
        </w:rPr>
        <w:t>2000</w:t>
      </w:r>
      <w:r>
        <w:rPr>
          <w:rFonts w:hint="eastAsia"/>
          <w:lang w:val="es-ES"/>
        </w:rPr>
        <w:t>年出现了明显的下降，特别是乳腺癌，从平均每十万女性中的</w:t>
      </w:r>
      <w:r>
        <w:rPr>
          <w:rFonts w:hint="eastAsia"/>
          <w:lang w:val="es-ES"/>
        </w:rPr>
        <w:t>9</w:t>
      </w:r>
      <w:r>
        <w:rPr>
          <w:rFonts w:hint="eastAsia"/>
          <w:lang w:val="es-ES"/>
        </w:rPr>
        <w:t>例下降到</w:t>
      </w:r>
      <w:r>
        <w:rPr>
          <w:rFonts w:hint="eastAsia"/>
          <w:lang w:val="es-ES"/>
        </w:rPr>
        <w:t>6</w:t>
      </w:r>
      <w:r>
        <w:t>.</w:t>
      </w:r>
      <w:r>
        <w:rPr>
          <w:rFonts w:hint="eastAsia"/>
          <w:lang w:val="es-ES"/>
        </w:rPr>
        <w:t>4</w:t>
      </w:r>
      <w:r>
        <w:rPr>
          <w:rFonts w:hint="eastAsia"/>
          <w:lang w:val="es-ES"/>
        </w:rPr>
        <w:t>例。乳腺癌自九十年代初期以来已经成为了导致女性死亡的第二大肿瘤类疾病了。上述下降趋势表明，哥斯达黎加政府在改善此类疾病的保健和预防方面做出了不小的努力。全国生育卫生调查结果显示，政府在育龄妇女（年龄在</w:t>
      </w:r>
      <w:r>
        <w:rPr>
          <w:rFonts w:hint="eastAsia"/>
          <w:lang w:val="es-ES"/>
        </w:rPr>
        <w:t>18</w:t>
      </w:r>
      <w:r>
        <w:rPr>
          <w:rFonts w:hint="eastAsia"/>
          <w:lang w:val="es-ES"/>
        </w:rPr>
        <w:t>至</w:t>
      </w:r>
      <w:r>
        <w:rPr>
          <w:rFonts w:hint="eastAsia"/>
          <w:lang w:val="es-ES"/>
        </w:rPr>
        <w:t>44</w:t>
      </w:r>
      <w:r>
        <w:rPr>
          <w:rFonts w:hint="eastAsia"/>
          <w:lang w:val="es-ES"/>
        </w:rPr>
        <w:t>岁之间）的保健和预防方面取得了重大进展。这一进展主要体现在细胞检测、对胸部的自我检查（尽管检查程度较浅）以及破伤风疫苗的接种人数的不断增加上（接种此类疫苗的女性人数增加了</w:t>
      </w:r>
      <w:r>
        <w:rPr>
          <w:rFonts w:hint="eastAsia"/>
          <w:lang w:val="es-ES"/>
        </w:rPr>
        <w:t>17</w:t>
      </w:r>
      <w:r>
        <w:rPr>
          <w:rFonts w:hint="eastAsia"/>
          <w:lang w:val="es-ES"/>
        </w:rPr>
        <w:t>个百分</w:t>
      </w:r>
      <w:r>
        <w:rPr>
          <w:rFonts w:hint="eastAsia"/>
          <w:lang w:val="es-ES"/>
        </w:rPr>
        <w:t>点，由</w:t>
      </w:r>
      <w:r>
        <w:rPr>
          <w:rFonts w:hint="eastAsia"/>
          <w:lang w:val="es-ES"/>
        </w:rPr>
        <w:t>1992</w:t>
      </w:r>
      <w:r>
        <w:rPr>
          <w:rFonts w:hint="eastAsia"/>
          <w:lang w:val="es-ES"/>
        </w:rPr>
        <w:t>年的</w:t>
      </w:r>
      <w:r>
        <w:rPr>
          <w:rFonts w:hint="eastAsia"/>
          <w:lang w:val="es-ES"/>
        </w:rPr>
        <w:t>58%</w:t>
      </w:r>
      <w:r>
        <w:rPr>
          <w:rFonts w:hint="eastAsia"/>
          <w:lang w:val="es-ES"/>
        </w:rPr>
        <w:t>增至</w:t>
      </w:r>
      <w:r>
        <w:rPr>
          <w:rFonts w:hint="eastAsia"/>
          <w:lang w:val="es-ES"/>
        </w:rPr>
        <w:t>1999</w:t>
      </w:r>
      <w:r>
        <w:rPr>
          <w:rFonts w:hint="eastAsia"/>
          <w:lang w:val="es-ES"/>
        </w:rPr>
        <w:t>年的</w:t>
      </w:r>
      <w:r>
        <w:rPr>
          <w:rFonts w:hint="eastAsia"/>
          <w:lang w:val="es-ES"/>
        </w:rPr>
        <w:t>74%</w:t>
      </w:r>
      <w:r>
        <w:rPr>
          <w:rFonts w:hint="eastAsia"/>
          <w:lang w:val="es-ES"/>
        </w:rPr>
        <w:t>）。</w:t>
      </w:r>
    </w:p>
    <w:p w:rsidR="00000000" w:rsidRDefault="00CA422F">
      <w:pPr>
        <w:spacing w:after="240" w:line="360" w:lineRule="exact"/>
        <w:rPr>
          <w:rFonts w:hint="eastAsia"/>
          <w:lang w:val="es-ES"/>
        </w:rPr>
      </w:pPr>
      <w:r>
        <w:rPr>
          <w:rFonts w:hint="eastAsia"/>
          <w:lang w:val="es-ES"/>
        </w:rPr>
        <w:t>441</w:t>
      </w:r>
      <w:r>
        <w:rPr>
          <w:rFonts w:hint="eastAsia"/>
          <w:lang w:val="es-ES"/>
        </w:rPr>
        <w:t>．为了抗击癌症，特别设立了宫颈癌和乳腺癌全国防治计划，同共和国第一夫人办公室、哥斯达黎加社会保险公司、卫生部和国家妇女研究所共同开展工作。该计划使细胞检测的普及率增加到了</w:t>
      </w:r>
      <w:r>
        <w:rPr>
          <w:rFonts w:hint="eastAsia"/>
          <w:lang w:val="es-ES"/>
        </w:rPr>
        <w:t>60%</w:t>
      </w:r>
      <w:r>
        <w:rPr>
          <w:rFonts w:hint="eastAsia"/>
          <w:lang w:val="es-ES"/>
        </w:rPr>
        <w:t>，借助座谈、授课和公共活动等方式加强了对这种威胁女性健康的严重疾病的确诊能力并对有关医务人员进行性别视角的培训。该计划开展的活动主要集中在大西洋沿岸地区和中央地区。</w:t>
      </w:r>
    </w:p>
    <w:p w:rsidR="00000000" w:rsidRDefault="00CA422F">
      <w:pPr>
        <w:spacing w:after="240" w:line="360" w:lineRule="exact"/>
        <w:rPr>
          <w:rFonts w:hint="eastAsia"/>
          <w:lang w:val="es-ES"/>
        </w:rPr>
      </w:pPr>
      <w:r>
        <w:rPr>
          <w:rFonts w:hint="eastAsia"/>
          <w:lang w:val="es-ES"/>
        </w:rPr>
        <w:t>442</w:t>
      </w:r>
      <w:r>
        <w:rPr>
          <w:rFonts w:hint="eastAsia"/>
          <w:lang w:val="es-ES"/>
        </w:rPr>
        <w:t>．此外，还在哥斯达黎加主要的国家医院内开展了癌症早期诊断和治疗计划。细胞检测是一项非常严格的检测方式，目前</w:t>
      </w:r>
      <w:r>
        <w:rPr>
          <w:rFonts w:hint="eastAsia"/>
          <w:lang w:val="es-ES"/>
        </w:rPr>
        <w:t>，乳腺检查对女性而言，这种检测方式的危险性较大。需要特别指出的是，时至今日，并非所有的医院和诊所都配备了乳腺癌检测仪器。此外，上述计划在极力宣传和推广早期诊断的同时，也将检查的必要性深入人心，不过，通过这一过程，还让人们注意到了卫生保健系统的设备似乎仍然无法满足大众的需求。</w:t>
      </w:r>
    </w:p>
    <w:p w:rsidR="00000000" w:rsidRDefault="00CA422F">
      <w:pPr>
        <w:spacing w:after="240" w:line="360" w:lineRule="exact"/>
        <w:rPr>
          <w:rFonts w:hint="eastAsia"/>
          <w:lang w:val="es-ES"/>
        </w:rPr>
      </w:pPr>
      <w:r>
        <w:rPr>
          <w:rFonts w:hint="eastAsia"/>
          <w:lang w:val="es-ES"/>
        </w:rPr>
        <w:t>443</w:t>
      </w:r>
      <w:r>
        <w:rPr>
          <w:rFonts w:hint="eastAsia"/>
          <w:lang w:val="es-ES"/>
        </w:rPr>
        <w:t>．妇女医院同</w:t>
      </w:r>
      <w:r>
        <w:rPr>
          <w:lang w:val="es-ES"/>
        </w:rPr>
        <w:t>阿克斯塔</w:t>
      </w:r>
      <w:r>
        <w:rPr>
          <w:rFonts w:hint="eastAsia"/>
          <w:lang w:val="es-ES"/>
        </w:rPr>
        <w:t>、</w:t>
      </w:r>
      <w:r>
        <w:rPr>
          <w:lang w:val="es-ES"/>
        </w:rPr>
        <w:t>阿塞利</w:t>
      </w:r>
      <w:r>
        <w:rPr>
          <w:rFonts w:hint="eastAsia"/>
          <w:lang w:val="es-ES"/>
        </w:rPr>
        <w:t>和</w:t>
      </w:r>
      <w:r>
        <w:rPr>
          <w:lang w:val="es-ES"/>
        </w:rPr>
        <w:t>德森帕拉多斯</w:t>
      </w:r>
      <w:r>
        <w:rPr>
          <w:rFonts w:hint="eastAsia"/>
          <w:lang w:val="es-ES"/>
        </w:rPr>
        <w:t>等地的卫生机构合作，也为推动宫颈癌和乳腺癌全面关注计划开展了相应的活动。来自这些地区的近</w:t>
      </w:r>
      <w:r>
        <w:rPr>
          <w:rFonts w:hint="eastAsia"/>
          <w:lang w:val="es-ES"/>
        </w:rPr>
        <w:t>60</w:t>
      </w:r>
      <w:r>
        <w:rPr>
          <w:rFonts w:hint="eastAsia"/>
          <w:lang w:val="es-ES"/>
        </w:rPr>
        <w:t>名女性领导构成一个集体，多学科小组（由医生、护士、社工、社会学家和行政管理人员组成）负责提供必要</w:t>
      </w:r>
      <w:r>
        <w:rPr>
          <w:rFonts w:hint="eastAsia"/>
          <w:lang w:val="es-ES"/>
        </w:rPr>
        <w:t>的装备。目前，上述计划除了关注医疗服务以外，其工作重点主要集中在预防措施和女性自助小组的组建上。通过这项计划，在开展医疗服务进社区等活动、分组进行实际操作以及为服务项目年度执行方案确定活动安排和预算的同时，在第一和第二层的关注以外设立第三层关注。</w:t>
      </w:r>
    </w:p>
    <w:p w:rsidR="00000000" w:rsidRDefault="00CA422F">
      <w:pPr>
        <w:spacing w:after="240" w:line="360" w:lineRule="exact"/>
        <w:rPr>
          <w:rFonts w:hint="eastAsia"/>
          <w:lang w:val="es-ES"/>
        </w:rPr>
      </w:pPr>
      <w:r>
        <w:rPr>
          <w:rFonts w:hint="eastAsia"/>
          <w:lang w:val="es-ES"/>
        </w:rPr>
        <w:t>444</w:t>
      </w:r>
      <w:r>
        <w:rPr>
          <w:rFonts w:hint="eastAsia"/>
          <w:lang w:val="es-ES"/>
        </w:rPr>
        <w:t>．随着全国共同抗击癌症基金会这一非盈利组织的建立，许多妇女希望进行乳腺检查，因为圣胡安·德·迪奥斯医院为她们保留为期一年的检测预约。这同时也表明了存在着大量的需求。全国共同抗击癌症基金会为切除乳房的妇女提供人造器官和人造乳房。该基金会志愿者</w:t>
      </w:r>
      <w:r>
        <w:rPr>
          <w:rFonts w:hint="eastAsia"/>
          <w:lang w:val="es-ES"/>
        </w:rPr>
        <w:t>Marlene C</w:t>
      </w:r>
      <w:r>
        <w:rPr>
          <w:rFonts w:hint="eastAsia"/>
          <w:lang w:val="es-ES"/>
        </w:rPr>
        <w:t>astro</w:t>
      </w:r>
      <w:r>
        <w:rPr>
          <w:rFonts w:hint="eastAsia"/>
          <w:lang w:val="es-ES"/>
        </w:rPr>
        <w:t>女士认为，圣胡安·德·迪奥斯医院是女性人造器官最大的买家。有些医院不愿购置这些器械。在本报告撰写期间，乳房切除术所需的女性人造器官有</w:t>
      </w:r>
      <w:r>
        <w:rPr>
          <w:rFonts w:hint="eastAsia"/>
          <w:lang w:val="es-ES"/>
        </w:rPr>
        <w:t>90%</w:t>
      </w:r>
      <w:r>
        <w:rPr>
          <w:rFonts w:hint="eastAsia"/>
          <w:lang w:val="es-ES"/>
        </w:rPr>
        <w:t>是由全国共同抗击癌症基金会提供的。</w:t>
      </w:r>
    </w:p>
    <w:p w:rsidR="00000000" w:rsidRDefault="00CA422F">
      <w:pPr>
        <w:spacing w:after="240" w:line="360" w:lineRule="exact"/>
        <w:rPr>
          <w:rFonts w:hint="eastAsia"/>
          <w:lang w:val="es-ES"/>
        </w:rPr>
      </w:pPr>
      <w:r>
        <w:rPr>
          <w:rFonts w:hint="eastAsia"/>
          <w:lang w:val="es-ES"/>
        </w:rPr>
        <w:t>445</w:t>
      </w:r>
      <w:r>
        <w:rPr>
          <w:rFonts w:hint="eastAsia"/>
          <w:lang w:val="es-ES"/>
        </w:rPr>
        <w:t>．今年，全国共同抗击癌症基金会已经救助了</w:t>
      </w:r>
      <w:r>
        <w:rPr>
          <w:rFonts w:hint="eastAsia"/>
          <w:lang w:val="es-ES"/>
        </w:rPr>
        <w:t>5 400</w:t>
      </w:r>
      <w:r>
        <w:rPr>
          <w:rFonts w:hint="eastAsia"/>
          <w:lang w:val="es-ES"/>
        </w:rPr>
        <w:t>名女性，她们申请援助或前来咨询，其中也包括女性癌症患者。此外还有不少援助机构，但是</w:t>
      </w:r>
      <w:r>
        <w:rPr>
          <w:rFonts w:hint="eastAsia"/>
          <w:lang w:val="es-ES"/>
        </w:rPr>
        <w:t>Castro</w:t>
      </w:r>
      <w:r>
        <w:rPr>
          <w:rFonts w:hint="eastAsia"/>
          <w:lang w:val="es-ES"/>
        </w:rPr>
        <w:t>女士指出，这些机构的需求量较小，因为来自不同地区的妇女都被逐步组织和聚集在保健和癌症救助机构的周围。特雷斯·里奥斯的癌症、爱情和希望组织的情况正是如此。该组织由女性癌症幸存者或癌</w:t>
      </w:r>
      <w:r>
        <w:rPr>
          <w:rFonts w:hint="eastAsia"/>
          <w:lang w:val="es-ES"/>
        </w:rPr>
        <w:t>症患者组成。她们开展的活动极为重要，因为这表明女性正在逐步走出沉默，正在逐步摆脱例如癌症这种病症对她们的个人命运造成的影响。在不断地寻求援助的同时开始逐步探讨患病的原因。由</w:t>
      </w:r>
      <w:r>
        <w:rPr>
          <w:lang w:val="es-ES"/>
        </w:rPr>
        <w:t>Carmen Muñoz</w:t>
      </w:r>
      <w:r>
        <w:rPr>
          <w:rFonts w:hint="eastAsia"/>
          <w:lang w:val="es-ES"/>
        </w:rPr>
        <w:t>女士</w:t>
      </w:r>
      <w:r>
        <w:rPr>
          <w:rFonts w:hint="eastAsia"/>
        </w:rPr>
        <w:t>倡导成立</w:t>
      </w:r>
      <w:r>
        <w:rPr>
          <w:rFonts w:hint="eastAsia"/>
          <w:lang w:val="es-ES"/>
        </w:rPr>
        <w:t>的阿拉胡埃拉妇女抗癌团体便是由上述机构和女性健康协会发展而来的。该团体的成员都是高危人群，她们的母亲和祖母都死于癌症，而她们却希望能在自己的生活中防治癌症。除了危险因素以外，抗击癌症还是一条充满艰辛的道路，希望每一位女性都能够改善各自的饮食习惯、生活态度、夫妻关系、母子或母女关系，正视基因遗传因素，抗击</w:t>
      </w:r>
      <w:r>
        <w:rPr>
          <w:rFonts w:hint="eastAsia"/>
          <w:lang w:val="es-ES"/>
        </w:rPr>
        <w:t>像癌症这样残酷无情又“无法避免”的严重疾病。</w:t>
      </w:r>
    </w:p>
    <w:p w:rsidR="00000000" w:rsidRDefault="00CA422F">
      <w:pPr>
        <w:spacing w:after="240" w:line="360" w:lineRule="exact"/>
        <w:jc w:val="center"/>
        <w:rPr>
          <w:rFonts w:eastAsia="SimHei" w:hint="eastAsia"/>
          <w:sz w:val="24"/>
          <w:lang w:val="es-ES"/>
        </w:rPr>
      </w:pPr>
      <w:r>
        <w:rPr>
          <w:rFonts w:eastAsia="SimHei" w:hint="eastAsia"/>
          <w:sz w:val="24"/>
          <w:lang w:val="es-ES"/>
        </w:rPr>
        <w:t>女性艾滋病患者</w:t>
      </w:r>
    </w:p>
    <w:p w:rsidR="00000000" w:rsidRDefault="00CA422F">
      <w:pPr>
        <w:spacing w:after="240" w:line="360" w:lineRule="exact"/>
        <w:rPr>
          <w:rFonts w:hint="eastAsia"/>
          <w:lang w:val="es-ES"/>
        </w:rPr>
      </w:pPr>
      <w:r>
        <w:rPr>
          <w:rFonts w:hint="eastAsia"/>
          <w:lang w:val="es-ES"/>
        </w:rPr>
        <w:t>446</w:t>
      </w:r>
      <w:r>
        <w:rPr>
          <w:rFonts w:hint="eastAsia"/>
          <w:lang w:val="es-ES"/>
        </w:rPr>
        <w:t>．艾滋病的传播出现了女性化、年轻化和贫困化的趋势（</w:t>
      </w:r>
      <w:r>
        <w:rPr>
          <w:rFonts w:hint="eastAsia"/>
          <w:lang w:val="es-ES"/>
        </w:rPr>
        <w:t>Arroba</w:t>
      </w:r>
      <w:r>
        <w:rPr>
          <w:rFonts w:hint="eastAsia"/>
          <w:lang w:val="es-ES"/>
        </w:rPr>
        <w:t>，</w:t>
      </w:r>
      <w:r>
        <w:rPr>
          <w:rFonts w:hint="eastAsia"/>
          <w:lang w:val="es-ES"/>
        </w:rPr>
        <w:t>2001</w:t>
      </w:r>
      <w:r>
        <w:rPr>
          <w:rFonts w:hint="eastAsia"/>
          <w:lang w:val="es-ES"/>
        </w:rPr>
        <w:t>年；</w:t>
      </w:r>
      <w:r>
        <w:rPr>
          <w:lang w:val="es-ES"/>
        </w:rPr>
        <w:t>Guzmán</w:t>
      </w:r>
      <w:r>
        <w:rPr>
          <w:rFonts w:hint="eastAsia"/>
        </w:rPr>
        <w:t>，</w:t>
      </w:r>
      <w:r>
        <w:rPr>
          <w:rFonts w:hint="eastAsia"/>
        </w:rPr>
        <w:t>2001</w:t>
      </w:r>
      <w:r>
        <w:rPr>
          <w:rFonts w:hint="eastAsia"/>
        </w:rPr>
        <w:t>年</w:t>
      </w:r>
      <w:r>
        <w:rPr>
          <w:rFonts w:hint="eastAsia"/>
          <w:lang w:val="es-ES"/>
        </w:rPr>
        <w:t>）。</w:t>
      </w:r>
    </w:p>
    <w:p w:rsidR="00000000" w:rsidRDefault="00CA422F">
      <w:pPr>
        <w:spacing w:after="240" w:line="360" w:lineRule="exact"/>
        <w:rPr>
          <w:rFonts w:hint="eastAsia"/>
          <w:lang w:val="es-ES"/>
        </w:rPr>
      </w:pPr>
      <w:r>
        <w:rPr>
          <w:rFonts w:hint="eastAsia"/>
          <w:lang w:val="es-ES"/>
        </w:rPr>
        <w:t>447</w:t>
      </w:r>
      <w:r>
        <w:rPr>
          <w:rFonts w:hint="eastAsia"/>
          <w:lang w:val="es-ES"/>
        </w:rPr>
        <w:t>．哥斯达黎加第一例有记录的女性艾滋病出现于</w:t>
      </w:r>
      <w:r>
        <w:rPr>
          <w:rFonts w:hint="eastAsia"/>
          <w:lang w:val="es-ES"/>
        </w:rPr>
        <w:t>1986</w:t>
      </w:r>
      <w:r>
        <w:rPr>
          <w:rFonts w:hint="eastAsia"/>
          <w:lang w:val="es-ES"/>
        </w:rPr>
        <w:t>年，而第一例男性艾滋病则出现于</w:t>
      </w:r>
      <w:r>
        <w:rPr>
          <w:rFonts w:hint="eastAsia"/>
          <w:lang w:val="es-ES"/>
        </w:rPr>
        <w:t>1983</w:t>
      </w:r>
      <w:r>
        <w:rPr>
          <w:rFonts w:hint="eastAsia"/>
          <w:lang w:val="es-ES"/>
        </w:rPr>
        <w:t>年。截止</w:t>
      </w:r>
      <w:r>
        <w:rPr>
          <w:rFonts w:hint="eastAsia"/>
          <w:lang w:val="es-ES"/>
        </w:rPr>
        <w:t>1990</w:t>
      </w:r>
      <w:r>
        <w:rPr>
          <w:rFonts w:hint="eastAsia"/>
          <w:lang w:val="es-ES"/>
        </w:rPr>
        <w:t>年，女性艾滋病上升到</w:t>
      </w:r>
      <w:r>
        <w:rPr>
          <w:rFonts w:hint="eastAsia"/>
          <w:lang w:val="es-ES"/>
        </w:rPr>
        <w:t>21</w:t>
      </w:r>
      <w:r>
        <w:rPr>
          <w:rFonts w:hint="eastAsia"/>
          <w:lang w:val="es-ES"/>
        </w:rPr>
        <w:t>例。</w:t>
      </w:r>
      <w:r>
        <w:rPr>
          <w:rFonts w:hint="eastAsia"/>
          <w:lang w:val="es-ES"/>
        </w:rPr>
        <w:t>1991</w:t>
      </w:r>
      <w:r>
        <w:rPr>
          <w:rFonts w:hint="eastAsia"/>
          <w:lang w:val="es-ES"/>
        </w:rPr>
        <w:t>至</w:t>
      </w:r>
      <w:r>
        <w:rPr>
          <w:rFonts w:hint="eastAsia"/>
          <w:lang w:val="es-ES"/>
        </w:rPr>
        <w:t>1995</w:t>
      </w:r>
      <w:r>
        <w:rPr>
          <w:rFonts w:hint="eastAsia"/>
          <w:lang w:val="es-ES"/>
        </w:rPr>
        <w:t>年间又新增了</w:t>
      </w:r>
      <w:r>
        <w:rPr>
          <w:rFonts w:hint="eastAsia"/>
          <w:lang w:val="es-ES"/>
        </w:rPr>
        <w:t>65</w:t>
      </w:r>
      <w:r>
        <w:rPr>
          <w:rFonts w:hint="eastAsia"/>
          <w:lang w:val="es-ES"/>
        </w:rPr>
        <w:t>例，而</w:t>
      </w:r>
      <w:r>
        <w:rPr>
          <w:rFonts w:hint="eastAsia"/>
          <w:lang w:val="es-ES"/>
        </w:rPr>
        <w:t>1996</w:t>
      </w:r>
      <w:r>
        <w:rPr>
          <w:rFonts w:hint="eastAsia"/>
          <w:lang w:val="es-ES"/>
        </w:rPr>
        <w:t>至</w:t>
      </w:r>
      <w:r>
        <w:rPr>
          <w:rFonts w:hint="eastAsia"/>
          <w:lang w:val="es-ES"/>
        </w:rPr>
        <w:t>2000</w:t>
      </w:r>
      <w:r>
        <w:rPr>
          <w:rFonts w:hint="eastAsia"/>
          <w:lang w:val="es-ES"/>
        </w:rPr>
        <w:t>年间则新增了</w:t>
      </w:r>
      <w:r>
        <w:rPr>
          <w:rFonts w:hint="eastAsia"/>
          <w:lang w:val="es-ES"/>
        </w:rPr>
        <w:t>153</w:t>
      </w:r>
      <w:r>
        <w:rPr>
          <w:rFonts w:hint="eastAsia"/>
          <w:lang w:val="es-ES"/>
        </w:rPr>
        <w:t>名女性艾滋病患者。</w:t>
      </w:r>
      <w:r>
        <w:rPr>
          <w:rFonts w:hint="eastAsia"/>
          <w:lang w:val="es-ES"/>
        </w:rPr>
        <w:t>1998</w:t>
      </w:r>
      <w:r>
        <w:rPr>
          <w:rFonts w:hint="eastAsia"/>
          <w:lang w:val="es-ES"/>
        </w:rPr>
        <w:t>年以来这一趋势出现了变化，艾滋病的检测至今仍然呈现出稳定增长的趋势。</w:t>
      </w:r>
      <w:r>
        <w:rPr>
          <w:rFonts w:hint="eastAsia"/>
          <w:lang w:val="es-ES"/>
        </w:rPr>
        <w:t>1999</w:t>
      </w:r>
      <w:r>
        <w:rPr>
          <w:rFonts w:hint="eastAsia"/>
          <w:lang w:val="es-ES"/>
        </w:rPr>
        <w:t>年新增的男女患者总人数</w:t>
      </w:r>
      <w:r>
        <w:rPr>
          <w:rFonts w:hint="eastAsia"/>
          <w:lang w:val="es-ES"/>
        </w:rPr>
        <w:t>（</w:t>
      </w:r>
      <w:r>
        <w:rPr>
          <w:rFonts w:hint="eastAsia"/>
          <w:lang w:val="es-ES"/>
        </w:rPr>
        <w:t>173</w:t>
      </w:r>
      <w:r>
        <w:rPr>
          <w:rFonts w:hint="eastAsia"/>
          <w:lang w:val="es-ES"/>
        </w:rPr>
        <w:t>例）和</w:t>
      </w:r>
      <w:r>
        <w:rPr>
          <w:rFonts w:hint="eastAsia"/>
          <w:lang w:val="es-ES"/>
        </w:rPr>
        <w:t>2000</w:t>
      </w:r>
      <w:r>
        <w:rPr>
          <w:rFonts w:hint="eastAsia"/>
          <w:lang w:val="es-ES"/>
        </w:rPr>
        <w:t>年的新增数（</w:t>
      </w:r>
      <w:r>
        <w:rPr>
          <w:rFonts w:hint="eastAsia"/>
          <w:lang w:val="es-ES"/>
        </w:rPr>
        <w:t>125</w:t>
      </w:r>
      <w:r>
        <w:rPr>
          <w:rFonts w:hint="eastAsia"/>
          <w:lang w:val="es-ES"/>
        </w:rPr>
        <w:t>例）同</w:t>
      </w:r>
      <w:r>
        <w:rPr>
          <w:rFonts w:hint="eastAsia"/>
          <w:lang w:val="es-ES"/>
        </w:rPr>
        <w:t>1998</w:t>
      </w:r>
      <w:r>
        <w:rPr>
          <w:rFonts w:hint="eastAsia"/>
          <w:lang w:val="es-ES"/>
        </w:rPr>
        <w:t>年的数据（</w:t>
      </w:r>
      <w:r>
        <w:rPr>
          <w:rFonts w:hint="eastAsia"/>
          <w:lang w:val="es-ES"/>
        </w:rPr>
        <w:t>270</w:t>
      </w:r>
      <w:r>
        <w:rPr>
          <w:rFonts w:hint="eastAsia"/>
          <w:lang w:val="es-ES"/>
        </w:rPr>
        <w:t>例）相比，呈现出大幅度下降趋势。女性艾滋病患者占</w:t>
      </w:r>
      <w:r>
        <w:rPr>
          <w:rFonts w:hint="eastAsia"/>
          <w:lang w:val="es-ES"/>
        </w:rPr>
        <w:t>1983</w:t>
      </w:r>
      <w:r>
        <w:rPr>
          <w:rFonts w:hint="eastAsia"/>
          <w:lang w:val="es-ES"/>
        </w:rPr>
        <w:t>年以来患者总人数的</w:t>
      </w:r>
      <w:r>
        <w:rPr>
          <w:rFonts w:hint="eastAsia"/>
          <w:lang w:val="es-ES"/>
        </w:rPr>
        <w:t>12%</w:t>
      </w:r>
      <w:r>
        <w:rPr>
          <w:rFonts w:hint="eastAsia"/>
          <w:lang w:val="es-ES"/>
        </w:rPr>
        <w:t>（全国艾滋病整体关注委员会，</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448</w:t>
      </w:r>
      <w:r>
        <w:rPr>
          <w:rFonts w:hint="eastAsia"/>
          <w:lang w:val="es-ES"/>
        </w:rPr>
        <w:t>．自</w:t>
      </w:r>
      <w:r>
        <w:rPr>
          <w:rFonts w:hint="eastAsia"/>
          <w:lang w:val="es-ES"/>
        </w:rPr>
        <w:t>1985</w:t>
      </w:r>
      <w:r>
        <w:rPr>
          <w:rFonts w:hint="eastAsia"/>
          <w:lang w:val="es-ES"/>
        </w:rPr>
        <w:t>年以来，组织了卫生保健部门（卫生部和哥斯达黎加社会保险公司）不同机构的多重力量来解决这一问题，并成立了全国艾滋病委员会。</w:t>
      </w:r>
      <w:r>
        <w:rPr>
          <w:rFonts w:hint="eastAsia"/>
          <w:lang w:val="es-ES"/>
        </w:rPr>
        <w:t>1998</w:t>
      </w:r>
      <w:r>
        <w:rPr>
          <w:rFonts w:hint="eastAsia"/>
          <w:lang w:val="es-ES"/>
        </w:rPr>
        <w:t>年，随着</w:t>
      </w:r>
      <w:r>
        <w:rPr>
          <w:rFonts w:hint="eastAsia"/>
          <w:lang w:val="es-ES"/>
        </w:rPr>
        <w:t>7771</w:t>
      </w:r>
      <w:r>
        <w:rPr>
          <w:rFonts w:hint="eastAsia"/>
          <w:lang w:val="es-ES"/>
        </w:rPr>
        <w:t>号艾滋病总法的通过，全国艾滋病委员会改名为全国艾滋病整体关注委员会，由卫生、教育、司法、非政府组织和</w:t>
      </w:r>
      <w:r>
        <w:rPr>
          <w:rFonts w:hint="eastAsia"/>
          <w:lang w:val="es-ES"/>
        </w:rPr>
        <w:t>PVS</w:t>
      </w:r>
      <w:r>
        <w:rPr>
          <w:rStyle w:val="FootnoteReference"/>
          <w:lang w:val="es-ES"/>
        </w:rPr>
        <w:footnoteReference w:customMarkFollows="1" w:id="24"/>
        <w:t>23</w:t>
      </w:r>
      <w:r>
        <w:rPr>
          <w:rFonts w:hint="eastAsia"/>
          <w:lang w:val="es-ES"/>
        </w:rPr>
        <w:t>的代表组成。上述法律及其具体规定要求维护艾滋病</w:t>
      </w:r>
      <w:r>
        <w:rPr>
          <w:rFonts w:hint="eastAsia"/>
          <w:lang w:val="es-ES"/>
        </w:rPr>
        <w:t>感染者的集体和个人权益，还确定了相关机构的责任。对疑似病人和感染者的治疗管理应参照抗病毒治疗草案、孕妇感染草案和牙科诊所感染控制草案来进行。在防治艾滋病的战略性举措中运用性别视角问题至今仍有待解决。</w:t>
      </w:r>
    </w:p>
    <w:p w:rsidR="00000000" w:rsidRDefault="00CA422F">
      <w:pPr>
        <w:spacing w:after="240" w:line="360" w:lineRule="exact"/>
        <w:rPr>
          <w:rFonts w:hint="eastAsia"/>
          <w:lang w:val="es-ES"/>
        </w:rPr>
      </w:pPr>
      <w:r>
        <w:rPr>
          <w:rFonts w:hint="eastAsia"/>
          <w:lang w:val="es-ES"/>
        </w:rPr>
        <w:t>449</w:t>
      </w:r>
      <w:r>
        <w:rPr>
          <w:rFonts w:hint="eastAsia"/>
          <w:lang w:val="es-ES"/>
        </w:rPr>
        <w:t>．生命基金会会长</w:t>
      </w:r>
      <w:r>
        <w:rPr>
          <w:rFonts w:hint="eastAsia"/>
          <w:lang w:val="es-ES"/>
        </w:rPr>
        <w:t>Cristina Garita</w:t>
      </w:r>
      <w:r>
        <w:rPr>
          <w:rFonts w:hint="eastAsia"/>
          <w:lang w:val="es-ES"/>
        </w:rPr>
        <w:t>女士认为，哥斯达黎加的情况正如前面所述。根据卫生部提供的数据，截至</w:t>
      </w:r>
      <w:r>
        <w:rPr>
          <w:rFonts w:hint="eastAsia"/>
          <w:lang w:val="es-ES"/>
        </w:rPr>
        <w:t>1999</w:t>
      </w:r>
      <w:r>
        <w:rPr>
          <w:rFonts w:hint="eastAsia"/>
          <w:lang w:val="es-ES"/>
        </w:rPr>
        <w:t>年</w:t>
      </w:r>
      <w:r>
        <w:rPr>
          <w:rFonts w:hint="eastAsia"/>
          <w:lang w:val="es-ES"/>
        </w:rPr>
        <w:t>2</w:t>
      </w:r>
      <w:r>
        <w:rPr>
          <w:rFonts w:hint="eastAsia"/>
          <w:lang w:val="es-ES"/>
        </w:rPr>
        <w:t>月</w:t>
      </w:r>
      <w:r>
        <w:rPr>
          <w:rFonts w:hint="eastAsia"/>
          <w:lang w:val="es-ES"/>
        </w:rPr>
        <w:t>15</w:t>
      </w:r>
      <w:r>
        <w:rPr>
          <w:rFonts w:hint="eastAsia"/>
          <w:lang w:val="es-ES"/>
        </w:rPr>
        <w:t>日，登记在案的女性艾滋病患者共有</w:t>
      </w:r>
      <w:r>
        <w:rPr>
          <w:rFonts w:hint="eastAsia"/>
          <w:lang w:val="es-ES"/>
        </w:rPr>
        <w:t>337</w:t>
      </w:r>
      <w:r>
        <w:rPr>
          <w:rFonts w:hint="eastAsia"/>
          <w:lang w:val="es-ES"/>
        </w:rPr>
        <w:t>名，绝大部分的患者年龄集中在</w:t>
      </w:r>
      <w:r>
        <w:rPr>
          <w:rFonts w:hint="eastAsia"/>
          <w:lang w:val="es-ES"/>
        </w:rPr>
        <w:t>20</w:t>
      </w:r>
      <w:r>
        <w:rPr>
          <w:rFonts w:hint="eastAsia"/>
          <w:lang w:val="es-ES"/>
        </w:rPr>
        <w:t>至</w:t>
      </w:r>
      <w:r>
        <w:rPr>
          <w:rFonts w:hint="eastAsia"/>
          <w:lang w:val="es-ES"/>
        </w:rPr>
        <w:t>39</w:t>
      </w:r>
      <w:r>
        <w:rPr>
          <w:rFonts w:hint="eastAsia"/>
          <w:lang w:val="es-ES"/>
        </w:rPr>
        <w:t>岁之间（共</w:t>
      </w:r>
      <w:r>
        <w:rPr>
          <w:rFonts w:hint="eastAsia"/>
          <w:lang w:val="es-ES"/>
        </w:rPr>
        <w:t>197</w:t>
      </w:r>
      <w:r>
        <w:rPr>
          <w:rFonts w:hint="eastAsia"/>
          <w:lang w:val="es-ES"/>
        </w:rPr>
        <w:t>例，相当于艾滋病感染者总数的</w:t>
      </w:r>
      <w:r>
        <w:rPr>
          <w:rFonts w:hint="eastAsia"/>
          <w:lang w:val="es-ES"/>
        </w:rPr>
        <w:t>58%</w:t>
      </w:r>
      <w:r>
        <w:rPr>
          <w:rFonts w:hint="eastAsia"/>
          <w:lang w:val="es-ES"/>
        </w:rPr>
        <w:t>）。同时，大部分患者为已婚妇女（</w:t>
      </w:r>
      <w:r>
        <w:rPr>
          <w:rFonts w:hint="eastAsia"/>
          <w:lang w:val="es-ES"/>
        </w:rPr>
        <w:t>64</w:t>
      </w:r>
      <w:r>
        <w:rPr>
          <w:rFonts w:hint="eastAsia"/>
          <w:lang w:val="es-ES"/>
        </w:rPr>
        <w:t>例）或自由结合</w:t>
      </w:r>
      <w:r>
        <w:rPr>
          <w:rFonts w:hint="eastAsia"/>
          <w:lang w:val="es-ES"/>
        </w:rPr>
        <w:t>的妇女（</w:t>
      </w:r>
      <w:r>
        <w:rPr>
          <w:rFonts w:hint="eastAsia"/>
          <w:lang w:val="es-ES"/>
        </w:rPr>
        <w:t>74</w:t>
      </w:r>
      <w:r>
        <w:rPr>
          <w:rFonts w:hint="eastAsia"/>
          <w:lang w:val="es-ES"/>
        </w:rPr>
        <w:t>例），占感染者总数的</w:t>
      </w:r>
      <w:r>
        <w:rPr>
          <w:rFonts w:hint="eastAsia"/>
          <w:lang w:val="es-ES"/>
        </w:rPr>
        <w:t>40%</w:t>
      </w:r>
      <w:r>
        <w:rPr>
          <w:rFonts w:hint="eastAsia"/>
          <w:lang w:val="es-ES"/>
        </w:rPr>
        <w:t>。这些女性都有固定的性伙伴，主要从事家务劳动。而</w:t>
      </w:r>
      <w:r>
        <w:rPr>
          <w:rFonts w:hint="eastAsia"/>
          <w:lang w:val="es-ES"/>
        </w:rPr>
        <w:t>Garita</w:t>
      </w:r>
      <w:r>
        <w:rPr>
          <w:rFonts w:hint="eastAsia"/>
          <w:lang w:val="es-ES"/>
        </w:rPr>
        <w:t>则认为哥斯达黎加全国范围内共有</w:t>
      </w:r>
      <w:r>
        <w:rPr>
          <w:rFonts w:hint="eastAsia"/>
          <w:lang w:val="es-ES"/>
        </w:rPr>
        <w:t>12 000</w:t>
      </w:r>
      <w:r>
        <w:rPr>
          <w:rFonts w:hint="eastAsia"/>
          <w:lang w:val="es-ES"/>
        </w:rPr>
        <w:t>名艾滋病病毒携带者。虽然艾滋病整体关注委员会和艾滋病总法的有关规定都承认了艾滋病毒呈阳性者拥有进行艾滋病治疗的权利，但是自</w:t>
      </w:r>
      <w:r>
        <w:rPr>
          <w:rFonts w:hint="eastAsia"/>
          <w:lang w:val="es-ES"/>
        </w:rPr>
        <w:t>1995</w:t>
      </w:r>
      <w:r>
        <w:rPr>
          <w:rFonts w:hint="eastAsia"/>
          <w:lang w:val="es-ES"/>
        </w:rPr>
        <w:t>年以来一直没有开展任何全国性的艾滋病预防活动。有关专家指出，在正式的登记数据之外，仍然可能存在着不少艾滋病毒携带者。</w:t>
      </w:r>
    </w:p>
    <w:p w:rsidR="00000000" w:rsidRDefault="00CA422F">
      <w:pPr>
        <w:spacing w:after="240" w:line="360" w:lineRule="exact"/>
        <w:rPr>
          <w:rFonts w:hint="eastAsia"/>
          <w:lang w:val="es-ES"/>
        </w:rPr>
      </w:pPr>
      <w:r>
        <w:rPr>
          <w:rFonts w:hint="eastAsia"/>
          <w:lang w:val="es-ES"/>
        </w:rPr>
        <w:t>450</w:t>
      </w:r>
      <w:r>
        <w:rPr>
          <w:rFonts w:hint="eastAsia"/>
          <w:lang w:val="es-ES"/>
        </w:rPr>
        <w:t>．《艾滋病总法》，即</w:t>
      </w:r>
      <w:r>
        <w:rPr>
          <w:rFonts w:hint="eastAsia"/>
          <w:lang w:val="es-ES"/>
        </w:rPr>
        <w:t>7771</w:t>
      </w:r>
      <w:r>
        <w:rPr>
          <w:rFonts w:hint="eastAsia"/>
          <w:lang w:val="es-ES"/>
        </w:rPr>
        <w:t>号法令于</w:t>
      </w:r>
      <w:r>
        <w:rPr>
          <w:rFonts w:hint="eastAsia"/>
          <w:lang w:val="es-ES"/>
        </w:rPr>
        <w:t>1998</w:t>
      </w:r>
      <w:r>
        <w:rPr>
          <w:rFonts w:hint="eastAsia"/>
          <w:lang w:val="es-ES"/>
        </w:rPr>
        <w:t>年</w:t>
      </w:r>
      <w:r>
        <w:rPr>
          <w:rFonts w:hint="eastAsia"/>
          <w:lang w:val="es-ES"/>
        </w:rPr>
        <w:t>4</w:t>
      </w:r>
      <w:r>
        <w:rPr>
          <w:rFonts w:hint="eastAsia"/>
          <w:lang w:val="es-ES"/>
        </w:rPr>
        <w:t>月</w:t>
      </w:r>
      <w:r>
        <w:rPr>
          <w:rFonts w:hint="eastAsia"/>
          <w:lang w:val="es-ES"/>
        </w:rPr>
        <w:t>29</w:t>
      </w:r>
      <w:r>
        <w:rPr>
          <w:rFonts w:hint="eastAsia"/>
          <w:lang w:val="es-ES"/>
        </w:rPr>
        <w:t>日获得通过，是在全国艾滋病整体关注委员会的倡导下制订的。该委员会</w:t>
      </w:r>
      <w:r>
        <w:rPr>
          <w:rFonts w:hint="eastAsia"/>
          <w:lang w:val="es-ES"/>
        </w:rPr>
        <w:t>负责拟定公共部门的行动纲领和政策，督促病毒携带者前往卫生机构就诊，购买防治药物，并在报刊上公布药物的使用方法。同时，还必须建立一些体制来保障病人的隐私，对病历进行正确管理，推动艾滋病教育和预防战略计划的执行。该计划将同公共教育部合作，并在各种公立或私立学校和大专院校内开展活动。卫生部和哥斯达黎加社会保险公司也将同时制订全国预防和治疗行动纲要。非政府组织、天主教机构、福音组织和教会组织则在预防、教育和关注等方面开展了不少活动，并发挥了重要作用。</w:t>
      </w:r>
    </w:p>
    <w:p w:rsidR="00000000" w:rsidRDefault="00CA422F">
      <w:pPr>
        <w:spacing w:after="240" w:line="360" w:lineRule="exact"/>
        <w:rPr>
          <w:rFonts w:hint="eastAsia"/>
          <w:lang w:val="es-ES"/>
        </w:rPr>
      </w:pPr>
      <w:r>
        <w:rPr>
          <w:rFonts w:hint="eastAsia"/>
          <w:lang w:val="es-ES"/>
        </w:rPr>
        <w:t>451</w:t>
      </w:r>
      <w:r>
        <w:rPr>
          <w:rFonts w:hint="eastAsia"/>
          <w:lang w:val="es-ES"/>
        </w:rPr>
        <w:t>．委员会还肩负着制订教育、劳动、管理及其它领域里的防止歧视</w:t>
      </w:r>
      <w:r>
        <w:rPr>
          <w:rFonts w:hint="eastAsia"/>
          <w:lang w:val="es-ES"/>
        </w:rPr>
        <w:t>措施的责任。这方面的预防方案虽然已经出台，但是缺乏足够的资金来执行这一方案。民众普遍认为，政府有义务同社会保险公司共同承担该项任务。然而，时至今日</w:t>
      </w:r>
      <w:r>
        <w:rPr>
          <w:lang w:val="es-ES"/>
        </w:rPr>
        <w:t>,</w:t>
      </w:r>
      <w:r>
        <w:rPr>
          <w:rFonts w:hint="eastAsia"/>
          <w:lang w:val="es-ES"/>
        </w:rPr>
        <w:t>“从事预防工作的仍然只是一些非政府组织”。</w:t>
      </w:r>
    </w:p>
    <w:p w:rsidR="00000000" w:rsidRDefault="00CA422F">
      <w:pPr>
        <w:spacing w:after="240" w:line="360" w:lineRule="exact"/>
        <w:rPr>
          <w:rFonts w:hint="eastAsia"/>
        </w:rPr>
      </w:pPr>
      <w:r>
        <w:rPr>
          <w:rFonts w:hint="eastAsia"/>
          <w:lang w:val="es-ES"/>
        </w:rPr>
        <w:t>452</w:t>
      </w:r>
      <w:r>
        <w:rPr>
          <w:rFonts w:hint="eastAsia"/>
          <w:lang w:val="es-ES"/>
        </w:rPr>
        <w:t>．最初采取的行动主要集中在同性恋和女性色情业者身上。拉丁美洲卫生预防与教育学院（</w:t>
      </w:r>
      <w:r>
        <w:rPr>
          <w:rFonts w:hint="eastAsia"/>
          <w:lang w:val="es-ES"/>
        </w:rPr>
        <w:t>ILPES</w:t>
      </w:r>
      <w:r>
        <w:rPr>
          <w:rFonts w:hint="eastAsia"/>
          <w:lang w:val="es-ES"/>
        </w:rPr>
        <w:t>）自</w:t>
      </w:r>
      <w:r>
        <w:rPr>
          <w:rFonts w:hint="eastAsia"/>
          <w:lang w:val="es-ES"/>
        </w:rPr>
        <w:t>1993</w:t>
      </w:r>
      <w:r>
        <w:rPr>
          <w:rFonts w:hint="eastAsia"/>
          <w:lang w:val="es-ES"/>
        </w:rPr>
        <w:t>年以来，将其工作重点转移到了男性同性恋、失去自由的男性和异装癖喜好者等边缘群体上。某个非政府组织曾经为女性的预防做出过一定的努力，但是目前该组织已被取缔。</w:t>
      </w:r>
      <w:r>
        <w:rPr>
          <w:rFonts w:hint="eastAsia"/>
          <w:lang w:val="es-ES"/>
        </w:rPr>
        <w:t>10</w:t>
      </w:r>
      <w:r>
        <w:rPr>
          <w:rFonts w:hint="eastAsia"/>
          <w:lang w:val="es-ES"/>
        </w:rPr>
        <w:t>年前成立的生命基金会则为女性艾滋病病毒携带者提供关注服</w:t>
      </w:r>
      <w:r>
        <w:rPr>
          <w:rFonts w:hint="eastAsia"/>
          <w:lang w:val="es-ES"/>
        </w:rPr>
        <w:t>务。其活动对象主要是女性，并且对女性提供一定的援助。哥斯达黎加国内目前从事艾滋病预防和关注服务的非政府组织如下：艾滋病关注协会，艾滋病协会，艾滋病委员会，哥斯达黎加疾病学院，“今日为你”协会、今日慈悲协会、</w:t>
      </w:r>
      <w:r>
        <w:rPr>
          <w:rFonts w:hint="eastAsia"/>
          <w:lang w:val="es-ES"/>
        </w:rPr>
        <w:t>CIPAC</w:t>
      </w:r>
      <w:r>
        <w:rPr>
          <w:rFonts w:hint="eastAsia"/>
          <w:lang w:val="es-ES"/>
        </w:rPr>
        <w:t>、圣水协会、希望之家、联合会和</w:t>
      </w:r>
      <w:r>
        <w:rPr>
          <w:rFonts w:hint="eastAsia"/>
        </w:rPr>
        <w:t>艾滋病基金会等。</w:t>
      </w:r>
    </w:p>
    <w:p w:rsidR="00000000" w:rsidRDefault="00CA422F">
      <w:pPr>
        <w:spacing w:after="240" w:line="360" w:lineRule="exact"/>
        <w:jc w:val="center"/>
        <w:rPr>
          <w:rFonts w:eastAsia="SimHei" w:hint="eastAsia"/>
          <w:sz w:val="24"/>
        </w:rPr>
      </w:pPr>
      <w:r>
        <w:rPr>
          <w:rFonts w:eastAsia="SimHei" w:hint="eastAsia"/>
          <w:sz w:val="24"/>
        </w:rPr>
        <w:t>女性心理健康</w:t>
      </w:r>
    </w:p>
    <w:p w:rsidR="00000000" w:rsidRDefault="00CA422F">
      <w:pPr>
        <w:spacing w:after="240" w:line="360" w:lineRule="exact"/>
        <w:rPr>
          <w:rFonts w:hint="eastAsia"/>
          <w:lang w:val="es-ES"/>
        </w:rPr>
      </w:pPr>
      <w:r>
        <w:rPr>
          <w:rFonts w:hint="eastAsia"/>
        </w:rPr>
        <w:t>453</w:t>
      </w:r>
      <w:r>
        <w:rPr>
          <w:rFonts w:hint="eastAsia"/>
        </w:rPr>
        <w:t>．女性方面的一个引起争议的问题是应该如何“治疗”女性因精神萎靡感受到的不幸，以及如何将女性精神方面的不安和烦躁定义为心理疾病。</w:t>
      </w:r>
      <w:r>
        <w:rPr>
          <w:lang w:val="es-ES"/>
        </w:rPr>
        <w:t>María Elena López</w:t>
      </w:r>
      <w:r>
        <w:rPr>
          <w:rFonts w:hint="eastAsia"/>
        </w:rPr>
        <w:t>博士认为，在哥斯达黎加，卫生部的心理健康服务并不存在。</w:t>
      </w:r>
      <w:r>
        <w:rPr>
          <w:rFonts w:hint="eastAsia"/>
          <w:lang w:val="es-ES"/>
        </w:rPr>
        <w:t>Edda Qu</w:t>
      </w:r>
      <w:r>
        <w:rPr>
          <w:rFonts w:hint="eastAsia"/>
          <w:lang w:val="es-ES"/>
        </w:rPr>
        <w:t>ir</w:t>
      </w:r>
      <w:r>
        <w:rPr>
          <w:lang w:val="es-ES"/>
        </w:rPr>
        <w:t>ós</w:t>
      </w:r>
      <w:r>
        <w:rPr>
          <w:rFonts w:hint="eastAsia"/>
          <w:lang w:val="es-ES"/>
        </w:rPr>
        <w:t>女士也赞同上述观点，她批评说，虽然有人想尽力改变这种状况，但目前仍然缺乏任何形式的心理健康服务。医生对女性使用的药物主要是安定片、降压片和镇静剂。“不仅要弄明白病人为什么会如此，更应该搞清楚究竟是那些因素导致了精神萎靡。有生理方面的原因吗？是的，生理因素的确起了一定作用，但是许多女性认为药物根本无效，她们同其他人一样，拒绝服用药物。”</w:t>
      </w:r>
      <w:r>
        <w:rPr>
          <w:lang w:val="es-ES"/>
        </w:rPr>
        <w:t>López</w:t>
      </w:r>
      <w:r>
        <w:rPr>
          <w:rFonts w:hint="eastAsia"/>
          <w:lang w:val="es-ES"/>
        </w:rPr>
        <w:t>女士如是说。</w:t>
      </w:r>
      <w:r>
        <w:rPr>
          <w:rFonts w:hint="eastAsia"/>
          <w:lang w:val="es-ES"/>
        </w:rPr>
        <w:t>1996</w:t>
      </w:r>
      <w:r>
        <w:rPr>
          <w:rFonts w:hint="eastAsia"/>
          <w:lang w:val="es-ES"/>
        </w:rPr>
        <w:t>年，在因心理变化导致无法工作的案例中女性所占比例高达近</w:t>
      </w:r>
      <w:r>
        <w:rPr>
          <w:rFonts w:hint="eastAsia"/>
          <w:lang w:val="es-ES"/>
        </w:rPr>
        <w:t>70%</w:t>
      </w:r>
      <w:r>
        <w:rPr>
          <w:rFonts w:hint="eastAsia"/>
          <w:lang w:val="es-ES"/>
        </w:rPr>
        <w:t>，女性无法胜任工作的平均天数（</w:t>
      </w:r>
      <w:r>
        <w:rPr>
          <w:rFonts w:hint="eastAsia"/>
          <w:lang w:val="es-ES"/>
        </w:rPr>
        <w:t>16.89</w:t>
      </w:r>
      <w:r>
        <w:rPr>
          <w:rFonts w:hint="eastAsia"/>
          <w:lang w:val="es-ES"/>
        </w:rPr>
        <w:t>）明显高于男性（</w:t>
      </w:r>
      <w:r>
        <w:rPr>
          <w:rFonts w:hint="eastAsia"/>
          <w:lang w:val="es-ES"/>
        </w:rPr>
        <w:t>11.79</w:t>
      </w:r>
      <w:r>
        <w:rPr>
          <w:rFonts w:hint="eastAsia"/>
          <w:lang w:val="es-ES"/>
        </w:rPr>
        <w:t>）。心理而非</w:t>
      </w:r>
      <w:r>
        <w:rPr>
          <w:rFonts w:hint="eastAsia"/>
          <w:lang w:val="es-ES"/>
        </w:rPr>
        <w:t>精神方面的疾病造成该年度所有女性无法胜任工作因素的</w:t>
      </w:r>
      <w:r>
        <w:rPr>
          <w:rFonts w:hint="eastAsia"/>
          <w:lang w:val="es-ES"/>
        </w:rPr>
        <w:t>9%</w:t>
      </w:r>
      <w:r>
        <w:rPr>
          <w:rFonts w:hint="eastAsia"/>
          <w:lang w:val="es-ES"/>
        </w:rPr>
        <w:t>（</w:t>
      </w:r>
      <w:r>
        <w:rPr>
          <w:rFonts w:hint="eastAsia"/>
          <w:lang w:val="es-ES"/>
        </w:rPr>
        <w:t>Morice</w:t>
      </w:r>
      <w:r>
        <w:rPr>
          <w:rFonts w:hint="eastAsia"/>
          <w:lang w:val="es-ES"/>
        </w:rPr>
        <w:t>和</w:t>
      </w:r>
      <w:r>
        <w:rPr>
          <w:lang w:val="es-ES"/>
        </w:rPr>
        <w:t>Solís</w:t>
      </w:r>
      <w:r>
        <w:rPr>
          <w:rFonts w:hint="eastAsia"/>
        </w:rPr>
        <w:t>，</w:t>
      </w:r>
      <w:r>
        <w:rPr>
          <w:rFonts w:hint="eastAsia"/>
        </w:rPr>
        <w:t>1998</w:t>
      </w:r>
      <w:r>
        <w:rPr>
          <w:rFonts w:hint="eastAsia"/>
        </w:rPr>
        <w:t>年</w:t>
      </w:r>
      <w:r>
        <w:rPr>
          <w:rFonts w:hint="eastAsia"/>
          <w:lang w:val="es-ES"/>
        </w:rPr>
        <w:t>）。</w:t>
      </w:r>
    </w:p>
    <w:p w:rsidR="00000000" w:rsidRDefault="00CA422F">
      <w:pPr>
        <w:spacing w:after="240" w:line="360" w:lineRule="exact"/>
        <w:rPr>
          <w:rFonts w:hint="eastAsia"/>
          <w:lang w:val="es-ES"/>
        </w:rPr>
      </w:pPr>
      <w:r>
        <w:rPr>
          <w:rFonts w:hint="eastAsia"/>
          <w:lang w:val="es-ES"/>
        </w:rPr>
        <w:t>454</w:t>
      </w:r>
      <w:r>
        <w:rPr>
          <w:rFonts w:hint="eastAsia"/>
          <w:lang w:val="es-ES"/>
        </w:rPr>
        <w:t>．</w:t>
      </w:r>
      <w:r>
        <w:rPr>
          <w:rFonts w:hint="eastAsia"/>
          <w:lang w:val="es-ES"/>
        </w:rPr>
        <w:t>1985</w:t>
      </w:r>
      <w:r>
        <w:rPr>
          <w:rFonts w:hint="eastAsia"/>
          <w:lang w:val="es-ES"/>
        </w:rPr>
        <w:t>年至</w:t>
      </w:r>
      <w:r>
        <w:rPr>
          <w:rFonts w:hint="eastAsia"/>
          <w:lang w:val="es-ES"/>
        </w:rPr>
        <w:t>1997</w:t>
      </w:r>
      <w:r>
        <w:rPr>
          <w:rFonts w:hint="eastAsia"/>
          <w:lang w:val="es-ES"/>
        </w:rPr>
        <w:t>年，女性自杀从</w:t>
      </w:r>
      <w:r>
        <w:rPr>
          <w:rFonts w:hint="eastAsia"/>
          <w:lang w:val="es-ES"/>
        </w:rPr>
        <w:t>14</w:t>
      </w:r>
      <w:r>
        <w:rPr>
          <w:rFonts w:hint="eastAsia"/>
          <w:lang w:val="es-ES"/>
        </w:rPr>
        <w:t>例增加到</w:t>
      </w:r>
      <w:r>
        <w:rPr>
          <w:rFonts w:hint="eastAsia"/>
          <w:lang w:val="es-ES"/>
        </w:rPr>
        <w:t>26</w:t>
      </w:r>
      <w:r>
        <w:rPr>
          <w:rFonts w:hint="eastAsia"/>
          <w:lang w:val="es-ES"/>
        </w:rPr>
        <w:t>例（</w:t>
      </w:r>
      <w:r>
        <w:rPr>
          <w:rFonts w:hint="eastAsia"/>
          <w:lang w:val="es-ES"/>
        </w:rPr>
        <w:t>26</w:t>
      </w:r>
      <w:r>
        <w:rPr>
          <w:rFonts w:hint="eastAsia"/>
          <w:lang w:val="es-ES"/>
        </w:rPr>
        <w:t>例中有</w:t>
      </w:r>
      <w:r>
        <w:rPr>
          <w:rFonts w:hint="eastAsia"/>
          <w:lang w:val="es-ES"/>
        </w:rPr>
        <w:t>4</w:t>
      </w:r>
      <w:r>
        <w:rPr>
          <w:rFonts w:hint="eastAsia"/>
          <w:lang w:val="es-ES"/>
        </w:rPr>
        <w:t>例为外籍女子），分别占该年自杀总人数的</w:t>
      </w:r>
      <w:r>
        <w:rPr>
          <w:rFonts w:hint="eastAsia"/>
          <w:lang w:val="es-ES"/>
        </w:rPr>
        <w:t>16%</w:t>
      </w:r>
      <w:r>
        <w:rPr>
          <w:rFonts w:hint="eastAsia"/>
          <w:lang w:val="es-ES"/>
        </w:rPr>
        <w:t>和</w:t>
      </w:r>
      <w:r>
        <w:rPr>
          <w:rFonts w:hint="eastAsia"/>
          <w:lang w:val="es-ES"/>
        </w:rPr>
        <w:t>19.6%</w:t>
      </w:r>
      <w:r>
        <w:rPr>
          <w:rFonts w:hint="eastAsia"/>
          <w:lang w:val="es-ES"/>
        </w:rPr>
        <w:t>。年龄在</w:t>
      </w:r>
      <w:r>
        <w:rPr>
          <w:rFonts w:hint="eastAsia"/>
          <w:lang w:val="es-ES"/>
        </w:rPr>
        <w:t>20</w:t>
      </w:r>
      <w:r>
        <w:rPr>
          <w:rFonts w:hint="eastAsia"/>
          <w:lang w:val="es-ES"/>
        </w:rPr>
        <w:t>和</w:t>
      </w:r>
      <w:r>
        <w:rPr>
          <w:rFonts w:hint="eastAsia"/>
          <w:lang w:val="es-ES"/>
        </w:rPr>
        <w:t>20</w:t>
      </w:r>
      <w:r>
        <w:rPr>
          <w:rFonts w:hint="eastAsia"/>
          <w:lang w:val="es-ES"/>
        </w:rPr>
        <w:t>岁以下的女性自杀人数从</w:t>
      </w:r>
      <w:r>
        <w:rPr>
          <w:rFonts w:hint="eastAsia"/>
          <w:lang w:val="es-ES"/>
        </w:rPr>
        <w:t>1985</w:t>
      </w:r>
      <w:r>
        <w:rPr>
          <w:rFonts w:hint="eastAsia"/>
          <w:lang w:val="es-ES"/>
        </w:rPr>
        <w:t>年的</w:t>
      </w:r>
      <w:r>
        <w:rPr>
          <w:rFonts w:hint="eastAsia"/>
          <w:lang w:val="es-ES"/>
        </w:rPr>
        <w:t>6</w:t>
      </w:r>
      <w:r>
        <w:rPr>
          <w:rFonts w:hint="eastAsia"/>
          <w:lang w:val="es-ES"/>
        </w:rPr>
        <w:t>例上升至</w:t>
      </w:r>
      <w:r>
        <w:rPr>
          <w:rFonts w:hint="eastAsia"/>
          <w:lang w:val="es-ES"/>
        </w:rPr>
        <w:t>1997</w:t>
      </w:r>
      <w:r>
        <w:rPr>
          <w:rFonts w:hint="eastAsia"/>
          <w:lang w:val="es-ES"/>
        </w:rPr>
        <w:t>年的</w:t>
      </w:r>
      <w:r>
        <w:rPr>
          <w:rFonts w:hint="eastAsia"/>
          <w:lang w:val="es-ES"/>
        </w:rPr>
        <w:t>12</w:t>
      </w:r>
      <w:r>
        <w:rPr>
          <w:rFonts w:hint="eastAsia"/>
          <w:lang w:val="es-ES"/>
        </w:rPr>
        <w:t>例（</w:t>
      </w:r>
      <w:r>
        <w:rPr>
          <w:rFonts w:hint="eastAsia"/>
          <w:lang w:val="es-ES"/>
        </w:rPr>
        <w:t>Miranda</w:t>
      </w:r>
      <w:r>
        <w:rPr>
          <w:rFonts w:hint="eastAsia"/>
          <w:lang w:val="es-ES"/>
        </w:rPr>
        <w:t>和</w:t>
      </w:r>
      <w:r>
        <w:rPr>
          <w:rFonts w:hint="eastAsia"/>
          <w:lang w:val="es-ES"/>
        </w:rPr>
        <w:t>Del Valle</w:t>
      </w:r>
      <w:r>
        <w:rPr>
          <w:rFonts w:hint="eastAsia"/>
          <w:lang w:val="es-ES"/>
        </w:rPr>
        <w:t>，</w:t>
      </w:r>
      <w:r>
        <w:rPr>
          <w:rFonts w:hint="eastAsia"/>
          <w:lang w:val="es-ES"/>
        </w:rPr>
        <w:t>2002</w:t>
      </w:r>
      <w:r>
        <w:rPr>
          <w:rFonts w:hint="eastAsia"/>
          <w:lang w:val="es-ES"/>
        </w:rPr>
        <w:t>年）。</w:t>
      </w:r>
    </w:p>
    <w:p w:rsidR="00000000" w:rsidRDefault="00CA422F">
      <w:pPr>
        <w:spacing w:after="240" w:line="360" w:lineRule="exact"/>
        <w:rPr>
          <w:rFonts w:hint="eastAsia"/>
          <w:lang w:val="es-ES"/>
        </w:rPr>
      </w:pPr>
      <w:r>
        <w:rPr>
          <w:rFonts w:hint="eastAsia"/>
          <w:lang w:val="es-ES"/>
        </w:rPr>
        <w:t>455</w:t>
      </w:r>
      <w:r>
        <w:rPr>
          <w:rFonts w:hint="eastAsia"/>
          <w:lang w:val="es-ES"/>
        </w:rPr>
        <w:t>．综合上述原因，需要尽快制订一项贯穿女性各个生命时期的“</w:t>
      </w:r>
      <w:r>
        <w:rPr>
          <w:rFonts w:eastAsia="KaiTi_GB2312" w:hint="eastAsia"/>
          <w:lang w:val="es-ES"/>
        </w:rPr>
        <w:t>女性心理整体健康计划</w:t>
      </w:r>
      <w:r>
        <w:rPr>
          <w:rFonts w:hint="eastAsia"/>
          <w:lang w:val="es-ES"/>
        </w:rPr>
        <w:t>”。根据预设的工作重点，心理健康应该理解为个人自身及周围环境的一项福</w:t>
      </w:r>
      <w:r>
        <w:rPr>
          <w:rFonts w:hint="eastAsia"/>
          <w:lang w:val="es-ES"/>
        </w:rPr>
        <w:t>利，是保障健康的有效措施，因此，应该排除“治疗”措施的滥用，解决该问题可以采取的措施包括在医院环境之外开展各类体育锻炼、娱乐休闲和集体疗法等。</w:t>
      </w:r>
    </w:p>
    <w:p w:rsidR="00000000" w:rsidRDefault="00CA422F">
      <w:pPr>
        <w:spacing w:after="240" w:line="360" w:lineRule="exact"/>
        <w:jc w:val="center"/>
        <w:rPr>
          <w:rFonts w:eastAsia="SimHei" w:hint="eastAsia"/>
          <w:sz w:val="24"/>
        </w:rPr>
      </w:pPr>
      <w:r>
        <w:rPr>
          <w:rFonts w:eastAsia="SimHei" w:hint="eastAsia"/>
          <w:sz w:val="24"/>
        </w:rPr>
        <w:t>特别关注老年妇女保健计划的缺乏</w:t>
      </w:r>
    </w:p>
    <w:p w:rsidR="00000000" w:rsidRDefault="00CA422F">
      <w:pPr>
        <w:spacing w:after="240" w:line="360" w:lineRule="exact"/>
        <w:rPr>
          <w:rFonts w:hint="eastAsia"/>
          <w:lang w:val="es-ES"/>
        </w:rPr>
      </w:pPr>
      <w:r>
        <w:rPr>
          <w:rFonts w:hint="eastAsia"/>
          <w:lang w:val="es-ES"/>
        </w:rPr>
        <w:t>456</w:t>
      </w:r>
      <w:r>
        <w:rPr>
          <w:rFonts w:hint="eastAsia"/>
          <w:lang w:val="es-ES"/>
        </w:rPr>
        <w:t>．在哥斯达黎加，对老年人的健康关注由布兰科·塞万提斯医院负责。该医院是专门负责照料老年人群的唯一一家国家医院。最近两年，虽然保障老年人权益的有关司法规定获得了通过，但任何有效手段都仍然缺乏性别视角的运用（</w:t>
      </w:r>
      <w:r>
        <w:rPr>
          <w:rFonts w:hint="eastAsia"/>
          <w:lang w:val="es-ES"/>
        </w:rPr>
        <w:t>Goldenberg</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457</w:t>
      </w:r>
      <w:r>
        <w:rPr>
          <w:rFonts w:hint="eastAsia"/>
          <w:lang w:val="es-ES"/>
        </w:rPr>
        <w:t>．《老年综合法》，</w:t>
      </w:r>
      <w:r>
        <w:rPr>
          <w:rFonts w:hint="eastAsia"/>
          <w:lang w:val="es-ES"/>
        </w:rPr>
        <w:t>7935</w:t>
      </w:r>
      <w:r>
        <w:rPr>
          <w:rFonts w:hint="eastAsia"/>
          <w:lang w:val="es-ES"/>
        </w:rPr>
        <w:t>号法律，于</w:t>
      </w:r>
      <w:r>
        <w:rPr>
          <w:rFonts w:hint="eastAsia"/>
          <w:lang w:val="es-ES"/>
        </w:rPr>
        <w:t>1999</w:t>
      </w:r>
      <w:r>
        <w:rPr>
          <w:rFonts w:hint="eastAsia"/>
          <w:lang w:val="es-ES"/>
        </w:rPr>
        <w:t>年</w:t>
      </w:r>
      <w:r>
        <w:rPr>
          <w:rFonts w:hint="eastAsia"/>
          <w:lang w:val="es-ES"/>
        </w:rPr>
        <w:t>11</w:t>
      </w:r>
      <w:r>
        <w:rPr>
          <w:rFonts w:hint="eastAsia"/>
          <w:lang w:val="es-ES"/>
        </w:rPr>
        <w:t>月</w:t>
      </w:r>
      <w:r>
        <w:rPr>
          <w:rFonts w:hint="eastAsia"/>
          <w:lang w:val="es-ES"/>
        </w:rPr>
        <w:t>15</w:t>
      </w:r>
      <w:r>
        <w:rPr>
          <w:rFonts w:hint="eastAsia"/>
          <w:lang w:val="es-ES"/>
        </w:rPr>
        <w:t>日在</w:t>
      </w:r>
      <w:r>
        <w:rPr>
          <w:rFonts w:hint="eastAsia"/>
          <w:lang w:val="es-ES"/>
        </w:rPr>
        <w:t>221</w:t>
      </w:r>
      <w:r>
        <w:rPr>
          <w:rFonts w:hint="eastAsia"/>
          <w:lang w:val="es-ES"/>
        </w:rPr>
        <w:t>期官方日报《公报</w:t>
      </w:r>
      <w:r>
        <w:rPr>
          <w:rFonts w:hint="eastAsia"/>
          <w:lang w:val="es-ES"/>
        </w:rPr>
        <w:t>》上公布，同时还成立了全国老年委员会。作为负责机构，对老年人群的整体关注和人口老龄化的不同方面进行监督。该法律承认并确定了一系列改善老年妇女生活质量的权利，在第二章第三款中规定了政府应尽的义务，还规定了卫生部应该借助宣传、预防、治疗和恢复等方案，为老年人提供健康关注服务。然而，在健康关注中从未对不同性别的特殊情况做出任何相应规定。</w:t>
      </w:r>
    </w:p>
    <w:p w:rsidR="00000000" w:rsidRDefault="00CA422F">
      <w:pPr>
        <w:spacing w:after="240" w:line="360" w:lineRule="exact"/>
        <w:rPr>
          <w:rFonts w:hint="eastAsia"/>
          <w:lang w:val="es-ES"/>
        </w:rPr>
      </w:pPr>
      <w:r>
        <w:rPr>
          <w:rFonts w:hint="eastAsia"/>
          <w:lang w:val="es-ES"/>
        </w:rPr>
        <w:t>458</w:t>
      </w:r>
      <w:r>
        <w:rPr>
          <w:rFonts w:hint="eastAsia"/>
          <w:lang w:val="es-ES"/>
        </w:rPr>
        <w:t>．另一方面，劳尔·布兰科·塞万提斯医生诊所－老年病学和老年医学国家医院除了缺乏针对性别的有关规定之外，应该说是老年健康关注的典型，可以将其在全国范围内进行推广。</w:t>
      </w:r>
      <w:r>
        <w:rPr>
          <w:rFonts w:hint="eastAsia"/>
        </w:rPr>
        <w:t>《</w:t>
      </w:r>
      <w:r>
        <w:rPr>
          <w:rFonts w:hint="eastAsia"/>
          <w:lang w:val="es-ES"/>
        </w:rPr>
        <w:t>老年综合法</w:t>
      </w:r>
      <w:r>
        <w:rPr>
          <w:rFonts w:hint="eastAsia"/>
          <w:lang w:val="es-ES"/>
        </w:rPr>
        <w:t>》第三章第</w:t>
      </w:r>
      <w:r>
        <w:rPr>
          <w:rFonts w:hint="eastAsia"/>
          <w:lang w:val="es-ES"/>
        </w:rPr>
        <w:t>20</w:t>
      </w:r>
      <w:r>
        <w:rPr>
          <w:rFonts w:hint="eastAsia"/>
          <w:lang w:val="es-ES"/>
        </w:rPr>
        <w:t>条规定：</w:t>
      </w:r>
    </w:p>
    <w:p w:rsidR="00000000" w:rsidRDefault="00CA422F" w:rsidP="00CA422F">
      <w:pPr>
        <w:spacing w:after="240" w:line="360" w:lineRule="exact"/>
        <w:ind w:leftChars="200" w:left="31680" w:firstLineChars="200" w:firstLine="31680"/>
        <w:rPr>
          <w:rFonts w:eastAsia="KaiTi_GB2312" w:hint="eastAsia"/>
          <w:lang w:val="es-ES"/>
        </w:rPr>
      </w:pPr>
      <w:r>
        <w:rPr>
          <w:rFonts w:eastAsia="KaiTi_GB2312" w:hint="eastAsia"/>
          <w:lang w:val="es-ES"/>
        </w:rPr>
        <w:t>“政府应该推动各个健康关注层次中老年病学和老年医学前后教育计划的制订，尤其应该对专业技术人员进行老年人整体关注培训。这项工作可以在劳尔·布兰科·塞万提斯医生诊所－老年病学和老年医学国家医院及其它专业医院内开展。国家教育委员会将督促各个大专院校在其医学院内设立老年病学专业，在卫生和社会科学领域的相关院系中设立老年医学专业。上述活动应该在专门从事老年健康关注领域的医疗中心内开展”。</w:t>
      </w:r>
    </w:p>
    <w:p w:rsidR="00000000" w:rsidRDefault="00CA422F">
      <w:pPr>
        <w:spacing w:after="240" w:line="360" w:lineRule="exact"/>
        <w:rPr>
          <w:rFonts w:hint="eastAsia"/>
          <w:lang w:val="es-ES"/>
        </w:rPr>
      </w:pPr>
      <w:r>
        <w:rPr>
          <w:rFonts w:hint="eastAsia"/>
          <w:lang w:val="es-ES"/>
        </w:rPr>
        <w:t>459</w:t>
      </w:r>
      <w:r>
        <w:rPr>
          <w:rFonts w:hint="eastAsia"/>
          <w:lang w:val="es-ES"/>
        </w:rPr>
        <w:t>．然而，在各类托老所、养老院和老年收容中心的创建和运行机制的相关规定中，根本无法见到同性别有关的区别</w:t>
      </w:r>
      <w:r>
        <w:rPr>
          <w:rFonts w:hint="eastAsia"/>
          <w:lang w:val="es-ES"/>
        </w:rPr>
        <w:t>或特殊规定。</w:t>
      </w:r>
    </w:p>
    <w:p w:rsidR="00000000" w:rsidRDefault="00CA422F">
      <w:pPr>
        <w:spacing w:after="240" w:line="360" w:lineRule="exact"/>
        <w:rPr>
          <w:rFonts w:hint="eastAsia"/>
          <w:lang w:val="es-ES"/>
        </w:rPr>
      </w:pPr>
      <w:r>
        <w:rPr>
          <w:rFonts w:hint="eastAsia"/>
          <w:lang w:val="es-ES"/>
        </w:rPr>
        <w:t>460</w:t>
      </w:r>
      <w:r>
        <w:rPr>
          <w:rFonts w:hint="eastAsia"/>
          <w:lang w:val="es-ES"/>
        </w:rPr>
        <w:t>．在老年健康关注方面，对有可能伤害到老年人的虐待、侵犯和滥用等情况应予以特别重视。《老年综合法》将对人身攻击、性侵犯或心理及财产继承权的侵犯处以刑事惩罚。然而，针对攻击状况的保护机制，目前只有在全国范围内推行的</w:t>
      </w:r>
      <w:r>
        <w:rPr>
          <w:rFonts w:hint="eastAsia"/>
        </w:rPr>
        <w:t>对家庭暴力关注和预防的国家计划纲要对妇女提供保护措施。在这一领域，劳尔·布兰科·塞万提斯</w:t>
      </w:r>
      <w:r>
        <w:rPr>
          <w:rFonts w:hint="eastAsia"/>
          <w:lang w:val="es-ES"/>
        </w:rPr>
        <w:t>医生诊所－老年病学和老年医学国家医院成立了老年受害者关注委员会，借助诊断来判断并研究可能出现的侵犯现象，通过对这些现象的归纳，发现它们主要发生在家庭范围内。如果在家庭范围内无法解决，那么，就应提</w:t>
      </w:r>
      <w:r>
        <w:rPr>
          <w:rFonts w:hint="eastAsia"/>
          <w:lang w:val="es-ES"/>
        </w:rPr>
        <w:t>起司法诉讼。此外，还同一些自愿接收被虐待的老年人——特别是男性，因为他们别无选择——的家庭签订了相关协议。</w:t>
      </w:r>
    </w:p>
    <w:p w:rsidR="00000000" w:rsidRDefault="00CA422F">
      <w:pPr>
        <w:spacing w:after="240" w:line="360" w:lineRule="exact"/>
        <w:rPr>
          <w:rFonts w:hint="eastAsia"/>
          <w:lang w:val="es-ES"/>
        </w:rPr>
      </w:pPr>
      <w:r>
        <w:rPr>
          <w:rFonts w:hint="eastAsia"/>
          <w:lang w:val="es-ES"/>
        </w:rPr>
        <w:t>461</w:t>
      </w:r>
      <w:r>
        <w:rPr>
          <w:rFonts w:hint="eastAsia"/>
          <w:lang w:val="es-ES"/>
        </w:rPr>
        <w:t>．另一方面，该法律明确规定，公共部门或私人机构有义务在其各自提供的服务或者同其它机构共同提供的服务中对老年人进行特别关照。在这种情况下，哥斯达黎加社会保险公司退休金发放中心，通过社会借贷处，于</w:t>
      </w:r>
      <w:r>
        <w:rPr>
          <w:rFonts w:hint="eastAsia"/>
          <w:lang w:val="es-ES"/>
        </w:rPr>
        <w:t>1997</w:t>
      </w:r>
      <w:r>
        <w:rPr>
          <w:rFonts w:hint="eastAsia"/>
          <w:lang w:val="es-ES"/>
        </w:rPr>
        <w:t>年</w:t>
      </w:r>
      <w:r>
        <w:rPr>
          <w:rFonts w:hint="eastAsia"/>
          <w:lang w:val="es-ES"/>
        </w:rPr>
        <w:t>7</w:t>
      </w:r>
      <w:r>
        <w:rPr>
          <w:rFonts w:hint="eastAsia"/>
          <w:lang w:val="es-ES"/>
        </w:rPr>
        <w:t>月开始推行一项黄金公民计划，专门关注</w:t>
      </w:r>
      <w:r>
        <w:rPr>
          <w:rFonts w:hint="eastAsia"/>
          <w:lang w:val="es-ES"/>
        </w:rPr>
        <w:t>65</w:t>
      </w:r>
      <w:r>
        <w:rPr>
          <w:rFonts w:hint="eastAsia"/>
          <w:lang w:val="es-ES"/>
        </w:rPr>
        <w:t>岁以上的老年人。</w:t>
      </w:r>
    </w:p>
    <w:p w:rsidR="00000000" w:rsidRDefault="00CA422F">
      <w:pPr>
        <w:spacing w:after="240" w:line="360" w:lineRule="exact"/>
        <w:rPr>
          <w:rFonts w:hint="eastAsia"/>
          <w:lang w:val="es-ES"/>
        </w:rPr>
      </w:pPr>
      <w:r>
        <w:rPr>
          <w:rFonts w:hint="eastAsia"/>
          <w:lang w:val="es-ES"/>
        </w:rPr>
        <w:t>462</w:t>
      </w:r>
      <w:r>
        <w:rPr>
          <w:rFonts w:hint="eastAsia"/>
          <w:lang w:val="es-ES"/>
        </w:rPr>
        <w:t>．上述计划是另一个适用范围更广的社会借贷计划的有机组成部分，力求创建一种尊老敬老的文化风尚，为老年人提供各种特殊福利，借助生理、心</w:t>
      </w:r>
      <w:r>
        <w:rPr>
          <w:rFonts w:hint="eastAsia"/>
          <w:lang w:val="es-ES"/>
        </w:rPr>
        <w:t>理和社会等各种福利来提高老年人的生活质量，并通过上述措施，将老年人看作一个特权群体。此外，寻求医疗保险、伤残保险、养老保险和意外伤亡保险等各类保险品种之间的战略联合，加强各类公共机构、自治机构、半自治机构、非政府组织和私人企业的积极参与。</w:t>
      </w:r>
    </w:p>
    <w:p w:rsidR="00000000" w:rsidRDefault="00CA422F">
      <w:pPr>
        <w:spacing w:after="240" w:line="360" w:lineRule="exact"/>
        <w:rPr>
          <w:rFonts w:hint="eastAsia"/>
          <w:lang w:val="es-ES"/>
        </w:rPr>
      </w:pPr>
      <w:r>
        <w:rPr>
          <w:rFonts w:hint="eastAsia"/>
          <w:lang w:val="es-ES"/>
        </w:rPr>
        <w:t>463</w:t>
      </w:r>
      <w:r>
        <w:rPr>
          <w:rFonts w:hint="eastAsia"/>
          <w:lang w:val="es-ES"/>
        </w:rPr>
        <w:t>．该计划将为所有年逾</w:t>
      </w:r>
      <w:r>
        <w:rPr>
          <w:rFonts w:hint="eastAsia"/>
          <w:lang w:val="es-ES"/>
        </w:rPr>
        <w:t>65</w:t>
      </w:r>
      <w:r>
        <w:rPr>
          <w:rFonts w:hint="eastAsia"/>
          <w:lang w:val="es-ES"/>
        </w:rPr>
        <w:t>岁的老人提供旨在改善其生活质量的系列福利，不管他们之间存在着多大的差异。为达到这一目的，试行期间，在商业活动中对老人采取折扣优惠，公共部门则开办文化课堂，开展娱乐培训，并在哥斯达黎加社会保险公司的医疗中心和全国范围内的其它公共机构、私人机构、</w:t>
      </w:r>
      <w:r>
        <w:rPr>
          <w:rFonts w:hint="eastAsia"/>
          <w:lang w:val="es-ES"/>
        </w:rPr>
        <w:t>自治机构和半自治机构开展健康和其它的专门服务。</w:t>
      </w:r>
    </w:p>
    <w:p w:rsidR="00000000" w:rsidRDefault="00CA422F">
      <w:pPr>
        <w:spacing w:after="240" w:line="360" w:lineRule="exact"/>
        <w:jc w:val="center"/>
        <w:rPr>
          <w:rFonts w:eastAsia="SimHei" w:hint="eastAsia"/>
          <w:sz w:val="24"/>
          <w:lang w:val="es-ES"/>
        </w:rPr>
      </w:pPr>
      <w:r>
        <w:rPr>
          <w:rFonts w:eastAsia="SimHei" w:hint="eastAsia"/>
          <w:sz w:val="24"/>
          <w:lang w:val="es-ES"/>
        </w:rPr>
        <w:t>哥斯达黎加社会保险福利的获得</w:t>
      </w:r>
    </w:p>
    <w:p w:rsidR="00000000" w:rsidRDefault="00CA422F">
      <w:pPr>
        <w:spacing w:after="240" w:line="360" w:lineRule="exact"/>
        <w:rPr>
          <w:rFonts w:hint="eastAsia"/>
          <w:lang w:val="es-ES"/>
        </w:rPr>
      </w:pPr>
      <w:r>
        <w:rPr>
          <w:rFonts w:hint="eastAsia"/>
          <w:lang w:val="es-ES"/>
        </w:rPr>
        <w:t>464</w:t>
      </w:r>
      <w:r>
        <w:rPr>
          <w:rFonts w:hint="eastAsia"/>
          <w:lang w:val="es-ES"/>
        </w:rPr>
        <w:t>．哥斯达黎加的社会保障体系建立于四十年代风行拉美的第二次改革“大潮”时期。该体制建立在强制性、普遍性和一致性的基础之上。整个体系覆盖面高，一致程度高，但却较少关注特殊群体，较少涉及同一领域内其它方面的福利。此外，该保障体系自九十年代初以来，对健康和退休金的相关体制和纲领进行了重大修改。这些修改是循序渐进的（而不是突然的），其重点在于完善社会保障体制的机制，而不是改变社会保障的原则（</w:t>
      </w:r>
      <w:r>
        <w:rPr>
          <w:lang w:val="es-ES"/>
        </w:rPr>
        <w:t>Martínez</w:t>
      </w:r>
      <w:r>
        <w:rPr>
          <w:rFonts w:hint="eastAsia"/>
        </w:rPr>
        <w:t>，</w:t>
      </w:r>
      <w:r>
        <w:rPr>
          <w:rFonts w:hint="eastAsia"/>
        </w:rPr>
        <w:t>2002</w:t>
      </w:r>
      <w:r>
        <w:rPr>
          <w:rFonts w:hint="eastAsia"/>
        </w:rPr>
        <w:t>年</w:t>
      </w:r>
      <w:r>
        <w:rPr>
          <w:rFonts w:hint="eastAsia"/>
          <w:lang w:val="es-ES"/>
        </w:rPr>
        <w:t>）。</w:t>
      </w:r>
    </w:p>
    <w:p w:rsidR="00000000" w:rsidRDefault="00CA422F">
      <w:pPr>
        <w:spacing w:after="240" w:line="360" w:lineRule="exact"/>
        <w:rPr>
          <w:rFonts w:hint="eastAsia"/>
          <w:lang w:val="es-ES"/>
        </w:rPr>
      </w:pPr>
      <w:r>
        <w:rPr>
          <w:rFonts w:hint="eastAsia"/>
          <w:lang w:val="es-ES"/>
        </w:rPr>
        <w:t>465</w:t>
      </w:r>
      <w:r>
        <w:rPr>
          <w:rFonts w:hint="eastAsia"/>
          <w:lang w:val="es-ES"/>
        </w:rPr>
        <w:t>．同</w:t>
      </w:r>
      <w:r>
        <w:rPr>
          <w:rFonts w:hint="eastAsia"/>
          <w:lang w:val="es-ES"/>
        </w:rPr>
        <w:t>拉美其它地区一样，哥斯达黎加的社会保障是从有收入人群的劳动参与中逐步建立发展起来的，其基础便是来自核心家庭的假设。核心家庭的结构一般为一个收入者（丈夫）和几个依赖者（妻子和儿女）。哥斯达黎加社会保障体系后来经修改扩大了社会保障的覆盖面，如将独立劳动者和贫困人群都纳入其中，或拓宽了相关权益（例如对女性劳动者发放孕妇补助金等）（</w:t>
      </w:r>
      <w:r>
        <w:rPr>
          <w:lang w:val="es-ES"/>
        </w:rPr>
        <w:t>Martínez</w:t>
      </w:r>
      <w:r>
        <w:rPr>
          <w:rFonts w:hint="eastAsia"/>
          <w:lang w:val="es-ES"/>
        </w:rPr>
        <w:t>，</w:t>
      </w:r>
      <w:r>
        <w:rPr>
          <w:rFonts w:hint="eastAsia"/>
          <w:lang w:val="es-ES"/>
        </w:rPr>
        <w:t>2002</w:t>
      </w:r>
      <w:r>
        <w:rPr>
          <w:rFonts w:hint="eastAsia"/>
          <w:lang w:val="es-ES"/>
        </w:rPr>
        <w:t>年）。</w:t>
      </w:r>
    </w:p>
    <w:p w:rsidR="00000000" w:rsidRDefault="00CA422F">
      <w:pPr>
        <w:spacing w:after="240" w:line="360" w:lineRule="exact"/>
        <w:rPr>
          <w:rFonts w:hint="eastAsia"/>
          <w:lang w:val="es-ES"/>
        </w:rPr>
      </w:pPr>
      <w:r>
        <w:rPr>
          <w:rFonts w:hint="eastAsia"/>
          <w:lang w:val="es-ES"/>
        </w:rPr>
        <w:t>466</w:t>
      </w:r>
      <w:r>
        <w:rPr>
          <w:rFonts w:hint="eastAsia"/>
          <w:lang w:val="es-ES"/>
        </w:rPr>
        <w:t>．然而，总体来说，社会保障制度仍然处处体现出其最初设计的几个中心特点（如将社会看作以正式的有偿劳动关系为主的假设），同时也反映了劳动力市场变化带来</w:t>
      </w:r>
      <w:r>
        <w:rPr>
          <w:rFonts w:hint="eastAsia"/>
          <w:lang w:val="es-ES"/>
        </w:rPr>
        <w:t>的新的限制条件（如劳动力市场的女性化和信息化）。对女性而言，要获得这一范围内的社会保障福利必须冲破下列两种限制条件：</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劳动中本身存在的性别分化，主要是因为女性和男性在无偿的家庭或家务劳动中扮演着不同的角色，男女双方在劳动参与中也略有不同（例如，体现安在</w:t>
      </w:r>
      <w:r>
        <w:rPr>
          <w:rFonts w:ascii="SimSun" w:hint="eastAsia"/>
        </w:rPr>
        <w:t>经济上有劳动力的妇女所占</w:t>
      </w:r>
      <w:r>
        <w:rPr>
          <w:rFonts w:hint="eastAsia"/>
          <w:lang w:val="es-ES"/>
        </w:rPr>
        <w:t>比例、女性的劳动参与－不同行业中的独立劳动或有偿劳动－以及女性所获得的劳动报酬），也反映在男性同女性社会保障福利获取方式的不同和不平等。</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因为劳动力市场和</w:t>
      </w:r>
      <w:r>
        <w:rPr>
          <w:rFonts w:hint="eastAsia"/>
        </w:rPr>
        <w:t>劳动</w:t>
      </w:r>
      <w:r>
        <w:rPr>
          <w:rFonts w:hint="eastAsia"/>
          <w:lang w:val="es-ES"/>
        </w:rPr>
        <w:t>中的性别分工导致了社会保障体系本身出现了不平等现象。</w:t>
      </w:r>
    </w:p>
    <w:p w:rsidR="00000000" w:rsidRDefault="00CA422F">
      <w:pPr>
        <w:spacing w:after="240" w:line="360" w:lineRule="exact"/>
        <w:rPr>
          <w:rFonts w:hint="eastAsia"/>
          <w:lang w:val="es-ES"/>
        </w:rPr>
      </w:pPr>
      <w:r>
        <w:rPr>
          <w:rFonts w:hint="eastAsia"/>
          <w:lang w:val="es-ES"/>
        </w:rPr>
        <w:t>467</w:t>
      </w:r>
      <w:r>
        <w:rPr>
          <w:rFonts w:hint="eastAsia"/>
          <w:lang w:val="es-ES"/>
        </w:rPr>
        <w:t>．在哥斯达黎加，社</w:t>
      </w:r>
      <w:r>
        <w:rPr>
          <w:rFonts w:hint="eastAsia"/>
          <w:lang w:val="es-ES"/>
        </w:rPr>
        <w:t>会保障体系并不包括所有的妇女，因为她们置身于体系之外，或许是因为社会保障体系在普及过程存在着一定的缺陷。女性必须借助丈夫、男伴、儿女才能同社会保障体系建立关系，并且只能作为社会保障的间接受益人。这显然为女性平等地获得社会保障体系的福利措施制造了障碍，特别是在退休金、临时或长期的伤残津贴、人造器官、眼镜和高级的牙科治疗等社会借贷、产假等方面，这些保障获取方面的差异已经使女性变成了二等公民（</w:t>
      </w:r>
      <w:r>
        <w:rPr>
          <w:lang w:val="es-ES"/>
        </w:rPr>
        <w:t>Martínez</w:t>
      </w:r>
      <w:r>
        <w:rPr>
          <w:rFonts w:hint="eastAsia"/>
          <w:lang w:val="es-ES"/>
        </w:rPr>
        <w:t>，</w:t>
      </w:r>
      <w:r>
        <w:rPr>
          <w:rFonts w:hint="eastAsia"/>
          <w:lang w:val="es-ES"/>
        </w:rPr>
        <w:t>2002</w:t>
      </w:r>
      <w:r>
        <w:rPr>
          <w:rFonts w:hint="eastAsia"/>
          <w:lang w:val="es-ES"/>
        </w:rPr>
        <w:t>年）。</w:t>
      </w:r>
    </w:p>
    <w:p w:rsidR="00000000" w:rsidRDefault="00CA422F">
      <w:pPr>
        <w:spacing w:after="240" w:line="360" w:lineRule="exact"/>
        <w:rPr>
          <w:rFonts w:hint="eastAsia"/>
          <w:lang w:val="es-ES"/>
        </w:rPr>
      </w:pPr>
      <w:r>
        <w:rPr>
          <w:rFonts w:hint="eastAsia"/>
          <w:lang w:val="es-ES"/>
        </w:rPr>
        <w:t>468</w:t>
      </w:r>
      <w:r>
        <w:rPr>
          <w:rFonts w:hint="eastAsia"/>
          <w:lang w:val="es-ES"/>
        </w:rPr>
        <w:t>．另一方面，《劳动法》中有关“工作期间劳动者的保护”等章节的规定已经非常陈旧，因为</w:t>
      </w:r>
      <w:r>
        <w:rPr>
          <w:rFonts w:hint="eastAsia"/>
          <w:lang w:val="es-ES"/>
        </w:rPr>
        <w:t>没有涉及劳动人口在劳动过程中总体面临的巨大危险，特别是没有涉及从事现代加工制造业的女性劳动者的权利。而没有受到任何保护的主要是家庭主妇，特别是身患各类残疾或需要抚养未成年子女的家庭主妇、无收入的农村劳动妇女，自营职业中的微型企业的女企业家等。上述人群中绝大部分没有享受社会保障权利，尤其是许多贫困家庭的主妇。针对这些社会阶层，应该拓宽社会保障体系的普及面，尤其应该尊重女性获得养老或伤残津贴的权利。在社会司法和国家财富平等分配的前提下，保障她们相应的生活条件，消除社会保障方面的辅助重点，在健康和退休金方面采取直</w:t>
      </w:r>
      <w:r>
        <w:rPr>
          <w:rFonts w:hint="eastAsia"/>
          <w:lang w:val="es-ES"/>
        </w:rPr>
        <w:t>接或有效的措施，而并非间接或家庭式的方式。</w:t>
      </w:r>
    </w:p>
    <w:p w:rsidR="00000000" w:rsidRDefault="00CA422F">
      <w:pPr>
        <w:spacing w:after="240" w:line="360" w:lineRule="exact"/>
        <w:rPr>
          <w:rFonts w:hint="eastAsia"/>
        </w:rPr>
      </w:pPr>
      <w:r>
        <w:rPr>
          <w:rFonts w:hint="eastAsia"/>
          <w:lang w:val="es-ES"/>
        </w:rPr>
        <w:t>469</w:t>
      </w:r>
      <w:r>
        <w:rPr>
          <w:rFonts w:hint="eastAsia"/>
          <w:lang w:val="es-ES"/>
        </w:rPr>
        <w:t>．这是对女性造成重大影响的问题。虽然获得社会保障的女性比例要高于男性，但是大部分的女性同大多数直接享受社会保障福利的男性有着天壤之别。女性的保障主要表现为家庭式。目前，只有</w:t>
      </w:r>
      <w:r>
        <w:rPr>
          <w:rFonts w:hint="eastAsia"/>
          <w:lang w:val="es-ES"/>
        </w:rPr>
        <w:t>24%</w:t>
      </w:r>
      <w:r>
        <w:rPr>
          <w:rFonts w:hint="eastAsia"/>
          <w:lang w:val="es-ES"/>
        </w:rPr>
        <w:t>的女性拥有直接的医疗保险，</w:t>
      </w:r>
      <w:r>
        <w:rPr>
          <w:rFonts w:hint="eastAsia"/>
          <w:lang w:val="es-ES"/>
        </w:rPr>
        <w:t>30%</w:t>
      </w:r>
      <w:r>
        <w:rPr>
          <w:rFonts w:hint="eastAsia"/>
          <w:lang w:val="es-ES"/>
        </w:rPr>
        <w:t>的女性能享受养老保障，其中只有</w:t>
      </w:r>
      <w:r>
        <w:rPr>
          <w:rFonts w:hint="eastAsia"/>
          <w:lang w:val="es-ES"/>
        </w:rPr>
        <w:t>15%</w:t>
      </w:r>
      <w:r>
        <w:rPr>
          <w:rFonts w:hint="eastAsia"/>
          <w:lang w:val="es-ES"/>
        </w:rPr>
        <w:t>的女性有收入来源，而</w:t>
      </w:r>
      <w:r>
        <w:rPr>
          <w:rFonts w:hint="eastAsia"/>
          <w:lang w:val="es-ES"/>
        </w:rPr>
        <w:t>48%</w:t>
      </w:r>
      <w:r>
        <w:rPr>
          <w:rFonts w:hint="eastAsia"/>
          <w:lang w:val="es-ES"/>
        </w:rPr>
        <w:t>的女性为独立劳动者，她们采取家庭式的保障，并非享受直接的社会保障</w:t>
      </w:r>
      <w:r>
        <w:rPr>
          <w:rFonts w:hint="eastAsia"/>
        </w:rPr>
        <w:t>（</w:t>
      </w:r>
      <w:r>
        <w:rPr>
          <w:lang w:val="es-ES"/>
        </w:rPr>
        <w:t>Martínez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60" w:lineRule="exact"/>
        <w:rPr>
          <w:rFonts w:hint="eastAsia"/>
        </w:rPr>
      </w:pPr>
      <w:r>
        <w:rPr>
          <w:rFonts w:hint="eastAsia"/>
        </w:rPr>
        <w:t>470</w:t>
      </w:r>
      <w:r>
        <w:rPr>
          <w:rFonts w:hint="eastAsia"/>
        </w:rPr>
        <w:t>．如果对年龄在</w:t>
      </w:r>
      <w:r>
        <w:rPr>
          <w:rFonts w:hint="eastAsia"/>
        </w:rPr>
        <w:t>12</w:t>
      </w:r>
      <w:r>
        <w:rPr>
          <w:rFonts w:hint="eastAsia"/>
        </w:rPr>
        <w:t>至</w:t>
      </w:r>
      <w:r>
        <w:rPr>
          <w:rFonts w:hint="eastAsia"/>
        </w:rPr>
        <w:t>20</w:t>
      </w:r>
      <w:r>
        <w:rPr>
          <w:rFonts w:hint="eastAsia"/>
        </w:rPr>
        <w:t>岁之间的年轻人群获取社会保险方面的数据进行认真的分析研究，我</w:t>
      </w:r>
      <w:r>
        <w:rPr>
          <w:rFonts w:hint="eastAsia"/>
        </w:rPr>
        <w:t>们不难发现上述人群中</w:t>
      </w:r>
      <w:r>
        <w:rPr>
          <w:rFonts w:hint="eastAsia"/>
        </w:rPr>
        <w:t>21.5%</w:t>
      </w:r>
      <w:r>
        <w:rPr>
          <w:rFonts w:hint="eastAsia"/>
        </w:rPr>
        <w:t>的人没有购买任何形式的保险。女性人口中</w:t>
      </w:r>
      <w:r>
        <w:rPr>
          <w:rFonts w:hint="eastAsia"/>
        </w:rPr>
        <w:t>45.4%</w:t>
      </w:r>
      <w:r>
        <w:rPr>
          <w:rFonts w:hint="eastAsia"/>
        </w:rPr>
        <w:t>的年轻女性没有购买社会保险，而年龄在</w:t>
      </w:r>
      <w:r>
        <w:rPr>
          <w:rFonts w:hint="eastAsia"/>
        </w:rPr>
        <w:t>18</w:t>
      </w:r>
      <w:r>
        <w:rPr>
          <w:rFonts w:hint="eastAsia"/>
        </w:rPr>
        <w:t>至</w:t>
      </w:r>
      <w:r>
        <w:rPr>
          <w:rFonts w:hint="eastAsia"/>
        </w:rPr>
        <w:t>21</w:t>
      </w:r>
      <w:r>
        <w:rPr>
          <w:rFonts w:hint="eastAsia"/>
        </w:rPr>
        <w:t>岁之间的年轻女性为最大的受害群体，因为有</w:t>
      </w:r>
      <w:r>
        <w:rPr>
          <w:rFonts w:hint="eastAsia"/>
        </w:rPr>
        <w:t>51%</w:t>
      </w:r>
      <w:r>
        <w:rPr>
          <w:rFonts w:hint="eastAsia"/>
        </w:rPr>
        <w:t>的人口没有购买保险。然而，在购买了保险的人群中，</w:t>
      </w:r>
      <w:r>
        <w:rPr>
          <w:rFonts w:hint="eastAsia"/>
        </w:rPr>
        <w:t>76%</w:t>
      </w:r>
      <w:r>
        <w:rPr>
          <w:rFonts w:hint="eastAsia"/>
        </w:rPr>
        <w:t>的女性选择了家庭保障的方式，只有</w:t>
      </w:r>
      <w:r>
        <w:rPr>
          <w:rFonts w:hint="eastAsia"/>
        </w:rPr>
        <w:t>7%</w:t>
      </w:r>
      <w:r>
        <w:rPr>
          <w:rFonts w:hint="eastAsia"/>
        </w:rPr>
        <w:t>的年轻女性因拥有一定收入而购买了社会保险（</w:t>
      </w:r>
      <w:r>
        <w:rPr>
          <w:lang w:val="es-ES"/>
        </w:rPr>
        <w:t>Martínez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60" w:lineRule="exact"/>
        <w:rPr>
          <w:rFonts w:hint="eastAsia"/>
        </w:rPr>
      </w:pPr>
      <w:r>
        <w:rPr>
          <w:rFonts w:hint="eastAsia"/>
        </w:rPr>
        <w:t>471</w:t>
      </w:r>
      <w:r>
        <w:rPr>
          <w:rFonts w:hint="eastAsia"/>
        </w:rPr>
        <w:t>．除去因他人的贡献而获得的保障，</w:t>
      </w:r>
      <w:r>
        <w:rPr>
          <w:rFonts w:eastAsia="SimHei" w:hint="eastAsia"/>
        </w:rPr>
        <w:t>家庭保障则对女性的福利造成了限制</w:t>
      </w:r>
      <w:r>
        <w:rPr>
          <w:rFonts w:hint="eastAsia"/>
        </w:rPr>
        <w:t>（</w:t>
      </w:r>
      <w:r>
        <w:rPr>
          <w:lang w:val="es-ES"/>
        </w:rPr>
        <w:t>Martínez</w:t>
      </w:r>
      <w:r>
        <w:rPr>
          <w:rFonts w:hint="eastAsia"/>
          <w:lang w:val="es-ES"/>
        </w:rPr>
        <w:t>，</w:t>
      </w:r>
      <w:r>
        <w:rPr>
          <w:rFonts w:hint="eastAsia"/>
          <w:lang w:val="es-ES"/>
        </w:rPr>
        <w:t>2002</w:t>
      </w:r>
      <w:r>
        <w:rPr>
          <w:rFonts w:hint="eastAsia"/>
          <w:lang w:val="es-ES"/>
        </w:rPr>
        <w:t>年</w:t>
      </w:r>
      <w:r>
        <w:rPr>
          <w:rFonts w:hint="eastAsia"/>
        </w:rPr>
        <w:t>），主要体现为：</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将女性排除在</w:t>
      </w:r>
      <w:r>
        <w:rPr>
          <w:rFonts w:hint="eastAsia"/>
          <w:lang w:val="es-ES"/>
        </w:rPr>
        <w:t>医疗</w:t>
      </w:r>
      <w:r>
        <w:rPr>
          <w:rFonts w:hint="eastAsia"/>
        </w:rPr>
        <w:t>保险赔偿金的获取范围之外（包括因病或怀孕无</w:t>
      </w:r>
      <w:r>
        <w:rPr>
          <w:rFonts w:hint="eastAsia"/>
        </w:rPr>
        <w:t>法胜任工作的情况）；</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将女性排除在退休金的获取之外，伤残补助或女性在经济上依赖的配偶或男伴的死亡发放的抚恤金例外。</w:t>
      </w:r>
    </w:p>
    <w:p w:rsidR="00000000" w:rsidRDefault="00CA422F">
      <w:pPr>
        <w:spacing w:after="240" w:line="360" w:lineRule="exact"/>
        <w:rPr>
          <w:rFonts w:hint="eastAsia"/>
        </w:rPr>
      </w:pPr>
      <w:r>
        <w:rPr>
          <w:rFonts w:hint="eastAsia"/>
        </w:rPr>
        <w:t>472</w:t>
      </w:r>
      <w:r>
        <w:rPr>
          <w:rFonts w:hint="eastAsia"/>
        </w:rPr>
        <w:t>．上述情况最好的纠正措施就是推动并扩大有收入的劳动女性的直接保障（有收入的或从事独立劳动的女性）。为达到这一目的，需要针对直接和间接的保障方式的可能性和局限性分别进行宣传。</w:t>
      </w:r>
    </w:p>
    <w:p w:rsidR="00000000" w:rsidRDefault="00CA422F">
      <w:pPr>
        <w:spacing w:after="240" w:line="360" w:lineRule="exact"/>
        <w:rPr>
          <w:rFonts w:hint="eastAsia"/>
        </w:rPr>
      </w:pPr>
      <w:r>
        <w:rPr>
          <w:rFonts w:hint="eastAsia"/>
        </w:rPr>
        <w:t>473</w:t>
      </w:r>
      <w:r>
        <w:rPr>
          <w:rFonts w:hint="eastAsia"/>
        </w:rPr>
        <w:t>．在直接保障中的现有福利措施的结构层次方面，最重要的就是要注意各类直接保障的福利措施之间存在的差异以及目前采取的无视宪法的社会保险一致性原则规定的差异性措施（</w:t>
      </w:r>
      <w:r>
        <w:rPr>
          <w:lang w:val="es-ES"/>
        </w:rPr>
        <w:t>Martínez</w:t>
      </w:r>
      <w:r>
        <w:rPr>
          <w:rFonts w:hint="eastAsia"/>
          <w:lang w:val="es-ES"/>
        </w:rPr>
        <w:t>，</w:t>
      </w:r>
      <w:r>
        <w:rPr>
          <w:rFonts w:hint="eastAsia"/>
          <w:lang w:val="es-ES"/>
        </w:rPr>
        <w:t>2002</w:t>
      </w:r>
      <w:r>
        <w:rPr>
          <w:rFonts w:hint="eastAsia"/>
          <w:lang w:val="es-ES"/>
        </w:rPr>
        <w:t>年</w:t>
      </w:r>
      <w:r>
        <w:rPr>
          <w:rFonts w:hint="eastAsia"/>
        </w:rPr>
        <w:t>）。因而：</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有收入并采用</w:t>
      </w:r>
      <w:r>
        <w:rPr>
          <w:rFonts w:hint="eastAsia"/>
        </w:rPr>
        <w:t>直接保障方式的女性能够享受医疗服务并获得医疗保险的赔偿金（因病和怀孕造成无法胜任工作）。</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独立劳动并采用直接保障方式的女性除了能享受医疗服务外，还能获得医疗保险的赔偿金，但其比例要小于有收入的女性。</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从事无偿劳动并自愿采用直接保障方式的女性，例如家庭主妇和在校学生，虽然从个人角度来看，自愿采用直接保障方式的女性人数多于从事独立劳动的女性，但是前者只能获得医疗服务，却无法获取医疗保险的赔偿金。</w:t>
      </w:r>
    </w:p>
    <w:p w:rsidR="00000000" w:rsidRDefault="00CA422F">
      <w:pPr>
        <w:spacing w:after="240" w:line="360" w:lineRule="exact"/>
        <w:rPr>
          <w:rFonts w:hint="eastAsia"/>
          <w:lang w:val="es-ES"/>
        </w:rPr>
      </w:pPr>
      <w:r>
        <w:rPr>
          <w:rFonts w:hint="eastAsia"/>
          <w:lang w:val="es-ES"/>
        </w:rPr>
        <w:t>474</w:t>
      </w:r>
      <w:r>
        <w:rPr>
          <w:rFonts w:hint="eastAsia"/>
          <w:lang w:val="es-ES"/>
        </w:rPr>
        <w:t>．这种福利层次结构对女性造成了重大伤害，因为受伤害最深的一般都是休产假以及从事家务以及家庭内无偿劳动的女性。因</w:t>
      </w:r>
      <w:r>
        <w:rPr>
          <w:rFonts w:hint="eastAsia"/>
          <w:lang w:val="es-ES"/>
        </w:rPr>
        <w:t>此，没有收入来源的女性更倾向于自愿采用直接保障方式。</w:t>
      </w:r>
    </w:p>
    <w:p w:rsidR="00000000" w:rsidRDefault="00CA422F">
      <w:pPr>
        <w:spacing w:after="240" w:line="360" w:lineRule="exact"/>
        <w:rPr>
          <w:rFonts w:hint="eastAsia"/>
          <w:lang w:val="es-ES"/>
        </w:rPr>
      </w:pPr>
      <w:r>
        <w:rPr>
          <w:rFonts w:hint="eastAsia"/>
          <w:lang w:val="es-ES"/>
        </w:rPr>
        <w:t>475</w:t>
      </w:r>
      <w:r>
        <w:rPr>
          <w:rFonts w:hint="eastAsia"/>
          <w:lang w:val="es-ES"/>
        </w:rPr>
        <w:t>．关于产假，目前，女性休产假时在四个月内可以领取工资。在这几个月期间，由企业主和哥斯达黎加社会保险公司分别决定女性员工的工资总数和社会福利。目前，企业主因上述负担承担的费用引发了一种“自食其言”的现象，主要表现在解雇怀孕的女性员工和不愿雇佣女性员工的倾向。虽然怀孕是一项社会推崇的责任，并且是社会繁衍所必须的，但是目前通行的方法是将因女性员工怀孕而产生的费用重新分配，因此，一旦女性员工怀孕，企业主就向她们额外支付一笔费用并将其解雇（</w:t>
      </w:r>
      <w:r>
        <w:rPr>
          <w:lang w:val="es-ES"/>
        </w:rPr>
        <w:t>Martínez</w:t>
      </w:r>
      <w:r>
        <w:rPr>
          <w:rFonts w:hint="eastAsia"/>
          <w:lang w:val="es-ES"/>
        </w:rPr>
        <w:t>，</w:t>
      </w:r>
      <w:r>
        <w:rPr>
          <w:rFonts w:hint="eastAsia"/>
          <w:lang w:val="es-ES"/>
        </w:rPr>
        <w:t>2002</w:t>
      </w:r>
      <w:r>
        <w:rPr>
          <w:rFonts w:hint="eastAsia"/>
          <w:lang w:val="es-ES"/>
        </w:rPr>
        <w:t>年）。</w:t>
      </w:r>
    </w:p>
    <w:p w:rsidR="00000000" w:rsidRDefault="00CA422F">
      <w:pPr>
        <w:spacing w:after="240" w:line="360" w:lineRule="exact"/>
        <w:rPr>
          <w:rFonts w:hint="eastAsia"/>
          <w:lang w:val="es-ES"/>
        </w:rPr>
      </w:pPr>
      <w:r>
        <w:rPr>
          <w:rFonts w:hint="eastAsia"/>
          <w:lang w:val="es-ES"/>
        </w:rPr>
        <w:t>476</w:t>
      </w:r>
      <w:r>
        <w:rPr>
          <w:rFonts w:hint="eastAsia"/>
          <w:lang w:val="es-ES"/>
        </w:rPr>
        <w:t>．上述评判标准可以：</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为有收入的女性劳动者的产假提供经济援助，无需增加每个企业主因女性员工怀孕而额外支出的费用。</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将从事独立劳动女性的产假作为女性的带薪假期，这项措施将推动医疗保险和养老保险的相关福利产生较小的层状结构变化。</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进行帐务清算，开始制订专门为从事无偿劳动的女性劳动者的产假提供经济资助的措施，这些从事无偿劳动的女性</w:t>
      </w:r>
      <w:r>
        <w:rPr>
          <w:rFonts w:hint="eastAsia"/>
        </w:rPr>
        <w:t>大部分</w:t>
      </w:r>
      <w:r>
        <w:rPr>
          <w:rFonts w:hint="eastAsia"/>
          <w:lang w:val="es-ES"/>
        </w:rPr>
        <w:t>都自愿购买了保险。</w:t>
      </w:r>
    </w:p>
    <w:p w:rsidR="00000000" w:rsidRDefault="00CA422F">
      <w:pPr>
        <w:spacing w:after="240" w:line="360" w:lineRule="exact"/>
        <w:rPr>
          <w:rFonts w:hint="eastAsia"/>
          <w:lang w:val="es-ES"/>
        </w:rPr>
      </w:pPr>
      <w:r>
        <w:rPr>
          <w:rFonts w:hint="eastAsia"/>
          <w:lang w:val="es-ES"/>
        </w:rPr>
        <w:t>477</w:t>
      </w:r>
      <w:r>
        <w:rPr>
          <w:rFonts w:hint="eastAsia"/>
          <w:lang w:val="es-ES"/>
        </w:rPr>
        <w:t>．至于第二类退休金帐务清算，目前退休金领域内使用的独立核算制度因女性的平均寿命高于男性而对女性采取一定方式的惩罚（</w:t>
      </w:r>
      <w:r>
        <w:rPr>
          <w:lang w:val="es-ES"/>
        </w:rPr>
        <w:t>Martínez</w:t>
      </w:r>
      <w:r>
        <w:rPr>
          <w:rFonts w:hint="eastAsia"/>
          <w:lang w:val="es-ES"/>
        </w:rPr>
        <w:t>，</w:t>
      </w:r>
      <w:r>
        <w:rPr>
          <w:rFonts w:hint="eastAsia"/>
          <w:lang w:val="es-ES"/>
        </w:rPr>
        <w:t>2002</w:t>
      </w:r>
      <w:r>
        <w:rPr>
          <w:rFonts w:hint="eastAsia"/>
          <w:lang w:val="es-ES"/>
        </w:rPr>
        <w:t>年）。鉴于上述情况，应该至少将下列两种因素纳入考虑范围之内：</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目前整个社会都在不断努力延长男女双方的平均寿命，退休金发放机制没有理由因女性的平均寿命较长而对她们采取惩罚措施，更何况与男性从事同一工作的女性获得的工资只有男性工资的</w:t>
      </w:r>
      <w:r>
        <w:rPr>
          <w:rFonts w:hint="eastAsia"/>
          <w:lang w:val="es-ES"/>
        </w:rPr>
        <w:t>70%</w:t>
      </w:r>
      <w:r>
        <w:rPr>
          <w:rFonts w:hint="eastAsia"/>
          <w:lang w:val="es-ES"/>
        </w:rPr>
        <w:t>，特别是同男性相比，这在实际中变相地降低了女性的退休金。换言之，如果希望女性劳动者获得和从事同一工作的男性数额相当的退休金的话，必须大幅度提高女性的工资。</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女性的整个生命过程以及文化标准和社会援助机制仍未发生任何深刻变化，不少女性仍然从事无偿劳动、照料和关注等工作，既没</w:t>
      </w:r>
      <w:r>
        <w:rPr>
          <w:rFonts w:hint="eastAsia"/>
          <w:lang w:val="es-ES"/>
        </w:rPr>
        <w:t>有获得劳动力市场的承认，也无法得到退休制度的承认。</w:t>
      </w:r>
    </w:p>
    <w:p w:rsidR="00000000" w:rsidRDefault="00CA422F">
      <w:pPr>
        <w:spacing w:after="240" w:line="360" w:lineRule="exact"/>
        <w:rPr>
          <w:rFonts w:hint="eastAsia"/>
          <w:lang w:val="es-ES"/>
        </w:rPr>
      </w:pPr>
      <w:r>
        <w:rPr>
          <w:rFonts w:hint="eastAsia"/>
          <w:lang w:val="es-ES"/>
        </w:rPr>
        <w:t>478</w:t>
      </w:r>
      <w:r>
        <w:rPr>
          <w:rFonts w:hint="eastAsia"/>
          <w:lang w:val="es-ES"/>
        </w:rPr>
        <w:t>．上述事实似乎同哥斯达黎加社会保障制度推行的原则很不一致，例如独立核算制度对女性较长的平均寿命采取惩罚措施。技术层面上的解决方式比较简单，只要对退休金发放人员采用的帐务清算制度进行一定的调整即可。然而，针对上述退休金发放人员在帐务清算制度方面的改革进行政治协商，则需要制造一种有利的公众舆论，并尽可能争取各类机构之间的联合。</w:t>
      </w:r>
    </w:p>
    <w:p w:rsidR="00000000" w:rsidRDefault="00CA422F">
      <w:pPr>
        <w:spacing w:after="240" w:line="360" w:lineRule="exact"/>
        <w:rPr>
          <w:rFonts w:hint="eastAsia"/>
          <w:lang w:val="es-ES"/>
        </w:rPr>
      </w:pPr>
      <w:r>
        <w:rPr>
          <w:rFonts w:hint="eastAsia"/>
          <w:lang w:val="es-ES"/>
        </w:rPr>
        <w:t>479</w:t>
      </w:r>
      <w:r>
        <w:rPr>
          <w:rFonts w:hint="eastAsia"/>
          <w:lang w:val="es-ES"/>
        </w:rPr>
        <w:t>．至于劳动者在劳动中所面临的危险，目前已经确定了最典型的危险，并为每一项危险可能导致无法胜任工作的比例做出了相应的规定，然</w:t>
      </w:r>
      <w:r>
        <w:rPr>
          <w:rFonts w:hint="eastAsia"/>
          <w:lang w:val="es-ES"/>
        </w:rPr>
        <w:t>而，对女性而言，上述情况意味着两个方面的限制（</w:t>
      </w:r>
      <w:r>
        <w:rPr>
          <w:lang w:val="es-ES"/>
        </w:rPr>
        <w:t>Martínez</w:t>
      </w:r>
      <w:r>
        <w:rPr>
          <w:rFonts w:hint="eastAsia"/>
          <w:lang w:val="es-ES"/>
        </w:rPr>
        <w:t>，</w:t>
      </w:r>
      <w:r>
        <w:rPr>
          <w:rFonts w:hint="eastAsia"/>
          <w:lang w:val="es-ES"/>
        </w:rPr>
        <w:t>2002</w:t>
      </w:r>
      <w:r>
        <w:rPr>
          <w:rFonts w:hint="eastAsia"/>
          <w:lang w:val="es-ES"/>
        </w:rPr>
        <w:t>年）：</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女性在劳动过程中经常发生的一些意外情况并没有被包括在所谓典型的危险之中，如发音困难和美容师等职业因身体长期处于错误姿势而引起的妇科疾病等。</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同时，全国保险委员会主要关注的是生理伤害。一系列的生理或心理方面的后遗症在女性身上的发生频率非常高，如工作中的性骚扰等，这些问题至今仍未被看作劳动过程中女性所面临的危险。因此，如果女性因性骚扰而无法胜任工作时，她们通常会向哥斯达黎加社会保险公司申请援助，而不会向全国保险委员会要求救助。如果出</w:t>
      </w:r>
      <w:r>
        <w:rPr>
          <w:rFonts w:hint="eastAsia"/>
          <w:lang w:val="es-ES"/>
        </w:rPr>
        <w:t>现长期无法担任工作的情况，那么，就目前而言，受害者无法享受劳动危险的有关福利，既无法获得一定金额的补助，精神或心理方面更无法得到恢复。</w:t>
      </w:r>
    </w:p>
    <w:p w:rsidR="00000000" w:rsidRDefault="00CA422F">
      <w:pPr>
        <w:spacing w:after="240" w:line="360" w:lineRule="exact"/>
        <w:jc w:val="center"/>
        <w:rPr>
          <w:rFonts w:eastAsia="SimHei" w:hint="eastAsia"/>
          <w:sz w:val="24"/>
          <w:lang w:val="es-ES"/>
        </w:rPr>
      </w:pPr>
      <w:r>
        <w:rPr>
          <w:rFonts w:eastAsia="SimHei" w:hint="eastAsia"/>
          <w:sz w:val="24"/>
          <w:lang w:val="es-ES"/>
        </w:rPr>
        <w:t>妇女医院－阿道夫·卡立特·夏娃医生诊所</w:t>
      </w:r>
    </w:p>
    <w:p w:rsidR="00000000" w:rsidRDefault="00CA422F">
      <w:pPr>
        <w:spacing w:after="240" w:line="360" w:lineRule="exact"/>
        <w:rPr>
          <w:rFonts w:hint="eastAsia"/>
          <w:lang w:val="es-ES"/>
        </w:rPr>
      </w:pPr>
      <w:r>
        <w:rPr>
          <w:rFonts w:hint="eastAsia"/>
          <w:lang w:val="es-ES"/>
        </w:rPr>
        <w:t>480</w:t>
      </w:r>
      <w:r>
        <w:rPr>
          <w:rFonts w:hint="eastAsia"/>
          <w:lang w:val="es-ES"/>
        </w:rPr>
        <w:t>．</w:t>
      </w:r>
      <w:r>
        <w:rPr>
          <w:rFonts w:hint="eastAsia"/>
          <w:lang w:val="es-ES"/>
        </w:rPr>
        <w:t>1999</w:t>
      </w:r>
      <w:r>
        <w:rPr>
          <w:rFonts w:hint="eastAsia"/>
          <w:lang w:val="es-ES"/>
        </w:rPr>
        <w:t>年</w:t>
      </w:r>
      <w:r>
        <w:rPr>
          <w:rFonts w:hint="eastAsia"/>
          <w:lang w:val="es-ES"/>
        </w:rPr>
        <w:t>8</w:t>
      </w:r>
      <w:r>
        <w:rPr>
          <w:rFonts w:hint="eastAsia"/>
          <w:lang w:val="es-ES"/>
        </w:rPr>
        <w:t>月</w:t>
      </w:r>
      <w:r>
        <w:rPr>
          <w:rFonts w:hint="eastAsia"/>
          <w:lang w:val="es-ES"/>
        </w:rPr>
        <w:t>15</w:t>
      </w:r>
      <w:r>
        <w:rPr>
          <w:rFonts w:hint="eastAsia"/>
          <w:lang w:val="es-ES"/>
        </w:rPr>
        <w:t>日为母亲节，就在当天，著名的卡立特妇产医院更名为妇女医院。这是哥斯达黎加女性保健史上的一件大事，也是哥斯达黎加卫生制度改革过程中的一件大事。人们希望通过这家医院，建立一种全新的女性健康整体关注模式，深刻改变女性的健康需要和健康问题，不但卫生部门的工作人员，而且卫生服务的享受者、家庭、社区以及其它相关机构都应前</w:t>
      </w:r>
      <w:r>
        <w:rPr>
          <w:rFonts w:hint="eastAsia"/>
          <w:lang w:val="es-ES"/>
        </w:rPr>
        <w:t>来参与这项工作。</w:t>
      </w:r>
    </w:p>
    <w:p w:rsidR="00000000" w:rsidRDefault="00CA422F">
      <w:pPr>
        <w:spacing w:after="240" w:line="360" w:lineRule="exact"/>
        <w:rPr>
          <w:rFonts w:hint="eastAsia"/>
          <w:lang w:val="es-ES"/>
        </w:rPr>
      </w:pPr>
      <w:r>
        <w:rPr>
          <w:rFonts w:hint="eastAsia"/>
          <w:lang w:val="es-ES"/>
        </w:rPr>
        <w:t>481</w:t>
      </w:r>
      <w:r>
        <w:rPr>
          <w:rFonts w:hint="eastAsia"/>
          <w:lang w:val="es-ES"/>
        </w:rPr>
        <w:t>．从跨部门技术管理委员会提供的全新关注模式的相关资料可以看到，随着这一模式的建立，要求男女双方在认识、分析和改变各自同健康相关的事务时都能积极参与，例如将女性的需求和兴趣纳入国家政治机构和公共部门之内。此外，在政策和纲要的制订、贯彻和评估等方面，建议为公民的参与敞开真实的空间，从信息决策做起，推动女性、男性、男孩、女孩、年轻人和老年人采取全新的态度并帮助他们形成全新的观念，使他们能够接受健康这种不容侵犯和刻不容缓的权利。</w:t>
      </w:r>
    </w:p>
    <w:p w:rsidR="00000000" w:rsidRDefault="00CA422F">
      <w:pPr>
        <w:spacing w:after="240" w:line="360" w:lineRule="exact"/>
        <w:rPr>
          <w:rFonts w:hint="eastAsia"/>
          <w:lang w:val="es-ES"/>
        </w:rPr>
      </w:pPr>
      <w:r>
        <w:rPr>
          <w:rFonts w:hint="eastAsia"/>
          <w:lang w:val="es-ES"/>
        </w:rPr>
        <w:t>482</w:t>
      </w:r>
      <w:r>
        <w:rPr>
          <w:rFonts w:hint="eastAsia"/>
          <w:lang w:val="es-ES"/>
        </w:rPr>
        <w:t>．上述建议在卫生部门采取的改革方案和哥斯达黎加目前正在进</w:t>
      </w:r>
      <w:r>
        <w:rPr>
          <w:rFonts w:hint="eastAsia"/>
          <w:lang w:val="es-ES"/>
        </w:rPr>
        <w:t>行的机构现代化过程中逐步施行。其基本概念就是将健康理解为一项社会生产活动，同时兼顾每个人生命中特定的社会情况和不同的周边环境。因此，通过一些部门、跨学科机构、跨部门机构的工作和广泛的社会参与，从整体角度来看待健康。前面提到的健康模式的任务主要是借助社会参与、知识普及、能力培训、决策的获得以及各类有利于健康的其它方式，从性别角度来保障女性健康整体关注的质量。将社会工作者（男性工作者和女性工作者）做为代理人，保障女性不同方面的申诉（跨部门技术管理委员会，</w:t>
      </w:r>
      <w:r>
        <w:rPr>
          <w:rFonts w:hint="eastAsia"/>
          <w:lang w:val="es-ES"/>
        </w:rPr>
        <w:t>2000</w:t>
      </w:r>
      <w:r>
        <w:rPr>
          <w:rFonts w:hint="eastAsia"/>
          <w:lang w:val="es-ES"/>
        </w:rPr>
        <w:t>年）。</w:t>
      </w:r>
    </w:p>
    <w:p w:rsidR="00000000" w:rsidRDefault="00CA422F">
      <w:pPr>
        <w:spacing w:after="240" w:line="360" w:lineRule="exact"/>
        <w:rPr>
          <w:rFonts w:hint="eastAsia"/>
          <w:lang w:val="es-ES"/>
        </w:rPr>
      </w:pPr>
      <w:r>
        <w:rPr>
          <w:rFonts w:hint="eastAsia"/>
          <w:lang w:val="es-ES"/>
        </w:rPr>
        <w:t>483</w:t>
      </w:r>
      <w:r>
        <w:rPr>
          <w:rFonts w:hint="eastAsia"/>
          <w:lang w:val="es-ES"/>
        </w:rPr>
        <w:t>．鉴于全新的健康关注模式对社会、个人</w:t>
      </w:r>
      <w:r>
        <w:rPr>
          <w:rFonts w:hint="eastAsia"/>
          <w:lang w:val="es-ES"/>
        </w:rPr>
        <w:t>、家庭和社区产生了巨大影响，已经制订了许多新的推动计划：性与生殖保健服务计划；心理健康计划；性暴力计划；性传播疾病和艾滋病计划；更年期、绝经期和绝经后期计划；宫颈癌和乳腺癌计划；健康、社区和环境计划等。</w:t>
      </w:r>
    </w:p>
    <w:p w:rsidR="00000000" w:rsidRDefault="00CA422F">
      <w:pPr>
        <w:spacing w:after="240" w:line="360" w:lineRule="exact"/>
        <w:rPr>
          <w:rFonts w:hint="eastAsia"/>
          <w:lang w:val="es-ES"/>
        </w:rPr>
      </w:pPr>
      <w:r>
        <w:rPr>
          <w:rFonts w:hint="eastAsia"/>
          <w:lang w:val="es-ES"/>
        </w:rPr>
        <w:t>484</w:t>
      </w:r>
      <w:r>
        <w:rPr>
          <w:rFonts w:hint="eastAsia"/>
          <w:lang w:val="es-ES"/>
        </w:rPr>
        <w:t>．健康、社区和环境计划是一项政治援助计划，由加拿大合作署提供资金赞助。因此，该计划的有关人员，同其它一些机构——如国家妇女研究所——的人员一起，需要在战略、计划的制订和计划内容等方面接受来自加拿大女性健康机构的专业人士的培训。</w:t>
      </w:r>
    </w:p>
    <w:p w:rsidR="00000000" w:rsidRDefault="00CA422F">
      <w:pPr>
        <w:spacing w:after="240" w:line="360" w:lineRule="exact"/>
        <w:rPr>
          <w:rFonts w:hint="eastAsia"/>
          <w:lang w:val="es-ES"/>
        </w:rPr>
      </w:pPr>
      <w:r>
        <w:rPr>
          <w:rFonts w:hint="eastAsia"/>
          <w:lang w:val="es-ES"/>
        </w:rPr>
        <w:t>485</w:t>
      </w:r>
      <w:r>
        <w:rPr>
          <w:rFonts w:hint="eastAsia"/>
          <w:lang w:val="es-ES"/>
        </w:rPr>
        <w:t>．这是一项非常有意义的倡导，但是，女性健康的整体关注模式还必须获得政</w:t>
      </w:r>
      <w:r>
        <w:rPr>
          <w:rFonts w:hint="eastAsia"/>
          <w:lang w:val="es-ES"/>
        </w:rPr>
        <w:t>治支持和必要的资源才能投入实践，才能在全国卫生系统针对保障女性提出各项申诉。</w:t>
      </w:r>
    </w:p>
    <w:p w:rsidR="00000000" w:rsidRDefault="00CA422F">
      <w:pPr>
        <w:spacing w:after="240" w:line="360" w:lineRule="exact"/>
        <w:rPr>
          <w:rFonts w:hint="eastAsia"/>
          <w:lang w:val="es-ES"/>
        </w:rPr>
      </w:pPr>
      <w:r>
        <w:rPr>
          <w:rFonts w:hint="eastAsia"/>
          <w:lang w:val="es-ES"/>
        </w:rPr>
        <w:t>486</w:t>
      </w:r>
      <w:r>
        <w:rPr>
          <w:rFonts w:hint="eastAsia"/>
          <w:lang w:val="es-ES"/>
        </w:rPr>
        <w:t>．作为该模式在贯彻过程中所取得的成就，应该提及的有：</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上述经验在</w:t>
      </w:r>
      <w:r>
        <w:rPr>
          <w:lang w:val="es-ES"/>
        </w:rPr>
        <w:t>阿塞利</w:t>
      </w:r>
      <w:r>
        <w:rPr>
          <w:rFonts w:hint="eastAsia"/>
          <w:lang w:val="es-ES"/>
        </w:rPr>
        <w:t>、</w:t>
      </w:r>
      <w:r>
        <w:rPr>
          <w:lang w:val="es-ES"/>
        </w:rPr>
        <w:t>阿克斯塔</w:t>
      </w:r>
      <w:r>
        <w:rPr>
          <w:rFonts w:hint="eastAsia"/>
          <w:lang w:val="es-ES"/>
        </w:rPr>
        <w:t>和</w:t>
      </w:r>
      <w:r>
        <w:rPr>
          <w:lang w:val="es-ES"/>
        </w:rPr>
        <w:t>德森帕拉多斯</w:t>
      </w:r>
      <w:r>
        <w:rPr>
          <w:rFonts w:hint="eastAsia"/>
          <w:lang w:val="es-ES"/>
        </w:rPr>
        <w:t>等地区，卡洛斯·杜兰诊所以及一些社区内得到推广。</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哥斯达黎加社会保险公司执行理事长在该计划上的签字为其延续性提供了保障。这主要体现在</w:t>
      </w:r>
      <w:r>
        <w:rPr>
          <w:rFonts w:hint="eastAsia"/>
          <w:lang w:val="es-ES"/>
        </w:rPr>
        <w:t>2003</w:t>
      </w:r>
      <w:r>
        <w:rPr>
          <w:rFonts w:hint="eastAsia"/>
          <w:lang w:val="es-ES"/>
        </w:rPr>
        <w:t>年预算的分配上。因此，该计划能够在示范阶段接受后继续推行下去。</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为确保目前已开展活动的持续性，引入了五个核心的管理指数，旨在加强后续活动，并从性别角度加强对管理诺言的机制的审核。</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妇女医院同哥斯</w:t>
      </w:r>
      <w:r>
        <w:rPr>
          <w:rFonts w:hint="eastAsia"/>
          <w:lang w:val="es-ES"/>
        </w:rPr>
        <w:t>达黎加社会保险公司采购部在下列方面签署了</w:t>
      </w:r>
      <w:r>
        <w:rPr>
          <w:rFonts w:hint="eastAsia"/>
          <w:lang w:val="es-ES"/>
        </w:rPr>
        <w:t>2003</w:t>
      </w:r>
      <w:r>
        <w:rPr>
          <w:rFonts w:hint="eastAsia"/>
          <w:lang w:val="es-ES"/>
        </w:rPr>
        <w:t>年计划：艾滋病、烟草、毒品、酒精、性与生殖保健服务等。此外，正在起草家庭暴力和健康生活模式计划草案。在拉丁美洲围产期学研究中心和泛美卫生组织的协助下，贯彻执行产假质量保障计划。该计划试图在确诊的基础上使用药物，为女性更顺利地分娩采取有效措施。其实践手段之一便是分娩过程和产后一定时期内持续的技术陪伴和情感关怀。上述所有正在开展和施行的计划和努力都是女性健康整体关注模式的有机组成部分。</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该计划的核心便是社会参与。为使计划顺利开展，同女性领导人士合作，加强其自我领导</w:t>
      </w:r>
      <w:r>
        <w:rPr>
          <w:rFonts w:hint="eastAsia"/>
          <w:lang w:val="es-ES"/>
        </w:rPr>
        <w:t>的能力。时至今日，哥斯达黎加妇女通过自身的努力已经建立了一个保健机构，上述三个地区近</w:t>
      </w:r>
      <w:r>
        <w:rPr>
          <w:rFonts w:hint="eastAsia"/>
          <w:lang w:val="es-ES"/>
        </w:rPr>
        <w:t>800</w:t>
      </w:r>
      <w:r>
        <w:rPr>
          <w:rFonts w:hint="eastAsia"/>
          <w:lang w:val="es-ES"/>
        </w:rPr>
        <w:t>名妇女对该机构进行了广泛的宣传和不断的扩充。其结果便是促使女性整体健康促进协会的成立。</w:t>
      </w:r>
      <w:r>
        <w:rPr>
          <w:lang w:val="es-ES"/>
        </w:rPr>
        <w:t>阿塞利</w:t>
      </w:r>
      <w:r>
        <w:rPr>
          <w:rFonts w:hint="eastAsia"/>
          <w:lang w:val="es-ES"/>
        </w:rPr>
        <w:t>、</w:t>
      </w:r>
      <w:r>
        <w:rPr>
          <w:lang w:val="es-ES"/>
        </w:rPr>
        <w:t>阿克斯塔</w:t>
      </w:r>
      <w:r>
        <w:rPr>
          <w:rFonts w:hint="eastAsia"/>
          <w:lang w:val="es-ES"/>
        </w:rPr>
        <w:t>和</w:t>
      </w:r>
      <w:r>
        <w:rPr>
          <w:lang w:val="es-ES"/>
        </w:rPr>
        <w:t>德森帕拉多斯</w:t>
      </w:r>
      <w:r>
        <w:rPr>
          <w:rFonts w:hint="eastAsia"/>
          <w:lang w:val="es-ES"/>
        </w:rPr>
        <w:t>等地区均成立了该协会。目前，在本报告提及的各个卫生部门的工作人员之间不断加强机构的组织力度和宣传战略的活动。希望协调机制的建立能成为该项交流的成果，以便尽快进入协商阶段，开始制订各个卫生机构的战略重点以及各种后期追踪和评价机制。上述社区活动的主要目的在于确保在决策制订过程中实际参与的有效性。接受整体健康模</w:t>
      </w:r>
      <w:r>
        <w:rPr>
          <w:rFonts w:hint="eastAsia"/>
          <w:lang w:val="es-ES"/>
        </w:rPr>
        <w:t>式培训的女性领导人明确了社会在女性健康的关注和服务过程的定向方面需要发挥的主导和主体作用。</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妇女医院和诊所同女性组织之间的关系也发生了重大变化，如让有关负责机构注意到根据女性病人的需要和兴趣制订治疗计划的重要性；为保障女性获得新的保健方式——特别是尊重权利的推广和让公众了解对女性有利的条件等方面——的有效性制订相关的政策并加强对地方机构的领导；引导民众围绕政府的重要性和希望获得社会参与的机构展开讨论，后者需要一定的经济成本，因此在制度的制订过程中应该考虑到这一因素。从这个意义上来说，如果机构需要为社会参与、</w:t>
      </w:r>
      <w:r>
        <w:rPr>
          <w:rFonts w:hint="eastAsia"/>
          <w:lang w:val="es-ES"/>
        </w:rPr>
        <w:t>自治和女性活动的决策培训承担一定费用，则希望该机构不要存在任何偏见。</w:t>
      </w:r>
    </w:p>
    <w:p w:rsidR="00000000" w:rsidRDefault="00CA422F">
      <w:pPr>
        <w:spacing w:after="240" w:line="360" w:lineRule="exact"/>
        <w:rPr>
          <w:rFonts w:hint="eastAsia"/>
          <w:lang w:val="es-ES"/>
        </w:rPr>
      </w:pPr>
      <w:r>
        <w:rPr>
          <w:rFonts w:hint="eastAsia"/>
          <w:lang w:val="es-ES"/>
        </w:rPr>
        <w:t>487</w:t>
      </w:r>
      <w:r>
        <w:rPr>
          <w:rFonts w:hint="eastAsia"/>
          <w:lang w:val="es-ES"/>
        </w:rPr>
        <w:t>．接受本报告采访的女性组织指出，在实践过程中，关注模式仍然主要集中在女性的生殖保健上，并没有出现多样性的变化。此外，她们还指出，有些问题是女性保健所特有的，而同性与生殖权利关系密切的问题却一直被排除在卫生部门公共政策的制订过程之外。</w:t>
      </w:r>
    </w:p>
    <w:p w:rsidR="00000000" w:rsidRDefault="00CA422F">
      <w:pPr>
        <w:spacing w:after="240" w:line="360" w:lineRule="exact"/>
        <w:rPr>
          <w:rFonts w:hint="eastAsia"/>
          <w:lang w:val="es-ES"/>
        </w:rPr>
      </w:pPr>
      <w:r>
        <w:rPr>
          <w:rFonts w:hint="eastAsia"/>
          <w:lang w:val="es-ES"/>
        </w:rPr>
        <w:t>488</w:t>
      </w:r>
      <w:r>
        <w:rPr>
          <w:rFonts w:hint="eastAsia"/>
          <w:lang w:val="es-ES"/>
        </w:rPr>
        <w:t>．除此之外，注重制定行动计划的迫切性，以便更好地保障女性在家庭计划制订方法等方面可以获得及时而准确的信息的权利，并为女性稳妥地获得这些方法提供一定的帮助。</w:t>
      </w:r>
    </w:p>
    <w:p w:rsidR="00000000" w:rsidRDefault="00CA422F">
      <w:pPr>
        <w:spacing w:after="240" w:line="360" w:lineRule="exact"/>
        <w:rPr>
          <w:rFonts w:hint="eastAsia"/>
          <w:lang w:val="es-ES"/>
        </w:rPr>
      </w:pPr>
      <w:r>
        <w:rPr>
          <w:rFonts w:hint="eastAsia"/>
          <w:lang w:val="es-ES"/>
        </w:rPr>
        <w:t>489</w:t>
      </w:r>
      <w:r>
        <w:rPr>
          <w:rFonts w:hint="eastAsia"/>
          <w:lang w:val="es-ES"/>
        </w:rPr>
        <w:t>．关于上述问题，同样需要重点指出的</w:t>
      </w:r>
      <w:r>
        <w:rPr>
          <w:rFonts w:hint="eastAsia"/>
          <w:lang w:val="es-ES"/>
        </w:rPr>
        <w:t>便是青少年人权的脆弱性。政府必须承认青少年是享受权利和承担责任的主体，保障他们的权利，使他们能够积极参与某些个人或社会活动并发表自己的见解，这就意味着政府承认了青少年的权利和能力，特别使承认了他们有能力自觉而负责地行使自己的性权利。</w:t>
      </w:r>
    </w:p>
    <w:p w:rsidR="00000000" w:rsidRDefault="00CA422F">
      <w:pPr>
        <w:spacing w:after="240" w:line="360" w:lineRule="exact"/>
        <w:rPr>
          <w:rFonts w:hint="eastAsia"/>
          <w:lang w:val="es-ES"/>
        </w:rPr>
      </w:pPr>
      <w:r>
        <w:rPr>
          <w:rFonts w:hint="eastAsia"/>
          <w:lang w:val="es-ES"/>
        </w:rPr>
        <w:t>490</w:t>
      </w:r>
      <w:r>
        <w:rPr>
          <w:rFonts w:hint="eastAsia"/>
          <w:lang w:val="es-ES"/>
        </w:rPr>
        <w:t>．加强和支持国家妇女研究所制订的青少年整体关注计划的重要性受到了普遍的承认。其宗旨是推动和维护青少年个人的全面发展。除了已开展的一些活动之外，该计划还为青少年对各自的实际情况进行自我分析和批评预留了相应的空间，使他们能够获得更多的知识，改善自己的性生活态度，变得更加健康而</w:t>
      </w:r>
      <w:r>
        <w:rPr>
          <w:rFonts w:hint="eastAsia"/>
          <w:lang w:val="es-ES"/>
        </w:rPr>
        <w:t>充满责任感。除提供健康关注之外，保障青少年参与机会创造计划、参与上述计划的全国技术管理委员会以及任何跨部门地方管理委员会的权利。同时，该计划还试图向受到乱伦和性虐待伤害的青少年提供预防、早期诊断和全面治疗等服务。</w:t>
      </w:r>
    </w:p>
    <w:p w:rsidR="00000000" w:rsidRDefault="00CA422F">
      <w:pPr>
        <w:spacing w:after="240" w:line="360" w:lineRule="exact"/>
        <w:jc w:val="center"/>
        <w:rPr>
          <w:rFonts w:eastAsia="SimHei" w:hint="eastAsia"/>
          <w:sz w:val="24"/>
          <w:lang w:val="es-ES"/>
        </w:rPr>
      </w:pPr>
      <w:r>
        <w:rPr>
          <w:rFonts w:eastAsia="SimHei" w:hint="eastAsia"/>
          <w:sz w:val="24"/>
          <w:lang w:val="es-ES"/>
        </w:rPr>
        <w:t>非政府组织的参与</w:t>
      </w:r>
    </w:p>
    <w:p w:rsidR="00000000" w:rsidRDefault="00CA422F">
      <w:pPr>
        <w:spacing w:after="240" w:line="360" w:lineRule="exact"/>
        <w:rPr>
          <w:rFonts w:hint="eastAsia"/>
          <w:lang w:val="es-ES"/>
        </w:rPr>
      </w:pPr>
      <w:r>
        <w:rPr>
          <w:rFonts w:hint="eastAsia"/>
          <w:lang w:val="es-ES"/>
        </w:rPr>
        <w:t>491</w:t>
      </w:r>
      <w:r>
        <w:rPr>
          <w:rFonts w:hint="eastAsia"/>
          <w:lang w:val="es-ES"/>
        </w:rPr>
        <w:t>．勿庸置疑，新的范例主要来自社会，特别是来自女性运动和女性组织。发展部门的非政府组织同社区的相关人员以及了解真实情况的有关人士共同开展工作。他们非常熟悉妇女和年轻女性的健康状况，了解她们在机遇和期望方面遭受的不平等，以及这些妇女承担过重的责任。他们还明白女性在自我组织和自我</w:t>
      </w:r>
      <w:r>
        <w:rPr>
          <w:rFonts w:hint="eastAsia"/>
          <w:lang w:val="es-ES"/>
        </w:rPr>
        <w:t>改变方面所表现出来的惊人的能力，非政府组织通常对这些方面进行一定的援助。</w:t>
      </w:r>
    </w:p>
    <w:p w:rsidR="00000000" w:rsidRDefault="00CA422F">
      <w:pPr>
        <w:spacing w:after="240" w:line="360" w:lineRule="exact"/>
        <w:rPr>
          <w:rFonts w:hint="eastAsia"/>
          <w:lang w:val="es-ES"/>
        </w:rPr>
      </w:pPr>
      <w:r>
        <w:rPr>
          <w:rFonts w:hint="eastAsia"/>
          <w:lang w:val="es-ES"/>
        </w:rPr>
        <w:t>492</w:t>
      </w:r>
      <w:r>
        <w:rPr>
          <w:rFonts w:hint="eastAsia"/>
          <w:lang w:val="es-ES"/>
        </w:rPr>
        <w:t>．哥斯达黎加和拉美其它国家一样，拥有大量的非政府组织，其中一些专门从事女性工作，还有一部分数量可观的非政府组织专门关注女性的健康。</w:t>
      </w:r>
      <w:r>
        <w:rPr>
          <w:rFonts w:hint="eastAsia"/>
          <w:lang w:val="es-ES"/>
        </w:rPr>
        <w:t>1997</w:t>
      </w:r>
      <w:r>
        <w:rPr>
          <w:rFonts w:hint="eastAsia"/>
          <w:lang w:val="es-ES"/>
        </w:rPr>
        <w:t>年当哥斯达黎加被确定为“发展中国家”，并被拉丁美洲经济委员会定为</w:t>
      </w:r>
      <w:r>
        <w:rPr>
          <w:rFonts w:hint="eastAsia"/>
          <w:lang w:val="es-ES"/>
        </w:rPr>
        <w:t>C</w:t>
      </w:r>
      <w:r>
        <w:rPr>
          <w:rFonts w:hint="eastAsia"/>
          <w:lang w:val="es-ES"/>
        </w:rPr>
        <w:t>类国家，此后，许多国际援助机构都撤离了哥斯达黎加。不少非政府组织不得不因此缩小计划，裁减工作人员，甚至解散组织。还有不少非政府组织因为同爱情、青年、机会创造等计划进行合作而维持了下来。非政府组织的工作也极不稳定。他们开展新的计划</w:t>
      </w:r>
      <w:r>
        <w:rPr>
          <w:rFonts w:hint="eastAsia"/>
          <w:lang w:val="es-ES"/>
        </w:rPr>
        <w:t>，雇佣了社区工作人员并为他们带来了不少希望，然而，当出现资金短缺时，这些计划不得不宣告取消，而这类情况时有发生。</w:t>
      </w:r>
    </w:p>
    <w:p w:rsidR="00000000" w:rsidRDefault="00CA422F">
      <w:pPr>
        <w:spacing w:after="240" w:line="360" w:lineRule="exact"/>
        <w:rPr>
          <w:rFonts w:hint="eastAsia"/>
          <w:lang w:val="es-ES"/>
        </w:rPr>
      </w:pPr>
      <w:r>
        <w:rPr>
          <w:rFonts w:hint="eastAsia"/>
          <w:lang w:val="es-ES"/>
        </w:rPr>
        <w:t>493</w:t>
      </w:r>
      <w:r>
        <w:rPr>
          <w:rFonts w:hint="eastAsia"/>
          <w:lang w:val="es-ES"/>
        </w:rPr>
        <w:t>．非政府组织确实发挥了重要作用，特别是在女性获得性与生殖保健服务的权利方面的作用极为突出。不少接受本报告采访的专家专门提到了建立和加强同非政府组织联合的重要性。卫生体系显然无法满足全国人民的各项需求，因此，需要各类组织和协会在各自的社区内加强预防、权利、准备、健康选择等方面的工作。</w:t>
      </w:r>
    </w:p>
    <w:p w:rsidR="00000000" w:rsidRDefault="00CA422F">
      <w:pPr>
        <w:spacing w:after="240" w:line="360" w:lineRule="exact"/>
        <w:jc w:val="center"/>
        <w:rPr>
          <w:rFonts w:eastAsia="SimHei" w:hint="eastAsia"/>
          <w:sz w:val="24"/>
          <w:lang w:val="es-ES"/>
        </w:rPr>
      </w:pPr>
      <w:r>
        <w:rPr>
          <w:rFonts w:eastAsia="SimHei" w:hint="eastAsia"/>
          <w:sz w:val="24"/>
          <w:lang w:val="es-ES"/>
        </w:rPr>
        <w:t>对女性的暴力</w:t>
      </w:r>
    </w:p>
    <w:p w:rsidR="00000000" w:rsidRDefault="00CA422F">
      <w:pPr>
        <w:spacing w:after="240" w:line="360" w:lineRule="exact"/>
        <w:rPr>
          <w:rFonts w:hint="eastAsia"/>
          <w:lang w:val="es-ES"/>
        </w:rPr>
      </w:pPr>
      <w:r>
        <w:rPr>
          <w:rFonts w:hint="eastAsia"/>
          <w:lang w:val="es-ES"/>
        </w:rPr>
        <w:t>494</w:t>
      </w:r>
      <w:r>
        <w:rPr>
          <w:rFonts w:hint="eastAsia"/>
          <w:lang w:val="es-ES"/>
        </w:rPr>
        <w:t>．社会不平等现象最常见也是最严重的反映就是对女性的暴力，各个年龄层次成千上万的女性都是暴</w:t>
      </w:r>
      <w:r>
        <w:rPr>
          <w:rFonts w:hint="eastAsia"/>
          <w:lang w:val="es-ES"/>
        </w:rPr>
        <w:t>力的受害者，有时这些暴力甚至来自日常生活。这些暴力形式主要表现为对女性的虐待，这决不是偶然现象，而是由于女性的从属地位和社会对女性的歧视造成的（</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495</w:t>
      </w:r>
      <w:r>
        <w:rPr>
          <w:rFonts w:hint="eastAsia"/>
          <w:lang w:val="es-ES"/>
        </w:rPr>
        <w:t>．生理伤害、心理伤害、性侵犯和对财产继承权的侵犯是家庭内外最为常见的对女性侵犯形式，存在于任何社会阶层和任何文化背景之下。三十年前，人们对这一事实视而不见，现在，不少女性组织和不少女性受害者亲自站出来，开始不断地提出申诉，她们指出，整个社会，特别是政府机构，必须肩负起根除这类极端的男女差异和性别歧视等所需承担的责任。</w:t>
      </w:r>
    </w:p>
    <w:p w:rsidR="00000000" w:rsidRDefault="00CA422F">
      <w:pPr>
        <w:spacing w:after="240" w:line="360" w:lineRule="exact"/>
        <w:rPr>
          <w:rFonts w:hint="eastAsia"/>
          <w:lang w:val="es-ES"/>
        </w:rPr>
      </w:pPr>
      <w:r>
        <w:rPr>
          <w:rFonts w:hint="eastAsia"/>
          <w:lang w:val="es-ES"/>
        </w:rPr>
        <w:t>496</w:t>
      </w:r>
      <w:r>
        <w:rPr>
          <w:rFonts w:hint="eastAsia"/>
          <w:lang w:val="es-ES"/>
        </w:rPr>
        <w:t>．对</w:t>
      </w:r>
      <w:r>
        <w:rPr>
          <w:rFonts w:hint="eastAsia"/>
          <w:lang w:val="es-ES"/>
        </w:rPr>
        <w:t>女性的侵犯在公共卫生和公民保障方面构成了严重的问题。所有对女性的暴力形式都是不受欢迎的，也是不正当的，尽管其中某些形式是哥斯达黎加社会所特有的。例如，家庭暴力几乎每个月要夺去两名女性的生命，而对未成年人的赢利性色情剥削更是令哥斯达黎加成为了性旅游的目的地，同时也成了保护少年和青少年权益的各类国际组织的关注目标。</w:t>
      </w:r>
    </w:p>
    <w:p w:rsidR="00000000" w:rsidRDefault="00CA422F">
      <w:pPr>
        <w:spacing w:after="240" w:line="360" w:lineRule="exact"/>
        <w:rPr>
          <w:rFonts w:hint="eastAsia"/>
          <w:lang w:val="es-ES"/>
        </w:rPr>
      </w:pPr>
      <w:r>
        <w:rPr>
          <w:rFonts w:hint="eastAsia"/>
          <w:lang w:val="es-ES"/>
        </w:rPr>
        <w:t>497</w:t>
      </w:r>
      <w:r>
        <w:rPr>
          <w:rFonts w:hint="eastAsia"/>
          <w:lang w:val="es-ES"/>
        </w:rPr>
        <w:t>．然而，上述这些表现不是对女性暴力的所有形式。还存在着诸如性迫害、劳动中的性骚扰、未婚关系中的强奸行为、传媒中的性侵犯、强迫怀孕、危险的流产、警察职权的滥用、体制本身的暴力以及对遭受虐待的女童</w:t>
      </w:r>
      <w:r>
        <w:rPr>
          <w:rFonts w:hint="eastAsia"/>
          <w:lang w:val="es-ES"/>
        </w:rPr>
        <w:t>和未成年少女的再度伤害等其它形式。此外，当受害女性所处的社会群体和人种群体在哥斯达黎加社会受到歧视时，对女性的侵犯形式又会进一步加深：土著妇女、女性移民、女同性恋者、非裔哥斯达黎加女性公民、老年妇女、色情业者、女性残疾人、从事家务劳动的女性和失去人身自由的女性等。</w:t>
      </w:r>
    </w:p>
    <w:p w:rsidR="00000000" w:rsidRDefault="00CA422F">
      <w:pPr>
        <w:spacing w:after="240" w:line="360" w:lineRule="exact"/>
        <w:rPr>
          <w:rFonts w:hint="eastAsia"/>
          <w:lang w:val="es-ES"/>
        </w:rPr>
      </w:pPr>
      <w:r>
        <w:rPr>
          <w:rFonts w:hint="eastAsia"/>
          <w:lang w:val="es-ES"/>
        </w:rPr>
        <w:t>498</w:t>
      </w:r>
      <w:r>
        <w:rPr>
          <w:rFonts w:hint="eastAsia"/>
          <w:lang w:val="es-ES"/>
        </w:rPr>
        <w:t>．在哥斯达黎加，并非所有上述事实都能得到同样的承认，也并非所有的方式都有详细的记录，以便我们更好地掌握情况。然而，应该感谢受害妇女自发创立的各类社会组织，在他们的帮助下，我们能够觉察这些行为的存在，能够确认这些行为的当事人，了解产生这些行为</w:t>
      </w:r>
      <w:r>
        <w:rPr>
          <w:rFonts w:hint="eastAsia"/>
          <w:lang w:val="es-ES"/>
        </w:rPr>
        <w:t>的原因和对付这些行为的需求。</w:t>
      </w:r>
    </w:p>
    <w:p w:rsidR="00000000" w:rsidRDefault="00CA422F">
      <w:pPr>
        <w:spacing w:after="240" w:line="360" w:lineRule="exact"/>
        <w:rPr>
          <w:rFonts w:hint="eastAsia"/>
          <w:lang w:val="es-ES"/>
        </w:rPr>
      </w:pPr>
      <w:r>
        <w:rPr>
          <w:rFonts w:hint="eastAsia"/>
          <w:lang w:val="es-ES"/>
        </w:rPr>
        <w:t>499</w:t>
      </w:r>
      <w:r>
        <w:rPr>
          <w:rFonts w:hint="eastAsia"/>
          <w:lang w:val="es-ES"/>
        </w:rPr>
        <w:t>．</w:t>
      </w:r>
      <w:r>
        <w:rPr>
          <w:rFonts w:hint="eastAsia"/>
          <w:lang w:val="es-ES"/>
        </w:rPr>
        <w:t>2000</w:t>
      </w:r>
      <w:r>
        <w:rPr>
          <w:rFonts w:hint="eastAsia"/>
          <w:lang w:val="es-ES"/>
        </w:rPr>
        <w:t>年，哥斯达黎加聚集了包括立法资源在内的各种不同资源来对抗某些对女性的暴力行为。这是自</w:t>
      </w:r>
      <w:r>
        <w:rPr>
          <w:rFonts w:hint="eastAsia"/>
          <w:lang w:val="es-ES"/>
        </w:rPr>
        <w:t>1990</w:t>
      </w:r>
      <w:r>
        <w:rPr>
          <w:rFonts w:hint="eastAsia"/>
          <w:lang w:val="es-ES"/>
        </w:rPr>
        <w:t>年以来的重大进步。九十年代初，女性组织在帮助妇女、女童和未成年少女进行申诉时，实际上处于非常孤立的境地；在揭露暴力、推动立法和公共政策的变化等方面也是如此。国家和私人计划在这个领域内获得的经验，如已经开展的各类调查，为更好地认识女性暴力及其各种形式提供了一定的帮助。</w:t>
      </w:r>
    </w:p>
    <w:p w:rsidR="00000000" w:rsidRDefault="00CA422F">
      <w:pPr>
        <w:spacing w:after="240" w:line="360" w:lineRule="exact"/>
        <w:jc w:val="center"/>
        <w:rPr>
          <w:rFonts w:eastAsia="SimHei" w:hint="eastAsia"/>
          <w:sz w:val="24"/>
          <w:lang w:val="es-ES"/>
        </w:rPr>
      </w:pPr>
      <w:r>
        <w:rPr>
          <w:rFonts w:ascii="SimHei" w:eastAsia="SimHei" w:hint="eastAsia"/>
          <w:sz w:val="24"/>
          <w:lang w:val="es-ES"/>
        </w:rPr>
        <w:t>轼女</w:t>
      </w:r>
      <w:r>
        <w:rPr>
          <w:rStyle w:val="FootnoteReference"/>
          <w:rFonts w:eastAsia="SimHei"/>
          <w:sz w:val="24"/>
          <w:lang w:val="es-ES"/>
        </w:rPr>
        <w:footnoteReference w:customMarkFollows="1" w:id="25"/>
        <w:t>24</w:t>
      </w:r>
    </w:p>
    <w:p w:rsidR="00000000" w:rsidRDefault="00CA422F">
      <w:pPr>
        <w:spacing w:after="240" w:line="360" w:lineRule="exact"/>
        <w:rPr>
          <w:rFonts w:hint="eastAsia"/>
          <w:lang w:val="es-ES"/>
        </w:rPr>
      </w:pPr>
      <w:r>
        <w:rPr>
          <w:rFonts w:hint="eastAsia"/>
          <w:lang w:val="es-ES"/>
        </w:rPr>
        <w:t>500</w:t>
      </w:r>
      <w:r>
        <w:rPr>
          <w:rFonts w:hint="eastAsia"/>
          <w:lang w:val="es-ES"/>
        </w:rPr>
        <w:t>．</w:t>
      </w:r>
      <w:r>
        <w:rPr>
          <w:rFonts w:hint="eastAsia"/>
          <w:lang w:val="es-ES"/>
        </w:rPr>
        <w:t>2000</w:t>
      </w:r>
      <w:r>
        <w:rPr>
          <w:rFonts w:hint="eastAsia"/>
          <w:lang w:val="es-ES"/>
        </w:rPr>
        <w:t>年，</w:t>
      </w:r>
      <w:r>
        <w:rPr>
          <w:rFonts w:hint="eastAsia"/>
          <w:lang w:val="es-ES"/>
        </w:rPr>
        <w:t>25</w:t>
      </w:r>
      <w:r>
        <w:rPr>
          <w:rFonts w:hint="eastAsia"/>
          <w:lang w:val="es-ES"/>
        </w:rPr>
        <w:t>名女性死于家庭暴力和性暴力，这一数据同最近几年平均每月死亡</w:t>
      </w:r>
      <w:r>
        <w:rPr>
          <w:rFonts w:hint="eastAsia"/>
          <w:lang w:val="es-ES"/>
        </w:rPr>
        <w:t>2</w:t>
      </w:r>
      <w:r>
        <w:rPr>
          <w:rFonts w:hint="eastAsia"/>
          <w:lang w:val="es-ES"/>
        </w:rPr>
        <w:t>人以上的数据</w:t>
      </w:r>
      <w:r>
        <w:rPr>
          <w:rFonts w:hint="eastAsia"/>
          <w:lang w:val="es-ES"/>
        </w:rPr>
        <w:t>大致相同。这种被称为轼女的谋杀方式占据了九十年代女性凶杀的绝大部分——占已知总死亡人数的</w:t>
      </w:r>
      <w:r>
        <w:rPr>
          <w:rFonts w:hint="eastAsia"/>
          <w:lang w:val="es-ES"/>
        </w:rPr>
        <w:t>70%</w:t>
      </w:r>
      <w:r>
        <w:rPr>
          <w:rFonts w:hint="eastAsia"/>
          <w:lang w:val="es-ES"/>
        </w:rPr>
        <w:t>，同女性因分娩而造成的女性死亡比例大致相同，但却高于因艾滋病而死亡的比例。</w:t>
      </w:r>
    </w:p>
    <w:p w:rsidR="00000000" w:rsidRDefault="00CA422F">
      <w:pPr>
        <w:spacing w:after="240" w:line="360" w:lineRule="exact"/>
        <w:jc w:val="center"/>
        <w:rPr>
          <w:rFonts w:ascii="SimHei" w:eastAsia="SimHei" w:hint="eastAsia"/>
          <w:lang w:val="es-ES"/>
        </w:rPr>
      </w:pPr>
      <w:r>
        <w:rPr>
          <w:rFonts w:ascii="SimHei" w:eastAsia="SimHei" w:hint="eastAsia"/>
          <w:lang w:val="es-ES"/>
        </w:rPr>
        <w:t>表</w:t>
      </w:r>
      <w:r>
        <w:rPr>
          <w:rFonts w:ascii="SimHei" w:eastAsia="SimHei" w:hint="eastAsia"/>
          <w:lang w:val="es-ES"/>
        </w:rPr>
        <w:t>14</w:t>
      </w:r>
      <w:r>
        <w:rPr>
          <w:rFonts w:ascii="SimHei" w:eastAsia="SimHei"/>
          <w:lang w:val="es-ES"/>
        </w:rPr>
        <w:br/>
      </w:r>
      <w:r>
        <w:rPr>
          <w:rFonts w:ascii="SimHei" w:eastAsia="SimHei" w:hint="eastAsia"/>
          <w:lang w:val="es-ES"/>
        </w:rPr>
        <w:t>哥斯达黎加：谋杀、轼女、艾滋病和分娩</w:t>
      </w:r>
      <w:r>
        <w:rPr>
          <w:rFonts w:ascii="SimHei" w:eastAsia="SimHei"/>
          <w:lang w:val="es-ES"/>
        </w:rPr>
        <w:br/>
      </w:r>
      <w:r>
        <w:rPr>
          <w:rFonts w:ascii="SimHei" w:eastAsia="SimHei" w:hint="eastAsia"/>
          <w:lang w:val="es-ES"/>
        </w:rPr>
        <w:t>导致的女性死亡，</w:t>
      </w:r>
      <w:r>
        <w:rPr>
          <w:rFonts w:ascii="SimHei" w:eastAsia="SimHei" w:hint="eastAsia"/>
          <w:lang w:val="es-ES"/>
        </w:rPr>
        <w:t>1990</w:t>
      </w:r>
      <w:r>
        <w:rPr>
          <w:rFonts w:ascii="SimHei" w:eastAsia="SimHei" w:hint="eastAsia"/>
          <w:lang w:val="es-ES"/>
        </w:rPr>
        <w:t>－</w:t>
      </w:r>
      <w:r>
        <w:rPr>
          <w:rFonts w:ascii="SimHei" w:eastAsia="SimHei" w:hint="eastAsia"/>
          <w:lang w:val="es-ES"/>
        </w:rPr>
        <w:t>1999</w:t>
      </w:r>
      <w:r>
        <w:rPr>
          <w:rFonts w:ascii="SimHei" w:eastAsia="SimHei" w:hint="eastAsia"/>
          <w:lang w:val="es-ES"/>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7"/>
        <w:gridCol w:w="707"/>
        <w:gridCol w:w="709"/>
        <w:gridCol w:w="707"/>
        <w:gridCol w:w="710"/>
        <w:gridCol w:w="710"/>
        <w:gridCol w:w="708"/>
        <w:gridCol w:w="710"/>
        <w:gridCol w:w="710"/>
        <w:gridCol w:w="708"/>
        <w:gridCol w:w="710"/>
        <w:gridCol w:w="700"/>
      </w:tblGrid>
      <w:tr w:rsidR="00000000">
        <w:tblPrEx>
          <w:tblCellMar>
            <w:top w:w="0" w:type="dxa"/>
            <w:bottom w:w="0" w:type="dxa"/>
          </w:tblCellMar>
        </w:tblPrEx>
        <w:tc>
          <w:tcPr>
            <w:tcW w:w="1049" w:type="pct"/>
          </w:tcPr>
          <w:p w:rsidR="00000000" w:rsidRDefault="00CA422F">
            <w:pPr>
              <w:spacing w:line="360" w:lineRule="exact"/>
              <w:jc w:val="center"/>
              <w:rPr>
                <w:rFonts w:ascii="SimHei" w:eastAsia="SimHei" w:hint="eastAsia"/>
                <w:sz w:val="18"/>
                <w:lang w:val="es-ES"/>
              </w:rPr>
            </w:pPr>
          </w:p>
        </w:tc>
        <w:tc>
          <w:tcPr>
            <w:tcW w:w="359"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1990</w:t>
            </w:r>
          </w:p>
        </w:tc>
        <w:tc>
          <w:tcPr>
            <w:tcW w:w="360"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1991</w:t>
            </w:r>
          </w:p>
        </w:tc>
        <w:tc>
          <w:tcPr>
            <w:tcW w:w="359"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1992</w:t>
            </w:r>
          </w:p>
        </w:tc>
        <w:tc>
          <w:tcPr>
            <w:tcW w:w="360"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1993</w:t>
            </w:r>
          </w:p>
        </w:tc>
        <w:tc>
          <w:tcPr>
            <w:tcW w:w="360"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1994</w:t>
            </w:r>
          </w:p>
        </w:tc>
        <w:tc>
          <w:tcPr>
            <w:tcW w:w="359"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1995</w:t>
            </w:r>
          </w:p>
        </w:tc>
        <w:tc>
          <w:tcPr>
            <w:tcW w:w="360"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1996</w:t>
            </w:r>
          </w:p>
        </w:tc>
        <w:tc>
          <w:tcPr>
            <w:tcW w:w="360"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1997</w:t>
            </w:r>
          </w:p>
        </w:tc>
        <w:tc>
          <w:tcPr>
            <w:tcW w:w="359"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1998</w:t>
            </w:r>
          </w:p>
        </w:tc>
        <w:tc>
          <w:tcPr>
            <w:tcW w:w="360" w:type="pct"/>
          </w:tcPr>
          <w:p w:rsidR="00000000" w:rsidRDefault="00CA422F">
            <w:pPr>
              <w:spacing w:line="360" w:lineRule="exact"/>
              <w:jc w:val="center"/>
              <w:rPr>
                <w:rFonts w:eastAsia="SimHei" w:hint="eastAsia"/>
                <w:b/>
                <w:bCs/>
                <w:sz w:val="18"/>
                <w:lang w:val="es-ES"/>
              </w:rPr>
            </w:pPr>
            <w:r>
              <w:rPr>
                <w:rFonts w:eastAsia="SimHei" w:hint="eastAsia"/>
                <w:b/>
                <w:bCs/>
                <w:sz w:val="18"/>
                <w:lang w:val="es-ES"/>
              </w:rPr>
              <w:t>1999</w:t>
            </w:r>
          </w:p>
        </w:tc>
        <w:tc>
          <w:tcPr>
            <w:tcW w:w="357" w:type="pct"/>
          </w:tcPr>
          <w:p w:rsidR="00000000" w:rsidRDefault="00CA422F">
            <w:pPr>
              <w:pStyle w:val="Header"/>
              <w:pBdr>
                <w:bottom w:val="none" w:sz="0" w:space="0" w:color="auto"/>
              </w:pBdr>
              <w:tabs>
                <w:tab w:val="clear" w:pos="4320"/>
                <w:tab w:val="clear" w:pos="8640"/>
              </w:tabs>
              <w:spacing w:line="360" w:lineRule="exact"/>
              <w:rPr>
                <w:rFonts w:ascii="SimHei" w:eastAsia="SimHei" w:hint="eastAsia"/>
                <w:lang w:val="es-ES"/>
              </w:rPr>
            </w:pPr>
            <w:r>
              <w:rPr>
                <w:rFonts w:ascii="SimHei" w:eastAsia="SimHei" w:hint="eastAsia"/>
                <w:lang w:val="es-ES"/>
              </w:rPr>
              <w:t>总计</w:t>
            </w:r>
          </w:p>
        </w:tc>
      </w:tr>
      <w:tr w:rsidR="00000000">
        <w:tblPrEx>
          <w:tblCellMar>
            <w:top w:w="0" w:type="dxa"/>
            <w:bottom w:w="0" w:type="dxa"/>
          </w:tblCellMar>
        </w:tblPrEx>
        <w:tc>
          <w:tcPr>
            <w:tcW w:w="1049" w:type="pct"/>
          </w:tcPr>
          <w:p w:rsidR="00000000" w:rsidRDefault="00CA422F">
            <w:pPr>
              <w:pStyle w:val="60"/>
              <w:spacing w:beforeLines="0" w:before="0" w:afterLines="0" w:after="0" w:line="360" w:lineRule="exact"/>
              <w:rPr>
                <w:rFonts w:ascii="Times New Roman" w:eastAsia="SimHei" w:hAnsi="Times New Roman" w:hint="eastAsia"/>
                <w:sz w:val="18"/>
              </w:rPr>
            </w:pPr>
            <w:r>
              <w:rPr>
                <w:rFonts w:ascii="Times New Roman" w:eastAsia="SimHei" w:hAnsi="Times New Roman" w:hint="eastAsia"/>
                <w:sz w:val="18"/>
              </w:rPr>
              <w:t>女性凶杀</w:t>
            </w:r>
          </w:p>
        </w:tc>
        <w:tc>
          <w:tcPr>
            <w:tcW w:w="359" w:type="pct"/>
          </w:tcPr>
          <w:p w:rsidR="00000000" w:rsidRDefault="00CA422F">
            <w:pPr>
              <w:spacing w:line="360" w:lineRule="exact"/>
              <w:jc w:val="center"/>
              <w:rPr>
                <w:rFonts w:hint="eastAsia"/>
                <w:sz w:val="18"/>
                <w:lang w:val="es-ES"/>
              </w:rPr>
            </w:pPr>
            <w:r>
              <w:rPr>
                <w:rFonts w:hint="eastAsia"/>
                <w:sz w:val="18"/>
                <w:lang w:val="es-ES"/>
              </w:rPr>
              <w:t>32</w:t>
            </w:r>
          </w:p>
        </w:tc>
        <w:tc>
          <w:tcPr>
            <w:tcW w:w="360" w:type="pct"/>
          </w:tcPr>
          <w:p w:rsidR="00000000" w:rsidRDefault="00CA422F">
            <w:pPr>
              <w:spacing w:line="360" w:lineRule="exact"/>
              <w:jc w:val="center"/>
              <w:rPr>
                <w:rFonts w:hint="eastAsia"/>
                <w:sz w:val="18"/>
                <w:lang w:val="es-ES"/>
              </w:rPr>
            </w:pPr>
            <w:r>
              <w:rPr>
                <w:rFonts w:hint="eastAsia"/>
                <w:sz w:val="18"/>
                <w:lang w:val="es-ES"/>
              </w:rPr>
              <w:t>39</w:t>
            </w:r>
          </w:p>
        </w:tc>
        <w:tc>
          <w:tcPr>
            <w:tcW w:w="359" w:type="pct"/>
          </w:tcPr>
          <w:p w:rsidR="00000000" w:rsidRDefault="00CA422F">
            <w:pPr>
              <w:spacing w:line="360" w:lineRule="exact"/>
              <w:jc w:val="center"/>
              <w:rPr>
                <w:rFonts w:hint="eastAsia"/>
                <w:sz w:val="18"/>
                <w:lang w:val="es-ES"/>
              </w:rPr>
            </w:pPr>
            <w:r>
              <w:rPr>
                <w:rFonts w:hint="eastAsia"/>
                <w:sz w:val="18"/>
                <w:lang w:val="es-ES"/>
              </w:rPr>
              <w:t>27</w:t>
            </w:r>
          </w:p>
        </w:tc>
        <w:tc>
          <w:tcPr>
            <w:tcW w:w="360" w:type="pct"/>
          </w:tcPr>
          <w:p w:rsidR="00000000" w:rsidRDefault="00CA422F">
            <w:pPr>
              <w:spacing w:line="360" w:lineRule="exact"/>
              <w:jc w:val="center"/>
              <w:rPr>
                <w:rFonts w:hint="eastAsia"/>
                <w:sz w:val="18"/>
                <w:lang w:val="es-ES"/>
              </w:rPr>
            </w:pPr>
            <w:r>
              <w:rPr>
                <w:rFonts w:hint="eastAsia"/>
                <w:sz w:val="18"/>
                <w:lang w:val="es-ES"/>
              </w:rPr>
              <w:t>29</w:t>
            </w:r>
          </w:p>
        </w:tc>
        <w:tc>
          <w:tcPr>
            <w:tcW w:w="360" w:type="pct"/>
          </w:tcPr>
          <w:p w:rsidR="00000000" w:rsidRDefault="00CA422F">
            <w:pPr>
              <w:spacing w:line="360" w:lineRule="exact"/>
              <w:jc w:val="center"/>
              <w:rPr>
                <w:rFonts w:hint="eastAsia"/>
                <w:sz w:val="18"/>
                <w:lang w:val="es-ES"/>
              </w:rPr>
            </w:pPr>
            <w:r>
              <w:rPr>
                <w:rFonts w:hint="eastAsia"/>
                <w:sz w:val="18"/>
                <w:lang w:val="es-ES"/>
              </w:rPr>
              <w:t>30</w:t>
            </w:r>
          </w:p>
        </w:tc>
        <w:tc>
          <w:tcPr>
            <w:tcW w:w="359" w:type="pct"/>
          </w:tcPr>
          <w:p w:rsidR="00000000" w:rsidRDefault="00CA422F">
            <w:pPr>
              <w:spacing w:line="360" w:lineRule="exact"/>
              <w:jc w:val="center"/>
              <w:rPr>
                <w:rFonts w:hint="eastAsia"/>
                <w:sz w:val="18"/>
                <w:lang w:val="es-ES"/>
              </w:rPr>
            </w:pPr>
            <w:r>
              <w:rPr>
                <w:rFonts w:hint="eastAsia"/>
                <w:sz w:val="18"/>
                <w:lang w:val="es-ES"/>
              </w:rPr>
              <w:t>32</w:t>
            </w:r>
          </w:p>
        </w:tc>
        <w:tc>
          <w:tcPr>
            <w:tcW w:w="360" w:type="pct"/>
          </w:tcPr>
          <w:p w:rsidR="00000000" w:rsidRDefault="00CA422F">
            <w:pPr>
              <w:spacing w:line="360" w:lineRule="exact"/>
              <w:jc w:val="center"/>
              <w:rPr>
                <w:rFonts w:hint="eastAsia"/>
                <w:sz w:val="18"/>
                <w:lang w:val="es-ES"/>
              </w:rPr>
            </w:pPr>
            <w:r>
              <w:rPr>
                <w:rFonts w:hint="eastAsia"/>
                <w:sz w:val="18"/>
                <w:lang w:val="es-ES"/>
              </w:rPr>
              <w:t>27</w:t>
            </w:r>
          </w:p>
        </w:tc>
        <w:tc>
          <w:tcPr>
            <w:tcW w:w="360" w:type="pct"/>
          </w:tcPr>
          <w:p w:rsidR="00000000" w:rsidRDefault="00CA422F">
            <w:pPr>
              <w:spacing w:line="360" w:lineRule="exact"/>
              <w:jc w:val="center"/>
              <w:rPr>
                <w:rFonts w:hint="eastAsia"/>
                <w:sz w:val="18"/>
                <w:lang w:val="es-ES"/>
              </w:rPr>
            </w:pPr>
            <w:r>
              <w:rPr>
                <w:rFonts w:hint="eastAsia"/>
                <w:sz w:val="18"/>
                <w:lang w:val="es-ES"/>
              </w:rPr>
              <w:t>26</w:t>
            </w:r>
          </w:p>
        </w:tc>
        <w:tc>
          <w:tcPr>
            <w:tcW w:w="359" w:type="pct"/>
          </w:tcPr>
          <w:p w:rsidR="00000000" w:rsidRDefault="00CA422F">
            <w:pPr>
              <w:spacing w:line="360" w:lineRule="exact"/>
              <w:jc w:val="center"/>
              <w:rPr>
                <w:rFonts w:hint="eastAsia"/>
                <w:sz w:val="18"/>
                <w:lang w:val="es-ES"/>
              </w:rPr>
            </w:pPr>
            <w:r>
              <w:rPr>
                <w:rFonts w:hint="eastAsia"/>
                <w:sz w:val="18"/>
                <w:lang w:val="es-ES"/>
              </w:rPr>
              <w:t>34</w:t>
            </w:r>
          </w:p>
        </w:tc>
        <w:tc>
          <w:tcPr>
            <w:tcW w:w="360" w:type="pct"/>
          </w:tcPr>
          <w:p w:rsidR="00000000" w:rsidRDefault="00CA422F">
            <w:pPr>
              <w:spacing w:line="360" w:lineRule="exact"/>
              <w:jc w:val="center"/>
              <w:rPr>
                <w:rFonts w:hint="eastAsia"/>
                <w:sz w:val="18"/>
                <w:lang w:val="es-ES"/>
              </w:rPr>
            </w:pPr>
            <w:r>
              <w:rPr>
                <w:rFonts w:hint="eastAsia"/>
                <w:sz w:val="18"/>
                <w:lang w:val="es-ES"/>
              </w:rPr>
              <w:t>39</w:t>
            </w:r>
          </w:p>
        </w:tc>
        <w:tc>
          <w:tcPr>
            <w:tcW w:w="357" w:type="pct"/>
          </w:tcPr>
          <w:p w:rsidR="00000000" w:rsidRDefault="00CA422F">
            <w:pPr>
              <w:spacing w:line="360" w:lineRule="exact"/>
              <w:jc w:val="center"/>
              <w:rPr>
                <w:rFonts w:hint="eastAsia"/>
                <w:sz w:val="18"/>
                <w:lang w:val="es-ES"/>
              </w:rPr>
            </w:pPr>
            <w:r>
              <w:rPr>
                <w:rFonts w:hint="eastAsia"/>
                <w:sz w:val="18"/>
                <w:lang w:val="es-ES"/>
              </w:rPr>
              <w:t>315</w:t>
            </w:r>
          </w:p>
        </w:tc>
      </w:tr>
      <w:tr w:rsidR="00000000">
        <w:tblPrEx>
          <w:tblCellMar>
            <w:top w:w="0" w:type="dxa"/>
            <w:bottom w:w="0" w:type="dxa"/>
          </w:tblCellMar>
        </w:tblPrEx>
        <w:tc>
          <w:tcPr>
            <w:tcW w:w="1049" w:type="pct"/>
          </w:tcPr>
          <w:p w:rsidR="00000000" w:rsidRDefault="00CA422F">
            <w:pPr>
              <w:spacing w:line="360" w:lineRule="exact"/>
              <w:rPr>
                <w:rFonts w:eastAsia="SimHei" w:hint="eastAsia"/>
                <w:sz w:val="18"/>
                <w:lang w:val="es-ES"/>
              </w:rPr>
            </w:pPr>
            <w:r>
              <w:rPr>
                <w:rFonts w:eastAsia="SimHei" w:hint="eastAsia"/>
                <w:sz w:val="18"/>
                <w:lang w:val="es-ES"/>
              </w:rPr>
              <w:t>轼女</w:t>
            </w:r>
          </w:p>
        </w:tc>
        <w:tc>
          <w:tcPr>
            <w:tcW w:w="359" w:type="pct"/>
          </w:tcPr>
          <w:p w:rsidR="00000000" w:rsidRDefault="00CA422F">
            <w:pPr>
              <w:spacing w:line="360" w:lineRule="exact"/>
              <w:jc w:val="center"/>
              <w:rPr>
                <w:rFonts w:hint="eastAsia"/>
                <w:sz w:val="18"/>
                <w:lang w:val="es-ES"/>
              </w:rPr>
            </w:pPr>
            <w:r>
              <w:rPr>
                <w:rFonts w:hint="eastAsia"/>
                <w:sz w:val="18"/>
                <w:lang w:val="es-ES"/>
              </w:rPr>
              <w:t>21</w:t>
            </w:r>
          </w:p>
        </w:tc>
        <w:tc>
          <w:tcPr>
            <w:tcW w:w="360" w:type="pct"/>
          </w:tcPr>
          <w:p w:rsidR="00000000" w:rsidRDefault="00CA422F">
            <w:pPr>
              <w:spacing w:line="360" w:lineRule="exact"/>
              <w:jc w:val="center"/>
              <w:rPr>
                <w:rFonts w:hint="eastAsia"/>
                <w:sz w:val="18"/>
                <w:lang w:val="es-ES"/>
              </w:rPr>
            </w:pPr>
            <w:r>
              <w:rPr>
                <w:rFonts w:hint="eastAsia"/>
                <w:sz w:val="18"/>
                <w:lang w:val="es-ES"/>
              </w:rPr>
              <w:t>16</w:t>
            </w:r>
          </w:p>
        </w:tc>
        <w:tc>
          <w:tcPr>
            <w:tcW w:w="359" w:type="pct"/>
          </w:tcPr>
          <w:p w:rsidR="00000000" w:rsidRDefault="00CA422F">
            <w:pPr>
              <w:spacing w:line="360" w:lineRule="exact"/>
              <w:jc w:val="center"/>
              <w:rPr>
                <w:rFonts w:hint="eastAsia"/>
                <w:sz w:val="18"/>
                <w:lang w:val="es-ES"/>
              </w:rPr>
            </w:pPr>
            <w:r>
              <w:rPr>
                <w:rFonts w:hint="eastAsia"/>
                <w:sz w:val="18"/>
                <w:lang w:val="es-ES"/>
              </w:rPr>
              <w:t>13</w:t>
            </w:r>
          </w:p>
        </w:tc>
        <w:tc>
          <w:tcPr>
            <w:tcW w:w="360" w:type="pct"/>
          </w:tcPr>
          <w:p w:rsidR="00000000" w:rsidRDefault="00CA422F">
            <w:pPr>
              <w:spacing w:line="360" w:lineRule="exact"/>
              <w:jc w:val="center"/>
              <w:rPr>
                <w:rFonts w:hint="eastAsia"/>
                <w:sz w:val="18"/>
                <w:lang w:val="es-ES"/>
              </w:rPr>
            </w:pPr>
            <w:r>
              <w:rPr>
                <w:rFonts w:hint="eastAsia"/>
                <w:sz w:val="18"/>
                <w:lang w:val="es-ES"/>
              </w:rPr>
              <w:t>20</w:t>
            </w:r>
          </w:p>
        </w:tc>
        <w:tc>
          <w:tcPr>
            <w:tcW w:w="360" w:type="pct"/>
          </w:tcPr>
          <w:p w:rsidR="00000000" w:rsidRDefault="00CA422F">
            <w:pPr>
              <w:spacing w:line="360" w:lineRule="exact"/>
              <w:jc w:val="center"/>
              <w:rPr>
                <w:rFonts w:hint="eastAsia"/>
                <w:sz w:val="18"/>
                <w:lang w:val="es-ES"/>
              </w:rPr>
            </w:pPr>
            <w:r>
              <w:rPr>
                <w:rFonts w:hint="eastAsia"/>
                <w:sz w:val="18"/>
                <w:lang w:val="es-ES"/>
              </w:rPr>
              <w:t>18</w:t>
            </w:r>
          </w:p>
        </w:tc>
        <w:tc>
          <w:tcPr>
            <w:tcW w:w="359" w:type="pct"/>
          </w:tcPr>
          <w:p w:rsidR="00000000" w:rsidRDefault="00CA422F">
            <w:pPr>
              <w:spacing w:line="360" w:lineRule="exact"/>
              <w:jc w:val="center"/>
              <w:rPr>
                <w:rFonts w:hint="eastAsia"/>
                <w:sz w:val="18"/>
                <w:lang w:val="es-ES"/>
              </w:rPr>
            </w:pPr>
            <w:r>
              <w:rPr>
                <w:rFonts w:hint="eastAsia"/>
                <w:sz w:val="18"/>
                <w:lang w:val="es-ES"/>
              </w:rPr>
              <w:t>20</w:t>
            </w:r>
          </w:p>
        </w:tc>
        <w:tc>
          <w:tcPr>
            <w:tcW w:w="360" w:type="pct"/>
          </w:tcPr>
          <w:p w:rsidR="00000000" w:rsidRDefault="00CA422F">
            <w:pPr>
              <w:spacing w:line="360" w:lineRule="exact"/>
              <w:jc w:val="center"/>
              <w:rPr>
                <w:rFonts w:hint="eastAsia"/>
                <w:sz w:val="18"/>
                <w:lang w:val="es-ES"/>
              </w:rPr>
            </w:pPr>
            <w:r>
              <w:rPr>
                <w:rFonts w:hint="eastAsia"/>
                <w:sz w:val="18"/>
                <w:lang w:val="es-ES"/>
              </w:rPr>
              <w:t>17</w:t>
            </w:r>
          </w:p>
        </w:tc>
        <w:tc>
          <w:tcPr>
            <w:tcW w:w="360" w:type="pct"/>
          </w:tcPr>
          <w:p w:rsidR="00000000" w:rsidRDefault="00CA422F">
            <w:pPr>
              <w:spacing w:line="360" w:lineRule="exact"/>
              <w:jc w:val="center"/>
              <w:rPr>
                <w:rFonts w:hint="eastAsia"/>
                <w:sz w:val="18"/>
                <w:lang w:val="es-ES"/>
              </w:rPr>
            </w:pPr>
            <w:r>
              <w:rPr>
                <w:rFonts w:hint="eastAsia"/>
                <w:sz w:val="18"/>
                <w:lang w:val="es-ES"/>
              </w:rPr>
              <w:t>12</w:t>
            </w:r>
          </w:p>
        </w:tc>
        <w:tc>
          <w:tcPr>
            <w:tcW w:w="359" w:type="pct"/>
          </w:tcPr>
          <w:p w:rsidR="00000000" w:rsidRDefault="00CA422F">
            <w:pPr>
              <w:spacing w:line="360" w:lineRule="exact"/>
              <w:jc w:val="center"/>
              <w:rPr>
                <w:rFonts w:hint="eastAsia"/>
                <w:sz w:val="18"/>
                <w:lang w:val="es-ES"/>
              </w:rPr>
            </w:pPr>
            <w:r>
              <w:rPr>
                <w:rFonts w:hint="eastAsia"/>
                <w:sz w:val="18"/>
                <w:lang w:val="es-ES"/>
              </w:rPr>
              <w:t>21</w:t>
            </w:r>
          </w:p>
        </w:tc>
        <w:tc>
          <w:tcPr>
            <w:tcW w:w="360" w:type="pct"/>
          </w:tcPr>
          <w:p w:rsidR="00000000" w:rsidRDefault="00CA422F">
            <w:pPr>
              <w:spacing w:line="360" w:lineRule="exact"/>
              <w:jc w:val="center"/>
              <w:rPr>
                <w:rFonts w:hint="eastAsia"/>
                <w:sz w:val="18"/>
                <w:lang w:val="es-ES"/>
              </w:rPr>
            </w:pPr>
            <w:r>
              <w:rPr>
                <w:rFonts w:hint="eastAsia"/>
                <w:sz w:val="18"/>
                <w:lang w:val="es-ES"/>
              </w:rPr>
              <w:t>16</w:t>
            </w:r>
          </w:p>
        </w:tc>
        <w:tc>
          <w:tcPr>
            <w:tcW w:w="357" w:type="pct"/>
          </w:tcPr>
          <w:p w:rsidR="00000000" w:rsidRDefault="00CA422F">
            <w:pPr>
              <w:spacing w:line="360" w:lineRule="exact"/>
              <w:jc w:val="center"/>
              <w:rPr>
                <w:rFonts w:hint="eastAsia"/>
                <w:sz w:val="18"/>
                <w:lang w:val="es-ES"/>
              </w:rPr>
            </w:pPr>
            <w:r>
              <w:rPr>
                <w:rFonts w:hint="eastAsia"/>
                <w:sz w:val="18"/>
                <w:lang w:val="es-ES"/>
              </w:rPr>
              <w:t>1</w:t>
            </w:r>
            <w:r>
              <w:rPr>
                <w:rFonts w:hint="eastAsia"/>
                <w:sz w:val="18"/>
                <w:lang w:val="es-ES"/>
              </w:rPr>
              <w:t>84</w:t>
            </w:r>
          </w:p>
        </w:tc>
      </w:tr>
      <w:tr w:rsidR="00000000">
        <w:tblPrEx>
          <w:tblCellMar>
            <w:top w:w="0" w:type="dxa"/>
            <w:bottom w:w="0" w:type="dxa"/>
          </w:tblCellMar>
        </w:tblPrEx>
        <w:tc>
          <w:tcPr>
            <w:tcW w:w="1049" w:type="pct"/>
          </w:tcPr>
          <w:p w:rsidR="00000000" w:rsidRDefault="00CA422F">
            <w:pPr>
              <w:spacing w:line="360" w:lineRule="exact"/>
              <w:rPr>
                <w:rFonts w:eastAsia="SimHei" w:hint="eastAsia"/>
                <w:sz w:val="18"/>
                <w:lang w:val="es-ES"/>
              </w:rPr>
            </w:pPr>
            <w:r>
              <w:rPr>
                <w:rFonts w:eastAsia="SimHei" w:hint="eastAsia"/>
                <w:sz w:val="18"/>
                <w:lang w:val="es-ES"/>
              </w:rPr>
              <w:t>轼女疑似</w:t>
            </w:r>
          </w:p>
        </w:tc>
        <w:tc>
          <w:tcPr>
            <w:tcW w:w="359" w:type="pct"/>
          </w:tcPr>
          <w:p w:rsidR="00000000" w:rsidRDefault="00CA422F">
            <w:pPr>
              <w:spacing w:line="360" w:lineRule="exact"/>
              <w:jc w:val="center"/>
              <w:rPr>
                <w:rFonts w:hint="eastAsia"/>
                <w:sz w:val="18"/>
                <w:lang w:val="es-ES"/>
              </w:rPr>
            </w:pPr>
            <w:r>
              <w:rPr>
                <w:rFonts w:hint="eastAsia"/>
                <w:sz w:val="18"/>
                <w:lang w:val="es-ES"/>
              </w:rPr>
              <w:t>0</w:t>
            </w:r>
          </w:p>
        </w:tc>
        <w:tc>
          <w:tcPr>
            <w:tcW w:w="360" w:type="pct"/>
          </w:tcPr>
          <w:p w:rsidR="00000000" w:rsidRDefault="00CA422F">
            <w:pPr>
              <w:spacing w:line="360" w:lineRule="exact"/>
              <w:jc w:val="center"/>
              <w:rPr>
                <w:rFonts w:hint="eastAsia"/>
                <w:sz w:val="18"/>
                <w:lang w:val="es-ES"/>
              </w:rPr>
            </w:pPr>
            <w:r>
              <w:rPr>
                <w:rFonts w:hint="eastAsia"/>
                <w:sz w:val="18"/>
                <w:lang w:val="es-ES"/>
              </w:rPr>
              <w:t>0</w:t>
            </w:r>
          </w:p>
        </w:tc>
        <w:tc>
          <w:tcPr>
            <w:tcW w:w="359" w:type="pct"/>
          </w:tcPr>
          <w:p w:rsidR="00000000" w:rsidRDefault="00CA422F">
            <w:pPr>
              <w:spacing w:line="360" w:lineRule="exact"/>
              <w:jc w:val="center"/>
              <w:rPr>
                <w:rFonts w:hint="eastAsia"/>
                <w:sz w:val="18"/>
                <w:lang w:val="es-ES"/>
              </w:rPr>
            </w:pPr>
            <w:r>
              <w:rPr>
                <w:rFonts w:hint="eastAsia"/>
                <w:sz w:val="18"/>
                <w:lang w:val="es-ES"/>
              </w:rPr>
              <w:t>0</w:t>
            </w:r>
          </w:p>
        </w:tc>
        <w:tc>
          <w:tcPr>
            <w:tcW w:w="360" w:type="pct"/>
          </w:tcPr>
          <w:p w:rsidR="00000000" w:rsidRDefault="00CA422F">
            <w:pPr>
              <w:spacing w:line="360" w:lineRule="exact"/>
              <w:jc w:val="center"/>
              <w:rPr>
                <w:rFonts w:hint="eastAsia"/>
                <w:sz w:val="18"/>
                <w:lang w:val="es-ES"/>
              </w:rPr>
            </w:pPr>
            <w:r>
              <w:rPr>
                <w:rFonts w:hint="eastAsia"/>
                <w:sz w:val="18"/>
                <w:lang w:val="es-ES"/>
              </w:rPr>
              <w:t>1</w:t>
            </w:r>
          </w:p>
        </w:tc>
        <w:tc>
          <w:tcPr>
            <w:tcW w:w="360" w:type="pct"/>
          </w:tcPr>
          <w:p w:rsidR="00000000" w:rsidRDefault="00CA422F">
            <w:pPr>
              <w:spacing w:line="360" w:lineRule="exact"/>
              <w:jc w:val="center"/>
              <w:rPr>
                <w:rFonts w:hint="eastAsia"/>
                <w:sz w:val="18"/>
                <w:lang w:val="es-ES"/>
              </w:rPr>
            </w:pPr>
            <w:r>
              <w:rPr>
                <w:rFonts w:hint="eastAsia"/>
                <w:sz w:val="18"/>
                <w:lang w:val="es-ES"/>
              </w:rPr>
              <w:t>1</w:t>
            </w:r>
          </w:p>
        </w:tc>
        <w:tc>
          <w:tcPr>
            <w:tcW w:w="359" w:type="pct"/>
          </w:tcPr>
          <w:p w:rsidR="00000000" w:rsidRDefault="00CA422F">
            <w:pPr>
              <w:spacing w:line="360" w:lineRule="exact"/>
              <w:jc w:val="center"/>
              <w:rPr>
                <w:rFonts w:hint="eastAsia"/>
                <w:sz w:val="18"/>
                <w:lang w:val="es-ES"/>
              </w:rPr>
            </w:pPr>
            <w:r>
              <w:rPr>
                <w:rFonts w:hint="eastAsia"/>
                <w:sz w:val="18"/>
                <w:lang w:val="es-ES"/>
              </w:rPr>
              <w:t>2</w:t>
            </w:r>
          </w:p>
        </w:tc>
        <w:tc>
          <w:tcPr>
            <w:tcW w:w="360" w:type="pct"/>
          </w:tcPr>
          <w:p w:rsidR="00000000" w:rsidRDefault="00CA422F">
            <w:pPr>
              <w:spacing w:line="360" w:lineRule="exact"/>
              <w:jc w:val="center"/>
              <w:rPr>
                <w:rFonts w:hint="eastAsia"/>
                <w:sz w:val="18"/>
                <w:lang w:val="es-ES"/>
              </w:rPr>
            </w:pPr>
            <w:r>
              <w:rPr>
                <w:rFonts w:hint="eastAsia"/>
                <w:sz w:val="18"/>
                <w:lang w:val="es-ES"/>
              </w:rPr>
              <w:t>1</w:t>
            </w:r>
          </w:p>
        </w:tc>
        <w:tc>
          <w:tcPr>
            <w:tcW w:w="360" w:type="pct"/>
          </w:tcPr>
          <w:p w:rsidR="00000000" w:rsidRDefault="00CA422F">
            <w:pPr>
              <w:spacing w:line="360" w:lineRule="exact"/>
              <w:jc w:val="center"/>
              <w:rPr>
                <w:rFonts w:hint="eastAsia"/>
                <w:sz w:val="18"/>
                <w:lang w:val="es-ES"/>
              </w:rPr>
            </w:pPr>
            <w:r>
              <w:rPr>
                <w:rFonts w:hint="eastAsia"/>
                <w:sz w:val="18"/>
                <w:lang w:val="es-ES"/>
              </w:rPr>
              <w:t>1</w:t>
            </w:r>
          </w:p>
        </w:tc>
        <w:tc>
          <w:tcPr>
            <w:tcW w:w="359" w:type="pct"/>
          </w:tcPr>
          <w:p w:rsidR="00000000" w:rsidRDefault="00CA422F">
            <w:pPr>
              <w:spacing w:line="360" w:lineRule="exact"/>
              <w:jc w:val="center"/>
              <w:rPr>
                <w:rFonts w:hint="eastAsia"/>
                <w:sz w:val="18"/>
                <w:lang w:val="es-ES"/>
              </w:rPr>
            </w:pPr>
            <w:r>
              <w:rPr>
                <w:rFonts w:hint="eastAsia"/>
                <w:sz w:val="18"/>
                <w:lang w:val="es-ES"/>
              </w:rPr>
              <w:t>1</w:t>
            </w:r>
          </w:p>
        </w:tc>
        <w:tc>
          <w:tcPr>
            <w:tcW w:w="360" w:type="pct"/>
          </w:tcPr>
          <w:p w:rsidR="00000000" w:rsidRDefault="00CA422F">
            <w:pPr>
              <w:spacing w:line="360" w:lineRule="exact"/>
              <w:jc w:val="center"/>
              <w:rPr>
                <w:rFonts w:hint="eastAsia"/>
                <w:sz w:val="18"/>
                <w:lang w:val="es-ES"/>
              </w:rPr>
            </w:pPr>
            <w:r>
              <w:rPr>
                <w:rFonts w:hint="eastAsia"/>
                <w:sz w:val="18"/>
                <w:lang w:val="es-ES"/>
              </w:rPr>
              <w:t>1</w:t>
            </w:r>
          </w:p>
        </w:tc>
        <w:tc>
          <w:tcPr>
            <w:tcW w:w="357" w:type="pct"/>
          </w:tcPr>
          <w:p w:rsidR="00000000" w:rsidRDefault="00CA422F">
            <w:pPr>
              <w:spacing w:line="360" w:lineRule="exact"/>
              <w:jc w:val="center"/>
              <w:rPr>
                <w:rFonts w:hint="eastAsia"/>
                <w:sz w:val="18"/>
                <w:lang w:val="es-ES"/>
              </w:rPr>
            </w:pPr>
            <w:r>
              <w:rPr>
                <w:rFonts w:hint="eastAsia"/>
                <w:sz w:val="18"/>
                <w:lang w:val="es-ES"/>
              </w:rPr>
              <w:t>8</w:t>
            </w:r>
          </w:p>
        </w:tc>
      </w:tr>
      <w:tr w:rsidR="00000000">
        <w:tblPrEx>
          <w:tblCellMar>
            <w:top w:w="0" w:type="dxa"/>
            <w:bottom w:w="0" w:type="dxa"/>
          </w:tblCellMar>
        </w:tblPrEx>
        <w:tc>
          <w:tcPr>
            <w:tcW w:w="1049" w:type="pct"/>
          </w:tcPr>
          <w:p w:rsidR="00000000" w:rsidRDefault="00CA422F">
            <w:pPr>
              <w:spacing w:line="360" w:lineRule="exact"/>
              <w:rPr>
                <w:rFonts w:eastAsia="SimHei" w:hint="eastAsia"/>
                <w:sz w:val="18"/>
                <w:lang w:val="es-ES"/>
              </w:rPr>
            </w:pPr>
            <w:r>
              <w:rPr>
                <w:rFonts w:eastAsia="SimHei" w:hint="eastAsia"/>
                <w:sz w:val="18"/>
                <w:lang w:val="es-ES"/>
              </w:rPr>
              <w:t>非法堕胎</w:t>
            </w:r>
          </w:p>
        </w:tc>
        <w:tc>
          <w:tcPr>
            <w:tcW w:w="359" w:type="pct"/>
          </w:tcPr>
          <w:p w:rsidR="00000000" w:rsidRDefault="00CA422F">
            <w:pPr>
              <w:spacing w:line="360" w:lineRule="exact"/>
              <w:jc w:val="center"/>
              <w:rPr>
                <w:rFonts w:hint="eastAsia"/>
                <w:sz w:val="18"/>
                <w:lang w:val="es-ES"/>
              </w:rPr>
            </w:pPr>
            <w:r>
              <w:rPr>
                <w:rFonts w:hint="eastAsia"/>
                <w:sz w:val="18"/>
                <w:lang w:val="es-ES"/>
              </w:rPr>
              <w:t>6</w:t>
            </w:r>
          </w:p>
        </w:tc>
        <w:tc>
          <w:tcPr>
            <w:tcW w:w="360" w:type="pct"/>
          </w:tcPr>
          <w:p w:rsidR="00000000" w:rsidRDefault="00CA422F">
            <w:pPr>
              <w:spacing w:line="360" w:lineRule="exact"/>
              <w:jc w:val="center"/>
              <w:rPr>
                <w:rFonts w:hint="eastAsia"/>
                <w:sz w:val="18"/>
                <w:lang w:val="es-ES"/>
              </w:rPr>
            </w:pPr>
            <w:r>
              <w:rPr>
                <w:rFonts w:hint="eastAsia"/>
                <w:sz w:val="18"/>
                <w:lang w:val="es-ES"/>
              </w:rPr>
              <w:t>15</w:t>
            </w:r>
          </w:p>
        </w:tc>
        <w:tc>
          <w:tcPr>
            <w:tcW w:w="359" w:type="pct"/>
          </w:tcPr>
          <w:p w:rsidR="00000000" w:rsidRDefault="00CA422F">
            <w:pPr>
              <w:spacing w:line="360" w:lineRule="exact"/>
              <w:jc w:val="center"/>
              <w:rPr>
                <w:rFonts w:hint="eastAsia"/>
                <w:sz w:val="18"/>
                <w:lang w:val="es-ES"/>
              </w:rPr>
            </w:pPr>
            <w:r>
              <w:rPr>
                <w:rFonts w:hint="eastAsia"/>
                <w:sz w:val="18"/>
                <w:lang w:val="es-ES"/>
              </w:rPr>
              <w:t>6</w:t>
            </w:r>
          </w:p>
        </w:tc>
        <w:tc>
          <w:tcPr>
            <w:tcW w:w="360" w:type="pct"/>
          </w:tcPr>
          <w:p w:rsidR="00000000" w:rsidRDefault="00CA422F">
            <w:pPr>
              <w:spacing w:line="360" w:lineRule="exact"/>
              <w:jc w:val="center"/>
              <w:rPr>
                <w:rFonts w:hint="eastAsia"/>
                <w:sz w:val="18"/>
                <w:lang w:val="es-ES"/>
              </w:rPr>
            </w:pPr>
            <w:r>
              <w:rPr>
                <w:rFonts w:hint="eastAsia"/>
                <w:sz w:val="18"/>
                <w:lang w:val="es-ES"/>
              </w:rPr>
              <w:t>5</w:t>
            </w:r>
          </w:p>
        </w:tc>
        <w:tc>
          <w:tcPr>
            <w:tcW w:w="360" w:type="pct"/>
          </w:tcPr>
          <w:p w:rsidR="00000000" w:rsidRDefault="00CA422F">
            <w:pPr>
              <w:spacing w:line="360" w:lineRule="exact"/>
              <w:jc w:val="center"/>
              <w:rPr>
                <w:rFonts w:hint="eastAsia"/>
                <w:sz w:val="18"/>
                <w:lang w:val="es-ES"/>
              </w:rPr>
            </w:pPr>
            <w:r>
              <w:rPr>
                <w:rFonts w:hint="eastAsia"/>
                <w:sz w:val="18"/>
                <w:lang w:val="es-ES"/>
              </w:rPr>
              <w:t>4</w:t>
            </w:r>
          </w:p>
        </w:tc>
        <w:tc>
          <w:tcPr>
            <w:tcW w:w="359" w:type="pct"/>
          </w:tcPr>
          <w:p w:rsidR="00000000" w:rsidRDefault="00CA422F">
            <w:pPr>
              <w:spacing w:line="360" w:lineRule="exact"/>
              <w:jc w:val="center"/>
              <w:rPr>
                <w:rFonts w:hint="eastAsia"/>
                <w:sz w:val="18"/>
                <w:lang w:val="es-ES"/>
              </w:rPr>
            </w:pPr>
            <w:r>
              <w:rPr>
                <w:rFonts w:hint="eastAsia"/>
                <w:sz w:val="18"/>
                <w:lang w:val="es-ES"/>
              </w:rPr>
              <w:t>8</w:t>
            </w:r>
          </w:p>
        </w:tc>
        <w:tc>
          <w:tcPr>
            <w:tcW w:w="360" w:type="pct"/>
          </w:tcPr>
          <w:p w:rsidR="00000000" w:rsidRDefault="00CA422F">
            <w:pPr>
              <w:spacing w:line="360" w:lineRule="exact"/>
              <w:jc w:val="center"/>
              <w:rPr>
                <w:rFonts w:hint="eastAsia"/>
                <w:sz w:val="18"/>
                <w:lang w:val="es-ES"/>
              </w:rPr>
            </w:pPr>
            <w:r>
              <w:rPr>
                <w:rFonts w:hint="eastAsia"/>
                <w:sz w:val="18"/>
                <w:lang w:val="es-ES"/>
              </w:rPr>
              <w:t>4</w:t>
            </w:r>
          </w:p>
        </w:tc>
        <w:tc>
          <w:tcPr>
            <w:tcW w:w="360" w:type="pct"/>
          </w:tcPr>
          <w:p w:rsidR="00000000" w:rsidRDefault="00CA422F">
            <w:pPr>
              <w:spacing w:line="360" w:lineRule="exact"/>
              <w:jc w:val="center"/>
              <w:rPr>
                <w:rFonts w:hint="eastAsia"/>
                <w:sz w:val="18"/>
                <w:lang w:val="es-ES"/>
              </w:rPr>
            </w:pPr>
            <w:r>
              <w:rPr>
                <w:rFonts w:hint="eastAsia"/>
                <w:sz w:val="18"/>
                <w:lang w:val="es-ES"/>
              </w:rPr>
              <w:t>7</w:t>
            </w:r>
          </w:p>
        </w:tc>
        <w:tc>
          <w:tcPr>
            <w:tcW w:w="359" w:type="pct"/>
          </w:tcPr>
          <w:p w:rsidR="00000000" w:rsidRDefault="00CA422F">
            <w:pPr>
              <w:spacing w:line="360" w:lineRule="exact"/>
              <w:jc w:val="center"/>
              <w:rPr>
                <w:rFonts w:hint="eastAsia"/>
                <w:sz w:val="18"/>
                <w:lang w:val="es-ES"/>
              </w:rPr>
            </w:pPr>
            <w:r>
              <w:rPr>
                <w:rFonts w:hint="eastAsia"/>
                <w:sz w:val="18"/>
                <w:lang w:val="es-ES"/>
              </w:rPr>
              <w:t>7</w:t>
            </w:r>
          </w:p>
        </w:tc>
        <w:tc>
          <w:tcPr>
            <w:tcW w:w="360" w:type="pct"/>
          </w:tcPr>
          <w:p w:rsidR="00000000" w:rsidRDefault="00CA422F">
            <w:pPr>
              <w:spacing w:line="360" w:lineRule="exact"/>
              <w:jc w:val="center"/>
              <w:rPr>
                <w:rFonts w:hint="eastAsia"/>
                <w:sz w:val="18"/>
                <w:lang w:val="es-ES"/>
              </w:rPr>
            </w:pPr>
            <w:r>
              <w:rPr>
                <w:rFonts w:hint="eastAsia"/>
                <w:sz w:val="18"/>
                <w:lang w:val="es-ES"/>
              </w:rPr>
              <w:t>8</w:t>
            </w:r>
          </w:p>
        </w:tc>
        <w:tc>
          <w:tcPr>
            <w:tcW w:w="357" w:type="pct"/>
          </w:tcPr>
          <w:p w:rsidR="00000000" w:rsidRDefault="00CA422F">
            <w:pPr>
              <w:spacing w:line="360" w:lineRule="exact"/>
              <w:jc w:val="center"/>
              <w:rPr>
                <w:rFonts w:hint="eastAsia"/>
                <w:sz w:val="18"/>
                <w:lang w:val="es-ES"/>
              </w:rPr>
            </w:pPr>
            <w:r>
              <w:rPr>
                <w:rFonts w:hint="eastAsia"/>
                <w:sz w:val="18"/>
                <w:lang w:val="es-ES"/>
              </w:rPr>
              <w:t>70</w:t>
            </w:r>
          </w:p>
        </w:tc>
      </w:tr>
      <w:tr w:rsidR="00000000">
        <w:tblPrEx>
          <w:tblCellMar>
            <w:top w:w="0" w:type="dxa"/>
            <w:bottom w:w="0" w:type="dxa"/>
          </w:tblCellMar>
        </w:tblPrEx>
        <w:tc>
          <w:tcPr>
            <w:tcW w:w="1049" w:type="pct"/>
          </w:tcPr>
          <w:p w:rsidR="00000000" w:rsidRDefault="00CA422F">
            <w:pPr>
              <w:spacing w:line="360" w:lineRule="exact"/>
              <w:rPr>
                <w:rFonts w:eastAsia="SimHei" w:hint="eastAsia"/>
                <w:sz w:val="18"/>
                <w:lang w:val="es-ES"/>
              </w:rPr>
            </w:pPr>
            <w:r>
              <w:rPr>
                <w:rFonts w:eastAsia="SimHei" w:hint="eastAsia"/>
                <w:sz w:val="18"/>
                <w:lang w:val="es-ES"/>
              </w:rPr>
              <w:t>死亡原因无法确定</w:t>
            </w:r>
          </w:p>
        </w:tc>
        <w:tc>
          <w:tcPr>
            <w:tcW w:w="359" w:type="pct"/>
          </w:tcPr>
          <w:p w:rsidR="00000000" w:rsidRDefault="00CA422F">
            <w:pPr>
              <w:spacing w:line="360" w:lineRule="exact"/>
              <w:jc w:val="center"/>
              <w:rPr>
                <w:rFonts w:hint="eastAsia"/>
                <w:sz w:val="18"/>
                <w:lang w:val="es-ES"/>
              </w:rPr>
            </w:pPr>
            <w:r>
              <w:rPr>
                <w:rFonts w:hint="eastAsia"/>
                <w:sz w:val="18"/>
                <w:lang w:val="es-ES"/>
              </w:rPr>
              <w:t>5</w:t>
            </w:r>
          </w:p>
        </w:tc>
        <w:tc>
          <w:tcPr>
            <w:tcW w:w="360" w:type="pct"/>
          </w:tcPr>
          <w:p w:rsidR="00000000" w:rsidRDefault="00CA422F">
            <w:pPr>
              <w:spacing w:line="360" w:lineRule="exact"/>
              <w:jc w:val="center"/>
              <w:rPr>
                <w:rFonts w:hint="eastAsia"/>
                <w:sz w:val="18"/>
                <w:lang w:val="es-ES"/>
              </w:rPr>
            </w:pPr>
            <w:r>
              <w:rPr>
                <w:rFonts w:hint="eastAsia"/>
                <w:sz w:val="18"/>
                <w:lang w:val="es-ES"/>
              </w:rPr>
              <w:t>8</w:t>
            </w:r>
          </w:p>
        </w:tc>
        <w:tc>
          <w:tcPr>
            <w:tcW w:w="359" w:type="pct"/>
          </w:tcPr>
          <w:p w:rsidR="00000000" w:rsidRDefault="00CA422F">
            <w:pPr>
              <w:spacing w:line="360" w:lineRule="exact"/>
              <w:jc w:val="center"/>
              <w:rPr>
                <w:rFonts w:hint="eastAsia"/>
                <w:sz w:val="18"/>
                <w:lang w:val="es-ES"/>
              </w:rPr>
            </w:pPr>
            <w:r>
              <w:rPr>
                <w:rFonts w:hint="eastAsia"/>
                <w:sz w:val="18"/>
                <w:lang w:val="es-ES"/>
              </w:rPr>
              <w:t>8</w:t>
            </w:r>
          </w:p>
        </w:tc>
        <w:tc>
          <w:tcPr>
            <w:tcW w:w="360" w:type="pct"/>
          </w:tcPr>
          <w:p w:rsidR="00000000" w:rsidRDefault="00CA422F">
            <w:pPr>
              <w:spacing w:line="360" w:lineRule="exact"/>
              <w:jc w:val="center"/>
              <w:rPr>
                <w:rFonts w:hint="eastAsia"/>
                <w:sz w:val="18"/>
                <w:lang w:val="es-ES"/>
              </w:rPr>
            </w:pPr>
            <w:r>
              <w:rPr>
                <w:rFonts w:hint="eastAsia"/>
                <w:sz w:val="18"/>
                <w:lang w:val="es-ES"/>
              </w:rPr>
              <w:t>3</w:t>
            </w:r>
          </w:p>
        </w:tc>
        <w:tc>
          <w:tcPr>
            <w:tcW w:w="360" w:type="pct"/>
          </w:tcPr>
          <w:p w:rsidR="00000000" w:rsidRDefault="00CA422F">
            <w:pPr>
              <w:spacing w:line="360" w:lineRule="exact"/>
              <w:jc w:val="center"/>
              <w:rPr>
                <w:rFonts w:hint="eastAsia"/>
                <w:sz w:val="18"/>
                <w:lang w:val="es-ES"/>
              </w:rPr>
            </w:pPr>
            <w:r>
              <w:rPr>
                <w:rFonts w:hint="eastAsia"/>
                <w:sz w:val="18"/>
                <w:lang w:val="es-ES"/>
              </w:rPr>
              <w:t>7</w:t>
            </w:r>
          </w:p>
        </w:tc>
        <w:tc>
          <w:tcPr>
            <w:tcW w:w="359" w:type="pct"/>
          </w:tcPr>
          <w:p w:rsidR="00000000" w:rsidRDefault="00CA422F">
            <w:pPr>
              <w:spacing w:line="360" w:lineRule="exact"/>
              <w:jc w:val="center"/>
              <w:rPr>
                <w:rFonts w:hint="eastAsia"/>
                <w:sz w:val="18"/>
                <w:lang w:val="es-ES"/>
              </w:rPr>
            </w:pPr>
            <w:r>
              <w:rPr>
                <w:rFonts w:hint="eastAsia"/>
                <w:sz w:val="18"/>
                <w:lang w:val="es-ES"/>
              </w:rPr>
              <w:t>2</w:t>
            </w:r>
          </w:p>
        </w:tc>
        <w:tc>
          <w:tcPr>
            <w:tcW w:w="360" w:type="pct"/>
          </w:tcPr>
          <w:p w:rsidR="00000000" w:rsidRDefault="00CA422F">
            <w:pPr>
              <w:spacing w:line="360" w:lineRule="exact"/>
              <w:jc w:val="center"/>
              <w:rPr>
                <w:rFonts w:hint="eastAsia"/>
                <w:sz w:val="18"/>
                <w:lang w:val="es-ES"/>
              </w:rPr>
            </w:pPr>
            <w:r>
              <w:rPr>
                <w:rFonts w:hint="eastAsia"/>
                <w:sz w:val="18"/>
                <w:lang w:val="es-ES"/>
              </w:rPr>
              <w:t>5</w:t>
            </w:r>
          </w:p>
        </w:tc>
        <w:tc>
          <w:tcPr>
            <w:tcW w:w="360" w:type="pct"/>
          </w:tcPr>
          <w:p w:rsidR="00000000" w:rsidRDefault="00CA422F">
            <w:pPr>
              <w:spacing w:line="360" w:lineRule="exact"/>
              <w:jc w:val="center"/>
              <w:rPr>
                <w:rFonts w:hint="eastAsia"/>
                <w:sz w:val="18"/>
                <w:lang w:val="es-ES"/>
              </w:rPr>
            </w:pPr>
            <w:r>
              <w:rPr>
                <w:rFonts w:hint="eastAsia"/>
                <w:sz w:val="18"/>
                <w:lang w:val="es-ES"/>
              </w:rPr>
              <w:t>6</w:t>
            </w:r>
          </w:p>
        </w:tc>
        <w:tc>
          <w:tcPr>
            <w:tcW w:w="359" w:type="pct"/>
          </w:tcPr>
          <w:p w:rsidR="00000000" w:rsidRDefault="00CA422F">
            <w:pPr>
              <w:spacing w:line="360" w:lineRule="exact"/>
              <w:jc w:val="center"/>
              <w:rPr>
                <w:rFonts w:hint="eastAsia"/>
                <w:sz w:val="18"/>
                <w:lang w:val="es-ES"/>
              </w:rPr>
            </w:pPr>
            <w:r>
              <w:rPr>
                <w:rFonts w:hint="eastAsia"/>
                <w:sz w:val="18"/>
                <w:lang w:val="es-ES"/>
              </w:rPr>
              <w:t>5</w:t>
            </w:r>
          </w:p>
        </w:tc>
        <w:tc>
          <w:tcPr>
            <w:tcW w:w="360" w:type="pct"/>
          </w:tcPr>
          <w:p w:rsidR="00000000" w:rsidRDefault="00CA422F">
            <w:pPr>
              <w:spacing w:line="360" w:lineRule="exact"/>
              <w:jc w:val="center"/>
              <w:rPr>
                <w:rFonts w:hint="eastAsia"/>
                <w:sz w:val="18"/>
                <w:lang w:val="es-ES"/>
              </w:rPr>
            </w:pPr>
            <w:r>
              <w:rPr>
                <w:rFonts w:hint="eastAsia"/>
                <w:sz w:val="18"/>
                <w:lang w:val="es-ES"/>
              </w:rPr>
              <w:t>4</w:t>
            </w:r>
          </w:p>
        </w:tc>
        <w:tc>
          <w:tcPr>
            <w:tcW w:w="357" w:type="pct"/>
          </w:tcPr>
          <w:p w:rsidR="00000000" w:rsidRDefault="00CA422F">
            <w:pPr>
              <w:spacing w:line="360" w:lineRule="exact"/>
              <w:jc w:val="center"/>
              <w:rPr>
                <w:rFonts w:hint="eastAsia"/>
                <w:sz w:val="18"/>
                <w:lang w:val="es-ES"/>
              </w:rPr>
            </w:pPr>
            <w:r>
              <w:rPr>
                <w:rFonts w:hint="eastAsia"/>
                <w:sz w:val="18"/>
                <w:lang w:val="es-ES"/>
              </w:rPr>
              <w:t>53</w:t>
            </w:r>
          </w:p>
        </w:tc>
      </w:tr>
      <w:tr w:rsidR="00000000">
        <w:tblPrEx>
          <w:tblCellMar>
            <w:top w:w="0" w:type="dxa"/>
            <w:bottom w:w="0" w:type="dxa"/>
          </w:tblCellMar>
        </w:tblPrEx>
        <w:tc>
          <w:tcPr>
            <w:tcW w:w="1049" w:type="pct"/>
          </w:tcPr>
          <w:p w:rsidR="00000000" w:rsidRDefault="00CA422F">
            <w:pPr>
              <w:spacing w:line="360" w:lineRule="exact"/>
              <w:rPr>
                <w:rFonts w:eastAsia="SimHei" w:hint="eastAsia"/>
                <w:sz w:val="18"/>
                <w:lang w:val="es-ES"/>
              </w:rPr>
            </w:pPr>
            <w:r>
              <w:rPr>
                <w:rFonts w:eastAsia="SimHei" w:hint="eastAsia"/>
                <w:sz w:val="18"/>
                <w:lang w:val="es-ES"/>
              </w:rPr>
              <w:t>艾滋病</w:t>
            </w:r>
          </w:p>
        </w:tc>
        <w:tc>
          <w:tcPr>
            <w:tcW w:w="359" w:type="pct"/>
          </w:tcPr>
          <w:p w:rsidR="00000000" w:rsidRDefault="00CA422F">
            <w:pPr>
              <w:spacing w:line="360" w:lineRule="exact"/>
              <w:jc w:val="center"/>
              <w:rPr>
                <w:rFonts w:hint="eastAsia"/>
                <w:sz w:val="18"/>
                <w:lang w:val="es-ES"/>
              </w:rPr>
            </w:pPr>
            <w:r>
              <w:rPr>
                <w:rFonts w:hint="eastAsia"/>
                <w:sz w:val="18"/>
                <w:lang w:val="es-ES"/>
              </w:rPr>
              <w:t>8</w:t>
            </w:r>
          </w:p>
        </w:tc>
        <w:tc>
          <w:tcPr>
            <w:tcW w:w="360" w:type="pct"/>
          </w:tcPr>
          <w:p w:rsidR="00000000" w:rsidRDefault="00CA422F">
            <w:pPr>
              <w:spacing w:line="360" w:lineRule="exact"/>
              <w:jc w:val="center"/>
              <w:rPr>
                <w:rFonts w:hint="eastAsia"/>
                <w:sz w:val="18"/>
                <w:lang w:val="es-ES"/>
              </w:rPr>
            </w:pPr>
            <w:r>
              <w:rPr>
                <w:rFonts w:hint="eastAsia"/>
                <w:sz w:val="18"/>
                <w:lang w:val="es-ES"/>
              </w:rPr>
              <w:t>6</w:t>
            </w:r>
          </w:p>
        </w:tc>
        <w:tc>
          <w:tcPr>
            <w:tcW w:w="359" w:type="pct"/>
          </w:tcPr>
          <w:p w:rsidR="00000000" w:rsidRDefault="00CA422F">
            <w:pPr>
              <w:spacing w:line="360" w:lineRule="exact"/>
              <w:jc w:val="center"/>
              <w:rPr>
                <w:rFonts w:hint="eastAsia"/>
                <w:sz w:val="18"/>
                <w:lang w:val="es-ES"/>
              </w:rPr>
            </w:pPr>
            <w:r>
              <w:rPr>
                <w:rFonts w:hint="eastAsia"/>
                <w:sz w:val="18"/>
                <w:lang w:val="es-ES"/>
              </w:rPr>
              <w:t>3</w:t>
            </w:r>
          </w:p>
        </w:tc>
        <w:tc>
          <w:tcPr>
            <w:tcW w:w="360" w:type="pct"/>
          </w:tcPr>
          <w:p w:rsidR="00000000" w:rsidRDefault="00CA422F">
            <w:pPr>
              <w:spacing w:line="360" w:lineRule="exact"/>
              <w:jc w:val="center"/>
              <w:rPr>
                <w:rFonts w:hint="eastAsia"/>
                <w:sz w:val="18"/>
                <w:lang w:val="es-ES"/>
              </w:rPr>
            </w:pPr>
            <w:r>
              <w:rPr>
                <w:rFonts w:hint="eastAsia"/>
                <w:sz w:val="18"/>
                <w:lang w:val="es-ES"/>
              </w:rPr>
              <w:t>5</w:t>
            </w:r>
          </w:p>
        </w:tc>
        <w:tc>
          <w:tcPr>
            <w:tcW w:w="360" w:type="pct"/>
          </w:tcPr>
          <w:p w:rsidR="00000000" w:rsidRDefault="00CA422F">
            <w:pPr>
              <w:spacing w:line="360" w:lineRule="exact"/>
              <w:jc w:val="center"/>
              <w:rPr>
                <w:rFonts w:hint="eastAsia"/>
                <w:sz w:val="18"/>
                <w:lang w:val="es-ES"/>
              </w:rPr>
            </w:pPr>
            <w:r>
              <w:rPr>
                <w:rFonts w:hint="eastAsia"/>
                <w:sz w:val="18"/>
                <w:lang w:val="es-ES"/>
              </w:rPr>
              <w:t>5</w:t>
            </w:r>
          </w:p>
        </w:tc>
        <w:tc>
          <w:tcPr>
            <w:tcW w:w="359" w:type="pct"/>
          </w:tcPr>
          <w:p w:rsidR="00000000" w:rsidRDefault="00CA422F">
            <w:pPr>
              <w:spacing w:line="360" w:lineRule="exact"/>
              <w:jc w:val="center"/>
              <w:rPr>
                <w:rFonts w:hint="eastAsia"/>
                <w:sz w:val="18"/>
                <w:lang w:val="es-ES"/>
              </w:rPr>
            </w:pPr>
            <w:r>
              <w:rPr>
                <w:rFonts w:hint="eastAsia"/>
                <w:sz w:val="18"/>
                <w:lang w:val="es-ES"/>
              </w:rPr>
              <w:t>14</w:t>
            </w:r>
          </w:p>
        </w:tc>
        <w:tc>
          <w:tcPr>
            <w:tcW w:w="360" w:type="pct"/>
          </w:tcPr>
          <w:p w:rsidR="00000000" w:rsidRDefault="00CA422F">
            <w:pPr>
              <w:spacing w:line="360" w:lineRule="exact"/>
              <w:jc w:val="center"/>
              <w:rPr>
                <w:rFonts w:hint="eastAsia"/>
                <w:sz w:val="18"/>
                <w:lang w:val="es-ES"/>
              </w:rPr>
            </w:pPr>
            <w:r>
              <w:rPr>
                <w:rFonts w:hint="eastAsia"/>
                <w:sz w:val="18"/>
                <w:lang w:val="es-ES"/>
              </w:rPr>
              <w:t>10</w:t>
            </w:r>
          </w:p>
        </w:tc>
        <w:tc>
          <w:tcPr>
            <w:tcW w:w="360" w:type="pct"/>
          </w:tcPr>
          <w:p w:rsidR="00000000" w:rsidRDefault="00CA422F">
            <w:pPr>
              <w:spacing w:line="360" w:lineRule="exact"/>
              <w:jc w:val="center"/>
              <w:rPr>
                <w:rFonts w:hint="eastAsia"/>
                <w:sz w:val="18"/>
                <w:lang w:val="es-ES"/>
              </w:rPr>
            </w:pPr>
            <w:r>
              <w:rPr>
                <w:rFonts w:hint="eastAsia"/>
                <w:sz w:val="18"/>
                <w:lang w:val="es-ES"/>
              </w:rPr>
              <w:t>15</w:t>
            </w:r>
          </w:p>
        </w:tc>
        <w:tc>
          <w:tcPr>
            <w:tcW w:w="359" w:type="pct"/>
          </w:tcPr>
          <w:p w:rsidR="00000000" w:rsidRDefault="00CA422F">
            <w:pPr>
              <w:spacing w:line="360" w:lineRule="exact"/>
              <w:jc w:val="center"/>
              <w:rPr>
                <w:rFonts w:hint="eastAsia"/>
                <w:sz w:val="18"/>
                <w:lang w:val="es-ES"/>
              </w:rPr>
            </w:pPr>
            <w:r>
              <w:rPr>
                <w:rFonts w:hint="eastAsia"/>
                <w:sz w:val="18"/>
                <w:lang w:val="es-ES"/>
              </w:rPr>
              <w:t>4</w:t>
            </w:r>
          </w:p>
        </w:tc>
        <w:tc>
          <w:tcPr>
            <w:tcW w:w="360" w:type="pct"/>
          </w:tcPr>
          <w:p w:rsidR="00000000" w:rsidRDefault="00CA422F">
            <w:pPr>
              <w:spacing w:line="360" w:lineRule="exact"/>
              <w:jc w:val="center"/>
              <w:rPr>
                <w:rFonts w:hint="eastAsia"/>
                <w:sz w:val="18"/>
                <w:lang w:val="es-ES"/>
              </w:rPr>
            </w:pPr>
            <w:r>
              <w:rPr>
                <w:rFonts w:hint="eastAsia"/>
                <w:sz w:val="18"/>
                <w:lang w:val="es-ES"/>
              </w:rPr>
              <w:t>4</w:t>
            </w:r>
          </w:p>
        </w:tc>
        <w:tc>
          <w:tcPr>
            <w:tcW w:w="357" w:type="pct"/>
          </w:tcPr>
          <w:p w:rsidR="00000000" w:rsidRDefault="00CA422F">
            <w:pPr>
              <w:spacing w:line="360" w:lineRule="exact"/>
              <w:jc w:val="center"/>
              <w:rPr>
                <w:rFonts w:hint="eastAsia"/>
                <w:sz w:val="18"/>
                <w:lang w:val="es-ES"/>
              </w:rPr>
            </w:pPr>
            <w:r>
              <w:rPr>
                <w:rFonts w:hint="eastAsia"/>
                <w:sz w:val="18"/>
                <w:lang w:val="es-ES"/>
              </w:rPr>
              <w:t>74</w:t>
            </w:r>
          </w:p>
        </w:tc>
      </w:tr>
      <w:tr w:rsidR="00000000">
        <w:tblPrEx>
          <w:tblCellMar>
            <w:top w:w="0" w:type="dxa"/>
            <w:bottom w:w="0" w:type="dxa"/>
          </w:tblCellMar>
        </w:tblPrEx>
        <w:tc>
          <w:tcPr>
            <w:tcW w:w="1049" w:type="pct"/>
          </w:tcPr>
          <w:p w:rsidR="00000000" w:rsidRDefault="00CA422F">
            <w:pPr>
              <w:spacing w:line="360" w:lineRule="exact"/>
              <w:rPr>
                <w:rFonts w:eastAsia="SimHei" w:hint="eastAsia"/>
                <w:sz w:val="18"/>
                <w:lang w:val="es-ES"/>
              </w:rPr>
            </w:pPr>
            <w:r>
              <w:rPr>
                <w:rFonts w:eastAsia="SimHei" w:hint="eastAsia"/>
                <w:sz w:val="18"/>
                <w:lang w:val="es-ES"/>
              </w:rPr>
              <w:t>分娩</w:t>
            </w:r>
          </w:p>
        </w:tc>
        <w:tc>
          <w:tcPr>
            <w:tcW w:w="359" w:type="pct"/>
          </w:tcPr>
          <w:p w:rsidR="00000000" w:rsidRDefault="00CA422F">
            <w:pPr>
              <w:spacing w:line="360" w:lineRule="exact"/>
              <w:jc w:val="center"/>
              <w:rPr>
                <w:rFonts w:hint="eastAsia"/>
                <w:sz w:val="18"/>
                <w:lang w:val="es-ES"/>
              </w:rPr>
            </w:pPr>
            <w:r>
              <w:rPr>
                <w:rFonts w:hint="eastAsia"/>
                <w:sz w:val="18"/>
                <w:lang w:val="es-ES"/>
              </w:rPr>
              <w:t>2</w:t>
            </w:r>
          </w:p>
        </w:tc>
        <w:tc>
          <w:tcPr>
            <w:tcW w:w="360" w:type="pct"/>
          </w:tcPr>
          <w:p w:rsidR="00000000" w:rsidRDefault="00CA422F">
            <w:pPr>
              <w:spacing w:line="360" w:lineRule="exact"/>
              <w:jc w:val="center"/>
              <w:rPr>
                <w:rFonts w:hint="eastAsia"/>
                <w:sz w:val="18"/>
                <w:lang w:val="es-ES"/>
              </w:rPr>
            </w:pPr>
            <w:r>
              <w:rPr>
                <w:rFonts w:hint="eastAsia"/>
                <w:sz w:val="18"/>
                <w:lang w:val="es-ES"/>
              </w:rPr>
              <w:t>28</w:t>
            </w:r>
          </w:p>
        </w:tc>
        <w:tc>
          <w:tcPr>
            <w:tcW w:w="359" w:type="pct"/>
          </w:tcPr>
          <w:p w:rsidR="00000000" w:rsidRDefault="00CA422F">
            <w:pPr>
              <w:spacing w:line="360" w:lineRule="exact"/>
              <w:jc w:val="center"/>
              <w:rPr>
                <w:rFonts w:hint="eastAsia"/>
                <w:sz w:val="18"/>
                <w:lang w:val="es-ES"/>
              </w:rPr>
            </w:pPr>
            <w:r>
              <w:rPr>
                <w:rFonts w:hint="eastAsia"/>
                <w:sz w:val="18"/>
                <w:lang w:val="es-ES"/>
              </w:rPr>
              <w:t>18</w:t>
            </w:r>
          </w:p>
        </w:tc>
        <w:tc>
          <w:tcPr>
            <w:tcW w:w="360" w:type="pct"/>
          </w:tcPr>
          <w:p w:rsidR="00000000" w:rsidRDefault="00CA422F">
            <w:pPr>
              <w:spacing w:line="360" w:lineRule="exact"/>
              <w:jc w:val="center"/>
              <w:rPr>
                <w:rFonts w:hint="eastAsia"/>
                <w:sz w:val="18"/>
                <w:lang w:val="es-ES"/>
              </w:rPr>
            </w:pPr>
            <w:r>
              <w:rPr>
                <w:rFonts w:hint="eastAsia"/>
                <w:sz w:val="18"/>
                <w:lang w:val="es-ES"/>
              </w:rPr>
              <w:t>15</w:t>
            </w:r>
          </w:p>
        </w:tc>
        <w:tc>
          <w:tcPr>
            <w:tcW w:w="360" w:type="pct"/>
          </w:tcPr>
          <w:p w:rsidR="00000000" w:rsidRDefault="00CA422F">
            <w:pPr>
              <w:spacing w:line="360" w:lineRule="exact"/>
              <w:jc w:val="center"/>
              <w:rPr>
                <w:rFonts w:hint="eastAsia"/>
                <w:sz w:val="18"/>
                <w:lang w:val="es-ES"/>
              </w:rPr>
            </w:pPr>
            <w:r>
              <w:rPr>
                <w:rFonts w:hint="eastAsia"/>
                <w:sz w:val="18"/>
                <w:lang w:val="es-ES"/>
              </w:rPr>
              <w:t>31</w:t>
            </w:r>
          </w:p>
        </w:tc>
        <w:tc>
          <w:tcPr>
            <w:tcW w:w="359" w:type="pct"/>
          </w:tcPr>
          <w:p w:rsidR="00000000" w:rsidRDefault="00CA422F">
            <w:pPr>
              <w:spacing w:line="360" w:lineRule="exact"/>
              <w:jc w:val="center"/>
              <w:rPr>
                <w:rFonts w:hint="eastAsia"/>
                <w:sz w:val="18"/>
                <w:lang w:val="es-ES"/>
              </w:rPr>
            </w:pPr>
            <w:r>
              <w:rPr>
                <w:rFonts w:hint="eastAsia"/>
                <w:sz w:val="18"/>
                <w:lang w:val="es-ES"/>
              </w:rPr>
              <w:t>16</w:t>
            </w:r>
          </w:p>
        </w:tc>
        <w:tc>
          <w:tcPr>
            <w:tcW w:w="360" w:type="pct"/>
          </w:tcPr>
          <w:p w:rsidR="00000000" w:rsidRDefault="00CA422F">
            <w:pPr>
              <w:spacing w:line="360" w:lineRule="exact"/>
              <w:jc w:val="center"/>
              <w:rPr>
                <w:rFonts w:hint="eastAsia"/>
                <w:sz w:val="18"/>
                <w:lang w:val="es-ES"/>
              </w:rPr>
            </w:pPr>
            <w:r>
              <w:rPr>
                <w:rFonts w:hint="eastAsia"/>
                <w:sz w:val="18"/>
                <w:lang w:val="es-ES"/>
              </w:rPr>
              <w:t>23</w:t>
            </w:r>
          </w:p>
        </w:tc>
        <w:tc>
          <w:tcPr>
            <w:tcW w:w="360" w:type="pct"/>
          </w:tcPr>
          <w:p w:rsidR="00000000" w:rsidRDefault="00CA422F">
            <w:pPr>
              <w:spacing w:line="360" w:lineRule="exact"/>
              <w:jc w:val="center"/>
              <w:rPr>
                <w:rFonts w:hint="eastAsia"/>
                <w:sz w:val="18"/>
                <w:lang w:val="es-ES"/>
              </w:rPr>
            </w:pPr>
            <w:r>
              <w:rPr>
                <w:rFonts w:hint="eastAsia"/>
                <w:sz w:val="18"/>
                <w:lang w:val="es-ES"/>
              </w:rPr>
              <w:t>29</w:t>
            </w:r>
          </w:p>
        </w:tc>
        <w:tc>
          <w:tcPr>
            <w:tcW w:w="359" w:type="pct"/>
          </w:tcPr>
          <w:p w:rsidR="00000000" w:rsidRDefault="00CA422F">
            <w:pPr>
              <w:spacing w:line="360" w:lineRule="exact"/>
              <w:jc w:val="center"/>
              <w:rPr>
                <w:rFonts w:hint="eastAsia"/>
                <w:sz w:val="18"/>
                <w:lang w:val="es-ES"/>
              </w:rPr>
            </w:pPr>
            <w:r>
              <w:rPr>
                <w:rFonts w:hint="eastAsia"/>
                <w:sz w:val="18"/>
                <w:lang w:val="es-ES"/>
              </w:rPr>
              <w:t>12</w:t>
            </w:r>
          </w:p>
        </w:tc>
        <w:tc>
          <w:tcPr>
            <w:tcW w:w="360" w:type="pct"/>
          </w:tcPr>
          <w:p w:rsidR="00000000" w:rsidRDefault="00CA422F">
            <w:pPr>
              <w:spacing w:line="360" w:lineRule="exact"/>
              <w:jc w:val="center"/>
              <w:rPr>
                <w:rFonts w:hint="eastAsia"/>
                <w:sz w:val="18"/>
                <w:lang w:val="es-ES"/>
              </w:rPr>
            </w:pPr>
            <w:r>
              <w:rPr>
                <w:rFonts w:hint="eastAsia"/>
                <w:sz w:val="18"/>
                <w:lang w:val="es-ES"/>
              </w:rPr>
              <w:t>15</w:t>
            </w:r>
          </w:p>
        </w:tc>
        <w:tc>
          <w:tcPr>
            <w:tcW w:w="357" w:type="pct"/>
          </w:tcPr>
          <w:p w:rsidR="00000000" w:rsidRDefault="00CA422F">
            <w:pPr>
              <w:spacing w:line="360" w:lineRule="exact"/>
              <w:jc w:val="center"/>
              <w:rPr>
                <w:rFonts w:hint="eastAsia"/>
                <w:sz w:val="18"/>
                <w:lang w:val="es-ES"/>
              </w:rPr>
            </w:pPr>
            <w:r>
              <w:rPr>
                <w:rFonts w:hint="eastAsia"/>
                <w:sz w:val="18"/>
                <w:lang w:val="es-ES"/>
              </w:rPr>
              <w:t>184</w:t>
            </w:r>
          </w:p>
        </w:tc>
      </w:tr>
    </w:tbl>
    <w:p w:rsidR="00000000" w:rsidRDefault="00CA422F">
      <w:pPr>
        <w:spacing w:after="240" w:line="360" w:lineRule="exact"/>
        <w:rPr>
          <w:rFonts w:hint="eastAsia"/>
          <w:sz w:val="18"/>
          <w:lang w:val="es-ES"/>
        </w:rPr>
      </w:pPr>
      <w:r>
        <w:rPr>
          <w:rFonts w:hint="eastAsia"/>
          <w:sz w:val="18"/>
          <w:lang w:val="es-ES"/>
        </w:rPr>
        <w:t>资料来源：</w:t>
      </w:r>
      <w:r>
        <w:rPr>
          <w:rFonts w:hint="eastAsia"/>
          <w:sz w:val="18"/>
          <w:lang w:val="es-ES"/>
        </w:rPr>
        <w:t>Carcedo</w:t>
      </w:r>
      <w:r>
        <w:rPr>
          <w:rFonts w:hint="eastAsia"/>
          <w:sz w:val="18"/>
          <w:lang w:val="es-ES"/>
        </w:rPr>
        <w:t>和</w:t>
      </w:r>
      <w:r>
        <w:rPr>
          <w:rFonts w:hint="eastAsia"/>
          <w:sz w:val="18"/>
          <w:lang w:val="es-ES"/>
        </w:rPr>
        <w:t>Sagot</w:t>
      </w:r>
      <w:r>
        <w:rPr>
          <w:rFonts w:hint="eastAsia"/>
          <w:sz w:val="18"/>
          <w:lang w:val="es-ES"/>
        </w:rPr>
        <w:t>，《哥斯达黎加轼女状况：</w:t>
      </w:r>
      <w:r>
        <w:rPr>
          <w:rFonts w:hint="eastAsia"/>
          <w:sz w:val="18"/>
          <w:lang w:val="es-ES"/>
        </w:rPr>
        <w:t>1990</w:t>
      </w:r>
      <w:r>
        <w:rPr>
          <w:rFonts w:hint="eastAsia"/>
          <w:sz w:val="18"/>
          <w:lang w:val="es-ES"/>
        </w:rPr>
        <w:t>－</w:t>
      </w:r>
      <w:r>
        <w:rPr>
          <w:rFonts w:hint="eastAsia"/>
          <w:sz w:val="18"/>
          <w:lang w:val="es-ES"/>
        </w:rPr>
        <w:t>1999</w:t>
      </w:r>
      <w:r>
        <w:rPr>
          <w:rFonts w:hint="eastAsia"/>
          <w:sz w:val="18"/>
          <w:lang w:val="es-ES"/>
        </w:rPr>
        <w:t>》，</w:t>
      </w:r>
      <w:r>
        <w:rPr>
          <w:rFonts w:hint="eastAsia"/>
          <w:sz w:val="18"/>
          <w:lang w:val="es-ES"/>
        </w:rPr>
        <w:t>2001</w:t>
      </w:r>
      <w:r>
        <w:rPr>
          <w:rFonts w:hint="eastAsia"/>
          <w:sz w:val="18"/>
          <w:lang w:val="es-ES"/>
        </w:rPr>
        <w:t>年。</w:t>
      </w:r>
    </w:p>
    <w:p w:rsidR="00000000" w:rsidRDefault="00CA422F">
      <w:pPr>
        <w:spacing w:after="240" w:line="360" w:lineRule="exact"/>
        <w:rPr>
          <w:rFonts w:hint="eastAsia"/>
          <w:lang w:val="es-ES"/>
        </w:rPr>
      </w:pPr>
      <w:r>
        <w:rPr>
          <w:rFonts w:hint="eastAsia"/>
          <w:lang w:val="es-ES"/>
        </w:rPr>
        <w:t>501</w:t>
      </w:r>
      <w:r>
        <w:rPr>
          <w:rFonts w:hint="eastAsia"/>
          <w:lang w:val="es-ES"/>
        </w:rPr>
        <w:t>．轼女主要由死者周围的人员所为（</w:t>
      </w:r>
      <w:r>
        <w:rPr>
          <w:rFonts w:hint="eastAsia"/>
          <w:lang w:val="es-ES"/>
        </w:rPr>
        <w:t>80%</w:t>
      </w:r>
      <w:r>
        <w:rPr>
          <w:rFonts w:hint="eastAsia"/>
          <w:lang w:val="es-ES"/>
        </w:rPr>
        <w:t>），具体来说，主要来自受害者家人（</w:t>
      </w:r>
      <w:r>
        <w:rPr>
          <w:rFonts w:hint="eastAsia"/>
          <w:lang w:val="es-ES"/>
        </w:rPr>
        <w:t>57%</w:t>
      </w:r>
      <w:r>
        <w:rPr>
          <w:rFonts w:hint="eastAsia"/>
          <w:lang w:val="es-ES"/>
        </w:rPr>
        <w:t>），而</w:t>
      </w:r>
      <w:r>
        <w:rPr>
          <w:rFonts w:hint="eastAsia"/>
          <w:lang w:val="es-ES"/>
        </w:rPr>
        <w:t>最常用的凶器为白刃武器（</w:t>
      </w:r>
      <w:r>
        <w:rPr>
          <w:rFonts w:hint="eastAsia"/>
          <w:lang w:val="es-ES"/>
        </w:rPr>
        <w:t>40%</w:t>
      </w:r>
      <w:r>
        <w:rPr>
          <w:rFonts w:hint="eastAsia"/>
          <w:lang w:val="es-ES"/>
        </w:rPr>
        <w:t>）——刀具、剪刀和其它家庭器具。大部分的轼女行为是因家庭关系而发生的，或者发生在熟人或陌生人的性侵犯过程中。</w:t>
      </w:r>
    </w:p>
    <w:p w:rsidR="00000000" w:rsidRDefault="00CA422F">
      <w:pPr>
        <w:spacing w:after="240" w:line="360" w:lineRule="exact"/>
        <w:rPr>
          <w:rFonts w:hint="eastAsia"/>
          <w:lang w:val="es-ES"/>
        </w:rPr>
      </w:pPr>
      <w:r>
        <w:rPr>
          <w:rFonts w:hint="eastAsia"/>
          <w:lang w:val="es-ES"/>
        </w:rPr>
        <w:t>502</w:t>
      </w:r>
      <w:r>
        <w:rPr>
          <w:rFonts w:hint="eastAsia"/>
          <w:lang w:val="es-ES"/>
        </w:rPr>
        <w:t>．轼女不能作为普遍的社会暴力现象，也无法通过其自身进行约束。轼女，作为因性别不平等而造成的对女性的极端暴力行为，需要引起特别关注，不能将其等同于其它谋杀现象。轼女行为对年龄在</w:t>
      </w:r>
      <w:r>
        <w:rPr>
          <w:rFonts w:hint="eastAsia"/>
          <w:lang w:val="es-ES"/>
        </w:rPr>
        <w:t>30</w:t>
      </w:r>
      <w:r>
        <w:rPr>
          <w:rFonts w:hint="eastAsia"/>
          <w:lang w:val="es-ES"/>
        </w:rPr>
        <w:t>岁左右的女性造成的伤害最大，而这个年龄则是九十年代轼女受害者的平均年龄。之所以会出现上述状况，主要是因为最危险的关系就是夫妻间过度的性生活，因为最经常采取轼女行为的人主要是女性受害者现任和</w:t>
      </w:r>
      <w:r>
        <w:rPr>
          <w:rFonts w:hint="eastAsia"/>
          <w:lang w:val="es-ES"/>
        </w:rPr>
        <w:t>前任的男性伴侣（</w:t>
      </w:r>
      <w:r>
        <w:rPr>
          <w:rFonts w:hint="eastAsia"/>
          <w:lang w:val="es-ES"/>
        </w:rPr>
        <w:t>61%</w:t>
      </w:r>
      <w:r>
        <w:rPr>
          <w:rFonts w:hint="eastAsia"/>
          <w:lang w:val="es-ES"/>
        </w:rPr>
        <w:t>）。</w:t>
      </w:r>
    </w:p>
    <w:p w:rsidR="00000000" w:rsidRDefault="00CA422F">
      <w:pPr>
        <w:spacing w:after="240" w:line="360" w:lineRule="exact"/>
        <w:rPr>
          <w:rFonts w:hint="eastAsia"/>
          <w:lang w:val="es-ES"/>
        </w:rPr>
      </w:pPr>
      <w:r>
        <w:rPr>
          <w:rFonts w:hint="eastAsia"/>
          <w:lang w:val="es-ES"/>
        </w:rPr>
        <w:t>503</w:t>
      </w:r>
      <w:r>
        <w:rPr>
          <w:rFonts w:hint="eastAsia"/>
          <w:lang w:val="es-ES"/>
        </w:rPr>
        <w:t>．轼女，特别是亲密轼女（同受害者关系比较密切的人所为）最突出的特点之一便是残忍，轼女行为的施行者对被害者怀有巨大的仇恨，排除了偶然性和正当自卫的可能性。这种残忍所蕴含的是侵犯者对受害者的控制，前者通常把后者作为他们拥有的一件物体。事实上，</w:t>
      </w:r>
      <w:r>
        <w:rPr>
          <w:rFonts w:hint="eastAsia"/>
          <w:lang w:val="es-ES"/>
        </w:rPr>
        <w:t>1990</w:t>
      </w:r>
      <w:r>
        <w:rPr>
          <w:rFonts w:hint="eastAsia"/>
          <w:lang w:val="es-ES"/>
        </w:rPr>
        <w:t>年至</w:t>
      </w:r>
      <w:r>
        <w:rPr>
          <w:rFonts w:hint="eastAsia"/>
          <w:lang w:val="es-ES"/>
        </w:rPr>
        <w:t>1999</w:t>
      </w:r>
      <w:r>
        <w:rPr>
          <w:rFonts w:hint="eastAsia"/>
          <w:lang w:val="es-ES"/>
        </w:rPr>
        <w:t>年间女性丧生最多的时期，便是女性同虐待自己的伴侣发生决裂、决定摆脱他们的控制的时刻。轼女使女性公民的人身安全受到严重的威胁，轼女现象的根除将意味着因谋杀而丧生的女性人数将大幅度降低，至少减少</w:t>
      </w:r>
      <w:r>
        <w:rPr>
          <w:rFonts w:hint="eastAsia"/>
          <w:lang w:val="es-ES"/>
        </w:rPr>
        <w:t>60%</w:t>
      </w:r>
      <w:r>
        <w:rPr>
          <w:rFonts w:hint="eastAsia"/>
          <w:lang w:val="es-ES"/>
        </w:rPr>
        <w:t>。</w:t>
      </w:r>
    </w:p>
    <w:p w:rsidR="00000000" w:rsidRDefault="00CA422F">
      <w:pPr>
        <w:spacing w:after="240" w:line="360" w:lineRule="exact"/>
        <w:rPr>
          <w:rFonts w:hint="eastAsia"/>
          <w:lang w:val="es-ES"/>
        </w:rPr>
      </w:pPr>
      <w:r>
        <w:rPr>
          <w:rFonts w:hint="eastAsia"/>
          <w:lang w:val="es-ES"/>
        </w:rPr>
        <w:t>504</w:t>
      </w:r>
      <w:r>
        <w:rPr>
          <w:rFonts w:hint="eastAsia"/>
          <w:lang w:val="es-ES"/>
        </w:rPr>
        <w:t>．</w:t>
      </w:r>
      <w:r>
        <w:rPr>
          <w:rFonts w:hint="eastAsia"/>
          <w:spacing w:val="4"/>
          <w:lang w:val="es-ES"/>
        </w:rPr>
        <w:t>对轼女行为的</w:t>
      </w:r>
      <w:r>
        <w:rPr>
          <w:rFonts w:hint="eastAsia"/>
          <w:spacing w:val="4"/>
          <w:lang w:val="es-ES"/>
        </w:rPr>
        <w:t>惩罚很难达到刑法关于谋杀的最高处罚的程度，即</w:t>
      </w:r>
      <w:r>
        <w:rPr>
          <w:rFonts w:hint="eastAsia"/>
          <w:spacing w:val="4"/>
          <w:lang w:val="es-ES"/>
        </w:rPr>
        <w:t>35</w:t>
      </w:r>
      <w:r>
        <w:rPr>
          <w:rFonts w:hint="eastAsia"/>
          <w:spacing w:val="4"/>
          <w:lang w:val="es-ES"/>
        </w:rPr>
        <w:t>年的监禁。当女性已经结婚，或者已经同居两年以上并已经生儿育女，现行法律对这项罪行的处罚将有所减轻。事实上，一些轼女行为可能受到十二年监禁的惩罚，然而，如果罪犯在狱中表现良好，在五年之内都有可能重获自由。应该指出的是，九十年代大部分，即</w:t>
      </w:r>
      <w:r>
        <w:rPr>
          <w:rFonts w:hint="eastAsia"/>
          <w:spacing w:val="4"/>
          <w:lang w:val="es-ES"/>
        </w:rPr>
        <w:t>88%</w:t>
      </w:r>
      <w:r>
        <w:rPr>
          <w:rFonts w:hint="eastAsia"/>
          <w:spacing w:val="4"/>
          <w:lang w:val="es-ES"/>
        </w:rPr>
        <w:t>的轼女行为的施行人为哥斯达黎加公民，只有</w:t>
      </w:r>
      <w:r>
        <w:rPr>
          <w:rFonts w:hint="eastAsia"/>
          <w:spacing w:val="4"/>
          <w:lang w:val="es-ES"/>
        </w:rPr>
        <w:t>12%</w:t>
      </w:r>
      <w:r>
        <w:rPr>
          <w:rFonts w:hint="eastAsia"/>
          <w:spacing w:val="4"/>
          <w:lang w:val="es-ES"/>
        </w:rPr>
        <w:t>的轼女行为由外籍人士所为。</w:t>
      </w:r>
    </w:p>
    <w:p w:rsidR="00000000" w:rsidRDefault="00CA422F">
      <w:pPr>
        <w:spacing w:after="240" w:line="360" w:lineRule="exact"/>
        <w:jc w:val="center"/>
        <w:rPr>
          <w:rFonts w:eastAsia="SimHei" w:hint="eastAsia"/>
          <w:sz w:val="24"/>
          <w:lang w:val="es-ES"/>
        </w:rPr>
      </w:pPr>
      <w:r>
        <w:rPr>
          <w:rFonts w:eastAsia="SimHei" w:hint="eastAsia"/>
          <w:sz w:val="24"/>
          <w:lang w:val="es-ES"/>
        </w:rPr>
        <w:t>收容所：受暴力伤害女性的一项选择</w:t>
      </w:r>
    </w:p>
    <w:p w:rsidR="00000000" w:rsidRDefault="00CA422F">
      <w:pPr>
        <w:spacing w:after="240" w:line="360" w:lineRule="exact"/>
        <w:rPr>
          <w:rFonts w:hint="eastAsia"/>
        </w:rPr>
      </w:pPr>
      <w:r>
        <w:rPr>
          <w:rFonts w:hint="eastAsia"/>
          <w:lang w:val="es-ES"/>
        </w:rPr>
        <w:t>505</w:t>
      </w:r>
      <w:r>
        <w:rPr>
          <w:rFonts w:hint="eastAsia"/>
          <w:lang w:val="es-ES"/>
        </w:rPr>
        <w:t>．受侵犯女性的生命危险和生命安全保障的需要是组建收容所的原因。哥斯达黎加第一家女性收容所由私人倡导建立。随后，</w:t>
      </w:r>
      <w:r>
        <w:rPr>
          <w:rFonts w:hint="eastAsia"/>
          <w:lang w:val="es-ES"/>
        </w:rPr>
        <w:t>政府也承担起了这一方面的责任。目前，国家妇女研究所管辖了两个女性收容所，一个设在卡塔戈省省，另一个设在</w:t>
      </w:r>
      <w:r>
        <w:rPr>
          <w:lang w:val="es-ES"/>
        </w:rPr>
        <w:t>利蒙</w:t>
      </w:r>
      <w:r>
        <w:rPr>
          <w:rFonts w:hint="eastAsia"/>
          <w:lang w:val="es-ES"/>
        </w:rPr>
        <w:t>省，同时还准备在彭塔雷纳斯省筹建一个新的收容所。对收容所内的女性受害者及其子女的管理由</w:t>
      </w:r>
      <w:r>
        <w:rPr>
          <w:rFonts w:hint="eastAsia"/>
        </w:rPr>
        <w:t>妇女行动与信息中心负责，这是一家专门关注受暴力侵犯女性的组织。该服务覆盖全国，平均每年帮助了近</w:t>
      </w:r>
      <w:r>
        <w:rPr>
          <w:rFonts w:hint="eastAsia"/>
        </w:rPr>
        <w:t>750</w:t>
      </w:r>
      <w:r>
        <w:rPr>
          <w:rFonts w:hint="eastAsia"/>
        </w:rPr>
        <w:t>名女性受害者（国家妇女研究所，</w:t>
      </w:r>
      <w:r>
        <w:rPr>
          <w:rFonts w:hint="eastAsia"/>
        </w:rPr>
        <w:t>2002</w:t>
      </w:r>
      <w:r>
        <w:rPr>
          <w:rFonts w:hint="eastAsia"/>
        </w:rPr>
        <w:t>年）。</w:t>
      </w:r>
    </w:p>
    <w:p w:rsidR="00000000" w:rsidRDefault="00CA422F">
      <w:pPr>
        <w:spacing w:after="240" w:line="360" w:lineRule="exact"/>
        <w:rPr>
          <w:rFonts w:hint="eastAsia"/>
        </w:rPr>
      </w:pPr>
      <w:r>
        <w:rPr>
          <w:rFonts w:hint="eastAsia"/>
        </w:rPr>
        <w:t>506</w:t>
      </w:r>
      <w:r>
        <w:rPr>
          <w:rFonts w:hint="eastAsia"/>
        </w:rPr>
        <w:t>．随着时间的增长，该项服务的需求也不断上升，使现有的服务能力接近饱和。受助妇女由</w:t>
      </w:r>
      <w:r>
        <w:rPr>
          <w:rFonts w:hint="eastAsia"/>
        </w:rPr>
        <w:t>1995</w:t>
      </w:r>
      <w:r>
        <w:rPr>
          <w:rFonts w:hint="eastAsia"/>
        </w:rPr>
        <w:t>年的</w:t>
      </w:r>
      <w:r>
        <w:rPr>
          <w:rFonts w:hint="eastAsia"/>
        </w:rPr>
        <w:t>80</w:t>
      </w:r>
      <w:r>
        <w:rPr>
          <w:rFonts w:hint="eastAsia"/>
        </w:rPr>
        <w:t>人增至</w:t>
      </w:r>
      <w:r>
        <w:rPr>
          <w:rFonts w:hint="eastAsia"/>
        </w:rPr>
        <w:t>2000</w:t>
      </w:r>
      <w:r>
        <w:rPr>
          <w:rFonts w:hint="eastAsia"/>
        </w:rPr>
        <w:t>年的</w:t>
      </w:r>
      <w:r>
        <w:rPr>
          <w:rFonts w:hint="eastAsia"/>
        </w:rPr>
        <w:t>389</w:t>
      </w:r>
      <w:r>
        <w:rPr>
          <w:rFonts w:hint="eastAsia"/>
        </w:rPr>
        <w:t>人；而收容的男童和女童数量则由</w:t>
      </w:r>
      <w:r>
        <w:rPr>
          <w:rFonts w:hint="eastAsia"/>
        </w:rPr>
        <w:t>200</w:t>
      </w:r>
      <w:r>
        <w:rPr>
          <w:rFonts w:hint="eastAsia"/>
        </w:rPr>
        <w:t>人增至</w:t>
      </w:r>
      <w:r>
        <w:rPr>
          <w:rFonts w:hint="eastAsia"/>
        </w:rPr>
        <w:t>1 2</w:t>
      </w:r>
      <w:r>
        <w:rPr>
          <w:rFonts w:hint="eastAsia"/>
        </w:rPr>
        <w:t>06</w:t>
      </w:r>
      <w:r>
        <w:rPr>
          <w:rFonts w:hint="eastAsia"/>
        </w:rPr>
        <w:t>人（</w:t>
      </w:r>
      <w:r>
        <w:rPr>
          <w:rFonts w:hint="eastAsia"/>
        </w:rPr>
        <w:t>Ramellini</w:t>
      </w:r>
      <w:r>
        <w:rPr>
          <w:rFonts w:hint="eastAsia"/>
        </w:rPr>
        <w:t>，</w:t>
      </w:r>
      <w:r>
        <w:rPr>
          <w:rFonts w:hint="eastAsia"/>
        </w:rPr>
        <w:t>2000</w:t>
      </w:r>
      <w:r>
        <w:rPr>
          <w:rFonts w:hint="eastAsia"/>
        </w:rPr>
        <w:t>年；</w:t>
      </w:r>
      <w:r>
        <w:rPr>
          <w:rFonts w:hint="eastAsia"/>
        </w:rPr>
        <w:t>Brenes</w:t>
      </w:r>
      <w:r>
        <w:rPr>
          <w:rFonts w:hint="eastAsia"/>
        </w:rPr>
        <w:t>和</w:t>
      </w:r>
      <w:r>
        <w:rPr>
          <w:rFonts w:hint="eastAsia"/>
        </w:rPr>
        <w:t>M</w:t>
      </w:r>
      <w:r>
        <w:rPr>
          <w:lang w:val="es-ES"/>
        </w:rPr>
        <w:t>éndez</w:t>
      </w:r>
      <w:r>
        <w:rPr>
          <w:rFonts w:hint="eastAsia"/>
          <w:lang w:val="es-ES"/>
        </w:rPr>
        <w:t>，</w:t>
      </w:r>
      <w:r>
        <w:rPr>
          <w:rFonts w:hint="eastAsia"/>
          <w:lang w:val="es-ES"/>
        </w:rPr>
        <w:t>2002</w:t>
      </w:r>
      <w:r>
        <w:rPr>
          <w:rFonts w:hint="eastAsia"/>
          <w:lang w:val="es-ES"/>
        </w:rPr>
        <w:t>年</w:t>
      </w:r>
      <w:r>
        <w:rPr>
          <w:rFonts w:hint="eastAsia"/>
        </w:rPr>
        <w:t>）。</w:t>
      </w:r>
      <w:r>
        <w:rPr>
          <w:rFonts w:hint="eastAsia"/>
        </w:rPr>
        <w:t>2002</w:t>
      </w:r>
      <w:r>
        <w:rPr>
          <w:rFonts w:hint="eastAsia"/>
        </w:rPr>
        <w:t>年，收容所接待了</w:t>
      </w:r>
      <w:r>
        <w:rPr>
          <w:rFonts w:hint="eastAsia"/>
        </w:rPr>
        <w:t>358</w:t>
      </w:r>
      <w:r>
        <w:rPr>
          <w:rFonts w:hint="eastAsia"/>
        </w:rPr>
        <w:t>位女性和</w:t>
      </w:r>
      <w:r>
        <w:rPr>
          <w:rFonts w:hint="eastAsia"/>
        </w:rPr>
        <w:t>840</w:t>
      </w:r>
      <w:r>
        <w:rPr>
          <w:rFonts w:hint="eastAsia"/>
        </w:rPr>
        <w:t>名男女儿童（</w:t>
      </w:r>
      <w:r>
        <w:rPr>
          <w:rFonts w:hint="eastAsia"/>
        </w:rPr>
        <w:t>Brenes</w:t>
      </w:r>
      <w:r>
        <w:rPr>
          <w:rFonts w:hint="eastAsia"/>
        </w:rPr>
        <w:t>和</w:t>
      </w:r>
      <w:r>
        <w:rPr>
          <w:rFonts w:hint="eastAsia"/>
        </w:rPr>
        <w:t>M</w:t>
      </w:r>
      <w:r>
        <w:rPr>
          <w:lang w:val="es-ES"/>
        </w:rPr>
        <w:t>éndez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60" w:lineRule="exact"/>
        <w:rPr>
          <w:rFonts w:hint="eastAsia"/>
        </w:rPr>
      </w:pPr>
      <w:r>
        <w:rPr>
          <w:rFonts w:hint="eastAsia"/>
        </w:rPr>
        <w:t>507</w:t>
      </w:r>
      <w:r>
        <w:rPr>
          <w:rFonts w:hint="eastAsia"/>
        </w:rPr>
        <w:t>．这些收容所是处于暴力危险中的女性及其子女最理想的庇护所。现行法律如能正确实施，相关机构在保护女性家庭、阻止施暴者行为以及对他们进行惩罚等方面所做的努力如能有所增加，受虐待妇女寻求庇护所的需求就会日益减少。</w:t>
      </w:r>
    </w:p>
    <w:p w:rsidR="00000000" w:rsidRDefault="00CA422F">
      <w:pPr>
        <w:spacing w:after="240" w:line="360" w:lineRule="exact"/>
        <w:jc w:val="center"/>
        <w:rPr>
          <w:rFonts w:eastAsia="SimHei" w:hint="eastAsia"/>
          <w:sz w:val="24"/>
        </w:rPr>
      </w:pPr>
      <w:r>
        <w:rPr>
          <w:rFonts w:eastAsia="SimHei" w:hint="eastAsia"/>
          <w:sz w:val="24"/>
        </w:rPr>
        <w:t>打击家庭暴力法：针对家庭内虐待和夫妻间虐待的保护措施</w:t>
      </w:r>
    </w:p>
    <w:p w:rsidR="00000000" w:rsidRDefault="00CA422F">
      <w:pPr>
        <w:spacing w:after="240" w:line="360" w:lineRule="exact"/>
        <w:rPr>
          <w:rFonts w:hint="eastAsia"/>
          <w:lang w:val="es-ES"/>
        </w:rPr>
      </w:pPr>
      <w:r>
        <w:rPr>
          <w:rFonts w:hint="eastAsia"/>
          <w:lang w:val="es-ES"/>
        </w:rPr>
        <w:t>508</w:t>
      </w:r>
      <w:r>
        <w:rPr>
          <w:rFonts w:hint="eastAsia"/>
          <w:lang w:val="es-ES"/>
        </w:rPr>
        <w:t>．轼女，尤其是这种行为的亲密性，正如日常生活现象的冰山之</w:t>
      </w:r>
      <w:r>
        <w:rPr>
          <w:rFonts w:hint="eastAsia"/>
          <w:lang w:val="es-ES"/>
        </w:rPr>
        <w:t>尖，反映了家庭关系和夫妻关系内部存在的暴力。这一问题不断延伸的一种表现方式便是自</w:t>
      </w:r>
      <w:r>
        <w:rPr>
          <w:rFonts w:hint="eastAsia"/>
          <w:lang w:val="es-ES"/>
        </w:rPr>
        <w:t>1996</w:t>
      </w:r>
      <w:r>
        <w:rPr>
          <w:rFonts w:hint="eastAsia"/>
          <w:lang w:val="es-ES"/>
        </w:rPr>
        <w:t>年以来，向司法权力机关申请援助的女性人数不断上升，而《消除家庭暴力法》也正好于同年开始执行。当法律手段开始奏效时，此类案件逐渐占据了整个司法机构。从此，此类案件的数量也开始稳步上升（</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p>
    <w:p w:rsidR="00000000" w:rsidRDefault="00CA422F">
      <w:pPr>
        <w:spacing w:after="240" w:line="360" w:lineRule="exact"/>
        <w:jc w:val="center"/>
        <w:rPr>
          <w:rFonts w:ascii="SimHei" w:eastAsia="SimHei" w:hint="eastAsia"/>
          <w:lang w:val="es-ES"/>
        </w:rPr>
      </w:pPr>
      <w:r>
        <w:rPr>
          <w:rFonts w:ascii="SimHei" w:eastAsia="SimHei" w:hint="eastAsia"/>
          <w:lang w:val="es-ES"/>
        </w:rPr>
        <w:t>表</w:t>
      </w:r>
      <w:r>
        <w:rPr>
          <w:rFonts w:ascii="SimHei" w:eastAsia="SimHei" w:hint="eastAsia"/>
          <w:lang w:val="es-ES"/>
        </w:rPr>
        <w:t>15</w:t>
      </w:r>
      <w:r>
        <w:rPr>
          <w:rFonts w:ascii="SimHei" w:eastAsia="SimHei"/>
          <w:lang w:val="es-ES"/>
        </w:rPr>
        <w:br/>
      </w:r>
      <w:r>
        <w:rPr>
          <w:rFonts w:ascii="SimHei" w:eastAsia="SimHei" w:hint="eastAsia"/>
          <w:lang w:val="es-ES"/>
        </w:rPr>
        <w:t>哥斯达黎加：向各地司法机构提出的援助申请，</w:t>
      </w:r>
      <w:r>
        <w:rPr>
          <w:rFonts w:ascii="SimHei" w:eastAsia="SimHei"/>
          <w:lang w:val="es-ES"/>
        </w:rPr>
        <w:br/>
      </w:r>
      <w:r>
        <w:rPr>
          <w:rFonts w:ascii="SimHei" w:eastAsia="SimHei" w:hint="eastAsia"/>
          <w:lang w:val="es-ES"/>
        </w:rPr>
        <w:t>1996</w:t>
      </w:r>
      <w:r>
        <w:rPr>
          <w:rFonts w:ascii="SimHei" w:eastAsia="SimHei" w:hint="eastAsia"/>
          <w:lang w:val="es-ES"/>
        </w:rPr>
        <w:t>－</w:t>
      </w:r>
      <w:r>
        <w:rPr>
          <w:rFonts w:ascii="SimHei" w:eastAsia="SimHei" w:hint="eastAsia"/>
          <w:lang w:val="es-ES"/>
        </w:rPr>
        <w:t>2000</w:t>
      </w:r>
      <w:r>
        <w:rPr>
          <w:rFonts w:ascii="SimHei" w:eastAsia="SimHei" w:hint="eastAsia"/>
          <w:lang w:val="es-ES"/>
        </w:rPr>
        <w:t>年，</w:t>
      </w:r>
      <w:r>
        <w:rPr>
          <w:rFonts w:ascii="SimHei" w:eastAsia="SimHei"/>
          <w:lang w:val="es-ES"/>
        </w:rPr>
        <w:br/>
      </w:r>
      <w:r>
        <w:rPr>
          <w:rFonts w:ascii="SimHei" w:eastAsia="SimHei" w:hint="eastAsia"/>
          <w:lang w:val="es-ES"/>
        </w:rPr>
        <w:t>绝对数据与相对比率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7"/>
        <w:gridCol w:w="858"/>
        <w:gridCol w:w="891"/>
        <w:gridCol w:w="858"/>
        <w:gridCol w:w="891"/>
        <w:gridCol w:w="860"/>
        <w:gridCol w:w="891"/>
        <w:gridCol w:w="858"/>
        <w:gridCol w:w="891"/>
        <w:gridCol w:w="858"/>
        <w:gridCol w:w="891"/>
      </w:tblGrid>
      <w:tr w:rsidR="00000000">
        <w:tblPrEx>
          <w:tblCellMar>
            <w:top w:w="0" w:type="dxa"/>
            <w:bottom w:w="0" w:type="dxa"/>
          </w:tblCellMar>
        </w:tblPrEx>
        <w:trPr>
          <w:cantSplit/>
          <w:trHeight w:val="465"/>
        </w:trPr>
        <w:tc>
          <w:tcPr>
            <w:tcW w:w="618" w:type="pct"/>
          </w:tcPr>
          <w:p w:rsidR="00000000" w:rsidRDefault="00CA422F">
            <w:pPr>
              <w:pStyle w:val="60"/>
              <w:spacing w:beforeLines="0" w:before="0" w:afterLines="0" w:after="0" w:line="360" w:lineRule="exact"/>
              <w:rPr>
                <w:rFonts w:ascii="SimHei" w:eastAsia="SimHei" w:hAnsi="Times New Roman" w:hint="eastAsia"/>
                <w:b/>
                <w:bCs/>
                <w:sz w:val="18"/>
              </w:rPr>
            </w:pPr>
          </w:p>
        </w:tc>
        <w:tc>
          <w:tcPr>
            <w:tcW w:w="876" w:type="pct"/>
            <w:gridSpan w:val="2"/>
          </w:tcPr>
          <w:p w:rsidR="00000000" w:rsidRDefault="00CA422F">
            <w:pPr>
              <w:spacing w:line="360" w:lineRule="exact"/>
              <w:jc w:val="center"/>
              <w:rPr>
                <w:rFonts w:eastAsia="SimHei" w:hint="eastAsia"/>
                <w:b/>
                <w:bCs/>
                <w:sz w:val="18"/>
                <w:lang w:val="es-ES"/>
              </w:rPr>
            </w:pPr>
            <w:r>
              <w:rPr>
                <w:rFonts w:eastAsia="SimHei" w:hint="eastAsia"/>
                <w:b/>
                <w:bCs/>
                <w:sz w:val="18"/>
                <w:lang w:val="es-ES"/>
              </w:rPr>
              <w:t>1996</w:t>
            </w:r>
          </w:p>
        </w:tc>
        <w:tc>
          <w:tcPr>
            <w:tcW w:w="876" w:type="pct"/>
            <w:gridSpan w:val="2"/>
          </w:tcPr>
          <w:p w:rsidR="00000000" w:rsidRDefault="00CA422F">
            <w:pPr>
              <w:spacing w:line="360" w:lineRule="exact"/>
              <w:jc w:val="center"/>
              <w:rPr>
                <w:rFonts w:eastAsia="SimHei" w:hint="eastAsia"/>
                <w:b/>
                <w:bCs/>
                <w:sz w:val="18"/>
                <w:lang w:val="es-ES"/>
              </w:rPr>
            </w:pPr>
            <w:r>
              <w:rPr>
                <w:rFonts w:eastAsia="SimHei" w:hint="eastAsia"/>
                <w:b/>
                <w:bCs/>
                <w:sz w:val="18"/>
                <w:lang w:val="es-ES"/>
              </w:rPr>
              <w:t>1997</w:t>
            </w:r>
          </w:p>
        </w:tc>
        <w:tc>
          <w:tcPr>
            <w:tcW w:w="877" w:type="pct"/>
            <w:gridSpan w:val="2"/>
          </w:tcPr>
          <w:p w:rsidR="00000000" w:rsidRDefault="00CA422F">
            <w:pPr>
              <w:spacing w:line="360" w:lineRule="exact"/>
              <w:jc w:val="center"/>
              <w:rPr>
                <w:rFonts w:eastAsia="SimHei" w:hint="eastAsia"/>
                <w:b/>
                <w:bCs/>
                <w:sz w:val="18"/>
                <w:lang w:val="es-ES"/>
              </w:rPr>
            </w:pPr>
            <w:r>
              <w:rPr>
                <w:rFonts w:eastAsia="SimHei" w:hint="eastAsia"/>
                <w:b/>
                <w:bCs/>
                <w:sz w:val="18"/>
                <w:lang w:val="es-ES"/>
              </w:rPr>
              <w:t>1998</w:t>
            </w:r>
          </w:p>
        </w:tc>
        <w:tc>
          <w:tcPr>
            <w:tcW w:w="876" w:type="pct"/>
            <w:gridSpan w:val="2"/>
          </w:tcPr>
          <w:p w:rsidR="00000000" w:rsidRDefault="00CA422F">
            <w:pPr>
              <w:spacing w:line="360" w:lineRule="exact"/>
              <w:jc w:val="center"/>
              <w:rPr>
                <w:rFonts w:eastAsia="SimHei" w:hint="eastAsia"/>
                <w:b/>
                <w:bCs/>
                <w:sz w:val="18"/>
                <w:lang w:val="es-ES"/>
              </w:rPr>
            </w:pPr>
            <w:r>
              <w:rPr>
                <w:rFonts w:eastAsia="SimHei" w:hint="eastAsia"/>
                <w:b/>
                <w:bCs/>
                <w:sz w:val="18"/>
                <w:lang w:val="es-ES"/>
              </w:rPr>
              <w:t>1999</w:t>
            </w:r>
          </w:p>
        </w:tc>
        <w:tc>
          <w:tcPr>
            <w:tcW w:w="877" w:type="pct"/>
            <w:gridSpan w:val="2"/>
          </w:tcPr>
          <w:p w:rsidR="00000000" w:rsidRDefault="00CA422F">
            <w:pPr>
              <w:spacing w:line="360" w:lineRule="exact"/>
              <w:jc w:val="center"/>
              <w:rPr>
                <w:rFonts w:eastAsia="SimHei" w:hint="eastAsia"/>
                <w:b/>
                <w:bCs/>
                <w:sz w:val="18"/>
                <w:lang w:val="es-ES"/>
              </w:rPr>
            </w:pPr>
            <w:r>
              <w:rPr>
                <w:rFonts w:eastAsia="SimHei" w:hint="eastAsia"/>
                <w:b/>
                <w:bCs/>
                <w:sz w:val="18"/>
                <w:lang w:val="es-ES"/>
              </w:rPr>
              <w:t>2000</w:t>
            </w:r>
          </w:p>
        </w:tc>
      </w:tr>
      <w:tr w:rsidR="00000000">
        <w:tblPrEx>
          <w:tblCellMar>
            <w:top w:w="0" w:type="dxa"/>
            <w:bottom w:w="0" w:type="dxa"/>
          </w:tblCellMar>
        </w:tblPrEx>
        <w:trPr>
          <w:trHeight w:val="465"/>
        </w:trPr>
        <w:tc>
          <w:tcPr>
            <w:tcW w:w="618" w:type="pct"/>
          </w:tcPr>
          <w:p w:rsidR="00000000" w:rsidRDefault="00CA422F">
            <w:pPr>
              <w:pStyle w:val="60"/>
              <w:spacing w:beforeLines="0" w:before="0" w:afterLines="0" w:after="0" w:line="360" w:lineRule="exact"/>
              <w:rPr>
                <w:rFonts w:ascii="SimHei" w:eastAsia="SimHei" w:hAnsi="Times New Roman" w:hint="eastAsia"/>
                <w:sz w:val="18"/>
              </w:rPr>
            </w:pPr>
            <w:r>
              <w:rPr>
                <w:rFonts w:ascii="SimHei" w:eastAsia="SimHei" w:hAnsi="Times New Roman" w:hint="eastAsia"/>
                <w:sz w:val="18"/>
              </w:rPr>
              <w:t>总数</w:t>
            </w:r>
          </w:p>
        </w:tc>
        <w:tc>
          <w:tcPr>
            <w:tcW w:w="438" w:type="pct"/>
          </w:tcPr>
          <w:p w:rsidR="00000000" w:rsidRDefault="00CA422F">
            <w:pPr>
              <w:spacing w:line="360" w:lineRule="exact"/>
              <w:jc w:val="center"/>
              <w:rPr>
                <w:rFonts w:eastAsia="SimHei"/>
                <w:b/>
                <w:bCs/>
                <w:sz w:val="18"/>
                <w:lang w:val="es-ES"/>
              </w:rPr>
            </w:pPr>
            <w:r>
              <w:rPr>
                <w:rFonts w:eastAsia="SimHei"/>
                <w:b/>
                <w:bCs/>
                <w:sz w:val="18"/>
                <w:lang w:val="es-ES"/>
              </w:rPr>
              <w:t>5.113</w:t>
            </w:r>
          </w:p>
        </w:tc>
        <w:tc>
          <w:tcPr>
            <w:tcW w:w="438" w:type="pct"/>
          </w:tcPr>
          <w:p w:rsidR="00000000" w:rsidRDefault="00CA422F">
            <w:pPr>
              <w:spacing w:line="360" w:lineRule="exact"/>
              <w:jc w:val="center"/>
              <w:rPr>
                <w:rFonts w:eastAsia="SimHei"/>
                <w:b/>
                <w:bCs/>
                <w:sz w:val="18"/>
                <w:lang w:val="es-ES"/>
              </w:rPr>
            </w:pPr>
            <w:r>
              <w:rPr>
                <w:rFonts w:eastAsia="SimHei"/>
                <w:b/>
                <w:bCs/>
                <w:sz w:val="18"/>
                <w:lang w:val="es-ES"/>
              </w:rPr>
              <w:t>100.00%</w:t>
            </w:r>
          </w:p>
        </w:tc>
        <w:tc>
          <w:tcPr>
            <w:tcW w:w="438" w:type="pct"/>
          </w:tcPr>
          <w:p w:rsidR="00000000" w:rsidRDefault="00CA422F">
            <w:pPr>
              <w:pStyle w:val="Header"/>
              <w:pBdr>
                <w:bottom w:val="none" w:sz="0" w:space="0" w:color="auto"/>
              </w:pBdr>
              <w:tabs>
                <w:tab w:val="clear" w:pos="4320"/>
                <w:tab w:val="clear" w:pos="8640"/>
              </w:tabs>
              <w:spacing w:line="360" w:lineRule="exact"/>
              <w:rPr>
                <w:rFonts w:eastAsia="SimHei"/>
                <w:b/>
                <w:bCs/>
                <w:lang w:val="es-ES"/>
              </w:rPr>
            </w:pPr>
            <w:r>
              <w:rPr>
                <w:rFonts w:eastAsia="SimHei"/>
                <w:b/>
                <w:bCs/>
                <w:lang w:val="es-ES"/>
              </w:rPr>
              <w:t>15.336</w:t>
            </w:r>
          </w:p>
        </w:tc>
        <w:tc>
          <w:tcPr>
            <w:tcW w:w="438" w:type="pct"/>
          </w:tcPr>
          <w:p w:rsidR="00000000" w:rsidRDefault="00CA422F">
            <w:pPr>
              <w:spacing w:line="360" w:lineRule="exact"/>
              <w:jc w:val="center"/>
              <w:rPr>
                <w:rFonts w:eastAsia="SimHei"/>
                <w:b/>
                <w:bCs/>
                <w:sz w:val="18"/>
                <w:lang w:val="es-ES"/>
              </w:rPr>
            </w:pPr>
            <w:r>
              <w:rPr>
                <w:rFonts w:eastAsia="SimHei"/>
                <w:b/>
                <w:bCs/>
                <w:sz w:val="18"/>
                <w:lang w:val="es-ES"/>
              </w:rPr>
              <w:t>100.0</w:t>
            </w:r>
            <w:r>
              <w:rPr>
                <w:rFonts w:eastAsia="SimHei"/>
                <w:b/>
                <w:bCs/>
                <w:sz w:val="18"/>
                <w:lang w:val="es-ES"/>
              </w:rPr>
              <w:t>0%</w:t>
            </w:r>
          </w:p>
        </w:tc>
        <w:tc>
          <w:tcPr>
            <w:tcW w:w="439" w:type="pct"/>
          </w:tcPr>
          <w:p w:rsidR="00000000" w:rsidRDefault="00CA422F">
            <w:pPr>
              <w:spacing w:line="360" w:lineRule="exact"/>
              <w:jc w:val="center"/>
              <w:rPr>
                <w:rFonts w:eastAsia="SimHei"/>
                <w:b/>
                <w:bCs/>
                <w:sz w:val="18"/>
                <w:lang w:val="es-ES"/>
              </w:rPr>
            </w:pPr>
            <w:r>
              <w:rPr>
                <w:rFonts w:eastAsia="SimHei"/>
                <w:b/>
                <w:bCs/>
                <w:sz w:val="18"/>
                <w:lang w:val="es-ES"/>
              </w:rPr>
              <w:t>20.996</w:t>
            </w:r>
          </w:p>
        </w:tc>
        <w:tc>
          <w:tcPr>
            <w:tcW w:w="438" w:type="pct"/>
          </w:tcPr>
          <w:p w:rsidR="00000000" w:rsidRDefault="00CA422F">
            <w:pPr>
              <w:spacing w:line="360" w:lineRule="exact"/>
              <w:jc w:val="center"/>
              <w:rPr>
                <w:rFonts w:eastAsia="SimHei"/>
                <w:b/>
                <w:bCs/>
                <w:sz w:val="18"/>
                <w:lang w:val="es-ES"/>
              </w:rPr>
            </w:pPr>
            <w:r>
              <w:rPr>
                <w:rFonts w:eastAsia="SimHei"/>
                <w:b/>
                <w:bCs/>
                <w:sz w:val="18"/>
                <w:lang w:val="es-ES"/>
              </w:rPr>
              <w:t>100.00%</w:t>
            </w:r>
          </w:p>
        </w:tc>
        <w:tc>
          <w:tcPr>
            <w:tcW w:w="438" w:type="pct"/>
          </w:tcPr>
          <w:p w:rsidR="00000000" w:rsidRDefault="00CA422F">
            <w:pPr>
              <w:spacing w:line="360" w:lineRule="exact"/>
              <w:jc w:val="center"/>
              <w:rPr>
                <w:rFonts w:eastAsia="SimHei"/>
                <w:b/>
                <w:bCs/>
                <w:sz w:val="18"/>
                <w:lang w:val="es-ES"/>
              </w:rPr>
            </w:pPr>
            <w:r>
              <w:rPr>
                <w:rFonts w:eastAsia="SimHei"/>
                <w:b/>
                <w:bCs/>
                <w:sz w:val="18"/>
                <w:lang w:val="es-ES"/>
              </w:rPr>
              <w:t>26.437</w:t>
            </w:r>
          </w:p>
        </w:tc>
        <w:tc>
          <w:tcPr>
            <w:tcW w:w="438" w:type="pct"/>
          </w:tcPr>
          <w:p w:rsidR="00000000" w:rsidRDefault="00CA422F">
            <w:pPr>
              <w:spacing w:line="360" w:lineRule="exact"/>
              <w:jc w:val="center"/>
              <w:rPr>
                <w:rFonts w:eastAsia="SimHei"/>
                <w:b/>
                <w:bCs/>
                <w:sz w:val="18"/>
                <w:lang w:val="es-ES"/>
              </w:rPr>
            </w:pPr>
            <w:r>
              <w:rPr>
                <w:rFonts w:eastAsia="SimHei"/>
                <w:b/>
                <w:bCs/>
                <w:sz w:val="18"/>
                <w:lang w:val="es-ES"/>
              </w:rPr>
              <w:t>100.00%</w:t>
            </w:r>
          </w:p>
        </w:tc>
        <w:tc>
          <w:tcPr>
            <w:tcW w:w="438" w:type="pct"/>
          </w:tcPr>
          <w:p w:rsidR="00000000" w:rsidRDefault="00CA422F">
            <w:pPr>
              <w:spacing w:line="360" w:lineRule="exact"/>
              <w:jc w:val="center"/>
              <w:rPr>
                <w:rFonts w:eastAsia="SimHei"/>
                <w:b/>
                <w:bCs/>
                <w:sz w:val="18"/>
                <w:lang w:val="es-ES"/>
              </w:rPr>
            </w:pPr>
            <w:r>
              <w:rPr>
                <w:rFonts w:eastAsia="SimHei"/>
                <w:b/>
                <w:bCs/>
                <w:sz w:val="18"/>
                <w:lang w:val="es-ES"/>
              </w:rPr>
              <w:t>32.643</w:t>
            </w:r>
          </w:p>
        </w:tc>
        <w:tc>
          <w:tcPr>
            <w:tcW w:w="439" w:type="pct"/>
          </w:tcPr>
          <w:p w:rsidR="00000000" w:rsidRDefault="00CA422F">
            <w:pPr>
              <w:spacing w:line="360" w:lineRule="exact"/>
              <w:jc w:val="center"/>
              <w:rPr>
                <w:rFonts w:eastAsia="SimHei"/>
                <w:b/>
                <w:bCs/>
                <w:sz w:val="18"/>
                <w:lang w:val="es-ES"/>
              </w:rPr>
            </w:pPr>
            <w:r>
              <w:rPr>
                <w:rFonts w:eastAsia="SimHei"/>
                <w:b/>
                <w:bCs/>
                <w:sz w:val="18"/>
                <w:lang w:val="es-ES"/>
              </w:rPr>
              <w:t>100.00%</w:t>
            </w:r>
          </w:p>
        </w:tc>
      </w:tr>
      <w:tr w:rsidR="00000000">
        <w:tblPrEx>
          <w:tblCellMar>
            <w:top w:w="0" w:type="dxa"/>
            <w:bottom w:w="0" w:type="dxa"/>
          </w:tblCellMar>
        </w:tblPrEx>
        <w:trPr>
          <w:trHeight w:val="465"/>
        </w:trPr>
        <w:tc>
          <w:tcPr>
            <w:tcW w:w="618" w:type="pct"/>
          </w:tcPr>
          <w:p w:rsidR="00000000" w:rsidRDefault="00CA422F">
            <w:pPr>
              <w:spacing w:line="360" w:lineRule="exact"/>
              <w:rPr>
                <w:rFonts w:eastAsia="SimHei" w:hint="eastAsia"/>
                <w:sz w:val="18"/>
                <w:lang w:val="es-ES"/>
              </w:rPr>
            </w:pPr>
            <w:r>
              <w:rPr>
                <w:rFonts w:eastAsia="SimHei"/>
                <w:sz w:val="18"/>
                <w:lang w:val="es-ES"/>
              </w:rPr>
              <w:t>圣何塞</w:t>
            </w:r>
          </w:p>
        </w:tc>
        <w:tc>
          <w:tcPr>
            <w:tcW w:w="438" w:type="pct"/>
          </w:tcPr>
          <w:p w:rsidR="00000000" w:rsidRDefault="00CA422F">
            <w:pPr>
              <w:spacing w:line="360" w:lineRule="exact"/>
              <w:jc w:val="center"/>
              <w:rPr>
                <w:sz w:val="18"/>
                <w:lang w:val="es-ES"/>
              </w:rPr>
            </w:pPr>
            <w:r>
              <w:rPr>
                <w:sz w:val="18"/>
                <w:lang w:val="es-ES"/>
              </w:rPr>
              <w:t>1.494</w:t>
            </w:r>
          </w:p>
        </w:tc>
        <w:tc>
          <w:tcPr>
            <w:tcW w:w="438" w:type="pct"/>
          </w:tcPr>
          <w:p w:rsidR="00000000" w:rsidRDefault="00CA422F">
            <w:pPr>
              <w:spacing w:line="360" w:lineRule="exact"/>
              <w:jc w:val="center"/>
              <w:rPr>
                <w:sz w:val="18"/>
                <w:lang w:val="es-ES"/>
              </w:rPr>
            </w:pPr>
            <w:r>
              <w:rPr>
                <w:sz w:val="18"/>
                <w:lang w:val="es-ES"/>
              </w:rPr>
              <w:t>29.22%</w:t>
            </w:r>
          </w:p>
        </w:tc>
        <w:tc>
          <w:tcPr>
            <w:tcW w:w="438" w:type="pct"/>
          </w:tcPr>
          <w:p w:rsidR="00000000" w:rsidRDefault="00CA422F">
            <w:pPr>
              <w:spacing w:line="360" w:lineRule="exact"/>
              <w:jc w:val="center"/>
              <w:rPr>
                <w:sz w:val="18"/>
                <w:lang w:val="es-ES"/>
              </w:rPr>
            </w:pPr>
            <w:r>
              <w:rPr>
                <w:sz w:val="18"/>
                <w:lang w:val="es-ES"/>
              </w:rPr>
              <w:t>5.304</w:t>
            </w:r>
          </w:p>
        </w:tc>
        <w:tc>
          <w:tcPr>
            <w:tcW w:w="438" w:type="pct"/>
          </w:tcPr>
          <w:p w:rsidR="00000000" w:rsidRDefault="00CA422F">
            <w:pPr>
              <w:spacing w:line="360" w:lineRule="exact"/>
              <w:jc w:val="center"/>
              <w:rPr>
                <w:sz w:val="18"/>
                <w:lang w:val="es-ES"/>
              </w:rPr>
            </w:pPr>
            <w:r>
              <w:rPr>
                <w:sz w:val="18"/>
                <w:lang w:val="es-ES"/>
              </w:rPr>
              <w:t>34.60%</w:t>
            </w:r>
          </w:p>
        </w:tc>
        <w:tc>
          <w:tcPr>
            <w:tcW w:w="439" w:type="pct"/>
          </w:tcPr>
          <w:p w:rsidR="00000000" w:rsidRDefault="00CA422F">
            <w:pPr>
              <w:spacing w:line="360" w:lineRule="exact"/>
              <w:jc w:val="center"/>
              <w:rPr>
                <w:sz w:val="18"/>
                <w:lang w:val="es-ES"/>
              </w:rPr>
            </w:pPr>
            <w:r>
              <w:rPr>
                <w:sz w:val="18"/>
                <w:lang w:val="es-ES"/>
              </w:rPr>
              <w:t>6.873</w:t>
            </w:r>
          </w:p>
        </w:tc>
        <w:tc>
          <w:tcPr>
            <w:tcW w:w="438" w:type="pct"/>
          </w:tcPr>
          <w:p w:rsidR="00000000" w:rsidRDefault="00CA422F">
            <w:pPr>
              <w:spacing w:line="360" w:lineRule="exact"/>
              <w:jc w:val="center"/>
              <w:rPr>
                <w:sz w:val="18"/>
                <w:lang w:val="es-ES"/>
              </w:rPr>
            </w:pPr>
            <w:r>
              <w:rPr>
                <w:sz w:val="18"/>
                <w:lang w:val="es-ES"/>
              </w:rPr>
              <w:t>32.70%</w:t>
            </w:r>
          </w:p>
        </w:tc>
        <w:tc>
          <w:tcPr>
            <w:tcW w:w="438" w:type="pct"/>
          </w:tcPr>
          <w:p w:rsidR="00000000" w:rsidRDefault="00CA422F">
            <w:pPr>
              <w:spacing w:line="360" w:lineRule="exact"/>
              <w:jc w:val="center"/>
              <w:rPr>
                <w:sz w:val="18"/>
                <w:lang w:val="es-ES"/>
              </w:rPr>
            </w:pPr>
            <w:r>
              <w:rPr>
                <w:sz w:val="18"/>
                <w:lang w:val="es-ES"/>
              </w:rPr>
              <w:t>9.053</w:t>
            </w:r>
          </w:p>
        </w:tc>
        <w:tc>
          <w:tcPr>
            <w:tcW w:w="438" w:type="pct"/>
          </w:tcPr>
          <w:p w:rsidR="00000000" w:rsidRDefault="00CA422F">
            <w:pPr>
              <w:spacing w:line="360" w:lineRule="exact"/>
              <w:jc w:val="center"/>
              <w:rPr>
                <w:sz w:val="18"/>
                <w:lang w:val="es-ES"/>
              </w:rPr>
            </w:pPr>
            <w:r>
              <w:rPr>
                <w:sz w:val="18"/>
                <w:lang w:val="es-ES"/>
              </w:rPr>
              <w:t>34.20%</w:t>
            </w:r>
          </w:p>
        </w:tc>
        <w:tc>
          <w:tcPr>
            <w:tcW w:w="438" w:type="pct"/>
          </w:tcPr>
          <w:p w:rsidR="00000000" w:rsidRDefault="00CA422F">
            <w:pPr>
              <w:pStyle w:val="Header"/>
              <w:pBdr>
                <w:bottom w:val="none" w:sz="0" w:space="0" w:color="auto"/>
              </w:pBdr>
              <w:tabs>
                <w:tab w:val="clear" w:pos="4320"/>
                <w:tab w:val="clear" w:pos="8640"/>
              </w:tabs>
              <w:spacing w:line="360" w:lineRule="exact"/>
              <w:rPr>
                <w:b/>
                <w:bCs/>
                <w:lang w:val="es-ES"/>
              </w:rPr>
            </w:pPr>
            <w:r>
              <w:rPr>
                <w:b/>
                <w:bCs/>
                <w:lang w:val="es-ES"/>
              </w:rPr>
              <w:t>12.94</w:t>
            </w:r>
          </w:p>
        </w:tc>
        <w:tc>
          <w:tcPr>
            <w:tcW w:w="439" w:type="pct"/>
          </w:tcPr>
          <w:p w:rsidR="00000000" w:rsidRDefault="00CA422F">
            <w:pPr>
              <w:spacing w:line="360" w:lineRule="exact"/>
              <w:jc w:val="center"/>
              <w:rPr>
                <w:sz w:val="18"/>
                <w:lang w:val="es-ES"/>
              </w:rPr>
            </w:pPr>
            <w:r>
              <w:rPr>
                <w:sz w:val="18"/>
                <w:lang w:val="es-ES"/>
              </w:rPr>
              <w:t>37.30%</w:t>
            </w:r>
          </w:p>
        </w:tc>
      </w:tr>
      <w:tr w:rsidR="00000000">
        <w:tblPrEx>
          <w:tblCellMar>
            <w:top w:w="0" w:type="dxa"/>
            <w:bottom w:w="0" w:type="dxa"/>
          </w:tblCellMar>
        </w:tblPrEx>
        <w:trPr>
          <w:trHeight w:val="465"/>
        </w:trPr>
        <w:tc>
          <w:tcPr>
            <w:tcW w:w="618" w:type="pct"/>
          </w:tcPr>
          <w:p w:rsidR="00000000" w:rsidRDefault="00CA422F">
            <w:pPr>
              <w:spacing w:line="360" w:lineRule="exact"/>
              <w:rPr>
                <w:rFonts w:eastAsia="SimHei"/>
                <w:sz w:val="18"/>
                <w:lang w:val="es-ES"/>
              </w:rPr>
            </w:pPr>
            <w:r>
              <w:rPr>
                <w:rFonts w:eastAsia="SimHei"/>
                <w:sz w:val="18"/>
                <w:lang w:val="es-ES"/>
              </w:rPr>
              <w:t>阿拉胡埃拉</w:t>
            </w:r>
          </w:p>
        </w:tc>
        <w:tc>
          <w:tcPr>
            <w:tcW w:w="438" w:type="pct"/>
          </w:tcPr>
          <w:p w:rsidR="00000000" w:rsidRDefault="00CA422F">
            <w:pPr>
              <w:spacing w:line="360" w:lineRule="exact"/>
              <w:jc w:val="center"/>
              <w:rPr>
                <w:sz w:val="18"/>
                <w:lang w:val="es-ES"/>
              </w:rPr>
            </w:pPr>
            <w:r>
              <w:rPr>
                <w:sz w:val="18"/>
                <w:lang w:val="es-ES"/>
              </w:rPr>
              <w:t>852</w:t>
            </w:r>
          </w:p>
        </w:tc>
        <w:tc>
          <w:tcPr>
            <w:tcW w:w="438" w:type="pct"/>
          </w:tcPr>
          <w:p w:rsidR="00000000" w:rsidRDefault="00CA422F">
            <w:pPr>
              <w:spacing w:line="360" w:lineRule="exact"/>
              <w:jc w:val="center"/>
              <w:rPr>
                <w:sz w:val="18"/>
                <w:lang w:val="es-ES"/>
              </w:rPr>
            </w:pPr>
            <w:r>
              <w:rPr>
                <w:sz w:val="18"/>
                <w:lang w:val="es-ES"/>
              </w:rPr>
              <w:t>16.66%</w:t>
            </w:r>
          </w:p>
        </w:tc>
        <w:tc>
          <w:tcPr>
            <w:tcW w:w="438" w:type="pct"/>
          </w:tcPr>
          <w:p w:rsidR="00000000" w:rsidRDefault="00CA422F">
            <w:pPr>
              <w:spacing w:line="360" w:lineRule="exact"/>
              <w:jc w:val="center"/>
              <w:rPr>
                <w:sz w:val="18"/>
                <w:lang w:val="es-ES"/>
              </w:rPr>
            </w:pPr>
            <w:r>
              <w:rPr>
                <w:sz w:val="18"/>
                <w:lang w:val="es-ES"/>
              </w:rPr>
              <w:t>2.742</w:t>
            </w:r>
          </w:p>
        </w:tc>
        <w:tc>
          <w:tcPr>
            <w:tcW w:w="438" w:type="pct"/>
          </w:tcPr>
          <w:p w:rsidR="00000000" w:rsidRDefault="00CA422F">
            <w:pPr>
              <w:spacing w:line="360" w:lineRule="exact"/>
              <w:jc w:val="center"/>
              <w:rPr>
                <w:sz w:val="18"/>
                <w:lang w:val="es-ES"/>
              </w:rPr>
            </w:pPr>
            <w:r>
              <w:rPr>
                <w:sz w:val="18"/>
                <w:lang w:val="es-ES"/>
              </w:rPr>
              <w:t>17.90%</w:t>
            </w:r>
          </w:p>
        </w:tc>
        <w:tc>
          <w:tcPr>
            <w:tcW w:w="439" w:type="pct"/>
          </w:tcPr>
          <w:p w:rsidR="00000000" w:rsidRDefault="00CA422F">
            <w:pPr>
              <w:spacing w:line="360" w:lineRule="exact"/>
              <w:jc w:val="center"/>
              <w:rPr>
                <w:sz w:val="18"/>
                <w:lang w:val="es-ES"/>
              </w:rPr>
            </w:pPr>
            <w:r>
              <w:rPr>
                <w:sz w:val="18"/>
                <w:lang w:val="es-ES"/>
              </w:rPr>
              <w:t>3.800</w:t>
            </w:r>
          </w:p>
        </w:tc>
        <w:tc>
          <w:tcPr>
            <w:tcW w:w="438" w:type="pct"/>
          </w:tcPr>
          <w:p w:rsidR="00000000" w:rsidRDefault="00CA422F">
            <w:pPr>
              <w:spacing w:line="360" w:lineRule="exact"/>
              <w:jc w:val="center"/>
              <w:rPr>
                <w:sz w:val="18"/>
                <w:lang w:val="es-ES"/>
              </w:rPr>
            </w:pPr>
            <w:r>
              <w:rPr>
                <w:sz w:val="18"/>
                <w:lang w:val="es-ES"/>
              </w:rPr>
              <w:t>18.10%</w:t>
            </w:r>
          </w:p>
        </w:tc>
        <w:tc>
          <w:tcPr>
            <w:tcW w:w="438" w:type="pct"/>
          </w:tcPr>
          <w:p w:rsidR="00000000" w:rsidRDefault="00CA422F">
            <w:pPr>
              <w:spacing w:line="360" w:lineRule="exact"/>
              <w:jc w:val="center"/>
              <w:rPr>
                <w:sz w:val="18"/>
                <w:lang w:val="es-ES"/>
              </w:rPr>
            </w:pPr>
            <w:r>
              <w:rPr>
                <w:sz w:val="18"/>
                <w:lang w:val="es-ES"/>
              </w:rPr>
              <w:t>4.784</w:t>
            </w:r>
          </w:p>
        </w:tc>
        <w:tc>
          <w:tcPr>
            <w:tcW w:w="438" w:type="pct"/>
          </w:tcPr>
          <w:p w:rsidR="00000000" w:rsidRDefault="00CA422F">
            <w:pPr>
              <w:spacing w:line="360" w:lineRule="exact"/>
              <w:jc w:val="center"/>
              <w:rPr>
                <w:sz w:val="18"/>
                <w:lang w:val="es-ES"/>
              </w:rPr>
            </w:pPr>
            <w:r>
              <w:rPr>
                <w:sz w:val="18"/>
                <w:lang w:val="es-ES"/>
              </w:rPr>
              <w:t>18.10%</w:t>
            </w:r>
          </w:p>
        </w:tc>
        <w:tc>
          <w:tcPr>
            <w:tcW w:w="438" w:type="pct"/>
          </w:tcPr>
          <w:p w:rsidR="00000000" w:rsidRDefault="00CA422F">
            <w:pPr>
              <w:spacing w:line="360" w:lineRule="exact"/>
              <w:jc w:val="center"/>
              <w:rPr>
                <w:b/>
                <w:bCs/>
                <w:sz w:val="18"/>
                <w:lang w:val="es-ES"/>
              </w:rPr>
            </w:pPr>
            <w:r>
              <w:rPr>
                <w:b/>
                <w:bCs/>
                <w:sz w:val="18"/>
                <w:lang w:val="es-ES"/>
              </w:rPr>
              <w:t>5.552</w:t>
            </w:r>
          </w:p>
        </w:tc>
        <w:tc>
          <w:tcPr>
            <w:tcW w:w="439" w:type="pct"/>
          </w:tcPr>
          <w:p w:rsidR="00000000" w:rsidRDefault="00CA422F">
            <w:pPr>
              <w:spacing w:line="360" w:lineRule="exact"/>
              <w:jc w:val="center"/>
              <w:rPr>
                <w:sz w:val="18"/>
                <w:lang w:val="es-ES"/>
              </w:rPr>
            </w:pPr>
            <w:r>
              <w:rPr>
                <w:sz w:val="18"/>
                <w:lang w:val="es-ES"/>
              </w:rPr>
              <w:t>17.00%</w:t>
            </w:r>
          </w:p>
        </w:tc>
      </w:tr>
      <w:tr w:rsidR="00000000">
        <w:tblPrEx>
          <w:tblCellMar>
            <w:top w:w="0" w:type="dxa"/>
            <w:bottom w:w="0" w:type="dxa"/>
          </w:tblCellMar>
        </w:tblPrEx>
        <w:trPr>
          <w:trHeight w:val="465"/>
        </w:trPr>
        <w:tc>
          <w:tcPr>
            <w:tcW w:w="618" w:type="pct"/>
          </w:tcPr>
          <w:p w:rsidR="00000000" w:rsidRDefault="00CA422F">
            <w:pPr>
              <w:spacing w:line="360" w:lineRule="exact"/>
              <w:rPr>
                <w:rFonts w:eastAsia="SimHei"/>
                <w:sz w:val="18"/>
                <w:lang w:val="es-ES"/>
              </w:rPr>
            </w:pPr>
            <w:r>
              <w:rPr>
                <w:rFonts w:eastAsia="SimHei"/>
                <w:sz w:val="18"/>
                <w:lang w:val="es-ES"/>
              </w:rPr>
              <w:t>卡塔戈</w:t>
            </w:r>
          </w:p>
        </w:tc>
        <w:tc>
          <w:tcPr>
            <w:tcW w:w="438" w:type="pct"/>
          </w:tcPr>
          <w:p w:rsidR="00000000" w:rsidRDefault="00CA422F">
            <w:pPr>
              <w:spacing w:line="360" w:lineRule="exact"/>
              <w:jc w:val="center"/>
              <w:rPr>
                <w:sz w:val="18"/>
                <w:lang w:val="es-ES"/>
              </w:rPr>
            </w:pPr>
            <w:r>
              <w:rPr>
                <w:sz w:val="18"/>
                <w:lang w:val="es-ES"/>
              </w:rPr>
              <w:t>674</w:t>
            </w:r>
          </w:p>
        </w:tc>
        <w:tc>
          <w:tcPr>
            <w:tcW w:w="438" w:type="pct"/>
          </w:tcPr>
          <w:p w:rsidR="00000000" w:rsidRDefault="00CA422F">
            <w:pPr>
              <w:spacing w:line="360" w:lineRule="exact"/>
              <w:jc w:val="center"/>
              <w:rPr>
                <w:sz w:val="18"/>
                <w:lang w:val="es-ES"/>
              </w:rPr>
            </w:pPr>
            <w:r>
              <w:rPr>
                <w:sz w:val="18"/>
                <w:lang w:val="es-ES"/>
              </w:rPr>
              <w:t>13.18%</w:t>
            </w:r>
          </w:p>
        </w:tc>
        <w:tc>
          <w:tcPr>
            <w:tcW w:w="438" w:type="pct"/>
          </w:tcPr>
          <w:p w:rsidR="00000000" w:rsidRDefault="00CA422F">
            <w:pPr>
              <w:spacing w:line="360" w:lineRule="exact"/>
              <w:jc w:val="center"/>
              <w:rPr>
                <w:sz w:val="18"/>
                <w:lang w:val="es-ES"/>
              </w:rPr>
            </w:pPr>
            <w:r>
              <w:rPr>
                <w:sz w:val="18"/>
                <w:lang w:val="es-ES"/>
              </w:rPr>
              <w:t>1.930</w:t>
            </w:r>
          </w:p>
        </w:tc>
        <w:tc>
          <w:tcPr>
            <w:tcW w:w="438" w:type="pct"/>
          </w:tcPr>
          <w:p w:rsidR="00000000" w:rsidRDefault="00CA422F">
            <w:pPr>
              <w:spacing w:line="360" w:lineRule="exact"/>
              <w:jc w:val="center"/>
              <w:rPr>
                <w:sz w:val="18"/>
                <w:lang w:val="es-ES"/>
              </w:rPr>
            </w:pPr>
            <w:r>
              <w:rPr>
                <w:sz w:val="18"/>
                <w:lang w:val="es-ES"/>
              </w:rPr>
              <w:t>12.61%</w:t>
            </w:r>
          </w:p>
        </w:tc>
        <w:tc>
          <w:tcPr>
            <w:tcW w:w="439" w:type="pct"/>
          </w:tcPr>
          <w:p w:rsidR="00000000" w:rsidRDefault="00CA422F">
            <w:pPr>
              <w:spacing w:line="360" w:lineRule="exact"/>
              <w:jc w:val="center"/>
              <w:rPr>
                <w:sz w:val="18"/>
                <w:lang w:val="es-ES"/>
              </w:rPr>
            </w:pPr>
            <w:r>
              <w:rPr>
                <w:sz w:val="18"/>
                <w:lang w:val="es-ES"/>
              </w:rPr>
              <w:t>2.470</w:t>
            </w:r>
          </w:p>
        </w:tc>
        <w:tc>
          <w:tcPr>
            <w:tcW w:w="438" w:type="pct"/>
          </w:tcPr>
          <w:p w:rsidR="00000000" w:rsidRDefault="00CA422F">
            <w:pPr>
              <w:spacing w:line="360" w:lineRule="exact"/>
              <w:jc w:val="center"/>
              <w:rPr>
                <w:sz w:val="18"/>
                <w:lang w:val="es-ES"/>
              </w:rPr>
            </w:pPr>
            <w:r>
              <w:rPr>
                <w:sz w:val="18"/>
                <w:lang w:val="es-ES"/>
              </w:rPr>
              <w:t>11.18%</w:t>
            </w:r>
          </w:p>
        </w:tc>
        <w:tc>
          <w:tcPr>
            <w:tcW w:w="438" w:type="pct"/>
          </w:tcPr>
          <w:p w:rsidR="00000000" w:rsidRDefault="00CA422F">
            <w:pPr>
              <w:spacing w:line="360" w:lineRule="exact"/>
              <w:jc w:val="center"/>
              <w:rPr>
                <w:sz w:val="18"/>
                <w:lang w:val="es-ES"/>
              </w:rPr>
            </w:pPr>
            <w:r>
              <w:rPr>
                <w:sz w:val="18"/>
                <w:lang w:val="es-ES"/>
              </w:rPr>
              <w:t>2.911</w:t>
            </w:r>
          </w:p>
        </w:tc>
        <w:tc>
          <w:tcPr>
            <w:tcW w:w="438" w:type="pct"/>
          </w:tcPr>
          <w:p w:rsidR="00000000" w:rsidRDefault="00CA422F">
            <w:pPr>
              <w:spacing w:line="360" w:lineRule="exact"/>
              <w:jc w:val="center"/>
              <w:rPr>
                <w:sz w:val="18"/>
                <w:lang w:val="es-ES"/>
              </w:rPr>
            </w:pPr>
            <w:r>
              <w:rPr>
                <w:sz w:val="18"/>
                <w:lang w:val="es-ES"/>
              </w:rPr>
              <w:t>11.00%</w:t>
            </w:r>
          </w:p>
        </w:tc>
        <w:tc>
          <w:tcPr>
            <w:tcW w:w="438" w:type="pct"/>
          </w:tcPr>
          <w:p w:rsidR="00000000" w:rsidRDefault="00CA422F">
            <w:pPr>
              <w:spacing w:line="360" w:lineRule="exact"/>
              <w:jc w:val="center"/>
              <w:rPr>
                <w:b/>
                <w:bCs/>
                <w:sz w:val="18"/>
                <w:lang w:val="es-ES"/>
              </w:rPr>
            </w:pPr>
            <w:r>
              <w:rPr>
                <w:b/>
                <w:bCs/>
                <w:sz w:val="18"/>
                <w:lang w:val="es-ES"/>
              </w:rPr>
              <w:t>3.309</w:t>
            </w:r>
          </w:p>
        </w:tc>
        <w:tc>
          <w:tcPr>
            <w:tcW w:w="439" w:type="pct"/>
          </w:tcPr>
          <w:p w:rsidR="00000000" w:rsidRDefault="00CA422F">
            <w:pPr>
              <w:spacing w:line="360" w:lineRule="exact"/>
              <w:jc w:val="center"/>
              <w:rPr>
                <w:sz w:val="18"/>
                <w:lang w:val="es-ES"/>
              </w:rPr>
            </w:pPr>
            <w:r>
              <w:rPr>
                <w:sz w:val="18"/>
                <w:lang w:val="es-ES"/>
              </w:rPr>
              <w:t>10.10%</w:t>
            </w:r>
          </w:p>
        </w:tc>
      </w:tr>
      <w:tr w:rsidR="00000000">
        <w:tblPrEx>
          <w:tblCellMar>
            <w:top w:w="0" w:type="dxa"/>
            <w:bottom w:w="0" w:type="dxa"/>
          </w:tblCellMar>
        </w:tblPrEx>
        <w:trPr>
          <w:trHeight w:val="465"/>
        </w:trPr>
        <w:tc>
          <w:tcPr>
            <w:tcW w:w="618" w:type="pct"/>
          </w:tcPr>
          <w:p w:rsidR="00000000" w:rsidRDefault="00CA422F">
            <w:pPr>
              <w:spacing w:line="360" w:lineRule="exact"/>
              <w:rPr>
                <w:rFonts w:eastAsia="SimHei"/>
                <w:sz w:val="18"/>
                <w:lang w:val="es-ES"/>
              </w:rPr>
            </w:pPr>
            <w:r>
              <w:rPr>
                <w:rFonts w:eastAsia="SimHei"/>
                <w:sz w:val="18"/>
                <w:lang w:val="es-ES"/>
              </w:rPr>
              <w:t>埃雷迪亚</w:t>
            </w:r>
          </w:p>
        </w:tc>
        <w:tc>
          <w:tcPr>
            <w:tcW w:w="438" w:type="pct"/>
          </w:tcPr>
          <w:p w:rsidR="00000000" w:rsidRDefault="00CA422F">
            <w:pPr>
              <w:spacing w:line="360" w:lineRule="exact"/>
              <w:jc w:val="center"/>
              <w:rPr>
                <w:sz w:val="18"/>
                <w:lang w:val="es-ES"/>
              </w:rPr>
            </w:pPr>
            <w:r>
              <w:rPr>
                <w:sz w:val="18"/>
                <w:lang w:val="es-ES"/>
              </w:rPr>
              <w:t>560</w:t>
            </w:r>
          </w:p>
        </w:tc>
        <w:tc>
          <w:tcPr>
            <w:tcW w:w="438" w:type="pct"/>
          </w:tcPr>
          <w:p w:rsidR="00000000" w:rsidRDefault="00CA422F">
            <w:pPr>
              <w:spacing w:line="360" w:lineRule="exact"/>
              <w:jc w:val="center"/>
              <w:rPr>
                <w:sz w:val="18"/>
                <w:lang w:val="es-ES"/>
              </w:rPr>
            </w:pPr>
            <w:r>
              <w:rPr>
                <w:sz w:val="18"/>
                <w:lang w:val="es-ES"/>
              </w:rPr>
              <w:t>10.95%</w:t>
            </w:r>
          </w:p>
        </w:tc>
        <w:tc>
          <w:tcPr>
            <w:tcW w:w="438" w:type="pct"/>
          </w:tcPr>
          <w:p w:rsidR="00000000" w:rsidRDefault="00CA422F">
            <w:pPr>
              <w:spacing w:line="360" w:lineRule="exact"/>
              <w:jc w:val="center"/>
              <w:rPr>
                <w:sz w:val="18"/>
                <w:lang w:val="es-ES"/>
              </w:rPr>
            </w:pPr>
            <w:r>
              <w:rPr>
                <w:sz w:val="18"/>
                <w:lang w:val="es-ES"/>
              </w:rPr>
              <w:t>1.480</w:t>
            </w:r>
          </w:p>
        </w:tc>
        <w:tc>
          <w:tcPr>
            <w:tcW w:w="438" w:type="pct"/>
          </w:tcPr>
          <w:p w:rsidR="00000000" w:rsidRDefault="00CA422F">
            <w:pPr>
              <w:spacing w:line="360" w:lineRule="exact"/>
              <w:jc w:val="center"/>
              <w:rPr>
                <w:sz w:val="18"/>
                <w:lang w:val="es-ES"/>
              </w:rPr>
            </w:pPr>
            <w:r>
              <w:rPr>
                <w:sz w:val="18"/>
                <w:lang w:val="es-ES"/>
              </w:rPr>
              <w:t>9.60%</w:t>
            </w:r>
          </w:p>
        </w:tc>
        <w:tc>
          <w:tcPr>
            <w:tcW w:w="439" w:type="pct"/>
          </w:tcPr>
          <w:p w:rsidR="00000000" w:rsidRDefault="00CA422F">
            <w:pPr>
              <w:spacing w:line="360" w:lineRule="exact"/>
              <w:jc w:val="center"/>
              <w:rPr>
                <w:sz w:val="18"/>
                <w:lang w:val="es-ES"/>
              </w:rPr>
            </w:pPr>
            <w:r>
              <w:rPr>
                <w:sz w:val="18"/>
                <w:lang w:val="es-ES"/>
              </w:rPr>
              <w:t>2.268</w:t>
            </w:r>
          </w:p>
        </w:tc>
        <w:tc>
          <w:tcPr>
            <w:tcW w:w="438" w:type="pct"/>
          </w:tcPr>
          <w:p w:rsidR="00000000" w:rsidRDefault="00CA422F">
            <w:pPr>
              <w:spacing w:line="360" w:lineRule="exact"/>
              <w:jc w:val="center"/>
              <w:rPr>
                <w:sz w:val="18"/>
                <w:lang w:val="es-ES"/>
              </w:rPr>
            </w:pPr>
            <w:r>
              <w:rPr>
                <w:sz w:val="18"/>
                <w:lang w:val="es-ES"/>
              </w:rPr>
              <w:t>10.80%</w:t>
            </w:r>
          </w:p>
        </w:tc>
        <w:tc>
          <w:tcPr>
            <w:tcW w:w="438" w:type="pct"/>
          </w:tcPr>
          <w:p w:rsidR="00000000" w:rsidRDefault="00CA422F">
            <w:pPr>
              <w:spacing w:line="360" w:lineRule="exact"/>
              <w:jc w:val="center"/>
              <w:rPr>
                <w:sz w:val="18"/>
                <w:lang w:val="es-ES"/>
              </w:rPr>
            </w:pPr>
            <w:r>
              <w:rPr>
                <w:sz w:val="18"/>
                <w:lang w:val="es-ES"/>
              </w:rPr>
              <w:t>2.769</w:t>
            </w:r>
          </w:p>
        </w:tc>
        <w:tc>
          <w:tcPr>
            <w:tcW w:w="438" w:type="pct"/>
          </w:tcPr>
          <w:p w:rsidR="00000000" w:rsidRDefault="00CA422F">
            <w:pPr>
              <w:spacing w:line="360" w:lineRule="exact"/>
              <w:jc w:val="center"/>
              <w:rPr>
                <w:sz w:val="18"/>
                <w:lang w:val="es-ES"/>
              </w:rPr>
            </w:pPr>
            <w:r>
              <w:rPr>
                <w:sz w:val="18"/>
                <w:lang w:val="es-ES"/>
              </w:rPr>
              <w:t>10.50%</w:t>
            </w:r>
          </w:p>
        </w:tc>
        <w:tc>
          <w:tcPr>
            <w:tcW w:w="438" w:type="pct"/>
          </w:tcPr>
          <w:p w:rsidR="00000000" w:rsidRDefault="00CA422F">
            <w:pPr>
              <w:spacing w:line="360" w:lineRule="exact"/>
              <w:jc w:val="center"/>
              <w:rPr>
                <w:b/>
                <w:bCs/>
                <w:sz w:val="18"/>
                <w:lang w:val="es-ES"/>
              </w:rPr>
            </w:pPr>
            <w:r>
              <w:rPr>
                <w:b/>
                <w:bCs/>
                <w:sz w:val="18"/>
                <w:lang w:val="es-ES"/>
              </w:rPr>
              <w:t>3.094</w:t>
            </w:r>
          </w:p>
        </w:tc>
        <w:tc>
          <w:tcPr>
            <w:tcW w:w="439" w:type="pct"/>
          </w:tcPr>
          <w:p w:rsidR="00000000" w:rsidRDefault="00CA422F">
            <w:pPr>
              <w:spacing w:line="360" w:lineRule="exact"/>
              <w:jc w:val="center"/>
              <w:rPr>
                <w:sz w:val="18"/>
                <w:lang w:val="es-ES"/>
              </w:rPr>
            </w:pPr>
            <w:r>
              <w:rPr>
                <w:sz w:val="18"/>
                <w:lang w:val="es-ES"/>
              </w:rPr>
              <w:t>9.50%</w:t>
            </w:r>
          </w:p>
        </w:tc>
      </w:tr>
      <w:tr w:rsidR="00000000">
        <w:tblPrEx>
          <w:tblCellMar>
            <w:top w:w="0" w:type="dxa"/>
            <w:bottom w:w="0" w:type="dxa"/>
          </w:tblCellMar>
        </w:tblPrEx>
        <w:trPr>
          <w:trHeight w:val="465"/>
        </w:trPr>
        <w:tc>
          <w:tcPr>
            <w:tcW w:w="618" w:type="pct"/>
          </w:tcPr>
          <w:p w:rsidR="00000000" w:rsidRDefault="00CA422F">
            <w:pPr>
              <w:spacing w:line="360" w:lineRule="exact"/>
              <w:rPr>
                <w:rFonts w:eastAsia="SimHei"/>
                <w:sz w:val="18"/>
                <w:lang w:val="es-ES"/>
              </w:rPr>
            </w:pPr>
            <w:r>
              <w:rPr>
                <w:rFonts w:eastAsia="SimHei"/>
                <w:sz w:val="18"/>
                <w:lang w:val="es-ES"/>
              </w:rPr>
              <w:t>瓜纳卡斯特</w:t>
            </w:r>
          </w:p>
        </w:tc>
        <w:tc>
          <w:tcPr>
            <w:tcW w:w="438" w:type="pct"/>
          </w:tcPr>
          <w:p w:rsidR="00000000" w:rsidRDefault="00CA422F">
            <w:pPr>
              <w:spacing w:line="360" w:lineRule="exact"/>
              <w:jc w:val="center"/>
              <w:rPr>
                <w:sz w:val="18"/>
                <w:lang w:val="es-ES"/>
              </w:rPr>
            </w:pPr>
            <w:r>
              <w:rPr>
                <w:sz w:val="18"/>
                <w:lang w:val="es-ES"/>
              </w:rPr>
              <w:t>483</w:t>
            </w:r>
          </w:p>
        </w:tc>
        <w:tc>
          <w:tcPr>
            <w:tcW w:w="438" w:type="pct"/>
          </w:tcPr>
          <w:p w:rsidR="00000000" w:rsidRDefault="00CA422F">
            <w:pPr>
              <w:spacing w:line="360" w:lineRule="exact"/>
              <w:jc w:val="center"/>
              <w:rPr>
                <w:sz w:val="18"/>
                <w:lang w:val="es-ES"/>
              </w:rPr>
            </w:pPr>
            <w:r>
              <w:rPr>
                <w:sz w:val="18"/>
                <w:lang w:val="es-ES"/>
              </w:rPr>
              <w:t>9.45%</w:t>
            </w:r>
          </w:p>
        </w:tc>
        <w:tc>
          <w:tcPr>
            <w:tcW w:w="438" w:type="pct"/>
          </w:tcPr>
          <w:p w:rsidR="00000000" w:rsidRDefault="00CA422F">
            <w:pPr>
              <w:spacing w:line="360" w:lineRule="exact"/>
              <w:jc w:val="center"/>
              <w:rPr>
                <w:sz w:val="18"/>
                <w:lang w:val="es-ES"/>
              </w:rPr>
            </w:pPr>
            <w:r>
              <w:rPr>
                <w:sz w:val="18"/>
                <w:lang w:val="es-ES"/>
              </w:rPr>
              <w:t>988</w:t>
            </w:r>
          </w:p>
        </w:tc>
        <w:tc>
          <w:tcPr>
            <w:tcW w:w="438" w:type="pct"/>
          </w:tcPr>
          <w:p w:rsidR="00000000" w:rsidRDefault="00CA422F">
            <w:pPr>
              <w:spacing w:line="360" w:lineRule="exact"/>
              <w:jc w:val="center"/>
              <w:rPr>
                <w:sz w:val="18"/>
                <w:lang w:val="es-ES"/>
              </w:rPr>
            </w:pPr>
            <w:r>
              <w:rPr>
                <w:sz w:val="18"/>
                <w:lang w:val="es-ES"/>
              </w:rPr>
              <w:t>6.40%</w:t>
            </w:r>
          </w:p>
        </w:tc>
        <w:tc>
          <w:tcPr>
            <w:tcW w:w="439" w:type="pct"/>
          </w:tcPr>
          <w:p w:rsidR="00000000" w:rsidRDefault="00CA422F">
            <w:pPr>
              <w:spacing w:line="360" w:lineRule="exact"/>
              <w:jc w:val="center"/>
              <w:rPr>
                <w:sz w:val="18"/>
                <w:lang w:val="es-ES"/>
              </w:rPr>
            </w:pPr>
            <w:r>
              <w:rPr>
                <w:sz w:val="18"/>
                <w:lang w:val="es-ES"/>
              </w:rPr>
              <w:t>1.404</w:t>
            </w:r>
          </w:p>
        </w:tc>
        <w:tc>
          <w:tcPr>
            <w:tcW w:w="438" w:type="pct"/>
          </w:tcPr>
          <w:p w:rsidR="00000000" w:rsidRDefault="00CA422F">
            <w:pPr>
              <w:spacing w:line="360" w:lineRule="exact"/>
              <w:jc w:val="center"/>
              <w:rPr>
                <w:sz w:val="18"/>
                <w:lang w:val="es-ES"/>
              </w:rPr>
            </w:pPr>
            <w:r>
              <w:rPr>
                <w:sz w:val="18"/>
                <w:lang w:val="es-ES"/>
              </w:rPr>
              <w:t>6.70%</w:t>
            </w:r>
          </w:p>
        </w:tc>
        <w:tc>
          <w:tcPr>
            <w:tcW w:w="438" w:type="pct"/>
          </w:tcPr>
          <w:p w:rsidR="00000000" w:rsidRDefault="00CA422F">
            <w:pPr>
              <w:spacing w:line="360" w:lineRule="exact"/>
              <w:jc w:val="center"/>
              <w:rPr>
                <w:sz w:val="18"/>
                <w:lang w:val="es-ES"/>
              </w:rPr>
            </w:pPr>
            <w:r>
              <w:rPr>
                <w:sz w:val="18"/>
                <w:lang w:val="es-ES"/>
              </w:rPr>
              <w:t>1.666</w:t>
            </w:r>
          </w:p>
        </w:tc>
        <w:tc>
          <w:tcPr>
            <w:tcW w:w="438" w:type="pct"/>
          </w:tcPr>
          <w:p w:rsidR="00000000" w:rsidRDefault="00CA422F">
            <w:pPr>
              <w:spacing w:line="360" w:lineRule="exact"/>
              <w:jc w:val="center"/>
              <w:rPr>
                <w:sz w:val="18"/>
                <w:lang w:val="es-ES"/>
              </w:rPr>
            </w:pPr>
            <w:r>
              <w:rPr>
                <w:sz w:val="18"/>
                <w:lang w:val="es-ES"/>
              </w:rPr>
              <w:t>6.30%</w:t>
            </w:r>
          </w:p>
        </w:tc>
        <w:tc>
          <w:tcPr>
            <w:tcW w:w="438" w:type="pct"/>
          </w:tcPr>
          <w:p w:rsidR="00000000" w:rsidRDefault="00CA422F">
            <w:pPr>
              <w:spacing w:line="360" w:lineRule="exact"/>
              <w:jc w:val="center"/>
              <w:rPr>
                <w:b/>
                <w:bCs/>
                <w:sz w:val="18"/>
                <w:lang w:val="es-ES"/>
              </w:rPr>
            </w:pPr>
            <w:r>
              <w:rPr>
                <w:b/>
                <w:bCs/>
                <w:sz w:val="18"/>
                <w:lang w:val="es-ES"/>
              </w:rPr>
              <w:t>2.113</w:t>
            </w:r>
          </w:p>
        </w:tc>
        <w:tc>
          <w:tcPr>
            <w:tcW w:w="439" w:type="pct"/>
          </w:tcPr>
          <w:p w:rsidR="00000000" w:rsidRDefault="00CA422F">
            <w:pPr>
              <w:spacing w:line="360" w:lineRule="exact"/>
              <w:jc w:val="center"/>
              <w:rPr>
                <w:sz w:val="18"/>
                <w:lang w:val="es-ES"/>
              </w:rPr>
            </w:pPr>
            <w:r>
              <w:rPr>
                <w:sz w:val="18"/>
                <w:lang w:val="es-ES"/>
              </w:rPr>
              <w:t>6.50%</w:t>
            </w:r>
          </w:p>
        </w:tc>
      </w:tr>
      <w:tr w:rsidR="00000000">
        <w:tblPrEx>
          <w:tblCellMar>
            <w:top w:w="0" w:type="dxa"/>
            <w:bottom w:w="0" w:type="dxa"/>
          </w:tblCellMar>
        </w:tblPrEx>
        <w:trPr>
          <w:trHeight w:val="465"/>
        </w:trPr>
        <w:tc>
          <w:tcPr>
            <w:tcW w:w="618" w:type="pct"/>
          </w:tcPr>
          <w:p w:rsidR="00000000" w:rsidRDefault="00CA422F">
            <w:pPr>
              <w:spacing w:line="360" w:lineRule="exact"/>
              <w:rPr>
                <w:rFonts w:eastAsia="SimHei"/>
                <w:sz w:val="18"/>
                <w:lang w:val="es-ES"/>
              </w:rPr>
            </w:pPr>
            <w:r>
              <w:rPr>
                <w:rFonts w:eastAsia="SimHei"/>
                <w:sz w:val="18"/>
                <w:lang w:val="es-ES"/>
              </w:rPr>
              <w:t>彭塔雷纳斯</w:t>
            </w:r>
          </w:p>
        </w:tc>
        <w:tc>
          <w:tcPr>
            <w:tcW w:w="438" w:type="pct"/>
          </w:tcPr>
          <w:p w:rsidR="00000000" w:rsidRDefault="00CA422F">
            <w:pPr>
              <w:spacing w:line="360" w:lineRule="exact"/>
              <w:jc w:val="center"/>
              <w:rPr>
                <w:sz w:val="18"/>
                <w:lang w:val="es-ES"/>
              </w:rPr>
            </w:pPr>
            <w:r>
              <w:rPr>
                <w:sz w:val="18"/>
                <w:lang w:val="es-ES"/>
              </w:rPr>
              <w:t>550</w:t>
            </w:r>
          </w:p>
        </w:tc>
        <w:tc>
          <w:tcPr>
            <w:tcW w:w="438" w:type="pct"/>
          </w:tcPr>
          <w:p w:rsidR="00000000" w:rsidRDefault="00CA422F">
            <w:pPr>
              <w:spacing w:line="360" w:lineRule="exact"/>
              <w:jc w:val="center"/>
              <w:rPr>
                <w:sz w:val="18"/>
                <w:lang w:val="es-ES"/>
              </w:rPr>
            </w:pPr>
            <w:r>
              <w:rPr>
                <w:sz w:val="18"/>
                <w:lang w:val="es-ES"/>
              </w:rPr>
              <w:t>10.76%</w:t>
            </w:r>
          </w:p>
        </w:tc>
        <w:tc>
          <w:tcPr>
            <w:tcW w:w="438" w:type="pct"/>
          </w:tcPr>
          <w:p w:rsidR="00000000" w:rsidRDefault="00CA422F">
            <w:pPr>
              <w:spacing w:line="360" w:lineRule="exact"/>
              <w:jc w:val="center"/>
              <w:rPr>
                <w:sz w:val="18"/>
                <w:lang w:val="es-ES"/>
              </w:rPr>
            </w:pPr>
            <w:r>
              <w:rPr>
                <w:sz w:val="18"/>
                <w:lang w:val="es-ES"/>
              </w:rPr>
              <w:t>1.485</w:t>
            </w:r>
          </w:p>
        </w:tc>
        <w:tc>
          <w:tcPr>
            <w:tcW w:w="438" w:type="pct"/>
          </w:tcPr>
          <w:p w:rsidR="00000000" w:rsidRDefault="00CA422F">
            <w:pPr>
              <w:spacing w:line="360" w:lineRule="exact"/>
              <w:jc w:val="center"/>
              <w:rPr>
                <w:sz w:val="18"/>
                <w:lang w:val="es-ES"/>
              </w:rPr>
            </w:pPr>
            <w:r>
              <w:rPr>
                <w:sz w:val="18"/>
                <w:lang w:val="es-ES"/>
              </w:rPr>
              <w:t>9.70%</w:t>
            </w:r>
          </w:p>
        </w:tc>
        <w:tc>
          <w:tcPr>
            <w:tcW w:w="439" w:type="pct"/>
          </w:tcPr>
          <w:p w:rsidR="00000000" w:rsidRDefault="00CA422F">
            <w:pPr>
              <w:spacing w:line="360" w:lineRule="exact"/>
              <w:jc w:val="center"/>
              <w:rPr>
                <w:sz w:val="18"/>
                <w:lang w:val="es-ES"/>
              </w:rPr>
            </w:pPr>
            <w:r>
              <w:rPr>
                <w:sz w:val="18"/>
                <w:lang w:val="es-ES"/>
              </w:rPr>
              <w:t>1.980</w:t>
            </w:r>
          </w:p>
        </w:tc>
        <w:tc>
          <w:tcPr>
            <w:tcW w:w="438" w:type="pct"/>
          </w:tcPr>
          <w:p w:rsidR="00000000" w:rsidRDefault="00CA422F">
            <w:pPr>
              <w:spacing w:line="360" w:lineRule="exact"/>
              <w:jc w:val="center"/>
              <w:rPr>
                <w:sz w:val="18"/>
                <w:lang w:val="es-ES"/>
              </w:rPr>
            </w:pPr>
            <w:r>
              <w:rPr>
                <w:sz w:val="18"/>
                <w:lang w:val="es-ES"/>
              </w:rPr>
              <w:t>9.40%</w:t>
            </w:r>
          </w:p>
        </w:tc>
        <w:tc>
          <w:tcPr>
            <w:tcW w:w="438" w:type="pct"/>
          </w:tcPr>
          <w:p w:rsidR="00000000" w:rsidRDefault="00CA422F">
            <w:pPr>
              <w:spacing w:line="360" w:lineRule="exact"/>
              <w:jc w:val="center"/>
              <w:rPr>
                <w:sz w:val="18"/>
                <w:lang w:val="es-ES"/>
              </w:rPr>
            </w:pPr>
            <w:r>
              <w:rPr>
                <w:sz w:val="18"/>
                <w:lang w:val="es-ES"/>
              </w:rPr>
              <w:t>2.579</w:t>
            </w:r>
          </w:p>
        </w:tc>
        <w:tc>
          <w:tcPr>
            <w:tcW w:w="438" w:type="pct"/>
          </w:tcPr>
          <w:p w:rsidR="00000000" w:rsidRDefault="00CA422F">
            <w:pPr>
              <w:spacing w:line="360" w:lineRule="exact"/>
              <w:jc w:val="center"/>
              <w:rPr>
                <w:sz w:val="18"/>
                <w:lang w:val="es-ES"/>
              </w:rPr>
            </w:pPr>
            <w:r>
              <w:rPr>
                <w:sz w:val="18"/>
                <w:lang w:val="es-ES"/>
              </w:rPr>
              <w:t>9.80%</w:t>
            </w:r>
          </w:p>
        </w:tc>
        <w:tc>
          <w:tcPr>
            <w:tcW w:w="438" w:type="pct"/>
          </w:tcPr>
          <w:p w:rsidR="00000000" w:rsidRDefault="00CA422F">
            <w:pPr>
              <w:spacing w:line="360" w:lineRule="exact"/>
              <w:jc w:val="center"/>
              <w:rPr>
                <w:b/>
                <w:bCs/>
                <w:sz w:val="18"/>
                <w:lang w:val="es-ES"/>
              </w:rPr>
            </w:pPr>
            <w:r>
              <w:rPr>
                <w:b/>
                <w:bCs/>
                <w:sz w:val="18"/>
                <w:lang w:val="es-ES"/>
              </w:rPr>
              <w:t>3.248</w:t>
            </w:r>
          </w:p>
        </w:tc>
        <w:tc>
          <w:tcPr>
            <w:tcW w:w="439" w:type="pct"/>
          </w:tcPr>
          <w:p w:rsidR="00000000" w:rsidRDefault="00CA422F">
            <w:pPr>
              <w:spacing w:line="360" w:lineRule="exact"/>
              <w:jc w:val="center"/>
              <w:rPr>
                <w:sz w:val="18"/>
                <w:lang w:val="es-ES"/>
              </w:rPr>
            </w:pPr>
            <w:r>
              <w:rPr>
                <w:sz w:val="18"/>
                <w:lang w:val="es-ES"/>
              </w:rPr>
              <w:t>10.00%</w:t>
            </w:r>
          </w:p>
        </w:tc>
      </w:tr>
      <w:tr w:rsidR="00000000">
        <w:tblPrEx>
          <w:tblCellMar>
            <w:top w:w="0" w:type="dxa"/>
            <w:bottom w:w="0" w:type="dxa"/>
          </w:tblCellMar>
        </w:tblPrEx>
        <w:trPr>
          <w:trHeight w:val="465"/>
        </w:trPr>
        <w:tc>
          <w:tcPr>
            <w:tcW w:w="618" w:type="pct"/>
          </w:tcPr>
          <w:p w:rsidR="00000000" w:rsidRDefault="00CA422F">
            <w:pPr>
              <w:spacing w:line="360" w:lineRule="exact"/>
              <w:rPr>
                <w:rFonts w:eastAsia="SimHei"/>
                <w:sz w:val="18"/>
                <w:lang w:val="es-ES"/>
              </w:rPr>
            </w:pPr>
            <w:r>
              <w:rPr>
                <w:rFonts w:eastAsia="SimHei"/>
                <w:sz w:val="18"/>
                <w:lang w:val="es-ES"/>
              </w:rPr>
              <w:t>利蒙</w:t>
            </w:r>
          </w:p>
        </w:tc>
        <w:tc>
          <w:tcPr>
            <w:tcW w:w="438" w:type="pct"/>
          </w:tcPr>
          <w:p w:rsidR="00000000" w:rsidRDefault="00CA422F">
            <w:pPr>
              <w:spacing w:line="360" w:lineRule="exact"/>
              <w:jc w:val="center"/>
              <w:rPr>
                <w:sz w:val="18"/>
                <w:lang w:val="es-ES"/>
              </w:rPr>
            </w:pPr>
            <w:r>
              <w:rPr>
                <w:sz w:val="18"/>
                <w:lang w:val="es-ES"/>
              </w:rPr>
              <w:t>500</w:t>
            </w:r>
          </w:p>
        </w:tc>
        <w:tc>
          <w:tcPr>
            <w:tcW w:w="438" w:type="pct"/>
          </w:tcPr>
          <w:p w:rsidR="00000000" w:rsidRDefault="00CA422F">
            <w:pPr>
              <w:spacing w:line="360" w:lineRule="exact"/>
              <w:jc w:val="center"/>
              <w:rPr>
                <w:sz w:val="18"/>
                <w:lang w:val="es-ES"/>
              </w:rPr>
            </w:pPr>
            <w:r>
              <w:rPr>
                <w:sz w:val="18"/>
                <w:lang w:val="es-ES"/>
              </w:rPr>
              <w:t>9.78%</w:t>
            </w:r>
          </w:p>
        </w:tc>
        <w:tc>
          <w:tcPr>
            <w:tcW w:w="438" w:type="pct"/>
          </w:tcPr>
          <w:p w:rsidR="00000000" w:rsidRDefault="00CA422F">
            <w:pPr>
              <w:spacing w:line="360" w:lineRule="exact"/>
              <w:jc w:val="center"/>
              <w:rPr>
                <w:sz w:val="18"/>
                <w:lang w:val="es-ES"/>
              </w:rPr>
            </w:pPr>
            <w:r>
              <w:rPr>
                <w:sz w:val="18"/>
                <w:lang w:val="es-ES"/>
              </w:rPr>
              <w:t>1.407</w:t>
            </w:r>
          </w:p>
        </w:tc>
        <w:tc>
          <w:tcPr>
            <w:tcW w:w="438" w:type="pct"/>
          </w:tcPr>
          <w:p w:rsidR="00000000" w:rsidRDefault="00CA422F">
            <w:pPr>
              <w:spacing w:line="360" w:lineRule="exact"/>
              <w:jc w:val="center"/>
              <w:rPr>
                <w:sz w:val="18"/>
                <w:lang w:val="es-ES"/>
              </w:rPr>
            </w:pPr>
            <w:r>
              <w:rPr>
                <w:sz w:val="18"/>
                <w:lang w:val="es-ES"/>
              </w:rPr>
              <w:t>9.02%</w:t>
            </w:r>
          </w:p>
        </w:tc>
        <w:tc>
          <w:tcPr>
            <w:tcW w:w="439" w:type="pct"/>
          </w:tcPr>
          <w:p w:rsidR="00000000" w:rsidRDefault="00CA422F">
            <w:pPr>
              <w:spacing w:line="360" w:lineRule="exact"/>
              <w:jc w:val="center"/>
              <w:rPr>
                <w:sz w:val="18"/>
                <w:lang w:val="es-ES"/>
              </w:rPr>
            </w:pPr>
            <w:r>
              <w:rPr>
                <w:sz w:val="18"/>
                <w:lang w:val="es-ES"/>
              </w:rPr>
              <w:t>2.201</w:t>
            </w:r>
          </w:p>
        </w:tc>
        <w:tc>
          <w:tcPr>
            <w:tcW w:w="438" w:type="pct"/>
          </w:tcPr>
          <w:p w:rsidR="00000000" w:rsidRDefault="00CA422F">
            <w:pPr>
              <w:spacing w:line="360" w:lineRule="exact"/>
              <w:jc w:val="center"/>
              <w:rPr>
                <w:sz w:val="18"/>
                <w:lang w:val="es-ES"/>
              </w:rPr>
            </w:pPr>
            <w:r>
              <w:rPr>
                <w:sz w:val="18"/>
                <w:lang w:val="es-ES"/>
              </w:rPr>
              <w:t>10.50%</w:t>
            </w:r>
          </w:p>
        </w:tc>
        <w:tc>
          <w:tcPr>
            <w:tcW w:w="438" w:type="pct"/>
          </w:tcPr>
          <w:p w:rsidR="00000000" w:rsidRDefault="00CA422F">
            <w:pPr>
              <w:spacing w:line="360" w:lineRule="exact"/>
              <w:jc w:val="center"/>
              <w:rPr>
                <w:sz w:val="18"/>
                <w:lang w:val="es-ES"/>
              </w:rPr>
            </w:pPr>
            <w:r>
              <w:rPr>
                <w:sz w:val="18"/>
                <w:lang w:val="es-ES"/>
              </w:rPr>
              <w:t>2.675</w:t>
            </w:r>
          </w:p>
        </w:tc>
        <w:tc>
          <w:tcPr>
            <w:tcW w:w="438" w:type="pct"/>
          </w:tcPr>
          <w:p w:rsidR="00000000" w:rsidRDefault="00CA422F">
            <w:pPr>
              <w:spacing w:line="360" w:lineRule="exact"/>
              <w:jc w:val="center"/>
              <w:rPr>
                <w:sz w:val="18"/>
                <w:lang w:val="es-ES"/>
              </w:rPr>
            </w:pPr>
            <w:r>
              <w:rPr>
                <w:sz w:val="18"/>
                <w:lang w:val="es-ES"/>
              </w:rPr>
              <w:t>10.10%</w:t>
            </w:r>
          </w:p>
        </w:tc>
        <w:tc>
          <w:tcPr>
            <w:tcW w:w="438" w:type="pct"/>
          </w:tcPr>
          <w:p w:rsidR="00000000" w:rsidRDefault="00CA422F">
            <w:pPr>
              <w:spacing w:line="360" w:lineRule="exact"/>
              <w:jc w:val="center"/>
              <w:rPr>
                <w:b/>
                <w:bCs/>
                <w:sz w:val="18"/>
                <w:lang w:val="es-ES"/>
              </w:rPr>
            </w:pPr>
            <w:r>
              <w:rPr>
                <w:b/>
                <w:bCs/>
                <w:sz w:val="18"/>
                <w:lang w:val="es-ES"/>
              </w:rPr>
              <w:t>3.133</w:t>
            </w:r>
          </w:p>
        </w:tc>
        <w:tc>
          <w:tcPr>
            <w:tcW w:w="439" w:type="pct"/>
          </w:tcPr>
          <w:p w:rsidR="00000000" w:rsidRDefault="00CA422F">
            <w:pPr>
              <w:spacing w:line="360" w:lineRule="exact"/>
              <w:jc w:val="center"/>
              <w:rPr>
                <w:sz w:val="18"/>
                <w:lang w:val="es-ES"/>
              </w:rPr>
            </w:pPr>
            <w:r>
              <w:rPr>
                <w:sz w:val="18"/>
                <w:lang w:val="es-ES"/>
              </w:rPr>
              <w:t>9</w:t>
            </w:r>
            <w:r>
              <w:rPr>
                <w:sz w:val="18"/>
                <w:lang w:val="es-ES"/>
              </w:rPr>
              <w:t>.60%</w:t>
            </w:r>
          </w:p>
        </w:tc>
      </w:tr>
    </w:tbl>
    <w:p w:rsidR="00000000" w:rsidRDefault="00CA422F">
      <w:pPr>
        <w:spacing w:after="240" w:line="360" w:lineRule="exact"/>
        <w:rPr>
          <w:rFonts w:hint="eastAsia"/>
          <w:sz w:val="18"/>
        </w:rPr>
      </w:pPr>
      <w:r>
        <w:rPr>
          <w:rFonts w:hint="eastAsia"/>
          <w:sz w:val="18"/>
          <w:lang w:val="es-ES"/>
        </w:rPr>
        <w:t>资料来源：</w:t>
      </w:r>
      <w:r>
        <w:rPr>
          <w:rFonts w:hint="eastAsia"/>
          <w:sz w:val="18"/>
        </w:rPr>
        <w:t>1990</w:t>
      </w:r>
      <w:r>
        <w:rPr>
          <w:rFonts w:hint="eastAsia"/>
          <w:sz w:val="18"/>
        </w:rPr>
        <w:t>－</w:t>
      </w:r>
      <w:r>
        <w:rPr>
          <w:rFonts w:hint="eastAsia"/>
          <w:sz w:val="18"/>
        </w:rPr>
        <w:t>1999</w:t>
      </w:r>
      <w:r>
        <w:rPr>
          <w:rFonts w:hint="eastAsia"/>
          <w:sz w:val="18"/>
        </w:rPr>
        <w:t>年司法机关统计年报及司法权力机构规划部门。</w:t>
      </w:r>
    </w:p>
    <w:p w:rsidR="00000000" w:rsidRDefault="00CA422F">
      <w:pPr>
        <w:spacing w:after="240" w:line="360" w:lineRule="exact"/>
        <w:rPr>
          <w:rFonts w:hint="eastAsia"/>
          <w:lang w:val="es-ES"/>
        </w:rPr>
      </w:pPr>
      <w:r>
        <w:rPr>
          <w:rFonts w:hint="eastAsia"/>
        </w:rPr>
        <w:t>509</w:t>
      </w:r>
      <w:r>
        <w:rPr>
          <w:rFonts w:hint="eastAsia"/>
        </w:rPr>
        <w:t>．</w:t>
      </w:r>
      <w:r>
        <w:rPr>
          <w:lang w:val="es-ES"/>
        </w:rPr>
        <w:t>圣何塞</w:t>
      </w:r>
      <w:r>
        <w:rPr>
          <w:rFonts w:hint="eastAsia"/>
          <w:lang w:val="es-ES"/>
        </w:rPr>
        <w:t>是保护申请最多的省份，保护措施也在不断地增加，而卡塔戈省和瓜纳卡斯特两个省份的情况正好完全相反。然而，各个省份的相对比例同各自的人口比例却相差无几。这一情况主要反映了全国范围内人们享有平等的资源获得权利。这也表明了一些关注妇女状况的非政府组织和各类政府机构所作的努力，他们不仅让女性了解到有关法律的存在，而且还鼓励她们运用法律武器来保护自己。</w:t>
      </w:r>
    </w:p>
    <w:p w:rsidR="00000000" w:rsidRDefault="00CA422F">
      <w:pPr>
        <w:spacing w:after="240" w:line="360" w:lineRule="exact"/>
        <w:rPr>
          <w:rFonts w:hint="eastAsia"/>
          <w:lang w:val="es-ES"/>
        </w:rPr>
      </w:pPr>
      <w:r>
        <w:rPr>
          <w:rFonts w:hint="eastAsia"/>
          <w:lang w:val="es-ES"/>
        </w:rPr>
        <w:t>510</w:t>
      </w:r>
      <w:r>
        <w:rPr>
          <w:rFonts w:hint="eastAsia"/>
          <w:lang w:val="es-ES"/>
        </w:rPr>
        <w:t>．该法律是否有效，主要取决于法官在受理申请时采取的临时措施，以及</w:t>
      </w:r>
      <w:r>
        <w:rPr>
          <w:rFonts w:hint="eastAsia"/>
          <w:lang w:val="es-ES"/>
        </w:rPr>
        <w:t>这些措施是否能一直保持到出庭审理之后，因为法官需要在法庭上进行受理，并对提供的证据进行判断。而这正是公认的最棘手的方面，因为在</w:t>
      </w:r>
      <w:r>
        <w:rPr>
          <w:rFonts w:hint="eastAsia"/>
          <w:lang w:val="es-ES"/>
        </w:rPr>
        <w:t>1997</w:t>
      </w:r>
      <w:r>
        <w:rPr>
          <w:rFonts w:hint="eastAsia"/>
          <w:lang w:val="es-ES"/>
        </w:rPr>
        <w:t>年只有</w:t>
      </w:r>
      <w:r>
        <w:rPr>
          <w:rFonts w:hint="eastAsia"/>
          <w:lang w:val="es-ES"/>
        </w:rPr>
        <w:t>19</w:t>
      </w:r>
      <w:r>
        <w:t>.</w:t>
      </w:r>
      <w:r>
        <w:rPr>
          <w:rFonts w:hint="eastAsia"/>
          <w:lang w:val="es-ES"/>
        </w:rPr>
        <w:t>50%</w:t>
      </w:r>
      <w:r>
        <w:rPr>
          <w:rFonts w:hint="eastAsia"/>
          <w:lang w:val="es-ES"/>
        </w:rPr>
        <w:t>的临时措施保持了下来。当然，目前这一状况已经有所好转，虽然</w:t>
      </w:r>
      <w:r>
        <w:rPr>
          <w:rFonts w:hint="eastAsia"/>
          <w:lang w:val="es-ES"/>
        </w:rPr>
        <w:t>2000</w:t>
      </w:r>
      <w:r>
        <w:rPr>
          <w:rFonts w:hint="eastAsia"/>
          <w:lang w:val="es-ES"/>
        </w:rPr>
        <w:t>年这方面的数据只达到了</w:t>
      </w:r>
      <w:r>
        <w:rPr>
          <w:rFonts w:hint="eastAsia"/>
          <w:lang w:val="es-ES"/>
        </w:rPr>
        <w:t>29</w:t>
      </w:r>
      <w:r>
        <w:rPr>
          <w:lang w:val="es-ES"/>
        </w:rPr>
        <w:t>.</w:t>
      </w:r>
      <w:r>
        <w:rPr>
          <w:rFonts w:hint="eastAsia"/>
          <w:lang w:val="es-ES"/>
        </w:rPr>
        <w:t>11%</w:t>
      </w:r>
      <w:r>
        <w:rPr>
          <w:rFonts w:hint="eastAsia"/>
          <w:lang w:val="es-ES"/>
        </w:rPr>
        <w:t>。最近几年，在几乎一半的受理案件中，法官取消了最先采取的保护措施，而最主要的原因在于作为受害者的女性没有出庭（</w:t>
      </w:r>
      <w:r>
        <w:rPr>
          <w:rFonts w:hint="eastAsia"/>
          <w:lang w:val="es-ES"/>
        </w:rPr>
        <w:t>1999</w:t>
      </w:r>
      <w:r>
        <w:rPr>
          <w:rFonts w:hint="eastAsia"/>
          <w:lang w:val="es-ES"/>
        </w:rPr>
        <w:t>年和</w:t>
      </w:r>
      <w:r>
        <w:rPr>
          <w:rFonts w:hint="eastAsia"/>
          <w:lang w:val="es-ES"/>
        </w:rPr>
        <w:t>2000</w:t>
      </w:r>
      <w:r>
        <w:rPr>
          <w:rFonts w:hint="eastAsia"/>
          <w:lang w:val="es-ES"/>
        </w:rPr>
        <w:t>年分别占取消保护措施的案件总数的</w:t>
      </w:r>
      <w:r>
        <w:rPr>
          <w:rFonts w:hint="eastAsia"/>
          <w:lang w:val="es-ES"/>
        </w:rPr>
        <w:t>68</w:t>
      </w:r>
      <w:r>
        <w:t>.</w:t>
      </w:r>
      <w:r>
        <w:rPr>
          <w:rFonts w:hint="eastAsia"/>
          <w:lang w:val="es-ES"/>
        </w:rPr>
        <w:t>6%</w:t>
      </w:r>
      <w:r>
        <w:rPr>
          <w:rFonts w:hint="eastAsia"/>
          <w:lang w:val="es-ES"/>
        </w:rPr>
        <w:t>和</w:t>
      </w:r>
      <w:r>
        <w:rPr>
          <w:rFonts w:hint="eastAsia"/>
          <w:lang w:val="es-ES"/>
        </w:rPr>
        <w:t>70</w:t>
      </w:r>
      <w:r>
        <w:rPr>
          <w:lang w:val="es-ES"/>
        </w:rPr>
        <w:t>.</w:t>
      </w:r>
      <w:r>
        <w:rPr>
          <w:rFonts w:hint="eastAsia"/>
          <w:lang w:val="es-ES"/>
        </w:rPr>
        <w:t>6%</w:t>
      </w:r>
      <w:r>
        <w:rPr>
          <w:rFonts w:hint="eastAsia"/>
          <w:lang w:val="es-ES"/>
        </w:rPr>
        <w:t>）。</w:t>
      </w:r>
    </w:p>
    <w:p w:rsidR="00000000" w:rsidRDefault="00CA422F">
      <w:pPr>
        <w:spacing w:after="240" w:line="360" w:lineRule="exact"/>
        <w:rPr>
          <w:rFonts w:hint="eastAsia"/>
          <w:lang w:val="es-ES"/>
        </w:rPr>
      </w:pPr>
      <w:r>
        <w:rPr>
          <w:rFonts w:hint="eastAsia"/>
          <w:lang w:val="es-ES"/>
        </w:rPr>
        <w:t>511</w:t>
      </w:r>
      <w:r>
        <w:rPr>
          <w:rFonts w:hint="eastAsia"/>
          <w:lang w:val="es-ES"/>
        </w:rPr>
        <w:t>．《消除家庭暴力法》在实施过程中也遇到了不少抵抗和困难。因为该法</w:t>
      </w:r>
      <w:r>
        <w:rPr>
          <w:rFonts w:hint="eastAsia"/>
          <w:lang w:val="es-ES"/>
        </w:rPr>
        <w:t>律不但要求受害者向公众公开自己受到的伤害，而且还需要进行各种形式的培训以及需要由最高法院制订统一的领导方针等。为帮助完成这一任务，司法权力机关颁布了《消除家庭暴力法》的注解及索引（司法权力机关，</w:t>
      </w:r>
      <w:r>
        <w:rPr>
          <w:rFonts w:hint="eastAsia"/>
          <w:lang w:val="es-ES"/>
        </w:rPr>
        <w:t>s.f.</w:t>
      </w:r>
      <w:r>
        <w:rPr>
          <w:rFonts w:hint="eastAsia"/>
          <w:lang w:val="es-ES"/>
        </w:rPr>
        <w:t>）和《家庭暴力诉讼手册》（司法权力机关，</w:t>
      </w:r>
      <w:r>
        <w:rPr>
          <w:rFonts w:hint="eastAsia"/>
          <w:lang w:val="es-ES"/>
        </w:rPr>
        <w:t>s.f.</w:t>
      </w:r>
      <w:r>
        <w:rPr>
          <w:rFonts w:hint="eastAsia"/>
          <w:lang w:val="es-ES"/>
        </w:rPr>
        <w:t>）。此外，还针对该项法律的基本内容颁布了一则备忘录（司法权力机关，</w:t>
      </w:r>
      <w:r>
        <w:rPr>
          <w:rFonts w:hint="eastAsia"/>
          <w:lang w:val="es-ES"/>
        </w:rPr>
        <w:t>1999</w:t>
      </w:r>
      <w:r>
        <w:rPr>
          <w:rFonts w:hint="eastAsia"/>
          <w:lang w:val="es-ES"/>
        </w:rPr>
        <w:t>年）。虽然司法权力机关做出了上述这些努力，但是法官在贯彻《消除家庭暴力法》的时候仍然采取了各不相同的标准，因此，各地维持原定保护措施的比例之间仍然存在着不小的差异（</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512</w:t>
      </w:r>
      <w:r>
        <w:rPr>
          <w:rFonts w:hint="eastAsia"/>
          <w:lang w:val="es-ES"/>
        </w:rPr>
        <w:t>．目前法官身上仍然存在的一个问题，便是他们在实际审理过程中对施暴者和受害者进行调解。法律虽然没有规定这种方式是不合法的，但是这种方式却非常危险（</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513</w:t>
      </w:r>
      <w:r>
        <w:rPr>
          <w:rFonts w:hint="eastAsia"/>
          <w:lang w:val="es-ES"/>
        </w:rPr>
        <w:t>．男性和女性都能将《消除家庭暴力法》作为保护自我的法律武器。然而，提出保护申请的大部分为女性（</w:t>
      </w:r>
      <w:r>
        <w:rPr>
          <w:rFonts w:hint="eastAsia"/>
          <w:lang w:val="es-ES"/>
        </w:rPr>
        <w:t>89</w:t>
      </w:r>
      <w:r>
        <w:rPr>
          <w:lang w:val="es-ES"/>
        </w:rPr>
        <w:t>.</w:t>
      </w:r>
      <w:r>
        <w:rPr>
          <w:rFonts w:hint="eastAsia"/>
          <w:lang w:val="es-ES"/>
        </w:rPr>
        <w:t>60%</w:t>
      </w:r>
      <w:r>
        <w:rPr>
          <w:rFonts w:hint="eastAsia"/>
          <w:lang w:val="es-ES"/>
        </w:rPr>
        <w:t>），而女性申请中提到的施暴者通常为她们的现任或前任男性伴侣（</w:t>
      </w:r>
      <w:r>
        <w:rPr>
          <w:rFonts w:hint="eastAsia"/>
          <w:lang w:val="es-ES"/>
        </w:rPr>
        <w:t>86</w:t>
      </w:r>
      <w:r>
        <w:t>.</w:t>
      </w:r>
      <w:r>
        <w:rPr>
          <w:rFonts w:hint="eastAsia"/>
          <w:lang w:val="es-ES"/>
        </w:rPr>
        <w:t>52%</w:t>
      </w:r>
      <w:r>
        <w:rPr>
          <w:rFonts w:hint="eastAsia"/>
          <w:lang w:val="es-ES"/>
        </w:rPr>
        <w:t>）。此外，大部分提出申请的女性年龄集中在</w:t>
      </w:r>
      <w:r>
        <w:rPr>
          <w:rFonts w:hint="eastAsia"/>
          <w:lang w:val="es-ES"/>
        </w:rPr>
        <w:t>20</w:t>
      </w:r>
      <w:r>
        <w:rPr>
          <w:rFonts w:hint="eastAsia"/>
          <w:lang w:val="es-ES"/>
        </w:rPr>
        <w:t>至</w:t>
      </w:r>
      <w:r>
        <w:rPr>
          <w:rFonts w:hint="eastAsia"/>
          <w:lang w:val="es-ES"/>
        </w:rPr>
        <w:t>29</w:t>
      </w:r>
      <w:r>
        <w:rPr>
          <w:rFonts w:hint="eastAsia"/>
          <w:lang w:val="es-ES"/>
        </w:rPr>
        <w:t>岁之间（</w:t>
      </w:r>
      <w:r>
        <w:rPr>
          <w:rFonts w:hint="eastAsia"/>
          <w:lang w:val="es-ES"/>
        </w:rPr>
        <w:t>62</w:t>
      </w:r>
      <w:r>
        <w:rPr>
          <w:lang w:val="es-ES"/>
        </w:rPr>
        <w:t>.</w:t>
      </w:r>
      <w:r>
        <w:rPr>
          <w:rFonts w:hint="eastAsia"/>
          <w:lang w:val="es-ES"/>
        </w:rPr>
        <w:t>08%</w:t>
      </w:r>
      <w:r>
        <w:rPr>
          <w:rFonts w:hint="eastAsia"/>
          <w:lang w:val="es-ES"/>
        </w:rPr>
        <w:t>）（司法权力机关，</w:t>
      </w:r>
      <w:r>
        <w:rPr>
          <w:rFonts w:hint="eastAsia"/>
          <w:lang w:val="es-ES"/>
        </w:rPr>
        <w:t>1999</w:t>
      </w:r>
      <w:r>
        <w:rPr>
          <w:rFonts w:hint="eastAsia"/>
          <w:lang w:val="es-ES"/>
        </w:rPr>
        <w:t>年，第</w:t>
      </w:r>
      <w:r>
        <w:rPr>
          <w:rFonts w:hint="eastAsia"/>
          <w:lang w:val="es-ES"/>
        </w:rPr>
        <w:t>3</w:t>
      </w:r>
      <w:r>
        <w:rPr>
          <w:rFonts w:hint="eastAsia"/>
          <w:lang w:val="es-ES"/>
        </w:rPr>
        <w:t>页及第</w:t>
      </w:r>
      <w:r>
        <w:rPr>
          <w:rFonts w:hint="eastAsia"/>
          <w:lang w:val="es-ES"/>
        </w:rPr>
        <w:t>10</w:t>
      </w:r>
      <w:r>
        <w:rPr>
          <w:rFonts w:hint="eastAsia"/>
          <w:lang w:val="es-ES"/>
        </w:rPr>
        <w:t>页）。主要是一些夫妻关系</w:t>
      </w:r>
      <w:r>
        <w:rPr>
          <w:rFonts w:hint="eastAsia"/>
          <w:lang w:val="es-ES"/>
        </w:rPr>
        <w:t>中存在侵犯现象并处于育龄阶段的女性。上述数据同受到轼女行为伤害的女性数据不谋而合（</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60" w:lineRule="exact"/>
        <w:jc w:val="center"/>
        <w:rPr>
          <w:rFonts w:eastAsia="SimHei" w:hint="eastAsia"/>
          <w:sz w:val="24"/>
          <w:lang w:val="es-ES"/>
        </w:rPr>
      </w:pPr>
      <w:r>
        <w:rPr>
          <w:rFonts w:eastAsia="SimHei" w:hint="eastAsia"/>
          <w:sz w:val="24"/>
          <w:lang w:val="es-ES"/>
        </w:rPr>
        <w:t>打破沉寂</w:t>
      </w:r>
    </w:p>
    <w:p w:rsidR="00000000" w:rsidRDefault="00CA422F">
      <w:pPr>
        <w:spacing w:after="240" w:line="360" w:lineRule="exact"/>
        <w:rPr>
          <w:rFonts w:hint="eastAsia"/>
          <w:lang w:val="es-ES"/>
        </w:rPr>
      </w:pPr>
      <w:r>
        <w:rPr>
          <w:rFonts w:hint="eastAsia"/>
          <w:lang w:val="es-ES"/>
        </w:rPr>
        <w:t>514</w:t>
      </w:r>
      <w:r>
        <w:rPr>
          <w:rFonts w:hint="eastAsia"/>
          <w:lang w:val="es-ES"/>
        </w:rPr>
        <w:t>．虽然每年申请保护的人人数众多，但是，只有一部分女性受害者会借助《消除家庭暴力法》或者通过其它司法途径来正视和面对自己所遭受到的侵犯。该法律只能为家庭暴力和未婚关系中的强奸行为的女性受害者提供一定的帮助，而无法涵盖其它的暴力行为，如性迫害、来自家庭外的性侵犯和暴力行为，或来自体制本身的暴力等。目前，一些专门聆听女性诉苦、为她们提供各类信息、精神支持和法律援助的措施和计划的存在，使</w:t>
      </w:r>
      <w:r>
        <w:rPr>
          <w:rFonts w:hint="eastAsia"/>
          <w:lang w:val="es-ES"/>
        </w:rPr>
        <w:t>得女性可以更好地了解自己所掌握的各种权利，特别是在法律方面所享有的权利，同时，还能对女性进行更为整体的指导（</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rPr>
      </w:pPr>
      <w:r>
        <w:rPr>
          <w:rFonts w:hint="eastAsia"/>
          <w:lang w:val="es-ES"/>
        </w:rPr>
        <w:t>515</w:t>
      </w:r>
      <w:r>
        <w:rPr>
          <w:rFonts w:hint="eastAsia"/>
          <w:lang w:val="es-ES"/>
        </w:rPr>
        <w:t>．上述措施之一便是开通了“让我们打破沉寂”的</w:t>
      </w:r>
      <w:r>
        <w:rPr>
          <w:rFonts w:hint="eastAsia"/>
          <w:lang w:val="es-ES"/>
        </w:rPr>
        <w:t>800</w:t>
      </w:r>
      <w:r>
        <w:rPr>
          <w:rFonts w:hint="eastAsia"/>
          <w:lang w:val="es-ES"/>
        </w:rPr>
        <w:t>－</w:t>
      </w:r>
      <w:r>
        <w:rPr>
          <w:rFonts w:hint="eastAsia"/>
          <w:lang w:val="es-ES"/>
        </w:rPr>
        <w:t>300</w:t>
      </w:r>
      <w:r>
        <w:rPr>
          <w:rFonts w:hint="eastAsia"/>
          <w:lang w:val="es-ES"/>
        </w:rPr>
        <w:t>－</w:t>
      </w:r>
      <w:r>
        <w:rPr>
          <w:rFonts w:hint="eastAsia"/>
          <w:lang w:val="es-ES"/>
        </w:rPr>
        <w:t>3000</w:t>
      </w:r>
      <w:r>
        <w:rPr>
          <w:rFonts w:hint="eastAsia"/>
          <w:lang w:val="es-ES"/>
        </w:rPr>
        <w:t>热线，这项由国家妇女研究所提供的服务于</w:t>
      </w:r>
      <w:r>
        <w:rPr>
          <w:rFonts w:hint="eastAsia"/>
          <w:lang w:val="es-ES"/>
        </w:rPr>
        <w:t>1997</w:t>
      </w:r>
      <w:r>
        <w:rPr>
          <w:rFonts w:hint="eastAsia"/>
          <w:lang w:val="es-ES"/>
        </w:rPr>
        <w:t>年</w:t>
      </w:r>
      <w:r>
        <w:rPr>
          <w:rFonts w:hint="eastAsia"/>
          <w:lang w:val="es-ES"/>
        </w:rPr>
        <w:t>9</w:t>
      </w:r>
      <w:r>
        <w:rPr>
          <w:rFonts w:hint="eastAsia"/>
          <w:lang w:val="es-ES"/>
        </w:rPr>
        <w:t>月开始实施。从那时起，他们为受虐待的女性提供精神支持，为她们出谋划策，帮助她们进入收容所，在紧急情况下帮助她们同警察机构进行协商，当一些国家机构没有履行各自的职责时，对它们进行指责。这是一项免费服务，每天的开通时间长达</w:t>
      </w:r>
      <w:r>
        <w:rPr>
          <w:rFonts w:hint="eastAsia"/>
          <w:lang w:val="es-ES"/>
        </w:rPr>
        <w:t>12</w:t>
      </w:r>
      <w:r>
        <w:rPr>
          <w:rFonts w:hint="eastAsia"/>
          <w:lang w:val="es-ES"/>
        </w:rPr>
        <w:t>小时，全年无休息日，还经常</w:t>
      </w:r>
      <w:r>
        <w:rPr>
          <w:rFonts w:hint="eastAsia"/>
          <w:lang w:val="es-ES"/>
        </w:rPr>
        <w:t>进行公开宣传，所有这些都使得该热线的需求量急剧增长，同时还拓宽了许多诸如</w:t>
      </w:r>
      <w:r>
        <w:rPr>
          <w:rFonts w:hint="eastAsia"/>
        </w:rPr>
        <w:t>妇女行动与信息中心和妇女联合会等妇女组织自</w:t>
      </w:r>
      <w:r>
        <w:rPr>
          <w:rFonts w:hint="eastAsia"/>
        </w:rPr>
        <w:t>1998</w:t>
      </w:r>
      <w:r>
        <w:rPr>
          <w:rFonts w:hint="eastAsia"/>
        </w:rPr>
        <w:t>年以来提供的电话服务项目。</w:t>
      </w:r>
      <w:r>
        <w:rPr>
          <w:rFonts w:hint="eastAsia"/>
        </w:rPr>
        <w:t>2000</w:t>
      </w:r>
      <w:r>
        <w:rPr>
          <w:rFonts w:hint="eastAsia"/>
        </w:rPr>
        <w:t>至</w:t>
      </w:r>
      <w:r>
        <w:rPr>
          <w:rFonts w:hint="eastAsia"/>
        </w:rPr>
        <w:t>2001</w:t>
      </w:r>
      <w:r>
        <w:rPr>
          <w:rFonts w:hint="eastAsia"/>
        </w:rPr>
        <w:t>年间，该紧急热线接听的电话数量同前四年相比出现了大幅度的增长：</w:t>
      </w:r>
      <w:r>
        <w:rPr>
          <w:rFonts w:hint="eastAsia"/>
        </w:rPr>
        <w:t>1997</w:t>
      </w:r>
      <w:r>
        <w:rPr>
          <w:rFonts w:hint="eastAsia"/>
        </w:rPr>
        <w:t>年接听的电话为</w:t>
      </w:r>
      <w:r>
        <w:rPr>
          <w:rFonts w:hint="eastAsia"/>
        </w:rPr>
        <w:t>5</w:t>
      </w:r>
      <w:r>
        <w:t xml:space="preserve"> </w:t>
      </w:r>
      <w:r>
        <w:rPr>
          <w:rFonts w:hint="eastAsia"/>
        </w:rPr>
        <w:t>030</w:t>
      </w:r>
      <w:r>
        <w:rPr>
          <w:rFonts w:hint="eastAsia"/>
        </w:rPr>
        <w:t>个，</w:t>
      </w:r>
      <w:r>
        <w:rPr>
          <w:rFonts w:hint="eastAsia"/>
        </w:rPr>
        <w:t>1998</w:t>
      </w:r>
      <w:r>
        <w:rPr>
          <w:rFonts w:hint="eastAsia"/>
        </w:rPr>
        <w:t>年为</w:t>
      </w:r>
      <w:r>
        <w:rPr>
          <w:rFonts w:hint="eastAsia"/>
        </w:rPr>
        <w:t>8</w:t>
      </w:r>
      <w:r>
        <w:t xml:space="preserve"> </w:t>
      </w:r>
      <w:r>
        <w:rPr>
          <w:rFonts w:hint="eastAsia"/>
        </w:rPr>
        <w:t>640</w:t>
      </w:r>
      <w:r>
        <w:rPr>
          <w:rFonts w:hint="eastAsia"/>
        </w:rPr>
        <w:t>个，</w:t>
      </w:r>
      <w:r>
        <w:rPr>
          <w:rFonts w:hint="eastAsia"/>
        </w:rPr>
        <w:t>1999</w:t>
      </w:r>
      <w:r>
        <w:rPr>
          <w:rFonts w:hint="eastAsia"/>
        </w:rPr>
        <w:t>年为</w:t>
      </w:r>
      <w:r>
        <w:rPr>
          <w:rFonts w:hint="eastAsia"/>
        </w:rPr>
        <w:t>5</w:t>
      </w:r>
      <w:r>
        <w:t xml:space="preserve"> </w:t>
      </w:r>
      <w:r>
        <w:rPr>
          <w:rFonts w:hint="eastAsia"/>
        </w:rPr>
        <w:t>188</w:t>
      </w:r>
      <w:r>
        <w:rPr>
          <w:rFonts w:hint="eastAsia"/>
        </w:rPr>
        <w:t>个，</w:t>
      </w:r>
      <w:r>
        <w:rPr>
          <w:rFonts w:hint="eastAsia"/>
        </w:rPr>
        <w:t>2000</w:t>
      </w:r>
      <w:r>
        <w:rPr>
          <w:rFonts w:hint="eastAsia"/>
        </w:rPr>
        <w:t>年为</w:t>
      </w:r>
      <w:r>
        <w:rPr>
          <w:rFonts w:hint="eastAsia"/>
        </w:rPr>
        <w:t>12</w:t>
      </w:r>
      <w:r>
        <w:t xml:space="preserve"> </w:t>
      </w:r>
      <w:r>
        <w:rPr>
          <w:rFonts w:hint="eastAsia"/>
        </w:rPr>
        <w:t>304</w:t>
      </w:r>
      <w:r>
        <w:rPr>
          <w:rFonts w:hint="eastAsia"/>
        </w:rPr>
        <w:t>个，而</w:t>
      </w:r>
      <w:r>
        <w:rPr>
          <w:rFonts w:hint="eastAsia"/>
        </w:rPr>
        <w:t>2001</w:t>
      </w:r>
      <w:r>
        <w:rPr>
          <w:rFonts w:hint="eastAsia"/>
        </w:rPr>
        <w:t>年则为</w:t>
      </w:r>
      <w:r>
        <w:rPr>
          <w:rFonts w:hint="eastAsia"/>
        </w:rPr>
        <w:t>55</w:t>
      </w:r>
      <w:r>
        <w:t xml:space="preserve"> </w:t>
      </w:r>
      <w:r>
        <w:rPr>
          <w:rFonts w:hint="eastAsia"/>
        </w:rPr>
        <w:t>327</w:t>
      </w:r>
      <w:r>
        <w:rPr>
          <w:rFonts w:hint="eastAsia"/>
        </w:rPr>
        <w:t>个。最后两年内出现的大幅度增长不但体现了公众对该热线的广泛认可及热线的广泛传播，而且还从</w:t>
      </w:r>
      <w:r>
        <w:rPr>
          <w:rFonts w:hint="eastAsia"/>
        </w:rPr>
        <w:t>2001</w:t>
      </w:r>
      <w:r>
        <w:rPr>
          <w:rFonts w:hint="eastAsia"/>
        </w:rPr>
        <w:t>年起，同</w:t>
      </w:r>
      <w:r>
        <w:rPr>
          <w:rFonts w:hint="eastAsia"/>
        </w:rPr>
        <w:t>911</w:t>
      </w:r>
      <w:r>
        <w:rPr>
          <w:rFonts w:hint="eastAsia"/>
        </w:rPr>
        <w:t>急救电话一样，为哥斯达黎加女性</w:t>
      </w:r>
      <w:r>
        <w:rPr>
          <w:rFonts w:hint="eastAsia"/>
        </w:rPr>
        <w:t>公民开辟了一条更直接、更全面的急救路线（</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60" w:lineRule="exact"/>
        <w:rPr>
          <w:rFonts w:hint="eastAsia"/>
        </w:rPr>
      </w:pPr>
      <w:r>
        <w:rPr>
          <w:rFonts w:hint="eastAsia"/>
        </w:rPr>
        <w:t>516</w:t>
      </w:r>
      <w:r>
        <w:rPr>
          <w:rFonts w:hint="eastAsia"/>
        </w:rPr>
        <w:t>．向“让我们打破沉寂”热线发出求救信号的各类状况的主要特点和提出这些申请的人员，应该说同因家庭暴力和轼女行为向法庭申请保护措施的人员极为类似。侵犯的对象绝大部分为女性，虽然每年的比例都存在一定的差异，但是这些比例从未低于</w:t>
      </w:r>
      <w:r>
        <w:rPr>
          <w:rFonts w:hint="eastAsia"/>
        </w:rPr>
        <w:t>93%</w:t>
      </w:r>
      <w:r>
        <w:rPr>
          <w:rFonts w:hint="eastAsia"/>
        </w:rPr>
        <w:t>。大部分受害者为年轻的成年女性，年龄介于</w:t>
      </w:r>
      <w:r>
        <w:rPr>
          <w:rFonts w:hint="eastAsia"/>
        </w:rPr>
        <w:t>20</w:t>
      </w:r>
      <w:r>
        <w:rPr>
          <w:rFonts w:hint="eastAsia"/>
        </w:rPr>
        <w:t>和</w:t>
      </w:r>
      <w:r>
        <w:rPr>
          <w:rFonts w:hint="eastAsia"/>
        </w:rPr>
        <w:t>40</w:t>
      </w:r>
      <w:r>
        <w:rPr>
          <w:rFonts w:hint="eastAsia"/>
        </w:rPr>
        <w:t>岁之间。几乎一半的女性受害者为家庭主妇。此外，大部分侵犯行为的施行者为男性，其作为施暴者的参与比例一向都高于</w:t>
      </w:r>
      <w:r>
        <w:rPr>
          <w:rFonts w:hint="eastAsia"/>
        </w:rPr>
        <w:t>88%</w:t>
      </w:r>
      <w:r>
        <w:rPr>
          <w:rFonts w:hint="eastAsia"/>
        </w:rPr>
        <w:t>（</w:t>
      </w:r>
      <w:r>
        <w:rPr>
          <w:rFonts w:hint="eastAsia"/>
        </w:rPr>
        <w:t>Carcedo</w:t>
      </w:r>
      <w:r>
        <w:rPr>
          <w:rFonts w:hint="eastAsia"/>
        </w:rPr>
        <w:t>，</w:t>
      </w:r>
      <w:r>
        <w:rPr>
          <w:rFonts w:hint="eastAsia"/>
        </w:rPr>
        <w:t>2001</w:t>
      </w:r>
      <w:r>
        <w:rPr>
          <w:rFonts w:hint="eastAsia"/>
        </w:rPr>
        <w:t>年）。</w:t>
      </w:r>
    </w:p>
    <w:p w:rsidR="00000000" w:rsidRDefault="00CA422F">
      <w:pPr>
        <w:spacing w:after="240" w:line="360" w:lineRule="exact"/>
        <w:rPr>
          <w:rFonts w:hint="eastAsia"/>
        </w:rPr>
      </w:pPr>
      <w:r>
        <w:rPr>
          <w:rFonts w:hint="eastAsia"/>
        </w:rPr>
        <w:t>517</w:t>
      </w:r>
      <w:r>
        <w:rPr>
          <w:rFonts w:hint="eastAsia"/>
        </w:rPr>
        <w:t>．“让我们打破沉寂”热线接到的几乎所有的电话都提及了精神伤害，近一半的电话提到了生理伤害，三分之一的电话提到了对财产继承权的伤害，而十分之一的电话则谈到了某种形式的性暴力。</w:t>
      </w:r>
      <w:r>
        <w:rPr>
          <w:rFonts w:hint="eastAsia"/>
        </w:rPr>
        <w:t>2000</w:t>
      </w:r>
      <w:r>
        <w:rPr>
          <w:rFonts w:hint="eastAsia"/>
        </w:rPr>
        <w:t>年女性的求助电话中有近四分之一的电话提到了她们所面临的死亡威胁，而受到武器伤害的援助电话则为</w:t>
      </w:r>
      <w:r>
        <w:rPr>
          <w:rFonts w:hint="eastAsia"/>
        </w:rPr>
        <w:t>12%</w:t>
      </w:r>
      <w:r>
        <w:rPr>
          <w:rFonts w:hint="eastAsia"/>
        </w:rPr>
        <w:t>，这表明，目前在哥斯达黎加数以万计的女性正在遭受侵犯，她们的生活正处于极度的危险之中（</w:t>
      </w:r>
      <w:r>
        <w:rPr>
          <w:rFonts w:hint="eastAsia"/>
        </w:rPr>
        <w:t>Carcedo</w:t>
      </w:r>
      <w:r>
        <w:rPr>
          <w:rFonts w:hint="eastAsia"/>
        </w:rPr>
        <w:t>，</w:t>
      </w:r>
      <w:r>
        <w:rPr>
          <w:rFonts w:hint="eastAsia"/>
        </w:rPr>
        <w:t>2001</w:t>
      </w:r>
      <w:r>
        <w:rPr>
          <w:rFonts w:hint="eastAsia"/>
        </w:rPr>
        <w:t>年）。</w:t>
      </w:r>
    </w:p>
    <w:p w:rsidR="00000000" w:rsidRDefault="00CA422F">
      <w:pPr>
        <w:spacing w:after="240" w:line="360" w:lineRule="exact"/>
        <w:rPr>
          <w:rFonts w:hint="eastAsia"/>
        </w:rPr>
      </w:pPr>
      <w:r>
        <w:rPr>
          <w:rFonts w:hint="eastAsia"/>
        </w:rPr>
        <w:t>518</w:t>
      </w:r>
      <w:r>
        <w:rPr>
          <w:rFonts w:hint="eastAsia"/>
        </w:rPr>
        <w:t>．妇女代表团是常年向许多女性提供服务的又一个机构。该机构于</w:t>
      </w:r>
      <w:r>
        <w:rPr>
          <w:rFonts w:hint="eastAsia"/>
        </w:rPr>
        <w:t>1990</w:t>
      </w:r>
      <w:r>
        <w:rPr>
          <w:rFonts w:hint="eastAsia"/>
        </w:rPr>
        <w:t>年根据总统令成立，但是其性质经历了多</w:t>
      </w:r>
      <w:r>
        <w:rPr>
          <w:rFonts w:hint="eastAsia"/>
        </w:rPr>
        <w:t>次转变，最初是隶属公共安全部的警察机构，而现在是国家妇女研究所下属的一项计划，专门向女性及其子女提供信息、法律咨询、陪同和精神援助等服务，并在上述范围内同一些国家机构进行协商。</w:t>
      </w:r>
    </w:p>
    <w:p w:rsidR="00000000" w:rsidRDefault="00CA422F">
      <w:pPr>
        <w:spacing w:after="240" w:line="360" w:lineRule="exact"/>
        <w:rPr>
          <w:rFonts w:hint="eastAsia"/>
        </w:rPr>
      </w:pPr>
      <w:r>
        <w:rPr>
          <w:rFonts w:hint="eastAsia"/>
        </w:rPr>
        <w:t>519</w:t>
      </w:r>
      <w:r>
        <w:rPr>
          <w:rFonts w:hint="eastAsia"/>
        </w:rPr>
        <w:t>．国家妇女研究所的妇女代表团在</w:t>
      </w:r>
      <w:r>
        <w:rPr>
          <w:rFonts w:hint="eastAsia"/>
        </w:rPr>
        <w:t>1999</w:t>
      </w:r>
      <w:r>
        <w:rPr>
          <w:rFonts w:hint="eastAsia"/>
        </w:rPr>
        <w:t>年受理了</w:t>
      </w:r>
      <w:r>
        <w:rPr>
          <w:rFonts w:hint="eastAsia"/>
        </w:rPr>
        <w:t>5 188</w:t>
      </w:r>
      <w:r>
        <w:rPr>
          <w:rFonts w:hint="eastAsia"/>
        </w:rPr>
        <w:t>个案例，</w:t>
      </w:r>
      <w:r>
        <w:rPr>
          <w:rFonts w:hint="eastAsia"/>
        </w:rPr>
        <w:t>2000</w:t>
      </w:r>
      <w:r>
        <w:rPr>
          <w:rFonts w:hint="eastAsia"/>
        </w:rPr>
        <w:t>年的受理的案例为</w:t>
      </w:r>
      <w:r>
        <w:rPr>
          <w:rFonts w:hint="eastAsia"/>
        </w:rPr>
        <w:t>4 837</w:t>
      </w:r>
      <w:r>
        <w:rPr>
          <w:rFonts w:hint="eastAsia"/>
        </w:rPr>
        <w:t>个，而</w:t>
      </w:r>
      <w:r>
        <w:rPr>
          <w:rFonts w:hint="eastAsia"/>
        </w:rPr>
        <w:t>2001</w:t>
      </w:r>
      <w:r>
        <w:rPr>
          <w:rFonts w:hint="eastAsia"/>
        </w:rPr>
        <w:t>年则为</w:t>
      </w:r>
      <w:r>
        <w:rPr>
          <w:rFonts w:hint="eastAsia"/>
        </w:rPr>
        <w:t>5 403</w:t>
      </w:r>
      <w:r>
        <w:rPr>
          <w:rFonts w:hint="eastAsia"/>
        </w:rPr>
        <w:t>个（</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60" w:lineRule="exact"/>
        <w:rPr>
          <w:rFonts w:hint="eastAsia"/>
        </w:rPr>
      </w:pPr>
      <w:r>
        <w:rPr>
          <w:rFonts w:hint="eastAsia"/>
        </w:rPr>
        <w:t>520</w:t>
      </w:r>
      <w:r>
        <w:rPr>
          <w:rFonts w:hint="eastAsia"/>
        </w:rPr>
        <w:t>．女性求助于国家妇女研究所妇女代表团的原因表明，当女性受到现任或前任男性伴侣的生理伤害、甚至当发生了未婚关系中的强奸行为时，她们通常会向该机构提出</w:t>
      </w:r>
      <w:r>
        <w:rPr>
          <w:rFonts w:hint="eastAsia"/>
        </w:rPr>
        <w:t>援助申请。然而，女性经常遭受不同形式的侵犯已是众所周知的事实，有时候这种侵犯的施行者甚至不止一人（</w:t>
      </w:r>
      <w:r>
        <w:rPr>
          <w:rFonts w:hint="eastAsia"/>
        </w:rPr>
        <w:t>Carcedo</w:t>
      </w:r>
      <w:r>
        <w:rPr>
          <w:rFonts w:hint="eastAsia"/>
        </w:rPr>
        <w:t>，</w:t>
      </w:r>
      <w:r>
        <w:rPr>
          <w:rFonts w:hint="eastAsia"/>
        </w:rPr>
        <w:t>2001</w:t>
      </w:r>
      <w:r>
        <w:rPr>
          <w:rFonts w:hint="eastAsia"/>
        </w:rPr>
        <w:t>年）。</w:t>
      </w:r>
    </w:p>
    <w:p w:rsidR="00000000" w:rsidRDefault="00CA422F">
      <w:pPr>
        <w:spacing w:after="240" w:line="360" w:lineRule="exact"/>
        <w:rPr>
          <w:rFonts w:hint="eastAsia"/>
        </w:rPr>
      </w:pPr>
      <w:r>
        <w:rPr>
          <w:rFonts w:hint="eastAsia"/>
        </w:rPr>
        <w:t>521</w:t>
      </w:r>
      <w:r>
        <w:rPr>
          <w:rFonts w:hint="eastAsia"/>
        </w:rPr>
        <w:t>．从求助于妇女代表团的女性的国籍可以看出，该机构不仅仅只为哥斯达黎加公民提供服务。妇女代表团保护居住在哥斯达黎加的所有人士享有相应的权利，而不仅仅只为哥斯达黎加公民提供保护。另一方面，同轼女行为的研究不谋而合的是，大部分侵犯行为的施行者（</w:t>
      </w:r>
      <w:r>
        <w:rPr>
          <w:rFonts w:hint="eastAsia"/>
        </w:rPr>
        <w:t>85%</w:t>
      </w:r>
      <w:r>
        <w:rPr>
          <w:rFonts w:hint="eastAsia"/>
        </w:rPr>
        <w:t>）为哥斯达黎加男性公民（</w:t>
      </w:r>
      <w:r>
        <w:rPr>
          <w:rFonts w:hint="eastAsia"/>
        </w:rPr>
        <w:t>Carcedo</w:t>
      </w:r>
      <w:r>
        <w:rPr>
          <w:rFonts w:hint="eastAsia"/>
        </w:rPr>
        <w:t>，</w:t>
      </w:r>
      <w:r>
        <w:rPr>
          <w:rFonts w:hint="eastAsia"/>
        </w:rPr>
        <w:t>2001</w:t>
      </w:r>
      <w:r>
        <w:rPr>
          <w:rFonts w:hint="eastAsia"/>
        </w:rPr>
        <w:t>年）。</w:t>
      </w:r>
    </w:p>
    <w:p w:rsidR="00000000" w:rsidRDefault="00CA422F">
      <w:pPr>
        <w:spacing w:after="240" w:line="360" w:lineRule="exact"/>
        <w:rPr>
          <w:rFonts w:hint="eastAsia"/>
          <w:lang w:val="es-ES"/>
        </w:rPr>
      </w:pPr>
      <w:r>
        <w:rPr>
          <w:rFonts w:hint="eastAsia"/>
        </w:rPr>
        <w:t>522</w:t>
      </w:r>
      <w:r>
        <w:rPr>
          <w:rFonts w:hint="eastAsia"/>
        </w:rPr>
        <w:t>．由于妇女代表团设立在圣何塞</w:t>
      </w:r>
      <w:r>
        <w:rPr>
          <w:rFonts w:hint="eastAsia"/>
          <w:lang w:val="es-ES"/>
        </w:rPr>
        <w:t>，因此，对居住在其它地区的女性而言，获得该</w:t>
      </w:r>
      <w:r>
        <w:rPr>
          <w:rFonts w:hint="eastAsia"/>
          <w:lang w:val="es-ES"/>
        </w:rPr>
        <w:t>组织的援助存在着一定的困难，虽然其它地区的女性占所有向该组织申请援助的女性总人数的</w:t>
      </w:r>
      <w:r>
        <w:rPr>
          <w:rFonts w:hint="eastAsia"/>
          <w:lang w:val="es-ES"/>
        </w:rPr>
        <w:t>16%</w:t>
      </w:r>
      <w:r>
        <w:rPr>
          <w:rFonts w:hint="eastAsia"/>
          <w:lang w:val="es-ES"/>
        </w:rPr>
        <w:t>。不少省市和地区的首府设有市级妇女办公室，提供类似妇女代表团的服务，但是由于这些办公室享有的资源远不如代表团丰富，所以开展工作受到了不少条件的限制。另一方面，政治变化对这些办公室也造成了很大的影响，因为他们的存在和拥有的少量资源主要依靠当地政府部门的支持（</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rPr>
      </w:pPr>
      <w:r>
        <w:rPr>
          <w:rFonts w:hint="eastAsia"/>
        </w:rPr>
        <w:t>523</w:t>
      </w:r>
      <w:r>
        <w:rPr>
          <w:rFonts w:hint="eastAsia"/>
        </w:rPr>
        <w:t>．哥斯达黎加数以万计的女性在援助、信息和指导等方面的需求导致大量政府或私人组织和计划的成立和出台。</w:t>
      </w:r>
    </w:p>
    <w:p w:rsidR="00000000" w:rsidRDefault="00CA422F">
      <w:pPr>
        <w:spacing w:after="240" w:line="360" w:lineRule="exact"/>
        <w:rPr>
          <w:rFonts w:hint="eastAsia"/>
        </w:rPr>
      </w:pPr>
      <w:r>
        <w:rPr>
          <w:rFonts w:hint="eastAsia"/>
        </w:rPr>
        <w:t>524</w:t>
      </w:r>
      <w:r>
        <w:rPr>
          <w:rFonts w:hint="eastAsia"/>
        </w:rPr>
        <w:t>．暴力受害者对政府服务需</w:t>
      </w:r>
      <w:r>
        <w:rPr>
          <w:rFonts w:hint="eastAsia"/>
        </w:rPr>
        <w:t>求的增加并没能使这些服务质量得到提高。在这方面，居民保护组织下属的妇女保护组织为公共服务的使用者所反映的服务不足之处提供了一定的申诉机会（</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r>
        <w:rPr>
          <w:rFonts w:hint="eastAsia"/>
        </w:rPr>
        <w:t>）。虽然妇女保护组织在处理家庭暴力方面没有什么优势，但是，平均每个月约有</w:t>
      </w:r>
      <w:r>
        <w:rPr>
          <w:rFonts w:hint="eastAsia"/>
        </w:rPr>
        <w:t>40</w:t>
      </w:r>
      <w:r>
        <w:rPr>
          <w:rFonts w:hint="eastAsia"/>
        </w:rPr>
        <w:t>名女性前往该保护组织的各个办事处关注和咨询她们的权利和能够求助的计划和方案（居民保护组织，</w:t>
      </w:r>
      <w:r>
        <w:rPr>
          <w:rFonts w:hint="eastAsia"/>
        </w:rPr>
        <w:t>2000</w:t>
      </w:r>
      <w:r>
        <w:rPr>
          <w:rFonts w:hint="eastAsia"/>
        </w:rPr>
        <w:t>年，第</w:t>
      </w:r>
      <w:r>
        <w:rPr>
          <w:rFonts w:hint="eastAsia"/>
        </w:rPr>
        <w:t>246</w:t>
      </w:r>
      <w:r>
        <w:rPr>
          <w:rFonts w:hint="eastAsia"/>
        </w:rPr>
        <w:t>页）。</w:t>
      </w:r>
    </w:p>
    <w:p w:rsidR="00000000" w:rsidRDefault="00CA422F">
      <w:pPr>
        <w:spacing w:after="240" w:line="360" w:lineRule="exact"/>
        <w:rPr>
          <w:rFonts w:hint="eastAsia"/>
          <w:lang w:val="es-ES"/>
        </w:rPr>
      </w:pPr>
      <w:r>
        <w:rPr>
          <w:rFonts w:hint="eastAsia"/>
        </w:rPr>
        <w:t>525</w:t>
      </w:r>
      <w:r>
        <w:rPr>
          <w:rFonts w:hint="eastAsia"/>
        </w:rPr>
        <w:t>．另一方面，</w:t>
      </w:r>
      <w:r>
        <w:rPr>
          <w:rFonts w:hint="eastAsia"/>
          <w:lang w:val="es-ES"/>
        </w:rPr>
        <w:t>“女性，你不孤独”的自助组织从</w:t>
      </w:r>
      <w:r>
        <w:rPr>
          <w:rFonts w:hint="eastAsia"/>
          <w:lang w:val="es-ES"/>
        </w:rPr>
        <w:t>1998</w:t>
      </w:r>
      <w:r>
        <w:rPr>
          <w:rFonts w:hint="eastAsia"/>
          <w:lang w:val="es-ES"/>
        </w:rPr>
        <w:t>年成立以来，已经接收了</w:t>
      </w:r>
      <w:r>
        <w:rPr>
          <w:rFonts w:hint="eastAsia"/>
          <w:lang w:val="es-ES"/>
        </w:rPr>
        <w:t>13 000</w:t>
      </w:r>
      <w:r>
        <w:rPr>
          <w:rFonts w:hint="eastAsia"/>
          <w:lang w:val="es-ES"/>
        </w:rPr>
        <w:t>位女性提出的援助请求。该组织希望自己的分支机构能够遍</w:t>
      </w:r>
      <w:r>
        <w:rPr>
          <w:rFonts w:hint="eastAsia"/>
          <w:lang w:val="es-ES"/>
        </w:rPr>
        <w:t>布全国（</w:t>
      </w:r>
      <w:r>
        <w:rPr>
          <w:rFonts w:hint="eastAsia"/>
        </w:rPr>
        <w:t>妇女行动与信息中心，</w:t>
      </w:r>
      <w:r>
        <w:rPr>
          <w:rFonts w:hint="eastAsia"/>
        </w:rPr>
        <w:t>2001</w:t>
      </w:r>
      <w:r>
        <w:rPr>
          <w:rFonts w:hint="eastAsia"/>
        </w:rPr>
        <w:t>年，第</w:t>
      </w:r>
      <w:r>
        <w:rPr>
          <w:rFonts w:hint="eastAsia"/>
        </w:rPr>
        <w:t>8</w:t>
      </w:r>
      <w:r>
        <w:rPr>
          <w:rFonts w:hint="eastAsia"/>
        </w:rPr>
        <w:t>页</w:t>
      </w:r>
      <w:r>
        <w:rPr>
          <w:rFonts w:hint="eastAsia"/>
          <w:lang w:val="es-ES"/>
        </w:rPr>
        <w:t>）。妇女联合会的报告中也提到类似数目的女性向他们提出各类援助申请（</w:t>
      </w:r>
      <w:r>
        <w:rPr>
          <w:rFonts w:hint="eastAsia"/>
          <w:lang w:val="es-ES"/>
        </w:rPr>
        <w:t>Ramellini</w:t>
      </w:r>
      <w:r>
        <w:rPr>
          <w:rFonts w:hint="eastAsia"/>
          <w:lang w:val="es-ES"/>
        </w:rPr>
        <w:t>，</w:t>
      </w:r>
      <w:r>
        <w:rPr>
          <w:rFonts w:hint="eastAsia"/>
          <w:lang w:val="es-ES"/>
        </w:rPr>
        <w:t>2000</w:t>
      </w:r>
      <w:r>
        <w:rPr>
          <w:rFonts w:hint="eastAsia"/>
          <w:lang w:val="es-ES"/>
        </w:rPr>
        <w:t>年，第</w:t>
      </w:r>
      <w:r>
        <w:rPr>
          <w:rFonts w:hint="eastAsia"/>
          <w:lang w:val="es-ES"/>
        </w:rPr>
        <w:t>43</w:t>
      </w:r>
      <w:r>
        <w:rPr>
          <w:rFonts w:hint="eastAsia"/>
          <w:lang w:val="es-ES"/>
        </w:rPr>
        <w:t>页）。总之，哥斯达黎加国内各类妇女组织的信息和研究机构为受到侵犯的女性提供了谈论、获得信息和加强自身保护的机会。</w:t>
      </w:r>
    </w:p>
    <w:p w:rsidR="00000000" w:rsidRDefault="00CA422F">
      <w:pPr>
        <w:spacing w:after="240" w:line="360" w:lineRule="exact"/>
        <w:rPr>
          <w:rFonts w:hint="eastAsia"/>
          <w:lang w:val="es-ES"/>
        </w:rPr>
      </w:pPr>
      <w:r>
        <w:rPr>
          <w:rFonts w:hint="eastAsia"/>
          <w:lang w:val="es-ES"/>
        </w:rPr>
        <w:t>526</w:t>
      </w:r>
      <w:r>
        <w:rPr>
          <w:rFonts w:hint="eastAsia"/>
          <w:lang w:val="es-ES"/>
        </w:rPr>
        <w:t>．涉足该领域的所有组织所做的努力使得女性对自己在受到暴力伤害时可以运用的权利和资源进行了广泛的宣传。这也使许多女性得以了解和正确使用《消除家庭暴力法》，这使她们的生活发生了根本的变化。</w:t>
      </w:r>
    </w:p>
    <w:p w:rsidR="00000000" w:rsidRDefault="00CA422F">
      <w:pPr>
        <w:spacing w:after="240" w:line="360" w:lineRule="exact"/>
        <w:rPr>
          <w:rFonts w:hint="eastAsia"/>
          <w:lang w:val="es-ES"/>
        </w:rPr>
      </w:pPr>
      <w:r>
        <w:rPr>
          <w:rFonts w:hint="eastAsia"/>
          <w:lang w:val="es-ES"/>
        </w:rPr>
        <w:t>527</w:t>
      </w:r>
      <w:r>
        <w:rPr>
          <w:rFonts w:hint="eastAsia"/>
          <w:lang w:val="es-ES"/>
        </w:rPr>
        <w:t>．在此，应该强调的是，世界卫生组织</w:t>
      </w:r>
      <w:r>
        <w:rPr>
          <w:rFonts w:hint="eastAsia"/>
          <w:lang w:val="es-ES"/>
        </w:rPr>
        <w:t>/</w:t>
      </w:r>
      <w:r>
        <w:rPr>
          <w:rFonts w:hint="eastAsia"/>
          <w:lang w:val="es-ES"/>
        </w:rPr>
        <w:t>泛美卫生组织妇</w:t>
      </w:r>
      <w:r>
        <w:rPr>
          <w:rFonts w:hint="eastAsia"/>
          <w:lang w:val="es-ES"/>
        </w:rPr>
        <w:t>女、健康和发展计划开展的名为“受家庭暴力伤害的女性的崎岖之路（哥斯达黎加）”的研究对社会、文化和体制等方面造成了影响（世界卫生组织</w:t>
      </w:r>
      <w:r>
        <w:rPr>
          <w:rFonts w:hint="eastAsia"/>
          <w:lang w:val="es-ES"/>
        </w:rPr>
        <w:t>/</w:t>
      </w:r>
      <w:r>
        <w:rPr>
          <w:rFonts w:hint="eastAsia"/>
          <w:lang w:val="es-ES"/>
        </w:rPr>
        <w:t>泛美卫生组织，</w:t>
      </w:r>
      <w:r>
        <w:rPr>
          <w:rFonts w:hint="eastAsia"/>
          <w:lang w:val="es-ES"/>
        </w:rPr>
        <w:t>1999</w:t>
      </w:r>
      <w:r>
        <w:rPr>
          <w:rFonts w:hint="eastAsia"/>
          <w:lang w:val="es-ES"/>
        </w:rPr>
        <w:t>年）：</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最近几年，妇女组织在披露、申诉和正视家庭暴力和性暴力方面开展的活动，使哥斯达黎加的</w:t>
      </w:r>
      <w:r>
        <w:rPr>
          <w:rFonts w:eastAsia="SimHei" w:hint="eastAsia"/>
          <w:lang w:val="es-ES"/>
        </w:rPr>
        <w:t>文化和体制等领域</w:t>
      </w:r>
      <w:r>
        <w:rPr>
          <w:rFonts w:hint="eastAsia"/>
          <w:lang w:val="es-ES"/>
        </w:rPr>
        <w:t>发生了巨大变化。专门支持受虐待女性及其子女的私人机构和计划的产生、女性司法状况的改变、政府积极性和全国范围或某一部门内的政府计划的制订和实施，与家庭暴力问题范围的扩大和对受害者更广泛的团结的态度循序渐进的改变同时展开。这些变化因素为女性在反对侵犯方面享</w:t>
      </w:r>
      <w:r>
        <w:rPr>
          <w:rFonts w:hint="eastAsia"/>
          <w:lang w:val="es-ES"/>
        </w:rPr>
        <w:t>有的权利和可利用的资源提供更多更广的信息，为希望摆脱伤害的女性创造了一种积极的环境，帮助受害者获得家人、邻居以及单位同事的支持，所有这些为接受本采访的女性带来了希望，同时还能帮助她们做出正确的决策。</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各类非政府组织和政府组织在家庭暴力方面开展的</w:t>
      </w:r>
      <w:r>
        <w:rPr>
          <w:rFonts w:eastAsia="SimHei" w:hint="eastAsia"/>
          <w:lang w:val="es-ES"/>
        </w:rPr>
        <w:t>申诉、信息、预防、关注、培训、运动、对施暴者的惩罚以及其它活动</w:t>
      </w:r>
      <w:r>
        <w:rPr>
          <w:rFonts w:hint="eastAsia"/>
          <w:lang w:val="es-ES"/>
        </w:rPr>
        <w:t>唤起了社区内接受本报告采访的大部分女性用户、男性用户和其他人员的敏锐性。虽然</w:t>
      </w:r>
      <w:r>
        <w:rPr>
          <w:rFonts w:eastAsia="SimHei" w:hint="eastAsia"/>
          <w:lang w:val="es-ES"/>
        </w:rPr>
        <w:t>关于家庭暴力的许多概念</w:t>
      </w:r>
      <w:r>
        <w:rPr>
          <w:rFonts w:hint="eastAsia"/>
          <w:lang w:val="es-ES"/>
        </w:rPr>
        <w:t>还不十分确切，虽然还存在着不少的神秘、偏见和固定的思维，但是，总的来说，可以看到在打击家庭暴力的理解和行动中</w:t>
      </w:r>
      <w:r>
        <w:rPr>
          <w:rFonts w:hint="eastAsia"/>
          <w:lang w:val="es-ES"/>
        </w:rPr>
        <w:t>已经形成了一种有利的气氛。这同样体现</w:t>
      </w:r>
      <w:r>
        <w:rPr>
          <w:rFonts w:eastAsia="SimHei" w:hint="eastAsia"/>
          <w:lang w:val="es-ES"/>
        </w:rPr>
        <w:t>在较大范围内对家庭暴力类型和形式</w:t>
      </w:r>
      <w:r>
        <w:rPr>
          <w:rFonts w:hint="eastAsia"/>
          <w:lang w:val="es-ES"/>
        </w:rPr>
        <w:t>的接触过程中所体现出来的开放态度，尤其是把家庭暴力作为一种同自己相关的、而</w:t>
      </w:r>
      <w:r>
        <w:rPr>
          <w:rFonts w:eastAsia="SimHei" w:hint="eastAsia"/>
          <w:lang w:val="es-ES"/>
        </w:rPr>
        <w:t>并非仅仅是他人经历的事实认同感</w:t>
      </w:r>
      <w:r>
        <w:rPr>
          <w:rFonts w:hint="eastAsia"/>
          <w:lang w:val="es-ES"/>
        </w:rPr>
        <w:t>已经变得越来越高。值得指出的是，对家庭内部出现的性暴力和对财产继承权的侵害仍然谈得不够，它们仍然隐藏在家庭内部。同样可以看到的是，心理伤害和精神伤害如何被经常提及，如何开始对其进行惩罚等，其重视程度和反对程度同生理伤害不相上下。</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某些机构</w:t>
      </w:r>
      <w:r>
        <w:rPr>
          <w:rFonts w:eastAsia="SimHei" w:hint="eastAsia"/>
          <w:lang w:val="es-ES"/>
        </w:rPr>
        <w:t>对男女用户提供的情况进行的研究</w:t>
      </w:r>
      <w:r>
        <w:rPr>
          <w:rFonts w:hint="eastAsia"/>
          <w:lang w:val="es-ES"/>
        </w:rPr>
        <w:t>发现，这些机构都在努力履行自己的职责，有些机构甚至承担了过度的责任，开展</w:t>
      </w:r>
      <w:r>
        <w:rPr>
          <w:rFonts w:hint="eastAsia"/>
          <w:lang w:val="es-ES"/>
        </w:rPr>
        <w:t>的活动也极为丰富。实际上，家庭暴力方面的服务工作有待加强，这使工作人员不可避免地处于不同的劳动状况和精神状况之中：一部分人愿意接受并已经感觉到了这一问题，另一部分工作人员则表现出无奈、非常沮丧甚至极端冷漠的神情；一些工作人员沉浸在日常琐碎事务的处理过程中，另一些工作人员则将精力分散在各项具体任务上。所有这些——除了少数情况——都表明在结构的调整、改变和选举预测等方面出现了相应的变化。</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ab/>
      </w:r>
      <w:r>
        <w:rPr>
          <w:rFonts w:hint="eastAsia"/>
          <w:lang w:val="es-ES"/>
        </w:rPr>
        <w:t>·公共机构中接收的同家庭暴力相关的案例缺乏专门的</w:t>
      </w:r>
      <w:r>
        <w:rPr>
          <w:rFonts w:eastAsia="SimHei" w:hint="eastAsia"/>
          <w:lang w:val="es-ES"/>
        </w:rPr>
        <w:t>关注模式和计划</w:t>
      </w:r>
      <w:r>
        <w:rPr>
          <w:rFonts w:hint="eastAsia"/>
          <w:lang w:val="es-ES"/>
        </w:rPr>
        <w:t>，这使得服务享受者的关注模式出现了迅速增长的趋势；如果对前来</w:t>
      </w:r>
      <w:r>
        <w:rPr>
          <w:rFonts w:hint="eastAsia"/>
          <w:lang w:val="es-ES"/>
        </w:rPr>
        <w:t>申请援助的受虐待女性的关注人员不同，也会出现有利、不利甚至导致受害者再次伤害等不同的结果。</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对家庭暴力的</w:t>
      </w:r>
      <w:r>
        <w:rPr>
          <w:rFonts w:eastAsia="SimHei" w:hint="eastAsia"/>
          <w:lang w:val="es-ES"/>
        </w:rPr>
        <w:t>敏锐觉察</w:t>
      </w:r>
      <w:r>
        <w:rPr>
          <w:rFonts w:hint="eastAsia"/>
          <w:lang w:val="es-ES"/>
        </w:rPr>
        <w:t>以及越来越强烈的反抗意识体现在</w:t>
      </w:r>
      <w:r>
        <w:rPr>
          <w:rFonts w:eastAsia="SimHei" w:hint="eastAsia"/>
          <w:lang w:val="es-ES"/>
        </w:rPr>
        <w:t>男女用户为改善受虐待女性的关注方式各自做出的相应努力</w:t>
      </w:r>
      <w:r>
        <w:rPr>
          <w:rFonts w:hint="eastAsia"/>
          <w:lang w:val="es-ES"/>
        </w:rPr>
        <w:t>之中。但是，仅仅有意识还是不够的，还需提供更为明确的信息、培训和政策机制；因为“</w:t>
      </w:r>
      <w:r>
        <w:rPr>
          <w:rFonts w:eastAsia="SimHei" w:hint="eastAsia"/>
          <w:lang w:val="es-ES"/>
        </w:rPr>
        <w:t>好心办坏事</w:t>
      </w:r>
      <w:r>
        <w:rPr>
          <w:rFonts w:hint="eastAsia"/>
          <w:lang w:val="es-ES"/>
        </w:rPr>
        <w:t>”同样会对女性造成一定的伤害。</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缺少正确关注受虐待女性的方式和相应计划，同样使大部分机制在实践中无法发挥参照作用；女性通常不得不处于比预料中更为危险的境地，却无法获得肯定的回答或无法满足相应的要求。</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对家庭暴力的形式</w:t>
      </w:r>
      <w:r>
        <w:rPr>
          <w:rFonts w:eastAsia="SimHei" w:hint="eastAsia"/>
          <w:lang w:val="es-ES"/>
        </w:rPr>
        <w:t>缺乏适当的了</w:t>
      </w:r>
      <w:r>
        <w:rPr>
          <w:rFonts w:eastAsia="SimHei" w:hint="eastAsia"/>
          <w:lang w:val="es-ES"/>
        </w:rPr>
        <w:t>解</w:t>
      </w:r>
      <w:r>
        <w:rPr>
          <w:rFonts w:hint="eastAsia"/>
          <w:lang w:val="es-ES"/>
        </w:rPr>
        <w:t>，使许多部门的男性或女性人员很难理解受虐待女性所处的特殊境地，很难尊重她们，甚至会对她们产生一定的误解，无法理解这些女性的一些举动，甚至会认为她们行为矛盾。这种状况深刻地影响着这些工作人员所采取的关注类型和关注态度；同时，也会使他们在处理案例的过程中产生偏见并形成一定的固定思维模式。</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有些人认为，对于受侵犯伤害的女性，他的</w:t>
      </w:r>
      <w:r>
        <w:rPr>
          <w:rFonts w:eastAsia="SimHei" w:hint="eastAsia"/>
          <w:lang w:val="es-ES"/>
        </w:rPr>
        <w:t>主要职责</w:t>
      </w:r>
      <w:r>
        <w:rPr>
          <w:rFonts w:hint="eastAsia"/>
          <w:lang w:val="es-ES"/>
        </w:rPr>
        <w:t>就是让世人看到并意识到这一问题的存在；虽然他们是出于好心，但是，对于作为受害者的女性而言，他们大权在握，处于优势地位，而且手中的权力使他们获得了一种专业水准、理论水平和外在的认识</w:t>
      </w:r>
      <w:r>
        <w:rPr>
          <w:rFonts w:hint="eastAsia"/>
          <w:lang w:val="es-ES"/>
        </w:rPr>
        <w:t>。这不仅使他们忽视了聆听的重要性，而且还妨碍了他们的观察力，以致他们无法正视女性承受的压力与她们自身条件之间的相互关系，对应该采取哪种解决方案来改善女性所处的状况以及他们自身在这一过程中起了什么样的作用做出错误的判断。采用</w:t>
      </w:r>
      <w:r>
        <w:rPr>
          <w:rFonts w:eastAsia="SimHei" w:hint="eastAsia"/>
          <w:lang w:val="es-ES"/>
        </w:rPr>
        <w:t>劝告方式</w:t>
      </w:r>
      <w:r>
        <w:rPr>
          <w:rFonts w:hint="eastAsia"/>
          <w:lang w:val="es-ES"/>
        </w:rPr>
        <w:t>，使得他们认为女性自身便能逐步解决问题，然而，事实上，当受害女性再次返回时，她们的情况并未出现任何有意义的变化，那么，这些人同受害者一样充满了挫败感。劝告方式在实际操作中通常是以直接或间接的方式要求受害女性采取她们根本无力也无需采取的措施，而这无疑阻碍了她们各自的主人翁精神的发展。</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一个经常出现的现象是，在</w:t>
      </w:r>
      <w:r>
        <w:rPr>
          <w:rFonts w:eastAsia="SimHei" w:hint="eastAsia"/>
          <w:lang w:val="es-ES"/>
        </w:rPr>
        <w:t>伤害关系</w:t>
      </w:r>
      <w:r>
        <w:rPr>
          <w:rFonts w:hint="eastAsia"/>
          <w:lang w:val="es-ES"/>
        </w:rPr>
        <w:t>——伤害对象为女性——的关系中，出现了</w:t>
      </w:r>
      <w:r>
        <w:rPr>
          <w:rFonts w:eastAsia="SimHei" w:hint="eastAsia"/>
          <w:lang w:val="es-ES"/>
        </w:rPr>
        <w:t>以女性为主的关系或以男性为主的关系</w:t>
      </w:r>
      <w:r>
        <w:rPr>
          <w:rFonts w:hint="eastAsia"/>
          <w:lang w:val="es-ES"/>
        </w:rPr>
        <w:t>，特别是当女性受害者认为应该由她们自己来解决侵犯问题时，她们认为申请者无依无靠，无法依靠自身的力量做出改变，只能求机构帮助摆脱困境。而不少援助机构则无法弄明白是向女性提供精神援助、专业帮助和制度保障，还是直接帮助她们解决问题，让她们发挥从未有过的主人翁精神。所有这些都为女性搭建了一种依赖关系，适得其反地造成了她们生活的混乱。</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对女性的家庭暴力可能会造成</w:t>
      </w:r>
      <w:r>
        <w:rPr>
          <w:rFonts w:eastAsia="SimHei" w:hint="eastAsia"/>
          <w:lang w:val="es-ES"/>
        </w:rPr>
        <w:t>受理此类援助申请的女性工作人员的脆弱</w:t>
      </w:r>
      <w:r>
        <w:rPr>
          <w:rFonts w:hint="eastAsia"/>
          <w:lang w:val="es-ES"/>
        </w:rPr>
        <w:t>，或者就</w:t>
      </w:r>
      <w:r>
        <w:rPr>
          <w:rFonts w:eastAsia="SimHei" w:hint="eastAsia"/>
          <w:lang w:val="es-ES"/>
        </w:rPr>
        <w:t>她们自身</w:t>
      </w:r>
      <w:r>
        <w:rPr>
          <w:rFonts w:eastAsia="SimHei" w:hint="eastAsia"/>
          <w:lang w:val="es-ES"/>
        </w:rPr>
        <w:t>的经验</w:t>
      </w:r>
      <w:r>
        <w:rPr>
          <w:rFonts w:hint="eastAsia"/>
          <w:lang w:val="es-ES"/>
        </w:rPr>
        <w:t>而言，会对她们产生特殊的影响，使她们在面对前来求助的女性时出现主观反应，因为她们也可能遭受同样的经历：生活上的依赖、对家庭的奉献、对婚姻的竭力维持，或者为了当一名</w:t>
      </w:r>
      <w:r>
        <w:rPr>
          <w:rFonts w:eastAsia="SimHei" w:hint="eastAsia"/>
          <w:lang w:val="es-ES"/>
        </w:rPr>
        <w:t>贤妻良母</w:t>
      </w:r>
      <w:r>
        <w:rPr>
          <w:rFonts w:hint="eastAsia"/>
          <w:lang w:val="es-ES"/>
        </w:rPr>
        <w:t>而为他人牺牲、奉献，将希望留给别人，把困难留给自己等生活经历。从这个意义上来说，她们会对前来求助的女性受害者产生各种不同的情感：抗拒、愤怒，甚至会产生母性的关怀等等。至于受理援助申请的</w:t>
      </w:r>
      <w:r>
        <w:rPr>
          <w:rFonts w:eastAsia="SimHei" w:hint="eastAsia"/>
          <w:lang w:val="es-ES"/>
        </w:rPr>
        <w:t>男性工作人员</w:t>
      </w:r>
      <w:r>
        <w:rPr>
          <w:rFonts w:hint="eastAsia"/>
          <w:lang w:val="es-ES"/>
        </w:rPr>
        <w:t>，他们作为男性，经常</w:t>
      </w:r>
      <w:r>
        <w:rPr>
          <w:rFonts w:eastAsia="SimHei" w:hint="eastAsia"/>
          <w:lang w:val="es-ES"/>
        </w:rPr>
        <w:t>站在另一个立场上</w:t>
      </w:r>
      <w:r>
        <w:rPr>
          <w:rFonts w:hint="eastAsia"/>
          <w:lang w:val="es-ES"/>
        </w:rPr>
        <w:t>来看问题，由于无法亲身体验女性的经历，他们无法了解女性受害者的态度，并且对女性受害过程中任何有出入的细节</w:t>
      </w:r>
      <w:r>
        <w:rPr>
          <w:rFonts w:hint="eastAsia"/>
          <w:lang w:val="es-ES"/>
        </w:rPr>
        <w:t>时常表示怀疑。</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虽然对</w:t>
      </w:r>
      <w:r>
        <w:rPr>
          <w:rFonts w:eastAsia="SimHei" w:hint="eastAsia"/>
          <w:lang w:val="es-ES"/>
        </w:rPr>
        <w:t>夫妻间的暴力</w:t>
      </w:r>
      <w:r>
        <w:rPr>
          <w:rFonts w:hint="eastAsia"/>
          <w:lang w:val="es-ES"/>
        </w:rPr>
        <w:t>或侵犯行为的提及频率越来越高，虽然已经表明</w:t>
      </w:r>
      <w:r>
        <w:rPr>
          <w:rFonts w:eastAsia="SimHei" w:hint="eastAsia"/>
          <w:lang w:val="es-ES"/>
        </w:rPr>
        <w:t>女性是最大的受害者</w:t>
      </w:r>
      <w:r>
        <w:rPr>
          <w:rFonts w:hint="eastAsia"/>
          <w:lang w:val="es-ES"/>
        </w:rPr>
        <w:t>，但是对此类家庭暴力并没有从概念定义的角度做出明确的规定，而且对女性有所保留的地方也不够尊重。目前对夫妻冲突或配偶之间的暴力行为出现了公开讨论的趋势，甚至还出现了关于</w:t>
      </w:r>
      <w:r>
        <w:rPr>
          <w:rFonts w:eastAsia="SimHei" w:hint="eastAsia"/>
          <w:lang w:val="es-ES"/>
        </w:rPr>
        <w:t>处理夫妻关系</w:t>
      </w:r>
      <w:r>
        <w:rPr>
          <w:rFonts w:hint="eastAsia"/>
          <w:lang w:val="es-ES"/>
        </w:rPr>
        <w:t>的种种建议。然而这之间存在的事实是，在这类关系中，参与者是两个成年人；现实和神话在大多数情况下都不允许披露其中某人凌驾于另一人之上的控制关系（主要是男性对女性的控制），导致夫妻产生并披露他们之间矛盾的原因，同导致日常生活中为解决双方摩擦而采</w:t>
      </w:r>
      <w:r>
        <w:rPr>
          <w:rFonts w:hint="eastAsia"/>
          <w:lang w:val="es-ES"/>
        </w:rPr>
        <w:t>取的暴力方式在夫妻关系通常被认为是合法的原因极为相似。这就解释了为什么在许多情况下夫妻间发生的严重冲突，甚至因此造成的女性死亡，只被判为“</w:t>
      </w:r>
      <w:r>
        <w:rPr>
          <w:rFonts w:eastAsia="SimHei" w:hint="eastAsia"/>
          <w:lang w:val="es-ES"/>
        </w:rPr>
        <w:t>激情罪</w:t>
      </w:r>
      <w:r>
        <w:rPr>
          <w:rFonts w:hint="eastAsia"/>
          <w:lang w:val="es-ES"/>
        </w:rPr>
        <w:t>”或</w:t>
      </w:r>
      <w:r>
        <w:rPr>
          <w:rFonts w:eastAsia="SimHei" w:hint="eastAsia"/>
          <w:lang w:val="es-ES"/>
        </w:rPr>
        <w:t>因爱而犯下的罪行</w:t>
      </w:r>
      <w:r>
        <w:rPr>
          <w:rFonts w:hint="eastAsia"/>
          <w:lang w:val="es-ES"/>
        </w:rPr>
        <w:t>。</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存在着</w:t>
      </w:r>
      <w:r>
        <w:rPr>
          <w:rFonts w:eastAsia="SimHei" w:hint="eastAsia"/>
          <w:lang w:val="es-ES"/>
        </w:rPr>
        <w:t>将女性受害者指为罪魁祸首的明显倾向</w:t>
      </w:r>
      <w:r>
        <w:rPr>
          <w:rFonts w:hint="eastAsia"/>
          <w:lang w:val="es-ES"/>
        </w:rPr>
        <w:t>，认为是女性没有遵守妇道，是她们导致了这类行为的发生。同时，</w:t>
      </w:r>
      <w:r>
        <w:rPr>
          <w:rFonts w:eastAsia="SimHei" w:hint="eastAsia"/>
          <w:lang w:val="es-ES"/>
        </w:rPr>
        <w:t>作为施暴者的男性</w:t>
      </w:r>
      <w:r>
        <w:rPr>
          <w:rFonts w:hint="eastAsia"/>
          <w:lang w:val="es-ES"/>
        </w:rPr>
        <w:t>却很少被重点提及，因男性回避因而赦免了他们的罪行，或者虽然通过具体或抽象内容来表述男性的行为，但最终的结论总是做出有利于男性的评价。</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倾向于认为</w:t>
      </w:r>
      <w:r>
        <w:rPr>
          <w:rFonts w:eastAsia="SimHei" w:hint="eastAsia"/>
          <w:lang w:val="es-ES"/>
        </w:rPr>
        <w:t>男性施暴者的暴力行为和侵犯从总体上来说是一种病态的行为</w:t>
      </w:r>
      <w:r>
        <w:rPr>
          <w:rFonts w:hint="eastAsia"/>
          <w:lang w:val="es-ES"/>
        </w:rPr>
        <w:t>。谈论的总是</w:t>
      </w:r>
      <w:r>
        <w:rPr>
          <w:rFonts w:eastAsia="SimHei" w:hint="eastAsia"/>
          <w:lang w:val="es-ES"/>
        </w:rPr>
        <w:t>男性的行为</w:t>
      </w:r>
      <w:r>
        <w:rPr>
          <w:rFonts w:hint="eastAsia"/>
          <w:lang w:val="es-ES"/>
        </w:rPr>
        <w:t>（甚至惩</w:t>
      </w:r>
      <w:r>
        <w:rPr>
          <w:rFonts w:hint="eastAsia"/>
          <w:lang w:val="es-ES"/>
        </w:rPr>
        <w:t>罚或处罚也可能是为了帮助男性纠正暴力行为）、酗酒、吸毒以及他们的大男子主义等问题。从未深入地探讨社会的男性结构和男性权力，而正是这些男性身份，甚至男性气概的存在，才对他们做出了积极而肯定的评价。</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由于家庭暴力和对女性的暴力理解形式多样，再加上在思想领域占据较大的比例，因此有必要针对</w:t>
      </w:r>
      <w:r>
        <w:rPr>
          <w:rFonts w:eastAsia="SimHei" w:hint="eastAsia"/>
          <w:lang w:val="es-ES"/>
        </w:rPr>
        <w:t>“暴力周期”、“学来的残疾”</w:t>
      </w:r>
      <w:r>
        <w:rPr>
          <w:rFonts w:hint="eastAsia"/>
          <w:lang w:val="es-ES"/>
        </w:rPr>
        <w:t>或</w:t>
      </w:r>
      <w:r>
        <w:rPr>
          <w:rFonts w:eastAsia="SimHei" w:hint="eastAsia"/>
          <w:lang w:val="es-ES"/>
        </w:rPr>
        <w:t>“受虐女性综合症”</w:t>
      </w:r>
      <w:r>
        <w:rPr>
          <w:rFonts w:hint="eastAsia"/>
          <w:lang w:val="es-ES"/>
        </w:rPr>
        <w:t>等用来理解许多暴力关系的词汇进行审查，判断是否能够继续使用。幸好这些词汇只是集中出现在对女性怀有成见并使得女性再次受到伤害的讲演中。某些关于暴力的演讲将这些作为产生暴力的一个因素，但</w:t>
      </w:r>
      <w:r>
        <w:rPr>
          <w:rFonts w:hint="eastAsia"/>
          <w:lang w:val="es-ES"/>
        </w:rPr>
        <w:t>并没有将其作为衡量这类关系的标准或机制；认为思想领域关于家庭暴力的认识，就像我们通过遗传自然获得的某种东西，是循序渐进的、世代相传的，因此，正如皮肤上的黑痣，谁也无需对其产生负任何责任。关于“</w:t>
      </w:r>
      <w:r>
        <w:rPr>
          <w:rFonts w:eastAsia="SimHei" w:hint="eastAsia"/>
          <w:lang w:val="es-ES"/>
        </w:rPr>
        <w:t>学来的残疾</w:t>
      </w:r>
      <w:r>
        <w:rPr>
          <w:rFonts w:hint="eastAsia"/>
          <w:lang w:val="es-ES"/>
        </w:rPr>
        <w:t>”和“</w:t>
      </w:r>
      <w:r>
        <w:rPr>
          <w:rFonts w:eastAsia="SimHei" w:hint="eastAsia"/>
          <w:lang w:val="es-ES"/>
        </w:rPr>
        <w:t>受虐女性综合症</w:t>
      </w:r>
      <w:r>
        <w:rPr>
          <w:rFonts w:hint="eastAsia"/>
          <w:lang w:val="es-ES"/>
        </w:rPr>
        <w:t>”，有时用来表示女性的某种缺陷，甚至更糟糕的是，用这些词来表示女性的心理不健全，导致她们无法成为正常的成年人、妻子和母亲；有时，也用这些词来表示女性的心理疾病。这再次提醒我们需要面对的事实是，如果某个概念或词汇用来表示某种特定的情景，应该对其进行充分的分析，因为这不仅是语义、技术或某一学科</w:t>
      </w:r>
      <w:r>
        <w:rPr>
          <w:rFonts w:hint="eastAsia"/>
          <w:lang w:val="es-ES"/>
        </w:rPr>
        <w:t>内部的问题，而且最终在使用过程中将造成对概念的重新理解，甚至可能会给女性自身造成负面的效果。</w:t>
      </w:r>
    </w:p>
    <w:p w:rsidR="00000000" w:rsidRDefault="00CA422F">
      <w:pPr>
        <w:spacing w:after="240" w:line="360" w:lineRule="exact"/>
        <w:jc w:val="center"/>
        <w:rPr>
          <w:rFonts w:eastAsia="SimHei" w:hint="eastAsia"/>
          <w:sz w:val="24"/>
          <w:lang w:val="es-ES"/>
        </w:rPr>
      </w:pPr>
      <w:r>
        <w:rPr>
          <w:rFonts w:eastAsia="SimHei" w:hint="eastAsia"/>
          <w:sz w:val="24"/>
          <w:lang w:val="es-ES"/>
        </w:rPr>
        <w:t>关注和预防家庭暴力的国家制度</w:t>
      </w:r>
    </w:p>
    <w:p w:rsidR="00000000" w:rsidRDefault="00CA422F">
      <w:pPr>
        <w:spacing w:after="240" w:line="360" w:lineRule="exact"/>
        <w:rPr>
          <w:rFonts w:hint="eastAsia"/>
        </w:rPr>
      </w:pPr>
      <w:r>
        <w:rPr>
          <w:rFonts w:hint="eastAsia"/>
          <w:lang w:val="es-ES"/>
        </w:rPr>
        <w:t>528</w:t>
      </w:r>
      <w:r>
        <w:rPr>
          <w:rFonts w:hint="eastAsia"/>
          <w:lang w:val="es-ES"/>
        </w:rPr>
        <w:t>．关注和预防家庭暴力的国家制度</w:t>
      </w:r>
      <w:r>
        <w:rPr>
          <w:rFonts w:hint="eastAsia"/>
        </w:rPr>
        <w:t>从</w:t>
      </w:r>
      <w:r>
        <w:rPr>
          <w:rFonts w:hint="eastAsia"/>
        </w:rPr>
        <w:t>1997</w:t>
      </w:r>
      <w:r>
        <w:rPr>
          <w:rFonts w:hint="eastAsia"/>
        </w:rPr>
        <w:t>年开始起草。该制度按照</w:t>
      </w:r>
      <w:r>
        <w:rPr>
          <w:rFonts w:hint="eastAsia"/>
        </w:rPr>
        <w:t>1997</w:t>
      </w:r>
      <w:r>
        <w:rPr>
          <w:rFonts w:hint="eastAsia"/>
        </w:rPr>
        <w:t>年</w:t>
      </w:r>
      <w:r>
        <w:rPr>
          <w:rFonts w:hint="eastAsia"/>
        </w:rPr>
        <w:t>12</w:t>
      </w:r>
      <w:r>
        <w:rPr>
          <w:rFonts w:hint="eastAsia"/>
        </w:rPr>
        <w:t>月</w:t>
      </w:r>
      <w:r>
        <w:rPr>
          <w:rFonts w:hint="eastAsia"/>
        </w:rPr>
        <w:t>19</w:t>
      </w:r>
      <w:r>
        <w:rPr>
          <w:rFonts w:hint="eastAsia"/>
        </w:rPr>
        <w:t>日颁布的第</w:t>
      </w:r>
      <w:r>
        <w:rPr>
          <w:rFonts w:hint="eastAsia"/>
        </w:rPr>
        <w:t>26664</w:t>
      </w:r>
      <w:r>
        <w:rPr>
          <w:rFonts w:hint="eastAsia"/>
        </w:rPr>
        <w:t>号行政法令的规定进行制订，由罗德里格斯政府于</w:t>
      </w:r>
      <w:r>
        <w:rPr>
          <w:rFonts w:hint="eastAsia"/>
        </w:rPr>
        <w:t>1999</w:t>
      </w:r>
      <w:r>
        <w:rPr>
          <w:rFonts w:hint="eastAsia"/>
        </w:rPr>
        <w:t>年</w:t>
      </w:r>
      <w:r>
        <w:rPr>
          <w:rFonts w:hint="eastAsia"/>
        </w:rPr>
        <w:t>8</w:t>
      </w:r>
      <w:r>
        <w:rPr>
          <w:rFonts w:hint="eastAsia"/>
        </w:rPr>
        <w:t>月</w:t>
      </w:r>
      <w:r>
        <w:rPr>
          <w:rFonts w:hint="eastAsia"/>
        </w:rPr>
        <w:t>9</w:t>
      </w:r>
      <w:r>
        <w:rPr>
          <w:rFonts w:hint="eastAsia"/>
        </w:rPr>
        <w:t>日颁布的第</w:t>
      </w:r>
      <w:r>
        <w:rPr>
          <w:rFonts w:hint="eastAsia"/>
        </w:rPr>
        <w:t>27706</w:t>
      </w:r>
      <w:r>
        <w:rPr>
          <w:rFonts w:hint="eastAsia"/>
        </w:rPr>
        <w:t>号行政法令批准通过。该制度由国家妇女研究所负责执行，目前已经有</w:t>
      </w:r>
      <w:r>
        <w:rPr>
          <w:rFonts w:hint="eastAsia"/>
        </w:rPr>
        <w:t>23</w:t>
      </w:r>
      <w:r>
        <w:rPr>
          <w:rFonts w:hint="eastAsia"/>
        </w:rPr>
        <w:t>个从事有关家庭暴力工作的机构、组织和政府机关采取了该项制度，包括八个国家部委、五个自治机构、司法权力机关、四个政府机构和两名来自社会组</w:t>
      </w:r>
      <w:r>
        <w:rPr>
          <w:rFonts w:hint="eastAsia"/>
        </w:rPr>
        <w:t>织的代表和一名来自从事关注和预防暴力的地方系统的代表。该制度在执行过程中应该纳入一系列的职责，关于这些职责的详细内容见附件</w:t>
      </w:r>
      <w:r>
        <w:rPr>
          <w:rFonts w:hint="eastAsia"/>
        </w:rPr>
        <w:t>5</w:t>
      </w:r>
      <w:r>
        <w:rPr>
          <w:rFonts w:hint="eastAsia"/>
        </w:rPr>
        <w:t>。为履行该制度规定的职责，应该制订六项中心计划，分别为：政治、跨部门合作、追踪和评价计划；诊断计划；关注计划；预防和推动计划；援助资源获取计划以及互学计划。</w:t>
      </w:r>
    </w:p>
    <w:p w:rsidR="00000000" w:rsidRDefault="00CA422F">
      <w:pPr>
        <w:spacing w:after="240" w:line="360" w:lineRule="exact"/>
        <w:rPr>
          <w:rFonts w:hint="eastAsia"/>
        </w:rPr>
      </w:pPr>
      <w:r>
        <w:rPr>
          <w:rFonts w:hint="eastAsia"/>
        </w:rPr>
        <w:t>529</w:t>
      </w:r>
      <w:r>
        <w:rPr>
          <w:rFonts w:hint="eastAsia"/>
        </w:rPr>
        <w:t>．另一方面，</w:t>
      </w:r>
      <w:r>
        <w:rPr>
          <w:rFonts w:hint="eastAsia"/>
        </w:rPr>
        <w:t>1998</w:t>
      </w:r>
      <w:r>
        <w:rPr>
          <w:rFonts w:hint="eastAsia"/>
        </w:rPr>
        <w:t>至</w:t>
      </w:r>
      <w:r>
        <w:rPr>
          <w:rFonts w:hint="eastAsia"/>
        </w:rPr>
        <w:t>2002</w:t>
      </w:r>
      <w:r>
        <w:rPr>
          <w:rFonts w:hint="eastAsia"/>
        </w:rPr>
        <w:t>年间，公共政策在关于家庭暴力内容的制度化过程中已经取得了一系列成就（</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r>
        <w:rPr>
          <w:rFonts w:hint="eastAsia"/>
        </w:rPr>
        <w:t>），分别为：</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在家庭暴力和对女性的暴力方面引入了道德观念范畴，为公共和私人努力进行指导，</w:t>
      </w:r>
      <w:r>
        <w:rPr>
          <w:rFonts w:hint="eastAsia"/>
        </w:rPr>
        <w:t>保障女性的无暴力生活的权利完全实施。</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大部分同家庭暴力相关的政府机构都承担起了一定的责任。例外的有劳动和社会保障部和人类居住和安置部。</w:t>
      </w:r>
    </w:p>
    <w:p w:rsidR="00000000" w:rsidRDefault="00CA422F">
      <w:pPr>
        <w:numPr>
          <w:ilvl w:val="0"/>
          <w:numId w:val="832"/>
        </w:numPr>
        <w:tabs>
          <w:tab w:val="clear" w:pos="720"/>
          <w:tab w:val="num" w:pos="840"/>
        </w:tabs>
        <w:spacing w:after="240" w:line="360" w:lineRule="exact"/>
        <w:ind w:left="840"/>
        <w:rPr>
          <w:rFonts w:hint="eastAsia"/>
        </w:rPr>
      </w:pPr>
      <w:r>
        <w:rPr>
          <w:rFonts w:hint="eastAsia"/>
        </w:rPr>
        <w:t>在教育、卫生、审查机关和司法权利机关等部门的现行制度和草案的基础上将关注和预防服务制度化。</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rPr>
        <w:t>创建了专门开展关注和预防暴力系统培训的部门或机构。例如，家庭暴力整体关注计划、卫生部门领导委员会和</w:t>
      </w:r>
      <w:r>
        <w:rPr>
          <w:rFonts w:hint="eastAsia"/>
          <w:lang w:val="es-ES"/>
        </w:rPr>
        <w:t>国家妇女研究所性别暴力领域。</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拓宽市级妇女办公室的分布网，这些办公室为女性权利、政府政策和包括关注和预防家庭暴力方面的计划的宣传做出了巨大的贡献。目前，全国已设立</w:t>
      </w:r>
      <w:r>
        <w:rPr>
          <w:rFonts w:hint="eastAsia"/>
          <w:lang w:val="es-ES"/>
        </w:rPr>
        <w:t>41</w:t>
      </w:r>
      <w:r>
        <w:rPr>
          <w:rFonts w:hint="eastAsia"/>
          <w:lang w:val="es-ES"/>
        </w:rPr>
        <w:t>个市级妇女办公室。</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关注和预防家庭暴力地方网络的拓展，包括地方政府机构、妇女组织和其它社会组织。</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在国家妇女研究所和其它机构的资助下，利用不同组织各自擅长的专业提供关注服务。例如，关注电话紧急热线、创建收容所、对某些机构人员进行职业培训等。</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加强不同部门之间的合作，为他们提供服务产生一定的影响。例如，承认在《消除家庭暴力法》中缺乏政治责任的规定，并为此成立了安全部制度推动管理委员会。</w:t>
      </w:r>
    </w:p>
    <w:p w:rsidR="00000000" w:rsidRDefault="00CA422F">
      <w:pPr>
        <w:spacing w:after="240" w:line="360" w:lineRule="exact"/>
        <w:rPr>
          <w:rFonts w:hint="eastAsia"/>
          <w:lang w:val="es-ES"/>
        </w:rPr>
      </w:pPr>
      <w:r>
        <w:rPr>
          <w:rFonts w:hint="eastAsia"/>
          <w:lang w:val="es-ES"/>
        </w:rPr>
        <w:t>530</w:t>
      </w:r>
      <w:r>
        <w:rPr>
          <w:rFonts w:hint="eastAsia"/>
          <w:lang w:val="es-ES"/>
        </w:rPr>
        <w:t>．同时，高度评价关注和预防家庭暴力国家制度的中心计划所取得的以下成就（</w:t>
      </w:r>
      <w:r>
        <w:rPr>
          <w:rFonts w:hint="eastAsia"/>
        </w:rPr>
        <w:t>Brenes</w:t>
      </w:r>
      <w:r>
        <w:rPr>
          <w:rFonts w:hint="eastAsia"/>
        </w:rPr>
        <w:t>和</w:t>
      </w:r>
      <w:r>
        <w:rPr>
          <w:lang w:val="es-ES"/>
        </w:rPr>
        <w:t>Méndez</w:t>
      </w:r>
      <w:r>
        <w:rPr>
          <w:rFonts w:hint="eastAsia"/>
          <w:lang w:val="es-ES"/>
        </w:rPr>
        <w:t>，</w:t>
      </w:r>
      <w:r>
        <w:rPr>
          <w:rFonts w:hint="eastAsia"/>
          <w:lang w:val="es-ES"/>
        </w:rPr>
        <w:t>2000</w:t>
      </w:r>
      <w:r>
        <w:rPr>
          <w:rFonts w:hint="eastAsia"/>
          <w:lang w:val="es-ES"/>
        </w:rPr>
        <w:t>年）：</w:t>
      </w:r>
    </w:p>
    <w:p w:rsidR="00000000" w:rsidRDefault="00CA422F">
      <w:pPr>
        <w:numPr>
          <w:ilvl w:val="0"/>
          <w:numId w:val="832"/>
        </w:numPr>
        <w:tabs>
          <w:tab w:val="clear" w:pos="720"/>
          <w:tab w:val="num" w:pos="840"/>
        </w:tabs>
        <w:spacing w:after="240" w:line="360" w:lineRule="exact"/>
        <w:ind w:left="840"/>
        <w:rPr>
          <w:rFonts w:hint="eastAsia"/>
          <w:lang w:val="es-ES"/>
        </w:rPr>
      </w:pPr>
      <w:r>
        <w:rPr>
          <w:rFonts w:eastAsia="SimHei" w:hint="eastAsia"/>
          <w:lang w:val="es-ES"/>
        </w:rPr>
        <w:t>诊断计划</w:t>
      </w:r>
      <w:r>
        <w:rPr>
          <w:rFonts w:hint="eastAsia"/>
          <w:lang w:val="es-ES"/>
        </w:rPr>
        <w:t>：在暴力情况报告</w:t>
      </w:r>
      <w:r>
        <w:rPr>
          <w:rFonts w:hint="eastAsia"/>
          <w:lang w:val="es-ES"/>
        </w:rPr>
        <w:t>中使用的登记制度取得了巨大成就，特别是健康和教育、残疾人等。</w:t>
      </w:r>
    </w:p>
    <w:p w:rsidR="00000000" w:rsidRDefault="00CA422F">
      <w:pPr>
        <w:numPr>
          <w:ilvl w:val="0"/>
          <w:numId w:val="832"/>
        </w:numPr>
        <w:tabs>
          <w:tab w:val="clear" w:pos="720"/>
          <w:tab w:val="num" w:pos="840"/>
        </w:tabs>
        <w:spacing w:after="240" w:line="360" w:lineRule="exact"/>
        <w:ind w:left="840"/>
        <w:rPr>
          <w:rFonts w:hint="eastAsia"/>
          <w:lang w:val="es-ES"/>
        </w:rPr>
      </w:pPr>
      <w:r>
        <w:rPr>
          <w:rFonts w:eastAsia="SimHei" w:hint="eastAsia"/>
          <w:lang w:val="es-ES"/>
        </w:rPr>
        <w:t>关注计划</w:t>
      </w:r>
      <w:r>
        <w:rPr>
          <w:rFonts w:hint="eastAsia"/>
          <w:lang w:val="es-ES"/>
        </w:rPr>
        <w:t>：在地理覆盖和人口普及方面同时拓宽服务。例如，劳动和社会保障部将服务扩大到成年的伤害者身上，并提供暴力受害者集体关注服务。</w:t>
      </w:r>
    </w:p>
    <w:p w:rsidR="00000000" w:rsidRDefault="00CA422F">
      <w:pPr>
        <w:numPr>
          <w:ilvl w:val="0"/>
          <w:numId w:val="832"/>
        </w:numPr>
        <w:tabs>
          <w:tab w:val="clear" w:pos="720"/>
          <w:tab w:val="num" w:pos="840"/>
        </w:tabs>
        <w:spacing w:after="240" w:line="360" w:lineRule="exact"/>
        <w:ind w:left="840"/>
        <w:rPr>
          <w:rFonts w:hint="eastAsia"/>
          <w:lang w:val="es-ES"/>
        </w:rPr>
      </w:pPr>
      <w:r>
        <w:rPr>
          <w:rFonts w:eastAsia="SimHei" w:hint="eastAsia"/>
          <w:lang w:val="es-ES"/>
        </w:rPr>
        <w:t>预防计划</w:t>
      </w:r>
      <w:r>
        <w:rPr>
          <w:rFonts w:hint="eastAsia"/>
          <w:lang w:val="es-ES"/>
        </w:rPr>
        <w:t>：不同机构和组织开展的活动有所增加。继续开展“无暴力生活运动”，以及对特定人群（男童、女童、未成年人、残疾人、贫困妇女、少年孕妇或少年母亲以及舞蹈表演、戏剧演出和国家档案馆举办的各类展览的观众等）进行指导。</w:t>
      </w:r>
    </w:p>
    <w:p w:rsidR="00000000" w:rsidRDefault="00CA422F">
      <w:pPr>
        <w:numPr>
          <w:ilvl w:val="0"/>
          <w:numId w:val="832"/>
        </w:numPr>
        <w:tabs>
          <w:tab w:val="clear" w:pos="720"/>
          <w:tab w:val="num" w:pos="840"/>
        </w:tabs>
        <w:spacing w:after="240" w:line="360" w:lineRule="exact"/>
        <w:ind w:left="840"/>
        <w:rPr>
          <w:rFonts w:hint="eastAsia"/>
        </w:rPr>
      </w:pPr>
      <w:r>
        <w:rPr>
          <w:rFonts w:eastAsia="SimHei" w:hint="eastAsia"/>
          <w:lang w:val="es-ES"/>
        </w:rPr>
        <w:t>资源获取计划</w:t>
      </w:r>
      <w:r>
        <w:rPr>
          <w:rFonts w:hint="eastAsia"/>
          <w:lang w:val="es-ES"/>
        </w:rPr>
        <w:t>：只有收容所取得了一些进步，在彭塔雷纳斯又新建了一个女性收容所。</w:t>
      </w:r>
      <w:r>
        <w:rPr>
          <w:rFonts w:hint="eastAsia"/>
        </w:rPr>
        <w:t>社会援助联合研究所还设立了</w:t>
      </w:r>
      <w:r>
        <w:rPr>
          <w:rFonts w:hint="eastAsia"/>
        </w:rPr>
        <w:t>为拥有学龄子女的家庭提供奖学金的计划。</w:t>
      </w:r>
    </w:p>
    <w:p w:rsidR="00000000" w:rsidRDefault="00CA422F">
      <w:pPr>
        <w:numPr>
          <w:ilvl w:val="0"/>
          <w:numId w:val="832"/>
        </w:numPr>
        <w:tabs>
          <w:tab w:val="clear" w:pos="720"/>
          <w:tab w:val="num" w:pos="840"/>
        </w:tabs>
        <w:spacing w:after="240" w:line="360" w:lineRule="exact"/>
        <w:ind w:left="840"/>
        <w:rPr>
          <w:rFonts w:hint="eastAsia"/>
        </w:rPr>
      </w:pPr>
      <w:r>
        <w:rPr>
          <w:rFonts w:eastAsia="SimHei" w:hint="eastAsia"/>
          <w:lang w:val="es-ES"/>
        </w:rPr>
        <w:t>互学计划</w:t>
      </w:r>
      <w:r>
        <w:rPr>
          <w:rFonts w:hint="eastAsia"/>
        </w:rPr>
        <w:t>：加强了公共教育部、卫生部、劳动和社会保障部、公共安全部和司法权利机关等机构在预防和关注暴力相关人员的培训和敏锐性方面所做的努力。</w:t>
      </w:r>
    </w:p>
    <w:p w:rsidR="00000000" w:rsidRDefault="00CA422F">
      <w:pPr>
        <w:spacing w:after="240" w:line="380" w:lineRule="exact"/>
        <w:rPr>
          <w:rFonts w:hint="eastAsia"/>
        </w:rPr>
      </w:pPr>
      <w:r>
        <w:rPr>
          <w:rFonts w:hint="eastAsia"/>
        </w:rPr>
        <w:t>531</w:t>
      </w:r>
      <w:r>
        <w:rPr>
          <w:rFonts w:hint="eastAsia"/>
        </w:rPr>
        <w:t>．国家妇女研究所在性别暴力领域开展了一项培训计划，主要对象便是关注和预防家庭暴力地方网络的工作人员，同时也兼顾司法人员、警察部门、少年儿童机构、消除家庭暴力的妇女组织等组织和机构的工作人员。</w:t>
      </w:r>
      <w:r>
        <w:rPr>
          <w:rFonts w:hint="eastAsia"/>
        </w:rPr>
        <w:t>2000</w:t>
      </w:r>
      <w:r>
        <w:rPr>
          <w:rFonts w:hint="eastAsia"/>
        </w:rPr>
        <w:t>至</w:t>
      </w:r>
      <w:r>
        <w:rPr>
          <w:rFonts w:hint="eastAsia"/>
        </w:rPr>
        <w:t>2002</w:t>
      </w:r>
      <w:r>
        <w:rPr>
          <w:rFonts w:hint="eastAsia"/>
        </w:rPr>
        <w:t>年间，已经开展了</w:t>
      </w:r>
      <w:r>
        <w:rPr>
          <w:rFonts w:hint="eastAsia"/>
        </w:rPr>
        <w:t>51</w:t>
      </w:r>
      <w:r>
        <w:rPr>
          <w:rFonts w:hint="eastAsia"/>
        </w:rPr>
        <w:t>项培训活动，共有</w:t>
      </w:r>
      <w:r>
        <w:rPr>
          <w:rFonts w:hint="eastAsia"/>
        </w:rPr>
        <w:t>152</w:t>
      </w:r>
      <w:r>
        <w:rPr>
          <w:rFonts w:hint="eastAsia"/>
        </w:rPr>
        <w:t>人参加（</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80" w:lineRule="exact"/>
        <w:rPr>
          <w:rFonts w:hint="eastAsia"/>
        </w:rPr>
      </w:pPr>
      <w:r>
        <w:rPr>
          <w:rFonts w:hint="eastAsia"/>
        </w:rPr>
        <w:t>532</w:t>
      </w:r>
      <w:r>
        <w:rPr>
          <w:rFonts w:hint="eastAsia"/>
        </w:rPr>
        <w:t>．遍布全国的市级妇</w:t>
      </w:r>
      <w:r>
        <w:rPr>
          <w:rFonts w:hint="eastAsia"/>
        </w:rPr>
        <w:t>女办公室是一个关注受暴力侵扰的女性的基础机构（</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80" w:lineRule="exact"/>
        <w:rPr>
          <w:rFonts w:hint="eastAsia"/>
          <w:lang w:val="es-ES"/>
        </w:rPr>
      </w:pPr>
      <w:r>
        <w:rPr>
          <w:rFonts w:hint="eastAsia"/>
        </w:rPr>
        <w:t>533</w:t>
      </w:r>
      <w:r>
        <w:rPr>
          <w:rFonts w:hint="eastAsia"/>
        </w:rPr>
        <w:t>．哥斯达黎加社会保险公司是对其工作人员进行培训的另一个机构，目前共拥有</w:t>
      </w:r>
      <w:r>
        <w:rPr>
          <w:rFonts w:hint="eastAsia"/>
        </w:rPr>
        <w:t>1 250</w:t>
      </w:r>
      <w:r>
        <w:rPr>
          <w:rFonts w:hint="eastAsia"/>
        </w:rPr>
        <w:t>名工作人员。此外，已经在全国的</w:t>
      </w:r>
      <w:r>
        <w:rPr>
          <w:rFonts w:hint="eastAsia"/>
        </w:rPr>
        <w:t>40</w:t>
      </w:r>
      <w:r>
        <w:rPr>
          <w:rFonts w:hint="eastAsia"/>
        </w:rPr>
        <w:t>个社区内推广了家庭暴力整体关注模式，依靠各类综合卫生队和专科医院提供关注服务：墨西哥医院、卡尔德隆·瓜迪亚医院、圣胡安·德·迪奥斯医院、布兰科·塞万提斯医</w:t>
      </w:r>
      <w:r>
        <w:rPr>
          <w:rFonts w:hint="eastAsia"/>
          <w:lang w:val="es-ES"/>
        </w:rPr>
        <w:t>院和精神病医院（</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p>
    <w:p w:rsidR="00000000" w:rsidRDefault="00CA422F">
      <w:pPr>
        <w:spacing w:after="240" w:line="380" w:lineRule="exact"/>
        <w:rPr>
          <w:rFonts w:hint="eastAsia"/>
          <w:lang w:val="es-ES"/>
        </w:rPr>
      </w:pPr>
      <w:r>
        <w:rPr>
          <w:rFonts w:hint="eastAsia"/>
          <w:lang w:val="es-ES"/>
        </w:rPr>
        <w:t>534</w:t>
      </w:r>
      <w:r>
        <w:rPr>
          <w:rFonts w:hint="eastAsia"/>
          <w:lang w:val="es-ES"/>
        </w:rPr>
        <w:t>．另一方面，公共教育部加强了关于家庭暴力方面的工作力度。教育部的不少工作人员已经接</w:t>
      </w:r>
      <w:r>
        <w:rPr>
          <w:rFonts w:hint="eastAsia"/>
          <w:lang w:val="es-ES"/>
        </w:rPr>
        <w:t>受了预防和关注培训。截至</w:t>
      </w:r>
      <w:r>
        <w:rPr>
          <w:rFonts w:hint="eastAsia"/>
          <w:lang w:val="es-ES"/>
        </w:rPr>
        <w:t>2001</w:t>
      </w:r>
      <w:r>
        <w:rPr>
          <w:rFonts w:hint="eastAsia"/>
          <w:lang w:val="es-ES"/>
        </w:rPr>
        <w:t>年</w:t>
      </w:r>
      <w:r>
        <w:rPr>
          <w:rFonts w:hint="eastAsia"/>
          <w:lang w:val="es-ES"/>
        </w:rPr>
        <w:t>9</w:t>
      </w:r>
      <w:r>
        <w:rPr>
          <w:rFonts w:hint="eastAsia"/>
          <w:lang w:val="es-ES"/>
        </w:rPr>
        <w:t>月获得的数据表明，全国各个地区的学校中共有</w:t>
      </w:r>
      <w:r>
        <w:rPr>
          <w:rFonts w:hint="eastAsia"/>
          <w:lang w:val="es-ES"/>
        </w:rPr>
        <w:t>659</w:t>
      </w:r>
      <w:r>
        <w:rPr>
          <w:rFonts w:hint="eastAsia"/>
          <w:lang w:val="es-ES"/>
        </w:rPr>
        <w:t>名工作人员接受了培训（</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p>
    <w:p w:rsidR="00000000" w:rsidRDefault="00CA422F">
      <w:pPr>
        <w:spacing w:after="240" w:line="380" w:lineRule="exact"/>
        <w:rPr>
          <w:rFonts w:hint="eastAsia"/>
          <w:lang w:val="es-ES"/>
        </w:rPr>
      </w:pPr>
      <w:r>
        <w:rPr>
          <w:rFonts w:hint="eastAsia"/>
          <w:lang w:val="es-ES"/>
        </w:rPr>
        <w:t>535</w:t>
      </w:r>
      <w:r>
        <w:rPr>
          <w:rFonts w:hint="eastAsia"/>
          <w:lang w:val="es-ES"/>
        </w:rPr>
        <w:t>．司法道德部开展了预防和关注家庭暴力的工作。在全国暴力和犯罪预防领导机构的指导下，为了在预防家庭暴力方面的合作开展了各项活动，其主要目的便是促进平等、社会团结和一致的各类社会关系，建立暴力和犯罪的预防文化，旨在改善男女公民的生活质量；所有这些都需要通过各部门和各机构之间的共同工作来实现，开展社区网络和组织的支援活动，提高社会敏感度，开展研究、培训和咨询等</w:t>
      </w:r>
      <w:r>
        <w:rPr>
          <w:rFonts w:hint="eastAsia"/>
          <w:lang w:val="es-ES"/>
        </w:rPr>
        <w:t>活动。司法部的主要计划之一便是在中学教育中建立全国青年暴力预防网络（</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p>
    <w:p w:rsidR="00000000" w:rsidRDefault="00CA422F">
      <w:pPr>
        <w:spacing w:after="240" w:line="380" w:lineRule="exact"/>
        <w:rPr>
          <w:rFonts w:hint="eastAsia"/>
          <w:lang w:val="es-ES"/>
        </w:rPr>
      </w:pPr>
      <w:r>
        <w:rPr>
          <w:rFonts w:hint="eastAsia"/>
          <w:lang w:val="es-ES"/>
        </w:rPr>
        <w:t>536</w:t>
      </w:r>
      <w:r>
        <w:rPr>
          <w:rFonts w:hint="eastAsia"/>
          <w:lang w:val="es-ES"/>
        </w:rPr>
        <w:t>．预防领域还应将公共行为控制及评估办公室纳入其中，该办公室主要负责协调</w:t>
      </w:r>
      <w:r>
        <w:rPr>
          <w:rFonts w:hint="eastAsia"/>
          <w:lang w:val="es-ES"/>
        </w:rPr>
        <w:t>7440</w:t>
      </w:r>
      <w:r>
        <w:rPr>
          <w:rFonts w:hint="eastAsia"/>
          <w:lang w:val="es-ES"/>
        </w:rPr>
        <w:t>号法令中规定的各类活动，其目的在于保护未成年人远离不适合他们的心理和生理健康发展的内容（</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p>
    <w:p w:rsidR="00000000" w:rsidRDefault="00CA422F">
      <w:pPr>
        <w:spacing w:after="240" w:line="380" w:lineRule="exact"/>
        <w:rPr>
          <w:rFonts w:hint="eastAsia"/>
          <w:lang w:val="es-ES"/>
        </w:rPr>
      </w:pPr>
      <w:r>
        <w:rPr>
          <w:rFonts w:hint="eastAsia"/>
          <w:lang w:val="es-ES"/>
        </w:rPr>
        <w:t>537</w:t>
      </w:r>
      <w:r>
        <w:rPr>
          <w:rFonts w:hint="eastAsia"/>
          <w:lang w:val="es-ES"/>
        </w:rPr>
        <w:t>．至于关注服务方面，社会适应总局主要从事暴力关注工作，通过各类计划开展诊断、敏感度和治疗等活动，利用全国惩罚体系对侵犯者和因家庭暴力失去人身自由的人进行控制。同样，在关注青少年犯</w:t>
      </w:r>
      <w:r>
        <w:rPr>
          <w:rFonts w:hint="eastAsia"/>
          <w:lang w:val="es-ES"/>
        </w:rPr>
        <w:t>罪人群的全国计划内针对青少年生理犯罪和性犯罪进行关注（</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p>
    <w:p w:rsidR="00000000" w:rsidRDefault="00CA422F">
      <w:pPr>
        <w:spacing w:after="240" w:line="380" w:lineRule="exact"/>
        <w:rPr>
          <w:rFonts w:hint="eastAsia"/>
        </w:rPr>
      </w:pPr>
      <w:r>
        <w:rPr>
          <w:rFonts w:hint="eastAsia"/>
          <w:lang w:val="es-ES"/>
        </w:rPr>
        <w:t>538</w:t>
      </w:r>
      <w:r>
        <w:rPr>
          <w:rFonts w:hint="eastAsia"/>
          <w:lang w:val="es-ES"/>
        </w:rPr>
        <w:t>．去年，</w:t>
      </w:r>
      <w:r>
        <w:rPr>
          <w:rFonts w:hint="eastAsia"/>
        </w:rPr>
        <w:t>保护儿童国家组织也开展了</w:t>
      </w:r>
      <w:r>
        <w:rPr>
          <w:rFonts w:hint="eastAsia"/>
        </w:rPr>
        <w:t>120</w:t>
      </w:r>
      <w:r>
        <w:rPr>
          <w:rFonts w:hint="eastAsia"/>
        </w:rPr>
        <w:t>项预防暴力活动。同时，还受理了共</w:t>
      </w:r>
      <w:r>
        <w:rPr>
          <w:rFonts w:hint="eastAsia"/>
        </w:rPr>
        <w:t>5 000</w:t>
      </w:r>
      <w:r>
        <w:rPr>
          <w:rFonts w:hint="eastAsia"/>
        </w:rPr>
        <w:t>例家庭暴力受害者的案例。</w:t>
      </w:r>
    </w:p>
    <w:p w:rsidR="00000000" w:rsidRDefault="00CA422F">
      <w:pPr>
        <w:spacing w:after="240" w:line="380" w:lineRule="exact"/>
        <w:rPr>
          <w:rFonts w:hint="eastAsia"/>
        </w:rPr>
      </w:pPr>
      <w:r>
        <w:rPr>
          <w:rFonts w:hint="eastAsia"/>
        </w:rPr>
        <w:t>539</w:t>
      </w:r>
      <w:r>
        <w:rPr>
          <w:rFonts w:hint="eastAsia"/>
        </w:rPr>
        <w:t>．国家职业学院通过开设的课程在注册学员中的家庭暴力受害者的职业培训方面做出了重大贡献。然而，对于这部分人群中的服务普及率缺乏确切数据。只有接受该学院服务的女性总人数方面的信息，在</w:t>
      </w:r>
      <w:r>
        <w:rPr>
          <w:rFonts w:hint="eastAsia"/>
        </w:rPr>
        <w:t>2000</w:t>
      </w:r>
      <w:r>
        <w:rPr>
          <w:rFonts w:hint="eastAsia"/>
        </w:rPr>
        <w:t>年</w:t>
      </w:r>
      <w:r>
        <w:rPr>
          <w:rFonts w:hint="eastAsia"/>
        </w:rPr>
        <w:t>1</w:t>
      </w:r>
      <w:r>
        <w:rPr>
          <w:rFonts w:hint="eastAsia"/>
        </w:rPr>
        <w:t>月至</w:t>
      </w:r>
      <w:r>
        <w:rPr>
          <w:rFonts w:hint="eastAsia"/>
        </w:rPr>
        <w:t>3</w:t>
      </w:r>
      <w:r>
        <w:rPr>
          <w:rFonts w:hint="eastAsia"/>
        </w:rPr>
        <w:t>月间大概有</w:t>
      </w:r>
      <w:r>
        <w:rPr>
          <w:rFonts w:hint="eastAsia"/>
        </w:rPr>
        <w:t>175</w:t>
      </w:r>
      <w:r>
        <w:rPr>
          <w:rFonts w:hint="eastAsia"/>
        </w:rPr>
        <w:t>名少年母亲参与了机会创造计划（</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lang w:val="es-ES"/>
        </w:rPr>
        <w:t>年</w:t>
      </w:r>
      <w:r>
        <w:rPr>
          <w:rFonts w:hint="eastAsia"/>
        </w:rPr>
        <w:t>）。</w:t>
      </w:r>
    </w:p>
    <w:p w:rsidR="00000000" w:rsidRDefault="00CA422F">
      <w:pPr>
        <w:spacing w:after="240" w:line="380" w:lineRule="exact"/>
        <w:rPr>
          <w:rFonts w:hint="eastAsia"/>
        </w:rPr>
      </w:pPr>
      <w:r>
        <w:rPr>
          <w:rFonts w:hint="eastAsia"/>
        </w:rPr>
        <w:t>540</w:t>
      </w:r>
      <w:r>
        <w:rPr>
          <w:rFonts w:hint="eastAsia"/>
        </w:rPr>
        <w:t>．关</w:t>
      </w:r>
      <w:r>
        <w:rPr>
          <w:rFonts w:hint="eastAsia"/>
        </w:rPr>
        <w:t>注和预防家庭暴力国家制度保持了对各个机构提供的信息进行处理的权力，以便帮助进行家庭暴力的研究分析并帮助现有的服务进行普及（</w:t>
      </w:r>
      <w:r>
        <w:rPr>
          <w:rFonts w:hint="eastAsia"/>
        </w:rPr>
        <w:t>Brenes</w:t>
      </w:r>
      <w:r>
        <w:rPr>
          <w:rFonts w:hint="eastAsia"/>
        </w:rPr>
        <w:t>和</w:t>
      </w:r>
      <w:r>
        <w:rPr>
          <w:lang w:val="es-ES"/>
        </w:rPr>
        <w:t>Méndez</w:t>
      </w:r>
      <w:r>
        <w:rPr>
          <w:rFonts w:hint="eastAsia"/>
          <w:lang w:val="es-ES"/>
        </w:rPr>
        <w:t>，</w:t>
      </w:r>
      <w:r>
        <w:rPr>
          <w:rFonts w:hint="eastAsia"/>
          <w:lang w:val="es-ES"/>
        </w:rPr>
        <w:t>2002</w:t>
      </w:r>
      <w:r>
        <w:rPr>
          <w:rFonts w:hint="eastAsia"/>
        </w:rPr>
        <w:t>）。</w:t>
      </w:r>
    </w:p>
    <w:p w:rsidR="00000000" w:rsidRDefault="00CA422F">
      <w:pPr>
        <w:spacing w:after="240" w:line="380" w:lineRule="exact"/>
        <w:jc w:val="center"/>
        <w:rPr>
          <w:rFonts w:eastAsia="SimHei" w:hint="eastAsia"/>
          <w:sz w:val="24"/>
          <w:lang w:val="es-ES"/>
        </w:rPr>
      </w:pPr>
      <w:r>
        <w:rPr>
          <w:rFonts w:eastAsia="SimHei" w:hint="eastAsia"/>
          <w:sz w:val="24"/>
          <w:lang w:val="es-ES"/>
        </w:rPr>
        <w:t>性暴力、强迫怀孕、危险的流产</w:t>
      </w:r>
    </w:p>
    <w:p w:rsidR="00000000" w:rsidRDefault="00CA422F">
      <w:pPr>
        <w:spacing w:after="240" w:line="380" w:lineRule="exact"/>
        <w:rPr>
          <w:rFonts w:hint="eastAsia"/>
          <w:lang w:val="es-ES"/>
        </w:rPr>
      </w:pPr>
      <w:r>
        <w:rPr>
          <w:rFonts w:hint="eastAsia"/>
          <w:lang w:val="es-ES"/>
        </w:rPr>
        <w:t>541</w:t>
      </w:r>
      <w:r>
        <w:rPr>
          <w:rFonts w:hint="eastAsia"/>
          <w:lang w:val="es-ES"/>
        </w:rPr>
        <w:t>．事实上，任何一名女性都有面临来自毫不相干的男性的性侵犯的危险，而男性却极不可能面临这种危险，这表明性暴力是建立在明确的性别不平等基础之上的一种对女性进行侵犯的形式。这里指的是男性对女性躯体和性生活的控制，这种控制夺取了女性的完整和自主。性暴力的表现形式多种多样，不仅有生理上的，还有精神上的，甚至包括强奸行为中</w:t>
      </w:r>
      <w:r>
        <w:rPr>
          <w:rFonts w:hint="eastAsia"/>
          <w:lang w:val="es-ES"/>
        </w:rPr>
        <w:t>的直接的生理伤害以及性压迫中某些歧视性语言的使用，从公开的攻击性表示到细致入微的表达不一而足（</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80" w:lineRule="exact"/>
        <w:rPr>
          <w:rFonts w:hint="eastAsia"/>
          <w:lang w:val="es-ES"/>
        </w:rPr>
      </w:pPr>
      <w:r>
        <w:rPr>
          <w:rFonts w:hint="eastAsia"/>
          <w:lang w:val="es-ES"/>
        </w:rPr>
        <w:t>542</w:t>
      </w:r>
      <w:r>
        <w:rPr>
          <w:rFonts w:hint="eastAsia"/>
          <w:lang w:val="es-ES"/>
        </w:rPr>
        <w:t>．性暴力带有明显的性别倾向。</w:t>
      </w:r>
      <w:r>
        <w:rPr>
          <w:rFonts w:hint="eastAsia"/>
          <w:lang w:val="es-ES"/>
        </w:rPr>
        <w:t>2000</w:t>
      </w:r>
      <w:r>
        <w:rPr>
          <w:rFonts w:hint="eastAsia"/>
          <w:lang w:val="es-ES"/>
        </w:rPr>
        <w:t>年间，拨打</w:t>
      </w:r>
      <w:r>
        <w:rPr>
          <w:rFonts w:hint="eastAsia"/>
          <w:lang w:val="es-ES"/>
        </w:rPr>
        <w:t>800</w:t>
      </w:r>
      <w:r>
        <w:rPr>
          <w:rFonts w:hint="eastAsia"/>
          <w:lang w:val="es-ES"/>
        </w:rPr>
        <w:t>－</w:t>
      </w:r>
      <w:r>
        <w:rPr>
          <w:rFonts w:hint="eastAsia"/>
          <w:lang w:val="es-ES"/>
        </w:rPr>
        <w:t>300</w:t>
      </w:r>
      <w:r>
        <w:rPr>
          <w:rFonts w:hint="eastAsia"/>
          <w:lang w:val="es-ES"/>
        </w:rPr>
        <w:t>－</w:t>
      </w:r>
      <w:r>
        <w:rPr>
          <w:rFonts w:hint="eastAsia"/>
          <w:lang w:val="es-ES"/>
        </w:rPr>
        <w:t>3000</w:t>
      </w:r>
      <w:r>
        <w:rPr>
          <w:rFonts w:hint="eastAsia"/>
          <w:lang w:val="es-ES"/>
        </w:rPr>
        <w:t>热线的电话中，</w:t>
      </w:r>
      <w:r>
        <w:rPr>
          <w:rFonts w:hint="eastAsia"/>
          <w:lang w:val="es-ES"/>
        </w:rPr>
        <w:t>98</w:t>
      </w:r>
      <w:r>
        <w:t>.</w:t>
      </w:r>
      <w:r>
        <w:rPr>
          <w:rFonts w:hint="eastAsia"/>
          <w:lang w:val="es-ES"/>
        </w:rPr>
        <w:t>1</w:t>
      </w:r>
      <w:r>
        <w:rPr>
          <w:lang w:val="es-ES"/>
        </w:rPr>
        <w:t>%</w:t>
      </w:r>
      <w:r>
        <w:rPr>
          <w:rFonts w:hint="eastAsia"/>
          <w:lang w:val="es-ES"/>
        </w:rPr>
        <w:t>在涉及性暴力话题时提到女性是侵犯对象，而</w:t>
      </w:r>
      <w:r>
        <w:rPr>
          <w:rFonts w:hint="eastAsia"/>
          <w:lang w:val="es-ES"/>
        </w:rPr>
        <w:t>98</w:t>
      </w:r>
      <w:r>
        <w:rPr>
          <w:lang w:val="es-ES"/>
        </w:rPr>
        <w:t>.</w:t>
      </w:r>
      <w:r>
        <w:rPr>
          <w:rFonts w:hint="eastAsia"/>
          <w:lang w:val="es-ES"/>
        </w:rPr>
        <w:t>5</w:t>
      </w:r>
      <w:r>
        <w:rPr>
          <w:lang w:val="es-ES"/>
        </w:rPr>
        <w:t>%</w:t>
      </w:r>
      <w:r>
        <w:rPr>
          <w:rFonts w:hint="eastAsia"/>
          <w:lang w:val="es-ES"/>
        </w:rPr>
        <w:t>的人则认为男性是性暴力的侵犯者（国家妇女研究所）。另一方面，</w:t>
      </w:r>
      <w:r>
        <w:rPr>
          <w:rFonts w:hint="eastAsia"/>
          <w:lang w:val="es-ES"/>
        </w:rPr>
        <w:t>1991</w:t>
      </w:r>
      <w:r>
        <w:rPr>
          <w:rFonts w:hint="eastAsia"/>
          <w:lang w:val="es-ES"/>
        </w:rPr>
        <w:t>至</w:t>
      </w:r>
      <w:r>
        <w:rPr>
          <w:rFonts w:hint="eastAsia"/>
          <w:lang w:val="es-ES"/>
        </w:rPr>
        <w:t>1999</w:t>
      </w:r>
      <w:r>
        <w:rPr>
          <w:rFonts w:hint="eastAsia"/>
          <w:lang w:val="es-ES"/>
        </w:rPr>
        <w:t>年间，男性几乎构成了因性侵犯而受到刑事处罚的整个群体，所占比例在</w:t>
      </w:r>
      <w:r>
        <w:rPr>
          <w:rFonts w:hint="eastAsia"/>
          <w:lang w:val="es-ES"/>
        </w:rPr>
        <w:t>97</w:t>
      </w:r>
      <w:r>
        <w:rPr>
          <w:lang w:val="es-ES"/>
        </w:rPr>
        <w:t>.</w:t>
      </w:r>
      <w:r>
        <w:rPr>
          <w:rFonts w:hint="eastAsia"/>
          <w:lang w:val="es-ES"/>
        </w:rPr>
        <w:t>8%</w:t>
      </w:r>
      <w:r>
        <w:rPr>
          <w:rFonts w:hint="eastAsia"/>
          <w:lang w:val="es-ES"/>
        </w:rPr>
        <w:t>和</w:t>
      </w:r>
      <w:r>
        <w:rPr>
          <w:rFonts w:hint="eastAsia"/>
          <w:lang w:val="es-ES"/>
        </w:rPr>
        <w:t>100%</w:t>
      </w:r>
      <w:r>
        <w:rPr>
          <w:rFonts w:hint="eastAsia"/>
          <w:lang w:val="es-ES"/>
        </w:rPr>
        <w:t>之间（司法权力机关，</w:t>
      </w:r>
      <w:r>
        <w:rPr>
          <w:rFonts w:hint="eastAsia"/>
          <w:lang w:val="es-ES"/>
        </w:rPr>
        <w:t>1991</w:t>
      </w:r>
      <w:r>
        <w:rPr>
          <w:rFonts w:hint="eastAsia"/>
          <w:lang w:val="es-ES"/>
        </w:rPr>
        <w:t>至</w:t>
      </w:r>
      <w:r>
        <w:rPr>
          <w:rFonts w:hint="eastAsia"/>
          <w:lang w:val="es-ES"/>
        </w:rPr>
        <w:t>1999</w:t>
      </w:r>
      <w:r>
        <w:rPr>
          <w:rFonts w:hint="eastAsia"/>
          <w:lang w:val="es-ES"/>
        </w:rPr>
        <w:t>年）。</w:t>
      </w:r>
    </w:p>
    <w:p w:rsidR="00000000" w:rsidRDefault="00CA422F">
      <w:pPr>
        <w:spacing w:after="240" w:line="380" w:lineRule="exact"/>
        <w:rPr>
          <w:rFonts w:hint="eastAsia"/>
          <w:lang w:val="es-ES"/>
        </w:rPr>
      </w:pPr>
      <w:r>
        <w:rPr>
          <w:rFonts w:hint="eastAsia"/>
          <w:lang w:val="es-ES"/>
        </w:rPr>
        <w:t>543</w:t>
      </w:r>
      <w:r>
        <w:rPr>
          <w:rFonts w:hint="eastAsia"/>
          <w:lang w:val="es-ES"/>
        </w:rPr>
        <w:t>．性暴力的方向性不是偶</w:t>
      </w:r>
      <w:r>
        <w:rPr>
          <w:rFonts w:hint="eastAsia"/>
          <w:lang w:val="es-ES"/>
        </w:rPr>
        <w:t>然的。男女之间不对称的关系在性生活领域中占据了主导地位。一方面，作为社会群体，该领域中男性控制女性的现象极为普遍。男性侵犯者之所以做出此类举动，似乎为了证明他有权拥有任何一名女性。如此多的男性和女性都使用“拥有”一词，或者用“使用”一词来表达男女之间的性关系，这决不是偶然的。</w:t>
      </w:r>
    </w:p>
    <w:p w:rsidR="00000000" w:rsidRDefault="00CA422F">
      <w:pPr>
        <w:spacing w:after="240" w:line="380" w:lineRule="exact"/>
        <w:rPr>
          <w:rFonts w:hint="eastAsia"/>
          <w:spacing w:val="-4"/>
          <w:lang w:val="es-ES"/>
        </w:rPr>
      </w:pPr>
      <w:r>
        <w:rPr>
          <w:rFonts w:hint="eastAsia"/>
          <w:lang w:val="es-ES"/>
        </w:rPr>
        <w:t>544</w:t>
      </w:r>
      <w:r>
        <w:rPr>
          <w:rFonts w:hint="eastAsia"/>
          <w:lang w:val="es-ES"/>
        </w:rPr>
        <w:t>．</w:t>
      </w:r>
      <w:r>
        <w:rPr>
          <w:rFonts w:hint="eastAsia"/>
          <w:spacing w:val="-4"/>
          <w:lang w:val="es-ES"/>
        </w:rPr>
        <w:t>并非所有的性侵犯都被现行的刑法确认为有罪。然而，最近提出的某些修正案中认为，针对女性、特别是针对女童的性侵犯的形式有所增加，可以作为罪行提起诉讼。未成年人的卖淫行为也是如此，甚至包括被迫从事卖淫行为的女童和未成年少女的“嫖客”</w:t>
      </w:r>
      <w:r>
        <w:rPr>
          <w:rFonts w:hint="eastAsia"/>
          <w:spacing w:val="-4"/>
          <w:lang w:val="es-ES"/>
        </w:rPr>
        <w:t>——他们实际上是卖淫行为的胁迫者（立法议会，</w:t>
      </w:r>
      <w:r>
        <w:rPr>
          <w:rFonts w:hint="eastAsia"/>
          <w:spacing w:val="-4"/>
          <w:lang w:val="es-ES"/>
        </w:rPr>
        <w:t>1999</w:t>
      </w:r>
      <w:r>
        <w:rPr>
          <w:rFonts w:hint="eastAsia"/>
          <w:spacing w:val="-4"/>
          <w:lang w:val="es-ES"/>
        </w:rPr>
        <w:t>年）。</w:t>
      </w:r>
    </w:p>
    <w:p w:rsidR="00000000" w:rsidRDefault="00CA422F">
      <w:pPr>
        <w:spacing w:after="240" w:line="380" w:lineRule="exact"/>
        <w:rPr>
          <w:rFonts w:hint="eastAsia"/>
          <w:lang w:val="es-ES"/>
        </w:rPr>
      </w:pPr>
      <w:r>
        <w:rPr>
          <w:rFonts w:hint="eastAsia"/>
          <w:lang w:val="es-ES"/>
        </w:rPr>
        <w:t>545</w:t>
      </w:r>
      <w:r>
        <w:rPr>
          <w:rFonts w:hint="eastAsia"/>
          <w:lang w:val="es-ES"/>
        </w:rPr>
        <w:t>．自</w:t>
      </w:r>
      <w:r>
        <w:rPr>
          <w:rFonts w:hint="eastAsia"/>
          <w:lang w:val="es-ES"/>
        </w:rPr>
        <w:t>1991</w:t>
      </w:r>
      <w:r>
        <w:rPr>
          <w:rFonts w:hint="eastAsia"/>
          <w:lang w:val="es-ES"/>
        </w:rPr>
        <w:t>年以来，因性犯罪提起的诉讼不断增加，分别占每年刑事诉讼总数的</w:t>
      </w:r>
      <w:r>
        <w:rPr>
          <w:rFonts w:hint="eastAsia"/>
          <w:lang w:val="es-ES"/>
        </w:rPr>
        <w:t>3,4%</w:t>
      </w:r>
      <w:r>
        <w:rPr>
          <w:rFonts w:hint="eastAsia"/>
          <w:lang w:val="es-ES"/>
        </w:rPr>
        <w:t>和</w:t>
      </w:r>
      <w:r>
        <w:rPr>
          <w:rFonts w:hint="eastAsia"/>
          <w:lang w:val="es-ES"/>
        </w:rPr>
        <w:t>4</w:t>
      </w:r>
      <w:r>
        <w:t>.</w:t>
      </w:r>
      <w:r>
        <w:rPr>
          <w:rFonts w:hint="eastAsia"/>
          <w:lang w:val="es-ES"/>
        </w:rPr>
        <w:t>1%</w:t>
      </w:r>
      <w:r>
        <w:rPr>
          <w:rFonts w:hint="eastAsia"/>
          <w:lang w:val="es-ES"/>
        </w:rPr>
        <w:t>。最常见的控诉便是性行为的不忠和强奸行为（</w:t>
      </w:r>
      <w:r>
        <w:rPr>
          <w:rFonts w:hint="eastAsia"/>
          <w:lang w:val="es-ES"/>
        </w:rPr>
        <w:t>2000</w:t>
      </w:r>
      <w:r>
        <w:rPr>
          <w:rFonts w:hint="eastAsia"/>
          <w:lang w:val="es-ES"/>
        </w:rPr>
        <w:t>年分别为</w:t>
      </w:r>
      <w:r>
        <w:rPr>
          <w:rFonts w:hint="eastAsia"/>
          <w:lang w:val="es-ES"/>
        </w:rPr>
        <w:t>1</w:t>
      </w:r>
      <w:r>
        <w:rPr>
          <w:lang w:val="es-ES"/>
        </w:rPr>
        <w:t xml:space="preserve"> </w:t>
      </w:r>
      <w:r>
        <w:rPr>
          <w:rFonts w:hint="eastAsia"/>
          <w:lang w:val="es-ES"/>
        </w:rPr>
        <w:t>434</w:t>
      </w:r>
      <w:r>
        <w:rPr>
          <w:rFonts w:hint="eastAsia"/>
          <w:lang w:val="es-ES"/>
        </w:rPr>
        <w:t>例和</w:t>
      </w:r>
      <w:r>
        <w:rPr>
          <w:rFonts w:hint="eastAsia"/>
          <w:lang w:val="es-ES"/>
        </w:rPr>
        <w:t>1</w:t>
      </w:r>
      <w:r>
        <w:rPr>
          <w:lang w:val="es-ES"/>
        </w:rPr>
        <w:t xml:space="preserve"> </w:t>
      </w:r>
      <w:r>
        <w:rPr>
          <w:rFonts w:hint="eastAsia"/>
          <w:lang w:val="es-ES"/>
        </w:rPr>
        <w:t>209</w:t>
      </w:r>
      <w:r>
        <w:rPr>
          <w:rFonts w:hint="eastAsia"/>
          <w:lang w:val="es-ES"/>
        </w:rPr>
        <w:t>例）。这些数据在不断上升，并不意味着性侵犯行为也有所增加，因为产生上述现象的原因既可能是女性已经意识到可以运用更多的权利进行申诉，也可能是司法机关对这类侵犯罪行的认识和敏感性有所增加。妇女组织和国家机构在九十年代在这方面开展了大量信息、披露和监督工作，也许性犯罪的刑事诉讼将</w:t>
      </w:r>
      <w:r>
        <w:rPr>
          <w:rFonts w:hint="eastAsia"/>
          <w:lang w:val="es-ES"/>
        </w:rPr>
        <w:t>取得一定的成就。</w:t>
      </w:r>
    </w:p>
    <w:p w:rsidR="00000000" w:rsidRDefault="00CA422F">
      <w:pPr>
        <w:spacing w:after="240" w:line="380" w:lineRule="exact"/>
        <w:rPr>
          <w:rFonts w:hint="eastAsia"/>
          <w:lang w:val="es-ES"/>
        </w:rPr>
      </w:pPr>
      <w:r>
        <w:rPr>
          <w:rFonts w:hint="eastAsia"/>
          <w:lang w:val="es-ES"/>
        </w:rPr>
        <w:t>546</w:t>
      </w:r>
      <w:r>
        <w:rPr>
          <w:rFonts w:hint="eastAsia"/>
          <w:lang w:val="es-ES"/>
        </w:rPr>
        <w:t>．社会对于男女在性生活方面的约束不仅仅是非常不一致的，有时候甚至是敌对的。从文化的角度来看，通常认为女性处于消极被动状态，而男性则是积极主动的，因而性犯罪领域的行为对女性而言是一种惩罚，对男性则是一项夸耀的资本。直到不久之前，哥斯达黎加这方面的相关立法中还明显存在歧视，对通奸罪中女性的惩罚力度要大于男性，或者要求女性——只针对女性——保持尊严，以便能够正视因性犯罪而提起的诉讼。</w:t>
      </w:r>
    </w:p>
    <w:p w:rsidR="00000000" w:rsidRDefault="00CA422F">
      <w:pPr>
        <w:spacing w:after="240" w:line="380" w:lineRule="exact"/>
        <w:rPr>
          <w:rFonts w:hint="eastAsia"/>
        </w:rPr>
      </w:pPr>
      <w:r>
        <w:rPr>
          <w:rFonts w:hint="eastAsia"/>
          <w:lang w:val="es-ES"/>
        </w:rPr>
        <w:t>547</w:t>
      </w:r>
      <w:r>
        <w:rPr>
          <w:rFonts w:hint="eastAsia"/>
          <w:lang w:val="es-ES"/>
        </w:rPr>
        <w:t>．同样，对女性怀有性目的的接近，只要没有引起女性的反感，女性也不会认为自己受到了侵犯。然而，“夸奖”</w:t>
      </w:r>
      <w:r>
        <w:rPr>
          <w:rFonts w:hint="eastAsia"/>
          <w:lang w:val="es-ES"/>
        </w:rPr>
        <w:t>女性时使用的挑逗性语言、眼神或带有明显性内容的评论，传统上认为是男性的自然举动，而女性应该为此而感到骄傲。另一方面，对性行为的约束也是为了更好地投入工作和学习，或者完全相反，为了满足性要求而面临被处罚的危险，通常都认为这是由女性造成的，而控制整个游戏的男性却无需承担任何责任。此类举动被全球范围内开展的女性运动称为性骚扰，因此可以将其作为建立在性别不平等基础上对女性的暴力行为而提起诉讼。性骚扰是女性无论在公共场合还是在私人领域都能感受到的最为普遍的性暴力行为之一，内容极为复杂。对受害者而言，这种侵犯会带来生理</w:t>
      </w:r>
      <w:r>
        <w:rPr>
          <w:rFonts w:hint="eastAsia"/>
          <w:lang w:val="es-ES"/>
        </w:rPr>
        <w:t>和心理上的不安，同时，还会对其工作或学习造成负面影响。在哥斯达黎加，揭露性压迫的暴力特征也是困难重重，虽然</w:t>
      </w:r>
      <w:r>
        <w:rPr>
          <w:rFonts w:hint="eastAsia"/>
          <w:lang w:val="es-ES"/>
        </w:rPr>
        <w:t>1995</w:t>
      </w:r>
      <w:r>
        <w:rPr>
          <w:rFonts w:hint="eastAsia"/>
          <w:lang w:val="es-ES"/>
        </w:rPr>
        <w:t>年通过了《</w:t>
      </w:r>
      <w:r>
        <w:rPr>
          <w:rFonts w:hint="eastAsia"/>
        </w:rPr>
        <w:t>反对教育和工作中的性骚扰法》，但是对此进行申诉仍然十分困难。例证之一便是对提起诉讼的女性怀有偏见，认为她们是“问题女性”，使她们蒙羞（居民保护组织，</w:t>
      </w:r>
      <w:r>
        <w:rPr>
          <w:rFonts w:hint="eastAsia"/>
        </w:rPr>
        <w:t>2001</w:t>
      </w:r>
      <w:r>
        <w:rPr>
          <w:rFonts w:hint="eastAsia"/>
        </w:rPr>
        <w:t>年）。</w:t>
      </w:r>
    </w:p>
    <w:p w:rsidR="00000000" w:rsidRDefault="00CA422F">
      <w:pPr>
        <w:spacing w:after="240" w:line="380" w:lineRule="exact"/>
        <w:rPr>
          <w:rFonts w:hint="eastAsia"/>
        </w:rPr>
      </w:pPr>
      <w:r>
        <w:rPr>
          <w:rFonts w:hint="eastAsia"/>
        </w:rPr>
        <w:t>548</w:t>
      </w:r>
      <w:r>
        <w:rPr>
          <w:rFonts w:hint="eastAsia"/>
        </w:rPr>
        <w:t>．性侵犯可能带来的结果之一便是强迫怀孕。强迫怀孕再次有力地证明了性别之间存在的力量不平衡。许多时候，强迫怀孕是强奸、乱伦和其它性关系的产物，这些行为中存在的性别同年龄、权力、经验或地位的差异，或者对侵犯者的信任等因素交</w:t>
      </w:r>
      <w:r>
        <w:rPr>
          <w:rFonts w:hint="eastAsia"/>
        </w:rPr>
        <w:t>织在一起。</w:t>
      </w:r>
      <w:r>
        <w:rPr>
          <w:rFonts w:hint="eastAsia"/>
        </w:rPr>
        <w:t>1992</w:t>
      </w:r>
      <w:r>
        <w:rPr>
          <w:rFonts w:hint="eastAsia"/>
        </w:rPr>
        <w:t>年公布的一项研究表明，大部分少女怀孕是成年男性所为（</w:t>
      </w:r>
      <w:r>
        <w:rPr>
          <w:rFonts w:hint="eastAsia"/>
          <w:lang w:val="es-ES"/>
        </w:rPr>
        <w:t>哥斯达黎加人口协会，</w:t>
      </w:r>
      <w:r>
        <w:rPr>
          <w:rFonts w:hint="eastAsia"/>
          <w:lang w:val="es-ES"/>
        </w:rPr>
        <w:t>1992</w:t>
      </w:r>
      <w:r>
        <w:rPr>
          <w:rFonts w:hint="eastAsia"/>
          <w:lang w:val="es-ES"/>
        </w:rPr>
        <w:t>年</w:t>
      </w:r>
      <w:r>
        <w:rPr>
          <w:rFonts w:hint="eastAsia"/>
        </w:rPr>
        <w:t>）。</w:t>
      </w:r>
    </w:p>
    <w:p w:rsidR="00000000" w:rsidRDefault="00CA422F">
      <w:pPr>
        <w:spacing w:after="240" w:line="380" w:lineRule="exact"/>
        <w:rPr>
          <w:rFonts w:hint="eastAsia"/>
        </w:rPr>
      </w:pPr>
      <w:r>
        <w:rPr>
          <w:rFonts w:hint="eastAsia"/>
        </w:rPr>
        <w:t>549</w:t>
      </w:r>
      <w:r>
        <w:rPr>
          <w:rFonts w:hint="eastAsia"/>
        </w:rPr>
        <w:t>．面对这种因性侵犯带来的结果，女性面临的只有继续忍受强迫怀孕造成的恶果或者堕胎两种选择。如果决定采取第二种方法，那么她们需要面对的不仅是社会责备，同时还需要接受刑事处罚。据调查，自</w:t>
      </w:r>
      <w:r>
        <w:rPr>
          <w:rFonts w:hint="eastAsia"/>
        </w:rPr>
        <w:t>1991</w:t>
      </w:r>
      <w:r>
        <w:rPr>
          <w:rFonts w:hint="eastAsia"/>
        </w:rPr>
        <w:t>年以来，每年平均有近</w:t>
      </w:r>
      <w:r>
        <w:rPr>
          <w:rFonts w:hint="eastAsia"/>
        </w:rPr>
        <w:t>40</w:t>
      </w:r>
      <w:r>
        <w:rPr>
          <w:rFonts w:hint="eastAsia"/>
        </w:rPr>
        <w:t>例堕胎案例。但是，每年获得惩罚的人数（接受堕胎的女性和施行堕胎手术的男性或女性）却非常少，而其中只有</w:t>
      </w:r>
      <w:r>
        <w:rPr>
          <w:rFonts w:hint="eastAsia"/>
        </w:rPr>
        <w:t>50%</w:t>
      </w:r>
      <w:r>
        <w:rPr>
          <w:rFonts w:hint="eastAsia"/>
        </w:rPr>
        <w:t>的人受到了刑事处罚。然而，这些处罚主要是针对女性的（九十年代</w:t>
      </w:r>
      <w:r>
        <w:rPr>
          <w:rFonts w:hint="eastAsia"/>
        </w:rPr>
        <w:t>21</w:t>
      </w:r>
      <w:r>
        <w:rPr>
          <w:rFonts w:hint="eastAsia"/>
        </w:rPr>
        <w:t>例案件中有</w:t>
      </w:r>
      <w:r>
        <w:rPr>
          <w:rFonts w:hint="eastAsia"/>
        </w:rPr>
        <w:t>20</w:t>
      </w:r>
      <w:r>
        <w:rPr>
          <w:rFonts w:hint="eastAsia"/>
        </w:rPr>
        <w:t>例处</w:t>
      </w:r>
      <w:r>
        <w:rPr>
          <w:rFonts w:hint="eastAsia"/>
        </w:rPr>
        <w:t>罚了女性）。如果是性侵犯造成的强迫怀孕，那么上述惩罚则构成了双重侵犯（司法机关统计年报，</w:t>
      </w:r>
      <w:r>
        <w:rPr>
          <w:rFonts w:hint="eastAsia"/>
        </w:rPr>
        <w:t>1990</w:t>
      </w:r>
      <w:r>
        <w:rPr>
          <w:rFonts w:hint="eastAsia"/>
        </w:rPr>
        <w:t>－</w:t>
      </w:r>
      <w:r>
        <w:rPr>
          <w:rFonts w:hint="eastAsia"/>
        </w:rPr>
        <w:t>1999</w:t>
      </w:r>
      <w:r>
        <w:rPr>
          <w:rFonts w:hint="eastAsia"/>
        </w:rPr>
        <w:t>年，司法机关规划处）。</w:t>
      </w:r>
    </w:p>
    <w:p w:rsidR="00000000" w:rsidRDefault="00CA422F">
      <w:pPr>
        <w:spacing w:after="240" w:line="380" w:lineRule="exact"/>
        <w:rPr>
          <w:rFonts w:hint="eastAsia"/>
        </w:rPr>
      </w:pPr>
      <w:r>
        <w:rPr>
          <w:rFonts w:hint="eastAsia"/>
        </w:rPr>
        <w:t>550</w:t>
      </w:r>
      <w:r>
        <w:rPr>
          <w:rFonts w:hint="eastAsia"/>
        </w:rPr>
        <w:t>．据估计，</w:t>
      </w:r>
      <w:r>
        <w:rPr>
          <w:rFonts w:hint="eastAsia"/>
        </w:rPr>
        <w:t>1993</w:t>
      </w:r>
      <w:r>
        <w:rPr>
          <w:rFonts w:hint="eastAsia"/>
        </w:rPr>
        <w:t>年哥斯达黎加大约发生了</w:t>
      </w:r>
      <w:r>
        <w:rPr>
          <w:rFonts w:hint="eastAsia"/>
        </w:rPr>
        <w:t>8 500</w:t>
      </w:r>
      <w:r>
        <w:rPr>
          <w:rFonts w:hint="eastAsia"/>
        </w:rPr>
        <w:t>例非法堕胎（《方向》杂志，</w:t>
      </w:r>
      <w:r>
        <w:rPr>
          <w:rFonts w:hint="eastAsia"/>
        </w:rPr>
        <w:t>1993</w:t>
      </w:r>
      <w:r>
        <w:rPr>
          <w:rFonts w:hint="eastAsia"/>
        </w:rPr>
        <w:t>年</w:t>
      </w:r>
      <w:r>
        <w:rPr>
          <w:rFonts w:hint="eastAsia"/>
        </w:rPr>
        <w:t>3</w:t>
      </w:r>
      <w:r>
        <w:rPr>
          <w:rFonts w:hint="eastAsia"/>
        </w:rPr>
        <w:t>月</w:t>
      </w:r>
      <w:r>
        <w:rPr>
          <w:rFonts w:hint="eastAsia"/>
        </w:rPr>
        <w:t>16</w:t>
      </w:r>
      <w:r>
        <w:rPr>
          <w:rFonts w:hint="eastAsia"/>
        </w:rPr>
        <w:t>日，由</w:t>
      </w:r>
      <w:r>
        <w:rPr>
          <w:rFonts w:hint="eastAsia"/>
        </w:rPr>
        <w:t>Carcedo</w:t>
      </w:r>
      <w:r>
        <w:rPr>
          <w:rFonts w:hint="eastAsia"/>
        </w:rPr>
        <w:t>引用，</w:t>
      </w:r>
      <w:r>
        <w:rPr>
          <w:rFonts w:hint="eastAsia"/>
        </w:rPr>
        <w:t>1993</w:t>
      </w:r>
      <w:r>
        <w:rPr>
          <w:rFonts w:hint="eastAsia"/>
        </w:rPr>
        <w:t>年，第</w:t>
      </w:r>
      <w:r>
        <w:rPr>
          <w:rFonts w:hint="eastAsia"/>
        </w:rPr>
        <w:t>18</w:t>
      </w:r>
      <w:r>
        <w:rPr>
          <w:rFonts w:hint="eastAsia"/>
        </w:rPr>
        <w:t>页），这表明强迫怀孕是不少女性必须面对的事实。此外，正如女性运动经常指出的那样，对堕胎的惩罚会使非法堕胎的女性的健康和生活面临更大的危险，因为非法堕胎通常缺乏必要的医疗条件和卫生条件。另一方面，这种惩罚又产生了明显的社会歧视，因为经济富裕</w:t>
      </w:r>
      <w:r>
        <w:rPr>
          <w:rFonts w:hint="eastAsia"/>
        </w:rPr>
        <w:t>的人士会选择出国，前往堕胎合法的国家进行堕胎，也就不用担心因秘密堕胎而在健康、生活和自由等方面面临的危险了。</w:t>
      </w:r>
    </w:p>
    <w:p w:rsidR="00000000" w:rsidRDefault="00CA422F">
      <w:pPr>
        <w:spacing w:after="240" w:line="380" w:lineRule="exact"/>
        <w:jc w:val="center"/>
        <w:rPr>
          <w:rFonts w:eastAsia="SimHei" w:hint="eastAsia"/>
          <w:sz w:val="24"/>
        </w:rPr>
      </w:pPr>
      <w:r>
        <w:rPr>
          <w:rFonts w:eastAsia="SimHei" w:hint="eastAsia"/>
          <w:sz w:val="24"/>
        </w:rPr>
        <w:t>教育和工作中的性骚扰</w:t>
      </w:r>
    </w:p>
    <w:p w:rsidR="00000000" w:rsidRDefault="00CA422F">
      <w:pPr>
        <w:spacing w:after="240" w:line="380" w:lineRule="exact"/>
        <w:rPr>
          <w:rFonts w:hint="eastAsia"/>
        </w:rPr>
      </w:pPr>
      <w:r>
        <w:rPr>
          <w:rFonts w:hint="eastAsia"/>
        </w:rPr>
        <w:t>551</w:t>
      </w:r>
      <w:r>
        <w:rPr>
          <w:rFonts w:hint="eastAsia"/>
        </w:rPr>
        <w:t>．在女性的工作、个人生活和教育方面，由于性别原因造成的歧视现象之一便是性骚扰。性骚扰的定义为一项包含性内容、却被接收对象拒绝的举动。自关于反对教育和工作中的性骚扰的</w:t>
      </w:r>
      <w:r>
        <w:rPr>
          <w:rFonts w:hint="eastAsia"/>
        </w:rPr>
        <w:t>7476</w:t>
      </w:r>
      <w:r>
        <w:rPr>
          <w:rFonts w:hint="eastAsia"/>
        </w:rPr>
        <w:t>号法律颁布以来，此类性侵犯行为被曝光，而公共部门的性侵犯行为却有增无减。就在该项法律颁布后的第二年，此类曝光行为的上升率高达</w:t>
      </w:r>
      <w:r>
        <w:rPr>
          <w:rFonts w:hint="eastAsia"/>
        </w:rPr>
        <w:t>100%</w:t>
      </w:r>
      <w:r>
        <w:rPr>
          <w:rFonts w:hint="eastAsia"/>
        </w:rPr>
        <w:t>（居民保护组织，</w:t>
      </w:r>
      <w:r>
        <w:rPr>
          <w:rFonts w:hint="eastAsia"/>
        </w:rPr>
        <w:t>1966</w:t>
      </w:r>
      <w:r>
        <w:rPr>
          <w:rFonts w:hint="eastAsia"/>
        </w:rPr>
        <w:t>年）。</w:t>
      </w:r>
    </w:p>
    <w:p w:rsidR="00000000" w:rsidRDefault="00CA422F">
      <w:pPr>
        <w:spacing w:after="240" w:line="380" w:lineRule="exact"/>
        <w:rPr>
          <w:rFonts w:hint="eastAsia"/>
        </w:rPr>
      </w:pPr>
      <w:r>
        <w:rPr>
          <w:rFonts w:hint="eastAsia"/>
        </w:rPr>
        <w:t>552</w:t>
      </w:r>
      <w:r>
        <w:rPr>
          <w:rFonts w:hint="eastAsia"/>
        </w:rPr>
        <w:t>．教育部门主要的披露是通过对在校</w:t>
      </w:r>
      <w:r>
        <w:rPr>
          <w:rFonts w:hint="eastAsia"/>
        </w:rPr>
        <w:t>大学生的采访实现的，采访中较为突出的词汇有性本能（</w:t>
      </w:r>
      <w:r>
        <w:rPr>
          <w:rFonts w:hint="eastAsia"/>
        </w:rPr>
        <w:t>22%</w:t>
      </w:r>
      <w:r>
        <w:rPr>
          <w:rFonts w:hint="eastAsia"/>
        </w:rPr>
        <w:t>）、猥琐的目光（</w:t>
      </w:r>
      <w:r>
        <w:rPr>
          <w:rFonts w:hint="eastAsia"/>
        </w:rPr>
        <w:t>18%</w:t>
      </w:r>
      <w:r>
        <w:rPr>
          <w:rFonts w:hint="eastAsia"/>
        </w:rPr>
        <w:t>）、色情材料的传播（</w:t>
      </w:r>
      <w:r>
        <w:rPr>
          <w:rFonts w:hint="eastAsia"/>
        </w:rPr>
        <w:t>7%</w:t>
      </w:r>
      <w:r>
        <w:rPr>
          <w:rFonts w:hint="eastAsia"/>
        </w:rPr>
        <w:t>）、内容淫秽的挑逗性语言（</w:t>
      </w:r>
      <w:r>
        <w:rPr>
          <w:rFonts w:hint="eastAsia"/>
        </w:rPr>
        <w:t>7%</w:t>
      </w:r>
      <w:r>
        <w:rPr>
          <w:rFonts w:hint="eastAsia"/>
        </w:rPr>
        <w:t>），性行为要求（</w:t>
      </w:r>
      <w:r>
        <w:rPr>
          <w:rFonts w:hint="eastAsia"/>
        </w:rPr>
        <w:t>4%</w:t>
      </w:r>
      <w:r>
        <w:rPr>
          <w:rFonts w:hint="eastAsia"/>
        </w:rPr>
        <w:t>）和性接触（</w:t>
      </w:r>
      <w:r>
        <w:rPr>
          <w:rFonts w:hint="eastAsia"/>
        </w:rPr>
        <w:t>4%</w:t>
      </w:r>
      <w:r>
        <w:rPr>
          <w:rFonts w:hint="eastAsia"/>
        </w:rPr>
        <w:t>）（对</w:t>
      </w:r>
      <w:r>
        <w:rPr>
          <w:rFonts w:hint="eastAsia"/>
        </w:rPr>
        <w:t>Flores Villareal</w:t>
      </w:r>
      <w:r>
        <w:rPr>
          <w:rFonts w:hint="eastAsia"/>
        </w:rPr>
        <w:t>的</w:t>
      </w:r>
      <w:r>
        <w:rPr>
          <w:rFonts w:hint="eastAsia"/>
        </w:rPr>
        <w:t>385</w:t>
      </w:r>
      <w:r>
        <w:rPr>
          <w:rFonts w:hint="eastAsia"/>
        </w:rPr>
        <w:t>名私立大学学生进行的调查，</w:t>
      </w:r>
      <w:r>
        <w:rPr>
          <w:rFonts w:hint="eastAsia"/>
        </w:rPr>
        <w:t>2000</w:t>
      </w:r>
      <w:r>
        <w:rPr>
          <w:rFonts w:hint="eastAsia"/>
        </w:rPr>
        <w:t>年）。</w:t>
      </w:r>
    </w:p>
    <w:p w:rsidR="00000000" w:rsidRDefault="00CA422F">
      <w:pPr>
        <w:spacing w:after="240" w:line="380" w:lineRule="exact"/>
        <w:rPr>
          <w:rFonts w:hint="eastAsia"/>
        </w:rPr>
      </w:pPr>
      <w:r>
        <w:rPr>
          <w:rFonts w:hint="eastAsia"/>
        </w:rPr>
        <w:t>553</w:t>
      </w:r>
      <w:r>
        <w:rPr>
          <w:rFonts w:hint="eastAsia"/>
        </w:rPr>
        <w:t>．目前，在私人领域工作的女性受到的保护较少，因为她们获得的信息较少，也很少能够得到援助服务。对性胁迫不进行刑事处罚，还造成了许多其它困难，使有关处罚的规定在通常情况下无法得到正确的实施。一旦对性压迫进行申诉，女性则要面对诉讼过程中产生的一系列困难，因</w:t>
      </w:r>
      <w:r>
        <w:rPr>
          <w:rFonts w:hint="eastAsia"/>
        </w:rPr>
        <w:t>为诉讼过程注重的是受害者的行为，并非侵犯者的举动。由于社会缺乏对性骚扰的认识，同时又缺少对受害者的援助服务，这就使得上述问题变得更加严重。另一方面，劳动部至今仍未承担起应该承担的职责，例如督促企业是否制订有关性压迫的规定、对没有制订此类制度的企业进行惩罚等（国家妇女研究所，</w:t>
      </w:r>
      <w:r>
        <w:rPr>
          <w:rFonts w:hint="eastAsia"/>
        </w:rPr>
        <w:t>2002</w:t>
      </w:r>
      <w:r>
        <w:rPr>
          <w:rFonts w:hint="eastAsia"/>
        </w:rPr>
        <w:t>年）。</w:t>
      </w:r>
    </w:p>
    <w:p w:rsidR="00000000" w:rsidRDefault="00CA422F">
      <w:pPr>
        <w:spacing w:after="240" w:line="380" w:lineRule="exact"/>
        <w:rPr>
          <w:rFonts w:hint="eastAsia"/>
        </w:rPr>
      </w:pPr>
      <w:r>
        <w:rPr>
          <w:rFonts w:hint="eastAsia"/>
        </w:rPr>
        <w:t>554</w:t>
      </w:r>
      <w:r>
        <w:rPr>
          <w:rFonts w:hint="eastAsia"/>
        </w:rPr>
        <w:t>．规定和解释之间存在的差距限制了保障权利的效力和效率。为期三个月的事先调查则是为该权利的作废或失效做出的规定，也就是说，如果三个月内无法完成调查，就将案例整理归档，这就使大量的被告逍遥法外，而受害者则无法获得任何赔偿</w:t>
      </w:r>
      <w:r>
        <w:rPr>
          <w:rFonts w:hint="eastAsia"/>
        </w:rPr>
        <w:t>。例如在这种情况下，教育部存放了大量夹带解雇信件的文件，这些文件应该递交教育职业法庭，因为后者才是负责处理此类事务并将文件存档的机构（民族国家计划，</w:t>
      </w:r>
      <w:r>
        <w:rPr>
          <w:rFonts w:hint="eastAsia"/>
        </w:rPr>
        <w:t>2001</w:t>
      </w:r>
      <w:r>
        <w:rPr>
          <w:rFonts w:hint="eastAsia"/>
        </w:rPr>
        <w:t>年）。宪法法庭曾发表一项声明，涉及教育人员、教育行政人员以及行政管理人员在《反对性骚扰法》有关规定方面的敏感性和传播经验的重要性。这一任务由公共教育部在国家妇女研究所和当地居民保护组织的合作下共同完成。另一限制条件来自私人领域，这时，提起诉讼的受害者不参与诉讼过程，而只是推动调查机制的证人（民族国家计划，</w:t>
      </w:r>
      <w:r>
        <w:rPr>
          <w:rFonts w:hint="eastAsia"/>
        </w:rPr>
        <w:t>2001</w:t>
      </w:r>
      <w:r>
        <w:rPr>
          <w:rFonts w:hint="eastAsia"/>
        </w:rPr>
        <w:t>年）。</w:t>
      </w:r>
    </w:p>
    <w:p w:rsidR="00000000" w:rsidRDefault="00CA422F">
      <w:pPr>
        <w:spacing w:after="240" w:line="380" w:lineRule="exact"/>
        <w:rPr>
          <w:rFonts w:hint="eastAsia"/>
        </w:rPr>
      </w:pPr>
      <w:r>
        <w:rPr>
          <w:rFonts w:hint="eastAsia"/>
        </w:rPr>
        <w:t>555</w:t>
      </w:r>
      <w:r>
        <w:rPr>
          <w:rFonts w:hint="eastAsia"/>
        </w:rPr>
        <w:t>．上述所有的限制条件也可以构</w:t>
      </w:r>
      <w:r>
        <w:rPr>
          <w:rFonts w:hint="eastAsia"/>
        </w:rPr>
        <w:t>成基本原因，使大家明白为什么行政部门受理的如此多的案例无法由这些部门递交到司法机构，同时也解释了为什么这些现有案例在司法机构处理的案例中只占极小的比例（民族国家计划，</w:t>
      </w:r>
      <w:r>
        <w:rPr>
          <w:rFonts w:hint="eastAsia"/>
        </w:rPr>
        <w:t>2001</w:t>
      </w:r>
      <w:r>
        <w:rPr>
          <w:rFonts w:hint="eastAsia"/>
        </w:rPr>
        <w:t>年，第</w:t>
      </w:r>
      <w:r>
        <w:rPr>
          <w:rFonts w:hint="eastAsia"/>
        </w:rPr>
        <w:t>285</w:t>
      </w:r>
      <w:r>
        <w:rPr>
          <w:rFonts w:hint="eastAsia"/>
        </w:rPr>
        <w:t>页）。</w:t>
      </w:r>
    </w:p>
    <w:p w:rsidR="00000000" w:rsidRDefault="00CA422F">
      <w:pPr>
        <w:spacing w:after="240" w:line="380" w:lineRule="exact"/>
        <w:rPr>
          <w:rFonts w:hint="eastAsia"/>
        </w:rPr>
      </w:pPr>
      <w:r>
        <w:rPr>
          <w:rFonts w:hint="eastAsia"/>
        </w:rPr>
        <w:t>556</w:t>
      </w:r>
      <w:r>
        <w:rPr>
          <w:rFonts w:hint="eastAsia"/>
        </w:rPr>
        <w:t>．目前，立法议会正在商议《反对教育和工作中的性骚扰法修正案计划》，该计划将力图取消某些限制。</w:t>
      </w:r>
    </w:p>
    <w:p w:rsidR="00000000" w:rsidRDefault="00CA422F">
      <w:pPr>
        <w:spacing w:after="240" w:line="380" w:lineRule="exact"/>
        <w:jc w:val="center"/>
        <w:rPr>
          <w:rFonts w:eastAsia="SimHei" w:hint="eastAsia"/>
          <w:sz w:val="24"/>
        </w:rPr>
      </w:pPr>
      <w:r>
        <w:rPr>
          <w:rFonts w:eastAsia="SimHei" w:hint="eastAsia"/>
          <w:sz w:val="24"/>
        </w:rPr>
        <w:t>对受歧视女性的暴力</w:t>
      </w:r>
    </w:p>
    <w:p w:rsidR="00000000" w:rsidRDefault="00CA422F">
      <w:pPr>
        <w:spacing w:after="240" w:line="380" w:lineRule="exact"/>
        <w:rPr>
          <w:rFonts w:hint="eastAsia"/>
        </w:rPr>
      </w:pPr>
      <w:r>
        <w:rPr>
          <w:rFonts w:hint="eastAsia"/>
        </w:rPr>
        <w:t>557</w:t>
      </w:r>
      <w:r>
        <w:rPr>
          <w:rFonts w:hint="eastAsia"/>
        </w:rPr>
        <w:t>．暴力是所有女性因其性别而在生命的某个时刻都需要经历的一个事实。所以，处于社会边缘群体或团体中的女性，有时会成为侵犯行为施行者偏爱的对象而遭受特别的侵犯，这种情况也屡见不鲜。这些暴力方式有时不</w:t>
      </w:r>
      <w:r>
        <w:rPr>
          <w:rFonts w:hint="eastAsia"/>
        </w:rPr>
        <w:t>被人觉察，有时又大白于天下，这主要取决于作为受害者的女性本身。她们已经组织起来对抗暴力，并向其他女性提供援助。女性色情业、家务劳动者、老年妇女、非裔哥斯达黎加女性公民、土著妇女、被剥夺自由的女性或女性残疾人、女同性恋者或女性移民都是如此。这些女性都无法逃脱家庭暴力、熟人或陌生人的性侵犯或者性胁迫。然而，在所有这些侵犯行为之上，还应该加上她们作为一个特定社会团体所面临的暴力危险（</w:t>
      </w:r>
      <w:r>
        <w:rPr>
          <w:rFonts w:hint="eastAsia"/>
        </w:rPr>
        <w:t>Carcedo</w:t>
      </w:r>
      <w:r>
        <w:rPr>
          <w:rFonts w:hint="eastAsia"/>
        </w:rPr>
        <w:t>，</w:t>
      </w:r>
      <w:r>
        <w:rPr>
          <w:rFonts w:hint="eastAsia"/>
        </w:rPr>
        <w:t>2001</w:t>
      </w:r>
      <w:r>
        <w:rPr>
          <w:rFonts w:hint="eastAsia"/>
        </w:rPr>
        <w:t>年）。</w:t>
      </w:r>
    </w:p>
    <w:p w:rsidR="00000000" w:rsidRDefault="00CA422F">
      <w:pPr>
        <w:spacing w:after="240" w:line="380" w:lineRule="exact"/>
        <w:jc w:val="center"/>
        <w:rPr>
          <w:rFonts w:eastAsia="SimHei" w:hint="eastAsia"/>
          <w:sz w:val="24"/>
        </w:rPr>
      </w:pPr>
      <w:r>
        <w:rPr>
          <w:rFonts w:eastAsia="SimHei" w:hint="eastAsia"/>
          <w:sz w:val="24"/>
        </w:rPr>
        <w:t>体制本身的暴力</w:t>
      </w:r>
    </w:p>
    <w:p w:rsidR="00000000" w:rsidRDefault="00CA422F">
      <w:pPr>
        <w:spacing w:after="240" w:line="380" w:lineRule="exact"/>
        <w:rPr>
          <w:rFonts w:hint="eastAsia"/>
          <w:lang w:val="es-ES"/>
        </w:rPr>
      </w:pPr>
      <w:r>
        <w:rPr>
          <w:rFonts w:hint="eastAsia"/>
          <w:lang w:val="es-ES"/>
        </w:rPr>
        <w:t>558</w:t>
      </w:r>
      <w:r>
        <w:rPr>
          <w:rFonts w:hint="eastAsia"/>
          <w:lang w:val="es-ES"/>
        </w:rPr>
        <w:t>．建立在性别不平等基础之上的对女性的暴力行为不只来自于个人。机构通过政策或它们</w:t>
      </w:r>
      <w:r>
        <w:rPr>
          <w:rFonts w:hint="eastAsia"/>
          <w:lang w:val="es-ES"/>
        </w:rPr>
        <w:t>的工作人员也可能成潜在的侵犯者。机构和人群之间经常存在着权力上的不平等，当涉及女性，特别是处于社会边缘群体的女性、正在寻求具体帮助以对抗所受侵犯的受虐女性时，这种不平等极易扩大（</w:t>
      </w:r>
      <w:r>
        <w:rPr>
          <w:rFonts w:hint="eastAsia"/>
          <w:lang w:val="es-ES"/>
        </w:rPr>
        <w:t>Carcedo</w:t>
      </w:r>
      <w:r>
        <w:rPr>
          <w:rFonts w:hint="eastAsia"/>
          <w:lang w:val="es-ES"/>
        </w:rPr>
        <w:t>，</w:t>
      </w:r>
      <w:r>
        <w:rPr>
          <w:rFonts w:hint="eastAsia"/>
          <w:lang w:val="es-ES"/>
        </w:rPr>
        <w:t>2001</w:t>
      </w:r>
      <w:r>
        <w:rPr>
          <w:rFonts w:hint="eastAsia"/>
          <w:lang w:val="es-ES"/>
        </w:rPr>
        <w:t>年）。</w:t>
      </w:r>
    </w:p>
    <w:p w:rsidR="00000000" w:rsidRDefault="00CA422F">
      <w:pPr>
        <w:spacing w:after="240" w:line="380" w:lineRule="exact"/>
        <w:rPr>
          <w:rFonts w:hint="eastAsia"/>
          <w:lang w:val="es-ES"/>
        </w:rPr>
      </w:pPr>
      <w:r>
        <w:rPr>
          <w:rFonts w:hint="eastAsia"/>
          <w:lang w:val="es-ES"/>
        </w:rPr>
        <w:t>559</w:t>
      </w:r>
      <w:r>
        <w:rPr>
          <w:rFonts w:hint="eastAsia"/>
          <w:lang w:val="es-ES"/>
        </w:rPr>
        <w:t>．这种被成为“再次伤害”的现象非常普遍的，而且形式多样。例如，对女性的不信任、不履行法律规定的职责、与侵犯者同流合污或包庇侵犯者、言语侮辱、羞辱、蔑视，对女性和母亲的限制和轻视、争夺子女、提供援助时增加附加条件、性胁迫和过度的性行为等。在哥斯达黎加，有些调查已经对这一问题进行了一定程度的揭示（</w:t>
      </w:r>
      <w:r>
        <w:rPr>
          <w:rFonts w:hint="eastAsia"/>
          <w:lang w:val="es-ES"/>
        </w:rPr>
        <w:t>C</w:t>
      </w:r>
      <w:r>
        <w:rPr>
          <w:rFonts w:hint="eastAsia"/>
          <w:lang w:val="es-ES"/>
        </w:rPr>
        <w:t>arcedo</w:t>
      </w:r>
      <w:r>
        <w:rPr>
          <w:rFonts w:hint="eastAsia"/>
          <w:lang w:val="es-ES"/>
        </w:rPr>
        <w:t>和</w:t>
      </w:r>
      <w:r>
        <w:rPr>
          <w:rFonts w:hint="eastAsia"/>
          <w:lang w:val="es-ES"/>
        </w:rPr>
        <w:t>Zamora</w:t>
      </w:r>
      <w:r>
        <w:rPr>
          <w:rFonts w:hint="eastAsia"/>
          <w:lang w:val="es-ES"/>
        </w:rPr>
        <w:t>，</w:t>
      </w:r>
      <w:r>
        <w:rPr>
          <w:rFonts w:hint="eastAsia"/>
          <w:lang w:val="es-ES"/>
        </w:rPr>
        <w:t>1999</w:t>
      </w:r>
      <w:r>
        <w:rPr>
          <w:rFonts w:hint="eastAsia"/>
          <w:lang w:val="es-ES"/>
        </w:rPr>
        <w:t>年，</w:t>
      </w:r>
      <w:r>
        <w:rPr>
          <w:rFonts w:hint="eastAsia"/>
          <w:lang w:val="es-ES"/>
        </w:rPr>
        <w:t>Delgado</w:t>
      </w:r>
      <w:r>
        <w:rPr>
          <w:rFonts w:hint="eastAsia"/>
          <w:lang w:val="es-ES"/>
        </w:rPr>
        <w:t>，</w:t>
      </w:r>
      <w:r>
        <w:rPr>
          <w:rFonts w:hint="eastAsia"/>
          <w:lang w:val="es-ES"/>
        </w:rPr>
        <w:t>2000</w:t>
      </w:r>
      <w:r>
        <w:rPr>
          <w:rFonts w:hint="eastAsia"/>
          <w:lang w:val="es-ES"/>
        </w:rPr>
        <w:t>年），而且在许多时候，女性自身和一些维护女性权利的机构和组织也对此进行了申诉。</w:t>
      </w:r>
    </w:p>
    <w:p w:rsidR="00000000" w:rsidRDefault="00CA422F">
      <w:pPr>
        <w:spacing w:after="240" w:line="380" w:lineRule="exact"/>
        <w:rPr>
          <w:rFonts w:hint="eastAsia"/>
          <w:lang w:val="es-ES"/>
        </w:rPr>
      </w:pPr>
      <w:r>
        <w:rPr>
          <w:rFonts w:hint="eastAsia"/>
          <w:lang w:val="es-ES"/>
        </w:rPr>
        <w:t>560</w:t>
      </w:r>
      <w:r>
        <w:rPr>
          <w:rFonts w:hint="eastAsia"/>
          <w:lang w:val="es-ES"/>
        </w:rPr>
        <w:t>．不但国家机构的有关规定有可能对女性施行暴力，不少私人机构，如企业、协会或一些宗教机构也是如此。应该指出，大众媒体中的象征性暴力将女性形像固定化了，或者经常将女性作为生理伤害、精神伤害和性侵犯的目标。</w:t>
      </w:r>
    </w:p>
    <w:p w:rsidR="00000000" w:rsidRDefault="00CA422F">
      <w:pPr>
        <w:spacing w:after="240" w:line="380" w:lineRule="exact"/>
        <w:rPr>
          <w:rFonts w:hint="eastAsia"/>
          <w:lang w:val="es-ES"/>
        </w:rPr>
      </w:pPr>
      <w:r>
        <w:rPr>
          <w:rFonts w:hint="eastAsia"/>
          <w:lang w:val="es-ES"/>
        </w:rPr>
        <w:t>561</w:t>
      </w:r>
      <w:r>
        <w:rPr>
          <w:rFonts w:hint="eastAsia"/>
          <w:lang w:val="es-ES"/>
        </w:rPr>
        <w:t>．上述这些现象不是女性受到的来自国家机制的所有暴力形式，只是目前有所披露的因性别歧视而产生的侵犯行为。</w:t>
      </w:r>
    </w:p>
    <w:p w:rsidR="00000000" w:rsidRDefault="00CA422F">
      <w:pPr>
        <w:spacing w:beforeLines="50" w:before="120" w:after="360" w:line="360" w:lineRule="exact"/>
        <w:jc w:val="center"/>
        <w:rPr>
          <w:rFonts w:eastAsia="SimHei" w:hint="eastAsia"/>
          <w:sz w:val="24"/>
          <w:lang w:val="es-ES"/>
        </w:rPr>
      </w:pPr>
      <w:r>
        <w:rPr>
          <w:lang w:val="es-ES"/>
        </w:rPr>
        <w:br w:type="page"/>
      </w:r>
      <w:r>
        <w:rPr>
          <w:rFonts w:eastAsia="SimHei" w:hint="eastAsia"/>
          <w:sz w:val="24"/>
          <w:lang w:val="es-ES"/>
        </w:rPr>
        <w:t>第十三条：</w:t>
      </w:r>
      <w:r>
        <w:rPr>
          <w:rFonts w:eastAsia="SimHei" w:hint="eastAsia"/>
          <w:sz w:val="24"/>
        </w:rPr>
        <w:t>社会和经济福利</w:t>
      </w:r>
    </w:p>
    <w:p w:rsidR="00000000" w:rsidRDefault="00CA422F">
      <w:pPr>
        <w:spacing w:after="240" w:line="360" w:lineRule="exact"/>
        <w:rPr>
          <w:rFonts w:eastAsia="SimHei" w:hint="eastAsia"/>
        </w:rPr>
      </w:pPr>
      <w:r>
        <w:rPr>
          <w:rFonts w:eastAsia="SimHei"/>
        </w:rPr>
        <w:t>第十三条</w:t>
      </w:r>
      <w:r>
        <w:rPr>
          <w:rFonts w:eastAsia="SimHei" w:hint="eastAsia"/>
        </w:rPr>
        <w:t>：</w:t>
      </w:r>
    </w:p>
    <w:p w:rsidR="00000000" w:rsidRDefault="00CA422F" w:rsidP="00CA422F">
      <w:pPr>
        <w:spacing w:after="240" w:line="360" w:lineRule="exact"/>
        <w:ind w:firstLineChars="200" w:firstLine="31680"/>
        <w:rPr>
          <w:rFonts w:ascii="KaiTi_GB2312" w:eastAsia="KaiTi_GB2312" w:hint="eastAsia"/>
        </w:rPr>
      </w:pPr>
      <w:r>
        <w:rPr>
          <w:rFonts w:ascii="KaiTi_GB2312" w:eastAsia="KaiTi_GB2312"/>
        </w:rPr>
        <w:t>缔约各国应</w:t>
      </w:r>
      <w:r>
        <w:rPr>
          <w:rFonts w:ascii="KaiTi_GB2312" w:eastAsia="KaiTi_GB2312"/>
        </w:rPr>
        <w:t>采取一切适当措施以消除在经济和社会生活的其他方面对妇女的歧视，保证她们在男女平等的基础上有相同权利，特别是：</w:t>
      </w:r>
      <w:r>
        <w:rPr>
          <w:rFonts w:ascii="KaiTi_GB2312" w:eastAsia="KaiTi_GB2312"/>
        </w:rPr>
        <w:t> </w:t>
      </w:r>
    </w:p>
    <w:p w:rsidR="00000000" w:rsidRDefault="00CA422F" w:rsidP="00CA422F">
      <w:pPr>
        <w:spacing w:after="240" w:line="360" w:lineRule="exact"/>
        <w:ind w:firstLineChars="150" w:firstLine="31680"/>
        <w:rPr>
          <w:rFonts w:ascii="KaiTi_GB2312" w:eastAsia="KaiTi_GB2312" w:hint="eastAsia"/>
        </w:rPr>
      </w:pPr>
      <w:r>
        <w:rPr>
          <w:rFonts w:ascii="KaiTi_GB2312" w:eastAsia="KaiTi_GB2312"/>
        </w:rPr>
        <w:t>（</w:t>
      </w:r>
      <w:r>
        <w:rPr>
          <w:rFonts w:ascii="KaiTi_GB2312" w:eastAsia="KaiTi_GB2312"/>
        </w:rPr>
        <w:t>A</w:t>
      </w:r>
      <w:r>
        <w:rPr>
          <w:rFonts w:ascii="KaiTi_GB2312" w:eastAsia="KaiTi_GB2312"/>
        </w:rPr>
        <w:t>）</w:t>
      </w:r>
      <w:r>
        <w:rPr>
          <w:rFonts w:ascii="KaiTi_GB2312" w:eastAsia="KaiTi_GB2312" w:hint="eastAsia"/>
        </w:rPr>
        <w:t xml:space="preserve"> </w:t>
      </w:r>
      <w:r>
        <w:rPr>
          <w:rFonts w:ascii="KaiTi_GB2312" w:eastAsia="KaiTi_GB2312"/>
        </w:rPr>
        <w:t>领取家属津贴的权利；</w:t>
      </w:r>
      <w:r>
        <w:rPr>
          <w:rFonts w:ascii="KaiTi_GB2312" w:eastAsia="KaiTi_GB2312"/>
        </w:rPr>
        <w:t> </w:t>
      </w:r>
    </w:p>
    <w:p w:rsidR="00000000" w:rsidRDefault="00CA422F" w:rsidP="00CA422F">
      <w:pPr>
        <w:spacing w:after="240" w:line="360" w:lineRule="exact"/>
        <w:ind w:firstLineChars="150" w:firstLine="31680"/>
        <w:rPr>
          <w:rFonts w:ascii="KaiTi_GB2312" w:eastAsia="KaiTi_GB2312" w:hint="eastAsia"/>
        </w:rPr>
      </w:pPr>
      <w:r>
        <w:rPr>
          <w:rFonts w:ascii="KaiTi_GB2312" w:eastAsia="KaiTi_GB2312"/>
        </w:rPr>
        <w:t>（</w:t>
      </w:r>
      <w:r>
        <w:rPr>
          <w:rFonts w:ascii="KaiTi_GB2312" w:eastAsia="KaiTi_GB2312"/>
        </w:rPr>
        <w:t>B</w:t>
      </w:r>
      <w:r>
        <w:rPr>
          <w:rFonts w:ascii="KaiTi_GB2312" w:eastAsia="KaiTi_GB2312"/>
        </w:rPr>
        <w:t>）</w:t>
      </w:r>
      <w:r>
        <w:rPr>
          <w:rFonts w:ascii="KaiTi_GB2312" w:eastAsia="KaiTi_GB2312" w:hint="eastAsia"/>
        </w:rPr>
        <w:t xml:space="preserve"> </w:t>
      </w:r>
      <w:r>
        <w:rPr>
          <w:rFonts w:ascii="KaiTi_GB2312" w:eastAsia="KaiTi_GB2312"/>
        </w:rPr>
        <w:t>银行贷款、抵押和其他形式的金融信贷的权利；</w:t>
      </w:r>
      <w:r>
        <w:rPr>
          <w:rFonts w:ascii="KaiTi_GB2312" w:eastAsia="KaiTi_GB2312"/>
        </w:rPr>
        <w:t> </w:t>
      </w:r>
    </w:p>
    <w:p w:rsidR="00000000" w:rsidRDefault="00CA422F" w:rsidP="00CA422F">
      <w:pPr>
        <w:spacing w:after="240" w:line="360" w:lineRule="exact"/>
        <w:ind w:firstLineChars="150" w:firstLine="31680"/>
        <w:rPr>
          <w:rFonts w:hint="eastAsia"/>
          <w:b/>
          <w:bCs/>
        </w:rPr>
      </w:pPr>
      <w:r>
        <w:rPr>
          <w:rFonts w:ascii="KaiTi_GB2312" w:eastAsia="KaiTi_GB2312"/>
        </w:rPr>
        <w:t>（</w:t>
      </w:r>
      <w:r>
        <w:rPr>
          <w:rFonts w:ascii="KaiTi_GB2312" w:eastAsia="KaiTi_GB2312"/>
        </w:rPr>
        <w:t>C</w:t>
      </w:r>
      <w:r>
        <w:rPr>
          <w:rFonts w:ascii="KaiTi_GB2312" w:eastAsia="KaiTi_GB2312"/>
        </w:rPr>
        <w:t>）</w:t>
      </w:r>
      <w:r>
        <w:rPr>
          <w:rFonts w:ascii="KaiTi_GB2312" w:eastAsia="KaiTi_GB2312" w:hint="eastAsia"/>
        </w:rPr>
        <w:t xml:space="preserve"> </w:t>
      </w:r>
      <w:r>
        <w:rPr>
          <w:rFonts w:ascii="KaiTi_GB2312" w:eastAsia="KaiTi_GB2312"/>
        </w:rPr>
        <w:t>参与娱乐活动、运动和文化生活所有各方面的权利。</w:t>
      </w:r>
      <w:r>
        <w:rPr>
          <w:rFonts w:ascii="KaiTi_GB2312" w:eastAsia="KaiTi_GB2312"/>
        </w:rPr>
        <w:t> </w:t>
      </w:r>
      <w:r>
        <w:rPr>
          <w:rFonts w:ascii="KaiTi_GB2312" w:eastAsia="KaiTi_GB2312"/>
        </w:rPr>
        <w:br/>
      </w:r>
    </w:p>
    <w:p w:rsidR="00000000" w:rsidRDefault="00CA422F">
      <w:pPr>
        <w:spacing w:after="240" w:line="360" w:lineRule="exact"/>
        <w:jc w:val="center"/>
        <w:rPr>
          <w:rFonts w:eastAsia="SimHei" w:hint="eastAsia"/>
          <w:sz w:val="24"/>
        </w:rPr>
      </w:pPr>
      <w:r>
        <w:rPr>
          <w:rFonts w:eastAsia="SimHei" w:hint="eastAsia"/>
          <w:sz w:val="24"/>
        </w:rPr>
        <w:t>银行贷款、抵押和其他形式的金融信贷的权利</w:t>
      </w:r>
    </w:p>
    <w:p w:rsidR="00000000" w:rsidRDefault="00CA422F">
      <w:pPr>
        <w:spacing w:after="240" w:line="360" w:lineRule="exact"/>
        <w:rPr>
          <w:rFonts w:hint="eastAsia"/>
          <w:lang w:val="es-ES"/>
        </w:rPr>
      </w:pPr>
      <w:r>
        <w:rPr>
          <w:rFonts w:hint="eastAsia"/>
          <w:lang w:val="es-ES"/>
        </w:rPr>
        <w:t>562</w:t>
      </w:r>
      <w:r>
        <w:rPr>
          <w:rFonts w:hint="eastAsia"/>
          <w:lang w:val="es-ES"/>
        </w:rPr>
        <w:t>．贫困妇女为满足基本的个人和家庭生活需求而从事的职业，无论其特点还是规模都无法达到获取普通信贷的要求和条件。有关非常规金融组织为这些妇女提供服务的信息表明，这些贷款表现出贷款额度低——介于</w:t>
      </w:r>
      <w:r>
        <w:rPr>
          <w:rFonts w:hint="eastAsia"/>
          <w:lang w:val="es-ES"/>
        </w:rPr>
        <w:t>150</w:t>
      </w:r>
      <w:r>
        <w:rPr>
          <w:rFonts w:hint="eastAsia"/>
          <w:lang w:val="es-ES"/>
        </w:rPr>
        <w:t>至</w:t>
      </w:r>
      <w:r>
        <w:rPr>
          <w:rFonts w:hint="eastAsia"/>
          <w:lang w:val="es-ES"/>
        </w:rPr>
        <w:t>700</w:t>
      </w:r>
      <w:r>
        <w:rPr>
          <w:rFonts w:hint="eastAsia"/>
          <w:lang w:val="es-ES"/>
        </w:rPr>
        <w:t>美元</w:t>
      </w:r>
      <w:r>
        <w:rPr>
          <w:rFonts w:hint="eastAsia"/>
          <w:lang w:val="es-ES"/>
        </w:rPr>
        <w:t>之间，贷款期限短、贷款利率高和覆盖面狭窄等趋势。在自营职业和创办微型企业的妇女职业培训和技术支持方面，同样可以看到存在着严重的资金亏欠和不足（国家妇女研究所，</w:t>
      </w:r>
      <w:r>
        <w:rPr>
          <w:rFonts w:hint="eastAsia"/>
          <w:lang w:val="es-ES"/>
        </w:rPr>
        <w:t>2000</w:t>
      </w:r>
      <w:r>
        <w:rPr>
          <w:rFonts w:hint="eastAsia"/>
          <w:lang w:val="es-ES"/>
        </w:rPr>
        <w:t>年）。</w:t>
      </w:r>
    </w:p>
    <w:p w:rsidR="00000000" w:rsidRDefault="00CA422F">
      <w:pPr>
        <w:spacing w:after="240" w:line="360" w:lineRule="exact"/>
        <w:rPr>
          <w:rFonts w:hint="eastAsia"/>
          <w:lang w:val="es-ES"/>
        </w:rPr>
      </w:pPr>
      <w:r>
        <w:rPr>
          <w:rFonts w:hint="eastAsia"/>
          <w:lang w:val="es-ES"/>
        </w:rPr>
        <w:t>563</w:t>
      </w:r>
      <w:r>
        <w:rPr>
          <w:rFonts w:hint="eastAsia"/>
          <w:lang w:val="es-ES"/>
        </w:rPr>
        <w:t>．哥斯达黎加的立法保障女性在获得贷款、抵押、出售和进行商业贸易等方面享有同男性相等的司法权益。然而，不少女性还是很难获得银行贷款或抵押，因为她们没有属于自己的不动产；家庭财产的大部分都登记在丈夫或男伴的名下，此外，女性还缺少收入证明或缺乏担保人（国家妇女研究所，</w:t>
      </w:r>
      <w:r>
        <w:rPr>
          <w:rFonts w:hint="eastAsia"/>
          <w:lang w:val="es-ES"/>
        </w:rPr>
        <w:t>2000</w:t>
      </w:r>
      <w:r>
        <w:rPr>
          <w:rFonts w:hint="eastAsia"/>
          <w:lang w:val="es-ES"/>
        </w:rPr>
        <w:t>年）。大部分女性集中在生产效率低下或称之为“简单积累”的行业，</w:t>
      </w:r>
      <w:r>
        <w:rPr>
          <w:rFonts w:hint="eastAsia"/>
          <w:lang w:val="es-ES"/>
        </w:rPr>
        <w:t>这迫使我们触及“贫困人群之间的关系”问题，而政府银行中根本没有设立专门向贫困人群提供贷款的部门。</w:t>
      </w:r>
    </w:p>
    <w:p w:rsidR="00000000" w:rsidRDefault="00CA422F">
      <w:pPr>
        <w:spacing w:after="240" w:line="360" w:lineRule="exact"/>
        <w:rPr>
          <w:rFonts w:hint="eastAsia"/>
          <w:lang w:val="es-ES"/>
        </w:rPr>
      </w:pPr>
      <w:r>
        <w:rPr>
          <w:rFonts w:hint="eastAsia"/>
          <w:lang w:val="es-ES"/>
        </w:rPr>
        <w:t>564</w:t>
      </w:r>
      <w:r>
        <w:rPr>
          <w:rFonts w:hint="eastAsia"/>
          <w:lang w:val="es-ES"/>
        </w:rPr>
        <w:t>．此外，金融机构和其它合作组织是按照男性中心的标准成立的，只承认男性为经济实体。因此，贷款手续相当繁琐，需要一个完整的工作日才能完成，而且支付体制中也根本不可能接纳女性（国家妇女研究所，</w:t>
      </w:r>
      <w:r>
        <w:rPr>
          <w:rFonts w:hint="eastAsia"/>
          <w:lang w:val="es-ES"/>
        </w:rPr>
        <w:t>2000</w:t>
      </w:r>
      <w:r>
        <w:rPr>
          <w:rFonts w:hint="eastAsia"/>
          <w:lang w:val="es-ES"/>
        </w:rPr>
        <w:t>年）。上述所有这些明确反映在</w:t>
      </w:r>
      <w:r>
        <w:rPr>
          <w:rFonts w:hint="eastAsia"/>
          <w:lang w:val="es-ES"/>
        </w:rPr>
        <w:t>2000</w:t>
      </w:r>
      <w:r>
        <w:rPr>
          <w:rFonts w:hint="eastAsia"/>
          <w:lang w:val="es-ES"/>
        </w:rPr>
        <w:t>年由国家妇女研究所在全国范围内举办的两次关于女性信贷的咨询会上。</w:t>
      </w:r>
    </w:p>
    <w:p w:rsidR="00000000" w:rsidRDefault="00CA422F">
      <w:pPr>
        <w:spacing w:after="240" w:line="360" w:lineRule="exact"/>
        <w:rPr>
          <w:rFonts w:hint="eastAsia"/>
          <w:lang w:val="es-ES"/>
        </w:rPr>
      </w:pPr>
      <w:r>
        <w:rPr>
          <w:rFonts w:hint="eastAsia"/>
          <w:lang w:val="es-ES"/>
        </w:rPr>
        <w:t>565</w:t>
      </w:r>
      <w:r>
        <w:rPr>
          <w:rFonts w:hint="eastAsia"/>
          <w:lang w:val="es-ES"/>
        </w:rPr>
        <w:t>．大部分金融机构并没有按照性别对各项记录进行区分，因此，我们很难了解到女性借贷和抵押的额度。只有在那些拥有</w:t>
      </w:r>
      <w:r>
        <w:rPr>
          <w:rFonts w:hint="eastAsia"/>
          <w:lang w:val="es-ES"/>
        </w:rPr>
        <w:t>专门设立女性贷款基金的银行才能找到一些数据，这些专门的信贷部门主要是为了推动微型企业的发展，然而，获得贷款的要求和条件却不符合女性所从事的行业，也无法满足她们自身的基本需求（国家妇女研究所，</w:t>
      </w:r>
      <w:r>
        <w:rPr>
          <w:rFonts w:hint="eastAsia"/>
          <w:lang w:val="es-ES"/>
        </w:rPr>
        <w:t>2000</w:t>
      </w:r>
      <w:r>
        <w:rPr>
          <w:rFonts w:hint="eastAsia"/>
          <w:lang w:val="es-ES"/>
        </w:rPr>
        <w:t>年）。哥斯达黎加银行制订了妇女贷款政策，在</w:t>
      </w:r>
      <w:r>
        <w:rPr>
          <w:rFonts w:hint="eastAsia"/>
          <w:lang w:val="es-ES"/>
        </w:rPr>
        <w:t>1992</w:t>
      </w:r>
      <w:r>
        <w:rPr>
          <w:rFonts w:hint="eastAsia"/>
          <w:lang w:val="es-ES"/>
        </w:rPr>
        <w:t>至</w:t>
      </w:r>
      <w:r>
        <w:rPr>
          <w:rFonts w:hint="eastAsia"/>
          <w:lang w:val="es-ES"/>
        </w:rPr>
        <w:t>1996</w:t>
      </w:r>
      <w:r>
        <w:rPr>
          <w:rFonts w:hint="eastAsia"/>
          <w:lang w:val="es-ES"/>
        </w:rPr>
        <w:t>年间，共发放了</w:t>
      </w:r>
      <w:r>
        <w:rPr>
          <w:rFonts w:hint="eastAsia"/>
          <w:lang w:val="es-ES"/>
        </w:rPr>
        <w:t>689</w:t>
      </w:r>
      <w:r>
        <w:rPr>
          <w:rFonts w:hint="eastAsia"/>
          <w:lang w:val="es-ES"/>
        </w:rPr>
        <w:t>份信贷，贷款总额达到</w:t>
      </w:r>
      <w:r>
        <w:rPr>
          <w:rFonts w:hint="eastAsia"/>
          <w:lang w:val="es-ES"/>
        </w:rPr>
        <w:t>1 907 881.52</w:t>
      </w:r>
      <w:r>
        <w:rPr>
          <w:rFonts w:hint="eastAsia"/>
          <w:lang w:val="es-ES"/>
        </w:rPr>
        <w:t>美元；平均每项贷款数额为</w:t>
      </w:r>
      <w:r>
        <w:rPr>
          <w:rFonts w:hint="eastAsia"/>
          <w:lang w:val="es-ES"/>
        </w:rPr>
        <w:t>2 769.06</w:t>
      </w:r>
      <w:r>
        <w:rPr>
          <w:rFonts w:hint="eastAsia"/>
          <w:lang w:val="es-ES"/>
        </w:rPr>
        <w:t>美元。该银行还设立了女性贷款基金会这一专门向女性发放借贷的非政府组织（国家妇女研究所，</w:t>
      </w:r>
      <w:r>
        <w:rPr>
          <w:rFonts w:hint="eastAsia"/>
          <w:lang w:val="es-ES"/>
        </w:rPr>
        <w:t>2000</w:t>
      </w:r>
      <w:r>
        <w:rPr>
          <w:rFonts w:hint="eastAsia"/>
          <w:lang w:val="es-ES"/>
        </w:rPr>
        <w:t>年）。</w:t>
      </w:r>
    </w:p>
    <w:p w:rsidR="00000000" w:rsidRDefault="00CA422F">
      <w:pPr>
        <w:spacing w:after="240" w:line="360" w:lineRule="exact"/>
        <w:rPr>
          <w:rFonts w:hint="eastAsia"/>
          <w:lang w:val="es-ES"/>
        </w:rPr>
      </w:pPr>
      <w:r>
        <w:rPr>
          <w:rFonts w:hint="eastAsia"/>
          <w:lang w:val="es-ES"/>
        </w:rPr>
        <w:t>566</w:t>
      </w:r>
      <w:r>
        <w:rPr>
          <w:rFonts w:hint="eastAsia"/>
          <w:lang w:val="es-ES"/>
        </w:rPr>
        <w:t>．哥斯达黎加国家银行对</w:t>
      </w:r>
      <w:r>
        <w:rPr>
          <w:rFonts w:hint="eastAsia"/>
          <w:lang w:val="es-ES"/>
        </w:rPr>
        <w:t>1995</w:t>
      </w:r>
      <w:r>
        <w:rPr>
          <w:rFonts w:hint="eastAsia"/>
          <w:lang w:val="es-ES"/>
        </w:rPr>
        <w:t>至</w:t>
      </w:r>
      <w:r>
        <w:rPr>
          <w:rFonts w:hint="eastAsia"/>
          <w:lang w:val="es-ES"/>
        </w:rPr>
        <w:t>2000</w:t>
      </w:r>
      <w:r>
        <w:rPr>
          <w:rFonts w:hint="eastAsia"/>
          <w:lang w:val="es-ES"/>
        </w:rPr>
        <w:t>年</w:t>
      </w:r>
      <w:r>
        <w:rPr>
          <w:rFonts w:hint="eastAsia"/>
          <w:lang w:val="es-ES"/>
        </w:rPr>
        <w:t>间发放的贷款额度进行清算，发现不同性别占据的比例不同：女性的贷款利用率为</w:t>
      </w:r>
      <w:r>
        <w:rPr>
          <w:rFonts w:hint="eastAsia"/>
          <w:lang w:val="es-ES"/>
        </w:rPr>
        <w:t>18.72%</w:t>
      </w:r>
      <w:r>
        <w:rPr>
          <w:rFonts w:hint="eastAsia"/>
          <w:lang w:val="es-ES"/>
        </w:rPr>
        <w:t>，而男性则为</w:t>
      </w:r>
      <w:r>
        <w:rPr>
          <w:rFonts w:hint="eastAsia"/>
          <w:lang w:val="es-ES"/>
        </w:rPr>
        <w:t>74.6%</w:t>
      </w:r>
      <w:r>
        <w:rPr>
          <w:rFonts w:hint="eastAsia"/>
          <w:lang w:val="es-ES"/>
        </w:rPr>
        <w:t>。指定额度中的性别差距更大，女性的资源利用率只有</w:t>
      </w:r>
      <w:r>
        <w:rPr>
          <w:rFonts w:hint="eastAsia"/>
          <w:lang w:val="es-ES"/>
        </w:rPr>
        <w:t>9.4%</w:t>
      </w:r>
      <w:r>
        <w:rPr>
          <w:rFonts w:hint="eastAsia"/>
          <w:lang w:val="es-ES"/>
        </w:rPr>
        <w:t>，而男性则高达</w:t>
      </w:r>
      <w:r>
        <w:rPr>
          <w:rFonts w:hint="eastAsia"/>
          <w:lang w:val="es-ES"/>
        </w:rPr>
        <w:t>41.8%</w:t>
      </w:r>
      <w:r>
        <w:rPr>
          <w:rFonts w:hint="eastAsia"/>
          <w:lang w:val="es-ES"/>
        </w:rPr>
        <w:t>（其余部分则给了司法代理人）。上面这些数据表明，男性不但可以获得更大数额的贷款，而且他们获得的可支配的平均数额也远远高于女性（民族国家计划，</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567</w:t>
      </w:r>
      <w:r>
        <w:rPr>
          <w:rFonts w:hint="eastAsia"/>
          <w:lang w:val="es-ES"/>
        </w:rPr>
        <w:t>．哥斯达黎加国家银行还制订了为小型企业和微型企业提供贷款的特殊政策。在</w:t>
      </w:r>
      <w:r>
        <w:rPr>
          <w:rFonts w:hint="eastAsia"/>
          <w:lang w:val="es-ES"/>
        </w:rPr>
        <w:t>1999</w:t>
      </w:r>
      <w:r>
        <w:rPr>
          <w:rFonts w:hint="eastAsia"/>
          <w:lang w:val="es-ES"/>
        </w:rPr>
        <w:t>至</w:t>
      </w:r>
      <w:r>
        <w:rPr>
          <w:rFonts w:hint="eastAsia"/>
          <w:lang w:val="es-ES"/>
        </w:rPr>
        <w:t>2000</w:t>
      </w:r>
      <w:r>
        <w:rPr>
          <w:rFonts w:hint="eastAsia"/>
          <w:lang w:val="es-ES"/>
        </w:rPr>
        <w:t>年间，根据这一政策对女性发放的贷款比例由</w:t>
      </w:r>
      <w:r>
        <w:rPr>
          <w:rFonts w:hint="eastAsia"/>
          <w:lang w:val="es-ES"/>
        </w:rPr>
        <w:t>20.3%</w:t>
      </w:r>
      <w:r>
        <w:rPr>
          <w:rFonts w:hint="eastAsia"/>
          <w:lang w:val="es-ES"/>
        </w:rPr>
        <w:t>上升到</w:t>
      </w:r>
      <w:r>
        <w:rPr>
          <w:rFonts w:hint="eastAsia"/>
          <w:lang w:val="es-ES"/>
        </w:rPr>
        <w:t>26.41</w:t>
      </w:r>
      <w:r>
        <w:rPr>
          <w:rFonts w:hint="eastAsia"/>
          <w:lang w:val="es-ES"/>
        </w:rPr>
        <w:t>％（民族国</w:t>
      </w:r>
      <w:r>
        <w:rPr>
          <w:rFonts w:hint="eastAsia"/>
          <w:lang w:val="es-ES"/>
        </w:rPr>
        <w:t>家计划，</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568</w:t>
      </w:r>
      <w:r>
        <w:rPr>
          <w:rFonts w:hint="eastAsia"/>
          <w:lang w:val="es-ES"/>
        </w:rPr>
        <w:t>．</w:t>
      </w:r>
      <w:r>
        <w:rPr>
          <w:rFonts w:hint="eastAsia"/>
          <w:lang w:val="es-ES"/>
        </w:rPr>
        <w:t>2000</w:t>
      </w:r>
      <w:r>
        <w:rPr>
          <w:rFonts w:hint="eastAsia"/>
          <w:lang w:val="es-ES"/>
        </w:rPr>
        <w:t>年，国家妇女研究所与哥斯达黎加国家银行签署了一项协议，为女性创办的微型企业发放接近</w:t>
      </w:r>
      <w:r>
        <w:rPr>
          <w:rFonts w:hint="eastAsia"/>
          <w:lang w:val="es-ES"/>
        </w:rPr>
        <w:t>3</w:t>
      </w:r>
      <w:r>
        <w:rPr>
          <w:rFonts w:hint="eastAsia"/>
          <w:lang w:val="es-ES"/>
        </w:rPr>
        <w:t>亿</w:t>
      </w:r>
      <w:r>
        <w:rPr>
          <w:rFonts w:hint="eastAsia"/>
          <w:lang w:val="es-ES"/>
        </w:rPr>
        <w:t>5</w:t>
      </w:r>
      <w:r>
        <w:rPr>
          <w:rFonts w:hint="eastAsia"/>
          <w:lang w:val="es-ES"/>
        </w:rPr>
        <w:t>千万科朗的贷款。此外，国务院在同一年颁布了一项政策，要求国家金融机构对女性贷款给予重点关注（国家妇女研究所，</w:t>
      </w:r>
      <w:r>
        <w:rPr>
          <w:rFonts w:hint="eastAsia"/>
          <w:lang w:val="es-ES"/>
        </w:rPr>
        <w:t>2000</w:t>
      </w:r>
      <w:r>
        <w:rPr>
          <w:rFonts w:hint="eastAsia"/>
          <w:lang w:val="es-ES"/>
        </w:rPr>
        <w:t>年）。</w:t>
      </w:r>
    </w:p>
    <w:p w:rsidR="00000000" w:rsidRDefault="00CA422F">
      <w:pPr>
        <w:spacing w:after="240" w:line="360" w:lineRule="exact"/>
        <w:rPr>
          <w:rFonts w:hint="eastAsia"/>
          <w:lang w:val="es-ES"/>
        </w:rPr>
      </w:pPr>
      <w:r>
        <w:rPr>
          <w:rFonts w:hint="eastAsia"/>
          <w:lang w:val="es-ES"/>
        </w:rPr>
        <w:t>569</w:t>
      </w:r>
      <w:r>
        <w:rPr>
          <w:rFonts w:hint="eastAsia"/>
          <w:lang w:val="es-ES"/>
        </w:rPr>
        <w:t>．</w:t>
      </w:r>
      <w:r>
        <w:rPr>
          <w:rFonts w:hint="eastAsia"/>
          <w:spacing w:val="4"/>
          <w:lang w:val="es-ES"/>
        </w:rPr>
        <w:t>值得一提的是，劳动和社会保障部决定将从微型及小型企业全国扶持计划的经费中拨出第一笔将近</w:t>
      </w:r>
      <w:r>
        <w:rPr>
          <w:rFonts w:hint="eastAsia"/>
          <w:spacing w:val="4"/>
          <w:lang w:val="es-ES"/>
        </w:rPr>
        <w:t>345 000</w:t>
      </w:r>
      <w:r>
        <w:rPr>
          <w:rFonts w:hint="eastAsia"/>
          <w:lang w:val="es-ES"/>
        </w:rPr>
        <w:t>美元的款项，来推动贫困妇女关注计划中的关注对象的生产计划，该计划是在同名法律的基础上制订的。这些款项将在从</w:t>
      </w:r>
      <w:r>
        <w:rPr>
          <w:rFonts w:hint="eastAsia"/>
          <w:lang w:val="es-ES"/>
        </w:rPr>
        <w:t>2000</w:t>
      </w:r>
      <w:r>
        <w:rPr>
          <w:rFonts w:hint="eastAsia"/>
          <w:lang w:val="es-ES"/>
        </w:rPr>
        <w:t>起的三年内逐年发放，为达到这一目的，现</w:t>
      </w:r>
      <w:r>
        <w:rPr>
          <w:rFonts w:hint="eastAsia"/>
          <w:lang w:val="es-ES"/>
        </w:rPr>
        <w:t>已筹集了</w:t>
      </w:r>
      <w:r>
        <w:rPr>
          <w:rFonts w:hint="eastAsia"/>
          <w:lang w:val="es-ES"/>
        </w:rPr>
        <w:t>1 035 000.00</w:t>
      </w:r>
      <w:r>
        <w:rPr>
          <w:rFonts w:hint="eastAsia"/>
          <w:lang w:val="es-ES"/>
        </w:rPr>
        <w:t>多美元的资金（国家妇女研究所，</w:t>
      </w:r>
      <w:r>
        <w:rPr>
          <w:rFonts w:hint="eastAsia"/>
          <w:lang w:val="es-ES"/>
        </w:rPr>
        <w:t>2000</w:t>
      </w:r>
      <w:r>
        <w:rPr>
          <w:rFonts w:hint="eastAsia"/>
          <w:lang w:val="es-ES"/>
        </w:rPr>
        <w:t>年）。</w:t>
      </w:r>
    </w:p>
    <w:p w:rsidR="00000000" w:rsidRDefault="00CA422F">
      <w:pPr>
        <w:spacing w:after="240" w:line="360" w:lineRule="exact"/>
        <w:rPr>
          <w:rFonts w:hint="eastAsia"/>
          <w:lang w:val="es-ES"/>
        </w:rPr>
      </w:pPr>
      <w:r>
        <w:rPr>
          <w:rFonts w:hint="eastAsia"/>
          <w:lang w:val="es-ES"/>
        </w:rPr>
        <w:t>570</w:t>
      </w:r>
      <w:r>
        <w:rPr>
          <w:rFonts w:hint="eastAsia"/>
          <w:lang w:val="es-ES"/>
        </w:rPr>
        <w:t>．</w:t>
      </w:r>
      <w:r>
        <w:rPr>
          <w:rFonts w:hint="eastAsia"/>
          <w:lang w:val="es-ES"/>
        </w:rPr>
        <w:t>2002</w:t>
      </w:r>
      <w:r>
        <w:rPr>
          <w:rFonts w:hint="eastAsia"/>
          <w:lang w:val="es-ES"/>
        </w:rPr>
        <w:t>年</w:t>
      </w:r>
      <w:r>
        <w:rPr>
          <w:rFonts w:hint="eastAsia"/>
          <w:lang w:val="es-ES"/>
        </w:rPr>
        <w:t>4</w:t>
      </w:r>
      <w:r>
        <w:rPr>
          <w:rFonts w:hint="eastAsia"/>
          <w:lang w:val="es-ES"/>
        </w:rPr>
        <w:t>月，共和国公共开支检查总署，根据《贫困妇女关注计划法》（</w:t>
      </w:r>
      <w:r>
        <w:rPr>
          <w:rFonts w:hint="eastAsia"/>
          <w:lang w:val="es-ES"/>
        </w:rPr>
        <w:t>7769</w:t>
      </w:r>
      <w:r>
        <w:rPr>
          <w:rFonts w:hint="eastAsia"/>
          <w:lang w:val="es-ES"/>
        </w:rPr>
        <w:t>号法律及其修正案），为</w:t>
      </w:r>
      <w:r>
        <w:rPr>
          <w:rFonts w:hint="eastAsia"/>
        </w:rPr>
        <w:t>社会援助联合研究所</w:t>
      </w:r>
      <w:r>
        <w:rPr>
          <w:rFonts w:hint="eastAsia"/>
          <w:lang w:val="es-ES"/>
        </w:rPr>
        <w:t>通过并成立了信托遗产机构，专门为女性提供贷款。其目的在于使资源能够有效地促进女性创办的微型企业的发展，促使社会援助联合研究所加入关注妇女行动战略，在女性的职业培训和陪伴、规划和技术保障中引入性别观点。</w:t>
      </w:r>
    </w:p>
    <w:p w:rsidR="00000000" w:rsidRDefault="00CA422F">
      <w:pPr>
        <w:spacing w:after="240" w:line="360" w:lineRule="exact"/>
        <w:rPr>
          <w:rFonts w:hint="eastAsia"/>
          <w:lang w:val="es-ES"/>
        </w:rPr>
      </w:pPr>
      <w:r>
        <w:rPr>
          <w:rFonts w:hint="eastAsia"/>
          <w:lang w:val="es-ES"/>
        </w:rPr>
        <w:t>571</w:t>
      </w:r>
      <w:r>
        <w:rPr>
          <w:rFonts w:hint="eastAsia"/>
          <w:lang w:val="es-ES"/>
        </w:rPr>
        <w:t>．</w:t>
      </w:r>
      <w:r>
        <w:rPr>
          <w:rFonts w:hint="eastAsia"/>
          <w:lang w:val="es-ES"/>
        </w:rPr>
        <w:t>2002</w:t>
      </w:r>
      <w:r>
        <w:rPr>
          <w:rFonts w:hint="eastAsia"/>
          <w:lang w:val="es-ES"/>
        </w:rPr>
        <w:t>年</w:t>
      </w:r>
      <w:r>
        <w:rPr>
          <w:rFonts w:hint="eastAsia"/>
          <w:lang w:val="es-ES"/>
        </w:rPr>
        <w:t>4</w:t>
      </w:r>
      <w:r>
        <w:rPr>
          <w:rFonts w:hint="eastAsia"/>
          <w:lang w:val="es-ES"/>
        </w:rPr>
        <w:t>月</w:t>
      </w:r>
      <w:r>
        <w:rPr>
          <w:rFonts w:hint="eastAsia"/>
          <w:lang w:val="es-ES"/>
        </w:rPr>
        <w:t>24</w:t>
      </w:r>
      <w:r>
        <w:rPr>
          <w:rFonts w:hint="eastAsia"/>
          <w:lang w:val="es-ES"/>
        </w:rPr>
        <w:t>日通过的《中小型企业扶持法》，在民众共同发展银行里设立了微型、小型和中型企业发展特</w:t>
      </w:r>
      <w:r>
        <w:rPr>
          <w:rFonts w:hint="eastAsia"/>
          <w:lang w:val="es-ES"/>
        </w:rPr>
        <w:t>别基金。应该进行不断的斗争，让该银行在信息利用和刺激手段方面采取新型的科学技术。应该从女性的家庭和贸易是一个整体的前提出发，在可能的债务人提供的信息基础上，来确定偿还能力和意志，而不仅仅只根据担保做出判断。</w:t>
      </w:r>
    </w:p>
    <w:p w:rsidR="00000000" w:rsidRDefault="00CA422F">
      <w:pPr>
        <w:spacing w:after="240" w:line="360" w:lineRule="exact"/>
        <w:rPr>
          <w:rFonts w:hint="eastAsia"/>
          <w:lang w:val="es-ES"/>
        </w:rPr>
      </w:pPr>
      <w:r>
        <w:rPr>
          <w:rFonts w:hint="eastAsia"/>
          <w:lang w:val="es-ES"/>
        </w:rPr>
        <w:t>572</w:t>
      </w:r>
      <w:r>
        <w:rPr>
          <w:rFonts w:hint="eastAsia"/>
          <w:lang w:val="es-ES"/>
        </w:rPr>
        <w:t>．对女性努力发展自己的企业能够提供的经济资助实在有限，虽然不少公共机构、私人机构、甚至一些国际组织都制订了推动微型企业发展的特殊计划。随之而产生的问题之一便是各个组织缺乏合作，而上述计划缺乏必要的推动措施，这都妨碍了对九十年代出现的趋势进行分析的可能性（民族国家计划，</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573</w:t>
      </w:r>
      <w:r>
        <w:rPr>
          <w:rFonts w:hint="eastAsia"/>
          <w:lang w:val="es-ES"/>
        </w:rPr>
        <w:t>．最近开</w:t>
      </w:r>
      <w:r>
        <w:rPr>
          <w:rFonts w:hint="eastAsia"/>
          <w:lang w:val="es-ES"/>
        </w:rPr>
        <w:t>展的一项名为“哥斯达黎加九十年代微型企业状况”（微型及小型企业全国扶持计划和</w:t>
      </w:r>
      <w:r>
        <w:rPr>
          <w:rFonts w:hint="eastAsia"/>
        </w:rPr>
        <w:t>微型企业推动计划</w:t>
      </w:r>
      <w:r>
        <w:rPr>
          <w:rFonts w:hint="eastAsia"/>
        </w:rPr>
        <w:t>/</w:t>
      </w:r>
      <w:r>
        <w:rPr>
          <w:rFonts w:hint="eastAsia"/>
        </w:rPr>
        <w:t>国际劳工组织（</w:t>
      </w:r>
      <w:r>
        <w:rPr>
          <w:rFonts w:hint="eastAsia"/>
        </w:rPr>
        <w:t>s. f.</w:t>
      </w:r>
      <w:r>
        <w:rPr>
          <w:rFonts w:hint="eastAsia"/>
        </w:rPr>
        <w:t>）</w:t>
      </w:r>
      <w:r>
        <w:rPr>
          <w:rFonts w:hint="eastAsia"/>
          <w:lang w:val="es-ES"/>
        </w:rPr>
        <w:t>）的研究，对非农业的劳动力市场进行分析，根据生产能力，将内部活动细分为各个层次。该研究还体现了女性企业主参与的重要性在不断增加：</w:t>
      </w:r>
    </w:p>
    <w:p w:rsidR="00000000" w:rsidRDefault="00CA422F">
      <w:pPr>
        <w:numPr>
          <w:ilvl w:val="0"/>
          <w:numId w:val="830"/>
        </w:numPr>
        <w:spacing w:after="240" w:line="360" w:lineRule="exact"/>
        <w:rPr>
          <w:rFonts w:hint="eastAsia"/>
          <w:lang w:val="es-ES"/>
        </w:rPr>
      </w:pPr>
      <w:r>
        <w:rPr>
          <w:rFonts w:hint="eastAsia"/>
        </w:rPr>
        <w:t>1998</w:t>
      </w:r>
      <w:r>
        <w:rPr>
          <w:rFonts w:hint="eastAsia"/>
          <w:lang w:val="es-ES"/>
        </w:rPr>
        <w:t>年，八万四千名女性开展了创业活动，数量比八年前增加了一倍，而当时只有四万五千名女性从事这个领域的劳动。</w:t>
      </w:r>
    </w:p>
    <w:p w:rsidR="00000000" w:rsidRDefault="00CA422F">
      <w:pPr>
        <w:numPr>
          <w:ilvl w:val="0"/>
          <w:numId w:val="830"/>
        </w:numPr>
        <w:spacing w:after="240" w:line="360" w:lineRule="exact"/>
        <w:rPr>
          <w:rFonts w:hint="eastAsia"/>
        </w:rPr>
      </w:pPr>
      <w:r>
        <w:rPr>
          <w:rFonts w:hint="eastAsia"/>
          <w:lang w:val="es-ES"/>
        </w:rPr>
        <w:t>96</w:t>
      </w:r>
      <w:r>
        <w:rPr>
          <w:rFonts w:hint="eastAsia"/>
          <w:lang w:val="es-ES"/>
        </w:rPr>
        <w:t>％的女性从事微型贸易（开办的企业雇佣</w:t>
      </w:r>
      <w:r>
        <w:rPr>
          <w:rFonts w:hint="eastAsia"/>
          <w:lang w:val="es-ES"/>
        </w:rPr>
        <w:t>1</w:t>
      </w:r>
      <w:r>
        <w:rPr>
          <w:rFonts w:hint="eastAsia"/>
          <w:lang w:val="es-ES"/>
        </w:rPr>
        <w:t>至</w:t>
      </w:r>
      <w:r>
        <w:rPr>
          <w:rFonts w:hint="eastAsia"/>
          <w:lang w:val="es-ES"/>
        </w:rPr>
        <w:t>4</w:t>
      </w:r>
      <w:r>
        <w:rPr>
          <w:rFonts w:hint="eastAsia"/>
          <w:lang w:val="es-ES"/>
        </w:rPr>
        <w:t>名工人）。</w:t>
      </w:r>
      <w:r>
        <w:rPr>
          <w:rFonts w:hint="eastAsia"/>
          <w:lang w:val="es-ES"/>
        </w:rPr>
        <w:t>84</w:t>
      </w:r>
      <w:r>
        <w:rPr>
          <w:rFonts w:hint="eastAsia"/>
          <w:lang w:val="es-ES"/>
        </w:rPr>
        <w:t>％的女性从事自营职业工作。</w:t>
      </w:r>
    </w:p>
    <w:p w:rsidR="00000000" w:rsidRDefault="00CA422F">
      <w:pPr>
        <w:numPr>
          <w:ilvl w:val="0"/>
          <w:numId w:val="830"/>
        </w:numPr>
        <w:spacing w:after="240" w:line="360" w:lineRule="exact"/>
        <w:rPr>
          <w:rFonts w:hint="eastAsia"/>
        </w:rPr>
      </w:pPr>
      <w:r>
        <w:rPr>
          <w:rFonts w:hint="eastAsia"/>
        </w:rPr>
        <w:t>59</w:t>
      </w:r>
      <w:r>
        <w:rPr>
          <w:rFonts w:hint="eastAsia"/>
        </w:rPr>
        <w:t>％从事自营职业工作的贸易活动仍然处于满足基本需求的层次。其</w:t>
      </w:r>
      <w:r>
        <w:rPr>
          <w:rFonts w:hint="eastAsia"/>
        </w:rPr>
        <w:t>中，</w:t>
      </w:r>
      <w:r>
        <w:rPr>
          <w:rFonts w:hint="eastAsia"/>
        </w:rPr>
        <w:t>94</w:t>
      </w:r>
      <w:r>
        <w:rPr>
          <w:rFonts w:hint="eastAsia"/>
        </w:rPr>
        <w:t>％的女性为贫困妇女。</w:t>
      </w:r>
    </w:p>
    <w:p w:rsidR="00000000" w:rsidRDefault="00CA422F">
      <w:pPr>
        <w:spacing w:after="240" w:line="360" w:lineRule="exact"/>
        <w:rPr>
          <w:rFonts w:hint="eastAsia"/>
          <w:lang w:val="es-ES"/>
        </w:rPr>
      </w:pPr>
      <w:r>
        <w:rPr>
          <w:rFonts w:hint="eastAsia"/>
        </w:rPr>
        <w:t>574</w:t>
      </w:r>
      <w:r>
        <w:rPr>
          <w:rFonts w:hint="eastAsia"/>
        </w:rPr>
        <w:t>．从事这种微型贸易的女性处于贫困之中的社会经济条件促使</w:t>
      </w:r>
      <w:r>
        <w:rPr>
          <w:rFonts w:hint="eastAsia"/>
          <w:lang w:val="es-ES"/>
        </w:rPr>
        <w:t>国家担保和保证基金获得成立。该基金会引入了帮助和指导不同条件的女性获得贷款的机制，以便：</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保障贷款的可利用性，贷款利率适当，提供担保和合适的还款期限。</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把为这一经济高度脆弱的群体提供资源的风险降至最低。</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吸纳具有女性创业关注经验的金融机构做中介。</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管理通货膨胀过程中受保护的特殊基金。</w:t>
      </w:r>
    </w:p>
    <w:p w:rsidR="00000000" w:rsidRDefault="00CA422F">
      <w:pPr>
        <w:spacing w:after="240" w:line="360" w:lineRule="exact"/>
        <w:rPr>
          <w:rFonts w:hint="eastAsia"/>
          <w:lang w:val="es-ES"/>
        </w:rPr>
      </w:pPr>
      <w:r>
        <w:rPr>
          <w:rFonts w:hint="eastAsia"/>
          <w:lang w:val="es-ES"/>
        </w:rPr>
        <w:t>575</w:t>
      </w:r>
      <w:r>
        <w:rPr>
          <w:rFonts w:hint="eastAsia"/>
          <w:lang w:val="es-ES"/>
        </w:rPr>
        <w:t>．同样，上述基金会还应在贷款偿还期间提供长期的陪伴和关注服务，以便保障投资和预防拖欠。这方面的费用应该由其它资金支付，所以，贷款本</w:t>
      </w:r>
      <w:r>
        <w:rPr>
          <w:rFonts w:hint="eastAsia"/>
          <w:lang w:val="es-ES"/>
        </w:rPr>
        <w:t>身无需为技术支持支付特别费用。</w:t>
      </w:r>
    </w:p>
    <w:p w:rsidR="00000000" w:rsidRDefault="00CA422F">
      <w:pPr>
        <w:pStyle w:val="Date"/>
        <w:spacing w:after="240" w:line="360" w:lineRule="exact"/>
        <w:rPr>
          <w:rFonts w:hint="eastAsia"/>
          <w:lang w:val="es-ES"/>
        </w:rPr>
      </w:pPr>
    </w:p>
    <w:p w:rsidR="00000000" w:rsidRDefault="00CA422F">
      <w:pPr>
        <w:spacing w:beforeLines="50" w:before="120" w:after="360" w:line="360" w:lineRule="exact"/>
        <w:jc w:val="center"/>
        <w:rPr>
          <w:rFonts w:eastAsia="SimHei" w:hint="eastAsia"/>
          <w:sz w:val="24"/>
          <w:lang w:val="es-ES"/>
        </w:rPr>
      </w:pPr>
      <w:r>
        <w:br w:type="page"/>
      </w:r>
      <w:r>
        <w:rPr>
          <w:rFonts w:eastAsia="SimHei" w:hint="eastAsia"/>
          <w:sz w:val="24"/>
          <w:lang w:val="es-ES"/>
        </w:rPr>
        <w:t>第十四条：农村妇女</w:t>
      </w:r>
    </w:p>
    <w:p w:rsidR="00000000" w:rsidRDefault="00CA422F">
      <w:pPr>
        <w:spacing w:after="240" w:line="360" w:lineRule="exact"/>
        <w:rPr>
          <w:rFonts w:eastAsia="SimHei" w:hint="eastAsia"/>
        </w:rPr>
      </w:pPr>
      <w:r>
        <w:rPr>
          <w:rFonts w:eastAsia="SimHei"/>
        </w:rPr>
        <w:t>第十四条</w:t>
      </w:r>
      <w:r>
        <w:rPr>
          <w:rFonts w:eastAsia="SimHei" w:hint="eastAsia"/>
        </w:rPr>
        <w:t>：</w:t>
      </w:r>
      <w:r>
        <w:rPr>
          <w:rFonts w:eastAsia="SimHei"/>
        </w:rPr>
        <w:t> </w:t>
      </w:r>
    </w:p>
    <w:p w:rsidR="00000000" w:rsidRDefault="00CA422F">
      <w:pPr>
        <w:spacing w:after="240" w:line="360" w:lineRule="exact"/>
        <w:rPr>
          <w:rFonts w:ascii="KaiTi_GB2312" w:eastAsia="KaiTi_GB2312" w:hint="eastAsia"/>
        </w:rPr>
      </w:pPr>
      <w:r>
        <w:rPr>
          <w:rFonts w:ascii="KaiTi_GB2312" w:eastAsia="KaiTi_GB2312"/>
        </w:rPr>
        <w:t>1</w:t>
      </w:r>
      <w:r>
        <w:rPr>
          <w:rFonts w:ascii="KaiTi_GB2312" w:eastAsia="KaiTi_GB2312"/>
        </w:rPr>
        <w:t>．缔约各国应考虑到农村妇女面对的特殊问题和她们对家庭生计包括她们在经济体系中无金钱交易的部门的工作方面所发挥的重要作用，并应采取一切适当措施，保证对农村地区妇女适用本公约的各项规定。</w:t>
      </w:r>
      <w:r>
        <w:rPr>
          <w:rFonts w:ascii="KaiTi_GB2312" w:eastAsia="KaiTi_GB2312"/>
        </w:rPr>
        <w:t> </w:t>
      </w:r>
    </w:p>
    <w:p w:rsidR="00000000" w:rsidRDefault="00CA422F">
      <w:pPr>
        <w:spacing w:after="240" w:line="360" w:lineRule="exact"/>
        <w:rPr>
          <w:rFonts w:ascii="KaiTi_GB2312" w:eastAsia="KaiTi_GB2312" w:hint="eastAsia"/>
        </w:rPr>
      </w:pPr>
      <w:r>
        <w:rPr>
          <w:rFonts w:ascii="KaiTi_GB2312" w:eastAsia="KaiTi_GB2312"/>
        </w:rPr>
        <w:t> </w:t>
      </w:r>
      <w:r>
        <w:rPr>
          <w:rFonts w:ascii="KaiTi_GB2312" w:eastAsia="KaiTi_GB2312"/>
        </w:rPr>
        <w:t>2</w:t>
      </w:r>
      <w:r>
        <w:rPr>
          <w:rFonts w:ascii="KaiTi_GB2312" w:eastAsia="KaiTi_GB2312"/>
        </w:rPr>
        <w:t>．缔约各国应采取一切适当措施以消除对农村地区妇女的歧视，保证她们在男女平等的基础上参与农村发展并受其益惠，尤其是保证她们有权；</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 xml:space="preserve">(A) </w:t>
      </w:r>
      <w:r>
        <w:rPr>
          <w:rFonts w:ascii="KaiTi_GB2312" w:eastAsia="KaiTi_GB2312"/>
        </w:rPr>
        <w:t>充分参与各级发展规划的拟订和执行工作；</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rPr>
        <w:t>有权利用充分的保健设施，包括计划生育方面的知识、辅导和服务；</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rPr>
        <w:t>从社会保障方案直接受益；</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rPr>
        <w:t>接受各种正式和非正式的训练和教育，包括实用识字的训练和教育在内，以及除了别的以外，享受一切社区服务和推广服务的益惠，以提高她们的技术熟练程度；</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(E)</w:t>
      </w:r>
      <w:r>
        <w:rPr>
          <w:rFonts w:ascii="KaiTi_GB2312" w:eastAsia="KaiTi_GB2312"/>
        </w:rPr>
        <w:tab/>
      </w:r>
      <w:r>
        <w:rPr>
          <w:rFonts w:ascii="KaiTi_GB2312" w:eastAsia="KaiTi_GB2312"/>
        </w:rPr>
        <w:t>组织自助团体和合作社，以通过受雇和自雇的途径取得平等的经济机会；</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(F)</w:t>
      </w:r>
      <w:r>
        <w:rPr>
          <w:rFonts w:ascii="KaiTi_GB2312" w:eastAsia="KaiTi_GB2312"/>
        </w:rPr>
        <w:tab/>
      </w:r>
      <w:r>
        <w:rPr>
          <w:rFonts w:ascii="KaiTi_GB2312" w:eastAsia="KaiTi_GB2312"/>
        </w:rPr>
        <w:t>参加一切社区活动；</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(G)</w:t>
      </w:r>
      <w:r>
        <w:rPr>
          <w:rFonts w:ascii="KaiTi_GB2312" w:eastAsia="KaiTi_GB2312"/>
        </w:rPr>
        <w:tab/>
      </w:r>
      <w:r>
        <w:rPr>
          <w:rFonts w:ascii="KaiTi_GB2312" w:eastAsia="KaiTi_GB2312"/>
        </w:rPr>
        <w:t>有机会取得农业信贷，利用销售设施，获得适当技术，并在土地改革和土地垦殖计划方面享有平等待遇；</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(H)</w:t>
      </w:r>
      <w:r>
        <w:rPr>
          <w:rFonts w:ascii="KaiTi_GB2312" w:eastAsia="KaiTi_GB2312"/>
        </w:rPr>
        <w:tab/>
      </w:r>
      <w:r>
        <w:rPr>
          <w:rFonts w:ascii="KaiTi_GB2312" w:eastAsia="KaiTi_GB2312"/>
        </w:rPr>
        <w:t>享受适当的生活条件，特别是在住房、卫生、水电供应、交通和通讯方面。</w:t>
      </w:r>
    </w:p>
    <w:p w:rsidR="00000000" w:rsidRDefault="00CA422F">
      <w:pPr>
        <w:spacing w:after="240" w:line="360" w:lineRule="exact"/>
        <w:jc w:val="center"/>
        <w:rPr>
          <w:rFonts w:eastAsia="SimHei" w:hint="eastAsia"/>
          <w:sz w:val="24"/>
        </w:rPr>
      </w:pPr>
      <w:r>
        <w:rPr>
          <w:rFonts w:eastAsia="SimHei" w:hint="eastAsia"/>
          <w:sz w:val="24"/>
        </w:rPr>
        <w:t>贫困的主要受害者为农村妇女</w:t>
      </w:r>
    </w:p>
    <w:p w:rsidR="00000000" w:rsidRDefault="00CA422F">
      <w:pPr>
        <w:spacing w:after="240" w:line="360" w:lineRule="exact"/>
        <w:rPr>
          <w:rFonts w:hint="eastAsia"/>
          <w:lang w:val="es-ES"/>
        </w:rPr>
      </w:pPr>
      <w:r>
        <w:rPr>
          <w:rFonts w:hint="eastAsia"/>
          <w:lang w:val="es-ES"/>
        </w:rPr>
        <w:t>576</w:t>
      </w:r>
      <w:r>
        <w:rPr>
          <w:rFonts w:hint="eastAsia"/>
          <w:lang w:val="es-ES"/>
        </w:rPr>
        <w:t>．在哥斯达黎加，贫困主要分布在农村地区和中央谷地之外的其它地区，忍受贫穷的不仅有国家的平均家庭，还包括那些由女性担当户主的家庭。从地区上看，城镇和农村的情况比较类似；也就是说，贫困在不同地区都呈现出上升趋势。然而，农村的贫困状况要比城镇的情况严重，无论在贫困人口总数上，还是在贫困的程度上都是如此（民族国家计划，</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577</w:t>
      </w:r>
      <w:r>
        <w:rPr>
          <w:rFonts w:hint="eastAsia"/>
          <w:lang w:val="es-ES"/>
        </w:rPr>
        <w:t>．各地区之间也存在着差异。</w:t>
      </w:r>
      <w:r>
        <w:rPr>
          <w:rFonts w:hint="eastAsia"/>
          <w:lang w:val="es-ES"/>
        </w:rPr>
        <w:t>1999</w:t>
      </w:r>
      <w:r>
        <w:rPr>
          <w:rFonts w:hint="eastAsia"/>
          <w:lang w:val="es-ES"/>
        </w:rPr>
        <w:t>年，邱罗特加地区和不隆卡地区各省的贫困率最高。然而，这两个地区男性担当户主的要比女性高出十个百分点，同中央地区以及中部太平洋沿岸地区的比例相近。</w:t>
      </w:r>
      <w:r>
        <w:rPr>
          <w:lang w:val="es-ES"/>
        </w:rPr>
        <w:t>乌埃塔尔大西洋沿岸地区</w:t>
      </w:r>
      <w:r>
        <w:rPr>
          <w:rFonts w:hint="eastAsia"/>
          <w:lang w:val="es-ES"/>
        </w:rPr>
        <w:t>虽然不是最贫困的地区，但是该省男女担当户主的比例却相差最大。同样，男性担当户主和女性担当户主之间的最大差异主要出现在极端贫困的家庭中。在贫困家庭男女担当户主之间相差十七个百分点，在极端贫困的家庭中，男女担当户主之间则相差十个百分点（民族国家计划，</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578</w:t>
      </w:r>
      <w:r>
        <w:rPr>
          <w:rFonts w:hint="eastAsia"/>
          <w:lang w:val="es-ES"/>
        </w:rPr>
        <w:t>．农村妇女的贫困比例不是一成不变的，但是在那些从事满足自身需要的最基础活动的妇女中，贫困率高达</w:t>
      </w:r>
      <w:r>
        <w:rPr>
          <w:rFonts w:hint="eastAsia"/>
          <w:lang w:val="es-ES"/>
        </w:rPr>
        <w:t>40</w:t>
      </w:r>
      <w:r>
        <w:rPr>
          <w:rFonts w:hint="eastAsia"/>
          <w:lang w:val="es-ES"/>
        </w:rPr>
        <w:t>％（</w:t>
      </w:r>
      <w:r>
        <w:rPr>
          <w:rFonts w:hint="eastAsia"/>
          <w:lang w:val="es-ES"/>
        </w:rPr>
        <w:t>Trejos</w:t>
      </w:r>
      <w:r>
        <w:rPr>
          <w:rFonts w:hint="eastAsia"/>
          <w:lang w:val="es-ES"/>
        </w:rPr>
        <w:t>，</w:t>
      </w:r>
      <w:r>
        <w:rPr>
          <w:rFonts w:hint="eastAsia"/>
          <w:lang w:val="es-ES"/>
        </w:rPr>
        <w:t>2000</w:t>
      </w:r>
      <w:r>
        <w:rPr>
          <w:rFonts w:hint="eastAsia"/>
          <w:lang w:val="es-ES"/>
        </w:rPr>
        <w:t>年）。因此，虽然官方数据反映的情况并非如此，但是消除贫困现象的国家政策应该把解决这些小生产者的贫困</w:t>
      </w:r>
      <w:r>
        <w:rPr>
          <w:rFonts w:hint="eastAsia"/>
          <w:lang w:val="es-ES"/>
        </w:rPr>
        <w:t>问题放在首位。</w:t>
      </w:r>
    </w:p>
    <w:p w:rsidR="00000000" w:rsidRDefault="00CA422F">
      <w:pPr>
        <w:spacing w:after="240" w:line="360" w:lineRule="exact"/>
        <w:rPr>
          <w:rFonts w:hint="eastAsia"/>
          <w:lang w:val="es-ES"/>
        </w:rPr>
      </w:pPr>
      <w:r>
        <w:rPr>
          <w:rFonts w:hint="eastAsia"/>
          <w:lang w:val="es-ES"/>
        </w:rPr>
        <w:t>579</w:t>
      </w:r>
      <w:r>
        <w:rPr>
          <w:rFonts w:hint="eastAsia"/>
          <w:lang w:val="es-ES"/>
        </w:rPr>
        <w:t>．在所有接受农牧业部农牧业服务署提供服务的生产者之中，女性只占</w:t>
      </w:r>
      <w:r>
        <w:rPr>
          <w:rFonts w:hint="eastAsia"/>
          <w:lang w:val="es-ES"/>
        </w:rPr>
        <w:t>20</w:t>
      </w:r>
      <w:r>
        <w:rPr>
          <w:rFonts w:hint="eastAsia"/>
          <w:lang w:val="es-ES"/>
        </w:rPr>
        <w:t>％，不同地区这方面的数据都比较类似，而本报告所涉的不同年份也没有出现太大的变化。</w:t>
      </w:r>
    </w:p>
    <w:p w:rsidR="00000000" w:rsidRDefault="00CA422F">
      <w:pPr>
        <w:spacing w:after="240" w:line="360" w:lineRule="exact"/>
        <w:rPr>
          <w:rFonts w:hint="eastAsia"/>
          <w:lang w:val="es-ES"/>
        </w:rPr>
      </w:pPr>
      <w:r>
        <w:rPr>
          <w:rFonts w:hint="eastAsia"/>
          <w:lang w:val="es-ES"/>
        </w:rPr>
        <w:t>580</w:t>
      </w:r>
      <w:r>
        <w:rPr>
          <w:rFonts w:hint="eastAsia"/>
          <w:lang w:val="es-ES"/>
        </w:rPr>
        <w:t>．生产再培训计划方面的结果似乎并没有反映出存在向女性长期提供职业关注的意图，因为</w:t>
      </w:r>
      <w:r>
        <w:rPr>
          <w:rFonts w:hint="eastAsia"/>
          <w:lang w:val="es-ES"/>
        </w:rPr>
        <w:t>1997</w:t>
      </w:r>
      <w:r>
        <w:rPr>
          <w:rFonts w:hint="eastAsia"/>
          <w:lang w:val="es-ES"/>
        </w:rPr>
        <w:t>年至</w:t>
      </w:r>
      <w:r>
        <w:rPr>
          <w:rFonts w:hint="eastAsia"/>
          <w:lang w:val="es-ES"/>
        </w:rPr>
        <w:t>2000</w:t>
      </w:r>
      <w:r>
        <w:rPr>
          <w:rFonts w:hint="eastAsia"/>
          <w:lang w:val="es-ES"/>
        </w:rPr>
        <w:t>年</w:t>
      </w:r>
      <w:r>
        <w:rPr>
          <w:rFonts w:hint="eastAsia"/>
          <w:lang w:val="es-ES"/>
        </w:rPr>
        <w:t>10</w:t>
      </w:r>
      <w:r>
        <w:rPr>
          <w:rFonts w:hint="eastAsia"/>
          <w:lang w:val="es-ES"/>
        </w:rPr>
        <w:t>月间，接受培训的女性比例在</w:t>
      </w:r>
      <w:r>
        <w:rPr>
          <w:rFonts w:hint="eastAsia"/>
          <w:lang w:val="es-ES"/>
        </w:rPr>
        <w:t>21.5%</w:t>
      </w:r>
      <w:r>
        <w:rPr>
          <w:rFonts w:hint="eastAsia"/>
          <w:lang w:val="es-ES"/>
        </w:rPr>
        <w:t>与</w:t>
      </w:r>
      <w:r>
        <w:rPr>
          <w:rFonts w:hint="eastAsia"/>
          <w:lang w:val="es-ES"/>
        </w:rPr>
        <w:t>16</w:t>
      </w:r>
      <w:r>
        <w:rPr>
          <w:rFonts w:hint="eastAsia"/>
          <w:lang w:val="es-ES"/>
        </w:rPr>
        <w:t>％之间。在该计划的整个贯彻期间（</w:t>
      </w:r>
      <w:r>
        <w:rPr>
          <w:rFonts w:hint="eastAsia"/>
          <w:lang w:val="es-ES"/>
        </w:rPr>
        <w:t>1996</w:t>
      </w:r>
      <w:r>
        <w:rPr>
          <w:rFonts w:hint="eastAsia"/>
          <w:lang w:val="es-ES"/>
        </w:rPr>
        <w:t>年</w:t>
      </w:r>
      <w:r>
        <w:rPr>
          <w:rFonts w:hint="eastAsia"/>
          <w:lang w:val="es-ES"/>
        </w:rPr>
        <w:t>4</w:t>
      </w:r>
      <w:r>
        <w:rPr>
          <w:rFonts w:hint="eastAsia"/>
          <w:lang w:val="es-ES"/>
        </w:rPr>
        <w:t>月至</w:t>
      </w:r>
      <w:r>
        <w:rPr>
          <w:rFonts w:hint="eastAsia"/>
          <w:lang w:val="es-ES"/>
        </w:rPr>
        <w:t>2000</w:t>
      </w:r>
      <w:r>
        <w:rPr>
          <w:rFonts w:hint="eastAsia"/>
          <w:lang w:val="es-ES"/>
        </w:rPr>
        <w:t>年</w:t>
      </w:r>
      <w:r>
        <w:rPr>
          <w:rFonts w:hint="eastAsia"/>
          <w:lang w:val="es-ES"/>
        </w:rPr>
        <w:t>10</w:t>
      </w:r>
      <w:r>
        <w:rPr>
          <w:rFonts w:hint="eastAsia"/>
          <w:lang w:val="es-ES"/>
        </w:rPr>
        <w:t>月），上述比例随着地区的不同出现了较大变化，其中</w:t>
      </w:r>
      <w:r>
        <w:rPr>
          <w:lang w:val="es-ES"/>
        </w:rPr>
        <w:t>乌埃塔尔大西洋沿岸地区</w:t>
      </w:r>
      <w:r>
        <w:rPr>
          <w:rFonts w:hint="eastAsia"/>
          <w:lang w:val="es-ES"/>
        </w:rPr>
        <w:t>和</w:t>
      </w:r>
      <w:r>
        <w:rPr>
          <w:lang w:val="es-ES"/>
        </w:rPr>
        <w:t>北乌埃塔尔地区</w:t>
      </w:r>
      <w:r>
        <w:rPr>
          <w:rFonts w:hint="eastAsia"/>
          <w:lang w:val="es-ES"/>
        </w:rPr>
        <w:t>两地的女性参与人数最多。但是，在不隆卡地</w:t>
      </w:r>
      <w:r>
        <w:rPr>
          <w:rFonts w:hint="eastAsia"/>
          <w:lang w:val="es-ES"/>
        </w:rPr>
        <w:t>区、邱罗特加地区和中部太平洋沿岸地区等女户主家庭占据主要比例的贫困地区，该计划提供的服务相对较少。</w:t>
      </w:r>
    </w:p>
    <w:p w:rsidR="00000000" w:rsidRDefault="00CA422F">
      <w:pPr>
        <w:spacing w:after="240" w:line="360" w:lineRule="exact"/>
        <w:rPr>
          <w:rFonts w:hint="eastAsia"/>
          <w:lang w:val="es-ES"/>
        </w:rPr>
      </w:pPr>
      <w:r>
        <w:rPr>
          <w:rFonts w:hint="eastAsia"/>
          <w:lang w:val="es-ES"/>
        </w:rPr>
        <w:t>581</w:t>
      </w:r>
      <w:r>
        <w:rPr>
          <w:rFonts w:hint="eastAsia"/>
          <w:lang w:val="es-ES"/>
        </w:rPr>
        <w:t>．有限的服务同女性土地拥有者比例低下直接相关。《促进妇女社会平等法》（</w:t>
      </w:r>
      <w:r>
        <w:rPr>
          <w:rFonts w:hint="eastAsia"/>
          <w:lang w:val="es-ES"/>
        </w:rPr>
        <w:t>1990</w:t>
      </w:r>
      <w:r>
        <w:rPr>
          <w:rFonts w:hint="eastAsia"/>
          <w:lang w:val="es-ES"/>
        </w:rPr>
        <w:t>年）规定，土地和房屋都应该算作家庭财产，夫妻双方对其享有平等权利。或许该法律的重要之处便是第一次在法律上承认了事实夫妻（自由结合的夫妻）。</w:t>
      </w:r>
    </w:p>
    <w:p w:rsidR="00000000" w:rsidRDefault="00CA422F">
      <w:pPr>
        <w:spacing w:after="240" w:line="360" w:lineRule="exact"/>
        <w:rPr>
          <w:rFonts w:hint="eastAsia"/>
          <w:lang w:val="es-ES"/>
        </w:rPr>
      </w:pPr>
      <w:r>
        <w:rPr>
          <w:rFonts w:hint="eastAsia"/>
          <w:lang w:val="es-ES"/>
        </w:rPr>
        <w:t>582</w:t>
      </w:r>
      <w:r>
        <w:rPr>
          <w:rFonts w:hint="eastAsia"/>
          <w:lang w:val="es-ES"/>
        </w:rPr>
        <w:t>．随着上述法律的贯彻实施，</w:t>
      </w:r>
      <w:r>
        <w:rPr>
          <w:rFonts w:hint="eastAsia"/>
          <w:lang w:val="es-ES"/>
        </w:rPr>
        <w:t>1990</w:t>
      </w:r>
      <w:r>
        <w:rPr>
          <w:rFonts w:hint="eastAsia"/>
          <w:lang w:val="es-ES"/>
        </w:rPr>
        <w:t>年每</w:t>
      </w:r>
      <w:r>
        <w:rPr>
          <w:rFonts w:hint="eastAsia"/>
          <w:lang w:val="es-ES"/>
        </w:rPr>
        <w:t>100</w:t>
      </w:r>
      <w:r>
        <w:rPr>
          <w:rFonts w:hint="eastAsia"/>
          <w:lang w:val="es-ES"/>
        </w:rPr>
        <w:t>名女性中有</w:t>
      </w:r>
      <w:r>
        <w:rPr>
          <w:rFonts w:hint="eastAsia"/>
          <w:lang w:val="es-ES"/>
        </w:rPr>
        <w:t>39</w:t>
      </w:r>
      <w:r>
        <w:rPr>
          <w:rFonts w:hint="eastAsia"/>
          <w:lang w:val="es-ES"/>
        </w:rPr>
        <w:t>人独自获得了土地所有权（人类进步与和平基金会）。</w:t>
      </w:r>
      <w:r>
        <w:rPr>
          <w:rFonts w:hint="eastAsia"/>
          <w:lang w:val="es-ES"/>
        </w:rPr>
        <w:t>1994</w:t>
      </w:r>
      <w:r>
        <w:rPr>
          <w:rFonts w:hint="eastAsia"/>
          <w:lang w:val="es-ES"/>
        </w:rPr>
        <w:t>年，最高法庭解决了关于上述法律某个条款违反宪法规定的问题，该条款规定</w:t>
      </w:r>
      <w:r>
        <w:rPr>
          <w:rFonts w:hint="eastAsia"/>
          <w:lang w:val="es-ES"/>
        </w:rPr>
        <w:t>，在自由结合的情况下，土地应该归女性所有；最高法庭对此进行修改后重新规定，在这种情况下，土地应该为夫妻双方共同拥有。</w:t>
      </w:r>
    </w:p>
    <w:p w:rsidR="00000000" w:rsidRDefault="00CA422F">
      <w:pPr>
        <w:spacing w:after="240" w:line="360" w:lineRule="exact"/>
        <w:rPr>
          <w:rFonts w:hint="eastAsia"/>
        </w:rPr>
      </w:pPr>
      <w:r>
        <w:rPr>
          <w:rFonts w:hint="eastAsia"/>
          <w:lang w:val="es-ES"/>
        </w:rPr>
        <w:t>583</w:t>
      </w:r>
      <w:r>
        <w:rPr>
          <w:rFonts w:hint="eastAsia"/>
          <w:lang w:val="es-ES"/>
        </w:rPr>
        <w:t>．根据农业发展研究院（</w:t>
      </w:r>
      <w:r>
        <w:rPr>
          <w:rFonts w:hint="eastAsia"/>
          <w:lang w:val="es-ES"/>
        </w:rPr>
        <w:t>IDA</w:t>
      </w:r>
      <w:r>
        <w:rPr>
          <w:rFonts w:hint="eastAsia"/>
          <w:lang w:val="es-ES"/>
        </w:rPr>
        <w:t>）制订的全国土地归属计划提供的消息，在罗德里格斯·埃切维利亚</w:t>
      </w:r>
      <w:r>
        <w:rPr>
          <w:rFonts w:hint="eastAsia"/>
        </w:rPr>
        <w:t>总统执政期间，</w:t>
      </w:r>
      <w:r>
        <w:rPr>
          <w:rFonts w:hint="eastAsia"/>
        </w:rPr>
        <w:t>1998</w:t>
      </w:r>
      <w:r>
        <w:rPr>
          <w:rFonts w:hint="eastAsia"/>
        </w:rPr>
        <w:t>年</w:t>
      </w:r>
      <w:r>
        <w:rPr>
          <w:rFonts w:hint="eastAsia"/>
        </w:rPr>
        <w:t>5</w:t>
      </w:r>
      <w:r>
        <w:rPr>
          <w:rFonts w:hint="eastAsia"/>
        </w:rPr>
        <w:t>月至</w:t>
      </w:r>
      <w:r>
        <w:rPr>
          <w:rFonts w:hint="eastAsia"/>
        </w:rPr>
        <w:t>2001</w:t>
      </w:r>
      <w:r>
        <w:rPr>
          <w:rFonts w:hint="eastAsia"/>
        </w:rPr>
        <w:t>年</w:t>
      </w:r>
      <w:r>
        <w:rPr>
          <w:rFonts w:hint="eastAsia"/>
        </w:rPr>
        <w:t>5</w:t>
      </w:r>
      <w:r>
        <w:rPr>
          <w:rFonts w:hint="eastAsia"/>
        </w:rPr>
        <w:t>月之间的登记总数（</w:t>
      </w:r>
      <w:r>
        <w:rPr>
          <w:rFonts w:hint="eastAsia"/>
        </w:rPr>
        <w:t>10 590</w:t>
      </w:r>
      <w:r>
        <w:rPr>
          <w:rFonts w:hint="eastAsia"/>
        </w:rPr>
        <w:t>）中，大约</w:t>
      </w:r>
      <w:r>
        <w:rPr>
          <w:rFonts w:hint="eastAsia"/>
        </w:rPr>
        <w:t>26%</w:t>
      </w:r>
      <w:r>
        <w:rPr>
          <w:rFonts w:hint="eastAsia"/>
        </w:rPr>
        <w:t>的土地划归男性，约</w:t>
      </w:r>
      <w:r>
        <w:rPr>
          <w:rFonts w:hint="eastAsia"/>
        </w:rPr>
        <w:t>25.4%</w:t>
      </w:r>
      <w:r>
        <w:rPr>
          <w:rFonts w:hint="eastAsia"/>
        </w:rPr>
        <w:t>的土地划归女性，而</w:t>
      </w:r>
      <w:r>
        <w:rPr>
          <w:rFonts w:hint="eastAsia"/>
        </w:rPr>
        <w:t>48.6%</w:t>
      </w:r>
      <w:r>
        <w:rPr>
          <w:rFonts w:hint="eastAsia"/>
        </w:rPr>
        <w:t>的土地则为夫妻双方共同拥有。</w:t>
      </w:r>
    </w:p>
    <w:p w:rsidR="00000000" w:rsidRDefault="00CA422F">
      <w:pPr>
        <w:spacing w:after="240" w:line="360" w:lineRule="exact"/>
        <w:rPr>
          <w:rFonts w:hint="eastAsia"/>
          <w:lang w:val="es-ES"/>
        </w:rPr>
      </w:pPr>
      <w:r>
        <w:rPr>
          <w:rFonts w:hint="eastAsia"/>
        </w:rPr>
        <w:t>584</w:t>
      </w:r>
      <w:r>
        <w:rPr>
          <w:rFonts w:hint="eastAsia"/>
        </w:rPr>
        <w:t>．农村妇女所获得的哥斯达黎加国家银行（</w:t>
      </w:r>
      <w:r>
        <w:rPr>
          <w:rFonts w:hint="eastAsia"/>
        </w:rPr>
        <w:t>BNCR</w:t>
      </w:r>
      <w:r>
        <w:rPr>
          <w:rFonts w:hint="eastAsia"/>
        </w:rPr>
        <w:t>）农村信贷部发放的贷款同样也非常有限。</w:t>
      </w:r>
      <w:r>
        <w:rPr>
          <w:rFonts w:hint="eastAsia"/>
          <w:lang w:val="es-ES"/>
        </w:rPr>
        <w:t>Chiriboga</w:t>
      </w:r>
      <w:r>
        <w:rPr>
          <w:rFonts w:hint="eastAsia"/>
          <w:lang w:val="es-ES"/>
        </w:rPr>
        <w:t>、</w:t>
      </w:r>
      <w:r>
        <w:rPr>
          <w:rFonts w:hint="eastAsia"/>
          <w:lang w:val="es-ES"/>
        </w:rPr>
        <w:t>Grynspan</w:t>
      </w:r>
      <w:r>
        <w:rPr>
          <w:rFonts w:hint="eastAsia"/>
        </w:rPr>
        <w:t>和</w:t>
      </w:r>
      <w:r>
        <w:rPr>
          <w:lang w:val="es-ES"/>
        </w:rPr>
        <w:t>Pérez</w:t>
      </w:r>
      <w:r>
        <w:rPr>
          <w:rFonts w:hint="eastAsia"/>
          <w:lang w:val="es-ES"/>
        </w:rPr>
        <w:t>的研究（</w:t>
      </w:r>
      <w:r>
        <w:rPr>
          <w:rFonts w:hint="eastAsia"/>
          <w:lang w:val="es-ES"/>
        </w:rPr>
        <w:t>1995</w:t>
      </w:r>
      <w:r>
        <w:rPr>
          <w:rFonts w:hint="eastAsia"/>
          <w:lang w:val="es-ES"/>
        </w:rPr>
        <w:t>年）表明，</w:t>
      </w:r>
      <w:r>
        <w:rPr>
          <w:rFonts w:hint="eastAsia"/>
          <w:lang w:val="es-ES"/>
        </w:rPr>
        <w:t>1991</w:t>
      </w:r>
      <w:r>
        <w:rPr>
          <w:rFonts w:hint="eastAsia"/>
          <w:lang w:val="es-ES"/>
        </w:rPr>
        <w:t>年发放的</w:t>
      </w:r>
      <w:r>
        <w:rPr>
          <w:rFonts w:hint="eastAsia"/>
          <w:lang w:val="es-ES"/>
        </w:rPr>
        <w:t>8 000</w:t>
      </w:r>
      <w:r>
        <w:rPr>
          <w:rFonts w:hint="eastAsia"/>
          <w:lang w:val="es-ES"/>
        </w:rPr>
        <w:t>项贷款中，只有</w:t>
      </w:r>
      <w:r>
        <w:rPr>
          <w:rFonts w:hint="eastAsia"/>
          <w:lang w:val="es-ES"/>
        </w:rPr>
        <w:t>20</w:t>
      </w:r>
      <w:r>
        <w:rPr>
          <w:rFonts w:hint="eastAsia"/>
          <w:lang w:val="es-ES"/>
        </w:rPr>
        <w:t>项为女性贷款。这些贷款中有近</w:t>
      </w:r>
      <w:r>
        <w:rPr>
          <w:rFonts w:hint="eastAsia"/>
          <w:lang w:val="es-ES"/>
        </w:rPr>
        <w:t>50</w:t>
      </w:r>
      <w:r>
        <w:rPr>
          <w:rFonts w:hint="eastAsia"/>
          <w:lang w:val="es-ES"/>
        </w:rPr>
        <w:t>％的款项实际上为男性获得，他们通常借用自己配偶的名字来获得贷款。</w:t>
      </w:r>
    </w:p>
    <w:p w:rsidR="00000000" w:rsidRDefault="00CA422F">
      <w:pPr>
        <w:spacing w:after="240" w:line="360" w:lineRule="exact"/>
        <w:rPr>
          <w:rFonts w:hint="eastAsia"/>
          <w:lang w:val="es-ES"/>
        </w:rPr>
      </w:pPr>
      <w:r>
        <w:rPr>
          <w:rFonts w:hint="eastAsia"/>
          <w:lang w:val="es-ES"/>
        </w:rPr>
        <w:t>585</w:t>
      </w:r>
      <w:r>
        <w:rPr>
          <w:rFonts w:hint="eastAsia"/>
          <w:lang w:val="es-ES"/>
        </w:rPr>
        <w:t>．目前，哥斯达黎加国家银行提供的有关农村委员会参与信贷结算的数据表明，</w:t>
      </w:r>
      <w:r>
        <w:rPr>
          <w:rFonts w:hint="eastAsia"/>
          <w:lang w:val="es-ES"/>
        </w:rPr>
        <w:t>2000</w:t>
      </w:r>
      <w:r>
        <w:rPr>
          <w:rFonts w:hint="eastAsia"/>
          <w:lang w:val="es-ES"/>
        </w:rPr>
        <w:t>年哥斯达黎加国家银行共发放了</w:t>
      </w:r>
      <w:r>
        <w:rPr>
          <w:rFonts w:hint="eastAsia"/>
          <w:lang w:val="es-ES"/>
        </w:rPr>
        <w:t>13 328</w:t>
      </w:r>
      <w:r>
        <w:rPr>
          <w:rFonts w:hint="eastAsia"/>
          <w:lang w:val="es-ES"/>
        </w:rPr>
        <w:t>份贷款，贷款总金额为</w:t>
      </w:r>
      <w:r>
        <w:rPr>
          <w:rFonts w:hint="eastAsia"/>
          <w:lang w:val="es-ES"/>
        </w:rPr>
        <w:t>11 564 000 000.00</w:t>
      </w:r>
      <w:r>
        <w:rPr>
          <w:rFonts w:hint="eastAsia"/>
          <w:lang w:val="es-ES"/>
        </w:rPr>
        <w:t>科朗。女性在这些贷款总数中所占的比例为</w:t>
      </w:r>
      <w:r>
        <w:rPr>
          <w:rFonts w:hint="eastAsia"/>
          <w:lang w:val="es-ES"/>
        </w:rPr>
        <w:t>3</w:t>
      </w:r>
      <w:r>
        <w:t>.</w:t>
      </w:r>
      <w:r>
        <w:rPr>
          <w:rFonts w:hint="eastAsia"/>
          <w:lang w:val="es-ES"/>
        </w:rPr>
        <w:t>45</w:t>
      </w:r>
      <w:r>
        <w:rPr>
          <w:lang w:val="es-ES"/>
        </w:rPr>
        <w:t>%</w:t>
      </w:r>
      <w:r>
        <w:rPr>
          <w:rFonts w:hint="eastAsia"/>
          <w:lang w:val="es-ES"/>
        </w:rPr>
        <w:t>，在贷款金额方面，女性的参与比例则为</w:t>
      </w:r>
      <w:r>
        <w:rPr>
          <w:rFonts w:hint="eastAsia"/>
          <w:lang w:val="es-ES"/>
        </w:rPr>
        <w:t>3.80</w:t>
      </w:r>
      <w:r>
        <w:rPr>
          <w:rFonts w:hint="eastAsia"/>
          <w:lang w:val="es-ES"/>
        </w:rPr>
        <w:t>％。</w:t>
      </w:r>
      <w:r>
        <w:rPr>
          <w:rFonts w:hint="eastAsia"/>
          <w:lang w:val="es-ES"/>
        </w:rPr>
        <w:t>2002</w:t>
      </w:r>
      <w:r>
        <w:rPr>
          <w:rFonts w:hint="eastAsia"/>
          <w:lang w:val="es-ES"/>
        </w:rPr>
        <w:t>年上半年上述机构提供的结算数据表明，哥斯达黎加国家</w:t>
      </w:r>
      <w:r>
        <w:rPr>
          <w:rFonts w:hint="eastAsia"/>
          <w:lang w:val="es-ES"/>
        </w:rPr>
        <w:t>银行在</w:t>
      </w:r>
      <w:r>
        <w:rPr>
          <w:rFonts w:hint="eastAsia"/>
          <w:lang w:val="es-ES"/>
        </w:rPr>
        <w:t>2002</w:t>
      </w:r>
      <w:r>
        <w:rPr>
          <w:rFonts w:hint="eastAsia"/>
          <w:lang w:val="es-ES"/>
        </w:rPr>
        <w:t>年上半年共发放了</w:t>
      </w:r>
      <w:r>
        <w:rPr>
          <w:rFonts w:hint="eastAsia"/>
          <w:lang w:val="es-ES"/>
        </w:rPr>
        <w:t>12</w:t>
      </w:r>
      <w:r>
        <w:rPr>
          <w:lang w:val="es-ES"/>
        </w:rPr>
        <w:t xml:space="preserve"> </w:t>
      </w:r>
      <w:r>
        <w:rPr>
          <w:rFonts w:hint="eastAsia"/>
          <w:lang w:val="es-ES"/>
        </w:rPr>
        <w:t>103</w:t>
      </w:r>
      <w:r>
        <w:rPr>
          <w:rFonts w:hint="eastAsia"/>
          <w:lang w:val="es-ES"/>
        </w:rPr>
        <w:t>份贷款，贷款总金额为</w:t>
      </w:r>
      <w:r>
        <w:rPr>
          <w:rFonts w:hint="eastAsia"/>
          <w:lang w:val="es-ES"/>
        </w:rPr>
        <w:t>11</w:t>
      </w:r>
      <w:r>
        <w:rPr>
          <w:lang w:val="es-ES"/>
        </w:rPr>
        <w:t xml:space="preserve"> </w:t>
      </w:r>
      <w:r>
        <w:rPr>
          <w:rFonts w:hint="eastAsia"/>
          <w:lang w:val="es-ES"/>
        </w:rPr>
        <w:t>933</w:t>
      </w:r>
      <w:r>
        <w:rPr>
          <w:lang w:val="es-ES"/>
        </w:rPr>
        <w:t xml:space="preserve"> </w:t>
      </w:r>
      <w:r>
        <w:rPr>
          <w:rFonts w:hint="eastAsia"/>
          <w:lang w:val="es-ES"/>
        </w:rPr>
        <w:t>730</w:t>
      </w:r>
      <w:r>
        <w:rPr>
          <w:lang w:val="es-ES"/>
        </w:rPr>
        <w:t xml:space="preserve"> 0</w:t>
      </w:r>
      <w:r>
        <w:rPr>
          <w:rFonts w:hint="eastAsia"/>
          <w:lang w:val="es-ES"/>
        </w:rPr>
        <w:t>00.00</w:t>
      </w:r>
      <w:r>
        <w:rPr>
          <w:rFonts w:hint="eastAsia"/>
          <w:lang w:val="es-ES"/>
        </w:rPr>
        <w:t>科朗。这一时段内女性在贷款人数中的比例为</w:t>
      </w:r>
      <w:r>
        <w:rPr>
          <w:rFonts w:hint="eastAsia"/>
          <w:lang w:val="es-ES"/>
        </w:rPr>
        <w:t>8.56</w:t>
      </w:r>
      <w:r>
        <w:rPr>
          <w:rFonts w:hint="eastAsia"/>
          <w:lang w:val="es-ES"/>
        </w:rPr>
        <w:t>％。贷款金额方面，女性的参与比例为</w:t>
      </w:r>
      <w:r>
        <w:rPr>
          <w:rFonts w:hint="eastAsia"/>
          <w:lang w:val="es-ES"/>
        </w:rPr>
        <w:t>8.68</w:t>
      </w:r>
      <w:r>
        <w:rPr>
          <w:rFonts w:hint="eastAsia"/>
          <w:lang w:val="es-ES"/>
        </w:rPr>
        <w:t>％。</w:t>
      </w:r>
    </w:p>
    <w:p w:rsidR="00000000" w:rsidRDefault="00CA422F">
      <w:pPr>
        <w:spacing w:after="240" w:line="360" w:lineRule="exact"/>
        <w:rPr>
          <w:rFonts w:hint="eastAsia"/>
          <w:lang w:val="es-ES"/>
        </w:rPr>
      </w:pPr>
      <w:r>
        <w:rPr>
          <w:rFonts w:hint="eastAsia"/>
          <w:lang w:val="es-ES"/>
        </w:rPr>
        <w:t>586</w:t>
      </w:r>
      <w:r>
        <w:rPr>
          <w:rFonts w:hint="eastAsia"/>
          <w:lang w:val="es-ES"/>
        </w:rPr>
        <w:t>．全国农村妇女劳动协调委员会（</w:t>
      </w:r>
      <w:r>
        <w:rPr>
          <w:rFonts w:hint="eastAsia"/>
          <w:lang w:val="es-ES"/>
        </w:rPr>
        <w:t>CNTMC</w:t>
      </w:r>
      <w:r>
        <w:rPr>
          <w:rFonts w:hint="eastAsia"/>
          <w:lang w:val="es-ES"/>
        </w:rPr>
        <w:t>）对哥斯达黎加农村女性劳动者的信贷要求和提供信贷情况开展的一项研究得出了结论，作为生存历史斗争的组成部分，农村经济实体（</w:t>
      </w:r>
      <w:r>
        <w:rPr>
          <w:rFonts w:hint="eastAsia"/>
          <w:lang w:val="es-ES"/>
        </w:rPr>
        <w:t>UEC</w:t>
      </w:r>
      <w:r>
        <w:rPr>
          <w:rFonts w:hint="eastAsia"/>
          <w:lang w:val="es-ES"/>
        </w:rPr>
        <w:t>）已经采取措施或已经再次开展相关活动以面对来自农村部门和国家经济部门的责备。上述状况的运转机制有些类似资本主义的逻辑，虽然男女农民的行动不会参照追求</w:t>
      </w:r>
      <w:r>
        <w:rPr>
          <w:rFonts w:hint="eastAsia"/>
          <w:lang w:val="es-ES"/>
        </w:rPr>
        <w:t>更多剩余价值的标准。信贷作为农村资本主义发展的组成部分，并非总能满足农村经济实体的需求。从这个意义上来说，农村金融体制的制订其实无法根本解决小型农村男女生产者中普遍存在的问题。在上述前提下，建议制订一项能够满足农村男女人口需求的制度，该制度应该具备农村经济实体所需的再次开展活动的主要能力。显然，女性生产者提出的有关农村资金的需求不可避免地要涉及债务支付中存在的困难、各类农产品的生产过程，甚至还包括为家庭发展提供可能性的家庭费用。在大部分情况下，这些需求都是作为一个整体直接提出来的，因为在许多时候，用来进行生</w:t>
      </w:r>
      <w:r>
        <w:rPr>
          <w:rFonts w:hint="eastAsia"/>
          <w:lang w:val="es-ES"/>
        </w:rPr>
        <w:t>产的贷款往往还包括卫生、教育及其它费用；或者正好完全相反，对资金的迫切需求迫使她们不得不放弃满足家庭发展基本需求所需要的费用。例外的情况是要求对劳动力提供资金，但是这一要求只有在女性生产者同时也是户主，并且承担生产任务——因为通常来说，女性的职责主要在于将时间和精力花费在生产和生育任务上——时才会有所增加，很多时候，女性无法同时承担上述两项工作，而且，她们有时不得不离开土地，前去从事报酬更多的工作，通过劳动获得的报酬可以满足她们生产和雇佣劳动力的需要（全国农村妇女劳动协调委员会，</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587</w:t>
      </w:r>
      <w:r>
        <w:rPr>
          <w:rFonts w:hint="eastAsia"/>
          <w:lang w:val="es-ES"/>
        </w:rPr>
        <w:t>．对女</w:t>
      </w:r>
      <w:r>
        <w:rPr>
          <w:rFonts w:hint="eastAsia"/>
          <w:lang w:val="es-ES"/>
        </w:rPr>
        <w:t>性贷款缺乏明确的规定使得贷款很难到达农村妇女的手中，因为除了性别原因，还有她们作为农村小型或中等生产者的阶级因素。对女性贷款缺乏明确规定的机构矢口否认在土地、财产和其它生产资料（具体而言，就是贷款）的获取过程中目前存在着明显的性别差异，而传统意义上女性总是被排除在这些生产资料之外。这种逻辑排除了制订符合市场需求的贷款制度的可能性，而大部分的金融机构和非金融机构都是根据市场需求来运转的（全国农村妇女劳动协调委员会，</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588</w:t>
      </w:r>
      <w:r>
        <w:rPr>
          <w:rFonts w:hint="eastAsia"/>
          <w:lang w:val="es-ES"/>
        </w:rPr>
        <w:t>．反映女性贷款状况特点的另一因素体现在可供选择的贷款计划上，该计划受到国际</w:t>
      </w:r>
      <w:r>
        <w:rPr>
          <w:rFonts w:hint="eastAsia"/>
          <w:lang w:val="es-ES"/>
        </w:rPr>
        <w:t>合作无需偿还和向农村妇女发放的贷款通常也无需偿还等意见的影响，正面临着马上被取缔的危险（全国农村妇女劳动协调委员会，</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589</w:t>
      </w:r>
      <w:r>
        <w:rPr>
          <w:rFonts w:hint="eastAsia"/>
          <w:lang w:val="es-ES"/>
        </w:rPr>
        <w:t>．一旦将女性在获取农村资金和生产资金方面所遇到的困难确定为意见的分歧点，全国农村妇女劳动协调委员会建议成立农村发展金融体系（</w:t>
      </w:r>
      <w:r>
        <w:rPr>
          <w:rFonts w:hint="eastAsia"/>
          <w:lang w:val="es-ES"/>
        </w:rPr>
        <w:t>SFDR</w:t>
      </w:r>
      <w:r>
        <w:rPr>
          <w:rFonts w:hint="eastAsia"/>
          <w:lang w:val="es-ES"/>
        </w:rPr>
        <w:t>），该体系应该将农村的女性生产者的特殊条件包括在内，对团结（女性生产者的需求）和持续（资金的使用效率）等方面进行协调；不应把盈利放在首位；应该考虑农村女性生产者的需求；此外，还应该争取获得农村妇女及其组织的支持和参与（</w:t>
      </w:r>
      <w:r>
        <w:rPr>
          <w:rFonts w:hint="eastAsia"/>
          <w:lang w:val="es-ES"/>
        </w:rPr>
        <w:t>Bonilla Leiv</w:t>
      </w:r>
      <w:r>
        <w:rPr>
          <w:rFonts w:hint="eastAsia"/>
          <w:lang w:val="es-ES"/>
        </w:rPr>
        <w:t>a</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590</w:t>
      </w:r>
      <w:r>
        <w:rPr>
          <w:rFonts w:hint="eastAsia"/>
          <w:lang w:val="es-ES"/>
        </w:rPr>
        <w:t>．农村妇女获取生产资料包括在农村整体发展框架之内，而农村妇女则广泛地参与了农村发展。这一方面，特别是为一些关键问题，如土地、自然资源、农业资金、科技服务和培训等方面的获取与拥有制订了有利于农村妇女的具体规定。然而，在保障农村妇女平等地进入劳动力市场（农业工作和非农业工作）和获得政府提供的市场与农业产业的服务措施等方面则仍然有待继续努力。女性获得上述资源，是其生产活动进入全国生产再培训计划、保持自身长期竞争力的必要条件。目前，希望能够通过对农村妇女的生产生育劳动以及她们对国家财政做出</w:t>
      </w:r>
      <w:r>
        <w:rPr>
          <w:rFonts w:hint="eastAsia"/>
          <w:lang w:val="es-ES"/>
        </w:rPr>
        <w:t>的贡献进行官方统计，向世人展示女性生产者的劳动，并在此基础上向所有的农村妇女普遍提供社会保障（全面推广医疗保障、残疾补助、养老津贴和伤亡抚恤金等）（国家妇女研究所，</w:t>
      </w:r>
      <w:r>
        <w:rPr>
          <w:rFonts w:hint="eastAsia"/>
          <w:lang w:val="es-ES"/>
        </w:rPr>
        <w:t>2000</w:t>
      </w:r>
      <w:r>
        <w:rPr>
          <w:rFonts w:hint="eastAsia"/>
          <w:lang w:val="es-ES"/>
        </w:rPr>
        <w:t>年）。</w:t>
      </w:r>
    </w:p>
    <w:p w:rsidR="00000000" w:rsidRDefault="00CA422F">
      <w:pPr>
        <w:spacing w:after="240" w:line="360" w:lineRule="exact"/>
        <w:rPr>
          <w:rFonts w:hint="eastAsia"/>
          <w:lang w:val="es-ES"/>
        </w:rPr>
      </w:pPr>
      <w:r>
        <w:rPr>
          <w:rFonts w:hint="eastAsia"/>
          <w:lang w:val="es-ES"/>
        </w:rPr>
        <w:t>591</w:t>
      </w:r>
      <w:r>
        <w:rPr>
          <w:rFonts w:hint="eastAsia"/>
          <w:lang w:val="es-ES"/>
        </w:rPr>
        <w:t>．帮助女性进入资源和服务市场的积极行动战略包括，保障女性在信贷基金和土地等资源的获取中享有一定的优先权，目前正在全国范围推广这一战略；保障政府为农村妇女提供信息和技术支持，以便女性能够在市场上进行交易活动等（</w:t>
      </w:r>
      <w:r>
        <w:rPr>
          <w:rFonts w:hint="eastAsia"/>
          <w:lang w:val="es-ES"/>
        </w:rPr>
        <w:t>Blanco</w:t>
      </w:r>
      <w:r>
        <w:rPr>
          <w:rFonts w:hint="eastAsia"/>
          <w:lang w:val="es-ES"/>
        </w:rPr>
        <w:t>等，</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592</w:t>
      </w:r>
      <w:r>
        <w:rPr>
          <w:rFonts w:hint="eastAsia"/>
          <w:lang w:val="es-ES"/>
        </w:rPr>
        <w:t>．哥斯达黎加的农牧业政策明确规定，为实现信贷系统的现代化，必须考虑到现有的条件是</w:t>
      </w:r>
      <w:r>
        <w:rPr>
          <w:rFonts w:hint="eastAsia"/>
          <w:lang w:val="es-ES"/>
        </w:rPr>
        <w:t>否能够保障妇女、少年和土著居民享有同等的获取权利（农业部门联合计划和执行秘书处，</w:t>
      </w:r>
      <w:r>
        <w:rPr>
          <w:rFonts w:hint="eastAsia"/>
          <w:lang w:val="es-ES"/>
        </w:rPr>
        <w:t>1999</w:t>
      </w:r>
      <w:r>
        <w:rPr>
          <w:rFonts w:hint="eastAsia"/>
          <w:lang w:val="es-ES"/>
        </w:rPr>
        <w:t>年）。为此目的而制订的农村信贷计划，“用以保障男女农村生产者都能获得符合其需要的贷款，在女性方面，保障贷款要求具有可伸缩性，以便女性可以同等地获得资金计划的资助”（农业部门联合计划和执行秘书处，</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593</w:t>
      </w:r>
      <w:r>
        <w:rPr>
          <w:rFonts w:hint="eastAsia"/>
          <w:lang w:val="es-ES"/>
        </w:rPr>
        <w:t>．农村和农牧业部门行动计划（农牧业部）对面向农村妇女和农村青年的贷款发放方面的有关规定进行审查和调整，并将这些工作作为活动的组成部分。从这一点出发，对公共机构向农村妇女和农村青年贷款发放方面的规定进行了审核和</w:t>
      </w:r>
      <w:r>
        <w:rPr>
          <w:rFonts w:hint="eastAsia"/>
          <w:lang w:val="es-ES"/>
        </w:rPr>
        <w:t>调整，以便更好地资助生产计划。此外，还同一些金融机构签订了相关协议（农牧业部门，</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594</w:t>
      </w:r>
      <w:r>
        <w:rPr>
          <w:rFonts w:hint="eastAsia"/>
          <w:lang w:val="es-ES"/>
        </w:rPr>
        <w:t>．在农牧业机构的现代化转变过程中，至少有三个方面能够从战略上引入两性平等理念（</w:t>
      </w:r>
      <w:r>
        <w:rPr>
          <w:rFonts w:hint="eastAsia"/>
          <w:lang w:val="es-ES"/>
        </w:rPr>
        <w:t>Blanco</w:t>
      </w:r>
      <w:r>
        <w:rPr>
          <w:rFonts w:hint="eastAsia"/>
          <w:lang w:val="es-ES"/>
        </w:rPr>
        <w:t>等，</w:t>
      </w:r>
      <w:r>
        <w:rPr>
          <w:rFonts w:hint="eastAsia"/>
          <w:lang w:val="es-ES"/>
        </w:rPr>
        <w:t>2001</w:t>
      </w:r>
      <w:r>
        <w:rPr>
          <w:rFonts w:hint="eastAsia"/>
          <w:lang w:val="es-ES"/>
        </w:rPr>
        <w:t>年）：政策的制订、组织结构和人力资源管理。</w:t>
      </w:r>
    </w:p>
    <w:p w:rsidR="00000000" w:rsidRDefault="00CA422F">
      <w:pPr>
        <w:spacing w:after="240" w:line="360" w:lineRule="exact"/>
        <w:rPr>
          <w:rFonts w:hint="eastAsia"/>
          <w:lang w:val="es-ES"/>
        </w:rPr>
      </w:pPr>
      <w:r>
        <w:rPr>
          <w:rFonts w:hint="eastAsia"/>
          <w:lang w:val="es-ES"/>
        </w:rPr>
        <w:t>595</w:t>
      </w:r>
      <w:r>
        <w:rPr>
          <w:rFonts w:hint="eastAsia"/>
          <w:lang w:val="es-ES"/>
        </w:rPr>
        <w:t>．哥斯达黎加的农村和农牧业部门在两性平等政策的制订方面拥有一定的政策文件，其中引入了两性平等的理念。根据农牧业部－公共教育部－劳动和社会保障部的</w:t>
      </w:r>
      <w:r>
        <w:rPr>
          <w:rFonts w:hint="eastAsia"/>
          <w:lang w:val="es-ES"/>
        </w:rPr>
        <w:t>28484-MAG-MEP-MTSS-S-CM</w:t>
      </w:r>
      <w:r>
        <w:rPr>
          <w:rFonts w:hint="eastAsia"/>
          <w:lang w:val="es-ES"/>
        </w:rPr>
        <w:t>号行政法令，农牧业部和国家妇女研究所签署了一项协议，以保障在农牧业机</w:t>
      </w:r>
      <w:r>
        <w:rPr>
          <w:rFonts w:hint="eastAsia"/>
          <w:lang w:val="es-ES"/>
        </w:rPr>
        <w:t>构的日常工作中引入两性平等理念。制定了一项行动战略计划，帮助两性平等理念进入农牧业部门的七个机构。同粮农组织共同成立资金咨询委员会，以便更好地确定农牧业部门内的性别指数。该文件已经通过官方渠道递交给有关当局和负责妇女状况的女部长，并于</w:t>
      </w:r>
      <w:r>
        <w:rPr>
          <w:rFonts w:hint="eastAsia"/>
          <w:lang w:val="es-ES"/>
        </w:rPr>
        <w:t>2000</w:t>
      </w:r>
      <w:r>
        <w:rPr>
          <w:rFonts w:hint="eastAsia"/>
          <w:lang w:val="es-ES"/>
        </w:rPr>
        <w:t>年</w:t>
      </w:r>
      <w:r>
        <w:rPr>
          <w:rFonts w:hint="eastAsia"/>
          <w:lang w:val="es-ES"/>
        </w:rPr>
        <w:t>8</w:t>
      </w:r>
      <w:r>
        <w:rPr>
          <w:rFonts w:hint="eastAsia"/>
          <w:lang w:val="es-ES"/>
        </w:rPr>
        <w:t>月</w:t>
      </w:r>
      <w:r>
        <w:rPr>
          <w:rFonts w:hint="eastAsia"/>
          <w:lang w:val="es-ES"/>
        </w:rPr>
        <w:t>30</w:t>
      </w:r>
      <w:r>
        <w:rPr>
          <w:rFonts w:hint="eastAsia"/>
          <w:lang w:val="es-ES"/>
        </w:rPr>
        <w:t>日获得通过。</w:t>
      </w:r>
    </w:p>
    <w:p w:rsidR="00000000" w:rsidRDefault="00CA422F">
      <w:pPr>
        <w:spacing w:after="240" w:line="360" w:lineRule="exact"/>
        <w:rPr>
          <w:rFonts w:hint="eastAsia"/>
          <w:lang w:val="es-ES"/>
        </w:rPr>
      </w:pPr>
      <w:r>
        <w:rPr>
          <w:rFonts w:hint="eastAsia"/>
          <w:lang w:val="es-ES"/>
        </w:rPr>
        <w:t>596</w:t>
      </w:r>
      <w:r>
        <w:rPr>
          <w:rFonts w:hint="eastAsia"/>
          <w:lang w:val="es-ES"/>
        </w:rPr>
        <w:t>．机构任务和两性平等计划要求建立一个保障其贯彻的实施结构体系。在削减国家机器和寻求新型机构的趋势中，很难再创建一个新的部门或机构来推动两性平等。如果能够在机构的任务和理念中引入两性平等的观念，那么就能在机构范围内成立一个全面负责两性平等的部</w:t>
      </w:r>
      <w:r>
        <w:rPr>
          <w:rFonts w:hint="eastAsia"/>
          <w:lang w:val="es-ES"/>
        </w:rPr>
        <w:t>门或分支机构。哥斯达黎加的农牧业政策明确规定了改变机构目前所扮演角色的必要性，“在农村的可持续发展中引入性别观点”，以便能够更好地开展竞争和改善生产合作过程。作为该部门现代化的组成部分，建议加强负责性别、青年和土著居民等机构之间的合作（农业部门联合计划和执行秘书处，</w:t>
      </w:r>
      <w:r>
        <w:rPr>
          <w:rFonts w:hint="eastAsia"/>
          <w:lang w:val="es-ES"/>
        </w:rPr>
        <w:t>1999</w:t>
      </w:r>
      <w:r>
        <w:rPr>
          <w:rFonts w:hint="eastAsia"/>
          <w:lang w:val="es-ES"/>
        </w:rPr>
        <w:t>年）。在所有的农牧业部门内都应建立性别和发展机构。还应选派地方性别联络员，根据机构在各个地区的派驻情况，选派一名人员作为代表前往该地区。这是农村妇女地区发展活动中非常重要的支持网络。在</w:t>
      </w:r>
      <w:r>
        <w:rPr>
          <w:rFonts w:hint="eastAsia"/>
          <w:lang w:val="es-ES"/>
        </w:rPr>
        <w:t>2000</w:t>
      </w:r>
      <w:r>
        <w:rPr>
          <w:rFonts w:hint="eastAsia"/>
          <w:lang w:val="es-ES"/>
        </w:rPr>
        <w:t>年</w:t>
      </w:r>
      <w:r>
        <w:rPr>
          <w:rFonts w:hint="eastAsia"/>
          <w:lang w:val="es-ES"/>
        </w:rPr>
        <w:t>2</w:t>
      </w:r>
      <w:r>
        <w:rPr>
          <w:rFonts w:hint="eastAsia"/>
          <w:lang w:val="es-ES"/>
        </w:rPr>
        <w:t>月</w:t>
      </w:r>
      <w:r>
        <w:rPr>
          <w:rFonts w:hint="eastAsia"/>
          <w:lang w:val="es-ES"/>
        </w:rPr>
        <w:t>21</w:t>
      </w:r>
      <w:r>
        <w:rPr>
          <w:rFonts w:hint="eastAsia"/>
          <w:lang w:val="es-ES"/>
        </w:rPr>
        <w:t>日通过的</w:t>
      </w:r>
      <w:r>
        <w:rPr>
          <w:rFonts w:hint="eastAsia"/>
          <w:lang w:val="es-ES"/>
        </w:rPr>
        <w:t>28484-MAG-MEP-</w:t>
      </w:r>
      <w:r>
        <w:rPr>
          <w:rFonts w:hint="eastAsia"/>
          <w:lang w:val="es-ES"/>
        </w:rPr>
        <w:t>MTSS-CM</w:t>
      </w:r>
      <w:r>
        <w:rPr>
          <w:rFonts w:hint="eastAsia"/>
          <w:lang w:val="es-ES"/>
        </w:rPr>
        <w:t>号法令中，成立了政治技术高层管理委员会，其目标主要是将两性平等理念引入机构及其相关领域的日常工作之中。其中一个委员会便设在农牧业部。</w:t>
      </w:r>
    </w:p>
    <w:p w:rsidR="00000000" w:rsidRDefault="00CA422F">
      <w:pPr>
        <w:spacing w:after="240" w:line="360" w:lineRule="exact"/>
        <w:rPr>
          <w:rFonts w:hint="eastAsia"/>
        </w:rPr>
      </w:pPr>
      <w:r>
        <w:rPr>
          <w:rFonts w:hint="eastAsia"/>
          <w:lang w:val="es-ES"/>
        </w:rPr>
        <w:t>597</w:t>
      </w:r>
      <w:r>
        <w:rPr>
          <w:rFonts w:hint="eastAsia"/>
          <w:lang w:val="es-ES"/>
        </w:rPr>
        <w:t>．经验证明，保障两性平等工作之所以能够取得成就，其中一个基本原因就是对相关人员开展职业和敏感化培训。哥斯达黎加农牧业部门的政策明确指出，必须大力推动人力资源管理向前发展：“人力资源转变过程的主导因素应该是新型的农业观点，而这些应该明确体现在农业同其它经济形式的相互关系以及对农村发展的推动作用上。因此，管理部门在人力资源方面所采取的措施应该围绕某个部门计划展</w:t>
      </w:r>
      <w:r>
        <w:rPr>
          <w:rFonts w:hint="eastAsia"/>
          <w:lang w:val="es-ES"/>
        </w:rPr>
        <w:t>开，将组织、培训和充分使用国家所需的人力资源作为主要目标，更加有效地引导和参与农牧业生产和农村的可持续发展过程”（农业部门联合计划和执行秘书处，</w:t>
      </w:r>
      <w:r>
        <w:rPr>
          <w:rFonts w:hint="eastAsia"/>
          <w:lang w:val="es-ES"/>
        </w:rPr>
        <w:t>1999</w:t>
      </w:r>
      <w:r>
        <w:rPr>
          <w:rFonts w:hint="eastAsia"/>
          <w:lang w:val="es-ES"/>
        </w:rPr>
        <w:t>年）。为支持该政策的贯彻实施，国家妇女研究所同国家生产总局（</w:t>
      </w:r>
      <w:r>
        <w:rPr>
          <w:rFonts w:hint="eastAsia"/>
          <w:lang w:val="es-ES"/>
        </w:rPr>
        <w:t>CNP</w:t>
      </w:r>
      <w:r>
        <w:rPr>
          <w:rFonts w:hint="eastAsia"/>
          <w:lang w:val="es-ES"/>
        </w:rPr>
        <w:t>）和农业发展研究院（</w:t>
      </w:r>
      <w:r>
        <w:rPr>
          <w:rFonts w:hint="eastAsia"/>
          <w:lang w:val="es-ES"/>
        </w:rPr>
        <w:t>IDA</w:t>
      </w:r>
      <w:r>
        <w:rPr>
          <w:rFonts w:hint="eastAsia"/>
          <w:lang w:val="es-ES"/>
        </w:rPr>
        <w:t>）合作，共同制订了一项农牧业部门工作人员的培训计划，内容主要集中在战略规划中的性别观点、大男子主义及其对农村劳动中的影响、承认妇女贡献和需求的新型农业观念等战略问题上。该计划由</w:t>
      </w:r>
      <w:r>
        <w:rPr>
          <w:rFonts w:hint="eastAsia"/>
        </w:rPr>
        <w:t>美洲国家组织提供资金赞助。在该计划范围内制定并颁布了关于女性的国家农业立法和机构服务的文件。</w:t>
      </w:r>
      <w:r>
        <w:rPr>
          <w:rFonts w:hint="eastAsia"/>
        </w:rPr>
        <w:t>此外，还在农业发展研究所负责处理土地协调案件的法律机构中引入两性平等理念。</w:t>
      </w:r>
    </w:p>
    <w:p w:rsidR="00000000" w:rsidRDefault="00CA422F">
      <w:pPr>
        <w:spacing w:after="240" w:line="360" w:lineRule="exact"/>
        <w:rPr>
          <w:rFonts w:hint="eastAsia"/>
        </w:rPr>
      </w:pPr>
      <w:r>
        <w:rPr>
          <w:rFonts w:hint="eastAsia"/>
        </w:rPr>
        <w:t>598</w:t>
      </w:r>
      <w:r>
        <w:rPr>
          <w:rFonts w:hint="eastAsia"/>
        </w:rPr>
        <w:t>．部门性别行动计划还包括对男女工作人员开展培训，其内容主要同在日常工作中引入性别平等理念和消除招聘过程中的存在的思维定势现象等有关。此外，该计划还打算对农村妇女和青年女性进行培训，主要是为了指导她们更好地进入贸易开放过程（农牧业部门：部门性别行动计划，</w:t>
      </w:r>
      <w:r>
        <w:rPr>
          <w:rFonts w:hint="eastAsia"/>
        </w:rPr>
        <w:t>1999</w:t>
      </w:r>
      <w:r>
        <w:rPr>
          <w:rFonts w:hint="eastAsia"/>
        </w:rPr>
        <w:t>－</w:t>
      </w:r>
      <w:r>
        <w:rPr>
          <w:rFonts w:hint="eastAsia"/>
        </w:rPr>
        <w:t>2002</w:t>
      </w:r>
      <w:r>
        <w:rPr>
          <w:rFonts w:hint="eastAsia"/>
        </w:rPr>
        <w:t>）。</w:t>
      </w:r>
    </w:p>
    <w:p w:rsidR="00000000" w:rsidRDefault="00CA422F">
      <w:pPr>
        <w:spacing w:after="240" w:line="360" w:lineRule="exact"/>
        <w:rPr>
          <w:rFonts w:hint="eastAsia"/>
          <w:lang w:val="es-ES"/>
        </w:rPr>
      </w:pPr>
      <w:r>
        <w:rPr>
          <w:rFonts w:hint="eastAsia"/>
        </w:rPr>
        <w:t>599</w:t>
      </w:r>
      <w:r>
        <w:rPr>
          <w:rFonts w:hint="eastAsia"/>
        </w:rPr>
        <w:t>．上述部门性别行动计划在实施过程中，同</w:t>
      </w:r>
      <w:r>
        <w:rPr>
          <w:lang w:val="es-ES"/>
        </w:rPr>
        <w:t>Friedrich Ebert</w:t>
      </w:r>
      <w:r>
        <w:rPr>
          <w:rFonts w:hint="eastAsia"/>
          <w:lang w:val="es-ES"/>
        </w:rPr>
        <w:t>基金会合作，为地方部门委员会（由农牧业部门不同机构设立的地方领导构成。一些地方还</w:t>
      </w:r>
      <w:r>
        <w:rPr>
          <w:rFonts w:hint="eastAsia"/>
          <w:lang w:val="es-ES"/>
        </w:rPr>
        <w:t>有</w:t>
      </w:r>
      <w:r>
        <w:rPr>
          <w:rFonts w:hint="eastAsia"/>
        </w:rPr>
        <w:t>社会援助联合研究所、国家职业学院以及</w:t>
      </w:r>
      <w:r>
        <w:rPr>
          <w:rFonts w:hint="eastAsia"/>
          <w:lang w:val="es-ES"/>
        </w:rPr>
        <w:t>环境与能源部等机构领导的参与）举办性别敏感度讲座。此外，还对地方计划制订部门的技术人员进行性别理念培训，对</w:t>
      </w:r>
      <w:r>
        <w:rPr>
          <w:rFonts w:hint="eastAsia"/>
          <w:lang w:val="es-ES"/>
        </w:rPr>
        <w:t>31</w:t>
      </w:r>
      <w:r>
        <w:rPr>
          <w:rFonts w:hint="eastAsia"/>
          <w:lang w:val="es-ES"/>
        </w:rPr>
        <w:t>名农村组织的女性领导进行培训，培训内容主要涉及组织、自我管理、计划草案的起草、规划等方面，还对八个国家协调机构开展趋向平等模式的介绍和培训（</w:t>
      </w:r>
      <w:bookmarkStart w:id="1" w:name="OLE_LINK1"/>
      <w:r>
        <w:rPr>
          <w:rFonts w:hint="eastAsia"/>
          <w:lang w:val="es-ES"/>
        </w:rPr>
        <w:t>世界自然联合会－人类进步与和平基金会</w:t>
      </w:r>
      <w:bookmarkEnd w:id="1"/>
      <w:r>
        <w:rPr>
          <w:rFonts w:hint="eastAsia"/>
          <w:lang w:val="es-ES"/>
        </w:rPr>
        <w:t>）。作为美洲国家组织资助的“农村女性领导培训和农村可持续发展”计划的组成部分，目前已经对</w:t>
      </w:r>
      <w:r>
        <w:rPr>
          <w:rFonts w:hint="eastAsia"/>
          <w:lang w:val="es-ES"/>
        </w:rPr>
        <w:t>35</w:t>
      </w:r>
      <w:r>
        <w:rPr>
          <w:rFonts w:hint="eastAsia"/>
          <w:lang w:val="es-ES"/>
        </w:rPr>
        <w:t>名女性进行了培训，内容涉及拉美新农村等方面，培训的目的在于帮助这些作为社会管理者的女性在农村环境</w:t>
      </w:r>
      <w:r>
        <w:rPr>
          <w:rFonts w:hint="eastAsia"/>
          <w:lang w:val="es-ES"/>
        </w:rPr>
        <w:t>中拓宽奋斗的视角。</w:t>
      </w:r>
    </w:p>
    <w:p w:rsidR="00000000" w:rsidRDefault="00CA422F">
      <w:pPr>
        <w:spacing w:after="240" w:line="360" w:lineRule="exact"/>
        <w:rPr>
          <w:rFonts w:hint="eastAsia"/>
          <w:lang w:val="es-ES"/>
        </w:rPr>
      </w:pPr>
      <w:r>
        <w:rPr>
          <w:rFonts w:hint="eastAsia"/>
          <w:lang w:val="es-ES"/>
        </w:rPr>
        <w:t>600</w:t>
      </w:r>
      <w:r>
        <w:rPr>
          <w:rFonts w:hint="eastAsia"/>
          <w:lang w:val="es-ES"/>
        </w:rPr>
        <w:t>．另一方面，重点施行的关注贫困政策的整体替代和农村可持续发展政策中缺乏明确的规定，这为推动两性平等的战略造成了两大阻碍。首先，积极的措施是必要的，因为这些措施能够明确地制定方针政策，保障女性优先获得针对农村发展而提供的资金和技术资源。其次，改善农村发展政策的数量和质量应该包括三项不可缺少的内容：加强积极措施，保障农村妇女的参与，保障农村妇女平等地获得农牧业机构提供的服务和优惠；制定积极措施，保障女性在农牧业部门决策中的参与；推动决策权力的下放，促进社会对农村发展的参与（</w:t>
      </w:r>
      <w:r>
        <w:rPr>
          <w:rFonts w:hint="eastAsia"/>
          <w:lang w:val="es-ES"/>
        </w:rPr>
        <w:t>Blanco</w:t>
      </w:r>
      <w:r>
        <w:rPr>
          <w:rFonts w:hint="eastAsia"/>
          <w:lang w:val="es-ES"/>
        </w:rPr>
        <w:t>等，</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601</w:t>
      </w:r>
      <w:r>
        <w:rPr>
          <w:rFonts w:hint="eastAsia"/>
          <w:lang w:val="es-ES"/>
        </w:rPr>
        <w:t>．哥斯达黎加的农牧业政策规定：“加强农村组织的能力，把农村家庭的利益和老年男性和女性的不同需求写入工作备忘录中，制定并开展有关共同生活、培训、决策、领导人选拔等方面的组织实践，有效贯彻男女之间的公平和机会平等原则”（农业部门联合计划和执行秘书处，</w:t>
      </w:r>
      <w:r>
        <w:rPr>
          <w:rFonts w:hint="eastAsia"/>
          <w:lang w:val="es-ES"/>
        </w:rPr>
        <w:t>1999</w:t>
      </w:r>
      <w:r>
        <w:rPr>
          <w:rFonts w:hint="eastAsia"/>
          <w:lang w:val="es-ES"/>
        </w:rPr>
        <w:t>年）。此外，“为农村女性担任领导职务拓展空间，特别关注处于各个层次（地方、省市和全国范围）和不同决策机构内的女性生产者对农村发展所表现出来的兴趣”（农业部门联合计划和执行秘书处，</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602</w:t>
      </w:r>
      <w:r>
        <w:rPr>
          <w:rFonts w:hint="eastAsia"/>
          <w:lang w:val="es-ES"/>
        </w:rPr>
        <w:t>．最近几届政府都为农牧业部门提供</w:t>
      </w:r>
      <w:r>
        <w:rPr>
          <w:rFonts w:hint="eastAsia"/>
          <w:lang w:val="es-ES"/>
        </w:rPr>
        <w:t>服务的获得制定了必要的规定，即要求农民发展自己的组织。然而，农牧业的所有部门都没有制定帮助生产者成立组织的任何推动计划，更不用说帮助女性生产者成立她们自己的组织了。这一方面的实际工作并未取得任何成就，对农民安置方面的工作也是如此。必须采取积极的措施来达到这一目的。上述这些计划的缺乏已经使得女性无法成为机构开展生产再培训计划（信贷、市场、农业产业、技术革新等）的目标群体，而体制本身已经系统地省略了同推动农村女性生产者的贸易竞争和效率相关的目标，这无疑违反了《生产再培训法》（</w:t>
      </w:r>
      <w:r>
        <w:rPr>
          <w:rFonts w:hint="eastAsia"/>
          <w:lang w:val="es-ES"/>
        </w:rPr>
        <w:t>m</w:t>
      </w:r>
      <w:r>
        <w:rPr>
          <w:rFonts w:hint="eastAsia"/>
          <w:lang w:val="es-ES"/>
        </w:rPr>
        <w:t>章第</w:t>
      </w:r>
      <w:r>
        <w:rPr>
          <w:rFonts w:hint="eastAsia"/>
          <w:lang w:val="es-ES"/>
        </w:rPr>
        <w:t>3</w:t>
      </w:r>
      <w:r>
        <w:rPr>
          <w:rFonts w:hint="eastAsia"/>
          <w:lang w:val="es-ES"/>
        </w:rPr>
        <w:t>和第</w:t>
      </w:r>
      <w:r>
        <w:rPr>
          <w:rFonts w:hint="eastAsia"/>
          <w:lang w:val="es-ES"/>
        </w:rPr>
        <w:t>5</w:t>
      </w:r>
      <w:r>
        <w:rPr>
          <w:rFonts w:hint="eastAsia"/>
          <w:lang w:val="es-ES"/>
        </w:rPr>
        <w:t>条）的有关规定，同时也</w:t>
      </w:r>
      <w:r>
        <w:rPr>
          <w:rFonts w:hint="eastAsia"/>
          <w:lang w:val="es-ES"/>
        </w:rPr>
        <w:t>违反了《促进妇女社会平等法》要求政府推动并保障妇女在经济和社会领域享有平等权利（第</w:t>
      </w:r>
      <w:r>
        <w:rPr>
          <w:rFonts w:hint="eastAsia"/>
          <w:lang w:val="es-ES"/>
        </w:rPr>
        <w:t>1</w:t>
      </w:r>
      <w:r>
        <w:rPr>
          <w:rFonts w:hint="eastAsia"/>
          <w:lang w:val="es-ES"/>
        </w:rPr>
        <w:t>条）的有关规定。</w:t>
      </w:r>
    </w:p>
    <w:p w:rsidR="00000000" w:rsidRDefault="00CA422F">
      <w:pPr>
        <w:spacing w:after="240" w:line="360" w:lineRule="exact"/>
        <w:rPr>
          <w:rFonts w:hint="eastAsia"/>
          <w:lang w:val="es-ES"/>
        </w:rPr>
      </w:pPr>
      <w:r>
        <w:rPr>
          <w:rFonts w:hint="eastAsia"/>
          <w:lang w:val="es-ES"/>
        </w:rPr>
        <w:t>603</w:t>
      </w:r>
      <w:r>
        <w:rPr>
          <w:rFonts w:hint="eastAsia"/>
          <w:lang w:val="es-ES"/>
        </w:rPr>
        <w:t>．虽然政策上做出了相应的规定，但是在具体实践中应该采取的措施仍有待继续，尤其是将这些政策作为农牧业部门负责机构的日常工作的组成部分并将其制度化，仍然需要付出大量的努力。</w:t>
      </w:r>
    </w:p>
    <w:p w:rsidR="00000000" w:rsidRDefault="00CA422F">
      <w:pPr>
        <w:spacing w:after="240" w:line="360" w:lineRule="exact"/>
        <w:rPr>
          <w:rFonts w:hint="eastAsia"/>
          <w:lang w:val="es-ES"/>
        </w:rPr>
      </w:pPr>
      <w:r>
        <w:rPr>
          <w:rFonts w:hint="eastAsia"/>
          <w:lang w:val="es-ES"/>
        </w:rPr>
        <w:t>604</w:t>
      </w:r>
      <w:r>
        <w:rPr>
          <w:rFonts w:hint="eastAsia"/>
          <w:lang w:val="es-ES"/>
        </w:rPr>
        <w:t>．“中美洲环境和农牧业管理中推行两性平等政策的制定过程”计划（世界自然联合会——人类进步与和平基金会）于</w:t>
      </w:r>
      <w:r>
        <w:rPr>
          <w:rFonts w:hint="eastAsia"/>
          <w:lang w:val="es-ES"/>
        </w:rPr>
        <w:t>2000</w:t>
      </w:r>
      <w:r>
        <w:rPr>
          <w:rFonts w:hint="eastAsia"/>
          <w:lang w:val="es-ES"/>
        </w:rPr>
        <w:t>年开始实行，其目的正是为了缩短中美洲地区农牧业部门的国家机制和部委进行冗长的讨论和考虑所需花费的时间，帮助两性平等理</w:t>
      </w:r>
      <w:r>
        <w:rPr>
          <w:rFonts w:hint="eastAsia"/>
          <w:lang w:val="es-ES"/>
        </w:rPr>
        <w:t>念进入战略的制订和实施过程，将推动两性平等作为政府的责任和政府机构日常工作的有机组成部分。</w:t>
      </w:r>
    </w:p>
    <w:p w:rsidR="00000000" w:rsidRDefault="00CA422F">
      <w:pPr>
        <w:spacing w:after="240" w:line="360" w:lineRule="exact"/>
        <w:rPr>
          <w:rFonts w:hint="eastAsia"/>
          <w:lang w:val="es-ES"/>
        </w:rPr>
      </w:pPr>
      <w:r>
        <w:rPr>
          <w:rFonts w:hint="eastAsia"/>
          <w:lang w:val="es-ES"/>
        </w:rPr>
        <w:t>605</w:t>
      </w:r>
      <w:r>
        <w:rPr>
          <w:rFonts w:hint="eastAsia"/>
          <w:lang w:val="es-ES"/>
        </w:rPr>
        <w:t>．在制定计划方面，国家妇女研究所在人类进步与和平基金会的帮助下，已经建立了一个农村妇女平台，由各个妇女组织共同组成，支持建立一个基础机构，负责制定农牧业部门的机构应该采取的行动战略。</w:t>
      </w:r>
    </w:p>
    <w:p w:rsidR="00000000" w:rsidRDefault="00CA422F">
      <w:pPr>
        <w:spacing w:after="240" w:line="360" w:lineRule="exact"/>
        <w:jc w:val="center"/>
        <w:rPr>
          <w:rFonts w:eastAsia="SimHei" w:hint="eastAsia"/>
          <w:sz w:val="24"/>
          <w:lang w:val="es-ES"/>
        </w:rPr>
      </w:pPr>
      <w:r>
        <w:rPr>
          <w:rFonts w:eastAsia="SimHei" w:hint="eastAsia"/>
          <w:sz w:val="24"/>
          <w:lang w:val="es-ES"/>
        </w:rPr>
        <w:t>来自环境和能源部的经验</w:t>
      </w:r>
    </w:p>
    <w:p w:rsidR="00000000" w:rsidRDefault="00CA422F">
      <w:pPr>
        <w:spacing w:after="240" w:line="360" w:lineRule="exact"/>
        <w:rPr>
          <w:rFonts w:hint="eastAsia"/>
          <w:lang w:val="es-ES"/>
        </w:rPr>
      </w:pPr>
      <w:r>
        <w:rPr>
          <w:rFonts w:hint="eastAsia"/>
          <w:lang w:val="es-ES"/>
        </w:rPr>
        <w:t>606</w:t>
      </w:r>
      <w:r>
        <w:rPr>
          <w:rFonts w:hint="eastAsia"/>
          <w:lang w:val="es-ES"/>
        </w:rPr>
        <w:t>．</w:t>
      </w:r>
      <w:r>
        <w:rPr>
          <w:rFonts w:hint="eastAsia"/>
          <w:lang w:val="es-ES"/>
        </w:rPr>
        <w:t>1996</w:t>
      </w:r>
      <w:r>
        <w:rPr>
          <w:rFonts w:hint="eastAsia"/>
          <w:lang w:val="es-ES"/>
        </w:rPr>
        <w:t>年，农村森林发展计划成立了环境和能源部妇女部级办公室，并为其配备了工作所需的人员和物资。环境和能源部妇女部级办公室在农村森林发展计划的工作范围内开展了下列活动：推动和保护环保领域国家制度中的</w:t>
      </w:r>
      <w:r>
        <w:rPr>
          <w:rFonts w:hint="eastAsia"/>
          <w:lang w:val="es-ES"/>
        </w:rPr>
        <w:t>性别措施；农村女性生产者培训计划；女性团体的生产和组织状况分析；对环境和能源部的男女工作人员进行培训；编写学习材料等（</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607</w:t>
      </w:r>
      <w:r>
        <w:rPr>
          <w:rFonts w:hint="eastAsia"/>
          <w:lang w:val="es-ES"/>
        </w:rPr>
        <w:t>．</w:t>
      </w:r>
      <w:r>
        <w:rPr>
          <w:rFonts w:hint="eastAsia"/>
          <w:lang w:val="es-ES"/>
        </w:rPr>
        <w:t>1998</w:t>
      </w:r>
      <w:r>
        <w:rPr>
          <w:rFonts w:hint="eastAsia"/>
          <w:lang w:val="es-ES"/>
        </w:rPr>
        <w:t>年以来，在部长伊丽莎白·欧迪奥·贝尼托女士的领导下，妇女部级办公室改名为性别与环境办公室，职能方面也有所扩大。其活动范围从先前针对全国对话体系的关注，扩大到对环境和能源部所有下属机构的关注。这主要是为了在整个环境和能源部的日常工作中引入两性平等理念。这方面的工作同世界自然联合会发出的倡议不谋而合：“在拉美环境部门领导机构制订两性平等政策”，这</w:t>
      </w:r>
      <w:r>
        <w:rPr>
          <w:rFonts w:hint="eastAsia"/>
          <w:lang w:val="es-ES"/>
        </w:rPr>
        <w:t>不仅使该办公室的工作获得了法律许可，而且从更广、更重要的战略角度对其进行指导（</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608</w:t>
      </w:r>
      <w:r>
        <w:rPr>
          <w:rFonts w:hint="eastAsia"/>
          <w:lang w:val="es-ES"/>
        </w:rPr>
        <w:t>．通过</w:t>
      </w:r>
      <w:r>
        <w:rPr>
          <w:rFonts w:hint="eastAsia"/>
          <w:lang w:val="es-ES"/>
        </w:rPr>
        <w:t>1998</w:t>
      </w:r>
      <w:r>
        <w:rPr>
          <w:rFonts w:hint="eastAsia"/>
          <w:lang w:val="es-ES"/>
        </w:rPr>
        <w:t>年</w:t>
      </w:r>
      <w:r>
        <w:rPr>
          <w:rFonts w:hint="eastAsia"/>
          <w:lang w:val="es-ES"/>
        </w:rPr>
        <w:t>10</w:t>
      </w:r>
      <w:r>
        <w:rPr>
          <w:rFonts w:hint="eastAsia"/>
          <w:lang w:val="es-ES"/>
        </w:rPr>
        <w:t>月</w:t>
      </w:r>
      <w:r>
        <w:rPr>
          <w:rFonts w:hint="eastAsia"/>
          <w:lang w:val="es-ES"/>
        </w:rPr>
        <w:t>14</w:t>
      </w:r>
      <w:r>
        <w:rPr>
          <w:rFonts w:hint="eastAsia"/>
          <w:lang w:val="es-ES"/>
        </w:rPr>
        <w:t>日颁布的一项行政法令，环境和能源部使日常工作的政治决策中的性别观点具有了官方的合法性（</w:t>
      </w:r>
      <w:r>
        <w:rPr>
          <w:rFonts w:hint="eastAsia"/>
          <w:lang w:val="es-ES"/>
        </w:rPr>
        <w:t>Aguilar</w:t>
      </w:r>
      <w:r>
        <w:rPr>
          <w:rFonts w:hint="eastAsia"/>
          <w:lang w:val="es-ES"/>
        </w:rPr>
        <w:t>等，</w:t>
      </w:r>
      <w:r>
        <w:rPr>
          <w:rFonts w:hint="eastAsia"/>
          <w:lang w:val="es-ES"/>
        </w:rPr>
        <w:t>1999</w:t>
      </w:r>
      <w:r>
        <w:rPr>
          <w:rFonts w:hint="eastAsia"/>
          <w:lang w:val="es-ES"/>
        </w:rPr>
        <w:t>年）。通过这种方式，环境和能源部承诺广泛推行两性平等理念，主要体现在政策、法律、规章制度、战略方针、环境研究、规划过程以及环境和能源部推行的其它各类发展和对话措施中始终贯彻男女平等的原则（</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609</w:t>
      </w:r>
      <w:r>
        <w:rPr>
          <w:rFonts w:hint="eastAsia"/>
          <w:lang w:val="es-ES"/>
        </w:rPr>
        <w:t>．应该指出的是，环境和能源部</w:t>
      </w:r>
      <w:r>
        <w:rPr>
          <w:rFonts w:hint="eastAsia"/>
          <w:lang w:val="es-ES"/>
        </w:rPr>
        <w:t>中现存的性别和环境的有关政策不但使该办公室的工作获得了法律依据，而且还将两性平等问题放在了首要位置。这主要表现为环境和能源部向人类发展国家计划递交的</w:t>
      </w:r>
      <w:r>
        <w:rPr>
          <w:rFonts w:hint="eastAsia"/>
          <w:lang w:val="es-ES"/>
        </w:rPr>
        <w:t>13</w:t>
      </w:r>
      <w:r>
        <w:rPr>
          <w:rFonts w:hint="eastAsia"/>
          <w:lang w:val="es-ES"/>
        </w:rPr>
        <w:t>项主要提案已经纳入了两性平等理念（</w:t>
      </w:r>
      <w:r>
        <w:rPr>
          <w:rFonts w:hint="eastAsia"/>
          <w:lang w:val="es-ES"/>
        </w:rPr>
        <w:t>Aguilar</w:t>
      </w:r>
      <w:r>
        <w:rPr>
          <w:rFonts w:hint="eastAsia"/>
          <w:lang w:val="es-ES"/>
        </w:rPr>
        <w:t>等，</w:t>
      </w:r>
      <w:r>
        <w:rPr>
          <w:rFonts w:hint="eastAsia"/>
          <w:lang w:val="es-ES"/>
        </w:rPr>
        <w:t>1999</w:t>
      </w:r>
      <w:r>
        <w:rPr>
          <w:rFonts w:hint="eastAsia"/>
          <w:lang w:val="es-ES"/>
        </w:rPr>
        <w:t>年）。同样，性别问题已经对环境和能源部的日常工作和工作理念产生了一定影响，主要体现在下列几个方面（</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610</w:t>
      </w:r>
      <w:r>
        <w:rPr>
          <w:rFonts w:hint="eastAsia"/>
          <w:lang w:val="es-ES"/>
        </w:rPr>
        <w:t>．概念：环境和能源部是在环境领域开展调查研究、推行对话并对自然资源进行合理使用的战略机构，拥有现代而高效的组织结构，能够保障社区的参与和性别观点的使用，积极参加国</w:t>
      </w:r>
      <w:r>
        <w:rPr>
          <w:rFonts w:hint="eastAsia"/>
          <w:lang w:val="es-ES"/>
        </w:rPr>
        <w:t>际性承诺的履行工作。</w:t>
      </w:r>
    </w:p>
    <w:p w:rsidR="00000000" w:rsidRDefault="00CA422F">
      <w:pPr>
        <w:spacing w:after="240" w:line="360" w:lineRule="exact"/>
        <w:rPr>
          <w:rFonts w:hint="eastAsia"/>
          <w:lang w:val="es-ES"/>
        </w:rPr>
      </w:pPr>
      <w:r>
        <w:rPr>
          <w:rFonts w:hint="eastAsia"/>
          <w:lang w:val="es-ES"/>
        </w:rPr>
        <w:t>611</w:t>
      </w:r>
      <w:r>
        <w:rPr>
          <w:rFonts w:hint="eastAsia"/>
          <w:lang w:val="es-ES"/>
        </w:rPr>
        <w:t>．任务：在自然资源的保护、扶持、控制及研究方面，制订政策、战略规划和执行有效措施，主要目的在于提高全国人民的生活质量，推动人类的可持续发展，提供足够有效的公共服务，并履行国际承诺等。</w:t>
      </w:r>
    </w:p>
    <w:p w:rsidR="00000000" w:rsidRDefault="00CA422F">
      <w:pPr>
        <w:spacing w:after="240" w:line="360" w:lineRule="exact"/>
        <w:rPr>
          <w:rFonts w:hint="eastAsia"/>
          <w:lang w:val="es-ES"/>
        </w:rPr>
      </w:pPr>
      <w:r>
        <w:rPr>
          <w:rFonts w:hint="eastAsia"/>
          <w:lang w:val="es-ES"/>
        </w:rPr>
        <w:t>612</w:t>
      </w:r>
      <w:r>
        <w:rPr>
          <w:rFonts w:hint="eastAsia"/>
          <w:lang w:val="es-ES"/>
        </w:rPr>
        <w:t>．该政策制订以后，环境和能源部各个机构都参与其中，制定了一项行动计划。总的来说，行动计划希望达到如下目标（</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让社会各阶层的男女公民都能平等地享受环境和能源部提供的服务。</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部委内的男女工作人员都能获得平等而公正的劳动条件。</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在组织内部营造男女平等的文化氛围。</w:t>
      </w:r>
    </w:p>
    <w:p w:rsidR="00000000" w:rsidRDefault="00CA422F">
      <w:pPr>
        <w:spacing w:after="240" w:line="360" w:lineRule="exact"/>
        <w:rPr>
          <w:rFonts w:hint="eastAsia"/>
          <w:lang w:val="es-ES"/>
        </w:rPr>
      </w:pPr>
      <w:r>
        <w:rPr>
          <w:rFonts w:hint="eastAsia"/>
          <w:lang w:val="es-ES"/>
        </w:rPr>
        <w:t>61</w:t>
      </w:r>
      <w:r>
        <w:rPr>
          <w:rFonts w:hint="eastAsia"/>
          <w:lang w:val="es-ES"/>
        </w:rPr>
        <w:t>3</w:t>
      </w:r>
      <w:r>
        <w:rPr>
          <w:rFonts w:hint="eastAsia"/>
          <w:lang w:val="es-ES"/>
        </w:rPr>
        <w:t>．此项行动计划采取的主要措施如下（</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环境和能源部的各个机构的工作人员组建联络小组。</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分析环境和能源部男女工作人员的劳动条件。</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推动女性担当决策职务。</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成立专门委员会，监督《反对教育和工作中的性骚扰法》的贯彻执行情况。</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在环境和能源部采取的措施内开展性别调查（经验的系统化、诊断分析、方法学建议等）。</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对环境和能源部的工作人员以及同该部工作相关的社会人员进行两性平等理念的培训。</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开展两性平等教育运动。</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建议修改立法。</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提供性别咨询，以便：从两性平等的角度制定战略计划和操作计划；</w:t>
      </w:r>
      <w:r>
        <w:rPr>
          <w:rFonts w:hint="eastAsia"/>
          <w:lang w:val="es-ES"/>
        </w:rPr>
        <w:t>对资料按性别进行分类并分别归纳分析；制定在大众传媒中开展运动的计划；起草计划、法律和各项规章制度；设计包含两性平等内容的战略方针。</w:t>
      </w:r>
    </w:p>
    <w:p w:rsidR="00000000" w:rsidRDefault="00CA422F">
      <w:pPr>
        <w:spacing w:after="240" w:line="360" w:lineRule="exact"/>
        <w:rPr>
          <w:rFonts w:hint="eastAsia"/>
          <w:lang w:val="es-ES"/>
        </w:rPr>
      </w:pPr>
      <w:r>
        <w:rPr>
          <w:rFonts w:hint="eastAsia"/>
          <w:lang w:val="es-ES"/>
        </w:rPr>
        <w:t>614</w:t>
      </w:r>
      <w:r>
        <w:rPr>
          <w:rFonts w:hint="eastAsia"/>
          <w:lang w:val="es-ES"/>
        </w:rPr>
        <w:t>．为此，环境和能源部为将两性平等放在首要位置并为其拨出部分人员和资金。同样，为了保障两性平等的横向传播，环境和能源部承诺在其机构内部创建级别更高的性别和环境办公室，并对其提供各项支持，此办公室将对上述政策的行动计划所采取的措施进行追踪和监控（</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615</w:t>
      </w:r>
      <w:r>
        <w:rPr>
          <w:rFonts w:hint="eastAsia"/>
          <w:lang w:val="es-ES"/>
        </w:rPr>
        <w:t>．为支持性别和环境办公室的管理采取的措施之一便是制订一项追踪和监控制度，对所有保护领域采取的</w:t>
      </w:r>
      <w:r>
        <w:rPr>
          <w:rFonts w:hint="eastAsia"/>
          <w:lang w:val="es-ES"/>
        </w:rPr>
        <w:t>两性平等措施进行追踪和监控。环保领域国家制度（</w:t>
      </w:r>
      <w:r>
        <w:rPr>
          <w:rFonts w:hint="eastAsia"/>
          <w:lang w:val="es-ES"/>
        </w:rPr>
        <w:t>SINAC</w:t>
      </w:r>
      <w:r>
        <w:rPr>
          <w:rFonts w:hint="eastAsia"/>
          <w:lang w:val="es-ES"/>
        </w:rPr>
        <w:t>）是培训和诊断分析等方面性别工作政策中最适合的领导制度（</w:t>
      </w:r>
      <w:r>
        <w:rPr>
          <w:rFonts w:hint="eastAsia"/>
          <w:lang w:val="es-ES"/>
        </w:rPr>
        <w:t>Aguilar</w:t>
      </w:r>
      <w:r>
        <w:rPr>
          <w:rFonts w:hint="eastAsia"/>
          <w:lang w:val="es-ES"/>
        </w:rPr>
        <w:t>等，</w:t>
      </w:r>
      <w:r>
        <w:rPr>
          <w:rFonts w:hint="eastAsia"/>
          <w:lang w:val="es-ES"/>
        </w:rPr>
        <w:t>1999</w:t>
      </w:r>
      <w:r>
        <w:rPr>
          <w:rFonts w:hint="eastAsia"/>
          <w:lang w:val="es-ES"/>
        </w:rPr>
        <w:t>年）。</w:t>
      </w:r>
    </w:p>
    <w:p w:rsidR="00000000" w:rsidRDefault="00CA422F">
      <w:pPr>
        <w:spacing w:after="240" w:line="360" w:lineRule="exact"/>
        <w:rPr>
          <w:rFonts w:hint="eastAsia"/>
          <w:lang w:val="es-ES"/>
        </w:rPr>
      </w:pPr>
      <w:r>
        <w:rPr>
          <w:rFonts w:hint="eastAsia"/>
          <w:lang w:val="es-ES"/>
        </w:rPr>
        <w:t>616</w:t>
      </w:r>
      <w:r>
        <w:rPr>
          <w:rFonts w:hint="eastAsia"/>
          <w:lang w:val="es-ES"/>
        </w:rPr>
        <w:t>．环境和能源部性别与环境政策行动计划中囊括了“设立分类信息存取制度和在信息体制中引入必要的男女差异”等内容。考虑到任务的艰巨性，决定只采用示范阶段的经验，并将这些经验随后推广到环境和能源部的其它机构。因此，选取了环保领域国家制度（</w:t>
      </w:r>
      <w:r>
        <w:rPr>
          <w:rFonts w:hint="eastAsia"/>
          <w:lang w:val="es-ES"/>
        </w:rPr>
        <w:t>SINAC</w:t>
      </w:r>
      <w:r>
        <w:rPr>
          <w:rFonts w:hint="eastAsia"/>
          <w:lang w:val="es-ES"/>
        </w:rPr>
        <w:t>），目前，该制度正在制定持续改善评价体系，在“走向平等”中美洲计划、世界自然联合会以及环境和能源部性别和环境办公室的帮助</w:t>
      </w:r>
      <w:r>
        <w:rPr>
          <w:rFonts w:hint="eastAsia"/>
          <w:lang w:val="es-ES"/>
        </w:rPr>
        <w:t>下，把这一评价体系推广到环保领域国家制度提供的各项服务之中（环境和能源部，“持续改善评价体系的性别指数提案”）。根据这一提案，一个由部委工作人员组成的小组，同</w:t>
      </w:r>
      <w:r>
        <w:rPr>
          <w:rFonts w:hint="eastAsia"/>
          <w:color w:val="FF0000"/>
          <w:lang w:val="es-ES"/>
        </w:rPr>
        <w:t>DIMERCA</w:t>
      </w:r>
      <w:r>
        <w:rPr>
          <w:rFonts w:hint="eastAsia"/>
          <w:lang w:val="es-ES"/>
        </w:rPr>
        <w:t>咨询机构共同合作，将为改善评价体系计算各类指数继续努力。首先，与该小组共同寻找两性平等指数相关的内容。已经写就了一篇“持续改善评价体系引入两性平等观点建议书”。随后，希望同环境和能源部的信息制度管理委员会保持联络，共同开展服务培训，以便深入了解两性平等指数，并在此基础上向委员会的工作提出某些建议。</w:t>
      </w:r>
    </w:p>
    <w:p w:rsidR="00000000" w:rsidRDefault="00CA422F">
      <w:pPr>
        <w:spacing w:after="240" w:line="360" w:lineRule="exact"/>
        <w:rPr>
          <w:rFonts w:hint="eastAsia"/>
          <w:lang w:val="es-ES"/>
        </w:rPr>
      </w:pPr>
      <w:r>
        <w:rPr>
          <w:rFonts w:hint="eastAsia"/>
          <w:lang w:val="es-ES"/>
        </w:rPr>
        <w:t>617</w:t>
      </w:r>
      <w:r>
        <w:rPr>
          <w:rFonts w:hint="eastAsia"/>
          <w:lang w:val="es-ES"/>
        </w:rPr>
        <w:t>．在开发计划署的支持下，全国森林发</w:t>
      </w:r>
      <w:r>
        <w:rPr>
          <w:rFonts w:hint="eastAsia"/>
          <w:lang w:val="es-ES"/>
        </w:rPr>
        <w:t>展计划也将两性平等理念纳入其中，此外还在森林环境中采取了多项趋于两性平等的措施。虽然不少机构和组织对此表现出了较大的兴趣，并做出了一定的努力，但是数以万计的女性仍然处于哥斯达黎加正在实施的可持续发展政策的边缘。一项关于女性参与“环境服务报酬”计划的研究（</w:t>
      </w:r>
      <w:r>
        <w:rPr>
          <w:rFonts w:hint="eastAsia"/>
          <w:lang w:val="es-ES"/>
        </w:rPr>
        <w:t>Morales</w:t>
      </w:r>
      <w:r>
        <w:rPr>
          <w:rFonts w:hint="eastAsia"/>
          <w:lang w:val="es-ES"/>
        </w:rPr>
        <w:t>和</w:t>
      </w:r>
      <w:r>
        <w:rPr>
          <w:lang w:val="es-ES"/>
        </w:rPr>
        <w:t>Dávila</w:t>
      </w:r>
      <w:r>
        <w:rPr>
          <w:rFonts w:hint="eastAsia"/>
        </w:rPr>
        <w:t>，</w:t>
      </w:r>
      <w:r>
        <w:rPr>
          <w:rFonts w:hint="eastAsia"/>
        </w:rPr>
        <w:t>2000</w:t>
      </w:r>
      <w:r>
        <w:rPr>
          <w:rFonts w:hint="eastAsia"/>
        </w:rPr>
        <w:t>年</w:t>
      </w:r>
      <w:r>
        <w:rPr>
          <w:rFonts w:hint="eastAsia"/>
          <w:lang w:val="es-ES"/>
        </w:rPr>
        <w:t>）得出如下结论：</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无论作为群体还是作为个人，女性在环境服务报酬计划中的参与率极低，所占比例不到</w:t>
      </w:r>
      <w:r>
        <w:rPr>
          <w:rFonts w:hint="eastAsia"/>
          <w:lang w:val="es-ES"/>
        </w:rPr>
        <w:t>20</w:t>
      </w:r>
      <w:r>
        <w:rPr>
          <w:rFonts w:hint="eastAsia"/>
          <w:lang w:val="es-ES"/>
        </w:rPr>
        <w:t>％，虽然从</w:t>
      </w:r>
      <w:r>
        <w:rPr>
          <w:rFonts w:hint="eastAsia"/>
          <w:lang w:val="es-ES"/>
        </w:rPr>
        <w:t>1998</w:t>
      </w:r>
      <w:r>
        <w:rPr>
          <w:rFonts w:hint="eastAsia"/>
          <w:lang w:val="es-ES"/>
        </w:rPr>
        <w:t>年的</w:t>
      </w:r>
      <w:r>
        <w:rPr>
          <w:rFonts w:hint="eastAsia"/>
          <w:lang w:val="es-ES"/>
        </w:rPr>
        <w:t>15.57%</w:t>
      </w:r>
      <w:r>
        <w:rPr>
          <w:rFonts w:hint="eastAsia"/>
          <w:lang w:val="es-ES"/>
        </w:rPr>
        <w:t>增加到了</w:t>
      </w:r>
      <w:r>
        <w:rPr>
          <w:rFonts w:hint="eastAsia"/>
          <w:lang w:val="es-ES"/>
        </w:rPr>
        <w:t>1999</w:t>
      </w:r>
      <w:r>
        <w:rPr>
          <w:rFonts w:hint="eastAsia"/>
          <w:lang w:val="es-ES"/>
        </w:rPr>
        <w:t>年的</w:t>
      </w:r>
      <w:r>
        <w:rPr>
          <w:rFonts w:hint="eastAsia"/>
          <w:lang w:val="es-ES"/>
        </w:rPr>
        <w:t>19</w:t>
      </w:r>
      <w:r>
        <w:rPr>
          <w:rFonts w:hint="eastAsia"/>
          <w:lang w:val="es-ES"/>
        </w:rPr>
        <w:t>％。</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造成环境服务报酬计划中女性参与率低下的原因是多样的，其中</w:t>
      </w:r>
      <w:r>
        <w:rPr>
          <w:rFonts w:hint="eastAsia"/>
          <w:lang w:val="es-ES"/>
        </w:rPr>
        <w:t>最主要的四个原因为：土地的归属问题；男尊女卑的社会文化；对该计划几乎一无所知和缺乏推动女性参加该计划的战略方针。调查结果显示，这些战略方针的比例既触目惊心又耐人寻味</w:t>
      </w:r>
      <w:r>
        <w:rPr>
          <w:rFonts w:hint="eastAsia"/>
          <w:lang w:val="es-ES"/>
        </w:rPr>
        <w:t>0</w:t>
      </w:r>
      <w:r>
        <w:rPr>
          <w:rFonts w:hint="eastAsia"/>
          <w:lang w:val="es-ES"/>
        </w:rPr>
        <w:t>％。</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联合组织和女性组织的创立和加强，应该成为行动的核心，因为诊断分析显示，这样才能通过足够的努力，让女性逐步参与到环境服务报酬计划。</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土地的归属问题是造成女性无法参加环境服务报酬计划的最大阻碍。调查显示，</w:t>
      </w:r>
      <w:r>
        <w:rPr>
          <w:rFonts w:hint="eastAsia"/>
          <w:lang w:val="es-ES"/>
        </w:rPr>
        <w:t>69%</w:t>
      </w:r>
      <w:r>
        <w:rPr>
          <w:rFonts w:hint="eastAsia"/>
          <w:lang w:val="es-ES"/>
        </w:rPr>
        <w:t>的中介组织认为这是造成问题的主要原因，而</w:t>
      </w:r>
      <w:r>
        <w:rPr>
          <w:rFonts w:hint="eastAsia"/>
          <w:lang w:val="es-ES"/>
        </w:rPr>
        <w:t>55</w:t>
      </w:r>
      <w:r>
        <w:rPr>
          <w:rFonts w:hint="eastAsia"/>
          <w:lang w:val="es-ES"/>
        </w:rPr>
        <w:t>％的能力团体也承认这是问题的症结所在。</w:t>
      </w:r>
    </w:p>
    <w:p w:rsidR="00000000" w:rsidRDefault="00CA422F">
      <w:pPr>
        <w:spacing w:after="240" w:line="360" w:lineRule="exact"/>
        <w:rPr>
          <w:rFonts w:hint="eastAsia"/>
          <w:lang w:val="es-ES"/>
        </w:rPr>
      </w:pPr>
    </w:p>
    <w:p w:rsidR="00000000" w:rsidRDefault="00CA422F">
      <w:pPr>
        <w:pStyle w:val="Date"/>
        <w:spacing w:after="240" w:line="360" w:lineRule="atLeast"/>
        <w:rPr>
          <w:rFonts w:hint="eastAsia"/>
          <w:lang w:val="es-ES"/>
        </w:rPr>
      </w:pPr>
    </w:p>
    <w:p w:rsidR="00000000" w:rsidRDefault="00CA422F">
      <w:pPr>
        <w:spacing w:after="240" w:line="360" w:lineRule="exact"/>
        <w:jc w:val="center"/>
        <w:rPr>
          <w:rFonts w:eastAsia="SimHei" w:hint="eastAsia"/>
          <w:sz w:val="24"/>
          <w:lang w:val="es-ES"/>
        </w:rPr>
      </w:pPr>
      <w:r>
        <w:br w:type="page"/>
      </w:r>
      <w:r>
        <w:rPr>
          <w:rFonts w:eastAsia="SimHei" w:hint="eastAsia"/>
          <w:sz w:val="24"/>
          <w:lang w:val="es-ES"/>
        </w:rPr>
        <w:t>第十五条：</w:t>
      </w:r>
      <w:r>
        <w:rPr>
          <w:rFonts w:eastAsia="SimHei" w:hint="eastAsia"/>
          <w:sz w:val="24"/>
        </w:rPr>
        <w:t>在法律面前平等</w:t>
      </w:r>
    </w:p>
    <w:p w:rsidR="00000000" w:rsidRDefault="00CA422F">
      <w:pPr>
        <w:spacing w:after="240" w:line="360" w:lineRule="exact"/>
        <w:rPr>
          <w:rFonts w:eastAsia="SimHei" w:hint="eastAsia"/>
        </w:rPr>
      </w:pPr>
      <w:r>
        <w:rPr>
          <w:rFonts w:eastAsia="SimHei"/>
        </w:rPr>
        <w:t>第十五条</w:t>
      </w:r>
      <w:r>
        <w:rPr>
          <w:rFonts w:eastAsia="SimHei" w:hint="eastAsia"/>
        </w:rPr>
        <w:t>：</w:t>
      </w:r>
    </w:p>
    <w:p w:rsidR="00000000" w:rsidRDefault="00CA422F">
      <w:pPr>
        <w:spacing w:after="240" w:line="360" w:lineRule="exact"/>
        <w:rPr>
          <w:rFonts w:ascii="KaiTi_GB2312" w:eastAsia="KaiTi_GB2312"/>
        </w:rPr>
      </w:pPr>
      <w:r>
        <w:rPr>
          <w:rFonts w:ascii="KaiTi_GB2312" w:eastAsia="KaiTi_GB2312"/>
        </w:rPr>
        <w:t>1</w:t>
      </w:r>
      <w:r>
        <w:rPr>
          <w:rFonts w:ascii="KaiTi_GB2312" w:eastAsia="KaiTi_GB2312"/>
        </w:rPr>
        <w:t>．缔</w:t>
      </w:r>
      <w:r>
        <w:rPr>
          <w:rFonts w:ascii="KaiTi_GB2312" w:eastAsia="KaiTi_GB2312"/>
        </w:rPr>
        <w:t>约各国应给予男女在法律面前平等的地位。</w:t>
      </w:r>
      <w:r>
        <w:rPr>
          <w:rFonts w:ascii="KaiTi_GB2312" w:eastAsia="KaiTi_GB2312"/>
        </w:rPr>
        <w:t> </w:t>
      </w:r>
    </w:p>
    <w:p w:rsidR="00000000" w:rsidRDefault="00CA422F">
      <w:pPr>
        <w:spacing w:after="240" w:line="360" w:lineRule="exact"/>
        <w:rPr>
          <w:rFonts w:ascii="KaiTi_GB2312" w:eastAsia="KaiTi_GB2312"/>
        </w:rPr>
      </w:pPr>
      <w:r>
        <w:rPr>
          <w:rFonts w:ascii="KaiTi_GB2312" w:eastAsia="KaiTi_GB2312"/>
        </w:rPr>
        <w:t>2</w:t>
      </w:r>
      <w:r>
        <w:rPr>
          <w:rFonts w:ascii="KaiTi_GB2312" w:eastAsia="KaiTi_GB2312"/>
        </w:rPr>
        <w:t>．缔约各国应在公民事务上，给予妇女与男子同等的法律行为能力，以及行使这种行为能力的相同机会。特别应给予妇女签订合同和管理财产的平等权利，并在法院和法庭诉讼的各个阶段给予平等待遇。</w:t>
      </w:r>
      <w:r>
        <w:rPr>
          <w:rFonts w:ascii="KaiTi_GB2312" w:eastAsia="KaiTi_GB2312"/>
        </w:rPr>
        <w:t> </w:t>
      </w:r>
    </w:p>
    <w:p w:rsidR="00000000" w:rsidRDefault="00CA422F">
      <w:pPr>
        <w:spacing w:after="240" w:line="360" w:lineRule="exact"/>
        <w:rPr>
          <w:rFonts w:ascii="KaiTi_GB2312" w:eastAsia="KaiTi_GB2312"/>
        </w:rPr>
      </w:pPr>
      <w:r>
        <w:rPr>
          <w:rFonts w:ascii="KaiTi_GB2312" w:eastAsia="KaiTi_GB2312"/>
        </w:rPr>
        <w:t>3.</w:t>
      </w:r>
      <w:r>
        <w:rPr>
          <w:rFonts w:ascii="KaiTi_GB2312" w:eastAsia="KaiTi_GB2312"/>
        </w:rPr>
        <w:t>缔约各国同意，旨在限制妇女法律行为能力的所有合同和其他任何具有法律效力的私人文书，应一律视为无效。</w:t>
      </w:r>
      <w:r>
        <w:rPr>
          <w:rFonts w:ascii="KaiTi_GB2312" w:eastAsia="KaiTi_GB2312"/>
        </w:rPr>
        <w:t> </w:t>
      </w:r>
    </w:p>
    <w:p w:rsidR="00000000" w:rsidRDefault="00CA422F">
      <w:pPr>
        <w:spacing w:after="240" w:line="360" w:lineRule="exact"/>
        <w:rPr>
          <w:rFonts w:hint="eastAsia"/>
          <w:b/>
          <w:bCs/>
          <w:lang w:val="es-ES"/>
        </w:rPr>
      </w:pPr>
      <w:r>
        <w:rPr>
          <w:rFonts w:ascii="KaiTi_GB2312" w:eastAsia="KaiTi_GB2312"/>
        </w:rPr>
        <w:t>4</w:t>
      </w:r>
      <w:r>
        <w:rPr>
          <w:rFonts w:ascii="KaiTi_GB2312" w:eastAsia="KaiTi_GB2312"/>
        </w:rPr>
        <w:t>．缔约各国在有关人身移动和自由择居的法律方面，应给予男女相同的权利。</w:t>
      </w:r>
      <w:r>
        <w:rPr>
          <w:rFonts w:ascii="KaiTi_GB2312" w:eastAsia="KaiTi_GB2312"/>
        </w:rPr>
        <w:t> </w:t>
      </w:r>
      <w:r>
        <w:rPr>
          <w:rFonts w:ascii="KaiTi_GB2312" w:eastAsia="KaiTi_GB2312"/>
        </w:rPr>
        <w:br/>
      </w:r>
    </w:p>
    <w:p w:rsidR="00000000" w:rsidRDefault="00CA422F">
      <w:pPr>
        <w:spacing w:after="240" w:line="360" w:lineRule="exact"/>
        <w:jc w:val="center"/>
        <w:rPr>
          <w:rFonts w:eastAsia="SimHei" w:hint="eastAsia"/>
          <w:sz w:val="24"/>
          <w:lang w:val="es-ES"/>
        </w:rPr>
      </w:pPr>
      <w:r>
        <w:rPr>
          <w:rFonts w:eastAsia="SimHei" w:hint="eastAsia"/>
          <w:sz w:val="24"/>
          <w:lang w:val="es-ES"/>
        </w:rPr>
        <w:t>哥斯达黎加司法女性权利取得</w:t>
      </w:r>
      <w:r>
        <w:rPr>
          <w:rFonts w:eastAsia="SimHei"/>
          <w:sz w:val="24"/>
          <w:lang w:val="es-ES"/>
        </w:rPr>
        <w:br/>
      </w:r>
      <w:r>
        <w:rPr>
          <w:rFonts w:eastAsia="SimHei" w:hint="eastAsia"/>
          <w:sz w:val="24"/>
          <w:lang w:val="es-ES"/>
        </w:rPr>
        <w:t>重大进步的十年</w:t>
      </w:r>
    </w:p>
    <w:p w:rsidR="00000000" w:rsidRDefault="00CA422F">
      <w:pPr>
        <w:spacing w:after="240" w:line="360" w:lineRule="exact"/>
        <w:rPr>
          <w:rFonts w:hint="eastAsia"/>
          <w:lang w:val="es-ES"/>
        </w:rPr>
      </w:pPr>
      <w:r>
        <w:rPr>
          <w:rFonts w:hint="eastAsia"/>
          <w:lang w:val="es-ES"/>
        </w:rPr>
        <w:t>618</w:t>
      </w:r>
      <w:r>
        <w:rPr>
          <w:rFonts w:hint="eastAsia"/>
          <w:lang w:val="es-ES"/>
        </w:rPr>
        <w:t>．通过各类维护和推动妇女权利的政府机构，女性作为个体或</w:t>
      </w:r>
      <w:r>
        <w:rPr>
          <w:rFonts w:hint="eastAsia"/>
          <w:lang w:val="es-ES"/>
        </w:rPr>
        <w:t>者在社会中组织起来，她们一直致力于揭示关注女性需要和维护女性利益的新型机制在观念、政策制定以及获得支持等领域仍然存在的缺陷（民族国家计划，</w:t>
      </w:r>
      <w:r>
        <w:rPr>
          <w:rFonts w:hint="eastAsia"/>
          <w:lang w:val="es-ES"/>
        </w:rPr>
        <w:t>2001</w:t>
      </w:r>
      <w:r>
        <w:rPr>
          <w:rFonts w:hint="eastAsia"/>
          <w:lang w:val="es-ES"/>
        </w:rPr>
        <w:t>年）。根据上述标准，国家司法机制也包括在概况表中（附件</w:t>
      </w:r>
      <w:r>
        <w:rPr>
          <w:rFonts w:hint="eastAsia"/>
          <w:lang w:val="es-ES"/>
        </w:rPr>
        <w:t>1</w:t>
      </w:r>
      <w:r>
        <w:rPr>
          <w:rFonts w:hint="eastAsia"/>
          <w:lang w:val="es-ES"/>
        </w:rPr>
        <w:t>）。</w:t>
      </w:r>
    </w:p>
    <w:p w:rsidR="00000000" w:rsidRDefault="00CA422F">
      <w:pPr>
        <w:spacing w:after="240" w:line="360" w:lineRule="exact"/>
        <w:rPr>
          <w:rFonts w:hint="eastAsia"/>
          <w:lang w:val="es-ES"/>
        </w:rPr>
      </w:pPr>
      <w:r>
        <w:rPr>
          <w:rFonts w:hint="eastAsia"/>
          <w:lang w:val="es-ES"/>
        </w:rPr>
        <w:t>619</w:t>
      </w:r>
      <w:r>
        <w:rPr>
          <w:rFonts w:hint="eastAsia"/>
          <w:lang w:val="es-ES"/>
        </w:rPr>
        <w:t>．这方面取得的主要成就比较突出的有（</w:t>
      </w:r>
      <w:r>
        <w:rPr>
          <w:rFonts w:hint="eastAsia"/>
          <w:lang w:val="es-ES"/>
        </w:rPr>
        <w:t>Mora</w:t>
      </w:r>
      <w:r>
        <w:rPr>
          <w:rFonts w:hint="eastAsia"/>
          <w:lang w:val="es-ES"/>
        </w:rPr>
        <w:t>，</w:t>
      </w:r>
      <w:r>
        <w:rPr>
          <w:rFonts w:hint="eastAsia"/>
          <w:lang w:val="es-ES"/>
        </w:rPr>
        <w:t>2001</w:t>
      </w:r>
      <w:r>
        <w:rPr>
          <w:rFonts w:hint="eastAsia"/>
          <w:lang w:val="es-ES"/>
        </w:rPr>
        <w:t>年）：</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全体公民对这些问题的意见和讨论；使其摆脱了少数人的控制，使公众加深了认识，发表了意见，并行使自身的政治文化权利。</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消除了不利于女性的事实的社会自然反应和社会认同。</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推广女性特殊的性别遭遇衍生出来的司法概念（例如，性骚扰，从前只是将其作为</w:t>
      </w:r>
      <w:r>
        <w:rPr>
          <w:rFonts w:hint="eastAsia"/>
          <w:lang w:val="es-ES"/>
        </w:rPr>
        <w:t>严重的传统错误）。</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使原有的司法形像从内容到形式都焕然一新，打破传统观念。</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消除男性的特权，改变女性所处的不利地位，尽可能地改善女性的总体状况。</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打破虚假的公共和私人的二元对立，在私人领域引入民主价值观（例如，在家庭暴力中，男性应该承担法律责任和经济责任）。</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在权利的正式规范化方面取得了一定的进展。</w:t>
      </w:r>
    </w:p>
    <w:p w:rsidR="00000000" w:rsidRDefault="00CA422F">
      <w:pPr>
        <w:spacing w:after="240" w:line="360" w:lineRule="exact"/>
        <w:rPr>
          <w:rFonts w:hint="eastAsia"/>
          <w:lang w:val="es-ES"/>
        </w:rPr>
      </w:pPr>
      <w:r>
        <w:rPr>
          <w:rFonts w:hint="eastAsia"/>
          <w:lang w:val="es-ES"/>
        </w:rPr>
        <w:t>620</w:t>
      </w:r>
      <w:r>
        <w:rPr>
          <w:rFonts w:hint="eastAsia"/>
          <w:lang w:val="es-ES"/>
        </w:rPr>
        <w:t>．从权利的正式规范化方面来看，九十年代的工作总的来说取得了积极的成就；但是同结构方面，即制度的阐释方面相比，显得仍然不够完善。从这一角度可以看到存在着明显的差距，正好形成了理论上和《消除对妇女一切形式歧视</w:t>
      </w:r>
      <w:r>
        <w:rPr>
          <w:rFonts w:hint="eastAsia"/>
          <w:lang w:val="es-ES"/>
        </w:rPr>
        <w:t>公约》中所谓的因结果而造成的歧视。某些具体案例已经对此有所认识，例如，在《促进妇女社会平等法》第</w:t>
      </w:r>
      <w:r>
        <w:rPr>
          <w:rFonts w:hint="eastAsia"/>
          <w:lang w:val="es-ES"/>
        </w:rPr>
        <w:t>4</w:t>
      </w:r>
      <w:r>
        <w:rPr>
          <w:rFonts w:hint="eastAsia"/>
          <w:lang w:val="es-ES"/>
        </w:rPr>
        <w:t>和第</w:t>
      </w:r>
      <w:r>
        <w:rPr>
          <w:rFonts w:hint="eastAsia"/>
          <w:lang w:val="es-ES"/>
        </w:rPr>
        <w:t>5</w:t>
      </w:r>
      <w:r>
        <w:rPr>
          <w:rFonts w:hint="eastAsia"/>
          <w:lang w:val="es-ES"/>
        </w:rPr>
        <w:t>条，以及《消除对妇女一切形式歧视公约》中关于女性担任公共职位的比例的有关规定中都提到了政治参与权。虽然在法律条文的解释中都将其作为公共部门必须履行的承诺，但是，这并不是宪法直接保障的基本权利（宪法法庭</w:t>
      </w:r>
      <w:r>
        <w:rPr>
          <w:rFonts w:hint="eastAsia"/>
          <w:lang w:val="es-ES"/>
        </w:rPr>
        <w:t>2000</w:t>
      </w:r>
      <w:r>
        <w:rPr>
          <w:rFonts w:hint="eastAsia"/>
          <w:lang w:val="es-ES"/>
        </w:rPr>
        <w:t>年</w:t>
      </w:r>
      <w:r>
        <w:rPr>
          <w:rFonts w:hint="eastAsia"/>
          <w:lang w:val="es-ES"/>
        </w:rPr>
        <w:t>5</w:t>
      </w:r>
      <w:r>
        <w:rPr>
          <w:rFonts w:hint="eastAsia"/>
          <w:lang w:val="es-ES"/>
        </w:rPr>
        <w:t>月</w:t>
      </w:r>
      <w:r>
        <w:rPr>
          <w:rFonts w:hint="eastAsia"/>
          <w:lang w:val="es-ES"/>
        </w:rPr>
        <w:t>19</w:t>
      </w:r>
      <w:r>
        <w:rPr>
          <w:rFonts w:hint="eastAsia"/>
          <w:lang w:val="es-ES"/>
        </w:rPr>
        <w:t>日上午</w:t>
      </w:r>
      <w:r>
        <w:rPr>
          <w:rFonts w:hint="eastAsia"/>
          <w:lang w:val="es-ES"/>
        </w:rPr>
        <w:t>11</w:t>
      </w:r>
      <w:r>
        <w:rPr>
          <w:rFonts w:hint="eastAsia"/>
          <w:lang w:val="es-ES"/>
        </w:rPr>
        <w:t>时</w:t>
      </w:r>
      <w:r>
        <w:rPr>
          <w:rFonts w:hint="eastAsia"/>
          <w:lang w:val="es-ES"/>
        </w:rPr>
        <w:t>45</w:t>
      </w:r>
      <w:r>
        <w:rPr>
          <w:rFonts w:hint="eastAsia"/>
          <w:lang w:val="es-ES"/>
        </w:rPr>
        <w:t>分通过的</w:t>
      </w:r>
      <w:r>
        <w:rPr>
          <w:rFonts w:hint="eastAsia"/>
          <w:lang w:val="es-ES"/>
        </w:rPr>
        <w:t>2000</w:t>
      </w:r>
      <w:r>
        <w:rPr>
          <w:rFonts w:hint="eastAsia"/>
          <w:lang w:val="es-ES"/>
        </w:rPr>
        <w:t>－</w:t>
      </w:r>
      <w:r>
        <w:rPr>
          <w:rFonts w:hint="eastAsia"/>
          <w:lang w:val="es-ES"/>
        </w:rPr>
        <w:t>4350</w:t>
      </w:r>
      <w:r>
        <w:rPr>
          <w:rFonts w:hint="eastAsia"/>
          <w:lang w:val="es-ES"/>
        </w:rPr>
        <w:t>号决议），先前的另一决议则认为上述规定具有一定的强制性，同时指出：“……正如宪法规定和其它法律指出的那样，这些部门的确缺乏女性的参与，因此而违背了平</w:t>
      </w:r>
      <w:r>
        <w:rPr>
          <w:rFonts w:hint="eastAsia"/>
          <w:lang w:val="es-ES"/>
        </w:rPr>
        <w:t>等的原则，也触犯了禁止任何伤害女性的歧视行为的有关规定，这里所说的是性别意义上的女性整体，而不是指具体的女性个体”（宪法法庭于</w:t>
      </w:r>
      <w:r>
        <w:rPr>
          <w:rFonts w:hint="eastAsia"/>
          <w:lang w:val="es-ES"/>
        </w:rPr>
        <w:t>1998</w:t>
      </w:r>
      <w:r>
        <w:rPr>
          <w:rFonts w:hint="eastAsia"/>
          <w:lang w:val="es-ES"/>
        </w:rPr>
        <w:t>年</w:t>
      </w:r>
      <w:r>
        <w:rPr>
          <w:rFonts w:hint="eastAsia"/>
          <w:lang w:val="es-ES"/>
        </w:rPr>
        <w:t>2</w:t>
      </w:r>
      <w:r>
        <w:rPr>
          <w:rFonts w:hint="eastAsia"/>
          <w:lang w:val="es-ES"/>
        </w:rPr>
        <w:t>月</w:t>
      </w:r>
      <w:r>
        <w:rPr>
          <w:rFonts w:hint="eastAsia"/>
          <w:lang w:val="es-ES"/>
        </w:rPr>
        <w:t>6</w:t>
      </w:r>
      <w:r>
        <w:rPr>
          <w:rFonts w:hint="eastAsia"/>
          <w:lang w:val="es-ES"/>
        </w:rPr>
        <w:t>日上午</w:t>
      </w:r>
      <w:r>
        <w:rPr>
          <w:rFonts w:hint="eastAsia"/>
          <w:lang w:val="es-ES"/>
        </w:rPr>
        <w:t>11</w:t>
      </w:r>
      <w:r>
        <w:rPr>
          <w:rFonts w:hint="eastAsia"/>
          <w:lang w:val="es-ES"/>
        </w:rPr>
        <w:t>时</w:t>
      </w:r>
      <w:r>
        <w:rPr>
          <w:rFonts w:hint="eastAsia"/>
          <w:lang w:val="es-ES"/>
        </w:rPr>
        <w:t>51</w:t>
      </w:r>
      <w:r>
        <w:rPr>
          <w:rFonts w:hint="eastAsia"/>
          <w:lang w:val="es-ES"/>
        </w:rPr>
        <w:t>分通过的</w:t>
      </w:r>
      <w:r>
        <w:rPr>
          <w:rFonts w:hint="eastAsia"/>
          <w:lang w:val="es-ES"/>
        </w:rPr>
        <w:t>716</w:t>
      </w:r>
      <w:r>
        <w:rPr>
          <w:rFonts w:hint="eastAsia"/>
          <w:lang w:val="es-ES"/>
        </w:rPr>
        <w:t>－</w:t>
      </w:r>
      <w:r>
        <w:rPr>
          <w:rFonts w:hint="eastAsia"/>
          <w:lang w:val="es-ES"/>
        </w:rPr>
        <w:t>98</w:t>
      </w:r>
      <w:r>
        <w:rPr>
          <w:rFonts w:hint="eastAsia"/>
          <w:lang w:val="es-ES"/>
        </w:rPr>
        <w:t>号决议）。</w:t>
      </w:r>
      <w:r>
        <w:rPr>
          <w:rFonts w:hint="eastAsia"/>
          <w:lang w:val="es-ES"/>
        </w:rPr>
        <w:t>2000</w:t>
      </w:r>
      <w:r>
        <w:rPr>
          <w:rFonts w:hint="eastAsia"/>
          <w:lang w:val="es-ES"/>
        </w:rPr>
        <w:t>年的阐释同两年前相比，不仅是一种倒退，而且还显示了宪法法庭在女性权利方面摇摆不定的特点（民族国家计划，</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621</w:t>
      </w:r>
      <w:r>
        <w:rPr>
          <w:rFonts w:hint="eastAsia"/>
          <w:lang w:val="es-ES"/>
        </w:rPr>
        <w:t>．《礼仪法》第</w:t>
      </w:r>
      <w:r>
        <w:rPr>
          <w:rFonts w:hint="eastAsia"/>
          <w:lang w:val="es-ES"/>
        </w:rPr>
        <w:t>7</w:t>
      </w:r>
      <w:r>
        <w:rPr>
          <w:rFonts w:hint="eastAsia"/>
          <w:lang w:val="es-ES"/>
        </w:rPr>
        <w:t>条也遭受了同样的命运。在涉及事实夫妻的规定中，关于女性不动产的社会调整规定也部分地违背了宪法。普遍认为该法律将会导致某种恶习的产生：“……主要表现在不太理智地通过婚姻的结合，期</w:t>
      </w:r>
      <w:r>
        <w:rPr>
          <w:rFonts w:hint="eastAsia"/>
          <w:lang w:val="es-ES"/>
        </w:rPr>
        <w:t>望能为女性带来更大的优势，显然这没有任何法律依据”。虽然承认该法律对女性群体一直遭受的歧视采取了截然不同的战略，但是，“……这种保护不应该由受国家保护的特权的相关制度来体现……”（宪法法庭于</w:t>
      </w:r>
      <w:r>
        <w:rPr>
          <w:rFonts w:hint="eastAsia"/>
          <w:lang w:val="es-ES"/>
        </w:rPr>
        <w:t>1994</w:t>
      </w:r>
      <w:r>
        <w:rPr>
          <w:rFonts w:hint="eastAsia"/>
          <w:lang w:val="es-ES"/>
        </w:rPr>
        <w:t>年</w:t>
      </w:r>
      <w:r>
        <w:rPr>
          <w:rFonts w:hint="eastAsia"/>
          <w:lang w:val="es-ES"/>
        </w:rPr>
        <w:t>1</w:t>
      </w:r>
      <w:r>
        <w:rPr>
          <w:rFonts w:hint="eastAsia"/>
          <w:lang w:val="es-ES"/>
        </w:rPr>
        <w:t>月</w:t>
      </w:r>
      <w:r>
        <w:rPr>
          <w:rFonts w:hint="eastAsia"/>
          <w:lang w:val="es-ES"/>
        </w:rPr>
        <w:t>18</w:t>
      </w:r>
      <w:r>
        <w:rPr>
          <w:rFonts w:hint="eastAsia"/>
          <w:lang w:val="es-ES"/>
        </w:rPr>
        <w:t>日下午</w:t>
      </w:r>
      <w:r>
        <w:rPr>
          <w:rFonts w:hint="eastAsia"/>
          <w:lang w:val="es-ES"/>
        </w:rPr>
        <w:t>15</w:t>
      </w:r>
      <w:r>
        <w:rPr>
          <w:rFonts w:hint="eastAsia"/>
          <w:lang w:val="es-ES"/>
        </w:rPr>
        <w:t>时</w:t>
      </w:r>
      <w:r>
        <w:rPr>
          <w:rFonts w:hint="eastAsia"/>
          <w:lang w:val="es-ES"/>
        </w:rPr>
        <w:t>42</w:t>
      </w:r>
      <w:r>
        <w:rPr>
          <w:rFonts w:hint="eastAsia"/>
          <w:lang w:val="es-ES"/>
        </w:rPr>
        <w:t>分通过的</w:t>
      </w:r>
      <w:r>
        <w:rPr>
          <w:rFonts w:hint="eastAsia"/>
          <w:lang w:val="es-ES"/>
        </w:rPr>
        <w:t>346</w:t>
      </w:r>
      <w:r>
        <w:rPr>
          <w:rFonts w:hint="eastAsia"/>
          <w:lang w:val="es-ES"/>
        </w:rPr>
        <w:t>－</w:t>
      </w:r>
      <w:r>
        <w:rPr>
          <w:rFonts w:hint="eastAsia"/>
          <w:lang w:val="es-ES"/>
        </w:rPr>
        <w:t>94</w:t>
      </w:r>
      <w:r>
        <w:rPr>
          <w:rFonts w:hint="eastAsia"/>
          <w:lang w:val="es-ES"/>
        </w:rPr>
        <w:t>号决议）（</w:t>
      </w:r>
      <w:r>
        <w:rPr>
          <w:rFonts w:hint="eastAsia"/>
          <w:lang w:val="es-ES"/>
        </w:rPr>
        <w:t>Mora</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622</w:t>
      </w:r>
      <w:r>
        <w:rPr>
          <w:rFonts w:hint="eastAsia"/>
          <w:lang w:val="es-ES"/>
        </w:rPr>
        <w:t>．在预见的情况中忽略法律法规的实施同样也是一种歧视。例如，《促进妇女社会平等法》第</w:t>
      </w:r>
      <w:r>
        <w:rPr>
          <w:rFonts w:hint="eastAsia"/>
          <w:lang w:val="es-ES"/>
        </w:rPr>
        <w:t>30</w:t>
      </w:r>
      <w:r>
        <w:rPr>
          <w:rFonts w:hint="eastAsia"/>
          <w:lang w:val="es-ES"/>
        </w:rPr>
        <w:t>条对《刑事诉讼法》第</w:t>
      </w:r>
      <w:r>
        <w:rPr>
          <w:rFonts w:hint="eastAsia"/>
          <w:lang w:val="es-ES"/>
        </w:rPr>
        <w:t>152</w:t>
      </w:r>
      <w:r>
        <w:rPr>
          <w:rFonts w:hint="eastAsia"/>
          <w:lang w:val="es-ES"/>
        </w:rPr>
        <w:t>条关于制定受害者对家庭暴力施行者的戒备措施以及性犯罪和性伤害案件中男性应该承担的赡养费用等方面规定进行了修改。在最</w:t>
      </w:r>
      <w:r>
        <w:rPr>
          <w:rFonts w:hint="eastAsia"/>
          <w:lang w:val="es-ES"/>
        </w:rPr>
        <w:t>高法院看来，忽略法律法规的实施情况在于忽略了妇女保护组织于</w:t>
      </w:r>
      <w:r>
        <w:rPr>
          <w:rFonts w:hint="eastAsia"/>
          <w:lang w:val="es-ES"/>
        </w:rPr>
        <w:t>1994</w:t>
      </w:r>
      <w:r>
        <w:rPr>
          <w:rFonts w:hint="eastAsia"/>
          <w:lang w:val="es-ES"/>
        </w:rPr>
        <w:t>年</w:t>
      </w:r>
      <w:r>
        <w:rPr>
          <w:rFonts w:hint="eastAsia"/>
          <w:lang w:val="es-ES"/>
        </w:rPr>
        <w:t>1</w:t>
      </w:r>
      <w:r>
        <w:rPr>
          <w:rFonts w:hint="eastAsia"/>
          <w:lang w:val="es-ES"/>
        </w:rPr>
        <w:t>月</w:t>
      </w:r>
      <w:r>
        <w:rPr>
          <w:rFonts w:hint="eastAsia"/>
          <w:lang w:val="es-ES"/>
        </w:rPr>
        <w:t>24</w:t>
      </w:r>
      <w:r>
        <w:rPr>
          <w:rFonts w:hint="eastAsia"/>
          <w:lang w:val="es-ES"/>
        </w:rPr>
        <w:t>日颁布的规定中的第十四条规定，因为上述条例只有在符合妇女保护组织有关规定的情况下才能有效执行。而这些条例是由最高法院和妇女保护组织共同组建的委员会制定的，已经获得通过，并刊登在</w:t>
      </w:r>
      <w:r>
        <w:rPr>
          <w:rFonts w:hint="eastAsia"/>
          <w:lang w:val="es-ES"/>
        </w:rPr>
        <w:t>1994</w:t>
      </w:r>
      <w:r>
        <w:rPr>
          <w:rFonts w:hint="eastAsia"/>
          <w:lang w:val="es-ES"/>
        </w:rPr>
        <w:t>年</w:t>
      </w:r>
      <w:r>
        <w:rPr>
          <w:rFonts w:hint="eastAsia"/>
          <w:lang w:val="es-ES"/>
        </w:rPr>
        <w:t>12</w:t>
      </w:r>
      <w:r>
        <w:rPr>
          <w:rFonts w:hint="eastAsia"/>
          <w:lang w:val="es-ES"/>
        </w:rPr>
        <w:t>月</w:t>
      </w:r>
      <w:r>
        <w:rPr>
          <w:rFonts w:hint="eastAsia"/>
          <w:lang w:val="es-ES"/>
        </w:rPr>
        <w:t>1</w:t>
      </w:r>
      <w:r>
        <w:rPr>
          <w:rFonts w:hint="eastAsia"/>
          <w:lang w:val="es-ES"/>
        </w:rPr>
        <w:t>日的官方司法公告上。虽然做出了如此众多的努力，但是这些措施的实施仍然非常有限，甚至根本无法实施（民族国家计划，</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623</w:t>
      </w:r>
      <w:r>
        <w:rPr>
          <w:rFonts w:hint="eastAsia"/>
          <w:lang w:val="es-ES"/>
        </w:rPr>
        <w:t>．虽然正式称谓方面的成绩斐然，但是仍有不少地方需要改进，其中包括法律草案，如《促进妇女社会平等法》第</w:t>
      </w:r>
      <w:r>
        <w:rPr>
          <w:rFonts w:hint="eastAsia"/>
          <w:lang w:val="es-ES"/>
        </w:rPr>
        <w:t>5</w:t>
      </w:r>
      <w:r>
        <w:rPr>
          <w:rFonts w:hint="eastAsia"/>
          <w:lang w:val="es-ES"/>
        </w:rPr>
        <w:t>条和第</w:t>
      </w:r>
      <w:r>
        <w:rPr>
          <w:rFonts w:hint="eastAsia"/>
          <w:lang w:val="es-ES"/>
        </w:rPr>
        <w:t>6</w:t>
      </w:r>
      <w:r>
        <w:rPr>
          <w:rFonts w:hint="eastAsia"/>
          <w:lang w:val="es-ES"/>
        </w:rPr>
        <w:t>条的修正案，即</w:t>
      </w:r>
      <w:r>
        <w:rPr>
          <w:rFonts w:hint="eastAsia"/>
          <w:lang w:val="es-ES"/>
        </w:rPr>
        <w:t>12741</w:t>
      </w:r>
      <w:r>
        <w:rPr>
          <w:rFonts w:hint="eastAsia"/>
          <w:lang w:val="es-ES"/>
        </w:rPr>
        <w:t>号文件，从</w:t>
      </w:r>
      <w:r>
        <w:rPr>
          <w:rFonts w:hint="eastAsia"/>
          <w:lang w:val="es-ES"/>
        </w:rPr>
        <w:t>1997</w:t>
      </w:r>
      <w:r>
        <w:rPr>
          <w:rFonts w:hint="eastAsia"/>
          <w:lang w:val="es-ES"/>
        </w:rPr>
        <w:t>年</w:t>
      </w:r>
      <w:r>
        <w:rPr>
          <w:rFonts w:hint="eastAsia"/>
          <w:lang w:val="es-ES"/>
        </w:rPr>
        <w:t>4</w:t>
      </w:r>
      <w:r>
        <w:rPr>
          <w:rFonts w:hint="eastAsia"/>
          <w:lang w:val="es-ES"/>
        </w:rPr>
        <w:t>月</w:t>
      </w:r>
      <w:r>
        <w:rPr>
          <w:rFonts w:hint="eastAsia"/>
          <w:lang w:val="es-ES"/>
        </w:rPr>
        <w:t>29</w:t>
      </w:r>
      <w:r>
        <w:rPr>
          <w:rFonts w:hint="eastAsia"/>
          <w:lang w:val="es-ES"/>
        </w:rPr>
        <w:t>日以来，大部分的内容已经获得了肯定的评价，现已归档；政党法草案，即</w:t>
      </w:r>
      <w:r>
        <w:rPr>
          <w:rFonts w:hint="eastAsia"/>
          <w:lang w:val="es-ES"/>
        </w:rPr>
        <w:t>13862</w:t>
      </w:r>
      <w:r>
        <w:rPr>
          <w:rFonts w:hint="eastAsia"/>
          <w:lang w:val="es-ES"/>
        </w:rPr>
        <w:t>号文件，至今仍存放在特别联合小组；反对性骚扰法修正案，</w:t>
      </w:r>
      <w:r>
        <w:rPr>
          <w:rFonts w:hint="eastAsia"/>
          <w:lang w:val="es-ES"/>
        </w:rPr>
        <w:t>13094</w:t>
      </w:r>
      <w:r>
        <w:rPr>
          <w:rFonts w:hint="eastAsia"/>
          <w:lang w:val="es-ES"/>
        </w:rPr>
        <w:t>号文件，目前已提交妇女特别常任委员会，等待第三次全体会议的讨论；反对妇女暴力刑事法，即</w:t>
      </w:r>
      <w:r>
        <w:rPr>
          <w:rFonts w:hint="eastAsia"/>
          <w:lang w:val="es-ES"/>
        </w:rPr>
        <w:t>13874</w:t>
      </w:r>
      <w:r>
        <w:rPr>
          <w:rFonts w:hint="eastAsia"/>
          <w:lang w:val="es-ES"/>
        </w:rPr>
        <w:t>号文件，已经获得妇女委员会的肯定，等待第三次全体会议的讨论（</w:t>
      </w:r>
      <w:r>
        <w:rPr>
          <w:rFonts w:hint="eastAsia"/>
          <w:lang w:val="es-ES"/>
        </w:rPr>
        <w:t>Mora</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p>
    <w:p w:rsidR="00000000" w:rsidRDefault="00CA422F">
      <w:pPr>
        <w:spacing w:after="240" w:line="360" w:lineRule="exact"/>
        <w:jc w:val="center"/>
        <w:rPr>
          <w:rFonts w:eastAsia="SimHei" w:hint="eastAsia"/>
          <w:sz w:val="24"/>
          <w:lang w:val="es-ES"/>
        </w:rPr>
      </w:pPr>
      <w:r>
        <w:rPr>
          <w:rFonts w:eastAsia="SimHei" w:hint="eastAsia"/>
          <w:sz w:val="24"/>
          <w:lang w:val="es-ES"/>
        </w:rPr>
        <w:t>适应女性特殊需要的战略：</w:t>
      </w:r>
      <w:r>
        <w:rPr>
          <w:rFonts w:eastAsia="SimHei"/>
          <w:sz w:val="24"/>
          <w:lang w:val="es-ES"/>
        </w:rPr>
        <w:br/>
      </w:r>
      <w:r>
        <w:rPr>
          <w:rFonts w:eastAsia="SimHei" w:hint="eastAsia"/>
          <w:sz w:val="24"/>
          <w:lang w:val="es-ES"/>
        </w:rPr>
        <w:t>特殊机构</w:t>
      </w:r>
    </w:p>
    <w:p w:rsidR="00000000" w:rsidRDefault="00CA422F">
      <w:pPr>
        <w:spacing w:after="240" w:line="360" w:lineRule="exact"/>
        <w:rPr>
          <w:rFonts w:hint="eastAsia"/>
          <w:lang w:val="es-ES"/>
        </w:rPr>
      </w:pPr>
      <w:r>
        <w:rPr>
          <w:rFonts w:hint="eastAsia"/>
          <w:lang w:val="es-ES"/>
        </w:rPr>
        <w:t>624</w:t>
      </w:r>
      <w:r>
        <w:rPr>
          <w:rFonts w:hint="eastAsia"/>
          <w:lang w:val="es-ES"/>
        </w:rPr>
        <w:t>．</w:t>
      </w:r>
      <w:r>
        <w:rPr>
          <w:rFonts w:hint="eastAsia"/>
          <w:lang w:val="es-ES"/>
        </w:rPr>
        <w:t>1990</w:t>
      </w:r>
      <w:r>
        <w:rPr>
          <w:rFonts w:hint="eastAsia"/>
          <w:lang w:val="es-ES"/>
        </w:rPr>
        <w:t>年</w:t>
      </w:r>
      <w:r>
        <w:rPr>
          <w:rFonts w:hint="eastAsia"/>
          <w:lang w:val="es-ES"/>
        </w:rPr>
        <w:t>3</w:t>
      </w:r>
      <w:r>
        <w:rPr>
          <w:rFonts w:hint="eastAsia"/>
          <w:lang w:val="es-ES"/>
        </w:rPr>
        <w:t>月</w:t>
      </w:r>
      <w:r>
        <w:rPr>
          <w:rFonts w:hint="eastAsia"/>
          <w:lang w:val="es-ES"/>
        </w:rPr>
        <w:t>8</w:t>
      </w:r>
      <w:r>
        <w:rPr>
          <w:rFonts w:hint="eastAsia"/>
          <w:lang w:val="es-ES"/>
        </w:rPr>
        <w:t>日，根据</w:t>
      </w:r>
      <w:r>
        <w:rPr>
          <w:rFonts w:hint="eastAsia"/>
          <w:lang w:val="es-ES"/>
        </w:rPr>
        <w:t>7140</w:t>
      </w:r>
      <w:r>
        <w:rPr>
          <w:rFonts w:hint="eastAsia"/>
          <w:lang w:val="es-ES"/>
        </w:rPr>
        <w:t>号法律，即《促进妇女社会平等法》的有关规定，成立了一个从事女</w:t>
      </w:r>
      <w:r>
        <w:rPr>
          <w:rFonts w:hint="eastAsia"/>
          <w:lang w:val="es-ES"/>
        </w:rPr>
        <w:t>性保护、调查女性遭受的不公正待遇、推动和宣传女性权益的机构，并将其命名为妇女保护组织，该机构是“……第一个将女性问题看作她们本身问题，而没有同其它群体的问题混淆或等同起来的机构”（居民保护组织</w:t>
      </w:r>
      <w:r>
        <w:rPr>
          <w:rFonts w:hint="eastAsia"/>
          <w:lang w:val="es-ES"/>
        </w:rPr>
        <w:t>93</w:t>
      </w:r>
      <w:r>
        <w:rPr>
          <w:rFonts w:hint="eastAsia"/>
          <w:lang w:val="es-ES"/>
        </w:rPr>
        <w:t>－</w:t>
      </w:r>
      <w:r>
        <w:rPr>
          <w:rFonts w:hint="eastAsia"/>
          <w:lang w:val="es-ES"/>
        </w:rPr>
        <w:t>94</w:t>
      </w:r>
      <w:r>
        <w:rPr>
          <w:rFonts w:hint="eastAsia"/>
          <w:lang w:val="es-ES"/>
        </w:rPr>
        <w:t>：</w:t>
      </w:r>
      <w:r>
        <w:rPr>
          <w:rFonts w:hint="eastAsia"/>
          <w:lang w:val="es-ES"/>
        </w:rPr>
        <w:t>24</w:t>
      </w:r>
      <w:r>
        <w:rPr>
          <w:rFonts w:hint="eastAsia"/>
          <w:lang w:val="es-ES"/>
        </w:rPr>
        <w:t>）。在共和国居民保护所，后改名为居民保护组织（</w:t>
      </w:r>
      <w:r>
        <w:rPr>
          <w:rFonts w:hint="eastAsia"/>
          <w:lang w:val="es-ES"/>
        </w:rPr>
        <w:t>7319</w:t>
      </w:r>
      <w:r>
        <w:rPr>
          <w:rFonts w:hint="eastAsia"/>
          <w:lang w:val="es-ES"/>
        </w:rPr>
        <w:t>号法律，</w:t>
      </w:r>
      <w:r>
        <w:rPr>
          <w:rFonts w:hint="eastAsia"/>
          <w:lang w:val="es-ES"/>
        </w:rPr>
        <w:t>1992</w:t>
      </w:r>
      <w:r>
        <w:rPr>
          <w:rFonts w:hint="eastAsia"/>
          <w:lang w:val="es-ES"/>
        </w:rPr>
        <w:t>年</w:t>
      </w:r>
      <w:r>
        <w:rPr>
          <w:rFonts w:hint="eastAsia"/>
          <w:lang w:val="es-ES"/>
        </w:rPr>
        <w:t>11</w:t>
      </w:r>
      <w:r>
        <w:rPr>
          <w:rFonts w:hint="eastAsia"/>
          <w:lang w:val="es-ES"/>
        </w:rPr>
        <w:t>月</w:t>
      </w:r>
      <w:r>
        <w:rPr>
          <w:rFonts w:hint="eastAsia"/>
          <w:lang w:val="es-ES"/>
        </w:rPr>
        <w:t>5</w:t>
      </w:r>
      <w:r>
        <w:rPr>
          <w:rFonts w:hint="eastAsia"/>
          <w:lang w:val="es-ES"/>
        </w:rPr>
        <w:t>日）创建之初，来自妇女保护组织、司法部、居民保护组织和妇女运动的代表，于</w:t>
      </w:r>
      <w:r>
        <w:rPr>
          <w:rFonts w:hint="eastAsia"/>
          <w:lang w:val="es-ES"/>
        </w:rPr>
        <w:t>1993</w:t>
      </w:r>
      <w:r>
        <w:rPr>
          <w:rFonts w:hint="eastAsia"/>
          <w:lang w:val="es-ES"/>
        </w:rPr>
        <w:t>年</w:t>
      </w:r>
      <w:r>
        <w:rPr>
          <w:rFonts w:hint="eastAsia"/>
          <w:lang w:val="es-ES"/>
        </w:rPr>
        <w:t>8</w:t>
      </w:r>
      <w:r>
        <w:rPr>
          <w:rFonts w:hint="eastAsia"/>
          <w:lang w:val="es-ES"/>
        </w:rPr>
        <w:t>月</w:t>
      </w:r>
      <w:r>
        <w:rPr>
          <w:rFonts w:hint="eastAsia"/>
          <w:lang w:val="es-ES"/>
        </w:rPr>
        <w:t>11</w:t>
      </w:r>
      <w:r>
        <w:rPr>
          <w:rFonts w:hint="eastAsia"/>
          <w:lang w:val="es-ES"/>
        </w:rPr>
        <w:t>日进行会谈，并一致同意将妇女保护组织划归居民保护组织管辖，这个意见得到了从前居民保护所这一机构的赞同。该机构曾为妇女保护组织维护和加强</w:t>
      </w:r>
      <w:r>
        <w:rPr>
          <w:rFonts w:hint="eastAsia"/>
          <w:lang w:val="es-ES"/>
        </w:rPr>
        <w:t>其特殊性提供了一定程度的保障（居民保护组织</w:t>
      </w:r>
      <w:r>
        <w:rPr>
          <w:rFonts w:hint="eastAsia"/>
          <w:lang w:val="es-ES"/>
        </w:rPr>
        <w:t>93</w:t>
      </w:r>
      <w:r>
        <w:rPr>
          <w:rFonts w:hint="eastAsia"/>
          <w:lang w:val="es-ES"/>
        </w:rPr>
        <w:t>－</w:t>
      </w:r>
      <w:r>
        <w:rPr>
          <w:rFonts w:hint="eastAsia"/>
          <w:lang w:val="es-ES"/>
        </w:rPr>
        <w:t>94</w:t>
      </w:r>
      <w:r>
        <w:rPr>
          <w:rFonts w:hint="eastAsia"/>
          <w:lang w:val="es-ES"/>
        </w:rPr>
        <w:t>：</w:t>
      </w:r>
      <w:r>
        <w:rPr>
          <w:rFonts w:hint="eastAsia"/>
          <w:lang w:val="es-ES"/>
        </w:rPr>
        <w:t>24</w:t>
      </w:r>
      <w:r>
        <w:rPr>
          <w:rFonts w:hint="eastAsia"/>
          <w:lang w:val="es-ES"/>
        </w:rPr>
        <w:t>）。</w:t>
      </w:r>
    </w:p>
    <w:p w:rsidR="00000000" w:rsidRDefault="00CA422F">
      <w:pPr>
        <w:spacing w:after="240" w:line="360" w:lineRule="exact"/>
        <w:rPr>
          <w:rFonts w:hint="eastAsia"/>
          <w:lang w:val="es-ES"/>
        </w:rPr>
      </w:pPr>
      <w:r>
        <w:rPr>
          <w:rFonts w:hint="eastAsia"/>
          <w:lang w:val="es-ES"/>
        </w:rPr>
        <w:t>625</w:t>
      </w:r>
      <w:r>
        <w:rPr>
          <w:rFonts w:hint="eastAsia"/>
          <w:lang w:val="es-ES"/>
        </w:rPr>
        <w:t>．立法权力机关，对《立法议会条例》第</w:t>
      </w:r>
      <w:r>
        <w:rPr>
          <w:rFonts w:hint="eastAsia"/>
          <w:lang w:val="es-ES"/>
        </w:rPr>
        <w:t>84</w:t>
      </w:r>
      <w:r>
        <w:rPr>
          <w:rFonts w:hint="eastAsia"/>
          <w:lang w:val="es-ES"/>
        </w:rPr>
        <w:t>条有关特别常任委员会的规定进行了修改，并将其修改结果刊登在</w:t>
      </w:r>
      <w:r>
        <w:rPr>
          <w:rFonts w:hint="eastAsia"/>
          <w:lang w:val="es-ES"/>
        </w:rPr>
        <w:t>1999</w:t>
      </w:r>
      <w:r>
        <w:rPr>
          <w:rFonts w:hint="eastAsia"/>
          <w:lang w:val="es-ES"/>
        </w:rPr>
        <w:t>年</w:t>
      </w:r>
      <w:r>
        <w:rPr>
          <w:rFonts w:hint="eastAsia"/>
          <w:lang w:val="es-ES"/>
        </w:rPr>
        <w:t>11</w:t>
      </w:r>
      <w:r>
        <w:rPr>
          <w:rFonts w:hint="eastAsia"/>
          <w:lang w:val="es-ES"/>
        </w:rPr>
        <w:t>月</w:t>
      </w:r>
      <w:r>
        <w:rPr>
          <w:rFonts w:hint="eastAsia"/>
          <w:lang w:val="es-ES"/>
        </w:rPr>
        <w:t>11</w:t>
      </w:r>
      <w:r>
        <w:rPr>
          <w:rFonts w:hint="eastAsia"/>
          <w:lang w:val="es-ES"/>
        </w:rPr>
        <w:t>日第</w:t>
      </w:r>
      <w:r>
        <w:rPr>
          <w:rFonts w:hint="eastAsia"/>
          <w:lang w:val="es-ES"/>
        </w:rPr>
        <w:t>86</w:t>
      </w:r>
      <w:r>
        <w:rPr>
          <w:rFonts w:hint="eastAsia"/>
          <w:lang w:val="es-ES"/>
        </w:rPr>
        <w:t>期号外《公报》上。根据上述修改意见，成立了妇女特别常任委员会，主要负责制订和审核涉及妇女状况的各项法律条款，并享有推动条款的修改和对公共歧视现象进行政治控制等权利（</w:t>
      </w:r>
      <w:r>
        <w:rPr>
          <w:rFonts w:hint="eastAsia"/>
          <w:lang w:val="es-ES"/>
        </w:rPr>
        <w:t>Mora</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626</w:t>
      </w:r>
      <w:r>
        <w:rPr>
          <w:rFonts w:hint="eastAsia"/>
          <w:lang w:val="es-ES"/>
        </w:rPr>
        <w:t>．在司法权力机关，根据事实夫妻、赡养费和家庭暴力的分类，成立了不少这方面的特殊机构。最高检察院开辟了处理家庭暴力和破坏性</w:t>
      </w:r>
      <w:r>
        <w:rPr>
          <w:rFonts w:hint="eastAsia"/>
          <w:lang w:val="es-ES"/>
        </w:rPr>
        <w:t>自由罪行的专门机构。这些机构的制度化希望能够上升到法律的层次，反映在递交立法议会的各类法律草案上：创建反对家庭暴力以及破坏性自由罪行的特别检察机构法案，即</w:t>
      </w:r>
      <w:r>
        <w:rPr>
          <w:rFonts w:hint="eastAsia"/>
          <w:lang w:val="es-ES"/>
        </w:rPr>
        <w:t>13050</w:t>
      </w:r>
      <w:r>
        <w:rPr>
          <w:rFonts w:hint="eastAsia"/>
          <w:lang w:val="es-ES"/>
        </w:rPr>
        <w:t>号文件，目前已经存档；根据编号为</w:t>
      </w:r>
      <w:r>
        <w:rPr>
          <w:rFonts w:hint="eastAsia"/>
          <w:lang w:val="es-ES"/>
        </w:rPr>
        <w:t>14146</w:t>
      </w:r>
      <w:r>
        <w:rPr>
          <w:rFonts w:hint="eastAsia"/>
          <w:lang w:val="es-ES"/>
        </w:rPr>
        <w:t>的圣何塞中级法院家庭暴力裁判所成立法和编号为</w:t>
      </w:r>
      <w:r>
        <w:rPr>
          <w:rFonts w:hint="eastAsia"/>
          <w:lang w:val="es-ES"/>
        </w:rPr>
        <w:t>14147</w:t>
      </w:r>
      <w:r>
        <w:rPr>
          <w:rFonts w:hint="eastAsia"/>
          <w:lang w:val="es-ES"/>
        </w:rPr>
        <w:t>的埃雷迪亚司法机构、阿拉胡埃拉初级法院以及卡塔戈省司法机构家庭暴力裁判所成立法，成立了特别裁判所。上述两项法律由妇女立法委员会制订，已经写入立法全体大会议程之中（</w:t>
      </w:r>
      <w:r>
        <w:rPr>
          <w:rFonts w:hint="eastAsia"/>
          <w:lang w:val="es-ES"/>
        </w:rPr>
        <w:t>Mora</w:t>
      </w:r>
      <w:r>
        <w:rPr>
          <w:rFonts w:hint="eastAsia"/>
          <w:lang w:val="es-ES"/>
        </w:rPr>
        <w:t>，</w:t>
      </w:r>
      <w:r>
        <w:rPr>
          <w:rFonts w:hint="eastAsia"/>
          <w:lang w:val="es-ES"/>
        </w:rPr>
        <w:t>2001</w:t>
      </w:r>
      <w:r>
        <w:rPr>
          <w:rFonts w:hint="eastAsia"/>
          <w:lang w:val="es-ES"/>
        </w:rPr>
        <w:t>年）。</w:t>
      </w:r>
    </w:p>
    <w:p w:rsidR="00000000" w:rsidRDefault="00CA422F">
      <w:pPr>
        <w:spacing w:after="240" w:line="360" w:lineRule="exact"/>
        <w:rPr>
          <w:rFonts w:hint="eastAsia"/>
          <w:lang w:val="es-ES"/>
        </w:rPr>
      </w:pPr>
      <w:r>
        <w:rPr>
          <w:rFonts w:hint="eastAsia"/>
          <w:lang w:val="es-ES"/>
        </w:rPr>
        <w:t>627</w:t>
      </w:r>
      <w:r>
        <w:rPr>
          <w:rFonts w:hint="eastAsia"/>
          <w:lang w:val="es-ES"/>
        </w:rPr>
        <w:t>．九十年代的主要职责便是在加强现有机构的同时建立特别机构，</w:t>
      </w:r>
      <w:r>
        <w:rPr>
          <w:rFonts w:hint="eastAsia"/>
          <w:lang w:val="es-ES"/>
        </w:rPr>
        <w:t>以便作为特殊群体的某些机构，无需参照为全体民众提供关注、咨询、决策等服务并开展计划的其它机构的评价标准；以免使人力资源和预算分配受到限制（</w:t>
      </w:r>
      <w:r>
        <w:rPr>
          <w:rFonts w:hint="eastAsia"/>
          <w:lang w:val="es-ES"/>
        </w:rPr>
        <w:t>Mora</w:t>
      </w:r>
      <w:r>
        <w:rPr>
          <w:rFonts w:hint="eastAsia"/>
          <w:lang w:val="es-ES"/>
        </w:rPr>
        <w:t>，</w:t>
      </w:r>
      <w:r>
        <w:rPr>
          <w:rFonts w:hint="eastAsia"/>
          <w:lang w:val="es-ES"/>
        </w:rPr>
        <w:t>2001</w:t>
      </w:r>
      <w:r>
        <w:rPr>
          <w:rFonts w:hint="eastAsia"/>
          <w:lang w:val="es-ES"/>
        </w:rPr>
        <w:t>年）。</w:t>
      </w:r>
    </w:p>
    <w:p w:rsidR="00000000" w:rsidRDefault="00CA422F">
      <w:pPr>
        <w:spacing w:after="240" w:line="360" w:lineRule="exact"/>
        <w:jc w:val="center"/>
        <w:rPr>
          <w:rFonts w:eastAsia="SimHei" w:hint="eastAsia"/>
          <w:sz w:val="24"/>
          <w:lang w:val="es-ES"/>
        </w:rPr>
      </w:pPr>
      <w:r>
        <w:rPr>
          <w:rFonts w:eastAsia="SimHei" w:hint="eastAsia"/>
          <w:sz w:val="24"/>
          <w:lang w:val="es-ES"/>
        </w:rPr>
        <w:t>联合国拉丁美洲预防犯罪和罪犯待遇研究所（拉美防犯所）的</w:t>
      </w:r>
      <w:r>
        <w:rPr>
          <w:rFonts w:eastAsia="SimHei"/>
          <w:sz w:val="24"/>
          <w:lang w:val="es-ES"/>
        </w:rPr>
        <w:br/>
      </w:r>
      <w:r>
        <w:rPr>
          <w:rFonts w:eastAsia="SimHei" w:hint="eastAsia"/>
          <w:sz w:val="24"/>
          <w:lang w:val="es-ES"/>
        </w:rPr>
        <w:t>妇女、司法和性别计划</w:t>
      </w:r>
    </w:p>
    <w:p w:rsidR="00000000" w:rsidRDefault="00CA422F">
      <w:pPr>
        <w:spacing w:after="240" w:line="360" w:lineRule="exact"/>
        <w:rPr>
          <w:rFonts w:hint="eastAsia"/>
          <w:lang w:val="es-ES"/>
        </w:rPr>
      </w:pPr>
      <w:r>
        <w:rPr>
          <w:rFonts w:hint="eastAsia"/>
          <w:lang w:val="es-ES"/>
        </w:rPr>
        <w:t>628</w:t>
      </w:r>
      <w:r>
        <w:rPr>
          <w:rFonts w:hint="eastAsia"/>
          <w:lang w:val="es-ES"/>
        </w:rPr>
        <w:t>．在国际组织制订的政策和联合国妇女问题世界会议上制订的行动纲要范围内，拉美防犯所从性别视角出发，聚焦司法－立法，通过妇女、司法和性别计划，从</w:t>
      </w:r>
      <w:r>
        <w:rPr>
          <w:rFonts w:hint="eastAsia"/>
          <w:lang w:val="es-ES"/>
        </w:rPr>
        <w:t>1992</w:t>
      </w:r>
      <w:r>
        <w:rPr>
          <w:rFonts w:hint="eastAsia"/>
          <w:lang w:val="es-ES"/>
        </w:rPr>
        <w:t>年起，关注拉丁美洲社会组织和各个国家的措施和公共政策的制订、采用和贯彻，重点关注中美洲地区的国家，以促进两性平等，消</w:t>
      </w:r>
      <w:r>
        <w:rPr>
          <w:rFonts w:hint="eastAsia"/>
          <w:lang w:val="es-ES"/>
        </w:rPr>
        <w:t>除司法管理制度中对女性歧视的内容。</w:t>
      </w:r>
    </w:p>
    <w:p w:rsidR="00000000" w:rsidRDefault="00CA422F">
      <w:pPr>
        <w:spacing w:after="240" w:line="360" w:lineRule="exact"/>
        <w:rPr>
          <w:rFonts w:hint="eastAsia"/>
          <w:lang w:val="es-ES"/>
        </w:rPr>
      </w:pPr>
      <w:r>
        <w:rPr>
          <w:rFonts w:hint="eastAsia"/>
          <w:lang w:val="es-ES"/>
        </w:rPr>
        <w:t>629</w:t>
      </w:r>
      <w:r>
        <w:rPr>
          <w:rFonts w:hint="eastAsia"/>
          <w:lang w:val="es-ES"/>
        </w:rPr>
        <w:t>．该计划作为拉美防犯所的组成部分，将两性平等视角引入司法管理范围，促进和支持拉丁美洲和加勒比地区国家的在这方面做出的努力，加强并发展各自的司法管理制度，尤其在刑法方面预防犯罪和加强社会控制机制，旨在为保障国家权利的有效性、尊重人权、维护社会稳定以及促进民族发展等方面做出一定贡献。</w:t>
      </w:r>
    </w:p>
    <w:p w:rsidR="00000000" w:rsidRDefault="00CA422F">
      <w:pPr>
        <w:spacing w:after="240" w:line="360" w:lineRule="exact"/>
        <w:rPr>
          <w:rFonts w:hint="eastAsia"/>
          <w:lang w:val="es-ES"/>
        </w:rPr>
      </w:pPr>
      <w:r>
        <w:rPr>
          <w:rFonts w:hint="eastAsia"/>
          <w:lang w:val="es-ES"/>
        </w:rPr>
        <w:t>630</w:t>
      </w:r>
      <w:r>
        <w:rPr>
          <w:rFonts w:hint="eastAsia"/>
          <w:lang w:val="es-ES"/>
        </w:rPr>
        <w:t>．十几年间，拉美防犯所通过该计划，为将性别观点引入拉丁美洲各个国家的司法机构，开展了调查、培训、技术服务和信息推广等计划。为立法机构提供的技术服务包括将性别观点引入刑法、刑事诉讼法、</w:t>
      </w:r>
      <w:r>
        <w:rPr>
          <w:rFonts w:hint="eastAsia"/>
          <w:lang w:val="es-ES"/>
        </w:rPr>
        <w:t>家庭法和劳动法等立法修正案的制订和推广过程中；并通过同样的方式，为法学院提供技术服务，将性别观点引入课程设置，并采取适当的方法对法律现象和对性别问题有敏感认识的理论等分析。</w:t>
      </w:r>
    </w:p>
    <w:p w:rsidR="00000000" w:rsidRDefault="00CA422F">
      <w:pPr>
        <w:spacing w:after="240" w:line="360" w:lineRule="exact"/>
        <w:rPr>
          <w:rFonts w:hint="eastAsia"/>
          <w:lang w:val="es-ES"/>
        </w:rPr>
      </w:pPr>
      <w:r>
        <w:rPr>
          <w:rFonts w:hint="eastAsia"/>
          <w:lang w:val="es-ES"/>
        </w:rPr>
        <w:t>631</w:t>
      </w:r>
      <w:r>
        <w:rPr>
          <w:rFonts w:hint="eastAsia"/>
          <w:lang w:val="es-ES"/>
        </w:rPr>
        <w:t>．拉美防犯所通过妇女、司法和性别计划开展的活动中，比较突出的有：</w:t>
      </w:r>
    </w:p>
    <w:p w:rsidR="00000000" w:rsidRDefault="00CA422F">
      <w:pPr>
        <w:pStyle w:val="Date"/>
        <w:spacing w:after="240" w:line="360" w:lineRule="exact"/>
        <w:rPr>
          <w:rFonts w:eastAsia="SimHei" w:hint="eastAsia"/>
          <w:lang w:val="es-ES"/>
        </w:rPr>
      </w:pPr>
      <w:r>
        <w:rPr>
          <w:rFonts w:eastAsia="SimHei" w:hint="eastAsia"/>
          <w:lang w:val="es-ES"/>
        </w:rPr>
        <w:t>司法权力机关内的司法培训学校和机构：</w:t>
      </w:r>
    </w:p>
    <w:p w:rsidR="00000000" w:rsidRDefault="00CA422F">
      <w:pPr>
        <w:spacing w:after="240" w:line="360" w:lineRule="exact"/>
        <w:rPr>
          <w:rFonts w:hint="eastAsia"/>
          <w:lang w:val="es-ES"/>
        </w:rPr>
      </w:pPr>
      <w:r>
        <w:rPr>
          <w:rFonts w:hint="eastAsia"/>
          <w:lang w:val="es-ES"/>
        </w:rPr>
        <w:t>632</w:t>
      </w:r>
      <w:r>
        <w:rPr>
          <w:rFonts w:hint="eastAsia"/>
          <w:lang w:val="es-ES"/>
        </w:rPr>
        <w:t>．这些机构开展的活动包括：一）提出建立在司法现象分析基础之上，并加入对性别问题有敏感认识的课程模式的建议，司法权力机关内的司法培训学校和机构已经对该建议开展了广泛的讨论，并对其表示赞同；二）针对培训人员进行的培训，以便在司</w:t>
      </w:r>
      <w:r>
        <w:rPr>
          <w:rFonts w:hint="eastAsia"/>
          <w:lang w:val="es-ES"/>
        </w:rPr>
        <w:t>法人员受训过程中正确使用《走向真正的平等》第一册中的培训模式。该计划目前已经获得拉美防犯所妇女、司法和性别计划的赞同和通过，并将在司法培训学校和机构开设的常规课程的司法现象分析中引入性别观点；三）为接受培训的司法人员编写教材《走向真正的平等》，考虑到文化和受教育程度等因素，将其翻译成卡奇克尔语和玛雅－基切语，以方便危地马拉土著调解员的使用；四）从每个国家司法培训学校和机构的培训人员中抽调若干人员，组成十二人的国家小组；五）根据《走向真正的平等》第一册的培训模式，对七百五十名司法权力机关的工作人员进行了培训；</w:t>
      </w:r>
      <w:r>
        <w:rPr>
          <w:rFonts w:hint="eastAsia"/>
          <w:lang w:val="es-ES"/>
        </w:rPr>
        <w:t>六）在每个国家的司法培训学校和机构组建性别委员会，该机构主要负责判断司法培训的需求和空白，以便制订行动计划，为建立在司法现象分析之上并包含性别观点的司法培训的制度化做出一定的贡献。</w:t>
      </w:r>
    </w:p>
    <w:p w:rsidR="00000000" w:rsidRDefault="00CA422F">
      <w:pPr>
        <w:spacing w:after="240" w:line="360" w:lineRule="exact"/>
        <w:rPr>
          <w:rFonts w:hint="eastAsia"/>
          <w:lang w:val="es-ES"/>
        </w:rPr>
      </w:pPr>
      <w:r>
        <w:rPr>
          <w:rFonts w:hint="eastAsia"/>
          <w:lang w:val="es-ES"/>
        </w:rPr>
        <w:t>633</w:t>
      </w:r>
      <w:r>
        <w:rPr>
          <w:rFonts w:hint="eastAsia"/>
          <w:lang w:val="es-ES"/>
        </w:rPr>
        <w:t>．在每个国家的性别委员会制订和实施的行动计划中，最重要的行动包括：</w:t>
      </w:r>
    </w:p>
    <w:p w:rsidR="00000000" w:rsidRDefault="00CA422F">
      <w:pPr>
        <w:pStyle w:val="Date"/>
        <w:spacing w:after="240" w:line="360" w:lineRule="exact"/>
        <w:rPr>
          <w:rFonts w:eastAsia="SimHei" w:hint="eastAsia"/>
          <w:lang w:val="es-ES"/>
        </w:rPr>
      </w:pPr>
      <w:r>
        <w:rPr>
          <w:rFonts w:eastAsia="SimHei" w:hint="eastAsia"/>
          <w:lang w:val="es-ES"/>
        </w:rPr>
        <w:t>对司法权力机关的性别歧视进行诊断分析</w:t>
      </w:r>
    </w:p>
    <w:p w:rsidR="00000000" w:rsidRDefault="00CA422F">
      <w:pPr>
        <w:spacing w:after="240" w:line="360" w:lineRule="exact"/>
        <w:rPr>
          <w:rFonts w:hint="eastAsia"/>
          <w:lang w:val="es-ES"/>
        </w:rPr>
      </w:pPr>
      <w:r>
        <w:rPr>
          <w:rFonts w:hint="eastAsia"/>
          <w:lang w:val="es-ES"/>
        </w:rPr>
        <w:t>634</w:t>
      </w:r>
      <w:r>
        <w:rPr>
          <w:rFonts w:hint="eastAsia"/>
          <w:lang w:val="es-ES"/>
        </w:rPr>
        <w:t>．这些诊断分析主要是为了：一）确定司法权力机关的性别歧视如何表现以及存在何处，并将其作为基本信息来制订工作计划和计算推动这些计划所必须的参数；二）获取基本信息，为设立对性别问题有敏感认识的司法培训学校和机构设置的</w:t>
      </w:r>
      <w:r>
        <w:rPr>
          <w:rFonts w:hint="eastAsia"/>
          <w:lang w:val="es-ES"/>
        </w:rPr>
        <w:t>课程设计和编写教材；三）使司法当局和所有的工作人员认识到在司法管理中引入性别观点的重要性。</w:t>
      </w:r>
    </w:p>
    <w:p w:rsidR="00000000" w:rsidRDefault="00CA422F">
      <w:pPr>
        <w:pStyle w:val="Date"/>
        <w:spacing w:after="240" w:line="360" w:lineRule="exact"/>
        <w:rPr>
          <w:rFonts w:eastAsia="SimHei" w:hint="eastAsia"/>
          <w:lang w:val="es-ES"/>
        </w:rPr>
      </w:pPr>
      <w:r>
        <w:rPr>
          <w:rFonts w:eastAsia="SimHei" w:hint="eastAsia"/>
          <w:lang w:val="es-ES"/>
        </w:rPr>
        <w:t>推动实现将性别观点引入司法培训课程计划的政治意图</w:t>
      </w:r>
    </w:p>
    <w:p w:rsidR="00000000" w:rsidRDefault="00CA422F">
      <w:pPr>
        <w:spacing w:after="240" w:line="360" w:lineRule="exact"/>
        <w:rPr>
          <w:rFonts w:hint="eastAsia"/>
          <w:lang w:val="es-ES"/>
        </w:rPr>
      </w:pPr>
      <w:r>
        <w:rPr>
          <w:rFonts w:hint="eastAsia"/>
          <w:lang w:val="es-ES"/>
        </w:rPr>
        <w:t>635</w:t>
      </w:r>
      <w:r>
        <w:rPr>
          <w:rFonts w:hint="eastAsia"/>
          <w:lang w:val="es-ES"/>
        </w:rPr>
        <w:t>．通过该项推动工作，使司法权力机关的决策人员能够对司法培训课程计划中引入性别观点的必要性和重要性有一定的认识，达成一定的共识，并通过妇女、法律和性别计划提供的技术支持，加强已经建立的性别委员会。</w:t>
      </w:r>
    </w:p>
    <w:p w:rsidR="00000000" w:rsidRDefault="00CA422F">
      <w:pPr>
        <w:pStyle w:val="Date"/>
        <w:spacing w:after="240" w:line="360" w:lineRule="exact"/>
        <w:rPr>
          <w:rFonts w:eastAsia="SimHei" w:hint="eastAsia"/>
          <w:lang w:val="es-ES"/>
        </w:rPr>
      </w:pPr>
      <w:r>
        <w:rPr>
          <w:rFonts w:eastAsia="SimHei" w:hint="eastAsia"/>
          <w:lang w:val="es-ES"/>
        </w:rPr>
        <w:t>在司法现象中引入性别观点，强化司法培训计划</w:t>
      </w:r>
    </w:p>
    <w:p w:rsidR="00000000" w:rsidRDefault="00CA422F">
      <w:pPr>
        <w:spacing w:after="240" w:line="360" w:lineRule="exact"/>
        <w:rPr>
          <w:rFonts w:hint="eastAsia"/>
          <w:lang w:val="es-ES"/>
        </w:rPr>
      </w:pPr>
      <w:r>
        <w:rPr>
          <w:rFonts w:hint="eastAsia"/>
          <w:lang w:val="es-ES"/>
        </w:rPr>
        <w:t>636</w:t>
      </w:r>
      <w:r>
        <w:rPr>
          <w:rFonts w:hint="eastAsia"/>
          <w:lang w:val="es-ES"/>
        </w:rPr>
        <w:t>．这种强化能够确定司法现象最需引入性别观点的首要领域，并同保护女性人权（刑事、劳动、家庭等方面的权利）的国际组织保持一</w:t>
      </w:r>
      <w:r>
        <w:rPr>
          <w:rFonts w:hint="eastAsia"/>
          <w:lang w:val="es-ES"/>
        </w:rPr>
        <w:t>致，加强对培训人员开展的培训，继续支持教材的设计和编写推动拉美地区各个国家的司法培训学校和机构之间的经验交流。</w:t>
      </w:r>
    </w:p>
    <w:p w:rsidR="00000000" w:rsidRDefault="00CA422F">
      <w:pPr>
        <w:spacing w:after="240" w:line="360" w:lineRule="exact"/>
        <w:rPr>
          <w:rFonts w:eastAsia="SimHei" w:hint="eastAsia"/>
          <w:lang w:val="es-ES"/>
        </w:rPr>
      </w:pPr>
      <w:r>
        <w:rPr>
          <w:rFonts w:eastAsia="SimHei" w:hint="eastAsia"/>
          <w:lang w:val="es-ES"/>
        </w:rPr>
        <w:t>改善引入性别观点的教育和法学基础上的司法根基，以便在宣判时提供充分的论据</w:t>
      </w:r>
    </w:p>
    <w:p w:rsidR="00000000" w:rsidRDefault="00CA422F">
      <w:pPr>
        <w:spacing w:after="240" w:line="360" w:lineRule="exact"/>
        <w:rPr>
          <w:rFonts w:hint="eastAsia"/>
          <w:lang w:val="es-ES"/>
        </w:rPr>
      </w:pPr>
      <w:r>
        <w:rPr>
          <w:rFonts w:hint="eastAsia"/>
          <w:lang w:val="es-ES"/>
        </w:rPr>
        <w:t>637</w:t>
      </w:r>
      <w:r>
        <w:rPr>
          <w:rFonts w:hint="eastAsia"/>
          <w:lang w:val="es-ES"/>
        </w:rPr>
        <w:t>．这项工作方针能够实现：一）专家评注的性别观点或性别歧视的法学和教育资料汇编，司法权力机关内从事司法管理工作的人员可以通过网络快捷查询；二）创办包含性别观点的司法教育，在不同的司法工作人员之间进行宣传和推广。</w:t>
      </w:r>
    </w:p>
    <w:p w:rsidR="00000000" w:rsidRDefault="00CA422F">
      <w:pPr>
        <w:pStyle w:val="BodyText"/>
        <w:spacing w:after="240" w:line="360" w:lineRule="exact"/>
        <w:rPr>
          <w:rFonts w:ascii="Times New Roman" w:eastAsia="SimHei" w:hint="eastAsia"/>
          <w:sz w:val="21"/>
        </w:rPr>
      </w:pPr>
      <w:r>
        <w:rPr>
          <w:rFonts w:ascii="Times New Roman" w:eastAsia="SimHei" w:hint="eastAsia"/>
          <w:sz w:val="21"/>
        </w:rPr>
        <w:t>制订、修改和废除引入性别观点的立法规定，简化司法诉讼过程，根据司法权力机关的实践经验，保障妇女人权国际组织有关</w:t>
      </w:r>
      <w:r>
        <w:rPr>
          <w:rFonts w:ascii="Times New Roman" w:eastAsia="SimHei" w:hint="eastAsia"/>
          <w:sz w:val="21"/>
        </w:rPr>
        <w:t>规定的正确实施</w:t>
      </w:r>
    </w:p>
    <w:p w:rsidR="00000000" w:rsidRDefault="00CA422F">
      <w:pPr>
        <w:spacing w:after="240" w:line="360" w:lineRule="exact"/>
        <w:rPr>
          <w:rFonts w:hint="eastAsia"/>
          <w:lang w:val="es-ES"/>
        </w:rPr>
      </w:pPr>
      <w:r>
        <w:rPr>
          <w:rFonts w:hint="eastAsia"/>
          <w:lang w:val="es-ES"/>
        </w:rPr>
        <w:t>638</w:t>
      </w:r>
      <w:r>
        <w:rPr>
          <w:rFonts w:hint="eastAsia"/>
          <w:lang w:val="es-ES"/>
        </w:rPr>
        <w:t>．此项工作方针包括：一）对女性为主的服务流程进行分析研究；二）实现参与司法过程的不同部门之间的对话，以便在实践经验的基础上，改善原有的制度；三）组建司法权力机关和立法权力机关的共同委员会，以推动立法规定的颁布、修改和废除。</w:t>
      </w:r>
    </w:p>
    <w:p w:rsidR="00000000" w:rsidRDefault="00CA422F">
      <w:pPr>
        <w:pStyle w:val="Date"/>
        <w:spacing w:after="240" w:line="360" w:lineRule="exact"/>
        <w:rPr>
          <w:rFonts w:eastAsia="SimHei" w:hint="eastAsia"/>
          <w:lang w:val="es-ES"/>
        </w:rPr>
      </w:pPr>
      <w:r>
        <w:rPr>
          <w:rFonts w:eastAsia="SimHei" w:hint="eastAsia"/>
          <w:lang w:val="es-ES"/>
        </w:rPr>
        <w:t>加强司法诉讼中受害者的权利</w:t>
      </w:r>
    </w:p>
    <w:p w:rsidR="00000000" w:rsidRDefault="00CA422F">
      <w:pPr>
        <w:spacing w:after="240" w:line="360" w:lineRule="exact"/>
        <w:rPr>
          <w:rFonts w:hint="eastAsia"/>
          <w:lang w:val="es-ES"/>
        </w:rPr>
      </w:pPr>
      <w:r>
        <w:rPr>
          <w:rFonts w:hint="eastAsia"/>
          <w:lang w:val="es-ES"/>
        </w:rPr>
        <w:t>639</w:t>
      </w:r>
      <w:r>
        <w:rPr>
          <w:rFonts w:hint="eastAsia"/>
          <w:lang w:val="es-ES"/>
        </w:rPr>
        <w:t>．为达到这一目的，必须：一）对女性受害者在司法管理制度内设立的保障其权利的诉讼和援助机制中扮演的角色进行诊断分析；二）对这方面的人员进行培训；三）制订和实施受害者关注模式，同跨学科小组共同合作，以保障受害者能完全享有的适当、适时、安</w:t>
      </w:r>
      <w:r>
        <w:rPr>
          <w:rFonts w:hint="eastAsia"/>
          <w:lang w:val="es-ES"/>
        </w:rPr>
        <w:t>全和私人的权利。</w:t>
      </w:r>
    </w:p>
    <w:p w:rsidR="00000000" w:rsidRDefault="00CA422F">
      <w:pPr>
        <w:spacing w:after="240" w:line="360" w:lineRule="exact"/>
        <w:rPr>
          <w:rFonts w:hint="eastAsia"/>
          <w:lang w:val="es-ES"/>
        </w:rPr>
      </w:pPr>
      <w:r>
        <w:rPr>
          <w:rFonts w:hint="eastAsia"/>
          <w:lang w:val="es-ES"/>
        </w:rPr>
        <w:t>640</w:t>
      </w:r>
      <w:r>
        <w:rPr>
          <w:rFonts w:hint="eastAsia"/>
          <w:lang w:val="es-ES"/>
        </w:rPr>
        <w:t>．从性别委员会确定的主要措施出发，建议在同一时期内，实施那些旨在满足最迫切的需求，并将司法培训计划中的性别敏感观点制度化的措施：</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实现将性别观点纳入司法培训学校和机构的培训计划的政治意图。</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将性别观点纳入司法现象，以加强培训计划。</w:t>
      </w:r>
    </w:p>
    <w:p w:rsidR="00000000" w:rsidRDefault="00CA422F">
      <w:pPr>
        <w:numPr>
          <w:ilvl w:val="0"/>
          <w:numId w:val="832"/>
        </w:numPr>
        <w:tabs>
          <w:tab w:val="clear" w:pos="720"/>
          <w:tab w:val="num" w:pos="840"/>
        </w:tabs>
        <w:spacing w:after="240" w:line="360" w:lineRule="exact"/>
        <w:ind w:left="840"/>
        <w:rPr>
          <w:rFonts w:hint="eastAsia"/>
          <w:lang w:val="es-ES"/>
        </w:rPr>
      </w:pPr>
      <w:r>
        <w:rPr>
          <w:rFonts w:hint="eastAsia"/>
          <w:lang w:val="es-ES"/>
        </w:rPr>
        <w:t>将性别敏感观点纳入以教育和法学为基础的司法审判根基。</w:t>
      </w:r>
    </w:p>
    <w:p w:rsidR="00000000" w:rsidRDefault="00CA422F">
      <w:pPr>
        <w:spacing w:after="240" w:line="360" w:lineRule="exact"/>
        <w:rPr>
          <w:rFonts w:eastAsia="SimHei" w:hint="eastAsia"/>
          <w:lang w:val="es-ES"/>
        </w:rPr>
      </w:pPr>
    </w:p>
    <w:p w:rsidR="00000000" w:rsidRDefault="00CA422F">
      <w:pPr>
        <w:pStyle w:val="Date"/>
        <w:spacing w:after="240" w:line="360" w:lineRule="exact"/>
        <w:rPr>
          <w:rFonts w:eastAsia="SimHei" w:hint="eastAsia"/>
          <w:lang w:val="es-ES"/>
        </w:rPr>
      </w:pPr>
      <w:r>
        <w:rPr>
          <w:rFonts w:eastAsia="SimHei" w:hint="eastAsia"/>
          <w:lang w:val="es-ES"/>
        </w:rPr>
        <w:t>将性别观点纳入政府组织，各国政府间组织和非政府组织</w:t>
      </w:r>
    </w:p>
    <w:p w:rsidR="00000000" w:rsidRDefault="00CA422F">
      <w:pPr>
        <w:spacing w:after="240" w:line="360" w:lineRule="exact"/>
        <w:rPr>
          <w:rFonts w:hint="eastAsia"/>
          <w:lang w:val="es-ES"/>
        </w:rPr>
      </w:pPr>
      <w:r>
        <w:rPr>
          <w:rFonts w:hint="eastAsia"/>
          <w:lang w:val="es-ES"/>
        </w:rPr>
        <w:t>641</w:t>
      </w:r>
      <w:r>
        <w:rPr>
          <w:rFonts w:hint="eastAsia"/>
          <w:lang w:val="es-ES"/>
        </w:rPr>
        <w:t>．将性别观点纳入政府组织、政府机构间的组织和非政府组织的日常工作，这项任务非常艰巨，因为虽然政府向国际组织做出了各种承诺，但是这方面仍然存在着</w:t>
      </w:r>
      <w:r>
        <w:rPr>
          <w:rFonts w:hint="eastAsia"/>
          <w:lang w:val="es-ES"/>
        </w:rPr>
        <w:t>抗拒现象。因此，妇女、法律和性别计划一直保持可伸缩的持续工作方针，为申请援助的机构提供技术支持与参与。多年积累的经验表明这种工作方式是非常有效的，因为正好迎合了提出援助申请的组织对这一问题所采取的开明态度。</w:t>
      </w:r>
    </w:p>
    <w:p w:rsidR="00000000" w:rsidRDefault="00CA422F">
      <w:pPr>
        <w:spacing w:after="240" w:line="360" w:lineRule="exact"/>
        <w:rPr>
          <w:rFonts w:hint="eastAsia"/>
          <w:lang w:val="es-ES"/>
        </w:rPr>
      </w:pPr>
      <w:r>
        <w:rPr>
          <w:rFonts w:hint="eastAsia"/>
          <w:lang w:val="es-ES"/>
        </w:rPr>
        <w:t>642</w:t>
      </w:r>
      <w:r>
        <w:rPr>
          <w:rFonts w:hint="eastAsia"/>
          <w:lang w:val="es-ES"/>
        </w:rPr>
        <w:t>．根据这一工作方针，妇女、司法和性别计划同拉美地区各个国家的人权办事处和人权保护所合作，将性别观点纳入他们的工作之中。尤其是同洪都拉斯国家人权代理委员会、萨尔瓦多人权办事处、危地马拉人权办事处和哥斯达黎加居民保护组织共同开展培训。</w:t>
      </w:r>
    </w:p>
    <w:p w:rsidR="00000000" w:rsidRDefault="00CA422F">
      <w:pPr>
        <w:spacing w:after="240" w:line="360" w:lineRule="exact"/>
        <w:rPr>
          <w:rFonts w:hint="eastAsia"/>
          <w:lang w:val="es-ES"/>
        </w:rPr>
      </w:pPr>
      <w:r>
        <w:rPr>
          <w:rFonts w:hint="eastAsia"/>
          <w:lang w:val="es-ES"/>
        </w:rPr>
        <w:t>643</w:t>
      </w:r>
      <w:r>
        <w:rPr>
          <w:rFonts w:hint="eastAsia"/>
          <w:lang w:val="es-ES"/>
        </w:rPr>
        <w:t>．此外，还为外交部、司法部、教育部、国务院、部长会议和女性办</w:t>
      </w:r>
      <w:r>
        <w:rPr>
          <w:rFonts w:hint="eastAsia"/>
          <w:lang w:val="es-ES"/>
        </w:rPr>
        <w:t>公室，各国政府间组织，如美洲人权研究所、联合国机构办事处（联合国妇女发展基金、</w:t>
      </w:r>
      <w:r>
        <w:rPr>
          <w:rFonts w:hint="eastAsia"/>
        </w:rPr>
        <w:t>联合国儿童基金会、开发计划署等机构</w:t>
      </w:r>
      <w:r>
        <w:rPr>
          <w:rFonts w:hint="eastAsia"/>
          <w:lang w:val="es-ES"/>
        </w:rPr>
        <w:t>）、专门机构（国际劳工组织）以及非政府组织（国际法律和司法中心、国际残疾人联合会、美洲妇女人权协调委员会等）的工作人员提供援助。这类援助为推动这些机构在人权和纳入性别观点、消除性别歧视等方面的工作做出了一定贡献，并使妇女、法律和性别计划重新审视现实情况，丰富正在开展的工作。</w:t>
      </w:r>
    </w:p>
    <w:p w:rsidR="00000000" w:rsidRDefault="00CA422F">
      <w:pPr>
        <w:spacing w:after="240" w:line="360" w:lineRule="exact"/>
        <w:rPr>
          <w:rFonts w:hint="eastAsia"/>
          <w:lang w:val="es-ES"/>
        </w:rPr>
      </w:pPr>
    </w:p>
    <w:p w:rsidR="00000000" w:rsidRDefault="00CA422F">
      <w:pPr>
        <w:spacing w:beforeLines="50" w:before="120" w:after="360" w:line="360" w:lineRule="exact"/>
        <w:jc w:val="center"/>
        <w:rPr>
          <w:rFonts w:eastAsia="SimHei" w:hint="eastAsia"/>
          <w:sz w:val="24"/>
        </w:rPr>
      </w:pPr>
      <w:r>
        <w:rPr>
          <w:lang w:val="es-ES"/>
        </w:rPr>
        <w:br w:type="page"/>
      </w:r>
      <w:r>
        <w:rPr>
          <w:rFonts w:eastAsia="SimHei" w:hint="eastAsia"/>
          <w:sz w:val="24"/>
          <w:lang w:val="es-ES"/>
        </w:rPr>
        <w:t>第十六条：</w:t>
      </w:r>
      <w:r>
        <w:rPr>
          <w:rFonts w:eastAsia="SimHei" w:hint="eastAsia"/>
          <w:sz w:val="24"/>
        </w:rPr>
        <w:t>结婚权和家庭权</w:t>
      </w:r>
    </w:p>
    <w:p w:rsidR="00000000" w:rsidRDefault="00CA422F">
      <w:pPr>
        <w:spacing w:after="240" w:line="360" w:lineRule="exact"/>
        <w:jc w:val="center"/>
        <w:rPr>
          <w:rFonts w:hint="eastAsia"/>
          <w:b/>
          <w:bCs/>
          <w:lang w:val="es-ES"/>
        </w:rPr>
      </w:pPr>
    </w:p>
    <w:p w:rsidR="00000000" w:rsidRDefault="00CA422F">
      <w:pPr>
        <w:spacing w:after="240" w:line="360" w:lineRule="exact"/>
        <w:rPr>
          <w:rFonts w:eastAsia="SimHei" w:hint="eastAsia"/>
        </w:rPr>
      </w:pPr>
      <w:r>
        <w:rPr>
          <w:rFonts w:eastAsia="SimHei"/>
        </w:rPr>
        <w:t>第十六条</w:t>
      </w:r>
      <w:r>
        <w:rPr>
          <w:rFonts w:eastAsia="SimHei" w:hint="eastAsia"/>
        </w:rPr>
        <w:t>：</w:t>
      </w:r>
    </w:p>
    <w:p w:rsidR="00000000" w:rsidRDefault="00CA422F">
      <w:pPr>
        <w:spacing w:after="240" w:line="360" w:lineRule="exact"/>
        <w:rPr>
          <w:rFonts w:ascii="KaiTi_GB2312" w:eastAsia="KaiTi_GB2312" w:hint="eastAsia"/>
        </w:rPr>
      </w:pPr>
      <w:r>
        <w:rPr>
          <w:rFonts w:ascii="KaiTi_GB2312" w:eastAsia="KaiTi_GB2312"/>
        </w:rPr>
        <w:t xml:space="preserve"> 1</w:t>
      </w:r>
      <w:r>
        <w:rPr>
          <w:rFonts w:ascii="KaiTi_GB2312" w:eastAsia="KaiTi_GB2312"/>
        </w:rPr>
        <w:t>．缔约各国应采取一切适当措施，消除在有关婚姻和家庭关系的一切事项上对妇女的歧</w:t>
      </w:r>
      <w:r>
        <w:rPr>
          <w:rFonts w:ascii="KaiTi_GB2312" w:eastAsia="KaiTi_GB2312"/>
        </w:rPr>
        <w:t>视，并特别应保证在男女平等的基础上：</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eastAsia="KaiTi_GB2312"/>
        </w:rPr>
        <w:t>(</w:t>
      </w:r>
      <w:r>
        <w:rPr>
          <w:rFonts w:ascii="KaiTi_GB2312" w:eastAsia="KaiTi_GB2312"/>
        </w:rPr>
        <w:t>a)</w:t>
      </w:r>
      <w:r>
        <w:rPr>
          <w:rFonts w:ascii="KaiTi_GB2312" w:eastAsia="KaiTi_GB2312"/>
        </w:rPr>
        <w:tab/>
      </w:r>
      <w:r>
        <w:rPr>
          <w:rFonts w:ascii="KaiTi_GB2312" w:eastAsia="KaiTi_GB2312"/>
        </w:rPr>
        <w:t>有相同的缔婚权利；</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rPr>
        <w:t>有相同的自由选择配偶和非经本人自由表示、完全同意不缔婚约的权利；</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rPr>
        <w:t>在婚姻存续期间以及解除婚姻关系时，有相同的权利和义务；</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(d)</w:t>
      </w:r>
      <w:r>
        <w:rPr>
          <w:rFonts w:ascii="KaiTi_GB2312" w:eastAsia="KaiTi_GB2312"/>
        </w:rPr>
        <w:tab/>
      </w:r>
      <w:r>
        <w:rPr>
          <w:rFonts w:ascii="KaiTi_GB2312" w:eastAsia="KaiTi_GB2312"/>
        </w:rPr>
        <w:t>不论婚姻状况如何，在有关子女的事务上，作为父母亲有相同的权利和义务。但在任何情形下，均应以子女的利益为重；</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(e)</w:t>
      </w:r>
      <w:r>
        <w:rPr>
          <w:rFonts w:ascii="KaiTi_GB2312" w:eastAsia="KaiTi_GB2312"/>
        </w:rPr>
        <w:tab/>
      </w:r>
      <w:r>
        <w:rPr>
          <w:rFonts w:ascii="KaiTi_GB2312" w:eastAsia="KaiTi_GB2312"/>
        </w:rPr>
        <w:t>有相同的权利自由负责地决定子女人数和生育间隔，并有机会获得使他们能够行使这种权利的知识、教育和方法；</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(f)</w:t>
      </w:r>
      <w:r>
        <w:rPr>
          <w:rFonts w:ascii="KaiTi_GB2312" w:eastAsia="KaiTi_GB2312"/>
        </w:rPr>
        <w:tab/>
      </w:r>
      <w:r>
        <w:rPr>
          <w:rFonts w:ascii="KaiTi_GB2312" w:eastAsia="KaiTi_GB2312"/>
        </w:rPr>
        <w:t>在监护、看管、受托和收养子女或类似的制度方面，如果国家法规有这</w:t>
      </w:r>
      <w:r>
        <w:rPr>
          <w:rFonts w:ascii="KaiTi_GB2312" w:eastAsia="KaiTi_GB2312"/>
        </w:rPr>
        <w:t>些观念的话，有相同的权利和义务。但在任何情形下，均应以子女的利益为重；</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hint="eastAsia"/>
        </w:rPr>
      </w:pPr>
      <w:r>
        <w:rPr>
          <w:rFonts w:ascii="KaiTi_GB2312" w:eastAsia="KaiTi_GB2312"/>
        </w:rPr>
        <w:t>(g)</w:t>
      </w:r>
      <w:r>
        <w:rPr>
          <w:rFonts w:ascii="KaiTi_GB2312" w:eastAsia="KaiTi_GB2312"/>
        </w:rPr>
        <w:tab/>
      </w:r>
      <w:r>
        <w:rPr>
          <w:rFonts w:ascii="KaiTi_GB2312" w:eastAsia="KaiTi_GB2312"/>
        </w:rPr>
        <w:t>夫妻有相同的个人权利，包括选择姓氏、专业和职业的权利；</w:t>
      </w:r>
      <w:r>
        <w:rPr>
          <w:rFonts w:ascii="KaiTi_GB2312" w:eastAsia="KaiTi_GB2312"/>
        </w:rPr>
        <w:t> </w:t>
      </w:r>
    </w:p>
    <w:p w:rsidR="00000000" w:rsidRDefault="00CA422F" w:rsidP="00CA422F">
      <w:pPr>
        <w:spacing w:after="240" w:line="360" w:lineRule="exact"/>
        <w:ind w:leftChars="200" w:left="31680" w:hangingChars="200" w:firstLine="31680"/>
        <w:rPr>
          <w:rFonts w:ascii="KaiTi_GB2312" w:eastAsia="KaiTi_GB2312"/>
        </w:rPr>
      </w:pPr>
      <w:r>
        <w:rPr>
          <w:rFonts w:ascii="KaiTi_GB2312" w:eastAsia="KaiTi_GB2312"/>
        </w:rPr>
        <w:t>(h)</w:t>
      </w:r>
      <w:r>
        <w:rPr>
          <w:rFonts w:ascii="KaiTi_GB2312" w:eastAsia="KaiTi_GB2312"/>
        </w:rPr>
        <w:tab/>
      </w:r>
      <w:r>
        <w:rPr>
          <w:rFonts w:ascii="KaiTi_GB2312" w:eastAsia="KaiTi_GB2312"/>
        </w:rPr>
        <w:t>配偶双方在财产的所有、取得、经营、管理、享有、处置方面，不论是无偿的或是收取价值酬报的，都具有相同的权利。</w:t>
      </w:r>
      <w:r>
        <w:rPr>
          <w:rFonts w:ascii="KaiTi_GB2312" w:eastAsia="KaiTi_GB2312"/>
        </w:rPr>
        <w:t> </w:t>
      </w:r>
    </w:p>
    <w:p w:rsidR="00000000" w:rsidRDefault="00CA422F">
      <w:pPr>
        <w:spacing w:after="240" w:line="360" w:lineRule="exact"/>
        <w:rPr>
          <w:rFonts w:ascii="KaiTi_GB2312" w:eastAsia="KaiTi_GB2312" w:hint="eastAsia"/>
        </w:rPr>
      </w:pPr>
      <w:r>
        <w:rPr>
          <w:rFonts w:ascii="KaiTi_GB2312" w:eastAsia="KaiTi_GB2312"/>
        </w:rPr>
        <w:t>2</w:t>
      </w:r>
      <w:r>
        <w:rPr>
          <w:rFonts w:ascii="KaiTi_GB2312" w:eastAsia="KaiTi_GB2312"/>
        </w:rPr>
        <w:t>．童年订婚和童婚应不具法律效力，并应采取一切必要行动，包括制定法律，规定结婚最低年龄，并规定婚姻必须向正式登记机构登记。</w:t>
      </w:r>
      <w:r>
        <w:rPr>
          <w:rFonts w:ascii="KaiTi_GB2312" w:eastAsia="KaiTi_GB2312"/>
        </w:rPr>
        <w:t> </w:t>
      </w:r>
    </w:p>
    <w:p w:rsidR="00000000" w:rsidRDefault="00CA422F">
      <w:pPr>
        <w:spacing w:after="240" w:line="360" w:lineRule="exact"/>
        <w:jc w:val="center"/>
        <w:rPr>
          <w:rFonts w:eastAsia="SimHei" w:hint="eastAsia"/>
          <w:sz w:val="24"/>
          <w:lang w:val="es-ES"/>
        </w:rPr>
      </w:pPr>
      <w:r>
        <w:rPr>
          <w:rFonts w:eastAsia="SimHei" w:hint="eastAsia"/>
          <w:sz w:val="24"/>
          <w:lang w:val="es-ES"/>
        </w:rPr>
        <w:t>父子关系责任法</w:t>
      </w:r>
    </w:p>
    <w:p w:rsidR="00000000" w:rsidRDefault="00CA422F">
      <w:pPr>
        <w:spacing w:after="240" w:line="360" w:lineRule="exact"/>
        <w:rPr>
          <w:rFonts w:hint="eastAsia"/>
          <w:lang w:val="es-ES"/>
        </w:rPr>
      </w:pPr>
      <w:r>
        <w:rPr>
          <w:rFonts w:hint="eastAsia"/>
          <w:lang w:val="es-ES"/>
        </w:rPr>
        <w:t>644</w:t>
      </w:r>
      <w:r>
        <w:rPr>
          <w:rFonts w:hint="eastAsia"/>
          <w:lang w:val="es-ES"/>
        </w:rPr>
        <w:t>．这一阶段在此领域取得的最大成就的就是</w:t>
      </w:r>
      <w:r>
        <w:rPr>
          <w:rFonts w:hint="eastAsia"/>
          <w:lang w:val="es-ES"/>
        </w:rPr>
        <w:t>8101</w:t>
      </w:r>
      <w:r>
        <w:rPr>
          <w:rFonts w:hint="eastAsia"/>
          <w:lang w:val="es-ES"/>
        </w:rPr>
        <w:t>号法律，即《父子关系责任法》的颁布。《父子关系责任法》于</w:t>
      </w:r>
      <w:r>
        <w:rPr>
          <w:rFonts w:hint="eastAsia"/>
          <w:lang w:val="es-ES"/>
        </w:rPr>
        <w:t>20</w:t>
      </w:r>
      <w:r>
        <w:rPr>
          <w:rFonts w:hint="eastAsia"/>
          <w:lang w:val="es-ES"/>
        </w:rPr>
        <w:t>01</w:t>
      </w:r>
      <w:r>
        <w:rPr>
          <w:rFonts w:hint="eastAsia"/>
          <w:lang w:val="es-ES"/>
        </w:rPr>
        <w:t>年</w:t>
      </w:r>
      <w:r>
        <w:rPr>
          <w:rFonts w:hint="eastAsia"/>
          <w:lang w:val="es-ES"/>
        </w:rPr>
        <w:t>3</w:t>
      </w:r>
      <w:r>
        <w:rPr>
          <w:rFonts w:hint="eastAsia"/>
          <w:lang w:val="es-ES"/>
        </w:rPr>
        <w:t>月</w:t>
      </w:r>
      <w:r>
        <w:rPr>
          <w:rFonts w:hint="eastAsia"/>
          <w:lang w:val="es-ES"/>
        </w:rPr>
        <w:t>27</w:t>
      </w:r>
      <w:r>
        <w:rPr>
          <w:rFonts w:hint="eastAsia"/>
          <w:lang w:val="es-ES"/>
        </w:rPr>
        <w:t>日获得通过，同年</w:t>
      </w:r>
      <w:r>
        <w:rPr>
          <w:rFonts w:hint="eastAsia"/>
          <w:lang w:val="es-ES"/>
        </w:rPr>
        <w:t>4</w:t>
      </w:r>
      <w:r>
        <w:rPr>
          <w:rFonts w:hint="eastAsia"/>
          <w:lang w:val="es-ES"/>
        </w:rPr>
        <w:t>月</w:t>
      </w:r>
      <w:r>
        <w:rPr>
          <w:rFonts w:hint="eastAsia"/>
          <w:lang w:val="es-ES"/>
        </w:rPr>
        <w:t>16</w:t>
      </w:r>
      <w:r>
        <w:rPr>
          <w:rFonts w:hint="eastAsia"/>
          <w:lang w:val="es-ES"/>
        </w:rPr>
        <w:t>日签署生效。除了这项法律，在消除对妇女和非婚生子女以及没有获得父亲承认、也无法获得父亲经济资助的为数不少的子女的歧视方面也取得了一定进展。因此，这项法律在保障子女权利的同时，也承认妇女的权利。因而，认为这项法律是推动两性平等的一项战略方针。消除男性享有的特权，改变女性的不利地位，假设每一位新生婴儿都有权拥有合法的父亲，要求他们接受</w:t>
      </w:r>
      <w:r>
        <w:rPr>
          <w:rFonts w:hint="eastAsia"/>
          <w:lang w:val="es-ES"/>
        </w:rPr>
        <w:t>DNA</w:t>
      </w:r>
      <w:r>
        <w:rPr>
          <w:rFonts w:hint="eastAsia"/>
          <w:lang w:val="es-ES"/>
        </w:rPr>
        <w:t>测试，或作为补充，通过司法途径，要求登记婴儿父亲的名字。制订特别措施，简化父子关系的办理手续。该手续简单，无需笔录，也不必借助诉讼等中间</w:t>
      </w:r>
      <w:r>
        <w:rPr>
          <w:rFonts w:hint="eastAsia"/>
          <w:lang w:val="es-ES"/>
        </w:rPr>
        <w:t>手段来做出决策。这一措施还杜绝了拖延过程中那些假定父亲经常反悔的现象发生，也缩短了司法调查过程和父子相认的过程。因此，这项法律的制定，将使为期两年的手续办理时间缩短至六个月。</w:t>
      </w:r>
    </w:p>
    <w:p w:rsidR="00000000" w:rsidRDefault="00CA422F">
      <w:pPr>
        <w:spacing w:after="240" w:line="360" w:lineRule="exact"/>
        <w:rPr>
          <w:rFonts w:hint="eastAsia"/>
          <w:lang w:val="es-ES"/>
        </w:rPr>
      </w:pPr>
      <w:r>
        <w:rPr>
          <w:rFonts w:hint="eastAsia"/>
          <w:lang w:val="es-ES"/>
        </w:rPr>
        <w:t>645</w:t>
      </w:r>
      <w:r>
        <w:rPr>
          <w:rFonts w:hint="eastAsia"/>
          <w:lang w:val="es-ES"/>
        </w:rPr>
        <w:t>．该法律的颁布，无疑在诸如此类的司法、社会和经济等重大问题不断的解决过程中竖立了一块历史里程碑。最近十年，非婚生子女和缺乏父亲资料的新生儿的数目不断上升。哥斯达黎加人口与统计总局提供的数据（</w:t>
      </w:r>
      <w:r>
        <w:rPr>
          <w:rFonts w:hint="eastAsia"/>
          <w:lang w:val="es-ES"/>
        </w:rPr>
        <w:t>1999</w:t>
      </w:r>
      <w:r>
        <w:rPr>
          <w:rFonts w:hint="eastAsia"/>
          <w:lang w:val="es-ES"/>
        </w:rPr>
        <w:t>年）显示，</w:t>
      </w:r>
      <w:r>
        <w:rPr>
          <w:rFonts w:hint="eastAsia"/>
          <w:lang w:val="es-ES"/>
        </w:rPr>
        <w:t>1999</w:t>
      </w:r>
      <w:r>
        <w:rPr>
          <w:rFonts w:hint="eastAsia"/>
          <w:lang w:val="es-ES"/>
        </w:rPr>
        <w:t>年在有记录的</w:t>
      </w:r>
      <w:r>
        <w:rPr>
          <w:rFonts w:hint="eastAsia"/>
          <w:lang w:val="es-ES"/>
        </w:rPr>
        <w:t>78 526</w:t>
      </w:r>
      <w:r>
        <w:rPr>
          <w:rFonts w:hint="eastAsia"/>
          <w:lang w:val="es-ES"/>
        </w:rPr>
        <w:t>名新生婴儿中，</w:t>
      </w:r>
      <w:r>
        <w:rPr>
          <w:rFonts w:hint="eastAsia"/>
          <w:lang w:val="es-ES"/>
        </w:rPr>
        <w:t>40 449</w:t>
      </w:r>
      <w:r>
        <w:rPr>
          <w:rFonts w:hint="eastAsia"/>
          <w:lang w:val="es-ES"/>
        </w:rPr>
        <w:t>名为非婚生子女，其中</w:t>
      </w:r>
      <w:r>
        <w:rPr>
          <w:rFonts w:hint="eastAsia"/>
          <w:lang w:val="es-ES"/>
        </w:rPr>
        <w:t>58.9%</w:t>
      </w:r>
      <w:r>
        <w:rPr>
          <w:rFonts w:hint="eastAsia"/>
          <w:lang w:val="es-ES"/>
        </w:rPr>
        <w:t>的婴儿缺乏父亲的资料。根据上述资料</w:t>
      </w:r>
      <w:r>
        <w:rPr>
          <w:rFonts w:hint="eastAsia"/>
          <w:lang w:val="es-ES"/>
        </w:rPr>
        <w:t>，我们可以看到，大概有</w:t>
      </w:r>
      <w:r>
        <w:rPr>
          <w:rFonts w:hint="eastAsia"/>
          <w:lang w:val="es-ES"/>
        </w:rPr>
        <w:t>23 845</w:t>
      </w:r>
      <w:r>
        <w:rPr>
          <w:rFonts w:hint="eastAsia"/>
          <w:lang w:val="es-ES"/>
        </w:rPr>
        <w:t>名新生婴儿只受到母亲的照顾和关爱，却缺乏父亲应该提供的照料，这表明这些女性在孩子的照料中承受的负担过重，这些妇女及其女性精神、社会和经济生活中存在着明显的不公正和不平等现象。同样来自哥斯达黎加人口与统计总局的数据显示，尽管每年的新生儿数量出现了下降的趋势，但是，缺乏父亲资料的新生儿数量却在不断上升。</w:t>
      </w:r>
    </w:p>
    <w:p w:rsidR="00000000" w:rsidRDefault="00CA422F">
      <w:pPr>
        <w:spacing w:after="240" w:line="360" w:lineRule="exact"/>
        <w:rPr>
          <w:rFonts w:hint="eastAsia"/>
          <w:lang w:val="es-ES"/>
        </w:rPr>
      </w:pPr>
      <w:r>
        <w:rPr>
          <w:rFonts w:hint="eastAsia"/>
          <w:lang w:val="es-ES"/>
        </w:rPr>
        <w:t>646</w:t>
      </w:r>
      <w:r>
        <w:rPr>
          <w:rFonts w:hint="eastAsia"/>
          <w:lang w:val="es-ES"/>
        </w:rPr>
        <w:t>．在《父子关系责任法》通过之前，父子相认的过程需要一年半的时间，而且孩子的母亲还需要为手续和假定父亲的拖延手段支付高额的费用。该法律希望通过司法途径来解决上述问题，如果假</w:t>
      </w:r>
      <w:r>
        <w:rPr>
          <w:rFonts w:hint="eastAsia"/>
          <w:lang w:val="es-ES"/>
        </w:rPr>
        <w:t>定父亲不愿承认自己的孩子，那么这些孩子则无法享受赡养补贴，孩子将处于非常不利的社会状况中。这一问题将产生众多的社会问题，此外，对孩子的母亲和对政府而言都意味着经济负担。</w:t>
      </w:r>
    </w:p>
    <w:p w:rsidR="00000000" w:rsidRDefault="00CA422F">
      <w:pPr>
        <w:spacing w:after="240" w:line="360" w:lineRule="exact"/>
        <w:rPr>
          <w:rFonts w:hint="eastAsia"/>
          <w:lang w:val="es-ES"/>
        </w:rPr>
      </w:pPr>
      <w:r>
        <w:rPr>
          <w:rFonts w:hint="eastAsia"/>
          <w:lang w:val="es-ES"/>
        </w:rPr>
        <w:t>647</w:t>
      </w:r>
      <w:r>
        <w:rPr>
          <w:rFonts w:hint="eastAsia"/>
          <w:lang w:val="es-ES"/>
        </w:rPr>
        <w:t>．《父子关系责任法》由国家妇女组织、居民保护组织、司法权力机关、哥斯达黎加大学、保护儿童国家组织、公民登记处、立法议会以及独立的专业人士共同组成的跨部门委员会起草。这些机构参与该法律的起草过程中，为该法律打下了一致同意的重要基础。</w:t>
      </w:r>
    </w:p>
    <w:p w:rsidR="00000000" w:rsidRDefault="00CA422F">
      <w:pPr>
        <w:spacing w:after="240" w:line="360" w:lineRule="exact"/>
        <w:rPr>
          <w:rFonts w:hint="eastAsia"/>
          <w:lang w:val="es-ES"/>
        </w:rPr>
      </w:pPr>
      <w:r>
        <w:rPr>
          <w:rFonts w:hint="eastAsia"/>
          <w:lang w:val="es-ES"/>
        </w:rPr>
        <w:t>648</w:t>
      </w:r>
      <w:r>
        <w:rPr>
          <w:rFonts w:hint="eastAsia"/>
          <w:lang w:val="es-ES"/>
        </w:rPr>
        <w:t>．公民登记处提供的资料显示，《父子关系责任法》从</w:t>
      </w:r>
      <w:r>
        <w:rPr>
          <w:rFonts w:hint="eastAsia"/>
          <w:lang w:val="es-ES"/>
        </w:rPr>
        <w:t>2002</w:t>
      </w:r>
      <w:r>
        <w:rPr>
          <w:rFonts w:hint="eastAsia"/>
          <w:lang w:val="es-ES"/>
        </w:rPr>
        <w:t>年</w:t>
      </w:r>
      <w:r>
        <w:rPr>
          <w:rFonts w:hint="eastAsia"/>
          <w:lang w:val="es-ES"/>
        </w:rPr>
        <w:t>3</w:t>
      </w:r>
      <w:r>
        <w:rPr>
          <w:rFonts w:hint="eastAsia"/>
          <w:lang w:val="es-ES"/>
        </w:rPr>
        <w:t>月</w:t>
      </w:r>
      <w:r>
        <w:rPr>
          <w:rFonts w:hint="eastAsia"/>
          <w:lang w:val="es-ES"/>
        </w:rPr>
        <w:t>11</w:t>
      </w:r>
      <w:r>
        <w:rPr>
          <w:rFonts w:hint="eastAsia"/>
          <w:lang w:val="es-ES"/>
        </w:rPr>
        <w:t>日生效以来，已经有</w:t>
      </w:r>
      <w:r>
        <w:rPr>
          <w:rFonts w:hint="eastAsia"/>
          <w:lang w:val="es-ES"/>
        </w:rPr>
        <w:t>6 441</w:t>
      </w:r>
      <w:r>
        <w:rPr>
          <w:rFonts w:hint="eastAsia"/>
          <w:lang w:val="es-ES"/>
        </w:rPr>
        <w:t>个案</w:t>
      </w:r>
      <w:r>
        <w:rPr>
          <w:rFonts w:hint="eastAsia"/>
          <w:lang w:val="es-ES"/>
        </w:rPr>
        <w:t>例获得了父亲的证明；出现了</w:t>
      </w:r>
      <w:r>
        <w:rPr>
          <w:rFonts w:hint="eastAsia"/>
          <w:lang w:val="es-ES"/>
        </w:rPr>
        <w:t>3 853</w:t>
      </w:r>
      <w:r>
        <w:rPr>
          <w:rFonts w:hint="eastAsia"/>
          <w:lang w:val="es-ES"/>
        </w:rPr>
        <w:t>项自动声明，占总数的</w:t>
      </w:r>
      <w:r>
        <w:rPr>
          <w:rFonts w:hint="eastAsia"/>
          <w:lang w:val="es-ES"/>
        </w:rPr>
        <w:t>60</w:t>
      </w:r>
      <w:r>
        <w:rPr>
          <w:rFonts w:hint="eastAsia"/>
          <w:lang w:val="es-ES"/>
        </w:rPr>
        <w:t>％；</w:t>
      </w:r>
      <w:r>
        <w:rPr>
          <w:rFonts w:hint="eastAsia"/>
          <w:lang w:val="es-ES"/>
        </w:rPr>
        <w:t>1 461</w:t>
      </w:r>
      <w:r>
        <w:rPr>
          <w:rFonts w:hint="eastAsia"/>
          <w:lang w:val="es-ES"/>
        </w:rPr>
        <w:t>个案例有待传讯；</w:t>
      </w:r>
      <w:r>
        <w:rPr>
          <w:rFonts w:hint="eastAsia"/>
          <w:lang w:val="es-ES"/>
        </w:rPr>
        <w:t>152</w:t>
      </w:r>
      <w:r>
        <w:rPr>
          <w:rFonts w:hint="eastAsia"/>
          <w:lang w:val="es-ES"/>
        </w:rPr>
        <w:t>个案例有待提供证据；</w:t>
      </w:r>
      <w:r>
        <w:rPr>
          <w:rFonts w:hint="eastAsia"/>
          <w:lang w:val="es-ES"/>
        </w:rPr>
        <w:t>973</w:t>
      </w:r>
      <w:r>
        <w:rPr>
          <w:rFonts w:hint="eastAsia"/>
          <w:lang w:val="es-ES"/>
        </w:rPr>
        <w:t>个有待通知的案例则在寻找方面（地址错误）出现了问题。从这些数据中可以看到，该法律正在逐步实现目标，并且已经取得了不少成绩。另一方面，根据《父子关系责任法》第三条的规定，国家少年儿童委员会应该为促进国内的父亲责任制订并实施相关的公共政策，为此，</w:t>
      </w:r>
      <w:r>
        <w:rPr>
          <w:rFonts w:hint="eastAsia"/>
          <w:lang w:val="es-ES"/>
        </w:rPr>
        <w:t>2001</w:t>
      </w:r>
      <w:r>
        <w:rPr>
          <w:rFonts w:hint="eastAsia"/>
          <w:lang w:val="es-ES"/>
        </w:rPr>
        <w:t>年成立了父亲责任追踪政策跨部门委员会，由教育部、卫生部、文化、青年和体育部、</w:t>
      </w:r>
      <w:r>
        <w:rPr>
          <w:rFonts w:hint="eastAsia"/>
        </w:rPr>
        <w:t>保护儿童国家组织、哥斯达黎加社会保险公司、</w:t>
      </w:r>
      <w:r>
        <w:rPr>
          <w:rFonts w:hint="eastAsia"/>
          <w:lang w:val="es-ES"/>
        </w:rPr>
        <w:t>全国大学校长顾问委员会</w:t>
      </w:r>
      <w:r>
        <w:rPr>
          <w:rFonts w:hint="eastAsia"/>
          <w:lang w:val="es-ES"/>
        </w:rPr>
        <w:t>、公民登记处、全国青年运动、司法权力机关的代表、来自非政府组织（</w:t>
      </w:r>
      <w:r>
        <w:rPr>
          <w:rFonts w:hint="eastAsia"/>
        </w:rPr>
        <w:t>促进、培训及其它活动基金会、妇女行动与信息中心及家庭指导中心</w:t>
      </w:r>
      <w:r>
        <w:rPr>
          <w:rFonts w:hint="eastAsia"/>
          <w:lang w:val="es-ES"/>
        </w:rPr>
        <w:t>）的</w:t>
      </w:r>
      <w:r>
        <w:rPr>
          <w:rFonts w:hint="eastAsia"/>
          <w:lang w:val="es-ES"/>
        </w:rPr>
        <w:t>3</w:t>
      </w:r>
      <w:r>
        <w:rPr>
          <w:rFonts w:hint="eastAsia"/>
          <w:lang w:val="es-ES"/>
        </w:rPr>
        <w:t>名代表共同组成，隶属国家妇女研究所。该委员会的第一项工作便是制订督促父亲责任的政策方针，并为实现这一目标取得了许多机构的承诺。根据这一政策方针，其主要认识便是制定行动方案，对这些行动进行跟踪研究，以督促</w:t>
      </w:r>
      <w:r>
        <w:rPr>
          <w:rFonts w:ascii="SimSun" w:hAnsi="SimSun" w:hint="eastAsia"/>
          <w:lang w:val="es-ES"/>
        </w:rPr>
        <w:t>-</w:t>
      </w:r>
      <w:r>
        <w:rPr>
          <w:rFonts w:hint="eastAsia"/>
          <w:lang w:val="es-ES"/>
        </w:rPr>
        <w:t>从各个机构出发</w:t>
      </w:r>
      <w:r>
        <w:rPr>
          <w:rFonts w:ascii="SimSun" w:hAnsi="SimSun" w:hint="eastAsia"/>
          <w:lang w:val="es-ES"/>
        </w:rPr>
        <w:t>-</w:t>
      </w:r>
      <w:r>
        <w:rPr>
          <w:rFonts w:hint="eastAsia"/>
          <w:lang w:val="es-ES"/>
        </w:rPr>
        <w:t>承担最明显的父亲责任。</w:t>
      </w:r>
    </w:p>
    <w:p w:rsidR="00000000" w:rsidRDefault="00CA422F">
      <w:pPr>
        <w:spacing w:after="240" w:line="360" w:lineRule="exact"/>
        <w:rPr>
          <w:rFonts w:hint="eastAsia"/>
          <w:lang w:val="es-ES"/>
        </w:rPr>
      </w:pPr>
      <w:r>
        <w:rPr>
          <w:rFonts w:hint="eastAsia"/>
          <w:lang w:val="es-ES"/>
        </w:rPr>
        <w:t>649</w:t>
      </w:r>
      <w:r>
        <w:rPr>
          <w:rFonts w:hint="eastAsia"/>
          <w:lang w:val="es-ES"/>
        </w:rPr>
        <w:t>．另一方面，向居民保护组织提出对这一法律的申诉和批评，虽然接受</w:t>
      </w:r>
      <w:r>
        <w:rPr>
          <w:rFonts w:hint="eastAsia"/>
          <w:lang w:val="es-ES"/>
        </w:rPr>
        <w:t>DNA</w:t>
      </w:r>
      <w:r>
        <w:rPr>
          <w:rFonts w:hint="eastAsia"/>
          <w:lang w:val="es-ES"/>
        </w:rPr>
        <w:t>测试的案例越来越少，但是这些申诉和批评主要集中在进行</w:t>
      </w:r>
      <w:r>
        <w:rPr>
          <w:rFonts w:hint="eastAsia"/>
          <w:lang w:val="es-ES"/>
        </w:rPr>
        <w:t>DNA</w:t>
      </w:r>
      <w:r>
        <w:rPr>
          <w:rFonts w:hint="eastAsia"/>
          <w:lang w:val="es-ES"/>
        </w:rPr>
        <w:t>测试的</w:t>
      </w:r>
      <w:r>
        <w:rPr>
          <w:rFonts w:hint="eastAsia"/>
          <w:lang w:val="es-ES"/>
        </w:rPr>
        <w:t>实验室至今仍未投入使用上。根据哥斯达黎加社会保险公司，进行</w:t>
      </w:r>
      <w:r>
        <w:rPr>
          <w:rFonts w:hint="eastAsia"/>
          <w:lang w:val="es-ES"/>
        </w:rPr>
        <w:t>DNA</w:t>
      </w:r>
      <w:r>
        <w:rPr>
          <w:rFonts w:hint="eastAsia"/>
          <w:lang w:val="es-ES"/>
        </w:rPr>
        <w:t>测试的实验室将于</w:t>
      </w:r>
      <w:r>
        <w:rPr>
          <w:rFonts w:hint="eastAsia"/>
          <w:lang w:val="es-ES"/>
        </w:rPr>
        <w:t>2002</w:t>
      </w:r>
      <w:r>
        <w:rPr>
          <w:rFonts w:hint="eastAsia"/>
          <w:lang w:val="es-ES"/>
        </w:rPr>
        <w:t>年</w:t>
      </w:r>
      <w:r>
        <w:rPr>
          <w:rFonts w:hint="eastAsia"/>
          <w:lang w:val="es-ES"/>
        </w:rPr>
        <w:t>8</w:t>
      </w:r>
      <w:r>
        <w:rPr>
          <w:rFonts w:hint="eastAsia"/>
          <w:lang w:val="es-ES"/>
        </w:rPr>
        <w:t>月之前投入使用。居民保护组织成立了一个跨部门小组，追踪和监督该法律的实施。另外一些指控则同登记人员应该如何将有关的权利和义务告知孩子的母亲有关。</w:t>
      </w:r>
    </w:p>
    <w:p w:rsidR="00000000" w:rsidRDefault="00CA422F">
      <w:pPr>
        <w:pStyle w:val="Date"/>
        <w:spacing w:after="240" w:line="360" w:lineRule="atLeast"/>
        <w:rPr>
          <w:rFonts w:hint="eastAsia"/>
          <w:lang w:val="es-ES"/>
        </w:rPr>
      </w:pPr>
    </w:p>
    <w:p w:rsidR="00000000" w:rsidRDefault="00CA422F">
      <w:pPr>
        <w:spacing w:after="240" w:line="360" w:lineRule="exact"/>
        <w:jc w:val="center"/>
        <w:rPr>
          <w:rFonts w:eastAsia="SimHei" w:hint="eastAsia"/>
          <w:sz w:val="28"/>
          <w:lang w:val="es-ES"/>
        </w:rPr>
      </w:pPr>
      <w:r>
        <w:rPr>
          <w:sz w:val="24"/>
        </w:rPr>
        <w:br w:type="page"/>
      </w:r>
      <w:r>
        <w:rPr>
          <w:rFonts w:eastAsia="SimHei" w:hint="eastAsia"/>
          <w:sz w:val="28"/>
          <w:lang w:val="es-ES"/>
        </w:rPr>
        <w:t>第三部分</w:t>
      </w:r>
    </w:p>
    <w:p w:rsidR="00000000" w:rsidRDefault="00CA422F">
      <w:pPr>
        <w:spacing w:after="240" w:line="440" w:lineRule="exact"/>
        <w:jc w:val="center"/>
        <w:rPr>
          <w:rFonts w:eastAsia="SimHei" w:hint="eastAsia"/>
          <w:sz w:val="28"/>
        </w:rPr>
      </w:pPr>
      <w:r>
        <w:rPr>
          <w:rFonts w:eastAsia="SimHei" w:hint="eastAsia"/>
          <w:sz w:val="28"/>
          <w:lang w:val="es-ES"/>
        </w:rPr>
        <w:t>在执行</w:t>
      </w:r>
      <w:r>
        <w:rPr>
          <w:rFonts w:eastAsia="SimHei" w:hint="eastAsia"/>
          <w:sz w:val="28"/>
        </w:rPr>
        <w:t>消除对妇女一切形式歧视公约有关规定的过程中</w:t>
      </w:r>
      <w:r>
        <w:rPr>
          <w:rFonts w:eastAsia="SimHei"/>
          <w:sz w:val="28"/>
        </w:rPr>
        <w:br/>
      </w:r>
      <w:r>
        <w:rPr>
          <w:rFonts w:eastAsia="SimHei" w:hint="eastAsia"/>
          <w:sz w:val="28"/>
        </w:rPr>
        <w:t>取得的成就、遇到的困难和开展的斗争</w:t>
      </w:r>
    </w:p>
    <w:p w:rsidR="00000000" w:rsidRDefault="00CA422F">
      <w:pPr>
        <w:spacing w:after="240" w:line="360" w:lineRule="exact"/>
        <w:jc w:val="center"/>
        <w:rPr>
          <w:rFonts w:hint="eastAsia"/>
          <w:b/>
        </w:rPr>
      </w:pPr>
    </w:p>
    <w:p w:rsidR="00000000" w:rsidRDefault="00CA422F">
      <w:pPr>
        <w:spacing w:after="240" w:line="360" w:lineRule="exact"/>
        <w:rPr>
          <w:rFonts w:hint="eastAsia"/>
          <w:bCs/>
        </w:rPr>
      </w:pPr>
      <w:r>
        <w:rPr>
          <w:rFonts w:hint="eastAsia"/>
          <w:bCs/>
        </w:rPr>
        <w:t>650</w:t>
      </w:r>
      <w:r>
        <w:rPr>
          <w:rFonts w:hint="eastAsia"/>
          <w:bCs/>
        </w:rPr>
        <w:t>．正如第一次定期报告指出的那样，九十年代——普及领域的多样化和数量的上升——妇女权利相关机构的建设成绩斐然。</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机制方面，加强了国家机制，成立了专门的妇女权利保护机构，</w:t>
      </w:r>
      <w:r>
        <w:rPr>
          <w:rFonts w:hint="eastAsia"/>
          <w:bCs/>
        </w:rPr>
        <w:t>在两性平等的公共政策方面也取得了一定的成绩。</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社会领域内，在对核心家庭之外的各类家庭模式给予认可和保护、将确定父亲责任的推断和程序引入管理部门、改善父系遗产继承的法律规定、家庭暴力庇护等方面取得了一定进展。</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卫生健康方面，承认了某些</w:t>
      </w:r>
      <w:r>
        <w:rPr>
          <w:rFonts w:hint="eastAsia"/>
          <w:lang w:val="es-ES"/>
        </w:rPr>
        <w:t>性生活</w:t>
      </w:r>
      <w:r>
        <w:rPr>
          <w:rFonts w:hint="eastAsia"/>
          <w:bCs/>
        </w:rPr>
        <w:t>和生育权利。</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劳动领域，在性骚扰的司法</w:t>
      </w:r>
      <w:r>
        <w:rPr>
          <w:rFonts w:hint="eastAsia"/>
          <w:lang w:val="es-ES"/>
        </w:rPr>
        <w:t>承认</w:t>
      </w:r>
      <w:r>
        <w:rPr>
          <w:rFonts w:hint="eastAsia"/>
          <w:bCs/>
        </w:rPr>
        <w:t>、产假的修改以及相关权利的观念改善上也有一定收获。</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政治权利方面，从法律的角度规定了女性担任政治决策职位的最低额度。</w:t>
      </w:r>
    </w:p>
    <w:p w:rsidR="00000000" w:rsidRDefault="00CA422F">
      <w:pPr>
        <w:spacing w:after="240" w:line="360" w:lineRule="exact"/>
        <w:rPr>
          <w:rFonts w:hint="eastAsia"/>
          <w:bCs/>
        </w:rPr>
      </w:pPr>
      <w:r>
        <w:rPr>
          <w:rFonts w:hint="eastAsia"/>
          <w:bCs/>
        </w:rPr>
        <w:t>651</w:t>
      </w:r>
      <w:r>
        <w:rPr>
          <w:rFonts w:hint="eastAsia"/>
          <w:bCs/>
        </w:rPr>
        <w:t>．上述这些成就是在社会妇女组织与推动和维护妇女权益的国家机构倡导组织下取得的。二十世纪九十年代和本世纪最初两</w:t>
      </w:r>
      <w:r>
        <w:rPr>
          <w:rFonts w:hint="eastAsia"/>
          <w:bCs/>
        </w:rPr>
        <w:t>年内开展的活动表明，权利的正式规范化进展显著。但与此同时，国内舆论对这些问题颇有争议的现象引起了广泛的社会关注和承认。例如，对女性的暴力已经遭到了大部分公民的拒绝，同时也打破了政府为保护公民权利在公共部门和私人领域应该承担的责任中设计的虚假的二元对立。此外，还建立了原始概念、从传统的司法逻辑衍生出司法形象的内容和形式。例如，《消除家庭暴力法》所采取的谨慎措施和《老年妇女暴力处罚法草案》中提出了可以自由选择的各种惩罚方式。</w:t>
      </w:r>
    </w:p>
    <w:p w:rsidR="00000000" w:rsidRDefault="00CA422F">
      <w:pPr>
        <w:spacing w:after="240" w:line="360" w:lineRule="exact"/>
        <w:rPr>
          <w:rFonts w:hint="eastAsia"/>
          <w:bCs/>
        </w:rPr>
      </w:pPr>
      <w:r>
        <w:rPr>
          <w:rFonts w:hint="eastAsia"/>
          <w:bCs/>
        </w:rPr>
        <w:t>652</w:t>
      </w:r>
      <w:r>
        <w:rPr>
          <w:rFonts w:hint="eastAsia"/>
          <w:bCs/>
        </w:rPr>
        <w:t>．在确保女性正确行使公民发展和人权方面存在的问题在于，是否能够采取现实和适当的方</w:t>
      </w:r>
      <w:r>
        <w:rPr>
          <w:rFonts w:hint="eastAsia"/>
          <w:bCs/>
        </w:rPr>
        <w:t>式来保证为权利可行性创建明确而合适的执行机制。为此目的，要求女性自身通过相应的措施和培训，对保护加深认识并对其进行宣传和推广。另一方面，要求各个政府机构采取具体措施，以便让各个层次、各类机构及其工作人员都尊重这些权利，承诺向女性提供有关这些权利的信息，并保证通过各种方式来保障这些权利的平等和合理。</w:t>
      </w:r>
    </w:p>
    <w:p w:rsidR="00000000" w:rsidRDefault="00CA422F">
      <w:pPr>
        <w:spacing w:after="240" w:line="360" w:lineRule="exact"/>
        <w:rPr>
          <w:rFonts w:hint="eastAsia"/>
          <w:bCs/>
        </w:rPr>
      </w:pPr>
      <w:r>
        <w:rPr>
          <w:rFonts w:hint="eastAsia"/>
          <w:bCs/>
        </w:rPr>
        <w:t>653</w:t>
      </w:r>
      <w:r>
        <w:rPr>
          <w:rFonts w:hint="eastAsia"/>
          <w:bCs/>
        </w:rPr>
        <w:t>．本报告所涉时期内进行的分析中突出的事实就是男女平等的承诺与实践之间的差距依然存在。哥斯达黎加政府虽然已经取得了上述各项成就，但是，在采取措施以保障对女性歧视的惩罚方面做出的承诺仍然非常有限。只有采取适当的</w:t>
      </w:r>
      <w:r>
        <w:rPr>
          <w:rFonts w:hint="eastAsia"/>
          <w:bCs/>
        </w:rPr>
        <w:t>措施，才能防治逍遥法外等现象的发生。</w:t>
      </w:r>
    </w:p>
    <w:p w:rsidR="00000000" w:rsidRDefault="00CA422F">
      <w:pPr>
        <w:spacing w:after="240" w:line="360" w:lineRule="exact"/>
        <w:rPr>
          <w:rFonts w:hint="eastAsia"/>
          <w:bCs/>
        </w:rPr>
      </w:pPr>
      <w:r>
        <w:rPr>
          <w:rFonts w:hint="eastAsia"/>
          <w:bCs/>
        </w:rPr>
        <w:t>654</w:t>
      </w:r>
      <w:r>
        <w:rPr>
          <w:rFonts w:hint="eastAsia"/>
          <w:bCs/>
        </w:rPr>
        <w:t>．许多法律至今仍未获得通过，此外，有关对女性的暴力和歧视方面开展的讨论不禁让人怀疑过去十年所取得的成就是否是“自食其果”。或许不少社会团体、立法人士、法官和行政长官已经感觉到性别状况对以男性为中心的社会中的这种规范结果构成了一定的威胁，因此他们反对采取任何促进两性平等发展的措施。各类妇女组织和国家机构采取的战略方针必须考虑到上述情况。不少国家机构、社会和某些经过重新调整的机构都吸纳了不少两性平等的负责人士。一些不能避免也无需避免的因素却仍在思想领域广泛存在。</w:t>
      </w:r>
    </w:p>
    <w:p w:rsidR="00000000" w:rsidRDefault="00CA422F">
      <w:pPr>
        <w:spacing w:after="240" w:line="360" w:lineRule="exact"/>
        <w:rPr>
          <w:rFonts w:hint="eastAsia"/>
          <w:bCs/>
        </w:rPr>
      </w:pPr>
      <w:r>
        <w:rPr>
          <w:rFonts w:hint="eastAsia"/>
          <w:bCs/>
        </w:rPr>
        <w:t>65</w:t>
      </w:r>
      <w:r>
        <w:rPr>
          <w:rFonts w:hint="eastAsia"/>
          <w:bCs/>
        </w:rPr>
        <w:t>5</w:t>
      </w:r>
      <w:r>
        <w:rPr>
          <w:rFonts w:hint="eastAsia"/>
          <w:bCs/>
        </w:rPr>
        <w:t>．哥斯达黎加政府面临的问题之一，便是要承认公共政策和立法的多样性。正如初次定期报告涉及到、第二和第三次报告体现的那样，否认哥斯达黎加政府是各种文化和各个民族共存的社会这一事实造就的结果就是，仍然存在着视而不见和将这些因素排除在外的各种方式。在哥斯达黎加还生活着条件各异的人们（如，年龄、残疾、宗教信仰和政治倾向），虽然他们之间的差异经常被忽视，但是生活条件和行使权利方面的差异却非常明显。参与咨询论坛的各类组织的妇女代表提醒大家应该对此引起一定的重视。</w:t>
      </w:r>
    </w:p>
    <w:p w:rsidR="00000000" w:rsidRDefault="00CA422F">
      <w:pPr>
        <w:spacing w:after="240" w:line="360" w:lineRule="exact"/>
        <w:rPr>
          <w:rFonts w:hint="eastAsia"/>
          <w:bCs/>
        </w:rPr>
      </w:pPr>
      <w:r>
        <w:rPr>
          <w:rFonts w:hint="eastAsia"/>
          <w:bCs/>
        </w:rPr>
        <w:t>656</w:t>
      </w:r>
      <w:r>
        <w:rPr>
          <w:rFonts w:hint="eastAsia"/>
          <w:bCs/>
        </w:rPr>
        <w:t>．非裔哥斯达黎加公民、土著妇女、残疾女性、老年妇女</w:t>
      </w:r>
      <w:r>
        <w:rPr>
          <w:rFonts w:hint="eastAsia"/>
          <w:bCs/>
        </w:rPr>
        <w:t>和少女，在上述各种状况中受到了双重甚至三重歧视。现行的司法制度远远不够完善和丰富；应该保障司法管理一定的透明度和对差异的敏感性。面对歧视，上述女性因为无法提出保障权利的要求而无法获得司法资助。</w:t>
      </w:r>
    </w:p>
    <w:p w:rsidR="00000000" w:rsidRDefault="00CA422F">
      <w:pPr>
        <w:pStyle w:val="BodyText"/>
        <w:spacing w:after="240" w:line="360" w:lineRule="exact"/>
        <w:rPr>
          <w:rFonts w:ascii="Times New Roman" w:hint="eastAsia"/>
          <w:bCs/>
          <w:sz w:val="21"/>
        </w:rPr>
      </w:pPr>
      <w:r>
        <w:rPr>
          <w:rFonts w:ascii="Times New Roman" w:hint="eastAsia"/>
          <w:bCs/>
          <w:sz w:val="21"/>
        </w:rPr>
        <w:t>657</w:t>
      </w:r>
      <w:r>
        <w:rPr>
          <w:rFonts w:ascii="Times New Roman" w:hint="eastAsia"/>
          <w:bCs/>
          <w:sz w:val="21"/>
        </w:rPr>
        <w:t>．在这期间，哥斯达黎加增强了国家妇女研究所作为推动妇女公共政策发展的负责部门的建设，加强了机制的创建和发展，以便在不同的部门、机构和地方的政策中纳入性别观点。哥斯达黎加政府特别重视这方面承诺的具体履行过程，如对本公约和《北京世界行动纲要》的批准，特别是同提高国家机制的层次和加强国家机构的职能、预算资源的分配、在</w:t>
      </w:r>
      <w:r>
        <w:rPr>
          <w:rFonts w:ascii="Times New Roman" w:hint="eastAsia"/>
          <w:bCs/>
          <w:sz w:val="21"/>
        </w:rPr>
        <w:t>公共政策的制订过程中体现国家妇女研究所的影响以使其履行其负责机构的职能等方面尤为关注。同公共机构和社会组织共同制订了“男女平等与公平国家政策”，在公共机构的各个层次分散权力，设计权利下放机制，以便在所有活动中引入性别观点。虽然取得了这么多重要的成就，但是，在以男性为中心的观念、机构、严格的规定、忽视性别差异、为达到上述国家政策制订的目标而必需投入的人力和物力资源等方面的改变上，仍然表现出了一定的抗拒态度。</w:t>
      </w:r>
    </w:p>
    <w:p w:rsidR="00000000" w:rsidRDefault="00CA422F">
      <w:pPr>
        <w:pStyle w:val="BodyText"/>
        <w:spacing w:after="240" w:line="360" w:lineRule="exact"/>
        <w:rPr>
          <w:rFonts w:ascii="Times New Roman" w:hint="eastAsia"/>
          <w:bCs/>
          <w:sz w:val="21"/>
        </w:rPr>
      </w:pPr>
      <w:r>
        <w:rPr>
          <w:rFonts w:ascii="Times New Roman" w:hint="eastAsia"/>
          <w:bCs/>
          <w:sz w:val="21"/>
        </w:rPr>
        <w:t>658</w:t>
      </w:r>
      <w:r>
        <w:rPr>
          <w:rFonts w:ascii="Times New Roman" w:hint="eastAsia"/>
          <w:bCs/>
          <w:sz w:val="21"/>
        </w:rPr>
        <w:t>．根据法律，国家妇女研究所拥有独立预算的权利，但是，要想获得所有相应的资源，却存在一定的问题。这</w:t>
      </w:r>
      <w:r>
        <w:rPr>
          <w:rFonts w:ascii="Times New Roman" w:hint="eastAsia"/>
          <w:bCs/>
          <w:sz w:val="21"/>
        </w:rPr>
        <w:t>种状况突出表现在国家承诺的履行过程中，还特别反映在国家妇女研究所在履行其负责机构的职能和保障两性平等措施在全国范围内推行的机会上。无法获得法律规定的资源，造成了国家妇女研究所和其它负责机构之间的不平衡。另一方面，如果议会因特殊需要而取消了对公共机构的经济援助，那么，尽管可以通过特别税务增加收入，但是国家机制仍然会受到严重的削弱，除非能够通过长期稳定的措施以保障资金充足。目前，摆在哥斯达黎加政府面前的挑战是能否找到合适的措施或方法，在未来的四年中获得健康而充足的资源，使国家妇女研究所能够继续承担自身的领导职责</w:t>
      </w:r>
      <w:r>
        <w:rPr>
          <w:rFonts w:ascii="Times New Roman" w:hint="eastAsia"/>
          <w:bCs/>
          <w:sz w:val="21"/>
        </w:rPr>
        <w:t>，为有关的国家政策的制订和实施提供一定的援助。</w:t>
      </w:r>
    </w:p>
    <w:p w:rsidR="00000000" w:rsidRDefault="00CA422F">
      <w:pPr>
        <w:pStyle w:val="BodyText"/>
        <w:spacing w:after="240" w:line="360" w:lineRule="exact"/>
        <w:rPr>
          <w:rFonts w:ascii="Times New Roman" w:hint="eastAsia"/>
          <w:bCs/>
          <w:sz w:val="21"/>
        </w:rPr>
      </w:pPr>
      <w:r>
        <w:rPr>
          <w:rFonts w:ascii="Times New Roman" w:hint="eastAsia"/>
          <w:bCs/>
          <w:sz w:val="21"/>
        </w:rPr>
        <w:t>659</w:t>
      </w:r>
      <w:r>
        <w:rPr>
          <w:rFonts w:ascii="Times New Roman" w:hint="eastAsia"/>
          <w:bCs/>
          <w:sz w:val="21"/>
        </w:rPr>
        <w:t>．对在部委、部门和市镇机构内建立两性平等机构的战略计划已经进行了适当的指导，但是，在结构和经济方面，仍然存在着阻碍其开展活动的限制因素。应该从技术和资金上加强这些机构，同时向大都市区域之外的农村地区推广活动。此外，要求从保障合法性和帮助资源合理配置的负责机构内部对这些机制进行评价。最后，哥斯达黎加政府应该采取必要手段，推动在机构文化、国家干预活动和系统长期而持续的国家政策的实施过程中纳入性别观点，促进男女平等与公平国家政策的通过。哥斯达黎加的公共政策经常</w:t>
      </w:r>
      <w:r>
        <w:rPr>
          <w:rFonts w:ascii="Times New Roman" w:hint="eastAsia"/>
          <w:bCs/>
          <w:sz w:val="21"/>
        </w:rPr>
        <w:t>受到选举法变化的影响，因为某届政府制订的主要政策会被继任政府削弱，或者改变。措施的延续性很小，而推动妇女保护措施则更加危险。</w:t>
      </w:r>
    </w:p>
    <w:p w:rsidR="00000000" w:rsidRDefault="00CA422F">
      <w:pPr>
        <w:pStyle w:val="BodyText"/>
        <w:spacing w:after="240" w:line="360" w:lineRule="exact"/>
        <w:rPr>
          <w:rFonts w:ascii="Times New Roman" w:hint="eastAsia"/>
          <w:bCs/>
          <w:sz w:val="21"/>
        </w:rPr>
      </w:pPr>
      <w:r>
        <w:rPr>
          <w:rFonts w:ascii="Times New Roman" w:hint="eastAsia"/>
          <w:bCs/>
          <w:sz w:val="21"/>
        </w:rPr>
        <w:t>660</w:t>
      </w:r>
      <w:r>
        <w:rPr>
          <w:rFonts w:ascii="Times New Roman" w:hint="eastAsia"/>
          <w:bCs/>
          <w:sz w:val="21"/>
        </w:rPr>
        <w:t>．为此，应该在制订政策和连续提供服务的过程中投入更多的资源，在较长的时间内，从各个程度上保障推动这一过程的大众舆论的实现。政府机关内以男性为中心的观念无法通过参与者的美好愿望和零星的活动来改变。人力资源的配置应该成为公共部门现代化中需要解决的问题之一。只有解决了这一问题才能帮助公共服务机构颁布决议，将连续提供的服务合法化，或者将公共管理部门中最主要的两性平等方面的服务合法化。这</w:t>
      </w:r>
      <w:r>
        <w:rPr>
          <w:rFonts w:ascii="Times New Roman" w:hint="eastAsia"/>
          <w:bCs/>
          <w:sz w:val="21"/>
        </w:rPr>
        <w:t>必将促进年度目标的制订和为达成上述目标而制订的预算的经济资源分配。</w:t>
      </w:r>
    </w:p>
    <w:p w:rsidR="00000000" w:rsidRDefault="00CA422F">
      <w:pPr>
        <w:pStyle w:val="BodyText"/>
        <w:spacing w:after="240" w:line="360" w:lineRule="exact"/>
        <w:rPr>
          <w:rFonts w:ascii="Times New Roman" w:hint="eastAsia"/>
          <w:bCs/>
          <w:sz w:val="21"/>
        </w:rPr>
      </w:pPr>
      <w:r>
        <w:rPr>
          <w:rFonts w:ascii="Times New Roman" w:hint="eastAsia"/>
          <w:bCs/>
          <w:sz w:val="21"/>
        </w:rPr>
        <w:t>661</w:t>
      </w:r>
      <w:r>
        <w:rPr>
          <w:rFonts w:ascii="Times New Roman" w:hint="eastAsia"/>
          <w:bCs/>
          <w:sz w:val="21"/>
        </w:rPr>
        <w:t>．威胁成就质量的一个严重问题是不少成绩中存在不稳定因素。这主要表现在维权服务的质量和推广、空间的质量以及女性在这些空间中的参与等方面。预算的分配表现为缩减的趋势，而推动权利有效行使的机制也是非常有限的。</w:t>
      </w:r>
    </w:p>
    <w:p w:rsidR="00000000" w:rsidRDefault="00CA422F">
      <w:pPr>
        <w:pStyle w:val="BodyText"/>
        <w:spacing w:after="240" w:line="360" w:lineRule="exact"/>
        <w:rPr>
          <w:rFonts w:ascii="Times New Roman" w:hint="eastAsia"/>
          <w:bCs/>
          <w:sz w:val="21"/>
        </w:rPr>
      </w:pPr>
      <w:r>
        <w:rPr>
          <w:rFonts w:ascii="Times New Roman" w:hint="eastAsia"/>
          <w:bCs/>
          <w:sz w:val="21"/>
        </w:rPr>
        <w:t>662</w:t>
      </w:r>
      <w:r>
        <w:rPr>
          <w:rFonts w:ascii="Times New Roman" w:hint="eastAsia"/>
          <w:bCs/>
          <w:sz w:val="21"/>
        </w:rPr>
        <w:t>．有必要对这些沉重的任务投入一定的资源，以加强重要领域内开展的调查，对决策、过去的评价以及教育运动和政策的推动进行指导。这应该成为一项长期的努力，应该同包括国立大学在内的公共或私人专职研究机构共同开展工作。这方面的政策将帮助创造</w:t>
      </w:r>
      <w:r>
        <w:rPr>
          <w:rFonts w:ascii="Times New Roman" w:hint="eastAsia"/>
          <w:bCs/>
          <w:sz w:val="21"/>
        </w:rPr>
        <w:t>条件，以计算失业率，解决目前失业率中的男女差距的问题，和保障女性人权的有效维护中所取得的成就。</w:t>
      </w:r>
    </w:p>
    <w:p w:rsidR="00000000" w:rsidRDefault="00CA422F">
      <w:pPr>
        <w:pStyle w:val="BodyText"/>
        <w:spacing w:after="240" w:line="360" w:lineRule="exact"/>
        <w:rPr>
          <w:rFonts w:ascii="Times New Roman" w:hint="eastAsia"/>
          <w:bCs/>
          <w:sz w:val="21"/>
        </w:rPr>
      </w:pPr>
      <w:r>
        <w:rPr>
          <w:rFonts w:ascii="Times New Roman" w:hint="eastAsia"/>
          <w:bCs/>
          <w:sz w:val="21"/>
        </w:rPr>
        <w:t>663</w:t>
      </w:r>
      <w:r>
        <w:rPr>
          <w:rFonts w:ascii="Times New Roman" w:hint="eastAsia"/>
          <w:bCs/>
          <w:sz w:val="21"/>
        </w:rPr>
        <w:t>．同一时期内，在政府－社会关系的强化方面也取得了重大进步。为保障和进一步深化这一关系的持续性，必要的条件有：有次序的参与、咨询以及将社会对话作为某种手段，以便政府对女性的要求和利益进行协调。必须加强帐户收益的主动性、公共管理的透明化、相互尊重以及诺言的履行。虽然已经取得了不少进步，但是国家妇女研究所和妇女组织以及全体公民的关系仍然十分疏远。政策和立法中预设的主要变化明显倾向于从技术角度出发，这经常造成政策和</w:t>
      </w:r>
      <w:r>
        <w:rPr>
          <w:rFonts w:ascii="Times New Roman" w:hint="eastAsia"/>
          <w:bCs/>
          <w:sz w:val="21"/>
        </w:rPr>
        <w:t>具体的实施之间的距离和困难。这是爱情、青年计划中女性运动和其它活动缺少社会支援的决定因素。</w:t>
      </w:r>
    </w:p>
    <w:p w:rsidR="00000000" w:rsidRDefault="00CA422F">
      <w:pPr>
        <w:pStyle w:val="BodyText"/>
        <w:spacing w:after="240" w:line="360" w:lineRule="exact"/>
        <w:rPr>
          <w:rFonts w:ascii="Times New Roman" w:hint="eastAsia"/>
          <w:bCs/>
          <w:sz w:val="21"/>
        </w:rPr>
      </w:pPr>
      <w:r>
        <w:rPr>
          <w:rFonts w:ascii="Times New Roman" w:hint="eastAsia"/>
          <w:bCs/>
          <w:sz w:val="21"/>
        </w:rPr>
        <w:t>664</w:t>
      </w:r>
      <w:r>
        <w:rPr>
          <w:rFonts w:ascii="Times New Roman" w:hint="eastAsia"/>
          <w:bCs/>
          <w:sz w:val="21"/>
        </w:rPr>
        <w:t>．随着</w:t>
      </w:r>
      <w:r>
        <w:rPr>
          <w:rFonts w:ascii="Times New Roman" w:hint="eastAsia"/>
          <w:bCs/>
          <w:sz w:val="21"/>
        </w:rPr>
        <w:t>1990</w:t>
      </w:r>
      <w:r>
        <w:rPr>
          <w:rFonts w:ascii="Times New Roman" w:hint="eastAsia"/>
          <w:bCs/>
          <w:sz w:val="21"/>
        </w:rPr>
        <w:t>年</w:t>
      </w:r>
      <w:r>
        <w:rPr>
          <w:rFonts w:ascii="Times New Roman" w:hint="eastAsia"/>
          <w:bCs/>
          <w:sz w:val="21"/>
        </w:rPr>
        <w:t>7142</w:t>
      </w:r>
      <w:r>
        <w:rPr>
          <w:rFonts w:ascii="Times New Roman" w:hint="eastAsia"/>
          <w:bCs/>
          <w:sz w:val="21"/>
        </w:rPr>
        <w:t>号法律，即“促进妇女社会平等法”的通过，哥斯达黎加承认了保障男女平等的现有立法和条例不够完善，因此，为实现男女平等的目标，必须制订旨在保障男女机遇平等的立法和相应的制度。从此以后，这方面最主要的成绩就表现在，为保障女性平等地获得和参与权力机构和决策职位采取了相应的措施。</w:t>
      </w:r>
    </w:p>
    <w:p w:rsidR="00000000" w:rsidRDefault="00CA422F">
      <w:pPr>
        <w:pStyle w:val="BodyText"/>
        <w:spacing w:after="240" w:line="360" w:lineRule="exact"/>
        <w:rPr>
          <w:rFonts w:ascii="Times New Roman" w:hint="eastAsia"/>
          <w:bCs/>
          <w:sz w:val="21"/>
        </w:rPr>
      </w:pPr>
      <w:r>
        <w:rPr>
          <w:rFonts w:ascii="Times New Roman" w:hint="eastAsia"/>
          <w:bCs/>
          <w:sz w:val="21"/>
        </w:rPr>
        <w:t>665</w:t>
      </w:r>
      <w:r>
        <w:rPr>
          <w:rFonts w:ascii="Times New Roman" w:hint="eastAsia"/>
          <w:bCs/>
          <w:sz w:val="21"/>
        </w:rPr>
        <w:t>．这方面最重要的里程碑便是借助</w:t>
      </w:r>
      <w:r>
        <w:rPr>
          <w:rFonts w:ascii="Times New Roman" w:hint="eastAsia"/>
          <w:bCs/>
          <w:sz w:val="21"/>
        </w:rPr>
        <w:t>1996</w:t>
      </w:r>
      <w:r>
        <w:rPr>
          <w:rFonts w:ascii="Times New Roman" w:hint="eastAsia"/>
          <w:bCs/>
          <w:sz w:val="21"/>
        </w:rPr>
        <w:t>年</w:t>
      </w:r>
      <w:r>
        <w:rPr>
          <w:rFonts w:ascii="Times New Roman" w:hint="eastAsia"/>
          <w:bCs/>
          <w:sz w:val="21"/>
        </w:rPr>
        <w:t>7653</w:t>
      </w:r>
      <w:r>
        <w:rPr>
          <w:rFonts w:ascii="Times New Roman" w:hint="eastAsia"/>
          <w:bCs/>
          <w:sz w:val="21"/>
        </w:rPr>
        <w:t>号法律的通过，对选举法进行了修改。修改后的选举法为女性获得代表职</w:t>
      </w:r>
      <w:r>
        <w:rPr>
          <w:rFonts w:ascii="Times New Roman" w:hint="eastAsia"/>
          <w:bCs/>
          <w:sz w:val="21"/>
        </w:rPr>
        <w:t>位和决策职位奠定了更加公正的基础，规定女性的最小份额为</w:t>
      </w:r>
      <w:r>
        <w:rPr>
          <w:rFonts w:ascii="Times New Roman" w:hint="eastAsia"/>
          <w:bCs/>
          <w:sz w:val="21"/>
        </w:rPr>
        <w:t>40</w:t>
      </w:r>
      <w:r>
        <w:rPr>
          <w:rFonts w:ascii="Times New Roman" w:hint="eastAsia"/>
          <w:bCs/>
          <w:sz w:val="21"/>
        </w:rPr>
        <w:t>％。前进的道路是漫长而充满坎坷的，因为许多政党仍然表现出各种抗拒，而且，负责监督最低份额有效实施的机构和部分公民也表现出同样的抗拒。</w:t>
      </w:r>
    </w:p>
    <w:p w:rsidR="00000000" w:rsidRDefault="00CA422F">
      <w:pPr>
        <w:pStyle w:val="BodyText"/>
        <w:spacing w:after="240" w:line="360" w:lineRule="exact"/>
        <w:rPr>
          <w:rFonts w:ascii="Times New Roman" w:hint="eastAsia"/>
          <w:bCs/>
          <w:sz w:val="21"/>
        </w:rPr>
      </w:pPr>
      <w:r>
        <w:rPr>
          <w:rFonts w:ascii="Times New Roman" w:hint="eastAsia"/>
          <w:bCs/>
          <w:sz w:val="21"/>
        </w:rPr>
        <w:t>666</w:t>
      </w:r>
      <w:r>
        <w:rPr>
          <w:rFonts w:ascii="Times New Roman" w:hint="eastAsia"/>
          <w:bCs/>
          <w:sz w:val="21"/>
        </w:rPr>
        <w:t>．另一方面，女性因自身的性别条件在社会机构中也面临着不少困难，这无疑阻碍了女性在政党内部以及地区和全国选举的参与（例如，有关经济资源和信息的获取、家庭支持、社会偏见等）。这在因社会等级、种族、居住区域和年龄等因素遭受歧视的妇女身上表现得更为突出。</w:t>
      </w:r>
    </w:p>
    <w:p w:rsidR="00000000" w:rsidRDefault="00CA422F">
      <w:pPr>
        <w:pStyle w:val="BodyText"/>
        <w:spacing w:after="240" w:line="360" w:lineRule="exact"/>
        <w:rPr>
          <w:rFonts w:ascii="Times New Roman" w:hint="eastAsia"/>
          <w:bCs/>
          <w:sz w:val="21"/>
        </w:rPr>
      </w:pPr>
      <w:r>
        <w:rPr>
          <w:rFonts w:ascii="Times New Roman" w:hint="eastAsia"/>
          <w:bCs/>
          <w:sz w:val="21"/>
        </w:rPr>
        <w:t>667</w:t>
      </w:r>
      <w:r>
        <w:rPr>
          <w:rFonts w:ascii="Times New Roman" w:hint="eastAsia"/>
          <w:bCs/>
          <w:sz w:val="21"/>
        </w:rPr>
        <w:t>．实现权力机构和决策的接触和参与机遇中的男女平等必须面临诸多</w:t>
      </w:r>
      <w:r>
        <w:rPr>
          <w:rFonts w:ascii="Times New Roman" w:hint="eastAsia"/>
          <w:bCs/>
          <w:sz w:val="21"/>
        </w:rPr>
        <w:t>挑战：</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政党、女性和公民应该将</w:t>
      </w:r>
      <w:r>
        <w:rPr>
          <w:rFonts w:hint="eastAsia"/>
          <w:bCs/>
        </w:rPr>
        <w:t>40</w:t>
      </w:r>
      <w:r>
        <w:rPr>
          <w:rFonts w:hint="eastAsia"/>
          <w:bCs/>
        </w:rPr>
        <w:t>％视为出发点，而不是已经达到的顶点。基督教社会联合党（</w:t>
      </w:r>
      <w:r>
        <w:rPr>
          <w:rFonts w:hint="eastAsia"/>
          <w:bCs/>
        </w:rPr>
        <w:t>PUSC</w:t>
      </w:r>
      <w:r>
        <w:rPr>
          <w:rFonts w:hint="eastAsia"/>
          <w:bCs/>
        </w:rPr>
        <w:t>）制订的一项有效政策也同样适用于其它政党：在政党内部机构和选举过程，无论男性和女性的比例都不能超过</w:t>
      </w:r>
      <w:r>
        <w:rPr>
          <w:rFonts w:hint="eastAsia"/>
          <w:bCs/>
        </w:rPr>
        <w:t>60</w:t>
      </w:r>
      <w:r>
        <w:rPr>
          <w:rFonts w:hint="eastAsia"/>
          <w:bCs/>
        </w:rPr>
        <w:t>％。而公民行动党（</w:t>
      </w:r>
      <w:r>
        <w:rPr>
          <w:rFonts w:hint="eastAsia"/>
          <w:bCs/>
        </w:rPr>
        <w:t>PAC</w:t>
      </w:r>
      <w:r>
        <w:rPr>
          <w:rFonts w:hint="eastAsia"/>
          <w:bCs/>
        </w:rPr>
        <w:t>）则在实践中采取了保障男女双方人数相等的政策。</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男女平等政策的实施要求各类机构和不同领域进行长期追踪，这些机构和领域包括社会、立法议会、国家妇女研究所、司法权力机构和最高选举法庭等。同样，政党和最高选举法庭应该为相关机构定期提供收入明细帐目，以加强民主。</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政党应该制订具体的规定，确定和协调</w:t>
      </w:r>
      <w:r>
        <w:rPr>
          <w:rFonts w:hint="eastAsia"/>
          <w:bCs/>
        </w:rPr>
        <w:t>实施、监控、上诉和惩罚机制，以保障选举中女性参与的最低份额。缺乏适当手段导致了无法履行实施措施、主要来自男性的抵抗以及对女性造成不利等现象。</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年轻女性、非裔哥斯达黎加女性公民、土著妇女、女性残疾人以及农村妇女参与选举方面仍然困难重重。上述女性在政党领导机构中的参与情况也非常类似。哥斯达黎加的社会文化多元化，而对此至今仍未达成一致意见。因此，应该同最高选举法庭和代表不同部门利益的其它社会组织合作，推动各项措施的实施，使公民和政党明确自己有权、但同时也必须创造便利条件，让上述女性能够担任上述职位。</w:t>
      </w:r>
    </w:p>
    <w:p w:rsidR="00000000" w:rsidRDefault="00CA422F">
      <w:pPr>
        <w:pStyle w:val="BodyText"/>
        <w:spacing w:after="240" w:line="360" w:lineRule="exact"/>
        <w:rPr>
          <w:rFonts w:ascii="Times New Roman" w:hint="eastAsia"/>
          <w:bCs/>
          <w:sz w:val="21"/>
        </w:rPr>
      </w:pPr>
      <w:r>
        <w:rPr>
          <w:rFonts w:ascii="Times New Roman" w:hint="eastAsia"/>
          <w:bCs/>
          <w:sz w:val="21"/>
        </w:rPr>
        <w:t>668</w:t>
      </w:r>
      <w:r>
        <w:rPr>
          <w:rFonts w:ascii="Times New Roman" w:hint="eastAsia"/>
          <w:bCs/>
          <w:sz w:val="21"/>
        </w:rPr>
        <w:t>．哥斯</w:t>
      </w:r>
      <w:r>
        <w:rPr>
          <w:rFonts w:ascii="Times New Roman" w:hint="eastAsia"/>
          <w:bCs/>
          <w:sz w:val="21"/>
        </w:rPr>
        <w:t>达黎加政府取得了重大成就的另一个领域便是为保障贫困的年轻女性和老年妇女在获得经济资源、教育、卫生和就业等方面享有平等权利，制订了适当的政策、进行了相应的管理实践和提供了一定的服务。“共同前进”和“机会创造”等计划为保障女性获得战略资源和服务方面的能力提高与不同部门开展合作，共同采取措施并奠定了相应的基础。结构方面的阻碍仍然集中在宏观经济政策，忽视了妇女因性别而产生的需求和利益，特别是对那些贫困妇女的忽略，这使女性在平等就业、接受劳动和技术培训、获得贷款、进行生产再培训等方面仍然面临着重重困难。一项未竟的事业</w:t>
      </w:r>
      <w:r>
        <w:rPr>
          <w:rFonts w:ascii="Times New Roman" w:hint="eastAsia"/>
          <w:bCs/>
          <w:sz w:val="21"/>
        </w:rPr>
        <w:t>就是对宏观经济政策和发展战略方针进行审查、实施和加强，这些政策方针主要是为了服从女性的需求和利益，同时支持女性摆脱贫困，一如《北京世界行动纲要》的规定。</w:t>
      </w:r>
    </w:p>
    <w:p w:rsidR="00000000" w:rsidRDefault="00CA422F">
      <w:pPr>
        <w:pStyle w:val="BodyText"/>
        <w:spacing w:after="240" w:line="360" w:lineRule="exact"/>
        <w:rPr>
          <w:rFonts w:ascii="Times New Roman" w:hint="eastAsia"/>
          <w:bCs/>
          <w:sz w:val="21"/>
        </w:rPr>
      </w:pPr>
      <w:r>
        <w:rPr>
          <w:rFonts w:ascii="Times New Roman" w:hint="eastAsia"/>
          <w:bCs/>
          <w:sz w:val="21"/>
        </w:rPr>
        <w:t>669</w:t>
      </w:r>
      <w:r>
        <w:rPr>
          <w:rFonts w:ascii="Times New Roman" w:hint="eastAsia"/>
          <w:bCs/>
          <w:sz w:val="21"/>
        </w:rPr>
        <w:t>．在制订独立于社会条件和移民身份之外的处于孕期的年轻女性和成年女性的特殊保护政策方面，哥斯达黎加政府在贯彻本公约消除歧视原则方面取得了可喜的进展。其它司法机制在这方面也成绩卓著。孕期是女性生活中的一件大事，如果缺乏女性健康和其它需求的最低保障，那么就会使女性处于社会和经济上的弱势地位。孕期可能导致贫困、卫生和社会排除等领域出现各类歧视。要贯彻消除歧视</w:t>
      </w:r>
      <w:r>
        <w:rPr>
          <w:rFonts w:ascii="Times New Roman" w:hint="eastAsia"/>
          <w:bCs/>
          <w:sz w:val="21"/>
        </w:rPr>
        <w:t>的原则，就必须做出更大的努力，以便：</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使卫生部门的有关机构和人员重视女性权利，使其健康能够受到整体关注，并将这种权利作为基本人权进行保障，不再因女性的社会地位、移民身份、种族或年龄等方面的不同而形成一定的差异。</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推动关注女性卫生质量的女性权利信息运动和消除歧视的安全孕期等活动，以系统、常规和简单的方式，保障女性能够获得有关权利和维权机制的相关信息，并采取一定措施，对保障女性有效行使各类权利和参与机构决策的政策措施进行监督，对因性别或其它因素造成妇女歧视的行为进行惩罚。</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制订并执行明确的政策和规章制度，为保障</w:t>
      </w:r>
      <w:r>
        <w:rPr>
          <w:rFonts w:hint="eastAsia"/>
          <w:bCs/>
        </w:rPr>
        <w:t>女性的权利制订一定的条件，使卫生部门的工作人员能有效贯彻这些规定，同时对违背权利行为的政策、实行申诉惩罚和监督机制进行协调。</w:t>
      </w:r>
    </w:p>
    <w:p w:rsidR="00000000" w:rsidRDefault="00CA422F">
      <w:pPr>
        <w:pStyle w:val="BodyText"/>
        <w:spacing w:after="240" w:line="360" w:lineRule="exact"/>
        <w:rPr>
          <w:rFonts w:ascii="Times New Roman" w:hint="eastAsia"/>
          <w:bCs/>
          <w:sz w:val="21"/>
        </w:rPr>
      </w:pPr>
      <w:r>
        <w:rPr>
          <w:rFonts w:ascii="Times New Roman" w:hint="eastAsia"/>
          <w:bCs/>
          <w:sz w:val="21"/>
        </w:rPr>
        <w:t>670</w:t>
      </w:r>
      <w:r>
        <w:rPr>
          <w:rFonts w:ascii="Times New Roman" w:hint="eastAsia"/>
          <w:bCs/>
          <w:sz w:val="21"/>
        </w:rPr>
        <w:t>．九十年代，哥斯达黎加政府在删除教科书中有关性别歧视的内容和语言方面表现出来的积极性是多样的。在学习计划的审查和消除性别思维定势所采取的方法上也是如此。虽然已经取得了不少成就，但是整个教育体系、家庭和大众媒体的观念和实践，在性别思维定势、导致女性处于从属地位的社会关系以及轻视女性形像的消除和改变中，仍然存在着一定的限制。私人企业相关部门提供的保护资源，从一定程度上阻碍了两性平等</w:t>
      </w:r>
      <w:r>
        <w:rPr>
          <w:rFonts w:ascii="Times New Roman" w:hint="eastAsia"/>
          <w:bCs/>
          <w:sz w:val="21"/>
        </w:rPr>
        <w:t>和公正的公共政策和法规的推行，同时也对最近二十年在这方面取得的成就造成了一定的威胁。上述这些措施减少了女性行使和尊重基本人权的机会。</w:t>
      </w:r>
    </w:p>
    <w:p w:rsidR="00000000" w:rsidRDefault="00CA422F">
      <w:pPr>
        <w:pStyle w:val="BodyText"/>
        <w:spacing w:after="240" w:line="360" w:lineRule="exact"/>
        <w:rPr>
          <w:rFonts w:ascii="Times New Roman" w:hint="eastAsia"/>
          <w:bCs/>
          <w:sz w:val="21"/>
        </w:rPr>
      </w:pPr>
      <w:r>
        <w:rPr>
          <w:rFonts w:ascii="Times New Roman" w:hint="eastAsia"/>
          <w:bCs/>
          <w:sz w:val="21"/>
        </w:rPr>
        <w:t>671</w:t>
      </w:r>
      <w:r>
        <w:rPr>
          <w:rFonts w:ascii="Times New Roman" w:hint="eastAsia"/>
          <w:bCs/>
          <w:sz w:val="21"/>
        </w:rPr>
        <w:t>．面临的挑战是多重的：</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这方面的政策的进展程度和遇到的阻碍，表明国家有必要制订一项教育政策，以消除课堂内的歧视行为，并对广大公民进行两性平等的文化培训。这方面的努力不应只遵从有关部门或政府管理部门的良好愿望。一项政府措施能够保障预算的延续性，同时还能减轻来自世俗组织和宗教团体的利益压力。</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两性平等部门的公共政策在推动深刻的社会文化变化时表现出具有的局限性。</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国家妇女研究</w:t>
      </w:r>
      <w:r>
        <w:rPr>
          <w:rFonts w:hint="eastAsia"/>
          <w:bCs/>
        </w:rPr>
        <w:t>所作为该领域的负责机构，应该在女性研究、两性平等和在四个国立大学建立培训学校等计划之外，制订一项积极政策，以推动旨在消除大学教育、研究和社会活动中同两性不平等和不公正相关的重点、方法、内容和实践的教育改革。伴随这一政策的还有对教育体系各个层次的工作人员进行服务培训的计划，旨在消除课堂内外存在的歧视现象和行为。</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应该继续展开对中小学学习计划的审查，确定推动性别思维定势的内容，并制订相应的方法以删除这方面的内容。应该坚持对中小学教育工作者进行长期培训或提供服务，但是，为了疏导所需变化，政府应该保障必要的经济资源</w:t>
      </w:r>
      <w:r>
        <w:rPr>
          <w:rFonts w:hint="eastAsia"/>
          <w:bCs/>
        </w:rPr>
        <w:t>和激励机制，以实现这些变化的制度化。伴随这些措施，应该在整个教育体系的各个不同层次的职业担当和评价中纳入两性平等标准。</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应该使整个教育体系、公共部门和社会都意识到，家庭环境在教育和职业导向以及在职业和工作选择中通常导致因性别而做出不同决策的压力方面起了重要作用。为使这一努力获得成功，应该推动公共运动的开展，并将国家和地方各类媒体、教育机构、其它各类国家机构、宗教团体、市政当局和社会主要组织都囊括在这些运动之中。该运动的内容之一便是协调男女在家务劳动和生育过程中所承担的责任。</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不少研究都表明，在技术和大学教育</w:t>
      </w:r>
      <w:r>
        <w:rPr>
          <w:rFonts w:hint="eastAsia"/>
          <w:bCs/>
        </w:rPr>
        <w:t>等职业中，男女收入仍然存在着一定的差距。如果国家职业学院和国立大学不建立有效的行为机制，在女性从事科技职业及其收入的情况中存在的阻碍因素，不可能像哥斯达黎加政府向本公约和北京世界行动纲要所作承诺那样迅速消除。这些机制将采取针对女性的措施，实施最小份额的规定，制订一定的激励机制，有利于研究领域女性的收入、参与、晋升和劳动就业。一旦在劳动方面确定了女性的位置，那么，应该开展系统的追踪，以保障女性享有一个尊重权利的激励性劳动环境和远离暴力的劳动环境。</w:t>
      </w:r>
    </w:p>
    <w:p w:rsidR="00000000" w:rsidRDefault="00CA422F">
      <w:pPr>
        <w:pStyle w:val="BodyText"/>
        <w:spacing w:after="240" w:line="360" w:lineRule="exact"/>
        <w:rPr>
          <w:rFonts w:ascii="Times New Roman" w:hint="eastAsia"/>
          <w:bCs/>
          <w:sz w:val="21"/>
        </w:rPr>
      </w:pPr>
      <w:r>
        <w:rPr>
          <w:rFonts w:ascii="Times New Roman" w:hint="eastAsia"/>
          <w:bCs/>
          <w:sz w:val="21"/>
        </w:rPr>
        <w:t>672</w:t>
      </w:r>
      <w:r>
        <w:rPr>
          <w:rFonts w:ascii="Times New Roman" w:hint="eastAsia"/>
          <w:bCs/>
          <w:sz w:val="21"/>
        </w:rPr>
        <w:t>．《少年儿童法》的通过意味着在承认未成年人是权利主体的方</w:t>
      </w:r>
      <w:r>
        <w:rPr>
          <w:rFonts w:ascii="Times New Roman" w:hint="eastAsia"/>
          <w:bCs/>
          <w:sz w:val="21"/>
        </w:rPr>
        <w:t>面取得了一定的进展。因此，开展健康而负责地行使性生活权利的教育成为司法机构享有的权利。然而，教育体系、家庭、宗教团体和社区中仍然存在文化偏见，导致对此项教育行为的抗拒，虽然在这种状况的改变中已经取得了一定成就，但是，这些成就正面临着消失的危险。爱情和青年计划的实施过程为其它两性平等政策的制订提供了许多宝贵的经验。这些政策旨在推动年轻女性和成年妇女、男童、女童和未成年人自动行使自身的人权。</w:t>
      </w:r>
    </w:p>
    <w:p w:rsidR="00000000" w:rsidRDefault="00CA422F">
      <w:pPr>
        <w:pStyle w:val="BodyText"/>
        <w:spacing w:after="240" w:line="360" w:lineRule="exact"/>
        <w:rPr>
          <w:rFonts w:ascii="Times New Roman" w:hint="eastAsia"/>
          <w:bCs/>
          <w:sz w:val="21"/>
        </w:rPr>
      </w:pPr>
      <w:r>
        <w:rPr>
          <w:rFonts w:ascii="Times New Roman" w:hint="eastAsia"/>
          <w:bCs/>
          <w:sz w:val="21"/>
        </w:rPr>
        <w:t>673</w:t>
      </w:r>
      <w:r>
        <w:rPr>
          <w:rFonts w:ascii="Times New Roman" w:hint="eastAsia"/>
          <w:bCs/>
          <w:sz w:val="21"/>
        </w:rPr>
        <w:t>．该计划的改变主要源自政府和天主教教会之间开展的协商造成了重大影响，在负责组织和实施的主要参与人员身上引起了愤怒和</w:t>
      </w:r>
      <w:r>
        <w:rPr>
          <w:rFonts w:ascii="Times New Roman" w:hint="eastAsia"/>
          <w:bCs/>
          <w:sz w:val="21"/>
        </w:rPr>
        <w:t>失落的多重反响。该计划的成本较高，但却遭到了宗教权威和协助团体的攻击和指责。这项计划受到了削弱，因此，对不同内容的协调和管理也受到了一定阻碍。</w:t>
      </w:r>
    </w:p>
    <w:p w:rsidR="00000000" w:rsidRDefault="00CA422F">
      <w:pPr>
        <w:pStyle w:val="BodyText"/>
        <w:spacing w:after="240" w:line="360" w:lineRule="exact"/>
        <w:rPr>
          <w:rFonts w:ascii="Times New Roman" w:hint="eastAsia"/>
          <w:bCs/>
          <w:sz w:val="21"/>
        </w:rPr>
      </w:pPr>
      <w:r>
        <w:rPr>
          <w:rFonts w:ascii="Times New Roman" w:hint="eastAsia"/>
          <w:bCs/>
          <w:sz w:val="21"/>
        </w:rPr>
        <w:t>674</w:t>
      </w:r>
      <w:r>
        <w:rPr>
          <w:rFonts w:ascii="Times New Roman" w:hint="eastAsia"/>
          <w:bCs/>
          <w:sz w:val="21"/>
        </w:rPr>
        <w:t>．这一过程反映出人们在重视和尊重人权、关注少年儿童、提供适应他们的权利和需求的教育因素等方面面临了重大挑战。挑战之一便是如何打破机制和措施的传统制订过程——并非永远直接和透明——中“既有制度”和“必须如何”的父系体制独掌天下的局面。</w:t>
      </w:r>
    </w:p>
    <w:p w:rsidR="00000000" w:rsidRDefault="00CA422F">
      <w:pPr>
        <w:pStyle w:val="BodyText"/>
        <w:spacing w:after="240" w:line="360" w:lineRule="exact"/>
        <w:rPr>
          <w:rFonts w:ascii="Times New Roman" w:hint="eastAsia"/>
          <w:bCs/>
          <w:spacing w:val="4"/>
          <w:sz w:val="21"/>
        </w:rPr>
      </w:pPr>
      <w:r>
        <w:rPr>
          <w:rFonts w:ascii="Times New Roman" w:hint="eastAsia"/>
          <w:bCs/>
          <w:sz w:val="21"/>
        </w:rPr>
        <w:t>675</w:t>
      </w:r>
      <w:r>
        <w:rPr>
          <w:rFonts w:ascii="Times New Roman" w:hint="eastAsia"/>
          <w:bCs/>
          <w:sz w:val="21"/>
        </w:rPr>
        <w:t>．</w:t>
      </w:r>
      <w:r>
        <w:rPr>
          <w:rFonts w:ascii="Times New Roman" w:hint="eastAsia"/>
          <w:bCs/>
          <w:spacing w:val="4"/>
          <w:sz w:val="21"/>
        </w:rPr>
        <w:t>哥斯达黎加在性剥削和强迫未成年人卖淫等方面取得的成就极为有限。虽然</w:t>
      </w:r>
      <w:r>
        <w:rPr>
          <w:rFonts w:ascii="Times New Roman" w:hint="eastAsia"/>
          <w:bCs/>
          <w:spacing w:val="4"/>
          <w:sz w:val="21"/>
        </w:rPr>
        <w:t>1999</w:t>
      </w:r>
      <w:r>
        <w:rPr>
          <w:rFonts w:ascii="Times New Roman" w:hint="eastAsia"/>
          <w:bCs/>
          <w:spacing w:val="4"/>
          <w:sz w:val="21"/>
        </w:rPr>
        <w:t>年通过了</w:t>
      </w:r>
      <w:r>
        <w:rPr>
          <w:rFonts w:ascii="Times New Roman" w:hint="eastAsia"/>
          <w:bCs/>
          <w:spacing w:val="4"/>
          <w:sz w:val="21"/>
        </w:rPr>
        <w:t>7899</w:t>
      </w:r>
      <w:r>
        <w:rPr>
          <w:rFonts w:ascii="Times New Roman" w:hint="eastAsia"/>
          <w:bCs/>
          <w:spacing w:val="4"/>
          <w:sz w:val="21"/>
        </w:rPr>
        <w:t>号法律，即《打击反对未成年人的</w:t>
      </w:r>
      <w:r>
        <w:rPr>
          <w:rFonts w:ascii="Times New Roman" w:hint="eastAsia"/>
          <w:bCs/>
          <w:spacing w:val="4"/>
          <w:sz w:val="21"/>
        </w:rPr>
        <w:t>色情剥削法》，但是，在如此重大问题的预防和消除中仍然存在着不少阻碍。首先，哥斯达黎加缺乏预防和决定该问题的公共政策。这就导致了各个机构内缺乏相关政策，因此，出现了不少破坏国家机构和非政府组织的活动（国家妇女研究所，</w:t>
      </w:r>
      <w:r>
        <w:rPr>
          <w:rFonts w:ascii="Times New Roman" w:hint="eastAsia"/>
          <w:bCs/>
          <w:spacing w:val="4"/>
          <w:sz w:val="21"/>
        </w:rPr>
        <w:t>2002</w:t>
      </w:r>
      <w:r>
        <w:rPr>
          <w:rFonts w:ascii="Times New Roman" w:hint="eastAsia"/>
          <w:bCs/>
          <w:spacing w:val="4"/>
          <w:sz w:val="21"/>
        </w:rPr>
        <w:t>年）。其次，目前采取的大部分关注战略主要集中在对受害者的关注上，而不是这类行为的预防上。再次，国家预算缺乏解决这一问题的支出费用。</w:t>
      </w:r>
    </w:p>
    <w:p w:rsidR="00000000" w:rsidRDefault="00CA422F">
      <w:pPr>
        <w:pStyle w:val="BodyText"/>
        <w:spacing w:after="240" w:line="360" w:lineRule="exact"/>
        <w:rPr>
          <w:rFonts w:ascii="Times New Roman" w:hint="eastAsia"/>
          <w:bCs/>
          <w:sz w:val="21"/>
        </w:rPr>
      </w:pPr>
      <w:r>
        <w:rPr>
          <w:rFonts w:ascii="Times New Roman" w:hint="eastAsia"/>
          <w:bCs/>
          <w:sz w:val="21"/>
        </w:rPr>
        <w:t>676</w:t>
      </w:r>
      <w:r>
        <w:rPr>
          <w:rFonts w:ascii="Times New Roman" w:hint="eastAsia"/>
          <w:bCs/>
          <w:sz w:val="21"/>
        </w:rPr>
        <w:t>．公共舆论一直对上述问题持否定态度，无法接受未成年人性剥削的传统模式已经发生变化的事实，经常将其同家庭经济存活模式和全国范围内存在的国家和国际推动的网络</w:t>
      </w:r>
      <w:r>
        <w:rPr>
          <w:rFonts w:ascii="Times New Roman" w:hint="eastAsia"/>
          <w:bCs/>
          <w:sz w:val="21"/>
        </w:rPr>
        <w:t>混为一谈（国家妇女组织）。面对少年儿童领域中存在的不同种类的危险因素（社会、文化、经济等），这一问题显得更为严重。正是这些危险因素加重了少年儿童在性剥削者面前表现出来的软弱。此外，仍然缺乏及时的保护措施，也无法保证恢复受剥削群体的基本权利。相关法律在刑事诉讼和特别检察机构要求的技术资源方面根本无能为力。录音机、电脑、互联网接入等被认为是对受压迫群体的申诉开展调查的有效技术资源，因为目前为数众多的国内网站和国际网站都涉及这一问题，而且有些网站还同犯罪团伙有一定关连。遗憾的是，这些技术资源的配备极为有限，因此必</w:t>
      </w:r>
      <w:r>
        <w:rPr>
          <w:rFonts w:ascii="Times New Roman" w:hint="eastAsia"/>
          <w:bCs/>
          <w:sz w:val="21"/>
        </w:rPr>
        <w:t>须依靠联合机构的力量才能开展调查活动（</w:t>
      </w:r>
      <w:r>
        <w:rPr>
          <w:rFonts w:ascii="Times New Roman" w:hint="eastAsia"/>
          <w:bCs/>
          <w:sz w:val="21"/>
        </w:rPr>
        <w:t>Claramunt</w:t>
      </w:r>
      <w:r>
        <w:rPr>
          <w:rFonts w:ascii="Times New Roman" w:hint="eastAsia"/>
          <w:bCs/>
          <w:sz w:val="21"/>
        </w:rPr>
        <w:t>，</w:t>
      </w:r>
      <w:r>
        <w:rPr>
          <w:rFonts w:ascii="Times New Roman" w:hint="eastAsia"/>
          <w:bCs/>
          <w:sz w:val="21"/>
        </w:rPr>
        <w:t>2001</w:t>
      </w:r>
      <w:r>
        <w:rPr>
          <w:rFonts w:ascii="Times New Roman" w:hint="eastAsia"/>
          <w:bCs/>
          <w:sz w:val="21"/>
        </w:rPr>
        <w:t>年）。</w:t>
      </w:r>
    </w:p>
    <w:p w:rsidR="00000000" w:rsidRDefault="00CA422F">
      <w:pPr>
        <w:pStyle w:val="BodyText"/>
        <w:spacing w:after="240" w:line="360" w:lineRule="exact"/>
        <w:rPr>
          <w:rFonts w:ascii="Times New Roman" w:hint="eastAsia"/>
          <w:bCs/>
          <w:sz w:val="21"/>
        </w:rPr>
      </w:pPr>
      <w:r>
        <w:rPr>
          <w:rFonts w:ascii="Times New Roman" w:hint="eastAsia"/>
          <w:bCs/>
          <w:sz w:val="21"/>
        </w:rPr>
        <w:t>677</w:t>
      </w:r>
      <w:r>
        <w:rPr>
          <w:rFonts w:ascii="Times New Roman" w:hint="eastAsia"/>
          <w:bCs/>
          <w:sz w:val="21"/>
        </w:rPr>
        <w:t>．目前，一项名为“变化就在你手中”的计划正在各个机构（联合国儿童基金会、国家妇女研究所、保护儿童国家组织和哥斯达黎加旅游局）的合作中展开，是解决该问题的最好方式。为了更好地贯彻有关的法律规定，必须投入和保障一定的预算，对受害者进行关注，同时开展高效的司法调查（国家妇女研究所，</w:t>
      </w:r>
      <w:r>
        <w:rPr>
          <w:rFonts w:ascii="Times New Roman" w:hint="eastAsia"/>
          <w:bCs/>
          <w:sz w:val="21"/>
        </w:rPr>
        <w:t>2002</w:t>
      </w:r>
      <w:r>
        <w:rPr>
          <w:rFonts w:ascii="Times New Roman" w:hint="eastAsia"/>
          <w:bCs/>
          <w:sz w:val="21"/>
        </w:rPr>
        <w:t>年）。虽然哥斯达黎加在预防和关注性暴力、对女童和未成年少女的盈利性色情剥削等方面进行了大规模的政府干预，但是，仍未能推动政府机构制订公共政策。目前，</w:t>
      </w:r>
      <w:r>
        <w:rPr>
          <w:rFonts w:ascii="Times New Roman" w:hint="eastAsia"/>
          <w:bCs/>
          <w:sz w:val="21"/>
        </w:rPr>
        <w:t>在这一问题的申诉、社会敏感、关注女童和未成年少女以及要求国家做出适当而有效的回应等方面起领导作用的主要是一些社会组织。</w:t>
      </w:r>
    </w:p>
    <w:p w:rsidR="00000000" w:rsidRDefault="00CA422F">
      <w:pPr>
        <w:pStyle w:val="BodyText"/>
        <w:spacing w:after="240" w:line="360" w:lineRule="exact"/>
        <w:rPr>
          <w:rFonts w:ascii="Times New Roman" w:hint="eastAsia"/>
          <w:bCs/>
          <w:sz w:val="21"/>
        </w:rPr>
      </w:pPr>
      <w:r>
        <w:rPr>
          <w:rFonts w:ascii="Times New Roman" w:hint="eastAsia"/>
          <w:bCs/>
          <w:sz w:val="21"/>
        </w:rPr>
        <w:t>678</w:t>
      </w:r>
      <w:r>
        <w:rPr>
          <w:rFonts w:ascii="Times New Roman" w:hint="eastAsia"/>
          <w:bCs/>
          <w:sz w:val="21"/>
        </w:rPr>
        <w:t>．哥斯达黎加妇女在获得参与不同领域不同层次的决策的平等机遇的斗争过程中仍然需要面临重重的困难。要想克服这些困难是一项非常艰难的工作，要求组织起来的女性、政党领导人、国家四大权力机关（行政、立法、司法和选举）内担当高层职位的女性以及国家机制联合起来，实施战略联盟。</w:t>
      </w:r>
    </w:p>
    <w:p w:rsidR="00000000" w:rsidRDefault="00CA422F">
      <w:pPr>
        <w:pStyle w:val="BodyText"/>
        <w:spacing w:after="240" w:line="360" w:lineRule="exact"/>
        <w:rPr>
          <w:rFonts w:ascii="Times New Roman" w:hint="eastAsia"/>
          <w:bCs/>
          <w:sz w:val="21"/>
        </w:rPr>
      </w:pPr>
      <w:r>
        <w:rPr>
          <w:rFonts w:ascii="Times New Roman" w:hint="eastAsia"/>
          <w:bCs/>
          <w:sz w:val="21"/>
        </w:rPr>
        <w:t>679</w:t>
      </w:r>
      <w:r>
        <w:rPr>
          <w:rFonts w:ascii="Times New Roman" w:hint="eastAsia"/>
          <w:bCs/>
          <w:sz w:val="21"/>
        </w:rPr>
        <w:t>．虽然已经取得了不少成就，但是在女性的政治参与和不同层次决策职位的获得中仍然存在着不平等现象和各种形式的阻碍因素。这</w:t>
      </w:r>
      <w:r>
        <w:rPr>
          <w:rFonts w:ascii="Times New Roman" w:hint="eastAsia"/>
          <w:bCs/>
          <w:sz w:val="21"/>
        </w:rPr>
        <w:t>些阻挠来自家庭对女性的放弃要求、对女性能力和行为的轻视，甚至还来自必要的经济资源和战略信息的缺乏，以致女性无法在选举过程中同男性进行竞争等。</w:t>
      </w:r>
    </w:p>
    <w:p w:rsidR="00000000" w:rsidRDefault="00CA422F">
      <w:pPr>
        <w:pStyle w:val="BodyText"/>
        <w:spacing w:after="240" w:line="360" w:lineRule="exact"/>
        <w:rPr>
          <w:rFonts w:ascii="Times New Roman" w:hint="eastAsia"/>
          <w:bCs/>
          <w:sz w:val="21"/>
        </w:rPr>
      </w:pPr>
      <w:r>
        <w:rPr>
          <w:rFonts w:ascii="Times New Roman" w:hint="eastAsia"/>
          <w:bCs/>
          <w:sz w:val="21"/>
        </w:rPr>
        <w:t>680</w:t>
      </w:r>
      <w:r>
        <w:rPr>
          <w:rFonts w:ascii="Times New Roman" w:hint="eastAsia"/>
          <w:bCs/>
          <w:sz w:val="21"/>
        </w:rPr>
        <w:t>．过去的十年积累的经验体现了现行立法中存在的缺陷和不足，同时还反映出机制调整的必要性，保障女性政治参与最低份额的有效实施，并对女性进行能力培训，使其能够积极行使自身享有的公民权利。不同层次中的女性参与都有所增加；但是，虽然做出了不少努力和牺牲，还投入了不少资源，女性在政党的领导职位、普选职位以及政府不同机构的任命等方面，得到的收获与付出的努力极不相称。</w:t>
      </w:r>
    </w:p>
    <w:p w:rsidR="00000000" w:rsidRDefault="00CA422F">
      <w:pPr>
        <w:pStyle w:val="BodyText"/>
        <w:spacing w:after="240" w:line="360" w:lineRule="exact"/>
        <w:rPr>
          <w:rFonts w:ascii="Times New Roman" w:hint="eastAsia"/>
          <w:bCs/>
          <w:sz w:val="21"/>
        </w:rPr>
      </w:pPr>
      <w:r>
        <w:rPr>
          <w:rFonts w:ascii="Times New Roman" w:hint="eastAsia"/>
          <w:bCs/>
          <w:sz w:val="21"/>
        </w:rPr>
        <w:t>681</w:t>
      </w:r>
      <w:r>
        <w:rPr>
          <w:rFonts w:ascii="Times New Roman" w:hint="eastAsia"/>
          <w:bCs/>
          <w:sz w:val="21"/>
        </w:rPr>
        <w:t>．</w:t>
      </w:r>
      <w:r>
        <w:rPr>
          <w:rFonts w:ascii="Times New Roman" w:hint="eastAsia"/>
          <w:bCs/>
          <w:sz w:val="21"/>
        </w:rPr>
        <w:t>面临的挑战是多样的，也是非常复杂的，但是可以将这些挑战概括为三项未完成的任务：</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保证政党在各个层次上都明确采用保障妇女在政党结构和公共选举职位中</w:t>
      </w:r>
      <w:r>
        <w:rPr>
          <w:rFonts w:hint="eastAsia"/>
          <w:bCs/>
        </w:rPr>
        <w:t>40</w:t>
      </w:r>
      <w:r>
        <w:rPr>
          <w:rFonts w:hint="eastAsia"/>
          <w:bCs/>
        </w:rPr>
        <w:t>％的最低参与份额，同时还应为女性的培训提供最低额度的资金支持。同样，要求制订有效机制，以确保在部委、副部级单位、负责部门、国家机关总部、领导委员会、执行主席团、权力下放机构的代理机构和下属机构的任命中，女性享有</w:t>
      </w:r>
      <w:r>
        <w:rPr>
          <w:rFonts w:hint="eastAsia"/>
          <w:bCs/>
        </w:rPr>
        <w:t>40</w:t>
      </w:r>
      <w:r>
        <w:rPr>
          <w:rFonts w:hint="eastAsia"/>
          <w:bCs/>
        </w:rPr>
        <w:t>％的最低额度。</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通过了国家妇女研究所提议的选举法修正案，并将其纳入</w:t>
      </w:r>
      <w:r>
        <w:rPr>
          <w:rFonts w:hint="eastAsia"/>
          <w:bCs/>
        </w:rPr>
        <w:t>14268</w:t>
      </w:r>
      <w:r>
        <w:rPr>
          <w:rFonts w:hint="eastAsia"/>
          <w:bCs/>
        </w:rPr>
        <w:t>号的法律草案范围内，旨在建立男女在政党的任命和提名中享有平等的选择权，以便</w:t>
      </w:r>
      <w:r>
        <w:rPr>
          <w:rFonts w:hint="eastAsia"/>
          <w:bCs/>
        </w:rPr>
        <w:t>参加全国和地方的选举和提名；在最高选举法庭创办两性平等机构，推动机构制订的政策、计划、方案和措施以及该机构提供的服务引入性别观点；将统计信息按照性别进行区分；平等任命最高选举法庭代表团的男女成员；由最高选举法庭提供经济资助，为推动哥斯达黎加男女公民参与和世俗教育的参与做出一定的贡献，并为女性参与政治培训的比例做出相应规定。</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为女性担任对性别问题有敏感认识的领导职务提供制度上的便利，引导公民的集体参与，建立关注妇女需求和利益的代表机构。这将有助于女性作为主要人士积极参与有关女性性别条件和状况的各项法律、计划、</w:t>
      </w:r>
      <w:r>
        <w:rPr>
          <w:rFonts w:hint="eastAsia"/>
          <w:bCs/>
        </w:rPr>
        <w:t>方案和政策的制订。这项努力应该由国家妇女研究所——作为国家机制、最高选举法庭和其它妇女组织共同承担，因为需要提供适当而稳定的经济援助。</w:t>
      </w:r>
    </w:p>
    <w:p w:rsidR="00000000" w:rsidRDefault="00CA422F">
      <w:pPr>
        <w:pStyle w:val="BodyText"/>
        <w:spacing w:after="240" w:line="360" w:lineRule="exact"/>
        <w:rPr>
          <w:rFonts w:ascii="Times New Roman" w:hint="eastAsia"/>
          <w:bCs/>
          <w:sz w:val="21"/>
        </w:rPr>
      </w:pPr>
      <w:r>
        <w:rPr>
          <w:rFonts w:ascii="Times New Roman" w:hint="eastAsia"/>
          <w:bCs/>
          <w:sz w:val="21"/>
        </w:rPr>
        <w:t>682</w:t>
      </w:r>
      <w:r>
        <w:rPr>
          <w:rFonts w:ascii="Times New Roman" w:hint="eastAsia"/>
          <w:bCs/>
          <w:sz w:val="21"/>
        </w:rPr>
        <w:t>．为了消除对外政策中两性平等方面存在的重大问题所采取的战略方针的行使中取得的成就主要集中在国家妇女研究所在国际会议中所做的努力，两性平等和公正等问题在备忘录和讨论中的出现，国家妇女研究所被任命为国家机制网络地方协调机构，推动两性平等和促进女性发展等计划的国际经济援助的加强等方面。</w:t>
      </w:r>
    </w:p>
    <w:p w:rsidR="00000000" w:rsidRDefault="00CA422F">
      <w:pPr>
        <w:pStyle w:val="BodyText"/>
        <w:spacing w:after="240" w:line="360" w:lineRule="exact"/>
        <w:rPr>
          <w:rFonts w:ascii="Times New Roman" w:hint="eastAsia"/>
          <w:bCs/>
          <w:sz w:val="21"/>
        </w:rPr>
      </w:pPr>
      <w:r>
        <w:rPr>
          <w:rFonts w:ascii="Times New Roman" w:hint="eastAsia"/>
          <w:bCs/>
          <w:sz w:val="21"/>
        </w:rPr>
        <w:t>683</w:t>
      </w:r>
      <w:r>
        <w:rPr>
          <w:rFonts w:ascii="Times New Roman" w:hint="eastAsia"/>
          <w:bCs/>
          <w:sz w:val="21"/>
        </w:rPr>
        <w:t>．还有一项有待完成的任务便是，将性别观点纳入外交和信仰部诸如国际条约规定承诺相关报</w:t>
      </w:r>
      <w:r>
        <w:rPr>
          <w:rFonts w:ascii="Times New Roman" w:hint="eastAsia"/>
          <w:bCs/>
          <w:sz w:val="21"/>
        </w:rPr>
        <w:t>告的撰写过程、国际会议和地区性会晤的参与以及国际协商和制订相关的机构政策等日常工作的范围之内。</w:t>
      </w:r>
    </w:p>
    <w:p w:rsidR="00000000" w:rsidRDefault="00CA422F">
      <w:pPr>
        <w:pStyle w:val="BodyText"/>
        <w:spacing w:after="240" w:line="360" w:lineRule="exact"/>
        <w:rPr>
          <w:rFonts w:ascii="Times New Roman" w:hint="eastAsia"/>
          <w:bCs/>
          <w:sz w:val="21"/>
        </w:rPr>
      </w:pPr>
      <w:r>
        <w:rPr>
          <w:rFonts w:ascii="Times New Roman" w:hint="eastAsia"/>
          <w:bCs/>
          <w:sz w:val="21"/>
        </w:rPr>
        <w:t>684</w:t>
      </w:r>
      <w:r>
        <w:rPr>
          <w:rFonts w:ascii="Times New Roman" w:hint="eastAsia"/>
          <w:bCs/>
          <w:sz w:val="21"/>
        </w:rPr>
        <w:t>．外交部和涉外服务工作人员的任命和派遣中存在着男女区别对待的现象，必须大力推动消除此类性别歧视现象的活动。</w:t>
      </w:r>
    </w:p>
    <w:p w:rsidR="00000000" w:rsidRDefault="00CA422F">
      <w:pPr>
        <w:pStyle w:val="BodyText"/>
        <w:spacing w:after="240" w:line="360" w:lineRule="exact"/>
        <w:rPr>
          <w:rFonts w:ascii="Times New Roman" w:hint="eastAsia"/>
          <w:bCs/>
          <w:sz w:val="21"/>
        </w:rPr>
      </w:pPr>
      <w:r>
        <w:rPr>
          <w:rFonts w:ascii="Times New Roman" w:hint="eastAsia"/>
          <w:bCs/>
          <w:sz w:val="21"/>
        </w:rPr>
        <w:t>685</w:t>
      </w:r>
      <w:r>
        <w:rPr>
          <w:rFonts w:ascii="Times New Roman" w:hint="eastAsia"/>
          <w:bCs/>
          <w:sz w:val="21"/>
        </w:rPr>
        <w:t>．另外，还应加强国家机制作为负责机构在平等政策制订过程中发挥的作用，制造便利条件，使国家妇女研究所在对外政策、对外任务和有关两性平等和公正的国际论坛中长期采取相应的态度。</w:t>
      </w:r>
    </w:p>
    <w:p w:rsidR="00000000" w:rsidRDefault="00CA422F">
      <w:pPr>
        <w:pStyle w:val="BodyText"/>
        <w:spacing w:after="240" w:line="360" w:lineRule="exact"/>
        <w:rPr>
          <w:rFonts w:ascii="Times New Roman" w:hint="eastAsia"/>
          <w:bCs/>
          <w:sz w:val="21"/>
        </w:rPr>
      </w:pPr>
      <w:r>
        <w:rPr>
          <w:rFonts w:ascii="Times New Roman" w:hint="eastAsia"/>
          <w:bCs/>
          <w:sz w:val="21"/>
        </w:rPr>
        <w:t>686</w:t>
      </w:r>
      <w:r>
        <w:rPr>
          <w:rFonts w:ascii="Times New Roman" w:hint="eastAsia"/>
          <w:bCs/>
          <w:sz w:val="21"/>
        </w:rPr>
        <w:t>．调查研究期间，哥斯达黎加政府制订了尊重宪法平等原则和主要同尼加拉瓜移民群体相关的公共政策。因此，卫生服务和教育体系必</w:t>
      </w:r>
      <w:r>
        <w:rPr>
          <w:rFonts w:ascii="Times New Roman" w:hint="eastAsia"/>
          <w:bCs/>
          <w:sz w:val="21"/>
        </w:rPr>
        <w:t>须面向所有申请人员提供服务，不管申请者是否为移民。这些措施受到了所有公民的一致赞同，因为尼加拉瓜妇女的子女大部分出生在哥斯达黎加，并且很可能同他们的母亲共同生活在哥斯达黎加。这些措施解决了他们的移民身份，让他们不再遭受歧视，并在一定程度上为他们家庭的美好未来提供了保障。</w:t>
      </w:r>
    </w:p>
    <w:p w:rsidR="00000000" w:rsidRDefault="00CA422F">
      <w:pPr>
        <w:pStyle w:val="BodyText"/>
        <w:spacing w:after="240" w:line="360" w:lineRule="exact"/>
        <w:rPr>
          <w:rFonts w:ascii="Times New Roman" w:hint="eastAsia"/>
          <w:bCs/>
          <w:sz w:val="21"/>
        </w:rPr>
      </w:pPr>
      <w:r>
        <w:rPr>
          <w:rFonts w:ascii="Times New Roman" w:hint="eastAsia"/>
          <w:bCs/>
          <w:sz w:val="21"/>
        </w:rPr>
        <w:t>687</w:t>
      </w:r>
      <w:r>
        <w:rPr>
          <w:rFonts w:ascii="Times New Roman" w:hint="eastAsia"/>
          <w:bCs/>
          <w:sz w:val="21"/>
        </w:rPr>
        <w:t>．在这个意义上，为达到帮助规范其移民身份的目的，需要面对下列挑战：</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在尼加拉瓜女性较为集中的地区和机构开展信息活动，向她们提供有关权利、规范其移民身份的机制和手续以及获得哥斯达黎加公民身份等方面的信息。这些信息应该传播到尼加拉瓜妇女经</w:t>
      </w:r>
      <w:r>
        <w:rPr>
          <w:rFonts w:hint="eastAsia"/>
          <w:bCs/>
        </w:rPr>
        <w:t>常光顾的商店、医疗中心和学校等机构。</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推动敏感化措施，对卫生部门和教育体系的工作人员进行培训，消除他们对尼加拉瓜人，特别是尼加拉瓜妇女的排外心理和其它各种形式的偏见。</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使得尼加拉瓜人能够获得规范其移民身份的服务和手续，同时还应考虑到男女差异和尼加拉瓜人在办理手续时所处的特殊状况。</w:t>
      </w:r>
    </w:p>
    <w:p w:rsidR="00000000" w:rsidRDefault="00CA422F">
      <w:pPr>
        <w:pStyle w:val="BodyText"/>
        <w:spacing w:after="240" w:line="360" w:lineRule="exact"/>
        <w:rPr>
          <w:rFonts w:ascii="Times New Roman" w:hint="eastAsia"/>
          <w:bCs/>
          <w:sz w:val="21"/>
        </w:rPr>
      </w:pPr>
      <w:r>
        <w:rPr>
          <w:rFonts w:ascii="Times New Roman" w:hint="eastAsia"/>
          <w:bCs/>
          <w:sz w:val="21"/>
        </w:rPr>
        <w:t>688</w:t>
      </w:r>
      <w:r>
        <w:rPr>
          <w:rFonts w:ascii="Times New Roman" w:hint="eastAsia"/>
          <w:bCs/>
          <w:sz w:val="21"/>
        </w:rPr>
        <w:t>．哥斯达黎加在履行对本公约有关文化、教育方面的承诺以及对《北京世界行动纲要》有关规定的贯彻过程中所取得的成就应该说是多样的。一方面，女性接受教育培训的比例高于男性，这很可能帮助女性缩短男女在工作收入和从事特殊职位中存在的现有</w:t>
      </w:r>
      <w:r>
        <w:rPr>
          <w:rFonts w:ascii="Times New Roman" w:hint="eastAsia"/>
          <w:bCs/>
          <w:sz w:val="21"/>
        </w:rPr>
        <w:t>差异。</w:t>
      </w:r>
    </w:p>
    <w:p w:rsidR="00000000" w:rsidRDefault="00CA422F">
      <w:pPr>
        <w:pStyle w:val="BodyText"/>
        <w:spacing w:after="240" w:line="360" w:lineRule="exact"/>
        <w:rPr>
          <w:rFonts w:ascii="Times New Roman" w:hint="eastAsia"/>
          <w:bCs/>
          <w:sz w:val="21"/>
        </w:rPr>
      </w:pPr>
      <w:r>
        <w:rPr>
          <w:rFonts w:ascii="Times New Roman" w:hint="eastAsia"/>
          <w:bCs/>
          <w:sz w:val="21"/>
        </w:rPr>
        <w:t>689</w:t>
      </w:r>
      <w:r>
        <w:rPr>
          <w:rFonts w:ascii="Times New Roman" w:hint="eastAsia"/>
          <w:bCs/>
          <w:sz w:val="21"/>
        </w:rPr>
        <w:t>．总的来说，女性在第三阶段的教育（国家高等教育）中的注册人数多于男性。在国立大学中，在奖学金的获得、研究参与、学科体制建设的参与、教育职称和管理职位等方面实现了男女平等。在寻求男女平等和公正的理论立场、实践和女性需求方面，敏感程度和开放程度都有所提高。</w:t>
      </w:r>
    </w:p>
    <w:p w:rsidR="00000000" w:rsidRDefault="00CA422F">
      <w:pPr>
        <w:pStyle w:val="BodyText"/>
        <w:spacing w:after="240" w:line="360" w:lineRule="exact"/>
        <w:rPr>
          <w:rFonts w:ascii="Times New Roman" w:hint="eastAsia"/>
          <w:bCs/>
          <w:sz w:val="21"/>
        </w:rPr>
      </w:pPr>
      <w:r>
        <w:rPr>
          <w:rFonts w:ascii="Times New Roman" w:hint="eastAsia"/>
          <w:bCs/>
          <w:sz w:val="21"/>
        </w:rPr>
        <w:t>690</w:t>
      </w:r>
      <w:r>
        <w:rPr>
          <w:rFonts w:ascii="Times New Roman" w:hint="eastAsia"/>
          <w:bCs/>
          <w:sz w:val="21"/>
        </w:rPr>
        <w:t>．虽然取得了上述成就，但是仍然存在着不少困难，也就是说还面临着不少重大挑战。在传统上区分男女的教育领域的一体化中仍有不少未完成的任务，女性机遇的配给——特别是科学技术的教育领域——中也存在着同样的问题。此外，必须消除在接受第三阶段教育和职</w:t>
      </w:r>
      <w:r>
        <w:rPr>
          <w:rFonts w:ascii="Times New Roman" w:hint="eastAsia"/>
          <w:bCs/>
          <w:sz w:val="21"/>
        </w:rPr>
        <w:t>业培训中存在的男女之间因性别而造成的差异。还有一项有待完成的任务就是应该在技术院校、国家职业学院等公立和私立大学的专业注册、劳动力市场的竞争领域制订不断增加的注册指标。</w:t>
      </w:r>
    </w:p>
    <w:p w:rsidR="00000000" w:rsidRDefault="00CA422F">
      <w:pPr>
        <w:pStyle w:val="BodyText"/>
        <w:spacing w:after="240" w:line="360" w:lineRule="exact"/>
        <w:rPr>
          <w:rFonts w:ascii="Times New Roman" w:hint="eastAsia"/>
          <w:bCs/>
          <w:sz w:val="21"/>
        </w:rPr>
      </w:pPr>
      <w:r>
        <w:rPr>
          <w:rFonts w:ascii="Times New Roman" w:hint="eastAsia"/>
          <w:bCs/>
          <w:sz w:val="21"/>
        </w:rPr>
        <w:t>691</w:t>
      </w:r>
      <w:r>
        <w:rPr>
          <w:rFonts w:ascii="Times New Roman" w:hint="eastAsia"/>
          <w:bCs/>
          <w:sz w:val="21"/>
        </w:rPr>
        <w:t>．上述这一切都要求采取加强主动性的补充措施。例如，推动一项“女性新技能”计划，重点关注技术院校中的专业选择和大专院校、国家职业学院与各个大学的就业指导；此外，还制订了让女性在传统上以男性为主的专业中获得注册权的目标。同时，还应该建立保障女性在上述专业进行长期学习的机制，如奖学金、援助服务及其它激励方式；从两性平等的角度对技术院校、国家</w:t>
      </w:r>
      <w:r>
        <w:rPr>
          <w:rFonts w:ascii="Times New Roman" w:hint="eastAsia"/>
          <w:bCs/>
          <w:sz w:val="21"/>
        </w:rPr>
        <w:t>职业学院和大学各个专业的学习计划进行审查；分析协调就业指导和自我就业等活动。</w:t>
      </w:r>
    </w:p>
    <w:p w:rsidR="00000000" w:rsidRDefault="00CA422F">
      <w:pPr>
        <w:pStyle w:val="BodyText"/>
        <w:spacing w:after="240" w:line="360" w:lineRule="exact"/>
        <w:rPr>
          <w:rFonts w:ascii="Times New Roman" w:hint="eastAsia"/>
          <w:bCs/>
          <w:sz w:val="21"/>
        </w:rPr>
      </w:pPr>
      <w:r>
        <w:rPr>
          <w:rFonts w:ascii="Times New Roman" w:hint="eastAsia"/>
          <w:bCs/>
          <w:sz w:val="21"/>
        </w:rPr>
        <w:t>692</w:t>
      </w:r>
      <w:r>
        <w:rPr>
          <w:rFonts w:ascii="Times New Roman" w:hint="eastAsia"/>
          <w:bCs/>
          <w:sz w:val="21"/>
        </w:rPr>
        <w:t>．这段时间内，哥斯达黎加在女性就业和劳动方面成就突出。女性参与劳动的人数有所增加。因性别造成女性处于不利地位的收入差距也有一定程度的缩小，然而，收入差距最大的仍然是女性劳动力集中的行业。此外，专业和技术人员中的女性比例也略有上升，女性担任领导职位的比例也有所增加。女性开办企业的能力也有了提高。在无偿家务劳动的价值估算方面也做出了一定的努力。成立了女性劳动权利跨部门管理委员会，该委员会目前运转正常。</w:t>
      </w:r>
    </w:p>
    <w:p w:rsidR="00000000" w:rsidRDefault="00CA422F">
      <w:pPr>
        <w:pStyle w:val="BodyText"/>
        <w:spacing w:after="240" w:line="360" w:lineRule="exact"/>
        <w:rPr>
          <w:rFonts w:ascii="Times New Roman" w:hint="eastAsia"/>
          <w:bCs/>
          <w:sz w:val="21"/>
        </w:rPr>
      </w:pPr>
      <w:r>
        <w:rPr>
          <w:rFonts w:ascii="Times New Roman" w:hint="eastAsia"/>
          <w:bCs/>
          <w:sz w:val="21"/>
        </w:rPr>
        <w:t>693</w:t>
      </w:r>
      <w:r>
        <w:rPr>
          <w:rFonts w:ascii="Times New Roman" w:hint="eastAsia"/>
          <w:bCs/>
          <w:sz w:val="21"/>
        </w:rPr>
        <w:t>．在加强制度化方面，</w:t>
      </w:r>
      <w:r>
        <w:rPr>
          <w:rFonts w:ascii="Times New Roman" w:hint="eastAsia"/>
          <w:bCs/>
          <w:sz w:val="21"/>
        </w:rPr>
        <w:t>2000</w:t>
      </w:r>
      <w:r>
        <w:rPr>
          <w:rFonts w:ascii="Times New Roman" w:hint="eastAsia"/>
          <w:bCs/>
          <w:sz w:val="21"/>
        </w:rPr>
        <w:t>年签署了国家妇女研究所与劳动和社会保障部的协议，通过并开始执行两性平等和公正行动计划（</w:t>
      </w:r>
      <w:r>
        <w:rPr>
          <w:rFonts w:ascii="Times New Roman" w:hint="eastAsia"/>
          <w:bCs/>
          <w:sz w:val="21"/>
        </w:rPr>
        <w:t>2000</w:t>
      </w:r>
      <w:r>
        <w:rPr>
          <w:rFonts w:ascii="Times New Roman" w:hint="eastAsia"/>
          <w:bCs/>
          <w:sz w:val="21"/>
        </w:rPr>
        <w:t>－</w:t>
      </w:r>
      <w:r>
        <w:rPr>
          <w:rFonts w:ascii="Times New Roman" w:hint="eastAsia"/>
          <w:bCs/>
          <w:sz w:val="21"/>
        </w:rPr>
        <w:t>2002</w:t>
      </w:r>
      <w:r>
        <w:rPr>
          <w:rFonts w:ascii="Times New Roman" w:hint="eastAsia"/>
          <w:bCs/>
          <w:sz w:val="21"/>
        </w:rPr>
        <w:t>年）。成立了劳动和社会保障部性别机构；</w:t>
      </w:r>
      <w:r>
        <w:rPr>
          <w:rFonts w:ascii="Times New Roman" w:hint="eastAsia"/>
          <w:bCs/>
          <w:sz w:val="21"/>
        </w:rPr>
        <w:t>2002</w:t>
      </w:r>
      <w:r>
        <w:rPr>
          <w:rFonts w:ascii="Times New Roman" w:hint="eastAsia"/>
          <w:bCs/>
          <w:sz w:val="21"/>
        </w:rPr>
        <w:t>年</w:t>
      </w:r>
      <w:r>
        <w:rPr>
          <w:rFonts w:ascii="Times New Roman" w:hint="eastAsia"/>
          <w:bCs/>
          <w:sz w:val="21"/>
        </w:rPr>
        <w:t>2</w:t>
      </w:r>
      <w:r>
        <w:rPr>
          <w:rFonts w:ascii="Times New Roman" w:hint="eastAsia"/>
          <w:bCs/>
          <w:sz w:val="21"/>
        </w:rPr>
        <w:t>月还签署了“建立哥斯达黎加生产行业劳动承认并进行两性平等标记机制”计划。此外，还设立了“就业信息、指导和协调国家体系”。与此同时，作为《贫困妇女关注法》包含的国家制度之一的“共同前进”计划，从开展至今已经取得了不少成就。</w:t>
      </w:r>
    </w:p>
    <w:p w:rsidR="00000000" w:rsidRDefault="00CA422F">
      <w:pPr>
        <w:pStyle w:val="BodyText"/>
        <w:spacing w:after="240" w:line="360" w:lineRule="exact"/>
        <w:rPr>
          <w:rFonts w:ascii="Times New Roman" w:hint="eastAsia"/>
          <w:bCs/>
          <w:sz w:val="21"/>
        </w:rPr>
      </w:pPr>
      <w:r>
        <w:rPr>
          <w:rFonts w:ascii="Times New Roman" w:hint="eastAsia"/>
          <w:bCs/>
          <w:sz w:val="21"/>
        </w:rPr>
        <w:t>694</w:t>
      </w:r>
      <w:r>
        <w:rPr>
          <w:rFonts w:ascii="Times New Roman" w:hint="eastAsia"/>
          <w:bCs/>
          <w:sz w:val="21"/>
        </w:rPr>
        <w:t>．虽然取得了上述成绩，但是还有不少领域仍然需要贯彻实施本公约和《北京世界行动纲要》的有关规定。首先，要消除在生产机遇、就业</w:t>
      </w:r>
      <w:r>
        <w:rPr>
          <w:rFonts w:ascii="Times New Roman" w:hint="eastAsia"/>
          <w:bCs/>
          <w:sz w:val="21"/>
        </w:rPr>
        <w:t>、福利、服务、信息和技术获得等方面因性别而造成的现有差异。其次，哥斯达黎加政府必须采取一定措施，通过资金、土地、贷款、技术援助、科学技术和培训等方面的获得，提高女性的生产能力。与此同时，一项非常紧急的任务就是必须适当地关注不稳定和非常规的劳动领域，如自营职业和微型企业中不断上升的女性人数。</w:t>
      </w:r>
    </w:p>
    <w:p w:rsidR="00000000" w:rsidRDefault="00CA422F">
      <w:pPr>
        <w:pStyle w:val="BodyText"/>
        <w:spacing w:after="240" w:line="360" w:lineRule="exact"/>
        <w:rPr>
          <w:rFonts w:ascii="Times New Roman" w:hint="eastAsia"/>
          <w:bCs/>
          <w:sz w:val="21"/>
        </w:rPr>
      </w:pPr>
      <w:r>
        <w:rPr>
          <w:rFonts w:ascii="Times New Roman" w:hint="eastAsia"/>
          <w:bCs/>
          <w:sz w:val="21"/>
        </w:rPr>
        <w:t>695</w:t>
      </w:r>
      <w:r>
        <w:rPr>
          <w:rFonts w:ascii="Times New Roman" w:hint="eastAsia"/>
          <w:bCs/>
          <w:sz w:val="21"/>
        </w:rPr>
        <w:t>．虽然哥斯达黎加政府努力为已经成为母亲的女性劳动者提供援助服务，但是，还需加强和扩大有关措施，使从事工作或进行学习的男女都能够享受到国家为照顾子女提供的高质量的服务。</w:t>
      </w:r>
    </w:p>
    <w:p w:rsidR="00000000" w:rsidRDefault="00CA422F">
      <w:pPr>
        <w:pStyle w:val="BodyText"/>
        <w:spacing w:after="240" w:line="360" w:lineRule="exact"/>
        <w:rPr>
          <w:rFonts w:ascii="Times New Roman" w:hint="eastAsia"/>
          <w:bCs/>
          <w:sz w:val="21"/>
        </w:rPr>
      </w:pPr>
      <w:r>
        <w:rPr>
          <w:rFonts w:ascii="Times New Roman" w:hint="eastAsia"/>
          <w:bCs/>
          <w:sz w:val="21"/>
        </w:rPr>
        <w:t>696</w:t>
      </w:r>
      <w:r>
        <w:rPr>
          <w:rFonts w:ascii="Times New Roman" w:hint="eastAsia"/>
          <w:bCs/>
          <w:sz w:val="21"/>
        </w:rPr>
        <w:t>．另一个颇受争议的领域同家务劳动者的劳动</w:t>
      </w:r>
      <w:r>
        <w:rPr>
          <w:rFonts w:ascii="Times New Roman" w:hint="eastAsia"/>
          <w:bCs/>
          <w:sz w:val="21"/>
        </w:rPr>
        <w:t>条件有关，特别是不支付社会保险，工作时间长，现行《劳工法》第</w:t>
      </w:r>
      <w:r>
        <w:rPr>
          <w:rFonts w:ascii="Times New Roman" w:hint="eastAsia"/>
          <w:bCs/>
          <w:sz w:val="21"/>
        </w:rPr>
        <w:t>104</w:t>
      </w:r>
      <w:r>
        <w:rPr>
          <w:rFonts w:ascii="Times New Roman" w:hint="eastAsia"/>
          <w:bCs/>
          <w:sz w:val="21"/>
        </w:rPr>
        <w:t>和</w:t>
      </w:r>
      <w:r>
        <w:rPr>
          <w:rFonts w:ascii="Times New Roman" w:hint="eastAsia"/>
          <w:bCs/>
          <w:sz w:val="21"/>
        </w:rPr>
        <w:t>105</w:t>
      </w:r>
      <w:r>
        <w:rPr>
          <w:rFonts w:ascii="Times New Roman" w:hint="eastAsia"/>
          <w:bCs/>
          <w:sz w:val="21"/>
        </w:rPr>
        <w:t>条的有关规定也存在着歧视从事家务劳动的女性等问题。</w:t>
      </w:r>
    </w:p>
    <w:p w:rsidR="00000000" w:rsidRDefault="00CA422F">
      <w:pPr>
        <w:pStyle w:val="BodyText"/>
        <w:spacing w:after="240" w:line="360" w:lineRule="exact"/>
        <w:rPr>
          <w:rFonts w:ascii="Times New Roman" w:hint="eastAsia"/>
          <w:bCs/>
          <w:sz w:val="21"/>
        </w:rPr>
      </w:pPr>
      <w:r>
        <w:rPr>
          <w:rFonts w:ascii="Times New Roman" w:hint="eastAsia"/>
          <w:bCs/>
          <w:sz w:val="21"/>
        </w:rPr>
        <w:t>697</w:t>
      </w:r>
      <w:r>
        <w:rPr>
          <w:rFonts w:ascii="Times New Roman" w:hint="eastAsia"/>
          <w:bCs/>
          <w:sz w:val="21"/>
        </w:rPr>
        <w:t>．此外，还应该继续努力，对无偿家务劳动的价值进行估算，并将估算结果公布于众，开展教育运动，旨在修改家务劳动的现有文化经济观点，评估出于各种原因而主要从事该项劳动的年轻女性的贡献。</w:t>
      </w:r>
    </w:p>
    <w:p w:rsidR="00000000" w:rsidRDefault="00CA422F">
      <w:pPr>
        <w:pStyle w:val="BodyText"/>
        <w:spacing w:after="240" w:line="360" w:lineRule="exact"/>
        <w:rPr>
          <w:rFonts w:ascii="Times New Roman" w:hint="eastAsia"/>
          <w:bCs/>
          <w:sz w:val="21"/>
        </w:rPr>
      </w:pPr>
      <w:r>
        <w:rPr>
          <w:rFonts w:ascii="Times New Roman" w:hint="eastAsia"/>
          <w:bCs/>
          <w:sz w:val="21"/>
        </w:rPr>
        <w:t>698</w:t>
      </w:r>
      <w:r>
        <w:rPr>
          <w:rFonts w:ascii="Times New Roman" w:hint="eastAsia"/>
          <w:bCs/>
          <w:sz w:val="21"/>
        </w:rPr>
        <w:t>．哥斯达黎加政府应该在协调男女相应的家庭职责方面进行努力，因为夫妻或配偶双方都有义务承担必要的家务劳动。这同样表明，男女双方一旦获得劳动收入，就应该共同而平等地承担家庭所需费用。</w:t>
      </w:r>
    </w:p>
    <w:p w:rsidR="00000000" w:rsidRDefault="00CA422F">
      <w:pPr>
        <w:pStyle w:val="BodyText"/>
        <w:spacing w:after="240" w:line="360" w:lineRule="exact"/>
        <w:rPr>
          <w:rFonts w:ascii="Times New Roman" w:hint="eastAsia"/>
          <w:bCs/>
          <w:sz w:val="21"/>
        </w:rPr>
      </w:pPr>
      <w:r>
        <w:rPr>
          <w:rFonts w:ascii="Times New Roman" w:hint="eastAsia"/>
          <w:bCs/>
          <w:sz w:val="21"/>
        </w:rPr>
        <w:t>699</w:t>
      </w:r>
      <w:r>
        <w:rPr>
          <w:rFonts w:ascii="Times New Roman" w:hint="eastAsia"/>
          <w:bCs/>
          <w:sz w:val="21"/>
        </w:rPr>
        <w:t>．如前所</w:t>
      </w:r>
      <w:r>
        <w:rPr>
          <w:rFonts w:ascii="Times New Roman" w:hint="eastAsia"/>
          <w:bCs/>
          <w:sz w:val="21"/>
        </w:rPr>
        <w:t>述，哥斯达黎加缺乏就业政策，同时，对女性的问题和需求缺乏关注。应该尽快通过一项就业政策帮助女性进入常规经济部门，鼓励企业雇佣和继续保持不断增加的女性职员人数，推动女性职位的晋升，使其获得更高的收入，并为女性提供更多的培训和表现机会，帮助女性攀登职业金字塔。作为补充，还应该采取积极的行动措施，保障为女性不断提供新的高质量的就业机会，增加女性更平等地参与劳动力市场的机会。加强激励业绩卓著企业的计划，同“平等标记”计划共同构成上述政策的一部分，为平等措施的实施提供便利条件。</w:t>
      </w:r>
    </w:p>
    <w:p w:rsidR="00000000" w:rsidRDefault="00CA422F">
      <w:pPr>
        <w:pStyle w:val="BodyText"/>
        <w:spacing w:after="240" w:line="360" w:lineRule="exact"/>
        <w:rPr>
          <w:rFonts w:ascii="Times New Roman" w:hint="eastAsia"/>
          <w:bCs/>
          <w:sz w:val="21"/>
        </w:rPr>
      </w:pPr>
      <w:r>
        <w:rPr>
          <w:rFonts w:ascii="Times New Roman" w:hint="eastAsia"/>
          <w:bCs/>
          <w:sz w:val="21"/>
        </w:rPr>
        <w:t>700</w:t>
      </w:r>
      <w:r>
        <w:rPr>
          <w:rFonts w:ascii="Times New Roman" w:hint="eastAsia"/>
          <w:bCs/>
          <w:sz w:val="21"/>
        </w:rPr>
        <w:t>．应该不断地促进女性劳动权利持续</w:t>
      </w:r>
      <w:r>
        <w:rPr>
          <w:rFonts w:ascii="Times New Roman" w:hint="eastAsia"/>
          <w:bCs/>
          <w:sz w:val="21"/>
        </w:rPr>
        <w:t>而系统的宣传，并将其作为对企业主和普通公民进行敏感化教育的有效方式，但是，主要还应该保障这种积极措施的延续性。促进女性对其权利的认识过程是缓慢的，因为此类措施经常是间断性的。</w:t>
      </w:r>
    </w:p>
    <w:p w:rsidR="00000000" w:rsidRDefault="00CA422F">
      <w:pPr>
        <w:pStyle w:val="BodyText"/>
        <w:spacing w:after="240" w:line="360" w:lineRule="exact"/>
        <w:rPr>
          <w:rFonts w:ascii="Times New Roman" w:hint="eastAsia"/>
          <w:bCs/>
          <w:sz w:val="21"/>
        </w:rPr>
      </w:pPr>
      <w:r>
        <w:rPr>
          <w:rFonts w:ascii="Times New Roman" w:hint="eastAsia"/>
          <w:bCs/>
          <w:sz w:val="21"/>
        </w:rPr>
        <w:t>701</w:t>
      </w:r>
      <w:r>
        <w:rPr>
          <w:rFonts w:ascii="Times New Roman" w:hint="eastAsia"/>
          <w:bCs/>
          <w:sz w:val="21"/>
        </w:rPr>
        <w:t>．哥斯达黎加政府应该加倍努力，同私人企业以及社会组织合作，为扩展传统非女性领域中女性占据决策职位的机会创造有利条件。</w:t>
      </w:r>
    </w:p>
    <w:p w:rsidR="00000000" w:rsidRDefault="00CA422F">
      <w:pPr>
        <w:spacing w:after="240" w:line="360" w:lineRule="exact"/>
        <w:rPr>
          <w:rFonts w:hint="eastAsia"/>
          <w:bCs/>
          <w:lang w:val="es-ES"/>
        </w:rPr>
      </w:pPr>
      <w:r>
        <w:rPr>
          <w:rFonts w:hint="eastAsia"/>
          <w:bCs/>
        </w:rPr>
        <w:t>702</w:t>
      </w:r>
      <w:r>
        <w:rPr>
          <w:rFonts w:hint="eastAsia"/>
          <w:bCs/>
        </w:rPr>
        <w:t>．哥斯达黎加女性在健康权利的某些方面已经取得了不少成就。一方面，女性的平均寿命继续高于男性。</w:t>
      </w:r>
      <w:r>
        <w:rPr>
          <w:rFonts w:hint="eastAsia"/>
          <w:bCs/>
          <w:lang w:val="es-ES"/>
        </w:rPr>
        <w:t>宫颈癌和乳腺癌全国防治计划为专门针对女性的卫生服务的普及率的提高做出了一定贡献。女性享受专业咨询的服务和选择手术节</w:t>
      </w:r>
      <w:r>
        <w:rPr>
          <w:rFonts w:hint="eastAsia"/>
          <w:bCs/>
          <w:lang w:val="es-ES"/>
        </w:rPr>
        <w:t>育的权利已经得到了行政法令的承认，该法令试图保障所有公民享有的性与生殖权利。取得积极进展的措施之一，便是推行女性健康整体关注模式，虽然该措施的情况仍然比较复杂。</w:t>
      </w:r>
    </w:p>
    <w:p w:rsidR="00000000" w:rsidRDefault="00CA422F">
      <w:pPr>
        <w:spacing w:after="240" w:line="360" w:lineRule="exact"/>
        <w:rPr>
          <w:rFonts w:hint="eastAsia"/>
          <w:bCs/>
          <w:lang w:val="es-ES"/>
        </w:rPr>
      </w:pPr>
      <w:r>
        <w:rPr>
          <w:rFonts w:hint="eastAsia"/>
          <w:bCs/>
          <w:lang w:val="es-ES"/>
        </w:rPr>
        <w:t>703</w:t>
      </w:r>
      <w:r>
        <w:rPr>
          <w:rFonts w:hint="eastAsia"/>
          <w:bCs/>
          <w:lang w:val="es-ES"/>
        </w:rPr>
        <w:t>．在卫生和健康关注领域仍然存在着以男性为中心的观念造成的阻碍因素，限制了女性获得整体健康、社会保障、以及包括卫生服务等领域在内的各个领域的无暴力生活的机会。虽然承诺和实践之间仍然存在着一定的差异，但是，已经采取的措施主要集中在对女性生育健康的保护。卫生部门修正案中规定的健康方式的改变一直非常缓慢，还受到了来自某些权力机构，特别是医务人员的抵抗</w:t>
      </w:r>
      <w:r>
        <w:rPr>
          <w:rFonts w:hint="eastAsia"/>
          <w:bCs/>
          <w:lang w:val="es-ES"/>
        </w:rPr>
        <w:t>。在各个层次的关注中仍然保持着以男性为主的医疗模式，只流露出一定的修改意向。关注女性的服务质量在大部分领域内都存在着缺陷，包括对待女性的权利和躯体的态度和观念。此外，女性健康的关注和防治服务和制度没有考虑到各种不同情况，如语言、残疾等生理条件、女性不同生理周期的不同需求以及不同种族产生的文化不同等方面。</w:t>
      </w:r>
    </w:p>
    <w:p w:rsidR="00000000" w:rsidRDefault="00CA422F">
      <w:pPr>
        <w:spacing w:after="240" w:line="360" w:lineRule="exact"/>
        <w:rPr>
          <w:rFonts w:hint="eastAsia"/>
          <w:bCs/>
        </w:rPr>
      </w:pPr>
      <w:r>
        <w:rPr>
          <w:rFonts w:hint="eastAsia"/>
          <w:bCs/>
          <w:lang w:val="es-ES"/>
        </w:rPr>
        <w:t>704</w:t>
      </w:r>
      <w:r>
        <w:rPr>
          <w:rFonts w:hint="eastAsia"/>
          <w:bCs/>
          <w:lang w:val="es-ES"/>
        </w:rPr>
        <w:t>．社会组织，特别是女性组织和国家机构开展的活动，促使哥斯达黎加社会的广泛领域意识到对女性的暴力是哥斯达黎加公共卫生的主要问题之一。在这方面，在家庭暴力公共政策的制度化和</w:t>
      </w:r>
      <w:r>
        <w:rPr>
          <w:rFonts w:hint="eastAsia"/>
          <w:bCs/>
        </w:rPr>
        <w:t>对家庭内暴力关注和预防的国家计划</w:t>
      </w:r>
      <w:r>
        <w:rPr>
          <w:rFonts w:hint="eastAsia"/>
          <w:bCs/>
        </w:rPr>
        <w:t>中，加强诊断、预防、资源获取和相互学习等主要任务取得了一定的进展。该领域的主要成就之一便是《反对教育和工作中的性骚扰法》的颁布，以及旨在扩大该法律实施范围的修正案草案的制订。</w:t>
      </w:r>
    </w:p>
    <w:p w:rsidR="00000000" w:rsidRDefault="00CA422F">
      <w:pPr>
        <w:spacing w:after="240" w:line="360" w:lineRule="exact"/>
        <w:rPr>
          <w:rFonts w:hint="eastAsia"/>
          <w:bCs/>
        </w:rPr>
      </w:pPr>
      <w:r>
        <w:rPr>
          <w:rFonts w:hint="eastAsia"/>
          <w:bCs/>
        </w:rPr>
        <w:t>705</w:t>
      </w:r>
      <w:r>
        <w:rPr>
          <w:rFonts w:hint="eastAsia"/>
          <w:bCs/>
        </w:rPr>
        <w:t>．虽然已经取得了不少进展，但是仍然有不少阻碍因素限制了女性获得整体关注和无暴力生活的机会。这对哥斯达黎加政府和社会无疑意味着挑战。明显需要提高和掌握数据以及同整体关注概念一致、而并不仅仅只是计算病况关注的健康指数。同时，在病历登记、分类和确定过程中还应该引入性别观点，以便统计数据能够更加准确地反映出男女健康的生活方式，同时更好地</w:t>
      </w:r>
      <w:r>
        <w:rPr>
          <w:rFonts w:hint="eastAsia"/>
          <w:bCs/>
        </w:rPr>
        <w:t>控制同女性有关的传统病痛的觉察中体现出来的性别文化差异。</w:t>
      </w:r>
    </w:p>
    <w:p w:rsidR="00000000" w:rsidRDefault="00CA422F">
      <w:pPr>
        <w:spacing w:after="240" w:line="360" w:lineRule="exact"/>
        <w:rPr>
          <w:rFonts w:hint="eastAsia"/>
          <w:bCs/>
        </w:rPr>
      </w:pPr>
      <w:r>
        <w:rPr>
          <w:rFonts w:hint="eastAsia"/>
          <w:bCs/>
        </w:rPr>
        <w:t>706</w:t>
      </w:r>
      <w:r>
        <w:rPr>
          <w:rFonts w:hint="eastAsia"/>
          <w:bCs/>
        </w:rPr>
        <w:t>．卫生制度应该支持旨在加强男女健康差异关注的行为和有效手段的主动措施。此外，女性生育及性生活权利和整体健康关注等计划要求加强资金和技术的投入，以便减少未成年少女的怀孕比例。与此同时，还应该在实践中根据不同的生理周期和女性不同的防治需要，不仅在妇女医院，而且在全国各个医疗中心使用整体健康关注模式。该模式应该引入差异观点，将哥斯达黎加女性的不同情况（例如，种族、教育程度、婚姻状况、残疾、年龄、移民身份等）纳入设计和推广过程中。</w:t>
      </w:r>
    </w:p>
    <w:p w:rsidR="00000000" w:rsidRDefault="00CA422F">
      <w:pPr>
        <w:spacing w:after="240" w:line="360" w:lineRule="exact"/>
        <w:rPr>
          <w:rFonts w:hint="eastAsia"/>
          <w:bCs/>
          <w:lang w:val="es-ES"/>
        </w:rPr>
      </w:pPr>
      <w:r>
        <w:rPr>
          <w:rFonts w:hint="eastAsia"/>
          <w:bCs/>
        </w:rPr>
        <w:t>707</w:t>
      </w:r>
      <w:r>
        <w:rPr>
          <w:rFonts w:hint="eastAsia"/>
          <w:bCs/>
        </w:rPr>
        <w:t>．如上所述，女</w:t>
      </w:r>
      <w:r>
        <w:rPr>
          <w:rFonts w:hint="eastAsia"/>
          <w:bCs/>
        </w:rPr>
        <w:t>性的心理健康是被该计划遗忘的角落。其结果便是要求制订</w:t>
      </w:r>
      <w:r>
        <w:rPr>
          <w:rFonts w:hint="eastAsia"/>
          <w:bCs/>
          <w:lang w:val="es-ES"/>
        </w:rPr>
        <w:t>女性心理整体健康计划，涉及女性的各个生理周期，将心理健康作为公民自身以及周围环境的一项福利条件，同时也是达到“积极健康”状况的有机组成部分。因此，没有遭受滥用“药物治疗”的荼毒。</w:t>
      </w:r>
    </w:p>
    <w:p w:rsidR="00000000" w:rsidRDefault="00CA422F">
      <w:pPr>
        <w:spacing w:after="240" w:line="360" w:lineRule="exact"/>
        <w:rPr>
          <w:rFonts w:hint="eastAsia"/>
          <w:bCs/>
        </w:rPr>
      </w:pPr>
      <w:r>
        <w:rPr>
          <w:rFonts w:hint="eastAsia"/>
          <w:bCs/>
        </w:rPr>
        <w:t>708</w:t>
      </w:r>
      <w:r>
        <w:rPr>
          <w:rFonts w:hint="eastAsia"/>
          <w:bCs/>
        </w:rPr>
        <w:t>．社会保障的普及率应该有所提高，特别是支持养老保险或伤残保险的权利，在社会公正和国家财富公平分配的条件下，保障适当的生活条件，消除关注重点，关注普通家庭主妇和身患残疾或需要抚养未成年子女的特殊家庭主妇、农村无偿女性劳动者、独自创业的微型企业女企业主、没有购买社会保险的大部分</w:t>
      </w:r>
      <w:r>
        <w:rPr>
          <w:rFonts w:hint="eastAsia"/>
          <w:bCs/>
        </w:rPr>
        <w:t>贫困家庭的女主人等。</w:t>
      </w:r>
    </w:p>
    <w:p w:rsidR="00000000" w:rsidRDefault="00CA422F">
      <w:pPr>
        <w:pStyle w:val="BodyText"/>
        <w:spacing w:after="240" w:line="360" w:lineRule="exact"/>
        <w:rPr>
          <w:rFonts w:ascii="Times New Roman" w:hint="eastAsia"/>
          <w:bCs/>
          <w:sz w:val="21"/>
        </w:rPr>
      </w:pPr>
      <w:r>
        <w:rPr>
          <w:rFonts w:ascii="Times New Roman" w:hint="eastAsia"/>
          <w:bCs/>
          <w:sz w:val="21"/>
        </w:rPr>
        <w:t>709</w:t>
      </w:r>
      <w:r>
        <w:rPr>
          <w:rFonts w:ascii="Times New Roman" w:hint="eastAsia"/>
          <w:bCs/>
          <w:sz w:val="21"/>
        </w:rPr>
        <w:t>．《劳工法》是</w:t>
      </w:r>
      <w:r>
        <w:rPr>
          <w:rFonts w:ascii="Times New Roman" w:hint="eastAsia"/>
          <w:bCs/>
          <w:sz w:val="21"/>
        </w:rPr>
        <w:t>1940</w:t>
      </w:r>
      <w:r>
        <w:rPr>
          <w:rFonts w:ascii="Times New Roman" w:hint="eastAsia"/>
          <w:bCs/>
          <w:sz w:val="21"/>
        </w:rPr>
        <w:t>年获得通过的一项法律。虽然已经制订了不少修正案，但是仍不适用于像哥斯达黎加这样一个劳动力市场开放和尽量满足经济全球化需求的国家目前在劳动和就业中推出各种雇佣方式和就业模式。同时，《劳工法》是建立在把男性看作经济主体和家庭支撑者这种理念的基础之上的。因此，应该对《劳工法》有关“劳动过程中劳动者的保护”章节的规定进行修改，采取一定的保护措施，保护劳动群体整体在劳动过程中免受面临的危险，特别关注从事现代制造业的女性劳动者、经济全球化过程中出现的其它就业方式的女性、</w:t>
      </w:r>
      <w:r>
        <w:rPr>
          <w:rFonts w:ascii="Times New Roman" w:hint="eastAsia"/>
          <w:bCs/>
          <w:sz w:val="21"/>
        </w:rPr>
        <w:t>受到歧视和因其性别而受剥削的女性。</w:t>
      </w:r>
    </w:p>
    <w:p w:rsidR="00000000" w:rsidRDefault="00CA422F">
      <w:pPr>
        <w:pStyle w:val="BodyText"/>
        <w:spacing w:after="240" w:line="360" w:lineRule="exact"/>
        <w:rPr>
          <w:rFonts w:ascii="Times New Roman" w:hint="eastAsia"/>
          <w:bCs/>
          <w:sz w:val="21"/>
        </w:rPr>
      </w:pPr>
      <w:r>
        <w:rPr>
          <w:rFonts w:ascii="Times New Roman" w:hint="eastAsia"/>
          <w:bCs/>
          <w:sz w:val="21"/>
        </w:rPr>
        <w:t>710</w:t>
      </w:r>
      <w:r>
        <w:rPr>
          <w:rFonts w:ascii="Times New Roman" w:hint="eastAsia"/>
          <w:bCs/>
          <w:sz w:val="21"/>
        </w:rPr>
        <w:t>．一些非政府组织在各自领域内开展的工作也不容忽视，他们在预防、权利维护、培训以及各类健康的加强上做出了一定的成绩，这就要求哥斯达黎加政府为其提供更大的支持，因为这些非政府组织是保障女性公民积极行使相关权利的战略机构。</w:t>
      </w:r>
    </w:p>
    <w:p w:rsidR="00000000" w:rsidRDefault="00CA422F">
      <w:pPr>
        <w:pStyle w:val="BodyText"/>
        <w:spacing w:after="240" w:line="360" w:lineRule="exact"/>
        <w:rPr>
          <w:rFonts w:ascii="Times New Roman" w:hint="eastAsia"/>
          <w:bCs/>
          <w:sz w:val="21"/>
        </w:rPr>
      </w:pPr>
      <w:r>
        <w:rPr>
          <w:rFonts w:ascii="Times New Roman" w:hint="eastAsia"/>
          <w:bCs/>
          <w:sz w:val="21"/>
        </w:rPr>
        <w:t>711</w:t>
      </w:r>
      <w:r>
        <w:rPr>
          <w:rFonts w:ascii="Times New Roman" w:hint="eastAsia"/>
          <w:bCs/>
          <w:sz w:val="21"/>
        </w:rPr>
        <w:t>．哥斯达黎加政府应该同社会妇女组织开展合作，通过必要的司法修正和保障该措施有效执行的政策等措施，推动女性产假所需成本的重新分配。</w:t>
      </w:r>
    </w:p>
    <w:p w:rsidR="00000000" w:rsidRDefault="00CA422F">
      <w:pPr>
        <w:spacing w:after="240" w:line="360" w:lineRule="exact"/>
        <w:rPr>
          <w:rFonts w:hint="eastAsia"/>
          <w:bCs/>
          <w:lang w:val="es-ES"/>
        </w:rPr>
      </w:pPr>
      <w:r>
        <w:rPr>
          <w:rFonts w:hint="eastAsia"/>
          <w:bCs/>
        </w:rPr>
        <w:t>712</w:t>
      </w:r>
      <w:r>
        <w:rPr>
          <w:rFonts w:hint="eastAsia"/>
          <w:bCs/>
        </w:rPr>
        <w:t>．</w:t>
      </w:r>
      <w:r>
        <w:rPr>
          <w:rFonts w:hint="eastAsia"/>
          <w:bCs/>
          <w:lang w:val="es-ES"/>
        </w:rPr>
        <w:t>关注和预防家庭暴力国家计划的加强方面已经取得了重大进展，并且通过了不少法律和司法修正案，以保护女性远离各类性</w:t>
      </w:r>
      <w:r>
        <w:rPr>
          <w:rFonts w:hint="eastAsia"/>
          <w:bCs/>
          <w:lang w:val="es-ES"/>
        </w:rPr>
        <w:t>别歧视。在立法和公共政策中仍然存在着一定的空白，使处于特殊状况或面临某些暴力的女性无法得到保护。政府和哥斯达黎加公民应该努力扩大资源和意愿，以便彻底消除威胁女性生理和精神健康以及相应的财产继承权的各类暴力形式，特别关注极度弱小的弱势群体。需要采取的措施不该停留在现有的法律或修正案的颁布和通过上，应该寻找新的稳定的资金来源，促成政府与社会之间的联合，充分利用社区和市政府的现有能力，制订新型的预防和关注方针，扩大预防暴力和幸存者关注的高效、高质量的服务在所有女性群体中的普及率。</w:t>
      </w:r>
    </w:p>
    <w:p w:rsidR="00000000" w:rsidRDefault="00CA422F">
      <w:pPr>
        <w:spacing w:after="240" w:line="360" w:lineRule="exact"/>
        <w:rPr>
          <w:rFonts w:hint="eastAsia"/>
          <w:bCs/>
          <w:lang w:val="es-ES"/>
        </w:rPr>
      </w:pPr>
      <w:r>
        <w:rPr>
          <w:rFonts w:hint="eastAsia"/>
          <w:bCs/>
          <w:lang w:val="es-ES"/>
        </w:rPr>
        <w:t>713</w:t>
      </w:r>
      <w:r>
        <w:rPr>
          <w:rFonts w:hint="eastAsia"/>
          <w:bCs/>
          <w:lang w:val="es-ES"/>
        </w:rPr>
        <w:t>．哥斯达黎加政府在预防和关</w:t>
      </w:r>
      <w:r>
        <w:rPr>
          <w:rFonts w:hint="eastAsia"/>
          <w:bCs/>
          <w:lang w:val="es-ES"/>
        </w:rPr>
        <w:t>注家庭暴力领域面临着多重挑战。主要反映在为加强该计划以及保障满足幸存者的要求而创造的条件上：</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根据国家妇女研究所性别暴力机构的技术秘书处、服务检查机构及</w:t>
      </w:r>
      <w:r>
        <w:rPr>
          <w:rFonts w:hint="eastAsia"/>
          <w:bCs/>
        </w:rPr>
        <w:t>评估和追踪常任委员会所作的规定，对</w:t>
      </w:r>
      <w:r>
        <w:rPr>
          <w:rFonts w:hint="eastAsia"/>
          <w:bCs/>
          <w:lang w:val="es-ES"/>
        </w:rPr>
        <w:t>关注和预防家庭暴力的国家制度进行调整，</w:t>
      </w:r>
      <w:r>
        <w:rPr>
          <w:rFonts w:hint="eastAsia"/>
          <w:bCs/>
        </w:rPr>
        <w:t>共同合作，为保障该制度的顺利执行提供必要的预算支出。</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建立家庭暴力信息体系，对参与该制度的机构和组织提供的数据、承担的责任和开展的进行考察验证。对提供数据的组织和机构的登记数据、</w:t>
      </w:r>
      <w:r>
        <w:rPr>
          <w:rFonts w:hint="eastAsia"/>
          <w:bCs/>
        </w:rPr>
        <w:t>信息</w:t>
      </w:r>
      <w:r>
        <w:rPr>
          <w:rFonts w:hint="eastAsia"/>
          <w:bCs/>
          <w:lang w:val="es-ES"/>
        </w:rPr>
        <w:t>来源和处理过程进行评估，确定暴力的偶然性和使用比例指数，并对该国家制度在不同的干涉任务中承担的责任进行考察</w:t>
      </w:r>
      <w:r>
        <w:rPr>
          <w:rFonts w:hint="eastAsia"/>
          <w:bCs/>
          <w:lang w:val="es-ES"/>
        </w:rPr>
        <w:t>。</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制订并实施调查计划，可以参考大学开展的毕业工作和为促进决策认识而在机构内部以及不同机构之间开展的调查。</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推广面向老年妇女、非裔哥斯达黎加女性公民、土著妇女、女性残疾人士以及居住在反对家庭暴力的服务无法涉及的地区的女性群体的关注和预防服务。</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加强反供给、个人控制和集体控制等领域，并加强公共部门和私人领域从事暴力关注工作的人员的自我关注。</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拓宽女性或性别部委及市镇办公室网络，加重家庭暴力领域的技术比例，以便这些办公室能够承担推动和预防的职责。</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在公共教育部、司法部积极援助机构、文化、青年和体育部、青少年公共</w:t>
      </w:r>
      <w:r>
        <w:rPr>
          <w:rFonts w:hint="eastAsia"/>
          <w:bCs/>
        </w:rPr>
        <w:t>政策国家管理委员会、保护儿童国家组织、国家妇女研究所以及在预防家庭暴力领域拥有工作经验的一些非政府组织和青少年网络的领导下，制订并实施一项家庭暴力预防政策。</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使政府资源重新分配，为开展“无暴力生活”运动的敏感化和教育的长期活动，以及对该计划进行评价提供资金援助。</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《女性暴力刑事处罚法草案》获得通过。</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对家庭暴力的相互学习模式开展了审查，对不同人群在三年内用已经取得的成就来丰富充实该模式。</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适当利用现有立法，使机构的努力主要集中在减少逍遥法外现象的发生和加强家庭暴力受害者的保护机制（为女性提供家庭内保护，同时</w:t>
      </w:r>
      <w:r>
        <w:rPr>
          <w:rFonts w:hint="eastAsia"/>
          <w:bCs/>
        </w:rPr>
        <w:t>控制侵犯者并对他们进行惩罚等）上。（如果真能实现这一目标，要求前往收容所避难的女性受害者的人数将越来越少）。</w:t>
      </w:r>
    </w:p>
    <w:p w:rsidR="00000000" w:rsidRDefault="00CA422F">
      <w:pPr>
        <w:pStyle w:val="BodyText"/>
        <w:spacing w:after="240" w:line="360" w:lineRule="exact"/>
        <w:rPr>
          <w:rFonts w:ascii="Times New Roman" w:hint="eastAsia"/>
          <w:bCs/>
          <w:sz w:val="21"/>
        </w:rPr>
      </w:pPr>
      <w:r>
        <w:rPr>
          <w:rFonts w:ascii="Times New Roman" w:hint="eastAsia"/>
          <w:bCs/>
          <w:sz w:val="21"/>
        </w:rPr>
        <w:t>714</w:t>
      </w:r>
      <w:r>
        <w:rPr>
          <w:rFonts w:ascii="Times New Roman" w:hint="eastAsia"/>
          <w:bCs/>
          <w:sz w:val="21"/>
        </w:rPr>
        <w:t>．应该采取一定措施，以缩小《反对教育和工作中的性骚扰法》中的规定和阐释之间存在的差异，这种差异限制了该法律的有效性，还降低了该法律的保障力度。在这一领域扮演重要角色的劳动部、居民保护组织、国家机制和一些妇女组织已经在《反对性骚扰法》的实施中发挥了重要作用。</w:t>
      </w:r>
    </w:p>
    <w:p w:rsidR="00000000" w:rsidRDefault="00CA422F">
      <w:pPr>
        <w:pStyle w:val="BodyText"/>
        <w:spacing w:after="240" w:line="360" w:lineRule="exact"/>
        <w:rPr>
          <w:rFonts w:ascii="Times New Roman" w:hint="eastAsia"/>
          <w:bCs/>
          <w:sz w:val="21"/>
        </w:rPr>
      </w:pPr>
      <w:r>
        <w:rPr>
          <w:rFonts w:ascii="Times New Roman" w:hint="eastAsia"/>
          <w:bCs/>
          <w:sz w:val="21"/>
        </w:rPr>
        <w:t>715</w:t>
      </w:r>
      <w:r>
        <w:rPr>
          <w:rFonts w:ascii="Times New Roman" w:hint="eastAsia"/>
          <w:bCs/>
          <w:sz w:val="21"/>
        </w:rPr>
        <w:t>．成就有限且仍然存在着性别不平等和排除女性等现象的领域之一，便是本公约中提到的“社会福利”。已经取得的两项最为突出的成就，可以作为该</w:t>
      </w:r>
      <w:r>
        <w:rPr>
          <w:rFonts w:ascii="Times New Roman" w:hint="eastAsia"/>
          <w:bCs/>
          <w:sz w:val="21"/>
        </w:rPr>
        <w:t>领域未来制订公共政策的出发点：</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哥斯达黎加立法保障女性具有信贷、抵押、出售和从事商业贸易等方面的司法权利，和男性在这方面享有的司法权利一致。</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有一些——虽然数量较小——专门针对女性信贷的政策，此外，许多公共机构、私人领域和国际合作组织都制订了微型企业特殊援助计划。</w:t>
      </w:r>
    </w:p>
    <w:p w:rsidR="00000000" w:rsidRDefault="00CA422F">
      <w:pPr>
        <w:pStyle w:val="BodyText"/>
        <w:spacing w:after="240" w:line="360" w:lineRule="exact"/>
        <w:rPr>
          <w:rFonts w:ascii="Times New Roman" w:hint="eastAsia"/>
          <w:bCs/>
          <w:sz w:val="21"/>
        </w:rPr>
      </w:pPr>
      <w:r>
        <w:rPr>
          <w:rFonts w:ascii="Times New Roman" w:hint="eastAsia"/>
          <w:bCs/>
          <w:sz w:val="21"/>
        </w:rPr>
        <w:t>716</w:t>
      </w:r>
      <w:r>
        <w:rPr>
          <w:rFonts w:ascii="Times New Roman" w:hint="eastAsia"/>
          <w:bCs/>
          <w:sz w:val="21"/>
        </w:rPr>
        <w:t>．本公约和《北京世界行动纲要》要求哥斯达黎加在宏观经济政策和发展战略的制订中必须考虑到女性的需求，并促进其摆脱贫困的积极性。此外，还要求保障女性能够获得如贷款和技术等生产资源。履行上述要求，意味着哥斯达黎加需要在下列领域采取紧急措施以迎接挑</w:t>
      </w:r>
      <w:r>
        <w:rPr>
          <w:rFonts w:ascii="Times New Roman" w:hint="eastAsia"/>
          <w:bCs/>
          <w:sz w:val="21"/>
        </w:rPr>
        <w:t>战：</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rPr>
        <w:t>为女性获得发展生产活动所需的经济资源进一步提供便利的指导计划。目前一些正在采用或即将采用的措施旨在保障</w:t>
      </w:r>
      <w:r>
        <w:rPr>
          <w:rFonts w:hint="eastAsia"/>
          <w:bCs/>
          <w:lang w:val="es-ES"/>
        </w:rPr>
        <w:t>微型及小型企业全国扶持计划提供的贷款至少能有</w:t>
      </w:r>
      <w:r>
        <w:rPr>
          <w:rFonts w:hint="eastAsia"/>
          <w:bCs/>
          <w:lang w:val="es-ES"/>
        </w:rPr>
        <w:t>50</w:t>
      </w:r>
      <w:r>
        <w:rPr>
          <w:rFonts w:hint="eastAsia"/>
          <w:bCs/>
          <w:lang w:val="es-ES"/>
        </w:rPr>
        <w:t>％发放给女性。此外，应该为贫困女性提供利率更低的贷款，并在担保方面做出一定的让步。另一方面，建议增加贷款过程中的中介所占的比例，并推动符合女性不同需要的关注差异模式。</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为使妇女组织在对</w:t>
      </w:r>
      <w:r>
        <w:rPr>
          <w:rFonts w:hint="eastAsia"/>
          <w:bCs/>
        </w:rPr>
        <w:t>女性</w:t>
      </w:r>
      <w:r>
        <w:rPr>
          <w:rFonts w:hint="eastAsia"/>
          <w:bCs/>
          <w:lang w:val="es-ES"/>
        </w:rPr>
        <w:t>的贷款和就业计划的战略指导方面能够发挥作用而制定明确的标准。</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lang w:val="es-ES"/>
        </w:rPr>
        <w:t>成立</w:t>
      </w:r>
      <w:r>
        <w:rPr>
          <w:rFonts w:hint="eastAsia"/>
          <w:bCs/>
        </w:rPr>
        <w:t>国家担保与保证基金会，并在基金会中设立不同条件的女性申请贷款的帮助和指导机构。</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将社会援助联合研究所的</w:t>
      </w:r>
      <w:r>
        <w:rPr>
          <w:rFonts w:hint="eastAsia"/>
          <w:bCs/>
        </w:rPr>
        <w:t>信托遗产资源纳入《贫困妇女关注法》的范围内，其主要目的是推动女性微型企业的发展。</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督促社会援助联合研究所在其就关注妇女行动战略开展的妇女培训或陪伴计划、技术咨询和规划计划中纳入性别观点。</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在人民银行的</w:t>
      </w:r>
      <w:r>
        <w:rPr>
          <w:rFonts w:hint="eastAsia"/>
          <w:bCs/>
        </w:rPr>
        <w:t>FODEMIPYME</w:t>
      </w:r>
      <w:r>
        <w:rPr>
          <w:rFonts w:hint="eastAsia"/>
          <w:bCs/>
        </w:rPr>
        <w:t>中引入同女性企业家的信息使用和激励措施有关的新型技术。</w:t>
      </w:r>
    </w:p>
    <w:p w:rsidR="00000000" w:rsidRDefault="00CA422F">
      <w:pPr>
        <w:spacing w:after="240" w:line="360" w:lineRule="exact"/>
        <w:rPr>
          <w:rFonts w:hint="eastAsia"/>
          <w:bCs/>
        </w:rPr>
      </w:pPr>
      <w:r>
        <w:rPr>
          <w:rFonts w:hint="eastAsia"/>
          <w:bCs/>
        </w:rPr>
        <w:t>717</w:t>
      </w:r>
      <w:r>
        <w:rPr>
          <w:rFonts w:hint="eastAsia"/>
          <w:bCs/>
        </w:rPr>
        <w:t>．在本报告的所涉时期内，哥斯达黎加在农村妇女方面取得了多项成就。审查并调整了公共部门农牧业和农村地区的规定，对农村妇女和青年女性为实现生产计划的资金筹措而申请贷款的行为提供了便利条件。</w:t>
      </w:r>
    </w:p>
    <w:p w:rsidR="00000000" w:rsidRDefault="00CA422F">
      <w:pPr>
        <w:spacing w:after="240" w:line="360" w:lineRule="exact"/>
        <w:rPr>
          <w:rFonts w:hint="eastAsia"/>
          <w:bCs/>
        </w:rPr>
      </w:pPr>
      <w:r>
        <w:rPr>
          <w:rFonts w:hint="eastAsia"/>
          <w:bCs/>
        </w:rPr>
        <w:t>718</w:t>
      </w:r>
      <w:r>
        <w:rPr>
          <w:rFonts w:hint="eastAsia"/>
          <w:bCs/>
        </w:rPr>
        <w:t>．国家妇女研究所和农牧业部签署了一项协</w:t>
      </w:r>
      <w:r>
        <w:rPr>
          <w:rFonts w:hint="eastAsia"/>
          <w:bCs/>
        </w:rPr>
        <w:t>议，将性别观点引入农牧业部门机构的日常工作中。作为这项措施的一部分，在农牧业部门和农村的所有机构中都建立了性别发展机构和地区性别联系人制度，为帮助各地区的农村女性开展活动建立了支持网络。此外，在农牧业部建立了一个高等政治技术管理委员会，主要目标是对性别观点纳入机构和相关部门的日常工作进行指导。采取上述措施推动了农村和农牧业部门机构的人权培训和敏感进程，在各自的日常工作中引入性别观点，消除人员招聘过程中存在的思维定势。</w:t>
      </w:r>
    </w:p>
    <w:p w:rsidR="00000000" w:rsidRDefault="00CA422F">
      <w:pPr>
        <w:spacing w:after="240" w:line="360" w:lineRule="exact"/>
        <w:rPr>
          <w:rFonts w:hint="eastAsia"/>
          <w:bCs/>
        </w:rPr>
      </w:pPr>
      <w:r>
        <w:rPr>
          <w:rFonts w:hint="eastAsia"/>
          <w:bCs/>
        </w:rPr>
        <w:t>719</w:t>
      </w:r>
      <w:r>
        <w:rPr>
          <w:rFonts w:hint="eastAsia"/>
          <w:bCs/>
        </w:rPr>
        <w:t>．对农村妇女的培训也取得了一定的成就，尽管数量极为有限，但目的在于加强女性的组织能力</w:t>
      </w:r>
      <w:r>
        <w:rPr>
          <w:rFonts w:hint="eastAsia"/>
          <w:bCs/>
        </w:rPr>
        <w:t>和政治参与能力。</w:t>
      </w:r>
    </w:p>
    <w:p w:rsidR="00000000" w:rsidRDefault="00CA422F">
      <w:pPr>
        <w:spacing w:after="240" w:line="360" w:lineRule="exact"/>
        <w:rPr>
          <w:rFonts w:hint="eastAsia"/>
          <w:bCs/>
          <w:lang w:val="es-ES"/>
        </w:rPr>
      </w:pPr>
      <w:r>
        <w:rPr>
          <w:rFonts w:hint="eastAsia"/>
          <w:bCs/>
        </w:rPr>
        <w:t>720</w:t>
      </w:r>
      <w:r>
        <w:rPr>
          <w:rFonts w:hint="eastAsia"/>
          <w:bCs/>
        </w:rPr>
        <w:t>．环境与能源部制定了两性平等政策和相应的行动计划。性别和环境办公室负责对该行动计划进行监控和追踪。作为该政策的组成部分，制定并开始对环保领域的所有两性平等行动实施监控和追踪制度。环</w:t>
      </w:r>
      <w:r>
        <w:rPr>
          <w:rFonts w:hint="eastAsia"/>
          <w:bCs/>
          <w:lang w:val="es-ES"/>
        </w:rPr>
        <w:t>保领域国家制度是环境和能源部专门负责培训和诊断分析等领域两性平等政策的领导机构。</w:t>
      </w:r>
    </w:p>
    <w:p w:rsidR="00000000" w:rsidRDefault="00CA422F">
      <w:pPr>
        <w:spacing w:after="240" w:line="360" w:lineRule="exact"/>
        <w:rPr>
          <w:rFonts w:hint="eastAsia"/>
          <w:bCs/>
          <w:lang w:val="es-ES"/>
        </w:rPr>
      </w:pPr>
      <w:r>
        <w:rPr>
          <w:rFonts w:hint="eastAsia"/>
          <w:bCs/>
          <w:lang w:val="es-ES"/>
        </w:rPr>
        <w:t>721</w:t>
      </w:r>
      <w:r>
        <w:rPr>
          <w:rFonts w:hint="eastAsia"/>
          <w:bCs/>
          <w:lang w:val="es-ES"/>
        </w:rPr>
        <w:t>．农村妇女为获得受尊敬的生活条件而面临的主要阻挠来自其作为生产主体和社会经济发展推动者的身份经常被忽略。这种忽略突出表现在社会经济发展的各个方面对农村妇女的排除和歧视：生产资料、教育、技术培训、卫生和社会保障等权利的获得</w:t>
      </w:r>
      <w:r>
        <w:rPr>
          <w:rFonts w:hint="eastAsia"/>
          <w:bCs/>
          <w:lang w:val="es-ES"/>
        </w:rPr>
        <w:t>。贫困妇女关注政策涉及的领域非常有限。将其视为社会政策的态度，减少了该关注政策制订影响该领域的经济发展政策的机会。</w:t>
      </w:r>
    </w:p>
    <w:p w:rsidR="00000000" w:rsidRDefault="00CA422F">
      <w:pPr>
        <w:spacing w:after="240" w:line="360" w:lineRule="exact"/>
        <w:rPr>
          <w:rFonts w:hint="eastAsia"/>
          <w:bCs/>
          <w:lang w:val="es-ES"/>
        </w:rPr>
      </w:pPr>
      <w:r>
        <w:rPr>
          <w:rFonts w:hint="eastAsia"/>
          <w:bCs/>
          <w:lang w:val="es-ES"/>
        </w:rPr>
        <w:t>722</w:t>
      </w:r>
      <w:r>
        <w:rPr>
          <w:rFonts w:hint="eastAsia"/>
          <w:bCs/>
          <w:lang w:val="es-ES"/>
        </w:rPr>
        <w:t>．面临的挑战是多样的、也是极为复杂的。对待农村女性遭受的歧视应该采取适当而有效的关注措施，这就要求哥斯达黎加政府在下列主要领域采取一定措施：</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开展研究，促进</w:t>
      </w:r>
      <w:r>
        <w:rPr>
          <w:rFonts w:hint="eastAsia"/>
          <w:bCs/>
        </w:rPr>
        <w:t>女性</w:t>
      </w:r>
      <w:r>
        <w:rPr>
          <w:rFonts w:hint="eastAsia"/>
          <w:bCs/>
          <w:lang w:val="es-ES"/>
        </w:rPr>
        <w:t>获得生产资源和财产等方面的认识。</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lang w:val="es-ES"/>
        </w:rPr>
        <w:t>推动</w:t>
      </w:r>
      <w:r>
        <w:rPr>
          <w:rFonts w:hint="eastAsia"/>
          <w:bCs/>
        </w:rPr>
        <w:t>农村发展金融体系的采用，该体系包括针对农村女性生产者的特殊条件，平衡援助范围（生产者需求）与持续发展（足够的资金）之间的比例；不应以盈利为主要目的；应该考虑到农村女性生产者的需求；应该获得农村</w:t>
      </w:r>
      <w:r>
        <w:rPr>
          <w:rFonts w:hint="eastAsia"/>
          <w:bCs/>
        </w:rPr>
        <w:t>妇女及其组织的参与和支持。</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支持积极措施，以保障农村女性劳动者能够平等地进入劳动力市场（农业工作或非农业工作），平等地享受国家为农业市场和农业产业提供的服务，并同其它措施一样，保障其贸易的不断增长。</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通过农村妇女的生产和生育活动和她们参与国家帐目的正式统计，凸现农村女性生产者的工作，并在此基础上，扩大社会化保障体制的覆盖率，使所有的农村女性都有权享受社会保障（医疗、残疾津贴、养老和意外死亡等方面的整体保障）。</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推动援助农牧业小型生产者组织的特殊计划，以保障生产再培训计划、技术援助和咨询等计划的有效实施，同时</w:t>
      </w:r>
      <w:r>
        <w:rPr>
          <w:rFonts w:hint="eastAsia"/>
          <w:bCs/>
        </w:rPr>
        <w:t>，还保障消费品的生产、销售和购买等网络的紧密联系。</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将环境和农牧业部门的两性平等政策付之实践，并将其规范化。</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在农村环境和生产领域的工作机构内制定工作战略，以便通过加强组织、咨询和企业规划、贸易、产品市场等计划，以及为女性创造适当条件的资金援助计划，关注和处理农村女性在企业活动中遇到的问题。</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加强农村妇女的培训和组织过程，加强农村妇女的领导，其目的在于提高女性在可持续发展计划制订过程中的参与，增加农村妇女在社区、地方政府和国家机构内担任职位的能力。</w:t>
      </w:r>
    </w:p>
    <w:p w:rsidR="00000000" w:rsidRDefault="00CA422F">
      <w:pPr>
        <w:spacing w:after="240" w:line="360" w:lineRule="exact"/>
        <w:rPr>
          <w:rFonts w:hint="eastAsia"/>
          <w:bCs/>
          <w:lang w:val="es-ES"/>
        </w:rPr>
      </w:pPr>
      <w:r>
        <w:rPr>
          <w:rFonts w:hint="eastAsia"/>
          <w:bCs/>
        </w:rPr>
        <w:t>723</w:t>
      </w:r>
      <w:r>
        <w:rPr>
          <w:rFonts w:hint="eastAsia"/>
          <w:bCs/>
        </w:rPr>
        <w:t>．如上所述，哥斯达黎加在二十世纪九十年代和本世纪最初</w:t>
      </w:r>
      <w:r>
        <w:rPr>
          <w:rFonts w:hint="eastAsia"/>
          <w:bCs/>
        </w:rPr>
        <w:t>两年内，开展了对公共部门人员有关两性平等和公正的实质性问题的培训，并将两性平等和公正作为公共政策和法律通过的基础。从形式上看，男女平等已经正式写入宪法和许多法律之中。在这一过程中，全体公民对这些问题也开展了讨论；这使得法律摆脱了少数人的控制，听取了公众舆论，使公众不但了解了法律，而且还使用了政治文化方面的权利。同时，这一过程还消除了对女性不利的社会认同和公民权，如，家庭暴力。同样，特别是在涉及因女性的性别而产生的行为（</w:t>
      </w:r>
      <w:r>
        <w:rPr>
          <w:rFonts w:hint="eastAsia"/>
          <w:bCs/>
          <w:lang w:val="es-ES"/>
        </w:rPr>
        <w:t>例如，性骚扰，从前只是将其视为严重的传统错误</w:t>
      </w:r>
      <w:r>
        <w:rPr>
          <w:rFonts w:hint="eastAsia"/>
          <w:bCs/>
        </w:rPr>
        <w:t>）方面，为司法概念制定了具体规定，</w:t>
      </w:r>
      <w:r>
        <w:rPr>
          <w:rFonts w:hint="eastAsia"/>
          <w:bCs/>
          <w:lang w:val="es-ES"/>
        </w:rPr>
        <w:t>使原有的司法</w:t>
      </w:r>
      <w:r>
        <w:rPr>
          <w:rFonts w:hint="eastAsia"/>
          <w:bCs/>
          <w:lang w:val="es-ES"/>
        </w:rPr>
        <w:t>形像从内容到形式都焕然一新，打破传统观念</w:t>
      </w:r>
      <w:r>
        <w:rPr>
          <w:rFonts w:hint="eastAsia"/>
          <w:bCs/>
        </w:rPr>
        <w:t>；</w:t>
      </w:r>
      <w:r>
        <w:rPr>
          <w:rFonts w:hint="eastAsia"/>
          <w:bCs/>
          <w:lang w:val="es-ES"/>
        </w:rPr>
        <w:t>打破虚假的公共和私人的二元对立，在私人领域引入民主价值观（例如，在家庭暴力中，男性应该承担法律责任和经济责任）。此外，一些改革方案还消除了男性的特权，并改变了女性所处的不利地位。如前所述，哥斯达黎加在权利的正式规范化领域的成就极为突出。</w:t>
      </w:r>
    </w:p>
    <w:p w:rsidR="00000000" w:rsidRDefault="00CA422F">
      <w:pPr>
        <w:spacing w:after="240" w:line="360" w:lineRule="exact"/>
        <w:rPr>
          <w:rFonts w:hint="eastAsia"/>
          <w:bCs/>
          <w:lang w:val="es-ES"/>
        </w:rPr>
      </w:pPr>
      <w:r>
        <w:rPr>
          <w:rFonts w:hint="eastAsia"/>
          <w:bCs/>
          <w:lang w:val="es-ES"/>
        </w:rPr>
        <w:t>724</w:t>
      </w:r>
      <w:r>
        <w:rPr>
          <w:rFonts w:hint="eastAsia"/>
          <w:bCs/>
          <w:lang w:val="es-ES"/>
        </w:rPr>
        <w:t>．在制度化的开展和加强中，可以看到下列突出的进步：</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rPr>
        <w:t>将妇女保护组织纳入居民保护组织</w:t>
      </w:r>
      <w:r>
        <w:rPr>
          <w:rFonts w:hint="eastAsia"/>
          <w:bCs/>
          <w:lang w:val="es-ES"/>
        </w:rPr>
        <w:t>，并将其作为从事女性保护、调查女性不满、推动和宣传女性权益的机构，在女性人权</w:t>
      </w:r>
      <w:r>
        <w:rPr>
          <w:rFonts w:hint="eastAsia"/>
          <w:bCs/>
        </w:rPr>
        <w:t>保护</w:t>
      </w:r>
      <w:r>
        <w:rPr>
          <w:rFonts w:hint="eastAsia"/>
          <w:bCs/>
          <w:lang w:val="es-ES"/>
        </w:rPr>
        <w:t>机制的加强方面采取有效措施。</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在立法议会中，妇女特别常任委员会主</w:t>
      </w:r>
      <w:r>
        <w:rPr>
          <w:rFonts w:hint="eastAsia"/>
          <w:bCs/>
          <w:lang w:val="es-ES"/>
        </w:rPr>
        <w:t>要负责制订并审核涉及妇女状况的各项法律，并享有推动法律的修改和对公共歧视</w:t>
      </w:r>
      <w:r>
        <w:rPr>
          <w:rFonts w:hint="eastAsia"/>
          <w:bCs/>
        </w:rPr>
        <w:t>现象</w:t>
      </w:r>
      <w:r>
        <w:rPr>
          <w:rFonts w:hint="eastAsia"/>
          <w:bCs/>
          <w:lang w:val="es-ES"/>
        </w:rPr>
        <w:t>进行政治控制等权利。</w:t>
      </w:r>
    </w:p>
    <w:p w:rsidR="00000000" w:rsidRDefault="00CA422F">
      <w:pPr>
        <w:numPr>
          <w:ilvl w:val="0"/>
          <w:numId w:val="832"/>
        </w:numPr>
        <w:tabs>
          <w:tab w:val="clear" w:pos="720"/>
          <w:tab w:val="num" w:pos="840"/>
        </w:tabs>
        <w:spacing w:after="240" w:line="360" w:lineRule="exact"/>
        <w:ind w:left="840"/>
        <w:rPr>
          <w:rFonts w:hint="eastAsia"/>
          <w:bCs/>
          <w:lang w:val="es-ES"/>
        </w:rPr>
      </w:pPr>
      <w:r>
        <w:rPr>
          <w:rFonts w:hint="eastAsia"/>
          <w:bCs/>
          <w:lang w:val="es-ES"/>
        </w:rPr>
        <w:t>在司法权力机关，根据事实夫妻、赡养费和家庭暴力的分类，成立了不少这方面的特别机构。</w:t>
      </w:r>
    </w:p>
    <w:p w:rsidR="00000000" w:rsidRDefault="00CA422F">
      <w:pPr>
        <w:numPr>
          <w:ilvl w:val="0"/>
          <w:numId w:val="832"/>
        </w:numPr>
        <w:tabs>
          <w:tab w:val="clear" w:pos="720"/>
          <w:tab w:val="num" w:pos="840"/>
        </w:tabs>
        <w:spacing w:after="240" w:line="360" w:lineRule="exact"/>
        <w:ind w:left="840"/>
        <w:rPr>
          <w:rFonts w:hint="eastAsia"/>
          <w:bCs/>
        </w:rPr>
      </w:pPr>
      <w:r>
        <w:rPr>
          <w:rFonts w:hint="eastAsia"/>
          <w:bCs/>
        </w:rPr>
        <w:t>通过拉美防犯所的妇女、司法和性别计划，采取调查、培训、技术援助和信息推广等措施，将性别观点引入司法现象。</w:t>
      </w:r>
    </w:p>
    <w:p w:rsidR="00000000" w:rsidRDefault="00CA422F">
      <w:pPr>
        <w:pStyle w:val="BodyText"/>
        <w:spacing w:after="240" w:line="360" w:lineRule="exact"/>
        <w:rPr>
          <w:rFonts w:ascii="Times New Roman" w:hint="eastAsia"/>
          <w:bCs/>
          <w:sz w:val="21"/>
        </w:rPr>
      </w:pPr>
      <w:r>
        <w:rPr>
          <w:rFonts w:ascii="Times New Roman" w:hint="eastAsia"/>
          <w:bCs/>
          <w:sz w:val="21"/>
        </w:rPr>
        <w:t>725</w:t>
      </w:r>
      <w:r>
        <w:rPr>
          <w:rFonts w:ascii="Times New Roman" w:hint="eastAsia"/>
          <w:bCs/>
          <w:sz w:val="21"/>
        </w:rPr>
        <w:t>．目前，仍然存在着不同形式的阻碍因素，哥斯达黎加政府必须通过各类战略措施，消除上述阻挠因素，其中最主要的措施便是增强权利维护人员的培训，并将其作为缩小文字规定和实际操作之间的差距的有效方式。司法管理部门内仍然存在着严重</w:t>
      </w:r>
      <w:r>
        <w:rPr>
          <w:rFonts w:ascii="Times New Roman" w:hint="eastAsia"/>
          <w:bCs/>
          <w:sz w:val="21"/>
        </w:rPr>
        <w:t>的以男性为中心的典型观点，这同样存在于女性所受到的待遇和法律的解释之中。消除这一领域内的女性歧视和恢复女性被排除的地位，意味着需要面临多重挑战。应该加强关注、察觉、保护女性享受权利的机制和结构，同时还应该加强女性获得司法援助的机制。为确保真实的保护作用，权利本身应该具有一定的要求性和审判性。在促进这一过程的同时，还应该设立特殊机构来保护女性的权利，同时加强现有的机构，并为它们提供适当的人力资源和预算资金。</w:t>
      </w:r>
    </w:p>
    <w:p w:rsidR="00000000" w:rsidRDefault="00CA422F">
      <w:pPr>
        <w:pStyle w:val="BodyText"/>
        <w:spacing w:after="240" w:line="360" w:lineRule="exact"/>
        <w:rPr>
          <w:rFonts w:ascii="Times New Roman" w:hint="eastAsia"/>
          <w:bCs/>
          <w:sz w:val="21"/>
        </w:rPr>
      </w:pPr>
      <w:r>
        <w:rPr>
          <w:rFonts w:ascii="Times New Roman" w:hint="eastAsia"/>
          <w:bCs/>
          <w:sz w:val="21"/>
        </w:rPr>
        <w:t>726</w:t>
      </w:r>
      <w:r>
        <w:rPr>
          <w:rFonts w:ascii="Times New Roman" w:hint="eastAsia"/>
          <w:bCs/>
          <w:sz w:val="21"/>
        </w:rPr>
        <w:t>．正如前面不厌其烦地指出的那样，还有些领域需要进行改善，以便更好地保障女性在法律面前的平等。部分</w:t>
      </w:r>
      <w:r>
        <w:rPr>
          <w:rFonts w:ascii="Times New Roman" w:hint="eastAsia"/>
          <w:bCs/>
          <w:sz w:val="21"/>
        </w:rPr>
        <w:t>内容已经包括在一些法律的草案之中，这些草案目前正在等待立法机构的批准：《促进妇女社会平等法》第</w:t>
      </w:r>
      <w:r>
        <w:rPr>
          <w:rFonts w:ascii="Times New Roman" w:hint="eastAsia"/>
          <w:bCs/>
          <w:sz w:val="21"/>
        </w:rPr>
        <w:t>5</w:t>
      </w:r>
      <w:r>
        <w:rPr>
          <w:rFonts w:ascii="Times New Roman" w:hint="eastAsia"/>
          <w:bCs/>
          <w:sz w:val="21"/>
        </w:rPr>
        <w:t>和第</w:t>
      </w:r>
      <w:r>
        <w:rPr>
          <w:rFonts w:ascii="Times New Roman" w:hint="eastAsia"/>
          <w:bCs/>
          <w:sz w:val="21"/>
        </w:rPr>
        <w:t>6</w:t>
      </w:r>
      <w:r>
        <w:rPr>
          <w:rFonts w:ascii="Times New Roman" w:hint="eastAsia"/>
          <w:bCs/>
          <w:sz w:val="21"/>
        </w:rPr>
        <w:t>条修正案；《政党法草案》；《反对性骚扰法修正案》以及《女性暴力刑事惩罚法草案》等。</w:t>
      </w:r>
    </w:p>
    <w:p w:rsidR="00000000" w:rsidRDefault="00CA422F">
      <w:pPr>
        <w:pStyle w:val="BodyText"/>
        <w:spacing w:after="240" w:line="360" w:lineRule="exact"/>
        <w:rPr>
          <w:rFonts w:ascii="Times New Roman" w:hint="eastAsia"/>
          <w:bCs/>
          <w:sz w:val="21"/>
        </w:rPr>
      </w:pPr>
      <w:r>
        <w:rPr>
          <w:rFonts w:ascii="Times New Roman" w:hint="eastAsia"/>
          <w:bCs/>
          <w:sz w:val="21"/>
        </w:rPr>
        <w:t>727</w:t>
      </w:r>
      <w:r>
        <w:rPr>
          <w:rFonts w:ascii="Times New Roman" w:hint="eastAsia"/>
          <w:bCs/>
          <w:sz w:val="21"/>
        </w:rPr>
        <w:t>．《父亲责任法》的通过标志着妇女组织和国家机制在消除父子关系和家庭责任中的耻辱性歧视的工作方面竖立了一块历史里程碑。该过程值得学习的地方很多。通过这项法律，在消除对妇女和非婚生子女以及没有获得父亲承认、也无法获得父亲经济资助的为数不少的子女的歧视方面也取得了一定进展。成立了父亲责任追踪政策跨部门委员会，该委员会制订了督</w:t>
      </w:r>
      <w:r>
        <w:rPr>
          <w:rFonts w:ascii="Times New Roman" w:hint="eastAsia"/>
          <w:bCs/>
          <w:sz w:val="21"/>
        </w:rPr>
        <w:t>促父亲责任政策方针，并为实现这一目标获得了一系列机构的承诺。采用该措施，对各个相关的国家负责机构的承诺进行协调，并根据《父亲责任法》，为防止出现不负责任的父亲和关注受法律保护的群体和个人做出了一定贡献。国家妇女研究所在履行自身负责机构的职责时，促进和协调各个参与机构在实施《父亲责任法》过程中采取的措施，同时保持机构各自的职责。</w:t>
      </w:r>
    </w:p>
    <w:p w:rsidR="00000000" w:rsidRDefault="00CA422F">
      <w:pPr>
        <w:pStyle w:val="BodyText"/>
        <w:spacing w:after="240" w:line="360" w:lineRule="exact"/>
        <w:rPr>
          <w:rFonts w:ascii="Times New Roman" w:hint="eastAsia"/>
          <w:bCs/>
          <w:sz w:val="21"/>
        </w:rPr>
      </w:pPr>
      <w:r>
        <w:rPr>
          <w:rFonts w:ascii="Times New Roman" w:hint="eastAsia"/>
          <w:bCs/>
          <w:sz w:val="21"/>
        </w:rPr>
        <w:t>728</w:t>
      </w:r>
      <w:r>
        <w:rPr>
          <w:rFonts w:ascii="Times New Roman" w:hint="eastAsia"/>
          <w:bCs/>
          <w:sz w:val="21"/>
        </w:rPr>
        <w:t>．还有一些领域需要加强竞争，改善服务和制订防治性别歧视和排外的的特殊政策。从不同部门（例如，新保守主义组织、卫生部门工作人员、天主教教会和一些大众传媒机构）表现出来的抗拒程度和</w:t>
      </w:r>
      <w:r>
        <w:rPr>
          <w:rFonts w:ascii="Times New Roman" w:hint="eastAsia"/>
          <w:bCs/>
          <w:sz w:val="21"/>
        </w:rPr>
        <w:t>反对意见来看，最重要的也是代表最大挑战的措施，主要集中在尊重妇女人权的性生活教育政策的制定，符合《北京行动纲要》有关规定和战略目标的性生活和生育健康政策等方面。</w:t>
      </w:r>
    </w:p>
    <w:p w:rsidR="00000000" w:rsidRDefault="00CA422F">
      <w:pPr>
        <w:pStyle w:val="BodyText"/>
        <w:spacing w:after="240" w:line="360" w:lineRule="exact"/>
        <w:rPr>
          <w:rFonts w:ascii="Times New Roman"/>
          <w:bCs/>
          <w:sz w:val="21"/>
        </w:rPr>
      </w:pPr>
      <w:r>
        <w:rPr>
          <w:rFonts w:ascii="Times New Roman" w:hint="eastAsia"/>
          <w:bCs/>
          <w:sz w:val="21"/>
        </w:rPr>
        <w:t>729</w:t>
      </w:r>
      <w:r>
        <w:rPr>
          <w:rFonts w:ascii="Times New Roman" w:hint="eastAsia"/>
          <w:bCs/>
          <w:sz w:val="21"/>
        </w:rPr>
        <w:t>．需要面对的另一些挑战是如何解决《父亲责任法》实际执行过程中产生的问题，寻找如何保障母亲及其子女的权利，以及如何保障受保护权利的可要求性。要求对公共安全部的工作人员进行培训，以便使他们能够正确履行自己的职责。此外，还应对哥斯达黎加社会保险公司和卫生部门同上述母亲进行接触的工作人员和登记员进行培训。获得通过的《父亲责任法》本身并不能保证政治方针</w:t>
      </w:r>
      <w:r>
        <w:rPr>
          <w:rFonts w:ascii="Times New Roman" w:hint="eastAsia"/>
          <w:bCs/>
          <w:sz w:val="21"/>
        </w:rPr>
        <w:t>关于促进更敏感更负责的父亲的有关规定的目标和措施的实现方面能够得到来自政治和机构的援助。从这个意义上说，国家机制和居民保护组织作为监督该法律和公共政策执行的追踪委员会的协调机构，应该将自身机制作为有效措施，来保障政府和其它机构履行各自所作的诺言。为达到这一目的，要求对《父亲责任法》、相应的执行机制和目标进行更广泛的宣传，以便在不承认父亲职责的个人和社会群体中建立更广泛的认识。同时，加强和扩大跨部门管理委员会的工作，以便协调从事促进父亲责任工作的各个机构的各项措施，保障它们之间的共同利益。</w:t>
      </w:r>
    </w:p>
    <w:p w:rsidR="00000000" w:rsidRDefault="00CA422F">
      <w:pPr>
        <w:spacing w:after="240" w:line="360" w:lineRule="exact"/>
        <w:jc w:val="center"/>
        <w:rPr>
          <w:rFonts w:ascii="SimHei" w:eastAsia="SimHei" w:hint="eastAsia"/>
          <w:sz w:val="24"/>
        </w:rPr>
      </w:pPr>
      <w:r>
        <w:br w:type="page"/>
      </w:r>
      <w:r>
        <w:rPr>
          <w:rFonts w:ascii="SimHei" w:eastAsia="SimHei" w:hint="eastAsia"/>
          <w:sz w:val="24"/>
        </w:rPr>
        <w:t>附件</w:t>
      </w:r>
      <w:r>
        <w:rPr>
          <w:rFonts w:ascii="SimHei" w:eastAsia="SimHei" w:hint="eastAsia"/>
          <w:sz w:val="24"/>
        </w:rPr>
        <w:t>1</w:t>
      </w:r>
      <w:r>
        <w:rPr>
          <w:rFonts w:ascii="SimHei" w:eastAsia="SimHei"/>
          <w:sz w:val="24"/>
        </w:rPr>
        <w:br/>
      </w:r>
      <w:r>
        <w:rPr>
          <w:rFonts w:ascii="SimHei" w:eastAsia="SimHei" w:hint="eastAsia"/>
          <w:sz w:val="24"/>
        </w:rPr>
        <w:t>哥斯达黎</w:t>
      </w:r>
      <w:r>
        <w:rPr>
          <w:rFonts w:ascii="SimHei" w:eastAsia="SimHei" w:hint="eastAsia"/>
          <w:sz w:val="24"/>
        </w:rPr>
        <w:t>加妇女状况与地位指标一览表，</w:t>
      </w:r>
      <w:r>
        <w:rPr>
          <w:rFonts w:ascii="SimHei" w:eastAsia="SimHei" w:hint="eastAsia"/>
          <w:sz w:val="24"/>
        </w:rPr>
        <w:t>1990-2000</w:t>
      </w:r>
      <w:r>
        <w:rPr>
          <w:rFonts w:ascii="SimHei" w:eastAsia="SimHei" w:hint="eastAsia"/>
          <w:sz w:val="24"/>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9"/>
        <w:gridCol w:w="841"/>
        <w:gridCol w:w="851"/>
        <w:gridCol w:w="845"/>
        <w:gridCol w:w="847"/>
        <w:gridCol w:w="843"/>
        <w:gridCol w:w="843"/>
        <w:gridCol w:w="815"/>
      </w:tblGrid>
      <w:tr w:rsidR="00000000">
        <w:tblPrEx>
          <w:tblCellMar>
            <w:top w:w="0" w:type="dxa"/>
            <w:bottom w:w="0" w:type="dxa"/>
          </w:tblCellMar>
        </w:tblPrEx>
        <w:trPr>
          <w:tblHeader/>
        </w:trPr>
        <w:tc>
          <w:tcPr>
            <w:tcW w:w="2047" w:type="pct"/>
          </w:tcPr>
          <w:p w:rsidR="00000000" w:rsidRDefault="00CA422F">
            <w:pPr>
              <w:pStyle w:val="20"/>
              <w:spacing w:beforeLines="0" w:before="0" w:afterLines="0" w:after="0" w:line="360" w:lineRule="exact"/>
              <w:rPr>
                <w:rFonts w:ascii="Times New Roman" w:eastAsia="SimHei" w:hAnsi="Times New Roman" w:hint="eastAsia"/>
                <w:sz w:val="18"/>
                <w:lang w:val="en-US"/>
              </w:rPr>
            </w:pPr>
            <w:r>
              <w:rPr>
                <w:rFonts w:ascii="Times New Roman" w:eastAsia="SimHei" w:hAnsi="Times New Roman" w:hint="eastAsia"/>
                <w:sz w:val="18"/>
                <w:lang w:val="en-US"/>
              </w:rPr>
              <w:t>指标</w:t>
            </w:r>
          </w:p>
        </w:tc>
        <w:tc>
          <w:tcPr>
            <w:tcW w:w="422" w:type="pct"/>
          </w:tcPr>
          <w:p w:rsidR="00000000" w:rsidRDefault="00CA422F">
            <w:pPr>
              <w:spacing w:line="360" w:lineRule="exact"/>
              <w:rPr>
                <w:rFonts w:hint="eastAsia"/>
                <w:b/>
                <w:bCs/>
                <w:sz w:val="18"/>
              </w:rPr>
            </w:pPr>
            <w:r>
              <w:rPr>
                <w:rFonts w:hint="eastAsia"/>
                <w:b/>
                <w:bCs/>
                <w:sz w:val="18"/>
              </w:rPr>
              <w:t>1990</w:t>
            </w:r>
          </w:p>
        </w:tc>
        <w:tc>
          <w:tcPr>
            <w:tcW w:w="427" w:type="pct"/>
          </w:tcPr>
          <w:p w:rsidR="00000000" w:rsidRDefault="00CA422F">
            <w:pPr>
              <w:spacing w:line="360" w:lineRule="exact"/>
              <w:rPr>
                <w:rFonts w:hint="eastAsia"/>
                <w:b/>
                <w:bCs/>
                <w:sz w:val="18"/>
              </w:rPr>
            </w:pPr>
            <w:r>
              <w:rPr>
                <w:rFonts w:hint="eastAsia"/>
                <w:b/>
                <w:bCs/>
                <w:sz w:val="18"/>
              </w:rPr>
              <w:t>1995</w:t>
            </w:r>
          </w:p>
        </w:tc>
        <w:tc>
          <w:tcPr>
            <w:tcW w:w="424" w:type="pct"/>
          </w:tcPr>
          <w:p w:rsidR="00000000" w:rsidRDefault="00CA422F">
            <w:pPr>
              <w:spacing w:line="360" w:lineRule="exact"/>
              <w:rPr>
                <w:rFonts w:hint="eastAsia"/>
                <w:b/>
                <w:bCs/>
                <w:sz w:val="18"/>
              </w:rPr>
            </w:pPr>
            <w:r>
              <w:rPr>
                <w:rFonts w:hint="eastAsia"/>
                <w:b/>
                <w:bCs/>
                <w:sz w:val="18"/>
              </w:rPr>
              <w:t>1996</w:t>
            </w:r>
          </w:p>
        </w:tc>
        <w:tc>
          <w:tcPr>
            <w:tcW w:w="425" w:type="pct"/>
          </w:tcPr>
          <w:p w:rsidR="00000000" w:rsidRDefault="00CA422F">
            <w:pPr>
              <w:spacing w:line="360" w:lineRule="exact"/>
              <w:rPr>
                <w:rFonts w:hint="eastAsia"/>
                <w:b/>
                <w:bCs/>
                <w:sz w:val="18"/>
              </w:rPr>
            </w:pPr>
            <w:r>
              <w:rPr>
                <w:rFonts w:hint="eastAsia"/>
                <w:b/>
                <w:bCs/>
                <w:sz w:val="18"/>
              </w:rPr>
              <w:t>1997</w:t>
            </w:r>
          </w:p>
        </w:tc>
        <w:tc>
          <w:tcPr>
            <w:tcW w:w="423" w:type="pct"/>
          </w:tcPr>
          <w:p w:rsidR="00000000" w:rsidRDefault="00CA422F">
            <w:pPr>
              <w:spacing w:line="360" w:lineRule="exact"/>
              <w:rPr>
                <w:rFonts w:hint="eastAsia"/>
                <w:b/>
                <w:bCs/>
                <w:sz w:val="18"/>
              </w:rPr>
            </w:pPr>
            <w:r>
              <w:rPr>
                <w:rFonts w:hint="eastAsia"/>
                <w:b/>
                <w:bCs/>
                <w:sz w:val="18"/>
              </w:rPr>
              <w:t>1998</w:t>
            </w:r>
          </w:p>
        </w:tc>
        <w:tc>
          <w:tcPr>
            <w:tcW w:w="423" w:type="pct"/>
          </w:tcPr>
          <w:p w:rsidR="00000000" w:rsidRDefault="00CA422F">
            <w:pPr>
              <w:spacing w:line="360" w:lineRule="exact"/>
              <w:rPr>
                <w:rFonts w:hint="eastAsia"/>
                <w:b/>
                <w:bCs/>
                <w:sz w:val="18"/>
              </w:rPr>
            </w:pPr>
            <w:r>
              <w:rPr>
                <w:rFonts w:hint="eastAsia"/>
                <w:b/>
                <w:bCs/>
                <w:sz w:val="18"/>
              </w:rPr>
              <w:t>1999</w:t>
            </w:r>
          </w:p>
        </w:tc>
        <w:tc>
          <w:tcPr>
            <w:tcW w:w="409" w:type="pct"/>
          </w:tcPr>
          <w:p w:rsidR="00000000" w:rsidRDefault="00CA422F">
            <w:pPr>
              <w:spacing w:line="360" w:lineRule="exact"/>
              <w:rPr>
                <w:rFonts w:hint="eastAsia"/>
                <w:b/>
                <w:bCs/>
                <w:sz w:val="18"/>
              </w:rPr>
            </w:pPr>
            <w:r>
              <w:rPr>
                <w:rFonts w:hint="eastAsia"/>
                <w:b/>
                <w:bCs/>
                <w:sz w:val="18"/>
              </w:rPr>
              <w:t>2000</w:t>
            </w:r>
          </w:p>
        </w:tc>
      </w:tr>
      <w:tr w:rsidR="00000000">
        <w:tblPrEx>
          <w:tblCellMar>
            <w:top w:w="0" w:type="dxa"/>
            <w:bottom w:w="0" w:type="dxa"/>
          </w:tblCellMar>
        </w:tblPrEx>
        <w:tc>
          <w:tcPr>
            <w:tcW w:w="2047" w:type="pct"/>
          </w:tcPr>
          <w:p w:rsidR="00000000" w:rsidRDefault="00CA422F">
            <w:pPr>
              <w:spacing w:line="360" w:lineRule="exact"/>
              <w:rPr>
                <w:rFonts w:eastAsia="SimHei" w:hint="eastAsia"/>
                <w:sz w:val="18"/>
              </w:rPr>
            </w:pPr>
            <w:r>
              <w:rPr>
                <w:rFonts w:eastAsia="SimHei" w:hint="eastAsia"/>
                <w:sz w:val="18"/>
              </w:rPr>
              <w:t>人的发展</w:t>
            </w:r>
          </w:p>
        </w:tc>
        <w:tc>
          <w:tcPr>
            <w:tcW w:w="422" w:type="pct"/>
            <w:tcBorders>
              <w:right w:val="nil"/>
            </w:tcBorders>
          </w:tcPr>
          <w:p w:rsidR="00000000" w:rsidRDefault="00CA422F">
            <w:pPr>
              <w:spacing w:line="360" w:lineRule="exact"/>
              <w:rPr>
                <w:sz w:val="18"/>
              </w:rPr>
            </w:pPr>
          </w:p>
        </w:tc>
        <w:tc>
          <w:tcPr>
            <w:tcW w:w="427" w:type="pct"/>
            <w:tcBorders>
              <w:left w:val="nil"/>
              <w:right w:val="nil"/>
            </w:tcBorders>
          </w:tcPr>
          <w:p w:rsidR="00000000" w:rsidRDefault="00CA422F">
            <w:pPr>
              <w:spacing w:line="360" w:lineRule="exact"/>
              <w:rPr>
                <w:sz w:val="18"/>
              </w:rPr>
            </w:pPr>
          </w:p>
        </w:tc>
        <w:tc>
          <w:tcPr>
            <w:tcW w:w="424" w:type="pct"/>
            <w:tcBorders>
              <w:left w:val="nil"/>
              <w:right w:val="nil"/>
            </w:tcBorders>
          </w:tcPr>
          <w:p w:rsidR="00000000" w:rsidRDefault="00CA422F">
            <w:pPr>
              <w:spacing w:line="360" w:lineRule="exact"/>
              <w:rPr>
                <w:sz w:val="18"/>
              </w:rPr>
            </w:pPr>
          </w:p>
        </w:tc>
        <w:tc>
          <w:tcPr>
            <w:tcW w:w="425" w:type="pct"/>
            <w:tcBorders>
              <w:left w:val="nil"/>
              <w:right w:val="nil"/>
            </w:tcBorders>
          </w:tcPr>
          <w:p w:rsidR="00000000" w:rsidRDefault="00CA422F">
            <w:pPr>
              <w:spacing w:line="360" w:lineRule="exact"/>
              <w:rPr>
                <w:sz w:val="18"/>
              </w:rPr>
            </w:pPr>
          </w:p>
        </w:tc>
        <w:tc>
          <w:tcPr>
            <w:tcW w:w="423" w:type="pct"/>
            <w:tcBorders>
              <w:left w:val="nil"/>
              <w:right w:val="nil"/>
            </w:tcBorders>
          </w:tcPr>
          <w:p w:rsidR="00000000" w:rsidRDefault="00CA422F">
            <w:pPr>
              <w:spacing w:line="360" w:lineRule="exact"/>
              <w:rPr>
                <w:sz w:val="18"/>
              </w:rPr>
            </w:pPr>
          </w:p>
        </w:tc>
        <w:tc>
          <w:tcPr>
            <w:tcW w:w="423" w:type="pct"/>
            <w:tcBorders>
              <w:left w:val="nil"/>
              <w:right w:val="nil"/>
            </w:tcBorders>
          </w:tcPr>
          <w:p w:rsidR="00000000" w:rsidRDefault="00CA422F">
            <w:pPr>
              <w:spacing w:line="360" w:lineRule="exact"/>
              <w:rPr>
                <w:sz w:val="18"/>
              </w:rPr>
            </w:pPr>
          </w:p>
        </w:tc>
        <w:tc>
          <w:tcPr>
            <w:tcW w:w="409" w:type="pct"/>
            <w:tcBorders>
              <w:left w:val="nil"/>
            </w:tcBorders>
          </w:tcPr>
          <w:p w:rsidR="00000000" w:rsidRDefault="00CA422F">
            <w:pPr>
              <w:spacing w:line="360" w:lineRule="exact"/>
              <w:rPr>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性别发展指数（值）</w:t>
            </w:r>
          </w:p>
        </w:tc>
        <w:tc>
          <w:tcPr>
            <w:tcW w:w="422" w:type="pct"/>
          </w:tcPr>
          <w:p w:rsidR="00000000" w:rsidRDefault="00CA422F">
            <w:pPr>
              <w:spacing w:line="360" w:lineRule="exact"/>
              <w:rPr>
                <w:sz w:val="18"/>
              </w:rPr>
            </w:pPr>
          </w:p>
        </w:tc>
        <w:tc>
          <w:tcPr>
            <w:tcW w:w="427" w:type="pct"/>
          </w:tcPr>
          <w:p w:rsidR="00000000" w:rsidRDefault="00CA422F">
            <w:pPr>
              <w:spacing w:line="360" w:lineRule="exact"/>
              <w:jc w:val="right"/>
              <w:rPr>
                <w:rFonts w:hint="eastAsia"/>
                <w:sz w:val="18"/>
              </w:rPr>
            </w:pPr>
            <w:r>
              <w:rPr>
                <w:rFonts w:hint="eastAsia"/>
                <w:sz w:val="18"/>
              </w:rPr>
              <w:t>0.883</w:t>
            </w:r>
          </w:p>
        </w:tc>
        <w:tc>
          <w:tcPr>
            <w:tcW w:w="424" w:type="pct"/>
          </w:tcPr>
          <w:p w:rsidR="00000000" w:rsidRDefault="00CA422F">
            <w:pPr>
              <w:spacing w:line="360" w:lineRule="exact"/>
              <w:jc w:val="right"/>
              <w:rPr>
                <w:rFonts w:hint="eastAsia"/>
                <w:sz w:val="18"/>
              </w:rPr>
            </w:pPr>
            <w:r>
              <w:rPr>
                <w:rFonts w:hint="eastAsia"/>
                <w:sz w:val="18"/>
              </w:rPr>
              <w:t>0.884</w:t>
            </w:r>
          </w:p>
        </w:tc>
        <w:tc>
          <w:tcPr>
            <w:tcW w:w="425" w:type="pct"/>
          </w:tcPr>
          <w:p w:rsidR="00000000" w:rsidRDefault="00CA422F">
            <w:pPr>
              <w:spacing w:line="360" w:lineRule="exact"/>
              <w:jc w:val="right"/>
              <w:rPr>
                <w:rFonts w:hint="eastAsia"/>
                <w:sz w:val="18"/>
              </w:rPr>
            </w:pPr>
            <w:r>
              <w:rPr>
                <w:rFonts w:hint="eastAsia"/>
                <w:sz w:val="18"/>
              </w:rPr>
              <w:t>0.889</w:t>
            </w:r>
          </w:p>
        </w:tc>
        <w:tc>
          <w:tcPr>
            <w:tcW w:w="423" w:type="pct"/>
          </w:tcPr>
          <w:p w:rsidR="00000000" w:rsidRDefault="00CA422F">
            <w:pPr>
              <w:spacing w:line="360" w:lineRule="exact"/>
              <w:jc w:val="right"/>
              <w:rPr>
                <w:rFonts w:hint="eastAsia"/>
                <w:sz w:val="18"/>
              </w:rPr>
            </w:pPr>
            <w:r>
              <w:rPr>
                <w:rFonts w:hint="eastAsia"/>
                <w:sz w:val="18"/>
              </w:rPr>
              <w:t>0.889</w:t>
            </w:r>
          </w:p>
        </w:tc>
        <w:tc>
          <w:tcPr>
            <w:tcW w:w="423" w:type="pct"/>
          </w:tcPr>
          <w:p w:rsidR="00000000" w:rsidRDefault="00CA422F">
            <w:pPr>
              <w:spacing w:line="360" w:lineRule="exact"/>
              <w:jc w:val="right"/>
              <w:rPr>
                <w:rFonts w:hint="eastAsia"/>
                <w:sz w:val="18"/>
              </w:rPr>
            </w:pPr>
            <w:r>
              <w:rPr>
                <w:rFonts w:hint="eastAsia"/>
                <w:sz w:val="18"/>
              </w:rPr>
              <w:t>0.801</w:t>
            </w:r>
          </w:p>
        </w:tc>
        <w:tc>
          <w:tcPr>
            <w:tcW w:w="409" w:type="pct"/>
          </w:tcPr>
          <w:p w:rsidR="00000000" w:rsidRDefault="00CA422F">
            <w:pPr>
              <w:spacing w:line="360" w:lineRule="exact"/>
              <w:jc w:val="right"/>
              <w:rPr>
                <w:rFonts w:hint="eastAsia"/>
                <w:sz w:val="18"/>
              </w:rPr>
            </w:pPr>
            <w:r>
              <w:rPr>
                <w:rFonts w:hint="eastAsia"/>
                <w:sz w:val="18"/>
              </w:rPr>
              <w:t>0.797</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提高性别权力指数（值）</w:t>
            </w:r>
          </w:p>
        </w:tc>
        <w:tc>
          <w:tcPr>
            <w:tcW w:w="422" w:type="pct"/>
          </w:tcPr>
          <w:p w:rsidR="00000000" w:rsidRDefault="00CA422F">
            <w:pPr>
              <w:spacing w:line="360" w:lineRule="exact"/>
              <w:rPr>
                <w:sz w:val="18"/>
              </w:rPr>
            </w:pPr>
          </w:p>
        </w:tc>
        <w:tc>
          <w:tcPr>
            <w:tcW w:w="427" w:type="pct"/>
          </w:tcPr>
          <w:p w:rsidR="00000000" w:rsidRDefault="00CA422F">
            <w:pPr>
              <w:spacing w:line="360" w:lineRule="exact"/>
              <w:jc w:val="right"/>
              <w:rPr>
                <w:rFonts w:hint="eastAsia"/>
                <w:sz w:val="18"/>
              </w:rPr>
            </w:pPr>
            <w:r>
              <w:rPr>
                <w:rFonts w:hint="eastAsia"/>
                <w:sz w:val="18"/>
              </w:rPr>
              <w:t>0.763</w:t>
            </w:r>
          </w:p>
        </w:tc>
        <w:tc>
          <w:tcPr>
            <w:tcW w:w="424" w:type="pct"/>
          </w:tcPr>
          <w:p w:rsidR="00000000" w:rsidRDefault="00CA422F">
            <w:pPr>
              <w:spacing w:line="360" w:lineRule="exact"/>
              <w:jc w:val="right"/>
              <w:rPr>
                <w:rFonts w:hint="eastAsia"/>
                <w:sz w:val="18"/>
              </w:rPr>
            </w:pPr>
            <w:r>
              <w:rPr>
                <w:rFonts w:hint="eastAsia"/>
                <w:sz w:val="18"/>
              </w:rPr>
              <w:t>0.813</w:t>
            </w:r>
          </w:p>
        </w:tc>
        <w:tc>
          <w:tcPr>
            <w:tcW w:w="425" w:type="pct"/>
          </w:tcPr>
          <w:p w:rsidR="00000000" w:rsidRDefault="00CA422F">
            <w:pPr>
              <w:spacing w:line="360" w:lineRule="exact"/>
              <w:jc w:val="right"/>
              <w:rPr>
                <w:rFonts w:hint="eastAsia"/>
                <w:sz w:val="18"/>
              </w:rPr>
            </w:pPr>
            <w:r>
              <w:rPr>
                <w:rFonts w:hint="eastAsia"/>
                <w:sz w:val="18"/>
              </w:rPr>
              <w:t>0.825</w:t>
            </w:r>
          </w:p>
        </w:tc>
        <w:tc>
          <w:tcPr>
            <w:tcW w:w="423" w:type="pct"/>
          </w:tcPr>
          <w:p w:rsidR="00000000" w:rsidRDefault="00CA422F">
            <w:pPr>
              <w:spacing w:line="360" w:lineRule="exact"/>
              <w:jc w:val="right"/>
              <w:rPr>
                <w:rFonts w:hint="eastAsia"/>
                <w:sz w:val="18"/>
              </w:rPr>
            </w:pPr>
            <w:r>
              <w:rPr>
                <w:rFonts w:hint="eastAsia"/>
                <w:sz w:val="18"/>
              </w:rPr>
              <w:t>0.818</w:t>
            </w:r>
          </w:p>
        </w:tc>
        <w:tc>
          <w:tcPr>
            <w:tcW w:w="423" w:type="pct"/>
          </w:tcPr>
          <w:p w:rsidR="00000000" w:rsidRDefault="00CA422F">
            <w:pPr>
              <w:spacing w:line="360" w:lineRule="exact"/>
              <w:jc w:val="right"/>
              <w:rPr>
                <w:rFonts w:hint="eastAsia"/>
                <w:sz w:val="18"/>
              </w:rPr>
            </w:pPr>
            <w:r>
              <w:rPr>
                <w:rFonts w:hint="eastAsia"/>
                <w:sz w:val="18"/>
              </w:rPr>
              <w:t>0.795</w:t>
            </w:r>
          </w:p>
        </w:tc>
        <w:tc>
          <w:tcPr>
            <w:tcW w:w="409" w:type="pct"/>
          </w:tcPr>
          <w:p w:rsidR="00000000" w:rsidRDefault="00CA422F">
            <w:pPr>
              <w:spacing w:line="360" w:lineRule="exact"/>
              <w:jc w:val="right"/>
              <w:rPr>
                <w:rFonts w:hint="eastAsia"/>
                <w:sz w:val="18"/>
              </w:rPr>
            </w:pPr>
            <w:r>
              <w:rPr>
                <w:rFonts w:hint="eastAsia"/>
                <w:sz w:val="18"/>
              </w:rPr>
              <w:t>0.789</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性别潜力指数</w:t>
            </w:r>
          </w:p>
        </w:tc>
        <w:tc>
          <w:tcPr>
            <w:tcW w:w="422" w:type="pct"/>
          </w:tcPr>
          <w:p w:rsidR="00000000" w:rsidRDefault="00CA422F">
            <w:pPr>
              <w:spacing w:line="360" w:lineRule="exact"/>
              <w:rPr>
                <w:sz w:val="18"/>
              </w:rPr>
            </w:pPr>
          </w:p>
        </w:tc>
        <w:tc>
          <w:tcPr>
            <w:tcW w:w="427" w:type="pct"/>
          </w:tcPr>
          <w:p w:rsidR="00000000" w:rsidRDefault="00CA422F">
            <w:pPr>
              <w:spacing w:line="360" w:lineRule="exact"/>
              <w:jc w:val="right"/>
              <w:rPr>
                <w:rFonts w:hint="eastAsia"/>
                <w:sz w:val="18"/>
              </w:rPr>
            </w:pPr>
            <w:r>
              <w:rPr>
                <w:rFonts w:hint="eastAsia"/>
                <w:sz w:val="18"/>
              </w:rPr>
              <w:t>0.474</w:t>
            </w:r>
          </w:p>
        </w:tc>
        <w:tc>
          <w:tcPr>
            <w:tcW w:w="424" w:type="pct"/>
          </w:tcPr>
          <w:p w:rsidR="00000000" w:rsidRDefault="00CA422F">
            <w:pPr>
              <w:spacing w:line="360" w:lineRule="exact"/>
              <w:jc w:val="right"/>
              <w:rPr>
                <w:sz w:val="18"/>
              </w:rPr>
            </w:pPr>
          </w:p>
        </w:tc>
        <w:tc>
          <w:tcPr>
            <w:tcW w:w="425" w:type="pct"/>
          </w:tcPr>
          <w:p w:rsidR="00000000" w:rsidRDefault="00CA422F">
            <w:pPr>
              <w:spacing w:line="360" w:lineRule="exact"/>
              <w:jc w:val="right"/>
              <w:rPr>
                <w:rFonts w:hint="eastAsia"/>
                <w:sz w:val="18"/>
              </w:rPr>
            </w:pPr>
            <w:r>
              <w:rPr>
                <w:rFonts w:hint="eastAsia"/>
                <w:sz w:val="18"/>
              </w:rPr>
              <w:t>0.494</w:t>
            </w:r>
          </w:p>
        </w:tc>
        <w:tc>
          <w:tcPr>
            <w:tcW w:w="423" w:type="pct"/>
          </w:tcPr>
          <w:p w:rsidR="00000000" w:rsidRDefault="00CA422F">
            <w:pPr>
              <w:spacing w:line="360" w:lineRule="exact"/>
              <w:jc w:val="right"/>
              <w:rPr>
                <w:rFonts w:hint="eastAsia"/>
                <w:sz w:val="18"/>
              </w:rPr>
            </w:pPr>
            <w:r>
              <w:rPr>
                <w:rFonts w:hint="eastAsia"/>
                <w:sz w:val="18"/>
              </w:rPr>
              <w:t>0.503</w:t>
            </w:r>
          </w:p>
        </w:tc>
        <w:tc>
          <w:tcPr>
            <w:tcW w:w="423" w:type="pct"/>
          </w:tcPr>
          <w:p w:rsidR="00000000" w:rsidRDefault="00CA422F">
            <w:pPr>
              <w:spacing w:line="360" w:lineRule="exact"/>
              <w:jc w:val="right"/>
              <w:rPr>
                <w:rFonts w:hint="eastAsia"/>
                <w:sz w:val="18"/>
              </w:rPr>
            </w:pPr>
            <w:r>
              <w:rPr>
                <w:rFonts w:hint="eastAsia"/>
                <w:sz w:val="18"/>
              </w:rPr>
              <w:t>0.550</w:t>
            </w:r>
          </w:p>
        </w:tc>
        <w:tc>
          <w:tcPr>
            <w:tcW w:w="409" w:type="pct"/>
          </w:tcPr>
          <w:p w:rsidR="00000000" w:rsidRDefault="00CA422F">
            <w:pPr>
              <w:spacing w:line="360" w:lineRule="exact"/>
              <w:jc w:val="right"/>
              <w:rPr>
                <w:rFonts w:hint="eastAsia"/>
                <w:sz w:val="18"/>
              </w:rPr>
            </w:pPr>
            <w:r>
              <w:rPr>
                <w:rFonts w:hint="eastAsia"/>
                <w:sz w:val="18"/>
              </w:rPr>
              <w:t>0.553</w:t>
            </w:r>
          </w:p>
        </w:tc>
      </w:tr>
      <w:tr w:rsidR="00000000">
        <w:tblPrEx>
          <w:tblCellMar>
            <w:top w:w="0" w:type="dxa"/>
            <w:bottom w:w="0" w:type="dxa"/>
          </w:tblCellMar>
        </w:tblPrEx>
        <w:tc>
          <w:tcPr>
            <w:tcW w:w="2047" w:type="pct"/>
            <w:tcBorders>
              <w:right w:val="nil"/>
            </w:tcBorders>
          </w:tcPr>
          <w:p w:rsidR="00000000" w:rsidRDefault="00CA422F">
            <w:pPr>
              <w:pStyle w:val="20"/>
              <w:spacing w:beforeLines="0" w:before="0" w:afterLines="0" w:after="0" w:line="360" w:lineRule="exact"/>
              <w:rPr>
                <w:rFonts w:ascii="Times New Roman" w:eastAsia="SimHei" w:hAnsi="Times New Roman" w:hint="eastAsia"/>
                <w:sz w:val="18"/>
                <w:lang w:val="en-US"/>
              </w:rPr>
            </w:pPr>
            <w:r>
              <w:rPr>
                <w:rFonts w:ascii="Times New Roman" w:eastAsia="SimHei" w:hAnsi="Times New Roman" w:hint="eastAsia"/>
                <w:sz w:val="18"/>
                <w:lang w:val="en-US"/>
              </w:rPr>
              <w:t>经济</w:t>
            </w:r>
          </w:p>
        </w:tc>
        <w:tc>
          <w:tcPr>
            <w:tcW w:w="422" w:type="pct"/>
            <w:tcBorders>
              <w:left w:val="nil"/>
              <w:right w:val="nil"/>
            </w:tcBorders>
          </w:tcPr>
          <w:p w:rsidR="00000000" w:rsidRDefault="00CA422F">
            <w:pPr>
              <w:spacing w:line="360" w:lineRule="exact"/>
              <w:rPr>
                <w:sz w:val="18"/>
              </w:rPr>
            </w:pPr>
          </w:p>
        </w:tc>
        <w:tc>
          <w:tcPr>
            <w:tcW w:w="427" w:type="pct"/>
            <w:tcBorders>
              <w:left w:val="nil"/>
              <w:right w:val="nil"/>
            </w:tcBorders>
          </w:tcPr>
          <w:p w:rsidR="00000000" w:rsidRDefault="00CA422F">
            <w:pPr>
              <w:spacing w:line="360" w:lineRule="exact"/>
              <w:jc w:val="right"/>
              <w:rPr>
                <w:sz w:val="18"/>
              </w:rPr>
            </w:pPr>
          </w:p>
        </w:tc>
        <w:tc>
          <w:tcPr>
            <w:tcW w:w="424" w:type="pct"/>
            <w:tcBorders>
              <w:left w:val="nil"/>
              <w:right w:val="nil"/>
            </w:tcBorders>
          </w:tcPr>
          <w:p w:rsidR="00000000" w:rsidRDefault="00CA422F">
            <w:pPr>
              <w:spacing w:line="360" w:lineRule="exact"/>
              <w:jc w:val="right"/>
              <w:rPr>
                <w:sz w:val="18"/>
              </w:rPr>
            </w:pPr>
          </w:p>
        </w:tc>
        <w:tc>
          <w:tcPr>
            <w:tcW w:w="425" w:type="pct"/>
            <w:tcBorders>
              <w:left w:val="nil"/>
              <w:right w:val="nil"/>
            </w:tcBorders>
          </w:tcPr>
          <w:p w:rsidR="00000000" w:rsidRDefault="00CA422F">
            <w:pPr>
              <w:spacing w:line="360" w:lineRule="exact"/>
              <w:jc w:val="right"/>
              <w:rPr>
                <w:sz w:val="18"/>
              </w:rPr>
            </w:pPr>
          </w:p>
        </w:tc>
        <w:tc>
          <w:tcPr>
            <w:tcW w:w="423" w:type="pct"/>
            <w:tcBorders>
              <w:left w:val="nil"/>
              <w:right w:val="nil"/>
            </w:tcBorders>
          </w:tcPr>
          <w:p w:rsidR="00000000" w:rsidRDefault="00CA422F">
            <w:pPr>
              <w:spacing w:line="360" w:lineRule="exact"/>
              <w:jc w:val="right"/>
              <w:rPr>
                <w:sz w:val="18"/>
              </w:rPr>
            </w:pPr>
          </w:p>
        </w:tc>
        <w:tc>
          <w:tcPr>
            <w:tcW w:w="423" w:type="pct"/>
            <w:tcBorders>
              <w:left w:val="nil"/>
              <w:right w:val="nil"/>
            </w:tcBorders>
          </w:tcPr>
          <w:p w:rsidR="00000000" w:rsidRDefault="00CA422F">
            <w:pPr>
              <w:spacing w:line="360" w:lineRule="exact"/>
              <w:jc w:val="right"/>
              <w:rPr>
                <w:sz w:val="18"/>
              </w:rPr>
            </w:pPr>
          </w:p>
        </w:tc>
        <w:tc>
          <w:tcPr>
            <w:tcW w:w="409" w:type="pct"/>
            <w:tcBorders>
              <w:left w:val="nil"/>
            </w:tcBorders>
          </w:tcPr>
          <w:p w:rsidR="00000000" w:rsidRDefault="00CA422F">
            <w:pPr>
              <w:spacing w:line="360" w:lineRule="exact"/>
              <w:jc w:val="right"/>
              <w:rPr>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vertAlign w:val="superscript"/>
              </w:rPr>
            </w:pPr>
            <w:r>
              <w:rPr>
                <w:rFonts w:hint="eastAsia"/>
                <w:sz w:val="18"/>
              </w:rPr>
              <w:t>因户主性别不同造成的贫困差异</w:t>
            </w:r>
            <w:r>
              <w:rPr>
                <w:rFonts w:hint="eastAsia"/>
                <w:sz w:val="18"/>
                <w:vertAlign w:val="superscript"/>
              </w:rPr>
              <w:t>a/</w:t>
            </w:r>
          </w:p>
        </w:tc>
        <w:tc>
          <w:tcPr>
            <w:tcW w:w="422" w:type="pct"/>
          </w:tcPr>
          <w:p w:rsidR="00000000" w:rsidRDefault="00CA422F">
            <w:pPr>
              <w:spacing w:line="360" w:lineRule="exact"/>
              <w:jc w:val="right"/>
              <w:rPr>
                <w:rFonts w:hint="eastAsia"/>
                <w:sz w:val="18"/>
              </w:rPr>
            </w:pPr>
            <w:r>
              <w:rPr>
                <w:rFonts w:hint="eastAsia"/>
                <w:sz w:val="18"/>
              </w:rPr>
              <w:t>-3.2</w:t>
            </w:r>
          </w:p>
        </w:tc>
        <w:tc>
          <w:tcPr>
            <w:tcW w:w="427" w:type="pct"/>
          </w:tcPr>
          <w:p w:rsidR="00000000" w:rsidRDefault="00CA422F">
            <w:pPr>
              <w:spacing w:line="360" w:lineRule="exact"/>
              <w:jc w:val="right"/>
              <w:rPr>
                <w:rFonts w:hint="eastAsia"/>
                <w:sz w:val="18"/>
              </w:rPr>
            </w:pPr>
            <w:r>
              <w:rPr>
                <w:rFonts w:hint="eastAsia"/>
                <w:sz w:val="18"/>
              </w:rPr>
              <w:t>-6.7</w:t>
            </w:r>
          </w:p>
        </w:tc>
        <w:tc>
          <w:tcPr>
            <w:tcW w:w="424" w:type="pct"/>
          </w:tcPr>
          <w:p w:rsidR="00000000" w:rsidRDefault="00CA422F">
            <w:pPr>
              <w:spacing w:line="360" w:lineRule="exact"/>
              <w:jc w:val="right"/>
              <w:rPr>
                <w:rFonts w:hint="eastAsia"/>
                <w:sz w:val="18"/>
              </w:rPr>
            </w:pPr>
            <w:r>
              <w:rPr>
                <w:rFonts w:hint="eastAsia"/>
                <w:sz w:val="18"/>
              </w:rPr>
              <w:t>-5.</w:t>
            </w:r>
            <w:r>
              <w:rPr>
                <w:rFonts w:hint="eastAsia"/>
                <w:sz w:val="18"/>
              </w:rPr>
              <w:t>8</w:t>
            </w:r>
          </w:p>
        </w:tc>
        <w:tc>
          <w:tcPr>
            <w:tcW w:w="425" w:type="pct"/>
          </w:tcPr>
          <w:p w:rsidR="00000000" w:rsidRDefault="00CA422F">
            <w:pPr>
              <w:spacing w:line="360" w:lineRule="exact"/>
              <w:jc w:val="right"/>
              <w:rPr>
                <w:rFonts w:hint="eastAsia"/>
                <w:sz w:val="18"/>
              </w:rPr>
            </w:pPr>
            <w:r>
              <w:rPr>
                <w:rFonts w:hint="eastAsia"/>
                <w:sz w:val="18"/>
              </w:rPr>
              <w:t>-6.0</w:t>
            </w:r>
          </w:p>
        </w:tc>
        <w:tc>
          <w:tcPr>
            <w:tcW w:w="423" w:type="pct"/>
          </w:tcPr>
          <w:p w:rsidR="00000000" w:rsidRDefault="00CA422F">
            <w:pPr>
              <w:spacing w:line="360" w:lineRule="exact"/>
              <w:jc w:val="right"/>
              <w:rPr>
                <w:rFonts w:hint="eastAsia"/>
                <w:sz w:val="18"/>
              </w:rPr>
            </w:pPr>
            <w:r>
              <w:rPr>
                <w:rFonts w:hint="eastAsia"/>
                <w:sz w:val="18"/>
              </w:rPr>
              <w:t>-5.7</w:t>
            </w:r>
          </w:p>
        </w:tc>
        <w:tc>
          <w:tcPr>
            <w:tcW w:w="423" w:type="pct"/>
          </w:tcPr>
          <w:p w:rsidR="00000000" w:rsidRDefault="00CA422F">
            <w:pPr>
              <w:spacing w:line="360" w:lineRule="exact"/>
              <w:jc w:val="right"/>
              <w:rPr>
                <w:rFonts w:hint="eastAsia"/>
                <w:sz w:val="18"/>
              </w:rPr>
            </w:pPr>
            <w:r>
              <w:rPr>
                <w:rFonts w:hint="eastAsia"/>
                <w:sz w:val="18"/>
              </w:rPr>
              <w:t>-9.9</w:t>
            </w:r>
          </w:p>
        </w:tc>
        <w:tc>
          <w:tcPr>
            <w:tcW w:w="409" w:type="pct"/>
          </w:tcPr>
          <w:p w:rsidR="00000000" w:rsidRDefault="00CA422F">
            <w:pPr>
              <w:spacing w:line="360" w:lineRule="exact"/>
              <w:jc w:val="right"/>
              <w:rPr>
                <w:rFonts w:hint="eastAsia"/>
                <w:sz w:val="18"/>
              </w:rPr>
            </w:pPr>
            <w:r>
              <w:rPr>
                <w:rFonts w:hint="eastAsia"/>
                <w:sz w:val="18"/>
              </w:rPr>
              <w:t>-7.9</w:t>
            </w:r>
          </w:p>
        </w:tc>
      </w:tr>
      <w:tr w:rsidR="00000000">
        <w:tblPrEx>
          <w:tblCellMar>
            <w:top w:w="0" w:type="dxa"/>
            <w:bottom w:w="0" w:type="dxa"/>
          </w:tblCellMar>
        </w:tblPrEx>
        <w:trPr>
          <w:cantSplit/>
        </w:trPr>
        <w:tc>
          <w:tcPr>
            <w:tcW w:w="5000" w:type="pct"/>
            <w:gridSpan w:val="8"/>
          </w:tcPr>
          <w:p w:rsidR="00000000" w:rsidRDefault="00CA422F">
            <w:pPr>
              <w:spacing w:line="360" w:lineRule="exact"/>
              <w:rPr>
                <w:rFonts w:eastAsia="KaiTi_GB2312" w:hint="eastAsia"/>
                <w:sz w:val="18"/>
              </w:rPr>
            </w:pPr>
            <w:r>
              <w:rPr>
                <w:rFonts w:eastAsia="KaiTi_GB2312" w:hint="eastAsia"/>
                <w:sz w:val="18"/>
              </w:rPr>
              <w:t>就业妇女在生产部门中的比例（主要针对妇女的产业部门）</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社会服务、社区服务和个人劳务</w:t>
            </w:r>
          </w:p>
        </w:tc>
        <w:tc>
          <w:tcPr>
            <w:tcW w:w="422" w:type="pct"/>
          </w:tcPr>
          <w:p w:rsidR="00000000" w:rsidRDefault="00CA422F">
            <w:pPr>
              <w:spacing w:line="360" w:lineRule="exact"/>
              <w:jc w:val="right"/>
              <w:rPr>
                <w:rFonts w:hint="eastAsia"/>
                <w:sz w:val="18"/>
              </w:rPr>
            </w:pPr>
            <w:r>
              <w:rPr>
                <w:rFonts w:hint="eastAsia"/>
                <w:sz w:val="18"/>
              </w:rPr>
              <w:t>44.4</w:t>
            </w:r>
          </w:p>
        </w:tc>
        <w:tc>
          <w:tcPr>
            <w:tcW w:w="427" w:type="pct"/>
          </w:tcPr>
          <w:p w:rsidR="00000000" w:rsidRDefault="00CA422F">
            <w:pPr>
              <w:spacing w:line="360" w:lineRule="exact"/>
              <w:jc w:val="right"/>
              <w:rPr>
                <w:rFonts w:hint="eastAsia"/>
                <w:sz w:val="18"/>
              </w:rPr>
            </w:pPr>
            <w:r>
              <w:rPr>
                <w:rFonts w:hint="eastAsia"/>
                <w:sz w:val="18"/>
              </w:rPr>
              <w:t>41.7</w:t>
            </w:r>
          </w:p>
        </w:tc>
        <w:tc>
          <w:tcPr>
            <w:tcW w:w="424" w:type="pct"/>
          </w:tcPr>
          <w:p w:rsidR="00000000" w:rsidRDefault="00CA422F">
            <w:pPr>
              <w:spacing w:line="360" w:lineRule="exact"/>
              <w:jc w:val="right"/>
              <w:rPr>
                <w:rFonts w:hint="eastAsia"/>
                <w:sz w:val="18"/>
              </w:rPr>
            </w:pPr>
            <w:r>
              <w:rPr>
                <w:rFonts w:hint="eastAsia"/>
                <w:sz w:val="18"/>
              </w:rPr>
              <w:t>44.6</w:t>
            </w:r>
          </w:p>
        </w:tc>
        <w:tc>
          <w:tcPr>
            <w:tcW w:w="425" w:type="pct"/>
          </w:tcPr>
          <w:p w:rsidR="00000000" w:rsidRDefault="00CA422F">
            <w:pPr>
              <w:spacing w:line="360" w:lineRule="exact"/>
              <w:jc w:val="right"/>
              <w:rPr>
                <w:rFonts w:hint="eastAsia"/>
                <w:sz w:val="18"/>
              </w:rPr>
            </w:pPr>
            <w:r>
              <w:rPr>
                <w:rFonts w:hint="eastAsia"/>
                <w:sz w:val="18"/>
              </w:rPr>
              <w:t>46.2</w:t>
            </w:r>
          </w:p>
        </w:tc>
        <w:tc>
          <w:tcPr>
            <w:tcW w:w="423" w:type="pct"/>
          </w:tcPr>
          <w:p w:rsidR="00000000" w:rsidRDefault="00CA422F">
            <w:pPr>
              <w:spacing w:line="360" w:lineRule="exact"/>
              <w:jc w:val="right"/>
              <w:rPr>
                <w:rFonts w:hint="eastAsia"/>
                <w:sz w:val="18"/>
              </w:rPr>
            </w:pPr>
            <w:r>
              <w:rPr>
                <w:rFonts w:hint="eastAsia"/>
                <w:sz w:val="18"/>
              </w:rPr>
              <w:t>45.5</w:t>
            </w:r>
          </w:p>
        </w:tc>
        <w:tc>
          <w:tcPr>
            <w:tcW w:w="423" w:type="pct"/>
          </w:tcPr>
          <w:p w:rsidR="00000000" w:rsidRDefault="00CA422F">
            <w:pPr>
              <w:spacing w:line="360" w:lineRule="exact"/>
              <w:jc w:val="right"/>
              <w:rPr>
                <w:rFonts w:hint="eastAsia"/>
                <w:sz w:val="18"/>
              </w:rPr>
            </w:pPr>
            <w:r>
              <w:rPr>
                <w:rFonts w:hint="eastAsia"/>
                <w:sz w:val="18"/>
              </w:rPr>
              <w:t>44.0</w:t>
            </w:r>
          </w:p>
        </w:tc>
        <w:tc>
          <w:tcPr>
            <w:tcW w:w="409" w:type="pct"/>
          </w:tcPr>
          <w:p w:rsidR="00000000" w:rsidRDefault="00CA422F">
            <w:pPr>
              <w:spacing w:line="360" w:lineRule="exact"/>
              <w:jc w:val="right"/>
              <w:rPr>
                <w:rFonts w:hint="eastAsia"/>
                <w:sz w:val="18"/>
              </w:rPr>
            </w:pPr>
            <w:r>
              <w:rPr>
                <w:rFonts w:hint="eastAsia"/>
                <w:sz w:val="18"/>
              </w:rPr>
              <w:t>44.5</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商业、食肆和旅店</w:t>
            </w:r>
          </w:p>
        </w:tc>
        <w:tc>
          <w:tcPr>
            <w:tcW w:w="422" w:type="pct"/>
          </w:tcPr>
          <w:p w:rsidR="00000000" w:rsidRDefault="00CA422F">
            <w:pPr>
              <w:spacing w:line="360" w:lineRule="exact"/>
              <w:jc w:val="right"/>
              <w:rPr>
                <w:rFonts w:hint="eastAsia"/>
                <w:sz w:val="18"/>
              </w:rPr>
            </w:pPr>
            <w:r>
              <w:rPr>
                <w:rFonts w:hint="eastAsia"/>
                <w:sz w:val="18"/>
              </w:rPr>
              <w:t>20.9</w:t>
            </w:r>
          </w:p>
        </w:tc>
        <w:tc>
          <w:tcPr>
            <w:tcW w:w="427" w:type="pct"/>
          </w:tcPr>
          <w:p w:rsidR="00000000" w:rsidRDefault="00CA422F">
            <w:pPr>
              <w:spacing w:line="360" w:lineRule="exact"/>
              <w:jc w:val="right"/>
              <w:rPr>
                <w:rFonts w:hint="eastAsia"/>
                <w:sz w:val="18"/>
              </w:rPr>
            </w:pPr>
            <w:r>
              <w:rPr>
                <w:rFonts w:hint="eastAsia"/>
                <w:sz w:val="18"/>
              </w:rPr>
              <w:t>25.3</w:t>
            </w:r>
          </w:p>
        </w:tc>
        <w:tc>
          <w:tcPr>
            <w:tcW w:w="424" w:type="pct"/>
          </w:tcPr>
          <w:p w:rsidR="00000000" w:rsidRDefault="00CA422F">
            <w:pPr>
              <w:spacing w:line="360" w:lineRule="exact"/>
              <w:jc w:val="right"/>
              <w:rPr>
                <w:rFonts w:hint="eastAsia"/>
                <w:sz w:val="18"/>
              </w:rPr>
            </w:pPr>
            <w:r>
              <w:rPr>
                <w:rFonts w:hint="eastAsia"/>
                <w:sz w:val="18"/>
              </w:rPr>
              <w:t>24.8</w:t>
            </w:r>
          </w:p>
        </w:tc>
        <w:tc>
          <w:tcPr>
            <w:tcW w:w="425" w:type="pct"/>
          </w:tcPr>
          <w:p w:rsidR="00000000" w:rsidRDefault="00CA422F">
            <w:pPr>
              <w:spacing w:line="360" w:lineRule="exact"/>
              <w:jc w:val="right"/>
              <w:rPr>
                <w:rFonts w:hint="eastAsia"/>
                <w:sz w:val="18"/>
              </w:rPr>
            </w:pPr>
            <w:r>
              <w:rPr>
                <w:rFonts w:hint="eastAsia"/>
                <w:sz w:val="18"/>
              </w:rPr>
              <w:t>23.7</w:t>
            </w:r>
          </w:p>
        </w:tc>
        <w:tc>
          <w:tcPr>
            <w:tcW w:w="423" w:type="pct"/>
          </w:tcPr>
          <w:p w:rsidR="00000000" w:rsidRDefault="00CA422F">
            <w:pPr>
              <w:spacing w:line="360" w:lineRule="exact"/>
              <w:jc w:val="right"/>
              <w:rPr>
                <w:rFonts w:hint="eastAsia"/>
                <w:sz w:val="18"/>
              </w:rPr>
            </w:pPr>
            <w:r>
              <w:rPr>
                <w:rFonts w:hint="eastAsia"/>
                <w:sz w:val="18"/>
              </w:rPr>
              <w:t>23.3</w:t>
            </w:r>
          </w:p>
        </w:tc>
        <w:tc>
          <w:tcPr>
            <w:tcW w:w="423" w:type="pct"/>
          </w:tcPr>
          <w:p w:rsidR="00000000" w:rsidRDefault="00CA422F">
            <w:pPr>
              <w:spacing w:line="360" w:lineRule="exact"/>
              <w:jc w:val="right"/>
              <w:rPr>
                <w:rFonts w:hint="eastAsia"/>
                <w:sz w:val="18"/>
              </w:rPr>
            </w:pPr>
            <w:r>
              <w:rPr>
                <w:rFonts w:hint="eastAsia"/>
                <w:sz w:val="18"/>
              </w:rPr>
              <w:t>26.7</w:t>
            </w:r>
          </w:p>
        </w:tc>
        <w:tc>
          <w:tcPr>
            <w:tcW w:w="409" w:type="pct"/>
          </w:tcPr>
          <w:p w:rsidR="00000000" w:rsidRDefault="00CA422F">
            <w:pPr>
              <w:spacing w:line="360" w:lineRule="exact"/>
              <w:jc w:val="right"/>
              <w:rPr>
                <w:rFonts w:hint="eastAsia"/>
                <w:sz w:val="18"/>
              </w:rPr>
            </w:pPr>
            <w:r>
              <w:rPr>
                <w:rFonts w:hint="eastAsia"/>
                <w:sz w:val="18"/>
              </w:rPr>
              <w:t>26.1</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制造业</w:t>
            </w:r>
          </w:p>
        </w:tc>
        <w:tc>
          <w:tcPr>
            <w:tcW w:w="422" w:type="pct"/>
          </w:tcPr>
          <w:p w:rsidR="00000000" w:rsidRDefault="00CA422F">
            <w:pPr>
              <w:spacing w:line="360" w:lineRule="exact"/>
              <w:jc w:val="right"/>
              <w:rPr>
                <w:rFonts w:hint="eastAsia"/>
                <w:sz w:val="18"/>
              </w:rPr>
            </w:pPr>
            <w:r>
              <w:rPr>
                <w:rFonts w:hint="eastAsia"/>
                <w:sz w:val="18"/>
              </w:rPr>
              <w:t>23.5</w:t>
            </w:r>
          </w:p>
        </w:tc>
        <w:tc>
          <w:tcPr>
            <w:tcW w:w="427" w:type="pct"/>
          </w:tcPr>
          <w:p w:rsidR="00000000" w:rsidRDefault="00CA422F">
            <w:pPr>
              <w:spacing w:line="360" w:lineRule="exact"/>
              <w:jc w:val="right"/>
              <w:rPr>
                <w:rFonts w:hint="eastAsia"/>
                <w:sz w:val="18"/>
              </w:rPr>
            </w:pPr>
            <w:r>
              <w:rPr>
                <w:rFonts w:hint="eastAsia"/>
                <w:sz w:val="18"/>
              </w:rPr>
              <w:t>20.0</w:t>
            </w:r>
          </w:p>
        </w:tc>
        <w:tc>
          <w:tcPr>
            <w:tcW w:w="424" w:type="pct"/>
          </w:tcPr>
          <w:p w:rsidR="00000000" w:rsidRDefault="00CA422F">
            <w:pPr>
              <w:spacing w:line="360" w:lineRule="exact"/>
              <w:jc w:val="right"/>
              <w:rPr>
                <w:rFonts w:hint="eastAsia"/>
                <w:sz w:val="18"/>
              </w:rPr>
            </w:pPr>
            <w:r>
              <w:rPr>
                <w:rFonts w:hint="eastAsia"/>
                <w:sz w:val="18"/>
              </w:rPr>
              <w:t>17.9</w:t>
            </w:r>
          </w:p>
        </w:tc>
        <w:tc>
          <w:tcPr>
            <w:tcW w:w="425" w:type="pct"/>
          </w:tcPr>
          <w:p w:rsidR="00000000" w:rsidRDefault="00CA422F">
            <w:pPr>
              <w:spacing w:line="360" w:lineRule="exact"/>
              <w:jc w:val="right"/>
              <w:rPr>
                <w:rFonts w:hint="eastAsia"/>
                <w:sz w:val="18"/>
              </w:rPr>
            </w:pPr>
            <w:r>
              <w:rPr>
                <w:rFonts w:hint="eastAsia"/>
                <w:sz w:val="18"/>
              </w:rPr>
              <w:t>16.3</w:t>
            </w:r>
          </w:p>
        </w:tc>
        <w:tc>
          <w:tcPr>
            <w:tcW w:w="423" w:type="pct"/>
          </w:tcPr>
          <w:p w:rsidR="00000000" w:rsidRDefault="00CA422F">
            <w:pPr>
              <w:spacing w:line="360" w:lineRule="exact"/>
              <w:jc w:val="right"/>
              <w:rPr>
                <w:rFonts w:hint="eastAsia"/>
                <w:sz w:val="18"/>
              </w:rPr>
            </w:pPr>
            <w:r>
              <w:rPr>
                <w:rFonts w:hint="eastAsia"/>
                <w:sz w:val="18"/>
              </w:rPr>
              <w:t>17.2</w:t>
            </w:r>
          </w:p>
        </w:tc>
        <w:tc>
          <w:tcPr>
            <w:tcW w:w="423" w:type="pct"/>
          </w:tcPr>
          <w:p w:rsidR="00000000" w:rsidRDefault="00CA422F">
            <w:pPr>
              <w:spacing w:line="360" w:lineRule="exact"/>
              <w:jc w:val="right"/>
              <w:rPr>
                <w:rFonts w:hint="eastAsia"/>
                <w:sz w:val="18"/>
              </w:rPr>
            </w:pPr>
            <w:r>
              <w:rPr>
                <w:rFonts w:hint="eastAsia"/>
                <w:sz w:val="18"/>
              </w:rPr>
              <w:t>16.8</w:t>
            </w:r>
          </w:p>
        </w:tc>
        <w:tc>
          <w:tcPr>
            <w:tcW w:w="409" w:type="pct"/>
          </w:tcPr>
          <w:p w:rsidR="00000000" w:rsidRDefault="00CA422F">
            <w:pPr>
              <w:spacing w:line="360" w:lineRule="exact"/>
              <w:jc w:val="right"/>
              <w:rPr>
                <w:rFonts w:hint="eastAsia"/>
                <w:sz w:val="18"/>
              </w:rPr>
            </w:pPr>
            <w:r>
              <w:rPr>
                <w:rFonts w:hint="eastAsia"/>
                <w:sz w:val="18"/>
              </w:rPr>
              <w:t>15.6</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农业、狩猎业、林业和渔业</w:t>
            </w:r>
          </w:p>
        </w:tc>
        <w:tc>
          <w:tcPr>
            <w:tcW w:w="422" w:type="pct"/>
          </w:tcPr>
          <w:p w:rsidR="00000000" w:rsidRDefault="00CA422F">
            <w:pPr>
              <w:spacing w:line="360" w:lineRule="exact"/>
              <w:jc w:val="right"/>
              <w:rPr>
                <w:rFonts w:hint="eastAsia"/>
                <w:sz w:val="18"/>
              </w:rPr>
            </w:pPr>
            <w:r>
              <w:rPr>
                <w:rFonts w:hint="eastAsia"/>
                <w:sz w:val="18"/>
              </w:rPr>
              <w:t>6.4</w:t>
            </w:r>
          </w:p>
        </w:tc>
        <w:tc>
          <w:tcPr>
            <w:tcW w:w="427" w:type="pct"/>
          </w:tcPr>
          <w:p w:rsidR="00000000" w:rsidRDefault="00CA422F">
            <w:pPr>
              <w:spacing w:line="360" w:lineRule="exact"/>
              <w:jc w:val="right"/>
              <w:rPr>
                <w:rFonts w:hint="eastAsia"/>
                <w:sz w:val="18"/>
              </w:rPr>
            </w:pPr>
            <w:r>
              <w:rPr>
                <w:rFonts w:hint="eastAsia"/>
                <w:sz w:val="18"/>
              </w:rPr>
              <w:t>6.3</w:t>
            </w:r>
          </w:p>
        </w:tc>
        <w:tc>
          <w:tcPr>
            <w:tcW w:w="424" w:type="pct"/>
          </w:tcPr>
          <w:p w:rsidR="00000000" w:rsidRDefault="00CA422F">
            <w:pPr>
              <w:spacing w:line="360" w:lineRule="exact"/>
              <w:jc w:val="right"/>
              <w:rPr>
                <w:rFonts w:hint="eastAsia"/>
                <w:sz w:val="18"/>
              </w:rPr>
            </w:pPr>
            <w:r>
              <w:rPr>
                <w:rFonts w:hint="eastAsia"/>
                <w:sz w:val="18"/>
              </w:rPr>
              <w:t>5.7</w:t>
            </w:r>
          </w:p>
        </w:tc>
        <w:tc>
          <w:tcPr>
            <w:tcW w:w="425" w:type="pct"/>
          </w:tcPr>
          <w:p w:rsidR="00000000" w:rsidRDefault="00CA422F">
            <w:pPr>
              <w:spacing w:line="360" w:lineRule="exact"/>
              <w:jc w:val="right"/>
              <w:rPr>
                <w:rFonts w:hint="eastAsia"/>
                <w:sz w:val="18"/>
              </w:rPr>
            </w:pPr>
            <w:r>
              <w:rPr>
                <w:rFonts w:hint="eastAsia"/>
                <w:sz w:val="18"/>
              </w:rPr>
              <w:t>5.9</w:t>
            </w:r>
          </w:p>
        </w:tc>
        <w:tc>
          <w:tcPr>
            <w:tcW w:w="423" w:type="pct"/>
          </w:tcPr>
          <w:p w:rsidR="00000000" w:rsidRDefault="00CA422F">
            <w:pPr>
              <w:spacing w:line="360" w:lineRule="exact"/>
              <w:jc w:val="right"/>
              <w:rPr>
                <w:rFonts w:hint="eastAsia"/>
                <w:sz w:val="18"/>
              </w:rPr>
            </w:pPr>
            <w:r>
              <w:rPr>
                <w:rFonts w:hint="eastAsia"/>
                <w:sz w:val="18"/>
              </w:rPr>
              <w:t>5.5</w:t>
            </w:r>
          </w:p>
        </w:tc>
        <w:tc>
          <w:tcPr>
            <w:tcW w:w="423" w:type="pct"/>
          </w:tcPr>
          <w:p w:rsidR="00000000" w:rsidRDefault="00CA422F">
            <w:pPr>
              <w:spacing w:line="360" w:lineRule="exact"/>
              <w:jc w:val="right"/>
              <w:rPr>
                <w:rFonts w:hint="eastAsia"/>
                <w:sz w:val="18"/>
              </w:rPr>
            </w:pPr>
            <w:r>
              <w:rPr>
                <w:rFonts w:hint="eastAsia"/>
                <w:sz w:val="18"/>
              </w:rPr>
              <w:t>4.7</w:t>
            </w:r>
          </w:p>
        </w:tc>
        <w:tc>
          <w:tcPr>
            <w:tcW w:w="409" w:type="pct"/>
          </w:tcPr>
          <w:p w:rsidR="00000000" w:rsidRDefault="00CA422F">
            <w:pPr>
              <w:spacing w:line="360" w:lineRule="exact"/>
              <w:jc w:val="right"/>
              <w:rPr>
                <w:rFonts w:hint="eastAsia"/>
                <w:sz w:val="18"/>
              </w:rPr>
            </w:pPr>
            <w:r>
              <w:rPr>
                <w:rFonts w:hint="eastAsia"/>
                <w:sz w:val="18"/>
              </w:rPr>
              <w:t>5.4</w:t>
            </w:r>
          </w:p>
        </w:tc>
      </w:tr>
      <w:tr w:rsidR="00000000">
        <w:tblPrEx>
          <w:tblCellMar>
            <w:top w:w="0" w:type="dxa"/>
            <w:bottom w:w="0" w:type="dxa"/>
          </w:tblCellMar>
        </w:tblPrEx>
        <w:tc>
          <w:tcPr>
            <w:tcW w:w="2047" w:type="pct"/>
            <w:tcBorders>
              <w:right w:val="nil"/>
            </w:tcBorders>
          </w:tcPr>
          <w:p w:rsidR="00000000" w:rsidRDefault="00CA422F">
            <w:pPr>
              <w:spacing w:line="360" w:lineRule="exact"/>
              <w:rPr>
                <w:rFonts w:eastAsia="KaiTi_GB2312" w:hint="eastAsia"/>
                <w:sz w:val="18"/>
              </w:rPr>
            </w:pPr>
            <w:r>
              <w:rPr>
                <w:rFonts w:eastAsia="KaiTi_GB2312" w:hint="eastAsia"/>
                <w:sz w:val="18"/>
              </w:rPr>
              <w:t>按职业类别计算的妇女就业比例</w:t>
            </w:r>
          </w:p>
        </w:tc>
        <w:tc>
          <w:tcPr>
            <w:tcW w:w="422" w:type="pct"/>
            <w:tcBorders>
              <w:left w:val="nil"/>
              <w:right w:val="nil"/>
            </w:tcBorders>
          </w:tcPr>
          <w:p w:rsidR="00000000" w:rsidRDefault="00CA422F">
            <w:pPr>
              <w:spacing w:line="360" w:lineRule="exact"/>
              <w:rPr>
                <w:rFonts w:eastAsia="KaiTi_GB2312" w:hint="eastAsia"/>
                <w:sz w:val="18"/>
              </w:rPr>
            </w:pPr>
          </w:p>
        </w:tc>
        <w:tc>
          <w:tcPr>
            <w:tcW w:w="427" w:type="pct"/>
            <w:tcBorders>
              <w:left w:val="nil"/>
              <w:right w:val="nil"/>
            </w:tcBorders>
          </w:tcPr>
          <w:p w:rsidR="00000000" w:rsidRDefault="00CA422F">
            <w:pPr>
              <w:spacing w:line="360" w:lineRule="exact"/>
              <w:rPr>
                <w:rFonts w:hint="eastAsia"/>
                <w:sz w:val="18"/>
              </w:rPr>
            </w:pPr>
          </w:p>
        </w:tc>
        <w:tc>
          <w:tcPr>
            <w:tcW w:w="424" w:type="pct"/>
            <w:tcBorders>
              <w:left w:val="nil"/>
              <w:right w:val="nil"/>
            </w:tcBorders>
          </w:tcPr>
          <w:p w:rsidR="00000000" w:rsidRDefault="00CA422F">
            <w:pPr>
              <w:spacing w:line="360" w:lineRule="exact"/>
              <w:rPr>
                <w:rFonts w:hint="eastAsia"/>
                <w:sz w:val="18"/>
              </w:rPr>
            </w:pPr>
          </w:p>
        </w:tc>
        <w:tc>
          <w:tcPr>
            <w:tcW w:w="425"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09" w:type="pct"/>
            <w:tcBorders>
              <w:left w:val="nil"/>
            </w:tcBorders>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女性工资</w:t>
            </w:r>
            <w:r>
              <w:rPr>
                <w:rFonts w:hint="eastAsia"/>
                <w:sz w:val="18"/>
              </w:rPr>
              <w:t>劳动者</w:t>
            </w:r>
          </w:p>
        </w:tc>
        <w:tc>
          <w:tcPr>
            <w:tcW w:w="422" w:type="pct"/>
          </w:tcPr>
          <w:p w:rsidR="00000000" w:rsidRDefault="00CA422F">
            <w:pPr>
              <w:spacing w:line="360" w:lineRule="exact"/>
              <w:jc w:val="right"/>
              <w:rPr>
                <w:rFonts w:hint="eastAsia"/>
                <w:sz w:val="18"/>
              </w:rPr>
            </w:pPr>
            <w:r>
              <w:rPr>
                <w:rFonts w:hint="eastAsia"/>
                <w:sz w:val="18"/>
              </w:rPr>
              <w:t>77.6</w:t>
            </w:r>
          </w:p>
        </w:tc>
        <w:tc>
          <w:tcPr>
            <w:tcW w:w="427" w:type="pct"/>
          </w:tcPr>
          <w:p w:rsidR="00000000" w:rsidRDefault="00CA422F">
            <w:pPr>
              <w:spacing w:line="360" w:lineRule="exact"/>
              <w:jc w:val="right"/>
              <w:rPr>
                <w:rFonts w:hint="eastAsia"/>
                <w:sz w:val="18"/>
              </w:rPr>
            </w:pPr>
            <w:r>
              <w:rPr>
                <w:rFonts w:hint="eastAsia"/>
                <w:sz w:val="18"/>
              </w:rPr>
              <w:t>75.6</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74.9</w:t>
            </w:r>
          </w:p>
        </w:tc>
        <w:tc>
          <w:tcPr>
            <w:tcW w:w="409" w:type="pct"/>
          </w:tcPr>
          <w:p w:rsidR="00000000" w:rsidRDefault="00CA422F">
            <w:pPr>
              <w:spacing w:line="360" w:lineRule="exact"/>
              <w:jc w:val="right"/>
              <w:rPr>
                <w:rFonts w:hint="eastAsia"/>
                <w:sz w:val="18"/>
              </w:rPr>
            </w:pPr>
            <w:r>
              <w:rPr>
                <w:rFonts w:hint="eastAsia"/>
                <w:sz w:val="18"/>
              </w:rPr>
              <w:t>76.6</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为自己工作的妇女</w:t>
            </w:r>
          </w:p>
        </w:tc>
        <w:tc>
          <w:tcPr>
            <w:tcW w:w="422" w:type="pct"/>
          </w:tcPr>
          <w:p w:rsidR="00000000" w:rsidRDefault="00CA422F">
            <w:pPr>
              <w:spacing w:line="360" w:lineRule="exact"/>
              <w:jc w:val="right"/>
              <w:rPr>
                <w:rFonts w:hint="eastAsia"/>
                <w:sz w:val="18"/>
              </w:rPr>
            </w:pPr>
            <w:r>
              <w:rPr>
                <w:rFonts w:hint="eastAsia"/>
                <w:sz w:val="18"/>
              </w:rPr>
              <w:t>14.2</w:t>
            </w:r>
          </w:p>
        </w:tc>
        <w:tc>
          <w:tcPr>
            <w:tcW w:w="427" w:type="pct"/>
          </w:tcPr>
          <w:p w:rsidR="00000000" w:rsidRDefault="00CA422F">
            <w:pPr>
              <w:spacing w:line="360" w:lineRule="exact"/>
              <w:jc w:val="right"/>
              <w:rPr>
                <w:rFonts w:hint="eastAsia"/>
                <w:sz w:val="18"/>
              </w:rPr>
            </w:pPr>
            <w:r>
              <w:rPr>
                <w:rFonts w:hint="eastAsia"/>
                <w:sz w:val="18"/>
              </w:rPr>
              <w:t>16.0</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16.7</w:t>
            </w:r>
          </w:p>
        </w:tc>
        <w:tc>
          <w:tcPr>
            <w:tcW w:w="409" w:type="pct"/>
          </w:tcPr>
          <w:p w:rsidR="00000000" w:rsidRDefault="00CA422F">
            <w:pPr>
              <w:spacing w:line="360" w:lineRule="exact"/>
              <w:jc w:val="right"/>
              <w:rPr>
                <w:rFonts w:hint="eastAsia"/>
                <w:sz w:val="18"/>
              </w:rPr>
            </w:pPr>
            <w:r>
              <w:rPr>
                <w:rFonts w:hint="eastAsia"/>
                <w:sz w:val="18"/>
              </w:rPr>
              <w:t>17.2</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无工资收入者</w:t>
            </w:r>
          </w:p>
        </w:tc>
        <w:tc>
          <w:tcPr>
            <w:tcW w:w="422" w:type="pct"/>
          </w:tcPr>
          <w:p w:rsidR="00000000" w:rsidRDefault="00CA422F">
            <w:pPr>
              <w:spacing w:line="360" w:lineRule="exact"/>
              <w:jc w:val="right"/>
              <w:rPr>
                <w:rFonts w:hint="eastAsia"/>
                <w:sz w:val="18"/>
              </w:rPr>
            </w:pPr>
            <w:r>
              <w:rPr>
                <w:rFonts w:hint="eastAsia"/>
                <w:sz w:val="18"/>
              </w:rPr>
              <w:t>6.4</w:t>
            </w:r>
          </w:p>
        </w:tc>
        <w:tc>
          <w:tcPr>
            <w:tcW w:w="427" w:type="pct"/>
          </w:tcPr>
          <w:p w:rsidR="00000000" w:rsidRDefault="00CA422F">
            <w:pPr>
              <w:spacing w:line="360" w:lineRule="exact"/>
              <w:jc w:val="right"/>
              <w:rPr>
                <w:rFonts w:hint="eastAsia"/>
                <w:sz w:val="18"/>
              </w:rPr>
            </w:pPr>
            <w:r>
              <w:rPr>
                <w:rFonts w:hint="eastAsia"/>
                <w:sz w:val="18"/>
              </w:rPr>
              <w:t>5.1</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4.3</w:t>
            </w:r>
          </w:p>
        </w:tc>
        <w:tc>
          <w:tcPr>
            <w:tcW w:w="409" w:type="pct"/>
          </w:tcPr>
          <w:p w:rsidR="00000000" w:rsidRDefault="00CA422F">
            <w:pPr>
              <w:spacing w:line="360" w:lineRule="exact"/>
              <w:jc w:val="right"/>
              <w:rPr>
                <w:rFonts w:hint="eastAsia"/>
                <w:sz w:val="18"/>
              </w:rPr>
            </w:pPr>
            <w:r>
              <w:rPr>
                <w:rFonts w:hint="eastAsia"/>
                <w:sz w:val="18"/>
              </w:rPr>
              <w:t>3.3</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企业主</w:t>
            </w:r>
          </w:p>
        </w:tc>
        <w:tc>
          <w:tcPr>
            <w:tcW w:w="422" w:type="pct"/>
          </w:tcPr>
          <w:p w:rsidR="00000000" w:rsidRDefault="00CA422F">
            <w:pPr>
              <w:spacing w:line="360" w:lineRule="exact"/>
              <w:jc w:val="right"/>
              <w:rPr>
                <w:rFonts w:hint="eastAsia"/>
                <w:sz w:val="18"/>
              </w:rPr>
            </w:pPr>
            <w:r>
              <w:rPr>
                <w:rFonts w:hint="eastAsia"/>
                <w:sz w:val="18"/>
              </w:rPr>
              <w:t>1.8</w:t>
            </w:r>
          </w:p>
        </w:tc>
        <w:tc>
          <w:tcPr>
            <w:tcW w:w="427" w:type="pct"/>
          </w:tcPr>
          <w:p w:rsidR="00000000" w:rsidRDefault="00CA422F">
            <w:pPr>
              <w:spacing w:line="360" w:lineRule="exact"/>
              <w:jc w:val="right"/>
              <w:rPr>
                <w:rFonts w:hint="eastAsia"/>
                <w:sz w:val="18"/>
              </w:rPr>
            </w:pPr>
            <w:r>
              <w:rPr>
                <w:rFonts w:hint="eastAsia"/>
                <w:sz w:val="18"/>
              </w:rPr>
              <w:t>3.3</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4.3</w:t>
            </w:r>
          </w:p>
        </w:tc>
        <w:tc>
          <w:tcPr>
            <w:tcW w:w="409" w:type="pct"/>
          </w:tcPr>
          <w:p w:rsidR="00000000" w:rsidRDefault="00CA422F">
            <w:pPr>
              <w:spacing w:line="360" w:lineRule="exact"/>
              <w:jc w:val="right"/>
              <w:rPr>
                <w:rFonts w:hint="eastAsia"/>
                <w:sz w:val="18"/>
              </w:rPr>
            </w:pPr>
            <w:r>
              <w:rPr>
                <w:rFonts w:hint="eastAsia"/>
                <w:sz w:val="18"/>
              </w:rPr>
              <w:t>2.9</w:t>
            </w:r>
          </w:p>
        </w:tc>
      </w:tr>
      <w:tr w:rsidR="00000000">
        <w:tblPrEx>
          <w:tblCellMar>
            <w:top w:w="0" w:type="dxa"/>
            <w:bottom w:w="0" w:type="dxa"/>
          </w:tblCellMar>
        </w:tblPrEx>
        <w:tc>
          <w:tcPr>
            <w:tcW w:w="2047" w:type="pct"/>
            <w:tcBorders>
              <w:right w:val="nil"/>
            </w:tcBorders>
          </w:tcPr>
          <w:p w:rsidR="00000000" w:rsidRDefault="00CA422F">
            <w:pPr>
              <w:spacing w:line="360" w:lineRule="exact"/>
              <w:rPr>
                <w:rFonts w:ascii="KaiTi_GB2312" w:eastAsia="KaiTi_GB2312" w:hint="eastAsia"/>
                <w:sz w:val="18"/>
              </w:rPr>
            </w:pPr>
            <w:r>
              <w:rPr>
                <w:rFonts w:ascii="KaiTi_GB2312" w:eastAsia="KaiTi_GB2312" w:hint="eastAsia"/>
                <w:sz w:val="18"/>
              </w:rPr>
              <w:t>月平均工资的性别差</w:t>
            </w:r>
            <w:r>
              <w:rPr>
                <w:rFonts w:ascii="KaiTi_GB2312" w:eastAsia="KaiTi_GB2312" w:hint="eastAsia"/>
                <w:sz w:val="18"/>
                <w:vertAlign w:val="superscript"/>
              </w:rPr>
              <w:t>b/</w:t>
            </w:r>
          </w:p>
        </w:tc>
        <w:tc>
          <w:tcPr>
            <w:tcW w:w="422" w:type="pct"/>
            <w:tcBorders>
              <w:left w:val="nil"/>
              <w:right w:val="nil"/>
            </w:tcBorders>
          </w:tcPr>
          <w:p w:rsidR="00000000" w:rsidRDefault="00CA422F">
            <w:pPr>
              <w:spacing w:line="360" w:lineRule="exact"/>
              <w:jc w:val="right"/>
              <w:rPr>
                <w:rFonts w:hint="eastAsia"/>
                <w:sz w:val="18"/>
              </w:rPr>
            </w:pPr>
          </w:p>
        </w:tc>
        <w:tc>
          <w:tcPr>
            <w:tcW w:w="427" w:type="pct"/>
            <w:tcBorders>
              <w:left w:val="nil"/>
              <w:right w:val="nil"/>
            </w:tcBorders>
          </w:tcPr>
          <w:p w:rsidR="00000000" w:rsidRDefault="00CA422F">
            <w:pPr>
              <w:spacing w:line="360" w:lineRule="exact"/>
              <w:jc w:val="right"/>
              <w:rPr>
                <w:rFonts w:hint="eastAsia"/>
                <w:sz w:val="18"/>
              </w:rPr>
            </w:pPr>
          </w:p>
        </w:tc>
        <w:tc>
          <w:tcPr>
            <w:tcW w:w="424" w:type="pct"/>
            <w:tcBorders>
              <w:left w:val="nil"/>
              <w:right w:val="nil"/>
            </w:tcBorders>
          </w:tcPr>
          <w:p w:rsidR="00000000" w:rsidRDefault="00CA422F">
            <w:pPr>
              <w:spacing w:line="360" w:lineRule="exact"/>
              <w:jc w:val="right"/>
              <w:rPr>
                <w:rFonts w:hint="eastAsia"/>
                <w:sz w:val="18"/>
              </w:rPr>
            </w:pPr>
          </w:p>
        </w:tc>
        <w:tc>
          <w:tcPr>
            <w:tcW w:w="425" w:type="pct"/>
            <w:tcBorders>
              <w:left w:val="nil"/>
              <w:right w:val="nil"/>
            </w:tcBorders>
          </w:tcPr>
          <w:p w:rsidR="00000000" w:rsidRDefault="00CA422F">
            <w:pPr>
              <w:spacing w:line="360" w:lineRule="exact"/>
              <w:jc w:val="right"/>
              <w:rPr>
                <w:rFonts w:hint="eastAsia"/>
                <w:sz w:val="18"/>
              </w:rPr>
            </w:pPr>
          </w:p>
        </w:tc>
        <w:tc>
          <w:tcPr>
            <w:tcW w:w="423" w:type="pct"/>
            <w:tcBorders>
              <w:left w:val="nil"/>
              <w:right w:val="nil"/>
            </w:tcBorders>
          </w:tcPr>
          <w:p w:rsidR="00000000" w:rsidRDefault="00CA422F">
            <w:pPr>
              <w:spacing w:line="360" w:lineRule="exact"/>
              <w:jc w:val="right"/>
              <w:rPr>
                <w:rFonts w:hint="eastAsia"/>
                <w:sz w:val="18"/>
              </w:rPr>
            </w:pPr>
          </w:p>
        </w:tc>
        <w:tc>
          <w:tcPr>
            <w:tcW w:w="423" w:type="pct"/>
            <w:tcBorders>
              <w:left w:val="nil"/>
              <w:right w:val="nil"/>
            </w:tcBorders>
          </w:tcPr>
          <w:p w:rsidR="00000000" w:rsidRDefault="00CA422F">
            <w:pPr>
              <w:spacing w:line="360" w:lineRule="exact"/>
              <w:jc w:val="right"/>
              <w:rPr>
                <w:rFonts w:hint="eastAsia"/>
                <w:sz w:val="18"/>
              </w:rPr>
            </w:pPr>
          </w:p>
        </w:tc>
        <w:tc>
          <w:tcPr>
            <w:tcW w:w="409" w:type="pct"/>
            <w:tcBorders>
              <w:left w:val="nil"/>
            </w:tcBorders>
          </w:tcPr>
          <w:p w:rsidR="00000000" w:rsidRDefault="00CA422F">
            <w:pPr>
              <w:spacing w:line="360" w:lineRule="exact"/>
              <w:jc w:val="righ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男性工资劳动者</w:t>
            </w:r>
          </w:p>
        </w:tc>
        <w:tc>
          <w:tcPr>
            <w:tcW w:w="422" w:type="pct"/>
          </w:tcPr>
          <w:p w:rsidR="00000000" w:rsidRDefault="00CA422F">
            <w:pPr>
              <w:spacing w:line="360" w:lineRule="exact"/>
              <w:jc w:val="right"/>
              <w:rPr>
                <w:rFonts w:hint="eastAsia"/>
                <w:sz w:val="18"/>
              </w:rPr>
            </w:pPr>
            <w:r>
              <w:rPr>
                <w:rFonts w:hint="eastAsia"/>
                <w:sz w:val="18"/>
              </w:rPr>
              <w:t>84.0</w:t>
            </w:r>
          </w:p>
        </w:tc>
        <w:tc>
          <w:tcPr>
            <w:tcW w:w="427" w:type="pct"/>
          </w:tcPr>
          <w:p w:rsidR="00000000" w:rsidRDefault="00CA422F">
            <w:pPr>
              <w:spacing w:line="360" w:lineRule="exact"/>
              <w:jc w:val="right"/>
              <w:rPr>
                <w:rFonts w:hint="eastAsia"/>
                <w:sz w:val="18"/>
              </w:rPr>
            </w:pPr>
            <w:r>
              <w:rPr>
                <w:rFonts w:hint="eastAsia"/>
                <w:sz w:val="18"/>
              </w:rPr>
              <w:t>84.4</w:t>
            </w:r>
          </w:p>
        </w:tc>
        <w:tc>
          <w:tcPr>
            <w:tcW w:w="424" w:type="pct"/>
          </w:tcPr>
          <w:p w:rsidR="00000000" w:rsidRDefault="00CA422F">
            <w:pPr>
              <w:spacing w:line="360" w:lineRule="exact"/>
              <w:jc w:val="right"/>
              <w:rPr>
                <w:rFonts w:hint="eastAsia"/>
                <w:sz w:val="18"/>
              </w:rPr>
            </w:pPr>
            <w:r>
              <w:rPr>
                <w:rFonts w:hint="eastAsia"/>
                <w:sz w:val="18"/>
              </w:rPr>
              <w:t>92.1</w:t>
            </w:r>
          </w:p>
        </w:tc>
        <w:tc>
          <w:tcPr>
            <w:tcW w:w="425" w:type="pct"/>
          </w:tcPr>
          <w:p w:rsidR="00000000" w:rsidRDefault="00CA422F">
            <w:pPr>
              <w:spacing w:line="360" w:lineRule="exact"/>
              <w:jc w:val="right"/>
              <w:rPr>
                <w:rFonts w:hint="eastAsia"/>
                <w:sz w:val="18"/>
              </w:rPr>
            </w:pPr>
            <w:r>
              <w:rPr>
                <w:rFonts w:hint="eastAsia"/>
                <w:sz w:val="18"/>
              </w:rPr>
              <w:t>97.1</w:t>
            </w:r>
          </w:p>
        </w:tc>
        <w:tc>
          <w:tcPr>
            <w:tcW w:w="423" w:type="pct"/>
          </w:tcPr>
          <w:p w:rsidR="00000000" w:rsidRDefault="00CA422F">
            <w:pPr>
              <w:spacing w:line="360" w:lineRule="exact"/>
              <w:jc w:val="right"/>
              <w:rPr>
                <w:rFonts w:hint="eastAsia"/>
                <w:sz w:val="18"/>
              </w:rPr>
            </w:pPr>
            <w:r>
              <w:rPr>
                <w:rFonts w:hint="eastAsia"/>
                <w:sz w:val="18"/>
              </w:rPr>
              <w:t>93.3</w:t>
            </w:r>
          </w:p>
        </w:tc>
        <w:tc>
          <w:tcPr>
            <w:tcW w:w="423" w:type="pct"/>
          </w:tcPr>
          <w:p w:rsidR="00000000" w:rsidRDefault="00CA422F">
            <w:pPr>
              <w:spacing w:line="360" w:lineRule="exact"/>
              <w:jc w:val="right"/>
              <w:rPr>
                <w:rFonts w:hint="eastAsia"/>
                <w:sz w:val="18"/>
              </w:rPr>
            </w:pPr>
            <w:r>
              <w:rPr>
                <w:rFonts w:hint="eastAsia"/>
                <w:sz w:val="18"/>
              </w:rPr>
              <w:t>90.3</w:t>
            </w:r>
          </w:p>
        </w:tc>
        <w:tc>
          <w:tcPr>
            <w:tcW w:w="409" w:type="pct"/>
          </w:tcPr>
          <w:p w:rsidR="00000000" w:rsidRDefault="00CA422F">
            <w:pPr>
              <w:spacing w:line="360" w:lineRule="exact"/>
              <w:jc w:val="right"/>
              <w:rPr>
                <w:rFonts w:hint="eastAsia"/>
                <w:sz w:val="18"/>
              </w:rPr>
            </w:pPr>
            <w:r>
              <w:rPr>
                <w:rFonts w:hint="eastAsia"/>
                <w:sz w:val="18"/>
              </w:rPr>
              <w:t>91.7</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受过完整的小学教育</w:t>
            </w:r>
          </w:p>
        </w:tc>
        <w:tc>
          <w:tcPr>
            <w:tcW w:w="422" w:type="pct"/>
          </w:tcPr>
          <w:p w:rsidR="00000000" w:rsidRDefault="00CA422F">
            <w:pPr>
              <w:spacing w:line="360" w:lineRule="exact"/>
              <w:jc w:val="right"/>
              <w:rPr>
                <w:rFonts w:hint="eastAsia"/>
                <w:sz w:val="18"/>
              </w:rPr>
            </w:pPr>
            <w:r>
              <w:rPr>
                <w:rFonts w:hint="eastAsia"/>
                <w:sz w:val="18"/>
              </w:rPr>
              <w:t>72.5</w:t>
            </w:r>
          </w:p>
        </w:tc>
        <w:tc>
          <w:tcPr>
            <w:tcW w:w="427" w:type="pct"/>
          </w:tcPr>
          <w:p w:rsidR="00000000" w:rsidRDefault="00CA422F">
            <w:pPr>
              <w:spacing w:line="360" w:lineRule="exact"/>
              <w:jc w:val="right"/>
              <w:rPr>
                <w:rFonts w:hint="eastAsia"/>
                <w:sz w:val="18"/>
              </w:rPr>
            </w:pPr>
            <w:r>
              <w:rPr>
                <w:rFonts w:hint="eastAsia"/>
                <w:sz w:val="18"/>
              </w:rPr>
              <w:t>71.9</w:t>
            </w:r>
          </w:p>
        </w:tc>
        <w:tc>
          <w:tcPr>
            <w:tcW w:w="424" w:type="pct"/>
          </w:tcPr>
          <w:p w:rsidR="00000000" w:rsidRDefault="00CA422F">
            <w:pPr>
              <w:spacing w:line="360" w:lineRule="exact"/>
              <w:jc w:val="right"/>
              <w:rPr>
                <w:rFonts w:hint="eastAsia"/>
                <w:sz w:val="18"/>
              </w:rPr>
            </w:pPr>
            <w:r>
              <w:rPr>
                <w:rFonts w:hint="eastAsia"/>
                <w:sz w:val="18"/>
              </w:rPr>
              <w:t>74.6</w:t>
            </w:r>
          </w:p>
        </w:tc>
        <w:tc>
          <w:tcPr>
            <w:tcW w:w="425" w:type="pct"/>
          </w:tcPr>
          <w:p w:rsidR="00000000" w:rsidRDefault="00CA422F">
            <w:pPr>
              <w:spacing w:line="360" w:lineRule="exact"/>
              <w:jc w:val="right"/>
              <w:rPr>
                <w:rFonts w:hint="eastAsia"/>
                <w:sz w:val="18"/>
              </w:rPr>
            </w:pPr>
            <w:r>
              <w:rPr>
                <w:rFonts w:hint="eastAsia"/>
                <w:sz w:val="18"/>
              </w:rPr>
              <w:t>75.2</w:t>
            </w:r>
          </w:p>
        </w:tc>
        <w:tc>
          <w:tcPr>
            <w:tcW w:w="423" w:type="pct"/>
          </w:tcPr>
          <w:p w:rsidR="00000000" w:rsidRDefault="00CA422F">
            <w:pPr>
              <w:spacing w:line="360" w:lineRule="exact"/>
              <w:jc w:val="right"/>
              <w:rPr>
                <w:rFonts w:hint="eastAsia"/>
                <w:sz w:val="18"/>
              </w:rPr>
            </w:pPr>
            <w:r>
              <w:rPr>
                <w:rFonts w:hint="eastAsia"/>
                <w:sz w:val="18"/>
              </w:rPr>
              <w:t>73.0</w:t>
            </w:r>
          </w:p>
        </w:tc>
        <w:tc>
          <w:tcPr>
            <w:tcW w:w="423" w:type="pct"/>
          </w:tcPr>
          <w:p w:rsidR="00000000" w:rsidRDefault="00CA422F">
            <w:pPr>
              <w:spacing w:line="360" w:lineRule="exact"/>
              <w:jc w:val="right"/>
              <w:rPr>
                <w:rFonts w:hint="eastAsia"/>
                <w:sz w:val="18"/>
              </w:rPr>
            </w:pPr>
            <w:r>
              <w:rPr>
                <w:rFonts w:hint="eastAsia"/>
                <w:sz w:val="18"/>
              </w:rPr>
              <w:t>74.4</w:t>
            </w:r>
          </w:p>
        </w:tc>
        <w:tc>
          <w:tcPr>
            <w:tcW w:w="409" w:type="pct"/>
          </w:tcPr>
          <w:p w:rsidR="00000000" w:rsidRDefault="00CA422F">
            <w:pPr>
              <w:spacing w:line="360" w:lineRule="exact"/>
              <w:jc w:val="right"/>
              <w:rPr>
                <w:rFonts w:hint="eastAsia"/>
                <w:sz w:val="18"/>
              </w:rPr>
            </w:pPr>
            <w:r>
              <w:rPr>
                <w:rFonts w:hint="eastAsia"/>
                <w:sz w:val="18"/>
              </w:rPr>
              <w:t>75.2</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受过完整的中学教育</w:t>
            </w:r>
          </w:p>
        </w:tc>
        <w:tc>
          <w:tcPr>
            <w:tcW w:w="422" w:type="pct"/>
          </w:tcPr>
          <w:p w:rsidR="00000000" w:rsidRDefault="00CA422F">
            <w:pPr>
              <w:spacing w:line="360" w:lineRule="exact"/>
              <w:jc w:val="right"/>
              <w:rPr>
                <w:rFonts w:hint="eastAsia"/>
                <w:sz w:val="18"/>
              </w:rPr>
            </w:pPr>
            <w:r>
              <w:rPr>
                <w:rFonts w:hint="eastAsia"/>
                <w:sz w:val="18"/>
              </w:rPr>
              <w:t>81.4</w:t>
            </w:r>
          </w:p>
        </w:tc>
        <w:tc>
          <w:tcPr>
            <w:tcW w:w="427" w:type="pct"/>
          </w:tcPr>
          <w:p w:rsidR="00000000" w:rsidRDefault="00CA422F">
            <w:pPr>
              <w:spacing w:line="360" w:lineRule="exact"/>
              <w:jc w:val="right"/>
              <w:rPr>
                <w:rFonts w:hint="eastAsia"/>
                <w:sz w:val="18"/>
              </w:rPr>
            </w:pPr>
            <w:r>
              <w:rPr>
                <w:rFonts w:hint="eastAsia"/>
                <w:sz w:val="18"/>
              </w:rPr>
              <w:t>75.5</w:t>
            </w:r>
          </w:p>
        </w:tc>
        <w:tc>
          <w:tcPr>
            <w:tcW w:w="424" w:type="pct"/>
          </w:tcPr>
          <w:p w:rsidR="00000000" w:rsidRDefault="00CA422F">
            <w:pPr>
              <w:spacing w:line="360" w:lineRule="exact"/>
              <w:jc w:val="right"/>
              <w:rPr>
                <w:rFonts w:hint="eastAsia"/>
                <w:sz w:val="18"/>
              </w:rPr>
            </w:pPr>
            <w:r>
              <w:rPr>
                <w:rFonts w:hint="eastAsia"/>
                <w:sz w:val="18"/>
              </w:rPr>
              <w:t>79.3</w:t>
            </w:r>
          </w:p>
        </w:tc>
        <w:tc>
          <w:tcPr>
            <w:tcW w:w="425" w:type="pct"/>
          </w:tcPr>
          <w:p w:rsidR="00000000" w:rsidRDefault="00CA422F">
            <w:pPr>
              <w:spacing w:line="360" w:lineRule="exact"/>
              <w:jc w:val="right"/>
              <w:rPr>
                <w:rFonts w:hint="eastAsia"/>
                <w:sz w:val="18"/>
              </w:rPr>
            </w:pPr>
            <w:r>
              <w:rPr>
                <w:rFonts w:hint="eastAsia"/>
                <w:sz w:val="18"/>
              </w:rPr>
              <w:t>84.0</w:t>
            </w:r>
          </w:p>
        </w:tc>
        <w:tc>
          <w:tcPr>
            <w:tcW w:w="423" w:type="pct"/>
          </w:tcPr>
          <w:p w:rsidR="00000000" w:rsidRDefault="00CA422F">
            <w:pPr>
              <w:spacing w:line="360" w:lineRule="exact"/>
              <w:jc w:val="right"/>
              <w:rPr>
                <w:rFonts w:hint="eastAsia"/>
                <w:sz w:val="18"/>
              </w:rPr>
            </w:pPr>
            <w:r>
              <w:rPr>
                <w:rFonts w:hint="eastAsia"/>
                <w:sz w:val="18"/>
              </w:rPr>
              <w:t>79.6</w:t>
            </w:r>
          </w:p>
        </w:tc>
        <w:tc>
          <w:tcPr>
            <w:tcW w:w="423" w:type="pct"/>
          </w:tcPr>
          <w:p w:rsidR="00000000" w:rsidRDefault="00CA422F">
            <w:pPr>
              <w:spacing w:line="360" w:lineRule="exact"/>
              <w:jc w:val="right"/>
              <w:rPr>
                <w:rFonts w:hint="eastAsia"/>
                <w:sz w:val="18"/>
              </w:rPr>
            </w:pPr>
            <w:r>
              <w:rPr>
                <w:rFonts w:hint="eastAsia"/>
                <w:sz w:val="18"/>
              </w:rPr>
              <w:t>74.3</w:t>
            </w:r>
          </w:p>
        </w:tc>
        <w:tc>
          <w:tcPr>
            <w:tcW w:w="409" w:type="pct"/>
          </w:tcPr>
          <w:p w:rsidR="00000000" w:rsidRDefault="00CA422F">
            <w:pPr>
              <w:spacing w:line="360" w:lineRule="exact"/>
              <w:jc w:val="right"/>
              <w:rPr>
                <w:rFonts w:hint="eastAsia"/>
                <w:sz w:val="18"/>
              </w:rPr>
            </w:pPr>
            <w:r>
              <w:rPr>
                <w:rFonts w:hint="eastAsia"/>
                <w:sz w:val="18"/>
              </w:rPr>
              <w:t>78.4</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受过大学教育</w:t>
            </w:r>
          </w:p>
        </w:tc>
        <w:tc>
          <w:tcPr>
            <w:tcW w:w="422" w:type="pct"/>
          </w:tcPr>
          <w:p w:rsidR="00000000" w:rsidRDefault="00CA422F">
            <w:pPr>
              <w:spacing w:line="360" w:lineRule="exact"/>
              <w:jc w:val="right"/>
              <w:rPr>
                <w:rFonts w:hint="eastAsia"/>
                <w:sz w:val="18"/>
              </w:rPr>
            </w:pPr>
            <w:r>
              <w:rPr>
                <w:rFonts w:hint="eastAsia"/>
                <w:sz w:val="18"/>
              </w:rPr>
              <w:t>65.6</w:t>
            </w:r>
          </w:p>
        </w:tc>
        <w:tc>
          <w:tcPr>
            <w:tcW w:w="427" w:type="pct"/>
          </w:tcPr>
          <w:p w:rsidR="00000000" w:rsidRDefault="00CA422F">
            <w:pPr>
              <w:spacing w:line="360" w:lineRule="exact"/>
              <w:jc w:val="right"/>
              <w:rPr>
                <w:rFonts w:hint="eastAsia"/>
                <w:sz w:val="18"/>
              </w:rPr>
            </w:pPr>
            <w:r>
              <w:rPr>
                <w:rFonts w:hint="eastAsia"/>
                <w:sz w:val="18"/>
              </w:rPr>
              <w:t>74.3</w:t>
            </w:r>
          </w:p>
        </w:tc>
        <w:tc>
          <w:tcPr>
            <w:tcW w:w="424" w:type="pct"/>
          </w:tcPr>
          <w:p w:rsidR="00000000" w:rsidRDefault="00CA422F">
            <w:pPr>
              <w:spacing w:line="360" w:lineRule="exact"/>
              <w:jc w:val="right"/>
              <w:rPr>
                <w:rFonts w:hint="eastAsia"/>
                <w:sz w:val="18"/>
              </w:rPr>
            </w:pPr>
            <w:r>
              <w:rPr>
                <w:rFonts w:hint="eastAsia"/>
                <w:sz w:val="18"/>
              </w:rPr>
              <w:t>74.5</w:t>
            </w:r>
          </w:p>
        </w:tc>
        <w:tc>
          <w:tcPr>
            <w:tcW w:w="425" w:type="pct"/>
          </w:tcPr>
          <w:p w:rsidR="00000000" w:rsidRDefault="00CA422F">
            <w:pPr>
              <w:spacing w:line="360" w:lineRule="exact"/>
              <w:jc w:val="right"/>
              <w:rPr>
                <w:rFonts w:hint="eastAsia"/>
                <w:sz w:val="18"/>
              </w:rPr>
            </w:pPr>
            <w:r>
              <w:rPr>
                <w:rFonts w:hint="eastAsia"/>
                <w:sz w:val="18"/>
              </w:rPr>
              <w:t>82.0</w:t>
            </w:r>
          </w:p>
        </w:tc>
        <w:tc>
          <w:tcPr>
            <w:tcW w:w="423" w:type="pct"/>
          </w:tcPr>
          <w:p w:rsidR="00000000" w:rsidRDefault="00CA422F">
            <w:pPr>
              <w:spacing w:line="360" w:lineRule="exact"/>
              <w:jc w:val="right"/>
              <w:rPr>
                <w:rFonts w:hint="eastAsia"/>
                <w:sz w:val="18"/>
              </w:rPr>
            </w:pPr>
            <w:r>
              <w:rPr>
                <w:rFonts w:hint="eastAsia"/>
                <w:sz w:val="18"/>
              </w:rPr>
              <w:t>79.1</w:t>
            </w:r>
          </w:p>
        </w:tc>
        <w:tc>
          <w:tcPr>
            <w:tcW w:w="423" w:type="pct"/>
          </w:tcPr>
          <w:p w:rsidR="00000000" w:rsidRDefault="00CA422F">
            <w:pPr>
              <w:spacing w:line="360" w:lineRule="exact"/>
              <w:jc w:val="right"/>
              <w:rPr>
                <w:rFonts w:hint="eastAsia"/>
                <w:sz w:val="18"/>
              </w:rPr>
            </w:pPr>
            <w:r>
              <w:rPr>
                <w:rFonts w:hint="eastAsia"/>
                <w:sz w:val="18"/>
              </w:rPr>
              <w:t>76.4</w:t>
            </w:r>
          </w:p>
        </w:tc>
        <w:tc>
          <w:tcPr>
            <w:tcW w:w="409" w:type="pct"/>
          </w:tcPr>
          <w:p w:rsidR="00000000" w:rsidRDefault="00CA422F">
            <w:pPr>
              <w:spacing w:line="360" w:lineRule="exact"/>
              <w:jc w:val="right"/>
              <w:rPr>
                <w:rFonts w:hint="eastAsia"/>
                <w:sz w:val="18"/>
              </w:rPr>
            </w:pPr>
            <w:r>
              <w:rPr>
                <w:rFonts w:hint="eastAsia"/>
                <w:sz w:val="18"/>
              </w:rPr>
              <w:t>73.0</w:t>
            </w:r>
          </w:p>
        </w:tc>
      </w:tr>
      <w:tr w:rsidR="00000000">
        <w:tblPrEx>
          <w:tblCellMar>
            <w:top w:w="0" w:type="dxa"/>
            <w:bottom w:w="0" w:type="dxa"/>
          </w:tblCellMar>
        </w:tblPrEx>
        <w:tc>
          <w:tcPr>
            <w:tcW w:w="2047" w:type="pct"/>
            <w:tcBorders>
              <w:right w:val="nil"/>
            </w:tcBorders>
          </w:tcPr>
          <w:p w:rsidR="00000000" w:rsidRDefault="00CA422F">
            <w:pPr>
              <w:spacing w:line="360" w:lineRule="exact"/>
              <w:rPr>
                <w:rFonts w:eastAsia="KaiTi_GB2312" w:hint="eastAsia"/>
                <w:iCs/>
                <w:sz w:val="18"/>
              </w:rPr>
            </w:pPr>
            <w:r>
              <w:rPr>
                <w:rFonts w:eastAsia="KaiTi_GB2312" w:hint="eastAsia"/>
                <w:iCs/>
                <w:sz w:val="18"/>
              </w:rPr>
              <w:t>职业组别</w:t>
            </w:r>
          </w:p>
        </w:tc>
        <w:tc>
          <w:tcPr>
            <w:tcW w:w="422" w:type="pct"/>
            <w:tcBorders>
              <w:left w:val="nil"/>
              <w:right w:val="nil"/>
            </w:tcBorders>
          </w:tcPr>
          <w:p w:rsidR="00000000" w:rsidRDefault="00CA422F">
            <w:pPr>
              <w:spacing w:line="360" w:lineRule="exact"/>
              <w:rPr>
                <w:rFonts w:eastAsia="KaiTi_GB2312" w:hint="eastAsia"/>
                <w:iCs/>
                <w:sz w:val="18"/>
              </w:rPr>
            </w:pPr>
          </w:p>
        </w:tc>
        <w:tc>
          <w:tcPr>
            <w:tcW w:w="427" w:type="pct"/>
            <w:tcBorders>
              <w:left w:val="nil"/>
              <w:right w:val="nil"/>
            </w:tcBorders>
          </w:tcPr>
          <w:p w:rsidR="00000000" w:rsidRDefault="00CA422F">
            <w:pPr>
              <w:spacing w:line="360" w:lineRule="exact"/>
              <w:rPr>
                <w:rFonts w:hint="eastAsia"/>
                <w:sz w:val="18"/>
              </w:rPr>
            </w:pPr>
          </w:p>
        </w:tc>
        <w:tc>
          <w:tcPr>
            <w:tcW w:w="424" w:type="pct"/>
            <w:tcBorders>
              <w:left w:val="nil"/>
              <w:right w:val="nil"/>
            </w:tcBorders>
          </w:tcPr>
          <w:p w:rsidR="00000000" w:rsidRDefault="00CA422F">
            <w:pPr>
              <w:spacing w:line="360" w:lineRule="exact"/>
              <w:rPr>
                <w:rFonts w:hint="eastAsia"/>
                <w:sz w:val="18"/>
              </w:rPr>
            </w:pPr>
          </w:p>
        </w:tc>
        <w:tc>
          <w:tcPr>
            <w:tcW w:w="425"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09" w:type="pct"/>
            <w:tcBorders>
              <w:left w:val="nil"/>
            </w:tcBorders>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专业人员和技术人员</w:t>
            </w:r>
          </w:p>
        </w:tc>
        <w:tc>
          <w:tcPr>
            <w:tcW w:w="422" w:type="pct"/>
          </w:tcPr>
          <w:p w:rsidR="00000000" w:rsidRDefault="00CA422F">
            <w:pPr>
              <w:spacing w:line="360" w:lineRule="exact"/>
              <w:jc w:val="right"/>
              <w:rPr>
                <w:rFonts w:hint="eastAsia"/>
                <w:sz w:val="18"/>
              </w:rPr>
            </w:pPr>
            <w:r>
              <w:rPr>
                <w:rFonts w:hint="eastAsia"/>
                <w:sz w:val="18"/>
              </w:rPr>
              <w:t>68.6</w:t>
            </w:r>
          </w:p>
        </w:tc>
        <w:tc>
          <w:tcPr>
            <w:tcW w:w="427" w:type="pct"/>
          </w:tcPr>
          <w:p w:rsidR="00000000" w:rsidRDefault="00CA422F">
            <w:pPr>
              <w:spacing w:line="360" w:lineRule="exact"/>
              <w:jc w:val="right"/>
              <w:rPr>
                <w:rFonts w:hint="eastAsia"/>
                <w:sz w:val="18"/>
              </w:rPr>
            </w:pPr>
            <w:r>
              <w:rPr>
                <w:rFonts w:hint="eastAsia"/>
                <w:sz w:val="18"/>
              </w:rPr>
              <w:t>80.4</w:t>
            </w:r>
          </w:p>
        </w:tc>
        <w:tc>
          <w:tcPr>
            <w:tcW w:w="424" w:type="pct"/>
          </w:tcPr>
          <w:p w:rsidR="00000000" w:rsidRDefault="00CA422F">
            <w:pPr>
              <w:spacing w:line="360" w:lineRule="exact"/>
              <w:jc w:val="right"/>
              <w:rPr>
                <w:rFonts w:hint="eastAsia"/>
                <w:sz w:val="18"/>
              </w:rPr>
            </w:pPr>
            <w:r>
              <w:rPr>
                <w:rFonts w:hint="eastAsia"/>
                <w:sz w:val="18"/>
              </w:rPr>
              <w:t>77.5</w:t>
            </w:r>
          </w:p>
        </w:tc>
        <w:tc>
          <w:tcPr>
            <w:tcW w:w="425" w:type="pct"/>
          </w:tcPr>
          <w:p w:rsidR="00000000" w:rsidRDefault="00CA422F">
            <w:pPr>
              <w:spacing w:line="360" w:lineRule="exact"/>
              <w:jc w:val="right"/>
              <w:rPr>
                <w:rFonts w:hint="eastAsia"/>
                <w:sz w:val="18"/>
              </w:rPr>
            </w:pPr>
            <w:r>
              <w:rPr>
                <w:rFonts w:hint="eastAsia"/>
                <w:sz w:val="18"/>
              </w:rPr>
              <w:t>89.6</w:t>
            </w:r>
          </w:p>
        </w:tc>
        <w:tc>
          <w:tcPr>
            <w:tcW w:w="423" w:type="pct"/>
          </w:tcPr>
          <w:p w:rsidR="00000000" w:rsidRDefault="00CA422F">
            <w:pPr>
              <w:spacing w:line="360" w:lineRule="exact"/>
              <w:jc w:val="right"/>
              <w:rPr>
                <w:rFonts w:hint="eastAsia"/>
                <w:sz w:val="18"/>
              </w:rPr>
            </w:pPr>
            <w:r>
              <w:rPr>
                <w:rFonts w:hint="eastAsia"/>
                <w:sz w:val="18"/>
              </w:rPr>
              <w:t>85.9</w:t>
            </w:r>
          </w:p>
        </w:tc>
        <w:tc>
          <w:tcPr>
            <w:tcW w:w="423" w:type="pct"/>
          </w:tcPr>
          <w:p w:rsidR="00000000" w:rsidRDefault="00CA422F">
            <w:pPr>
              <w:spacing w:line="360" w:lineRule="exact"/>
              <w:jc w:val="right"/>
              <w:rPr>
                <w:rFonts w:hint="eastAsia"/>
                <w:sz w:val="18"/>
              </w:rPr>
            </w:pPr>
            <w:r>
              <w:rPr>
                <w:rFonts w:hint="eastAsia"/>
                <w:sz w:val="18"/>
              </w:rPr>
              <w:t>80.4</w:t>
            </w:r>
          </w:p>
        </w:tc>
        <w:tc>
          <w:tcPr>
            <w:tcW w:w="409" w:type="pct"/>
          </w:tcPr>
          <w:p w:rsidR="00000000" w:rsidRDefault="00CA422F">
            <w:pPr>
              <w:spacing w:line="360" w:lineRule="exact"/>
              <w:jc w:val="right"/>
              <w:rPr>
                <w:rFonts w:hint="eastAsia"/>
                <w:sz w:val="18"/>
              </w:rPr>
            </w:pPr>
            <w:r>
              <w:rPr>
                <w:rFonts w:hint="eastAsia"/>
                <w:sz w:val="18"/>
              </w:rPr>
              <w:t>80.3</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领导</w:t>
            </w:r>
          </w:p>
        </w:tc>
        <w:tc>
          <w:tcPr>
            <w:tcW w:w="422" w:type="pct"/>
          </w:tcPr>
          <w:p w:rsidR="00000000" w:rsidRDefault="00CA422F">
            <w:pPr>
              <w:spacing w:line="360" w:lineRule="exact"/>
              <w:jc w:val="right"/>
              <w:rPr>
                <w:rFonts w:hint="eastAsia"/>
                <w:sz w:val="18"/>
              </w:rPr>
            </w:pPr>
            <w:r>
              <w:rPr>
                <w:rFonts w:hint="eastAsia"/>
                <w:sz w:val="18"/>
              </w:rPr>
              <w:t>75.6</w:t>
            </w:r>
          </w:p>
        </w:tc>
        <w:tc>
          <w:tcPr>
            <w:tcW w:w="427" w:type="pct"/>
          </w:tcPr>
          <w:p w:rsidR="00000000" w:rsidRDefault="00CA422F">
            <w:pPr>
              <w:spacing w:line="360" w:lineRule="exact"/>
              <w:jc w:val="right"/>
              <w:rPr>
                <w:rFonts w:hint="eastAsia"/>
                <w:sz w:val="18"/>
              </w:rPr>
            </w:pPr>
            <w:r>
              <w:rPr>
                <w:rFonts w:hint="eastAsia"/>
                <w:sz w:val="18"/>
              </w:rPr>
              <w:t>83.1</w:t>
            </w:r>
          </w:p>
        </w:tc>
        <w:tc>
          <w:tcPr>
            <w:tcW w:w="424" w:type="pct"/>
          </w:tcPr>
          <w:p w:rsidR="00000000" w:rsidRDefault="00CA422F">
            <w:pPr>
              <w:spacing w:line="360" w:lineRule="exact"/>
              <w:jc w:val="right"/>
              <w:rPr>
                <w:rFonts w:hint="eastAsia"/>
                <w:sz w:val="18"/>
              </w:rPr>
            </w:pPr>
            <w:r>
              <w:rPr>
                <w:rFonts w:hint="eastAsia"/>
                <w:sz w:val="18"/>
              </w:rPr>
              <w:t>85.3</w:t>
            </w:r>
          </w:p>
        </w:tc>
        <w:tc>
          <w:tcPr>
            <w:tcW w:w="425" w:type="pct"/>
          </w:tcPr>
          <w:p w:rsidR="00000000" w:rsidRDefault="00CA422F">
            <w:pPr>
              <w:spacing w:line="360" w:lineRule="exact"/>
              <w:jc w:val="right"/>
              <w:rPr>
                <w:rFonts w:hint="eastAsia"/>
                <w:sz w:val="18"/>
              </w:rPr>
            </w:pPr>
            <w:r>
              <w:rPr>
                <w:rFonts w:hint="eastAsia"/>
                <w:sz w:val="18"/>
              </w:rPr>
              <w:t>88.3</w:t>
            </w:r>
          </w:p>
        </w:tc>
        <w:tc>
          <w:tcPr>
            <w:tcW w:w="423" w:type="pct"/>
          </w:tcPr>
          <w:p w:rsidR="00000000" w:rsidRDefault="00CA422F">
            <w:pPr>
              <w:spacing w:line="360" w:lineRule="exact"/>
              <w:jc w:val="right"/>
              <w:rPr>
                <w:rFonts w:hint="eastAsia"/>
                <w:sz w:val="18"/>
              </w:rPr>
            </w:pPr>
            <w:r>
              <w:rPr>
                <w:rFonts w:hint="eastAsia"/>
                <w:sz w:val="18"/>
              </w:rPr>
              <w:t>95.2</w:t>
            </w:r>
          </w:p>
        </w:tc>
        <w:tc>
          <w:tcPr>
            <w:tcW w:w="423" w:type="pct"/>
          </w:tcPr>
          <w:p w:rsidR="00000000" w:rsidRDefault="00CA422F">
            <w:pPr>
              <w:spacing w:line="360" w:lineRule="exact"/>
              <w:jc w:val="right"/>
              <w:rPr>
                <w:rFonts w:hint="eastAsia"/>
                <w:sz w:val="18"/>
              </w:rPr>
            </w:pPr>
            <w:r>
              <w:rPr>
                <w:rFonts w:hint="eastAsia"/>
                <w:sz w:val="18"/>
              </w:rPr>
              <w:t>84.3</w:t>
            </w:r>
          </w:p>
        </w:tc>
        <w:tc>
          <w:tcPr>
            <w:tcW w:w="409" w:type="pct"/>
          </w:tcPr>
          <w:p w:rsidR="00000000" w:rsidRDefault="00CA422F">
            <w:pPr>
              <w:spacing w:line="360" w:lineRule="exact"/>
              <w:jc w:val="right"/>
              <w:rPr>
                <w:rFonts w:hint="eastAsia"/>
                <w:sz w:val="18"/>
              </w:rPr>
            </w:pPr>
            <w:r>
              <w:rPr>
                <w:rFonts w:hint="eastAsia"/>
                <w:sz w:val="18"/>
              </w:rPr>
              <w:t>82.5</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商人和商贩</w:t>
            </w:r>
          </w:p>
        </w:tc>
        <w:tc>
          <w:tcPr>
            <w:tcW w:w="422" w:type="pct"/>
          </w:tcPr>
          <w:p w:rsidR="00000000" w:rsidRDefault="00CA422F">
            <w:pPr>
              <w:spacing w:line="360" w:lineRule="exact"/>
              <w:jc w:val="right"/>
              <w:rPr>
                <w:rFonts w:hint="eastAsia"/>
                <w:sz w:val="18"/>
              </w:rPr>
            </w:pPr>
            <w:r>
              <w:rPr>
                <w:rFonts w:hint="eastAsia"/>
                <w:sz w:val="18"/>
              </w:rPr>
              <w:t>66.9</w:t>
            </w:r>
          </w:p>
        </w:tc>
        <w:tc>
          <w:tcPr>
            <w:tcW w:w="427" w:type="pct"/>
          </w:tcPr>
          <w:p w:rsidR="00000000" w:rsidRDefault="00CA422F">
            <w:pPr>
              <w:spacing w:line="360" w:lineRule="exact"/>
              <w:jc w:val="right"/>
              <w:rPr>
                <w:rFonts w:hint="eastAsia"/>
                <w:sz w:val="18"/>
              </w:rPr>
            </w:pPr>
            <w:r>
              <w:rPr>
                <w:rFonts w:hint="eastAsia"/>
                <w:sz w:val="18"/>
              </w:rPr>
              <w:t>66.7</w:t>
            </w:r>
          </w:p>
        </w:tc>
        <w:tc>
          <w:tcPr>
            <w:tcW w:w="424" w:type="pct"/>
          </w:tcPr>
          <w:p w:rsidR="00000000" w:rsidRDefault="00CA422F">
            <w:pPr>
              <w:spacing w:line="360" w:lineRule="exact"/>
              <w:jc w:val="right"/>
              <w:rPr>
                <w:rFonts w:hint="eastAsia"/>
                <w:sz w:val="18"/>
              </w:rPr>
            </w:pPr>
            <w:r>
              <w:rPr>
                <w:rFonts w:hint="eastAsia"/>
                <w:sz w:val="18"/>
              </w:rPr>
              <w:t>76.0</w:t>
            </w:r>
          </w:p>
        </w:tc>
        <w:tc>
          <w:tcPr>
            <w:tcW w:w="425" w:type="pct"/>
          </w:tcPr>
          <w:p w:rsidR="00000000" w:rsidRDefault="00CA422F">
            <w:pPr>
              <w:spacing w:line="360" w:lineRule="exact"/>
              <w:jc w:val="right"/>
              <w:rPr>
                <w:rFonts w:hint="eastAsia"/>
                <w:sz w:val="18"/>
              </w:rPr>
            </w:pPr>
            <w:r>
              <w:rPr>
                <w:rFonts w:hint="eastAsia"/>
                <w:sz w:val="18"/>
              </w:rPr>
              <w:t>73.1</w:t>
            </w:r>
          </w:p>
        </w:tc>
        <w:tc>
          <w:tcPr>
            <w:tcW w:w="423" w:type="pct"/>
          </w:tcPr>
          <w:p w:rsidR="00000000" w:rsidRDefault="00CA422F">
            <w:pPr>
              <w:spacing w:line="360" w:lineRule="exact"/>
              <w:jc w:val="right"/>
              <w:rPr>
                <w:rFonts w:hint="eastAsia"/>
                <w:sz w:val="18"/>
              </w:rPr>
            </w:pPr>
            <w:r>
              <w:rPr>
                <w:rFonts w:hint="eastAsia"/>
                <w:sz w:val="18"/>
              </w:rPr>
              <w:t>76.7</w:t>
            </w:r>
          </w:p>
        </w:tc>
        <w:tc>
          <w:tcPr>
            <w:tcW w:w="423" w:type="pct"/>
          </w:tcPr>
          <w:p w:rsidR="00000000" w:rsidRDefault="00CA422F">
            <w:pPr>
              <w:spacing w:line="360" w:lineRule="exact"/>
              <w:jc w:val="right"/>
              <w:rPr>
                <w:rFonts w:hint="eastAsia"/>
                <w:sz w:val="18"/>
              </w:rPr>
            </w:pPr>
            <w:r>
              <w:rPr>
                <w:rFonts w:hint="eastAsia"/>
                <w:sz w:val="18"/>
              </w:rPr>
              <w:t>75.8</w:t>
            </w:r>
          </w:p>
        </w:tc>
        <w:tc>
          <w:tcPr>
            <w:tcW w:w="409" w:type="pct"/>
          </w:tcPr>
          <w:p w:rsidR="00000000" w:rsidRDefault="00CA422F">
            <w:pPr>
              <w:spacing w:line="360" w:lineRule="exact"/>
              <w:jc w:val="right"/>
              <w:rPr>
                <w:rFonts w:hint="eastAsia"/>
                <w:sz w:val="18"/>
              </w:rPr>
            </w:pPr>
            <w:r>
              <w:rPr>
                <w:rFonts w:hint="eastAsia"/>
                <w:sz w:val="18"/>
              </w:rPr>
              <w:t>71.6</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工人和手工艺者</w:t>
            </w:r>
          </w:p>
        </w:tc>
        <w:tc>
          <w:tcPr>
            <w:tcW w:w="422" w:type="pct"/>
          </w:tcPr>
          <w:p w:rsidR="00000000" w:rsidRDefault="00CA422F">
            <w:pPr>
              <w:spacing w:line="360" w:lineRule="exact"/>
              <w:jc w:val="right"/>
              <w:rPr>
                <w:rFonts w:hint="eastAsia"/>
                <w:sz w:val="18"/>
              </w:rPr>
            </w:pPr>
            <w:r>
              <w:rPr>
                <w:rFonts w:hint="eastAsia"/>
                <w:sz w:val="18"/>
              </w:rPr>
              <w:t>73.3</w:t>
            </w:r>
          </w:p>
        </w:tc>
        <w:tc>
          <w:tcPr>
            <w:tcW w:w="427" w:type="pct"/>
          </w:tcPr>
          <w:p w:rsidR="00000000" w:rsidRDefault="00CA422F">
            <w:pPr>
              <w:spacing w:line="360" w:lineRule="exact"/>
              <w:jc w:val="right"/>
              <w:rPr>
                <w:rFonts w:hint="eastAsia"/>
                <w:sz w:val="18"/>
              </w:rPr>
            </w:pPr>
            <w:r>
              <w:rPr>
                <w:rFonts w:hint="eastAsia"/>
                <w:sz w:val="18"/>
              </w:rPr>
              <w:t>76.6</w:t>
            </w:r>
          </w:p>
        </w:tc>
        <w:tc>
          <w:tcPr>
            <w:tcW w:w="424" w:type="pct"/>
          </w:tcPr>
          <w:p w:rsidR="00000000" w:rsidRDefault="00CA422F">
            <w:pPr>
              <w:spacing w:line="360" w:lineRule="exact"/>
              <w:jc w:val="right"/>
              <w:rPr>
                <w:rFonts w:hint="eastAsia"/>
                <w:sz w:val="18"/>
              </w:rPr>
            </w:pPr>
            <w:r>
              <w:rPr>
                <w:rFonts w:hint="eastAsia"/>
                <w:sz w:val="18"/>
              </w:rPr>
              <w:t>77.6</w:t>
            </w:r>
          </w:p>
        </w:tc>
        <w:tc>
          <w:tcPr>
            <w:tcW w:w="425" w:type="pct"/>
          </w:tcPr>
          <w:p w:rsidR="00000000" w:rsidRDefault="00CA422F">
            <w:pPr>
              <w:spacing w:line="360" w:lineRule="exact"/>
              <w:jc w:val="right"/>
              <w:rPr>
                <w:rFonts w:hint="eastAsia"/>
                <w:sz w:val="18"/>
              </w:rPr>
            </w:pPr>
            <w:r>
              <w:rPr>
                <w:rFonts w:hint="eastAsia"/>
                <w:sz w:val="18"/>
              </w:rPr>
              <w:t>84.2</w:t>
            </w:r>
          </w:p>
        </w:tc>
        <w:tc>
          <w:tcPr>
            <w:tcW w:w="423" w:type="pct"/>
          </w:tcPr>
          <w:p w:rsidR="00000000" w:rsidRDefault="00CA422F">
            <w:pPr>
              <w:spacing w:line="360" w:lineRule="exact"/>
              <w:jc w:val="right"/>
              <w:rPr>
                <w:rFonts w:hint="eastAsia"/>
                <w:sz w:val="18"/>
              </w:rPr>
            </w:pPr>
            <w:r>
              <w:rPr>
                <w:rFonts w:hint="eastAsia"/>
                <w:sz w:val="18"/>
              </w:rPr>
              <w:t>77.2</w:t>
            </w:r>
          </w:p>
        </w:tc>
        <w:tc>
          <w:tcPr>
            <w:tcW w:w="423" w:type="pct"/>
          </w:tcPr>
          <w:p w:rsidR="00000000" w:rsidRDefault="00CA422F">
            <w:pPr>
              <w:spacing w:line="360" w:lineRule="exact"/>
              <w:jc w:val="right"/>
              <w:rPr>
                <w:rFonts w:hint="eastAsia"/>
                <w:sz w:val="18"/>
              </w:rPr>
            </w:pPr>
            <w:r>
              <w:rPr>
                <w:rFonts w:hint="eastAsia"/>
                <w:sz w:val="18"/>
              </w:rPr>
              <w:t>77.8</w:t>
            </w:r>
          </w:p>
        </w:tc>
        <w:tc>
          <w:tcPr>
            <w:tcW w:w="409" w:type="pct"/>
          </w:tcPr>
          <w:p w:rsidR="00000000" w:rsidRDefault="00CA422F">
            <w:pPr>
              <w:spacing w:line="360" w:lineRule="exact"/>
              <w:jc w:val="right"/>
              <w:rPr>
                <w:rFonts w:hint="eastAsia"/>
                <w:sz w:val="18"/>
              </w:rPr>
            </w:pPr>
            <w:r>
              <w:rPr>
                <w:rFonts w:hint="eastAsia"/>
                <w:sz w:val="18"/>
              </w:rPr>
              <w:t>81.8</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个人劳务工人</w:t>
            </w:r>
          </w:p>
        </w:tc>
        <w:tc>
          <w:tcPr>
            <w:tcW w:w="422" w:type="pct"/>
          </w:tcPr>
          <w:p w:rsidR="00000000" w:rsidRDefault="00CA422F">
            <w:pPr>
              <w:spacing w:line="360" w:lineRule="exact"/>
              <w:jc w:val="right"/>
              <w:rPr>
                <w:rFonts w:hint="eastAsia"/>
                <w:sz w:val="18"/>
              </w:rPr>
            </w:pPr>
            <w:r>
              <w:rPr>
                <w:rFonts w:hint="eastAsia"/>
                <w:sz w:val="18"/>
              </w:rPr>
              <w:t>58.4</w:t>
            </w:r>
          </w:p>
        </w:tc>
        <w:tc>
          <w:tcPr>
            <w:tcW w:w="427" w:type="pct"/>
          </w:tcPr>
          <w:p w:rsidR="00000000" w:rsidRDefault="00CA422F">
            <w:pPr>
              <w:spacing w:line="360" w:lineRule="exact"/>
              <w:jc w:val="right"/>
              <w:rPr>
                <w:rFonts w:hint="eastAsia"/>
                <w:sz w:val="18"/>
              </w:rPr>
            </w:pPr>
            <w:r>
              <w:rPr>
                <w:rFonts w:hint="eastAsia"/>
                <w:sz w:val="18"/>
              </w:rPr>
              <w:t>57.1</w:t>
            </w:r>
          </w:p>
        </w:tc>
        <w:tc>
          <w:tcPr>
            <w:tcW w:w="424" w:type="pct"/>
          </w:tcPr>
          <w:p w:rsidR="00000000" w:rsidRDefault="00CA422F">
            <w:pPr>
              <w:spacing w:line="360" w:lineRule="exact"/>
              <w:jc w:val="right"/>
              <w:rPr>
                <w:rFonts w:hint="eastAsia"/>
                <w:sz w:val="18"/>
              </w:rPr>
            </w:pPr>
            <w:r>
              <w:rPr>
                <w:rFonts w:hint="eastAsia"/>
                <w:sz w:val="18"/>
              </w:rPr>
              <w:t>62.0</w:t>
            </w:r>
          </w:p>
        </w:tc>
        <w:tc>
          <w:tcPr>
            <w:tcW w:w="425" w:type="pct"/>
          </w:tcPr>
          <w:p w:rsidR="00000000" w:rsidRDefault="00CA422F">
            <w:pPr>
              <w:spacing w:line="360" w:lineRule="exact"/>
              <w:jc w:val="right"/>
              <w:rPr>
                <w:rFonts w:hint="eastAsia"/>
                <w:sz w:val="18"/>
              </w:rPr>
            </w:pPr>
            <w:r>
              <w:rPr>
                <w:rFonts w:hint="eastAsia"/>
                <w:sz w:val="18"/>
              </w:rPr>
              <w:t>60.2</w:t>
            </w:r>
          </w:p>
        </w:tc>
        <w:tc>
          <w:tcPr>
            <w:tcW w:w="423" w:type="pct"/>
          </w:tcPr>
          <w:p w:rsidR="00000000" w:rsidRDefault="00CA422F">
            <w:pPr>
              <w:spacing w:line="360" w:lineRule="exact"/>
              <w:jc w:val="right"/>
              <w:rPr>
                <w:rFonts w:hint="eastAsia"/>
                <w:sz w:val="18"/>
              </w:rPr>
            </w:pPr>
            <w:r>
              <w:rPr>
                <w:rFonts w:hint="eastAsia"/>
                <w:sz w:val="18"/>
              </w:rPr>
              <w:t>61.0</w:t>
            </w:r>
          </w:p>
        </w:tc>
        <w:tc>
          <w:tcPr>
            <w:tcW w:w="423" w:type="pct"/>
          </w:tcPr>
          <w:p w:rsidR="00000000" w:rsidRDefault="00CA422F">
            <w:pPr>
              <w:spacing w:line="360" w:lineRule="exact"/>
              <w:jc w:val="right"/>
              <w:rPr>
                <w:rFonts w:hint="eastAsia"/>
                <w:sz w:val="18"/>
              </w:rPr>
            </w:pPr>
            <w:r>
              <w:rPr>
                <w:rFonts w:hint="eastAsia"/>
                <w:sz w:val="18"/>
              </w:rPr>
              <w:t>57.4</w:t>
            </w:r>
          </w:p>
        </w:tc>
        <w:tc>
          <w:tcPr>
            <w:tcW w:w="409" w:type="pct"/>
          </w:tcPr>
          <w:p w:rsidR="00000000" w:rsidRDefault="00CA422F">
            <w:pPr>
              <w:spacing w:line="360" w:lineRule="exact"/>
              <w:jc w:val="right"/>
              <w:rPr>
                <w:rFonts w:hint="eastAsia"/>
                <w:sz w:val="18"/>
              </w:rPr>
            </w:pPr>
            <w:r>
              <w:rPr>
                <w:rFonts w:hint="eastAsia"/>
                <w:sz w:val="18"/>
              </w:rPr>
              <w:t>68.1</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家务劳动的价值占国内生产总值的比例</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r>
              <w:rPr>
                <w:rFonts w:hint="eastAsia"/>
                <w:sz w:val="18"/>
              </w:rPr>
              <w:t>9.4</w:t>
            </w:r>
          </w:p>
        </w:tc>
        <w:tc>
          <w:tcPr>
            <w:tcW w:w="424" w:type="pct"/>
          </w:tcPr>
          <w:p w:rsidR="00000000" w:rsidRDefault="00CA422F">
            <w:pPr>
              <w:spacing w:line="360" w:lineRule="exact"/>
              <w:jc w:val="right"/>
              <w:rPr>
                <w:rFonts w:hint="eastAsia"/>
                <w:sz w:val="18"/>
              </w:rPr>
            </w:pPr>
            <w:r>
              <w:rPr>
                <w:rFonts w:hint="eastAsia"/>
                <w:sz w:val="18"/>
              </w:rPr>
              <w:t>10.5</w:t>
            </w:r>
          </w:p>
        </w:tc>
        <w:tc>
          <w:tcPr>
            <w:tcW w:w="425" w:type="pct"/>
          </w:tcPr>
          <w:p w:rsidR="00000000" w:rsidRDefault="00CA422F">
            <w:pPr>
              <w:spacing w:line="360" w:lineRule="exact"/>
              <w:jc w:val="right"/>
              <w:rPr>
                <w:rFonts w:hint="eastAsia"/>
                <w:sz w:val="18"/>
              </w:rPr>
            </w:pPr>
            <w:r>
              <w:rPr>
                <w:rFonts w:hint="eastAsia"/>
                <w:sz w:val="18"/>
              </w:rPr>
              <w:t>10.5</w:t>
            </w:r>
          </w:p>
        </w:tc>
        <w:tc>
          <w:tcPr>
            <w:tcW w:w="423" w:type="pct"/>
          </w:tcPr>
          <w:p w:rsidR="00000000" w:rsidRDefault="00CA422F">
            <w:pPr>
              <w:spacing w:line="360" w:lineRule="exact"/>
              <w:jc w:val="right"/>
              <w:rPr>
                <w:rFonts w:hint="eastAsia"/>
                <w:sz w:val="18"/>
              </w:rPr>
            </w:pPr>
            <w:r>
              <w:rPr>
                <w:rFonts w:hint="eastAsia"/>
                <w:sz w:val="18"/>
              </w:rPr>
              <w:t>10.1</w:t>
            </w:r>
          </w:p>
        </w:tc>
        <w:tc>
          <w:tcPr>
            <w:tcW w:w="423" w:type="pct"/>
          </w:tcPr>
          <w:p w:rsidR="00000000" w:rsidRDefault="00CA422F">
            <w:pPr>
              <w:spacing w:line="360" w:lineRule="exact"/>
              <w:jc w:val="right"/>
              <w:rPr>
                <w:rFonts w:hint="eastAsia"/>
                <w:sz w:val="18"/>
              </w:rPr>
            </w:pPr>
            <w:r>
              <w:rPr>
                <w:rFonts w:hint="eastAsia"/>
                <w:sz w:val="18"/>
              </w:rPr>
              <w:t>9.2</w:t>
            </w:r>
          </w:p>
        </w:tc>
        <w:tc>
          <w:tcPr>
            <w:tcW w:w="409" w:type="pct"/>
          </w:tcPr>
          <w:p w:rsidR="00000000" w:rsidRDefault="00CA422F">
            <w:pPr>
              <w:spacing w:line="360" w:lineRule="exact"/>
              <w:jc w:val="right"/>
              <w:rPr>
                <w:rFonts w:hint="eastAsia"/>
                <w:sz w:val="18"/>
              </w:rPr>
            </w:pPr>
            <w:r>
              <w:rPr>
                <w:rFonts w:hint="eastAsia"/>
                <w:sz w:val="18"/>
              </w:rPr>
              <w:t>9.8</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向妇女发放的住宅债券的比例</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r>
              <w:rPr>
                <w:rFonts w:hint="eastAsia"/>
                <w:sz w:val="18"/>
              </w:rPr>
              <w:t>28.0</w:t>
            </w:r>
          </w:p>
        </w:tc>
        <w:tc>
          <w:tcPr>
            <w:tcW w:w="424" w:type="pct"/>
          </w:tcPr>
          <w:p w:rsidR="00000000" w:rsidRDefault="00CA422F">
            <w:pPr>
              <w:spacing w:line="360" w:lineRule="exact"/>
              <w:jc w:val="right"/>
              <w:rPr>
                <w:rFonts w:hint="eastAsia"/>
                <w:sz w:val="18"/>
              </w:rPr>
            </w:pPr>
            <w:r>
              <w:rPr>
                <w:rFonts w:hint="eastAsia"/>
                <w:sz w:val="18"/>
              </w:rPr>
              <w:t>29.4</w:t>
            </w:r>
          </w:p>
        </w:tc>
        <w:tc>
          <w:tcPr>
            <w:tcW w:w="425" w:type="pct"/>
          </w:tcPr>
          <w:p w:rsidR="00000000" w:rsidRDefault="00CA422F">
            <w:pPr>
              <w:spacing w:line="360" w:lineRule="exact"/>
              <w:jc w:val="right"/>
              <w:rPr>
                <w:rFonts w:hint="eastAsia"/>
                <w:sz w:val="18"/>
              </w:rPr>
            </w:pPr>
            <w:r>
              <w:rPr>
                <w:rFonts w:hint="eastAsia"/>
                <w:sz w:val="18"/>
              </w:rPr>
              <w:t>31.5</w:t>
            </w:r>
          </w:p>
        </w:tc>
        <w:tc>
          <w:tcPr>
            <w:tcW w:w="423" w:type="pct"/>
          </w:tcPr>
          <w:p w:rsidR="00000000" w:rsidRDefault="00CA422F">
            <w:pPr>
              <w:spacing w:line="360" w:lineRule="exact"/>
              <w:jc w:val="right"/>
              <w:rPr>
                <w:rFonts w:hint="eastAsia"/>
                <w:sz w:val="18"/>
              </w:rPr>
            </w:pPr>
            <w:r>
              <w:rPr>
                <w:rFonts w:hint="eastAsia"/>
                <w:sz w:val="18"/>
              </w:rPr>
              <w:t>37.2</w:t>
            </w:r>
          </w:p>
        </w:tc>
        <w:tc>
          <w:tcPr>
            <w:tcW w:w="423" w:type="pct"/>
          </w:tcPr>
          <w:p w:rsidR="00000000" w:rsidRDefault="00CA422F">
            <w:pPr>
              <w:spacing w:line="360" w:lineRule="exact"/>
              <w:jc w:val="right"/>
              <w:rPr>
                <w:rFonts w:hint="eastAsia"/>
                <w:sz w:val="18"/>
              </w:rPr>
            </w:pPr>
            <w:r>
              <w:rPr>
                <w:rFonts w:hint="eastAsia"/>
                <w:sz w:val="18"/>
              </w:rPr>
              <w:t>40.2</w:t>
            </w:r>
          </w:p>
        </w:tc>
        <w:tc>
          <w:tcPr>
            <w:tcW w:w="409" w:type="pct"/>
          </w:tcPr>
          <w:p w:rsidR="00000000" w:rsidRDefault="00CA422F">
            <w:pPr>
              <w:spacing w:line="360" w:lineRule="exact"/>
              <w:jc w:val="right"/>
              <w:rPr>
                <w:rFonts w:hint="eastAsia"/>
                <w:sz w:val="18"/>
              </w:rPr>
            </w:pPr>
            <w:r>
              <w:rPr>
                <w:rFonts w:hint="eastAsia"/>
                <w:sz w:val="18"/>
              </w:rPr>
              <w:t>41.5</w:t>
            </w:r>
          </w:p>
        </w:tc>
      </w:tr>
      <w:tr w:rsidR="00000000">
        <w:tblPrEx>
          <w:tblCellMar>
            <w:top w:w="0" w:type="dxa"/>
            <w:bottom w:w="0" w:type="dxa"/>
          </w:tblCellMar>
        </w:tblPrEx>
        <w:tc>
          <w:tcPr>
            <w:tcW w:w="2047" w:type="pct"/>
            <w:tcBorders>
              <w:right w:val="nil"/>
            </w:tcBorders>
          </w:tcPr>
          <w:p w:rsidR="00000000" w:rsidRDefault="00CA422F">
            <w:pPr>
              <w:pStyle w:val="20"/>
              <w:spacing w:beforeLines="0" w:before="0" w:afterLines="0" w:after="0" w:line="360" w:lineRule="exact"/>
              <w:rPr>
                <w:rFonts w:ascii="Times New Roman" w:eastAsia="SimHei" w:hAnsi="Times New Roman" w:hint="eastAsia"/>
                <w:sz w:val="18"/>
                <w:lang w:val="en-US"/>
              </w:rPr>
            </w:pPr>
            <w:r>
              <w:rPr>
                <w:rFonts w:ascii="Times New Roman" w:eastAsia="SimHei" w:hAnsi="Times New Roman" w:hint="eastAsia"/>
                <w:sz w:val="18"/>
                <w:lang w:val="en-US"/>
              </w:rPr>
              <w:t>劳工</w:t>
            </w:r>
          </w:p>
        </w:tc>
        <w:tc>
          <w:tcPr>
            <w:tcW w:w="422" w:type="pct"/>
            <w:tcBorders>
              <w:left w:val="nil"/>
              <w:right w:val="nil"/>
            </w:tcBorders>
          </w:tcPr>
          <w:p w:rsidR="00000000" w:rsidRDefault="00CA422F">
            <w:pPr>
              <w:spacing w:line="360" w:lineRule="exact"/>
              <w:rPr>
                <w:rFonts w:hint="eastAsia"/>
                <w:sz w:val="18"/>
              </w:rPr>
            </w:pPr>
          </w:p>
        </w:tc>
        <w:tc>
          <w:tcPr>
            <w:tcW w:w="427" w:type="pct"/>
            <w:tcBorders>
              <w:left w:val="nil"/>
              <w:bottom w:val="nil"/>
              <w:right w:val="nil"/>
            </w:tcBorders>
          </w:tcPr>
          <w:p w:rsidR="00000000" w:rsidRDefault="00CA422F">
            <w:pPr>
              <w:spacing w:line="360" w:lineRule="exact"/>
              <w:rPr>
                <w:rFonts w:hint="eastAsia"/>
                <w:sz w:val="18"/>
              </w:rPr>
            </w:pPr>
          </w:p>
        </w:tc>
        <w:tc>
          <w:tcPr>
            <w:tcW w:w="424" w:type="pct"/>
            <w:tcBorders>
              <w:left w:val="nil"/>
              <w:bottom w:val="nil"/>
              <w:right w:val="nil"/>
            </w:tcBorders>
          </w:tcPr>
          <w:p w:rsidR="00000000" w:rsidRDefault="00CA422F">
            <w:pPr>
              <w:spacing w:line="360" w:lineRule="exact"/>
              <w:rPr>
                <w:rFonts w:hint="eastAsia"/>
                <w:sz w:val="18"/>
              </w:rPr>
            </w:pPr>
          </w:p>
        </w:tc>
        <w:tc>
          <w:tcPr>
            <w:tcW w:w="425"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09" w:type="pct"/>
            <w:tcBorders>
              <w:left w:val="nil"/>
            </w:tcBorders>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妇女就业率</w:t>
            </w:r>
            <w:r>
              <w:rPr>
                <w:rFonts w:hint="eastAsia"/>
                <w:sz w:val="18"/>
                <w:vertAlign w:val="superscript"/>
              </w:rPr>
              <w:t>c/</w:t>
            </w:r>
          </w:p>
        </w:tc>
        <w:tc>
          <w:tcPr>
            <w:tcW w:w="422" w:type="pct"/>
          </w:tcPr>
          <w:p w:rsidR="00000000" w:rsidRDefault="00CA422F">
            <w:pPr>
              <w:spacing w:line="360" w:lineRule="exact"/>
              <w:jc w:val="right"/>
              <w:rPr>
                <w:rFonts w:hint="eastAsia"/>
                <w:sz w:val="18"/>
              </w:rPr>
            </w:pPr>
            <w:r>
              <w:rPr>
                <w:rFonts w:hint="eastAsia"/>
                <w:sz w:val="18"/>
              </w:rPr>
              <w:t>41.1</w:t>
            </w:r>
          </w:p>
        </w:tc>
        <w:tc>
          <w:tcPr>
            <w:tcW w:w="427" w:type="pct"/>
          </w:tcPr>
          <w:p w:rsidR="00000000" w:rsidRDefault="00CA422F">
            <w:pPr>
              <w:spacing w:line="360" w:lineRule="exact"/>
              <w:jc w:val="right"/>
              <w:rPr>
                <w:rFonts w:hint="eastAsia"/>
                <w:sz w:val="18"/>
              </w:rPr>
            </w:pPr>
            <w:r>
              <w:rPr>
                <w:rFonts w:hint="eastAsia"/>
                <w:sz w:val="18"/>
              </w:rPr>
              <w:t>41.2</w:t>
            </w:r>
          </w:p>
        </w:tc>
        <w:tc>
          <w:tcPr>
            <w:tcW w:w="424" w:type="pct"/>
          </w:tcPr>
          <w:p w:rsidR="00000000" w:rsidRDefault="00CA422F">
            <w:pPr>
              <w:spacing w:line="360" w:lineRule="exact"/>
              <w:jc w:val="right"/>
              <w:rPr>
                <w:rFonts w:hint="eastAsia"/>
                <w:sz w:val="18"/>
              </w:rPr>
            </w:pPr>
            <w:r>
              <w:rPr>
                <w:rFonts w:hint="eastAsia"/>
                <w:sz w:val="18"/>
              </w:rPr>
              <w:t>42.2</w:t>
            </w:r>
          </w:p>
        </w:tc>
        <w:tc>
          <w:tcPr>
            <w:tcW w:w="425" w:type="pct"/>
          </w:tcPr>
          <w:p w:rsidR="00000000" w:rsidRDefault="00CA422F">
            <w:pPr>
              <w:spacing w:line="360" w:lineRule="exact"/>
              <w:jc w:val="right"/>
              <w:rPr>
                <w:rFonts w:hint="eastAsia"/>
                <w:sz w:val="18"/>
              </w:rPr>
            </w:pPr>
            <w:r>
              <w:rPr>
                <w:rFonts w:hint="eastAsia"/>
                <w:sz w:val="18"/>
              </w:rPr>
              <w:t>41.5</w:t>
            </w:r>
          </w:p>
        </w:tc>
        <w:tc>
          <w:tcPr>
            <w:tcW w:w="423" w:type="pct"/>
          </w:tcPr>
          <w:p w:rsidR="00000000" w:rsidRDefault="00CA422F">
            <w:pPr>
              <w:spacing w:line="360" w:lineRule="exact"/>
              <w:jc w:val="right"/>
              <w:rPr>
                <w:rFonts w:hint="eastAsia"/>
                <w:sz w:val="18"/>
              </w:rPr>
            </w:pPr>
            <w:r>
              <w:rPr>
                <w:rFonts w:hint="eastAsia"/>
                <w:sz w:val="18"/>
              </w:rPr>
              <w:t>44.1</w:t>
            </w:r>
          </w:p>
        </w:tc>
        <w:tc>
          <w:tcPr>
            <w:tcW w:w="423" w:type="pct"/>
          </w:tcPr>
          <w:p w:rsidR="00000000" w:rsidRDefault="00CA422F">
            <w:pPr>
              <w:spacing w:line="360" w:lineRule="exact"/>
              <w:jc w:val="right"/>
              <w:rPr>
                <w:rFonts w:hint="eastAsia"/>
                <w:sz w:val="18"/>
              </w:rPr>
            </w:pPr>
            <w:r>
              <w:rPr>
                <w:rFonts w:hint="eastAsia"/>
                <w:sz w:val="18"/>
              </w:rPr>
              <w:t>43.3</w:t>
            </w:r>
          </w:p>
        </w:tc>
        <w:tc>
          <w:tcPr>
            <w:tcW w:w="409" w:type="pct"/>
          </w:tcPr>
          <w:p w:rsidR="00000000" w:rsidRDefault="00CA422F">
            <w:pPr>
              <w:spacing w:line="360" w:lineRule="exact"/>
              <w:jc w:val="right"/>
              <w:rPr>
                <w:rFonts w:hint="eastAsia"/>
                <w:sz w:val="18"/>
              </w:rPr>
            </w:pPr>
            <w:r>
              <w:rPr>
                <w:rFonts w:hint="eastAsia"/>
                <w:sz w:val="18"/>
              </w:rPr>
              <w:t>40.8</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完全开工不足的性别差</w:t>
            </w:r>
            <w:r>
              <w:rPr>
                <w:rFonts w:hint="eastAsia"/>
                <w:sz w:val="18"/>
                <w:vertAlign w:val="superscript"/>
              </w:rPr>
              <w:t>a/</w:t>
            </w:r>
          </w:p>
        </w:tc>
        <w:tc>
          <w:tcPr>
            <w:tcW w:w="422" w:type="pct"/>
          </w:tcPr>
          <w:p w:rsidR="00000000" w:rsidRDefault="00CA422F">
            <w:pPr>
              <w:spacing w:line="360" w:lineRule="exact"/>
              <w:jc w:val="right"/>
              <w:rPr>
                <w:rFonts w:hint="eastAsia"/>
                <w:sz w:val="18"/>
              </w:rPr>
            </w:pPr>
            <w:r>
              <w:rPr>
                <w:rFonts w:hint="eastAsia"/>
                <w:sz w:val="18"/>
              </w:rPr>
              <w:t>-2.5</w:t>
            </w:r>
          </w:p>
        </w:tc>
        <w:tc>
          <w:tcPr>
            <w:tcW w:w="427" w:type="pct"/>
          </w:tcPr>
          <w:p w:rsidR="00000000" w:rsidRDefault="00CA422F">
            <w:pPr>
              <w:spacing w:line="360" w:lineRule="exact"/>
              <w:jc w:val="right"/>
              <w:rPr>
                <w:rFonts w:hint="eastAsia"/>
                <w:sz w:val="18"/>
              </w:rPr>
            </w:pPr>
            <w:r>
              <w:rPr>
                <w:rFonts w:hint="eastAsia"/>
                <w:sz w:val="18"/>
              </w:rPr>
              <w:t>-2.4</w:t>
            </w:r>
          </w:p>
        </w:tc>
        <w:tc>
          <w:tcPr>
            <w:tcW w:w="424" w:type="pct"/>
          </w:tcPr>
          <w:p w:rsidR="00000000" w:rsidRDefault="00CA422F">
            <w:pPr>
              <w:spacing w:line="360" w:lineRule="exact"/>
              <w:jc w:val="right"/>
              <w:rPr>
                <w:rFonts w:hint="eastAsia"/>
                <w:sz w:val="18"/>
              </w:rPr>
            </w:pPr>
            <w:r>
              <w:rPr>
                <w:rFonts w:hint="eastAsia"/>
                <w:sz w:val="18"/>
              </w:rPr>
              <w:t>-2.5</w:t>
            </w:r>
          </w:p>
        </w:tc>
        <w:tc>
          <w:tcPr>
            <w:tcW w:w="425" w:type="pct"/>
          </w:tcPr>
          <w:p w:rsidR="00000000" w:rsidRDefault="00CA422F">
            <w:pPr>
              <w:spacing w:line="360" w:lineRule="exact"/>
              <w:jc w:val="right"/>
              <w:rPr>
                <w:rFonts w:hint="eastAsia"/>
                <w:sz w:val="18"/>
              </w:rPr>
            </w:pPr>
            <w:r>
              <w:rPr>
                <w:rFonts w:hint="eastAsia"/>
                <w:sz w:val="18"/>
              </w:rPr>
              <w:t>-2.9</w:t>
            </w:r>
          </w:p>
        </w:tc>
        <w:tc>
          <w:tcPr>
            <w:tcW w:w="423" w:type="pct"/>
          </w:tcPr>
          <w:p w:rsidR="00000000" w:rsidRDefault="00CA422F">
            <w:pPr>
              <w:spacing w:line="360" w:lineRule="exact"/>
              <w:jc w:val="right"/>
              <w:rPr>
                <w:rFonts w:hint="eastAsia"/>
                <w:sz w:val="18"/>
              </w:rPr>
            </w:pPr>
            <w:r>
              <w:rPr>
                <w:rFonts w:hint="eastAsia"/>
                <w:sz w:val="18"/>
              </w:rPr>
              <w:t>-4.5</w:t>
            </w:r>
          </w:p>
        </w:tc>
        <w:tc>
          <w:tcPr>
            <w:tcW w:w="423" w:type="pct"/>
          </w:tcPr>
          <w:p w:rsidR="00000000" w:rsidRDefault="00CA422F">
            <w:pPr>
              <w:spacing w:line="360" w:lineRule="exact"/>
              <w:jc w:val="right"/>
              <w:rPr>
                <w:rFonts w:hint="eastAsia"/>
                <w:sz w:val="18"/>
              </w:rPr>
            </w:pPr>
            <w:r>
              <w:rPr>
                <w:rFonts w:hint="eastAsia"/>
                <w:sz w:val="18"/>
              </w:rPr>
              <w:t>-4.6</w:t>
            </w:r>
          </w:p>
        </w:tc>
        <w:tc>
          <w:tcPr>
            <w:tcW w:w="409" w:type="pct"/>
          </w:tcPr>
          <w:p w:rsidR="00000000" w:rsidRDefault="00CA422F">
            <w:pPr>
              <w:spacing w:line="360" w:lineRule="exact"/>
              <w:jc w:val="right"/>
              <w:rPr>
                <w:rFonts w:hint="eastAsia"/>
                <w:sz w:val="18"/>
              </w:rPr>
            </w:pPr>
            <w:r>
              <w:rPr>
                <w:rFonts w:hint="eastAsia"/>
                <w:sz w:val="18"/>
              </w:rPr>
              <w:t>-2.7</w:t>
            </w:r>
          </w:p>
        </w:tc>
      </w:tr>
      <w:tr w:rsidR="00000000">
        <w:tblPrEx>
          <w:tblCellMar>
            <w:top w:w="0" w:type="dxa"/>
            <w:bottom w:w="0" w:type="dxa"/>
          </w:tblCellMar>
        </w:tblPrEx>
        <w:tc>
          <w:tcPr>
            <w:tcW w:w="2047" w:type="pct"/>
            <w:tcBorders>
              <w:right w:val="nil"/>
            </w:tcBorders>
          </w:tcPr>
          <w:p w:rsidR="00000000" w:rsidRDefault="00CA422F">
            <w:pPr>
              <w:spacing w:line="360" w:lineRule="exact"/>
              <w:rPr>
                <w:rFonts w:eastAsia="KaiTi_GB2312" w:hint="eastAsia"/>
                <w:sz w:val="18"/>
              </w:rPr>
            </w:pPr>
            <w:r>
              <w:rPr>
                <w:rFonts w:eastAsia="KaiTi_GB2312" w:hint="eastAsia"/>
                <w:sz w:val="18"/>
              </w:rPr>
              <w:t>全部专业技术职位中的妇女比例</w:t>
            </w:r>
          </w:p>
        </w:tc>
        <w:tc>
          <w:tcPr>
            <w:tcW w:w="422" w:type="pct"/>
            <w:tcBorders>
              <w:left w:val="nil"/>
              <w:right w:val="nil"/>
            </w:tcBorders>
          </w:tcPr>
          <w:p w:rsidR="00000000" w:rsidRDefault="00CA422F">
            <w:pPr>
              <w:spacing w:line="360" w:lineRule="exact"/>
              <w:rPr>
                <w:rFonts w:eastAsia="KaiTi_GB2312" w:hint="eastAsia"/>
                <w:sz w:val="18"/>
              </w:rPr>
            </w:pPr>
          </w:p>
        </w:tc>
        <w:tc>
          <w:tcPr>
            <w:tcW w:w="427" w:type="pct"/>
            <w:tcBorders>
              <w:left w:val="nil"/>
              <w:right w:val="nil"/>
            </w:tcBorders>
          </w:tcPr>
          <w:p w:rsidR="00000000" w:rsidRDefault="00CA422F">
            <w:pPr>
              <w:spacing w:line="360" w:lineRule="exact"/>
              <w:rPr>
                <w:rFonts w:eastAsia="KaiTi_GB2312" w:hint="eastAsia"/>
                <w:sz w:val="18"/>
              </w:rPr>
            </w:pPr>
          </w:p>
        </w:tc>
        <w:tc>
          <w:tcPr>
            <w:tcW w:w="424" w:type="pct"/>
            <w:tcBorders>
              <w:left w:val="nil"/>
              <w:right w:val="nil"/>
            </w:tcBorders>
          </w:tcPr>
          <w:p w:rsidR="00000000" w:rsidRDefault="00CA422F">
            <w:pPr>
              <w:spacing w:line="360" w:lineRule="exact"/>
              <w:rPr>
                <w:rFonts w:eastAsia="KaiTi_GB2312" w:hint="eastAsia"/>
                <w:sz w:val="18"/>
              </w:rPr>
            </w:pPr>
          </w:p>
        </w:tc>
        <w:tc>
          <w:tcPr>
            <w:tcW w:w="425" w:type="pct"/>
            <w:tcBorders>
              <w:left w:val="nil"/>
              <w:right w:val="nil"/>
            </w:tcBorders>
          </w:tcPr>
          <w:p w:rsidR="00000000" w:rsidRDefault="00CA422F">
            <w:pPr>
              <w:spacing w:line="360" w:lineRule="exact"/>
              <w:rPr>
                <w:rFonts w:eastAsia="KaiTi_GB2312" w:hint="eastAsia"/>
                <w:sz w:val="18"/>
              </w:rPr>
            </w:pPr>
          </w:p>
        </w:tc>
        <w:tc>
          <w:tcPr>
            <w:tcW w:w="423" w:type="pct"/>
            <w:tcBorders>
              <w:left w:val="nil"/>
              <w:right w:val="nil"/>
            </w:tcBorders>
          </w:tcPr>
          <w:p w:rsidR="00000000" w:rsidRDefault="00CA422F">
            <w:pPr>
              <w:spacing w:line="360" w:lineRule="exact"/>
              <w:rPr>
                <w:rFonts w:eastAsia="KaiTi_GB2312" w:hint="eastAsia"/>
                <w:sz w:val="18"/>
              </w:rPr>
            </w:pPr>
          </w:p>
        </w:tc>
        <w:tc>
          <w:tcPr>
            <w:tcW w:w="423" w:type="pct"/>
            <w:tcBorders>
              <w:left w:val="nil"/>
              <w:right w:val="nil"/>
            </w:tcBorders>
          </w:tcPr>
          <w:p w:rsidR="00000000" w:rsidRDefault="00CA422F">
            <w:pPr>
              <w:spacing w:line="360" w:lineRule="exact"/>
              <w:rPr>
                <w:rFonts w:eastAsia="KaiTi_GB2312" w:hint="eastAsia"/>
                <w:sz w:val="18"/>
              </w:rPr>
            </w:pPr>
          </w:p>
        </w:tc>
        <w:tc>
          <w:tcPr>
            <w:tcW w:w="409" w:type="pct"/>
            <w:tcBorders>
              <w:left w:val="nil"/>
            </w:tcBorders>
          </w:tcPr>
          <w:p w:rsidR="00000000" w:rsidRDefault="00CA422F">
            <w:pPr>
              <w:spacing w:line="360" w:lineRule="exact"/>
              <w:rPr>
                <w:rFonts w:eastAsia="KaiTi_GB2312"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作为专业人员和技术人</w:t>
            </w:r>
            <w:r>
              <w:rPr>
                <w:rFonts w:hint="eastAsia"/>
                <w:sz w:val="18"/>
              </w:rPr>
              <w:t>员</w:t>
            </w:r>
          </w:p>
        </w:tc>
        <w:tc>
          <w:tcPr>
            <w:tcW w:w="422" w:type="pct"/>
          </w:tcPr>
          <w:p w:rsidR="00000000" w:rsidRDefault="00CA422F">
            <w:pPr>
              <w:spacing w:line="360" w:lineRule="exact"/>
              <w:jc w:val="right"/>
              <w:rPr>
                <w:rFonts w:hint="eastAsia"/>
                <w:sz w:val="18"/>
              </w:rPr>
            </w:pPr>
            <w:r>
              <w:rPr>
                <w:rFonts w:hint="eastAsia"/>
                <w:sz w:val="18"/>
              </w:rPr>
              <w:t>44.5</w:t>
            </w:r>
          </w:p>
        </w:tc>
        <w:tc>
          <w:tcPr>
            <w:tcW w:w="427" w:type="pct"/>
          </w:tcPr>
          <w:p w:rsidR="00000000" w:rsidRDefault="00CA422F">
            <w:pPr>
              <w:spacing w:line="360" w:lineRule="exact"/>
              <w:jc w:val="right"/>
              <w:rPr>
                <w:rFonts w:hint="eastAsia"/>
                <w:sz w:val="18"/>
              </w:rPr>
            </w:pPr>
            <w:r>
              <w:rPr>
                <w:rFonts w:hint="eastAsia"/>
                <w:sz w:val="18"/>
              </w:rPr>
              <w:t>45.4</w:t>
            </w:r>
          </w:p>
        </w:tc>
        <w:tc>
          <w:tcPr>
            <w:tcW w:w="424" w:type="pct"/>
          </w:tcPr>
          <w:p w:rsidR="00000000" w:rsidRDefault="00CA422F">
            <w:pPr>
              <w:spacing w:line="360" w:lineRule="exact"/>
              <w:jc w:val="right"/>
              <w:rPr>
                <w:rFonts w:hint="eastAsia"/>
                <w:sz w:val="18"/>
              </w:rPr>
            </w:pPr>
            <w:r>
              <w:rPr>
                <w:rFonts w:hint="eastAsia"/>
                <w:sz w:val="18"/>
              </w:rPr>
              <w:t>47.8</w:t>
            </w:r>
          </w:p>
        </w:tc>
        <w:tc>
          <w:tcPr>
            <w:tcW w:w="425" w:type="pct"/>
          </w:tcPr>
          <w:p w:rsidR="00000000" w:rsidRDefault="00CA422F">
            <w:pPr>
              <w:spacing w:line="360" w:lineRule="exact"/>
              <w:jc w:val="right"/>
              <w:rPr>
                <w:rFonts w:hint="eastAsia"/>
                <w:sz w:val="18"/>
              </w:rPr>
            </w:pPr>
            <w:r>
              <w:rPr>
                <w:rFonts w:hint="eastAsia"/>
                <w:sz w:val="18"/>
              </w:rPr>
              <w:t>48.3</w:t>
            </w:r>
          </w:p>
        </w:tc>
        <w:tc>
          <w:tcPr>
            <w:tcW w:w="423" w:type="pct"/>
          </w:tcPr>
          <w:p w:rsidR="00000000" w:rsidRDefault="00CA422F">
            <w:pPr>
              <w:spacing w:line="360" w:lineRule="exact"/>
              <w:jc w:val="right"/>
              <w:rPr>
                <w:rFonts w:hint="eastAsia"/>
                <w:sz w:val="18"/>
              </w:rPr>
            </w:pPr>
            <w:r>
              <w:rPr>
                <w:rFonts w:hint="eastAsia"/>
                <w:sz w:val="18"/>
              </w:rPr>
              <w:t>45.1</w:t>
            </w:r>
          </w:p>
        </w:tc>
        <w:tc>
          <w:tcPr>
            <w:tcW w:w="423" w:type="pct"/>
          </w:tcPr>
          <w:p w:rsidR="00000000" w:rsidRDefault="00CA422F">
            <w:pPr>
              <w:spacing w:line="360" w:lineRule="exact"/>
              <w:jc w:val="right"/>
              <w:rPr>
                <w:rFonts w:hint="eastAsia"/>
                <w:sz w:val="18"/>
              </w:rPr>
            </w:pPr>
            <w:r>
              <w:rPr>
                <w:rFonts w:hint="eastAsia"/>
                <w:sz w:val="18"/>
              </w:rPr>
              <w:t>47.1</w:t>
            </w:r>
          </w:p>
        </w:tc>
        <w:tc>
          <w:tcPr>
            <w:tcW w:w="409" w:type="pct"/>
          </w:tcPr>
          <w:p w:rsidR="00000000" w:rsidRDefault="00CA422F">
            <w:pPr>
              <w:spacing w:line="360" w:lineRule="exact"/>
              <w:jc w:val="right"/>
              <w:rPr>
                <w:rFonts w:hint="eastAsia"/>
                <w:sz w:val="18"/>
              </w:rPr>
            </w:pPr>
            <w:r>
              <w:rPr>
                <w:rFonts w:hint="eastAsia"/>
                <w:sz w:val="18"/>
              </w:rPr>
              <w:t>46.2</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作为领导</w:t>
            </w:r>
          </w:p>
        </w:tc>
        <w:tc>
          <w:tcPr>
            <w:tcW w:w="422" w:type="pct"/>
          </w:tcPr>
          <w:p w:rsidR="00000000" w:rsidRDefault="00CA422F">
            <w:pPr>
              <w:spacing w:line="360" w:lineRule="exact"/>
              <w:jc w:val="right"/>
              <w:rPr>
                <w:rFonts w:hint="eastAsia"/>
                <w:sz w:val="18"/>
              </w:rPr>
            </w:pPr>
            <w:r>
              <w:rPr>
                <w:rFonts w:hint="eastAsia"/>
                <w:sz w:val="18"/>
              </w:rPr>
              <w:t>23.3</w:t>
            </w:r>
          </w:p>
        </w:tc>
        <w:tc>
          <w:tcPr>
            <w:tcW w:w="427" w:type="pct"/>
          </w:tcPr>
          <w:p w:rsidR="00000000" w:rsidRDefault="00CA422F">
            <w:pPr>
              <w:spacing w:line="360" w:lineRule="exact"/>
              <w:jc w:val="right"/>
              <w:rPr>
                <w:rFonts w:hint="eastAsia"/>
                <w:sz w:val="18"/>
              </w:rPr>
            </w:pPr>
            <w:r>
              <w:rPr>
                <w:rFonts w:hint="eastAsia"/>
                <w:sz w:val="18"/>
              </w:rPr>
              <w:t>23.4</w:t>
            </w:r>
          </w:p>
        </w:tc>
        <w:tc>
          <w:tcPr>
            <w:tcW w:w="424" w:type="pct"/>
          </w:tcPr>
          <w:p w:rsidR="00000000" w:rsidRDefault="00CA422F">
            <w:pPr>
              <w:spacing w:line="360" w:lineRule="exact"/>
              <w:jc w:val="right"/>
              <w:rPr>
                <w:rFonts w:hint="eastAsia"/>
                <w:sz w:val="18"/>
              </w:rPr>
            </w:pPr>
            <w:r>
              <w:rPr>
                <w:rFonts w:hint="eastAsia"/>
                <w:sz w:val="18"/>
              </w:rPr>
              <w:t>26.7</w:t>
            </w:r>
          </w:p>
        </w:tc>
        <w:tc>
          <w:tcPr>
            <w:tcW w:w="425" w:type="pct"/>
          </w:tcPr>
          <w:p w:rsidR="00000000" w:rsidRDefault="00CA422F">
            <w:pPr>
              <w:spacing w:line="360" w:lineRule="exact"/>
              <w:jc w:val="right"/>
              <w:rPr>
                <w:rFonts w:hint="eastAsia"/>
                <w:sz w:val="18"/>
              </w:rPr>
            </w:pPr>
            <w:r>
              <w:rPr>
                <w:rFonts w:hint="eastAsia"/>
                <w:sz w:val="18"/>
              </w:rPr>
              <w:t>27.5</w:t>
            </w:r>
          </w:p>
        </w:tc>
        <w:tc>
          <w:tcPr>
            <w:tcW w:w="423" w:type="pct"/>
          </w:tcPr>
          <w:p w:rsidR="00000000" w:rsidRDefault="00CA422F">
            <w:pPr>
              <w:spacing w:line="360" w:lineRule="exact"/>
              <w:jc w:val="right"/>
              <w:rPr>
                <w:rFonts w:hint="eastAsia"/>
                <w:sz w:val="18"/>
              </w:rPr>
            </w:pPr>
            <w:r>
              <w:rPr>
                <w:rFonts w:hint="eastAsia"/>
                <w:sz w:val="18"/>
              </w:rPr>
              <w:t>30.1</w:t>
            </w:r>
          </w:p>
        </w:tc>
        <w:tc>
          <w:tcPr>
            <w:tcW w:w="423" w:type="pct"/>
          </w:tcPr>
          <w:p w:rsidR="00000000" w:rsidRDefault="00CA422F">
            <w:pPr>
              <w:spacing w:line="360" w:lineRule="exact"/>
              <w:jc w:val="right"/>
              <w:rPr>
                <w:rFonts w:hint="eastAsia"/>
                <w:sz w:val="18"/>
              </w:rPr>
            </w:pPr>
            <w:r>
              <w:rPr>
                <w:rFonts w:hint="eastAsia"/>
                <w:sz w:val="18"/>
              </w:rPr>
              <w:t>30.6</w:t>
            </w:r>
          </w:p>
        </w:tc>
        <w:tc>
          <w:tcPr>
            <w:tcW w:w="409" w:type="pct"/>
          </w:tcPr>
          <w:p w:rsidR="00000000" w:rsidRDefault="00CA422F">
            <w:pPr>
              <w:spacing w:line="360" w:lineRule="exact"/>
              <w:jc w:val="right"/>
              <w:rPr>
                <w:rFonts w:hint="eastAsia"/>
                <w:sz w:val="18"/>
              </w:rPr>
            </w:pPr>
            <w:r>
              <w:rPr>
                <w:rFonts w:hint="eastAsia"/>
                <w:sz w:val="18"/>
              </w:rPr>
              <w:t>29.9</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职业性别分割指标</w:t>
            </w:r>
            <w:r>
              <w:rPr>
                <w:rFonts w:hint="eastAsia"/>
                <w:sz w:val="18"/>
                <w:vertAlign w:val="superscript"/>
              </w:rPr>
              <w:t>d/</w:t>
            </w:r>
          </w:p>
        </w:tc>
        <w:tc>
          <w:tcPr>
            <w:tcW w:w="422" w:type="pct"/>
          </w:tcPr>
          <w:p w:rsidR="00000000" w:rsidRDefault="00CA422F">
            <w:pPr>
              <w:spacing w:line="360" w:lineRule="exact"/>
              <w:jc w:val="right"/>
              <w:rPr>
                <w:rFonts w:hint="eastAsia"/>
                <w:sz w:val="18"/>
              </w:rPr>
            </w:pPr>
            <w:r>
              <w:rPr>
                <w:rFonts w:hint="eastAsia"/>
                <w:sz w:val="18"/>
              </w:rPr>
              <w:t>24.9</w:t>
            </w:r>
          </w:p>
        </w:tc>
        <w:tc>
          <w:tcPr>
            <w:tcW w:w="427" w:type="pct"/>
          </w:tcPr>
          <w:p w:rsidR="00000000" w:rsidRDefault="00CA422F">
            <w:pPr>
              <w:spacing w:line="360" w:lineRule="exact"/>
              <w:jc w:val="right"/>
              <w:rPr>
                <w:rFonts w:hint="eastAsia"/>
                <w:sz w:val="18"/>
              </w:rPr>
            </w:pPr>
            <w:r>
              <w:rPr>
                <w:rFonts w:hint="eastAsia"/>
                <w:sz w:val="18"/>
              </w:rPr>
              <w:t>23.0</w:t>
            </w:r>
          </w:p>
        </w:tc>
        <w:tc>
          <w:tcPr>
            <w:tcW w:w="424" w:type="pct"/>
          </w:tcPr>
          <w:p w:rsidR="00000000" w:rsidRDefault="00CA422F">
            <w:pPr>
              <w:spacing w:line="360" w:lineRule="exact"/>
              <w:jc w:val="right"/>
              <w:rPr>
                <w:rFonts w:hint="eastAsia"/>
                <w:sz w:val="18"/>
              </w:rPr>
            </w:pPr>
            <w:r>
              <w:rPr>
                <w:rFonts w:hint="eastAsia"/>
                <w:sz w:val="18"/>
              </w:rPr>
              <w:t>23.6</w:t>
            </w:r>
          </w:p>
        </w:tc>
        <w:tc>
          <w:tcPr>
            <w:tcW w:w="425" w:type="pct"/>
          </w:tcPr>
          <w:p w:rsidR="00000000" w:rsidRDefault="00CA422F">
            <w:pPr>
              <w:spacing w:line="360" w:lineRule="exact"/>
              <w:jc w:val="right"/>
              <w:rPr>
                <w:rFonts w:hint="eastAsia"/>
                <w:sz w:val="18"/>
              </w:rPr>
            </w:pPr>
            <w:r>
              <w:rPr>
                <w:rFonts w:hint="eastAsia"/>
                <w:sz w:val="18"/>
              </w:rPr>
              <w:t>24.7</w:t>
            </w:r>
          </w:p>
        </w:tc>
        <w:tc>
          <w:tcPr>
            <w:tcW w:w="423" w:type="pct"/>
          </w:tcPr>
          <w:p w:rsidR="00000000" w:rsidRDefault="00CA422F">
            <w:pPr>
              <w:spacing w:line="360" w:lineRule="exact"/>
              <w:jc w:val="right"/>
              <w:rPr>
                <w:rFonts w:hint="eastAsia"/>
                <w:sz w:val="18"/>
              </w:rPr>
            </w:pPr>
            <w:r>
              <w:rPr>
                <w:rFonts w:hint="eastAsia"/>
                <w:sz w:val="18"/>
              </w:rPr>
              <w:t>25.5</w:t>
            </w:r>
          </w:p>
        </w:tc>
        <w:tc>
          <w:tcPr>
            <w:tcW w:w="423" w:type="pct"/>
          </w:tcPr>
          <w:p w:rsidR="00000000" w:rsidRDefault="00CA422F">
            <w:pPr>
              <w:spacing w:line="360" w:lineRule="exact"/>
              <w:jc w:val="right"/>
              <w:rPr>
                <w:rFonts w:hint="eastAsia"/>
                <w:sz w:val="18"/>
              </w:rPr>
            </w:pPr>
            <w:r>
              <w:rPr>
                <w:rFonts w:hint="eastAsia"/>
                <w:sz w:val="18"/>
              </w:rPr>
              <w:t>25.8</w:t>
            </w:r>
          </w:p>
        </w:tc>
        <w:tc>
          <w:tcPr>
            <w:tcW w:w="409" w:type="pct"/>
          </w:tcPr>
          <w:p w:rsidR="00000000" w:rsidRDefault="00CA422F">
            <w:pPr>
              <w:spacing w:line="360" w:lineRule="exact"/>
              <w:jc w:val="right"/>
              <w:rPr>
                <w:rFonts w:hint="eastAsia"/>
                <w:sz w:val="18"/>
              </w:rPr>
            </w:pPr>
            <w:r>
              <w:rPr>
                <w:rFonts w:hint="eastAsia"/>
                <w:sz w:val="18"/>
              </w:rPr>
              <w:t>24.8</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生产力低部门的性别差</w:t>
            </w:r>
            <w:r>
              <w:rPr>
                <w:rFonts w:hint="eastAsia"/>
                <w:sz w:val="18"/>
                <w:vertAlign w:val="superscript"/>
              </w:rPr>
              <w:t>a/</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r>
              <w:rPr>
                <w:rFonts w:hint="eastAsia"/>
                <w:sz w:val="18"/>
              </w:rPr>
              <w:t>-16.0</w:t>
            </w:r>
          </w:p>
        </w:tc>
        <w:tc>
          <w:tcPr>
            <w:tcW w:w="424" w:type="pct"/>
          </w:tcPr>
          <w:p w:rsidR="00000000" w:rsidRDefault="00CA422F">
            <w:pPr>
              <w:spacing w:line="360" w:lineRule="exact"/>
              <w:jc w:val="right"/>
              <w:rPr>
                <w:rFonts w:hint="eastAsia"/>
                <w:sz w:val="18"/>
              </w:rPr>
            </w:pPr>
            <w:r>
              <w:rPr>
                <w:rFonts w:hint="eastAsia"/>
                <w:sz w:val="18"/>
              </w:rPr>
              <w:t>-13.0</w:t>
            </w:r>
          </w:p>
        </w:tc>
        <w:tc>
          <w:tcPr>
            <w:tcW w:w="425" w:type="pct"/>
          </w:tcPr>
          <w:p w:rsidR="00000000" w:rsidRDefault="00CA422F">
            <w:pPr>
              <w:spacing w:line="360" w:lineRule="exact"/>
              <w:jc w:val="right"/>
              <w:rPr>
                <w:rFonts w:hint="eastAsia"/>
                <w:sz w:val="18"/>
              </w:rPr>
            </w:pPr>
            <w:r>
              <w:rPr>
                <w:rFonts w:hint="eastAsia"/>
                <w:sz w:val="18"/>
              </w:rPr>
              <w:t>-15.2</w:t>
            </w:r>
          </w:p>
        </w:tc>
        <w:tc>
          <w:tcPr>
            <w:tcW w:w="423" w:type="pct"/>
          </w:tcPr>
          <w:p w:rsidR="00000000" w:rsidRDefault="00CA422F">
            <w:pPr>
              <w:spacing w:line="360" w:lineRule="exact"/>
              <w:jc w:val="right"/>
              <w:rPr>
                <w:rFonts w:hint="eastAsia"/>
                <w:sz w:val="18"/>
              </w:rPr>
            </w:pPr>
            <w:r>
              <w:rPr>
                <w:rFonts w:hint="eastAsia"/>
                <w:sz w:val="18"/>
              </w:rPr>
              <w:t>-16.4</w:t>
            </w:r>
          </w:p>
        </w:tc>
        <w:tc>
          <w:tcPr>
            <w:tcW w:w="423" w:type="pct"/>
          </w:tcPr>
          <w:p w:rsidR="00000000" w:rsidRDefault="00CA422F">
            <w:pPr>
              <w:spacing w:line="360" w:lineRule="exact"/>
              <w:jc w:val="right"/>
              <w:rPr>
                <w:rFonts w:hint="eastAsia"/>
                <w:sz w:val="18"/>
              </w:rPr>
            </w:pPr>
          </w:p>
        </w:tc>
        <w:tc>
          <w:tcPr>
            <w:tcW w:w="409" w:type="pct"/>
          </w:tcPr>
          <w:p w:rsidR="00000000" w:rsidRDefault="00CA422F">
            <w:pPr>
              <w:spacing w:line="360" w:lineRule="exact"/>
              <w:jc w:val="right"/>
              <w:rPr>
                <w:rFonts w:hint="eastAsia"/>
                <w:sz w:val="18"/>
              </w:rPr>
            </w:pPr>
            <w:r>
              <w:rPr>
                <w:rFonts w:hint="eastAsia"/>
                <w:sz w:val="18"/>
              </w:rPr>
              <w:t>-15.5</w:t>
            </w:r>
          </w:p>
        </w:tc>
      </w:tr>
      <w:tr w:rsidR="00000000">
        <w:tblPrEx>
          <w:tblCellMar>
            <w:top w:w="0" w:type="dxa"/>
            <w:bottom w:w="0" w:type="dxa"/>
          </w:tblCellMar>
        </w:tblPrEx>
        <w:tc>
          <w:tcPr>
            <w:tcW w:w="2047" w:type="pct"/>
            <w:tcBorders>
              <w:right w:val="nil"/>
            </w:tcBorders>
          </w:tcPr>
          <w:p w:rsidR="00000000" w:rsidRDefault="00CA422F">
            <w:pPr>
              <w:pStyle w:val="20"/>
              <w:spacing w:beforeLines="0" w:before="0" w:afterLines="0" w:after="0" w:line="360" w:lineRule="exact"/>
              <w:rPr>
                <w:rFonts w:ascii="Times New Roman" w:eastAsia="SimHei" w:hAnsi="Times New Roman" w:hint="eastAsia"/>
                <w:sz w:val="18"/>
                <w:lang w:val="en-US"/>
              </w:rPr>
            </w:pPr>
            <w:r>
              <w:rPr>
                <w:rFonts w:ascii="Times New Roman" w:eastAsia="SimHei" w:hAnsi="Times New Roman" w:hint="eastAsia"/>
                <w:sz w:val="18"/>
                <w:lang w:val="en-US"/>
              </w:rPr>
              <w:t>教育和培训</w:t>
            </w:r>
          </w:p>
        </w:tc>
        <w:tc>
          <w:tcPr>
            <w:tcW w:w="422" w:type="pct"/>
            <w:tcBorders>
              <w:left w:val="nil"/>
              <w:right w:val="nil"/>
            </w:tcBorders>
          </w:tcPr>
          <w:p w:rsidR="00000000" w:rsidRDefault="00CA422F">
            <w:pPr>
              <w:spacing w:line="360" w:lineRule="exact"/>
              <w:rPr>
                <w:rFonts w:hint="eastAsia"/>
                <w:sz w:val="18"/>
              </w:rPr>
            </w:pPr>
          </w:p>
        </w:tc>
        <w:tc>
          <w:tcPr>
            <w:tcW w:w="427" w:type="pct"/>
            <w:tcBorders>
              <w:left w:val="nil"/>
              <w:right w:val="nil"/>
            </w:tcBorders>
          </w:tcPr>
          <w:p w:rsidR="00000000" w:rsidRDefault="00CA422F">
            <w:pPr>
              <w:spacing w:line="360" w:lineRule="exact"/>
              <w:rPr>
                <w:rFonts w:hint="eastAsia"/>
                <w:sz w:val="18"/>
              </w:rPr>
            </w:pPr>
          </w:p>
        </w:tc>
        <w:tc>
          <w:tcPr>
            <w:tcW w:w="424" w:type="pct"/>
            <w:tcBorders>
              <w:left w:val="nil"/>
              <w:right w:val="nil"/>
            </w:tcBorders>
          </w:tcPr>
          <w:p w:rsidR="00000000" w:rsidRDefault="00CA422F">
            <w:pPr>
              <w:spacing w:line="360" w:lineRule="exact"/>
              <w:rPr>
                <w:rFonts w:hint="eastAsia"/>
                <w:sz w:val="18"/>
              </w:rPr>
            </w:pPr>
          </w:p>
        </w:tc>
        <w:tc>
          <w:tcPr>
            <w:tcW w:w="425"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09" w:type="pct"/>
            <w:tcBorders>
              <w:left w:val="nil"/>
            </w:tcBorders>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中等教育覆盖率的性别差</w:t>
            </w:r>
            <w:r>
              <w:rPr>
                <w:rFonts w:hint="eastAsia"/>
                <w:sz w:val="18"/>
                <w:vertAlign w:val="superscript"/>
              </w:rPr>
              <w:t>a/</w:t>
            </w:r>
          </w:p>
        </w:tc>
        <w:tc>
          <w:tcPr>
            <w:tcW w:w="422" w:type="pct"/>
          </w:tcPr>
          <w:p w:rsidR="00000000" w:rsidRDefault="00CA422F">
            <w:pPr>
              <w:spacing w:line="360" w:lineRule="exact"/>
              <w:rPr>
                <w:rFonts w:hint="eastAsia"/>
                <w:sz w:val="18"/>
              </w:rPr>
            </w:pPr>
          </w:p>
        </w:tc>
        <w:tc>
          <w:tcPr>
            <w:tcW w:w="427" w:type="pct"/>
          </w:tcPr>
          <w:p w:rsidR="00000000" w:rsidRDefault="00CA422F">
            <w:pPr>
              <w:spacing w:line="360" w:lineRule="exact"/>
              <w:rPr>
                <w:rFonts w:hint="eastAsia"/>
                <w:sz w:val="18"/>
              </w:rPr>
            </w:pPr>
          </w:p>
        </w:tc>
        <w:tc>
          <w:tcPr>
            <w:tcW w:w="424" w:type="pct"/>
          </w:tcPr>
          <w:p w:rsidR="00000000" w:rsidRDefault="00CA422F">
            <w:pPr>
              <w:spacing w:line="360" w:lineRule="exact"/>
              <w:rPr>
                <w:rFonts w:hint="eastAsia"/>
                <w:sz w:val="18"/>
              </w:rPr>
            </w:pPr>
          </w:p>
        </w:tc>
        <w:tc>
          <w:tcPr>
            <w:tcW w:w="425" w:type="pct"/>
          </w:tcPr>
          <w:p w:rsidR="00000000" w:rsidRDefault="00CA422F">
            <w:pPr>
              <w:spacing w:line="360" w:lineRule="exact"/>
              <w:jc w:val="right"/>
              <w:rPr>
                <w:rFonts w:hint="eastAsia"/>
                <w:sz w:val="18"/>
              </w:rPr>
            </w:pPr>
            <w:r>
              <w:rPr>
                <w:rFonts w:hint="eastAsia"/>
                <w:sz w:val="18"/>
              </w:rPr>
              <w:t>4.6</w:t>
            </w:r>
          </w:p>
        </w:tc>
        <w:tc>
          <w:tcPr>
            <w:tcW w:w="423" w:type="pct"/>
            <w:tcBorders>
              <w:right w:val="single" w:sz="4" w:space="0" w:color="auto"/>
            </w:tcBorders>
          </w:tcPr>
          <w:p w:rsidR="00000000" w:rsidRDefault="00CA422F">
            <w:pPr>
              <w:spacing w:line="360" w:lineRule="exact"/>
              <w:jc w:val="right"/>
              <w:rPr>
                <w:rFonts w:hint="eastAsia"/>
                <w:sz w:val="18"/>
              </w:rPr>
            </w:pPr>
            <w:r>
              <w:rPr>
                <w:rFonts w:hint="eastAsia"/>
                <w:sz w:val="18"/>
              </w:rPr>
              <w:t>4.9</w:t>
            </w:r>
          </w:p>
        </w:tc>
        <w:tc>
          <w:tcPr>
            <w:tcW w:w="423" w:type="pct"/>
            <w:tcBorders>
              <w:left w:val="single" w:sz="4" w:space="0" w:color="auto"/>
            </w:tcBorders>
          </w:tcPr>
          <w:p w:rsidR="00000000" w:rsidRDefault="00CA422F">
            <w:pPr>
              <w:spacing w:line="360" w:lineRule="exact"/>
              <w:jc w:val="right"/>
              <w:rPr>
                <w:rFonts w:hint="eastAsia"/>
                <w:sz w:val="18"/>
              </w:rPr>
            </w:pPr>
            <w:r>
              <w:rPr>
                <w:rFonts w:hint="eastAsia"/>
                <w:sz w:val="18"/>
              </w:rPr>
              <w:t>4.9</w:t>
            </w:r>
          </w:p>
        </w:tc>
        <w:tc>
          <w:tcPr>
            <w:tcW w:w="409" w:type="pct"/>
          </w:tcPr>
          <w:p w:rsidR="00000000" w:rsidRDefault="00CA422F">
            <w:pPr>
              <w:spacing w:line="360" w:lineRule="exact"/>
              <w:rPr>
                <w:rFonts w:hint="eastAsia"/>
                <w:sz w:val="18"/>
              </w:rPr>
            </w:pPr>
          </w:p>
        </w:tc>
      </w:tr>
      <w:tr w:rsidR="00000000">
        <w:tblPrEx>
          <w:tblCellMar>
            <w:top w:w="0" w:type="dxa"/>
            <w:bottom w:w="0" w:type="dxa"/>
          </w:tblCellMar>
        </w:tblPrEx>
        <w:trPr>
          <w:cantSplit/>
        </w:trPr>
        <w:tc>
          <w:tcPr>
            <w:tcW w:w="2896" w:type="pct"/>
            <w:gridSpan w:val="3"/>
            <w:tcBorders>
              <w:right w:val="nil"/>
            </w:tcBorders>
          </w:tcPr>
          <w:p w:rsidR="00000000" w:rsidRDefault="00CA422F">
            <w:pPr>
              <w:spacing w:line="360" w:lineRule="exact"/>
              <w:rPr>
                <w:rFonts w:ascii="KaiTi_GB2312" w:eastAsia="KaiTi_GB2312" w:hint="eastAsia"/>
                <w:sz w:val="18"/>
              </w:rPr>
            </w:pPr>
            <w:r>
              <w:rPr>
                <w:rFonts w:ascii="KaiTi_GB2312" w:eastAsia="KaiTi_GB2312" w:hint="eastAsia"/>
                <w:sz w:val="18"/>
              </w:rPr>
              <w:t>12</w:t>
            </w:r>
            <w:r>
              <w:rPr>
                <w:rFonts w:ascii="KaiTi_GB2312" w:eastAsia="KaiTi_GB2312" w:hint="eastAsia"/>
                <w:sz w:val="18"/>
              </w:rPr>
              <w:t>岁或</w:t>
            </w:r>
            <w:r>
              <w:rPr>
                <w:rFonts w:ascii="KaiTi_GB2312" w:eastAsia="KaiTi_GB2312" w:hint="eastAsia"/>
                <w:sz w:val="18"/>
              </w:rPr>
              <w:t>12</w:t>
            </w:r>
            <w:r>
              <w:rPr>
                <w:rFonts w:ascii="KaiTi_GB2312" w:eastAsia="KaiTi_GB2312" w:hint="eastAsia"/>
                <w:sz w:val="18"/>
              </w:rPr>
              <w:t>岁以上的人口平均入学率的性别差</w:t>
            </w:r>
            <w:r>
              <w:rPr>
                <w:rFonts w:ascii="KaiTi_GB2312" w:eastAsia="KaiTi_GB2312" w:hint="eastAsia"/>
                <w:sz w:val="18"/>
                <w:vertAlign w:val="superscript"/>
              </w:rPr>
              <w:t>b/</w:t>
            </w:r>
          </w:p>
        </w:tc>
        <w:tc>
          <w:tcPr>
            <w:tcW w:w="424" w:type="pct"/>
            <w:tcBorders>
              <w:left w:val="nil"/>
              <w:right w:val="nil"/>
            </w:tcBorders>
          </w:tcPr>
          <w:p w:rsidR="00000000" w:rsidRDefault="00CA422F">
            <w:pPr>
              <w:spacing w:line="360" w:lineRule="exact"/>
              <w:rPr>
                <w:rFonts w:ascii="KaiTi_GB2312" w:eastAsia="KaiTi_GB2312" w:hint="eastAsia"/>
                <w:sz w:val="18"/>
              </w:rPr>
            </w:pPr>
          </w:p>
        </w:tc>
        <w:tc>
          <w:tcPr>
            <w:tcW w:w="425" w:type="pct"/>
            <w:tcBorders>
              <w:left w:val="nil"/>
              <w:right w:val="nil"/>
            </w:tcBorders>
          </w:tcPr>
          <w:p w:rsidR="00000000" w:rsidRDefault="00CA422F">
            <w:pPr>
              <w:spacing w:line="360" w:lineRule="exact"/>
              <w:rPr>
                <w:rFonts w:ascii="KaiTi_GB2312" w:eastAsia="KaiTi_GB2312" w:hint="eastAsia"/>
                <w:sz w:val="18"/>
              </w:rPr>
            </w:pPr>
          </w:p>
        </w:tc>
        <w:tc>
          <w:tcPr>
            <w:tcW w:w="423" w:type="pct"/>
            <w:tcBorders>
              <w:left w:val="nil"/>
              <w:right w:val="nil"/>
            </w:tcBorders>
          </w:tcPr>
          <w:p w:rsidR="00000000" w:rsidRDefault="00CA422F">
            <w:pPr>
              <w:spacing w:line="360" w:lineRule="exact"/>
              <w:rPr>
                <w:rFonts w:ascii="KaiTi_GB2312" w:eastAsia="KaiTi_GB2312" w:hint="eastAsia"/>
                <w:sz w:val="18"/>
              </w:rPr>
            </w:pPr>
          </w:p>
        </w:tc>
        <w:tc>
          <w:tcPr>
            <w:tcW w:w="423" w:type="pct"/>
            <w:tcBorders>
              <w:left w:val="nil"/>
              <w:right w:val="nil"/>
            </w:tcBorders>
          </w:tcPr>
          <w:p w:rsidR="00000000" w:rsidRDefault="00CA422F">
            <w:pPr>
              <w:spacing w:line="360" w:lineRule="exact"/>
              <w:rPr>
                <w:rFonts w:ascii="KaiTi_GB2312" w:eastAsia="KaiTi_GB2312" w:hint="eastAsia"/>
                <w:sz w:val="18"/>
              </w:rPr>
            </w:pPr>
          </w:p>
        </w:tc>
        <w:tc>
          <w:tcPr>
            <w:tcW w:w="409" w:type="pct"/>
            <w:tcBorders>
              <w:left w:val="nil"/>
            </w:tcBorders>
          </w:tcPr>
          <w:p w:rsidR="00000000" w:rsidRDefault="00CA422F">
            <w:pPr>
              <w:spacing w:line="360" w:lineRule="exact"/>
              <w:rPr>
                <w:rFonts w:ascii="KaiTi_GB2312" w:eastAsia="KaiTi_GB2312"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12</w:t>
            </w:r>
            <w:r>
              <w:rPr>
                <w:rFonts w:hint="eastAsia"/>
                <w:sz w:val="18"/>
              </w:rPr>
              <w:t>岁至</w:t>
            </w:r>
            <w:r>
              <w:rPr>
                <w:rFonts w:hint="eastAsia"/>
                <w:sz w:val="18"/>
              </w:rPr>
              <w:t>17</w:t>
            </w:r>
            <w:r>
              <w:rPr>
                <w:rFonts w:hint="eastAsia"/>
                <w:sz w:val="18"/>
              </w:rPr>
              <w:t>岁</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101.7</w:t>
            </w:r>
          </w:p>
        </w:tc>
        <w:tc>
          <w:tcPr>
            <w:tcW w:w="423" w:type="pct"/>
          </w:tcPr>
          <w:p w:rsidR="00000000" w:rsidRDefault="00CA422F">
            <w:pPr>
              <w:spacing w:line="360" w:lineRule="exact"/>
              <w:jc w:val="right"/>
              <w:rPr>
                <w:rFonts w:hint="eastAsia"/>
                <w:sz w:val="18"/>
              </w:rPr>
            </w:pPr>
            <w:r>
              <w:rPr>
                <w:rFonts w:hint="eastAsia"/>
                <w:sz w:val="18"/>
              </w:rPr>
              <w:t>104.1</w:t>
            </w:r>
          </w:p>
        </w:tc>
        <w:tc>
          <w:tcPr>
            <w:tcW w:w="409" w:type="pct"/>
          </w:tcPr>
          <w:p w:rsidR="00000000" w:rsidRDefault="00CA422F">
            <w:pPr>
              <w:spacing w:line="360" w:lineRule="exact"/>
              <w:jc w:val="right"/>
              <w:rPr>
                <w:rFonts w:hint="eastAsia"/>
                <w:sz w:val="18"/>
              </w:rPr>
            </w:pPr>
            <w:r>
              <w:rPr>
                <w:rFonts w:hint="eastAsia"/>
                <w:sz w:val="18"/>
              </w:rPr>
              <w:t>104.1</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18</w:t>
            </w:r>
            <w:r>
              <w:rPr>
                <w:rFonts w:hint="eastAsia"/>
                <w:sz w:val="18"/>
              </w:rPr>
              <w:t>岁至</w:t>
            </w:r>
            <w:r>
              <w:rPr>
                <w:rFonts w:hint="eastAsia"/>
                <w:sz w:val="18"/>
              </w:rPr>
              <w:t>29</w:t>
            </w:r>
            <w:r>
              <w:rPr>
                <w:rFonts w:hint="eastAsia"/>
                <w:sz w:val="18"/>
              </w:rPr>
              <w:t>岁</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106.2</w:t>
            </w:r>
          </w:p>
        </w:tc>
        <w:tc>
          <w:tcPr>
            <w:tcW w:w="423" w:type="pct"/>
          </w:tcPr>
          <w:p w:rsidR="00000000" w:rsidRDefault="00CA422F">
            <w:pPr>
              <w:spacing w:line="360" w:lineRule="exact"/>
              <w:jc w:val="right"/>
              <w:rPr>
                <w:rFonts w:hint="eastAsia"/>
                <w:sz w:val="18"/>
              </w:rPr>
            </w:pPr>
            <w:r>
              <w:rPr>
                <w:rFonts w:hint="eastAsia"/>
                <w:sz w:val="18"/>
              </w:rPr>
              <w:t>104.9</w:t>
            </w:r>
          </w:p>
        </w:tc>
        <w:tc>
          <w:tcPr>
            <w:tcW w:w="409" w:type="pct"/>
          </w:tcPr>
          <w:p w:rsidR="00000000" w:rsidRDefault="00CA422F">
            <w:pPr>
              <w:spacing w:line="360" w:lineRule="exact"/>
              <w:jc w:val="right"/>
              <w:rPr>
                <w:rFonts w:hint="eastAsia"/>
                <w:sz w:val="18"/>
              </w:rPr>
            </w:pPr>
            <w:r>
              <w:rPr>
                <w:rFonts w:hint="eastAsia"/>
                <w:sz w:val="18"/>
              </w:rPr>
              <w:t>105.9</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30</w:t>
            </w:r>
            <w:r>
              <w:rPr>
                <w:rFonts w:hint="eastAsia"/>
                <w:sz w:val="18"/>
              </w:rPr>
              <w:t>岁至</w:t>
            </w:r>
            <w:r>
              <w:rPr>
                <w:rFonts w:hint="eastAsia"/>
                <w:sz w:val="18"/>
              </w:rPr>
              <w:t>49</w:t>
            </w:r>
            <w:r>
              <w:rPr>
                <w:rFonts w:hint="eastAsia"/>
                <w:sz w:val="18"/>
              </w:rPr>
              <w:t>岁</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90.7</w:t>
            </w:r>
          </w:p>
        </w:tc>
        <w:tc>
          <w:tcPr>
            <w:tcW w:w="423" w:type="pct"/>
          </w:tcPr>
          <w:p w:rsidR="00000000" w:rsidRDefault="00CA422F">
            <w:pPr>
              <w:spacing w:line="360" w:lineRule="exact"/>
              <w:jc w:val="right"/>
              <w:rPr>
                <w:rFonts w:hint="eastAsia"/>
                <w:sz w:val="18"/>
              </w:rPr>
            </w:pPr>
            <w:r>
              <w:rPr>
                <w:rFonts w:hint="eastAsia"/>
                <w:sz w:val="18"/>
              </w:rPr>
              <w:t>99.3</w:t>
            </w:r>
          </w:p>
        </w:tc>
        <w:tc>
          <w:tcPr>
            <w:tcW w:w="409" w:type="pct"/>
          </w:tcPr>
          <w:p w:rsidR="00000000" w:rsidRDefault="00CA422F">
            <w:pPr>
              <w:spacing w:line="360" w:lineRule="exact"/>
              <w:jc w:val="right"/>
              <w:rPr>
                <w:rFonts w:hint="eastAsia"/>
                <w:sz w:val="18"/>
              </w:rPr>
            </w:pPr>
            <w:r>
              <w:rPr>
                <w:rFonts w:hint="eastAsia"/>
                <w:sz w:val="18"/>
              </w:rPr>
              <w:t>100.1</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50</w:t>
            </w:r>
            <w:r>
              <w:rPr>
                <w:rFonts w:hint="eastAsia"/>
                <w:sz w:val="18"/>
              </w:rPr>
              <w:t>岁和</w:t>
            </w:r>
            <w:r>
              <w:rPr>
                <w:rFonts w:hint="eastAsia"/>
                <w:sz w:val="18"/>
              </w:rPr>
              <w:t>50</w:t>
            </w:r>
            <w:r>
              <w:rPr>
                <w:rFonts w:hint="eastAsia"/>
                <w:sz w:val="18"/>
              </w:rPr>
              <w:t>岁以上</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87.2</w:t>
            </w:r>
          </w:p>
        </w:tc>
        <w:tc>
          <w:tcPr>
            <w:tcW w:w="423" w:type="pct"/>
          </w:tcPr>
          <w:p w:rsidR="00000000" w:rsidRDefault="00CA422F">
            <w:pPr>
              <w:spacing w:line="360" w:lineRule="exact"/>
              <w:jc w:val="right"/>
              <w:rPr>
                <w:rFonts w:hint="eastAsia"/>
                <w:sz w:val="18"/>
              </w:rPr>
            </w:pPr>
            <w:r>
              <w:rPr>
                <w:rFonts w:hint="eastAsia"/>
                <w:sz w:val="18"/>
              </w:rPr>
              <w:t>94.0</w:t>
            </w:r>
          </w:p>
        </w:tc>
        <w:tc>
          <w:tcPr>
            <w:tcW w:w="409" w:type="pct"/>
          </w:tcPr>
          <w:p w:rsidR="00000000" w:rsidRDefault="00CA422F">
            <w:pPr>
              <w:spacing w:line="360" w:lineRule="exact"/>
              <w:jc w:val="right"/>
              <w:rPr>
                <w:rFonts w:hint="eastAsia"/>
                <w:sz w:val="18"/>
              </w:rPr>
            </w:pPr>
            <w:r>
              <w:rPr>
                <w:rFonts w:hint="eastAsia"/>
                <w:sz w:val="18"/>
              </w:rPr>
              <w:t>93.2</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大学毕业生的性别分割指数</w:t>
            </w:r>
            <w:r>
              <w:rPr>
                <w:rFonts w:hint="eastAsia"/>
                <w:sz w:val="18"/>
                <w:vertAlign w:val="superscript"/>
              </w:rPr>
              <w:t>d/</w:t>
            </w:r>
          </w:p>
        </w:tc>
        <w:tc>
          <w:tcPr>
            <w:tcW w:w="422" w:type="pct"/>
          </w:tcPr>
          <w:p w:rsidR="00000000" w:rsidRDefault="00CA422F">
            <w:pPr>
              <w:spacing w:line="360" w:lineRule="exact"/>
              <w:jc w:val="right"/>
              <w:rPr>
                <w:rFonts w:hint="eastAsia"/>
                <w:sz w:val="18"/>
              </w:rPr>
            </w:pPr>
            <w:r>
              <w:rPr>
                <w:rFonts w:hint="eastAsia"/>
                <w:sz w:val="18"/>
              </w:rPr>
              <w:t>16.2</w:t>
            </w:r>
          </w:p>
        </w:tc>
        <w:tc>
          <w:tcPr>
            <w:tcW w:w="427" w:type="pct"/>
          </w:tcPr>
          <w:p w:rsidR="00000000" w:rsidRDefault="00CA422F">
            <w:pPr>
              <w:spacing w:line="360" w:lineRule="exact"/>
              <w:jc w:val="right"/>
              <w:rPr>
                <w:rFonts w:hint="eastAsia"/>
                <w:sz w:val="18"/>
              </w:rPr>
            </w:pPr>
            <w:r>
              <w:rPr>
                <w:rFonts w:hint="eastAsia"/>
                <w:sz w:val="18"/>
              </w:rPr>
              <w:t>16.7</w:t>
            </w:r>
          </w:p>
        </w:tc>
        <w:tc>
          <w:tcPr>
            <w:tcW w:w="424" w:type="pct"/>
          </w:tcPr>
          <w:p w:rsidR="00000000" w:rsidRDefault="00CA422F">
            <w:pPr>
              <w:spacing w:line="360" w:lineRule="exact"/>
              <w:jc w:val="right"/>
              <w:rPr>
                <w:rFonts w:hint="eastAsia"/>
                <w:sz w:val="18"/>
              </w:rPr>
            </w:pPr>
            <w:r>
              <w:rPr>
                <w:rFonts w:hint="eastAsia"/>
                <w:sz w:val="18"/>
              </w:rPr>
              <w:t>15.6</w:t>
            </w:r>
          </w:p>
        </w:tc>
        <w:tc>
          <w:tcPr>
            <w:tcW w:w="425" w:type="pct"/>
          </w:tcPr>
          <w:p w:rsidR="00000000" w:rsidRDefault="00CA422F">
            <w:pPr>
              <w:spacing w:line="360" w:lineRule="exact"/>
              <w:jc w:val="right"/>
              <w:rPr>
                <w:rFonts w:hint="eastAsia"/>
                <w:sz w:val="18"/>
              </w:rPr>
            </w:pPr>
            <w:r>
              <w:rPr>
                <w:rFonts w:hint="eastAsia"/>
                <w:sz w:val="18"/>
              </w:rPr>
              <w:t>15.7</w:t>
            </w:r>
          </w:p>
        </w:tc>
        <w:tc>
          <w:tcPr>
            <w:tcW w:w="423" w:type="pct"/>
          </w:tcPr>
          <w:p w:rsidR="00000000" w:rsidRDefault="00CA422F">
            <w:pPr>
              <w:spacing w:line="360" w:lineRule="exact"/>
              <w:jc w:val="right"/>
              <w:rPr>
                <w:rFonts w:hint="eastAsia"/>
                <w:sz w:val="18"/>
              </w:rPr>
            </w:pPr>
            <w:r>
              <w:rPr>
                <w:rFonts w:hint="eastAsia"/>
                <w:sz w:val="18"/>
              </w:rPr>
              <w:t>15.3</w:t>
            </w:r>
          </w:p>
        </w:tc>
        <w:tc>
          <w:tcPr>
            <w:tcW w:w="423" w:type="pct"/>
          </w:tcPr>
          <w:p w:rsidR="00000000" w:rsidRDefault="00CA422F">
            <w:pPr>
              <w:spacing w:line="360" w:lineRule="exact"/>
              <w:jc w:val="right"/>
              <w:rPr>
                <w:rFonts w:hint="eastAsia"/>
                <w:sz w:val="18"/>
              </w:rPr>
            </w:pPr>
            <w:r>
              <w:rPr>
                <w:rFonts w:hint="eastAsia"/>
                <w:sz w:val="18"/>
              </w:rPr>
              <w:t>14.5</w:t>
            </w:r>
          </w:p>
        </w:tc>
        <w:tc>
          <w:tcPr>
            <w:tcW w:w="409" w:type="pct"/>
          </w:tcPr>
          <w:p w:rsidR="00000000" w:rsidRDefault="00CA422F">
            <w:pPr>
              <w:spacing w:line="360" w:lineRule="exact"/>
              <w:jc w:val="right"/>
              <w:rPr>
                <w:rFonts w:hint="eastAsia"/>
                <w:sz w:val="18"/>
              </w:rPr>
            </w:pPr>
            <w:r>
              <w:rPr>
                <w:rFonts w:hint="eastAsia"/>
                <w:sz w:val="18"/>
              </w:rPr>
              <w:t>15.5</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国家职业学院培训活动的性别分割指标</w:t>
            </w:r>
            <w:r>
              <w:rPr>
                <w:rFonts w:hint="eastAsia"/>
                <w:sz w:val="18"/>
                <w:vertAlign w:val="superscript"/>
              </w:rPr>
              <w:t>d/</w:t>
            </w:r>
          </w:p>
        </w:tc>
        <w:tc>
          <w:tcPr>
            <w:tcW w:w="422" w:type="pct"/>
          </w:tcPr>
          <w:p w:rsidR="00000000" w:rsidRDefault="00CA422F">
            <w:pPr>
              <w:spacing w:line="360" w:lineRule="exact"/>
              <w:jc w:val="right"/>
              <w:rPr>
                <w:rFonts w:hint="eastAsia"/>
                <w:sz w:val="18"/>
              </w:rPr>
            </w:pPr>
            <w:r>
              <w:rPr>
                <w:rFonts w:hint="eastAsia"/>
                <w:sz w:val="18"/>
              </w:rPr>
              <w:t>29.20</w:t>
            </w:r>
          </w:p>
        </w:tc>
        <w:tc>
          <w:tcPr>
            <w:tcW w:w="427" w:type="pct"/>
          </w:tcPr>
          <w:p w:rsidR="00000000" w:rsidRDefault="00CA422F">
            <w:pPr>
              <w:spacing w:line="360" w:lineRule="exact"/>
              <w:jc w:val="right"/>
              <w:rPr>
                <w:rFonts w:hint="eastAsia"/>
                <w:sz w:val="18"/>
              </w:rPr>
            </w:pPr>
            <w:r>
              <w:rPr>
                <w:rFonts w:hint="eastAsia"/>
                <w:sz w:val="18"/>
              </w:rPr>
              <w:t>20.00</w:t>
            </w:r>
          </w:p>
        </w:tc>
        <w:tc>
          <w:tcPr>
            <w:tcW w:w="424" w:type="pct"/>
          </w:tcPr>
          <w:p w:rsidR="00000000" w:rsidRDefault="00CA422F">
            <w:pPr>
              <w:spacing w:line="360" w:lineRule="exact"/>
              <w:jc w:val="right"/>
              <w:rPr>
                <w:rFonts w:hint="eastAsia"/>
                <w:sz w:val="18"/>
              </w:rPr>
            </w:pPr>
            <w:r>
              <w:rPr>
                <w:rFonts w:hint="eastAsia"/>
                <w:sz w:val="18"/>
              </w:rPr>
              <w:t>20.50</w:t>
            </w:r>
          </w:p>
        </w:tc>
        <w:tc>
          <w:tcPr>
            <w:tcW w:w="425" w:type="pct"/>
          </w:tcPr>
          <w:p w:rsidR="00000000" w:rsidRDefault="00CA422F">
            <w:pPr>
              <w:spacing w:line="360" w:lineRule="exact"/>
              <w:jc w:val="right"/>
              <w:rPr>
                <w:rFonts w:hint="eastAsia"/>
                <w:sz w:val="18"/>
              </w:rPr>
            </w:pPr>
            <w:r>
              <w:rPr>
                <w:rFonts w:hint="eastAsia"/>
                <w:sz w:val="18"/>
              </w:rPr>
              <w:t>20.90</w:t>
            </w:r>
          </w:p>
        </w:tc>
        <w:tc>
          <w:tcPr>
            <w:tcW w:w="423" w:type="pct"/>
          </w:tcPr>
          <w:p w:rsidR="00000000" w:rsidRDefault="00CA422F">
            <w:pPr>
              <w:spacing w:line="360" w:lineRule="exact"/>
              <w:jc w:val="right"/>
              <w:rPr>
                <w:rFonts w:hint="eastAsia"/>
                <w:sz w:val="18"/>
              </w:rPr>
            </w:pPr>
            <w:r>
              <w:rPr>
                <w:rFonts w:hint="eastAsia"/>
                <w:sz w:val="18"/>
              </w:rPr>
              <w:t>21.60</w:t>
            </w:r>
          </w:p>
        </w:tc>
        <w:tc>
          <w:tcPr>
            <w:tcW w:w="423" w:type="pct"/>
          </w:tcPr>
          <w:p w:rsidR="00000000" w:rsidRDefault="00CA422F">
            <w:pPr>
              <w:spacing w:line="360" w:lineRule="exact"/>
              <w:jc w:val="right"/>
              <w:rPr>
                <w:rFonts w:hint="eastAsia"/>
                <w:sz w:val="18"/>
              </w:rPr>
            </w:pPr>
            <w:r>
              <w:rPr>
                <w:rFonts w:hint="eastAsia"/>
                <w:sz w:val="18"/>
              </w:rPr>
              <w:t>21.00</w:t>
            </w:r>
          </w:p>
        </w:tc>
        <w:tc>
          <w:tcPr>
            <w:tcW w:w="409" w:type="pct"/>
          </w:tcPr>
          <w:p w:rsidR="00000000" w:rsidRDefault="00CA422F">
            <w:pPr>
              <w:spacing w:line="360" w:lineRule="exact"/>
              <w:jc w:val="right"/>
              <w:rPr>
                <w:rFonts w:hint="eastAsia"/>
                <w:sz w:val="18"/>
              </w:rPr>
            </w:pPr>
          </w:p>
        </w:tc>
      </w:tr>
      <w:tr w:rsidR="00000000">
        <w:tblPrEx>
          <w:tblCellMar>
            <w:top w:w="0" w:type="dxa"/>
            <w:bottom w:w="0" w:type="dxa"/>
          </w:tblCellMar>
        </w:tblPrEx>
        <w:tc>
          <w:tcPr>
            <w:tcW w:w="2047" w:type="pct"/>
            <w:tcBorders>
              <w:right w:val="nil"/>
            </w:tcBorders>
          </w:tcPr>
          <w:p w:rsidR="00000000" w:rsidRDefault="00CA422F">
            <w:pPr>
              <w:pStyle w:val="20"/>
              <w:spacing w:beforeLines="0" w:before="0" w:afterLines="0" w:after="0" w:line="360" w:lineRule="exact"/>
              <w:rPr>
                <w:rFonts w:ascii="Times New Roman" w:eastAsia="SimHei" w:hAnsi="Times New Roman" w:hint="eastAsia"/>
                <w:sz w:val="18"/>
                <w:lang w:val="en-US"/>
              </w:rPr>
            </w:pPr>
            <w:r>
              <w:rPr>
                <w:rFonts w:ascii="Times New Roman" w:eastAsia="SimHei" w:hAnsi="Times New Roman" w:hint="eastAsia"/>
                <w:sz w:val="18"/>
                <w:lang w:val="en-US"/>
              </w:rPr>
              <w:t>保健</w:t>
            </w:r>
          </w:p>
        </w:tc>
        <w:tc>
          <w:tcPr>
            <w:tcW w:w="422" w:type="pct"/>
            <w:tcBorders>
              <w:left w:val="nil"/>
              <w:right w:val="nil"/>
            </w:tcBorders>
          </w:tcPr>
          <w:p w:rsidR="00000000" w:rsidRDefault="00CA422F">
            <w:pPr>
              <w:spacing w:line="360" w:lineRule="exact"/>
              <w:rPr>
                <w:rFonts w:hint="eastAsia"/>
                <w:sz w:val="18"/>
              </w:rPr>
            </w:pPr>
          </w:p>
        </w:tc>
        <w:tc>
          <w:tcPr>
            <w:tcW w:w="427" w:type="pct"/>
            <w:tcBorders>
              <w:left w:val="nil"/>
              <w:right w:val="nil"/>
            </w:tcBorders>
          </w:tcPr>
          <w:p w:rsidR="00000000" w:rsidRDefault="00CA422F">
            <w:pPr>
              <w:spacing w:line="360" w:lineRule="exact"/>
              <w:rPr>
                <w:rFonts w:hint="eastAsia"/>
                <w:sz w:val="18"/>
              </w:rPr>
            </w:pPr>
          </w:p>
        </w:tc>
        <w:tc>
          <w:tcPr>
            <w:tcW w:w="424" w:type="pct"/>
            <w:tcBorders>
              <w:left w:val="nil"/>
              <w:right w:val="nil"/>
            </w:tcBorders>
          </w:tcPr>
          <w:p w:rsidR="00000000" w:rsidRDefault="00CA422F">
            <w:pPr>
              <w:spacing w:line="360" w:lineRule="exact"/>
              <w:rPr>
                <w:rFonts w:hint="eastAsia"/>
                <w:sz w:val="18"/>
              </w:rPr>
            </w:pPr>
          </w:p>
        </w:tc>
        <w:tc>
          <w:tcPr>
            <w:tcW w:w="425"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09" w:type="pct"/>
            <w:tcBorders>
              <w:left w:val="nil"/>
            </w:tcBorders>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预期寿命的性别差</w:t>
            </w:r>
            <w:r>
              <w:rPr>
                <w:rFonts w:hint="eastAsia"/>
                <w:sz w:val="18"/>
                <w:vertAlign w:val="superscript"/>
              </w:rPr>
              <w:t>b/</w:t>
            </w:r>
          </w:p>
        </w:tc>
        <w:tc>
          <w:tcPr>
            <w:tcW w:w="422" w:type="pct"/>
          </w:tcPr>
          <w:p w:rsidR="00000000" w:rsidRDefault="00CA422F">
            <w:pPr>
              <w:spacing w:line="360" w:lineRule="exact"/>
              <w:jc w:val="right"/>
              <w:rPr>
                <w:rFonts w:hint="eastAsia"/>
                <w:sz w:val="18"/>
              </w:rPr>
            </w:pPr>
            <w:r>
              <w:rPr>
                <w:rFonts w:hint="eastAsia"/>
                <w:sz w:val="18"/>
              </w:rPr>
              <w:t>4.9</w:t>
            </w:r>
          </w:p>
        </w:tc>
        <w:tc>
          <w:tcPr>
            <w:tcW w:w="427" w:type="pct"/>
          </w:tcPr>
          <w:p w:rsidR="00000000" w:rsidRDefault="00CA422F">
            <w:pPr>
              <w:spacing w:line="360" w:lineRule="exact"/>
              <w:jc w:val="right"/>
              <w:rPr>
                <w:rFonts w:hint="eastAsia"/>
                <w:sz w:val="18"/>
              </w:rPr>
            </w:pPr>
            <w:r>
              <w:rPr>
                <w:rFonts w:hint="eastAsia"/>
                <w:sz w:val="18"/>
              </w:rPr>
              <w:t>5.2</w:t>
            </w:r>
          </w:p>
        </w:tc>
        <w:tc>
          <w:tcPr>
            <w:tcW w:w="424" w:type="pct"/>
          </w:tcPr>
          <w:p w:rsidR="00000000" w:rsidRDefault="00CA422F">
            <w:pPr>
              <w:spacing w:line="360" w:lineRule="exact"/>
              <w:jc w:val="right"/>
              <w:rPr>
                <w:rFonts w:hint="eastAsia"/>
                <w:sz w:val="18"/>
              </w:rPr>
            </w:pPr>
            <w:r>
              <w:rPr>
                <w:rFonts w:hint="eastAsia"/>
                <w:sz w:val="18"/>
              </w:rPr>
              <w:t>5.0</w:t>
            </w:r>
          </w:p>
        </w:tc>
        <w:tc>
          <w:tcPr>
            <w:tcW w:w="425" w:type="pct"/>
          </w:tcPr>
          <w:p w:rsidR="00000000" w:rsidRDefault="00CA422F">
            <w:pPr>
              <w:spacing w:line="360" w:lineRule="exact"/>
              <w:jc w:val="right"/>
              <w:rPr>
                <w:rFonts w:hint="eastAsia"/>
                <w:sz w:val="18"/>
              </w:rPr>
            </w:pPr>
            <w:r>
              <w:rPr>
                <w:rFonts w:hint="eastAsia"/>
                <w:sz w:val="18"/>
              </w:rPr>
              <w:t>5</w:t>
            </w:r>
            <w:r>
              <w:rPr>
                <w:rFonts w:hint="eastAsia"/>
                <w:sz w:val="18"/>
              </w:rPr>
              <w:t>.6</w:t>
            </w:r>
          </w:p>
        </w:tc>
        <w:tc>
          <w:tcPr>
            <w:tcW w:w="423" w:type="pct"/>
          </w:tcPr>
          <w:p w:rsidR="00000000" w:rsidRDefault="00CA422F">
            <w:pPr>
              <w:spacing w:line="360" w:lineRule="exact"/>
              <w:jc w:val="right"/>
              <w:rPr>
                <w:rFonts w:hint="eastAsia"/>
                <w:sz w:val="18"/>
              </w:rPr>
            </w:pPr>
            <w:r>
              <w:rPr>
                <w:rFonts w:hint="eastAsia"/>
                <w:sz w:val="18"/>
              </w:rPr>
              <w:t>5.1</w:t>
            </w:r>
          </w:p>
        </w:tc>
        <w:tc>
          <w:tcPr>
            <w:tcW w:w="423" w:type="pct"/>
          </w:tcPr>
          <w:p w:rsidR="00000000" w:rsidRDefault="00CA422F">
            <w:pPr>
              <w:spacing w:line="360" w:lineRule="exact"/>
              <w:jc w:val="right"/>
              <w:rPr>
                <w:rFonts w:hint="eastAsia"/>
                <w:sz w:val="18"/>
              </w:rPr>
            </w:pPr>
            <w:r>
              <w:rPr>
                <w:rFonts w:hint="eastAsia"/>
                <w:sz w:val="18"/>
              </w:rPr>
              <w:t>5.7</w:t>
            </w:r>
          </w:p>
        </w:tc>
        <w:tc>
          <w:tcPr>
            <w:tcW w:w="409" w:type="pct"/>
          </w:tcPr>
          <w:p w:rsidR="00000000" w:rsidRDefault="00CA422F">
            <w:pPr>
              <w:spacing w:line="360" w:lineRule="exact"/>
              <w:jc w:val="right"/>
              <w:rPr>
                <w:rFonts w:hint="eastAsia"/>
                <w:sz w:val="18"/>
              </w:rPr>
            </w:pPr>
            <w:r>
              <w:rPr>
                <w:rFonts w:hint="eastAsia"/>
                <w:sz w:val="18"/>
              </w:rPr>
              <w:t>5</w:t>
            </w:r>
            <w:r>
              <w:rPr>
                <w:sz w:val="18"/>
              </w:rPr>
              <w:t>.5</w:t>
            </w:r>
          </w:p>
        </w:tc>
      </w:tr>
      <w:tr w:rsidR="00000000">
        <w:tblPrEx>
          <w:tblCellMar>
            <w:top w:w="0" w:type="dxa"/>
            <w:bottom w:w="0" w:type="dxa"/>
          </w:tblCellMar>
        </w:tblPrEx>
        <w:trPr>
          <w:cantSplit/>
        </w:trPr>
        <w:tc>
          <w:tcPr>
            <w:tcW w:w="5000" w:type="pct"/>
            <w:gridSpan w:val="8"/>
          </w:tcPr>
          <w:p w:rsidR="00000000" w:rsidRDefault="00CA422F">
            <w:pPr>
              <w:spacing w:line="360" w:lineRule="exact"/>
              <w:rPr>
                <w:rFonts w:ascii="KaiTi_GB2312" w:eastAsia="KaiTi_GB2312" w:hint="eastAsia"/>
                <w:sz w:val="18"/>
              </w:rPr>
            </w:pPr>
            <w:r>
              <w:rPr>
                <w:rFonts w:ascii="KaiTi_GB2312" w:eastAsia="KaiTi_GB2312" w:hint="eastAsia"/>
                <w:sz w:val="18"/>
              </w:rPr>
              <w:t>因发病率最高的三种恶性肿瘤致死的男性死亡率（每</w:t>
            </w:r>
            <w:r>
              <w:rPr>
                <w:rFonts w:ascii="KaiTi_GB2312" w:eastAsia="KaiTi_GB2312" w:hint="eastAsia"/>
                <w:sz w:val="18"/>
              </w:rPr>
              <w:t>100 000</w:t>
            </w:r>
            <w:r>
              <w:rPr>
                <w:rFonts w:ascii="KaiTi_GB2312" w:eastAsia="KaiTi_GB2312" w:hint="eastAsia"/>
                <w:sz w:val="18"/>
              </w:rPr>
              <w:t>名男子）</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胃癌</w:t>
            </w:r>
          </w:p>
        </w:tc>
        <w:tc>
          <w:tcPr>
            <w:tcW w:w="422" w:type="pct"/>
          </w:tcPr>
          <w:p w:rsidR="00000000" w:rsidRDefault="00CA422F">
            <w:pPr>
              <w:spacing w:line="360" w:lineRule="exact"/>
              <w:jc w:val="right"/>
              <w:rPr>
                <w:rFonts w:hint="eastAsia"/>
                <w:sz w:val="18"/>
              </w:rPr>
            </w:pPr>
            <w:r>
              <w:rPr>
                <w:rFonts w:hint="eastAsia"/>
                <w:sz w:val="18"/>
              </w:rPr>
              <w:t>24.8</w:t>
            </w:r>
          </w:p>
        </w:tc>
        <w:tc>
          <w:tcPr>
            <w:tcW w:w="427" w:type="pct"/>
          </w:tcPr>
          <w:p w:rsidR="00000000" w:rsidRDefault="00CA422F">
            <w:pPr>
              <w:spacing w:line="360" w:lineRule="exact"/>
              <w:jc w:val="right"/>
              <w:rPr>
                <w:rFonts w:hint="eastAsia"/>
                <w:sz w:val="18"/>
              </w:rPr>
            </w:pPr>
            <w:r>
              <w:rPr>
                <w:rFonts w:hint="eastAsia"/>
                <w:sz w:val="18"/>
              </w:rPr>
              <w:t>24.2</w:t>
            </w:r>
          </w:p>
        </w:tc>
        <w:tc>
          <w:tcPr>
            <w:tcW w:w="424" w:type="pct"/>
          </w:tcPr>
          <w:p w:rsidR="00000000" w:rsidRDefault="00CA422F">
            <w:pPr>
              <w:spacing w:line="360" w:lineRule="exact"/>
              <w:jc w:val="right"/>
              <w:rPr>
                <w:rFonts w:hint="eastAsia"/>
                <w:sz w:val="18"/>
              </w:rPr>
            </w:pPr>
            <w:r>
              <w:rPr>
                <w:rFonts w:hint="eastAsia"/>
                <w:sz w:val="18"/>
              </w:rPr>
              <w:t>22.2</w:t>
            </w:r>
          </w:p>
        </w:tc>
        <w:tc>
          <w:tcPr>
            <w:tcW w:w="425" w:type="pct"/>
          </w:tcPr>
          <w:p w:rsidR="00000000" w:rsidRDefault="00CA422F">
            <w:pPr>
              <w:spacing w:line="360" w:lineRule="exact"/>
              <w:jc w:val="right"/>
              <w:rPr>
                <w:rFonts w:hint="eastAsia"/>
                <w:sz w:val="18"/>
              </w:rPr>
            </w:pPr>
            <w:r>
              <w:rPr>
                <w:rFonts w:hint="eastAsia"/>
                <w:sz w:val="18"/>
              </w:rPr>
              <w:t>21.2</w:t>
            </w:r>
          </w:p>
        </w:tc>
        <w:tc>
          <w:tcPr>
            <w:tcW w:w="423" w:type="pct"/>
          </w:tcPr>
          <w:p w:rsidR="00000000" w:rsidRDefault="00CA422F">
            <w:pPr>
              <w:spacing w:line="360" w:lineRule="exact"/>
              <w:jc w:val="right"/>
              <w:rPr>
                <w:rFonts w:hint="eastAsia"/>
                <w:sz w:val="18"/>
              </w:rPr>
            </w:pPr>
            <w:r>
              <w:rPr>
                <w:rFonts w:hint="eastAsia"/>
                <w:sz w:val="18"/>
              </w:rPr>
              <w:t>21.1</w:t>
            </w:r>
          </w:p>
        </w:tc>
        <w:tc>
          <w:tcPr>
            <w:tcW w:w="423" w:type="pct"/>
          </w:tcPr>
          <w:p w:rsidR="00000000" w:rsidRDefault="00CA422F">
            <w:pPr>
              <w:spacing w:line="360" w:lineRule="exact"/>
              <w:jc w:val="right"/>
              <w:rPr>
                <w:rFonts w:hint="eastAsia"/>
                <w:sz w:val="18"/>
              </w:rPr>
            </w:pPr>
            <w:r>
              <w:rPr>
                <w:rFonts w:hint="eastAsia"/>
                <w:sz w:val="18"/>
              </w:rPr>
              <w:t>18.2</w:t>
            </w:r>
          </w:p>
        </w:tc>
        <w:tc>
          <w:tcPr>
            <w:tcW w:w="409" w:type="pct"/>
          </w:tcPr>
          <w:p w:rsidR="00000000" w:rsidRDefault="00CA422F">
            <w:pPr>
              <w:spacing w:line="360" w:lineRule="exact"/>
              <w:jc w:val="right"/>
              <w:rPr>
                <w:rFonts w:hint="eastAsia"/>
                <w:sz w:val="18"/>
              </w:rPr>
            </w:pPr>
            <w:r>
              <w:rPr>
                <w:rFonts w:hint="eastAsia"/>
                <w:sz w:val="18"/>
              </w:rPr>
              <w:t>17.6</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前列腺癌</w:t>
            </w:r>
          </w:p>
        </w:tc>
        <w:tc>
          <w:tcPr>
            <w:tcW w:w="422" w:type="pct"/>
          </w:tcPr>
          <w:p w:rsidR="00000000" w:rsidRDefault="00CA422F">
            <w:pPr>
              <w:spacing w:line="360" w:lineRule="exact"/>
              <w:jc w:val="right"/>
              <w:rPr>
                <w:rFonts w:hint="eastAsia"/>
                <w:sz w:val="18"/>
              </w:rPr>
            </w:pPr>
            <w:r>
              <w:rPr>
                <w:rFonts w:hint="eastAsia"/>
                <w:sz w:val="18"/>
              </w:rPr>
              <w:t>7.7</w:t>
            </w:r>
          </w:p>
        </w:tc>
        <w:tc>
          <w:tcPr>
            <w:tcW w:w="427" w:type="pct"/>
          </w:tcPr>
          <w:p w:rsidR="00000000" w:rsidRDefault="00CA422F">
            <w:pPr>
              <w:spacing w:line="360" w:lineRule="exact"/>
              <w:jc w:val="right"/>
              <w:rPr>
                <w:rFonts w:hint="eastAsia"/>
                <w:sz w:val="18"/>
              </w:rPr>
            </w:pPr>
            <w:r>
              <w:rPr>
                <w:rFonts w:hint="eastAsia"/>
                <w:sz w:val="18"/>
              </w:rPr>
              <w:t>13.4</w:t>
            </w:r>
          </w:p>
        </w:tc>
        <w:tc>
          <w:tcPr>
            <w:tcW w:w="424" w:type="pct"/>
          </w:tcPr>
          <w:p w:rsidR="00000000" w:rsidRDefault="00CA422F">
            <w:pPr>
              <w:spacing w:line="360" w:lineRule="exact"/>
              <w:jc w:val="right"/>
              <w:rPr>
                <w:rFonts w:hint="eastAsia"/>
                <w:sz w:val="18"/>
              </w:rPr>
            </w:pPr>
            <w:r>
              <w:rPr>
                <w:rFonts w:hint="eastAsia"/>
                <w:sz w:val="18"/>
              </w:rPr>
              <w:t>12.80</w:t>
            </w:r>
          </w:p>
        </w:tc>
        <w:tc>
          <w:tcPr>
            <w:tcW w:w="425" w:type="pct"/>
          </w:tcPr>
          <w:p w:rsidR="00000000" w:rsidRDefault="00CA422F">
            <w:pPr>
              <w:spacing w:line="360" w:lineRule="exact"/>
              <w:jc w:val="right"/>
              <w:rPr>
                <w:rFonts w:hint="eastAsia"/>
                <w:sz w:val="18"/>
              </w:rPr>
            </w:pPr>
            <w:r>
              <w:rPr>
                <w:rFonts w:hint="eastAsia"/>
                <w:sz w:val="18"/>
              </w:rPr>
              <w:t>10.70</w:t>
            </w:r>
          </w:p>
        </w:tc>
        <w:tc>
          <w:tcPr>
            <w:tcW w:w="423" w:type="pct"/>
          </w:tcPr>
          <w:p w:rsidR="00000000" w:rsidRDefault="00CA422F">
            <w:pPr>
              <w:spacing w:line="360" w:lineRule="exact"/>
              <w:jc w:val="right"/>
              <w:rPr>
                <w:rFonts w:hint="eastAsia"/>
                <w:sz w:val="18"/>
              </w:rPr>
            </w:pPr>
            <w:r>
              <w:rPr>
                <w:rFonts w:hint="eastAsia"/>
                <w:sz w:val="18"/>
              </w:rPr>
              <w:t>12.60</w:t>
            </w:r>
          </w:p>
        </w:tc>
        <w:tc>
          <w:tcPr>
            <w:tcW w:w="423" w:type="pct"/>
          </w:tcPr>
          <w:p w:rsidR="00000000" w:rsidRDefault="00CA422F">
            <w:pPr>
              <w:spacing w:line="360" w:lineRule="exact"/>
              <w:jc w:val="right"/>
              <w:rPr>
                <w:rFonts w:hint="eastAsia"/>
                <w:sz w:val="18"/>
              </w:rPr>
            </w:pPr>
            <w:r>
              <w:rPr>
                <w:rFonts w:hint="eastAsia"/>
                <w:sz w:val="18"/>
              </w:rPr>
              <w:t>13.53</w:t>
            </w:r>
          </w:p>
        </w:tc>
        <w:tc>
          <w:tcPr>
            <w:tcW w:w="409" w:type="pct"/>
          </w:tcPr>
          <w:p w:rsidR="00000000" w:rsidRDefault="00CA422F">
            <w:pPr>
              <w:spacing w:line="360" w:lineRule="exact"/>
              <w:jc w:val="right"/>
              <w:rPr>
                <w:rFonts w:hint="eastAsia"/>
                <w:sz w:val="18"/>
              </w:rPr>
            </w:pPr>
            <w:r>
              <w:rPr>
                <w:rFonts w:hint="eastAsia"/>
                <w:sz w:val="18"/>
              </w:rPr>
              <w:t>14.1</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肺癌</w:t>
            </w:r>
          </w:p>
        </w:tc>
        <w:tc>
          <w:tcPr>
            <w:tcW w:w="422" w:type="pct"/>
          </w:tcPr>
          <w:p w:rsidR="00000000" w:rsidRDefault="00CA422F">
            <w:pPr>
              <w:spacing w:line="360" w:lineRule="exact"/>
              <w:jc w:val="right"/>
              <w:rPr>
                <w:rFonts w:hint="eastAsia"/>
                <w:sz w:val="18"/>
              </w:rPr>
            </w:pPr>
            <w:r>
              <w:rPr>
                <w:rFonts w:hint="eastAsia"/>
                <w:sz w:val="18"/>
              </w:rPr>
              <w:t>9.1</w:t>
            </w:r>
          </w:p>
        </w:tc>
        <w:tc>
          <w:tcPr>
            <w:tcW w:w="427" w:type="pct"/>
          </w:tcPr>
          <w:p w:rsidR="00000000" w:rsidRDefault="00CA422F">
            <w:pPr>
              <w:spacing w:line="360" w:lineRule="exact"/>
              <w:jc w:val="right"/>
              <w:rPr>
                <w:rFonts w:hint="eastAsia"/>
                <w:sz w:val="18"/>
              </w:rPr>
            </w:pPr>
            <w:r>
              <w:rPr>
                <w:rFonts w:hint="eastAsia"/>
                <w:sz w:val="18"/>
              </w:rPr>
              <w:t>8.0</w:t>
            </w:r>
          </w:p>
        </w:tc>
        <w:tc>
          <w:tcPr>
            <w:tcW w:w="424" w:type="pct"/>
          </w:tcPr>
          <w:p w:rsidR="00000000" w:rsidRDefault="00CA422F">
            <w:pPr>
              <w:spacing w:line="360" w:lineRule="exact"/>
              <w:jc w:val="right"/>
              <w:rPr>
                <w:rFonts w:hint="eastAsia"/>
                <w:sz w:val="18"/>
              </w:rPr>
            </w:pPr>
            <w:r>
              <w:rPr>
                <w:rFonts w:hint="eastAsia"/>
                <w:sz w:val="18"/>
              </w:rPr>
              <w:t>10.0</w:t>
            </w:r>
          </w:p>
        </w:tc>
        <w:tc>
          <w:tcPr>
            <w:tcW w:w="425" w:type="pct"/>
          </w:tcPr>
          <w:p w:rsidR="00000000" w:rsidRDefault="00CA422F">
            <w:pPr>
              <w:spacing w:line="360" w:lineRule="exact"/>
              <w:jc w:val="right"/>
              <w:rPr>
                <w:rFonts w:hint="eastAsia"/>
                <w:sz w:val="18"/>
              </w:rPr>
            </w:pPr>
            <w:r>
              <w:rPr>
                <w:rFonts w:hint="eastAsia"/>
                <w:sz w:val="18"/>
              </w:rPr>
              <w:t>8.1</w:t>
            </w:r>
          </w:p>
        </w:tc>
        <w:tc>
          <w:tcPr>
            <w:tcW w:w="423" w:type="pct"/>
          </w:tcPr>
          <w:p w:rsidR="00000000" w:rsidRDefault="00CA422F">
            <w:pPr>
              <w:spacing w:line="360" w:lineRule="exact"/>
              <w:jc w:val="right"/>
              <w:rPr>
                <w:rFonts w:hint="eastAsia"/>
                <w:sz w:val="18"/>
              </w:rPr>
            </w:pPr>
            <w:r>
              <w:rPr>
                <w:rFonts w:hint="eastAsia"/>
                <w:sz w:val="18"/>
              </w:rPr>
              <w:t>7.4</w:t>
            </w:r>
          </w:p>
        </w:tc>
        <w:tc>
          <w:tcPr>
            <w:tcW w:w="423" w:type="pct"/>
          </w:tcPr>
          <w:p w:rsidR="00000000" w:rsidRDefault="00CA422F">
            <w:pPr>
              <w:spacing w:line="360" w:lineRule="exact"/>
              <w:jc w:val="right"/>
              <w:rPr>
                <w:rFonts w:hint="eastAsia"/>
                <w:sz w:val="18"/>
              </w:rPr>
            </w:pPr>
            <w:r>
              <w:rPr>
                <w:rFonts w:hint="eastAsia"/>
                <w:sz w:val="18"/>
              </w:rPr>
              <w:t>8.8</w:t>
            </w:r>
          </w:p>
        </w:tc>
        <w:tc>
          <w:tcPr>
            <w:tcW w:w="409" w:type="pct"/>
          </w:tcPr>
          <w:p w:rsidR="00000000" w:rsidRDefault="00CA422F">
            <w:pPr>
              <w:spacing w:line="360" w:lineRule="exact"/>
              <w:jc w:val="right"/>
              <w:rPr>
                <w:rFonts w:hint="eastAsia"/>
                <w:sz w:val="18"/>
              </w:rPr>
            </w:pPr>
            <w:r>
              <w:rPr>
                <w:rFonts w:hint="eastAsia"/>
                <w:sz w:val="18"/>
              </w:rPr>
              <w:t>8.1</w:t>
            </w:r>
          </w:p>
        </w:tc>
      </w:tr>
      <w:tr w:rsidR="00000000">
        <w:tblPrEx>
          <w:tblCellMar>
            <w:top w:w="0" w:type="dxa"/>
            <w:bottom w:w="0" w:type="dxa"/>
          </w:tblCellMar>
        </w:tblPrEx>
        <w:trPr>
          <w:cantSplit/>
        </w:trPr>
        <w:tc>
          <w:tcPr>
            <w:tcW w:w="4168" w:type="pct"/>
            <w:gridSpan w:val="6"/>
          </w:tcPr>
          <w:p w:rsidR="00000000" w:rsidRDefault="00CA422F">
            <w:pPr>
              <w:spacing w:line="360" w:lineRule="exact"/>
              <w:rPr>
                <w:rFonts w:ascii="KaiTi_GB2312" w:eastAsia="KaiTi_GB2312" w:hint="eastAsia"/>
                <w:sz w:val="18"/>
              </w:rPr>
            </w:pPr>
            <w:r>
              <w:rPr>
                <w:rFonts w:ascii="KaiTi_GB2312" w:eastAsia="KaiTi_GB2312" w:hint="eastAsia"/>
                <w:sz w:val="18"/>
              </w:rPr>
              <w:t>因发病率最高的三种恶性肿瘤致死的女性死亡率（每</w:t>
            </w:r>
            <w:r>
              <w:rPr>
                <w:rFonts w:ascii="KaiTi_GB2312" w:eastAsia="KaiTi_GB2312" w:hint="eastAsia"/>
                <w:sz w:val="18"/>
              </w:rPr>
              <w:t>100 000</w:t>
            </w:r>
            <w:r>
              <w:rPr>
                <w:rFonts w:ascii="KaiTi_GB2312" w:eastAsia="KaiTi_GB2312" w:hint="eastAsia"/>
                <w:sz w:val="18"/>
              </w:rPr>
              <w:t>名妇女）</w:t>
            </w:r>
          </w:p>
        </w:tc>
        <w:tc>
          <w:tcPr>
            <w:tcW w:w="832" w:type="pct"/>
            <w:gridSpan w:val="2"/>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胃癌</w:t>
            </w:r>
          </w:p>
        </w:tc>
        <w:tc>
          <w:tcPr>
            <w:tcW w:w="422" w:type="pct"/>
          </w:tcPr>
          <w:p w:rsidR="00000000" w:rsidRDefault="00CA422F">
            <w:pPr>
              <w:spacing w:line="360" w:lineRule="exact"/>
              <w:jc w:val="right"/>
              <w:rPr>
                <w:rFonts w:hint="eastAsia"/>
                <w:sz w:val="18"/>
              </w:rPr>
            </w:pPr>
            <w:r>
              <w:rPr>
                <w:rFonts w:hint="eastAsia"/>
                <w:sz w:val="18"/>
              </w:rPr>
              <w:t>10.9</w:t>
            </w:r>
          </w:p>
        </w:tc>
        <w:tc>
          <w:tcPr>
            <w:tcW w:w="427" w:type="pct"/>
          </w:tcPr>
          <w:p w:rsidR="00000000" w:rsidRDefault="00CA422F">
            <w:pPr>
              <w:spacing w:line="360" w:lineRule="exact"/>
              <w:jc w:val="right"/>
              <w:rPr>
                <w:rFonts w:hint="eastAsia"/>
                <w:sz w:val="18"/>
              </w:rPr>
            </w:pPr>
            <w:r>
              <w:rPr>
                <w:rFonts w:hint="eastAsia"/>
                <w:sz w:val="18"/>
              </w:rPr>
              <w:t>14.0</w:t>
            </w:r>
          </w:p>
        </w:tc>
        <w:tc>
          <w:tcPr>
            <w:tcW w:w="424" w:type="pct"/>
          </w:tcPr>
          <w:p w:rsidR="00000000" w:rsidRDefault="00CA422F">
            <w:pPr>
              <w:spacing w:line="360" w:lineRule="exact"/>
              <w:jc w:val="right"/>
              <w:rPr>
                <w:rFonts w:hint="eastAsia"/>
                <w:sz w:val="18"/>
              </w:rPr>
            </w:pPr>
            <w:r>
              <w:rPr>
                <w:rFonts w:hint="eastAsia"/>
                <w:sz w:val="18"/>
              </w:rPr>
              <w:t>13.7</w:t>
            </w:r>
          </w:p>
        </w:tc>
        <w:tc>
          <w:tcPr>
            <w:tcW w:w="425" w:type="pct"/>
          </w:tcPr>
          <w:p w:rsidR="00000000" w:rsidRDefault="00CA422F">
            <w:pPr>
              <w:spacing w:line="360" w:lineRule="exact"/>
              <w:jc w:val="right"/>
              <w:rPr>
                <w:rFonts w:hint="eastAsia"/>
                <w:sz w:val="18"/>
              </w:rPr>
            </w:pPr>
            <w:r>
              <w:rPr>
                <w:rFonts w:hint="eastAsia"/>
                <w:sz w:val="18"/>
              </w:rPr>
              <w:t>10.3</w:t>
            </w:r>
          </w:p>
        </w:tc>
        <w:tc>
          <w:tcPr>
            <w:tcW w:w="423" w:type="pct"/>
          </w:tcPr>
          <w:p w:rsidR="00000000" w:rsidRDefault="00CA422F">
            <w:pPr>
              <w:spacing w:line="360" w:lineRule="exact"/>
              <w:jc w:val="right"/>
              <w:rPr>
                <w:rFonts w:hint="eastAsia"/>
                <w:sz w:val="18"/>
              </w:rPr>
            </w:pPr>
            <w:r>
              <w:rPr>
                <w:rFonts w:hint="eastAsia"/>
                <w:sz w:val="18"/>
              </w:rPr>
              <w:t>12.1</w:t>
            </w:r>
          </w:p>
        </w:tc>
        <w:tc>
          <w:tcPr>
            <w:tcW w:w="423" w:type="pct"/>
          </w:tcPr>
          <w:p w:rsidR="00000000" w:rsidRDefault="00CA422F">
            <w:pPr>
              <w:spacing w:line="360" w:lineRule="exact"/>
              <w:jc w:val="right"/>
              <w:rPr>
                <w:rFonts w:hint="eastAsia"/>
                <w:sz w:val="18"/>
              </w:rPr>
            </w:pPr>
            <w:r>
              <w:rPr>
                <w:rFonts w:hint="eastAsia"/>
                <w:sz w:val="18"/>
              </w:rPr>
              <w:t>10.9</w:t>
            </w:r>
          </w:p>
        </w:tc>
        <w:tc>
          <w:tcPr>
            <w:tcW w:w="409" w:type="pct"/>
          </w:tcPr>
          <w:p w:rsidR="00000000" w:rsidRDefault="00CA422F">
            <w:pPr>
              <w:spacing w:line="360" w:lineRule="exact"/>
              <w:jc w:val="right"/>
              <w:rPr>
                <w:rFonts w:hint="eastAsia"/>
                <w:sz w:val="18"/>
              </w:rPr>
            </w:pPr>
            <w:r>
              <w:rPr>
                <w:rFonts w:hint="eastAsia"/>
                <w:sz w:val="18"/>
              </w:rPr>
              <w:t>10.6</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宫颈癌</w:t>
            </w:r>
          </w:p>
        </w:tc>
        <w:tc>
          <w:tcPr>
            <w:tcW w:w="422" w:type="pct"/>
          </w:tcPr>
          <w:p w:rsidR="00000000" w:rsidRDefault="00CA422F">
            <w:pPr>
              <w:spacing w:line="360" w:lineRule="exact"/>
              <w:jc w:val="right"/>
              <w:rPr>
                <w:rFonts w:hint="eastAsia"/>
                <w:sz w:val="18"/>
              </w:rPr>
            </w:pPr>
            <w:r>
              <w:rPr>
                <w:rFonts w:hint="eastAsia"/>
                <w:sz w:val="18"/>
              </w:rPr>
              <w:t>8.7</w:t>
            </w:r>
          </w:p>
        </w:tc>
        <w:tc>
          <w:tcPr>
            <w:tcW w:w="427" w:type="pct"/>
          </w:tcPr>
          <w:p w:rsidR="00000000" w:rsidRDefault="00CA422F">
            <w:pPr>
              <w:spacing w:line="360" w:lineRule="exact"/>
              <w:jc w:val="right"/>
              <w:rPr>
                <w:rFonts w:hint="eastAsia"/>
                <w:sz w:val="18"/>
              </w:rPr>
            </w:pPr>
            <w:r>
              <w:rPr>
                <w:rFonts w:hint="eastAsia"/>
                <w:sz w:val="18"/>
              </w:rPr>
              <w:t>10.1</w:t>
            </w:r>
          </w:p>
        </w:tc>
        <w:tc>
          <w:tcPr>
            <w:tcW w:w="424" w:type="pct"/>
          </w:tcPr>
          <w:p w:rsidR="00000000" w:rsidRDefault="00CA422F">
            <w:pPr>
              <w:spacing w:line="360" w:lineRule="exact"/>
              <w:jc w:val="right"/>
              <w:rPr>
                <w:rFonts w:hint="eastAsia"/>
                <w:sz w:val="18"/>
              </w:rPr>
            </w:pPr>
            <w:r>
              <w:rPr>
                <w:rFonts w:hint="eastAsia"/>
                <w:sz w:val="18"/>
              </w:rPr>
              <w:t>10.2</w:t>
            </w:r>
          </w:p>
        </w:tc>
        <w:tc>
          <w:tcPr>
            <w:tcW w:w="425" w:type="pct"/>
          </w:tcPr>
          <w:p w:rsidR="00000000" w:rsidRDefault="00CA422F">
            <w:pPr>
              <w:spacing w:line="360" w:lineRule="exact"/>
              <w:jc w:val="right"/>
              <w:rPr>
                <w:rFonts w:hint="eastAsia"/>
                <w:sz w:val="18"/>
              </w:rPr>
            </w:pPr>
            <w:r>
              <w:rPr>
                <w:rFonts w:hint="eastAsia"/>
                <w:sz w:val="18"/>
              </w:rPr>
              <w:t>8.7</w:t>
            </w:r>
          </w:p>
        </w:tc>
        <w:tc>
          <w:tcPr>
            <w:tcW w:w="423" w:type="pct"/>
          </w:tcPr>
          <w:p w:rsidR="00000000" w:rsidRDefault="00CA422F">
            <w:pPr>
              <w:spacing w:line="360" w:lineRule="exact"/>
              <w:jc w:val="right"/>
              <w:rPr>
                <w:rFonts w:hint="eastAsia"/>
                <w:sz w:val="18"/>
              </w:rPr>
            </w:pPr>
            <w:r>
              <w:rPr>
                <w:rFonts w:hint="eastAsia"/>
                <w:sz w:val="18"/>
              </w:rPr>
              <w:t>9.4</w:t>
            </w:r>
          </w:p>
        </w:tc>
        <w:tc>
          <w:tcPr>
            <w:tcW w:w="423" w:type="pct"/>
          </w:tcPr>
          <w:p w:rsidR="00000000" w:rsidRDefault="00CA422F">
            <w:pPr>
              <w:spacing w:line="360" w:lineRule="exact"/>
              <w:jc w:val="right"/>
              <w:rPr>
                <w:rFonts w:hint="eastAsia"/>
                <w:sz w:val="18"/>
              </w:rPr>
            </w:pPr>
            <w:r>
              <w:rPr>
                <w:rFonts w:hint="eastAsia"/>
                <w:sz w:val="18"/>
              </w:rPr>
              <w:t>9.7</w:t>
            </w:r>
          </w:p>
        </w:tc>
        <w:tc>
          <w:tcPr>
            <w:tcW w:w="409" w:type="pct"/>
          </w:tcPr>
          <w:p w:rsidR="00000000" w:rsidRDefault="00CA422F">
            <w:pPr>
              <w:spacing w:line="360" w:lineRule="exact"/>
              <w:jc w:val="right"/>
              <w:rPr>
                <w:rFonts w:hint="eastAsia"/>
                <w:sz w:val="18"/>
              </w:rPr>
            </w:pPr>
            <w:r>
              <w:rPr>
                <w:rFonts w:hint="eastAsia"/>
                <w:sz w:val="18"/>
              </w:rPr>
              <w:t>9.3</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乳癌</w:t>
            </w:r>
          </w:p>
        </w:tc>
        <w:tc>
          <w:tcPr>
            <w:tcW w:w="422" w:type="pct"/>
          </w:tcPr>
          <w:p w:rsidR="00000000" w:rsidRDefault="00CA422F">
            <w:pPr>
              <w:spacing w:line="360" w:lineRule="exact"/>
              <w:jc w:val="right"/>
              <w:rPr>
                <w:rFonts w:hint="eastAsia"/>
                <w:sz w:val="18"/>
              </w:rPr>
            </w:pPr>
            <w:r>
              <w:rPr>
                <w:rFonts w:hint="eastAsia"/>
                <w:sz w:val="18"/>
              </w:rPr>
              <w:t>7.2</w:t>
            </w:r>
          </w:p>
        </w:tc>
        <w:tc>
          <w:tcPr>
            <w:tcW w:w="427" w:type="pct"/>
          </w:tcPr>
          <w:p w:rsidR="00000000" w:rsidRDefault="00CA422F">
            <w:pPr>
              <w:spacing w:line="360" w:lineRule="exact"/>
              <w:jc w:val="right"/>
              <w:rPr>
                <w:rFonts w:hint="eastAsia"/>
                <w:sz w:val="18"/>
              </w:rPr>
            </w:pPr>
            <w:r>
              <w:rPr>
                <w:rFonts w:hint="eastAsia"/>
                <w:sz w:val="18"/>
              </w:rPr>
              <w:t>9.0</w:t>
            </w:r>
          </w:p>
        </w:tc>
        <w:tc>
          <w:tcPr>
            <w:tcW w:w="424" w:type="pct"/>
          </w:tcPr>
          <w:p w:rsidR="00000000" w:rsidRDefault="00CA422F">
            <w:pPr>
              <w:spacing w:line="360" w:lineRule="exact"/>
              <w:jc w:val="right"/>
              <w:rPr>
                <w:rFonts w:hint="eastAsia"/>
                <w:sz w:val="18"/>
              </w:rPr>
            </w:pPr>
            <w:r>
              <w:rPr>
                <w:rFonts w:hint="eastAsia"/>
                <w:sz w:val="18"/>
              </w:rPr>
              <w:t>8.5</w:t>
            </w:r>
          </w:p>
        </w:tc>
        <w:tc>
          <w:tcPr>
            <w:tcW w:w="425" w:type="pct"/>
          </w:tcPr>
          <w:p w:rsidR="00000000" w:rsidRDefault="00CA422F">
            <w:pPr>
              <w:spacing w:line="360" w:lineRule="exact"/>
              <w:jc w:val="right"/>
              <w:rPr>
                <w:rFonts w:hint="eastAsia"/>
                <w:sz w:val="18"/>
              </w:rPr>
            </w:pPr>
            <w:r>
              <w:rPr>
                <w:rFonts w:hint="eastAsia"/>
                <w:sz w:val="18"/>
              </w:rPr>
              <w:t>8.1</w:t>
            </w:r>
          </w:p>
        </w:tc>
        <w:tc>
          <w:tcPr>
            <w:tcW w:w="423" w:type="pct"/>
          </w:tcPr>
          <w:p w:rsidR="00000000" w:rsidRDefault="00CA422F">
            <w:pPr>
              <w:spacing w:line="360" w:lineRule="exact"/>
              <w:jc w:val="right"/>
              <w:rPr>
                <w:rFonts w:hint="eastAsia"/>
                <w:sz w:val="18"/>
              </w:rPr>
            </w:pPr>
            <w:r>
              <w:rPr>
                <w:rFonts w:hint="eastAsia"/>
                <w:sz w:val="18"/>
              </w:rPr>
              <w:t>7.7</w:t>
            </w:r>
          </w:p>
        </w:tc>
        <w:tc>
          <w:tcPr>
            <w:tcW w:w="423" w:type="pct"/>
          </w:tcPr>
          <w:p w:rsidR="00000000" w:rsidRDefault="00CA422F">
            <w:pPr>
              <w:spacing w:line="360" w:lineRule="exact"/>
              <w:jc w:val="right"/>
              <w:rPr>
                <w:rFonts w:hint="eastAsia"/>
                <w:sz w:val="18"/>
              </w:rPr>
            </w:pPr>
            <w:r>
              <w:rPr>
                <w:rFonts w:hint="eastAsia"/>
                <w:sz w:val="18"/>
              </w:rPr>
              <w:t>7.0</w:t>
            </w:r>
          </w:p>
        </w:tc>
        <w:tc>
          <w:tcPr>
            <w:tcW w:w="409" w:type="pct"/>
          </w:tcPr>
          <w:p w:rsidR="00000000" w:rsidRDefault="00CA422F">
            <w:pPr>
              <w:spacing w:line="360" w:lineRule="exact"/>
              <w:jc w:val="right"/>
              <w:rPr>
                <w:rFonts w:hint="eastAsia"/>
                <w:sz w:val="18"/>
              </w:rPr>
            </w:pPr>
            <w:r>
              <w:rPr>
                <w:rFonts w:hint="eastAsia"/>
                <w:sz w:val="18"/>
              </w:rPr>
              <w:t>6.3</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20</w:t>
            </w:r>
            <w:r>
              <w:rPr>
                <w:rFonts w:hint="eastAsia"/>
                <w:sz w:val="18"/>
              </w:rPr>
              <w:t>岁以下和</w:t>
            </w:r>
            <w:r>
              <w:rPr>
                <w:rFonts w:hint="eastAsia"/>
                <w:sz w:val="18"/>
              </w:rPr>
              <w:t>20</w:t>
            </w:r>
            <w:r>
              <w:rPr>
                <w:rFonts w:hint="eastAsia"/>
                <w:sz w:val="18"/>
              </w:rPr>
              <w:t>岁至</w:t>
            </w:r>
            <w:r>
              <w:rPr>
                <w:rFonts w:hint="eastAsia"/>
                <w:sz w:val="18"/>
              </w:rPr>
              <w:t>39</w:t>
            </w:r>
            <w:r>
              <w:rPr>
                <w:rFonts w:hint="eastAsia"/>
                <w:sz w:val="18"/>
              </w:rPr>
              <w:t>岁的妇女的生育率</w:t>
            </w:r>
          </w:p>
        </w:tc>
        <w:tc>
          <w:tcPr>
            <w:tcW w:w="422" w:type="pct"/>
          </w:tcPr>
          <w:p w:rsidR="00000000" w:rsidRDefault="00CA422F">
            <w:pPr>
              <w:spacing w:line="360" w:lineRule="exact"/>
              <w:jc w:val="right"/>
              <w:rPr>
                <w:rFonts w:hint="eastAsia"/>
                <w:sz w:val="18"/>
              </w:rPr>
            </w:pPr>
            <w:r>
              <w:rPr>
                <w:rFonts w:hint="eastAsia"/>
                <w:sz w:val="18"/>
              </w:rPr>
              <w:t>68.2</w:t>
            </w:r>
          </w:p>
        </w:tc>
        <w:tc>
          <w:tcPr>
            <w:tcW w:w="427" w:type="pct"/>
          </w:tcPr>
          <w:p w:rsidR="00000000" w:rsidRDefault="00CA422F">
            <w:pPr>
              <w:spacing w:line="360" w:lineRule="exact"/>
              <w:jc w:val="right"/>
              <w:rPr>
                <w:rFonts w:hint="eastAsia"/>
                <w:sz w:val="18"/>
              </w:rPr>
            </w:pPr>
            <w:r>
              <w:rPr>
                <w:rFonts w:hint="eastAsia"/>
                <w:sz w:val="18"/>
              </w:rPr>
              <w:t>81.4</w:t>
            </w:r>
          </w:p>
        </w:tc>
        <w:tc>
          <w:tcPr>
            <w:tcW w:w="424" w:type="pct"/>
          </w:tcPr>
          <w:p w:rsidR="00000000" w:rsidRDefault="00CA422F">
            <w:pPr>
              <w:spacing w:line="360" w:lineRule="exact"/>
              <w:jc w:val="right"/>
              <w:rPr>
                <w:rFonts w:hint="eastAsia"/>
                <w:sz w:val="18"/>
              </w:rPr>
            </w:pPr>
            <w:r>
              <w:rPr>
                <w:rFonts w:hint="eastAsia"/>
                <w:sz w:val="18"/>
              </w:rPr>
              <w:t>82.3</w:t>
            </w:r>
          </w:p>
        </w:tc>
        <w:tc>
          <w:tcPr>
            <w:tcW w:w="425" w:type="pct"/>
          </w:tcPr>
          <w:p w:rsidR="00000000" w:rsidRDefault="00CA422F">
            <w:pPr>
              <w:spacing w:line="360" w:lineRule="exact"/>
              <w:jc w:val="right"/>
              <w:rPr>
                <w:rFonts w:hint="eastAsia"/>
                <w:sz w:val="18"/>
              </w:rPr>
            </w:pPr>
            <w:r>
              <w:rPr>
                <w:rFonts w:hint="eastAsia"/>
                <w:sz w:val="18"/>
              </w:rPr>
              <w:t>84</w:t>
            </w:r>
            <w:r>
              <w:rPr>
                <w:sz w:val="18"/>
              </w:rPr>
              <w:t>.</w:t>
            </w:r>
            <w:r>
              <w:rPr>
                <w:rFonts w:hint="eastAsia"/>
                <w:sz w:val="18"/>
              </w:rPr>
              <w:t>7</w:t>
            </w:r>
          </w:p>
        </w:tc>
        <w:tc>
          <w:tcPr>
            <w:tcW w:w="423" w:type="pct"/>
          </w:tcPr>
          <w:p w:rsidR="00000000" w:rsidRDefault="00CA422F">
            <w:pPr>
              <w:spacing w:line="360" w:lineRule="exact"/>
              <w:jc w:val="right"/>
              <w:rPr>
                <w:rFonts w:hint="eastAsia"/>
                <w:sz w:val="18"/>
              </w:rPr>
            </w:pPr>
            <w:r>
              <w:rPr>
                <w:rFonts w:hint="eastAsia"/>
                <w:sz w:val="18"/>
              </w:rPr>
              <w:t>86.6</w:t>
            </w:r>
          </w:p>
        </w:tc>
        <w:tc>
          <w:tcPr>
            <w:tcW w:w="423" w:type="pct"/>
          </w:tcPr>
          <w:p w:rsidR="00000000" w:rsidRDefault="00CA422F">
            <w:pPr>
              <w:spacing w:line="360" w:lineRule="exact"/>
              <w:jc w:val="right"/>
              <w:rPr>
                <w:rFonts w:hint="eastAsia"/>
                <w:sz w:val="18"/>
              </w:rPr>
            </w:pPr>
            <w:r>
              <w:rPr>
                <w:rFonts w:hint="eastAsia"/>
                <w:sz w:val="18"/>
              </w:rPr>
              <w:t>87.0</w:t>
            </w:r>
          </w:p>
        </w:tc>
        <w:tc>
          <w:tcPr>
            <w:tcW w:w="409" w:type="pct"/>
          </w:tcPr>
          <w:p w:rsidR="00000000" w:rsidRDefault="00CA422F">
            <w:pPr>
              <w:spacing w:line="360" w:lineRule="exact"/>
              <w:jc w:val="righ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经济自立人口健康保险和产妇保险的覆盖率</w:t>
            </w:r>
            <w:r>
              <w:rPr>
                <w:rFonts w:hint="eastAsia"/>
                <w:sz w:val="18"/>
                <w:vertAlign w:val="superscript"/>
              </w:rPr>
              <w:t>b/</w:t>
            </w:r>
          </w:p>
        </w:tc>
        <w:tc>
          <w:tcPr>
            <w:tcW w:w="422" w:type="pct"/>
          </w:tcPr>
          <w:p w:rsidR="00000000" w:rsidRDefault="00CA422F">
            <w:pPr>
              <w:spacing w:line="360" w:lineRule="exact"/>
              <w:jc w:val="right"/>
              <w:rPr>
                <w:rFonts w:hint="eastAsia"/>
                <w:sz w:val="18"/>
              </w:rPr>
            </w:pPr>
            <w:r>
              <w:rPr>
                <w:rFonts w:hint="eastAsia"/>
                <w:sz w:val="18"/>
              </w:rPr>
              <w:t>82.2</w:t>
            </w:r>
          </w:p>
        </w:tc>
        <w:tc>
          <w:tcPr>
            <w:tcW w:w="427" w:type="pct"/>
          </w:tcPr>
          <w:p w:rsidR="00000000" w:rsidRDefault="00CA422F">
            <w:pPr>
              <w:spacing w:line="360" w:lineRule="exact"/>
              <w:jc w:val="right"/>
              <w:rPr>
                <w:rFonts w:hint="eastAsia"/>
                <w:sz w:val="18"/>
              </w:rPr>
            </w:pPr>
            <w:r>
              <w:rPr>
                <w:rFonts w:hint="eastAsia"/>
                <w:sz w:val="18"/>
              </w:rPr>
              <w:t>95.8</w:t>
            </w:r>
          </w:p>
        </w:tc>
        <w:tc>
          <w:tcPr>
            <w:tcW w:w="424" w:type="pct"/>
          </w:tcPr>
          <w:p w:rsidR="00000000" w:rsidRDefault="00CA422F">
            <w:pPr>
              <w:spacing w:line="360" w:lineRule="exact"/>
              <w:jc w:val="right"/>
              <w:rPr>
                <w:rFonts w:hint="eastAsia"/>
                <w:sz w:val="18"/>
              </w:rPr>
            </w:pPr>
            <w:r>
              <w:rPr>
                <w:rFonts w:hint="eastAsia"/>
                <w:sz w:val="18"/>
              </w:rPr>
              <w:t>93</w:t>
            </w:r>
          </w:p>
        </w:tc>
        <w:tc>
          <w:tcPr>
            <w:tcW w:w="425" w:type="pct"/>
          </w:tcPr>
          <w:p w:rsidR="00000000" w:rsidRDefault="00CA422F">
            <w:pPr>
              <w:spacing w:line="360" w:lineRule="exact"/>
              <w:jc w:val="right"/>
              <w:rPr>
                <w:rFonts w:hint="eastAsia"/>
                <w:sz w:val="18"/>
              </w:rPr>
            </w:pPr>
            <w:r>
              <w:rPr>
                <w:rFonts w:hint="eastAsia"/>
                <w:sz w:val="18"/>
              </w:rPr>
              <w:t>97.5</w:t>
            </w:r>
          </w:p>
        </w:tc>
        <w:tc>
          <w:tcPr>
            <w:tcW w:w="423" w:type="pct"/>
          </w:tcPr>
          <w:p w:rsidR="00000000" w:rsidRDefault="00CA422F">
            <w:pPr>
              <w:spacing w:line="360" w:lineRule="exact"/>
              <w:jc w:val="right"/>
              <w:rPr>
                <w:rFonts w:hint="eastAsia"/>
                <w:sz w:val="18"/>
              </w:rPr>
            </w:pPr>
            <w:r>
              <w:rPr>
                <w:rFonts w:hint="eastAsia"/>
                <w:sz w:val="18"/>
              </w:rPr>
              <w:t>102.6</w:t>
            </w:r>
          </w:p>
        </w:tc>
        <w:tc>
          <w:tcPr>
            <w:tcW w:w="423" w:type="pct"/>
          </w:tcPr>
          <w:p w:rsidR="00000000" w:rsidRDefault="00CA422F">
            <w:pPr>
              <w:spacing w:line="360" w:lineRule="exact"/>
              <w:jc w:val="right"/>
              <w:rPr>
                <w:rFonts w:hint="eastAsia"/>
                <w:sz w:val="18"/>
              </w:rPr>
            </w:pPr>
            <w:r>
              <w:rPr>
                <w:rFonts w:hint="eastAsia"/>
                <w:sz w:val="18"/>
              </w:rPr>
              <w:t>80.6</w:t>
            </w:r>
          </w:p>
        </w:tc>
        <w:tc>
          <w:tcPr>
            <w:tcW w:w="409" w:type="pct"/>
          </w:tcPr>
          <w:p w:rsidR="00000000" w:rsidRDefault="00CA422F">
            <w:pPr>
              <w:spacing w:line="360" w:lineRule="exact"/>
              <w:jc w:val="right"/>
              <w:rPr>
                <w:rFonts w:hint="eastAsia"/>
                <w:sz w:val="18"/>
              </w:rPr>
            </w:pPr>
          </w:p>
        </w:tc>
      </w:tr>
      <w:tr w:rsidR="00000000">
        <w:tblPrEx>
          <w:tblCellMar>
            <w:top w:w="0" w:type="dxa"/>
            <w:bottom w:w="0" w:type="dxa"/>
          </w:tblCellMar>
        </w:tblPrEx>
        <w:tc>
          <w:tcPr>
            <w:tcW w:w="2047" w:type="pct"/>
            <w:tcBorders>
              <w:right w:val="nil"/>
            </w:tcBorders>
          </w:tcPr>
          <w:p w:rsidR="00000000" w:rsidRDefault="00CA422F">
            <w:pPr>
              <w:pStyle w:val="20"/>
              <w:spacing w:beforeLines="0" w:before="0" w:afterLines="0" w:after="0" w:line="360" w:lineRule="exact"/>
              <w:rPr>
                <w:rFonts w:ascii="Times New Roman" w:eastAsia="SimHei" w:hAnsi="Times New Roman" w:hint="eastAsia"/>
                <w:sz w:val="18"/>
                <w:lang w:val="en-US"/>
              </w:rPr>
            </w:pPr>
            <w:r>
              <w:rPr>
                <w:rFonts w:ascii="Times New Roman" w:eastAsia="SimHei" w:hAnsi="Times New Roman" w:hint="eastAsia"/>
                <w:sz w:val="18"/>
                <w:lang w:val="en-US"/>
              </w:rPr>
              <w:t>家庭暴力</w:t>
            </w:r>
          </w:p>
        </w:tc>
        <w:tc>
          <w:tcPr>
            <w:tcW w:w="422" w:type="pct"/>
            <w:tcBorders>
              <w:left w:val="nil"/>
              <w:right w:val="nil"/>
            </w:tcBorders>
          </w:tcPr>
          <w:p w:rsidR="00000000" w:rsidRDefault="00CA422F">
            <w:pPr>
              <w:spacing w:line="360" w:lineRule="exact"/>
              <w:rPr>
                <w:rFonts w:hint="eastAsia"/>
                <w:sz w:val="18"/>
              </w:rPr>
            </w:pPr>
          </w:p>
        </w:tc>
        <w:tc>
          <w:tcPr>
            <w:tcW w:w="427" w:type="pct"/>
            <w:tcBorders>
              <w:left w:val="nil"/>
              <w:right w:val="nil"/>
            </w:tcBorders>
          </w:tcPr>
          <w:p w:rsidR="00000000" w:rsidRDefault="00CA422F">
            <w:pPr>
              <w:spacing w:line="360" w:lineRule="exact"/>
              <w:rPr>
                <w:rFonts w:hint="eastAsia"/>
                <w:sz w:val="18"/>
              </w:rPr>
            </w:pPr>
          </w:p>
        </w:tc>
        <w:tc>
          <w:tcPr>
            <w:tcW w:w="424" w:type="pct"/>
            <w:tcBorders>
              <w:left w:val="nil"/>
              <w:right w:val="nil"/>
            </w:tcBorders>
          </w:tcPr>
          <w:p w:rsidR="00000000" w:rsidRDefault="00CA422F">
            <w:pPr>
              <w:spacing w:line="360" w:lineRule="exact"/>
              <w:rPr>
                <w:rFonts w:hint="eastAsia"/>
                <w:sz w:val="18"/>
              </w:rPr>
            </w:pPr>
          </w:p>
        </w:tc>
        <w:tc>
          <w:tcPr>
            <w:tcW w:w="425"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23" w:type="pct"/>
            <w:tcBorders>
              <w:left w:val="nil"/>
              <w:right w:val="nil"/>
            </w:tcBorders>
          </w:tcPr>
          <w:p w:rsidR="00000000" w:rsidRDefault="00CA422F">
            <w:pPr>
              <w:spacing w:line="360" w:lineRule="exact"/>
              <w:rPr>
                <w:rFonts w:hint="eastAsia"/>
                <w:sz w:val="18"/>
              </w:rPr>
            </w:pPr>
          </w:p>
        </w:tc>
        <w:tc>
          <w:tcPr>
            <w:tcW w:w="409" w:type="pct"/>
            <w:tcBorders>
              <w:left w:val="nil"/>
            </w:tcBorders>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因家庭暴力被谋杀的受害者的性别比率</w:t>
            </w:r>
            <w:r>
              <w:rPr>
                <w:rFonts w:hint="eastAsia"/>
                <w:sz w:val="18"/>
                <w:vertAlign w:val="superscript"/>
              </w:rPr>
              <w:t>b/</w:t>
            </w:r>
          </w:p>
        </w:tc>
        <w:tc>
          <w:tcPr>
            <w:tcW w:w="422" w:type="pct"/>
          </w:tcPr>
          <w:p w:rsidR="00000000" w:rsidRDefault="00CA422F">
            <w:pPr>
              <w:spacing w:line="360" w:lineRule="exact"/>
              <w:rPr>
                <w:rFonts w:hint="eastAsia"/>
                <w:sz w:val="18"/>
              </w:rPr>
            </w:pPr>
          </w:p>
        </w:tc>
        <w:tc>
          <w:tcPr>
            <w:tcW w:w="427" w:type="pct"/>
          </w:tcPr>
          <w:p w:rsidR="00000000" w:rsidRDefault="00CA422F">
            <w:pPr>
              <w:spacing w:line="360" w:lineRule="exact"/>
              <w:rPr>
                <w:rFonts w:hint="eastAsia"/>
                <w:sz w:val="18"/>
              </w:rPr>
            </w:pPr>
          </w:p>
        </w:tc>
        <w:tc>
          <w:tcPr>
            <w:tcW w:w="424" w:type="pct"/>
          </w:tcPr>
          <w:p w:rsidR="00000000" w:rsidRDefault="00CA422F">
            <w:pPr>
              <w:spacing w:line="360" w:lineRule="exact"/>
              <w:rPr>
                <w:rFonts w:hint="eastAsia"/>
                <w:sz w:val="18"/>
              </w:rPr>
            </w:pPr>
          </w:p>
        </w:tc>
        <w:tc>
          <w:tcPr>
            <w:tcW w:w="425" w:type="pct"/>
          </w:tcPr>
          <w:p w:rsidR="00000000" w:rsidRDefault="00CA422F">
            <w:pPr>
              <w:spacing w:line="360" w:lineRule="exact"/>
              <w:rPr>
                <w:rFonts w:hint="eastAsia"/>
                <w:sz w:val="18"/>
              </w:rPr>
            </w:pPr>
          </w:p>
        </w:tc>
        <w:tc>
          <w:tcPr>
            <w:tcW w:w="423" w:type="pct"/>
          </w:tcPr>
          <w:p w:rsidR="00000000" w:rsidRDefault="00CA422F">
            <w:pPr>
              <w:spacing w:line="360" w:lineRule="exact"/>
              <w:rPr>
                <w:rFonts w:hint="eastAsia"/>
                <w:sz w:val="18"/>
              </w:rPr>
            </w:pPr>
          </w:p>
        </w:tc>
        <w:tc>
          <w:tcPr>
            <w:tcW w:w="423" w:type="pct"/>
          </w:tcPr>
          <w:p w:rsidR="00000000" w:rsidRDefault="00CA422F">
            <w:pPr>
              <w:spacing w:line="360" w:lineRule="exact"/>
              <w:rPr>
                <w:rFonts w:hint="eastAsia"/>
                <w:sz w:val="18"/>
              </w:rPr>
            </w:pPr>
            <w:r>
              <w:rPr>
                <w:rFonts w:hint="eastAsia"/>
                <w:sz w:val="18"/>
              </w:rPr>
              <w:t>550</w:t>
            </w:r>
          </w:p>
        </w:tc>
        <w:tc>
          <w:tcPr>
            <w:tcW w:w="409" w:type="pct"/>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家庭暴力的控告</w:t>
            </w:r>
          </w:p>
        </w:tc>
        <w:tc>
          <w:tcPr>
            <w:tcW w:w="422" w:type="pct"/>
          </w:tcPr>
          <w:p w:rsidR="00000000" w:rsidRDefault="00CA422F">
            <w:pPr>
              <w:spacing w:line="360" w:lineRule="exact"/>
              <w:rPr>
                <w:rFonts w:hint="eastAsia"/>
                <w:sz w:val="18"/>
              </w:rPr>
            </w:pPr>
          </w:p>
        </w:tc>
        <w:tc>
          <w:tcPr>
            <w:tcW w:w="427" w:type="pct"/>
          </w:tcPr>
          <w:p w:rsidR="00000000" w:rsidRDefault="00CA422F">
            <w:pPr>
              <w:spacing w:line="360" w:lineRule="exact"/>
              <w:rPr>
                <w:rFonts w:hint="eastAsia"/>
                <w:sz w:val="18"/>
              </w:rPr>
            </w:pPr>
          </w:p>
        </w:tc>
        <w:tc>
          <w:tcPr>
            <w:tcW w:w="424" w:type="pct"/>
          </w:tcPr>
          <w:p w:rsidR="00000000" w:rsidRDefault="00CA422F">
            <w:pPr>
              <w:spacing w:line="360" w:lineRule="exact"/>
              <w:rPr>
                <w:rFonts w:hint="eastAsia"/>
                <w:sz w:val="18"/>
              </w:rPr>
            </w:pPr>
          </w:p>
        </w:tc>
        <w:tc>
          <w:tcPr>
            <w:tcW w:w="425" w:type="pct"/>
          </w:tcPr>
          <w:p w:rsidR="00000000" w:rsidRDefault="00CA422F">
            <w:pPr>
              <w:spacing w:line="360" w:lineRule="exact"/>
              <w:rPr>
                <w:rFonts w:hint="eastAsia"/>
                <w:sz w:val="18"/>
              </w:rPr>
            </w:pPr>
            <w:r>
              <w:rPr>
                <w:rFonts w:hint="eastAsia"/>
                <w:sz w:val="18"/>
              </w:rPr>
              <w:t>15 336</w:t>
            </w:r>
          </w:p>
        </w:tc>
        <w:tc>
          <w:tcPr>
            <w:tcW w:w="423" w:type="pct"/>
          </w:tcPr>
          <w:p w:rsidR="00000000" w:rsidRDefault="00CA422F">
            <w:pPr>
              <w:spacing w:line="360" w:lineRule="exact"/>
              <w:rPr>
                <w:rFonts w:hint="eastAsia"/>
                <w:sz w:val="18"/>
              </w:rPr>
            </w:pPr>
            <w:r>
              <w:rPr>
                <w:rFonts w:hint="eastAsia"/>
                <w:sz w:val="18"/>
              </w:rPr>
              <w:t>20 996</w:t>
            </w:r>
          </w:p>
        </w:tc>
        <w:tc>
          <w:tcPr>
            <w:tcW w:w="423" w:type="pct"/>
          </w:tcPr>
          <w:p w:rsidR="00000000" w:rsidRDefault="00CA422F">
            <w:pPr>
              <w:spacing w:line="360" w:lineRule="exact"/>
              <w:rPr>
                <w:rFonts w:hint="eastAsia"/>
                <w:sz w:val="18"/>
              </w:rPr>
            </w:pPr>
            <w:r>
              <w:rPr>
                <w:rFonts w:hint="eastAsia"/>
                <w:sz w:val="18"/>
              </w:rPr>
              <w:t>26 437</w:t>
            </w:r>
          </w:p>
        </w:tc>
        <w:tc>
          <w:tcPr>
            <w:tcW w:w="409" w:type="pct"/>
          </w:tcPr>
          <w:p w:rsidR="00000000" w:rsidRDefault="00CA422F">
            <w:pPr>
              <w:spacing w:line="360" w:lineRule="exact"/>
              <w:rPr>
                <w:rFonts w:hint="eastAsia"/>
                <w:sz w:val="18"/>
              </w:rPr>
            </w:pPr>
            <w:r>
              <w:rPr>
                <w:rFonts w:hint="eastAsia"/>
                <w:sz w:val="18"/>
              </w:rPr>
              <w:t>32 643</w:t>
            </w: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eastAsia="SimHei" w:hint="eastAsia"/>
                <w:kern w:val="2"/>
                <w:sz w:val="18"/>
                <w:szCs w:val="24"/>
              </w:rPr>
              <w:t>政治参与</w:t>
            </w:r>
            <w:r>
              <w:rPr>
                <w:rFonts w:hint="eastAsia"/>
                <w:sz w:val="18"/>
                <w:vertAlign w:val="superscript"/>
              </w:rPr>
              <w:t>g/</w:t>
            </w:r>
          </w:p>
        </w:tc>
        <w:tc>
          <w:tcPr>
            <w:tcW w:w="422" w:type="pct"/>
          </w:tcPr>
          <w:p w:rsidR="00000000" w:rsidRDefault="00CA422F">
            <w:pPr>
              <w:spacing w:line="360" w:lineRule="exact"/>
              <w:rPr>
                <w:rFonts w:hint="eastAsia"/>
                <w:sz w:val="18"/>
              </w:rPr>
            </w:pPr>
          </w:p>
        </w:tc>
        <w:tc>
          <w:tcPr>
            <w:tcW w:w="427" w:type="pct"/>
          </w:tcPr>
          <w:p w:rsidR="00000000" w:rsidRDefault="00CA422F">
            <w:pPr>
              <w:spacing w:line="360" w:lineRule="exact"/>
              <w:jc w:val="right"/>
              <w:rPr>
                <w:rFonts w:hint="eastAsia"/>
                <w:sz w:val="18"/>
              </w:rPr>
            </w:pPr>
            <w:r>
              <w:rPr>
                <w:rFonts w:hint="eastAsia"/>
                <w:sz w:val="18"/>
              </w:rPr>
              <w:t>199</w:t>
            </w:r>
            <w:r>
              <w:rPr>
                <w:rFonts w:hint="eastAsia"/>
                <w:sz w:val="18"/>
              </w:rPr>
              <w:t>4</w:t>
            </w:r>
          </w:p>
        </w:tc>
        <w:tc>
          <w:tcPr>
            <w:tcW w:w="424" w:type="pct"/>
          </w:tcPr>
          <w:p w:rsidR="00000000" w:rsidRDefault="00CA422F">
            <w:pPr>
              <w:spacing w:line="360" w:lineRule="exact"/>
              <w:rPr>
                <w:rFonts w:hint="eastAsia"/>
                <w:sz w:val="18"/>
              </w:rPr>
            </w:pPr>
          </w:p>
        </w:tc>
        <w:tc>
          <w:tcPr>
            <w:tcW w:w="425" w:type="pct"/>
          </w:tcPr>
          <w:p w:rsidR="00000000" w:rsidRDefault="00CA422F">
            <w:pPr>
              <w:spacing w:line="360" w:lineRule="exact"/>
              <w:rPr>
                <w:rFonts w:hint="eastAsia"/>
                <w:sz w:val="18"/>
              </w:rPr>
            </w:pPr>
          </w:p>
        </w:tc>
        <w:tc>
          <w:tcPr>
            <w:tcW w:w="423" w:type="pct"/>
          </w:tcPr>
          <w:p w:rsidR="00000000" w:rsidRDefault="00CA422F">
            <w:pPr>
              <w:spacing w:line="360" w:lineRule="exact"/>
              <w:rPr>
                <w:rFonts w:hint="eastAsia"/>
                <w:sz w:val="18"/>
              </w:rPr>
            </w:pPr>
          </w:p>
        </w:tc>
        <w:tc>
          <w:tcPr>
            <w:tcW w:w="423" w:type="pct"/>
          </w:tcPr>
          <w:p w:rsidR="00000000" w:rsidRDefault="00CA422F">
            <w:pPr>
              <w:spacing w:line="360" w:lineRule="exact"/>
              <w:rPr>
                <w:rFonts w:hint="eastAsia"/>
                <w:sz w:val="18"/>
              </w:rPr>
            </w:pPr>
          </w:p>
        </w:tc>
        <w:tc>
          <w:tcPr>
            <w:tcW w:w="409" w:type="pct"/>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女参议员的比率</w:t>
            </w:r>
          </w:p>
        </w:tc>
        <w:tc>
          <w:tcPr>
            <w:tcW w:w="422" w:type="pct"/>
          </w:tcPr>
          <w:p w:rsidR="00000000" w:rsidRDefault="00CA422F">
            <w:pPr>
              <w:spacing w:line="360" w:lineRule="exact"/>
              <w:jc w:val="right"/>
              <w:rPr>
                <w:rFonts w:hint="eastAsia"/>
                <w:sz w:val="18"/>
              </w:rPr>
            </w:pPr>
            <w:r>
              <w:rPr>
                <w:rFonts w:hint="eastAsia"/>
                <w:sz w:val="18"/>
              </w:rPr>
              <w:t>12.3</w:t>
            </w:r>
          </w:p>
        </w:tc>
        <w:tc>
          <w:tcPr>
            <w:tcW w:w="427" w:type="pct"/>
          </w:tcPr>
          <w:p w:rsidR="00000000" w:rsidRDefault="00CA422F">
            <w:pPr>
              <w:spacing w:line="360" w:lineRule="exact"/>
              <w:jc w:val="right"/>
              <w:rPr>
                <w:rFonts w:hint="eastAsia"/>
                <w:sz w:val="18"/>
              </w:rPr>
            </w:pPr>
            <w:r>
              <w:rPr>
                <w:rFonts w:hint="eastAsia"/>
                <w:sz w:val="18"/>
              </w:rPr>
              <w:t>15.8</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19.3</w:t>
            </w:r>
          </w:p>
        </w:tc>
        <w:tc>
          <w:tcPr>
            <w:tcW w:w="409" w:type="pct"/>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女参议员候选人占全体候选人的比率</w:t>
            </w:r>
          </w:p>
        </w:tc>
        <w:tc>
          <w:tcPr>
            <w:tcW w:w="422" w:type="pct"/>
          </w:tcPr>
          <w:p w:rsidR="00000000" w:rsidRDefault="00CA422F">
            <w:pPr>
              <w:spacing w:line="360" w:lineRule="exact"/>
              <w:jc w:val="right"/>
              <w:rPr>
                <w:rFonts w:hint="eastAsia"/>
                <w:sz w:val="18"/>
              </w:rPr>
            </w:pPr>
            <w:r>
              <w:rPr>
                <w:rFonts w:hint="eastAsia"/>
                <w:sz w:val="18"/>
              </w:rPr>
              <w:t>17. 8</w:t>
            </w:r>
          </w:p>
        </w:tc>
        <w:tc>
          <w:tcPr>
            <w:tcW w:w="427" w:type="pct"/>
          </w:tcPr>
          <w:p w:rsidR="00000000" w:rsidRDefault="00CA422F">
            <w:pPr>
              <w:spacing w:line="360" w:lineRule="exact"/>
              <w:jc w:val="right"/>
              <w:rPr>
                <w:rFonts w:hint="eastAsia"/>
                <w:sz w:val="18"/>
              </w:rPr>
            </w:pPr>
            <w:r>
              <w:rPr>
                <w:rFonts w:hint="eastAsia"/>
                <w:sz w:val="18"/>
              </w:rPr>
              <w:t>23.4</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47.2</w:t>
            </w:r>
          </w:p>
        </w:tc>
        <w:tc>
          <w:tcPr>
            <w:tcW w:w="409" w:type="pct"/>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女市政议员候选人占全体市政议员候选人（男</w:t>
            </w:r>
            <w:r>
              <w:rPr>
                <w:rFonts w:hint="eastAsia"/>
                <w:sz w:val="18"/>
              </w:rPr>
              <w:t>/</w:t>
            </w:r>
            <w:r>
              <w:rPr>
                <w:rFonts w:hint="eastAsia"/>
                <w:sz w:val="18"/>
              </w:rPr>
              <w:t>女）的比率</w:t>
            </w:r>
          </w:p>
        </w:tc>
        <w:tc>
          <w:tcPr>
            <w:tcW w:w="422" w:type="pct"/>
          </w:tcPr>
          <w:p w:rsidR="00000000" w:rsidRDefault="00CA422F">
            <w:pPr>
              <w:spacing w:line="360" w:lineRule="exact"/>
              <w:jc w:val="right"/>
              <w:rPr>
                <w:rFonts w:hint="eastAsia"/>
                <w:sz w:val="18"/>
              </w:rPr>
            </w:pPr>
            <w:r>
              <w:rPr>
                <w:rFonts w:hint="eastAsia"/>
                <w:sz w:val="18"/>
              </w:rPr>
              <w:t>12.4</w:t>
            </w:r>
          </w:p>
        </w:tc>
        <w:tc>
          <w:tcPr>
            <w:tcW w:w="427" w:type="pct"/>
          </w:tcPr>
          <w:p w:rsidR="00000000" w:rsidRDefault="00CA422F">
            <w:pPr>
              <w:spacing w:line="360" w:lineRule="exact"/>
              <w:jc w:val="right"/>
              <w:rPr>
                <w:rFonts w:hint="eastAsia"/>
                <w:sz w:val="18"/>
              </w:rPr>
            </w:pPr>
            <w:r>
              <w:rPr>
                <w:rFonts w:hint="eastAsia"/>
                <w:sz w:val="18"/>
              </w:rPr>
              <w:t>14.2</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34.4</w:t>
            </w:r>
          </w:p>
        </w:tc>
        <w:tc>
          <w:tcPr>
            <w:tcW w:w="409" w:type="pct"/>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男子担任普选职位的指标</w:t>
            </w:r>
          </w:p>
        </w:tc>
        <w:tc>
          <w:tcPr>
            <w:tcW w:w="422" w:type="pct"/>
          </w:tcPr>
          <w:p w:rsidR="00000000" w:rsidRDefault="00CA422F">
            <w:pPr>
              <w:spacing w:line="360" w:lineRule="exact"/>
              <w:jc w:val="right"/>
              <w:rPr>
                <w:rFonts w:hint="eastAsia"/>
                <w:sz w:val="18"/>
              </w:rPr>
            </w:pPr>
          </w:p>
        </w:tc>
        <w:tc>
          <w:tcPr>
            <w:tcW w:w="427" w:type="pct"/>
          </w:tcPr>
          <w:p w:rsidR="00000000" w:rsidRDefault="00CA422F">
            <w:pPr>
              <w:spacing w:line="360" w:lineRule="exact"/>
              <w:jc w:val="right"/>
              <w:rPr>
                <w:rFonts w:hint="eastAsia"/>
                <w:sz w:val="18"/>
              </w:rPr>
            </w:pP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09" w:type="pct"/>
          </w:tcPr>
          <w:p w:rsidR="00000000" w:rsidRDefault="00CA422F">
            <w:pPr>
              <w:spacing w:line="360" w:lineRule="exact"/>
              <w:rPr>
                <w:rFonts w:hint="eastAsia"/>
                <w:sz w:val="18"/>
              </w:rPr>
            </w:pPr>
          </w:p>
        </w:tc>
      </w:tr>
      <w:tr w:rsidR="00000000">
        <w:tblPrEx>
          <w:tblCellMar>
            <w:top w:w="0" w:type="dxa"/>
            <w:bottom w:w="0" w:type="dxa"/>
          </w:tblCellMar>
        </w:tblPrEx>
        <w:tc>
          <w:tcPr>
            <w:tcW w:w="2047" w:type="pct"/>
          </w:tcPr>
          <w:p w:rsidR="00000000" w:rsidRDefault="00CA422F">
            <w:pPr>
              <w:spacing w:line="360" w:lineRule="exact"/>
              <w:rPr>
                <w:rFonts w:hint="eastAsia"/>
                <w:sz w:val="18"/>
              </w:rPr>
            </w:pPr>
            <w:r>
              <w:rPr>
                <w:rFonts w:hint="eastAsia"/>
                <w:sz w:val="18"/>
              </w:rPr>
              <w:t>男子当选指标</w:t>
            </w:r>
            <w:r>
              <w:rPr>
                <w:sz w:val="18"/>
                <w:vertAlign w:val="superscript"/>
              </w:rPr>
              <w:t>f</w:t>
            </w:r>
            <w:r>
              <w:rPr>
                <w:rFonts w:hint="eastAsia"/>
                <w:sz w:val="18"/>
                <w:vertAlign w:val="superscript"/>
              </w:rPr>
              <w:t>/</w:t>
            </w:r>
          </w:p>
        </w:tc>
        <w:tc>
          <w:tcPr>
            <w:tcW w:w="422" w:type="pct"/>
          </w:tcPr>
          <w:p w:rsidR="00000000" w:rsidRDefault="00CA422F">
            <w:pPr>
              <w:spacing w:line="360" w:lineRule="exact"/>
              <w:jc w:val="right"/>
              <w:rPr>
                <w:rFonts w:hint="eastAsia"/>
                <w:sz w:val="18"/>
              </w:rPr>
            </w:pPr>
            <w:r>
              <w:rPr>
                <w:rFonts w:hint="eastAsia"/>
                <w:sz w:val="18"/>
              </w:rPr>
              <w:t>105.7</w:t>
            </w:r>
          </w:p>
        </w:tc>
        <w:tc>
          <w:tcPr>
            <w:tcW w:w="427" w:type="pct"/>
          </w:tcPr>
          <w:p w:rsidR="00000000" w:rsidRDefault="00CA422F">
            <w:pPr>
              <w:spacing w:line="360" w:lineRule="exact"/>
              <w:jc w:val="right"/>
              <w:rPr>
                <w:rFonts w:hint="eastAsia"/>
                <w:sz w:val="18"/>
              </w:rPr>
            </w:pPr>
            <w:r>
              <w:rPr>
                <w:rFonts w:hint="eastAsia"/>
                <w:sz w:val="18"/>
              </w:rPr>
              <w:t>105.7</w:t>
            </w:r>
          </w:p>
        </w:tc>
        <w:tc>
          <w:tcPr>
            <w:tcW w:w="424" w:type="pct"/>
          </w:tcPr>
          <w:p w:rsidR="00000000" w:rsidRDefault="00CA422F">
            <w:pPr>
              <w:spacing w:line="360" w:lineRule="exact"/>
              <w:jc w:val="right"/>
              <w:rPr>
                <w:rFonts w:hint="eastAsia"/>
                <w:sz w:val="18"/>
              </w:rPr>
            </w:pPr>
          </w:p>
        </w:tc>
        <w:tc>
          <w:tcPr>
            <w:tcW w:w="425"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p>
        </w:tc>
        <w:tc>
          <w:tcPr>
            <w:tcW w:w="423" w:type="pct"/>
          </w:tcPr>
          <w:p w:rsidR="00000000" w:rsidRDefault="00CA422F">
            <w:pPr>
              <w:spacing w:line="360" w:lineRule="exact"/>
              <w:jc w:val="right"/>
              <w:rPr>
                <w:rFonts w:hint="eastAsia"/>
                <w:sz w:val="18"/>
              </w:rPr>
            </w:pPr>
            <w:r>
              <w:rPr>
                <w:rFonts w:hint="eastAsia"/>
                <w:sz w:val="18"/>
              </w:rPr>
              <w:t>103.4</w:t>
            </w:r>
          </w:p>
        </w:tc>
        <w:tc>
          <w:tcPr>
            <w:tcW w:w="409" w:type="pct"/>
          </w:tcPr>
          <w:p w:rsidR="00000000" w:rsidRDefault="00CA422F">
            <w:pPr>
              <w:spacing w:line="360" w:lineRule="exact"/>
              <w:rPr>
                <w:rFonts w:hint="eastAsia"/>
                <w:sz w:val="18"/>
              </w:rPr>
            </w:pPr>
          </w:p>
        </w:tc>
      </w:tr>
    </w:tbl>
    <w:p w:rsidR="00000000" w:rsidRDefault="00CA422F">
      <w:pPr>
        <w:pStyle w:val="Date"/>
        <w:spacing w:after="240" w:line="360" w:lineRule="exact"/>
        <w:rPr>
          <w:rFonts w:hint="eastAsia"/>
        </w:rPr>
      </w:pPr>
    </w:p>
    <w:p w:rsidR="00000000" w:rsidRDefault="00CA422F">
      <w:pPr>
        <w:spacing w:after="240" w:line="360" w:lineRule="exact"/>
        <w:rPr>
          <w:rFonts w:hint="eastAsia"/>
          <w:sz w:val="18"/>
        </w:rPr>
      </w:pPr>
      <w:r>
        <w:rPr>
          <w:rFonts w:hint="eastAsia"/>
          <w:sz w:val="18"/>
          <w:vertAlign w:val="superscript"/>
        </w:rPr>
        <w:t>a/</w:t>
      </w:r>
      <w:r>
        <w:rPr>
          <w:rFonts w:hint="eastAsia"/>
          <w:sz w:val="18"/>
        </w:rPr>
        <w:t xml:space="preserve">  </w:t>
      </w:r>
      <w:r>
        <w:rPr>
          <w:rFonts w:hint="eastAsia"/>
          <w:sz w:val="18"/>
        </w:rPr>
        <w:t>男子为户主的贫困家庭比例与妇女为户主的比例之差。</w:t>
      </w:r>
    </w:p>
    <w:p w:rsidR="00000000" w:rsidRDefault="00CA422F">
      <w:pPr>
        <w:spacing w:after="240" w:line="360" w:lineRule="exact"/>
        <w:rPr>
          <w:rFonts w:hint="eastAsia"/>
          <w:sz w:val="18"/>
        </w:rPr>
      </w:pPr>
      <w:r>
        <w:rPr>
          <w:rFonts w:hint="eastAsia"/>
          <w:sz w:val="18"/>
          <w:vertAlign w:val="superscript"/>
        </w:rPr>
        <w:t xml:space="preserve">b/ </w:t>
      </w:r>
      <w:r>
        <w:rPr>
          <w:rFonts w:hint="eastAsia"/>
          <w:sz w:val="18"/>
        </w:rPr>
        <w:t>每周工作</w:t>
      </w:r>
      <w:r>
        <w:rPr>
          <w:rFonts w:hint="eastAsia"/>
          <w:sz w:val="18"/>
        </w:rPr>
        <w:t>40</w:t>
      </w:r>
      <w:r>
        <w:rPr>
          <w:rFonts w:hint="eastAsia"/>
          <w:sz w:val="18"/>
        </w:rPr>
        <w:t>小时或</w:t>
      </w:r>
      <w:r>
        <w:rPr>
          <w:rFonts w:hint="eastAsia"/>
          <w:sz w:val="18"/>
        </w:rPr>
        <w:t>40</w:t>
      </w:r>
      <w:r>
        <w:rPr>
          <w:rFonts w:hint="eastAsia"/>
          <w:sz w:val="18"/>
        </w:rPr>
        <w:t>小时以上的妇女指标值与男子的指标值相比再乘以</w:t>
      </w:r>
      <w:r>
        <w:rPr>
          <w:rFonts w:hint="eastAsia"/>
          <w:sz w:val="18"/>
        </w:rPr>
        <w:t>100</w:t>
      </w:r>
      <w:r>
        <w:rPr>
          <w:rFonts w:hint="eastAsia"/>
          <w:sz w:val="18"/>
        </w:rPr>
        <w:t>。</w:t>
      </w:r>
    </w:p>
    <w:p w:rsidR="00000000" w:rsidRDefault="00CA422F">
      <w:pPr>
        <w:spacing w:after="240" w:line="360" w:lineRule="exact"/>
        <w:rPr>
          <w:rFonts w:hint="eastAsia"/>
          <w:sz w:val="18"/>
        </w:rPr>
      </w:pPr>
      <w:r>
        <w:rPr>
          <w:rFonts w:hint="eastAsia"/>
          <w:sz w:val="18"/>
          <w:vertAlign w:val="superscript"/>
        </w:rPr>
        <w:t xml:space="preserve">c/ </w:t>
      </w:r>
      <w:r>
        <w:rPr>
          <w:rFonts w:hint="eastAsia"/>
          <w:sz w:val="18"/>
        </w:rPr>
        <w:t>以自我消费为目的的</w:t>
      </w:r>
      <w:r>
        <w:rPr>
          <w:rFonts w:hint="eastAsia"/>
          <w:sz w:val="18"/>
        </w:rPr>
        <w:t>初级产品生产者、从事传统职业之外的边际化生产活动的劳动者均被认为是劳动人口；以前未曾进行过生产活动的传统公开失业者、非积极失业者和本来找到工作但不参加经济活动的劳动者均被认为是失业人口。</w:t>
      </w:r>
    </w:p>
    <w:p w:rsidR="00000000" w:rsidRDefault="00CA422F">
      <w:pPr>
        <w:spacing w:after="240" w:line="360" w:lineRule="exact"/>
        <w:rPr>
          <w:rFonts w:hint="eastAsia"/>
          <w:sz w:val="18"/>
        </w:rPr>
      </w:pPr>
      <w:r>
        <w:rPr>
          <w:rFonts w:hint="eastAsia"/>
          <w:sz w:val="18"/>
          <w:vertAlign w:val="superscript"/>
        </w:rPr>
        <w:t xml:space="preserve">d/ </w:t>
      </w:r>
      <w:r>
        <w:rPr>
          <w:rFonts w:hint="eastAsia"/>
          <w:sz w:val="18"/>
        </w:rPr>
        <w:t>反映为了从中获得在全体相关者（就业者、大学毕业生、参与者）中观察到的分布比例，需要改变类别（职业、专业）的人的总比率。</w:t>
      </w:r>
    </w:p>
    <w:p w:rsidR="00000000" w:rsidRDefault="00CA422F">
      <w:pPr>
        <w:spacing w:after="240" w:line="360" w:lineRule="exact"/>
        <w:rPr>
          <w:rFonts w:hint="eastAsia"/>
          <w:sz w:val="18"/>
        </w:rPr>
      </w:pPr>
      <w:r>
        <w:rPr>
          <w:rFonts w:hint="eastAsia"/>
          <w:sz w:val="18"/>
          <w:vertAlign w:val="superscript"/>
        </w:rPr>
        <w:t xml:space="preserve">e/ </w:t>
      </w:r>
      <w:r>
        <w:rPr>
          <w:rFonts w:hint="eastAsia"/>
          <w:sz w:val="18"/>
        </w:rPr>
        <w:t>反映妇女比率与男子比率之间的差别。</w:t>
      </w:r>
    </w:p>
    <w:p w:rsidR="00000000" w:rsidRDefault="00CA422F">
      <w:pPr>
        <w:spacing w:after="240" w:line="360" w:lineRule="exact"/>
        <w:rPr>
          <w:rFonts w:hint="eastAsia"/>
          <w:sz w:val="18"/>
        </w:rPr>
      </w:pPr>
      <w:r>
        <w:rPr>
          <w:rFonts w:hint="eastAsia"/>
          <w:sz w:val="18"/>
          <w:vertAlign w:val="superscript"/>
        </w:rPr>
        <w:t>f/</w:t>
      </w:r>
      <w:r>
        <w:rPr>
          <w:rFonts w:hint="eastAsia"/>
          <w:sz w:val="18"/>
        </w:rPr>
        <w:t xml:space="preserve"> </w:t>
      </w:r>
      <w:r>
        <w:rPr>
          <w:rFonts w:hint="eastAsia"/>
          <w:sz w:val="18"/>
        </w:rPr>
        <w:t>户籍登记人口，</w:t>
      </w:r>
      <w:r>
        <w:rPr>
          <w:rFonts w:hint="eastAsia"/>
          <w:sz w:val="18"/>
        </w:rPr>
        <w:t>1999</w:t>
      </w:r>
      <w:r>
        <w:rPr>
          <w:rFonts w:hint="eastAsia"/>
          <w:sz w:val="18"/>
        </w:rPr>
        <w:t>年</w:t>
      </w:r>
      <w:r>
        <w:rPr>
          <w:rFonts w:hint="eastAsia"/>
          <w:sz w:val="18"/>
        </w:rPr>
        <w:t>7</w:t>
      </w:r>
      <w:r>
        <w:rPr>
          <w:rFonts w:hint="eastAsia"/>
          <w:sz w:val="18"/>
        </w:rPr>
        <w:t>月的实时数据。</w:t>
      </w:r>
    </w:p>
    <w:p w:rsidR="00000000" w:rsidRDefault="00CA422F">
      <w:pPr>
        <w:spacing w:after="240" w:line="360" w:lineRule="exact"/>
        <w:rPr>
          <w:rFonts w:hint="eastAsia"/>
          <w:sz w:val="18"/>
        </w:rPr>
      </w:pPr>
      <w:r>
        <w:rPr>
          <w:rFonts w:hint="eastAsia"/>
          <w:sz w:val="18"/>
          <w:vertAlign w:val="superscript"/>
        </w:rPr>
        <w:t>g/</w:t>
      </w:r>
      <w:r>
        <w:rPr>
          <w:rFonts w:hint="eastAsia"/>
          <w:sz w:val="18"/>
        </w:rPr>
        <w:t xml:space="preserve"> </w:t>
      </w:r>
      <w:r>
        <w:rPr>
          <w:rFonts w:hint="eastAsia"/>
          <w:sz w:val="18"/>
        </w:rPr>
        <w:t>在</w:t>
      </w:r>
      <w:r>
        <w:rPr>
          <w:rFonts w:hint="eastAsia"/>
          <w:sz w:val="18"/>
        </w:rPr>
        <w:t>1990</w:t>
      </w:r>
      <w:r>
        <w:rPr>
          <w:rFonts w:hint="eastAsia"/>
          <w:sz w:val="18"/>
        </w:rPr>
        <w:t>年至</w:t>
      </w:r>
      <w:r>
        <w:rPr>
          <w:rFonts w:hint="eastAsia"/>
          <w:sz w:val="18"/>
        </w:rPr>
        <w:t>1994</w:t>
      </w:r>
      <w:r>
        <w:rPr>
          <w:rFonts w:hint="eastAsia"/>
          <w:sz w:val="18"/>
        </w:rPr>
        <w:t>年、</w:t>
      </w:r>
      <w:r>
        <w:rPr>
          <w:rFonts w:hint="eastAsia"/>
          <w:sz w:val="18"/>
        </w:rPr>
        <w:t>1994</w:t>
      </w:r>
      <w:r>
        <w:rPr>
          <w:rFonts w:hint="eastAsia"/>
          <w:sz w:val="18"/>
        </w:rPr>
        <w:t>年至</w:t>
      </w:r>
      <w:r>
        <w:rPr>
          <w:rFonts w:hint="eastAsia"/>
          <w:sz w:val="18"/>
        </w:rPr>
        <w:t>1998</w:t>
      </w:r>
      <w:r>
        <w:rPr>
          <w:rFonts w:hint="eastAsia"/>
          <w:sz w:val="18"/>
        </w:rPr>
        <w:t>年和</w:t>
      </w:r>
      <w:r>
        <w:rPr>
          <w:rFonts w:hint="eastAsia"/>
          <w:sz w:val="18"/>
        </w:rPr>
        <w:t>1998</w:t>
      </w:r>
      <w:r>
        <w:rPr>
          <w:rFonts w:hint="eastAsia"/>
          <w:sz w:val="18"/>
        </w:rPr>
        <w:t>年至</w:t>
      </w:r>
      <w:r>
        <w:rPr>
          <w:rFonts w:hint="eastAsia"/>
          <w:sz w:val="18"/>
        </w:rPr>
        <w:t>2000</w:t>
      </w:r>
      <w:r>
        <w:rPr>
          <w:rFonts w:hint="eastAsia"/>
          <w:sz w:val="18"/>
        </w:rPr>
        <w:t>年的选举中。</w:t>
      </w:r>
    </w:p>
    <w:p w:rsidR="00000000" w:rsidRDefault="00CA422F">
      <w:pPr>
        <w:spacing w:after="240" w:line="360" w:lineRule="exact"/>
        <w:rPr>
          <w:rFonts w:hint="eastAsia"/>
          <w:sz w:val="18"/>
        </w:rPr>
      </w:pPr>
      <w:r>
        <w:rPr>
          <w:rFonts w:hint="eastAsia"/>
          <w:sz w:val="18"/>
        </w:rPr>
        <w:t>资料来源：国家政府</w:t>
      </w:r>
      <w:r>
        <w:rPr>
          <w:rFonts w:hint="eastAsia"/>
          <w:sz w:val="18"/>
        </w:rPr>
        <w:t>计划（</w:t>
      </w:r>
      <w:r>
        <w:rPr>
          <w:rFonts w:hint="eastAsia"/>
          <w:sz w:val="18"/>
        </w:rPr>
        <w:t>2001</w:t>
      </w:r>
      <w:r>
        <w:rPr>
          <w:rFonts w:hint="eastAsia"/>
          <w:sz w:val="18"/>
        </w:rPr>
        <w:t>年）。第七次国家政府报告（</w:t>
      </w:r>
      <w:r>
        <w:rPr>
          <w:rFonts w:hint="eastAsia"/>
          <w:sz w:val="18"/>
        </w:rPr>
        <w:t>2000</w:t>
      </w:r>
      <w:r>
        <w:rPr>
          <w:rFonts w:hint="eastAsia"/>
          <w:sz w:val="18"/>
        </w:rPr>
        <w:t>年）。圣何塞，哥斯达黎加：国家政府报告。</w:t>
      </w:r>
    </w:p>
    <w:p w:rsidR="00000000" w:rsidRDefault="00CA422F">
      <w:pPr>
        <w:spacing w:after="240" w:line="360" w:lineRule="exact"/>
        <w:jc w:val="center"/>
        <w:rPr>
          <w:rFonts w:ascii="SimHei" w:eastAsia="SimHei" w:hint="eastAsia"/>
        </w:rPr>
      </w:pPr>
      <w:r>
        <w:br w:type="page"/>
      </w:r>
      <w:r>
        <w:rPr>
          <w:rFonts w:ascii="SimHei" w:eastAsia="SimHei" w:hint="eastAsia"/>
        </w:rPr>
        <w:t>附件</w:t>
      </w:r>
      <w:r>
        <w:rPr>
          <w:rFonts w:ascii="SimHei" w:eastAsia="SimHei" w:hint="eastAsia"/>
        </w:rPr>
        <w:t>2</w:t>
      </w:r>
      <w:r>
        <w:rPr>
          <w:rFonts w:ascii="SimHei" w:eastAsia="SimHei"/>
        </w:rPr>
        <w:br/>
      </w:r>
      <w:r>
        <w:rPr>
          <w:rFonts w:ascii="SimHei" w:eastAsia="SimHei" w:hint="eastAsia"/>
        </w:rPr>
        <w:t>哥斯达黎加批准的专门用于保护妇女人权的国际公约和条约</w:t>
      </w:r>
      <w:r>
        <w:rPr>
          <w:rFonts w:ascii="SimHei" w:eastAsia="SimHei"/>
        </w:rPr>
        <w:br/>
      </w:r>
      <w:r>
        <w:rPr>
          <w:rFonts w:ascii="SimHei" w:eastAsia="SimHei" w:hint="eastAsia"/>
        </w:rPr>
        <w:t>（</w:t>
      </w:r>
      <w:r>
        <w:rPr>
          <w:rFonts w:ascii="SimHei" w:eastAsia="SimHei" w:hint="eastAsia"/>
        </w:rPr>
        <w:t>1951</w:t>
      </w:r>
      <w:r>
        <w:rPr>
          <w:rFonts w:ascii="SimHei" w:eastAsia="SimHei" w:hint="eastAsia"/>
        </w:rPr>
        <w:t>至</w:t>
      </w:r>
      <w:r>
        <w:rPr>
          <w:rFonts w:ascii="SimHei" w:eastAsia="SimHei" w:hint="eastAsia"/>
        </w:rPr>
        <w:t>2002</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5"/>
        <w:gridCol w:w="3321"/>
      </w:tblGrid>
      <w:tr w:rsidR="00000000">
        <w:tblPrEx>
          <w:tblCellMar>
            <w:top w:w="0" w:type="dxa"/>
            <w:bottom w:w="0" w:type="dxa"/>
          </w:tblCellMar>
        </w:tblPrEx>
        <w:tc>
          <w:tcPr>
            <w:tcW w:w="3315" w:type="pct"/>
          </w:tcPr>
          <w:p w:rsidR="00000000" w:rsidRDefault="00CA422F">
            <w:pPr>
              <w:spacing w:after="120" w:line="360" w:lineRule="exact"/>
              <w:jc w:val="center"/>
              <w:rPr>
                <w:rFonts w:eastAsia="SimHei" w:hint="eastAsia"/>
                <w:sz w:val="18"/>
              </w:rPr>
            </w:pPr>
            <w:r>
              <w:rPr>
                <w:rFonts w:eastAsia="SimHei" w:hint="eastAsia"/>
                <w:sz w:val="18"/>
              </w:rPr>
              <w:t>国际公约与条约</w:t>
            </w:r>
          </w:p>
        </w:tc>
        <w:tc>
          <w:tcPr>
            <w:tcW w:w="1685" w:type="pct"/>
          </w:tcPr>
          <w:p w:rsidR="00000000" w:rsidRDefault="00CA422F" w:rsidP="00CA422F">
            <w:pPr>
              <w:spacing w:after="120" w:line="360" w:lineRule="exact"/>
              <w:ind w:firstLineChars="5" w:firstLine="31680"/>
              <w:jc w:val="center"/>
              <w:rPr>
                <w:rFonts w:eastAsia="SimHei" w:hint="eastAsia"/>
                <w:sz w:val="18"/>
              </w:rPr>
            </w:pPr>
            <w:r>
              <w:rPr>
                <w:rFonts w:eastAsia="SimHei" w:hint="eastAsia"/>
                <w:sz w:val="18"/>
              </w:rPr>
              <w:t>批准日期</w:t>
            </w:r>
          </w:p>
        </w:tc>
      </w:tr>
      <w:tr w:rsidR="00000000">
        <w:tblPrEx>
          <w:tblCellMar>
            <w:top w:w="0" w:type="dxa"/>
            <w:bottom w:w="0" w:type="dxa"/>
          </w:tblCellMar>
        </w:tblPrEx>
        <w:tc>
          <w:tcPr>
            <w:tcW w:w="3315" w:type="pct"/>
          </w:tcPr>
          <w:p w:rsidR="00000000" w:rsidRDefault="00CA422F">
            <w:pPr>
              <w:pStyle w:val="60"/>
              <w:spacing w:beforeLines="0" w:before="0" w:afterLines="0" w:after="120" w:line="360" w:lineRule="exact"/>
              <w:rPr>
                <w:rFonts w:ascii="Times New Roman" w:eastAsia="SimSun" w:hAnsi="Times New Roman" w:hint="eastAsia"/>
                <w:sz w:val="18"/>
                <w:lang w:val="en-US"/>
              </w:rPr>
            </w:pPr>
            <w:r>
              <w:rPr>
                <w:rFonts w:ascii="Times New Roman" w:eastAsia="SimSun" w:hAnsi="Times New Roman" w:hint="eastAsia"/>
                <w:sz w:val="18"/>
                <w:lang w:val="en-US"/>
              </w:rPr>
              <w:t>《公民及政治权利国际盟约》</w:t>
            </w:r>
          </w:p>
          <w:p w:rsidR="00000000" w:rsidRDefault="00CA422F">
            <w:pPr>
              <w:spacing w:after="120" w:line="360" w:lineRule="exact"/>
              <w:rPr>
                <w:rFonts w:hint="eastAsia"/>
                <w:sz w:val="18"/>
              </w:rPr>
            </w:pPr>
            <w:r>
              <w:rPr>
                <w:rFonts w:hint="eastAsia"/>
                <w:sz w:val="18"/>
              </w:rPr>
              <w:t>（</w:t>
            </w:r>
            <w:r>
              <w:rPr>
                <w:rFonts w:hint="eastAsia"/>
                <w:sz w:val="18"/>
              </w:rPr>
              <w:t>1976</w:t>
            </w:r>
            <w:r>
              <w:rPr>
                <w:rFonts w:hint="eastAsia"/>
                <w:sz w:val="18"/>
              </w:rPr>
              <w:t>年</w:t>
            </w:r>
            <w:r>
              <w:rPr>
                <w:rFonts w:hint="eastAsia"/>
                <w:sz w:val="18"/>
              </w:rPr>
              <w:t>3</w:t>
            </w:r>
            <w:r>
              <w:rPr>
                <w:rFonts w:hint="eastAsia"/>
                <w:sz w:val="18"/>
              </w:rPr>
              <w:t>月</w:t>
            </w:r>
            <w:r>
              <w:rPr>
                <w:rFonts w:hint="eastAsia"/>
                <w:sz w:val="18"/>
              </w:rPr>
              <w:t>23</w:t>
            </w:r>
            <w:r>
              <w:rPr>
                <w:rFonts w:hint="eastAsia"/>
                <w:sz w:val="18"/>
              </w:rPr>
              <w:t>日起生效）</w:t>
            </w:r>
          </w:p>
        </w:tc>
        <w:tc>
          <w:tcPr>
            <w:tcW w:w="1685" w:type="pct"/>
          </w:tcPr>
          <w:p w:rsidR="00000000" w:rsidRDefault="00CA422F">
            <w:pPr>
              <w:spacing w:after="120" w:line="360" w:lineRule="exact"/>
              <w:jc w:val="center"/>
              <w:rPr>
                <w:rFonts w:hint="eastAsia"/>
                <w:sz w:val="18"/>
              </w:rPr>
            </w:pPr>
            <w:r>
              <w:rPr>
                <w:rFonts w:hint="eastAsia"/>
                <w:sz w:val="18"/>
              </w:rPr>
              <w:t>1968</w:t>
            </w:r>
            <w:r>
              <w:rPr>
                <w:rFonts w:hint="eastAsia"/>
                <w:sz w:val="18"/>
              </w:rPr>
              <w:t>年</w:t>
            </w:r>
            <w:r>
              <w:rPr>
                <w:rFonts w:hint="eastAsia"/>
                <w:sz w:val="18"/>
              </w:rPr>
              <w:t>11</w:t>
            </w:r>
            <w:r>
              <w:rPr>
                <w:rFonts w:hint="eastAsia"/>
                <w:sz w:val="18"/>
              </w:rPr>
              <w:t>月</w:t>
            </w:r>
            <w:r>
              <w:rPr>
                <w:rFonts w:hint="eastAsia"/>
                <w:sz w:val="18"/>
              </w:rPr>
              <w:t>29</w:t>
            </w:r>
            <w:r>
              <w:rPr>
                <w:rFonts w:hint="eastAsia"/>
                <w:sz w:val="18"/>
              </w:rPr>
              <w:t>日</w:t>
            </w:r>
          </w:p>
        </w:tc>
      </w:tr>
      <w:tr w:rsidR="00000000">
        <w:tblPrEx>
          <w:tblCellMar>
            <w:top w:w="0" w:type="dxa"/>
            <w:bottom w:w="0" w:type="dxa"/>
          </w:tblCellMar>
        </w:tblPrEx>
        <w:tc>
          <w:tcPr>
            <w:tcW w:w="3315" w:type="pct"/>
          </w:tcPr>
          <w:p w:rsidR="00000000" w:rsidRDefault="00CA422F">
            <w:pPr>
              <w:spacing w:after="120" w:line="360" w:lineRule="exact"/>
              <w:rPr>
                <w:rFonts w:hint="eastAsia"/>
                <w:sz w:val="18"/>
              </w:rPr>
            </w:pPr>
            <w:r>
              <w:rPr>
                <w:rFonts w:hint="eastAsia"/>
                <w:sz w:val="18"/>
              </w:rPr>
              <w:t>《社会、经济、文化权利国际盟约》</w:t>
            </w:r>
          </w:p>
          <w:p w:rsidR="00000000" w:rsidRDefault="00CA422F">
            <w:pPr>
              <w:spacing w:after="120" w:line="360" w:lineRule="exact"/>
              <w:rPr>
                <w:rFonts w:hint="eastAsia"/>
                <w:sz w:val="18"/>
              </w:rPr>
            </w:pPr>
            <w:r>
              <w:rPr>
                <w:rFonts w:hint="eastAsia"/>
                <w:sz w:val="18"/>
              </w:rPr>
              <w:t>（</w:t>
            </w:r>
            <w:r>
              <w:rPr>
                <w:rFonts w:hint="eastAsia"/>
                <w:sz w:val="18"/>
              </w:rPr>
              <w:t>1976</w:t>
            </w:r>
            <w:r>
              <w:rPr>
                <w:rFonts w:hint="eastAsia"/>
                <w:sz w:val="18"/>
              </w:rPr>
              <w:t>年</w:t>
            </w:r>
            <w:r>
              <w:rPr>
                <w:rFonts w:hint="eastAsia"/>
                <w:sz w:val="18"/>
              </w:rPr>
              <w:t>1</w:t>
            </w:r>
            <w:r>
              <w:rPr>
                <w:rFonts w:hint="eastAsia"/>
                <w:sz w:val="18"/>
              </w:rPr>
              <w:t>月</w:t>
            </w:r>
            <w:r>
              <w:rPr>
                <w:rFonts w:hint="eastAsia"/>
                <w:sz w:val="18"/>
              </w:rPr>
              <w:t>3</w:t>
            </w:r>
            <w:r>
              <w:rPr>
                <w:rFonts w:hint="eastAsia"/>
                <w:sz w:val="18"/>
              </w:rPr>
              <w:t>日起生效）</w:t>
            </w:r>
          </w:p>
        </w:tc>
        <w:tc>
          <w:tcPr>
            <w:tcW w:w="1685" w:type="pct"/>
          </w:tcPr>
          <w:p w:rsidR="00000000" w:rsidRDefault="00CA422F">
            <w:pPr>
              <w:spacing w:after="120" w:line="360" w:lineRule="exact"/>
              <w:jc w:val="center"/>
              <w:rPr>
                <w:rFonts w:hint="eastAsia"/>
                <w:sz w:val="18"/>
              </w:rPr>
            </w:pPr>
            <w:r>
              <w:rPr>
                <w:rFonts w:hint="eastAsia"/>
                <w:sz w:val="18"/>
              </w:rPr>
              <w:t>1988</w:t>
            </w:r>
            <w:r>
              <w:rPr>
                <w:rFonts w:hint="eastAsia"/>
                <w:sz w:val="18"/>
              </w:rPr>
              <w:t>年</w:t>
            </w:r>
            <w:r>
              <w:rPr>
                <w:rFonts w:hint="eastAsia"/>
                <w:sz w:val="18"/>
              </w:rPr>
              <w:t>11</w:t>
            </w:r>
            <w:r>
              <w:rPr>
                <w:rFonts w:hint="eastAsia"/>
                <w:sz w:val="18"/>
              </w:rPr>
              <w:t>月</w:t>
            </w:r>
            <w:r>
              <w:rPr>
                <w:rFonts w:hint="eastAsia"/>
                <w:sz w:val="18"/>
              </w:rPr>
              <w:t>29</w:t>
            </w:r>
            <w:r>
              <w:rPr>
                <w:rFonts w:hint="eastAsia"/>
                <w:sz w:val="18"/>
              </w:rPr>
              <w:t>日</w:t>
            </w:r>
          </w:p>
        </w:tc>
      </w:tr>
      <w:tr w:rsidR="00000000">
        <w:tblPrEx>
          <w:tblCellMar>
            <w:top w:w="0" w:type="dxa"/>
            <w:bottom w:w="0" w:type="dxa"/>
          </w:tblCellMar>
        </w:tblPrEx>
        <w:tc>
          <w:tcPr>
            <w:tcW w:w="3315" w:type="pct"/>
          </w:tcPr>
          <w:p w:rsidR="00000000" w:rsidRDefault="00CA422F">
            <w:pPr>
              <w:spacing w:after="120" w:line="360" w:lineRule="exact"/>
              <w:rPr>
                <w:rFonts w:hint="eastAsia"/>
                <w:sz w:val="18"/>
              </w:rPr>
            </w:pPr>
            <w:r>
              <w:rPr>
                <w:rFonts w:hint="eastAsia"/>
                <w:sz w:val="18"/>
              </w:rPr>
              <w:t>《美洲人权公约》</w:t>
            </w:r>
          </w:p>
          <w:p w:rsidR="00000000" w:rsidRDefault="00CA422F">
            <w:pPr>
              <w:spacing w:after="120" w:line="360" w:lineRule="exact"/>
              <w:rPr>
                <w:rFonts w:hint="eastAsia"/>
                <w:sz w:val="18"/>
              </w:rPr>
            </w:pPr>
            <w:r>
              <w:rPr>
                <w:rFonts w:hint="eastAsia"/>
                <w:sz w:val="18"/>
              </w:rPr>
              <w:t>（</w:t>
            </w:r>
            <w:r>
              <w:rPr>
                <w:rFonts w:hint="eastAsia"/>
                <w:sz w:val="18"/>
              </w:rPr>
              <w:t>1978</w:t>
            </w:r>
            <w:r>
              <w:rPr>
                <w:rFonts w:hint="eastAsia"/>
                <w:sz w:val="18"/>
              </w:rPr>
              <w:t>年</w:t>
            </w:r>
            <w:r>
              <w:rPr>
                <w:rFonts w:hint="eastAsia"/>
                <w:sz w:val="18"/>
              </w:rPr>
              <w:t>7</w:t>
            </w:r>
            <w:r>
              <w:rPr>
                <w:rFonts w:hint="eastAsia"/>
                <w:sz w:val="18"/>
              </w:rPr>
              <w:t>月</w:t>
            </w:r>
            <w:r>
              <w:rPr>
                <w:rFonts w:hint="eastAsia"/>
                <w:sz w:val="18"/>
              </w:rPr>
              <w:t>18</w:t>
            </w:r>
            <w:r>
              <w:rPr>
                <w:rFonts w:hint="eastAsia"/>
                <w:sz w:val="18"/>
              </w:rPr>
              <w:t>日起生效）</w:t>
            </w:r>
          </w:p>
        </w:tc>
        <w:tc>
          <w:tcPr>
            <w:tcW w:w="1685" w:type="pct"/>
          </w:tcPr>
          <w:p w:rsidR="00000000" w:rsidRDefault="00CA422F">
            <w:pPr>
              <w:spacing w:after="120" w:line="360" w:lineRule="exact"/>
              <w:jc w:val="center"/>
              <w:rPr>
                <w:rFonts w:hint="eastAsia"/>
                <w:sz w:val="18"/>
              </w:rPr>
            </w:pPr>
            <w:r>
              <w:rPr>
                <w:rFonts w:hint="eastAsia"/>
                <w:sz w:val="18"/>
              </w:rPr>
              <w:t>1980</w:t>
            </w:r>
            <w:r>
              <w:rPr>
                <w:rFonts w:hint="eastAsia"/>
                <w:sz w:val="18"/>
              </w:rPr>
              <w:t>年</w:t>
            </w:r>
            <w:r>
              <w:rPr>
                <w:rFonts w:hint="eastAsia"/>
                <w:sz w:val="18"/>
              </w:rPr>
              <w:t>7</w:t>
            </w:r>
            <w:r>
              <w:rPr>
                <w:rFonts w:hint="eastAsia"/>
                <w:sz w:val="18"/>
              </w:rPr>
              <w:t>月</w:t>
            </w:r>
            <w:r>
              <w:rPr>
                <w:rFonts w:hint="eastAsia"/>
                <w:sz w:val="18"/>
              </w:rPr>
              <w:t>2</w:t>
            </w:r>
            <w:r>
              <w:rPr>
                <w:rFonts w:hint="eastAsia"/>
                <w:sz w:val="18"/>
              </w:rPr>
              <w:t>日</w:t>
            </w:r>
          </w:p>
        </w:tc>
      </w:tr>
      <w:tr w:rsidR="00000000">
        <w:tblPrEx>
          <w:tblCellMar>
            <w:top w:w="0" w:type="dxa"/>
            <w:bottom w:w="0" w:type="dxa"/>
          </w:tblCellMar>
        </w:tblPrEx>
        <w:tc>
          <w:tcPr>
            <w:tcW w:w="3315" w:type="pct"/>
          </w:tcPr>
          <w:p w:rsidR="00000000" w:rsidRDefault="00CA422F">
            <w:pPr>
              <w:spacing w:after="120" w:line="360" w:lineRule="exact"/>
              <w:rPr>
                <w:rFonts w:hint="eastAsia"/>
                <w:sz w:val="18"/>
              </w:rPr>
            </w:pPr>
            <w:r>
              <w:rPr>
                <w:rFonts w:hint="eastAsia"/>
                <w:sz w:val="18"/>
              </w:rPr>
              <w:t>《消除一切形式种族歧视国际公约》</w:t>
            </w:r>
          </w:p>
          <w:p w:rsidR="00000000" w:rsidRDefault="00CA422F">
            <w:pPr>
              <w:spacing w:after="120" w:line="360" w:lineRule="exact"/>
              <w:rPr>
                <w:rFonts w:hint="eastAsia"/>
                <w:sz w:val="18"/>
              </w:rPr>
            </w:pPr>
            <w:r>
              <w:rPr>
                <w:rFonts w:hint="eastAsia"/>
                <w:sz w:val="18"/>
              </w:rPr>
              <w:t>（</w:t>
            </w:r>
            <w:r>
              <w:rPr>
                <w:rFonts w:hint="eastAsia"/>
                <w:sz w:val="18"/>
              </w:rPr>
              <w:t>1969</w:t>
            </w:r>
            <w:r>
              <w:rPr>
                <w:rFonts w:hint="eastAsia"/>
                <w:sz w:val="18"/>
              </w:rPr>
              <w:t>年</w:t>
            </w:r>
            <w:r>
              <w:rPr>
                <w:rFonts w:hint="eastAsia"/>
                <w:sz w:val="18"/>
              </w:rPr>
              <w:t>1</w:t>
            </w:r>
            <w:r>
              <w:rPr>
                <w:rFonts w:hint="eastAsia"/>
                <w:sz w:val="18"/>
              </w:rPr>
              <w:t>月</w:t>
            </w:r>
            <w:r>
              <w:rPr>
                <w:rFonts w:hint="eastAsia"/>
                <w:sz w:val="18"/>
              </w:rPr>
              <w:t>4</w:t>
            </w:r>
            <w:r>
              <w:rPr>
                <w:rFonts w:hint="eastAsia"/>
                <w:sz w:val="18"/>
              </w:rPr>
              <w:t>日起</w:t>
            </w:r>
            <w:r>
              <w:rPr>
                <w:rFonts w:hint="eastAsia"/>
                <w:sz w:val="18"/>
              </w:rPr>
              <w:t>生效）</w:t>
            </w:r>
          </w:p>
        </w:tc>
        <w:tc>
          <w:tcPr>
            <w:tcW w:w="1685" w:type="pct"/>
          </w:tcPr>
          <w:p w:rsidR="00000000" w:rsidRDefault="00CA422F">
            <w:pPr>
              <w:spacing w:after="120" w:line="360" w:lineRule="exact"/>
              <w:jc w:val="center"/>
              <w:rPr>
                <w:rFonts w:hint="eastAsia"/>
                <w:sz w:val="18"/>
              </w:rPr>
            </w:pPr>
            <w:r>
              <w:rPr>
                <w:rFonts w:hint="eastAsia"/>
                <w:sz w:val="18"/>
              </w:rPr>
              <w:t>1967</w:t>
            </w:r>
            <w:r>
              <w:rPr>
                <w:rFonts w:hint="eastAsia"/>
                <w:sz w:val="18"/>
              </w:rPr>
              <w:t>年</w:t>
            </w:r>
            <w:r>
              <w:rPr>
                <w:rFonts w:hint="eastAsia"/>
                <w:sz w:val="18"/>
              </w:rPr>
              <w:t>1</w:t>
            </w:r>
            <w:r>
              <w:rPr>
                <w:rFonts w:hint="eastAsia"/>
                <w:sz w:val="18"/>
              </w:rPr>
              <w:t>月</w:t>
            </w:r>
            <w:r>
              <w:rPr>
                <w:rFonts w:hint="eastAsia"/>
                <w:sz w:val="18"/>
              </w:rPr>
              <w:t>16</w:t>
            </w:r>
            <w:r>
              <w:rPr>
                <w:rFonts w:hint="eastAsia"/>
                <w:sz w:val="18"/>
              </w:rPr>
              <w:t>日</w:t>
            </w:r>
          </w:p>
        </w:tc>
      </w:tr>
      <w:tr w:rsidR="00000000">
        <w:tblPrEx>
          <w:tblCellMar>
            <w:top w:w="0" w:type="dxa"/>
            <w:bottom w:w="0" w:type="dxa"/>
          </w:tblCellMar>
        </w:tblPrEx>
        <w:tc>
          <w:tcPr>
            <w:tcW w:w="3315" w:type="pct"/>
          </w:tcPr>
          <w:p w:rsidR="00000000" w:rsidRDefault="00CA422F">
            <w:pPr>
              <w:spacing w:after="120" w:line="360" w:lineRule="exact"/>
              <w:rPr>
                <w:rFonts w:hint="eastAsia"/>
                <w:sz w:val="18"/>
              </w:rPr>
            </w:pPr>
            <w:r>
              <w:rPr>
                <w:rFonts w:hint="eastAsia"/>
                <w:sz w:val="18"/>
              </w:rPr>
              <w:t>《消除对妇女一切形式歧视公约》</w:t>
            </w:r>
          </w:p>
          <w:p w:rsidR="00000000" w:rsidRDefault="00CA422F">
            <w:pPr>
              <w:spacing w:after="120" w:line="360" w:lineRule="exact"/>
              <w:rPr>
                <w:rFonts w:hint="eastAsia"/>
                <w:sz w:val="18"/>
              </w:rPr>
            </w:pPr>
            <w:r>
              <w:rPr>
                <w:rFonts w:hint="eastAsia"/>
                <w:sz w:val="18"/>
              </w:rPr>
              <w:t>（</w:t>
            </w:r>
            <w:r>
              <w:rPr>
                <w:rFonts w:hint="eastAsia"/>
                <w:sz w:val="18"/>
              </w:rPr>
              <w:t>1981</w:t>
            </w:r>
            <w:r>
              <w:rPr>
                <w:rFonts w:hint="eastAsia"/>
                <w:sz w:val="18"/>
              </w:rPr>
              <w:t>年</w:t>
            </w:r>
            <w:r>
              <w:rPr>
                <w:rFonts w:hint="eastAsia"/>
                <w:sz w:val="18"/>
              </w:rPr>
              <w:t>9</w:t>
            </w:r>
            <w:r>
              <w:rPr>
                <w:rFonts w:hint="eastAsia"/>
                <w:sz w:val="18"/>
              </w:rPr>
              <w:t>月</w:t>
            </w:r>
            <w:r>
              <w:rPr>
                <w:rFonts w:hint="eastAsia"/>
                <w:sz w:val="18"/>
              </w:rPr>
              <w:t>30</w:t>
            </w:r>
            <w:r>
              <w:rPr>
                <w:rFonts w:hint="eastAsia"/>
                <w:sz w:val="18"/>
              </w:rPr>
              <w:t>日起生效）</w:t>
            </w:r>
          </w:p>
        </w:tc>
        <w:tc>
          <w:tcPr>
            <w:tcW w:w="1685" w:type="pct"/>
          </w:tcPr>
          <w:p w:rsidR="00000000" w:rsidRDefault="00CA422F">
            <w:pPr>
              <w:spacing w:after="120" w:line="360" w:lineRule="exact"/>
              <w:jc w:val="center"/>
              <w:rPr>
                <w:rFonts w:hint="eastAsia"/>
                <w:sz w:val="18"/>
              </w:rPr>
            </w:pPr>
            <w:r>
              <w:rPr>
                <w:rFonts w:hint="eastAsia"/>
                <w:sz w:val="18"/>
              </w:rPr>
              <w:t>1984</w:t>
            </w:r>
            <w:r>
              <w:rPr>
                <w:rFonts w:hint="eastAsia"/>
                <w:sz w:val="18"/>
              </w:rPr>
              <w:t>年</w:t>
            </w:r>
            <w:r>
              <w:rPr>
                <w:rFonts w:hint="eastAsia"/>
                <w:sz w:val="18"/>
              </w:rPr>
              <w:t>10</w:t>
            </w:r>
            <w:r>
              <w:rPr>
                <w:rFonts w:hint="eastAsia"/>
                <w:sz w:val="18"/>
              </w:rPr>
              <w:t>月</w:t>
            </w:r>
            <w:r>
              <w:rPr>
                <w:rFonts w:hint="eastAsia"/>
                <w:sz w:val="18"/>
              </w:rPr>
              <w:t>2</w:t>
            </w:r>
            <w:r>
              <w:rPr>
                <w:rFonts w:hint="eastAsia"/>
                <w:sz w:val="18"/>
              </w:rPr>
              <w:t>日</w:t>
            </w:r>
          </w:p>
        </w:tc>
      </w:tr>
      <w:tr w:rsidR="00000000">
        <w:tblPrEx>
          <w:tblCellMar>
            <w:top w:w="0" w:type="dxa"/>
            <w:bottom w:w="0" w:type="dxa"/>
          </w:tblCellMar>
        </w:tblPrEx>
        <w:tc>
          <w:tcPr>
            <w:tcW w:w="3315" w:type="pct"/>
          </w:tcPr>
          <w:p w:rsidR="00000000" w:rsidRDefault="00CA422F">
            <w:pPr>
              <w:spacing w:after="120" w:line="360" w:lineRule="exact"/>
              <w:rPr>
                <w:rFonts w:hint="eastAsia"/>
                <w:sz w:val="18"/>
              </w:rPr>
            </w:pPr>
            <w:r>
              <w:rPr>
                <w:rFonts w:hint="eastAsia"/>
                <w:sz w:val="18"/>
              </w:rPr>
              <w:t>《儿童权利国际公约》</w:t>
            </w:r>
          </w:p>
          <w:p w:rsidR="00000000" w:rsidRDefault="00CA422F">
            <w:pPr>
              <w:spacing w:after="120" w:line="360" w:lineRule="exact"/>
              <w:rPr>
                <w:rFonts w:hint="eastAsia"/>
                <w:sz w:val="18"/>
              </w:rPr>
            </w:pPr>
            <w:r>
              <w:rPr>
                <w:rFonts w:hint="eastAsia"/>
                <w:sz w:val="18"/>
              </w:rPr>
              <w:t>（</w:t>
            </w:r>
            <w:r>
              <w:rPr>
                <w:rFonts w:hint="eastAsia"/>
                <w:sz w:val="18"/>
              </w:rPr>
              <w:t>1990</w:t>
            </w:r>
            <w:r>
              <w:rPr>
                <w:rFonts w:hint="eastAsia"/>
                <w:sz w:val="18"/>
              </w:rPr>
              <w:t>年</w:t>
            </w:r>
            <w:r>
              <w:rPr>
                <w:rFonts w:hint="eastAsia"/>
                <w:sz w:val="18"/>
              </w:rPr>
              <w:t>9</w:t>
            </w:r>
            <w:r>
              <w:rPr>
                <w:rFonts w:hint="eastAsia"/>
                <w:sz w:val="18"/>
              </w:rPr>
              <w:t>月</w:t>
            </w:r>
            <w:r>
              <w:rPr>
                <w:rFonts w:hint="eastAsia"/>
                <w:sz w:val="18"/>
              </w:rPr>
              <w:t>2</w:t>
            </w:r>
            <w:r>
              <w:rPr>
                <w:rFonts w:hint="eastAsia"/>
                <w:sz w:val="18"/>
              </w:rPr>
              <w:t>日起生效）</w:t>
            </w:r>
          </w:p>
        </w:tc>
        <w:tc>
          <w:tcPr>
            <w:tcW w:w="1685" w:type="pct"/>
          </w:tcPr>
          <w:p w:rsidR="00000000" w:rsidRDefault="00CA422F">
            <w:pPr>
              <w:spacing w:after="120" w:line="360" w:lineRule="exact"/>
              <w:jc w:val="center"/>
              <w:rPr>
                <w:rFonts w:hint="eastAsia"/>
                <w:sz w:val="18"/>
              </w:rPr>
            </w:pPr>
            <w:r>
              <w:rPr>
                <w:rFonts w:hint="eastAsia"/>
                <w:sz w:val="18"/>
              </w:rPr>
              <w:t>1990</w:t>
            </w:r>
            <w:r>
              <w:rPr>
                <w:rFonts w:hint="eastAsia"/>
                <w:sz w:val="18"/>
              </w:rPr>
              <w:t>年</w:t>
            </w:r>
            <w:r>
              <w:rPr>
                <w:rFonts w:hint="eastAsia"/>
                <w:sz w:val="18"/>
              </w:rPr>
              <w:t>8</w:t>
            </w:r>
            <w:r>
              <w:rPr>
                <w:rFonts w:hint="eastAsia"/>
                <w:sz w:val="18"/>
              </w:rPr>
              <w:t>月</w:t>
            </w:r>
            <w:r>
              <w:rPr>
                <w:rFonts w:hint="eastAsia"/>
                <w:sz w:val="18"/>
              </w:rPr>
              <w:t>21</w:t>
            </w:r>
            <w:r>
              <w:rPr>
                <w:rFonts w:hint="eastAsia"/>
                <w:sz w:val="18"/>
              </w:rPr>
              <w:t>日</w:t>
            </w:r>
          </w:p>
        </w:tc>
      </w:tr>
      <w:tr w:rsidR="00000000">
        <w:tblPrEx>
          <w:tblCellMar>
            <w:top w:w="0" w:type="dxa"/>
            <w:bottom w:w="0" w:type="dxa"/>
          </w:tblCellMar>
        </w:tblPrEx>
        <w:tc>
          <w:tcPr>
            <w:tcW w:w="3315" w:type="pct"/>
          </w:tcPr>
          <w:p w:rsidR="00000000" w:rsidRDefault="00CA422F" w:rsidP="00CA422F">
            <w:pPr>
              <w:spacing w:after="120" w:line="360" w:lineRule="exact"/>
              <w:ind w:left="31680" w:hangingChars="257" w:firstLine="31680"/>
              <w:rPr>
                <w:rFonts w:hint="eastAsia"/>
                <w:sz w:val="18"/>
              </w:rPr>
            </w:pPr>
            <w:r>
              <w:rPr>
                <w:rFonts w:hint="eastAsia"/>
                <w:sz w:val="18"/>
              </w:rPr>
              <w:t>《劳工组织第</w:t>
            </w:r>
            <w:r>
              <w:rPr>
                <w:rFonts w:hint="eastAsia"/>
                <w:sz w:val="18"/>
              </w:rPr>
              <w:t>169</w:t>
            </w:r>
            <w:r>
              <w:rPr>
                <w:rFonts w:hint="eastAsia"/>
                <w:sz w:val="18"/>
              </w:rPr>
              <w:t>号公约》</w:t>
            </w:r>
          </w:p>
          <w:p w:rsidR="00000000" w:rsidRDefault="00CA422F" w:rsidP="00CA422F">
            <w:pPr>
              <w:spacing w:after="120" w:line="360" w:lineRule="exact"/>
              <w:ind w:left="31680" w:hangingChars="257" w:firstLine="31680"/>
              <w:rPr>
                <w:rFonts w:hint="eastAsia"/>
                <w:sz w:val="18"/>
              </w:rPr>
            </w:pPr>
            <w:r>
              <w:rPr>
                <w:rFonts w:hint="eastAsia"/>
                <w:sz w:val="18"/>
              </w:rPr>
              <w:t>（</w:t>
            </w:r>
            <w:r>
              <w:rPr>
                <w:rFonts w:hint="eastAsia"/>
                <w:sz w:val="18"/>
              </w:rPr>
              <w:t>1991</w:t>
            </w:r>
            <w:r>
              <w:rPr>
                <w:rFonts w:hint="eastAsia"/>
                <w:sz w:val="18"/>
              </w:rPr>
              <w:t>年</w:t>
            </w:r>
            <w:r>
              <w:rPr>
                <w:rFonts w:hint="eastAsia"/>
                <w:sz w:val="18"/>
              </w:rPr>
              <w:t>9</w:t>
            </w:r>
            <w:r>
              <w:rPr>
                <w:rFonts w:hint="eastAsia"/>
                <w:sz w:val="18"/>
              </w:rPr>
              <w:t>月</w:t>
            </w:r>
            <w:r>
              <w:rPr>
                <w:rFonts w:hint="eastAsia"/>
                <w:sz w:val="18"/>
              </w:rPr>
              <w:t>5</w:t>
            </w:r>
            <w:r>
              <w:rPr>
                <w:rFonts w:hint="eastAsia"/>
                <w:sz w:val="18"/>
              </w:rPr>
              <w:t>日起生效）</w:t>
            </w:r>
          </w:p>
        </w:tc>
        <w:tc>
          <w:tcPr>
            <w:tcW w:w="1685" w:type="pct"/>
          </w:tcPr>
          <w:p w:rsidR="00000000" w:rsidRDefault="00CA422F">
            <w:pPr>
              <w:spacing w:after="120" w:line="360" w:lineRule="exact"/>
              <w:jc w:val="center"/>
              <w:rPr>
                <w:rFonts w:hint="eastAsia"/>
                <w:sz w:val="18"/>
              </w:rPr>
            </w:pPr>
            <w:r>
              <w:rPr>
                <w:rFonts w:hint="eastAsia"/>
                <w:sz w:val="18"/>
              </w:rPr>
              <w:t>1993</w:t>
            </w:r>
            <w:r>
              <w:rPr>
                <w:rFonts w:hint="eastAsia"/>
                <w:sz w:val="18"/>
              </w:rPr>
              <w:t>年</w:t>
            </w:r>
            <w:r>
              <w:rPr>
                <w:rFonts w:hint="eastAsia"/>
                <w:sz w:val="18"/>
              </w:rPr>
              <w:t>4</w:t>
            </w:r>
            <w:r>
              <w:rPr>
                <w:rFonts w:hint="eastAsia"/>
                <w:sz w:val="18"/>
              </w:rPr>
              <w:t>月</w:t>
            </w:r>
            <w:r>
              <w:rPr>
                <w:rFonts w:hint="eastAsia"/>
                <w:sz w:val="18"/>
              </w:rPr>
              <w:t>2</w:t>
            </w:r>
            <w:r>
              <w:rPr>
                <w:rFonts w:hint="eastAsia"/>
                <w:sz w:val="18"/>
              </w:rPr>
              <w:t>日</w:t>
            </w:r>
          </w:p>
        </w:tc>
      </w:tr>
      <w:tr w:rsidR="00000000">
        <w:tblPrEx>
          <w:tblCellMar>
            <w:top w:w="0" w:type="dxa"/>
            <w:bottom w:w="0" w:type="dxa"/>
          </w:tblCellMar>
        </w:tblPrEx>
        <w:tc>
          <w:tcPr>
            <w:tcW w:w="3315" w:type="pct"/>
          </w:tcPr>
          <w:p w:rsidR="00000000" w:rsidRDefault="00CA422F">
            <w:pPr>
              <w:spacing w:after="120" w:line="360" w:lineRule="exact"/>
              <w:rPr>
                <w:rFonts w:hint="eastAsia"/>
                <w:sz w:val="18"/>
              </w:rPr>
            </w:pPr>
            <w:r>
              <w:rPr>
                <w:rFonts w:hint="eastAsia"/>
                <w:sz w:val="18"/>
              </w:rPr>
              <w:t>《美洲防止、惩罚和根除对妇女暴力行为公约》</w:t>
            </w:r>
          </w:p>
          <w:p w:rsidR="00000000" w:rsidRDefault="00CA422F">
            <w:pPr>
              <w:spacing w:after="120" w:line="360" w:lineRule="exact"/>
              <w:rPr>
                <w:rFonts w:hint="eastAsia"/>
                <w:sz w:val="18"/>
              </w:rPr>
            </w:pPr>
            <w:r>
              <w:rPr>
                <w:rFonts w:hint="eastAsia"/>
                <w:sz w:val="18"/>
              </w:rPr>
              <w:t>（</w:t>
            </w:r>
            <w:r>
              <w:rPr>
                <w:rFonts w:hint="eastAsia"/>
                <w:sz w:val="18"/>
              </w:rPr>
              <w:t>1995</w:t>
            </w:r>
            <w:r>
              <w:rPr>
                <w:rFonts w:hint="eastAsia"/>
                <w:sz w:val="18"/>
              </w:rPr>
              <w:t>年</w:t>
            </w:r>
            <w:r>
              <w:rPr>
                <w:rFonts w:hint="eastAsia"/>
                <w:sz w:val="18"/>
              </w:rPr>
              <w:t>3</w:t>
            </w:r>
            <w:r>
              <w:rPr>
                <w:rFonts w:hint="eastAsia"/>
                <w:sz w:val="18"/>
              </w:rPr>
              <w:t>月</w:t>
            </w:r>
            <w:r>
              <w:rPr>
                <w:rFonts w:hint="eastAsia"/>
                <w:sz w:val="18"/>
              </w:rPr>
              <w:t>3</w:t>
            </w:r>
            <w:r>
              <w:rPr>
                <w:rFonts w:hint="eastAsia"/>
                <w:sz w:val="18"/>
              </w:rPr>
              <w:t>日起生效）</w:t>
            </w:r>
          </w:p>
        </w:tc>
        <w:tc>
          <w:tcPr>
            <w:tcW w:w="1685" w:type="pct"/>
          </w:tcPr>
          <w:p w:rsidR="00000000" w:rsidRDefault="00CA422F">
            <w:pPr>
              <w:spacing w:after="120" w:line="360" w:lineRule="exact"/>
              <w:jc w:val="center"/>
              <w:rPr>
                <w:rFonts w:hint="eastAsia"/>
                <w:sz w:val="18"/>
              </w:rPr>
            </w:pPr>
            <w:r>
              <w:rPr>
                <w:rFonts w:hint="eastAsia"/>
                <w:sz w:val="18"/>
              </w:rPr>
              <w:t>1995</w:t>
            </w:r>
            <w:r>
              <w:rPr>
                <w:rFonts w:hint="eastAsia"/>
                <w:sz w:val="18"/>
              </w:rPr>
              <w:t>年</w:t>
            </w:r>
            <w:r>
              <w:rPr>
                <w:rFonts w:hint="eastAsia"/>
                <w:sz w:val="18"/>
              </w:rPr>
              <w:t>7</w:t>
            </w:r>
            <w:r>
              <w:rPr>
                <w:rFonts w:hint="eastAsia"/>
                <w:sz w:val="18"/>
              </w:rPr>
              <w:t>月</w:t>
            </w:r>
            <w:r>
              <w:rPr>
                <w:rFonts w:hint="eastAsia"/>
                <w:sz w:val="18"/>
              </w:rPr>
              <w:t>5</w:t>
            </w:r>
            <w:r>
              <w:rPr>
                <w:rFonts w:hint="eastAsia"/>
                <w:sz w:val="18"/>
              </w:rPr>
              <w:t>日</w:t>
            </w:r>
          </w:p>
        </w:tc>
      </w:tr>
    </w:tbl>
    <w:p w:rsidR="00000000" w:rsidRDefault="00CA422F">
      <w:pPr>
        <w:spacing w:after="240" w:line="360" w:lineRule="exact"/>
        <w:rPr>
          <w:sz w:val="18"/>
        </w:rPr>
      </w:pPr>
      <w:r>
        <w:rPr>
          <w:rFonts w:hint="eastAsia"/>
          <w:sz w:val="18"/>
        </w:rPr>
        <w:t>资料来源：根据收集的资料自行整理编写，</w:t>
      </w:r>
      <w:r>
        <w:rPr>
          <w:rFonts w:hint="eastAsia"/>
          <w:sz w:val="18"/>
        </w:rPr>
        <w:t>2002</w:t>
      </w:r>
      <w:r>
        <w:rPr>
          <w:rFonts w:hint="eastAsia"/>
          <w:sz w:val="18"/>
        </w:rPr>
        <w:t>年。</w:t>
      </w:r>
    </w:p>
    <w:p w:rsidR="00000000" w:rsidRDefault="00CA422F">
      <w:pPr>
        <w:spacing w:after="240" w:line="360" w:lineRule="exact"/>
        <w:jc w:val="center"/>
        <w:rPr>
          <w:rFonts w:ascii="SimHei" w:eastAsia="SimHei" w:hint="eastAsia"/>
          <w:sz w:val="24"/>
        </w:rPr>
      </w:pPr>
      <w:r>
        <w:br w:type="page"/>
      </w:r>
      <w:r>
        <w:rPr>
          <w:rFonts w:ascii="SimHei" w:eastAsia="SimHei" w:hint="eastAsia"/>
          <w:sz w:val="24"/>
        </w:rPr>
        <w:t>附件</w:t>
      </w:r>
      <w:r>
        <w:rPr>
          <w:rFonts w:ascii="SimHei" w:eastAsia="SimHei" w:hint="eastAsia"/>
          <w:sz w:val="24"/>
        </w:rPr>
        <w:t>3</w:t>
      </w:r>
    </w:p>
    <w:p w:rsidR="00000000" w:rsidRDefault="00CA422F">
      <w:pPr>
        <w:spacing w:after="240" w:line="360" w:lineRule="exact"/>
        <w:rPr>
          <w:rFonts w:ascii="SimHei" w:eastAsia="SimHei" w:hint="eastAsia"/>
        </w:rPr>
      </w:pPr>
      <w:r>
        <w:rPr>
          <w:rFonts w:ascii="SimHei" w:eastAsia="SimHei" w:hint="eastAsia"/>
        </w:rPr>
        <w:t>国家妇女研究所（</w:t>
      </w:r>
      <w:r>
        <w:rPr>
          <w:rFonts w:ascii="SimHei" w:eastAsia="SimHei" w:hint="eastAsia"/>
        </w:rPr>
        <w:t>INAMU</w:t>
      </w:r>
      <w:r>
        <w:rPr>
          <w:rFonts w:ascii="SimHei" w:eastAsia="SimHei" w:hint="eastAsia"/>
        </w:rPr>
        <w:t>）的总体特征</w:t>
      </w:r>
    </w:p>
    <w:p w:rsidR="00000000" w:rsidRDefault="00CA422F" w:rsidP="00CA422F">
      <w:pPr>
        <w:spacing w:after="240" w:line="360" w:lineRule="exact"/>
        <w:ind w:firstLineChars="200" w:firstLine="31680"/>
        <w:rPr>
          <w:rFonts w:ascii="SimSun" w:hAnsi="SimSun" w:hint="eastAsia"/>
        </w:rPr>
      </w:pPr>
      <w:r>
        <w:rPr>
          <w:rFonts w:ascii="SimSun" w:hAnsi="SimSun" w:hint="eastAsia"/>
        </w:rPr>
        <w:t>妇女与家庭发展中心是文化、青年和体育部</w:t>
      </w:r>
      <w:r>
        <w:rPr>
          <w:rFonts w:ascii="SimSun" w:hAnsi="SimSun" w:hint="eastAsia"/>
        </w:rPr>
        <w:t>的附属机构，但是，自</w:t>
      </w:r>
      <w:r>
        <w:rPr>
          <w:rFonts w:ascii="SimSun" w:hAnsi="SimSun" w:hint="eastAsia"/>
        </w:rPr>
        <w:t>1986</w:t>
      </w:r>
      <w:r>
        <w:rPr>
          <w:rFonts w:ascii="SimSun" w:hAnsi="SimSun" w:hint="eastAsia"/>
        </w:rPr>
        <w:t>年组建之后，它就成了具备法人资格和自有固定资产的国家妇女政策的领导机构，然而，法律规定的权限范围致使发展中心在开展活动时受到许多限制。发展中心积累的经验可以总结为以下几点：</w:t>
      </w:r>
    </w:p>
    <w:p w:rsidR="00000000" w:rsidRDefault="00CA422F" w:rsidP="00CA422F">
      <w:pPr>
        <w:spacing w:after="240" w:line="360" w:lineRule="exact"/>
        <w:ind w:firstLineChars="200" w:firstLine="31680"/>
        <w:rPr>
          <w:rFonts w:hint="eastAsia"/>
        </w:rPr>
      </w:pPr>
      <w:r>
        <w:rPr>
          <w:rFonts w:hint="eastAsia"/>
        </w:rPr>
        <w:t>促进两性平等与公平的公共政策要求最高决策层、公共机构的各个部门都做出履行执行责任的承诺。</w:t>
      </w:r>
    </w:p>
    <w:p w:rsidR="00000000" w:rsidRDefault="00CA422F" w:rsidP="00CA422F">
      <w:pPr>
        <w:spacing w:after="240" w:line="360" w:lineRule="exact"/>
        <w:ind w:firstLineChars="200" w:firstLine="31680"/>
        <w:rPr>
          <w:rFonts w:hint="eastAsia"/>
        </w:rPr>
      </w:pPr>
      <w:r>
        <w:rPr>
          <w:rFonts w:hint="eastAsia"/>
        </w:rPr>
        <w:t>由于它在政府系统中的级别（部委附属机构）与机构拥有广泛的职权之间的矛盾，国家发展中心在行使相关的领导职能时受到诸多限制。</w:t>
      </w:r>
    </w:p>
    <w:p w:rsidR="00000000" w:rsidRDefault="00CA422F" w:rsidP="00CA422F">
      <w:pPr>
        <w:spacing w:after="240" w:line="360" w:lineRule="exact"/>
        <w:ind w:firstLineChars="200" w:firstLine="31680"/>
        <w:rPr>
          <w:rFonts w:hint="eastAsia"/>
        </w:rPr>
      </w:pPr>
      <w:r>
        <w:rPr>
          <w:rFonts w:hint="eastAsia"/>
        </w:rPr>
        <w:t>另外，《内罗毕战略》第</w:t>
      </w:r>
      <w:r>
        <w:rPr>
          <w:rFonts w:hint="eastAsia"/>
        </w:rPr>
        <w:t>57</w:t>
      </w:r>
      <w:r>
        <w:rPr>
          <w:rFonts w:hint="eastAsia"/>
        </w:rPr>
        <w:t>段指出，国家应该组建高级别的政府机制来负责监督和改善妇女状况。在这一举动</w:t>
      </w:r>
      <w:r>
        <w:rPr>
          <w:rFonts w:hint="eastAsia"/>
        </w:rPr>
        <w:t>的影响下，加强现有的国家机制的必要性毋庸置疑。</w:t>
      </w:r>
    </w:p>
    <w:p w:rsidR="00000000" w:rsidRDefault="00CA422F" w:rsidP="00CA422F">
      <w:pPr>
        <w:spacing w:after="240" w:line="360" w:lineRule="exact"/>
        <w:ind w:firstLineChars="200" w:firstLine="31680"/>
        <w:rPr>
          <w:rFonts w:hint="eastAsia"/>
        </w:rPr>
      </w:pPr>
      <w:r>
        <w:rPr>
          <w:rFonts w:hint="eastAsia"/>
        </w:rPr>
        <w:t>这样，为了让一个取得了足够的政治行政管理进步和具有适当的法律形象的政府机构来负责管理和领导持久的两性平等的公共政策，</w:t>
      </w:r>
      <w:r>
        <w:rPr>
          <w:rFonts w:hint="eastAsia"/>
        </w:rPr>
        <w:t>1998</w:t>
      </w:r>
      <w:r>
        <w:rPr>
          <w:rFonts w:hint="eastAsia"/>
        </w:rPr>
        <w:t>年</w:t>
      </w:r>
      <w:r>
        <w:rPr>
          <w:rFonts w:hint="eastAsia"/>
        </w:rPr>
        <w:t>5</w:t>
      </w:r>
      <w:r>
        <w:rPr>
          <w:rFonts w:hint="eastAsia"/>
        </w:rPr>
        <w:t>月，依据</w:t>
      </w:r>
      <w:r>
        <w:rPr>
          <w:rFonts w:hint="eastAsia"/>
        </w:rPr>
        <w:t>7801</w:t>
      </w:r>
      <w:r>
        <w:rPr>
          <w:rFonts w:hint="eastAsia"/>
        </w:rPr>
        <w:t>号法律，家庭和妇女发展中心改组为国家妇女研究所。该机构具有法人资格和自有预算。</w:t>
      </w:r>
    </w:p>
    <w:p w:rsidR="00000000" w:rsidRDefault="00CA422F" w:rsidP="00CA422F">
      <w:pPr>
        <w:spacing w:after="240" w:line="360" w:lineRule="exact"/>
        <w:ind w:firstLineChars="200" w:firstLine="31680"/>
        <w:rPr>
          <w:rFonts w:hint="eastAsia"/>
        </w:rPr>
      </w:pPr>
      <w:r>
        <w:rPr>
          <w:rFonts w:hint="eastAsia"/>
        </w:rPr>
        <w:t>作为权力下放的自治机构，国家妇女研究所的级别提高了，它的职能和职权扩大了，并且通过一项行政法令任命妇女地位部部长从国家妇女研究所委托代表的身份加入政府内阁。最后一点最为重要，因为这项任命使得国家妇女研究所可以参与和强化国家促进男女平等政策有</w:t>
      </w:r>
      <w:r>
        <w:rPr>
          <w:rFonts w:hint="eastAsia"/>
        </w:rPr>
        <w:t>关的最高级别的决策。</w:t>
      </w:r>
    </w:p>
    <w:p w:rsidR="00000000" w:rsidRDefault="00CA422F" w:rsidP="00CA422F">
      <w:pPr>
        <w:spacing w:after="240" w:line="360" w:lineRule="exact"/>
        <w:ind w:firstLineChars="200" w:firstLine="31680"/>
        <w:rPr>
          <w:rFonts w:hint="eastAsia"/>
        </w:rPr>
      </w:pPr>
      <w:r>
        <w:rPr>
          <w:rFonts w:hint="eastAsia"/>
        </w:rPr>
        <w:t>这一点与《北京行动纲要》中规定的保障促进妇女进步的国家机制的有效运作的必要条件是一致的：</w:t>
      </w:r>
    </w:p>
    <w:p w:rsidR="00000000" w:rsidRDefault="00CA422F" w:rsidP="00CA422F">
      <w:pPr>
        <w:spacing w:after="240" w:line="360" w:lineRule="exact"/>
        <w:ind w:firstLineChars="200" w:firstLine="31680"/>
        <w:rPr>
          <w:rFonts w:hint="eastAsia"/>
        </w:rPr>
      </w:pPr>
      <w:r>
        <w:rPr>
          <w:rFonts w:hint="eastAsia"/>
        </w:rPr>
        <w:t>在政府最高级别上设置一个直属的内阁部长；</w:t>
      </w:r>
    </w:p>
    <w:p w:rsidR="00000000" w:rsidRDefault="00CA422F" w:rsidP="00CA422F">
      <w:pPr>
        <w:spacing w:after="240" w:line="360" w:lineRule="exact"/>
        <w:ind w:firstLineChars="200" w:firstLine="31680"/>
        <w:rPr>
          <w:rFonts w:hint="eastAsia"/>
        </w:rPr>
      </w:pPr>
      <w:r>
        <w:rPr>
          <w:rFonts w:hint="eastAsia"/>
        </w:rPr>
        <w:t>预算和专业能力方面具有足够资源；和</w:t>
      </w:r>
    </w:p>
    <w:p w:rsidR="00000000" w:rsidRDefault="00CA422F" w:rsidP="00CA422F">
      <w:pPr>
        <w:spacing w:after="240" w:line="360" w:lineRule="exact"/>
        <w:ind w:firstLineChars="200" w:firstLine="31680"/>
        <w:rPr>
          <w:rFonts w:hint="eastAsia"/>
        </w:rPr>
      </w:pPr>
      <w:r>
        <w:rPr>
          <w:rFonts w:hint="eastAsia"/>
        </w:rPr>
        <w:t>有机会和相应的机制影响各级政府制订政策并根据性别观点编制规划。</w:t>
      </w:r>
    </w:p>
    <w:p w:rsidR="00000000" w:rsidRDefault="00CA422F">
      <w:pPr>
        <w:pStyle w:val="Date"/>
        <w:spacing w:after="240" w:line="360" w:lineRule="exact"/>
        <w:rPr>
          <w:rFonts w:eastAsia="SimHei" w:hint="eastAsia"/>
        </w:rPr>
      </w:pPr>
      <w:r>
        <w:rPr>
          <w:rFonts w:eastAsia="SimHei" w:hint="eastAsia"/>
        </w:rPr>
        <w:t>使命：</w:t>
      </w:r>
    </w:p>
    <w:p w:rsidR="00000000" w:rsidRDefault="00CA422F" w:rsidP="00CA422F">
      <w:pPr>
        <w:spacing w:after="240" w:line="360" w:lineRule="exact"/>
        <w:ind w:firstLineChars="200" w:firstLine="31680"/>
        <w:rPr>
          <w:rFonts w:hint="eastAsia"/>
        </w:rPr>
      </w:pPr>
      <w:r>
        <w:rPr>
          <w:rFonts w:hint="eastAsia"/>
        </w:rPr>
        <w:t>政府的国家政策是真正获得一致赞成并具有政治合法的政策，即便发生政权更替或者其他性质的变化，依然可以确保政策的可持续性。</w:t>
      </w:r>
    </w:p>
    <w:p w:rsidR="00000000" w:rsidRDefault="00CA422F" w:rsidP="00CA422F">
      <w:pPr>
        <w:spacing w:after="240" w:line="360" w:lineRule="exact"/>
        <w:ind w:firstLineChars="200" w:firstLine="31680"/>
        <w:rPr>
          <w:rFonts w:hint="eastAsia"/>
        </w:rPr>
      </w:pPr>
      <w:r>
        <w:rPr>
          <w:rFonts w:hint="eastAsia"/>
        </w:rPr>
        <w:t>公共政策战略的目的是促进在两性关系领域里发生实质性变革，改进长期以来一直是妇女工作的主要特征的救助性的、孤立性和分散性的行动。</w:t>
      </w:r>
    </w:p>
    <w:p w:rsidR="00000000" w:rsidRDefault="00CA422F" w:rsidP="00CA422F">
      <w:pPr>
        <w:spacing w:after="240" w:line="360" w:lineRule="exact"/>
        <w:ind w:firstLineChars="200" w:firstLine="31680"/>
        <w:rPr>
          <w:rFonts w:hint="eastAsia"/>
        </w:rPr>
      </w:pPr>
      <w:r>
        <w:rPr>
          <w:rFonts w:hint="eastAsia"/>
        </w:rPr>
        <w:t>在</w:t>
      </w:r>
      <w:r>
        <w:rPr>
          <w:rFonts w:hint="eastAsia"/>
        </w:rPr>
        <w:t>全国范围内执行的政策，不是仅仅满足个别妇女部门或集团的需要，而是有能力回应各种不同妇女的需要和兴趣。</w:t>
      </w:r>
    </w:p>
    <w:p w:rsidR="00000000" w:rsidRDefault="00CA422F" w:rsidP="00CA422F">
      <w:pPr>
        <w:spacing w:after="240" w:line="360" w:lineRule="exact"/>
        <w:ind w:firstLineChars="200" w:firstLine="31680"/>
        <w:rPr>
          <w:rFonts w:hint="eastAsia"/>
        </w:rPr>
      </w:pPr>
      <w:r>
        <w:rPr>
          <w:rFonts w:hint="eastAsia"/>
        </w:rPr>
        <w:t>运用政策号召各种不同的政治力量、民间社会组织、妇女运动和政府机构在行动上保持一致。</w:t>
      </w:r>
    </w:p>
    <w:p w:rsidR="00000000" w:rsidRDefault="00CA422F">
      <w:pPr>
        <w:pStyle w:val="Date"/>
        <w:spacing w:after="240" w:line="360" w:lineRule="exact"/>
        <w:rPr>
          <w:rFonts w:eastAsia="SimHei" w:hint="eastAsia"/>
        </w:rPr>
      </w:pPr>
      <w:r>
        <w:rPr>
          <w:rFonts w:eastAsia="SimHei" w:hint="eastAsia"/>
        </w:rPr>
        <w:t>目标：</w:t>
      </w:r>
    </w:p>
    <w:p w:rsidR="00000000" w:rsidRDefault="00CA422F" w:rsidP="00CA422F">
      <w:pPr>
        <w:spacing w:after="240" w:line="360" w:lineRule="exact"/>
        <w:ind w:firstLineChars="200" w:firstLine="31680"/>
        <w:rPr>
          <w:rFonts w:hint="eastAsia"/>
        </w:rPr>
      </w:pPr>
      <w:r>
        <w:rPr>
          <w:rFonts w:hint="eastAsia"/>
        </w:rPr>
        <w:t>与其他公共机构、执行促进妇女进步方案的国家机关及民间社会组织协作，共同提出和推动实施促进两性平等与公平的国家政策。</w:t>
      </w:r>
    </w:p>
    <w:p w:rsidR="00000000" w:rsidRDefault="00CA422F" w:rsidP="00CA422F">
      <w:pPr>
        <w:spacing w:after="240" w:line="360" w:lineRule="exact"/>
        <w:ind w:firstLineChars="200" w:firstLine="31680"/>
        <w:rPr>
          <w:rFonts w:hint="eastAsia"/>
        </w:rPr>
      </w:pPr>
      <w:r>
        <w:rPr>
          <w:rFonts w:hint="eastAsia"/>
        </w:rPr>
        <w:t>保护国际宣言、国际协议、国际条约和哥斯达黎加国内法律赋予妇女的各种权利，促进两性平等并推动开展改善妇女状况的行动。</w:t>
      </w:r>
    </w:p>
    <w:p w:rsidR="00000000" w:rsidRDefault="00CA422F" w:rsidP="00CA422F">
      <w:pPr>
        <w:spacing w:after="240" w:line="360" w:lineRule="exact"/>
        <w:ind w:firstLineChars="200" w:firstLine="31680"/>
        <w:rPr>
          <w:rFonts w:hint="eastAsia"/>
        </w:rPr>
      </w:pPr>
      <w:r>
        <w:rPr>
          <w:rFonts w:hint="eastAsia"/>
        </w:rPr>
        <w:t>监督并与公共机构协作制订和执行国家、社会和人的发展政策，并开展部门行动和机构间行动，执</w:t>
      </w:r>
      <w:r>
        <w:rPr>
          <w:rFonts w:hint="eastAsia"/>
        </w:rPr>
        <w:t>行促进两性平等与公平的国家政策。</w:t>
      </w:r>
    </w:p>
    <w:p w:rsidR="00000000" w:rsidRDefault="00CA422F" w:rsidP="00CA422F">
      <w:pPr>
        <w:spacing w:after="240" w:line="360" w:lineRule="exact"/>
        <w:ind w:firstLineChars="200" w:firstLine="31680"/>
        <w:rPr>
          <w:rFonts w:hint="eastAsia"/>
        </w:rPr>
      </w:pPr>
      <w:r>
        <w:rPr>
          <w:rFonts w:hint="eastAsia"/>
        </w:rPr>
        <w:t>促进妇女的社会、政治、文化和经济参与并促使她们在与男子同等和平等的条件下充分享受她们的人权。</w:t>
      </w:r>
    </w:p>
    <w:p w:rsidR="00000000" w:rsidRDefault="00CA422F">
      <w:pPr>
        <w:pStyle w:val="Date"/>
        <w:spacing w:after="240" w:line="360" w:lineRule="exact"/>
        <w:rPr>
          <w:rFonts w:eastAsia="SimHei" w:hint="eastAsia"/>
        </w:rPr>
      </w:pPr>
      <w:r>
        <w:rPr>
          <w:rFonts w:eastAsia="SimHei" w:hint="eastAsia"/>
        </w:rPr>
        <w:t>职权：</w:t>
      </w:r>
    </w:p>
    <w:p w:rsidR="00000000" w:rsidRDefault="00CA422F" w:rsidP="00CA422F">
      <w:pPr>
        <w:spacing w:after="240" w:line="360" w:lineRule="exact"/>
        <w:ind w:firstLineChars="200" w:firstLine="31680"/>
        <w:rPr>
          <w:rFonts w:hint="eastAsia"/>
        </w:rPr>
      </w:pPr>
      <w:r>
        <w:rPr>
          <w:rFonts w:hint="eastAsia"/>
        </w:rPr>
        <w:t>制订、促进、协作执行和跟进旨在促进妇女进步和男女之间的权利和机会平等的政策。</w:t>
      </w:r>
    </w:p>
    <w:p w:rsidR="00000000" w:rsidRDefault="00CA422F" w:rsidP="00CA422F">
      <w:pPr>
        <w:spacing w:after="240" w:line="360" w:lineRule="exact"/>
        <w:ind w:firstLineChars="200" w:firstLine="31680"/>
        <w:rPr>
          <w:rFonts w:hint="eastAsia"/>
        </w:rPr>
      </w:pPr>
      <w:r>
        <w:rPr>
          <w:rFonts w:hint="eastAsia"/>
        </w:rPr>
        <w:t>调整公共机构推行的国家发展政策，从而使其含有促进男女机会均等的内容。</w:t>
      </w:r>
    </w:p>
    <w:p w:rsidR="00000000" w:rsidRDefault="00CA422F" w:rsidP="00CA422F">
      <w:pPr>
        <w:spacing w:after="240" w:line="360" w:lineRule="exact"/>
        <w:ind w:firstLineChars="200" w:firstLine="31680"/>
        <w:rPr>
          <w:rFonts w:hint="eastAsia"/>
        </w:rPr>
      </w:pPr>
      <w:r>
        <w:rPr>
          <w:rFonts w:hint="eastAsia"/>
        </w:rPr>
        <w:t>制订和执行本机构认为实现其目标所必须执行的计划、方案和规划。</w:t>
      </w:r>
    </w:p>
    <w:p w:rsidR="00000000" w:rsidRDefault="00CA422F" w:rsidP="00CA422F">
      <w:pPr>
        <w:spacing w:after="240" w:line="360" w:lineRule="exact"/>
        <w:ind w:firstLineChars="200" w:firstLine="31680"/>
        <w:rPr>
          <w:rFonts w:hint="eastAsia"/>
        </w:rPr>
      </w:pPr>
      <w:r>
        <w:rPr>
          <w:rFonts w:hint="eastAsia"/>
        </w:rPr>
        <w:t>协调政府内部现有的行动和机制，从而促进提高妇女地位并实现两性平等。</w:t>
      </w:r>
    </w:p>
    <w:p w:rsidR="00000000" w:rsidRDefault="00CA422F" w:rsidP="00CA422F">
      <w:pPr>
        <w:spacing w:after="240" w:line="360" w:lineRule="exact"/>
        <w:ind w:firstLineChars="200" w:firstLine="31680"/>
        <w:rPr>
          <w:rFonts w:hint="eastAsia"/>
        </w:rPr>
      </w:pPr>
      <w:r>
        <w:rPr>
          <w:rFonts w:hint="eastAsia"/>
        </w:rPr>
        <w:t>推动设立部委、部门和市政府妇女办公室，并且保障和协调它们的运作。</w:t>
      </w:r>
    </w:p>
    <w:p w:rsidR="00000000" w:rsidRDefault="00CA422F" w:rsidP="00CA422F">
      <w:pPr>
        <w:spacing w:after="240" w:line="360" w:lineRule="exact"/>
        <w:ind w:firstLineChars="200" w:firstLine="31680"/>
        <w:rPr>
          <w:rFonts w:hint="eastAsia"/>
        </w:rPr>
      </w:pPr>
      <w:r>
        <w:rPr>
          <w:rFonts w:hint="eastAsia"/>
        </w:rPr>
        <w:t>制订、协调和开展促进家庭发展的行</w:t>
      </w:r>
      <w:r>
        <w:rPr>
          <w:rFonts w:hint="eastAsia"/>
        </w:rPr>
        <w:t>动，使家庭成为实现人权社会化和男女平等与机会均等的空间。</w:t>
      </w:r>
    </w:p>
    <w:p w:rsidR="00000000" w:rsidRDefault="00CA422F" w:rsidP="00CA422F">
      <w:pPr>
        <w:spacing w:after="240" w:line="360" w:lineRule="exact"/>
        <w:ind w:firstLineChars="200" w:firstLine="31680"/>
        <w:rPr>
          <w:rFonts w:hint="eastAsia"/>
        </w:rPr>
      </w:pPr>
      <w:r>
        <w:rPr>
          <w:rFonts w:hint="eastAsia"/>
        </w:rPr>
        <w:t>向政府的所有机构提供咨询意见和法律指导，以便它们在进行机构活动时不会造成性别歧视。</w:t>
      </w:r>
    </w:p>
    <w:p w:rsidR="00000000" w:rsidRDefault="00CA422F" w:rsidP="00CA422F">
      <w:pPr>
        <w:spacing w:after="240" w:line="360" w:lineRule="exact"/>
        <w:ind w:firstLineChars="200" w:firstLine="31680"/>
        <w:rPr>
          <w:rFonts w:hint="eastAsia"/>
        </w:rPr>
      </w:pPr>
      <w:r>
        <w:rPr>
          <w:rFonts w:hint="eastAsia"/>
        </w:rPr>
        <w:t>监督行政条例，确保它们是尊重妇女权利的非歧视规定。</w:t>
      </w:r>
    </w:p>
    <w:p w:rsidR="00000000" w:rsidRDefault="00CA422F" w:rsidP="00CA422F">
      <w:pPr>
        <w:spacing w:after="240" w:line="360" w:lineRule="exact"/>
        <w:ind w:firstLineChars="200" w:firstLine="31680"/>
        <w:rPr>
          <w:rFonts w:hint="eastAsia"/>
        </w:rPr>
      </w:pPr>
      <w:r>
        <w:rPr>
          <w:rFonts w:hint="eastAsia"/>
        </w:rPr>
        <w:t>颁布纳入立法程序的有关性别地位、妇女及家庭状况的法律草案的标准。</w:t>
      </w:r>
    </w:p>
    <w:p w:rsidR="00000000" w:rsidRDefault="00CA422F" w:rsidP="00CA422F">
      <w:pPr>
        <w:spacing w:after="240" w:line="360" w:lineRule="exact"/>
        <w:ind w:firstLineChars="200" w:firstLine="31680"/>
        <w:rPr>
          <w:rFonts w:hint="eastAsia"/>
        </w:rPr>
      </w:pPr>
      <w:r>
        <w:rPr>
          <w:rFonts w:hint="eastAsia"/>
        </w:rPr>
        <w:t>促进设立一个基金以鼓励和保护妇女有组织的生产活动，并且为基金运作创造可行条件。</w:t>
      </w:r>
    </w:p>
    <w:p w:rsidR="00000000" w:rsidRDefault="00CA422F" w:rsidP="00CA422F">
      <w:pPr>
        <w:spacing w:after="240" w:line="360" w:lineRule="exact"/>
        <w:ind w:firstLineChars="200" w:firstLine="31680"/>
        <w:rPr>
          <w:rFonts w:hint="eastAsia"/>
        </w:rPr>
      </w:pPr>
      <w:r>
        <w:rPr>
          <w:rFonts w:hint="eastAsia"/>
        </w:rPr>
        <w:t>酌情协助处理有关妇女权利的法律诉讼。</w:t>
      </w:r>
    </w:p>
    <w:p w:rsidR="00000000" w:rsidRDefault="00CA422F" w:rsidP="00CA422F">
      <w:pPr>
        <w:spacing w:after="240" w:line="360" w:lineRule="exact"/>
        <w:ind w:firstLineChars="200" w:firstLine="31680"/>
        <w:rPr>
          <w:rFonts w:hint="eastAsia"/>
        </w:rPr>
      </w:pPr>
      <w:r>
        <w:rPr>
          <w:rFonts w:hint="eastAsia"/>
        </w:rPr>
        <w:t>推动和开展调查活动，以便了解有关妇女地位、两性平等和家庭状况的情况，并对其发展现状提出建议。</w:t>
      </w:r>
    </w:p>
    <w:p w:rsidR="00000000" w:rsidRDefault="00CA422F" w:rsidP="00CA422F">
      <w:pPr>
        <w:spacing w:after="240" w:line="360" w:lineRule="exact"/>
        <w:ind w:firstLineChars="200" w:firstLine="31680"/>
        <w:rPr>
          <w:rFonts w:hint="eastAsia"/>
        </w:rPr>
      </w:pPr>
      <w:r>
        <w:rPr>
          <w:rFonts w:hint="eastAsia"/>
        </w:rPr>
        <w:t>在不损害政府外交权限的前提下，与促进妇女</w:t>
      </w:r>
      <w:r>
        <w:rPr>
          <w:rFonts w:hint="eastAsia"/>
        </w:rPr>
        <w:t>进步的国际组织保持交流合作关系。</w:t>
      </w:r>
    </w:p>
    <w:p w:rsidR="00000000" w:rsidRDefault="00CA422F" w:rsidP="00CA422F">
      <w:pPr>
        <w:spacing w:after="240" w:line="360" w:lineRule="exact"/>
        <w:ind w:firstLineChars="200" w:firstLine="31680"/>
      </w:pPr>
      <w:r>
        <w:rPr>
          <w:rFonts w:hint="eastAsia"/>
        </w:rPr>
        <w:t>促进妇女的团结活动，向妇女组织提供支持和帮助，改善它们的组织构成，使妇女组织能够更好地发展（第</w:t>
      </w:r>
      <w:r>
        <w:rPr>
          <w:rFonts w:hint="eastAsia"/>
        </w:rPr>
        <w:t>4</w:t>
      </w:r>
      <w:r>
        <w:rPr>
          <w:rFonts w:hint="eastAsia"/>
        </w:rPr>
        <w:t>条）。</w:t>
      </w:r>
    </w:p>
    <w:p w:rsidR="00000000" w:rsidRDefault="00CA422F">
      <w:pPr>
        <w:spacing w:after="240" w:line="360" w:lineRule="exact"/>
        <w:jc w:val="center"/>
        <w:rPr>
          <w:rFonts w:ascii="SimHei" w:eastAsia="SimHei" w:hint="eastAsia"/>
          <w:sz w:val="24"/>
        </w:rPr>
      </w:pPr>
      <w:r>
        <w:br w:type="page"/>
      </w:r>
      <w:r>
        <w:rPr>
          <w:rFonts w:ascii="SimHei" w:eastAsia="SimHei" w:hint="eastAsia"/>
          <w:sz w:val="24"/>
        </w:rPr>
        <w:t>附件</w:t>
      </w:r>
      <w:r>
        <w:rPr>
          <w:rFonts w:ascii="SimHei" w:eastAsia="SimHei" w:hint="eastAsia"/>
          <w:sz w:val="24"/>
        </w:rPr>
        <w:t>4</w:t>
      </w:r>
      <w:r>
        <w:rPr>
          <w:rFonts w:ascii="SimHei" w:eastAsia="SimHei"/>
          <w:sz w:val="24"/>
        </w:rPr>
        <w:br/>
      </w:r>
      <w:r>
        <w:rPr>
          <w:rFonts w:ascii="SimHei" w:eastAsia="SimHei" w:hint="eastAsia"/>
          <w:sz w:val="24"/>
        </w:rPr>
        <w:t>国家妇女研究所促进平等公共政策管理处</w:t>
      </w:r>
      <w:r>
        <w:rPr>
          <w:rFonts w:ascii="SimHei" w:eastAsia="SimHei"/>
          <w:sz w:val="24"/>
        </w:rPr>
        <w:br/>
      </w:r>
      <w:r>
        <w:rPr>
          <w:rFonts w:ascii="SimHei" w:eastAsia="SimHei" w:hint="eastAsia"/>
          <w:sz w:val="24"/>
        </w:rPr>
        <w:t>机构在吸纳性别观点方面取得的进步的评价标准</w:t>
      </w:r>
    </w:p>
    <w:p w:rsidR="00000000" w:rsidRDefault="00CA422F" w:rsidP="00CA422F">
      <w:pPr>
        <w:spacing w:after="240" w:line="360" w:lineRule="exact"/>
        <w:ind w:firstLineChars="200" w:firstLine="31680"/>
        <w:rPr>
          <w:rFonts w:hint="eastAsia"/>
        </w:rPr>
      </w:pPr>
      <w:r>
        <w:rPr>
          <w:rFonts w:hint="eastAsia"/>
        </w:rPr>
        <w:t>为了在促进两性平等处自身权限的总体框架内推动政府机构吸纳性别观点，引进以下建议标准，其任务和目的在于指导促进两性平等处行使职能：</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0"/>
      </w:tblGrid>
      <w:tr w:rsidR="00000000">
        <w:tblPrEx>
          <w:tblCellMar>
            <w:top w:w="0" w:type="dxa"/>
            <w:bottom w:w="0" w:type="dxa"/>
          </w:tblCellMar>
        </w:tblPrEx>
        <w:tc>
          <w:tcPr>
            <w:tcW w:w="8760" w:type="dxa"/>
          </w:tcPr>
          <w:p w:rsidR="00000000" w:rsidRDefault="00CA422F">
            <w:pPr>
              <w:pStyle w:val="20"/>
              <w:spacing w:beforeLines="0" w:before="0" w:afterLines="0" w:after="240" w:line="360" w:lineRule="exact"/>
              <w:rPr>
                <w:rFonts w:ascii="Times New Roman" w:eastAsia="SimHei" w:hAnsi="Times New Roman" w:hint="eastAsia"/>
                <w:sz w:val="21"/>
                <w:lang w:val="en-US"/>
              </w:rPr>
            </w:pPr>
            <w:r>
              <w:rPr>
                <w:rFonts w:ascii="Times New Roman" w:eastAsia="SimHei" w:hAnsi="Times New Roman" w:hint="eastAsia"/>
                <w:sz w:val="21"/>
                <w:lang w:val="en-US"/>
              </w:rPr>
              <w:t>任务</w:t>
            </w:r>
          </w:p>
        </w:tc>
      </w:tr>
      <w:tr w:rsidR="00000000">
        <w:tblPrEx>
          <w:tblCellMar>
            <w:top w:w="0" w:type="dxa"/>
            <w:bottom w:w="0" w:type="dxa"/>
          </w:tblCellMar>
        </w:tblPrEx>
        <w:tc>
          <w:tcPr>
            <w:tcW w:w="8760" w:type="dxa"/>
          </w:tcPr>
          <w:p w:rsidR="00000000" w:rsidRDefault="00CA422F" w:rsidP="00CA422F">
            <w:pPr>
              <w:spacing w:after="240" w:line="360" w:lineRule="exact"/>
              <w:ind w:firstLineChars="200" w:firstLine="31680"/>
              <w:rPr>
                <w:rFonts w:hint="eastAsia"/>
              </w:rPr>
            </w:pPr>
            <w:r>
              <w:rPr>
                <w:rFonts w:hint="eastAsia"/>
              </w:rPr>
              <w:t>促进两性平等处的任务是通过推动、指导和监督要求提供平等服务和在机构内部劳工关系中实现机会和权利平等的机构的文化改革进程，协助在机构活动之中贯彻性</w:t>
            </w:r>
            <w:r>
              <w:rPr>
                <w:rFonts w:hint="eastAsia"/>
              </w:rPr>
              <w:t>别观点。</w:t>
            </w:r>
          </w:p>
        </w:tc>
      </w:tr>
    </w:tbl>
    <w:p w:rsidR="00000000" w:rsidRDefault="00CA422F" w:rsidP="00CA422F">
      <w:pPr>
        <w:pStyle w:val="NormalIndent"/>
        <w:spacing w:line="360" w:lineRule="exact"/>
        <w:ind w:firstLineChars="200" w:firstLine="31680"/>
        <w:rPr>
          <w:rFonts w:hint="eastAsia"/>
          <w:kern w:val="0"/>
        </w:rPr>
      </w:pPr>
    </w:p>
    <w:p w:rsidR="00000000" w:rsidRDefault="00CA422F" w:rsidP="00CA422F">
      <w:pPr>
        <w:spacing w:after="240" w:line="360" w:lineRule="exact"/>
        <w:ind w:firstLineChars="200" w:firstLine="31680"/>
        <w:rPr>
          <w:rFonts w:hint="eastAsia"/>
        </w:rPr>
      </w:pPr>
      <w:r>
        <w:rPr>
          <w:rFonts w:hint="eastAsia"/>
        </w:rPr>
        <w:t>其指导目标是：</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0"/>
      </w:tblGrid>
      <w:tr w:rsidR="00000000">
        <w:tblPrEx>
          <w:tblCellMar>
            <w:top w:w="0" w:type="dxa"/>
            <w:bottom w:w="0" w:type="dxa"/>
          </w:tblCellMar>
        </w:tblPrEx>
        <w:tc>
          <w:tcPr>
            <w:tcW w:w="8760" w:type="dxa"/>
          </w:tcPr>
          <w:p w:rsidR="00000000" w:rsidRDefault="00CA422F">
            <w:pPr>
              <w:pStyle w:val="Date"/>
              <w:spacing w:after="240" w:line="360" w:lineRule="exact"/>
              <w:rPr>
                <w:rFonts w:eastAsia="SimHei" w:hint="eastAsia"/>
              </w:rPr>
            </w:pPr>
            <w:r>
              <w:rPr>
                <w:rFonts w:eastAsia="SimHei" w:hint="eastAsia"/>
              </w:rPr>
              <w:t>目标</w:t>
            </w:r>
          </w:p>
        </w:tc>
      </w:tr>
      <w:tr w:rsidR="00000000">
        <w:tblPrEx>
          <w:tblCellMar>
            <w:top w:w="0" w:type="dxa"/>
            <w:bottom w:w="0" w:type="dxa"/>
          </w:tblCellMar>
        </w:tblPrEx>
        <w:tc>
          <w:tcPr>
            <w:tcW w:w="8760" w:type="dxa"/>
          </w:tcPr>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促进在机构的规划编制和内部程序中贯彻性别观点。</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监督和支持在本机构中执行促进两性平等的国家政策。</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为负责促进妇女进步战略方案决策工作的政府官员（男</w:t>
            </w:r>
            <w:r>
              <w:rPr>
                <w:rFonts w:hint="eastAsia"/>
              </w:rPr>
              <w:t>/</w:t>
            </w:r>
            <w:r>
              <w:rPr>
                <w:rFonts w:hint="eastAsia"/>
              </w:rPr>
              <w:t>女）提供资料。</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协调机构与国家各种促进两性平等的计划和方案之间的协议。</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受理女公务员因性别原因遭受歧视而提出的意见，并将上述意见转发给相应的负责机关。</w:t>
            </w:r>
          </w:p>
        </w:tc>
      </w:tr>
    </w:tbl>
    <w:p w:rsidR="00000000" w:rsidRDefault="00CA422F" w:rsidP="00CA422F">
      <w:pPr>
        <w:pStyle w:val="NormalIndent"/>
        <w:spacing w:line="360" w:lineRule="exact"/>
        <w:ind w:firstLineChars="200" w:firstLine="31680"/>
        <w:rPr>
          <w:rFonts w:hint="eastAsia"/>
          <w:kern w:val="0"/>
        </w:rPr>
      </w:pPr>
    </w:p>
    <w:p w:rsidR="00000000" w:rsidRDefault="00CA422F" w:rsidP="00CA422F">
      <w:pPr>
        <w:spacing w:after="240" w:line="360" w:lineRule="exact"/>
        <w:ind w:firstLineChars="200" w:firstLine="31680"/>
        <w:rPr>
          <w:rFonts w:hint="eastAsia"/>
        </w:rPr>
      </w:pPr>
      <w:r>
        <w:rPr>
          <w:rFonts w:hint="eastAsia"/>
        </w:rPr>
        <w:t>基于这些机构与部门的工作情况及其规划目标，提出下列指标对它们履行职责和完成目标的情况进行评估。</w:t>
      </w:r>
    </w:p>
    <w:p w:rsidR="00000000" w:rsidRDefault="00CA422F">
      <w:pPr>
        <w:pStyle w:val="Date"/>
        <w:spacing w:after="240" w:line="360" w:lineRule="exact"/>
        <w:rPr>
          <w:rFonts w:eastAsia="SimHei" w:hint="eastAsia"/>
        </w:rPr>
      </w:pPr>
      <w:r>
        <w:rPr>
          <w:rFonts w:eastAsia="SimHei" w:hint="eastAsia"/>
        </w:rPr>
        <w:t>评价目标完成情况的指标</w:t>
      </w:r>
    </w:p>
    <w:p w:rsidR="00000000" w:rsidRDefault="00CA422F" w:rsidP="00CA422F">
      <w:pPr>
        <w:spacing w:after="240" w:line="360" w:lineRule="exact"/>
        <w:ind w:firstLineChars="200" w:firstLine="31680"/>
        <w:rPr>
          <w:rFonts w:hint="eastAsia"/>
        </w:rPr>
      </w:pPr>
      <w:r>
        <w:rPr>
          <w:rFonts w:hint="eastAsia"/>
        </w:rPr>
        <w:t>根据国家妇女研究所在促进两性平等处的职能范本纲要中</w:t>
      </w:r>
      <w:r>
        <w:rPr>
          <w:rFonts w:hint="eastAsia"/>
        </w:rPr>
        <w:t>对该机构职能的考虑，特提出下列指数：</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确定机构的战略方向和战略行动，从而促进实施为机构服务的女性使用者制订的两性平等与机会均等纲要。</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支持和帮助机构当局在本机构的权限范围内，做出促进妇女进步的关键性决策。</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与机构的关键部门建立战略联盟，促进机构加强对两性平等问题的评估和实践。</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针对在领导管理、战略规划编制和内部行政程序中实际应用性别观点，促进咨询和培训工作。</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与国家妇女研究所协调行动，在本机构和本部门内推动实施促进两性平等的公共政策。</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在战略行动计划提出过程中开展咨询活动，目的是改革机构的组织文化，在服务提</w:t>
      </w:r>
      <w:r>
        <w:rPr>
          <w:rFonts w:hint="eastAsia"/>
        </w:rPr>
        <w:t>供和某些劳工关系中实现两性平等。</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与国家妇女研究所共同向为执行战略行动计划而设立的特别委员会及其他机构提供技术支持。</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支持设计一个机制，跟进和评估战略行动计划中包含的各种活动。</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在关键部门和关键人群之中宣传和普及机构在促进男女之间机会均等与两性平等方面的承诺和义务。</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与其他部委和自主机构的促进两性平等处进行协作、共同开展行动并交流工作经验。</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协同编写有关本机构在促进机会均等与两性平等方面取得的进步的报告，并向政府内阁或妇女地位部部长提交这些报告。</w:t>
      </w:r>
    </w:p>
    <w:p w:rsidR="00000000" w:rsidRDefault="00CA422F" w:rsidP="00CA422F">
      <w:pPr>
        <w:spacing w:after="240" w:line="360" w:lineRule="exact"/>
        <w:ind w:firstLineChars="200" w:firstLine="31680"/>
        <w:rPr>
          <w:rFonts w:hint="eastAsia"/>
        </w:rPr>
      </w:pPr>
      <w:r>
        <w:rPr>
          <w:rFonts w:hint="eastAsia"/>
        </w:rPr>
        <w:t>鉴于贯彻性别观点明确反映了促进两性平等处的特殊作用，建议使用</w:t>
      </w:r>
      <w:r>
        <w:rPr>
          <w:rFonts w:hint="eastAsia"/>
        </w:rPr>
        <w:t>下列标准评估机构在这方面取得的进展。</w:t>
      </w:r>
    </w:p>
    <w:p w:rsidR="00000000" w:rsidRDefault="00CA422F">
      <w:pPr>
        <w:pStyle w:val="Date"/>
        <w:spacing w:after="240" w:line="360" w:lineRule="exact"/>
        <w:rPr>
          <w:rFonts w:eastAsia="SimHei" w:hint="eastAsia"/>
        </w:rPr>
      </w:pPr>
      <w:r>
        <w:rPr>
          <w:rFonts w:eastAsia="SimHei" w:hint="eastAsia"/>
        </w:rPr>
        <w:t>评价性别观点的落实标准</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在重要的机构进程中纳入能够区分男子与妇女不同状况的标准，并且以特定的方式回应这些标准的要求，从而为实现男女机会均等和两性平等创造可行的条件。其中最为重要的进程有：</w:t>
      </w:r>
    </w:p>
    <w:p w:rsidR="00000000" w:rsidRDefault="00CA422F">
      <w:pPr>
        <w:spacing w:after="240" w:line="360" w:lineRule="exact"/>
        <w:ind w:left="522"/>
        <w:rPr>
          <w:rFonts w:hint="eastAsia"/>
          <w:iCs/>
        </w:rPr>
      </w:pPr>
      <w:r>
        <w:rPr>
          <w:rFonts w:hint="eastAsia"/>
          <w:iCs/>
        </w:rPr>
        <w:t>一．编制列入部门政策总体框架的战略规划（四年计划或更长期限的计划）</w:t>
      </w:r>
    </w:p>
    <w:p w:rsidR="00000000" w:rsidRDefault="00CA422F">
      <w:pPr>
        <w:spacing w:after="240" w:line="360" w:lineRule="exact"/>
        <w:ind w:left="522"/>
        <w:rPr>
          <w:rFonts w:hint="eastAsia"/>
          <w:iCs/>
        </w:rPr>
      </w:pPr>
      <w:r>
        <w:rPr>
          <w:rFonts w:hint="eastAsia"/>
          <w:iCs/>
        </w:rPr>
        <w:t>二．机构计划（年度行动计划）。</w:t>
      </w:r>
    </w:p>
    <w:p w:rsidR="00000000" w:rsidRDefault="00CA422F">
      <w:pPr>
        <w:spacing w:after="240" w:line="360" w:lineRule="exact"/>
        <w:ind w:left="522"/>
        <w:rPr>
          <w:rFonts w:hint="eastAsia"/>
          <w:iCs/>
        </w:rPr>
      </w:pPr>
      <w:r>
        <w:rPr>
          <w:rFonts w:hint="eastAsia"/>
          <w:iCs/>
        </w:rPr>
        <w:t>三．预算拨款（机构预算方案）。</w:t>
      </w:r>
    </w:p>
    <w:p w:rsidR="00000000" w:rsidRDefault="00CA422F">
      <w:pPr>
        <w:spacing w:after="240" w:line="360" w:lineRule="exact"/>
        <w:ind w:left="522"/>
        <w:rPr>
          <w:rFonts w:hint="eastAsia"/>
          <w:iCs/>
        </w:rPr>
      </w:pPr>
      <w:r>
        <w:rPr>
          <w:rFonts w:hint="eastAsia"/>
          <w:iCs/>
        </w:rPr>
        <w:t>四．提出统计数据和性别指标（培训、记录、加工、解释和提交数据）。</w:t>
      </w:r>
    </w:p>
    <w:p w:rsidR="00000000" w:rsidRDefault="00CA422F">
      <w:pPr>
        <w:spacing w:after="240" w:line="360" w:lineRule="exact"/>
        <w:ind w:left="522"/>
        <w:rPr>
          <w:rFonts w:hint="eastAsia"/>
          <w:iCs/>
        </w:rPr>
      </w:pPr>
      <w:r>
        <w:rPr>
          <w:rFonts w:hint="eastAsia"/>
          <w:iCs/>
        </w:rPr>
        <w:t>五．审查</w:t>
      </w:r>
      <w:r>
        <w:rPr>
          <w:rFonts w:hint="eastAsia"/>
          <w:iCs/>
        </w:rPr>
        <w:t>/</w:t>
      </w:r>
      <w:r>
        <w:rPr>
          <w:rFonts w:hint="eastAsia"/>
          <w:iCs/>
        </w:rPr>
        <w:t>提出法律、标准和其他具有法律规定性的措施，调整机构运作。</w:t>
      </w:r>
    </w:p>
    <w:p w:rsidR="00000000" w:rsidRDefault="00CA422F">
      <w:pPr>
        <w:spacing w:after="240" w:line="360" w:lineRule="exact"/>
        <w:ind w:left="522"/>
        <w:rPr>
          <w:rFonts w:hint="eastAsia"/>
          <w:iCs/>
        </w:rPr>
      </w:pPr>
      <w:r>
        <w:rPr>
          <w:rFonts w:hint="eastAsia"/>
          <w:iCs/>
        </w:rPr>
        <w:t>六．发展人力资源（招</w:t>
      </w:r>
      <w:r>
        <w:rPr>
          <w:rFonts w:hint="eastAsia"/>
          <w:iCs/>
        </w:rPr>
        <w:t>聘、人员甄选和就职、培训工作人员，奖励与福利、工作表现评估制度）。</w:t>
      </w:r>
    </w:p>
    <w:p w:rsidR="00000000" w:rsidRDefault="00CA422F">
      <w:pPr>
        <w:spacing w:after="240" w:line="360" w:lineRule="exact"/>
        <w:ind w:left="522"/>
        <w:rPr>
          <w:rFonts w:hint="eastAsia"/>
          <w:iCs/>
        </w:rPr>
      </w:pPr>
      <w:r>
        <w:rPr>
          <w:rFonts w:hint="eastAsia"/>
          <w:iCs/>
        </w:rPr>
        <w:t>七．提高女性劳动者的能力（担任领导职务的机会）。</w:t>
      </w:r>
    </w:p>
    <w:p w:rsidR="00000000" w:rsidRDefault="00CA422F">
      <w:pPr>
        <w:spacing w:after="240" w:line="360" w:lineRule="exact"/>
        <w:ind w:left="522"/>
        <w:rPr>
          <w:rFonts w:hint="eastAsia"/>
          <w:iCs/>
        </w:rPr>
      </w:pPr>
      <w:r>
        <w:rPr>
          <w:rFonts w:hint="eastAsia"/>
          <w:iCs/>
        </w:rPr>
        <w:t>八．技术和行政管理（规定的机构提供服务，管理和运用的标准与程序）。</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坚持不懈地引入上述标准，作为正规行动成为机构例行活动和机构文化的组成部分（评估与实践）。</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机构影响是监督和评估的内容与对象。</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成为机构管理责任和国家评估制度（</w:t>
      </w:r>
      <w:r>
        <w:rPr>
          <w:rFonts w:hint="eastAsia"/>
        </w:rPr>
        <w:t>SINE</w:t>
      </w:r>
      <w:r>
        <w:rPr>
          <w:rFonts w:hint="eastAsia"/>
        </w:rPr>
        <w:t>）成果指数（</w:t>
      </w:r>
      <w:r>
        <w:rPr>
          <w:rFonts w:hint="eastAsia"/>
        </w:rPr>
        <w:t>IOR</w:t>
      </w:r>
      <w:r>
        <w:rPr>
          <w:rFonts w:hint="eastAsia"/>
        </w:rPr>
        <w:t>）的组成部分（国家评估制度</w:t>
      </w:r>
      <w:r>
        <w:rPr>
          <w:rFonts w:hint="eastAsia"/>
        </w:rPr>
        <w:t>/</w:t>
      </w:r>
      <w:r>
        <w:rPr>
          <w:rFonts w:hint="eastAsia"/>
        </w:rPr>
        <w:t>经济计划政策部）。</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作为促进妇女公民参与的机制，与民间社会建立联系，推动妇女参与讨论和提出建议，以便解决在各种不同</w:t>
      </w:r>
      <w:r>
        <w:rPr>
          <w:rFonts w:hint="eastAsia"/>
        </w:rPr>
        <w:t>领域中对她们造成危害的问题。</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机会均等和两性平等成为机构汇报的一个实质性组成部分，（报告或年度报告、向市政府提交的报告、向共和国总统提交的报告）。</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提出战略行动计划，目的是改变机构的组织文化、从而在机构服务提供和某些劳动关系中做到两性平等（能够创造条件贯彻性别观点的机制、对妇女地位和状况产生更大影响的机制）。</w:t>
      </w:r>
    </w:p>
    <w:p w:rsidR="00000000" w:rsidRDefault="00CA422F">
      <w:pPr>
        <w:numPr>
          <w:ilvl w:val="0"/>
          <w:numId w:val="840"/>
        </w:numPr>
        <w:tabs>
          <w:tab w:val="clear" w:pos="720"/>
          <w:tab w:val="num" w:pos="492"/>
        </w:tabs>
        <w:spacing w:after="240" w:line="360" w:lineRule="exact"/>
        <w:ind w:left="492" w:hanging="480"/>
        <w:rPr>
          <w:rFonts w:hint="eastAsia"/>
        </w:rPr>
      </w:pPr>
      <w:r>
        <w:rPr>
          <w:rFonts w:hint="eastAsia"/>
        </w:rPr>
        <w:t>国家和国际促进妇女进步和妇女保护的法律文书是机构活动法律框架的一个组成部分（《消除对妇女一切形式歧视公约》、《美洲防止、惩罚和根除对妇女暴力行为公约》、《事实平等法》、《母婴保护法》，以及提供托儿所和</w:t>
      </w:r>
      <w:r>
        <w:rPr>
          <w:rFonts w:hint="eastAsia"/>
        </w:rPr>
        <w:t>妇女要求的其他适宜的工作条件和劳动条件）。</w:t>
      </w:r>
    </w:p>
    <w:p w:rsidR="00000000" w:rsidRDefault="00CA422F">
      <w:pPr>
        <w:numPr>
          <w:ilvl w:val="0"/>
          <w:numId w:val="840"/>
        </w:numPr>
        <w:tabs>
          <w:tab w:val="clear" w:pos="720"/>
          <w:tab w:val="num" w:pos="492"/>
        </w:tabs>
        <w:spacing w:after="240" w:line="360" w:lineRule="exact"/>
        <w:ind w:left="492" w:hanging="480"/>
      </w:pPr>
      <w:r>
        <w:rPr>
          <w:rFonts w:hint="eastAsia"/>
        </w:rPr>
        <w:t>在大众媒体和其他媒介中进行机构宣传活动，其中包含尊重妇女价值的信息并传播男女平等的概念。</w:t>
      </w:r>
    </w:p>
    <w:p w:rsidR="00000000" w:rsidRDefault="00CA422F">
      <w:pPr>
        <w:spacing w:after="240" w:line="360" w:lineRule="exact"/>
        <w:jc w:val="center"/>
        <w:rPr>
          <w:rFonts w:ascii="SimHei" w:eastAsia="SimHei"/>
          <w:sz w:val="24"/>
        </w:rPr>
      </w:pPr>
      <w:r>
        <w:br w:type="page"/>
      </w:r>
      <w:r>
        <w:rPr>
          <w:rFonts w:ascii="SimHei" w:eastAsia="SimHei" w:hint="eastAsia"/>
          <w:sz w:val="24"/>
        </w:rPr>
        <w:t>附件</w:t>
      </w:r>
      <w:r>
        <w:rPr>
          <w:rFonts w:ascii="SimHei" w:eastAsia="SimHei" w:hint="eastAsia"/>
          <w:sz w:val="24"/>
        </w:rPr>
        <w:t>5</w:t>
      </w:r>
    </w:p>
    <w:p w:rsidR="00000000" w:rsidRDefault="00CA422F">
      <w:pPr>
        <w:spacing w:after="240" w:line="360" w:lineRule="exact"/>
        <w:jc w:val="center"/>
        <w:rPr>
          <w:rFonts w:ascii="SimHei" w:eastAsia="SimHei" w:hint="eastAsia"/>
          <w:sz w:val="24"/>
        </w:rPr>
      </w:pPr>
      <w:r>
        <w:rPr>
          <w:rFonts w:ascii="SimHei" w:eastAsia="SimHei" w:hint="eastAsia"/>
          <w:sz w:val="24"/>
        </w:rPr>
        <w:t>国家关注和预防家庭暴力制度的职能</w:t>
      </w:r>
    </w:p>
    <w:p w:rsidR="00000000" w:rsidRDefault="00CA422F">
      <w:pPr>
        <w:pStyle w:val="BodyTextIndent"/>
        <w:ind w:firstLine="462"/>
        <w:rPr>
          <w:rFonts w:hint="eastAsia"/>
        </w:rPr>
      </w:pPr>
      <w:r>
        <w:rPr>
          <w:rFonts w:hint="eastAsia"/>
        </w:rPr>
        <w:t>监督主管当局、职能部门、工作人员和代理人以及机构不得以任何暴力行为和暴力方式侵害妇女、女童、男童、老年人或残疾人。</w:t>
      </w:r>
    </w:p>
    <w:p w:rsidR="00000000" w:rsidRDefault="00CA422F">
      <w:pPr>
        <w:pStyle w:val="BodyTextIndent"/>
        <w:ind w:firstLine="462"/>
        <w:rPr>
          <w:rFonts w:hint="eastAsia"/>
        </w:rPr>
      </w:pPr>
      <w:r>
        <w:rPr>
          <w:rFonts w:hint="eastAsia"/>
        </w:rPr>
        <w:t>积极采取适当的行动防止妇女、女童、男童、老年人或残疾人遭受暴力侵害。</w:t>
      </w:r>
    </w:p>
    <w:p w:rsidR="00000000" w:rsidRDefault="00CA422F" w:rsidP="00CA422F">
      <w:pPr>
        <w:spacing w:after="240" w:line="360" w:lineRule="exact"/>
        <w:ind w:firstLineChars="200" w:firstLine="31680"/>
        <w:rPr>
          <w:rFonts w:hint="eastAsia"/>
        </w:rPr>
      </w:pPr>
      <w:r>
        <w:rPr>
          <w:rFonts w:hint="eastAsia"/>
        </w:rPr>
        <w:t>采取适当和必要的行政手段以协助预防、制裁和消除家庭暴力。</w:t>
      </w:r>
    </w:p>
    <w:p w:rsidR="00000000" w:rsidRDefault="00CA422F" w:rsidP="00CA422F">
      <w:pPr>
        <w:spacing w:after="240" w:line="360" w:lineRule="exact"/>
        <w:ind w:firstLineChars="200" w:firstLine="31680"/>
        <w:rPr>
          <w:rFonts w:hint="eastAsia"/>
        </w:rPr>
      </w:pPr>
      <w:r>
        <w:rPr>
          <w:rFonts w:hint="eastAsia"/>
        </w:rPr>
        <w:t>采取一切必要的措施改变在哥斯达黎加仍然存在的庇护或容忍家庭暴力的作法。</w:t>
      </w:r>
    </w:p>
    <w:p w:rsidR="00000000" w:rsidRDefault="00CA422F" w:rsidP="00CA422F">
      <w:pPr>
        <w:spacing w:after="240" w:line="360" w:lineRule="exact"/>
        <w:ind w:firstLineChars="200" w:firstLine="31680"/>
        <w:rPr>
          <w:rFonts w:hint="eastAsia"/>
        </w:rPr>
      </w:pPr>
      <w:r>
        <w:rPr>
          <w:rFonts w:hint="eastAsia"/>
        </w:rPr>
        <w:t>确立必要的行政机制</w:t>
      </w:r>
      <w:r>
        <w:rPr>
          <w:rFonts w:hint="eastAsia"/>
        </w:rPr>
        <w:t>，确保家庭暴力的受害对象可以真正获得政府的社会补偿。</w:t>
      </w:r>
    </w:p>
    <w:p w:rsidR="00000000" w:rsidRDefault="00CA422F" w:rsidP="00CA422F">
      <w:pPr>
        <w:spacing w:after="240" w:line="360" w:lineRule="exact"/>
        <w:ind w:firstLineChars="200" w:firstLine="31680"/>
        <w:rPr>
          <w:rFonts w:hint="eastAsia"/>
        </w:rPr>
      </w:pPr>
      <w:r>
        <w:rPr>
          <w:rFonts w:hint="eastAsia"/>
        </w:rPr>
        <w:t>促进了解和尊重妇女、女童、男童、老年人或残疾人享有不受暴力侵害的生活的权利以及人权得到尊重和保护的权利。</w:t>
      </w:r>
    </w:p>
    <w:p w:rsidR="00000000" w:rsidRDefault="00CA422F" w:rsidP="00CA422F">
      <w:pPr>
        <w:spacing w:after="240" w:line="360" w:lineRule="exact"/>
        <w:ind w:firstLineChars="200" w:firstLine="31680"/>
        <w:rPr>
          <w:rFonts w:hint="eastAsia"/>
        </w:rPr>
      </w:pPr>
      <w:r>
        <w:rPr>
          <w:rFonts w:hint="eastAsia"/>
        </w:rPr>
        <w:t>改变男女的社会文化行为模式和标准，包括设计适用于各级教育系统的正规及非正规的教育方案，从而消除潜在的、为暴力侵害妇女辩解的价值观和定势思维。</w:t>
      </w:r>
    </w:p>
    <w:p w:rsidR="00000000" w:rsidRDefault="00CA422F" w:rsidP="00CA422F">
      <w:pPr>
        <w:spacing w:after="240" w:line="360" w:lineRule="exact"/>
        <w:ind w:firstLineChars="200" w:firstLine="31680"/>
        <w:rPr>
          <w:rFonts w:hint="eastAsia"/>
        </w:rPr>
      </w:pPr>
      <w:r>
        <w:rPr>
          <w:rFonts w:hint="eastAsia"/>
        </w:rPr>
        <w:t>加强对司法机构的工作人员、警察、其他负责法律实施工作的公务员，以及预防、制裁和消除对妇女、女童、男童、老年人或残疾人的暴力的政策执行人员的教育和培训工作。</w:t>
      </w:r>
    </w:p>
    <w:p w:rsidR="00000000" w:rsidRDefault="00CA422F" w:rsidP="00CA422F">
      <w:pPr>
        <w:spacing w:after="240" w:line="360" w:lineRule="exact"/>
        <w:ind w:firstLineChars="200" w:firstLine="31680"/>
        <w:rPr>
          <w:rFonts w:hint="eastAsia"/>
        </w:rPr>
      </w:pPr>
      <w:r>
        <w:rPr>
          <w:rFonts w:hint="eastAsia"/>
        </w:rPr>
        <w:t>努力促进公共和私人机构提供适当的专业服务，以便给予暴力</w:t>
      </w:r>
      <w:r>
        <w:rPr>
          <w:rFonts w:hint="eastAsia"/>
        </w:rPr>
        <w:t>侵害的受害者必要的照料。这些专业服务包括收容庇护、家庭指导方案（若为家庭暴力案件）以及照顾和看护未成年受害者。</w:t>
      </w:r>
    </w:p>
    <w:p w:rsidR="00000000" w:rsidRDefault="00CA422F" w:rsidP="00CA422F">
      <w:pPr>
        <w:spacing w:after="240" w:line="360" w:lineRule="exact"/>
        <w:ind w:firstLineChars="200" w:firstLine="31680"/>
        <w:rPr>
          <w:rFonts w:hint="eastAsia"/>
        </w:rPr>
      </w:pPr>
      <w:r>
        <w:rPr>
          <w:rFonts w:hint="eastAsia"/>
        </w:rPr>
        <w:t>促进和支持政府及私人部门开展的提高公众觉悟的教育方案，从而提高公众对暴力侵害妇女、女童、男童、老年人或残疾人问题的认识，了解法律措施及相应的补偿手段。</w:t>
      </w:r>
    </w:p>
    <w:p w:rsidR="00000000" w:rsidRDefault="00CA422F" w:rsidP="00CA422F">
      <w:pPr>
        <w:spacing w:after="240" w:line="360" w:lineRule="exact"/>
        <w:ind w:firstLineChars="200" w:firstLine="31680"/>
        <w:rPr>
          <w:rFonts w:hint="eastAsia"/>
        </w:rPr>
      </w:pPr>
      <w:r>
        <w:rPr>
          <w:rFonts w:hint="eastAsia"/>
        </w:rPr>
        <w:t>努力向家庭暴力受害者提供机会，使其参加有效的康复与培训方案，使她们能够全面参与政治、个人和社会生活。</w:t>
      </w:r>
    </w:p>
    <w:p w:rsidR="00000000" w:rsidRDefault="00CA422F" w:rsidP="00CA422F">
      <w:pPr>
        <w:spacing w:after="240" w:line="360" w:lineRule="exact"/>
        <w:ind w:firstLineChars="200" w:firstLine="31680"/>
        <w:rPr>
          <w:rFonts w:hint="eastAsia"/>
        </w:rPr>
      </w:pPr>
      <w:r>
        <w:rPr>
          <w:rFonts w:hint="eastAsia"/>
        </w:rPr>
        <w:t>鼓励大众传媒制订适宜的宣传指导方针，推动消除一切形式的家庭暴力并尊重受害者的尊严。</w:t>
      </w:r>
    </w:p>
    <w:p w:rsidR="00000000" w:rsidRDefault="00CA422F" w:rsidP="00CA422F">
      <w:pPr>
        <w:spacing w:after="240" w:line="360" w:lineRule="exact"/>
        <w:ind w:firstLineChars="200" w:firstLine="31680"/>
        <w:rPr>
          <w:rFonts w:hint="eastAsia"/>
        </w:rPr>
      </w:pPr>
      <w:r>
        <w:rPr>
          <w:rFonts w:hint="eastAsia"/>
        </w:rPr>
        <w:t>保障调查家庭暴力的原因、后果和频率、统计数据及其他相关资料的汇</w:t>
      </w:r>
      <w:r>
        <w:rPr>
          <w:rFonts w:hint="eastAsia"/>
        </w:rPr>
        <w:t>编工作的顺利进行，以便评估用于预防、制裁和消除家庭暴力的各项措施的效率和效能，并且提出和进行必要的改进。</w:t>
      </w:r>
    </w:p>
    <w:p w:rsidR="00000000" w:rsidRDefault="00CA422F" w:rsidP="00CA422F">
      <w:pPr>
        <w:spacing w:after="240" w:line="360" w:lineRule="exact"/>
        <w:ind w:firstLineChars="200" w:firstLine="31680"/>
        <w:rPr>
          <w:rFonts w:hint="eastAsia"/>
        </w:rPr>
      </w:pPr>
      <w:r>
        <w:rPr>
          <w:rFonts w:hint="eastAsia"/>
        </w:rPr>
        <w:t>推动国际合作，从而促进交流思想和经验，以及加强保护受害者方案的实施工作。</w:t>
      </w:r>
    </w:p>
    <w:p w:rsidR="00000000" w:rsidRDefault="00CA422F">
      <w:pPr>
        <w:spacing w:after="240" w:line="360" w:lineRule="exact"/>
        <w:jc w:val="center"/>
        <w:rPr>
          <w:rFonts w:ascii="SimHei" w:eastAsia="SimHei" w:hint="eastAsia"/>
          <w:sz w:val="24"/>
        </w:rPr>
      </w:pPr>
      <w:r>
        <w:rPr>
          <w:rFonts w:ascii="SimHei" w:eastAsia="SimHei" w:hint="eastAsia"/>
          <w:sz w:val="24"/>
        </w:rPr>
        <w:t>附件</w:t>
      </w:r>
      <w:r>
        <w:rPr>
          <w:rFonts w:ascii="SimHei" w:eastAsia="SimHei" w:hint="eastAsia"/>
          <w:sz w:val="24"/>
        </w:rPr>
        <w:t>6</w:t>
      </w:r>
    </w:p>
    <w:p w:rsidR="00000000" w:rsidRDefault="00CA422F">
      <w:pPr>
        <w:spacing w:after="240" w:line="360" w:lineRule="exact"/>
        <w:jc w:val="center"/>
        <w:rPr>
          <w:rFonts w:ascii="SimHei" w:eastAsia="SimHei" w:hint="eastAsia"/>
          <w:sz w:val="24"/>
        </w:rPr>
      </w:pPr>
      <w:r>
        <w:rPr>
          <w:rFonts w:ascii="SimHei" w:eastAsia="SimHei" w:hint="eastAsia"/>
          <w:sz w:val="24"/>
        </w:rPr>
        <w:t>法</w:t>
      </w:r>
      <w:r>
        <w:rPr>
          <w:rFonts w:ascii="SimHei" w:eastAsia="SimHei"/>
          <w:sz w:val="24"/>
        </w:rPr>
        <w:t xml:space="preserve"> </w:t>
      </w:r>
      <w:r>
        <w:rPr>
          <w:rFonts w:ascii="SimHei" w:eastAsia="SimHei" w:hint="eastAsia"/>
          <w:sz w:val="24"/>
        </w:rPr>
        <w:t>律</w:t>
      </w:r>
    </w:p>
    <w:p w:rsidR="00000000" w:rsidRDefault="00CA422F">
      <w:pPr>
        <w:pStyle w:val="4"/>
        <w:tabs>
          <w:tab w:val="clear" w:pos="360"/>
          <w:tab w:val="num" w:pos="480"/>
        </w:tabs>
        <w:spacing w:before="120" w:after="120" w:line="360" w:lineRule="exact"/>
        <w:ind w:left="480" w:hanging="480"/>
        <w:rPr>
          <w:rFonts w:hint="eastAsia"/>
        </w:rPr>
      </w:pPr>
      <w:r>
        <w:rPr>
          <w:rFonts w:hint="eastAsia"/>
        </w:rPr>
        <w:t>通过《消除对妇女一切形式歧视公约任择议定书》，第</w:t>
      </w:r>
      <w:r>
        <w:rPr>
          <w:rFonts w:hint="eastAsia"/>
        </w:rPr>
        <w:t>8089</w:t>
      </w:r>
      <w:r>
        <w:rPr>
          <w:rFonts w:hint="eastAsia"/>
        </w:rPr>
        <w:t>号法律，圣何塞，哥斯达黎加：立法议会，</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通过《美洲扶养义务公约》，第</w:t>
      </w:r>
      <w:r>
        <w:rPr>
          <w:rFonts w:hint="eastAsia"/>
        </w:rPr>
        <w:t>8053</w:t>
      </w:r>
      <w:r>
        <w:rPr>
          <w:rFonts w:hint="eastAsia"/>
        </w:rPr>
        <w:t>号法律，圣何塞，哥斯达黎加：立法议会，</w:t>
      </w:r>
      <w:r>
        <w:rPr>
          <w:rFonts w:hint="eastAsia"/>
        </w:rPr>
        <w:t>2000</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《贫困妇女关注法》，第</w:t>
      </w:r>
      <w:r>
        <w:rPr>
          <w:rFonts w:hint="eastAsia"/>
        </w:rPr>
        <w:t>7769</w:t>
      </w:r>
      <w:r>
        <w:rPr>
          <w:rFonts w:hint="eastAsia"/>
        </w:rPr>
        <w:t>号法律，圣何塞，哥斯达黎加：立法议会，</w:t>
      </w:r>
      <w:r>
        <w:rPr>
          <w:rFonts w:hint="eastAsia"/>
        </w:rPr>
        <w:t>1998</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授权社会援助联合研究所全部和部分免除已</w:t>
      </w:r>
      <w:r>
        <w:rPr>
          <w:rFonts w:hint="eastAsia"/>
        </w:rPr>
        <w:t>经申报为共同权益的住宅抵押贷款，第</w:t>
      </w:r>
      <w:r>
        <w:rPr>
          <w:rFonts w:hint="eastAsia"/>
        </w:rPr>
        <w:t>7940</w:t>
      </w:r>
      <w:r>
        <w:rPr>
          <w:rFonts w:hint="eastAsia"/>
        </w:rPr>
        <w:t>号法律，圣何塞，哥斯达黎加：立法议会，</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《儿童和青少年法》，第</w:t>
      </w:r>
      <w:r>
        <w:rPr>
          <w:rFonts w:hint="eastAsia"/>
        </w:rPr>
        <w:t>7739</w:t>
      </w:r>
      <w:r>
        <w:rPr>
          <w:rFonts w:hint="eastAsia"/>
        </w:rPr>
        <w:t>号法律，圣何塞，哥斯达黎加：立法议会，</w:t>
      </w:r>
      <w:r>
        <w:rPr>
          <w:rFonts w:hint="eastAsia"/>
        </w:rPr>
        <w:t>1998</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《市政法典》，第</w:t>
      </w:r>
      <w:r>
        <w:rPr>
          <w:rFonts w:hint="eastAsia"/>
        </w:rPr>
        <w:t>7794</w:t>
      </w:r>
      <w:r>
        <w:rPr>
          <w:rFonts w:hint="eastAsia"/>
        </w:rPr>
        <w:t>号法律，圣何塞，哥斯达黎加：立法议会，</w:t>
      </w:r>
      <w:r>
        <w:rPr>
          <w:rFonts w:hint="eastAsia"/>
        </w:rPr>
        <w:t>1998</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w:t>
      </w:r>
      <w:r>
        <w:rPr>
          <w:rFonts w:hint="eastAsia"/>
        </w:rPr>
        <w:t>1949</w:t>
      </w:r>
      <w:r>
        <w:rPr>
          <w:rFonts w:hint="eastAsia"/>
        </w:rPr>
        <w:t>年政治宪法》，圣何塞，哥斯达黎加：立法议会。</w:t>
      </w:r>
    </w:p>
    <w:p w:rsidR="00000000" w:rsidRDefault="00CA422F">
      <w:pPr>
        <w:pStyle w:val="4"/>
        <w:tabs>
          <w:tab w:val="clear" w:pos="360"/>
          <w:tab w:val="num" w:pos="480"/>
        </w:tabs>
        <w:spacing w:before="120" w:after="120" w:line="360" w:lineRule="exact"/>
        <w:ind w:left="480" w:hanging="480"/>
        <w:rPr>
          <w:rFonts w:hint="eastAsia"/>
        </w:rPr>
      </w:pPr>
      <w:r>
        <w:rPr>
          <w:rFonts w:hint="eastAsia"/>
        </w:rPr>
        <w:t>《美洲国际打击贩卖未成年人公约》，第</w:t>
      </w:r>
      <w:r>
        <w:rPr>
          <w:rFonts w:hint="eastAsia"/>
        </w:rPr>
        <w:t>8071</w:t>
      </w:r>
      <w:r>
        <w:rPr>
          <w:rFonts w:hint="eastAsia"/>
        </w:rPr>
        <w:t>号法律，圣何塞，哥斯达黎加：立法议会，</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制订使用酒、啤酒和香烟税收向处于社会风险中的老年妇女、女童和男童、被遗弃残疾人保护和庇护的整体计划，以及酗酒</w:t>
      </w:r>
      <w:r>
        <w:rPr>
          <w:rFonts w:hint="eastAsia"/>
        </w:rPr>
        <w:t>者和药物依赖者康复计划提供资金，资助红十字会工作并免除小额农业活动的业务税及其必然替代税，圣何塞，哥斯达黎加：立法议会，</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成立特蕾阿姨之家，第</w:t>
      </w:r>
      <w:r>
        <w:rPr>
          <w:rFonts w:hint="eastAsia"/>
        </w:rPr>
        <w:t>7817</w:t>
      </w:r>
      <w:r>
        <w:rPr>
          <w:rFonts w:hint="eastAsia"/>
        </w:rPr>
        <w:t>号法律，圣何塞，哥斯达黎加：立法议会，</w:t>
      </w:r>
      <w:r>
        <w:rPr>
          <w:rFonts w:hint="eastAsia"/>
        </w:rPr>
        <w:t>1998</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设立妇女名人堂，第</w:t>
      </w:r>
      <w:r>
        <w:rPr>
          <w:rFonts w:hint="eastAsia"/>
        </w:rPr>
        <w:t>7954</w:t>
      </w:r>
      <w:r>
        <w:rPr>
          <w:rFonts w:hint="eastAsia"/>
        </w:rPr>
        <w:t>号法律，圣何塞，哥斯达黎加：立法议会，</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在埃雷斯迪亚司法辖区、阿拉胡埃拉第一司法辖区、卡塔戈司法辖区组建家庭暴力法庭以及在卡塔戈省尤宁县成立刑事法庭，第</w:t>
      </w:r>
      <w:r>
        <w:rPr>
          <w:rFonts w:hint="eastAsia"/>
        </w:rPr>
        <w:t>8129</w:t>
      </w:r>
      <w:r>
        <w:rPr>
          <w:rFonts w:hint="eastAsia"/>
        </w:rPr>
        <w:t>号法律，圣何塞，哥斯达黎加：立法议会，</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在圣何塞第二司法辖区设立家庭暴力法庭，第</w:t>
      </w:r>
      <w:r>
        <w:rPr>
          <w:rFonts w:hint="eastAsia"/>
        </w:rPr>
        <w:t>8128</w:t>
      </w:r>
      <w:r>
        <w:rPr>
          <w:rFonts w:hint="eastAsia"/>
        </w:rPr>
        <w:t>号法律，圣何塞，哥斯达黎加：立法议会，</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组建国家妇女研究所，第</w:t>
      </w:r>
      <w:r>
        <w:rPr>
          <w:rFonts w:hint="eastAsia"/>
        </w:rPr>
        <w:t>7801</w:t>
      </w:r>
      <w:r>
        <w:rPr>
          <w:rFonts w:hint="eastAsia"/>
        </w:rPr>
        <w:t>号法律，圣何塞，哥斯达黎加：立法议会，</w:t>
      </w:r>
      <w:r>
        <w:rPr>
          <w:rFonts w:hint="eastAsia"/>
        </w:rPr>
        <w:t>1998</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由于不满意一处公用不动产，授权圣何塞市政府划拨并转让一块地皮给家庭与文化协会的妇女职业培训学校，以便使</w:t>
      </w:r>
      <w:r>
        <w:rPr>
          <w:rFonts w:hint="eastAsia"/>
        </w:rPr>
        <w:t>P</w:t>
      </w:r>
      <w:r>
        <w:t>avas</w:t>
      </w:r>
      <w:r>
        <w:rPr>
          <w:rFonts w:hint="eastAsia"/>
        </w:rPr>
        <w:t>职业妇女协会投入运作，第</w:t>
      </w:r>
      <w:r>
        <w:rPr>
          <w:rFonts w:hint="eastAsia"/>
        </w:rPr>
        <w:t>7986</w:t>
      </w:r>
      <w:r>
        <w:rPr>
          <w:rFonts w:hint="eastAsia"/>
        </w:rPr>
        <w:t>号法律，圣何塞，哥斯达黎加：立法议会，</w:t>
      </w:r>
      <w:r>
        <w:rPr>
          <w:rFonts w:hint="eastAsia"/>
        </w:rPr>
        <w:t>2000</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《残疾人机遇平等法》第</w:t>
      </w:r>
      <w:r>
        <w:rPr>
          <w:rFonts w:hint="eastAsia"/>
        </w:rPr>
        <w:t>7600</w:t>
      </w:r>
      <w:r>
        <w:rPr>
          <w:rFonts w:hint="eastAsia"/>
        </w:rPr>
        <w:t>号法律，圣何塞，哥斯达黎加：立法议会，</w:t>
      </w:r>
      <w:r>
        <w:rPr>
          <w:rFonts w:hint="eastAsia"/>
        </w:rPr>
        <w:t>1996</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《反对教育和工作中的性骚扰法》，第</w:t>
      </w:r>
      <w:r>
        <w:rPr>
          <w:rFonts w:hint="eastAsia"/>
        </w:rPr>
        <w:t>7476</w:t>
      </w:r>
      <w:r>
        <w:rPr>
          <w:rFonts w:hint="eastAsia"/>
        </w:rPr>
        <w:t>号法律，圣何塞，哥斯达黎加：立法议会，</w:t>
      </w:r>
      <w:r>
        <w:rPr>
          <w:rFonts w:hint="eastAsia"/>
        </w:rPr>
        <w:t>1995</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《打击</w:t>
      </w:r>
      <w:r>
        <w:rPr>
          <w:rFonts w:hint="eastAsia"/>
        </w:rPr>
        <w:t>对未成年人的色情剥削法》，第</w:t>
      </w:r>
      <w:r>
        <w:rPr>
          <w:rFonts w:hint="eastAsia"/>
        </w:rPr>
        <w:t>7899</w:t>
      </w:r>
      <w:r>
        <w:rPr>
          <w:rFonts w:hint="eastAsia"/>
        </w:rPr>
        <w:t>号法律，圣何塞，哥斯达黎加：立法议会，</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《消除家庭暴力法》，第</w:t>
      </w:r>
      <w:r>
        <w:rPr>
          <w:rFonts w:hint="eastAsia"/>
        </w:rPr>
        <w:t>7586</w:t>
      </w:r>
      <w:r>
        <w:rPr>
          <w:rFonts w:hint="eastAsia"/>
        </w:rPr>
        <w:t>号法律，圣何塞，哥斯达黎加：立法议会，</w:t>
      </w:r>
      <w:r>
        <w:rPr>
          <w:rFonts w:hint="eastAsia"/>
        </w:rPr>
        <w:t>1996</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《共和国居民保护组织法》，第</w:t>
      </w:r>
      <w:r>
        <w:rPr>
          <w:rFonts w:hint="eastAsia"/>
        </w:rPr>
        <w:t>7319</w:t>
      </w:r>
      <w:r>
        <w:rPr>
          <w:rFonts w:hint="eastAsia"/>
        </w:rPr>
        <w:t>号法律，圣何塞，哥斯达黎加：立法议会，</w:t>
      </w:r>
      <w:r>
        <w:rPr>
          <w:rFonts w:hint="eastAsia"/>
        </w:rPr>
        <w:t>1992</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《父子关系责任法》，第</w:t>
      </w:r>
      <w:r>
        <w:rPr>
          <w:rFonts w:hint="eastAsia"/>
        </w:rPr>
        <w:t>8101</w:t>
      </w:r>
      <w:r>
        <w:rPr>
          <w:rFonts w:hint="eastAsia"/>
        </w:rPr>
        <w:t>号法律，圣何塞，哥斯达黎加：立法议会，</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《促进妇女社会平等法》，第</w:t>
      </w:r>
      <w:r>
        <w:rPr>
          <w:rFonts w:hint="eastAsia"/>
        </w:rPr>
        <w:t>7142</w:t>
      </w:r>
      <w:r>
        <w:rPr>
          <w:rFonts w:hint="eastAsia"/>
        </w:rPr>
        <w:t>号法律，圣何塞，哥斯达黎加：立法议会，</w:t>
      </w:r>
      <w:r>
        <w:rPr>
          <w:rFonts w:hint="eastAsia"/>
        </w:rPr>
        <w:t>1990</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《保护妇女免受大众媒体中的侮辱性商业广告宣传侵害法》，第</w:t>
      </w:r>
      <w:r>
        <w:rPr>
          <w:rFonts w:hint="eastAsia"/>
        </w:rPr>
        <w:t>5811</w:t>
      </w:r>
      <w:r>
        <w:rPr>
          <w:rFonts w:hint="eastAsia"/>
        </w:rPr>
        <w:t>号法律，圣何塞，哥斯达</w:t>
      </w:r>
      <w:r>
        <w:rPr>
          <w:rFonts w:hint="eastAsia"/>
        </w:rPr>
        <w:t>黎加：立法议会，</w:t>
      </w:r>
      <w:r>
        <w:rPr>
          <w:rFonts w:hint="eastAsia"/>
        </w:rPr>
        <w:t>1975</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《生产再教育法》，第</w:t>
      </w:r>
      <w:r>
        <w:rPr>
          <w:rFonts w:hint="eastAsia"/>
        </w:rPr>
        <w:t>7742</w:t>
      </w:r>
      <w:r>
        <w:rPr>
          <w:rFonts w:hint="eastAsia"/>
        </w:rPr>
        <w:t>号法律，圣何塞，哥斯达黎加：立法议会，</w:t>
      </w:r>
      <w:r>
        <w:rPr>
          <w:rFonts w:hint="eastAsia"/>
        </w:rPr>
        <w:t>1977</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《公共演出、演出材料、视听节目和印刷品基本法》，第</w:t>
      </w:r>
      <w:r>
        <w:rPr>
          <w:rFonts w:hint="eastAsia"/>
        </w:rPr>
        <w:t>7440</w:t>
      </w:r>
      <w:r>
        <w:rPr>
          <w:rFonts w:hint="eastAsia"/>
        </w:rPr>
        <w:t>号法律，圣何塞，哥斯达黎加：立法议会，</w:t>
      </w:r>
      <w:r>
        <w:rPr>
          <w:rFonts w:hint="eastAsia"/>
        </w:rPr>
        <w:t>1994</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《保护少女母亲基本法》，第</w:t>
      </w:r>
      <w:r>
        <w:rPr>
          <w:rFonts w:hint="eastAsia"/>
        </w:rPr>
        <w:t>7735</w:t>
      </w:r>
      <w:r>
        <w:rPr>
          <w:rFonts w:hint="eastAsia"/>
        </w:rPr>
        <w:t>号法律，圣何塞，哥斯达黎加：立法议会。（</w:t>
      </w:r>
      <w:r>
        <w:rPr>
          <w:rFonts w:hint="eastAsia"/>
        </w:rPr>
        <w:t>S. f</w:t>
      </w:r>
      <w:r>
        <w:rPr>
          <w:rFonts w:hint="eastAsia"/>
        </w:rPr>
        <w:t>）。</w:t>
      </w:r>
    </w:p>
    <w:p w:rsidR="00000000" w:rsidRDefault="00CA422F">
      <w:pPr>
        <w:pStyle w:val="4"/>
        <w:tabs>
          <w:tab w:val="clear" w:pos="360"/>
          <w:tab w:val="num" w:pos="480"/>
        </w:tabs>
        <w:spacing w:before="120" w:after="120" w:line="360" w:lineRule="exact"/>
        <w:ind w:left="480" w:hanging="480"/>
        <w:rPr>
          <w:rFonts w:hint="eastAsia"/>
        </w:rPr>
      </w:pPr>
      <w:r>
        <w:rPr>
          <w:rFonts w:hint="eastAsia"/>
        </w:rPr>
        <w:t>《艾滋病毒</w:t>
      </w:r>
      <w:r>
        <w:rPr>
          <w:rFonts w:hint="eastAsia"/>
        </w:rPr>
        <w:t>/</w:t>
      </w:r>
      <w:r>
        <w:rPr>
          <w:rFonts w:hint="eastAsia"/>
        </w:rPr>
        <w:t>艾滋病基本法》，第</w:t>
      </w:r>
      <w:r>
        <w:rPr>
          <w:rFonts w:hint="eastAsia"/>
        </w:rPr>
        <w:t>7771</w:t>
      </w:r>
      <w:r>
        <w:rPr>
          <w:rFonts w:hint="eastAsia"/>
        </w:rPr>
        <w:t>号法律，圣何塞，哥斯达黎加：立法议会，</w:t>
      </w:r>
      <w:r>
        <w:rPr>
          <w:rFonts w:hint="eastAsia"/>
        </w:rPr>
        <w:t>1998</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《老年妇女基本法》，第</w:t>
      </w:r>
      <w:r>
        <w:rPr>
          <w:rFonts w:hint="eastAsia"/>
        </w:rPr>
        <w:t>7935</w:t>
      </w:r>
      <w:r>
        <w:rPr>
          <w:rFonts w:hint="eastAsia"/>
        </w:rPr>
        <w:t>号法律，圣何塞，哥斯达黎加：立法议会，第</w:t>
      </w:r>
      <w:r>
        <w:rPr>
          <w:rFonts w:hint="eastAsia"/>
        </w:rPr>
        <w:t>221</w:t>
      </w:r>
      <w:r>
        <w:rPr>
          <w:rFonts w:hint="eastAsia"/>
        </w:rPr>
        <w:t>号公报，</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《立法议会组织条</w:t>
      </w:r>
      <w:r>
        <w:rPr>
          <w:rFonts w:hint="eastAsia"/>
        </w:rPr>
        <w:t>例》，圣何塞，哥斯达黎加：立法议会。（</w:t>
      </w:r>
      <w:r>
        <w:rPr>
          <w:rFonts w:hint="eastAsia"/>
        </w:rPr>
        <w:t>S. f</w:t>
      </w:r>
      <w:r>
        <w:rPr>
          <w:rFonts w:hint="eastAsia"/>
        </w:rPr>
        <w:t>）。</w:t>
      </w:r>
    </w:p>
    <w:p w:rsidR="00000000" w:rsidRDefault="00CA422F">
      <w:pPr>
        <w:pStyle w:val="4"/>
        <w:numPr>
          <w:ilvl w:val="0"/>
          <w:numId w:val="0"/>
        </w:numPr>
        <w:spacing w:before="120" w:after="120" w:line="360" w:lineRule="exact"/>
        <w:jc w:val="center"/>
        <w:rPr>
          <w:rFonts w:eastAsia="SimHei" w:hint="eastAsia"/>
          <w:sz w:val="24"/>
        </w:rPr>
      </w:pPr>
      <w:r>
        <w:rPr>
          <w:rFonts w:eastAsia="SimHei" w:hint="eastAsia"/>
          <w:sz w:val="24"/>
        </w:rPr>
        <w:t>法律修正案</w:t>
      </w:r>
    </w:p>
    <w:p w:rsidR="00000000" w:rsidRDefault="00CA422F">
      <w:pPr>
        <w:pStyle w:val="4"/>
        <w:tabs>
          <w:tab w:val="clear" w:pos="360"/>
          <w:tab w:val="num" w:pos="480"/>
        </w:tabs>
        <w:spacing w:before="120" w:after="120" w:line="360" w:lineRule="exact"/>
        <w:ind w:left="480" w:hanging="480"/>
        <w:rPr>
          <w:rFonts w:hint="eastAsia"/>
        </w:rPr>
      </w:pPr>
      <w:r>
        <w:rPr>
          <w:rFonts w:hint="eastAsia"/>
        </w:rPr>
        <w:t>《政治宪法》第</w:t>
      </w:r>
      <w:r>
        <w:rPr>
          <w:rFonts w:hint="eastAsia"/>
        </w:rPr>
        <w:t>20</w:t>
      </w:r>
      <w:r>
        <w:rPr>
          <w:rFonts w:hint="eastAsia"/>
        </w:rPr>
        <w:t>条和第</w:t>
      </w:r>
      <w:r>
        <w:rPr>
          <w:rFonts w:hint="eastAsia"/>
        </w:rPr>
        <w:t>23</w:t>
      </w:r>
      <w:r>
        <w:rPr>
          <w:rFonts w:hint="eastAsia"/>
        </w:rPr>
        <w:t>条修正案，第</w:t>
      </w:r>
      <w:r>
        <w:rPr>
          <w:rFonts w:hint="eastAsia"/>
        </w:rPr>
        <w:t>7880</w:t>
      </w:r>
      <w:r>
        <w:rPr>
          <w:rFonts w:hint="eastAsia"/>
        </w:rPr>
        <w:t>号法律，圣何塞，哥斯达黎加：立法议会，</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《选举法》某些条款的修正案，第</w:t>
      </w:r>
      <w:r>
        <w:rPr>
          <w:rFonts w:hint="eastAsia"/>
        </w:rPr>
        <w:t>7653</w:t>
      </w:r>
      <w:r>
        <w:rPr>
          <w:rFonts w:hint="eastAsia"/>
        </w:rPr>
        <w:t>号法律，圣何塞，哥斯达黎加：立法议会，</w:t>
      </w:r>
      <w:r>
        <w:rPr>
          <w:rFonts w:hint="eastAsia"/>
        </w:rPr>
        <w:t>1996</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《国家住宅财政体制法》修正案，第</w:t>
      </w:r>
      <w:r>
        <w:rPr>
          <w:rFonts w:hint="eastAsia"/>
        </w:rPr>
        <w:t>7052</w:t>
      </w:r>
      <w:r>
        <w:rPr>
          <w:rFonts w:hint="eastAsia"/>
        </w:rPr>
        <w:t>号法律，第</w:t>
      </w:r>
      <w:r>
        <w:rPr>
          <w:rFonts w:hint="eastAsia"/>
        </w:rPr>
        <w:t>7950</w:t>
      </w:r>
      <w:r>
        <w:rPr>
          <w:rFonts w:hint="eastAsia"/>
        </w:rPr>
        <w:t>号法律，圣何塞，哥斯达黎加：立法议会，</w:t>
      </w:r>
      <w:r>
        <w:rPr>
          <w:rFonts w:hint="eastAsia"/>
        </w:rPr>
        <w:t>2000</w:t>
      </w:r>
      <w:r>
        <w:rPr>
          <w:rFonts w:hint="eastAsia"/>
        </w:rPr>
        <w:t>年。</w:t>
      </w:r>
    </w:p>
    <w:p w:rsidR="00000000" w:rsidRDefault="00CA422F">
      <w:pPr>
        <w:pStyle w:val="4"/>
        <w:numPr>
          <w:ilvl w:val="0"/>
          <w:numId w:val="0"/>
        </w:numPr>
        <w:spacing w:before="120" w:after="120" w:line="360" w:lineRule="exact"/>
        <w:jc w:val="center"/>
        <w:rPr>
          <w:rFonts w:eastAsia="SimHei" w:hint="eastAsia"/>
          <w:sz w:val="24"/>
        </w:rPr>
      </w:pPr>
      <w:r>
        <w:rPr>
          <w:rFonts w:eastAsia="SimHei" w:hint="eastAsia"/>
          <w:sz w:val="24"/>
        </w:rPr>
        <w:t>向立法议会提交的法律草案</w:t>
      </w:r>
    </w:p>
    <w:p w:rsidR="00000000" w:rsidRDefault="00CA422F">
      <w:pPr>
        <w:pStyle w:val="4"/>
        <w:tabs>
          <w:tab w:val="clear" w:pos="360"/>
          <w:tab w:val="num" w:pos="480"/>
        </w:tabs>
        <w:spacing w:before="120" w:after="120" w:line="360" w:lineRule="exact"/>
        <w:ind w:left="480" w:hanging="480"/>
        <w:rPr>
          <w:rFonts w:hint="eastAsia"/>
        </w:rPr>
      </w:pPr>
      <w:r>
        <w:rPr>
          <w:rFonts w:hint="eastAsia"/>
        </w:rPr>
        <w:t>《选举法》，第</w:t>
      </w:r>
      <w:r>
        <w:rPr>
          <w:rFonts w:hint="eastAsia"/>
        </w:rPr>
        <w:t>14268</w:t>
      </w:r>
      <w:r>
        <w:rPr>
          <w:rFonts w:hint="eastAsia"/>
        </w:rPr>
        <w:t>号文件，圣何塞，哥斯达黎加，</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组建打击家庭暴力及其他剥夺性自由犯罪的特别检察机构，第</w:t>
      </w:r>
      <w:r>
        <w:rPr>
          <w:rFonts w:hint="eastAsia"/>
        </w:rPr>
        <w:t>1</w:t>
      </w:r>
      <w:r>
        <w:rPr>
          <w:rFonts w:hint="eastAsia"/>
        </w:rPr>
        <w:t>3050</w:t>
      </w:r>
      <w:r>
        <w:rPr>
          <w:rFonts w:hint="eastAsia"/>
        </w:rPr>
        <w:t>号文件，圣何塞，哥斯达黎加，</w:t>
      </w:r>
      <w:r>
        <w:rPr>
          <w:rFonts w:hint="eastAsia"/>
        </w:rPr>
        <w:t>1997</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国家妇女研究所，法律草案：修订《市政法》第</w:t>
      </w:r>
      <w:r>
        <w:rPr>
          <w:rFonts w:hint="eastAsia"/>
        </w:rPr>
        <w:t>1</w:t>
      </w:r>
      <w:r>
        <w:rPr>
          <w:rFonts w:hint="eastAsia"/>
        </w:rPr>
        <w:t>、</w:t>
      </w:r>
      <w:r>
        <w:rPr>
          <w:rFonts w:hint="eastAsia"/>
        </w:rPr>
        <w:t>13</w:t>
      </w:r>
      <w:r>
        <w:rPr>
          <w:rFonts w:hint="eastAsia"/>
        </w:rPr>
        <w:t>、</w:t>
      </w:r>
      <w:r>
        <w:rPr>
          <w:rFonts w:hint="eastAsia"/>
        </w:rPr>
        <w:t>17</w:t>
      </w:r>
      <w:r>
        <w:rPr>
          <w:rFonts w:hint="eastAsia"/>
        </w:rPr>
        <w:t>、</w:t>
      </w:r>
      <w:r>
        <w:rPr>
          <w:rFonts w:hint="eastAsia"/>
        </w:rPr>
        <w:t>125</w:t>
      </w:r>
      <w:r>
        <w:rPr>
          <w:rFonts w:hint="eastAsia"/>
        </w:rPr>
        <w:t>、</w:t>
      </w:r>
      <w:r>
        <w:rPr>
          <w:rFonts w:hint="eastAsia"/>
        </w:rPr>
        <w:t>126</w:t>
      </w:r>
      <w:r>
        <w:rPr>
          <w:rFonts w:hint="eastAsia"/>
        </w:rPr>
        <w:t>和</w:t>
      </w:r>
      <w:r>
        <w:rPr>
          <w:rFonts w:hint="eastAsia"/>
        </w:rPr>
        <w:t>142</w:t>
      </w:r>
      <w:r>
        <w:rPr>
          <w:rFonts w:hint="eastAsia"/>
        </w:rPr>
        <w:t>条、补充第</w:t>
      </w:r>
      <w:r>
        <w:rPr>
          <w:rFonts w:hint="eastAsia"/>
        </w:rPr>
        <w:t>17</w:t>
      </w:r>
      <w:r>
        <w:rPr>
          <w:rFonts w:hint="eastAsia"/>
        </w:rPr>
        <w:t>条和</w:t>
      </w:r>
      <w:r>
        <w:rPr>
          <w:rFonts w:hint="eastAsia"/>
        </w:rPr>
        <w:t>194</w:t>
      </w:r>
      <w:r>
        <w:rPr>
          <w:rFonts w:hint="eastAsia"/>
        </w:rPr>
        <w:t>条的规定、改变第</w:t>
      </w:r>
      <w:r>
        <w:rPr>
          <w:rFonts w:hint="eastAsia"/>
        </w:rPr>
        <w:t>182</w:t>
      </w:r>
      <w:r>
        <w:rPr>
          <w:rFonts w:hint="eastAsia"/>
        </w:rPr>
        <w:t>、</w:t>
      </w:r>
      <w:r>
        <w:rPr>
          <w:rFonts w:hint="eastAsia"/>
        </w:rPr>
        <w:t>183</w:t>
      </w:r>
      <w:r>
        <w:rPr>
          <w:rFonts w:hint="eastAsia"/>
        </w:rPr>
        <w:t>和</w:t>
      </w:r>
      <w:r>
        <w:rPr>
          <w:rFonts w:hint="eastAsia"/>
        </w:rPr>
        <w:t>184</w:t>
      </w:r>
      <w:r>
        <w:rPr>
          <w:rFonts w:hint="eastAsia"/>
        </w:rPr>
        <w:t>条的排列顺序和组建市政府妇女办公室，第</w:t>
      </w:r>
      <w:r>
        <w:rPr>
          <w:rFonts w:hint="eastAsia"/>
        </w:rPr>
        <w:t>14591</w:t>
      </w:r>
      <w:r>
        <w:rPr>
          <w:rFonts w:hint="eastAsia"/>
        </w:rPr>
        <w:t>号文件，圣何塞，哥斯达黎加，</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《政党法》，第</w:t>
      </w:r>
      <w:r>
        <w:rPr>
          <w:rFonts w:hint="eastAsia"/>
        </w:rPr>
        <w:t>13862</w:t>
      </w:r>
      <w:r>
        <w:rPr>
          <w:rFonts w:hint="eastAsia"/>
        </w:rPr>
        <w:t>号文件，圣何塞，哥斯达黎加，</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《打击对未成年女性的暴力侵害行为的刑事处罚法》，多数肯定报告，第</w:t>
      </w:r>
      <w:r>
        <w:rPr>
          <w:rFonts w:hint="eastAsia"/>
        </w:rPr>
        <w:t>13874</w:t>
      </w:r>
      <w:r>
        <w:rPr>
          <w:rFonts w:hint="eastAsia"/>
        </w:rPr>
        <w:t>号法律，圣何塞，哥斯达黎加，</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《国家妇女研究所组建法修正案》，第</w:t>
      </w:r>
      <w:r>
        <w:rPr>
          <w:rFonts w:hint="eastAsia"/>
        </w:rPr>
        <w:t>7801</w:t>
      </w:r>
      <w:r>
        <w:rPr>
          <w:rFonts w:hint="eastAsia"/>
        </w:rPr>
        <w:t>号法律</w:t>
      </w:r>
      <w:r>
        <w:rPr>
          <w:rFonts w:hint="eastAsia"/>
        </w:rPr>
        <w:t>，第</w:t>
      </w:r>
      <w:r>
        <w:rPr>
          <w:rFonts w:hint="eastAsia"/>
        </w:rPr>
        <w:t>14591</w:t>
      </w:r>
      <w:r>
        <w:rPr>
          <w:rFonts w:hint="eastAsia"/>
        </w:rPr>
        <w:t>号文件，圣何塞，哥斯达黎加，</w:t>
      </w:r>
      <w:r>
        <w:rPr>
          <w:rFonts w:hint="eastAsia"/>
        </w:rPr>
        <w:t>2001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《反对教育和工作中的性骚扰法》第</w:t>
      </w:r>
      <w:r>
        <w:rPr>
          <w:rFonts w:hint="eastAsia"/>
        </w:rPr>
        <w:t>2</w:t>
      </w:r>
      <w:r>
        <w:rPr>
          <w:rFonts w:hint="eastAsia"/>
        </w:rPr>
        <w:t>、</w:t>
      </w:r>
      <w:r>
        <w:rPr>
          <w:rFonts w:hint="eastAsia"/>
        </w:rPr>
        <w:t>7</w:t>
      </w:r>
      <w:r>
        <w:rPr>
          <w:rFonts w:hint="eastAsia"/>
        </w:rPr>
        <w:t>、</w:t>
      </w:r>
      <w:r>
        <w:rPr>
          <w:rFonts w:hint="eastAsia"/>
        </w:rPr>
        <w:t>9</w:t>
      </w:r>
      <w:r>
        <w:rPr>
          <w:rFonts w:hint="eastAsia"/>
        </w:rPr>
        <w:t>、</w:t>
      </w:r>
      <w:r>
        <w:rPr>
          <w:rFonts w:hint="eastAsia"/>
        </w:rPr>
        <w:t>12</w:t>
      </w:r>
      <w:r>
        <w:rPr>
          <w:rFonts w:hint="eastAsia"/>
        </w:rPr>
        <w:t>、</w:t>
      </w:r>
      <w:r>
        <w:rPr>
          <w:rFonts w:hint="eastAsia"/>
        </w:rPr>
        <w:t>13</w:t>
      </w:r>
      <w:r>
        <w:rPr>
          <w:rFonts w:hint="eastAsia"/>
        </w:rPr>
        <w:t>、</w:t>
      </w:r>
      <w:r>
        <w:rPr>
          <w:rFonts w:hint="eastAsia"/>
        </w:rPr>
        <w:t>18</w:t>
      </w:r>
      <w:r>
        <w:rPr>
          <w:rFonts w:hint="eastAsia"/>
        </w:rPr>
        <w:t>、</w:t>
      </w:r>
      <w:r>
        <w:rPr>
          <w:rFonts w:hint="eastAsia"/>
        </w:rPr>
        <w:t>24</w:t>
      </w:r>
      <w:r>
        <w:rPr>
          <w:rFonts w:hint="eastAsia"/>
        </w:rPr>
        <w:t>和引条和第</w:t>
      </w:r>
      <w:r>
        <w:rPr>
          <w:rFonts w:hint="eastAsia"/>
        </w:rPr>
        <w:t>31</w:t>
      </w:r>
      <w:r>
        <w:rPr>
          <w:rFonts w:hint="eastAsia"/>
        </w:rPr>
        <w:t>条之二的修正草案，</w:t>
      </w:r>
      <w:r>
        <w:rPr>
          <w:rFonts w:hint="eastAsia"/>
        </w:rPr>
        <w:t>1995</w:t>
      </w:r>
      <w:r>
        <w:rPr>
          <w:rFonts w:hint="eastAsia"/>
        </w:rPr>
        <w:t>年</w:t>
      </w:r>
      <w:r>
        <w:rPr>
          <w:rFonts w:hint="eastAsia"/>
        </w:rPr>
        <w:t>3</w:t>
      </w:r>
      <w:r>
        <w:rPr>
          <w:rFonts w:hint="eastAsia"/>
        </w:rPr>
        <w:t>月</w:t>
      </w:r>
      <w:r>
        <w:rPr>
          <w:rFonts w:hint="eastAsia"/>
        </w:rPr>
        <w:t>3</w:t>
      </w:r>
      <w:r>
        <w:rPr>
          <w:rFonts w:hint="eastAsia"/>
        </w:rPr>
        <w:t>日第</w:t>
      </w:r>
      <w:r>
        <w:rPr>
          <w:rFonts w:hint="eastAsia"/>
        </w:rPr>
        <w:t>7476</w:t>
      </w:r>
      <w:r>
        <w:rPr>
          <w:rFonts w:hint="eastAsia"/>
        </w:rPr>
        <w:t>号，第</w:t>
      </w:r>
      <w:r>
        <w:rPr>
          <w:rFonts w:hint="eastAsia"/>
        </w:rPr>
        <w:t>13094</w:t>
      </w:r>
      <w:r>
        <w:rPr>
          <w:rFonts w:hint="eastAsia"/>
        </w:rPr>
        <w:t>号文件，圣何塞，哥斯达黎加，</w:t>
      </w:r>
      <w:r>
        <w:rPr>
          <w:rFonts w:hint="eastAsia"/>
        </w:rPr>
        <w:t>1997</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关于家庭暴力分类的《刑法》第</w:t>
      </w:r>
      <w:r>
        <w:rPr>
          <w:rFonts w:hint="eastAsia"/>
        </w:rPr>
        <w:t>124</w:t>
      </w:r>
      <w:r>
        <w:rPr>
          <w:rFonts w:hint="eastAsia"/>
        </w:rPr>
        <w:t>条之二和第</w:t>
      </w:r>
      <w:r>
        <w:rPr>
          <w:rFonts w:hint="eastAsia"/>
        </w:rPr>
        <w:t>195</w:t>
      </w:r>
      <w:r>
        <w:rPr>
          <w:rFonts w:hint="eastAsia"/>
        </w:rPr>
        <w:t>条修正案，第</w:t>
      </w:r>
      <w:r>
        <w:rPr>
          <w:rFonts w:hint="eastAsia"/>
        </w:rPr>
        <w:t>13081</w:t>
      </w:r>
      <w:r>
        <w:rPr>
          <w:rFonts w:hint="eastAsia"/>
        </w:rPr>
        <w:t>号文件，圣何塞，哥斯达黎加，</w:t>
      </w:r>
      <w:r>
        <w:rPr>
          <w:rFonts w:hint="eastAsia"/>
        </w:rPr>
        <w:t>1997</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《选举法》修正案：在《选举法》中加入履行妇女最低政治参与配额标准的规定，第</w:t>
      </w:r>
      <w:r>
        <w:rPr>
          <w:rFonts w:hint="eastAsia"/>
        </w:rPr>
        <w:t>14592</w:t>
      </w:r>
      <w:r>
        <w:rPr>
          <w:rFonts w:hint="eastAsia"/>
        </w:rPr>
        <w:t>号文件，圣何塞，哥斯达黎加，</w:t>
      </w:r>
      <w:r>
        <w:rPr>
          <w:rFonts w:hint="eastAsia"/>
        </w:rPr>
        <w:t>2001</w:t>
      </w:r>
      <w:r>
        <w:rPr>
          <w:rFonts w:hint="eastAsia"/>
        </w:rPr>
        <w:t>年。</w:t>
      </w:r>
    </w:p>
    <w:p w:rsidR="00000000" w:rsidRDefault="00CA422F">
      <w:pPr>
        <w:pStyle w:val="4"/>
        <w:numPr>
          <w:ilvl w:val="0"/>
          <w:numId w:val="0"/>
        </w:numPr>
        <w:spacing w:before="120" w:after="120" w:line="360" w:lineRule="exact"/>
        <w:jc w:val="center"/>
        <w:rPr>
          <w:rFonts w:eastAsia="SimHei" w:hint="eastAsia"/>
          <w:sz w:val="24"/>
        </w:rPr>
      </w:pPr>
      <w:r>
        <w:rPr>
          <w:rFonts w:eastAsia="SimHei" w:hint="eastAsia"/>
          <w:sz w:val="24"/>
        </w:rPr>
        <w:t>宪法意见</w:t>
      </w:r>
    </w:p>
    <w:p w:rsidR="00000000" w:rsidRDefault="00CA422F">
      <w:pPr>
        <w:pStyle w:val="4"/>
        <w:tabs>
          <w:tab w:val="clear" w:pos="360"/>
          <w:tab w:val="num" w:pos="480"/>
        </w:tabs>
        <w:spacing w:before="120" w:after="120" w:line="360" w:lineRule="exact"/>
        <w:ind w:left="480" w:hanging="480"/>
        <w:rPr>
          <w:rFonts w:hint="eastAsia"/>
        </w:rPr>
      </w:pPr>
      <w:r>
        <w:rPr>
          <w:rFonts w:hint="eastAsia"/>
        </w:rPr>
        <w:t>00</w:t>
      </w:r>
      <w:r>
        <w:rPr>
          <w:rFonts w:hint="eastAsia"/>
        </w:rPr>
        <w:t>－</w:t>
      </w:r>
      <w:r>
        <w:rPr>
          <w:rFonts w:hint="eastAsia"/>
        </w:rPr>
        <w:t>009388</w:t>
      </w:r>
      <w:r>
        <w:rPr>
          <w:rFonts w:hint="eastAsia"/>
        </w:rPr>
        <w:t>－</w:t>
      </w:r>
      <w:r>
        <w:rPr>
          <w:rFonts w:hint="eastAsia"/>
        </w:rPr>
        <w:t>0</w:t>
      </w:r>
      <w:r>
        <w:rPr>
          <w:rFonts w:hint="eastAsia"/>
        </w:rPr>
        <w:t>007</w:t>
      </w:r>
      <w:r>
        <w:rPr>
          <w:rFonts w:hint="eastAsia"/>
        </w:rPr>
        <w:t>－</w:t>
      </w:r>
      <w:r>
        <w:rPr>
          <w:rFonts w:hint="eastAsia"/>
        </w:rPr>
        <w:t>CO</w:t>
      </w:r>
      <w:r>
        <w:rPr>
          <w:rFonts w:hint="eastAsia"/>
        </w:rPr>
        <w:t>号文件：针对国民和共同发展银行要求提高妇女在公共机构政治生活中的参与比例的保障要求，圣何塞，哥斯达黎加，</w:t>
      </w:r>
      <w:r>
        <w:rPr>
          <w:rFonts w:hint="eastAsia"/>
        </w:rPr>
        <w:t>2000</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97</w:t>
      </w:r>
      <w:r>
        <w:rPr>
          <w:rFonts w:hint="eastAsia"/>
        </w:rPr>
        <w:t>－</w:t>
      </w:r>
      <w:r>
        <w:rPr>
          <w:rFonts w:hint="eastAsia"/>
        </w:rPr>
        <w:t>003527</w:t>
      </w:r>
      <w:r>
        <w:rPr>
          <w:rFonts w:hint="eastAsia"/>
        </w:rPr>
        <w:t>－</w:t>
      </w:r>
      <w:r>
        <w:rPr>
          <w:rFonts w:hint="eastAsia"/>
        </w:rPr>
        <w:t>007</w:t>
      </w:r>
      <w:r>
        <w:rPr>
          <w:rFonts w:hint="eastAsia"/>
        </w:rPr>
        <w:t>－</w:t>
      </w:r>
      <w:r>
        <w:rPr>
          <w:rFonts w:hint="eastAsia"/>
        </w:rPr>
        <w:t>CO</w:t>
      </w:r>
      <w:r>
        <w:rPr>
          <w:rFonts w:hint="eastAsia"/>
        </w:rPr>
        <w:t>－</w:t>
      </w:r>
      <w:r>
        <w:rPr>
          <w:rFonts w:hint="eastAsia"/>
        </w:rPr>
        <w:t>C</w:t>
      </w:r>
      <w:r>
        <w:rPr>
          <w:rFonts w:hint="eastAsia"/>
        </w:rPr>
        <w:t>号文件，</w:t>
      </w:r>
      <w:r>
        <w:rPr>
          <w:rFonts w:hint="eastAsia"/>
        </w:rPr>
        <w:t>0716</w:t>
      </w:r>
      <w:r>
        <w:rPr>
          <w:rFonts w:hint="eastAsia"/>
        </w:rPr>
        <w:t>－</w:t>
      </w:r>
      <w:r>
        <w:rPr>
          <w:rFonts w:hint="eastAsia"/>
        </w:rPr>
        <w:t>98</w:t>
      </w:r>
      <w:r>
        <w:rPr>
          <w:rFonts w:hint="eastAsia"/>
        </w:rPr>
        <w:t>号裁决。上述人就共和国总统担任领导的政府内阁和立法议会主席的失职违宪行为提出诉讼，因为内阁没有任命妇女作为领导加入公共服务管理局领导委员会，圣何塞，哥斯达黎加，</w:t>
      </w:r>
      <w:r>
        <w:rPr>
          <w:rFonts w:hint="eastAsia"/>
        </w:rPr>
        <w:t>1998</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第</w:t>
      </w:r>
      <w:r>
        <w:rPr>
          <w:rFonts w:hint="eastAsia"/>
        </w:rPr>
        <w:t>99</w:t>
      </w:r>
      <w:r>
        <w:rPr>
          <w:rFonts w:hint="eastAsia"/>
        </w:rPr>
        <w:t>－</w:t>
      </w:r>
      <w:r>
        <w:rPr>
          <w:rFonts w:hint="eastAsia"/>
        </w:rPr>
        <w:t>007171</w:t>
      </w:r>
      <w:r>
        <w:rPr>
          <w:rFonts w:hint="eastAsia"/>
        </w:rPr>
        <w:t>－</w:t>
      </w:r>
      <w:r>
        <w:rPr>
          <w:rFonts w:hint="eastAsia"/>
        </w:rPr>
        <w:t>0007</w:t>
      </w:r>
      <w:r>
        <w:rPr>
          <w:rFonts w:hint="eastAsia"/>
        </w:rPr>
        <w:t>－</w:t>
      </w:r>
      <w:r>
        <w:rPr>
          <w:rFonts w:hint="eastAsia"/>
        </w:rPr>
        <w:t>CO</w:t>
      </w:r>
      <w:r>
        <w:rPr>
          <w:rFonts w:hint="eastAsia"/>
        </w:rPr>
        <w:t>号文件。第</w:t>
      </w:r>
      <w:r>
        <w:rPr>
          <w:rFonts w:hint="eastAsia"/>
        </w:rPr>
        <w:t>2000</w:t>
      </w:r>
      <w:r>
        <w:rPr>
          <w:rFonts w:hint="eastAsia"/>
        </w:rPr>
        <w:t>－</w:t>
      </w:r>
      <w:r>
        <w:rPr>
          <w:rFonts w:hint="eastAsia"/>
        </w:rPr>
        <w:t>04350</w:t>
      </w:r>
      <w:r>
        <w:rPr>
          <w:rFonts w:hint="eastAsia"/>
        </w:rPr>
        <w:t>号判决。上述人就共和国政府内阁没有任命具有代表性数目的妇女进入哥斯达黎加电力协会领导</w:t>
      </w:r>
      <w:r>
        <w:rPr>
          <w:rFonts w:hint="eastAsia"/>
        </w:rPr>
        <w:t>委员会的失职行为提出保护诉讼，圣何塞，哥斯达黎加，</w:t>
      </w:r>
      <w:r>
        <w:rPr>
          <w:rFonts w:hint="eastAsia"/>
        </w:rPr>
        <w:t>2000</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1770</w:t>
      </w:r>
      <w:r>
        <w:rPr>
          <w:rFonts w:hint="eastAsia"/>
        </w:rPr>
        <w:t>－</w:t>
      </w:r>
      <w:r>
        <w:rPr>
          <w:rFonts w:hint="eastAsia"/>
        </w:rPr>
        <w:t>94</w:t>
      </w:r>
      <w:r>
        <w:rPr>
          <w:rFonts w:hint="eastAsia"/>
        </w:rPr>
        <w:t>号裁决。重新定义了平等原则的概念，圣何塞，哥斯达黎加，</w:t>
      </w:r>
      <w:r>
        <w:rPr>
          <w:rFonts w:hint="eastAsia"/>
        </w:rPr>
        <w:t>1994</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2000</w:t>
      </w:r>
      <w:r>
        <w:rPr>
          <w:rFonts w:hint="eastAsia"/>
        </w:rPr>
        <w:t>－</w:t>
      </w:r>
      <w:r>
        <w:rPr>
          <w:rFonts w:hint="eastAsia"/>
        </w:rPr>
        <w:t>9733</w:t>
      </w:r>
      <w:r>
        <w:rPr>
          <w:rFonts w:hint="eastAsia"/>
        </w:rPr>
        <w:t>号意见。尽管一名女警符合所有正式要求而且是通过相关课程测验的妇女之一，却因援引《警察条例》而被拒绝接纳，圣何塞，哥斯达黎加，</w:t>
      </w:r>
      <w:r>
        <w:rPr>
          <w:rFonts w:hint="eastAsia"/>
        </w:rPr>
        <w:t>2000</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327</w:t>
      </w:r>
      <w:r>
        <w:rPr>
          <w:rFonts w:hint="eastAsia"/>
        </w:rPr>
        <w:t>－</w:t>
      </w:r>
      <w:r>
        <w:rPr>
          <w:rFonts w:hint="eastAsia"/>
        </w:rPr>
        <w:t>91</w:t>
      </w:r>
      <w:r>
        <w:rPr>
          <w:rFonts w:hint="eastAsia"/>
        </w:rPr>
        <w:t>号意见，由于家庭劳动劳工体制与其他劳动人口的劳工体制之间存在差异，违背了平等原则，是违反宪法的行为，圣何塞，哥斯达黎加，</w:t>
      </w:r>
      <w:r>
        <w:rPr>
          <w:rFonts w:hint="eastAsia"/>
        </w:rPr>
        <w:t>1991</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034</w:t>
      </w:r>
      <w:r>
        <w:rPr>
          <w:rFonts w:hint="eastAsia"/>
        </w:rPr>
        <w:t>－</w:t>
      </w:r>
      <w:r>
        <w:rPr>
          <w:rFonts w:hint="eastAsia"/>
        </w:rPr>
        <w:t>94</w:t>
      </w:r>
      <w:r>
        <w:rPr>
          <w:rFonts w:hint="eastAsia"/>
        </w:rPr>
        <w:t>号意见，男性农民认为《促进妇女社会平等法》第七条创立</w:t>
      </w:r>
      <w:r>
        <w:rPr>
          <w:rFonts w:hint="eastAsia"/>
        </w:rPr>
        <w:t>了一项有利于她们女性同伴的特权，允许她们将财产记入自己而不是他们的名下，尽管他们才是一直耕种土地和行使与占有权超过</w:t>
      </w:r>
      <w:r>
        <w:rPr>
          <w:rFonts w:hint="eastAsia"/>
        </w:rPr>
        <w:t>12</w:t>
      </w:r>
      <w:r>
        <w:rPr>
          <w:rFonts w:hint="eastAsia"/>
        </w:rPr>
        <w:t>年的人，圣何塞，哥斯达黎加，</w:t>
      </w:r>
      <w:r>
        <w:rPr>
          <w:rFonts w:hint="eastAsia"/>
        </w:rPr>
        <w:t>1994</w:t>
      </w:r>
      <w:r>
        <w:rPr>
          <w:rFonts w:hint="eastAsia"/>
        </w:rPr>
        <w:t>年。</w:t>
      </w:r>
    </w:p>
    <w:p w:rsidR="00000000" w:rsidRDefault="00CA422F">
      <w:pPr>
        <w:pStyle w:val="4"/>
        <w:numPr>
          <w:ilvl w:val="0"/>
          <w:numId w:val="0"/>
        </w:numPr>
        <w:spacing w:before="120" w:after="120" w:line="360" w:lineRule="exact"/>
        <w:jc w:val="center"/>
        <w:rPr>
          <w:rFonts w:eastAsia="SimHei" w:hint="eastAsia"/>
          <w:sz w:val="24"/>
        </w:rPr>
      </w:pPr>
      <w:r>
        <w:rPr>
          <w:rFonts w:eastAsia="SimHei" w:hint="eastAsia"/>
          <w:sz w:val="24"/>
        </w:rPr>
        <w:t>最高选举法庭的决议</w:t>
      </w:r>
    </w:p>
    <w:p w:rsidR="00000000" w:rsidRDefault="00CA422F">
      <w:pPr>
        <w:pStyle w:val="4"/>
        <w:tabs>
          <w:tab w:val="clear" w:pos="360"/>
          <w:tab w:val="num" w:pos="480"/>
        </w:tabs>
        <w:spacing w:before="120" w:after="120" w:line="360" w:lineRule="exact"/>
        <w:ind w:left="480" w:hanging="480"/>
        <w:rPr>
          <w:rFonts w:hint="eastAsia"/>
        </w:rPr>
      </w:pPr>
      <w:r>
        <w:rPr>
          <w:rFonts w:hint="eastAsia"/>
        </w:rPr>
        <w:t>804</w:t>
      </w:r>
      <w:r>
        <w:rPr>
          <w:rFonts w:hint="eastAsia"/>
        </w:rPr>
        <w:t>－</w:t>
      </w:r>
      <w:r>
        <w:rPr>
          <w:rFonts w:hint="eastAsia"/>
        </w:rPr>
        <w:t>E</w:t>
      </w:r>
      <w:r>
        <w:rPr>
          <w:rFonts w:hint="eastAsia"/>
        </w:rPr>
        <w:t>－</w:t>
      </w:r>
      <w:r>
        <w:rPr>
          <w:rFonts w:hint="eastAsia"/>
        </w:rPr>
        <w:t>2000</w:t>
      </w:r>
      <w:r>
        <w:rPr>
          <w:rFonts w:hint="eastAsia"/>
        </w:rPr>
        <w:t>号决议。有关在市政议员和理事职位构成中应用配额标准的一般情况说明，圣何塞，哥斯达黎加，选举最高法庭，</w:t>
      </w:r>
      <w:r>
        <w:rPr>
          <w:rFonts w:hint="eastAsia"/>
        </w:rPr>
        <w:t>2000</w:t>
      </w:r>
      <w:r>
        <w:rPr>
          <w:rFonts w:hint="eastAsia"/>
        </w:rPr>
        <w:t>年</w:t>
      </w:r>
      <w:r>
        <w:rPr>
          <w:rFonts w:hint="eastAsia"/>
        </w:rPr>
        <w:t>5</w:t>
      </w:r>
      <w:r>
        <w:rPr>
          <w:rFonts w:hint="eastAsia"/>
        </w:rPr>
        <w:t>月</w:t>
      </w:r>
      <w:r>
        <w:rPr>
          <w:rFonts w:hint="eastAsia"/>
        </w:rPr>
        <w:t>2</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1863</w:t>
      </w:r>
      <w:r>
        <w:rPr>
          <w:rFonts w:hint="eastAsia"/>
        </w:rPr>
        <w:t>号决议。执行妇女参与配额标准，圣何塞，哥斯达黎加，最高选举法庭，</w:t>
      </w:r>
      <w:r>
        <w:rPr>
          <w:rFonts w:hint="eastAsia"/>
        </w:rPr>
        <w:t>1999</w:t>
      </w:r>
      <w:r>
        <w:rPr>
          <w:rFonts w:hint="eastAsia"/>
        </w:rPr>
        <w:t>年</w:t>
      </w:r>
      <w:r>
        <w:rPr>
          <w:rFonts w:hint="eastAsia"/>
        </w:rPr>
        <w:t>9</w:t>
      </w:r>
      <w:r>
        <w:rPr>
          <w:rFonts w:hint="eastAsia"/>
        </w:rPr>
        <w:t>月</w:t>
      </w:r>
      <w:r>
        <w:rPr>
          <w:rFonts w:hint="eastAsia"/>
        </w:rPr>
        <w:t>23</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2837</w:t>
      </w:r>
      <w:r>
        <w:rPr>
          <w:rFonts w:hint="eastAsia"/>
        </w:rPr>
        <w:t>号决议。配额标准的计算方法，将按历史延用的方式计算配额，圣何塞，哥斯达黎加，最高选举法</w:t>
      </w:r>
      <w:r>
        <w:rPr>
          <w:rFonts w:hint="eastAsia"/>
        </w:rPr>
        <w:t>庭，</w:t>
      </w:r>
      <w:r>
        <w:rPr>
          <w:rFonts w:hint="eastAsia"/>
        </w:rPr>
        <w:t>1999</w:t>
      </w:r>
      <w:r>
        <w:rPr>
          <w:rFonts w:hint="eastAsia"/>
        </w:rPr>
        <w:t>年</w:t>
      </w:r>
      <w:r>
        <w:rPr>
          <w:rFonts w:hint="eastAsia"/>
        </w:rPr>
        <w:t>12</w:t>
      </w:r>
      <w:r>
        <w:rPr>
          <w:rFonts w:hint="eastAsia"/>
        </w:rPr>
        <w:t>月</w:t>
      </w:r>
      <w:r>
        <w:rPr>
          <w:rFonts w:hint="eastAsia"/>
        </w:rPr>
        <w:t>12</w:t>
      </w:r>
      <w:r>
        <w:rPr>
          <w:rFonts w:hint="eastAsia"/>
        </w:rPr>
        <w:t>日。</w:t>
      </w:r>
    </w:p>
    <w:p w:rsidR="00000000" w:rsidRDefault="00CA422F">
      <w:pPr>
        <w:pStyle w:val="4"/>
        <w:numPr>
          <w:ilvl w:val="0"/>
          <w:numId w:val="0"/>
        </w:numPr>
        <w:spacing w:before="120" w:after="120" w:line="360" w:lineRule="exact"/>
        <w:jc w:val="center"/>
        <w:rPr>
          <w:rFonts w:eastAsia="SimHei" w:hint="eastAsia"/>
          <w:sz w:val="24"/>
        </w:rPr>
      </w:pPr>
      <w:r>
        <w:rPr>
          <w:rFonts w:eastAsia="SimHei" w:hint="eastAsia"/>
          <w:sz w:val="24"/>
        </w:rPr>
        <w:t>行政法令</w:t>
      </w:r>
    </w:p>
    <w:p w:rsidR="00000000" w:rsidRDefault="00CA422F">
      <w:pPr>
        <w:pStyle w:val="4"/>
        <w:tabs>
          <w:tab w:val="clear" w:pos="360"/>
          <w:tab w:val="num" w:pos="480"/>
        </w:tabs>
        <w:spacing w:before="120" w:after="120" w:line="360" w:lineRule="exact"/>
        <w:ind w:left="480" w:hanging="480"/>
        <w:rPr>
          <w:rFonts w:hint="eastAsia"/>
        </w:rPr>
      </w:pPr>
      <w:r>
        <w:rPr>
          <w:rFonts w:hint="eastAsia"/>
        </w:rPr>
        <w:t>27227</w:t>
      </w:r>
      <w:r>
        <w:rPr>
          <w:rFonts w:hint="eastAsia"/>
        </w:rPr>
        <w:t>－</w:t>
      </w:r>
      <w:r>
        <w:rPr>
          <w:rFonts w:hint="eastAsia"/>
        </w:rPr>
        <w:t>J</w:t>
      </w:r>
      <w:r>
        <w:rPr>
          <w:rFonts w:hint="eastAsia"/>
        </w:rPr>
        <w:t>号行政法令，组建国家预防暴力和犯罪委员会，作为暴力和犯罪预防政策的机构间协调机构，</w:t>
      </w:r>
      <w:r>
        <w:rPr>
          <w:rFonts w:hint="eastAsia"/>
        </w:rPr>
        <w:t>1998</w:t>
      </w:r>
      <w:r>
        <w:rPr>
          <w:rFonts w:hint="eastAsia"/>
        </w:rPr>
        <w:t>年</w:t>
      </w:r>
      <w:r>
        <w:rPr>
          <w:rFonts w:hint="eastAsia"/>
        </w:rPr>
        <w:t>8</w:t>
      </w:r>
      <w:r>
        <w:rPr>
          <w:rFonts w:hint="eastAsia"/>
        </w:rPr>
        <w:t>月</w:t>
      </w:r>
      <w:r>
        <w:rPr>
          <w:rFonts w:hint="eastAsia"/>
        </w:rPr>
        <w:t>13</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27346</w:t>
      </w:r>
      <w:r>
        <w:rPr>
          <w:rFonts w:hint="eastAsia"/>
        </w:rPr>
        <w:t>－</w:t>
      </w:r>
      <w:r>
        <w:rPr>
          <w:rFonts w:hint="eastAsia"/>
        </w:rPr>
        <w:t>MINAE</w:t>
      </w:r>
      <w:r>
        <w:rPr>
          <w:rFonts w:hint="eastAsia"/>
        </w:rPr>
        <w:t>号行政法令，在环境能源部内部实现性别观点的制度化，将它纳入环境部各个下属部门的一切政策、方案、规划和行动计划之中，以及通过环境能源部性别政策宣言，</w:t>
      </w:r>
      <w:r>
        <w:rPr>
          <w:rFonts w:hint="eastAsia"/>
        </w:rPr>
        <w:t>1998</w:t>
      </w:r>
      <w:r>
        <w:rPr>
          <w:rFonts w:hint="eastAsia"/>
        </w:rPr>
        <w:t>年</w:t>
      </w:r>
      <w:r>
        <w:rPr>
          <w:rFonts w:hint="eastAsia"/>
        </w:rPr>
        <w:t>8</w:t>
      </w:r>
      <w:r>
        <w:rPr>
          <w:rFonts w:hint="eastAsia"/>
        </w:rPr>
        <w:t>月</w:t>
      </w:r>
      <w:r>
        <w:rPr>
          <w:rFonts w:hint="eastAsia"/>
        </w:rPr>
        <w:t>28</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27516</w:t>
      </w:r>
      <w:r>
        <w:rPr>
          <w:rFonts w:hint="eastAsia"/>
        </w:rPr>
        <w:t>－</w:t>
      </w:r>
      <w:r>
        <w:rPr>
          <w:rFonts w:hint="eastAsia"/>
        </w:rPr>
        <w:t>MTSS</w:t>
      </w:r>
      <w:r>
        <w:rPr>
          <w:rFonts w:hint="eastAsia"/>
        </w:rPr>
        <w:t>号行政法令。在劳工和社会保障部下面设立关注和消除童工现象及少年劳动保护办公室，</w:t>
      </w:r>
      <w:r>
        <w:rPr>
          <w:rFonts w:hint="eastAsia"/>
        </w:rPr>
        <w:t>1998</w:t>
      </w:r>
      <w:r>
        <w:rPr>
          <w:rFonts w:hint="eastAsia"/>
        </w:rPr>
        <w:t>年</w:t>
      </w:r>
      <w:r>
        <w:rPr>
          <w:rFonts w:hint="eastAsia"/>
        </w:rPr>
        <w:t>12</w:t>
      </w:r>
      <w:r>
        <w:rPr>
          <w:rFonts w:hint="eastAsia"/>
        </w:rPr>
        <w:t>月</w:t>
      </w:r>
      <w:r>
        <w:rPr>
          <w:rFonts w:hint="eastAsia"/>
        </w:rPr>
        <w:t>9</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27623</w:t>
      </w:r>
      <w:r>
        <w:rPr>
          <w:rFonts w:hint="eastAsia"/>
        </w:rPr>
        <w:t>－</w:t>
      </w:r>
      <w:r>
        <w:rPr>
          <w:rFonts w:hint="eastAsia"/>
        </w:rPr>
        <w:t>P</w:t>
      </w:r>
      <w:r>
        <w:t>lan</w:t>
      </w:r>
      <w:r>
        <w:rPr>
          <w:rFonts w:hint="eastAsia"/>
        </w:rPr>
        <w:t>－</w:t>
      </w:r>
      <w:r>
        <w:rPr>
          <w:rFonts w:hint="eastAsia"/>
        </w:rPr>
        <w:t>MCM</w:t>
      </w:r>
      <w:r>
        <w:t>-MTSS</w:t>
      </w:r>
      <w:r>
        <w:rPr>
          <w:rFonts w:hint="eastAsia"/>
        </w:rPr>
        <w:t>-M</w:t>
      </w:r>
      <w:r>
        <w:t>ivah</w:t>
      </w:r>
      <w:r>
        <w:rPr>
          <w:rFonts w:hint="eastAsia"/>
        </w:rPr>
        <w:t>号行政法令。通过《贫困妇女关注法（第</w:t>
      </w:r>
      <w:r>
        <w:rPr>
          <w:rFonts w:hint="eastAsia"/>
        </w:rPr>
        <w:t>7769</w:t>
      </w:r>
      <w:r>
        <w:rPr>
          <w:rFonts w:hint="eastAsia"/>
        </w:rPr>
        <w:t>号法）条例》，</w:t>
      </w:r>
      <w:r>
        <w:rPr>
          <w:rFonts w:hint="eastAsia"/>
        </w:rPr>
        <w:t>1999</w:t>
      </w:r>
      <w:r>
        <w:rPr>
          <w:rFonts w:hint="eastAsia"/>
        </w:rPr>
        <w:t>年</w:t>
      </w:r>
      <w:r>
        <w:rPr>
          <w:rFonts w:hint="eastAsia"/>
        </w:rPr>
        <w:t>1</w:t>
      </w:r>
      <w:r>
        <w:rPr>
          <w:rFonts w:hint="eastAsia"/>
        </w:rPr>
        <w:t>月</w:t>
      </w:r>
      <w:r>
        <w:rPr>
          <w:rFonts w:hint="eastAsia"/>
        </w:rPr>
        <w:t>21</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2118-S</w:t>
      </w:r>
      <w:r>
        <w:rPr>
          <w:rFonts w:hint="eastAsia"/>
        </w:rPr>
        <w:t>号行政法令。规定无论社会经济条件如何和是否为移民身份，哥斯达黎加社会保险公司都必须负责在妇女怀孕期间以及分娩和产后照顾她们（</w:t>
      </w:r>
      <w:r>
        <w:rPr>
          <w:rFonts w:hint="eastAsia"/>
        </w:rPr>
        <w:t>S.f.</w:t>
      </w:r>
      <w:r>
        <w:rPr>
          <w:rFonts w:hint="eastAsia"/>
        </w:rPr>
        <w:t>）。</w:t>
      </w:r>
    </w:p>
    <w:p w:rsidR="00000000" w:rsidRDefault="00CA422F">
      <w:pPr>
        <w:pStyle w:val="4"/>
        <w:tabs>
          <w:tab w:val="clear" w:pos="360"/>
          <w:tab w:val="num" w:pos="480"/>
        </w:tabs>
        <w:spacing w:before="120" w:after="120" w:line="360" w:lineRule="exact"/>
        <w:ind w:left="480" w:hanging="480"/>
        <w:rPr>
          <w:rFonts w:hint="eastAsia"/>
        </w:rPr>
      </w:pPr>
      <w:r>
        <w:rPr>
          <w:rFonts w:hint="eastAsia"/>
        </w:rPr>
        <w:t>27913</w:t>
      </w:r>
      <w:r>
        <w:rPr>
          <w:rFonts w:hint="eastAsia"/>
        </w:rPr>
        <w:t>－</w:t>
      </w:r>
      <w:r>
        <w:rPr>
          <w:rFonts w:hint="eastAsia"/>
        </w:rPr>
        <w:t>S</w:t>
      </w:r>
      <w:r>
        <w:rPr>
          <w:rFonts w:hint="eastAsia"/>
        </w:rPr>
        <w:t>号行政法令。它是承认妇女有权决定是否选择结扎的重要先例，</w:t>
      </w:r>
      <w:r>
        <w:rPr>
          <w:rFonts w:hint="eastAsia"/>
        </w:rPr>
        <w:t>1999</w:t>
      </w:r>
      <w:r>
        <w:rPr>
          <w:rFonts w:hint="eastAsia"/>
        </w:rPr>
        <w:t>年</w:t>
      </w:r>
      <w:r>
        <w:rPr>
          <w:rFonts w:hint="eastAsia"/>
        </w:rPr>
        <w:t>5</w:t>
      </w:r>
      <w:r>
        <w:rPr>
          <w:rFonts w:hint="eastAsia"/>
        </w:rPr>
        <w:t>月</w:t>
      </w:r>
      <w:r>
        <w:rPr>
          <w:rFonts w:hint="eastAsia"/>
        </w:rPr>
        <w:t>14</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28284</w:t>
      </w:r>
      <w:r>
        <w:rPr>
          <w:rFonts w:hint="eastAsia"/>
        </w:rPr>
        <w:t>号行政法令。便利制订部门促进两性平等与公平的行动计划，从而为公共机构确立性别观点，</w:t>
      </w:r>
      <w:r>
        <w:rPr>
          <w:rFonts w:hint="eastAsia"/>
        </w:rPr>
        <w:t>2000</w:t>
      </w:r>
      <w:r>
        <w:rPr>
          <w:rFonts w:hint="eastAsia"/>
        </w:rPr>
        <w:t>年</w:t>
      </w:r>
      <w:r>
        <w:rPr>
          <w:rFonts w:hint="eastAsia"/>
        </w:rPr>
        <w:t>5</w:t>
      </w:r>
      <w:r>
        <w:rPr>
          <w:rFonts w:hint="eastAsia"/>
        </w:rPr>
        <w:t>月</w:t>
      </w:r>
      <w:r>
        <w:rPr>
          <w:rFonts w:hint="eastAsia"/>
        </w:rPr>
        <w:t>2</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28484</w:t>
      </w:r>
      <w:r>
        <w:rPr>
          <w:rFonts w:hint="eastAsia"/>
        </w:rPr>
        <w:t>－</w:t>
      </w:r>
      <w:r>
        <w:rPr>
          <w:rFonts w:hint="eastAsia"/>
        </w:rPr>
        <w:t>MAG</w:t>
      </w:r>
      <w:r>
        <w:rPr>
          <w:rFonts w:hint="eastAsia"/>
        </w:rPr>
        <w:t>－</w:t>
      </w:r>
      <w:r>
        <w:rPr>
          <w:rFonts w:hint="eastAsia"/>
        </w:rPr>
        <w:t>MEP</w:t>
      </w:r>
      <w:r>
        <w:rPr>
          <w:rFonts w:hint="eastAsia"/>
        </w:rPr>
        <w:t>－</w:t>
      </w:r>
      <w:r>
        <w:rPr>
          <w:rFonts w:hint="eastAsia"/>
        </w:rPr>
        <w:t>MTSS</w:t>
      </w:r>
      <w:r>
        <w:rPr>
          <w:rFonts w:hint="eastAsia"/>
        </w:rPr>
        <w:t>－</w:t>
      </w:r>
      <w:r>
        <w:rPr>
          <w:rFonts w:hint="eastAsia"/>
        </w:rPr>
        <w:t>CM</w:t>
      </w:r>
      <w:r>
        <w:rPr>
          <w:rFonts w:hint="eastAsia"/>
        </w:rPr>
        <w:t>号行政法令。为贯彻</w:t>
      </w:r>
      <w:r>
        <w:rPr>
          <w:rFonts w:hint="eastAsia"/>
        </w:rPr>
        <w:t>性别观点组建高级别政策和技术委员会，</w:t>
      </w:r>
      <w:r>
        <w:rPr>
          <w:rFonts w:hint="eastAsia"/>
        </w:rPr>
        <w:t>2000</w:t>
      </w:r>
      <w:r>
        <w:rPr>
          <w:rFonts w:hint="eastAsia"/>
        </w:rPr>
        <w:t>年</w:t>
      </w:r>
      <w:r>
        <w:rPr>
          <w:rFonts w:hint="eastAsia"/>
        </w:rPr>
        <w:t>2</w:t>
      </w:r>
      <w:r>
        <w:rPr>
          <w:rFonts w:hint="eastAsia"/>
        </w:rPr>
        <w:t>月</w:t>
      </w:r>
      <w:r>
        <w:rPr>
          <w:rFonts w:hint="eastAsia"/>
        </w:rPr>
        <w:t>21</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26664</w:t>
      </w:r>
      <w:r>
        <w:rPr>
          <w:rFonts w:hint="eastAsia"/>
        </w:rPr>
        <w:t>号行政协法令。批准建立国家家庭暴力预防和关注体制（由第</w:t>
      </w:r>
      <w:r>
        <w:rPr>
          <w:rFonts w:hint="eastAsia"/>
        </w:rPr>
        <w:t>27706</w:t>
      </w:r>
      <w:r>
        <w:rPr>
          <w:rFonts w:hint="eastAsia"/>
        </w:rPr>
        <w:t>号行政法令批准），罗德里格斯政府，</w:t>
      </w:r>
      <w:r>
        <w:rPr>
          <w:rFonts w:hint="eastAsia"/>
        </w:rPr>
        <w:t>1997</w:t>
      </w:r>
      <w:r>
        <w:rPr>
          <w:rFonts w:hint="eastAsia"/>
        </w:rPr>
        <w:t>年</w:t>
      </w:r>
      <w:r>
        <w:rPr>
          <w:rFonts w:hint="eastAsia"/>
        </w:rPr>
        <w:t>12</w:t>
      </w:r>
      <w:r>
        <w:rPr>
          <w:rFonts w:hint="eastAsia"/>
        </w:rPr>
        <w:t>月</w:t>
      </w:r>
      <w:r>
        <w:rPr>
          <w:rFonts w:hint="eastAsia"/>
        </w:rPr>
        <w:t>19</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26989</w:t>
      </w:r>
      <w:r>
        <w:rPr>
          <w:rFonts w:hint="eastAsia"/>
        </w:rPr>
        <w:t>－</w:t>
      </w:r>
      <w:r>
        <w:rPr>
          <w:rFonts w:hint="eastAsia"/>
        </w:rPr>
        <w:t>MTSS</w:t>
      </w:r>
      <w:r>
        <w:rPr>
          <w:rFonts w:hint="eastAsia"/>
        </w:rPr>
        <w:t>号行政法令。授权允许妇女从事夜班生产活动，因为限制她们从事夜班劳动是一种基于性别原因的歧视行为，</w:t>
      </w:r>
      <w:r>
        <w:rPr>
          <w:rFonts w:hint="eastAsia"/>
        </w:rPr>
        <w:t>1998</w:t>
      </w:r>
      <w:r>
        <w:rPr>
          <w:rFonts w:hint="eastAsia"/>
        </w:rPr>
        <w:t>年</w:t>
      </w:r>
      <w:r>
        <w:rPr>
          <w:rFonts w:hint="eastAsia"/>
        </w:rPr>
        <w:t>3</w:t>
      </w:r>
      <w:r>
        <w:rPr>
          <w:rFonts w:hint="eastAsia"/>
        </w:rPr>
        <w:t>月</w:t>
      </w:r>
      <w:r>
        <w:rPr>
          <w:rFonts w:hint="eastAsia"/>
        </w:rPr>
        <w:t>30</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27250</w:t>
      </w:r>
      <w:r>
        <w:rPr>
          <w:rFonts w:hint="eastAsia"/>
        </w:rPr>
        <w:t>－</w:t>
      </w:r>
      <w:r>
        <w:rPr>
          <w:rFonts w:hint="eastAsia"/>
        </w:rPr>
        <w:t>RE</w:t>
      </w:r>
      <w:r>
        <w:rPr>
          <w:rFonts w:hint="eastAsia"/>
        </w:rPr>
        <w:t>－</w:t>
      </w:r>
      <w:r>
        <w:rPr>
          <w:rFonts w:hint="eastAsia"/>
        </w:rPr>
        <w:t>J</w:t>
      </w:r>
      <w:r>
        <w:rPr>
          <w:rFonts w:hint="eastAsia"/>
        </w:rPr>
        <w:t>号行政法令。提出每年在</w:t>
      </w:r>
      <w:r>
        <w:rPr>
          <w:rFonts w:hint="eastAsia"/>
        </w:rPr>
        <w:t>10</w:t>
      </w:r>
      <w:r>
        <w:rPr>
          <w:rFonts w:hint="eastAsia"/>
        </w:rPr>
        <w:t>月</w:t>
      </w:r>
      <w:r>
        <w:rPr>
          <w:rFonts w:hint="eastAsia"/>
        </w:rPr>
        <w:t>10</w:t>
      </w:r>
      <w:r>
        <w:rPr>
          <w:rFonts w:hint="eastAsia"/>
        </w:rPr>
        <w:t>日所在的一周举行“国家人权周”的活动，</w:t>
      </w:r>
      <w:r>
        <w:rPr>
          <w:rFonts w:hint="eastAsia"/>
        </w:rPr>
        <w:t>1998</w:t>
      </w:r>
      <w:r>
        <w:rPr>
          <w:rFonts w:hint="eastAsia"/>
        </w:rPr>
        <w:t>年</w:t>
      </w:r>
      <w:r>
        <w:rPr>
          <w:rFonts w:hint="eastAsia"/>
        </w:rPr>
        <w:t>12</w:t>
      </w:r>
      <w:r>
        <w:rPr>
          <w:rFonts w:hint="eastAsia"/>
        </w:rPr>
        <w:t>月</w:t>
      </w:r>
      <w:r>
        <w:rPr>
          <w:rFonts w:hint="eastAsia"/>
        </w:rPr>
        <w:t>3</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 xml:space="preserve"> 27217-S-MP</w:t>
      </w:r>
      <w:r>
        <w:rPr>
          <w:rFonts w:hint="eastAsia"/>
        </w:rPr>
        <w:t>号行政法令。组建国家宫颈癌和乳癌防治委员会</w:t>
      </w:r>
      <w:r>
        <w:rPr>
          <w:rFonts w:hint="eastAsia"/>
        </w:rPr>
        <w:t>，作为辅助机构，针对两种危害妇女的癌症，协助制订和颁布有关各方都必须遵守的预防、诊断和治疗政策和指导方针，</w:t>
      </w:r>
      <w:r>
        <w:rPr>
          <w:rFonts w:hint="eastAsia"/>
        </w:rPr>
        <w:t>1998</w:t>
      </w:r>
      <w:r>
        <w:rPr>
          <w:rFonts w:hint="eastAsia"/>
        </w:rPr>
        <w:t>年</w:t>
      </w:r>
      <w:r>
        <w:rPr>
          <w:rFonts w:hint="eastAsia"/>
        </w:rPr>
        <w:t>8</w:t>
      </w:r>
      <w:r>
        <w:rPr>
          <w:rFonts w:hint="eastAsia"/>
        </w:rPr>
        <w:t>月</w:t>
      </w:r>
      <w:r>
        <w:rPr>
          <w:rFonts w:hint="eastAsia"/>
        </w:rPr>
        <w:t>4</w:t>
      </w:r>
      <w:r>
        <w:rPr>
          <w:rFonts w:hint="eastAsia"/>
        </w:rPr>
        <w:t>日。</w:t>
      </w:r>
    </w:p>
    <w:p w:rsidR="00000000" w:rsidRDefault="00CA422F">
      <w:pPr>
        <w:pStyle w:val="4"/>
        <w:numPr>
          <w:ilvl w:val="0"/>
          <w:numId w:val="0"/>
        </w:numPr>
        <w:spacing w:before="120" w:after="120" w:line="360" w:lineRule="exact"/>
        <w:jc w:val="center"/>
        <w:rPr>
          <w:rFonts w:eastAsia="SimHei" w:hint="eastAsia"/>
          <w:sz w:val="24"/>
        </w:rPr>
      </w:pPr>
      <w:r>
        <w:rPr>
          <w:rFonts w:eastAsia="SimHei" w:hint="eastAsia"/>
          <w:sz w:val="24"/>
        </w:rPr>
        <w:t>哥斯达黎加政府的决议及颁布的指导方针</w:t>
      </w:r>
    </w:p>
    <w:p w:rsidR="00000000" w:rsidRDefault="00CA422F">
      <w:pPr>
        <w:pStyle w:val="4"/>
        <w:tabs>
          <w:tab w:val="clear" w:pos="360"/>
          <w:tab w:val="num" w:pos="480"/>
        </w:tabs>
        <w:spacing w:before="120" w:after="120" w:line="360" w:lineRule="exact"/>
        <w:ind w:left="480" w:hanging="480"/>
        <w:rPr>
          <w:rFonts w:hint="eastAsia"/>
        </w:rPr>
      </w:pPr>
      <w:r>
        <w:rPr>
          <w:rFonts w:hint="eastAsia"/>
        </w:rPr>
        <w:t>内阁决议，目的是在部委和自主机构中制订促进男女平等与公平的行动计划。</w:t>
      </w:r>
      <w:r>
        <w:rPr>
          <w:rFonts w:hint="eastAsia"/>
        </w:rPr>
        <w:t>1999</w:t>
      </w:r>
      <w:r>
        <w:rPr>
          <w:rFonts w:hint="eastAsia"/>
        </w:rPr>
        <w:t>年。</w:t>
      </w:r>
    </w:p>
    <w:p w:rsidR="00000000" w:rsidRDefault="00CA422F">
      <w:pPr>
        <w:pStyle w:val="4"/>
        <w:tabs>
          <w:tab w:val="clear" w:pos="360"/>
          <w:tab w:val="num" w:pos="480"/>
        </w:tabs>
        <w:spacing w:before="120" w:after="120" w:line="360" w:lineRule="exact"/>
        <w:ind w:left="480" w:hanging="480"/>
        <w:rPr>
          <w:rFonts w:hint="eastAsia"/>
        </w:rPr>
      </w:pPr>
      <w:r>
        <w:rPr>
          <w:rFonts w:hint="eastAsia"/>
        </w:rPr>
        <w:t>内阁决议。规定在圣诞节和节日期间，政府机关、公务员（男</w:t>
      </w:r>
      <w:r>
        <w:rPr>
          <w:rFonts w:hint="eastAsia"/>
        </w:rPr>
        <w:t>/</w:t>
      </w:r>
      <w:r>
        <w:rPr>
          <w:rFonts w:hint="eastAsia"/>
        </w:rPr>
        <w:t>女）和警察必须确保受理受到某种家庭暴力行为侵害的受害者的求助请求并向她们</w:t>
      </w:r>
      <w:r>
        <w:rPr>
          <w:rFonts w:hint="eastAsia"/>
        </w:rPr>
        <w:t>/</w:t>
      </w:r>
      <w:r>
        <w:rPr>
          <w:rFonts w:hint="eastAsia"/>
        </w:rPr>
        <w:t>他们提供特别保护，</w:t>
      </w:r>
      <w:r>
        <w:rPr>
          <w:rFonts w:hint="eastAsia"/>
        </w:rPr>
        <w:t>1998</w:t>
      </w:r>
      <w:r>
        <w:rPr>
          <w:rFonts w:hint="eastAsia"/>
        </w:rPr>
        <w:t>年</w:t>
      </w:r>
      <w:r>
        <w:rPr>
          <w:rFonts w:hint="eastAsia"/>
        </w:rPr>
        <w:t>12</w:t>
      </w:r>
      <w:r>
        <w:rPr>
          <w:rFonts w:hint="eastAsia"/>
        </w:rPr>
        <w:t>月</w:t>
      </w:r>
      <w:r>
        <w:rPr>
          <w:rFonts w:hint="eastAsia"/>
        </w:rPr>
        <w:t>23</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政府社会委员会的决议。成立部委和部门妇女办公室，目的是监督在政府机构中实施政府促进男女平等</w:t>
      </w:r>
      <w:r>
        <w:rPr>
          <w:rFonts w:hint="eastAsia"/>
        </w:rPr>
        <w:t>与机会均等政策的情况，</w:t>
      </w:r>
      <w:r>
        <w:rPr>
          <w:rFonts w:hint="eastAsia"/>
        </w:rPr>
        <w:t>1994</w:t>
      </w:r>
      <w:r>
        <w:rPr>
          <w:rFonts w:hint="eastAsia"/>
        </w:rPr>
        <w:t>年</w:t>
      </w:r>
      <w:r>
        <w:rPr>
          <w:rFonts w:hint="eastAsia"/>
        </w:rPr>
        <w:t>5</w:t>
      </w:r>
      <w:r>
        <w:rPr>
          <w:rFonts w:hint="eastAsia"/>
        </w:rPr>
        <w:t>月</w:t>
      </w:r>
      <w:r>
        <w:rPr>
          <w:rFonts w:hint="eastAsia"/>
        </w:rPr>
        <w:t>17</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全体会议颁布的</w:t>
      </w:r>
      <w:r>
        <w:rPr>
          <w:rFonts w:hint="eastAsia"/>
        </w:rPr>
        <w:t>13</w:t>
      </w:r>
      <w:r>
        <w:rPr>
          <w:rFonts w:hint="eastAsia"/>
        </w:rPr>
        <w:t>－</w:t>
      </w:r>
      <w:r>
        <w:rPr>
          <w:rFonts w:hint="eastAsia"/>
        </w:rPr>
        <w:t>98</w:t>
      </w:r>
      <w:r>
        <w:rPr>
          <w:rFonts w:hint="eastAsia"/>
        </w:rPr>
        <w:t>号指导方针。颁布《刑事诉讼法》、《女童和少女法》先期规定的部门间工作小组的组成及运作条例，以便履行家庭暴力问题方面的法律义务。（</w:t>
      </w:r>
      <w:r>
        <w:rPr>
          <w:rFonts w:hint="eastAsia"/>
        </w:rPr>
        <w:t>S. f.</w:t>
      </w:r>
      <w:r>
        <w:rPr>
          <w:rFonts w:hint="eastAsia"/>
        </w:rPr>
        <w:t>）。</w:t>
      </w:r>
    </w:p>
    <w:p w:rsidR="00000000" w:rsidRDefault="00CA422F">
      <w:pPr>
        <w:pStyle w:val="4"/>
        <w:tabs>
          <w:tab w:val="clear" w:pos="360"/>
          <w:tab w:val="num" w:pos="480"/>
        </w:tabs>
        <w:spacing w:before="120" w:after="120" w:line="360" w:lineRule="exact"/>
        <w:ind w:left="480" w:hanging="480"/>
        <w:rPr>
          <w:rFonts w:hint="eastAsia"/>
        </w:rPr>
      </w:pPr>
      <w:r>
        <w:rPr>
          <w:rFonts w:hint="eastAsia"/>
        </w:rPr>
        <w:t>共和国总统颁布的第</w:t>
      </w:r>
      <w:r>
        <w:rPr>
          <w:rFonts w:hint="eastAsia"/>
        </w:rPr>
        <w:t>17</w:t>
      </w:r>
      <w:r>
        <w:rPr>
          <w:rFonts w:hint="eastAsia"/>
        </w:rPr>
        <w:t>号指导方针。确保妇女由于她们的公民属性和不可分割的固有人权，在与他人机会均等和条件平等的情况下，有尊严地获得国家提供的公益事业服务，</w:t>
      </w:r>
      <w:r>
        <w:rPr>
          <w:rFonts w:hint="eastAsia"/>
        </w:rPr>
        <w:t>1999</w:t>
      </w:r>
      <w:r>
        <w:rPr>
          <w:rFonts w:hint="eastAsia"/>
        </w:rPr>
        <w:t>年</w:t>
      </w:r>
      <w:r>
        <w:rPr>
          <w:rFonts w:hint="eastAsia"/>
        </w:rPr>
        <w:t>3</w:t>
      </w:r>
      <w:r>
        <w:rPr>
          <w:rFonts w:hint="eastAsia"/>
        </w:rPr>
        <w:t>月</w:t>
      </w:r>
      <w:r>
        <w:rPr>
          <w:rFonts w:hint="eastAsia"/>
        </w:rPr>
        <w:t>3</w:t>
      </w:r>
      <w:r>
        <w:rPr>
          <w:rFonts w:hint="eastAsia"/>
        </w:rPr>
        <w:t>日。</w:t>
      </w:r>
    </w:p>
    <w:p w:rsidR="00000000" w:rsidRDefault="00CA422F">
      <w:pPr>
        <w:pStyle w:val="4"/>
        <w:tabs>
          <w:tab w:val="clear" w:pos="360"/>
          <w:tab w:val="num" w:pos="480"/>
        </w:tabs>
        <w:spacing w:before="120" w:after="120" w:line="360" w:lineRule="exact"/>
        <w:ind w:left="480" w:hanging="480"/>
        <w:rPr>
          <w:rFonts w:hint="eastAsia"/>
        </w:rPr>
      </w:pPr>
      <w:r>
        <w:rPr>
          <w:rFonts w:hint="eastAsia"/>
        </w:rPr>
        <w:t>劳工和社会保障部颁布的第</w:t>
      </w:r>
      <w:r>
        <w:rPr>
          <w:rFonts w:hint="eastAsia"/>
        </w:rPr>
        <w:t>3</w:t>
      </w:r>
      <w:r>
        <w:rPr>
          <w:rFonts w:hint="eastAsia"/>
        </w:rPr>
        <w:t>号指导方针。规定通过特别程序授权解雇怀孕女工。该指导方针规定了授权解雇怀孕女工的特别程序。在这一</w:t>
      </w:r>
      <w:r>
        <w:rPr>
          <w:rFonts w:hint="eastAsia"/>
        </w:rPr>
        <w:t>程序中将应用恰当的解雇手续，并且使怀孕女工享有宪法规定的保障权利，</w:t>
      </w:r>
      <w:r>
        <w:rPr>
          <w:rFonts w:hint="eastAsia"/>
        </w:rPr>
        <w:t>1998</w:t>
      </w:r>
      <w:r>
        <w:rPr>
          <w:rFonts w:hint="eastAsia"/>
        </w:rPr>
        <w:t>年</w:t>
      </w:r>
      <w:r>
        <w:rPr>
          <w:rFonts w:hint="eastAsia"/>
        </w:rPr>
        <w:t>7</w:t>
      </w:r>
      <w:r>
        <w:rPr>
          <w:rFonts w:hint="eastAsia"/>
        </w:rPr>
        <w:t>月</w:t>
      </w:r>
      <w:r>
        <w:rPr>
          <w:rFonts w:hint="eastAsia"/>
        </w:rPr>
        <w:t>20</w:t>
      </w:r>
      <w:r>
        <w:rPr>
          <w:rFonts w:hint="eastAsia"/>
        </w:rPr>
        <w:t>日。</w:t>
      </w:r>
    </w:p>
    <w:p w:rsidR="00000000" w:rsidRDefault="00CA422F">
      <w:pPr>
        <w:pStyle w:val="4"/>
        <w:numPr>
          <w:ilvl w:val="0"/>
          <w:numId w:val="0"/>
        </w:numPr>
        <w:spacing w:before="120" w:after="120" w:line="360" w:lineRule="exact"/>
      </w:pPr>
    </w:p>
    <w:p w:rsidR="00000000" w:rsidRDefault="00CA422F">
      <w:pPr>
        <w:pStyle w:val="20"/>
        <w:adjustRightInd w:val="0"/>
        <w:spacing w:beforeLines="0" w:before="0" w:afterLines="0" w:after="240" w:line="360" w:lineRule="atLeast"/>
        <w:jc w:val="center"/>
        <w:textAlignment w:val="baseline"/>
        <w:rPr>
          <w:rFonts w:ascii="Times New Roman" w:eastAsia="SimHei" w:hAnsi="Times New Roman" w:hint="eastAsia"/>
          <w:kern w:val="0"/>
          <w:sz w:val="28"/>
          <w:szCs w:val="20"/>
          <w:lang w:val="en-US"/>
        </w:rPr>
      </w:pPr>
      <w:r>
        <w:rPr>
          <w:rFonts w:ascii="Times New Roman" w:eastAsia="SimSun" w:hAnsi="Times New Roman"/>
          <w:kern w:val="0"/>
          <w:szCs w:val="20"/>
          <w:lang w:val="en-US"/>
        </w:rPr>
        <w:br w:type="page"/>
      </w:r>
      <w:r>
        <w:rPr>
          <w:rFonts w:eastAsia="SimHei" w:hint="eastAsia"/>
          <w:sz w:val="28"/>
        </w:rPr>
        <w:t>参考书目</w:t>
      </w:r>
    </w:p>
    <w:p w:rsidR="00000000" w:rsidRDefault="00CA422F">
      <w:pPr>
        <w:jc w:val="center"/>
        <w:rPr>
          <w:rFonts w:eastAsia="SimHei" w:hint="eastAsia"/>
          <w:sz w:val="28"/>
        </w:rPr>
      </w:pPr>
    </w:p>
    <w:p w:rsidR="00000000" w:rsidRDefault="00CA422F">
      <w:pPr>
        <w:spacing w:after="240" w:line="360" w:lineRule="atLeast"/>
        <w:rPr>
          <w:rFonts w:eastAsia="SimHei"/>
        </w:rPr>
      </w:pPr>
      <w:r>
        <w:rPr>
          <w:rFonts w:eastAsia="SimHei"/>
        </w:rPr>
        <w:t>Aguilar, Lorenay y otras. (199</w:t>
      </w:r>
      <w:r>
        <w:rPr>
          <w:rFonts w:eastAsia="SimHei" w:hint="eastAsia"/>
        </w:rPr>
        <w:t>9</w:t>
      </w:r>
      <w:r>
        <w:rPr>
          <w:rFonts w:eastAsia="SimHei"/>
        </w:rPr>
        <w:t>). La ineludible corriente. Políticas de equidad de género en el sector ambiental mesoamericano, UICN, Editorial Absoluto, San José, Costa Rica.</w:t>
      </w:r>
    </w:p>
    <w:p w:rsidR="00000000" w:rsidRDefault="00CA422F">
      <w:pPr>
        <w:spacing w:after="240" w:line="360" w:lineRule="atLeast"/>
        <w:rPr>
          <w:rFonts w:eastAsia="SimHei"/>
        </w:rPr>
      </w:pPr>
      <w:r>
        <w:rPr>
          <w:rFonts w:eastAsia="SimHei"/>
        </w:rPr>
        <w:t>Alfaro, Patricia y otras. (</w:t>
      </w:r>
      <w:r>
        <w:rPr>
          <w:rFonts w:eastAsia="SimHei"/>
        </w:rPr>
        <w:t>2001). Sistematización Nacional de la ejecución del Programa Creciendo Juntas. Agosto 1999-2000. Programa Creciendo Juntas. San José, Costa Rica.</w:t>
      </w:r>
    </w:p>
    <w:p w:rsidR="00000000" w:rsidRDefault="00CA422F">
      <w:pPr>
        <w:spacing w:after="240" w:line="360" w:lineRule="atLeast"/>
        <w:rPr>
          <w:rFonts w:eastAsia="SimHei"/>
        </w:rPr>
      </w:pPr>
      <w:r>
        <w:rPr>
          <w:rFonts w:eastAsia="SimHei"/>
        </w:rPr>
        <w:t>AMES y ADC. (1999). Mejorando la Calidad de los Servicios Públicos de Salud para las Mujeres con Énfasis en la</w:t>
      </w:r>
      <w:r>
        <w:rPr>
          <w:rFonts w:eastAsia="SimHei"/>
        </w:rPr>
        <w:t xml:space="preserve"> Salud Sexual y Reproductiva: Clínicas Maternidad Carit y Solón Nuñez. Consultora Anna Arroba, Fondo de Población de Naciones Unidas. San José, Costa Rica.</w:t>
      </w:r>
    </w:p>
    <w:p w:rsidR="00000000" w:rsidRDefault="00CA422F">
      <w:pPr>
        <w:spacing w:after="240" w:line="360" w:lineRule="atLeast"/>
        <w:rPr>
          <w:rFonts w:eastAsia="SimHei"/>
        </w:rPr>
      </w:pPr>
      <w:r>
        <w:rPr>
          <w:rFonts w:eastAsia="SimHei"/>
        </w:rPr>
        <w:t>AMES. (S. f.) (a). Humillación y Maltrato en el Parto Hospitalario. Asociación de Mujeres en Salud S</w:t>
      </w:r>
      <w:r>
        <w:rPr>
          <w:rFonts w:eastAsia="SimHei"/>
        </w:rPr>
        <w:t>an José, Costa Rica.</w:t>
      </w:r>
    </w:p>
    <w:p w:rsidR="00000000" w:rsidRDefault="00CA422F">
      <w:pPr>
        <w:spacing w:after="240" w:line="360" w:lineRule="atLeast"/>
        <w:rPr>
          <w:rFonts w:eastAsia="SimHei"/>
        </w:rPr>
      </w:pPr>
      <w:r>
        <w:rPr>
          <w:rFonts w:eastAsia="SimHei"/>
        </w:rPr>
        <w:t>AMES. (S. f.) (b). Parir y Nacer Dignamente. Asociación de Mujeres en Salud. San José, Costa Rica.</w:t>
      </w:r>
    </w:p>
    <w:p w:rsidR="00000000" w:rsidRDefault="00CA422F">
      <w:pPr>
        <w:spacing w:after="240" w:line="360" w:lineRule="atLeast"/>
        <w:rPr>
          <w:rFonts w:eastAsia="SimHei"/>
        </w:rPr>
      </w:pPr>
      <w:r>
        <w:rPr>
          <w:rFonts w:eastAsia="SimHei"/>
        </w:rPr>
        <w:t>Anderson, Jeanine. (1994). La Feminización de la Pobreza en América Latina. Red Entre Mujeres: Diálogo Sur-Norte. Lima, Perú.</w:t>
      </w:r>
    </w:p>
    <w:p w:rsidR="00000000" w:rsidRDefault="00CA422F">
      <w:pPr>
        <w:spacing w:after="240" w:line="360" w:lineRule="atLeast"/>
        <w:rPr>
          <w:rFonts w:eastAsia="SimHei"/>
        </w:rPr>
      </w:pPr>
      <w:r>
        <w:rPr>
          <w:rFonts w:eastAsia="SimHei"/>
        </w:rPr>
        <w:t>Arroba, An</w:t>
      </w:r>
      <w:r>
        <w:rPr>
          <w:rFonts w:eastAsia="SimHei"/>
        </w:rPr>
        <w:t>na y Guzmán, Laura. (2001). “La Salud de las Mujeres”. Articulo elaborado para el Capitulo Especial, VII Informe del Estado de la Nación sobre el Desarrollo Humano Sostenible 2000. San José, Costa Rica.</w:t>
      </w:r>
    </w:p>
    <w:p w:rsidR="00000000" w:rsidRDefault="00CA422F">
      <w:pPr>
        <w:spacing w:after="240" w:line="360" w:lineRule="atLeast"/>
        <w:rPr>
          <w:rFonts w:eastAsia="SimHei"/>
        </w:rPr>
      </w:pPr>
      <w:r>
        <w:rPr>
          <w:rFonts w:eastAsia="SimHei"/>
        </w:rPr>
        <w:t>Asamblea Legislativa. (S. f.) Leyes y Decretos década</w:t>
      </w:r>
      <w:r>
        <w:rPr>
          <w:rFonts w:eastAsia="SimHei"/>
        </w:rPr>
        <w:t xml:space="preserve"> 1990-2000. San José, Costa Rica.</w:t>
      </w:r>
    </w:p>
    <w:p w:rsidR="00000000" w:rsidRDefault="00CA422F">
      <w:pPr>
        <w:spacing w:after="240" w:line="360" w:lineRule="atLeast"/>
        <w:rPr>
          <w:rFonts w:eastAsia="SimHei"/>
        </w:rPr>
      </w:pPr>
      <w:r>
        <w:rPr>
          <w:rFonts w:eastAsia="SimHei"/>
        </w:rPr>
        <w:t>Asamblea Legislativa. (1995). Ley Contra el Hostigamiento Sexual en el Empleo y la Docencia. Centro nacional Para el Desarrollo de la Mujer y la Familia. San José, Costa Rica.</w:t>
      </w:r>
    </w:p>
    <w:p w:rsidR="00000000" w:rsidRDefault="00CA422F">
      <w:pPr>
        <w:spacing w:after="240" w:line="360" w:lineRule="atLeast"/>
        <w:rPr>
          <w:rFonts w:eastAsia="SimHei"/>
        </w:rPr>
      </w:pPr>
      <w:r>
        <w:rPr>
          <w:rFonts w:eastAsia="SimHei"/>
        </w:rPr>
        <w:t xml:space="preserve">Asamblea Legislativa. (1996). Ley de lgualdad </w:t>
      </w:r>
      <w:r>
        <w:rPr>
          <w:rFonts w:eastAsia="SimHei"/>
        </w:rPr>
        <w:t>de Oportunidades Para las Personas Con Discapacidad en Costa Rica. Consejo Nacional de Rehabilitación y Educación Especial. San José, Costa Rica.</w:t>
      </w:r>
    </w:p>
    <w:p w:rsidR="00000000" w:rsidRDefault="00CA422F">
      <w:pPr>
        <w:spacing w:after="240" w:line="360" w:lineRule="atLeast"/>
        <w:rPr>
          <w:rFonts w:eastAsia="SimHei"/>
        </w:rPr>
      </w:pPr>
      <w:r>
        <w:rPr>
          <w:rFonts w:eastAsia="SimHei"/>
        </w:rPr>
        <w:t xml:space="preserve">Asamblea Legislativa. (1999). (a) Ley Integral Para la Persona Adulta Mayor Defensoría de los Habitantes. San </w:t>
      </w:r>
      <w:r>
        <w:rPr>
          <w:rFonts w:eastAsia="SimHei"/>
        </w:rPr>
        <w:t>José, Costa Rica.</w:t>
      </w:r>
    </w:p>
    <w:p w:rsidR="00000000" w:rsidRDefault="00CA422F">
      <w:pPr>
        <w:spacing w:after="240" w:line="360" w:lineRule="atLeast"/>
        <w:rPr>
          <w:rFonts w:eastAsia="SimHei"/>
        </w:rPr>
      </w:pPr>
      <w:r>
        <w:rPr>
          <w:rFonts w:eastAsia="SimHei"/>
        </w:rPr>
        <w:t>Asamblea Legislativa. (1999). (b) Ley Contra la Explotación Sexual de las Personas Menores de Edad. INAMU. San José, Costa Rica.</w:t>
      </w:r>
    </w:p>
    <w:p w:rsidR="00000000" w:rsidRDefault="00CA422F">
      <w:pPr>
        <w:spacing w:after="240" w:line="360" w:lineRule="atLeast"/>
        <w:rPr>
          <w:rFonts w:eastAsia="SimHei"/>
        </w:rPr>
      </w:pPr>
      <w:r>
        <w:rPr>
          <w:rFonts w:eastAsia="SimHei"/>
        </w:rPr>
        <w:t xml:space="preserve">Asociación Demográfica Costarricense. (1992). Caracteristicas generales de las Entrevistadas. El embarazo no </w:t>
      </w:r>
      <w:r>
        <w:rPr>
          <w:rFonts w:eastAsia="SimHei"/>
        </w:rPr>
        <w:t>deseado. San José, Costa Rica.</w:t>
      </w:r>
    </w:p>
    <w:p w:rsidR="00000000" w:rsidRDefault="00CA422F">
      <w:pPr>
        <w:spacing w:after="240" w:line="360" w:lineRule="atLeast"/>
        <w:rPr>
          <w:rFonts w:eastAsia="SimHei"/>
        </w:rPr>
      </w:pPr>
      <w:r>
        <w:rPr>
          <w:rFonts w:eastAsia="SimHei"/>
        </w:rPr>
        <w:t>ASTRADOMES. (1993). Las trabajadoras demésticas. En Nosotras #3. San José, Costa Rica.</w:t>
      </w:r>
    </w:p>
    <w:p w:rsidR="00000000" w:rsidRDefault="00CA422F">
      <w:pPr>
        <w:spacing w:after="240" w:line="360" w:lineRule="atLeast"/>
        <w:rPr>
          <w:rFonts w:eastAsia="SimHei"/>
        </w:rPr>
      </w:pPr>
      <w:r>
        <w:rPr>
          <w:rFonts w:eastAsia="SimHei"/>
        </w:rPr>
        <w:t>ASTRADOMES. (1997). Situación de las Trabajadoras de Oficio Doméstico: Estudios por Muestra 1996/1997. San José, Costa Rica.</w:t>
      </w:r>
    </w:p>
    <w:p w:rsidR="00000000" w:rsidRDefault="00CA422F">
      <w:pPr>
        <w:spacing w:after="240" w:line="360" w:lineRule="atLeast"/>
        <w:rPr>
          <w:rFonts w:eastAsia="SimHei"/>
        </w:rPr>
      </w:pPr>
      <w:r>
        <w:rPr>
          <w:rFonts w:eastAsia="SimHei"/>
        </w:rPr>
        <w:t>Bartolomei, M</w:t>
      </w:r>
      <w:r>
        <w:rPr>
          <w:rFonts w:eastAsia="SimHei"/>
        </w:rPr>
        <w:t>aría Luisa. (1996). Universalismo y Diversidad Cultural en América Lationa. Estudios Básicos de Derechos Humanos VI, Instituto Interamericano de Derechos Humanos. San José, Costa Rica.</w:t>
      </w:r>
    </w:p>
    <w:p w:rsidR="00000000" w:rsidRDefault="00CA422F">
      <w:pPr>
        <w:spacing w:after="240" w:line="360" w:lineRule="atLeast"/>
        <w:rPr>
          <w:rFonts w:eastAsia="SimHei"/>
        </w:rPr>
      </w:pPr>
      <w:r>
        <w:rPr>
          <w:rFonts w:eastAsia="SimHei"/>
        </w:rPr>
        <w:t>Blanco, Lara y otras. (2001) “La situación del Sector Agropecuario cent</w:t>
      </w:r>
      <w:r>
        <w:rPr>
          <w:rFonts w:eastAsia="SimHei"/>
        </w:rPr>
        <w:t>roamericano: retos para la incorporación del enfoque de equidad de género”, UICN-Fundación Arias para la Paz y el Progreso Humano. San José, Costa Rica.</w:t>
      </w:r>
    </w:p>
    <w:p w:rsidR="00000000" w:rsidRDefault="00CA422F">
      <w:pPr>
        <w:spacing w:after="240" w:line="360" w:lineRule="atLeast"/>
        <w:rPr>
          <w:rFonts w:eastAsia="SimHei"/>
        </w:rPr>
      </w:pPr>
      <w:r>
        <w:rPr>
          <w:rFonts w:eastAsia="SimHei"/>
        </w:rPr>
        <w:t>Blanco, Lara; Ramírez, Felicia; y Blanco, Montserrat. (2001). La situación del Sector Agropecuario cent</w:t>
      </w:r>
      <w:r>
        <w:rPr>
          <w:rFonts w:eastAsia="SimHei"/>
        </w:rPr>
        <w:t>roamericano: Retos para la incorporación del enfoque de equidad de género. UICN-FUNDACIÓN ARIAS PARA LA PAZ Y EL PROGRESO HUMANO, San josé, Costa Rica.</w:t>
      </w:r>
    </w:p>
    <w:p w:rsidR="00000000" w:rsidRDefault="00CA422F">
      <w:pPr>
        <w:spacing w:after="240" w:line="360" w:lineRule="atLeast"/>
        <w:rPr>
          <w:rFonts w:eastAsia="SimHei"/>
        </w:rPr>
      </w:pPr>
      <w:r>
        <w:rPr>
          <w:rFonts w:eastAsia="SimHei"/>
        </w:rPr>
        <w:t>Bonilla Leiva, Alejandra. (2001). “Propuesta. Lineamientos de Equidad de Género para el Sistema de Finan</w:t>
      </w:r>
      <w:r>
        <w:rPr>
          <w:rFonts w:eastAsia="SimHei"/>
        </w:rPr>
        <w:t>ciamiento de Desarrollo Rural-SDFR”, CNTMC, San José, Costa Rica</w:t>
      </w:r>
    </w:p>
    <w:p w:rsidR="00000000" w:rsidRDefault="00CA422F">
      <w:pPr>
        <w:spacing w:after="240" w:line="360" w:lineRule="atLeast"/>
        <w:rPr>
          <w:rFonts w:eastAsia="SimHei"/>
        </w:rPr>
      </w:pPr>
      <w:r>
        <w:rPr>
          <w:rFonts w:eastAsia="SimHei"/>
        </w:rPr>
        <w:t xml:space="preserve">Brenes Irene y Méndez Nineth-consultoras (2002). El Sistema Nacional de Atención y Prevención de la Violencia Intrafamiliar en el período 1998-2001. Sistematización sobre avances y desafíos. </w:t>
      </w:r>
      <w:r>
        <w:rPr>
          <w:rFonts w:eastAsia="SimHei"/>
        </w:rPr>
        <w:t>Instituto Nacional de las Mujeres. San José, Costa Rica.</w:t>
      </w:r>
    </w:p>
    <w:p w:rsidR="00000000" w:rsidRDefault="00CA422F">
      <w:pPr>
        <w:spacing w:after="240" w:line="360" w:lineRule="atLeast"/>
        <w:rPr>
          <w:rFonts w:eastAsia="SimHei"/>
        </w:rPr>
      </w:pPr>
      <w:r>
        <w:rPr>
          <w:rFonts w:eastAsia="SimHei"/>
        </w:rPr>
        <w:t>Caja Costarricense del Seguro Social. (1999) Cambios en la morbilidad y mortalidad por edad y sexo en Costa Rica: 1987, 1992 y 1997. Serie Estadísticas de la Salud N</w:t>
      </w:r>
      <w:r>
        <w:rPr>
          <w:rFonts w:eastAsia="SimHei" w:hint="eastAsia"/>
          <w:vertAlign w:val="superscript"/>
        </w:rPr>
        <w:t>。</w:t>
      </w:r>
      <w:r>
        <w:rPr>
          <w:rFonts w:eastAsia="SimHei"/>
        </w:rPr>
        <w:t>8 B</w:t>
      </w:r>
    </w:p>
    <w:p w:rsidR="00000000" w:rsidRDefault="00CA422F">
      <w:pPr>
        <w:spacing w:after="240" w:line="360" w:lineRule="atLeast"/>
        <w:rPr>
          <w:rFonts w:eastAsia="SimHei"/>
        </w:rPr>
      </w:pPr>
      <w:r>
        <w:rPr>
          <w:rFonts w:eastAsia="SimHei"/>
        </w:rPr>
        <w:t>Caja Costarricense del Seguro</w:t>
      </w:r>
      <w:r>
        <w:rPr>
          <w:rFonts w:eastAsia="SimHei"/>
        </w:rPr>
        <w:t xml:space="preserve"> Social. (2000). Estadísticas de Patronos, Trabajadores y salaries. Dirección Actuarial y Planificación Económica. San José, Costa Rica.</w:t>
      </w:r>
    </w:p>
    <w:p w:rsidR="00000000" w:rsidRDefault="00CA422F">
      <w:pPr>
        <w:spacing w:after="240" w:line="360" w:lineRule="atLeast"/>
        <w:rPr>
          <w:rFonts w:eastAsia="SimHei"/>
        </w:rPr>
      </w:pPr>
      <w:r>
        <w:rPr>
          <w:rFonts w:eastAsia="SimHei"/>
        </w:rPr>
        <w:t>Camacho De La O, Lorena. (2001). “Oficinas Municipales de la Mujer. Mecanismo para el Avance de los Derechos y Ciudadan</w:t>
      </w:r>
      <w:r>
        <w:rPr>
          <w:rFonts w:eastAsia="SimHei"/>
        </w:rPr>
        <w:t>ía de las Mujeres”, INAMU. San José, Costa Rica.</w:t>
      </w:r>
    </w:p>
    <w:p w:rsidR="00000000" w:rsidRDefault="00CA422F">
      <w:pPr>
        <w:spacing w:after="240" w:line="360" w:lineRule="atLeast"/>
        <w:rPr>
          <w:rFonts w:eastAsia="SimHei"/>
        </w:rPr>
      </w:pPr>
      <w:r>
        <w:rPr>
          <w:rFonts w:eastAsia="SimHei"/>
        </w:rPr>
        <w:t>Campell, Epsy. (2001). “Situación de las Mujeres Afrocostarricenses”. Articulo elaborado para el Capitulo Especial, VII Informe del Estado de la Nación sobre el Desarrollo Humano Sostenible 2000. San José, C</w:t>
      </w:r>
      <w:r>
        <w:rPr>
          <w:rFonts w:eastAsia="SimHei"/>
        </w:rPr>
        <w:t>osta Rica.</w:t>
      </w:r>
    </w:p>
    <w:p w:rsidR="00000000" w:rsidRDefault="00CA422F">
      <w:pPr>
        <w:spacing w:after="240" w:line="360" w:lineRule="atLeast"/>
        <w:rPr>
          <w:rFonts w:eastAsia="SimHei"/>
        </w:rPr>
      </w:pPr>
      <w:r>
        <w:rPr>
          <w:rFonts w:eastAsia="SimHei"/>
        </w:rPr>
        <w:t xml:space="preserve">Campos Álvaro y salas José M. (2001), “La Masculinidad en Costa Rica. El Estado de la Cuestión, Retos y Perspectivas”. Articulo elaborado para el Capítulo Especial, VII Informe del Estado de la Nación sobre el desarrollo Humano Sostenible 2000. </w:t>
      </w:r>
      <w:r>
        <w:rPr>
          <w:rFonts w:eastAsia="SimHei"/>
        </w:rPr>
        <w:t>San José, Costa Rica.</w:t>
      </w:r>
    </w:p>
    <w:p w:rsidR="00000000" w:rsidRDefault="00CA422F">
      <w:pPr>
        <w:spacing w:after="240" w:line="360" w:lineRule="atLeast"/>
        <w:rPr>
          <w:rFonts w:eastAsia="SimHei"/>
        </w:rPr>
      </w:pPr>
      <w:r>
        <w:rPr>
          <w:rFonts w:eastAsia="SimHei"/>
        </w:rPr>
        <w:t>Carcedo, Ana y Sagot Montserrat. (2001). Femicidio en Costa Rica: 1990-1999. Inédito, OPS. San José, Costa Rica.</w:t>
      </w:r>
    </w:p>
    <w:p w:rsidR="00000000" w:rsidRDefault="00CA422F">
      <w:pPr>
        <w:spacing w:after="240" w:line="360" w:lineRule="atLeast"/>
        <w:rPr>
          <w:rFonts w:eastAsia="SimHei"/>
        </w:rPr>
      </w:pPr>
      <w:r>
        <w:rPr>
          <w:rFonts w:eastAsia="SimHei"/>
        </w:rPr>
        <w:t>Carcedo, Ana y Zamora Alicia. (1999). Ruta Crítica de las Mujeres Afectadas por la Violencia Intrafamiliar. OPS. San José</w:t>
      </w:r>
      <w:r>
        <w:rPr>
          <w:rFonts w:eastAsia="SimHei"/>
        </w:rPr>
        <w:t>, Costa Rica.</w:t>
      </w:r>
    </w:p>
    <w:p w:rsidR="00000000" w:rsidRDefault="00CA422F">
      <w:pPr>
        <w:spacing w:after="240" w:line="360" w:lineRule="atLeast"/>
        <w:rPr>
          <w:rFonts w:eastAsia="SimHei"/>
        </w:rPr>
      </w:pPr>
      <w:r>
        <w:rPr>
          <w:rFonts w:eastAsia="SimHei"/>
        </w:rPr>
        <w:t>Carcedo, Ana. (1993). La Paz Comienza en Casa: La Violencia contral las Mujeres en Centroamérica y la Cooperación Holandesa. Embajada Real de los Países Bajos. San José, Costa Rica.</w:t>
      </w:r>
    </w:p>
    <w:p w:rsidR="00000000" w:rsidRDefault="00CA422F">
      <w:pPr>
        <w:spacing w:after="240" w:line="360" w:lineRule="atLeast"/>
        <w:rPr>
          <w:rFonts w:eastAsia="SimHei"/>
        </w:rPr>
      </w:pPr>
      <w:r>
        <w:rPr>
          <w:rFonts w:eastAsia="SimHei"/>
        </w:rPr>
        <w:t>Carcedo, Ana. (2001). “Violencia contra las mujeres en la dé</w:t>
      </w:r>
      <w:r>
        <w:rPr>
          <w:rFonts w:eastAsia="SimHei"/>
        </w:rPr>
        <w:t>cada de los noventa”. Artículo elaborado para el Capítulo Especial, VII Informe del Estado de la Nación sobre el Desarrollo Humano Sostenible 2000. San José, Costa Rica.</w:t>
      </w:r>
    </w:p>
    <w:p w:rsidR="00000000" w:rsidRDefault="00CA422F">
      <w:pPr>
        <w:spacing w:after="240" w:line="360" w:lineRule="atLeast"/>
        <w:rPr>
          <w:rFonts w:eastAsia="SimHei"/>
        </w:rPr>
      </w:pPr>
      <w:r>
        <w:rPr>
          <w:rFonts w:eastAsia="SimHei"/>
        </w:rPr>
        <w:t>Centro de Investigaciones en Estudios de la Mujer (2002) Sistematización de las estrat</w:t>
      </w:r>
      <w:r>
        <w:rPr>
          <w:rFonts w:eastAsia="SimHei"/>
        </w:rPr>
        <w:t>egias pedagógicas implementadas por las organizaciones no gubernamentales:componente fortalecimien to para la vida. Programa Construyendo Oportunidades. Universidad de Costa Rica/Instituto de Ayuda Mixta. San José, Costa Rica.</w:t>
      </w:r>
    </w:p>
    <w:p w:rsidR="00000000" w:rsidRDefault="00CA422F">
      <w:pPr>
        <w:spacing w:after="240" w:line="360" w:lineRule="atLeast"/>
        <w:rPr>
          <w:rFonts w:eastAsia="SimHei"/>
        </w:rPr>
      </w:pPr>
      <w:r>
        <w:rPr>
          <w:rFonts w:eastAsia="SimHei"/>
        </w:rPr>
        <w:t xml:space="preserve">CEFEMINA. (1993). “Sobre las </w:t>
      </w:r>
      <w:r>
        <w:rPr>
          <w:rFonts w:eastAsia="SimHei"/>
        </w:rPr>
        <w:t>Mujeres que Acuden al Programa Mujer No Estás Sola”. Mujeres Hacia el 2000. San José, Costa Rica.</w:t>
      </w:r>
    </w:p>
    <w:p w:rsidR="00000000" w:rsidRDefault="00CA422F">
      <w:pPr>
        <w:spacing w:after="240" w:line="360" w:lineRule="atLeast"/>
        <w:rPr>
          <w:rFonts w:eastAsia="SimHei"/>
        </w:rPr>
      </w:pPr>
      <w:r>
        <w:rPr>
          <w:rFonts w:eastAsia="SimHei"/>
        </w:rPr>
        <w:t>CEFEMINA. (2001). Informe de Avance del Proyecto Consolidación de La Red Nacional Mujer No Estás Sola. San José, Costa Rica.</w:t>
      </w:r>
    </w:p>
    <w:p w:rsidR="00000000" w:rsidRDefault="00CA422F">
      <w:pPr>
        <w:spacing w:after="240" w:line="360" w:lineRule="atLeast"/>
        <w:rPr>
          <w:rFonts w:eastAsia="SimHei"/>
        </w:rPr>
      </w:pPr>
      <w:r>
        <w:rPr>
          <w:rFonts w:eastAsia="SimHei"/>
        </w:rPr>
        <w:t>CEPAL. (1993). Desarrollo y equid</w:t>
      </w:r>
      <w:r>
        <w:rPr>
          <w:rFonts w:eastAsia="SimHei"/>
        </w:rPr>
        <w:t>ad de género: una tarea pendiente. Unidad Mujer y Desarrollo, Santiago, Chile.</w:t>
      </w:r>
    </w:p>
    <w:p w:rsidR="00000000" w:rsidRDefault="00CA422F">
      <w:pPr>
        <w:spacing w:after="240" w:line="360" w:lineRule="atLeast"/>
        <w:rPr>
          <w:rFonts w:eastAsia="SimHei"/>
        </w:rPr>
      </w:pPr>
      <w:r>
        <w:rPr>
          <w:rFonts w:eastAsia="SimHei"/>
        </w:rPr>
        <w:t>CEPAL. (1995). Plataforma de Acción Regional para las Mujeres de Américal Latina y el Caribe, 1995-2001. UNIFEM, Naciones Unidas. Santiago, Chile.</w:t>
      </w:r>
    </w:p>
    <w:p w:rsidR="00000000" w:rsidRDefault="00CA422F">
      <w:pPr>
        <w:spacing w:after="240" w:line="360" w:lineRule="atLeast"/>
        <w:rPr>
          <w:rFonts w:eastAsia="SimHei"/>
        </w:rPr>
      </w:pPr>
      <w:r>
        <w:rPr>
          <w:rFonts w:eastAsia="SimHei"/>
        </w:rPr>
        <w:t>Chen Mok, Mario y otros. (2001</w:t>
      </w:r>
      <w:r>
        <w:rPr>
          <w:rFonts w:eastAsia="SimHei"/>
        </w:rPr>
        <w:t>). Salud Reproductiva y Migración Nicaragüense en Costa Rica 1999-2000: Resultados de una Encuesta Nacional de Salud Reproductiva. San José, Costa Rica: Universidad de Costa rica, PCP, INISA.</w:t>
      </w:r>
    </w:p>
    <w:p w:rsidR="00000000" w:rsidRDefault="00CA422F">
      <w:pPr>
        <w:spacing w:after="240" w:line="360" w:lineRule="atLeast"/>
        <w:rPr>
          <w:rFonts w:eastAsia="SimHei"/>
        </w:rPr>
      </w:pPr>
      <w:r>
        <w:rPr>
          <w:rFonts w:eastAsia="SimHei"/>
        </w:rPr>
        <w:t xml:space="preserve">Chiriboga Manuel, Grynspan Rebeca, Pérez Laura. (1995). Mujeres </w:t>
      </w:r>
      <w:r>
        <w:rPr>
          <w:rFonts w:eastAsia="SimHei"/>
        </w:rPr>
        <w:t>de Maiz. Programa de Análisis de la Política del Sector Agropecuario Frente a la Mujer Productora de Alimentos en Centroamérica y Panamá. San José, Costa Rica: Instituto Interamericano de Cooperación para la Agricultura.</w:t>
      </w:r>
    </w:p>
    <w:p w:rsidR="00000000" w:rsidRDefault="00CA422F">
      <w:pPr>
        <w:spacing w:after="240" w:line="360" w:lineRule="atLeast"/>
        <w:rPr>
          <w:rFonts w:eastAsia="SimHei"/>
        </w:rPr>
      </w:pPr>
      <w:r>
        <w:rPr>
          <w:rFonts w:eastAsia="SimHei"/>
        </w:rPr>
        <w:t>Claramunt, Cecilia. (1998). Explota</w:t>
      </w:r>
      <w:r>
        <w:rPr>
          <w:rFonts w:eastAsia="SimHei"/>
        </w:rPr>
        <w:t>ción Sexual en Costa Rica: Análisis de la Ruta Crítica de Niñas, Niños y Adolescentes Hacia la Prostitución. San José, Costa Rica: UNICEF.</w:t>
      </w:r>
    </w:p>
    <w:p w:rsidR="00000000" w:rsidRDefault="00CA422F">
      <w:pPr>
        <w:spacing w:after="240" w:line="360" w:lineRule="atLeast"/>
        <w:rPr>
          <w:rFonts w:eastAsia="SimHei"/>
        </w:rPr>
      </w:pPr>
      <w:r>
        <w:rPr>
          <w:rFonts w:eastAsia="SimHei"/>
        </w:rPr>
        <w:t>Claramunt, Cecilia. (2001). Explotación Sexual Comercial de Niñas, Niños y Adolescentes. Informe de Investigación par</w:t>
      </w:r>
      <w:r>
        <w:rPr>
          <w:rFonts w:eastAsia="SimHei"/>
        </w:rPr>
        <w:t>a el Estado de los Derechos de la Niñez y la Adolescencia, Inédito. San José, Costa Rica.</w:t>
      </w:r>
    </w:p>
    <w:p w:rsidR="00000000" w:rsidRDefault="00CA422F">
      <w:pPr>
        <w:spacing w:after="240" w:line="360" w:lineRule="atLeast"/>
        <w:rPr>
          <w:rFonts w:eastAsia="SimHei"/>
        </w:rPr>
      </w:pPr>
      <w:r>
        <w:rPr>
          <w:rFonts w:eastAsia="SimHei"/>
        </w:rPr>
        <w:t>Comisión Técnica Interinstitucional, Ministerio de Salud, Instituto Nacional de las Mujeres, Caja Costarricense de Seguro Social, Hospital de las Mujeres Dr. Adolfo C</w:t>
      </w:r>
      <w:r>
        <w:rPr>
          <w:rFonts w:eastAsia="SimHei"/>
        </w:rPr>
        <w:t>arit Eva, (2000) Modelo de Atención Integral de la Salud de las Mujeres: Una Propuesta para su Construccion, San José, Costa Rica.</w:t>
      </w:r>
    </w:p>
    <w:p w:rsidR="00000000" w:rsidRDefault="00CA422F">
      <w:pPr>
        <w:spacing w:after="240" w:line="360" w:lineRule="atLeast"/>
        <w:rPr>
          <w:rFonts w:eastAsia="SimHei"/>
        </w:rPr>
      </w:pPr>
      <w:r>
        <w:rPr>
          <w:rFonts w:eastAsia="SimHei"/>
        </w:rPr>
        <w:t>Comisión Técnica Interinstitucional. (2000). Modelo de Atención Integral de la salud de las Mujeres: Una Propuesta para su Co</w:t>
      </w:r>
      <w:r>
        <w:rPr>
          <w:rFonts w:eastAsia="SimHei"/>
        </w:rPr>
        <w:t>nstrucción. Ministerio de Salud, Instituto</w:t>
      </w:r>
    </w:p>
    <w:p w:rsidR="00000000" w:rsidRDefault="00CA422F">
      <w:pPr>
        <w:spacing w:after="240" w:line="360" w:lineRule="atLeast"/>
        <w:rPr>
          <w:rFonts w:eastAsia="SimHei"/>
        </w:rPr>
      </w:pPr>
      <w:r>
        <w:rPr>
          <w:rFonts w:eastAsia="SimHei"/>
        </w:rPr>
        <w:t>Nacional de las Mujeres, Caja Costarricense de Seguro Social, Hospital de las Mujeres Dr. Adolfo Carit Eva. San José, Costa Rica.</w:t>
      </w:r>
    </w:p>
    <w:p w:rsidR="00000000" w:rsidRDefault="00CA422F">
      <w:pPr>
        <w:spacing w:after="240" w:line="360" w:lineRule="atLeast"/>
        <w:rPr>
          <w:rFonts w:eastAsia="SimHei"/>
        </w:rPr>
      </w:pPr>
      <w:r>
        <w:rPr>
          <w:rFonts w:eastAsia="SimHei"/>
        </w:rPr>
        <w:t>Conferencia Mundial sobre la Mujer (1996). 4 Plataforma de Acción: Declaración de B</w:t>
      </w:r>
      <w:r>
        <w:rPr>
          <w:rFonts w:eastAsia="SimHei"/>
        </w:rPr>
        <w:t>eijing; Información general y selección de documentos. Centro Nacional para el Desarrollo de la Mujer y la Familia; Ministerio de Planificación y Política Económica. San José, Costa Rica.</w:t>
      </w:r>
    </w:p>
    <w:p w:rsidR="00000000" w:rsidRDefault="00CA422F">
      <w:pPr>
        <w:spacing w:after="240" w:line="360" w:lineRule="atLeast"/>
        <w:rPr>
          <w:rFonts w:eastAsia="SimHei"/>
        </w:rPr>
      </w:pPr>
      <w:r>
        <w:rPr>
          <w:rFonts w:eastAsia="SimHei"/>
        </w:rPr>
        <w:t>Consejo Nacional de Atención Integral del VIH-SIDA. (2001) Plan Naci</w:t>
      </w:r>
      <w:r>
        <w:rPr>
          <w:rFonts w:eastAsia="SimHei"/>
        </w:rPr>
        <w:t>onal Estratégico para el Abordaje Integral del VIH/SIDA 2001-2004. San José, Costa Rica.</w:t>
      </w:r>
    </w:p>
    <w:p w:rsidR="00000000" w:rsidRDefault="00CA422F">
      <w:pPr>
        <w:spacing w:after="240" w:line="360" w:lineRule="atLeast"/>
        <w:rPr>
          <w:rFonts w:eastAsia="SimHei"/>
        </w:rPr>
      </w:pPr>
      <w:r>
        <w:rPr>
          <w:rFonts w:eastAsia="SimHei"/>
        </w:rPr>
        <w:t>Consejo Nacional de Rectores. (2001). Características Sociodemográficas de los Estudiantes de las Universidades Estatales. 2000. Oficina de la Planificación de la Educ</w:t>
      </w:r>
      <w:r>
        <w:rPr>
          <w:rFonts w:eastAsia="SimHei"/>
        </w:rPr>
        <w:t>ación Superior, San José, Costa Rica.</w:t>
      </w:r>
    </w:p>
    <w:p w:rsidR="00000000" w:rsidRDefault="00CA422F">
      <w:pPr>
        <w:spacing w:after="240" w:line="360" w:lineRule="atLeast"/>
        <w:rPr>
          <w:rFonts w:eastAsia="SimHei"/>
        </w:rPr>
      </w:pPr>
      <w:r>
        <w:rPr>
          <w:rFonts w:eastAsia="SimHei"/>
        </w:rPr>
        <w:t>Coordinadora Nacional para el Trabajo con las Mujeres Campesinas-CNTMC. (1999) Informe Estudio sobre Oferta y Demanda de Crédito para Productoras Rurales en Costa Rica. San José, Costa Rica</w:t>
      </w:r>
    </w:p>
    <w:p w:rsidR="00000000" w:rsidRDefault="00CA422F">
      <w:pPr>
        <w:spacing w:after="240" w:line="360" w:lineRule="atLeast"/>
        <w:rPr>
          <w:rFonts w:eastAsia="SimHei"/>
        </w:rPr>
      </w:pPr>
      <w:r>
        <w:rPr>
          <w:rFonts w:eastAsia="SimHei"/>
        </w:rPr>
        <w:t>Defensoria de los Habitantes</w:t>
      </w:r>
      <w:r>
        <w:rPr>
          <w:rFonts w:eastAsia="SimHei"/>
        </w:rPr>
        <w:t>. (1994). Informes Anual 1993-1994. San José, Costa Rica.</w:t>
      </w:r>
    </w:p>
    <w:p w:rsidR="00000000" w:rsidRDefault="00CA422F">
      <w:pPr>
        <w:spacing w:after="240" w:line="360" w:lineRule="atLeast"/>
        <w:rPr>
          <w:rFonts w:eastAsia="SimHei"/>
        </w:rPr>
      </w:pPr>
      <w:r>
        <w:rPr>
          <w:rFonts w:eastAsia="SimHei"/>
        </w:rPr>
        <w:t>Defensoría de los Habitantes. (1998). Informe Anual 1997-1998. San José, Costa Rica.</w:t>
      </w:r>
    </w:p>
    <w:p w:rsidR="00000000" w:rsidRDefault="00CA422F">
      <w:pPr>
        <w:spacing w:after="240" w:line="360" w:lineRule="atLeast"/>
        <w:rPr>
          <w:rFonts w:eastAsia="SimHei"/>
        </w:rPr>
      </w:pPr>
      <w:r>
        <w:rPr>
          <w:rFonts w:eastAsia="SimHei"/>
        </w:rPr>
        <w:t xml:space="preserve">Defensoría de los Habitantes. (2000). Compendio de Resoluciones de la Defensoría de la Mujer. Compiladoras Ligia </w:t>
      </w:r>
      <w:r>
        <w:rPr>
          <w:rFonts w:eastAsia="SimHei"/>
        </w:rPr>
        <w:t>Martín y Alejandra Mora. San José, Costa Rica.</w:t>
      </w:r>
    </w:p>
    <w:p w:rsidR="00000000" w:rsidRDefault="00CA422F">
      <w:pPr>
        <w:spacing w:after="240" w:line="360" w:lineRule="atLeast"/>
        <w:rPr>
          <w:rFonts w:eastAsia="SimHei"/>
        </w:rPr>
      </w:pPr>
      <w:r>
        <w:rPr>
          <w:rFonts w:eastAsia="SimHei"/>
        </w:rPr>
        <w:t>Defensoría de los Habitantes. (2000). Informe Anual 1999-2000. San José, Costa Rica.</w:t>
      </w:r>
    </w:p>
    <w:p w:rsidR="00000000" w:rsidRDefault="00CA422F">
      <w:pPr>
        <w:spacing w:after="240" w:line="360" w:lineRule="atLeast"/>
        <w:rPr>
          <w:rFonts w:eastAsia="SimHei"/>
        </w:rPr>
      </w:pPr>
      <w:r>
        <w:rPr>
          <w:rFonts w:eastAsia="SimHei"/>
        </w:rPr>
        <w:t>Defensoria de los Habitantes. (s. f.) Observaciones al Proyecto de Reforma al Régimen de Servidoras Domésticas. Documento. S</w:t>
      </w:r>
      <w:r>
        <w:rPr>
          <w:rFonts w:eastAsia="SimHei"/>
        </w:rPr>
        <w:t>an José, Costa Rica.</w:t>
      </w:r>
    </w:p>
    <w:p w:rsidR="00000000" w:rsidRDefault="00CA422F">
      <w:pPr>
        <w:spacing w:after="240" w:line="360" w:lineRule="atLeast"/>
        <w:rPr>
          <w:rFonts w:eastAsia="SimHei"/>
        </w:rPr>
      </w:pPr>
      <w:r>
        <w:rPr>
          <w:rFonts w:eastAsia="SimHei"/>
        </w:rPr>
        <w:t>Defensoría de los Habitantes. (2001) Compendio de Resoluciones de la Defensoría de la Mujer. San José, Costa Rica.</w:t>
      </w:r>
    </w:p>
    <w:p w:rsidR="00000000" w:rsidRDefault="00CA422F">
      <w:pPr>
        <w:spacing w:after="240" w:line="360" w:lineRule="atLeast"/>
        <w:rPr>
          <w:rFonts w:eastAsia="SimHei"/>
        </w:rPr>
      </w:pPr>
      <w:r>
        <w:rPr>
          <w:rFonts w:eastAsia="SimHei"/>
        </w:rPr>
        <w:t>Defensoría de los Habitantes. (2002). Informe de Labores 2000-2001. San José, Costa Rica.</w:t>
      </w:r>
    </w:p>
    <w:p w:rsidR="00000000" w:rsidRDefault="00CA422F">
      <w:pPr>
        <w:spacing w:after="240" w:line="360" w:lineRule="atLeast"/>
        <w:rPr>
          <w:rFonts w:eastAsia="SimHei"/>
        </w:rPr>
      </w:pPr>
      <w:r>
        <w:rPr>
          <w:rFonts w:eastAsia="SimHei"/>
        </w:rPr>
        <w:t>Delgado, Yolanda. (2000). Resp</w:t>
      </w:r>
      <w:r>
        <w:rPr>
          <w:rFonts w:eastAsia="SimHei"/>
        </w:rPr>
        <w:t>uesta Social a Nivel Local Ante la Violencia Intrafamiliar. San José. Costa Rica: Organización Panamericana de la Salud.</w:t>
      </w:r>
    </w:p>
    <w:p w:rsidR="00000000" w:rsidRDefault="00CA422F">
      <w:pPr>
        <w:spacing w:after="240" w:line="360" w:lineRule="atLeast"/>
        <w:rPr>
          <w:rFonts w:eastAsia="SimHei"/>
        </w:rPr>
      </w:pPr>
      <w:r>
        <w:rPr>
          <w:rFonts w:eastAsia="SimHei"/>
        </w:rPr>
        <w:t xml:space="preserve">Devandas, Catalina. (2000). “Mujer y Discapacidad en Costa Rica”, En La Plataforma de Acción de la IV Conferencia Mundial de la Mujer: </w:t>
      </w:r>
      <w:r>
        <w:rPr>
          <w:rFonts w:eastAsia="SimHei"/>
        </w:rPr>
        <w:t>Una Mirada Desde la Diversidad en Costa Rica, UNIFEM-HIVOS. San José, Costa Rica.</w:t>
      </w:r>
    </w:p>
    <w:p w:rsidR="00000000" w:rsidRDefault="00CA422F">
      <w:pPr>
        <w:spacing w:after="240" w:line="360" w:lineRule="atLeast"/>
        <w:rPr>
          <w:rFonts w:eastAsia="SimHei"/>
        </w:rPr>
      </w:pPr>
      <w:r>
        <w:rPr>
          <w:rFonts w:eastAsia="SimHei"/>
        </w:rPr>
        <w:t>Diaz Alvarado, Marco y otros. (2002). Bases Programáticas. Programa Atención Integral a la Adolescencia. Caja Costarricense de Seguro Social, Gerencia de División Médica, Dir</w:t>
      </w:r>
      <w:r>
        <w:rPr>
          <w:rFonts w:eastAsia="SimHei"/>
        </w:rPr>
        <w:t>ección Técnica de Servicios de Salud, Departamento de Medicina Preventiva. San José, Costa Rica.</w:t>
      </w:r>
    </w:p>
    <w:p w:rsidR="00000000" w:rsidRDefault="00CA422F">
      <w:pPr>
        <w:spacing w:after="240" w:line="360" w:lineRule="atLeast"/>
        <w:rPr>
          <w:rFonts w:eastAsia="SimHei"/>
        </w:rPr>
      </w:pPr>
      <w:r>
        <w:rPr>
          <w:rFonts w:eastAsia="SimHei"/>
        </w:rPr>
        <w:t>Dierckxesen Wim, (1996). “Impacto del ajuste estructural sobre la mujer trabajadora en Costa Rica”. En Nuevos Enfoques Económicos. Contribuciones al Debate sob</w:t>
      </w:r>
      <w:r>
        <w:rPr>
          <w:rFonts w:eastAsia="SimHei"/>
        </w:rPr>
        <w:t>re Género y Economía. San José, Costa Rica.</w:t>
      </w:r>
    </w:p>
    <w:p w:rsidR="00000000" w:rsidRDefault="00CA422F">
      <w:pPr>
        <w:spacing w:after="240" w:line="360" w:lineRule="atLeast"/>
        <w:rPr>
          <w:rFonts w:eastAsia="SimHei"/>
        </w:rPr>
      </w:pPr>
      <w:r>
        <w:rPr>
          <w:rFonts w:eastAsia="SimHei"/>
        </w:rPr>
        <w:t>Duncan, Quince y Carlos Meléndez. (1972). El Negro en Costa Rica. Editorial Costa Rica. San José, Costa Rica.</w:t>
      </w:r>
    </w:p>
    <w:p w:rsidR="00000000" w:rsidRDefault="00CA422F">
      <w:pPr>
        <w:spacing w:after="240" w:line="360" w:lineRule="atLeast"/>
        <w:rPr>
          <w:rFonts w:eastAsia="SimHei"/>
        </w:rPr>
      </w:pPr>
      <w:r>
        <w:rPr>
          <w:rFonts w:eastAsia="SimHei"/>
        </w:rPr>
        <w:t>Edgerton, Lilly. (1994). “Costa Rica: tranquilizantes en un mundo feliz”. En: Mujeres, No. 346, Servic</w:t>
      </w:r>
      <w:r>
        <w:rPr>
          <w:rFonts w:eastAsia="SimHei"/>
        </w:rPr>
        <w:t>io de Noticias de la Mujer. San José, Costa Rica.</w:t>
      </w:r>
    </w:p>
    <w:p w:rsidR="00000000" w:rsidRDefault="00CA422F">
      <w:pPr>
        <w:spacing w:after="240" w:line="360" w:lineRule="atLeast"/>
        <w:rPr>
          <w:rFonts w:eastAsia="SimHei"/>
        </w:rPr>
      </w:pPr>
      <w:r>
        <w:rPr>
          <w:rFonts w:eastAsia="SimHei"/>
        </w:rPr>
        <w:t>Escalante, Ana Cecilia. (1999). “Las condiciones laborales de vida de las trabajadoras de la maquilia en Costa Rica”. Proyecto RLA/97/07/MNET Mejoramiento de las condiciones laborales y de vida de las traba</w:t>
      </w:r>
      <w:r>
        <w:rPr>
          <w:rFonts w:eastAsia="SimHei"/>
        </w:rPr>
        <w:t>jadoras de la maquila, OIT. San José, Costa Rica.</w:t>
      </w:r>
    </w:p>
    <w:p w:rsidR="00000000" w:rsidRDefault="00CA422F">
      <w:pPr>
        <w:spacing w:after="240" w:line="360" w:lineRule="atLeast"/>
        <w:rPr>
          <w:rFonts w:eastAsia="SimHei"/>
        </w:rPr>
      </w:pPr>
      <w:r>
        <w:rPr>
          <w:rFonts w:eastAsia="SimHei"/>
        </w:rPr>
        <w:t>Escalante, Ana Cecilia. (2000). “La Contribución de los movimientos de mujeres contemporáneous en la construcción de la democracia costarricense: mirando hacia el futuro”. Ponencia presentada en la Conferen</w:t>
      </w:r>
      <w:r>
        <w:rPr>
          <w:rFonts w:eastAsia="SimHei"/>
        </w:rPr>
        <w:t>cia La democracia de Costa Rica ante el nuevo siglo (1986-2000): Tendencias, problemas y perspectives. Universidad de Costa Rica. Inédito. San José, Costa Rica.</w:t>
      </w:r>
    </w:p>
    <w:p w:rsidR="00000000" w:rsidRDefault="00CA422F">
      <w:pPr>
        <w:spacing w:after="240" w:line="360" w:lineRule="atLeast"/>
        <w:rPr>
          <w:rFonts w:eastAsia="SimHei"/>
        </w:rPr>
      </w:pPr>
      <w:r>
        <w:rPr>
          <w:rFonts w:eastAsia="SimHei"/>
        </w:rPr>
        <w:t>Facio Alda. (1992). Cuando el género suena cambios trae. Programa Mujer, Justicia y Género, ILA</w:t>
      </w:r>
      <w:r>
        <w:rPr>
          <w:rFonts w:eastAsia="SimHei"/>
        </w:rPr>
        <w:t>NUD. San José, Costa Rica.</w:t>
      </w:r>
    </w:p>
    <w:p w:rsidR="00000000" w:rsidRDefault="00CA422F">
      <w:pPr>
        <w:spacing w:after="240" w:line="360" w:lineRule="atLeast"/>
        <w:rPr>
          <w:rFonts w:eastAsia="SimHei"/>
        </w:rPr>
      </w:pPr>
      <w:r>
        <w:rPr>
          <w:rFonts w:eastAsia="SimHei"/>
        </w:rPr>
        <w:t>Facio Alda. (2001). Declaración Universal de Derechos Humanos: texto y comentarios inusuales. Programa Mujer, Justicia y Género, ILANUD. San José, Costa Rica.</w:t>
      </w:r>
    </w:p>
    <w:p w:rsidR="00000000" w:rsidRDefault="00CA422F">
      <w:pPr>
        <w:spacing w:after="240" w:line="360" w:lineRule="atLeast"/>
        <w:rPr>
          <w:rFonts w:eastAsia="SimHei"/>
        </w:rPr>
      </w:pPr>
      <w:r>
        <w:rPr>
          <w:rFonts w:eastAsia="SimHei"/>
        </w:rPr>
        <w:t>Faerron Angel, Ana Lucía (2002). La educación para la sexualidad en el</w:t>
      </w:r>
      <w:r>
        <w:rPr>
          <w:rFonts w:eastAsia="SimHei"/>
        </w:rPr>
        <w:t xml:space="preserve"> contexto de la sociedad costarricense: análisis del proceso de diseño y gestión del Programa Amor Joven (1998-2001). Tesis sometida a la consideración del Tribunal Examinador de Posgrado en Estudio de la Mujer para optar por el grado de Magíster Scientae.</w:t>
      </w:r>
      <w:r>
        <w:rPr>
          <w:rFonts w:eastAsia="SimHei"/>
        </w:rPr>
        <w:t xml:space="preserve"> Universidad de Costa Rica/ Universidad Nacional/Maestría Regional en Estudios de la Mujer. San José, Costa Rica.</w:t>
      </w:r>
    </w:p>
    <w:p w:rsidR="00000000" w:rsidRDefault="00CA422F">
      <w:pPr>
        <w:spacing w:after="240" w:line="360" w:lineRule="atLeast"/>
        <w:rPr>
          <w:rFonts w:eastAsia="SimHei"/>
        </w:rPr>
      </w:pPr>
      <w:r>
        <w:rPr>
          <w:rFonts w:eastAsia="SimHei"/>
        </w:rPr>
        <w:t>Fernández, Janina. (2001). “Tendencias en la inserción laboral de las mujeres en Costa Rica 1980-2000”. Proyecto Maquila OIT, Oficina Regional</w:t>
      </w:r>
      <w:r>
        <w:rPr>
          <w:rFonts w:eastAsia="SimHei"/>
        </w:rPr>
        <w:t>. San José, Costa Rica.</w:t>
      </w:r>
    </w:p>
    <w:p w:rsidR="00000000" w:rsidRDefault="00CA422F">
      <w:pPr>
        <w:spacing w:after="240" w:line="360" w:lineRule="atLeast"/>
        <w:rPr>
          <w:rFonts w:eastAsia="SimHei"/>
        </w:rPr>
      </w:pPr>
      <w:r>
        <w:rPr>
          <w:rFonts w:eastAsia="SimHei"/>
        </w:rPr>
        <w:t>FIRE-UNIFEM-HIVOS. (2000) La Plataforma de Acción de la IV Conferencia Mundial de la Mujer: una Mirada desde la diversidad en Costa Rica 1999-2000, Iniciativa Raíces de la Diversidad. San José, Costa Rica.</w:t>
      </w:r>
    </w:p>
    <w:p w:rsidR="00000000" w:rsidRDefault="00CA422F">
      <w:pPr>
        <w:spacing w:after="240" w:line="360" w:lineRule="atLeast"/>
        <w:rPr>
          <w:rFonts w:eastAsia="SimHei"/>
        </w:rPr>
      </w:pPr>
      <w:r>
        <w:rPr>
          <w:rFonts w:eastAsia="SimHei"/>
        </w:rPr>
        <w:t xml:space="preserve">Flores Villareal, Eileen. </w:t>
      </w:r>
      <w:r>
        <w:rPr>
          <w:rFonts w:eastAsia="SimHei"/>
        </w:rPr>
        <w:t>2000. Aplicación de la ley contra el Hostigamiento Sexual en las Universidades. Tesis para optar por el grado de Licenciatura en Derecho, Universidad Internacional de las Américas. San José, Costa Rica.</w:t>
      </w:r>
    </w:p>
    <w:p w:rsidR="00000000" w:rsidRDefault="00CA422F">
      <w:pPr>
        <w:spacing w:after="240" w:line="360" w:lineRule="atLeast"/>
        <w:rPr>
          <w:rFonts w:eastAsia="SimHei"/>
        </w:rPr>
      </w:pPr>
      <w:r>
        <w:rPr>
          <w:rFonts w:eastAsia="SimHei"/>
        </w:rPr>
        <w:t>Fundación Arias para la Paz y el Progreso Humano. (19</w:t>
      </w:r>
      <w:r>
        <w:rPr>
          <w:rFonts w:eastAsia="SimHei"/>
        </w:rPr>
        <w:t>98). Mujeres, derechos a la tierra y contrarreformas en América Latina. San José, Costa Rica.</w:t>
      </w:r>
    </w:p>
    <w:p w:rsidR="00000000" w:rsidRDefault="00CA422F">
      <w:pPr>
        <w:spacing w:after="240" w:line="360" w:lineRule="atLeast"/>
        <w:rPr>
          <w:rFonts w:eastAsia="SimHei"/>
        </w:rPr>
      </w:pPr>
      <w:r>
        <w:rPr>
          <w:rFonts w:eastAsia="SimHei"/>
        </w:rPr>
        <w:t>Fundación Arias para la Paz y el Progreso Humano. (S. f.) (a). Diagnóstico sobre la organización de las mujeres rurales en Centroamérica. San José, Costa Rica.</w:t>
      </w:r>
    </w:p>
    <w:p w:rsidR="00000000" w:rsidRDefault="00CA422F">
      <w:pPr>
        <w:spacing w:after="240" w:line="360" w:lineRule="atLeast"/>
        <w:rPr>
          <w:rFonts w:eastAsia="SimHei"/>
        </w:rPr>
      </w:pPr>
      <w:r>
        <w:rPr>
          <w:rFonts w:eastAsia="SimHei"/>
        </w:rPr>
        <w:t>Fu</w:t>
      </w:r>
      <w:r>
        <w:rPr>
          <w:rFonts w:eastAsia="SimHei"/>
        </w:rPr>
        <w:t>ndación Arias para la Paz y el Progreso Humano. (S. f.) (b). La legislación nacional relacionada con el acceso de las mujeres a la tierra y a la propiedad en Costa Rica. San José, Costa Rica.</w:t>
      </w:r>
    </w:p>
    <w:p w:rsidR="00000000" w:rsidRDefault="00CA422F">
      <w:pPr>
        <w:spacing w:after="240" w:line="360" w:lineRule="atLeast"/>
        <w:rPr>
          <w:rFonts w:eastAsia="SimHei"/>
        </w:rPr>
      </w:pPr>
      <w:r>
        <w:rPr>
          <w:rFonts w:eastAsia="SimHei"/>
        </w:rPr>
        <w:t>Gámez, Lorna. (2001). “Presencia y condiciones de vida de mujere</w:t>
      </w:r>
      <w:r>
        <w:rPr>
          <w:rFonts w:eastAsia="SimHei"/>
        </w:rPr>
        <w:t>s inmigrantes nicaragüenses en Costa Rica”. Síntesis elaborada para el VII Informe del Estado de la Nación en Desarrollo Humano Sostenible 2000. San José, Costa Rica.</w:t>
      </w:r>
    </w:p>
    <w:p w:rsidR="00000000" w:rsidRDefault="00CA422F">
      <w:pPr>
        <w:spacing w:after="240" w:line="360" w:lineRule="atLeast"/>
        <w:rPr>
          <w:rFonts w:eastAsia="SimHei"/>
        </w:rPr>
      </w:pPr>
      <w:r>
        <w:rPr>
          <w:rFonts w:eastAsia="SimHei"/>
        </w:rPr>
        <w:t>Goldenberg, Olga. (2001). “Indicadores de Género para el seguimiento y la evaluación de l</w:t>
      </w:r>
      <w:r>
        <w:rPr>
          <w:rFonts w:eastAsia="SimHei"/>
        </w:rPr>
        <w:t>a Plataforma de Acción de Beijing. Propuesta CEPAL. Indicadores No Cuantitativos”. Informe, INAMU-Proyecto Estado de la Nación-PNUD. San José, Costa Rica.</w:t>
      </w:r>
    </w:p>
    <w:p w:rsidR="00000000" w:rsidRDefault="00CA422F">
      <w:pPr>
        <w:spacing w:after="240" w:line="360" w:lineRule="atLeast"/>
        <w:rPr>
          <w:rFonts w:eastAsia="SimHei"/>
        </w:rPr>
      </w:pPr>
      <w:r>
        <w:rPr>
          <w:rFonts w:eastAsia="SimHei"/>
        </w:rPr>
        <w:t>Gómez, M. Elena. (2001). Avances en el Abordaje de la Violencia Doméstica en el Poder Judicial. Comis</w:t>
      </w:r>
      <w:r>
        <w:rPr>
          <w:rFonts w:eastAsia="SimHei"/>
        </w:rPr>
        <w:t>ión Permanente Para el Seguimiento de la Violencia Doméstica en el Poder Judicial. Inédito. San José, Costa Rica.</w:t>
      </w:r>
    </w:p>
    <w:p w:rsidR="00000000" w:rsidRDefault="00CA422F">
      <w:pPr>
        <w:spacing w:after="240" w:line="360" w:lineRule="atLeast"/>
        <w:rPr>
          <w:rFonts w:eastAsia="SimHei"/>
        </w:rPr>
      </w:pPr>
      <w:r>
        <w:rPr>
          <w:rFonts w:eastAsia="SimHei"/>
        </w:rPr>
        <w:t>González Mirta. (2000). El sexismo en la educación. La discriminación cotidiana. San José, Costa Rica: Editorial UCR.</w:t>
      </w:r>
    </w:p>
    <w:p w:rsidR="00000000" w:rsidRDefault="00CA422F">
      <w:pPr>
        <w:spacing w:after="240" w:line="360" w:lineRule="atLeast"/>
        <w:rPr>
          <w:rFonts w:eastAsia="SimHei"/>
        </w:rPr>
      </w:pPr>
      <w:r>
        <w:rPr>
          <w:rFonts w:eastAsia="SimHei"/>
        </w:rPr>
        <w:t xml:space="preserve">González Mirta. (S. f.) </w:t>
      </w:r>
      <w:r>
        <w:rPr>
          <w:rFonts w:eastAsia="SimHei"/>
        </w:rPr>
        <w:t>La perspectiva de igudlada de género y los procesos pedagógicos. Inédito. San José, Costa Rica.</w:t>
      </w:r>
    </w:p>
    <w:p w:rsidR="00000000" w:rsidRDefault="00CA422F">
      <w:pPr>
        <w:spacing w:after="240" w:line="360" w:lineRule="atLeast"/>
        <w:rPr>
          <w:rFonts w:eastAsia="SimHei"/>
        </w:rPr>
      </w:pPr>
      <w:r>
        <w:rPr>
          <w:rFonts w:eastAsia="SimHei"/>
        </w:rPr>
        <w:t>Grupo Agenda Política de Mujeres Costarricenses. (1997). Agenda Política de Mujeres Costarricenses. San José, Costa Rica.</w:t>
      </w:r>
    </w:p>
    <w:p w:rsidR="00000000" w:rsidRDefault="00CA422F">
      <w:pPr>
        <w:spacing w:after="240" w:line="360" w:lineRule="atLeast"/>
        <w:rPr>
          <w:rFonts w:eastAsia="SimHei"/>
        </w:rPr>
      </w:pPr>
      <w:r>
        <w:rPr>
          <w:rFonts w:eastAsia="SimHei"/>
        </w:rPr>
        <w:t xml:space="preserve">Guzmán, Virginia y otras. (1991). Una </w:t>
      </w:r>
      <w:r>
        <w:rPr>
          <w:rFonts w:eastAsia="SimHei"/>
        </w:rPr>
        <w:t>Nueva Lectura: Género en el Desarrollo. Compilación, Entre Mujeres-Flora Tristán Ediciones. Lima, Perú.</w:t>
      </w:r>
    </w:p>
    <w:p w:rsidR="00000000" w:rsidRDefault="00CA422F">
      <w:pPr>
        <w:spacing w:after="240" w:line="360" w:lineRule="atLeast"/>
        <w:rPr>
          <w:rFonts w:eastAsia="SimHei"/>
        </w:rPr>
      </w:pPr>
      <w:r>
        <w:rPr>
          <w:rFonts w:eastAsia="SimHei"/>
        </w:rPr>
        <w:t>Heise, Lorie, J. Pitanguy y A. Germain. (1996). Violencia Contra las Mujeres: La Carga Oculta Sobre la Salud. OPS. Washington, Estados Unidos.</w:t>
      </w:r>
    </w:p>
    <w:p w:rsidR="00000000" w:rsidRDefault="00CA422F">
      <w:pPr>
        <w:spacing w:after="240" w:line="360" w:lineRule="atLeast"/>
        <w:rPr>
          <w:rFonts w:eastAsia="SimHei"/>
        </w:rPr>
      </w:pPr>
      <w:r>
        <w:rPr>
          <w:rFonts w:eastAsia="SimHei"/>
        </w:rPr>
        <w:t>HERA. (19</w:t>
      </w:r>
      <w:r>
        <w:rPr>
          <w:rFonts w:eastAsia="SimHei"/>
        </w:rPr>
        <w:t>99). Hojas de Acción sobre Salud v Derechos Sexuales y Reproductivos de las Mujeres. Nueva York, Estados Unidos.</w:t>
      </w:r>
    </w:p>
    <w:p w:rsidR="00000000" w:rsidRDefault="00CA422F">
      <w:pPr>
        <w:spacing w:after="240" w:line="360" w:lineRule="atLeast"/>
        <w:rPr>
          <w:rFonts w:eastAsia="SimHei"/>
        </w:rPr>
      </w:pPr>
      <w:r>
        <w:rPr>
          <w:rFonts w:eastAsia="SimHei"/>
        </w:rPr>
        <w:t>ILANUD y Programa Mujer, Justicia y Género. (1997). Caminando hacia la Igualdad Real. Manual de Capacitación. San José, Costa Rica.</w:t>
      </w:r>
    </w:p>
    <w:p w:rsidR="00000000" w:rsidRDefault="00CA422F">
      <w:pPr>
        <w:spacing w:after="240" w:line="360" w:lineRule="atLeast"/>
        <w:rPr>
          <w:rFonts w:eastAsia="SimHei"/>
        </w:rPr>
      </w:pPr>
      <w:r>
        <w:rPr>
          <w:rFonts w:eastAsia="SimHei"/>
        </w:rPr>
        <w:t>INCIENSA, C</w:t>
      </w:r>
      <w:r>
        <w:rPr>
          <w:rFonts w:eastAsia="SimHei"/>
        </w:rPr>
        <w:t>CSS, OPS. (1998). Situación de las enfermedades crónicas no transmisibles en Costa Rica. Cartago, Costa Rica.</w:t>
      </w:r>
    </w:p>
    <w:p w:rsidR="00000000" w:rsidRDefault="00CA422F">
      <w:pPr>
        <w:spacing w:after="240" w:line="360" w:lineRule="atLeast"/>
        <w:rPr>
          <w:rFonts w:eastAsia="SimHei"/>
        </w:rPr>
      </w:pPr>
      <w:r>
        <w:rPr>
          <w:rFonts w:eastAsia="SimHei"/>
        </w:rPr>
        <w:t>Iniciativa Centroamericana de Seguimiento a Beijing (Capitulo Costa Rica). (1999). Informe Alternativo sobre el Cumplimiento de la Plataforma de A</w:t>
      </w:r>
      <w:r>
        <w:rPr>
          <w:rFonts w:eastAsia="SimHei"/>
        </w:rPr>
        <w:t>cción Mundial de la IV Conferencia Mundial de las Mujeres por parte del Gobierno Costarricense. Auspiciado por la Fundación Ford. San José, Costa Rica.</w:t>
      </w:r>
    </w:p>
    <w:p w:rsidR="00000000" w:rsidRDefault="00CA422F">
      <w:pPr>
        <w:spacing w:after="240" w:line="360" w:lineRule="atLeast"/>
        <w:rPr>
          <w:rFonts w:eastAsia="SimHei"/>
        </w:rPr>
      </w:pPr>
      <w:r>
        <w:rPr>
          <w:rFonts w:eastAsia="SimHei"/>
        </w:rPr>
        <w:t>Instituto Interamericano de Derechos Humanos (1999) (b). Guía de Capacitación Derechos Humanos de las Mu</w:t>
      </w:r>
      <w:r>
        <w:rPr>
          <w:rFonts w:eastAsia="SimHei"/>
        </w:rPr>
        <w:t>jeres, Tomo 2, Programa de Acción de Derechos de las Humanas. San José. Costa Rica.</w:t>
      </w:r>
    </w:p>
    <w:p w:rsidR="00000000" w:rsidRDefault="00CA422F">
      <w:pPr>
        <w:spacing w:after="240" w:line="360" w:lineRule="atLeast"/>
        <w:rPr>
          <w:rFonts w:eastAsia="SimHei"/>
        </w:rPr>
      </w:pPr>
      <w:r>
        <w:rPr>
          <w:rFonts w:eastAsia="SimHei"/>
        </w:rPr>
        <w:t>Instituto Interamericano de Derechos Humanos y Red de las Defensorías de las mujeres. (1998). Lineamientos para la integración de la perspectiva de género en los organismos</w:t>
      </w:r>
      <w:r>
        <w:rPr>
          <w:rFonts w:eastAsia="SimHei"/>
        </w:rPr>
        <w:t xml:space="preserve"> de la Federación Iberoamericana. Lima, Perú.</w:t>
      </w:r>
    </w:p>
    <w:p w:rsidR="00000000" w:rsidRDefault="00CA422F">
      <w:pPr>
        <w:spacing w:after="240" w:line="360" w:lineRule="atLeast"/>
        <w:rPr>
          <w:rFonts w:eastAsia="SimHei"/>
        </w:rPr>
      </w:pPr>
      <w:r>
        <w:rPr>
          <w:rFonts w:eastAsia="SimHei"/>
        </w:rPr>
        <w:t>Instituto Interamericano de Derechos Humanos. (1999) (a). Instrumentos Internacionales de Protección de los derechos Humanos, 3</w:t>
      </w:r>
      <w:r>
        <w:rPr>
          <w:rFonts w:eastAsia="SimHei"/>
          <w:vertAlign w:val="superscript"/>
        </w:rPr>
        <w:t>a</w:t>
      </w:r>
      <w:r>
        <w:rPr>
          <w:rFonts w:eastAsia="SimHei"/>
        </w:rPr>
        <w:t xml:space="preserve"> Edición ampliada y actualizada. San José, Costa Rica.</w:t>
      </w:r>
    </w:p>
    <w:p w:rsidR="00000000" w:rsidRDefault="00CA422F">
      <w:pPr>
        <w:spacing w:after="240" w:line="360" w:lineRule="atLeast"/>
        <w:rPr>
          <w:rFonts w:eastAsia="SimHei"/>
        </w:rPr>
      </w:pPr>
      <w:r>
        <w:rPr>
          <w:rFonts w:eastAsia="SimHei"/>
        </w:rPr>
        <w:t>Instituto Nacional de Estad</w:t>
      </w:r>
      <w:r>
        <w:rPr>
          <w:rFonts w:eastAsia="SimHei"/>
        </w:rPr>
        <w:t>ísticas y Censos. (1999). Encuesta de Hogares de proprositos multiples. Instructivo del Entrevistador. San José, Costa Rica.</w:t>
      </w:r>
    </w:p>
    <w:p w:rsidR="00000000" w:rsidRDefault="00CA422F">
      <w:pPr>
        <w:spacing w:after="240" w:line="360" w:lineRule="atLeast"/>
        <w:rPr>
          <w:rFonts w:eastAsia="SimHei"/>
        </w:rPr>
      </w:pPr>
      <w:r>
        <w:rPr>
          <w:rFonts w:eastAsia="SimHei"/>
        </w:rPr>
        <w:t>Instituto Nacional de Estadísticas y Censos. (2001). Encuesta de Hogares de propósitos multiples. San José, Costa Rica.</w:t>
      </w:r>
    </w:p>
    <w:p w:rsidR="00000000" w:rsidRDefault="00CA422F">
      <w:pPr>
        <w:spacing w:after="240" w:line="360" w:lineRule="atLeast"/>
        <w:rPr>
          <w:rFonts w:eastAsia="SimHei"/>
        </w:rPr>
      </w:pPr>
      <w:r>
        <w:rPr>
          <w:rFonts w:eastAsia="SimHei"/>
        </w:rPr>
        <w:t>Instituto N</w:t>
      </w:r>
      <w:r>
        <w:rPr>
          <w:rFonts w:eastAsia="SimHei"/>
        </w:rPr>
        <w:t>acional de Estadísticas y Censos. (2001). IX Censo Nacional de Población, 2000</w:t>
      </w:r>
    </w:p>
    <w:p w:rsidR="00000000" w:rsidRDefault="00CA422F">
      <w:pPr>
        <w:spacing w:after="240" w:line="360" w:lineRule="atLeast"/>
        <w:rPr>
          <w:rFonts w:eastAsia="SimHei"/>
        </w:rPr>
      </w:pPr>
      <w:r>
        <w:rPr>
          <w:rFonts w:eastAsia="SimHei"/>
        </w:rPr>
        <w:t>Instituto Nacional de las Mujeres (1999). Línea 800-300-3000. Estadísticas de las Llamadas Año 1998. Área de Violencia de Género. Inédito. San José, Costa Rica.</w:t>
      </w:r>
    </w:p>
    <w:p w:rsidR="00000000" w:rsidRDefault="00CA422F">
      <w:pPr>
        <w:spacing w:after="240" w:line="360" w:lineRule="atLeast"/>
        <w:rPr>
          <w:rFonts w:eastAsia="SimHei"/>
        </w:rPr>
      </w:pPr>
      <w:r>
        <w:rPr>
          <w:rFonts w:eastAsia="SimHei"/>
        </w:rPr>
        <w:t>Instituto Nacion</w:t>
      </w:r>
      <w:r>
        <w:rPr>
          <w:rFonts w:eastAsia="SimHei"/>
        </w:rPr>
        <w:t>al de las Mujeres (2000) (a). Balance del Estado de Costa Rica de la implementación de la Plataforma de Acción. Logros y Desafíos. Cuarta Conferencia. Mundial sobre la Mujer. Instituto Nacional de las Mujeres. San José, Costa Rica.</w:t>
      </w:r>
    </w:p>
    <w:p w:rsidR="00000000" w:rsidRDefault="00CA422F">
      <w:pPr>
        <w:spacing w:after="240" w:line="360" w:lineRule="atLeast"/>
        <w:rPr>
          <w:rFonts w:eastAsia="SimHei"/>
        </w:rPr>
      </w:pPr>
      <w:r>
        <w:rPr>
          <w:rFonts w:eastAsia="SimHei"/>
        </w:rPr>
        <w:t>Instituto Nacional de la</w:t>
      </w:r>
      <w:r>
        <w:rPr>
          <w:rFonts w:eastAsia="SimHei"/>
        </w:rPr>
        <w:t>s Mujeres (2000) (b). Comisión Técnica Interinstitucional: Contabilización del trabajo femenino. San José, Costa Rica.</w:t>
      </w:r>
    </w:p>
    <w:p w:rsidR="00000000" w:rsidRDefault="00CA422F">
      <w:pPr>
        <w:spacing w:after="240" w:line="360" w:lineRule="atLeast"/>
        <w:rPr>
          <w:rFonts w:eastAsia="SimHei"/>
        </w:rPr>
      </w:pPr>
      <w:r>
        <w:rPr>
          <w:rFonts w:eastAsia="SimHei"/>
        </w:rPr>
        <w:t>Instituto Nacional de las Mujeres (2000) (c). Línea 800-300-3000. Estadísticas de las Llamadas Año 1999. Área de Violencia de Género. Iné</w:t>
      </w:r>
      <w:r>
        <w:rPr>
          <w:rFonts w:eastAsia="SimHei"/>
        </w:rPr>
        <w:t>dito. San José, Costa Rica.</w:t>
      </w:r>
    </w:p>
    <w:p w:rsidR="00000000" w:rsidRDefault="00CA422F">
      <w:pPr>
        <w:spacing w:after="240" w:line="360" w:lineRule="atLeast"/>
        <w:rPr>
          <w:rFonts w:eastAsia="SimHei"/>
        </w:rPr>
      </w:pPr>
      <w:r>
        <w:rPr>
          <w:rFonts w:eastAsia="SimHei"/>
        </w:rPr>
        <w:t>Instituto Nacional de las Mujeres (2000) (d). Página Web http//www.inamu.go.cr</w:t>
      </w:r>
    </w:p>
    <w:p w:rsidR="00000000" w:rsidRDefault="00CA422F">
      <w:pPr>
        <w:spacing w:after="240" w:line="360" w:lineRule="atLeast"/>
        <w:rPr>
          <w:rFonts w:eastAsia="SimHei"/>
        </w:rPr>
      </w:pPr>
      <w:r>
        <w:rPr>
          <w:rFonts w:eastAsia="SimHei"/>
        </w:rPr>
        <w:t>Instituto Nacional de las Mujeres (2001) (a). Línea 800-300-3000. Estadísticas de las Llamadas Año 2000. Área de Violencia de Género. Inédito. San Jo</w:t>
      </w:r>
      <w:r>
        <w:rPr>
          <w:rFonts w:eastAsia="SimHei"/>
        </w:rPr>
        <w:t>sé, Costa Rica.</w:t>
      </w:r>
    </w:p>
    <w:p w:rsidR="00000000" w:rsidRDefault="00CA422F">
      <w:pPr>
        <w:spacing w:after="240" w:line="360" w:lineRule="atLeast"/>
        <w:rPr>
          <w:rFonts w:eastAsia="SimHei"/>
        </w:rPr>
      </w:pPr>
      <w:r>
        <w:rPr>
          <w:rFonts w:eastAsia="SimHei"/>
        </w:rPr>
        <w:t>Instituto Nacional de las Mujeres (2002) (a). Caracterización de los tres principales proyectos de ley que actualmente se encuentran en la Asamblea Legislative los cuales fortalecen los derechos politicos de las mujeres. San José, Costa Ric</w:t>
      </w:r>
      <w:r>
        <w:rPr>
          <w:rFonts w:eastAsia="SimHei"/>
        </w:rPr>
        <w:t>a.</w:t>
      </w:r>
    </w:p>
    <w:p w:rsidR="00000000" w:rsidRDefault="00CA422F">
      <w:pPr>
        <w:spacing w:after="240" w:line="360" w:lineRule="atLeast"/>
        <w:rPr>
          <w:rFonts w:eastAsia="SimHei"/>
        </w:rPr>
      </w:pPr>
      <w:r>
        <w:rPr>
          <w:rFonts w:eastAsia="SimHei"/>
        </w:rPr>
        <w:t xml:space="preserve">Instituto Nacional de las Mujeres (2002) (c) Resultados de la revisión de resoluciones emitidas por la Dirección General del Registro Civil y el Tribunal Supremo de Elecciones a los partidos politicos. Nóminas aprobadas y complimiento del 48% minimo de </w:t>
      </w:r>
      <w:r>
        <w:rPr>
          <w:rFonts w:eastAsia="SimHei"/>
        </w:rPr>
        <w:t>participación femenina. Periodo Electoral 2002-2006. Área de Ciudadanía Activa, Liderazgo y Gestión Local. San José, Costa Rica.</w:t>
      </w:r>
    </w:p>
    <w:p w:rsidR="00000000" w:rsidRDefault="00CA422F">
      <w:pPr>
        <w:spacing w:after="240" w:line="360" w:lineRule="atLeast"/>
        <w:rPr>
          <w:rFonts w:eastAsia="SimHei"/>
        </w:rPr>
      </w:pPr>
      <w:r>
        <w:rPr>
          <w:rFonts w:eastAsia="SimHei"/>
        </w:rPr>
        <w:t>Instituto Nacional de las Mujeres y Sistema de Emergencias 911. (2000). Propuesta de Centro Operativo de Atención de las Llamad</w:t>
      </w:r>
      <w:r>
        <w:rPr>
          <w:rFonts w:eastAsia="SimHei"/>
        </w:rPr>
        <w:t>as de Violencia Intrafamiliar. INAMU. San José, Costa Rica.</w:t>
      </w:r>
    </w:p>
    <w:p w:rsidR="00000000" w:rsidRDefault="00CA422F">
      <w:pPr>
        <w:spacing w:after="240" w:line="360" w:lineRule="atLeast"/>
        <w:rPr>
          <w:rFonts w:eastAsia="SimHei"/>
        </w:rPr>
      </w:pPr>
      <w:r>
        <w:rPr>
          <w:rFonts w:eastAsia="SimHei"/>
        </w:rPr>
        <w:t>Instituto Nacional de las Mujeres. (2001) (b). Politica Nacional para la Igualdad y Equidad de Género. Informe Annual de Labores. San José, Costa Rica.</w:t>
      </w:r>
    </w:p>
    <w:p w:rsidR="00000000" w:rsidRDefault="00CA422F">
      <w:pPr>
        <w:spacing w:after="240" w:line="360" w:lineRule="atLeast"/>
        <w:rPr>
          <w:rFonts w:eastAsia="SimHei"/>
        </w:rPr>
      </w:pPr>
      <w:r>
        <w:rPr>
          <w:rFonts w:eastAsia="SimHei"/>
        </w:rPr>
        <w:t>Instituto Nacional de las Mujeres. (2001). (</w:t>
      </w:r>
      <w:r>
        <w:rPr>
          <w:rFonts w:eastAsia="SimHei"/>
        </w:rPr>
        <w:t>c) Política Nacional para la Igualday y Equidad de Género. Informe de labores mayo 2000-abril 2001. San José, Costa Rica.</w:t>
      </w:r>
    </w:p>
    <w:p w:rsidR="00000000" w:rsidRDefault="00CA422F">
      <w:pPr>
        <w:spacing w:after="240" w:line="360" w:lineRule="atLeast"/>
        <w:rPr>
          <w:rFonts w:eastAsia="SimHei"/>
        </w:rPr>
      </w:pPr>
      <w:r>
        <w:rPr>
          <w:rFonts w:eastAsia="SimHei"/>
        </w:rPr>
        <w:t>Instituto Nacional de las Mujeres. (2002) Informe de Labores 1998-2002. San José, Costa Rica.</w:t>
      </w:r>
    </w:p>
    <w:p w:rsidR="00000000" w:rsidRDefault="00CA422F">
      <w:pPr>
        <w:spacing w:after="240" w:line="360" w:lineRule="atLeast"/>
      </w:pPr>
      <w:r>
        <w:t>Instituto Nacional de las Mujeres. (</w:t>
      </w:r>
      <w:r>
        <w:rPr>
          <w:rFonts w:eastAsia="SimHei"/>
        </w:rPr>
        <w:t>2002</w:t>
      </w:r>
      <w:r>
        <w:t>). (b)Programas Amor Joven y Construyendo Oportunidades 1998-2002. Programa Amor Joven, Programa Construyendo Oportunidades, INAMU, Primera Dama de la República. San José, Costa Rica.</w:t>
      </w:r>
    </w:p>
    <w:p w:rsidR="00000000" w:rsidRDefault="00CA422F">
      <w:pPr>
        <w:spacing w:after="240" w:line="360" w:lineRule="atLeast"/>
        <w:rPr>
          <w:rFonts w:eastAsia="SimHei"/>
        </w:rPr>
      </w:pPr>
      <w:r>
        <w:rPr>
          <w:rFonts w:eastAsia="SimHei"/>
        </w:rPr>
        <w:t xml:space="preserve">Instituto Nacional de las Mujeres/Programa Nacional de Apoyo a la Micro </w:t>
      </w:r>
      <w:r>
        <w:rPr>
          <w:rFonts w:eastAsia="SimHei"/>
        </w:rPr>
        <w:t>y Pequeña empresa de Costa Rica/PROMICRO-OIT. (2000) La mujer microempresaria en Costa Rica: años 90. San José, Costa Rica.</w:t>
      </w:r>
    </w:p>
    <w:p w:rsidR="00000000" w:rsidRDefault="00CA422F">
      <w:pPr>
        <w:spacing w:after="240" w:line="360" w:lineRule="atLeast"/>
        <w:rPr>
          <w:rFonts w:eastAsia="SimHei"/>
        </w:rPr>
      </w:pPr>
      <w:r>
        <w:rPr>
          <w:rFonts w:eastAsia="SimHei"/>
        </w:rPr>
        <w:t>Juzgado de Familia del Primer Circuito Judicial de Alajuela. (1999). “Sentencia en Primera Instancia en Proceso de Declaratoria de A</w:t>
      </w:r>
      <w:r>
        <w:rPr>
          <w:rFonts w:eastAsia="SimHei"/>
        </w:rPr>
        <w:t>bandono Planteado por el Patronato Nacional de la Infancia de las 8 horas del 31 de agosto de 1999”. Alajuela, Costa Rica. Kurian, Rachel. (1996). “Las mujeres y el crecimiento económico sostenible” en Nuevos Enfoques Económicos. Contribuciones al debate s</w:t>
      </w:r>
      <w:r>
        <w:rPr>
          <w:rFonts w:eastAsia="SimHei"/>
        </w:rPr>
        <w:t>obre Género y Economia. San José, Costa Rica.</w:t>
      </w:r>
    </w:p>
    <w:p w:rsidR="00000000" w:rsidRDefault="00CA422F">
      <w:pPr>
        <w:spacing w:after="240" w:line="360" w:lineRule="atLeast"/>
        <w:rPr>
          <w:rFonts w:eastAsia="SimHei"/>
        </w:rPr>
      </w:pPr>
      <w:r>
        <w:rPr>
          <w:rFonts w:eastAsia="SimHei"/>
        </w:rPr>
        <w:t>La Plataforma de Acción de la IV Conferencia Mundial de la Mujer: Una Mirada Desde la Diversidad en Costa Rica. UNIFEM-HIVOS. San José, Costa Rica.</w:t>
      </w:r>
    </w:p>
    <w:p w:rsidR="00000000" w:rsidRDefault="00CA422F">
      <w:pPr>
        <w:spacing w:after="240" w:line="360" w:lineRule="atLeast"/>
        <w:rPr>
          <w:rFonts w:eastAsia="SimHei"/>
        </w:rPr>
      </w:pPr>
      <w:r>
        <w:rPr>
          <w:rFonts w:eastAsia="SimHei"/>
        </w:rPr>
        <w:t>Lagarde Marcela. (1997). Género y feminismo. Desarrollo humano</w:t>
      </w:r>
      <w:r>
        <w:rPr>
          <w:rFonts w:eastAsia="SimHei"/>
        </w:rPr>
        <w:t xml:space="preserve"> y democracia. Segunda edición, Editorial Horas y horas. Madrid, España.</w:t>
      </w:r>
    </w:p>
    <w:p w:rsidR="00000000" w:rsidRDefault="00CA422F">
      <w:pPr>
        <w:spacing w:after="240" w:line="360" w:lineRule="atLeast"/>
        <w:rPr>
          <w:rFonts w:eastAsia="SimHei"/>
        </w:rPr>
      </w:pPr>
      <w:r>
        <w:rPr>
          <w:rFonts w:eastAsia="SimHei"/>
        </w:rPr>
        <w:t>Lagarde, Marcela. (1996). “Identidad de Género y Derechos Humanos”. Estudios Básicos de Derechos Humanos IV, IIDH, págs. 85 a 126. San José, Costa Rica.</w:t>
      </w:r>
    </w:p>
    <w:p w:rsidR="00000000" w:rsidRDefault="00CA422F">
      <w:pPr>
        <w:spacing w:after="240" w:line="360" w:lineRule="atLeast"/>
        <w:rPr>
          <w:rFonts w:eastAsia="SimHei"/>
        </w:rPr>
      </w:pPr>
      <w:r>
        <w:rPr>
          <w:rFonts w:eastAsia="SimHei"/>
        </w:rPr>
        <w:t>Lagarde, Marcela. (1994). Orga</w:t>
      </w:r>
      <w:r>
        <w:rPr>
          <w:rFonts w:eastAsia="SimHei"/>
        </w:rPr>
        <w:t>nización de Género y Poder. Conferencia poligrafiada. FUNDETEC/UNICEF. Género e Identidades. Servicios Editoriales. Quito, Ecuador.</w:t>
      </w:r>
    </w:p>
    <w:p w:rsidR="00000000" w:rsidRDefault="00CA422F">
      <w:pPr>
        <w:spacing w:after="240" w:line="360" w:lineRule="atLeast"/>
        <w:rPr>
          <w:rFonts w:eastAsia="SimHei"/>
        </w:rPr>
      </w:pPr>
      <w:r>
        <w:rPr>
          <w:rFonts w:eastAsia="SimHei"/>
        </w:rPr>
        <w:t>Loria Bolaños, Rocío. (2000). Complementariedad entre géneros u ocultamiento de la violencia: Relatos de mujeres ngäbe de Co</w:t>
      </w:r>
      <w:r>
        <w:rPr>
          <w:rFonts w:eastAsia="SimHei"/>
        </w:rPr>
        <w:t>nte Burica, Tesis para optar al grado de Licenciatura en Antropología, Escuela de Antropología y Sociología, Facultad de Ciencias Sociales, Universidad de Costa Rica. San José, Costa Rica.</w:t>
      </w:r>
    </w:p>
    <w:p w:rsidR="00000000" w:rsidRDefault="00CA422F">
      <w:pPr>
        <w:spacing w:after="240" w:line="360" w:lineRule="atLeast"/>
        <w:rPr>
          <w:rFonts w:eastAsia="SimHei"/>
        </w:rPr>
      </w:pPr>
      <w:r>
        <w:rPr>
          <w:rFonts w:eastAsia="SimHei"/>
        </w:rPr>
        <w:t xml:space="preserve">Loría Bolaños, Rocío. (2001). “Las mujeres Ngabe y su situación de </w:t>
      </w:r>
      <w:r>
        <w:rPr>
          <w:rFonts w:eastAsia="SimHei"/>
        </w:rPr>
        <w:t>vida”, Articulo elaborado para el Capítulo Especial, VII Informe del Estado de la Nación sobre el Desarrollo Humano Sostenible 2000, San José, Costa Rica.</w:t>
      </w:r>
    </w:p>
    <w:p w:rsidR="00000000" w:rsidRDefault="00CA422F">
      <w:pPr>
        <w:spacing w:after="240" w:line="360" w:lineRule="atLeast"/>
        <w:rPr>
          <w:rFonts w:eastAsia="SimHei"/>
        </w:rPr>
      </w:pPr>
      <w:r>
        <w:rPr>
          <w:rFonts w:eastAsia="SimHei"/>
        </w:rPr>
        <w:t>Martinez, Juliana. (2002) Acceso de las mujeres a los beneficios de los seguros socials en Costa Rica</w:t>
      </w:r>
      <w:r>
        <w:rPr>
          <w:rFonts w:eastAsia="SimHei"/>
        </w:rPr>
        <w:t>: situación actual y recomendaciones para mejorarla. Instituto Nacional de las Mujeres. San José, Costa Rica.</w:t>
      </w:r>
    </w:p>
    <w:p w:rsidR="00000000" w:rsidRDefault="00CA422F">
      <w:pPr>
        <w:spacing w:after="240" w:line="360" w:lineRule="atLeast"/>
        <w:rPr>
          <w:rFonts w:eastAsia="SimHei"/>
        </w:rPr>
      </w:pPr>
      <w:r>
        <w:rPr>
          <w:rFonts w:eastAsia="SimHei"/>
        </w:rPr>
        <w:t>Maxera, Rita. (2000). “Investigación sobre acceso a la justicia en la República de Costa Rica” En Acceso a la Justicia y Equidad, BID/IIDH. San Jo</w:t>
      </w:r>
      <w:r>
        <w:rPr>
          <w:rFonts w:eastAsia="SimHei"/>
        </w:rPr>
        <w:t>sé, Costa Rica.</w:t>
      </w:r>
    </w:p>
    <w:p w:rsidR="00000000" w:rsidRDefault="00CA422F">
      <w:pPr>
        <w:spacing w:after="240" w:line="360" w:lineRule="atLeast"/>
        <w:rPr>
          <w:rFonts w:eastAsia="SimHei"/>
        </w:rPr>
      </w:pPr>
      <w:r>
        <w:rPr>
          <w:rFonts w:eastAsia="SimHei"/>
        </w:rPr>
        <w:t>Medina, Cecilia. (S.f.) “Hacia una manera más efectiva de garantizar que las mujeres gocen de sus Derechos Humanos en el Sistema Interamericano”.</w:t>
      </w:r>
    </w:p>
    <w:p w:rsidR="00000000" w:rsidRDefault="00CA422F">
      <w:pPr>
        <w:spacing w:after="240" w:line="360" w:lineRule="atLeast"/>
        <w:rPr>
          <w:rFonts w:eastAsia="SimHei"/>
        </w:rPr>
      </w:pPr>
      <w:r>
        <w:t>MIDEPLAN (1999). Mujeres jefas de hogar y tasas de jefatura femenina según condición d epobrez</w:t>
      </w:r>
      <w:r>
        <w:t>a de los hogares y zona, período 1987-1998: http://www.mideplan.go.cr/s’des/social/09-02.htm. 21 de octubre de 1999.</w:t>
      </w:r>
    </w:p>
    <w:p w:rsidR="00000000" w:rsidRDefault="00CA422F">
      <w:pPr>
        <w:spacing w:after="240" w:line="360" w:lineRule="atLeast"/>
        <w:rPr>
          <w:rFonts w:eastAsia="SimHei"/>
        </w:rPr>
      </w:pPr>
      <w:r>
        <w:rPr>
          <w:rFonts w:eastAsia="SimHei"/>
        </w:rPr>
        <w:t>Ministerio de Planificazción Nacional y Política Económica. (2000) (a). Rindiendo Cuentas: Mujeres. Año 2, Número 11, Marzo. San José, Cost</w:t>
      </w:r>
      <w:r>
        <w:rPr>
          <w:rFonts w:eastAsia="SimHei"/>
        </w:rPr>
        <w:t>a Rica.</w:t>
      </w:r>
    </w:p>
    <w:p w:rsidR="00000000" w:rsidRDefault="00CA422F">
      <w:pPr>
        <w:spacing w:after="240" w:line="360" w:lineRule="atLeast"/>
        <w:rPr>
          <w:rFonts w:eastAsia="SimHei"/>
        </w:rPr>
      </w:pPr>
      <w:r>
        <w:rPr>
          <w:rFonts w:eastAsia="SimHei"/>
        </w:rPr>
        <w:t>Ministerio de Planificación Nacional y Política Económica. (2000) (b). Rindiendo Cuentas: Trabajo y calidad del Empleo. Año 2, Número 22, Setiembre. San José, Costa Rica.</w:t>
      </w:r>
    </w:p>
    <w:p w:rsidR="00000000" w:rsidRDefault="00CA422F">
      <w:pPr>
        <w:spacing w:after="240" w:line="360" w:lineRule="atLeast"/>
        <w:rPr>
          <w:rFonts w:eastAsia="SimHei"/>
        </w:rPr>
      </w:pPr>
      <w:r>
        <w:rPr>
          <w:rFonts w:eastAsia="SimHei"/>
        </w:rPr>
        <w:t xml:space="preserve">Ministerio de Salud. (2000). (a) Plan Nacional de Salud 1999-2004. San José, </w:t>
      </w:r>
      <w:r>
        <w:rPr>
          <w:rFonts w:eastAsia="SimHei"/>
        </w:rPr>
        <w:t>Costa Rica.</w:t>
      </w:r>
    </w:p>
    <w:p w:rsidR="00000000" w:rsidRDefault="00CA422F">
      <w:pPr>
        <w:spacing w:after="240" w:line="360" w:lineRule="atLeast"/>
        <w:rPr>
          <w:rFonts w:eastAsia="SimHei"/>
        </w:rPr>
      </w:pPr>
      <w:r>
        <w:rPr>
          <w:rFonts w:eastAsia="SimHei"/>
        </w:rPr>
        <w:t>Ministerio de Salud. (2000). (b) Politica Nacional de Salud 1998-2002. San José, Costa Rica.</w:t>
      </w:r>
    </w:p>
    <w:p w:rsidR="00000000" w:rsidRDefault="00CA422F">
      <w:pPr>
        <w:spacing w:after="240" w:line="360" w:lineRule="atLeast"/>
        <w:rPr>
          <w:rFonts w:eastAsia="SimHei"/>
        </w:rPr>
      </w:pPr>
      <w:r>
        <w:rPr>
          <w:rFonts w:eastAsia="SimHei"/>
        </w:rPr>
        <w:t>Ministerio de Salud. (2001) Memoria Anual 2000. San José, Costa Rica.</w:t>
      </w:r>
    </w:p>
    <w:p w:rsidR="00000000" w:rsidRDefault="00CA422F">
      <w:pPr>
        <w:spacing w:after="240" w:line="360" w:lineRule="atLeast"/>
        <w:rPr>
          <w:rFonts w:eastAsia="SimHei"/>
        </w:rPr>
      </w:pPr>
      <w:r>
        <w:rPr>
          <w:rFonts w:eastAsia="SimHei"/>
        </w:rPr>
        <w:t>Ministerio de Salud/ Caja Costarricense de Seguro Social. (2000). Normas de Atenc</w:t>
      </w:r>
      <w:r>
        <w:rPr>
          <w:rFonts w:eastAsia="SimHei"/>
        </w:rPr>
        <w:t>ión en salud a las personas afectadas por la violencia intrafamiliar. San José, Costa Rica.</w:t>
      </w:r>
    </w:p>
    <w:p w:rsidR="00000000" w:rsidRDefault="00CA422F">
      <w:pPr>
        <w:spacing w:after="240" w:line="360" w:lineRule="atLeast"/>
        <w:rPr>
          <w:rFonts w:eastAsia="SimHei"/>
        </w:rPr>
      </w:pPr>
      <w:r>
        <w:rPr>
          <w:rFonts w:eastAsia="SimHei"/>
        </w:rPr>
        <w:t>Ministerio de Trabajo y Seguridad Social. (2000). Estadisticas de la Dirección Nacional de Inspección de Trabajo. Unidad de Asesoría para la Investigación y la Cali</w:t>
      </w:r>
      <w:r>
        <w:rPr>
          <w:rFonts w:eastAsia="SimHei"/>
        </w:rPr>
        <w:t>dad de la Gestión. San José, Costa Rica.</w:t>
      </w:r>
    </w:p>
    <w:p w:rsidR="00000000" w:rsidRDefault="00CA422F">
      <w:pPr>
        <w:spacing w:after="240" w:line="360" w:lineRule="atLeast"/>
        <w:rPr>
          <w:rFonts w:eastAsia="SimHei"/>
        </w:rPr>
      </w:pPr>
      <w:r>
        <w:rPr>
          <w:rFonts w:eastAsia="SimHei"/>
        </w:rPr>
        <w:t>Miranda, Guido y Del Valle, Luis. (2002) Violencia en Costa Rica: vision desde la salud pública. Proyecto Estado de la Nación 2000. (Serie Aportes para el Análisis del Desarrollo Humano Sostenible N</w:t>
      </w:r>
      <w:r>
        <w:rPr>
          <w:rFonts w:eastAsia="SimHei" w:hint="eastAsia"/>
          <w:vertAlign w:val="superscript"/>
        </w:rPr>
        <w:t>。</w:t>
      </w:r>
      <w:r>
        <w:rPr>
          <w:rFonts w:eastAsia="SimHei"/>
        </w:rPr>
        <w:t>6, San José, Costa Rica.</w:t>
      </w:r>
    </w:p>
    <w:p w:rsidR="00000000" w:rsidRDefault="00CA422F">
      <w:pPr>
        <w:spacing w:after="240" w:line="360" w:lineRule="atLeast"/>
        <w:rPr>
          <w:rFonts w:eastAsia="SimHei"/>
        </w:rPr>
      </w:pPr>
      <w:r>
        <w:rPr>
          <w:rFonts w:eastAsia="SimHei"/>
        </w:rPr>
        <w:t>Mora, Alejandra. (2001). “Un acercamiento género sensitivo al fenómeno juridico”, Articulo elaborado para el Capítulo Especial, VII Informe del Estado de la Nación sobre el Desarrollo Humano Sostenible 2000. San José, Costa Rica.</w:t>
      </w:r>
    </w:p>
    <w:p w:rsidR="00000000" w:rsidRDefault="00CA422F">
      <w:pPr>
        <w:spacing w:after="240" w:line="360" w:lineRule="atLeast"/>
        <w:rPr>
          <w:rFonts w:eastAsia="SimHei"/>
        </w:rPr>
      </w:pPr>
      <w:r>
        <w:rPr>
          <w:rFonts w:eastAsia="SimHei"/>
        </w:rPr>
        <w:t>Morales, Lourdes y Dávila, Ana Lorena. (2000) “Pago de Servicios Ambientales”, FONAFIFO, MINAE, San José, Costa Rica.</w:t>
      </w:r>
    </w:p>
    <w:p w:rsidR="00000000" w:rsidRDefault="00CA422F">
      <w:pPr>
        <w:spacing w:after="240" w:line="360" w:lineRule="atLeast"/>
        <w:rPr>
          <w:rFonts w:eastAsia="SimHei"/>
        </w:rPr>
      </w:pPr>
      <w:r>
        <w:rPr>
          <w:rFonts w:eastAsia="SimHei"/>
        </w:rPr>
        <w:t>Morice, Ana y Solís Marlen. (1998) Situación de las enfermedades crónicas no transmisibles en Costa Rica. Cartago, Costa Rica: INCIENSA.</w:t>
      </w:r>
    </w:p>
    <w:p w:rsidR="00000000" w:rsidRDefault="00CA422F">
      <w:pPr>
        <w:spacing w:after="240" w:line="360" w:lineRule="atLeast"/>
        <w:rPr>
          <w:rFonts w:eastAsia="SimHei"/>
        </w:rPr>
      </w:pPr>
      <w:r>
        <w:rPr>
          <w:rFonts w:eastAsia="SimHei"/>
        </w:rPr>
        <w:t>N</w:t>
      </w:r>
      <w:r>
        <w:rPr>
          <w:rFonts w:eastAsia="SimHei"/>
        </w:rPr>
        <w:t>aciones Unidas/ Asamblea General. (1994). Convención sobre la eliminación de todas las formas de discriminación contra la mujer. Asamblea General, Centro Nacional para el Desarrollo de la Mujer y la Familia. San José, Costa Rica.</w:t>
      </w:r>
    </w:p>
    <w:p w:rsidR="00000000" w:rsidRDefault="00CA422F">
      <w:pPr>
        <w:spacing w:after="240" w:line="360" w:lineRule="atLeast"/>
        <w:rPr>
          <w:rFonts w:eastAsia="SimHei"/>
        </w:rPr>
      </w:pPr>
      <w:r>
        <w:rPr>
          <w:rFonts w:eastAsia="SimHei"/>
        </w:rPr>
        <w:t>Oficina de la Primera Dama</w:t>
      </w:r>
      <w:r>
        <w:rPr>
          <w:rFonts w:eastAsia="SimHei"/>
        </w:rPr>
        <w:t xml:space="preserve"> (2002). Informe de los programas ejecutados durante 1998-2002. Sin publicar.</w:t>
      </w:r>
    </w:p>
    <w:p w:rsidR="00000000" w:rsidRDefault="00CA422F">
      <w:pPr>
        <w:spacing w:after="240" w:line="360" w:lineRule="atLeast"/>
        <w:rPr>
          <w:rFonts w:eastAsia="SimHei"/>
        </w:rPr>
      </w:pPr>
      <w:r>
        <w:rPr>
          <w:rFonts w:eastAsia="SimHei"/>
        </w:rPr>
        <w:t>Organismo Internacional del Trabajo. (2000). Equidad de Género en el Mundo del Trabajo en América latina y El Caribe. Avances y Desafíos 5 Años después de Beijing. Oficina Region</w:t>
      </w:r>
      <w:r>
        <w:rPr>
          <w:rFonts w:eastAsia="SimHei"/>
        </w:rPr>
        <w:t>al para América Latina y El Caribe. Lima, Perú.</w:t>
      </w:r>
    </w:p>
    <w:p w:rsidR="00000000" w:rsidRDefault="00CA422F">
      <w:pPr>
        <w:spacing w:after="240" w:line="360" w:lineRule="atLeast"/>
        <w:rPr>
          <w:rFonts w:eastAsia="SimHei"/>
        </w:rPr>
      </w:pPr>
      <w:r>
        <w:rPr>
          <w:rFonts w:eastAsia="SimHei"/>
        </w:rPr>
        <w:t>Palma Campos, Claudia. (2001) (a). Concepciones de Salud en un grupo de mujeres con dos enfermedades crónicas, Diabetes e Hipertensión, y la relación con su autocuidado a partir de la construcción de la ident</w:t>
      </w:r>
      <w:r>
        <w:rPr>
          <w:rFonts w:eastAsia="SimHei"/>
        </w:rPr>
        <w:t>idad femenina. Tesis para optar al grado del Licenciada en Antropología Social, Escuela de Antropología y Sociología, Facultad de Ciencias Sociales, Universidad de Costa Rica. San José, Costa Rica.</w:t>
      </w:r>
    </w:p>
    <w:p w:rsidR="00000000" w:rsidRDefault="00CA422F">
      <w:pPr>
        <w:spacing w:after="240" w:line="360" w:lineRule="atLeast"/>
        <w:rPr>
          <w:rFonts w:eastAsia="SimHei"/>
        </w:rPr>
      </w:pPr>
      <w:r>
        <w:rPr>
          <w:rFonts w:eastAsia="SimHei"/>
        </w:rPr>
        <w:t>Palma, Claudia. (2001) (b). “La salud de las Mujeres en Co</w:t>
      </w:r>
      <w:r>
        <w:rPr>
          <w:rFonts w:eastAsia="SimHei"/>
        </w:rPr>
        <w:t>sta Rica: algunos datos y algo más”. Artículo elaborado para el Capítulo Especial, VII Informe del Estado de la Nación sobre el Desarrollo Humano Sostenible 2000. San José, Costa Rica.</w:t>
      </w:r>
    </w:p>
    <w:p w:rsidR="00000000" w:rsidRDefault="00CA422F">
      <w:pPr>
        <w:spacing w:after="240" w:line="360" w:lineRule="atLeast"/>
        <w:rPr>
          <w:rFonts w:eastAsia="SimHei"/>
        </w:rPr>
      </w:pPr>
      <w:r>
        <w:rPr>
          <w:rFonts w:eastAsia="SimHei"/>
        </w:rPr>
        <w:t>Piedra, Evelyn. (2001). El Programa “Creciendo Juntas”: Un Balance desd</w:t>
      </w:r>
      <w:r>
        <w:rPr>
          <w:rFonts w:eastAsia="SimHei"/>
        </w:rPr>
        <w:t>e el INMAU”. INAMU. Área de Ciudadanía Activa, Liderazgo y Gestión Local. San José, Costa Rica.</w:t>
      </w:r>
    </w:p>
    <w:p w:rsidR="00000000" w:rsidRDefault="00CA422F">
      <w:pPr>
        <w:spacing w:after="240" w:line="360" w:lineRule="atLeast"/>
        <w:rPr>
          <w:rFonts w:eastAsia="SimHei"/>
        </w:rPr>
      </w:pPr>
      <w:r>
        <w:rPr>
          <w:rFonts w:eastAsia="SimHei"/>
        </w:rPr>
        <w:t>Poder Judicial. (1991). Anuario de Estadísticas Judiciales. San José, Costa Rica.</w:t>
      </w:r>
    </w:p>
    <w:p w:rsidR="00000000" w:rsidRDefault="00CA422F">
      <w:pPr>
        <w:spacing w:after="240" w:line="360" w:lineRule="atLeast"/>
        <w:rPr>
          <w:rFonts w:eastAsia="SimHei"/>
        </w:rPr>
      </w:pPr>
      <w:r>
        <w:rPr>
          <w:rFonts w:eastAsia="SimHei"/>
        </w:rPr>
        <w:t>Poder Judicial. (1992). Anuario de Estadísticas Judiciales. San José, Costa Ri</w:t>
      </w:r>
      <w:r>
        <w:rPr>
          <w:rFonts w:eastAsia="SimHei"/>
        </w:rPr>
        <w:t>ca.</w:t>
      </w:r>
    </w:p>
    <w:p w:rsidR="00000000" w:rsidRDefault="00CA422F">
      <w:pPr>
        <w:spacing w:after="240" w:line="360" w:lineRule="atLeast"/>
        <w:rPr>
          <w:rFonts w:eastAsia="SimHei"/>
        </w:rPr>
      </w:pPr>
      <w:r>
        <w:rPr>
          <w:rFonts w:eastAsia="SimHei"/>
        </w:rPr>
        <w:t>Poder Judicial. (1993). Anuario de Estadísticas Judiciales. San José, Costa Rica.</w:t>
      </w:r>
    </w:p>
    <w:p w:rsidR="00000000" w:rsidRDefault="00CA422F">
      <w:pPr>
        <w:spacing w:after="240" w:line="360" w:lineRule="atLeast"/>
        <w:rPr>
          <w:rFonts w:eastAsia="SimHei"/>
        </w:rPr>
      </w:pPr>
      <w:r>
        <w:rPr>
          <w:rFonts w:eastAsia="SimHei"/>
        </w:rPr>
        <w:t>Poder Judicial. (1994). Anuario de Estadísticas Judiciales. San José, Costa Rica.</w:t>
      </w:r>
    </w:p>
    <w:p w:rsidR="00000000" w:rsidRDefault="00CA422F">
      <w:pPr>
        <w:spacing w:after="240" w:line="360" w:lineRule="atLeast"/>
        <w:rPr>
          <w:rFonts w:eastAsia="SimHei"/>
        </w:rPr>
      </w:pPr>
      <w:r>
        <w:rPr>
          <w:rFonts w:eastAsia="SimHei"/>
        </w:rPr>
        <w:t>Poder Judicial. (1995). Anuario de Estadísticas Judiciales. San José, Costa Rica.</w:t>
      </w:r>
    </w:p>
    <w:p w:rsidR="00000000" w:rsidRDefault="00CA422F">
      <w:pPr>
        <w:spacing w:after="240" w:line="360" w:lineRule="atLeast"/>
        <w:rPr>
          <w:rFonts w:eastAsia="SimHei"/>
        </w:rPr>
      </w:pPr>
      <w:r>
        <w:rPr>
          <w:rFonts w:eastAsia="SimHei"/>
        </w:rPr>
        <w:t xml:space="preserve">Poder </w:t>
      </w:r>
      <w:r>
        <w:rPr>
          <w:rFonts w:eastAsia="SimHei"/>
        </w:rPr>
        <w:t>Judicial. (1996). Anuario de Estadísticas Judiciales. San José, Costa Rica.</w:t>
      </w:r>
    </w:p>
    <w:p w:rsidR="00000000" w:rsidRDefault="00CA422F">
      <w:pPr>
        <w:spacing w:after="240" w:line="360" w:lineRule="atLeast"/>
        <w:rPr>
          <w:rFonts w:eastAsia="SimHei"/>
        </w:rPr>
      </w:pPr>
      <w:r>
        <w:rPr>
          <w:rFonts w:eastAsia="SimHei"/>
        </w:rPr>
        <w:t>Poder Judicial. (1997). Anuario de Estadísticas Judiciales. San José, Costa Rica.</w:t>
      </w:r>
    </w:p>
    <w:p w:rsidR="00000000" w:rsidRDefault="00CA422F">
      <w:pPr>
        <w:spacing w:after="240" w:line="360" w:lineRule="atLeast"/>
        <w:rPr>
          <w:rFonts w:eastAsia="SimHei"/>
        </w:rPr>
      </w:pPr>
      <w:r>
        <w:rPr>
          <w:rFonts w:eastAsia="SimHei"/>
        </w:rPr>
        <w:t>Poder Judicial. (1998). Anuario de Estadísticas Judiciales. San José, Costa Rica.</w:t>
      </w:r>
    </w:p>
    <w:p w:rsidR="00000000" w:rsidRDefault="00CA422F">
      <w:pPr>
        <w:spacing w:after="240" w:line="360" w:lineRule="atLeast"/>
        <w:rPr>
          <w:rFonts w:eastAsia="SimHei"/>
        </w:rPr>
      </w:pPr>
      <w:r>
        <w:rPr>
          <w:rFonts w:eastAsia="SimHei"/>
        </w:rPr>
        <w:t xml:space="preserve">Poder Judicial. </w:t>
      </w:r>
      <w:r>
        <w:rPr>
          <w:rFonts w:eastAsia="SimHei"/>
        </w:rPr>
        <w:t>(1999) (a). Anuario de Estadísticas Judiciales. San José, Costa Rica.</w:t>
      </w:r>
    </w:p>
    <w:p w:rsidR="00000000" w:rsidRDefault="00CA422F">
      <w:pPr>
        <w:spacing w:after="240" w:line="360" w:lineRule="atLeast"/>
        <w:rPr>
          <w:rFonts w:eastAsia="SimHei"/>
        </w:rPr>
      </w:pPr>
      <w:r>
        <w:rPr>
          <w:rFonts w:eastAsia="SimHei"/>
        </w:rPr>
        <w:t>Poder Judicial. (1991) (b). Análisis Estadístico Sobre las denuncias Presentadas por Violencia Doméstica en Oficinas Judiciales. Inédito. San José, Costa Rica.</w:t>
      </w:r>
    </w:p>
    <w:p w:rsidR="00000000" w:rsidRDefault="00CA422F">
      <w:pPr>
        <w:spacing w:after="240" w:line="360" w:lineRule="atLeast"/>
        <w:rPr>
          <w:rFonts w:eastAsia="SimHei"/>
        </w:rPr>
      </w:pPr>
      <w:r>
        <w:rPr>
          <w:rFonts w:eastAsia="SimHei"/>
        </w:rPr>
        <w:t>Poder Judicial. (1999) (c)</w:t>
      </w:r>
      <w:r>
        <w:rPr>
          <w:rFonts w:eastAsia="SimHei"/>
        </w:rPr>
        <w:t>. “Circular N</w:t>
      </w:r>
      <w:r>
        <w:rPr>
          <w:rFonts w:eastAsia="SimHei" w:hint="eastAsia"/>
          <w:vertAlign w:val="superscript"/>
        </w:rPr>
        <w:t>。</w:t>
      </w:r>
      <w:r>
        <w:rPr>
          <w:rFonts w:eastAsia="SimHei"/>
        </w:rPr>
        <w:t>60-99.” Boletín Judicial. San José, Costa Rica.</w:t>
      </w:r>
    </w:p>
    <w:p w:rsidR="00000000" w:rsidRDefault="00CA422F">
      <w:pPr>
        <w:spacing w:after="240" w:line="360" w:lineRule="atLeast"/>
        <w:rPr>
          <w:rFonts w:eastAsia="SimHei"/>
        </w:rPr>
      </w:pPr>
      <w:r>
        <w:rPr>
          <w:rFonts w:eastAsia="SimHei"/>
        </w:rPr>
        <w:t>Poder Judicial. (2000). “Duración de la Medda Cautelar en violencia Doméstica”. Jurisprudencia, N</w:t>
      </w:r>
      <w:r>
        <w:rPr>
          <w:rFonts w:eastAsia="SimHei" w:hint="eastAsia"/>
          <w:vertAlign w:val="superscript"/>
        </w:rPr>
        <w:t>。</w:t>
      </w:r>
      <w:r>
        <w:rPr>
          <w:rFonts w:eastAsia="SimHei"/>
        </w:rPr>
        <w:t>27. San José, Costa Rica.</w:t>
      </w:r>
    </w:p>
    <w:p w:rsidR="00000000" w:rsidRDefault="00CA422F">
      <w:pPr>
        <w:spacing w:after="240" w:line="360" w:lineRule="atLeast"/>
        <w:rPr>
          <w:rFonts w:eastAsia="SimHei"/>
        </w:rPr>
      </w:pPr>
      <w:r>
        <w:rPr>
          <w:rFonts w:eastAsia="SimHei"/>
        </w:rPr>
        <w:t>Poder Judicial. (2001). Casos Penales Entrados en las Oficinas Judicia</w:t>
      </w:r>
      <w:r>
        <w:rPr>
          <w:rFonts w:eastAsia="SimHei"/>
        </w:rPr>
        <w:t>les (1990-2000). Sección de Estadísticas del Poder Judicial. San José, Costa Rica.</w:t>
      </w:r>
    </w:p>
    <w:p w:rsidR="00000000" w:rsidRDefault="00CA422F">
      <w:pPr>
        <w:spacing w:after="240" w:line="360" w:lineRule="atLeast"/>
        <w:rPr>
          <w:rFonts w:eastAsia="SimHei"/>
        </w:rPr>
      </w:pPr>
      <w:r>
        <w:rPr>
          <w:rFonts w:eastAsia="SimHei" w:hint="eastAsia"/>
        </w:rPr>
        <w:t xml:space="preserve">Poder Judicial. (S. </w:t>
      </w:r>
      <w:r>
        <w:rPr>
          <w:rFonts w:eastAsia="SimHei"/>
        </w:rPr>
        <w:t>f.) (a). Manual de Procedimientos en Violencia Doméstica. San José, Costa Rica.</w:t>
      </w:r>
    </w:p>
    <w:p w:rsidR="00000000" w:rsidRDefault="00CA422F">
      <w:pPr>
        <w:spacing w:after="240" w:line="360" w:lineRule="atLeast"/>
        <w:rPr>
          <w:rFonts w:eastAsia="SimHei"/>
        </w:rPr>
      </w:pPr>
      <w:r>
        <w:rPr>
          <w:rFonts w:eastAsia="SimHei"/>
        </w:rPr>
        <w:t xml:space="preserve">Poder Jodicial. (S. f.) (b). Ley Contra la Violencia Doméstica Anotada y </w:t>
      </w:r>
      <w:r>
        <w:rPr>
          <w:rFonts w:eastAsia="SimHei"/>
        </w:rPr>
        <w:t>Concordada. San José, Costa Rica.</w:t>
      </w:r>
    </w:p>
    <w:p w:rsidR="00000000" w:rsidRDefault="00CA422F">
      <w:pPr>
        <w:spacing w:after="240" w:line="360" w:lineRule="atLeast"/>
        <w:rPr>
          <w:rFonts w:eastAsia="SimHei"/>
        </w:rPr>
      </w:pPr>
      <w:r>
        <w:rPr>
          <w:rFonts w:eastAsia="SimHei"/>
        </w:rPr>
        <w:t>Portafolio de Estudio del Curso Los Derechos Humanos de las Mujeres: Fortaleciendo su promoción protección internacional, IIDH. San José, Costa Rica.</w:t>
      </w:r>
    </w:p>
    <w:p w:rsidR="00000000" w:rsidRDefault="00CA422F">
      <w:pPr>
        <w:spacing w:after="240" w:line="360" w:lineRule="atLeast"/>
        <w:rPr>
          <w:rFonts w:eastAsia="SimHei"/>
        </w:rPr>
      </w:pPr>
      <w:r>
        <w:rPr>
          <w:rFonts w:eastAsia="SimHei"/>
        </w:rPr>
        <w:t>Poveda, Alejandra. (2000). Manifestaciones de Violencia en las Mujeres c</w:t>
      </w:r>
      <w:r>
        <w:rPr>
          <w:rFonts w:eastAsia="SimHei"/>
        </w:rPr>
        <w:t>on Discapacidad. Inédito. San José, Costa Rica.</w:t>
      </w:r>
    </w:p>
    <w:p w:rsidR="00000000" w:rsidRDefault="00CA422F">
      <w:pPr>
        <w:spacing w:after="240" w:line="360" w:lineRule="atLeast"/>
        <w:rPr>
          <w:rFonts w:eastAsia="SimHei"/>
        </w:rPr>
      </w:pPr>
      <w:r>
        <w:rPr>
          <w:rFonts w:eastAsia="SimHei"/>
        </w:rPr>
        <w:t>Preinfalk Fernández, María Luisa (1998). Vivencias y practices sexuales delas mujeres jóvenes: El caso de rincón Grande de Pavas. Tesis de Maestría en Estudios de la Mujer. San José. Costa Rica: Universidad N</w:t>
      </w:r>
      <w:r>
        <w:rPr>
          <w:rFonts w:eastAsia="SimHei"/>
        </w:rPr>
        <w:t>acional y Universidad de Costa Rica.</w:t>
      </w:r>
    </w:p>
    <w:p w:rsidR="00000000" w:rsidRDefault="00CA422F">
      <w:pPr>
        <w:spacing w:after="240" w:line="360" w:lineRule="atLeast"/>
        <w:rPr>
          <w:rFonts w:eastAsia="SimHei"/>
        </w:rPr>
      </w:pPr>
      <w:r>
        <w:rPr>
          <w:rFonts w:eastAsia="SimHei"/>
        </w:rPr>
        <w:t>Programa Regional La Corriente (PRC). (1999). Movimiento de Mujeres en Centroamérica. Managua, Nicaragua.</w:t>
      </w:r>
    </w:p>
    <w:p w:rsidR="00000000" w:rsidRDefault="00CA422F">
      <w:pPr>
        <w:spacing w:after="240" w:line="360" w:lineRule="atLeast"/>
        <w:rPr>
          <w:rFonts w:eastAsia="SimHei"/>
        </w:rPr>
      </w:pPr>
      <w:r>
        <w:rPr>
          <w:rFonts w:eastAsia="SimHei"/>
        </w:rPr>
        <w:t>PRONAMYPE y PROMICRO/OIT (S. f.) “La microempresa en los noventa en Costa Rica”. San José, Costa Rica.</w:t>
      </w:r>
    </w:p>
    <w:p w:rsidR="00000000" w:rsidRDefault="00CA422F">
      <w:pPr>
        <w:spacing w:after="240" w:line="360" w:lineRule="atLeast"/>
        <w:rPr>
          <w:rFonts w:eastAsia="SimHei"/>
        </w:rPr>
      </w:pPr>
      <w:r>
        <w:rPr>
          <w:rFonts w:eastAsia="SimHei"/>
        </w:rPr>
        <w:t>Proyecto E</w:t>
      </w:r>
      <w:r>
        <w:rPr>
          <w:rFonts w:eastAsia="SimHei"/>
        </w:rPr>
        <w:t>stado de la Nación. (1997). III Informe Estado de la Nación en Desarrollo Humano Sostenible(1996). San José, Costa Rica.</w:t>
      </w:r>
    </w:p>
    <w:p w:rsidR="00000000" w:rsidRDefault="00CA422F">
      <w:pPr>
        <w:spacing w:after="240" w:line="360" w:lineRule="atLeast"/>
        <w:rPr>
          <w:rFonts w:eastAsia="SimHei"/>
        </w:rPr>
      </w:pPr>
      <w:r>
        <w:rPr>
          <w:rFonts w:eastAsia="SimHei"/>
        </w:rPr>
        <w:t>Proyecto Estado de la Nación. (1999). V Informe Estado de la Nación en Desarrollo Humano Sostenible (1998). San José, Costa Rica.</w:t>
      </w:r>
    </w:p>
    <w:p w:rsidR="00000000" w:rsidRDefault="00CA422F">
      <w:pPr>
        <w:spacing w:after="240" w:line="360" w:lineRule="atLeast"/>
        <w:rPr>
          <w:rFonts w:eastAsia="SimHei"/>
        </w:rPr>
      </w:pPr>
      <w:r>
        <w:rPr>
          <w:rFonts w:eastAsia="SimHei"/>
        </w:rPr>
        <w:t>Proye</w:t>
      </w:r>
      <w:r>
        <w:rPr>
          <w:rFonts w:eastAsia="SimHei"/>
        </w:rPr>
        <w:t>cto Estado de la Nación. (2000). V Informe Estado de la Nación en Desarrollo Humano Sostenible (1999). San José, Costa Rica.</w:t>
      </w:r>
    </w:p>
    <w:p w:rsidR="00000000" w:rsidRDefault="00CA422F">
      <w:pPr>
        <w:spacing w:after="240" w:line="360" w:lineRule="atLeast"/>
        <w:rPr>
          <w:rFonts w:eastAsia="SimHei"/>
        </w:rPr>
      </w:pPr>
      <w:r>
        <w:rPr>
          <w:rFonts w:eastAsia="SimHei"/>
        </w:rPr>
        <w:t>Proyecto Estado de la Nación. (2001) Estado de la Nación en Desarrollo Humano Sostenible: resumen del sétimo informe 2000. Proyecto</w:t>
      </w:r>
      <w:r>
        <w:rPr>
          <w:rFonts w:eastAsia="SimHei"/>
        </w:rPr>
        <w:t xml:space="preserve"> Estado de la Nación. San José, Costa Rica.</w:t>
      </w:r>
    </w:p>
    <w:p w:rsidR="00000000" w:rsidRDefault="00CA422F">
      <w:pPr>
        <w:spacing w:after="240" w:line="360" w:lineRule="atLeast"/>
        <w:rPr>
          <w:rFonts w:eastAsia="SimHei"/>
        </w:rPr>
      </w:pPr>
      <w:r>
        <w:rPr>
          <w:rFonts w:eastAsia="SimHei"/>
        </w:rPr>
        <w:t>Proyecto Estado de la Nación. (2001) VII Informe Estado de la Nación en Desarrollo Humano Sostenible (2000). San José, Costa Rica.</w:t>
      </w:r>
    </w:p>
    <w:p w:rsidR="00000000" w:rsidRDefault="00CA422F">
      <w:pPr>
        <w:spacing w:after="240" w:line="360" w:lineRule="atLeast"/>
        <w:rPr>
          <w:rFonts w:eastAsia="SimHei"/>
        </w:rPr>
      </w:pPr>
      <w:r>
        <w:rPr>
          <w:rFonts w:eastAsia="SimHei"/>
        </w:rPr>
        <w:t>Proyecto La Sala. (2000) Situación Actual de las Trabajadoras del Sexo en Costa R</w:t>
      </w:r>
      <w:r>
        <w:rPr>
          <w:rFonts w:eastAsia="SimHei"/>
        </w:rPr>
        <w:t>ica En el marco del Proceso Beijing +5. En: FIRE-UNIFEM-HIVOS. La Plataforma de Acción de la IV Conferencia Mundial de la Mujer: una Mirada desde la diversidad en Costa Rica 1999-2000, Iniciativa Raíces de la Diversidad, San José, Costa Rica.</w:t>
      </w:r>
    </w:p>
    <w:p w:rsidR="00000000" w:rsidRDefault="00CA422F">
      <w:pPr>
        <w:spacing w:after="240" w:line="360" w:lineRule="atLeast"/>
        <w:rPr>
          <w:rFonts w:eastAsia="SimHei"/>
        </w:rPr>
      </w:pPr>
      <w:r>
        <w:rPr>
          <w:rFonts w:eastAsia="SimHei"/>
        </w:rPr>
        <w:t>Quirós, Edda.</w:t>
      </w:r>
      <w:r>
        <w:rPr>
          <w:rFonts w:eastAsia="SimHei"/>
        </w:rPr>
        <w:t xml:space="preserve"> (2000). La salud de las mujeres, un derecho humano. Algunos indicadores de la situación y acciones realizadas en Costa Rica. Inédito. San José, Costa Rica.</w:t>
      </w:r>
    </w:p>
    <w:p w:rsidR="00000000" w:rsidRDefault="00CA422F">
      <w:pPr>
        <w:spacing w:after="240" w:line="360" w:lineRule="atLeast"/>
        <w:rPr>
          <w:rFonts w:eastAsia="SimHei"/>
        </w:rPr>
      </w:pPr>
      <w:r>
        <w:rPr>
          <w:rFonts w:eastAsia="SimHei"/>
        </w:rPr>
        <w:t>Ramellini, Teresita. (2000). La Situación de la Violencia de Género Contra las Mujeres en Costa Ric</w:t>
      </w:r>
      <w:r>
        <w:rPr>
          <w:rFonts w:eastAsia="SimHei"/>
        </w:rPr>
        <w:t>a. PNUD. San José, Costa Rica.</w:t>
      </w:r>
    </w:p>
    <w:p w:rsidR="00000000" w:rsidRDefault="00CA422F">
      <w:pPr>
        <w:spacing w:after="240" w:line="360" w:lineRule="atLeast"/>
        <w:rPr>
          <w:rFonts w:eastAsia="SimHei"/>
        </w:rPr>
      </w:pPr>
      <w:r>
        <w:rPr>
          <w:rFonts w:eastAsia="SimHei"/>
        </w:rPr>
        <w:t>Ramos, Pilar. (2001). “Revisión para Costa Rica. Propuesta de indicadores de la CEPAL para el seguimiento de la Plataforma de Acción de Beijing”. Informe Final de la Consultoría, INAMU-PROYECTO ESTADO DE LA NACIÓN-PNUD. San J</w:t>
      </w:r>
      <w:r>
        <w:rPr>
          <w:rFonts w:eastAsia="SimHei"/>
        </w:rPr>
        <w:t>osé, Costa Rica.</w:t>
      </w:r>
    </w:p>
    <w:p w:rsidR="00000000" w:rsidRDefault="00CA422F">
      <w:pPr>
        <w:spacing w:after="240" w:line="360" w:lineRule="atLeast"/>
        <w:rPr>
          <w:rFonts w:eastAsia="SimHei"/>
        </w:rPr>
      </w:pPr>
      <w:r>
        <w:rPr>
          <w:rFonts w:eastAsia="SimHei"/>
        </w:rPr>
        <w:t>Ramos, Pilar. (2002) “Segregación por género en la estructura ocupacional de Costa Rica”, Simposio “Costa Rica a la luz del Censo del 2000, Academia Nacional de Ciencias, CCP, Proyecto Estado de la Nación, INEC. San José, Costa Rica.</w:t>
      </w:r>
    </w:p>
    <w:p w:rsidR="00000000" w:rsidRDefault="00CA422F">
      <w:pPr>
        <w:spacing w:after="240" w:line="360" w:lineRule="atLeast"/>
        <w:rPr>
          <w:rFonts w:eastAsia="SimHei"/>
        </w:rPr>
      </w:pPr>
      <w:r>
        <w:rPr>
          <w:rFonts w:eastAsia="SimHei"/>
        </w:rPr>
        <w:t>Reyes</w:t>
      </w:r>
      <w:r>
        <w:rPr>
          <w:rFonts w:eastAsia="SimHei"/>
        </w:rPr>
        <w:t>, Roxana. (2000). “La Condición de las Lesbianas en costa Rica y la Plataforma de Acción de Beijing”. En La Plataforma de Acción de la IV Conferencia Mundial de la Mujer: Una Mirada Desde la Diversidad en Costa Rica. San José, Costa Rica: UNIFEMHIVOS.</w:t>
      </w:r>
    </w:p>
    <w:p w:rsidR="00000000" w:rsidRDefault="00CA422F">
      <w:pPr>
        <w:spacing w:after="240" w:line="360" w:lineRule="atLeast"/>
        <w:rPr>
          <w:rFonts w:eastAsia="SimHei"/>
        </w:rPr>
      </w:pPr>
      <w:r>
        <w:rPr>
          <w:rFonts w:eastAsia="SimHei"/>
        </w:rPr>
        <w:t>Roja</w:t>
      </w:r>
      <w:r>
        <w:rPr>
          <w:rFonts w:eastAsia="SimHei"/>
        </w:rPr>
        <w:t>s, Analsabel. (1998). Mujer y Salud. INAMU. San José, Costa Rica.</w:t>
      </w:r>
    </w:p>
    <w:p w:rsidR="00000000" w:rsidRDefault="00CA422F">
      <w:pPr>
        <w:spacing w:after="240" w:line="360" w:lineRule="atLeast"/>
        <w:rPr>
          <w:rFonts w:eastAsia="SimHei"/>
        </w:rPr>
      </w:pPr>
      <w:r>
        <w:rPr>
          <w:rFonts w:eastAsia="SimHei"/>
        </w:rPr>
        <w:t>S.C.I. Consultores. (1997). Síntesis gráfica de trabajos sobre la participación de las mujeres en las Organizaciones Sociales, PLN y PUSC. San José, Costa Rica.</w:t>
      </w:r>
    </w:p>
    <w:p w:rsidR="00000000" w:rsidRDefault="00CA422F">
      <w:pPr>
        <w:spacing w:after="240" w:line="360" w:lineRule="atLeast"/>
        <w:rPr>
          <w:rFonts w:eastAsia="SimHei"/>
        </w:rPr>
      </w:pPr>
      <w:r>
        <w:rPr>
          <w:rFonts w:eastAsia="SimHei"/>
        </w:rPr>
        <w:t xml:space="preserve">Sagot, Montserrat y Carcedo. </w:t>
      </w:r>
      <w:r>
        <w:rPr>
          <w:rFonts w:eastAsia="SimHei"/>
        </w:rPr>
        <w:t>Ana (S. f.) “La Invisibilidad de las Niñas y las Adolescentes: Problemas para el Seguimiento de sus Derechos”. Inédito. San José, Costa Rica.</w:t>
      </w:r>
    </w:p>
    <w:p w:rsidR="00000000" w:rsidRDefault="00CA422F">
      <w:pPr>
        <w:spacing w:after="240" w:line="360" w:lineRule="atLeast"/>
        <w:rPr>
          <w:rFonts w:eastAsia="SimHei"/>
        </w:rPr>
      </w:pPr>
      <w:r>
        <w:rPr>
          <w:rFonts w:eastAsia="SimHei"/>
        </w:rPr>
        <w:t>Secretaría Ejecutiva de Planificación Sectorial Agropecuaria-SEPSA. (1999) Politicas Públicas para el desarrollo a</w:t>
      </w:r>
      <w:r>
        <w:rPr>
          <w:rFonts w:eastAsia="SimHei"/>
        </w:rPr>
        <w:t>gropecuario y del medio rural costarricense, Documento Oficial del Gobierno de Costa Rica. San José, Costa Rica.</w:t>
      </w:r>
    </w:p>
    <w:p w:rsidR="00000000" w:rsidRDefault="00CA422F">
      <w:pPr>
        <w:spacing w:after="240" w:line="360" w:lineRule="atLeast"/>
        <w:rPr>
          <w:rFonts w:eastAsia="SimHei"/>
        </w:rPr>
      </w:pPr>
      <w:r>
        <w:rPr>
          <w:rFonts w:eastAsia="SimHei"/>
        </w:rPr>
        <w:t>Solís, Afilia Eva. (2001). Todo lo que tengo que saber como migrante: Guía Informativa para mujeres nicaragüenses en Costa Rica. San José, Cost</w:t>
      </w:r>
      <w:r>
        <w:rPr>
          <w:rFonts w:eastAsia="SimHei"/>
        </w:rPr>
        <w:t>a Rica: Cenderos/ Alforia.</w:t>
      </w:r>
    </w:p>
    <w:p w:rsidR="00000000" w:rsidRDefault="00CA422F">
      <w:pPr>
        <w:spacing w:after="240" w:line="360" w:lineRule="atLeast"/>
        <w:rPr>
          <w:rFonts w:eastAsia="SimHei"/>
        </w:rPr>
      </w:pPr>
      <w:r>
        <w:rPr>
          <w:rFonts w:eastAsia="SimHei"/>
        </w:rPr>
        <w:t>Torres García, Isabel. (2001). La Aplicación de la Cuota Mínima de Participación de las Mujeres: Ficción o Realidad? Un Diagnóstico para Costa Rica.</w:t>
      </w:r>
    </w:p>
    <w:p w:rsidR="00000000" w:rsidRDefault="00CA422F">
      <w:pPr>
        <w:spacing w:after="240" w:line="360" w:lineRule="atLeast"/>
        <w:rPr>
          <w:rFonts w:eastAsia="SimHei"/>
        </w:rPr>
      </w:pPr>
      <w:r>
        <w:rPr>
          <w:rFonts w:eastAsia="SimHei"/>
        </w:rPr>
        <w:t>Treguear, Tatiana y Carro Carmen. (1994). Niñas prostituidas: El caso de Costa R</w:t>
      </w:r>
      <w:r>
        <w:rPr>
          <w:rFonts w:eastAsia="SimHei"/>
        </w:rPr>
        <w:t>ica. UNICEF. San José, Costa Rica.</w:t>
      </w:r>
    </w:p>
    <w:p w:rsidR="00000000" w:rsidRDefault="00CA422F">
      <w:pPr>
        <w:spacing w:after="240" w:line="360" w:lineRule="atLeast"/>
        <w:rPr>
          <w:rFonts w:eastAsia="SimHei"/>
        </w:rPr>
      </w:pPr>
      <w:r>
        <w:rPr>
          <w:rFonts w:eastAsia="SimHei"/>
        </w:rPr>
        <w:t>Treguear, Tatiana y Carro Carmen. (1996). Niñas y adolescentes prostituidas: Silencio social y violación de derechos. UNICEF. San José, Costa Rica.</w:t>
      </w:r>
    </w:p>
    <w:p w:rsidR="00000000" w:rsidRDefault="00CA422F">
      <w:pPr>
        <w:spacing w:after="240" w:line="360" w:lineRule="atLeast"/>
        <w:rPr>
          <w:rFonts w:eastAsia="SimHei"/>
        </w:rPr>
      </w:pPr>
      <w:r>
        <w:rPr>
          <w:rFonts w:eastAsia="SimHei"/>
        </w:rPr>
        <w:t>Trejos, J.D. (2000). La mujer microempresaria en Costa Rica: años 90 PROM</w:t>
      </w:r>
      <w:r>
        <w:rPr>
          <w:rFonts w:eastAsia="SimHei"/>
        </w:rPr>
        <w:t>ICROOIT. San José, Costa Rica.</w:t>
      </w:r>
    </w:p>
    <w:p w:rsidR="00000000" w:rsidRDefault="00CA422F">
      <w:pPr>
        <w:spacing w:after="240" w:line="360" w:lineRule="atLeast"/>
        <w:rPr>
          <w:rFonts w:eastAsia="SimHei"/>
        </w:rPr>
      </w:pPr>
      <w:r>
        <w:rPr>
          <w:rFonts w:eastAsia="SimHei"/>
        </w:rPr>
        <w:t>Tribunal Supremo de Elecciones (2002). Estadísticas electorales. Informe sobre los resultados de las elecciones presidenciales, legislativas y municipals del 4 de febrero de 2002. San José, Costa Rica.</w:t>
      </w:r>
    </w:p>
    <w:p w:rsidR="00000000" w:rsidRDefault="00CA422F">
      <w:pPr>
        <w:spacing w:after="240" w:line="360" w:lineRule="atLeast"/>
        <w:rPr>
          <w:rFonts w:eastAsia="SimHei"/>
        </w:rPr>
      </w:pPr>
      <w:r>
        <w:rPr>
          <w:rFonts w:eastAsia="SimHei"/>
        </w:rPr>
        <w:t>UNICEF. (2001). II Esta</w:t>
      </w:r>
      <w:r>
        <w:rPr>
          <w:rFonts w:eastAsia="SimHei"/>
        </w:rPr>
        <w:t>do de los derechos de la niñez y la adolescencia en Costa Rica. Universidad de Costa Rica. UNICEF. San José, Costa Rica.</w:t>
      </w:r>
    </w:p>
    <w:p w:rsidR="00000000" w:rsidRDefault="00CA422F">
      <w:pPr>
        <w:spacing w:after="240" w:line="360" w:lineRule="atLeast"/>
        <w:rPr>
          <w:rFonts w:eastAsia="SimHei"/>
        </w:rPr>
      </w:pPr>
      <w:r>
        <w:rPr>
          <w:rFonts w:eastAsia="SimHei"/>
        </w:rPr>
        <w:t>UNICEF-UCR-FLACSO. (2000). Estado de los Derechos de la Niñez y la Adolescencia en Costa Rica. San José, Costa Rica.</w:t>
      </w:r>
    </w:p>
    <w:p w:rsidR="00000000" w:rsidRDefault="00CA422F">
      <w:pPr>
        <w:spacing w:after="240" w:line="360" w:lineRule="atLeast"/>
        <w:rPr>
          <w:rFonts w:eastAsia="SimHei"/>
        </w:rPr>
      </w:pPr>
      <w:r>
        <w:rPr>
          <w:rFonts w:eastAsia="SimHei"/>
        </w:rPr>
        <w:t>Universidad de Cos</w:t>
      </w:r>
      <w:r>
        <w:rPr>
          <w:rFonts w:eastAsia="SimHei"/>
        </w:rPr>
        <w:t>ta Rica. (2001). Balance Sobre el Estado de la Equidad de Género en la Universidad de Costa Rica. Rectoría de la Universidad de Costa Rica. San José, Costa Rica.</w:t>
      </w:r>
    </w:p>
    <w:p w:rsidR="00000000" w:rsidRDefault="00CA422F">
      <w:pPr>
        <w:spacing w:after="240" w:line="360" w:lineRule="atLeast"/>
        <w:rPr>
          <w:rFonts w:eastAsia="SimHei"/>
        </w:rPr>
      </w:pPr>
      <w:r>
        <w:rPr>
          <w:rFonts w:eastAsia="SimHei"/>
        </w:rPr>
        <w:t>Valerín, Gloria. (2002). Crónica Legislativa. Ley de Penalización de la Violencia contra las M</w:t>
      </w:r>
      <w:r>
        <w:rPr>
          <w:rFonts w:eastAsia="SimHei"/>
        </w:rPr>
        <w:t>ujeres. San José, Costa Rica.</w:t>
      </w:r>
    </w:p>
    <w:p w:rsidR="00000000" w:rsidRDefault="00CA422F">
      <w:pPr>
        <w:spacing w:after="240" w:line="360" w:lineRule="atLeast"/>
        <w:rPr>
          <w:rFonts w:eastAsia="SimHei"/>
        </w:rPr>
      </w:pPr>
      <w:r>
        <w:rPr>
          <w:rFonts w:eastAsia="SimHei"/>
        </w:rPr>
        <w:t>Villanueva, Zarela y Alexandra Bogantes. (1996). Principio de Igualdad y Jurisprudencia Constitucional. Corte Suprema de Justicia, Poder Judicial. San José, Costa Rica.</w:t>
      </w:r>
    </w:p>
    <w:p w:rsidR="00000000" w:rsidRDefault="00CA422F">
      <w:pPr>
        <w:spacing w:after="240" w:line="360" w:lineRule="atLeast"/>
        <w:rPr>
          <w:rFonts w:eastAsia="SimHei"/>
        </w:rPr>
      </w:pPr>
      <w:r>
        <w:rPr>
          <w:rFonts w:eastAsia="SimHei"/>
        </w:rPr>
        <w:t>Young Kate. (1991). “Reflexiones sobre como enfrentar las</w:t>
      </w:r>
      <w:r>
        <w:rPr>
          <w:rFonts w:eastAsia="SimHei"/>
        </w:rPr>
        <w:t xml:space="preserve"> necesidades de las mujeres”. Una Nueva Lectura: Género en el Desarrollo, Virginia Guzmán y otras (Compiladoras), Entre Mujeres, Ediciones Populares Feministas. Lima, Perú.</w:t>
      </w:r>
    </w:p>
    <w:p w:rsidR="00000000" w:rsidRDefault="00CA422F">
      <w:pPr>
        <w:spacing w:after="240" w:line="360" w:lineRule="atLeast"/>
        <w:rPr>
          <w:rFonts w:eastAsia="SimHei"/>
        </w:rPr>
      </w:pPr>
      <w:r>
        <w:rPr>
          <w:rFonts w:eastAsia="SimHei"/>
        </w:rPr>
        <w:t>Zeledón Fernando. (2000-2002). Elecciones Municipales en Costa Rica: Construcción d</w:t>
      </w:r>
      <w:r>
        <w:rPr>
          <w:rFonts w:eastAsia="SimHei"/>
        </w:rPr>
        <w:t>e una serie estadística: 1953-1998. Proyecto de Investigación. Escuela de Ciencias Políticas. Vicerrectoría de Investigación. Universidad de Costa Rica.</w:t>
      </w:r>
    </w:p>
    <w:p w:rsidR="00000000" w:rsidRDefault="00CA422F">
      <w:pPr>
        <w:spacing w:after="240" w:line="360" w:lineRule="atLeast"/>
        <w:jc w:val="center"/>
        <w:rPr>
          <w:rFonts w:eastAsia="SimHei" w:hint="eastAsia"/>
          <w:sz w:val="24"/>
        </w:rPr>
      </w:pPr>
      <w:r>
        <w:rPr>
          <w:rFonts w:eastAsia="SimHei" w:hint="eastAsia"/>
          <w:sz w:val="24"/>
        </w:rPr>
        <w:t>采访对象</w:t>
      </w:r>
    </w:p>
    <w:p w:rsidR="00000000" w:rsidRDefault="00CA422F">
      <w:pPr>
        <w:spacing w:after="240" w:line="360" w:lineRule="atLeast"/>
        <w:rPr>
          <w:rFonts w:eastAsia="SimHei"/>
        </w:rPr>
      </w:pPr>
      <w:r>
        <w:rPr>
          <w:rFonts w:eastAsia="SimHei"/>
        </w:rPr>
        <w:t>Aragón, Margarita. Especialista en género, adolescencia y migraciones y responsable de la coordina</w:t>
      </w:r>
      <w:r>
        <w:rPr>
          <w:rFonts w:eastAsia="SimHei"/>
        </w:rPr>
        <w:t>ción del componente comunitario del Mudelo de Atención Integral en Salud que se ejecuta en el Hospital Nacional de las Mujeres.</w:t>
      </w:r>
    </w:p>
    <w:p w:rsidR="00000000" w:rsidRDefault="00CA422F">
      <w:pPr>
        <w:spacing w:after="240" w:line="360" w:lineRule="atLeast"/>
        <w:rPr>
          <w:rFonts w:eastAsia="SimHei"/>
        </w:rPr>
      </w:pPr>
      <w:r>
        <w:rPr>
          <w:rFonts w:eastAsia="SimHei"/>
        </w:rPr>
        <w:t>Camacho, Lorena. Coordinadora Area de Identidades y Proyectos de Vida.</w:t>
      </w:r>
    </w:p>
    <w:p w:rsidR="00000000" w:rsidRDefault="00CA422F">
      <w:pPr>
        <w:spacing w:after="240" w:line="360" w:lineRule="atLeast"/>
        <w:rPr>
          <w:rFonts w:eastAsia="SimHei"/>
        </w:rPr>
      </w:pPr>
      <w:r>
        <w:rPr>
          <w:rFonts w:eastAsia="SimHei"/>
        </w:rPr>
        <w:t>Figueroa, Mabel e Ibarra, Marta. Area Gestión de Política</w:t>
      </w:r>
      <w:r>
        <w:rPr>
          <w:rFonts w:eastAsia="SimHei"/>
        </w:rPr>
        <w:t>s Públicas para la Equidad. INAMU.</w:t>
      </w:r>
    </w:p>
    <w:p w:rsidR="00000000" w:rsidRDefault="00CA422F">
      <w:pPr>
        <w:spacing w:after="240" w:line="360" w:lineRule="atLeast"/>
        <w:rPr>
          <w:rFonts w:eastAsia="SimHei"/>
        </w:rPr>
      </w:pPr>
      <w:r>
        <w:rPr>
          <w:rFonts w:eastAsia="SimHei"/>
        </w:rPr>
        <w:t>Flores, Lorena. Ex Corrdinadora Area Construcción de Identidades y Proyectos de Vida. INAMU.</w:t>
      </w:r>
    </w:p>
    <w:p w:rsidR="00000000" w:rsidRDefault="00CA422F">
      <w:pPr>
        <w:spacing w:after="240" w:line="360" w:lineRule="atLeast"/>
        <w:rPr>
          <w:rFonts w:eastAsia="SimHei"/>
        </w:rPr>
      </w:pPr>
      <w:r>
        <w:rPr>
          <w:rFonts w:eastAsia="SimHei"/>
        </w:rPr>
        <w:t>González, Irma. Dirección Técnica INAMU.</w:t>
      </w:r>
    </w:p>
    <w:p w:rsidR="00000000" w:rsidRDefault="00CA422F">
      <w:pPr>
        <w:spacing w:after="240" w:line="360" w:lineRule="atLeast"/>
        <w:rPr>
          <w:rFonts w:eastAsia="SimHei"/>
        </w:rPr>
      </w:pPr>
      <w:r>
        <w:rPr>
          <w:rFonts w:eastAsia="SimHei"/>
        </w:rPr>
        <w:t>González, Mirta. Representante Organizaciones Sociedad Civil ante Junta Directiva del I</w:t>
      </w:r>
      <w:r>
        <w:rPr>
          <w:rFonts w:eastAsia="SimHei"/>
        </w:rPr>
        <w:t>NAMU (2000-2002).</w:t>
      </w:r>
    </w:p>
    <w:p w:rsidR="00000000" w:rsidRDefault="00CA422F">
      <w:pPr>
        <w:spacing w:after="240" w:line="360" w:lineRule="atLeast"/>
        <w:rPr>
          <w:rFonts w:eastAsia="SimHei"/>
        </w:rPr>
      </w:pPr>
      <w:r>
        <w:rPr>
          <w:rFonts w:eastAsia="SimHei"/>
        </w:rPr>
        <w:t>Lara, Silvia. Directora Téconica INAMU (1998-2002).</w:t>
      </w:r>
    </w:p>
    <w:p w:rsidR="00000000" w:rsidRDefault="00CA422F">
      <w:pPr>
        <w:spacing w:after="240" w:line="360" w:lineRule="atLeast"/>
        <w:rPr>
          <w:rFonts w:eastAsia="SimHei"/>
        </w:rPr>
      </w:pPr>
      <w:r>
        <w:rPr>
          <w:rFonts w:eastAsia="SimHei"/>
        </w:rPr>
        <w:t>Maxera, Rita. Especialista en Derecho de Familia, integrante de la Comisión Redactora de la Ley de Paternidad Responsible.</w:t>
      </w:r>
    </w:p>
    <w:p w:rsidR="00000000" w:rsidRDefault="00CA422F">
      <w:pPr>
        <w:spacing w:after="240" w:line="360" w:lineRule="atLeast"/>
        <w:rPr>
          <w:rFonts w:eastAsia="SimHei"/>
        </w:rPr>
      </w:pPr>
      <w:r>
        <w:rPr>
          <w:rFonts w:eastAsia="SimHei"/>
        </w:rPr>
        <w:t>Mora, Alejandra. Defensoría de la Mujer, Defensoría de los Habi</w:t>
      </w:r>
      <w:r>
        <w:rPr>
          <w:rFonts w:eastAsia="SimHei"/>
        </w:rPr>
        <w:t>tantes.</w:t>
      </w:r>
    </w:p>
    <w:p w:rsidR="00000000" w:rsidRDefault="00CA422F">
      <w:pPr>
        <w:spacing w:after="240" w:line="360" w:lineRule="atLeast"/>
        <w:rPr>
          <w:rFonts w:eastAsia="SimHei"/>
        </w:rPr>
      </w:pPr>
      <w:r>
        <w:rPr>
          <w:rFonts w:eastAsia="SimHei"/>
        </w:rPr>
        <w:t>Pérez, Nielsen. Corrdinadora Area Ciudadanía Activa, liderazgo y Gestión local. INAMU.</w:t>
      </w:r>
    </w:p>
    <w:p w:rsidR="00000000" w:rsidRDefault="00CA422F">
      <w:pPr>
        <w:spacing w:after="240" w:line="360" w:lineRule="atLeast"/>
        <w:rPr>
          <w:rFonts w:eastAsia="SimHei"/>
        </w:rPr>
      </w:pPr>
      <w:r>
        <w:rPr>
          <w:rFonts w:eastAsia="SimHei"/>
        </w:rPr>
        <w:t>Ramellini, Teresita. Directora Maestría en Estudios de la Mujer Universidad de Costa Rica-Universidad Nacional. Funcionaria del Area de Violencia de Género del I</w:t>
      </w:r>
      <w:r>
        <w:rPr>
          <w:rFonts w:eastAsia="SimHei"/>
        </w:rPr>
        <w:t>NAMU.</w:t>
      </w:r>
    </w:p>
    <w:p w:rsidR="00000000" w:rsidRDefault="00CA422F">
      <w:pPr>
        <w:spacing w:after="240" w:line="360" w:lineRule="atLeast"/>
        <w:rPr>
          <w:rFonts w:eastAsia="SimHei"/>
        </w:rPr>
      </w:pPr>
      <w:r>
        <w:rPr>
          <w:rFonts w:eastAsia="SimHei"/>
        </w:rPr>
        <w:t>Sagot, Montserrat. Experta en violencia de género. Realizó conjuntamente con ana Carcedo el estudio sobre Femicidio en Costa Rica. Coordinó para la UCR-UNICEF el Proyecto Estado de Situación de los derechos Humanos de las Niñas y las Adolescentes.</w:t>
      </w:r>
    </w:p>
    <w:p w:rsidR="00000000" w:rsidRDefault="00CA422F">
      <w:pPr>
        <w:spacing w:after="240" w:line="360" w:lineRule="atLeast"/>
        <w:rPr>
          <w:rFonts w:eastAsia="SimHei"/>
        </w:rPr>
      </w:pPr>
      <w:r>
        <w:rPr>
          <w:rFonts w:eastAsia="SimHei"/>
        </w:rPr>
        <w:t>So</w:t>
      </w:r>
      <w:r>
        <w:rPr>
          <w:rFonts w:eastAsia="SimHei"/>
        </w:rPr>
        <w:t>to, Tatiana. Abogada. Area Condición Jurídica y prtección de los derechos de las mujeres. INAMU.</w:t>
      </w:r>
    </w:p>
    <w:p w:rsidR="00000000" w:rsidRDefault="00CA422F">
      <w:pPr>
        <w:spacing w:after="240" w:line="360" w:lineRule="atLeast"/>
        <w:rPr>
          <w:rFonts w:eastAsia="SimHei"/>
        </w:rPr>
      </w:pPr>
      <w:r>
        <w:rPr>
          <w:rFonts w:eastAsia="SimHei"/>
        </w:rPr>
        <w:t>Torres, Ana Felicia. Presidenta Foro de Mujeres INAMU (2000-2002).</w:t>
      </w:r>
    </w:p>
    <w:p w:rsidR="00000000" w:rsidRDefault="00CA422F">
      <w:pPr>
        <w:spacing w:after="240" w:line="360" w:lineRule="atLeast"/>
        <w:rPr>
          <w:sz w:val="24"/>
        </w:rPr>
      </w:pPr>
    </w:p>
    <w:p w:rsidR="00000000" w:rsidRDefault="00CA422F">
      <w:pPr>
        <w:spacing w:line="240" w:lineRule="auto"/>
        <w:rPr>
          <w:sz w:val="20"/>
        </w:rPr>
      </w:pPr>
      <w:r>
        <w:rPr>
          <w:noProof/>
          <w:sz w:val="20"/>
        </w:rPr>
        <w:pict>
          <v:line id="_x0000_s1032" style="position:absolute;left:0;text-align:left;z-index:5" from="207.7pt,1.2pt" to="279.7pt,1.2pt" strokeweight=".25pt"/>
        </w:pict>
      </w:r>
    </w:p>
    <w:sectPr w:rsidR="00000000">
      <w:headerReference w:type="even" r:id="rId15"/>
      <w:headerReference w:type="default" r:id="rId16"/>
      <w:footerReference w:type="even" r:id="rId17"/>
      <w:footerReference w:type="default" r:id="rId18"/>
      <w:headerReference w:type="first" r:id="rId19"/>
      <w:footerReference w:type="first" r:id="rId20"/>
      <w:pgSz w:w="12242" w:h="15842" w:code="1"/>
      <w:pgMar w:top="1729" w:right="1247" w:bottom="1814" w:left="1247" w:header="1021"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CA422F">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rPr>
          <w:rFonts w:hint="eastAsia"/>
        </w:rPr>
        <w:t>&lt;&lt;ODS JOB NO&gt;&gt;N0</w:t>
      </w:r>
      <w:r>
        <w:t>330650</w:t>
      </w:r>
      <w:r>
        <w:rPr>
          <w:rFonts w:hint="eastAsia"/>
        </w:rPr>
        <w:t>C&lt;&lt;ODS JOB NO&gt;&gt;</w:t>
      </w:r>
    </w:p>
    <w:p w:rsidR="00000000" w:rsidRDefault="00CA422F">
      <w:pPr>
        <w:pStyle w:val="PlainText"/>
        <w:rPr>
          <w:rFonts w:hint="eastAsia"/>
        </w:rPr>
      </w:pPr>
      <w:r>
        <w:rPr>
          <w:rFonts w:hint="eastAsia"/>
        </w:rPr>
        <w:t>&lt;&lt;ODS DOC SYMBOL1&gt;&gt;CEDAW/C/CRI/4&lt;&lt;ODS DOC SYMBOL1&gt;&gt;</w:t>
      </w:r>
    </w:p>
    <w:p w:rsidR="00000000" w:rsidRDefault="00CA422F">
      <w:pPr>
        <w:pStyle w:val="PlainText"/>
      </w:pPr>
      <w:r>
        <w:rPr>
          <w:rFonts w:hint="eastAsia"/>
        </w:rPr>
        <w:t>&lt;&lt;ODS DOC SYMBOL2&gt;&gt;&lt;&lt;ODS DOC SYMBOL2&gt;&gt;</w:t>
      </w:r>
    </w:p>
    <w:p w:rsidR="00000000" w:rsidRDefault="00CA422F">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422F">
      <w:pPr>
        <w:spacing w:line="240" w:lineRule="auto"/>
      </w:pPr>
      <w:r>
        <w:separator/>
      </w:r>
    </w:p>
  </w:endnote>
  <w:endnote w:type="continuationSeparator" w:id="0">
    <w:p w:rsidR="00000000" w:rsidRDefault="00CA42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22F">
    <w:pPr>
      <w:pStyle w:val="Footer"/>
      <w:framePr w:wrap="around" w:vAnchor="text" w:hAnchor="margin" w:xAlign="outside" w:y="1"/>
      <w:ind w:right="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000000" w:rsidRDefault="00CA422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22F">
    <w:pPr>
      <w:pStyle w:val="Footer"/>
      <w:framePr w:wrap="around" w:vAnchor="text" w:hAnchor="margin" w:xAlign="outside" w:y="1"/>
      <w:ind w:right="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000000" w:rsidRDefault="00CA422F">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22F">
    <w:pPr>
      <w:pStyle w:val="FootnoteText"/>
      <w:spacing w:afterLines="50" w:after="120"/>
      <w:rPr>
        <w:b/>
        <w:bCs/>
        <w:sz w:val="21"/>
      </w:rPr>
    </w:pPr>
    <w:r>
      <w:rPr>
        <w:rFonts w:hint="eastAsia"/>
        <w:sz w:val="21"/>
      </w:rPr>
      <w:t>03-3</w:t>
    </w:r>
    <w:r>
      <w:rPr>
        <w:sz w:val="21"/>
      </w:rPr>
      <w:t>0650 (C)   090703   090703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422F">
      <w:pPr>
        <w:spacing w:line="240" w:lineRule="auto"/>
      </w:pPr>
      <w:r>
        <w:separator/>
      </w:r>
    </w:p>
  </w:footnote>
  <w:footnote w:type="continuationSeparator" w:id="0">
    <w:p w:rsidR="00000000" w:rsidRDefault="00CA422F">
      <w:pPr>
        <w:spacing w:line="240" w:lineRule="auto"/>
      </w:pPr>
      <w:r>
        <w:continuationSeparator/>
      </w:r>
    </w:p>
  </w:footnote>
  <w:footnote w:id="1">
    <w:p w:rsidR="00000000" w:rsidRDefault="00CA422F">
      <w:pPr>
        <w:pStyle w:val="FootnoteText"/>
        <w:rPr>
          <w:rFonts w:eastAsia="SimSun" w:hint="eastAsia"/>
        </w:rPr>
      </w:pPr>
      <w:r>
        <w:rPr>
          <w:rFonts w:eastAsia="SimSun" w:hint="eastAsia"/>
        </w:rPr>
        <w:t xml:space="preserve"> </w:t>
      </w:r>
      <w:r>
        <w:rPr>
          <w:rFonts w:eastAsia="SimSun" w:hint="eastAsia"/>
        </w:rPr>
        <w:tab/>
      </w:r>
      <w:r>
        <w:rPr>
          <w:rFonts w:eastAsia="SimSun" w:hint="eastAsia"/>
        </w:rPr>
        <w:t>本报告未经正式编辑而印发。</w:t>
      </w:r>
    </w:p>
    <w:p w:rsidR="00000000" w:rsidRDefault="00CA422F">
      <w:pPr>
        <w:pStyle w:val="FootnoteText"/>
        <w:rPr>
          <w:rFonts w:eastAsia="SimSun" w:hint="eastAsia"/>
        </w:rPr>
      </w:pPr>
      <w:r>
        <w:rPr>
          <w:rStyle w:val="FootnoteReference"/>
          <w:rFonts w:eastAsia="SimSun"/>
        </w:rPr>
        <w:sym w:font="Symbol" w:char="F02A"/>
      </w:r>
      <w:r>
        <w:rPr>
          <w:rFonts w:eastAsia="SimSun"/>
        </w:rPr>
        <w:t xml:space="preserve"> </w:t>
      </w:r>
      <w:r>
        <w:rPr>
          <w:rFonts w:eastAsia="SimSun"/>
        </w:rPr>
        <w:tab/>
      </w:r>
      <w:r>
        <w:rPr>
          <w:rFonts w:eastAsia="SimSun" w:hint="eastAsia"/>
        </w:rPr>
        <w:t>哥斯达黎加政府提交的第一、第二和第三次合并定期报告，见</w:t>
      </w:r>
      <w:r>
        <w:rPr>
          <w:rFonts w:eastAsia="SimSun" w:hint="eastAsia"/>
        </w:rPr>
        <w:t>CEDAW/C/1-3</w:t>
      </w:r>
      <w:r>
        <w:rPr>
          <w:rFonts w:eastAsia="SimSun" w:hint="eastAsia"/>
        </w:rPr>
        <w:t>。</w:t>
      </w:r>
    </w:p>
  </w:footnote>
  <w:footnote w:id="2">
    <w:p w:rsidR="00000000" w:rsidRDefault="00CA422F">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参加论坛的组织代表有：</w:t>
      </w:r>
      <w:r>
        <w:rPr>
          <w:rFonts w:eastAsia="SimSun" w:hint="eastAsia"/>
        </w:rPr>
        <w:t>Denosotra</w:t>
      </w:r>
      <w:r>
        <w:rPr>
          <w:rFonts w:eastAsia="SimSun" w:hint="eastAsia"/>
          <w:u w:val="wave"/>
        </w:rPr>
        <w:t>s</w:t>
      </w:r>
      <w:r>
        <w:rPr>
          <w:rFonts w:eastAsia="SimSun" w:hint="eastAsia"/>
        </w:rPr>
        <w:t>，妇女劳动与经济发展协会、国家银行工会（</w:t>
      </w:r>
      <w:r>
        <w:rPr>
          <w:rFonts w:eastAsia="SimSun" w:hint="eastAsia"/>
        </w:rPr>
        <w:t>SEAANA</w:t>
      </w:r>
      <w:r>
        <w:rPr>
          <w:rFonts w:eastAsia="SimSun" w:hint="eastAsia"/>
        </w:rPr>
        <w:t>），妇女保健协会（</w:t>
      </w:r>
      <w:r>
        <w:rPr>
          <w:rFonts w:eastAsia="SimSun" w:hint="eastAsia"/>
        </w:rPr>
        <w:t>AMES</w:t>
      </w:r>
      <w:r>
        <w:rPr>
          <w:rFonts w:eastAsia="SimSun" w:hint="eastAsia"/>
        </w:rPr>
        <w:t>）、妇女政治署、</w:t>
      </w:r>
      <w:r>
        <w:rPr>
          <w:rFonts w:eastAsia="SimSun" w:hint="eastAsia"/>
        </w:rPr>
        <w:t>Alforja</w:t>
      </w:r>
      <w:r>
        <w:rPr>
          <w:rFonts w:eastAsia="SimSun" w:hint="eastAsia"/>
        </w:rPr>
        <w:t>研究和出版中心（</w:t>
      </w:r>
      <w:r>
        <w:rPr>
          <w:rFonts w:eastAsia="SimSun" w:hint="eastAsia"/>
        </w:rPr>
        <w:t>CEP</w:t>
      </w:r>
      <w:r>
        <w:rPr>
          <w:rFonts w:eastAsia="SimSun" w:hint="eastAsia"/>
        </w:rPr>
        <w:t>－</w:t>
      </w:r>
      <w:r>
        <w:rPr>
          <w:rFonts w:eastAsia="SimSun" w:hint="eastAsia"/>
        </w:rPr>
        <w:t xml:space="preserve">Alforja </w:t>
      </w:r>
      <w:r>
        <w:rPr>
          <w:rFonts w:eastAsia="SimSun" w:hint="eastAsia"/>
        </w:rPr>
        <w:t>）、拉丁美洲妇女和平联盟（</w:t>
      </w:r>
      <w:r>
        <w:rPr>
          <w:rFonts w:eastAsia="SimSun" w:hint="eastAsia"/>
        </w:rPr>
        <w:t>LIMPAL</w:t>
      </w:r>
      <w:r>
        <w:rPr>
          <w:rFonts w:eastAsia="SimSun" w:hint="eastAsia"/>
        </w:rPr>
        <w:t>）、非洲裔哥斯达黎加妇女中心。还有</w:t>
      </w:r>
      <w:r>
        <w:rPr>
          <w:rFonts w:eastAsia="SimSun" w:hint="eastAsia"/>
        </w:rPr>
        <w:t>2</w:t>
      </w:r>
      <w:r>
        <w:rPr>
          <w:rFonts w:eastAsia="SimSun" w:hint="eastAsia"/>
        </w:rPr>
        <w:t>名妇女以个人身份参加了论坛。国家妇女研究所邀请了</w:t>
      </w:r>
      <w:r>
        <w:rPr>
          <w:rFonts w:eastAsia="SimSun" w:hint="eastAsia"/>
        </w:rPr>
        <w:t>60</w:t>
      </w:r>
      <w:r>
        <w:rPr>
          <w:rFonts w:eastAsia="SimSun" w:hint="eastAsia"/>
        </w:rPr>
        <w:t>多个妇女组织和促进性别平等的社会组织参加咨商论坛，使论坛拥有广泛的代表性</w:t>
      </w:r>
      <w:r>
        <w:rPr>
          <w:rFonts w:eastAsia="SimSun" w:hint="eastAsia"/>
        </w:rPr>
        <w:t>。</w:t>
      </w:r>
    </w:p>
  </w:footnote>
  <w:footnote w:id="3">
    <w:p w:rsidR="00000000" w:rsidRDefault="00CA422F">
      <w:pPr>
        <w:rPr>
          <w:sz w:val="18"/>
        </w:rPr>
      </w:pPr>
      <w:r>
        <w:rPr>
          <w:rStyle w:val="FootnoteReference"/>
          <w:sz w:val="18"/>
        </w:rPr>
        <w:t>2</w:t>
      </w:r>
      <w:r>
        <w:rPr>
          <w:sz w:val="18"/>
        </w:rPr>
        <w:t xml:space="preserve">  </w:t>
      </w:r>
      <w:r>
        <w:rPr>
          <w:rFonts w:hint="eastAsia"/>
          <w:sz w:val="18"/>
        </w:rPr>
        <w:t>有关详细情况见附件</w:t>
      </w:r>
      <w:r>
        <w:rPr>
          <w:rFonts w:hint="eastAsia"/>
          <w:sz w:val="18"/>
        </w:rPr>
        <w:t>1</w:t>
      </w:r>
      <w:r>
        <w:rPr>
          <w:rFonts w:hint="eastAsia"/>
          <w:sz w:val="18"/>
        </w:rPr>
        <w:t>：哥斯达黎加妇女状况与地位指标一览表，</w:t>
      </w:r>
      <w:r>
        <w:rPr>
          <w:rFonts w:hint="eastAsia"/>
          <w:sz w:val="18"/>
        </w:rPr>
        <w:t>1990</w:t>
      </w:r>
      <w:r>
        <w:rPr>
          <w:rFonts w:hint="eastAsia"/>
          <w:sz w:val="18"/>
        </w:rPr>
        <w:t>年至</w:t>
      </w:r>
      <w:r>
        <w:rPr>
          <w:rFonts w:hint="eastAsia"/>
          <w:sz w:val="18"/>
        </w:rPr>
        <w:t>2000</w:t>
      </w:r>
      <w:r>
        <w:rPr>
          <w:rFonts w:hint="eastAsia"/>
          <w:sz w:val="18"/>
        </w:rPr>
        <w:t>年。</w:t>
      </w:r>
    </w:p>
  </w:footnote>
  <w:footnote w:id="4">
    <w:p w:rsidR="00000000" w:rsidRDefault="00CA422F">
      <w:pPr>
        <w:pStyle w:val="FootnoteText"/>
        <w:rPr>
          <w:rFonts w:eastAsia="SimSun"/>
        </w:rPr>
      </w:pPr>
      <w:r>
        <w:rPr>
          <w:rStyle w:val="FootnoteReference"/>
          <w:rFonts w:eastAsia="SimSun"/>
        </w:rPr>
        <w:t>3</w:t>
      </w:r>
      <w:r>
        <w:rPr>
          <w:rFonts w:eastAsia="SimSun"/>
        </w:rPr>
        <w:t xml:space="preserve">  </w:t>
      </w:r>
      <w:r>
        <w:rPr>
          <w:rFonts w:eastAsia="SimSun" w:hint="eastAsia"/>
        </w:rPr>
        <w:t>这是人口普查首次询问和登记居民的民族血统。由于人口普查使用的调查方式无法对某些因素进行监控，可能已经出现了记录不够准确的问题。譬如说，某些美斯蒂索人或者穆拉托人（黑白混血人）不愿意将自己视为土著人或者非洲裔后代，因此，最好慎重地使用和处理这些数据，因为实际数字要高于纠正数值。</w:t>
      </w:r>
    </w:p>
  </w:footnote>
  <w:footnote w:id="5">
    <w:p w:rsidR="00000000" w:rsidRDefault="00CA422F">
      <w:pPr>
        <w:pStyle w:val="FootnoteText"/>
        <w:rPr>
          <w:rFonts w:eastAsia="SimSun"/>
        </w:rPr>
      </w:pPr>
      <w:r>
        <w:rPr>
          <w:rStyle w:val="FootnoteReference"/>
          <w:rFonts w:eastAsia="SimSun"/>
        </w:rPr>
        <w:t>4</w:t>
      </w:r>
      <w:r>
        <w:rPr>
          <w:rFonts w:eastAsia="SimSun"/>
        </w:rPr>
        <w:t xml:space="preserve">  </w:t>
      </w:r>
      <w:r>
        <w:rPr>
          <w:rFonts w:eastAsia="SimSun" w:hint="eastAsia"/>
        </w:rPr>
        <w:t>前一次人口普查是在</w:t>
      </w:r>
      <w:r>
        <w:rPr>
          <w:rFonts w:eastAsia="SimSun" w:hint="eastAsia"/>
        </w:rPr>
        <w:t>1983</w:t>
      </w:r>
      <w:r>
        <w:rPr>
          <w:rFonts w:eastAsia="SimSun" w:hint="eastAsia"/>
        </w:rPr>
        <w:t>年进行的。</w:t>
      </w:r>
    </w:p>
  </w:footnote>
  <w:footnote w:id="6">
    <w:p w:rsidR="00000000" w:rsidRDefault="00CA422F">
      <w:pPr>
        <w:pStyle w:val="FootnoteText"/>
        <w:rPr>
          <w:rFonts w:eastAsia="SimSun"/>
        </w:rPr>
      </w:pPr>
      <w:r>
        <w:rPr>
          <w:rStyle w:val="FootnoteReference"/>
          <w:rFonts w:eastAsia="SimSun"/>
        </w:rPr>
        <w:t>5</w:t>
      </w:r>
      <w:r>
        <w:rPr>
          <w:rFonts w:eastAsia="SimSun"/>
        </w:rPr>
        <w:t xml:space="preserve">  </w:t>
      </w:r>
      <w:r>
        <w:rPr>
          <w:rFonts w:eastAsia="SimSun" w:hint="eastAsia"/>
        </w:rPr>
        <w:t>1988</w:t>
      </w:r>
      <w:r>
        <w:rPr>
          <w:rFonts w:eastAsia="SimSun" w:hint="eastAsia"/>
        </w:rPr>
        <w:t>年，</w:t>
      </w:r>
      <w:r>
        <w:rPr>
          <w:rFonts w:eastAsia="SimSun" w:hint="eastAsia"/>
        </w:rPr>
        <w:t>65</w:t>
      </w:r>
      <w:r>
        <w:rPr>
          <w:rFonts w:eastAsia="SimSun" w:hint="eastAsia"/>
        </w:rPr>
        <w:t>岁及</w:t>
      </w:r>
      <w:r>
        <w:rPr>
          <w:rFonts w:eastAsia="SimSun" w:hint="eastAsia"/>
        </w:rPr>
        <w:t>65</w:t>
      </w:r>
      <w:r>
        <w:rPr>
          <w:rFonts w:eastAsia="SimSun" w:hint="eastAsia"/>
        </w:rPr>
        <w:t>岁以上的老年人占总人口的</w:t>
      </w:r>
      <w:r>
        <w:rPr>
          <w:rFonts w:eastAsia="SimSun" w:hint="eastAsia"/>
        </w:rPr>
        <w:t>4%</w:t>
      </w:r>
      <w:r>
        <w:rPr>
          <w:rFonts w:eastAsia="SimSun" w:hint="eastAsia"/>
        </w:rPr>
        <w:t>。</w:t>
      </w:r>
    </w:p>
  </w:footnote>
  <w:footnote w:id="7">
    <w:p w:rsidR="00000000" w:rsidRDefault="00CA422F">
      <w:pPr>
        <w:pStyle w:val="FootnoteText"/>
        <w:rPr>
          <w:rFonts w:eastAsia="SimSun"/>
        </w:rPr>
      </w:pPr>
      <w:r>
        <w:rPr>
          <w:rStyle w:val="FootnoteReference"/>
          <w:rFonts w:eastAsia="SimSun"/>
        </w:rPr>
        <w:t>6</w:t>
      </w:r>
      <w:r>
        <w:rPr>
          <w:rFonts w:eastAsia="SimSun"/>
        </w:rPr>
        <w:t xml:space="preserve">  </w:t>
      </w:r>
      <w:r>
        <w:rPr>
          <w:rFonts w:eastAsia="SimSun" w:hint="eastAsia"/>
        </w:rPr>
        <w:t>1999</w:t>
      </w:r>
      <w:r>
        <w:rPr>
          <w:rFonts w:eastAsia="SimSun" w:hint="eastAsia"/>
        </w:rPr>
        <w:t>年为哥斯达黎加</w:t>
      </w:r>
      <w:r>
        <w:rPr>
          <w:rFonts w:eastAsia="SimSun" w:hint="eastAsia"/>
        </w:rPr>
        <w:t>大学中美洲居民计划而开展的全国生殖保健统计的调查对象为</w:t>
      </w:r>
      <w:r>
        <w:rPr>
          <w:rFonts w:eastAsia="SimSun" w:hint="eastAsia"/>
        </w:rPr>
        <w:t>1 612</w:t>
      </w:r>
      <w:r>
        <w:rPr>
          <w:rFonts w:eastAsia="SimSun" w:hint="eastAsia"/>
        </w:rPr>
        <w:t>名年龄在</w:t>
      </w:r>
      <w:r>
        <w:rPr>
          <w:rFonts w:eastAsia="SimSun" w:hint="eastAsia"/>
        </w:rPr>
        <w:t>18</w:t>
      </w:r>
      <w:r>
        <w:rPr>
          <w:rFonts w:eastAsia="SimSun" w:hint="eastAsia"/>
        </w:rPr>
        <w:t>至</w:t>
      </w:r>
      <w:r>
        <w:rPr>
          <w:rFonts w:eastAsia="SimSun" w:hint="eastAsia"/>
        </w:rPr>
        <w:t>44</w:t>
      </w:r>
      <w:r>
        <w:rPr>
          <w:rFonts w:eastAsia="SimSun" w:hint="eastAsia"/>
        </w:rPr>
        <w:t>岁之间的妇女，其中</w:t>
      </w:r>
      <w:r>
        <w:rPr>
          <w:rFonts w:eastAsia="SimSun" w:hint="eastAsia"/>
        </w:rPr>
        <w:t>1 029</w:t>
      </w:r>
      <w:r>
        <w:rPr>
          <w:rFonts w:eastAsia="SimSun" w:hint="eastAsia"/>
        </w:rPr>
        <w:t>名女性为哥斯达黎加公民，她们提供的数据可以同</w:t>
      </w:r>
      <w:r>
        <w:rPr>
          <w:rFonts w:eastAsia="SimSun" w:hint="eastAsia"/>
        </w:rPr>
        <w:t>1992</w:t>
      </w:r>
      <w:r>
        <w:rPr>
          <w:rFonts w:eastAsia="SimSun" w:hint="eastAsia"/>
        </w:rPr>
        <w:t>年调查的抽样对象进行比较。</w:t>
      </w:r>
    </w:p>
  </w:footnote>
  <w:footnote w:id="8">
    <w:p w:rsidR="00000000" w:rsidRDefault="00CA422F">
      <w:pPr>
        <w:pStyle w:val="FootnoteText"/>
        <w:rPr>
          <w:rFonts w:eastAsia="SimSun" w:hint="eastAsia"/>
        </w:rPr>
      </w:pPr>
      <w:r>
        <w:rPr>
          <w:rStyle w:val="FootnoteReference"/>
          <w:rFonts w:eastAsia="SimSun"/>
        </w:rPr>
        <w:t>7</w:t>
      </w:r>
      <w:r>
        <w:rPr>
          <w:rFonts w:eastAsia="SimSun"/>
        </w:rPr>
        <w:t xml:space="preserve">  </w:t>
      </w:r>
      <w:r>
        <w:rPr>
          <w:rFonts w:eastAsia="SimSun" w:hint="eastAsia"/>
        </w:rPr>
        <w:t>以千人为单位。</w:t>
      </w:r>
    </w:p>
  </w:footnote>
  <w:footnote w:id="9">
    <w:p w:rsidR="00000000" w:rsidRDefault="00CA422F">
      <w:pPr>
        <w:pStyle w:val="FootnoteText"/>
        <w:rPr>
          <w:rFonts w:eastAsia="SimSun"/>
        </w:rPr>
      </w:pPr>
      <w:r>
        <w:rPr>
          <w:rStyle w:val="FootnoteReference"/>
          <w:rFonts w:eastAsia="SimSun"/>
        </w:rPr>
        <w:t>8</w:t>
      </w:r>
      <w:r>
        <w:rPr>
          <w:rFonts w:eastAsia="SimSun"/>
        </w:rPr>
        <w:t xml:space="preserve">  </w:t>
      </w:r>
      <w:r>
        <w:rPr>
          <w:rFonts w:eastAsia="SimSun" w:hint="eastAsia"/>
        </w:rPr>
        <w:t>修订案通过的条文是：“第</w:t>
      </w:r>
      <w:r>
        <w:rPr>
          <w:rFonts w:eastAsia="SimSun" w:hint="eastAsia"/>
        </w:rPr>
        <w:t>20</w:t>
      </w:r>
      <w:r>
        <w:rPr>
          <w:rFonts w:eastAsia="SimSun" w:hint="eastAsia"/>
        </w:rPr>
        <w:t>条一在共和国中所有人都享有自由，受共和国法律保护的任何人都不得沦为男奴和女奴”。</w:t>
      </w:r>
    </w:p>
  </w:footnote>
  <w:footnote w:id="10">
    <w:p w:rsidR="00000000" w:rsidRDefault="00CA422F">
      <w:pPr>
        <w:pStyle w:val="FootnoteText"/>
        <w:rPr>
          <w:rFonts w:eastAsia="SimSun"/>
        </w:rPr>
      </w:pPr>
      <w:r>
        <w:rPr>
          <w:rStyle w:val="FootnoteReference"/>
          <w:rFonts w:eastAsia="SimSun"/>
        </w:rPr>
        <w:t>9</w:t>
      </w:r>
      <w:r>
        <w:rPr>
          <w:rFonts w:eastAsia="SimSun"/>
        </w:rPr>
        <w:t xml:space="preserve">  </w:t>
      </w:r>
      <w:r>
        <w:rPr>
          <w:rFonts w:eastAsia="SimSun" w:hint="eastAsia"/>
        </w:rPr>
        <w:t>附件</w:t>
      </w:r>
      <w:r>
        <w:rPr>
          <w:rFonts w:eastAsia="SimSun" w:hint="eastAsia"/>
        </w:rPr>
        <w:t>2</w:t>
      </w:r>
      <w:r>
        <w:rPr>
          <w:rFonts w:eastAsia="SimSun" w:hint="eastAsia"/>
        </w:rPr>
        <w:t>表</w:t>
      </w:r>
      <w:r>
        <w:rPr>
          <w:rFonts w:eastAsia="SimSun" w:hint="eastAsia"/>
        </w:rPr>
        <w:t>1</w:t>
      </w:r>
      <w:r>
        <w:rPr>
          <w:rFonts w:eastAsia="SimSun" w:hint="eastAsia"/>
        </w:rPr>
        <w:t>中列举了哥斯达黎加</w:t>
      </w:r>
      <w:r>
        <w:rPr>
          <w:rFonts w:eastAsia="SimSun" w:hint="eastAsia"/>
        </w:rPr>
        <w:t>1951</w:t>
      </w:r>
      <w:r>
        <w:rPr>
          <w:rFonts w:eastAsia="SimSun" w:hint="eastAsia"/>
        </w:rPr>
        <w:t>年至</w:t>
      </w:r>
      <w:r>
        <w:rPr>
          <w:rFonts w:eastAsia="SimSun" w:hint="eastAsia"/>
        </w:rPr>
        <w:t>2002</w:t>
      </w:r>
      <w:r>
        <w:rPr>
          <w:rFonts w:eastAsia="SimSun" w:hint="eastAsia"/>
        </w:rPr>
        <w:t>年间批准的专门保护妇女人权的国际公约。</w:t>
      </w:r>
    </w:p>
  </w:footnote>
  <w:footnote w:id="11">
    <w:p w:rsidR="00000000" w:rsidRDefault="00CA422F">
      <w:pPr>
        <w:pStyle w:val="FootnoteText"/>
        <w:rPr>
          <w:rFonts w:eastAsia="SimSun"/>
        </w:rPr>
      </w:pPr>
      <w:r>
        <w:rPr>
          <w:rStyle w:val="FootnoteReference"/>
          <w:rFonts w:eastAsia="SimSun"/>
        </w:rPr>
        <w:t>10</w:t>
      </w:r>
      <w:r>
        <w:rPr>
          <w:rFonts w:eastAsia="SimSun" w:hint="eastAsia"/>
        </w:rPr>
        <w:t xml:space="preserve"> </w:t>
      </w:r>
      <w:r>
        <w:rPr>
          <w:rFonts w:eastAsia="SimSun" w:hint="eastAsia"/>
        </w:rPr>
        <w:t>详情见附件</w:t>
      </w:r>
      <w:r>
        <w:rPr>
          <w:rFonts w:eastAsia="SimSun" w:hint="eastAsia"/>
        </w:rPr>
        <w:t>3</w:t>
      </w:r>
      <w:r>
        <w:rPr>
          <w:rFonts w:eastAsia="SimSun" w:hint="eastAsia"/>
        </w:rPr>
        <w:t>：国家妇女研究所的任务、目标和权限。</w:t>
      </w:r>
    </w:p>
  </w:footnote>
  <w:footnote w:id="12">
    <w:p w:rsidR="00000000" w:rsidRDefault="00CA422F">
      <w:pPr>
        <w:pStyle w:val="FootnoteText"/>
        <w:rPr>
          <w:rFonts w:eastAsia="SimSun"/>
        </w:rPr>
      </w:pPr>
      <w:r>
        <w:rPr>
          <w:rStyle w:val="FootnoteReference"/>
          <w:rFonts w:eastAsia="SimSun"/>
        </w:rPr>
        <w:t>11</w:t>
      </w:r>
      <w:r>
        <w:rPr>
          <w:rFonts w:eastAsia="SimSun" w:hint="eastAsia"/>
        </w:rPr>
        <w:t xml:space="preserve"> </w:t>
      </w:r>
      <w:r>
        <w:rPr>
          <w:rFonts w:eastAsia="SimSun" w:hint="eastAsia"/>
        </w:rPr>
        <w:t>“爱与青年”方案和“构筑机会</w:t>
      </w:r>
      <w:r>
        <w:rPr>
          <w:rFonts w:eastAsia="SimSun" w:hint="eastAsia"/>
        </w:rPr>
        <w:t>”方案是其中两个有关男童、女童和少年性教育以及全面照顾怀孕女童和少女、女童母亲和少女母亲的方案。</w:t>
      </w:r>
    </w:p>
  </w:footnote>
  <w:footnote w:id="13">
    <w:p w:rsidR="00000000" w:rsidRDefault="00CA422F">
      <w:pPr>
        <w:pStyle w:val="FootnoteText"/>
        <w:rPr>
          <w:rFonts w:eastAsia="SimSun"/>
        </w:rPr>
      </w:pPr>
      <w:r>
        <w:rPr>
          <w:rStyle w:val="FootnoteReference"/>
          <w:rFonts w:eastAsia="SimSun"/>
        </w:rPr>
        <w:t>12</w:t>
      </w:r>
      <w:r>
        <w:rPr>
          <w:rFonts w:eastAsia="SimSun" w:hint="eastAsia"/>
        </w:rPr>
        <w:t xml:space="preserve"> </w:t>
      </w:r>
      <w:r>
        <w:rPr>
          <w:rFonts w:eastAsia="SimSun" w:hint="eastAsia"/>
        </w:rPr>
        <w:t>有关引用文件，见附件</w:t>
      </w:r>
      <w:r>
        <w:rPr>
          <w:rFonts w:eastAsia="SimSun" w:hint="eastAsia"/>
        </w:rPr>
        <w:t>4</w:t>
      </w:r>
      <w:r>
        <w:rPr>
          <w:rFonts w:eastAsia="SimSun" w:hint="eastAsia"/>
        </w:rPr>
        <w:t>。</w:t>
      </w:r>
    </w:p>
  </w:footnote>
  <w:footnote w:id="14">
    <w:p w:rsidR="00000000" w:rsidRDefault="00CA422F">
      <w:pPr>
        <w:pStyle w:val="FootnoteText"/>
        <w:rPr>
          <w:rFonts w:eastAsia="SimSun"/>
        </w:rPr>
      </w:pPr>
      <w:r>
        <w:rPr>
          <w:rStyle w:val="FootnoteReference"/>
          <w:rFonts w:eastAsia="SimSun"/>
        </w:rPr>
        <w:t>13</w:t>
      </w:r>
      <w:r>
        <w:rPr>
          <w:rFonts w:eastAsia="SimSun" w:hint="eastAsia"/>
        </w:rPr>
        <w:t xml:space="preserve"> </w:t>
      </w:r>
      <w:r>
        <w:rPr>
          <w:rFonts w:eastAsia="SimSun" w:hint="eastAsia"/>
        </w:rPr>
        <w:t>在政党内部的领导机构和投票选举过程中，都承认妇女参与的最低额度和其它机制。</w:t>
      </w:r>
    </w:p>
  </w:footnote>
  <w:footnote w:id="15">
    <w:p w:rsidR="00000000" w:rsidRDefault="00CA422F">
      <w:pPr>
        <w:pStyle w:val="FootnoteText"/>
        <w:rPr>
          <w:rFonts w:eastAsia="SimSun"/>
        </w:rPr>
      </w:pPr>
      <w:r>
        <w:rPr>
          <w:rStyle w:val="FootnoteReference"/>
          <w:rFonts w:eastAsia="SimSun"/>
        </w:rPr>
        <w:t>14</w:t>
      </w:r>
      <w:r>
        <w:rPr>
          <w:rFonts w:eastAsia="SimSun" w:hint="eastAsia"/>
        </w:rPr>
        <w:t xml:space="preserve"> </w:t>
      </w:r>
      <w:r>
        <w:rPr>
          <w:rFonts w:eastAsia="SimSun" w:hint="eastAsia"/>
        </w:rPr>
        <w:t>这些机构多为来自圣何塞大都市边缘地带的教育中心中的教学、社工、指导和心理等团体的专业人士组成的跨学科机构，为处于社会危险边缘的学生提供咨询和陪伴服务。</w:t>
      </w:r>
    </w:p>
  </w:footnote>
  <w:footnote w:id="16">
    <w:p w:rsidR="00000000" w:rsidRDefault="00CA422F">
      <w:pPr>
        <w:pStyle w:val="FootnoteText"/>
        <w:rPr>
          <w:rFonts w:eastAsia="SimSun" w:hint="eastAsia"/>
        </w:rPr>
      </w:pPr>
      <w:r>
        <w:rPr>
          <w:rStyle w:val="FootnoteReference"/>
          <w:rFonts w:eastAsia="SimSun"/>
        </w:rPr>
        <w:t>15</w:t>
      </w:r>
      <w:r>
        <w:rPr>
          <w:rFonts w:eastAsia="SimSun"/>
        </w:rPr>
        <w:t xml:space="preserve"> </w:t>
      </w:r>
      <w:r>
        <w:rPr>
          <w:rFonts w:eastAsia="SimSun" w:hint="eastAsia"/>
        </w:rPr>
        <w:t xml:space="preserve"> </w:t>
      </w:r>
      <w:r>
        <w:rPr>
          <w:rFonts w:eastAsia="SimSun" w:hint="eastAsia"/>
        </w:rPr>
        <w:t>修订了《刑法》“性犯罪行为”一章的有关规定，将成年人为与未成年人发生性关系并支付报酬的行为界定为犯罪行为并且根据法律的规定进行惩处。将</w:t>
      </w:r>
      <w:r>
        <w:rPr>
          <w:rFonts w:eastAsia="SimSun" w:hint="eastAsia"/>
        </w:rPr>
        <w:t>利用未成年人从事色情业以及用于色情意图列为败坏未成年人的一种行为。另外，制裁以进行性剥削为目的的贩卖未成年人，以及生产、制作和传播未成年人色情产品的行为。如果某些犯罪行为的对象是未成年人，则要加重对这些行为的制裁力度。尽管如此，《打击对未成年人的色情剥削法》并没有将拥有儿童色情产品列入打击对象。该法也不允许监听电话和扣押此种犯罪行为产生的犯罪收益。在涉及有组织贩卖毒品的案件中，可以采取后一种作法。</w:t>
      </w:r>
    </w:p>
  </w:footnote>
  <w:footnote w:id="17">
    <w:p w:rsidR="00000000" w:rsidRDefault="00CA422F">
      <w:pPr>
        <w:pStyle w:val="FootnoteText"/>
        <w:rPr>
          <w:rFonts w:eastAsia="SimSun" w:hint="eastAsia"/>
        </w:rPr>
      </w:pPr>
      <w:r>
        <w:rPr>
          <w:rStyle w:val="FootnoteReference"/>
          <w:rFonts w:eastAsia="SimSun"/>
        </w:rPr>
        <w:t>16</w:t>
      </w:r>
      <w:r>
        <w:rPr>
          <w:rFonts w:eastAsia="SimSun"/>
        </w:rPr>
        <w:t xml:space="preserve"> </w:t>
      </w:r>
      <w:r>
        <w:rPr>
          <w:rFonts w:eastAsia="SimSun" w:hint="eastAsia"/>
        </w:rPr>
        <w:t>居民保护组织的调查，</w:t>
      </w:r>
      <w:r>
        <w:rPr>
          <w:rFonts w:eastAsia="SimSun" w:hint="eastAsia"/>
        </w:rPr>
        <w:t>2000</w:t>
      </w:r>
      <w:r>
        <w:rPr>
          <w:rFonts w:eastAsia="SimSun" w:hint="eastAsia"/>
        </w:rPr>
        <w:t>年中期。</w:t>
      </w:r>
    </w:p>
  </w:footnote>
  <w:footnote w:id="18">
    <w:p w:rsidR="00000000" w:rsidRDefault="00CA422F">
      <w:pPr>
        <w:pStyle w:val="FootnoteText"/>
        <w:rPr>
          <w:rFonts w:eastAsia="SimSun"/>
        </w:rPr>
      </w:pPr>
      <w:r>
        <w:rPr>
          <w:rStyle w:val="FootnoteReference"/>
          <w:rFonts w:eastAsia="SimSun"/>
        </w:rPr>
        <w:t>17</w:t>
      </w:r>
      <w:r>
        <w:rPr>
          <w:rFonts w:eastAsia="SimSun" w:hint="eastAsia"/>
        </w:rPr>
        <w:t xml:space="preserve"> </w:t>
      </w:r>
      <w:r>
        <w:rPr>
          <w:rFonts w:eastAsia="SimSun" w:hint="eastAsia"/>
        </w:rPr>
        <w:t>国家妇女研究所公民权利、领导地位和地方管理处的调查，</w:t>
      </w:r>
      <w:r>
        <w:rPr>
          <w:rFonts w:eastAsia="SimSun" w:hint="eastAsia"/>
        </w:rPr>
        <w:t>2002</w:t>
      </w:r>
      <w:r>
        <w:rPr>
          <w:rFonts w:eastAsia="SimSun" w:hint="eastAsia"/>
        </w:rPr>
        <w:t>年</w:t>
      </w:r>
      <w:r>
        <w:rPr>
          <w:rFonts w:eastAsia="SimSun" w:hint="eastAsia"/>
        </w:rPr>
        <w:t>7</w:t>
      </w:r>
      <w:r>
        <w:rPr>
          <w:rFonts w:eastAsia="SimSun" w:hint="eastAsia"/>
        </w:rPr>
        <w:t>月。</w:t>
      </w:r>
    </w:p>
  </w:footnote>
  <w:footnote w:id="19">
    <w:p w:rsidR="00000000" w:rsidRDefault="00CA422F">
      <w:pPr>
        <w:pStyle w:val="FootnoteText"/>
        <w:rPr>
          <w:rFonts w:eastAsia="SimSun"/>
        </w:rPr>
      </w:pPr>
      <w:r>
        <w:rPr>
          <w:rStyle w:val="FootnoteReference"/>
          <w:rFonts w:eastAsia="SimSun"/>
        </w:rPr>
        <w:t>18</w:t>
      </w:r>
      <w:r>
        <w:rPr>
          <w:rFonts w:eastAsia="SimSun" w:hint="eastAsia"/>
        </w:rPr>
        <w:t xml:space="preserve"> </w:t>
      </w:r>
      <w:r>
        <w:rPr>
          <w:rFonts w:eastAsia="SimSun" w:hint="eastAsia"/>
        </w:rPr>
        <w:t>例如，女移民的子女在生病时，只有</w:t>
      </w:r>
      <w:r>
        <w:rPr>
          <w:rFonts w:eastAsia="SimSun" w:hint="eastAsia"/>
        </w:rPr>
        <w:t>51.7%</w:t>
      </w:r>
      <w:r>
        <w:rPr>
          <w:rFonts w:eastAsia="SimSun" w:hint="eastAsia"/>
        </w:rPr>
        <w:t>的人能够接受治疗。同样，只有</w:t>
      </w:r>
      <w:r>
        <w:rPr>
          <w:rFonts w:eastAsia="SimSun" w:hint="eastAsia"/>
        </w:rPr>
        <w:t>95</w:t>
      </w:r>
      <w:r>
        <w:rPr>
          <w:rFonts w:eastAsia="SimSun" w:hint="eastAsia"/>
        </w:rPr>
        <w:t>％的孩子接种了结核疫苗，</w:t>
      </w:r>
      <w:r>
        <w:rPr>
          <w:rFonts w:eastAsia="SimSun" w:hint="eastAsia"/>
        </w:rPr>
        <w:t>80%</w:t>
      </w:r>
      <w:r>
        <w:rPr>
          <w:rFonts w:eastAsia="SimSun" w:hint="eastAsia"/>
        </w:rPr>
        <w:t>的孩子接种了小儿麻痹症和百日咳的疫苗，只有</w:t>
      </w:r>
      <w:r>
        <w:rPr>
          <w:rFonts w:eastAsia="SimSun" w:hint="eastAsia"/>
        </w:rPr>
        <w:t>75%</w:t>
      </w:r>
      <w:r>
        <w:rPr>
          <w:rFonts w:eastAsia="SimSun" w:hint="eastAsia"/>
        </w:rPr>
        <w:t>的孩子接种了麻疹疫苗。参见</w:t>
      </w:r>
      <w:r>
        <w:rPr>
          <w:rFonts w:eastAsia="SimSun" w:hint="eastAsia"/>
        </w:rPr>
        <w:t>Chen Mok</w:t>
      </w:r>
      <w:r>
        <w:rPr>
          <w:rFonts w:eastAsia="SimSun" w:hint="eastAsia"/>
        </w:rPr>
        <w:t>、</w:t>
      </w:r>
      <w:r>
        <w:rPr>
          <w:rFonts w:eastAsia="SimSun" w:hint="eastAsia"/>
        </w:rPr>
        <w:t>Mario</w:t>
      </w:r>
      <w:r>
        <w:rPr>
          <w:rFonts w:eastAsia="SimSun" w:hint="eastAsia"/>
        </w:rPr>
        <w:t>等，同上，第</w:t>
      </w:r>
      <w:r>
        <w:rPr>
          <w:rFonts w:eastAsia="SimSun" w:hint="eastAsia"/>
          <w:lang w:val="es-ES"/>
        </w:rPr>
        <w:t>145</w:t>
      </w:r>
      <w:r>
        <w:rPr>
          <w:rFonts w:eastAsia="SimSun" w:hint="eastAsia"/>
        </w:rPr>
        <w:t>及</w:t>
      </w:r>
      <w:r>
        <w:rPr>
          <w:rFonts w:eastAsia="SimSun" w:hint="eastAsia"/>
          <w:lang w:val="es-ES"/>
        </w:rPr>
        <w:t>164</w:t>
      </w:r>
      <w:r>
        <w:rPr>
          <w:rFonts w:eastAsia="SimSun" w:hint="eastAsia"/>
          <w:lang w:val="es-ES"/>
        </w:rPr>
        <w:t>页。</w:t>
      </w:r>
    </w:p>
  </w:footnote>
  <w:footnote w:id="20">
    <w:p w:rsidR="00000000" w:rsidRDefault="00CA422F">
      <w:pPr>
        <w:pStyle w:val="FootnoteText"/>
        <w:rPr>
          <w:rFonts w:eastAsia="SimSun"/>
        </w:rPr>
      </w:pPr>
      <w:r>
        <w:rPr>
          <w:rStyle w:val="FootnoteReference"/>
          <w:rFonts w:eastAsia="SimSun"/>
        </w:rPr>
        <w:t>19</w:t>
      </w:r>
      <w:r>
        <w:rPr>
          <w:rFonts w:eastAsia="SimSun"/>
        </w:rPr>
        <w:t xml:space="preserve"> </w:t>
      </w:r>
      <w:r>
        <w:rPr>
          <w:rFonts w:eastAsia="SimSun" w:hint="eastAsia"/>
        </w:rPr>
        <w:t xml:space="preserve"> 19</w:t>
      </w:r>
      <w:r>
        <w:rPr>
          <w:rFonts w:eastAsia="SimSun" w:hint="eastAsia"/>
          <w:lang w:val="es-ES"/>
        </w:rPr>
        <w:t>98</w:t>
      </w:r>
      <w:r>
        <w:rPr>
          <w:rFonts w:eastAsia="SimSun" w:hint="eastAsia"/>
        </w:rPr>
        <w:t>年在</w:t>
      </w:r>
      <w:r>
        <w:rPr>
          <w:rFonts w:eastAsia="SimSun" w:hint="eastAsia"/>
          <w:lang w:val="es-ES"/>
        </w:rPr>
        <w:t>“</w:t>
      </w:r>
      <w:r>
        <w:rPr>
          <w:rFonts w:eastAsia="SimSun" w:hint="eastAsia"/>
          <w:lang w:val="es-ES"/>
        </w:rPr>
        <w:t>La Carpio</w:t>
      </w:r>
      <w:r>
        <w:rPr>
          <w:rFonts w:eastAsia="SimSun" w:hint="eastAsia"/>
          <w:lang w:val="es-ES"/>
        </w:rPr>
        <w:t>”</w:t>
      </w:r>
      <w:r>
        <w:rPr>
          <w:rFonts w:eastAsia="SimSun" w:hint="eastAsia"/>
        </w:rPr>
        <w:t>开展的一项调查表明</w:t>
      </w:r>
      <w:r>
        <w:rPr>
          <w:rFonts w:eastAsia="SimSun" w:hint="eastAsia"/>
          <w:lang w:val="es-ES"/>
        </w:rPr>
        <w:t>，</w:t>
      </w:r>
      <w:r>
        <w:rPr>
          <w:rFonts w:eastAsia="SimSun" w:hint="eastAsia"/>
        </w:rPr>
        <w:t>作为家庭主妇的尼加拉瓜女移民在这种情况下支付的金额高达</w:t>
      </w:r>
      <w:r>
        <w:rPr>
          <w:rFonts w:eastAsia="SimSun" w:hint="eastAsia"/>
        </w:rPr>
        <w:t>88 000</w:t>
      </w:r>
      <w:r>
        <w:rPr>
          <w:rFonts w:eastAsia="SimSun" w:hint="eastAsia"/>
        </w:rPr>
        <w:t>科朗。</w:t>
      </w:r>
    </w:p>
  </w:footnote>
  <w:footnote w:id="21">
    <w:p w:rsidR="00000000" w:rsidRDefault="00CA422F">
      <w:pPr>
        <w:pStyle w:val="FootnoteText"/>
        <w:rPr>
          <w:rFonts w:eastAsia="SimSun"/>
        </w:rPr>
      </w:pPr>
      <w:r>
        <w:rPr>
          <w:rStyle w:val="FootnoteReference"/>
          <w:rFonts w:eastAsia="SimSun"/>
        </w:rPr>
        <w:t>20</w:t>
      </w:r>
      <w:r>
        <w:rPr>
          <w:rFonts w:eastAsia="SimSun" w:hint="eastAsia"/>
        </w:rPr>
        <w:t xml:space="preserve"> </w:t>
      </w:r>
      <w:r>
        <w:rPr>
          <w:rFonts w:eastAsia="SimSun" w:hint="eastAsia"/>
        </w:rPr>
        <w:t>在两性平等方面，使任何领域的男女人数相近，是短期内无法实现的目标。为进一步靠近这一目标，全世界达成协议，决心确定一个</w:t>
      </w:r>
      <w:r>
        <w:rPr>
          <w:rFonts w:eastAsia="SimSun" w:hint="eastAsia"/>
        </w:rPr>
        <w:t>可以接受的最低额度，即男女双方比例不得高于</w:t>
      </w:r>
      <w:r>
        <w:rPr>
          <w:rFonts w:eastAsia="SimSun" w:hint="eastAsia"/>
        </w:rPr>
        <w:t>60</w:t>
      </w:r>
      <w:r>
        <w:rPr>
          <w:rFonts w:eastAsia="SimSun" w:hint="eastAsia"/>
        </w:rPr>
        <w:t>％也不得低于</w:t>
      </w:r>
      <w:r>
        <w:rPr>
          <w:rFonts w:eastAsia="SimSun" w:hint="eastAsia"/>
        </w:rPr>
        <w:t>40</w:t>
      </w:r>
      <w:r>
        <w:rPr>
          <w:rFonts w:eastAsia="SimSun" w:hint="eastAsia"/>
        </w:rPr>
        <w:t>％。</w:t>
      </w:r>
    </w:p>
  </w:footnote>
  <w:footnote w:id="22">
    <w:p w:rsidR="00000000" w:rsidRDefault="00CA422F">
      <w:pPr>
        <w:pStyle w:val="FootnoteText"/>
        <w:rPr>
          <w:rFonts w:eastAsia="SimSun"/>
        </w:rPr>
      </w:pPr>
      <w:r>
        <w:rPr>
          <w:rStyle w:val="FootnoteReference"/>
          <w:rFonts w:eastAsia="SimSun"/>
        </w:rPr>
        <w:t>21</w:t>
      </w:r>
      <w:r>
        <w:rPr>
          <w:rFonts w:eastAsia="SimSun" w:hint="eastAsia"/>
        </w:rPr>
        <w:t xml:space="preserve"> </w:t>
      </w:r>
      <w:r>
        <w:rPr>
          <w:rFonts w:eastAsia="SimSun" w:hint="eastAsia"/>
        </w:rPr>
        <w:t>一般认为，哥斯达黎加大学共有</w:t>
      </w:r>
      <w:r>
        <w:rPr>
          <w:rFonts w:eastAsia="SimSun" w:hint="eastAsia"/>
        </w:rPr>
        <w:t>43</w:t>
      </w:r>
      <w:r>
        <w:rPr>
          <w:rFonts w:eastAsia="SimSun" w:hint="eastAsia"/>
        </w:rPr>
        <w:t>个院系，医药、牙科、微生物、基础学科和法律等只设专业，并没有成立院系。</w:t>
      </w:r>
    </w:p>
  </w:footnote>
  <w:footnote w:id="23">
    <w:p w:rsidR="00000000" w:rsidRDefault="00CA422F">
      <w:pPr>
        <w:pStyle w:val="FootnoteText"/>
        <w:rPr>
          <w:rFonts w:eastAsia="SimSun"/>
        </w:rPr>
      </w:pPr>
      <w:r>
        <w:rPr>
          <w:rStyle w:val="FootnoteReference"/>
          <w:rFonts w:eastAsia="SimSun"/>
        </w:rPr>
        <w:t>22</w:t>
      </w:r>
      <w:r>
        <w:rPr>
          <w:rFonts w:eastAsia="SimSun" w:hint="eastAsia"/>
        </w:rPr>
        <w:t xml:space="preserve"> </w:t>
      </w:r>
      <w:r>
        <w:rPr>
          <w:rFonts w:eastAsia="SimSun" w:hint="eastAsia"/>
        </w:rPr>
        <w:t>该调查于</w:t>
      </w:r>
      <w:r>
        <w:rPr>
          <w:rFonts w:eastAsia="SimSun" w:hint="eastAsia"/>
        </w:rPr>
        <w:t>1999</w:t>
      </w:r>
      <w:r>
        <w:rPr>
          <w:rFonts w:eastAsia="SimSun" w:hint="eastAsia"/>
        </w:rPr>
        <w:t>年由哥斯达黎加大学中美洲人口计划组织进行，采访了</w:t>
      </w:r>
      <w:r>
        <w:rPr>
          <w:rFonts w:eastAsia="SimSun" w:hint="eastAsia"/>
        </w:rPr>
        <w:t>1 612</w:t>
      </w:r>
      <w:r>
        <w:rPr>
          <w:rFonts w:eastAsia="SimSun" w:hint="eastAsia"/>
        </w:rPr>
        <w:t>名女性，年龄从</w:t>
      </w:r>
      <w:r>
        <w:rPr>
          <w:rFonts w:eastAsia="SimSun" w:hint="eastAsia"/>
        </w:rPr>
        <w:t>18</w:t>
      </w:r>
      <w:r>
        <w:rPr>
          <w:rFonts w:eastAsia="SimSun" w:hint="eastAsia"/>
        </w:rPr>
        <w:t>到</w:t>
      </w:r>
      <w:r>
        <w:rPr>
          <w:rFonts w:eastAsia="SimSun" w:hint="eastAsia"/>
        </w:rPr>
        <w:t>44</w:t>
      </w:r>
      <w:r>
        <w:rPr>
          <w:rFonts w:eastAsia="SimSun" w:hint="eastAsia"/>
        </w:rPr>
        <w:t>岁不等。其中，</w:t>
      </w:r>
      <w:r>
        <w:rPr>
          <w:rFonts w:eastAsia="SimSun" w:hint="eastAsia"/>
        </w:rPr>
        <w:t>1 029</w:t>
      </w:r>
      <w:r>
        <w:rPr>
          <w:rFonts w:eastAsia="SimSun" w:hint="eastAsia"/>
        </w:rPr>
        <w:t>名女性提供了具有全国代表意义的样本，能够同</w:t>
      </w:r>
      <w:r>
        <w:rPr>
          <w:rFonts w:eastAsia="SimSun" w:hint="eastAsia"/>
        </w:rPr>
        <w:t>1992</w:t>
      </w:r>
      <w:r>
        <w:rPr>
          <w:rFonts w:eastAsia="SimSun" w:hint="eastAsia"/>
        </w:rPr>
        <w:t>年采集到的样本进行比较。</w:t>
      </w:r>
    </w:p>
  </w:footnote>
  <w:footnote w:id="24">
    <w:p w:rsidR="00000000" w:rsidRDefault="00CA422F">
      <w:pPr>
        <w:pStyle w:val="FootnoteText"/>
        <w:rPr>
          <w:rFonts w:eastAsia="SimSun"/>
        </w:rPr>
      </w:pPr>
      <w:r>
        <w:rPr>
          <w:rStyle w:val="FootnoteReference"/>
          <w:rFonts w:eastAsia="SimSun"/>
        </w:rPr>
        <w:t>23</w:t>
      </w:r>
      <w:r>
        <w:rPr>
          <w:rFonts w:eastAsia="SimSun" w:hint="eastAsia"/>
        </w:rPr>
        <w:t xml:space="preserve"> </w:t>
      </w:r>
      <w:r>
        <w:rPr>
          <w:rFonts w:eastAsia="SimSun" w:hint="eastAsia"/>
        </w:rPr>
        <w:t>艾滋病病毒携带者。</w:t>
      </w:r>
    </w:p>
  </w:footnote>
  <w:footnote w:id="25">
    <w:p w:rsidR="00000000" w:rsidRDefault="00CA422F">
      <w:pPr>
        <w:pStyle w:val="FootnoteText"/>
        <w:rPr>
          <w:rFonts w:eastAsia="SimSun"/>
        </w:rPr>
      </w:pPr>
      <w:r>
        <w:rPr>
          <w:rStyle w:val="FootnoteReference"/>
          <w:rFonts w:eastAsia="SimSun"/>
        </w:rPr>
        <w:t>24</w:t>
      </w:r>
      <w:r>
        <w:rPr>
          <w:rFonts w:eastAsia="SimSun" w:hint="eastAsia"/>
        </w:rPr>
        <w:t xml:space="preserve"> </w:t>
      </w:r>
      <w:r>
        <w:rPr>
          <w:rFonts w:eastAsia="SimSun" w:hint="eastAsia"/>
        </w:rPr>
        <w:t>如没有特殊标注说明，这一部分的资料均来自</w:t>
      </w:r>
      <w:r>
        <w:rPr>
          <w:rFonts w:eastAsia="SimSun" w:hint="eastAsia"/>
        </w:rPr>
        <w:t>Carcedo</w:t>
      </w:r>
      <w:r>
        <w:rPr>
          <w:rFonts w:eastAsia="SimSun" w:hint="eastAsia"/>
        </w:rPr>
        <w:t>和</w:t>
      </w:r>
      <w:r>
        <w:rPr>
          <w:rFonts w:eastAsia="SimSun" w:hint="eastAsia"/>
        </w:rPr>
        <w:t>Sagot</w:t>
      </w:r>
      <w:r>
        <w:rPr>
          <w:rFonts w:eastAsia="SimSun" w:hint="eastAsia"/>
        </w:rPr>
        <w:t>（</w:t>
      </w:r>
      <w:r>
        <w:rPr>
          <w:rFonts w:eastAsia="SimSun" w:hint="eastAsia"/>
        </w:rPr>
        <w:t>2001</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22F">
    <w:pPr>
      <w:pStyle w:val="Header"/>
      <w:pBdr>
        <w:bottom w:val="none" w:sz="0" w:space="0" w:color="auto"/>
      </w:pBdr>
      <w:tabs>
        <w:tab w:val="clear" w:pos="4320"/>
        <w:tab w:val="center" w:pos="0"/>
      </w:tabs>
      <w:ind w:left="7560" w:hanging="7560"/>
      <w:jc w:val="both"/>
      <w:rPr>
        <w:rFonts w:hint="eastAsia"/>
        <w:b/>
      </w:rPr>
    </w:pPr>
    <w:r>
      <w:rPr>
        <w:rFonts w:hint="eastAsia"/>
        <w:b/>
        <w:bCs/>
      </w:rPr>
      <w:t>CEDAW/</w:t>
    </w:r>
    <w:r>
      <w:rPr>
        <w:b/>
        <w:bCs/>
      </w:rPr>
      <w:t>C</w:t>
    </w:r>
    <w:r>
      <w:rPr>
        <w:rFonts w:hint="eastAsia"/>
        <w:b/>
        <w:bCs/>
      </w:rPr>
      <w:t>/CR</w:t>
    </w:r>
    <w:r>
      <w:rPr>
        <w:b/>
        <w:bCs/>
      </w:rPr>
      <w:t>I/4</w:t>
    </w:r>
  </w:p>
  <w:p w:rsidR="00000000" w:rsidRDefault="00CA422F">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22F">
    <w:pPr>
      <w:pStyle w:val="Header"/>
      <w:pBdr>
        <w:bottom w:val="none" w:sz="0" w:space="0" w:color="auto"/>
      </w:pBdr>
      <w:jc w:val="right"/>
      <w:rPr>
        <w:b/>
        <w:bCs/>
      </w:rPr>
    </w:pPr>
    <w:r>
      <w:rPr>
        <w:rFonts w:hint="eastAsia"/>
        <w:b/>
        <w:bCs/>
      </w:rPr>
      <w:t>CEDAW/</w:t>
    </w:r>
    <w:r>
      <w:rPr>
        <w:b/>
        <w:bCs/>
      </w:rPr>
      <w:t>C</w:t>
    </w:r>
    <w:r>
      <w:rPr>
        <w:rFonts w:hint="eastAsia"/>
        <w:b/>
        <w:bCs/>
      </w:rPr>
      <w:t>/CR</w:t>
    </w:r>
    <w:r>
      <w:rPr>
        <w:b/>
        <w:bCs/>
      </w:rPr>
      <w:t>I/4</w:t>
    </w:r>
  </w:p>
  <w:p w:rsidR="00000000" w:rsidRDefault="00CA422F">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422F">
    <w:pPr>
      <w:pStyle w:val="Header"/>
      <w:pBdr>
        <w:bottom w:val="single" w:sz="4" w:space="1" w:color="auto"/>
      </w:pBdr>
      <w:jc w:val="right"/>
    </w:pPr>
    <w:r>
      <w:rPr>
        <w:rFonts w:hint="eastAsia"/>
        <w:b/>
        <w:bCs/>
        <w:sz w:val="36"/>
      </w:rPr>
      <w:t>CEDAW</w:t>
    </w:r>
    <w:r>
      <w:rPr>
        <w:rFonts w:hint="eastAsia"/>
        <w:sz w:val="21"/>
      </w:rPr>
      <w:t>/</w:t>
    </w:r>
    <w:r>
      <w:rPr>
        <w:sz w:val="21"/>
      </w:rPr>
      <w:t>C</w:t>
    </w:r>
    <w:r>
      <w:rPr>
        <w:rFonts w:hint="eastAsia"/>
        <w:bCs/>
        <w:sz w:val="21"/>
      </w:rPr>
      <w:t>/CR</w:t>
    </w:r>
    <w:r>
      <w:rPr>
        <w:bCs/>
        <w:sz w:val="21"/>
      </w:rPr>
      <w:t>I/4</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0">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6E7903"/>
    <w:multiLevelType w:val="hybridMultilevel"/>
    <w:tmpl w:val="B8CCFC76"/>
    <w:lvl w:ilvl="0" w:tplc="C5E0A39E">
      <w:start w:val="1"/>
      <w:numFmt w:val="decimal"/>
      <w:lvlText w:val="%1）"/>
      <w:lvlJc w:val="left"/>
      <w:pPr>
        <w:tabs>
          <w:tab w:val="num" w:pos="360"/>
        </w:tabs>
        <w:ind w:left="360" w:hanging="360"/>
      </w:pPr>
      <w:rPr>
        <w:rFonts w:hint="eastAsia"/>
      </w:rPr>
    </w:lvl>
    <w:lvl w:ilvl="1" w:tplc="F118B62E">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3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31">
    <w:nsid w:val="026C1D1A"/>
    <w:multiLevelType w:val="hybridMultilevel"/>
    <w:tmpl w:val="A964E9D0"/>
    <w:lvl w:ilvl="0" w:tplc="A3347172">
      <w:start w:val="1"/>
      <w:numFmt w:val="low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4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3">
    <w:nsid w:val="04671807"/>
    <w:multiLevelType w:val="hybridMultilevel"/>
    <w:tmpl w:val="DABAAEC2"/>
    <w:lvl w:ilvl="0" w:tplc="FA006EEC">
      <w:numFmt w:val="bullet"/>
      <w:lvlText w:val=""/>
      <w:lvlJc w:val="left"/>
      <w:pPr>
        <w:tabs>
          <w:tab w:val="num" w:pos="840"/>
        </w:tabs>
        <w:ind w:left="840" w:hanging="360"/>
      </w:pPr>
      <w:rPr>
        <w:rFonts w:ascii="Wingdings" w:eastAsia="SimSun" w:hAnsi="Wingdings"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4">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5">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0">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
    <w:nsid w:val="05472926"/>
    <w:multiLevelType w:val="hybridMultilevel"/>
    <w:tmpl w:val="B1DE1316"/>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2">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54">
    <w:nsid w:val="05AC43C1"/>
    <w:multiLevelType w:val="hybridMultilevel"/>
    <w:tmpl w:val="7A7C6DBE"/>
    <w:lvl w:ilvl="0" w:tplc="4A18CAA4">
      <w:start w:val="250"/>
      <w:numFmt w:val="bullet"/>
      <w:lvlText w:val="●"/>
      <w:lvlJc w:val="left"/>
      <w:pPr>
        <w:tabs>
          <w:tab w:val="num" w:pos="810"/>
        </w:tabs>
        <w:ind w:left="810" w:hanging="39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
    <w:nsid w:val="05CC0CF7"/>
    <w:multiLevelType w:val="hybridMultilevel"/>
    <w:tmpl w:val="23B06FCA"/>
    <w:lvl w:ilvl="0" w:tplc="1EBA4600">
      <w:numFmt w:val="bullet"/>
      <w:lvlText w:val=""/>
      <w:lvlJc w:val="left"/>
      <w:pPr>
        <w:tabs>
          <w:tab w:val="num" w:pos="1080"/>
        </w:tabs>
        <w:ind w:left="10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58">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0">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1">
    <w:nsid w:val="072E18AB"/>
    <w:multiLevelType w:val="hybridMultilevel"/>
    <w:tmpl w:val="1FA41F5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2">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64">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65">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6">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7">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68">
    <w:nsid w:val="082515C6"/>
    <w:multiLevelType w:val="hybridMultilevel"/>
    <w:tmpl w:val="A8CAF6C2"/>
    <w:lvl w:ilvl="0" w:tplc="71B001F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1">
    <w:nsid w:val="08B07103"/>
    <w:multiLevelType w:val="hybridMultilevel"/>
    <w:tmpl w:val="3446C07E"/>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2">
    <w:nsid w:val="08C63841"/>
    <w:multiLevelType w:val="hybridMultilevel"/>
    <w:tmpl w:val="C9263ABA"/>
    <w:lvl w:ilvl="0" w:tplc="FFFFFFFF">
      <w:numFmt w:val="bullet"/>
      <w:lvlText w:val="•"/>
      <w:lvlJc w:val="left"/>
      <w:pPr>
        <w:tabs>
          <w:tab w:val="num" w:pos="361"/>
        </w:tabs>
        <w:ind w:left="361" w:hanging="360"/>
      </w:pPr>
      <w:rPr>
        <w:rFonts w:ascii="Lucida Console" w:eastAsia="SimSun" w:hAnsi="Lucida Console" w:cs="Times New Roman" w:hint="default"/>
        <w:color w:val="auto"/>
      </w:rPr>
    </w:lvl>
    <w:lvl w:ilvl="1" w:tplc="FFFFFFFF" w:tentative="1">
      <w:start w:val="1"/>
      <w:numFmt w:val="bullet"/>
      <w:lvlText w:val=""/>
      <w:lvlJc w:val="left"/>
      <w:pPr>
        <w:tabs>
          <w:tab w:val="num" w:pos="841"/>
        </w:tabs>
        <w:ind w:left="841" w:hanging="420"/>
      </w:pPr>
      <w:rPr>
        <w:rFonts w:ascii="Wingdings" w:hAnsi="Wingdings" w:hint="default"/>
      </w:rPr>
    </w:lvl>
    <w:lvl w:ilvl="2" w:tplc="FFFFFFFF" w:tentative="1">
      <w:start w:val="1"/>
      <w:numFmt w:val="bullet"/>
      <w:lvlText w:val=""/>
      <w:lvlJc w:val="left"/>
      <w:pPr>
        <w:tabs>
          <w:tab w:val="num" w:pos="1261"/>
        </w:tabs>
        <w:ind w:left="1261" w:hanging="420"/>
      </w:pPr>
      <w:rPr>
        <w:rFonts w:ascii="Wingdings" w:hAnsi="Wingdings" w:hint="default"/>
      </w:rPr>
    </w:lvl>
    <w:lvl w:ilvl="3" w:tplc="FFFFFFFF" w:tentative="1">
      <w:start w:val="1"/>
      <w:numFmt w:val="bullet"/>
      <w:lvlText w:val=""/>
      <w:lvlJc w:val="left"/>
      <w:pPr>
        <w:tabs>
          <w:tab w:val="num" w:pos="1681"/>
        </w:tabs>
        <w:ind w:left="1681" w:hanging="420"/>
      </w:pPr>
      <w:rPr>
        <w:rFonts w:ascii="Wingdings" w:hAnsi="Wingdings" w:hint="default"/>
      </w:rPr>
    </w:lvl>
    <w:lvl w:ilvl="4" w:tplc="FFFFFFFF" w:tentative="1">
      <w:start w:val="1"/>
      <w:numFmt w:val="bullet"/>
      <w:lvlText w:val=""/>
      <w:lvlJc w:val="left"/>
      <w:pPr>
        <w:tabs>
          <w:tab w:val="num" w:pos="2101"/>
        </w:tabs>
        <w:ind w:left="2101" w:hanging="420"/>
      </w:pPr>
      <w:rPr>
        <w:rFonts w:ascii="Wingdings" w:hAnsi="Wingdings" w:hint="default"/>
      </w:rPr>
    </w:lvl>
    <w:lvl w:ilvl="5" w:tplc="FFFFFFFF" w:tentative="1">
      <w:start w:val="1"/>
      <w:numFmt w:val="bullet"/>
      <w:lvlText w:val=""/>
      <w:lvlJc w:val="left"/>
      <w:pPr>
        <w:tabs>
          <w:tab w:val="num" w:pos="2521"/>
        </w:tabs>
        <w:ind w:left="2521" w:hanging="420"/>
      </w:pPr>
      <w:rPr>
        <w:rFonts w:ascii="Wingdings" w:hAnsi="Wingdings" w:hint="default"/>
      </w:rPr>
    </w:lvl>
    <w:lvl w:ilvl="6" w:tplc="FFFFFFFF" w:tentative="1">
      <w:start w:val="1"/>
      <w:numFmt w:val="bullet"/>
      <w:lvlText w:val=""/>
      <w:lvlJc w:val="left"/>
      <w:pPr>
        <w:tabs>
          <w:tab w:val="num" w:pos="2941"/>
        </w:tabs>
        <w:ind w:left="2941" w:hanging="420"/>
      </w:pPr>
      <w:rPr>
        <w:rFonts w:ascii="Wingdings" w:hAnsi="Wingdings" w:hint="default"/>
      </w:rPr>
    </w:lvl>
    <w:lvl w:ilvl="7" w:tplc="FFFFFFFF" w:tentative="1">
      <w:start w:val="1"/>
      <w:numFmt w:val="bullet"/>
      <w:lvlText w:val=""/>
      <w:lvlJc w:val="left"/>
      <w:pPr>
        <w:tabs>
          <w:tab w:val="num" w:pos="3361"/>
        </w:tabs>
        <w:ind w:left="3361" w:hanging="420"/>
      </w:pPr>
      <w:rPr>
        <w:rFonts w:ascii="Wingdings" w:hAnsi="Wingdings" w:hint="default"/>
      </w:rPr>
    </w:lvl>
    <w:lvl w:ilvl="8" w:tplc="FFFFFFFF" w:tentative="1">
      <w:start w:val="1"/>
      <w:numFmt w:val="bullet"/>
      <w:lvlText w:val=""/>
      <w:lvlJc w:val="left"/>
      <w:pPr>
        <w:tabs>
          <w:tab w:val="num" w:pos="3781"/>
        </w:tabs>
        <w:ind w:left="3781" w:hanging="420"/>
      </w:pPr>
      <w:rPr>
        <w:rFonts w:ascii="Wingdings" w:hAnsi="Wingdings" w:hint="default"/>
      </w:rPr>
    </w:lvl>
  </w:abstractNum>
  <w:abstractNum w:abstractNumId="73">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6">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8">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9">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0">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1">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2">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5">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6">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7">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88">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89">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90">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3">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94">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95">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97">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98">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0">
    <w:nsid w:val="0C3C7884"/>
    <w:multiLevelType w:val="hybridMultilevel"/>
    <w:tmpl w:val="7036397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0CC92B11"/>
    <w:multiLevelType w:val="hybridMultilevel"/>
    <w:tmpl w:val="AEC0ADD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5">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07">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8">
    <w:nsid w:val="0DD60D9B"/>
    <w:multiLevelType w:val="hybridMultilevel"/>
    <w:tmpl w:val="6248E36A"/>
    <w:lvl w:ilvl="0" w:tplc="A796DA20">
      <w:numFmt w:val="bullet"/>
      <w:lvlText w:val=""/>
      <w:lvlJc w:val="left"/>
      <w:pPr>
        <w:tabs>
          <w:tab w:val="num" w:pos="840"/>
        </w:tabs>
        <w:ind w:left="840" w:hanging="360"/>
      </w:pPr>
      <w:rPr>
        <w:rFonts w:ascii="Wingdings" w:eastAsia="SimSun" w:hAnsi="Wingdings"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09">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11">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1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1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1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1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1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2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2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2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2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27">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2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
    <w:nsid w:val="101F396D"/>
    <w:multiLevelType w:val="hybridMultilevel"/>
    <w:tmpl w:val="7B4210AC"/>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33">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34">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5">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7">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38">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9">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4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3">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44">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48">
    <w:nsid w:val="13D63F5A"/>
    <w:multiLevelType w:val="hybridMultilevel"/>
    <w:tmpl w:val="4872BA52"/>
    <w:lvl w:ilvl="0" w:tplc="C0006C9C">
      <w:start w:val="1"/>
      <w:numFmt w:val="bullet"/>
      <w:lvlText w:val=""/>
      <w:lvlJc w:val="left"/>
      <w:pPr>
        <w:tabs>
          <w:tab w:val="num" w:pos="1275"/>
        </w:tabs>
        <w:ind w:left="1275" w:hanging="420"/>
      </w:pPr>
      <w:rPr>
        <w:rFonts w:ascii="Wingdings 2" w:hAnsi="Wingdings 2"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49">
    <w:nsid w:val="13E01DA8"/>
    <w:multiLevelType w:val="singleLevel"/>
    <w:tmpl w:val="E828054E"/>
    <w:lvl w:ilvl="0">
      <w:start w:val="1"/>
      <w:numFmt w:val="lowerRoman"/>
      <w:lvlText w:val="（%1）"/>
      <w:lvlJc w:val="left"/>
      <w:pPr>
        <w:tabs>
          <w:tab w:val="num" w:pos="526"/>
        </w:tabs>
        <w:ind w:left="526" w:hanging="525"/>
      </w:pPr>
      <w:rPr>
        <w:rFonts w:hint="eastAsia"/>
      </w:rPr>
    </w:lvl>
  </w:abstractNum>
  <w:abstractNum w:abstractNumId="150">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1">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53">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5">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56">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5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58">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60">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61">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62">
    <w:nsid w:val="16114B1F"/>
    <w:multiLevelType w:val="hybridMultilevel"/>
    <w:tmpl w:val="5186F0BA"/>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4">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5">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6">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8">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69">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1">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2">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73">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4">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5">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76">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7">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8">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9">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0">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81">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2">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3">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184">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8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186">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88">
    <w:nsid w:val="1A4A2F7A"/>
    <w:multiLevelType w:val="hybridMultilevel"/>
    <w:tmpl w:val="D90AD926"/>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90">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1">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93">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4">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96">
    <w:nsid w:val="1B9C6CF9"/>
    <w:multiLevelType w:val="hybridMultilevel"/>
    <w:tmpl w:val="CA2A3382"/>
    <w:lvl w:ilvl="0" w:tplc="77B6070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8">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0">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01">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02">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204">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5">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07">
    <w:nsid w:val="1C872D37"/>
    <w:multiLevelType w:val="hybridMultilevel"/>
    <w:tmpl w:val="DDD0FEB4"/>
    <w:lvl w:ilvl="0" w:tplc="078CFC1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0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11">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2">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3">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5">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7">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8">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9">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25">
    <w:nsid w:val="1F1D6223"/>
    <w:multiLevelType w:val="hybridMultilevel"/>
    <w:tmpl w:val="AC724560"/>
    <w:lvl w:ilvl="0" w:tplc="954C03F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28">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31">
    <w:nsid w:val="1F6F16E1"/>
    <w:multiLevelType w:val="hybridMultilevel"/>
    <w:tmpl w:val="A21C9294"/>
    <w:lvl w:ilvl="0" w:tplc="7AB27D34">
      <w:start w:val="1"/>
      <w:numFmt w:val="decimal"/>
      <w:lvlText w:val="%1）"/>
      <w:lvlJc w:val="left"/>
      <w:pPr>
        <w:tabs>
          <w:tab w:val="num" w:pos="763"/>
        </w:tabs>
        <w:ind w:left="763" w:hanging="360"/>
      </w:pPr>
      <w:rPr>
        <w:rFonts w:hint="eastAsia"/>
      </w:rPr>
    </w:lvl>
    <w:lvl w:ilvl="1" w:tplc="04090019" w:tentative="1">
      <w:start w:val="1"/>
      <w:numFmt w:val="lowerLetter"/>
      <w:lvlText w:val="%2)"/>
      <w:lvlJc w:val="left"/>
      <w:pPr>
        <w:tabs>
          <w:tab w:val="num" w:pos="1243"/>
        </w:tabs>
        <w:ind w:left="1243" w:hanging="420"/>
      </w:pPr>
    </w:lvl>
    <w:lvl w:ilvl="2" w:tplc="0409001B" w:tentative="1">
      <w:start w:val="1"/>
      <w:numFmt w:val="lowerRoman"/>
      <w:lvlText w:val="%3."/>
      <w:lvlJc w:val="right"/>
      <w:pPr>
        <w:tabs>
          <w:tab w:val="num" w:pos="1663"/>
        </w:tabs>
        <w:ind w:left="1663" w:hanging="420"/>
      </w:pPr>
    </w:lvl>
    <w:lvl w:ilvl="3" w:tplc="0409000F" w:tentative="1">
      <w:start w:val="1"/>
      <w:numFmt w:val="decimal"/>
      <w:lvlText w:val="%4."/>
      <w:lvlJc w:val="left"/>
      <w:pPr>
        <w:tabs>
          <w:tab w:val="num" w:pos="2083"/>
        </w:tabs>
        <w:ind w:left="2083" w:hanging="420"/>
      </w:pPr>
    </w:lvl>
    <w:lvl w:ilvl="4" w:tplc="04090019" w:tentative="1">
      <w:start w:val="1"/>
      <w:numFmt w:val="lowerLetter"/>
      <w:lvlText w:val="%5)"/>
      <w:lvlJc w:val="left"/>
      <w:pPr>
        <w:tabs>
          <w:tab w:val="num" w:pos="2503"/>
        </w:tabs>
        <w:ind w:left="2503" w:hanging="420"/>
      </w:pPr>
    </w:lvl>
    <w:lvl w:ilvl="5" w:tplc="0409001B" w:tentative="1">
      <w:start w:val="1"/>
      <w:numFmt w:val="lowerRoman"/>
      <w:lvlText w:val="%6."/>
      <w:lvlJc w:val="right"/>
      <w:pPr>
        <w:tabs>
          <w:tab w:val="num" w:pos="2923"/>
        </w:tabs>
        <w:ind w:left="2923" w:hanging="420"/>
      </w:pPr>
    </w:lvl>
    <w:lvl w:ilvl="6" w:tplc="0409000F" w:tentative="1">
      <w:start w:val="1"/>
      <w:numFmt w:val="decimal"/>
      <w:lvlText w:val="%7."/>
      <w:lvlJc w:val="left"/>
      <w:pPr>
        <w:tabs>
          <w:tab w:val="num" w:pos="3343"/>
        </w:tabs>
        <w:ind w:left="3343" w:hanging="420"/>
      </w:pPr>
    </w:lvl>
    <w:lvl w:ilvl="7" w:tplc="04090019" w:tentative="1">
      <w:start w:val="1"/>
      <w:numFmt w:val="lowerLetter"/>
      <w:lvlText w:val="%8)"/>
      <w:lvlJc w:val="left"/>
      <w:pPr>
        <w:tabs>
          <w:tab w:val="num" w:pos="3763"/>
        </w:tabs>
        <w:ind w:left="3763" w:hanging="420"/>
      </w:pPr>
    </w:lvl>
    <w:lvl w:ilvl="8" w:tplc="0409001B" w:tentative="1">
      <w:start w:val="1"/>
      <w:numFmt w:val="lowerRoman"/>
      <w:lvlText w:val="%9."/>
      <w:lvlJc w:val="right"/>
      <w:pPr>
        <w:tabs>
          <w:tab w:val="num" w:pos="4183"/>
        </w:tabs>
        <w:ind w:left="4183" w:hanging="420"/>
      </w:pPr>
    </w:lvl>
  </w:abstractNum>
  <w:abstractNum w:abstractNumId="232">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33">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1FF93F39"/>
    <w:multiLevelType w:val="hybridMultilevel"/>
    <w:tmpl w:val="1E38D506"/>
    <w:lvl w:ilvl="0" w:tplc="B7CCAC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6">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37">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38">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3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0">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41">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2">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3">
    <w:nsid w:val="20FE6015"/>
    <w:multiLevelType w:val="singleLevel"/>
    <w:tmpl w:val="0409000F"/>
    <w:lvl w:ilvl="0">
      <w:start w:val="1"/>
      <w:numFmt w:val="decimal"/>
      <w:lvlText w:val="%1."/>
      <w:lvlJc w:val="left"/>
      <w:pPr>
        <w:tabs>
          <w:tab w:val="num" w:pos="425"/>
        </w:tabs>
        <w:ind w:left="425" w:hanging="425"/>
      </w:pPr>
    </w:lvl>
  </w:abstractNum>
  <w:abstractNum w:abstractNumId="244">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46">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4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8">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50">
    <w:nsid w:val="22A53C78"/>
    <w:multiLevelType w:val="hybridMultilevel"/>
    <w:tmpl w:val="0D9680CE"/>
    <w:lvl w:ilvl="0" w:tplc="1EBA4600">
      <w:numFmt w:val="bullet"/>
      <w:lvlText w:val=""/>
      <w:lvlJc w:val="left"/>
      <w:pPr>
        <w:tabs>
          <w:tab w:val="num" w:pos="1080"/>
        </w:tabs>
        <w:ind w:left="1080" w:hanging="360"/>
      </w:pPr>
      <w:rPr>
        <w:rFonts w:ascii="Symbol" w:eastAsia="SimSun" w:hAnsi="Symbol"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251">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52">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3">
    <w:nsid w:val="238A1AA5"/>
    <w:multiLevelType w:val="hybridMultilevel"/>
    <w:tmpl w:val="64906188"/>
    <w:lvl w:ilvl="0" w:tplc="AE30EE58">
      <w:numFmt w:val="bullet"/>
      <w:lvlText w:val=""/>
      <w:lvlJc w:val="left"/>
      <w:pPr>
        <w:tabs>
          <w:tab w:val="num" w:pos="840"/>
        </w:tabs>
        <w:ind w:left="840" w:hanging="360"/>
      </w:pPr>
      <w:rPr>
        <w:rFonts w:ascii="Wingdings" w:eastAsia="SimSun" w:hAnsi="Wingdings"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54">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55">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56">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8">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59">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0">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63">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6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66">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6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6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69">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70">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1">
    <w:nsid w:val="26BD6503"/>
    <w:multiLevelType w:val="hybridMultilevel"/>
    <w:tmpl w:val="4872BA52"/>
    <w:lvl w:ilvl="0" w:tplc="C0006C9C">
      <w:start w:val="1"/>
      <w:numFmt w:val="bullet"/>
      <w:lvlText w:val=""/>
      <w:lvlJc w:val="left"/>
      <w:pPr>
        <w:tabs>
          <w:tab w:val="num" w:pos="1275"/>
        </w:tabs>
        <w:ind w:left="1275" w:hanging="420"/>
      </w:pPr>
      <w:rPr>
        <w:rFonts w:ascii="Wingdings 2" w:hAnsi="Wingdings 2"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C0006C9C">
      <w:start w:val="1"/>
      <w:numFmt w:val="bullet"/>
      <w:lvlText w:val=""/>
      <w:lvlJc w:val="left"/>
      <w:pPr>
        <w:tabs>
          <w:tab w:val="num" w:pos="1260"/>
        </w:tabs>
        <w:ind w:left="1260" w:hanging="420"/>
      </w:pPr>
      <w:rPr>
        <w:rFonts w:ascii="Wingdings 2" w:hAnsi="Wingdings 2"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72">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73">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4">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5">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76">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278">
    <w:nsid w:val="27534A4E"/>
    <w:multiLevelType w:val="hybridMultilevel"/>
    <w:tmpl w:val="439C456A"/>
    <w:lvl w:ilvl="0" w:tplc="7EA60B28">
      <w:numFmt w:val="bullet"/>
      <w:lvlText w:val=""/>
      <w:lvlJc w:val="left"/>
      <w:pPr>
        <w:tabs>
          <w:tab w:val="num" w:pos="720"/>
        </w:tabs>
        <w:ind w:left="72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9">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0">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1">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2">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83">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4">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5">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7">
    <w:nsid w:val="27FB0A20"/>
    <w:multiLevelType w:val="singleLevel"/>
    <w:tmpl w:val="389E55FA"/>
    <w:lvl w:ilvl="0">
      <w:numFmt w:val="bullet"/>
      <w:lvlText w:val="-"/>
      <w:lvlJc w:val="left"/>
      <w:pPr>
        <w:tabs>
          <w:tab w:val="num" w:pos="780"/>
        </w:tabs>
        <w:ind w:left="780" w:hanging="360"/>
      </w:pPr>
      <w:rPr>
        <w:rFonts w:hint="eastAsia"/>
      </w:rPr>
    </w:lvl>
  </w:abstractNum>
  <w:abstractNum w:abstractNumId="288">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90">
    <w:nsid w:val="28C00C22"/>
    <w:multiLevelType w:val="hybridMultilevel"/>
    <w:tmpl w:val="EEF0FB98"/>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91">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292">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4">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96">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7">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298">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9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0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02">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03">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4">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0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0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07">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0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0">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11">
    <w:nsid w:val="2C283E39"/>
    <w:multiLevelType w:val="hybridMultilevel"/>
    <w:tmpl w:val="A1388CF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1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2D473A46"/>
    <w:multiLevelType w:val="hybridMultilevel"/>
    <w:tmpl w:val="79C4CC70"/>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16">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7">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18">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1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2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2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23">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2EB7656F"/>
    <w:multiLevelType w:val="hybridMultilevel"/>
    <w:tmpl w:val="5CB4F10E"/>
    <w:lvl w:ilvl="0" w:tplc="3460A2D6">
      <w:start w:val="1"/>
      <w:numFmt w:val="lowerRoman"/>
      <w:lvlText w:val="%1."/>
      <w:lvlJc w:val="left"/>
      <w:pPr>
        <w:tabs>
          <w:tab w:val="num" w:pos="1317"/>
        </w:tabs>
        <w:ind w:left="1317" w:hanging="795"/>
      </w:pPr>
      <w:rPr>
        <w:rFonts w:hint="eastAsia"/>
      </w:rPr>
    </w:lvl>
    <w:lvl w:ilvl="1" w:tplc="04090019" w:tentative="1">
      <w:start w:val="1"/>
      <w:numFmt w:val="lowerLetter"/>
      <w:lvlText w:val="%2)"/>
      <w:lvlJc w:val="left"/>
      <w:pPr>
        <w:tabs>
          <w:tab w:val="num" w:pos="1362"/>
        </w:tabs>
        <w:ind w:left="1362" w:hanging="420"/>
      </w:pPr>
    </w:lvl>
    <w:lvl w:ilvl="2" w:tplc="0409001B" w:tentative="1">
      <w:start w:val="1"/>
      <w:numFmt w:val="lowerRoman"/>
      <w:lvlText w:val="%3."/>
      <w:lvlJc w:val="right"/>
      <w:pPr>
        <w:tabs>
          <w:tab w:val="num" w:pos="1782"/>
        </w:tabs>
        <w:ind w:left="1782" w:hanging="420"/>
      </w:pPr>
    </w:lvl>
    <w:lvl w:ilvl="3" w:tplc="0409000F" w:tentative="1">
      <w:start w:val="1"/>
      <w:numFmt w:val="decimal"/>
      <w:lvlText w:val="%4."/>
      <w:lvlJc w:val="left"/>
      <w:pPr>
        <w:tabs>
          <w:tab w:val="num" w:pos="2202"/>
        </w:tabs>
        <w:ind w:left="2202" w:hanging="420"/>
      </w:pPr>
    </w:lvl>
    <w:lvl w:ilvl="4" w:tplc="04090019" w:tentative="1">
      <w:start w:val="1"/>
      <w:numFmt w:val="lowerLetter"/>
      <w:lvlText w:val="%5)"/>
      <w:lvlJc w:val="left"/>
      <w:pPr>
        <w:tabs>
          <w:tab w:val="num" w:pos="2622"/>
        </w:tabs>
        <w:ind w:left="2622" w:hanging="420"/>
      </w:pPr>
    </w:lvl>
    <w:lvl w:ilvl="5" w:tplc="0409001B" w:tentative="1">
      <w:start w:val="1"/>
      <w:numFmt w:val="lowerRoman"/>
      <w:lvlText w:val="%6."/>
      <w:lvlJc w:val="right"/>
      <w:pPr>
        <w:tabs>
          <w:tab w:val="num" w:pos="3042"/>
        </w:tabs>
        <w:ind w:left="3042" w:hanging="420"/>
      </w:pPr>
    </w:lvl>
    <w:lvl w:ilvl="6" w:tplc="0409000F" w:tentative="1">
      <w:start w:val="1"/>
      <w:numFmt w:val="decimal"/>
      <w:lvlText w:val="%7."/>
      <w:lvlJc w:val="left"/>
      <w:pPr>
        <w:tabs>
          <w:tab w:val="num" w:pos="3462"/>
        </w:tabs>
        <w:ind w:left="3462" w:hanging="420"/>
      </w:pPr>
    </w:lvl>
    <w:lvl w:ilvl="7" w:tplc="04090019" w:tentative="1">
      <w:start w:val="1"/>
      <w:numFmt w:val="lowerLetter"/>
      <w:lvlText w:val="%8)"/>
      <w:lvlJc w:val="left"/>
      <w:pPr>
        <w:tabs>
          <w:tab w:val="num" w:pos="3882"/>
        </w:tabs>
        <w:ind w:left="3882" w:hanging="420"/>
      </w:pPr>
    </w:lvl>
    <w:lvl w:ilvl="8" w:tplc="0409001B" w:tentative="1">
      <w:start w:val="1"/>
      <w:numFmt w:val="lowerRoman"/>
      <w:lvlText w:val="%9."/>
      <w:lvlJc w:val="right"/>
      <w:pPr>
        <w:tabs>
          <w:tab w:val="num" w:pos="4302"/>
        </w:tabs>
        <w:ind w:left="4302" w:hanging="420"/>
      </w:pPr>
    </w:lvl>
  </w:abstractNum>
  <w:abstractNum w:abstractNumId="325">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26">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28">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29">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30">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1">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32">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33">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3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3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3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7">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38">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9">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0">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41">
    <w:nsid w:val="31FD663D"/>
    <w:multiLevelType w:val="hybridMultilevel"/>
    <w:tmpl w:val="D62E21B8"/>
    <w:lvl w:ilvl="0" w:tplc="E206C486">
      <w:start w:val="1"/>
      <w:numFmt w:val="lowerLetter"/>
      <w:lvlText w:val="%1."/>
      <w:lvlJc w:val="left"/>
      <w:pPr>
        <w:tabs>
          <w:tab w:val="num" w:pos="1362"/>
        </w:tabs>
        <w:ind w:left="1362" w:hanging="840"/>
      </w:pPr>
      <w:rPr>
        <w:rFonts w:hint="eastAsia"/>
      </w:rPr>
    </w:lvl>
    <w:lvl w:ilvl="1" w:tplc="04090019" w:tentative="1">
      <w:start w:val="1"/>
      <w:numFmt w:val="lowerLetter"/>
      <w:lvlText w:val="%2)"/>
      <w:lvlJc w:val="left"/>
      <w:pPr>
        <w:tabs>
          <w:tab w:val="num" w:pos="1362"/>
        </w:tabs>
        <w:ind w:left="1362" w:hanging="420"/>
      </w:pPr>
    </w:lvl>
    <w:lvl w:ilvl="2" w:tplc="0409001B" w:tentative="1">
      <w:start w:val="1"/>
      <w:numFmt w:val="lowerRoman"/>
      <w:lvlText w:val="%3."/>
      <w:lvlJc w:val="right"/>
      <w:pPr>
        <w:tabs>
          <w:tab w:val="num" w:pos="1782"/>
        </w:tabs>
        <w:ind w:left="1782" w:hanging="420"/>
      </w:pPr>
    </w:lvl>
    <w:lvl w:ilvl="3" w:tplc="0409000F" w:tentative="1">
      <w:start w:val="1"/>
      <w:numFmt w:val="decimal"/>
      <w:lvlText w:val="%4."/>
      <w:lvlJc w:val="left"/>
      <w:pPr>
        <w:tabs>
          <w:tab w:val="num" w:pos="2202"/>
        </w:tabs>
        <w:ind w:left="2202" w:hanging="420"/>
      </w:pPr>
    </w:lvl>
    <w:lvl w:ilvl="4" w:tplc="04090019" w:tentative="1">
      <w:start w:val="1"/>
      <w:numFmt w:val="lowerLetter"/>
      <w:lvlText w:val="%5)"/>
      <w:lvlJc w:val="left"/>
      <w:pPr>
        <w:tabs>
          <w:tab w:val="num" w:pos="2622"/>
        </w:tabs>
        <w:ind w:left="2622" w:hanging="420"/>
      </w:pPr>
    </w:lvl>
    <w:lvl w:ilvl="5" w:tplc="0409001B" w:tentative="1">
      <w:start w:val="1"/>
      <w:numFmt w:val="lowerRoman"/>
      <w:lvlText w:val="%6."/>
      <w:lvlJc w:val="right"/>
      <w:pPr>
        <w:tabs>
          <w:tab w:val="num" w:pos="3042"/>
        </w:tabs>
        <w:ind w:left="3042" w:hanging="420"/>
      </w:pPr>
    </w:lvl>
    <w:lvl w:ilvl="6" w:tplc="0409000F" w:tentative="1">
      <w:start w:val="1"/>
      <w:numFmt w:val="decimal"/>
      <w:lvlText w:val="%7."/>
      <w:lvlJc w:val="left"/>
      <w:pPr>
        <w:tabs>
          <w:tab w:val="num" w:pos="3462"/>
        </w:tabs>
        <w:ind w:left="3462" w:hanging="420"/>
      </w:pPr>
    </w:lvl>
    <w:lvl w:ilvl="7" w:tplc="04090019" w:tentative="1">
      <w:start w:val="1"/>
      <w:numFmt w:val="lowerLetter"/>
      <w:lvlText w:val="%8)"/>
      <w:lvlJc w:val="left"/>
      <w:pPr>
        <w:tabs>
          <w:tab w:val="num" w:pos="3882"/>
        </w:tabs>
        <w:ind w:left="3882" w:hanging="420"/>
      </w:pPr>
    </w:lvl>
    <w:lvl w:ilvl="8" w:tplc="0409001B" w:tentative="1">
      <w:start w:val="1"/>
      <w:numFmt w:val="lowerRoman"/>
      <w:lvlText w:val="%9."/>
      <w:lvlJc w:val="right"/>
      <w:pPr>
        <w:tabs>
          <w:tab w:val="num" w:pos="4302"/>
        </w:tabs>
        <w:ind w:left="4302" w:hanging="420"/>
      </w:pPr>
    </w:lvl>
  </w:abstractNum>
  <w:abstractNum w:abstractNumId="34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4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6">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47">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8">
    <w:nsid w:val="335748AB"/>
    <w:multiLevelType w:val="hybridMultilevel"/>
    <w:tmpl w:val="35125BDE"/>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52">
    <w:nsid w:val="34253E5E"/>
    <w:multiLevelType w:val="hybridMultilevel"/>
    <w:tmpl w:val="27AAF33A"/>
    <w:lvl w:ilvl="0" w:tplc="AE30EE58">
      <w:numFmt w:val="bullet"/>
      <w:lvlText w:val=""/>
      <w:lvlJc w:val="left"/>
      <w:pPr>
        <w:tabs>
          <w:tab w:val="num" w:pos="840"/>
        </w:tabs>
        <w:ind w:left="840" w:hanging="360"/>
      </w:pPr>
      <w:rPr>
        <w:rFonts w:ascii="Wingdings" w:eastAsia="SimSun" w:hAnsi="Wingdings"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5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58">
    <w:nsid w:val="35AE0C66"/>
    <w:multiLevelType w:val="hybridMultilevel"/>
    <w:tmpl w:val="66728034"/>
    <w:lvl w:ilvl="0" w:tplc="429CBD3E">
      <w:start w:val="1"/>
      <w:numFmt w:val="lowerLetter"/>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9">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60">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1">
    <w:nsid w:val="361E60A2"/>
    <w:multiLevelType w:val="hybridMultilevel"/>
    <w:tmpl w:val="BE4CFA4A"/>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2">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36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6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6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67">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36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6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1">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2">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4">
    <w:nsid w:val="37E80F27"/>
    <w:multiLevelType w:val="hybridMultilevel"/>
    <w:tmpl w:val="35B4C354"/>
    <w:lvl w:ilvl="0" w:tplc="1582789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5">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6">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7">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80">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2">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83">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84">
    <w:nsid w:val="38DE5DB8"/>
    <w:multiLevelType w:val="hybridMultilevel"/>
    <w:tmpl w:val="4E1C1168"/>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85">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86">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87">
    <w:nsid w:val="39A247BA"/>
    <w:multiLevelType w:val="hybridMultilevel"/>
    <w:tmpl w:val="EFC4F8FC"/>
    <w:lvl w:ilvl="0" w:tplc="FFFFFFFF">
      <w:numFmt w:val="bullet"/>
      <w:lvlText w:val="•"/>
      <w:lvlJc w:val="left"/>
      <w:pPr>
        <w:tabs>
          <w:tab w:val="num" w:pos="361"/>
        </w:tabs>
        <w:ind w:left="361" w:hanging="360"/>
      </w:pPr>
      <w:rPr>
        <w:rFonts w:ascii="Lucida Console" w:eastAsia="SimSun" w:hAnsi="Lucida Console" w:cs="Times New Roman" w:hint="default"/>
        <w:color w:val="auto"/>
      </w:rPr>
    </w:lvl>
    <w:lvl w:ilvl="1" w:tplc="FFFFFFFF" w:tentative="1">
      <w:start w:val="1"/>
      <w:numFmt w:val="bullet"/>
      <w:lvlText w:val=""/>
      <w:lvlJc w:val="left"/>
      <w:pPr>
        <w:tabs>
          <w:tab w:val="num" w:pos="841"/>
        </w:tabs>
        <w:ind w:left="841" w:hanging="420"/>
      </w:pPr>
      <w:rPr>
        <w:rFonts w:ascii="Wingdings" w:hAnsi="Wingdings" w:hint="default"/>
      </w:rPr>
    </w:lvl>
    <w:lvl w:ilvl="2" w:tplc="FFFFFFFF" w:tentative="1">
      <w:start w:val="1"/>
      <w:numFmt w:val="bullet"/>
      <w:lvlText w:val=""/>
      <w:lvlJc w:val="left"/>
      <w:pPr>
        <w:tabs>
          <w:tab w:val="num" w:pos="1261"/>
        </w:tabs>
        <w:ind w:left="1261" w:hanging="420"/>
      </w:pPr>
      <w:rPr>
        <w:rFonts w:ascii="Wingdings" w:hAnsi="Wingdings" w:hint="default"/>
      </w:rPr>
    </w:lvl>
    <w:lvl w:ilvl="3" w:tplc="FFFFFFFF" w:tentative="1">
      <w:start w:val="1"/>
      <w:numFmt w:val="bullet"/>
      <w:lvlText w:val=""/>
      <w:lvlJc w:val="left"/>
      <w:pPr>
        <w:tabs>
          <w:tab w:val="num" w:pos="1681"/>
        </w:tabs>
        <w:ind w:left="1681" w:hanging="420"/>
      </w:pPr>
      <w:rPr>
        <w:rFonts w:ascii="Wingdings" w:hAnsi="Wingdings" w:hint="default"/>
      </w:rPr>
    </w:lvl>
    <w:lvl w:ilvl="4" w:tplc="FFFFFFFF" w:tentative="1">
      <w:start w:val="1"/>
      <w:numFmt w:val="bullet"/>
      <w:lvlText w:val=""/>
      <w:lvlJc w:val="left"/>
      <w:pPr>
        <w:tabs>
          <w:tab w:val="num" w:pos="2101"/>
        </w:tabs>
        <w:ind w:left="2101" w:hanging="420"/>
      </w:pPr>
      <w:rPr>
        <w:rFonts w:ascii="Wingdings" w:hAnsi="Wingdings" w:hint="default"/>
      </w:rPr>
    </w:lvl>
    <w:lvl w:ilvl="5" w:tplc="FFFFFFFF" w:tentative="1">
      <w:start w:val="1"/>
      <w:numFmt w:val="bullet"/>
      <w:lvlText w:val=""/>
      <w:lvlJc w:val="left"/>
      <w:pPr>
        <w:tabs>
          <w:tab w:val="num" w:pos="2521"/>
        </w:tabs>
        <w:ind w:left="2521" w:hanging="420"/>
      </w:pPr>
      <w:rPr>
        <w:rFonts w:ascii="Wingdings" w:hAnsi="Wingdings" w:hint="default"/>
      </w:rPr>
    </w:lvl>
    <w:lvl w:ilvl="6" w:tplc="FFFFFFFF" w:tentative="1">
      <w:start w:val="1"/>
      <w:numFmt w:val="bullet"/>
      <w:lvlText w:val=""/>
      <w:lvlJc w:val="left"/>
      <w:pPr>
        <w:tabs>
          <w:tab w:val="num" w:pos="2941"/>
        </w:tabs>
        <w:ind w:left="2941" w:hanging="420"/>
      </w:pPr>
      <w:rPr>
        <w:rFonts w:ascii="Wingdings" w:hAnsi="Wingdings" w:hint="default"/>
      </w:rPr>
    </w:lvl>
    <w:lvl w:ilvl="7" w:tplc="FFFFFFFF" w:tentative="1">
      <w:start w:val="1"/>
      <w:numFmt w:val="bullet"/>
      <w:lvlText w:val=""/>
      <w:lvlJc w:val="left"/>
      <w:pPr>
        <w:tabs>
          <w:tab w:val="num" w:pos="3361"/>
        </w:tabs>
        <w:ind w:left="3361" w:hanging="420"/>
      </w:pPr>
      <w:rPr>
        <w:rFonts w:ascii="Wingdings" w:hAnsi="Wingdings" w:hint="default"/>
      </w:rPr>
    </w:lvl>
    <w:lvl w:ilvl="8" w:tplc="FFFFFFFF" w:tentative="1">
      <w:start w:val="1"/>
      <w:numFmt w:val="bullet"/>
      <w:lvlText w:val=""/>
      <w:lvlJc w:val="left"/>
      <w:pPr>
        <w:tabs>
          <w:tab w:val="num" w:pos="3781"/>
        </w:tabs>
        <w:ind w:left="3781" w:hanging="420"/>
      </w:pPr>
      <w:rPr>
        <w:rFonts w:ascii="Wingdings" w:hAnsi="Wingdings" w:hint="default"/>
      </w:rPr>
    </w:lvl>
  </w:abstractNum>
  <w:abstractNum w:abstractNumId="388">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9">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0">
    <w:nsid w:val="3A185A1C"/>
    <w:multiLevelType w:val="hybridMultilevel"/>
    <w:tmpl w:val="3CF4C2C6"/>
    <w:lvl w:ilvl="0" w:tplc="69706AE4">
      <w:start w:val="1"/>
      <w:numFmt w:val="decimal"/>
      <w:lvlText w:val="%1）"/>
      <w:lvlJc w:val="left"/>
      <w:pPr>
        <w:tabs>
          <w:tab w:val="num" w:pos="360"/>
        </w:tabs>
        <w:ind w:left="360" w:hanging="360"/>
      </w:pPr>
      <w:rPr>
        <w:rFonts w:hint="eastAsia"/>
      </w:rPr>
    </w:lvl>
    <w:lvl w:ilvl="1" w:tplc="9A286D4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92">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3">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394">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5">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6">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7">
    <w:nsid w:val="3B706901"/>
    <w:multiLevelType w:val="hybridMultilevel"/>
    <w:tmpl w:val="439C456A"/>
    <w:lvl w:ilvl="0" w:tplc="1EBA4600">
      <w:numFmt w:val="bullet"/>
      <w:lvlText w:val=""/>
      <w:lvlJc w:val="left"/>
      <w:pPr>
        <w:tabs>
          <w:tab w:val="num" w:pos="720"/>
        </w:tabs>
        <w:ind w:left="720" w:hanging="360"/>
      </w:pPr>
      <w:rPr>
        <w:rFonts w:ascii="Symbol" w:eastAsia="SimSun" w:hAnsi="Symbol" w:cs="Times New Roman" w:hint="default"/>
      </w:rPr>
    </w:lvl>
    <w:lvl w:ilvl="1" w:tplc="7E2A8950">
      <w:numFmt w:val="bullet"/>
      <w:lvlText w:val=""/>
      <w:lvlJc w:val="left"/>
      <w:pPr>
        <w:tabs>
          <w:tab w:val="num" w:pos="780"/>
        </w:tabs>
        <w:ind w:left="780" w:hanging="360"/>
      </w:pPr>
      <w:rPr>
        <w:rFonts w:ascii="Wingdings 3" w:eastAsia="SimSun" w:hAnsi="Wingdings 3"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8">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00">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1">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02">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3">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4">
    <w:nsid w:val="3C2E69DC"/>
    <w:multiLevelType w:val="hybridMultilevel"/>
    <w:tmpl w:val="B4303F2C"/>
    <w:lvl w:ilvl="0" w:tplc="8E526944">
      <w:start w:val="103"/>
      <w:numFmt w:val="bullet"/>
      <w:lvlText w:val="●"/>
      <w:lvlJc w:val="left"/>
      <w:pPr>
        <w:tabs>
          <w:tab w:val="num" w:pos="390"/>
        </w:tabs>
        <w:ind w:left="390" w:hanging="39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7">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09">
    <w:nsid w:val="3CED2289"/>
    <w:multiLevelType w:val="hybridMultilevel"/>
    <w:tmpl w:val="1402F750"/>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1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1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1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13">
    <w:nsid w:val="3D71526A"/>
    <w:multiLevelType w:val="hybridMultilevel"/>
    <w:tmpl w:val="F0D83E3C"/>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4">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16">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17">
    <w:nsid w:val="3DBB62A3"/>
    <w:multiLevelType w:val="hybridMultilevel"/>
    <w:tmpl w:val="F3B2A188"/>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1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1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2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21">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2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23">
    <w:nsid w:val="3E4220F6"/>
    <w:multiLevelType w:val="hybridMultilevel"/>
    <w:tmpl w:val="8918D7D0"/>
    <w:lvl w:ilvl="0" w:tplc="E36E8B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4">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2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28">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30">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31">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40792A35"/>
    <w:multiLevelType w:val="hybridMultilevel"/>
    <w:tmpl w:val="F22E9082"/>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33">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35">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436">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7">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442">
    <w:nsid w:val="414A7780"/>
    <w:multiLevelType w:val="hybridMultilevel"/>
    <w:tmpl w:val="93281238"/>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43">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444">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5">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446">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47">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448">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50">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51">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52">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4">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56">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7">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458">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459">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46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1">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3">
    <w:nsid w:val="43DB62C7"/>
    <w:multiLevelType w:val="hybridMultilevel"/>
    <w:tmpl w:val="FDCADEEC"/>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882EE9B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46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6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471">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2">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3">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74">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6">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77">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78">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9">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80">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1">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82">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483">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84">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5">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86">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87">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8">
    <w:nsid w:val="48122572"/>
    <w:multiLevelType w:val="hybridMultilevel"/>
    <w:tmpl w:val="152CBD40"/>
    <w:lvl w:ilvl="0" w:tplc="C2A25224">
      <w:start w:val="1"/>
      <w:numFmt w:val="decimal"/>
      <w:pStyle w:val="4"/>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9">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91">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48647483"/>
    <w:multiLevelType w:val="hybridMultilevel"/>
    <w:tmpl w:val="1C72AD1E"/>
    <w:lvl w:ilvl="0" w:tplc="7EA60B28">
      <w:numFmt w:val="bullet"/>
      <w:lvlText w:val=""/>
      <w:lvlJc w:val="left"/>
      <w:pPr>
        <w:tabs>
          <w:tab w:val="num" w:pos="930"/>
        </w:tabs>
        <w:ind w:left="930" w:hanging="360"/>
      </w:pPr>
      <w:rPr>
        <w:rFonts w:ascii="Wingdings 2" w:eastAsia="SimSun" w:hAnsi="Wingdings 2"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49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4">
    <w:nsid w:val="488D2036"/>
    <w:multiLevelType w:val="hybridMultilevel"/>
    <w:tmpl w:val="EB024B30"/>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5">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6">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9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0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50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0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5">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06">
    <w:nsid w:val="4A1121F0"/>
    <w:multiLevelType w:val="hybridMultilevel"/>
    <w:tmpl w:val="76B43274"/>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7">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08">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9">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0">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1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13">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514">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15">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4BB76F65"/>
    <w:multiLevelType w:val="hybridMultilevel"/>
    <w:tmpl w:val="1C72AD1E"/>
    <w:lvl w:ilvl="0" w:tplc="DC16E52E">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51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19">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20">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21">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522">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523">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524">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525">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2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527">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28">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530">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31">
    <w:nsid w:val="4E765683"/>
    <w:multiLevelType w:val="singleLevel"/>
    <w:tmpl w:val="491287E8"/>
    <w:lvl w:ilvl="0">
      <w:numFmt w:val="bullet"/>
      <w:lvlText w:val="-"/>
      <w:lvlJc w:val="left"/>
      <w:pPr>
        <w:tabs>
          <w:tab w:val="num" w:pos="780"/>
        </w:tabs>
        <w:ind w:left="780" w:hanging="360"/>
      </w:pPr>
      <w:rPr>
        <w:rFonts w:hint="eastAsia"/>
      </w:rPr>
    </w:lvl>
  </w:abstractNum>
  <w:abstractNum w:abstractNumId="532">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533">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34">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5">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37">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8">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4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41">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54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3">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4">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546">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547">
    <w:nsid w:val="516C54B0"/>
    <w:multiLevelType w:val="hybridMultilevel"/>
    <w:tmpl w:val="F8461FD4"/>
    <w:lvl w:ilvl="0" w:tplc="5E86D03A">
      <w:start w:val="13"/>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549">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50">
    <w:nsid w:val="52123794"/>
    <w:multiLevelType w:val="hybridMultilevel"/>
    <w:tmpl w:val="F836EB78"/>
    <w:lvl w:ilvl="0" w:tplc="EA62538E">
      <w:start w:val="132"/>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1">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552">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5">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6">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55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55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2">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563">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4">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5">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66">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567">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568">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569">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0">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571">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58504048"/>
    <w:multiLevelType w:val="hybridMultilevel"/>
    <w:tmpl w:val="B4303F2C"/>
    <w:lvl w:ilvl="0" w:tplc="DC16E52E">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6">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577">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8">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79">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580">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81">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2">
    <w:nsid w:val="59B36022"/>
    <w:multiLevelType w:val="hybridMultilevel"/>
    <w:tmpl w:val="3CA041A8"/>
    <w:lvl w:ilvl="0" w:tplc="8F96052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3">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85">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87">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59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92">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9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9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597">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98">
    <w:nsid w:val="5D717C11"/>
    <w:multiLevelType w:val="hybridMultilevel"/>
    <w:tmpl w:val="D90AD926"/>
    <w:lvl w:ilvl="0" w:tplc="AE30EE58">
      <w:numFmt w:val="bullet"/>
      <w:lvlText w:val=""/>
      <w:lvlJc w:val="left"/>
      <w:pPr>
        <w:tabs>
          <w:tab w:val="num" w:pos="840"/>
        </w:tabs>
        <w:ind w:left="84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9">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600">
    <w:nsid w:val="5DC17576"/>
    <w:multiLevelType w:val="hybridMultilevel"/>
    <w:tmpl w:val="FDCADEEC"/>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603">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4">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5">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06">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607">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08">
    <w:nsid w:val="5F725184"/>
    <w:multiLevelType w:val="hybridMultilevel"/>
    <w:tmpl w:val="6248E36A"/>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09">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610">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11">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12">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60067FCF"/>
    <w:multiLevelType w:val="singleLevel"/>
    <w:tmpl w:val="9CCEFD76"/>
    <w:lvl w:ilvl="0">
      <w:start w:val="1"/>
      <w:numFmt w:val="bullet"/>
      <w:lvlText w:val=""/>
      <w:lvlJc w:val="left"/>
      <w:pPr>
        <w:tabs>
          <w:tab w:val="num" w:pos="425"/>
        </w:tabs>
        <w:ind w:left="425" w:hanging="425"/>
      </w:pPr>
      <w:rPr>
        <w:rFonts w:ascii="Wingdings" w:hAnsi="Wingdings" w:hint="default"/>
        <w:sz w:val="18"/>
      </w:rPr>
    </w:lvl>
  </w:abstractNum>
  <w:abstractNum w:abstractNumId="614">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5">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16">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618">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19">
    <w:nsid w:val="619E2CE7"/>
    <w:multiLevelType w:val="hybridMultilevel"/>
    <w:tmpl w:val="B32AE190"/>
    <w:lvl w:ilvl="0" w:tplc="C0006C9C">
      <w:start w:val="1"/>
      <w:numFmt w:val="bullet"/>
      <w:lvlText w:val=""/>
      <w:lvlJc w:val="left"/>
      <w:pPr>
        <w:tabs>
          <w:tab w:val="num" w:pos="841"/>
        </w:tabs>
        <w:ind w:left="841" w:hanging="420"/>
      </w:pPr>
      <w:rPr>
        <w:rFonts w:ascii="Wingdings 2"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20">
    <w:nsid w:val="61EA0724"/>
    <w:multiLevelType w:val="hybridMultilevel"/>
    <w:tmpl w:val="3A9E3AEC"/>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1">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622">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3">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24">
    <w:nsid w:val="621D3D02"/>
    <w:multiLevelType w:val="singleLevel"/>
    <w:tmpl w:val="0409000F"/>
    <w:lvl w:ilvl="0">
      <w:start w:val="1"/>
      <w:numFmt w:val="decimal"/>
      <w:lvlText w:val="%1."/>
      <w:lvlJc w:val="left"/>
      <w:pPr>
        <w:tabs>
          <w:tab w:val="num" w:pos="425"/>
        </w:tabs>
        <w:ind w:left="425" w:hanging="425"/>
      </w:pPr>
    </w:lvl>
  </w:abstractNum>
  <w:abstractNum w:abstractNumId="625">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62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627">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28">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9">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0">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631">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2">
    <w:nsid w:val="6332414F"/>
    <w:multiLevelType w:val="hybridMultilevel"/>
    <w:tmpl w:val="C87CF16E"/>
    <w:lvl w:ilvl="0" w:tplc="7A7C634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3">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34">
    <w:nsid w:val="643459B7"/>
    <w:multiLevelType w:val="hybridMultilevel"/>
    <w:tmpl w:val="EB024B3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6">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38">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639">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4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64EA1EDD"/>
    <w:multiLevelType w:val="hybridMultilevel"/>
    <w:tmpl w:val="3BF6D46E"/>
    <w:lvl w:ilvl="0" w:tplc="2900676C">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3">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4">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45">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7">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8">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0">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651">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652">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653">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4">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5">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56">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7">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658">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9">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660">
    <w:nsid w:val="66DF413A"/>
    <w:multiLevelType w:val="hybridMultilevel"/>
    <w:tmpl w:val="CC60F6A2"/>
    <w:lvl w:ilvl="0" w:tplc="9376C438">
      <w:start w:val="1"/>
      <w:numFmt w:val="decimal"/>
      <w:lvlText w:val="%1）"/>
      <w:lvlJc w:val="left"/>
      <w:pPr>
        <w:tabs>
          <w:tab w:val="num" w:pos="360"/>
        </w:tabs>
        <w:ind w:left="360" w:hanging="360"/>
      </w:pPr>
      <w:rPr>
        <w:rFonts w:hint="eastAsia"/>
      </w:rPr>
    </w:lvl>
    <w:lvl w:ilvl="1" w:tplc="4AB2FAA6">
      <w:start w:val="1"/>
      <w:numFmt w:val="upperRoman"/>
      <w:lvlText w:val="%2）"/>
      <w:lvlJc w:val="left"/>
      <w:pPr>
        <w:tabs>
          <w:tab w:val="num" w:pos="1140"/>
        </w:tabs>
        <w:ind w:left="1140" w:hanging="720"/>
      </w:pPr>
      <w:rPr>
        <w:rFonts w:hint="default"/>
      </w:rPr>
    </w:lvl>
    <w:lvl w:ilvl="2" w:tplc="62C6C270">
      <w:start w:val="1"/>
      <w:numFmt w:val="upperRoman"/>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2">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663">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664">
    <w:nsid w:val="67B43397"/>
    <w:multiLevelType w:val="hybridMultilevel"/>
    <w:tmpl w:val="B0CAD176"/>
    <w:lvl w:ilvl="0" w:tplc="A796DA20">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5">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66">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667">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8">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669">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670">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2">
    <w:nsid w:val="6A5F1D2E"/>
    <w:multiLevelType w:val="hybridMultilevel"/>
    <w:tmpl w:val="76B43274"/>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260"/>
        </w:tabs>
        <w:ind w:left="126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67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7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67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67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6B4C047A"/>
    <w:multiLevelType w:val="hybridMultilevel"/>
    <w:tmpl w:val="B5A068A0"/>
    <w:lvl w:ilvl="0" w:tplc="8A52F4D8">
      <w:start w:val="1"/>
      <w:numFmt w:val="lowerLetter"/>
      <w:lvlText w:val="%1．"/>
      <w:lvlJc w:val="left"/>
      <w:pPr>
        <w:tabs>
          <w:tab w:val="num" w:pos="780"/>
        </w:tabs>
        <w:ind w:left="780" w:hanging="360"/>
      </w:pPr>
      <w:rPr>
        <w:rFonts w:hint="eastAsia"/>
        <w:sz w:val="24"/>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0">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1">
    <w:nsid w:val="6B9155EC"/>
    <w:multiLevelType w:val="hybridMultilevel"/>
    <w:tmpl w:val="62F6E23C"/>
    <w:lvl w:ilvl="0" w:tplc="292CE97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3">
    <w:nsid w:val="6BA55854"/>
    <w:multiLevelType w:val="hybridMultilevel"/>
    <w:tmpl w:val="439C456A"/>
    <w:lvl w:ilvl="0" w:tplc="13065474">
      <w:start w:val="1"/>
      <w:numFmt w:val="bullet"/>
      <w:lvlText w:val=""/>
      <w:lvlJc w:val="left"/>
      <w:pPr>
        <w:tabs>
          <w:tab w:val="num" w:pos="785"/>
        </w:tabs>
        <w:ind w:left="785" w:hanging="425"/>
      </w:pPr>
      <w:rPr>
        <w:rFonts w:ascii="Wingdings 2" w:hAnsi="Wingdings 2" w:hint="default"/>
      </w:rPr>
    </w:lvl>
    <w:lvl w:ilvl="1" w:tplc="7E2A8950">
      <w:numFmt w:val="bullet"/>
      <w:lvlText w:val=""/>
      <w:lvlJc w:val="left"/>
      <w:pPr>
        <w:tabs>
          <w:tab w:val="num" w:pos="780"/>
        </w:tabs>
        <w:ind w:left="780" w:hanging="360"/>
      </w:pPr>
      <w:rPr>
        <w:rFonts w:ascii="Wingdings 3" w:eastAsia="SimSun" w:hAnsi="Wingdings 3"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4">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685">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86">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687">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88">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9">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9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2">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94">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695">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696">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7">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98">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9">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0">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1">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02">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0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704">
    <w:nsid w:val="6D105EC2"/>
    <w:multiLevelType w:val="hybridMultilevel"/>
    <w:tmpl w:val="6E22995C"/>
    <w:lvl w:ilvl="0" w:tplc="E5FA5BCE">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5">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6">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7">
    <w:nsid w:val="6DC03442"/>
    <w:multiLevelType w:val="hybridMultilevel"/>
    <w:tmpl w:val="4DE493A0"/>
    <w:lvl w:ilvl="0" w:tplc="B25644E4">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8">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710">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711">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12">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13">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4">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5">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16">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17">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8">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9">
    <w:nsid w:val="6F932C14"/>
    <w:multiLevelType w:val="hybridMultilevel"/>
    <w:tmpl w:val="7E5AE88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1">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2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23">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4">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5">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7">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8">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29">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730">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3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732">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733">
    <w:nsid w:val="71453EC2"/>
    <w:multiLevelType w:val="hybridMultilevel"/>
    <w:tmpl w:val="ADE4AB5C"/>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4">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735">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6">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737">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38">
    <w:nsid w:val="7297484D"/>
    <w:multiLevelType w:val="singleLevel"/>
    <w:tmpl w:val="9CCEFD76"/>
    <w:lvl w:ilvl="0">
      <w:start w:val="1"/>
      <w:numFmt w:val="bullet"/>
      <w:lvlText w:val=""/>
      <w:lvlJc w:val="left"/>
      <w:pPr>
        <w:tabs>
          <w:tab w:val="num" w:pos="425"/>
        </w:tabs>
        <w:ind w:left="425" w:hanging="425"/>
      </w:pPr>
      <w:rPr>
        <w:rFonts w:ascii="Wingdings" w:hAnsi="Wingdings" w:hint="default"/>
        <w:sz w:val="18"/>
      </w:rPr>
    </w:lvl>
  </w:abstractNum>
  <w:abstractNum w:abstractNumId="739">
    <w:nsid w:val="72C54741"/>
    <w:multiLevelType w:val="hybridMultilevel"/>
    <w:tmpl w:val="A4D2864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1">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2">
    <w:nsid w:val="73955B19"/>
    <w:multiLevelType w:val="hybridMultilevel"/>
    <w:tmpl w:val="2CBCB3F8"/>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43">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745">
    <w:nsid w:val="73F6687D"/>
    <w:multiLevelType w:val="hybridMultilevel"/>
    <w:tmpl w:val="8B14172C"/>
    <w:lvl w:ilvl="0" w:tplc="747ADB4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6">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74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8">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9">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75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75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75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3">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4">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5">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6">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7">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8">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9">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760">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1">
    <w:nsid w:val="7534254E"/>
    <w:multiLevelType w:val="hybridMultilevel"/>
    <w:tmpl w:val="CEC637A0"/>
    <w:lvl w:ilvl="0" w:tplc="1EBA4600">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3">
    <w:nsid w:val="754B0EEB"/>
    <w:multiLevelType w:val="hybridMultilevel"/>
    <w:tmpl w:val="1A28C198"/>
    <w:lvl w:ilvl="0" w:tplc="FFFFFFFF">
      <w:numFmt w:val="bullet"/>
      <w:lvlText w:val="•"/>
      <w:lvlJc w:val="left"/>
      <w:pPr>
        <w:tabs>
          <w:tab w:val="num" w:pos="360"/>
        </w:tabs>
        <w:ind w:left="360" w:hanging="360"/>
      </w:pPr>
      <w:rPr>
        <w:rFonts w:ascii="Lucida Console" w:eastAsia="SimSun" w:hAnsi="Lucida Console" w:cs="Times New Roman" w:hint="default"/>
        <w:color w:val="auto"/>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4">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5">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66">
    <w:nsid w:val="757C60E6"/>
    <w:multiLevelType w:val="hybridMultilevel"/>
    <w:tmpl w:val="23B06FCA"/>
    <w:lvl w:ilvl="0" w:tplc="44C0E1A6">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7">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768">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9">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770">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77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77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7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8">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79">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80">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1">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2">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3">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84">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78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786">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8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8">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89">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790">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1">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792">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93">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94">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795">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6">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798">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9">
    <w:nsid w:val="7AB13A4F"/>
    <w:multiLevelType w:val="hybridMultilevel"/>
    <w:tmpl w:val="3C98E354"/>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0">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01">
    <w:nsid w:val="7ABD7256"/>
    <w:multiLevelType w:val="hybridMultilevel"/>
    <w:tmpl w:val="610A15CC"/>
    <w:lvl w:ilvl="0" w:tplc="D5469E6E">
      <w:start w:val="1"/>
      <w:numFmt w:val="decimal"/>
      <w:lvlText w:val="%1、"/>
      <w:lvlJc w:val="left"/>
      <w:pPr>
        <w:tabs>
          <w:tab w:val="num" w:pos="780"/>
        </w:tabs>
        <w:ind w:left="780" w:hanging="360"/>
      </w:pPr>
      <w:rPr>
        <w:rFonts w:hint="eastAsia"/>
      </w:rPr>
    </w:lvl>
    <w:lvl w:ilvl="1" w:tplc="76924EEC">
      <w:start w:val="10"/>
      <w:numFmt w:val="decimal"/>
      <w:lvlText w:val="%2．"/>
      <w:lvlJc w:val="left"/>
      <w:pPr>
        <w:tabs>
          <w:tab w:val="num" w:pos="1260"/>
        </w:tabs>
        <w:ind w:left="1260" w:hanging="4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80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0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6">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807">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08">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809">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1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811">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812">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813">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81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815">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816">
    <w:nsid w:val="7DB86219"/>
    <w:multiLevelType w:val="hybridMultilevel"/>
    <w:tmpl w:val="54EE95B6"/>
    <w:lvl w:ilvl="0" w:tplc="4742070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7">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818">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9">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820">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1">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822">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823">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824">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825">
    <w:nsid w:val="7E717A00"/>
    <w:multiLevelType w:val="hybridMultilevel"/>
    <w:tmpl w:val="58B47D6A"/>
    <w:lvl w:ilvl="0" w:tplc="44C0E1A6">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26">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827">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8">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829">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830">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831">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832">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833">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508"/>
  </w:num>
  <w:num w:numId="2">
    <w:abstractNumId w:val="25"/>
  </w:num>
  <w:num w:numId="3">
    <w:abstractNumId w:val="143"/>
  </w:num>
  <w:num w:numId="4">
    <w:abstractNumId w:val="429"/>
  </w:num>
  <w:num w:numId="5">
    <w:abstractNumId w:val="249"/>
  </w:num>
  <w:num w:numId="6">
    <w:abstractNumId w:val="267"/>
  </w:num>
  <w:num w:numId="7">
    <w:abstractNumId w:val="512"/>
  </w:num>
  <w:num w:numId="8">
    <w:abstractNumId w:val="385"/>
  </w:num>
  <w:num w:numId="9">
    <w:abstractNumId w:val="549"/>
  </w:num>
  <w:num w:numId="10">
    <w:abstractNumId w:val="607"/>
  </w:num>
  <w:num w:numId="11">
    <w:abstractNumId w:val="455"/>
  </w:num>
  <w:num w:numId="12">
    <w:abstractNumId w:val="602"/>
  </w:num>
  <w:num w:numId="13">
    <w:abstractNumId w:val="366"/>
  </w:num>
  <w:num w:numId="14">
    <w:abstractNumId w:val="195"/>
  </w:num>
  <w:num w:numId="15">
    <w:abstractNumId w:val="268"/>
  </w:num>
  <w:num w:numId="16">
    <w:abstractNumId w:val="418"/>
  </w:num>
  <w:num w:numId="17">
    <w:abstractNumId w:val="334"/>
  </w:num>
  <w:num w:numId="18">
    <w:abstractNumId w:val="335"/>
  </w:num>
  <w:num w:numId="19">
    <w:abstractNumId w:val="168"/>
  </w:num>
  <w:num w:numId="20">
    <w:abstractNumId w:val="425"/>
  </w:num>
  <w:num w:numId="21">
    <w:abstractNumId w:val="319"/>
  </w:num>
  <w:num w:numId="22">
    <w:abstractNumId w:val="282"/>
  </w:num>
  <w:num w:numId="23">
    <w:abstractNumId w:val="650"/>
  </w:num>
  <w:num w:numId="24">
    <w:abstractNumId w:val="357"/>
  </w:num>
  <w:num w:numId="25">
    <w:abstractNumId w:val="609"/>
  </w:num>
  <w:num w:numId="26">
    <w:abstractNumId w:val="178"/>
  </w:num>
  <w:num w:numId="27">
    <w:abstractNumId w:val="539"/>
  </w:num>
  <w:num w:numId="28">
    <w:abstractNumId w:val="767"/>
  </w:num>
  <w:num w:numId="29">
    <w:abstractNumId w:val="712"/>
  </w:num>
  <w:num w:numId="30">
    <w:abstractNumId w:val="625"/>
  </w:num>
  <w:num w:numId="31">
    <w:abstractNumId w:val="734"/>
  </w:num>
  <w:num w:numId="32">
    <w:abstractNumId w:val="814"/>
  </w:num>
  <w:num w:numId="33">
    <w:abstractNumId w:val="536"/>
  </w:num>
  <w:num w:numId="34">
    <w:abstractNumId w:val="580"/>
  </w:num>
  <w:num w:numId="35">
    <w:abstractNumId w:val="299"/>
  </w:num>
  <w:num w:numId="36">
    <w:abstractNumId w:val="419"/>
  </w:num>
  <w:num w:numId="37">
    <w:abstractNumId w:val="759"/>
  </w:num>
  <w:num w:numId="38">
    <w:abstractNumId w:val="524"/>
  </w:num>
  <w:num w:numId="39">
    <w:abstractNumId w:val="180"/>
  </w:num>
  <w:num w:numId="40">
    <w:abstractNumId w:val="497"/>
  </w:num>
  <w:num w:numId="41">
    <w:abstractNumId w:val="503"/>
  </w:num>
  <w:num w:numId="42">
    <w:abstractNumId w:val="831"/>
  </w:num>
  <w:num w:numId="43">
    <w:abstractNumId w:val="529"/>
  </w:num>
  <w:num w:numId="44">
    <w:abstractNumId w:val="445"/>
  </w:num>
  <w:num w:numId="45">
    <w:abstractNumId w:val="806"/>
  </w:num>
  <w:num w:numId="46">
    <w:abstractNumId w:val="408"/>
  </w:num>
  <w:num w:numId="47">
    <w:abstractNumId w:val="810"/>
  </w:num>
  <w:num w:numId="48">
    <w:abstractNumId w:val="106"/>
  </w:num>
  <w:num w:numId="49">
    <w:abstractNumId w:val="750"/>
  </w:num>
  <w:num w:numId="50">
    <w:abstractNumId w:val="410"/>
  </w:num>
  <w:num w:numId="51">
    <w:abstractNumId w:val="175"/>
  </w:num>
  <w:num w:numId="52">
    <w:abstractNumId w:val="19"/>
  </w:num>
  <w:num w:numId="53">
    <w:abstractNumId w:val="245"/>
  </w:num>
  <w:num w:numId="54">
    <w:abstractNumId w:val="206"/>
  </w:num>
  <w:num w:numId="55">
    <w:abstractNumId w:val="586"/>
  </w:num>
  <w:num w:numId="56">
    <w:abstractNumId w:val="327"/>
  </w:num>
  <w:num w:numId="57">
    <w:abstractNumId w:val="481"/>
  </w:num>
  <w:num w:numId="58">
    <w:abstractNumId w:val="64"/>
  </w:num>
  <w:num w:numId="59">
    <w:abstractNumId w:val="415"/>
  </w:num>
  <w:num w:numId="60">
    <w:abstractNumId w:val="140"/>
  </w:num>
  <w:num w:numId="61">
    <w:abstractNumId w:val="351"/>
  </w:num>
  <w:num w:numId="62">
    <w:abstractNumId w:val="117"/>
  </w:num>
  <w:num w:numId="63">
    <w:abstractNumId w:val="254"/>
  </w:num>
  <w:num w:numId="64">
    <w:abstractNumId w:val="486"/>
  </w:num>
  <w:num w:numId="65">
    <w:abstractNumId w:val="490"/>
  </w:num>
  <w:num w:numId="66">
    <w:abstractNumId w:val="803"/>
  </w:num>
  <w:num w:numId="67">
    <w:abstractNumId w:val="635"/>
  </w:num>
  <w:num w:numId="68">
    <w:abstractNumId w:val="125"/>
  </w:num>
  <w:num w:numId="69">
    <w:abstractNumId w:val="63"/>
  </w:num>
  <w:num w:numId="70">
    <w:abstractNumId w:val="422"/>
  </w:num>
  <w:num w:numId="71">
    <w:abstractNumId w:val="427"/>
  </w:num>
  <w:num w:numId="72">
    <w:abstractNumId w:val="785"/>
  </w:num>
  <w:num w:numId="73">
    <w:abstractNumId w:val="114"/>
  </w:num>
  <w:num w:numId="74">
    <w:abstractNumId w:val="364"/>
  </w:num>
  <w:num w:numId="75">
    <w:abstractNumId w:val="412"/>
  </w:num>
  <w:num w:numId="76">
    <w:abstractNumId w:val="669"/>
  </w:num>
  <w:num w:numId="77">
    <w:abstractNumId w:val="96"/>
  </w:num>
  <w:num w:numId="78">
    <w:abstractNumId w:val="84"/>
  </w:num>
  <w:num w:numId="79">
    <w:abstractNumId w:val="674"/>
  </w:num>
  <w:num w:numId="80">
    <w:abstractNumId w:val="663"/>
  </w:num>
  <w:num w:numId="81">
    <w:abstractNumId w:val="493"/>
  </w:num>
  <w:num w:numId="82">
    <w:abstractNumId w:val="788"/>
  </w:num>
  <w:num w:numId="83">
    <w:abstractNumId w:val="59"/>
  </w:num>
  <w:num w:numId="84">
    <w:abstractNumId w:val="60"/>
  </w:num>
  <w:num w:numId="85">
    <w:abstractNumId w:val="665"/>
  </w:num>
  <w:num w:numId="86">
    <w:abstractNumId w:val="830"/>
  </w:num>
  <w:num w:numId="87">
    <w:abstractNumId w:val="328"/>
  </w:num>
  <w:num w:numId="88">
    <w:abstractNumId w:val="435"/>
  </w:num>
  <w:num w:numId="89">
    <w:abstractNumId w:val="697"/>
  </w:num>
  <w:num w:numId="90">
    <w:abstractNumId w:val="815"/>
  </w:num>
  <w:num w:numId="91">
    <w:abstractNumId w:val="110"/>
  </w:num>
  <w:num w:numId="92">
    <w:abstractNumId w:val="184"/>
  </w:num>
  <w:num w:numId="93">
    <w:abstractNumId w:val="112"/>
  </w:num>
  <w:num w:numId="94">
    <w:abstractNumId w:val="458"/>
  </w:num>
  <w:num w:numId="95">
    <w:abstractNumId w:val="703"/>
  </w:num>
  <w:num w:numId="96">
    <w:abstractNumId w:val="132"/>
  </w:num>
  <w:num w:numId="97">
    <w:abstractNumId w:val="813"/>
  </w:num>
  <w:num w:numId="98">
    <w:abstractNumId w:val="342"/>
  </w:num>
  <w:num w:numId="99">
    <w:abstractNumId w:val="123"/>
  </w:num>
  <w:num w:numId="100">
    <w:abstractNumId w:val="200"/>
  </w:num>
  <w:num w:numId="101">
    <w:abstractNumId w:val="391"/>
  </w:num>
  <w:num w:numId="102">
    <w:abstractNumId w:val="329"/>
  </w:num>
  <w:num w:numId="103">
    <w:abstractNumId w:val="306"/>
  </w:num>
  <w:num w:numId="104">
    <w:abstractNumId w:val="159"/>
  </w:num>
  <w:num w:numId="105">
    <w:abstractNumId w:val="399"/>
  </w:num>
  <w:num w:numId="106">
    <w:abstractNumId w:val="447"/>
  </w:num>
  <w:num w:numId="107">
    <w:abstractNumId w:val="666"/>
  </w:num>
  <w:num w:numId="108">
    <w:abstractNumId w:val="576"/>
  </w:num>
  <w:num w:numId="109">
    <w:abstractNumId w:val="124"/>
  </w:num>
  <w:num w:numId="110">
    <w:abstractNumId w:val="237"/>
  </w:num>
  <w:num w:numId="111">
    <w:abstractNumId w:val="808"/>
  </w:num>
  <w:num w:numId="112">
    <w:abstractNumId w:val="310"/>
  </w:num>
  <w:num w:numId="113">
    <w:abstractNumId w:val="659"/>
  </w:num>
  <w:num w:numId="114">
    <w:abstractNumId w:val="562"/>
  </w:num>
  <w:num w:numId="115">
    <w:abstractNumId w:val="599"/>
  </w:num>
  <w:num w:numId="116">
    <w:abstractNumId w:val="411"/>
  </w:num>
  <w:num w:numId="117">
    <w:abstractNumId w:val="416"/>
  </w:num>
  <w:num w:numId="118">
    <w:abstractNumId w:val="579"/>
  </w:num>
  <w:num w:numId="119">
    <w:abstractNumId w:val="93"/>
  </w:num>
  <w:num w:numId="120">
    <w:abstractNumId w:val="265"/>
  </w:num>
  <w:num w:numId="121">
    <w:abstractNumId w:val="224"/>
  </w:num>
  <w:num w:numId="122">
    <w:abstractNumId w:val="802"/>
  </w:num>
  <w:num w:numId="123">
    <w:abstractNumId w:val="160"/>
  </w:num>
  <w:num w:numId="124">
    <w:abstractNumId w:val="769"/>
  </w:num>
  <w:num w:numId="125">
    <w:abstractNumId w:val="479"/>
  </w:num>
  <w:num w:numId="126">
    <w:abstractNumId w:val="638"/>
  </w:num>
  <w:num w:numId="127">
    <w:abstractNumId w:val="262"/>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21"/>
  </w:num>
  <w:num w:numId="139">
    <w:abstractNumId w:val="615"/>
  </w:num>
  <w:num w:numId="140">
    <w:abstractNumId w:val="152"/>
  </w:num>
  <w:num w:numId="141">
    <w:abstractNumId w:val="783"/>
  </w:num>
  <w:num w:numId="142">
    <w:abstractNumId w:val="519"/>
  </w:num>
  <w:num w:numId="143">
    <w:abstractNumId w:val="67"/>
  </w:num>
  <w:num w:numId="144">
    <w:abstractNumId w:val="630"/>
  </w:num>
  <w:num w:numId="145">
    <w:abstractNumId w:val="526"/>
  </w:num>
  <w:num w:numId="146">
    <w:abstractNumId w:val="192"/>
  </w:num>
  <w:num w:numId="147">
    <w:abstractNumId w:val="709"/>
  </w:num>
  <w:num w:numId="148">
    <w:abstractNumId w:val="566"/>
  </w:num>
  <w:num w:numId="149">
    <w:abstractNumId w:val="317"/>
  </w:num>
  <w:num w:numId="150">
    <w:abstractNumId w:val="500"/>
  </w:num>
  <w:num w:numId="151">
    <w:abstractNumId w:val="321"/>
  </w:num>
  <w:num w:numId="152">
    <w:abstractNumId w:val="155"/>
  </w:num>
  <w:num w:numId="153">
    <w:abstractNumId w:val="97"/>
  </w:num>
  <w:num w:numId="154">
    <w:abstractNumId w:val="33"/>
  </w:num>
  <w:num w:numId="155">
    <w:abstractNumId w:val="662"/>
  </w:num>
  <w:num w:numId="156">
    <w:abstractNumId w:val="791"/>
  </w:num>
  <w:num w:numId="157">
    <w:abstractNumId w:val="304"/>
  </w:num>
  <w:num w:numId="158">
    <w:abstractNumId w:val="236"/>
  </w:num>
  <w:num w:numId="159">
    <w:abstractNumId w:val="157"/>
  </w:num>
  <w:num w:numId="160">
    <w:abstractNumId w:val="584"/>
  </w:num>
  <w:num w:numId="161">
    <w:abstractNumId w:val="676"/>
  </w:num>
  <w:num w:numId="162">
    <w:abstractNumId w:val="289"/>
  </w:num>
  <w:num w:numId="163">
    <w:abstractNumId w:val="695"/>
  </w:num>
  <w:num w:numId="164">
    <w:abstractNumId w:val="522"/>
  </w:num>
  <w:num w:numId="165">
    <w:abstractNumId w:val="797"/>
  </w:num>
  <w:num w:numId="166">
    <w:abstractNumId w:val="558"/>
  </w:num>
  <w:num w:numId="167">
    <w:abstractNumId w:val="593"/>
  </w:num>
  <w:num w:numId="168">
    <w:abstractNumId w:val="441"/>
  </w:num>
  <w:num w:numId="169">
    <w:abstractNumId w:val="14"/>
  </w:num>
  <w:num w:numId="170">
    <w:abstractNumId w:val="784"/>
  </w:num>
  <w:num w:numId="171">
    <w:abstractNumId w:val="401"/>
  </w:num>
  <w:num w:numId="172">
    <w:abstractNumId w:val="128"/>
  </w:num>
  <w:num w:numId="173">
    <w:abstractNumId w:val="331"/>
  </w:num>
  <w:num w:numId="174">
    <w:abstractNumId w:val="305"/>
  </w:num>
  <w:num w:numId="175">
    <w:abstractNumId w:val="10"/>
  </w:num>
  <w:num w:numId="176">
    <w:abstractNumId w:val="363"/>
  </w:num>
  <w:num w:numId="177">
    <w:abstractNumId w:val="443"/>
  </w:num>
  <w:num w:numId="178">
    <w:abstractNumId w:val="644"/>
  </w:num>
  <w:num w:numId="179">
    <w:abstractNumId w:val="322"/>
  </w:num>
  <w:num w:numId="180">
    <w:abstractNumId w:val="717"/>
  </w:num>
  <w:num w:numId="181">
    <w:abstractNumId w:val="563"/>
  </w:num>
  <w:num w:numId="182">
    <w:abstractNumId w:val="377"/>
  </w:num>
  <w:num w:numId="183">
    <w:abstractNumId w:val="692"/>
  </w:num>
  <w:num w:numId="184">
    <w:abstractNumId w:val="589"/>
  </w:num>
  <w:num w:numId="185">
    <w:abstractNumId w:val="743"/>
  </w:num>
  <w:num w:numId="186">
    <w:abstractNumId w:val="656"/>
  </w:num>
  <w:num w:numId="187">
    <w:abstractNumId w:val="641"/>
  </w:num>
  <w:num w:numId="188">
    <w:abstractNumId w:val="98"/>
  </w:num>
  <w:num w:numId="189">
    <w:abstractNumId w:val="244"/>
  </w:num>
  <w:num w:numId="190">
    <w:abstractNumId w:val="741"/>
  </w:num>
  <w:num w:numId="191">
    <w:abstractNumId w:val="675"/>
  </w:num>
  <w:num w:numId="192">
    <w:abstractNumId w:val="466"/>
  </w:num>
  <w:num w:numId="193">
    <w:abstractNumId w:val="553"/>
  </w:num>
  <w:num w:numId="194">
    <w:abstractNumId w:val="723"/>
  </w:num>
  <w:num w:numId="195">
    <w:abstractNumId w:val="276"/>
  </w:num>
  <w:num w:numId="196">
    <w:abstractNumId w:val="300"/>
  </w:num>
  <w:num w:numId="197">
    <w:abstractNumId w:val="229"/>
  </w:num>
  <w:num w:numId="198">
    <w:abstractNumId w:val="680"/>
  </w:num>
  <w:num w:numId="199">
    <w:abstractNumId w:val="498"/>
  </w:num>
  <w:num w:numId="200">
    <w:abstractNumId w:val="349"/>
  </w:num>
  <w:num w:numId="201">
    <w:abstractNumId w:val="294"/>
  </w:num>
  <w:num w:numId="202">
    <w:abstractNumId w:val="636"/>
  </w:num>
  <w:num w:numId="203">
    <w:abstractNumId w:val="263"/>
  </w:num>
  <w:num w:numId="204">
    <w:abstractNumId w:val="22"/>
  </w:num>
  <w:num w:numId="205">
    <w:abstractNumId w:val="601"/>
  </w:num>
  <w:num w:numId="206">
    <w:abstractNumId w:val="314"/>
  </w:num>
  <w:num w:numId="207">
    <w:abstractNumId w:val="356"/>
  </w:num>
  <w:num w:numId="208">
    <w:abstractNumId w:val="465"/>
  </w:num>
  <w:num w:numId="209">
    <w:abstractNumId w:val="560"/>
  </w:num>
  <w:num w:numId="210">
    <w:abstractNumId w:val="725"/>
  </w:num>
  <w:num w:numId="211">
    <w:abstractNumId w:val="48"/>
  </w:num>
  <w:num w:numId="212">
    <w:abstractNumId w:val="58"/>
  </w:num>
  <w:num w:numId="213">
    <w:abstractNumId w:val="768"/>
  </w:num>
  <w:num w:numId="214">
    <w:abstractNumId w:val="209"/>
  </w:num>
  <w:num w:numId="215">
    <w:abstractNumId w:val="499"/>
  </w:num>
  <w:num w:numId="216">
    <w:abstractNumId w:val="256"/>
  </w:num>
  <w:num w:numId="217">
    <w:abstractNumId w:val="678"/>
  </w:num>
  <w:num w:numId="218">
    <w:abstractNumId w:val="91"/>
  </w:num>
  <w:num w:numId="219">
    <w:abstractNumId w:val="326"/>
  </w:num>
  <w:num w:numId="220">
    <w:abstractNumId w:val="559"/>
  </w:num>
  <w:num w:numId="221">
    <w:abstractNumId w:val="45"/>
  </w:num>
  <w:num w:numId="222">
    <w:abstractNumId w:val="431"/>
  </w:num>
  <w:num w:numId="223">
    <w:abstractNumId w:val="438"/>
  </w:num>
  <w:num w:numId="224">
    <w:abstractNumId w:val="820"/>
  </w:num>
  <w:num w:numId="225">
    <w:abstractNumId w:val="388"/>
  </w:num>
  <w:num w:numId="226">
    <w:abstractNumId w:val="682"/>
  </w:num>
  <w:num w:numId="227">
    <w:abstractNumId w:val="747"/>
  </w:num>
  <w:num w:numId="228">
    <w:abstractNumId w:val="151"/>
  </w:num>
  <w:num w:numId="229">
    <w:abstractNumId w:val="542"/>
  </w:num>
  <w:num w:numId="230">
    <w:abstractNumId w:val="724"/>
  </w:num>
  <w:num w:numId="231">
    <w:abstractNumId w:val="439"/>
  </w:num>
  <w:num w:numId="232">
    <w:abstractNumId w:val="509"/>
  </w:num>
  <w:num w:numId="233">
    <w:abstractNumId w:val="40"/>
  </w:num>
  <w:num w:numId="234">
    <w:abstractNumId w:val="428"/>
  </w:num>
  <w:num w:numId="235">
    <w:abstractNumId w:val="279"/>
  </w:num>
  <w:num w:numId="236">
    <w:abstractNumId w:val="166"/>
  </w:num>
  <w:num w:numId="237">
    <w:abstractNumId w:val="437"/>
  </w:num>
  <w:num w:numId="238">
    <w:abstractNumId w:val="248"/>
  </w:num>
  <w:num w:numId="239">
    <w:abstractNumId w:val="285"/>
  </w:num>
  <w:num w:numId="240">
    <w:abstractNumId w:val="339"/>
  </w:num>
  <w:num w:numId="241">
    <w:abstractNumId w:val="452"/>
  </w:num>
  <w:num w:numId="242">
    <w:abstractNumId w:val="585"/>
  </w:num>
  <w:num w:numId="243">
    <w:abstractNumId w:val="186"/>
  </w:num>
  <w:num w:numId="244">
    <w:abstractNumId w:val="34"/>
  </w:num>
  <w:num w:numId="245">
    <w:abstractNumId w:val="496"/>
  </w:num>
  <w:num w:numId="246">
    <w:abstractNumId w:val="355"/>
  </w:num>
  <w:num w:numId="247">
    <w:abstractNumId w:val="648"/>
  </w:num>
  <w:num w:numId="248">
    <w:abstractNumId w:val="726"/>
  </w:num>
  <w:num w:numId="249">
    <w:abstractNumId w:val="491"/>
  </w:num>
  <w:num w:numId="250">
    <w:abstractNumId w:val="517"/>
  </w:num>
  <w:num w:numId="251">
    <w:abstractNumId w:val="394"/>
  </w:num>
  <w:num w:numId="252">
    <w:abstractNumId w:val="612"/>
  </w:num>
  <w:num w:numId="253">
    <w:abstractNumId w:val="528"/>
  </w:num>
  <w:num w:numId="254">
    <w:abstractNumId w:val="378"/>
  </w:num>
  <w:num w:numId="255">
    <w:abstractNumId w:val="146"/>
  </w:num>
  <w:num w:numId="256">
    <w:abstractNumId w:val="762"/>
  </w:num>
  <w:num w:numId="257">
    <w:abstractNumId w:val="489"/>
  </w:num>
  <w:num w:numId="258">
    <w:abstractNumId w:val="36"/>
  </w:num>
  <w:num w:numId="259">
    <w:abstractNumId w:val="115"/>
  </w:num>
  <w:num w:numId="260">
    <w:abstractNumId w:val="21"/>
  </w:num>
  <w:num w:numId="261">
    <w:abstractNumId w:val="670"/>
  </w:num>
  <w:num w:numId="262">
    <w:abstractNumId w:val="398"/>
  </w:num>
  <w:num w:numId="263">
    <w:abstractNumId w:val="647"/>
  </w:num>
  <w:num w:numId="264">
    <w:abstractNumId w:val="16"/>
  </w:num>
  <w:num w:numId="265">
    <w:abstractNumId w:val="144"/>
  </w:num>
  <w:num w:numId="266">
    <w:abstractNumId w:val="583"/>
  </w:num>
  <w:num w:numId="267">
    <w:abstractNumId w:val="631"/>
  </w:num>
  <w:num w:numId="268">
    <w:abstractNumId w:val="13"/>
  </w:num>
  <w:num w:numId="269">
    <w:abstractNumId w:val="233"/>
  </w:num>
  <w:num w:numId="270">
    <w:abstractNumId w:val="213"/>
  </w:num>
  <w:num w:numId="271">
    <w:abstractNumId w:val="587"/>
  </w:num>
  <w:num w:numId="272">
    <w:abstractNumId w:val="544"/>
  </w:num>
  <w:num w:numId="273">
    <w:abstractNumId w:val="804"/>
  </w:num>
  <w:num w:numId="274">
    <w:abstractNumId w:val="572"/>
  </w:num>
  <w:num w:numId="275">
    <w:abstractNumId w:val="343"/>
  </w:num>
  <w:num w:numId="276">
    <w:abstractNumId w:val="787"/>
  </w:num>
  <w:num w:numId="277">
    <w:abstractNumId w:val="20"/>
  </w:num>
  <w:num w:numId="278">
    <w:abstractNumId w:val="288"/>
  </w:num>
  <w:num w:numId="279">
    <w:abstractNumId w:val="688"/>
  </w:num>
  <w:num w:numId="280">
    <w:abstractNumId w:val="141"/>
  </w:num>
  <w:num w:numId="281">
    <w:abstractNumId w:val="713"/>
  </w:num>
  <w:num w:numId="282">
    <w:abstractNumId w:val="191"/>
  </w:num>
  <w:num w:numId="283">
    <w:abstractNumId w:val="116"/>
  </w:num>
  <w:num w:numId="284">
    <w:abstractNumId w:val="537"/>
  </w:num>
  <w:num w:numId="285">
    <w:abstractNumId w:val="323"/>
  </w:num>
  <w:num w:numId="286">
    <w:abstractNumId w:val="535"/>
  </w:num>
  <w:num w:numId="287">
    <w:abstractNumId w:val="771"/>
  </w:num>
  <w:num w:numId="288">
    <w:abstractNumId w:val="82"/>
  </w:num>
  <w:num w:numId="289">
    <w:abstractNumId w:val="320"/>
  </w:num>
  <w:num w:numId="290">
    <w:abstractNumId w:val="706"/>
  </w:num>
  <w:num w:numId="291">
    <w:abstractNumId w:val="714"/>
  </w:num>
  <w:num w:numId="292">
    <w:abstractNumId w:val="469"/>
  </w:num>
  <w:num w:numId="293">
    <w:abstractNumId w:val="433"/>
  </w:num>
  <w:num w:numId="294">
    <w:abstractNumId w:val="380"/>
  </w:num>
  <w:num w:numId="295">
    <w:abstractNumId w:val="109"/>
  </w:num>
  <w:num w:numId="296">
    <w:abstractNumId w:val="90"/>
  </w:num>
  <w:num w:numId="297">
    <w:abstractNumId w:val="538"/>
  </w:num>
  <w:num w:numId="298">
    <w:abstractNumId w:val="135"/>
  </w:num>
  <w:num w:numId="299">
    <w:abstractNumId w:val="708"/>
  </w:num>
  <w:num w:numId="300">
    <w:abstractNumId w:val="74"/>
  </w:num>
  <w:num w:numId="301">
    <w:abstractNumId w:val="365"/>
  </w:num>
  <w:num w:numId="302">
    <w:abstractNumId w:val="131"/>
  </w:num>
  <w:num w:numId="303">
    <w:abstractNumId w:val="158"/>
  </w:num>
  <w:num w:numId="304">
    <w:abstractNumId w:val="261"/>
  </w:num>
  <w:num w:numId="305">
    <w:abstractNumId w:val="781"/>
  </w:num>
  <w:num w:numId="306">
    <w:abstractNumId w:val="574"/>
  </w:num>
  <w:num w:numId="307">
    <w:abstractNumId w:val="344"/>
  </w:num>
  <w:num w:numId="308">
    <w:abstractNumId w:val="790"/>
  </w:num>
  <w:num w:numId="309">
    <w:abstractNumId w:val="796"/>
  </w:num>
  <w:num w:numId="310">
    <w:abstractNumId w:val="354"/>
  </w:num>
  <w:num w:numId="311">
    <w:abstractNumId w:val="372"/>
  </w:num>
  <w:num w:numId="312">
    <w:abstractNumId w:val="405"/>
  </w:num>
  <w:num w:numId="313">
    <w:abstractNumId w:val="773"/>
  </w:num>
  <w:num w:numId="314">
    <w:abstractNumId w:val="139"/>
  </w:num>
  <w:num w:numId="315">
    <w:abstractNumId w:val="510"/>
  </w:num>
  <w:num w:numId="316">
    <w:abstractNumId w:val="120"/>
  </w:num>
  <w:num w:numId="317">
    <w:abstractNumId w:val="487"/>
  </w:num>
  <w:num w:numId="318">
    <w:abstractNumId w:val="480"/>
  </w:num>
  <w:num w:numId="319">
    <w:abstractNumId w:val="448"/>
  </w:num>
  <w:num w:numId="320">
    <w:abstractNumId w:val="777"/>
  </w:num>
  <w:num w:numId="321">
    <w:abstractNumId w:val="691"/>
  </w:num>
  <w:num w:numId="322">
    <w:abstractNumId w:val="226"/>
  </w:num>
  <w:num w:numId="323">
    <w:abstractNumId w:val="353"/>
  </w:num>
  <w:num w:numId="324">
    <w:abstractNumId w:val="243"/>
  </w:num>
  <w:num w:numId="325">
    <w:abstractNumId w:val="606"/>
  </w:num>
  <w:num w:numId="326">
    <w:abstractNumId w:val="478"/>
  </w:num>
  <w:num w:numId="327">
    <w:abstractNumId w:val="122"/>
  </w:num>
  <w:num w:numId="328">
    <w:abstractNumId w:val="169"/>
  </w:num>
  <w:num w:numId="329">
    <w:abstractNumId w:val="292"/>
  </w:num>
  <w:num w:numId="330">
    <w:abstractNumId w:val="234"/>
  </w:num>
  <w:num w:numId="331">
    <w:abstractNumId w:val="198"/>
  </w:num>
  <w:num w:numId="332">
    <w:abstractNumId w:val="30"/>
  </w:num>
  <w:num w:numId="333">
    <w:abstractNumId w:val="689"/>
  </w:num>
  <w:num w:numId="334">
    <w:abstractNumId w:val="308"/>
  </w:num>
  <w:num w:numId="335">
    <w:abstractNumId w:val="515"/>
  </w:num>
  <w:num w:numId="336">
    <w:abstractNumId w:val="765"/>
  </w:num>
  <w:num w:numId="337">
    <w:abstractNumId w:val="163"/>
  </w:num>
  <w:num w:numId="338">
    <w:abstractNumId w:val="386"/>
  </w:num>
  <w:num w:numId="339">
    <w:abstractNumId w:val="702"/>
  </w:num>
  <w:num w:numId="340">
    <w:abstractNumId w:val="89"/>
  </w:num>
  <w:num w:numId="341">
    <w:abstractNumId w:val="164"/>
  </w:num>
  <w:num w:numId="342">
    <w:abstractNumId w:val="255"/>
  </w:num>
  <w:num w:numId="343">
    <w:abstractNumId w:val="42"/>
  </w:num>
  <w:num w:numId="344">
    <w:abstractNumId w:val="232"/>
  </w:num>
  <w:num w:numId="345">
    <w:abstractNumId w:val="473"/>
  </w:num>
  <w:num w:numId="346">
    <w:abstractNumId w:val="217"/>
  </w:num>
  <w:num w:numId="347">
    <w:abstractNumId w:val="79"/>
  </w:num>
  <w:num w:numId="348">
    <w:abstractNumId w:val="557"/>
  </w:num>
  <w:num w:numId="349">
    <w:abstractNumId w:val="673"/>
  </w:num>
  <w:num w:numId="350">
    <w:abstractNumId w:val="594"/>
  </w:num>
  <w:num w:numId="351">
    <w:abstractNumId w:val="476"/>
  </w:num>
  <w:num w:numId="352">
    <w:abstractNumId w:val="242"/>
  </w:num>
  <w:num w:numId="353">
    <w:abstractNumId w:val="756"/>
  </w:num>
  <w:num w:numId="354">
    <w:abstractNumId w:val="690"/>
  </w:num>
  <w:num w:numId="355">
    <w:abstractNumId w:val="257"/>
  </w:num>
  <w:num w:numId="356">
    <w:abstractNumId w:val="561"/>
  </w:num>
  <w:num w:numId="357">
    <w:abstractNumId w:val="764"/>
  </w:num>
  <w:num w:numId="358">
    <w:abstractNumId w:val="273"/>
  </w:num>
  <w:num w:numId="359">
    <w:abstractNumId w:val="337"/>
  </w:num>
  <w:num w:numId="360">
    <w:abstractNumId w:val="468"/>
  </w:num>
  <w:num w:numId="361">
    <w:abstractNumId w:val="376"/>
  </w:num>
  <w:num w:numId="362">
    <w:abstractNumId w:val="752"/>
  </w:num>
  <w:num w:numId="363">
    <w:abstractNumId w:val="167"/>
  </w:num>
  <w:num w:numId="364">
    <w:abstractNumId w:val="658"/>
  </w:num>
  <w:num w:numId="365">
    <w:abstractNumId w:val="653"/>
  </w:num>
  <w:num w:numId="366">
    <w:abstractNumId w:val="24"/>
  </w:num>
  <w:num w:numId="367">
    <w:abstractNumId w:val="533"/>
  </w:num>
  <w:num w:numId="368">
    <w:abstractNumId w:val="284"/>
  </w:num>
  <w:num w:numId="369">
    <w:abstractNumId w:val="711"/>
  </w:num>
  <w:num w:numId="370">
    <w:abstractNumId w:val="382"/>
  </w:num>
  <w:num w:numId="371">
    <w:abstractNumId w:val="530"/>
  </w:num>
  <w:num w:numId="372">
    <w:abstractNumId w:val="430"/>
  </w:num>
  <w:num w:numId="373">
    <w:abstractNumId w:val="633"/>
  </w:num>
  <w:num w:numId="374">
    <w:abstractNumId w:val="41"/>
  </w:num>
  <w:num w:numId="375">
    <w:abstractNumId w:val="793"/>
  </w:num>
  <w:num w:numId="376">
    <w:abstractNumId w:val="77"/>
  </w:num>
  <w:num w:numId="377">
    <w:abstractNumId w:val="251"/>
  </w:num>
  <w:num w:numId="378">
    <w:abstractNumId w:val="822"/>
  </w:num>
  <w:num w:numId="379">
    <w:abstractNumId w:val="501"/>
  </w:num>
  <w:num w:numId="380">
    <w:abstractNumId w:val="483"/>
  </w:num>
  <w:num w:numId="381">
    <w:abstractNumId w:val="208"/>
  </w:num>
  <w:num w:numId="382">
    <w:abstractNumId w:val="275"/>
  </w:num>
  <w:num w:numId="383">
    <w:abstractNumId w:val="340"/>
  </w:num>
  <w:num w:numId="384">
    <w:abstractNumId w:val="610"/>
  </w:num>
  <w:num w:numId="385">
    <w:abstractNumId w:val="295"/>
  </w:num>
  <w:num w:numId="386">
    <w:abstractNumId w:val="238"/>
  </w:num>
  <w:num w:numId="387">
    <w:abstractNumId w:val="238"/>
    <w:lvlOverride w:ilvl="0"/>
    <w:lvlOverride w:ilvl="1"/>
    <w:lvlOverride w:ilvl="2"/>
    <w:lvlOverride w:ilvl="3"/>
    <w:lvlOverride w:ilvl="4"/>
    <w:lvlOverride w:ilvl="5"/>
    <w:lvlOverride w:ilvl="6"/>
    <w:lvlOverride w:ilvl="7"/>
    <w:lvlOverride w:ilvl="8"/>
  </w:num>
  <w:num w:numId="388">
    <w:abstractNumId w:val="203"/>
  </w:num>
  <w:num w:numId="389">
    <w:abstractNumId w:val="133"/>
  </w:num>
  <w:num w:numId="390">
    <w:abstractNumId w:val="298"/>
  </w:num>
  <w:num w:numId="391">
    <w:abstractNumId w:val="23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570"/>
  </w:num>
  <w:num w:numId="393">
    <w:abstractNumId w:val="138"/>
  </w:num>
  <w:num w:numId="394">
    <w:abstractNumId w:val="716"/>
  </w:num>
  <w:num w:numId="395">
    <w:abstractNumId w:val="7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716"/>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318"/>
  </w:num>
  <w:num w:numId="398">
    <w:abstractNumId w:val="551"/>
  </w:num>
  <w:num w:numId="399">
    <w:abstractNumId w:val="15"/>
  </w:num>
  <w:num w:numId="400">
    <w:abstractNumId w:val="548"/>
  </w:num>
  <w:num w:numId="401">
    <w:abstractNumId w:val="668"/>
  </w:num>
  <w:num w:numId="402">
    <w:abstractNumId w:val="794"/>
  </w:num>
  <w:num w:numId="403">
    <w:abstractNumId w:val="383"/>
  </w:num>
  <w:num w:numId="404">
    <w:abstractNumId w:val="187"/>
  </w:num>
  <w:num w:numId="405">
    <w:abstractNumId w:val="751"/>
  </w:num>
  <w:num w:numId="406">
    <w:abstractNumId w:val="545"/>
  </w:num>
  <w:num w:numId="407">
    <w:abstractNumId w:val="434"/>
  </w:num>
  <w:num w:numId="408">
    <w:abstractNumId w:val="459"/>
  </w:num>
  <w:num w:numId="409">
    <w:abstractNumId w:val="626"/>
  </w:num>
  <w:num w:numId="410">
    <w:abstractNumId w:val="677"/>
  </w:num>
  <w:num w:numId="411">
    <w:abstractNumId w:val="624"/>
  </w:num>
  <w:num w:numId="412">
    <w:abstractNumId w:val="173"/>
  </w:num>
  <w:num w:numId="413">
    <w:abstractNumId w:val="571"/>
  </w:num>
  <w:num w:numId="414">
    <w:abstractNumId w:val="779"/>
  </w:num>
  <w:num w:numId="415">
    <w:abstractNumId w:val="809"/>
  </w:num>
  <w:num w:numId="416">
    <w:abstractNumId w:val="52"/>
  </w:num>
  <w:num w:numId="417">
    <w:abstractNumId w:val="65"/>
  </w:num>
  <w:num w:numId="418">
    <w:abstractNumId w:val="649"/>
  </w:num>
  <w:num w:numId="419">
    <w:abstractNumId w:val="111"/>
  </w:num>
  <w:num w:numId="420">
    <w:abstractNumId w:val="696"/>
  </w:num>
  <w:num w:numId="421">
    <w:abstractNumId w:val="176"/>
  </w:num>
  <w:num w:numId="422">
    <w:abstractNumId w:val="218"/>
  </w:num>
  <w:num w:numId="423">
    <w:abstractNumId w:val="495"/>
  </w:num>
  <w:num w:numId="424">
    <w:abstractNumId w:val="800"/>
  </w:num>
  <w:num w:numId="425">
    <w:abstractNumId w:val="270"/>
  </w:num>
  <w:num w:numId="426">
    <w:abstractNumId w:val="573"/>
  </w:num>
  <w:num w:numId="427">
    <w:abstractNumId w:val="87"/>
  </w:num>
  <w:num w:numId="428">
    <w:abstractNumId w:val="400"/>
  </w:num>
  <w:num w:numId="429">
    <w:abstractNumId w:val="220"/>
  </w:num>
  <w:num w:numId="430">
    <w:abstractNumId w:val="26"/>
  </w:num>
  <w:num w:numId="431">
    <w:abstractNumId w:val="451"/>
  </w:num>
  <w:num w:numId="432">
    <w:abstractNumId w:val="639"/>
  </w:num>
  <w:num w:numId="433">
    <w:abstractNumId w:val="302"/>
  </w:num>
  <w:num w:numId="434">
    <w:abstractNumId w:val="165"/>
  </w:num>
  <w:num w:numId="435">
    <w:abstractNumId w:val="247"/>
  </w:num>
  <w:num w:numId="436">
    <w:abstractNumId w:val="360"/>
  </w:num>
  <w:num w:numId="437">
    <w:abstractNumId w:val="818"/>
  </w:num>
  <w:num w:numId="438">
    <w:abstractNumId w:val="807"/>
  </w:num>
  <w:num w:numId="439">
    <w:abstractNumId w:val="371"/>
  </w:num>
  <w:num w:numId="440">
    <w:abstractNumId w:val="502"/>
  </w:num>
  <w:num w:numId="441">
    <w:abstractNumId w:val="119"/>
  </w:num>
  <w:num w:numId="442">
    <w:abstractNumId w:val="85"/>
  </w:num>
  <w:num w:numId="443">
    <w:abstractNumId w:val="78"/>
  </w:num>
  <w:num w:numId="444">
    <w:abstractNumId w:val="145"/>
  </w:num>
  <w:num w:numId="445">
    <w:abstractNumId w:val="485"/>
  </w:num>
  <w:num w:numId="446">
    <w:abstractNumId w:val="775"/>
  </w:num>
  <w:num w:numId="447">
    <w:abstractNumId w:val="347"/>
  </w:num>
  <w:num w:numId="448">
    <w:abstractNumId w:val="792"/>
  </w:num>
  <w:num w:numId="449">
    <w:abstractNumId w:val="786"/>
  </w:num>
  <w:num w:numId="450">
    <w:abstractNumId w:val="150"/>
  </w:num>
  <w:num w:numId="451">
    <w:abstractNumId w:val="369"/>
  </w:num>
  <w:num w:numId="452">
    <w:abstractNumId w:val="181"/>
  </w:num>
  <w:num w:numId="453">
    <w:abstractNumId w:val="316"/>
  </w:num>
  <w:num w:numId="454">
    <w:abstractNumId w:val="475"/>
  </w:num>
  <w:num w:numId="455">
    <w:abstractNumId w:val="136"/>
  </w:num>
  <w:num w:numId="456">
    <w:abstractNumId w:val="718"/>
  </w:num>
  <w:num w:numId="457">
    <w:abstractNumId w:val="336"/>
  </w:num>
  <w:num w:numId="458">
    <w:abstractNumId w:val="513"/>
  </w:num>
  <w:num w:numId="459">
    <w:abstractNumId w:val="147"/>
  </w:num>
  <w:num w:numId="460">
    <w:abstractNumId w:val="654"/>
  </w:num>
  <w:num w:numId="461">
    <w:abstractNumId w:val="453"/>
  </w:num>
  <w:num w:numId="462">
    <w:abstractNumId w:val="107"/>
  </w:num>
  <w:num w:numId="463">
    <w:abstractNumId w:val="402"/>
  </w:num>
  <w:num w:numId="464">
    <w:abstractNumId w:val="86"/>
  </w:num>
  <w:num w:numId="465">
    <w:abstractNumId w:val="83"/>
  </w:num>
  <w:num w:numId="466">
    <w:abstractNumId w:val="127"/>
  </w:num>
  <w:num w:numId="467">
    <w:abstractNumId w:val="274"/>
  </w:num>
  <w:num w:numId="468">
    <w:abstractNumId w:val="523"/>
  </w:num>
  <w:num w:numId="469">
    <w:abstractNumId w:val="776"/>
  </w:num>
  <w:num w:numId="470">
    <w:abstractNumId w:val="104"/>
  </w:num>
  <w:num w:numId="471">
    <w:abstractNumId w:val="49"/>
  </w:num>
  <w:num w:numId="472">
    <w:abstractNumId w:val="373"/>
  </w:num>
  <w:num w:numId="473">
    <w:abstractNumId w:val="182"/>
  </w:num>
  <w:num w:numId="474">
    <w:abstractNumId w:val="330"/>
  </w:num>
  <w:num w:numId="475">
    <w:abstractNumId w:val="170"/>
  </w:num>
  <w:num w:numId="476">
    <w:abstractNumId w:val="467"/>
  </w:num>
  <w:num w:numId="477">
    <w:abstractNumId w:val="727"/>
  </w:num>
  <w:num w:numId="478">
    <w:abstractNumId w:val="172"/>
  </w:num>
  <w:num w:numId="479">
    <w:abstractNumId w:val="325"/>
  </w:num>
  <w:num w:numId="480">
    <w:abstractNumId w:val="531"/>
  </w:num>
  <w:num w:numId="481">
    <w:abstractNumId w:val="287"/>
  </w:num>
  <w:num w:numId="482">
    <w:abstractNumId w:val="628"/>
  </w:num>
  <w:num w:numId="483">
    <w:abstractNumId w:val="370"/>
  </w:num>
  <w:num w:numId="484">
    <w:abstractNumId w:val="760"/>
  </w:num>
  <w:num w:numId="485">
    <w:abstractNumId w:val="552"/>
  </w:num>
  <w:num w:numId="486">
    <w:abstractNumId w:val="426"/>
  </w:num>
  <w:num w:numId="487">
    <w:abstractNumId w:val="614"/>
  </w:num>
  <w:num w:numId="488">
    <w:abstractNumId w:val="27"/>
  </w:num>
  <w:num w:numId="489">
    <w:abstractNumId w:val="350"/>
  </w:num>
  <w:num w:numId="490">
    <w:abstractNumId w:val="154"/>
  </w:num>
  <w:num w:numId="491">
    <w:abstractNumId w:val="657"/>
  </w:num>
  <w:num w:numId="492">
    <w:abstractNumId w:val="591"/>
  </w:num>
  <w:num w:numId="493">
    <w:abstractNumId w:val="436"/>
  </w:num>
  <w:num w:numId="494">
    <w:abstractNumId w:val="134"/>
  </w:num>
  <w:num w:numId="495">
    <w:abstractNumId w:val="44"/>
  </w:num>
  <w:num w:numId="496">
    <w:abstractNumId w:val="450"/>
  </w:num>
  <w:num w:numId="497">
    <w:abstractNumId w:val="811"/>
  </w:num>
  <w:num w:numId="498">
    <w:abstractNumId w:val="174"/>
  </w:num>
  <w:num w:numId="499">
    <w:abstractNumId w:val="655"/>
  </w:num>
  <w:num w:numId="500">
    <w:abstractNumId w:val="588"/>
  </w:num>
  <w:num w:numId="501">
    <w:abstractNumId w:val="730"/>
  </w:num>
  <w:num w:numId="502">
    <w:abstractNumId w:val="520"/>
  </w:num>
  <w:num w:numId="503">
    <w:abstractNumId w:val="368"/>
  </w:num>
  <w:num w:numId="504">
    <w:abstractNumId w:val="728"/>
  </w:num>
  <w:num w:numId="505">
    <w:abstractNumId w:val="627"/>
  </w:num>
  <w:num w:numId="506">
    <w:abstractNumId w:val="605"/>
  </w:num>
  <w:num w:numId="507">
    <w:abstractNumId w:val="286"/>
  </w:num>
  <w:num w:numId="508">
    <w:abstractNumId w:val="70"/>
  </w:num>
  <w:num w:numId="509">
    <w:abstractNumId w:val="223"/>
  </w:num>
  <w:num w:numId="510">
    <w:abstractNumId w:val="597"/>
  </w:num>
  <w:num w:numId="511">
    <w:abstractNumId w:val="504"/>
  </w:num>
  <w:num w:numId="512">
    <w:abstractNumId w:val="722"/>
  </w:num>
  <w:num w:numId="513">
    <w:abstractNumId w:val="32"/>
  </w:num>
  <w:num w:numId="514">
    <w:abstractNumId w:val="239"/>
  </w:num>
  <w:num w:numId="515">
    <w:abstractNumId w:val="177"/>
  </w:num>
  <w:num w:numId="516">
    <w:abstractNumId w:val="75"/>
  </w:num>
  <w:num w:numId="517">
    <w:abstractNumId w:val="546"/>
  </w:num>
  <w:num w:numId="518">
    <w:abstractNumId w:val="219"/>
  </w:num>
  <w:num w:numId="519">
    <w:abstractNumId w:val="746"/>
  </w:num>
  <w:num w:numId="520">
    <w:abstractNumId w:val="227"/>
  </w:num>
  <w:num w:numId="521">
    <w:abstractNumId w:val="729"/>
  </w:num>
  <w:num w:numId="522">
    <w:abstractNumId w:val="39"/>
  </w:num>
  <w:num w:numId="523">
    <w:abstractNumId w:val="617"/>
  </w:num>
  <w:num w:numId="524">
    <w:abstractNumId w:val="514"/>
  </w:num>
  <w:num w:numId="525">
    <w:abstractNumId w:val="652"/>
  </w:num>
  <w:num w:numId="526">
    <w:abstractNumId w:val="307"/>
  </w:num>
  <w:num w:numId="527">
    <w:abstractNumId w:val="686"/>
  </w:num>
  <w:num w:numId="528">
    <w:abstractNumId w:val="230"/>
  </w:num>
  <w:num w:numId="529">
    <w:abstractNumId w:val="737"/>
  </w:num>
  <w:num w:numId="530">
    <w:abstractNumId w:val="241"/>
  </w:num>
  <w:num w:numId="531">
    <w:abstractNumId w:val="205"/>
  </w:num>
  <w:num w:numId="532">
    <w:abstractNumId w:val="171"/>
  </w:num>
  <w:num w:numId="533">
    <w:abstractNumId w:val="281"/>
  </w:num>
  <w:num w:numId="534">
    <w:abstractNumId w:val="12"/>
  </w:num>
  <w:num w:numId="535">
    <w:abstractNumId w:val="359"/>
  </w:num>
  <w:num w:numId="536">
    <w:abstractNumId w:val="715"/>
  </w:num>
  <w:num w:numId="537">
    <w:abstractNumId w:val="540"/>
  </w:num>
  <w:num w:numId="538">
    <w:abstractNumId w:val="618"/>
  </w:num>
  <w:num w:numId="539">
    <w:abstractNumId w:val="17"/>
  </w:num>
  <w:num w:numId="540">
    <w:abstractNumId w:val="534"/>
  </w:num>
  <w:num w:numId="541">
    <w:abstractNumId w:val="604"/>
  </w:num>
  <w:num w:numId="542">
    <w:abstractNumId w:val="667"/>
  </w:num>
  <w:num w:numId="543">
    <w:abstractNumId w:val="11"/>
  </w:num>
  <w:num w:numId="544">
    <w:abstractNumId w:val="301"/>
  </w:num>
  <w:num w:numId="545">
    <w:abstractNumId w:val="69"/>
  </w:num>
  <w:num w:numId="546">
    <w:abstractNumId w:val="129"/>
  </w:num>
  <w:num w:numId="547">
    <w:abstractNumId w:val="204"/>
  </w:num>
  <w:num w:numId="548">
    <w:abstractNumId w:val="595"/>
  </w:num>
  <w:num w:numId="549">
    <w:abstractNumId w:val="193"/>
  </w:num>
  <w:num w:numId="550">
    <w:abstractNumId w:val="95"/>
  </w:num>
  <w:num w:numId="551">
    <w:abstractNumId w:val="396"/>
  </w:num>
  <w:num w:numId="552">
    <w:abstractNumId w:val="798"/>
  </w:num>
  <w:num w:numId="553">
    <w:abstractNumId w:val="554"/>
  </w:num>
  <w:num w:numId="554">
    <w:abstractNumId w:val="35"/>
  </w:num>
  <w:num w:numId="555">
    <w:abstractNumId w:val="698"/>
  </w:num>
  <w:num w:numId="556">
    <w:abstractNumId w:val="312"/>
  </w:num>
  <w:num w:numId="557">
    <w:abstractNumId w:val="629"/>
  </w:num>
  <w:num w:numId="558">
    <w:abstractNumId w:val="757"/>
  </w:num>
  <w:num w:numId="559">
    <w:abstractNumId w:val="456"/>
  </w:num>
  <w:num w:numId="560">
    <w:abstractNumId w:val="833"/>
  </w:num>
  <w:num w:numId="561">
    <w:abstractNumId w:val="259"/>
  </w:num>
  <w:num w:numId="562">
    <w:abstractNumId w:val="194"/>
  </w:num>
  <w:num w:numId="563">
    <w:abstractNumId w:val="699"/>
  </w:num>
  <w:num w:numId="564">
    <w:abstractNumId w:val="474"/>
  </w:num>
  <w:num w:numId="565">
    <w:abstractNumId w:val="740"/>
  </w:num>
  <w:num w:numId="566">
    <w:abstractNumId w:val="303"/>
  </w:num>
  <w:num w:numId="567">
    <w:abstractNumId w:val="50"/>
  </w:num>
  <w:num w:numId="568">
    <w:abstractNumId w:val="472"/>
  </w:num>
  <w:num w:numId="569">
    <w:abstractNumId w:val="381"/>
  </w:num>
  <w:num w:numId="570">
    <w:abstractNumId w:val="603"/>
  </w:num>
  <w:num w:numId="571">
    <w:abstractNumId w:val="720"/>
  </w:num>
  <w:num w:numId="572">
    <w:abstractNumId w:val="581"/>
  </w:num>
  <w:num w:numId="573">
    <w:abstractNumId w:val="774"/>
  </w:num>
  <w:num w:numId="574">
    <w:abstractNumId w:val="622"/>
  </w:num>
  <w:num w:numId="575">
    <w:abstractNumId w:val="414"/>
  </w:num>
  <w:num w:numId="576">
    <w:abstractNumId w:val="142"/>
  </w:num>
  <w:num w:numId="577">
    <w:abstractNumId w:val="640"/>
  </w:num>
  <w:num w:numId="578">
    <w:abstractNumId w:val="105"/>
  </w:num>
  <w:num w:numId="579">
    <w:abstractNumId w:val="755"/>
  </w:num>
  <w:num w:numId="580">
    <w:abstractNumId w:val="260"/>
  </w:num>
  <w:num w:numId="581">
    <w:abstractNumId w:val="216"/>
  </w:num>
  <w:num w:numId="582">
    <w:abstractNumId w:val="190"/>
  </w:num>
  <w:num w:numId="583">
    <w:abstractNumId w:val="555"/>
  </w:num>
  <w:num w:numId="584">
    <w:abstractNumId w:val="214"/>
  </w:num>
  <w:num w:numId="585">
    <w:abstractNumId w:val="705"/>
  </w:num>
  <w:num w:numId="586">
    <w:abstractNumId w:val="462"/>
  </w:num>
  <w:num w:numId="587">
    <w:abstractNumId w:val="202"/>
  </w:num>
  <w:num w:numId="588">
    <w:abstractNumId w:val="62"/>
  </w:num>
  <w:num w:numId="589">
    <w:abstractNumId w:val="403"/>
  </w:num>
  <w:num w:numId="590">
    <w:abstractNumId w:val="113"/>
  </w:num>
  <w:num w:numId="591">
    <w:abstractNumId w:val="156"/>
  </w:num>
  <w:num w:numId="592">
    <w:abstractNumId w:val="651"/>
  </w:num>
  <w:num w:numId="593">
    <w:abstractNumId w:val="694"/>
  </w:num>
  <w:num w:numId="594">
    <w:abstractNumId w:val="832"/>
  </w:num>
  <w:num w:numId="595">
    <w:abstractNumId w:val="568"/>
  </w:num>
  <w:num w:numId="596">
    <w:abstractNumId w:val="482"/>
  </w:num>
  <w:num w:numId="597">
    <w:abstractNumId w:val="596"/>
  </w:num>
  <w:num w:numId="598">
    <w:abstractNumId w:val="457"/>
  </w:num>
  <w:num w:numId="599">
    <w:abstractNumId w:val="789"/>
  </w:num>
  <w:num w:numId="600">
    <w:abstractNumId w:val="346"/>
  </w:num>
  <w:num w:numId="601">
    <w:abstractNumId w:val="770"/>
  </w:num>
  <w:num w:numId="602">
    <w:abstractNumId w:val="421"/>
  </w:num>
  <w:num w:numId="603">
    <w:abstractNumId w:val="731"/>
  </w:num>
  <w:num w:numId="604">
    <w:abstractNumId w:val="710"/>
  </w:num>
  <w:num w:numId="605">
    <w:abstractNumId w:val="567"/>
  </w:num>
  <w:num w:numId="606">
    <w:abstractNumId w:val="470"/>
  </w:num>
  <w:num w:numId="607">
    <w:abstractNumId w:val="518"/>
  </w:num>
  <w:num w:numId="608">
    <w:abstractNumId w:val="749"/>
  </w:num>
  <w:num w:numId="609">
    <w:abstractNumId w:val="291"/>
  </w:num>
  <w:num w:numId="610">
    <w:abstractNumId w:val="99"/>
  </w:num>
  <w:num w:numId="611">
    <w:abstractNumId w:val="118"/>
  </w:num>
  <w:num w:numId="612">
    <w:abstractNumId w:val="126"/>
  </w:num>
  <w:num w:numId="613">
    <w:abstractNumId w:val="621"/>
  </w:num>
  <w:num w:numId="614">
    <w:abstractNumId w:val="246"/>
  </w:num>
  <w:num w:numId="615">
    <w:abstractNumId w:val="81"/>
  </w:num>
  <w:num w:numId="616">
    <w:abstractNumId w:val="210"/>
  </w:num>
  <w:num w:numId="617">
    <w:abstractNumId w:val="817"/>
  </w:num>
  <w:num w:numId="618">
    <w:abstractNumId w:val="772"/>
  </w:num>
  <w:num w:numId="619">
    <w:abstractNumId w:val="732"/>
  </w:num>
  <w:num w:numId="620">
    <w:abstractNumId w:val="824"/>
  </w:num>
  <w:num w:numId="621">
    <w:abstractNumId w:val="137"/>
  </w:num>
  <w:num w:numId="622">
    <w:abstractNumId w:val="505"/>
  </w:num>
  <w:num w:numId="623">
    <w:abstractNumId w:val="183"/>
  </w:num>
  <w:num w:numId="624">
    <w:abstractNumId w:val="826"/>
  </w:num>
  <w:num w:numId="625">
    <w:abstractNumId w:val="590"/>
  </w:num>
  <w:num w:numId="626">
    <w:abstractNumId w:val="277"/>
  </w:num>
  <w:num w:numId="627">
    <w:abstractNumId w:val="313"/>
  </w:num>
  <w:num w:numId="628">
    <w:abstractNumId w:val="266"/>
  </w:num>
  <w:num w:numId="629">
    <w:abstractNumId w:val="264"/>
  </w:num>
  <w:num w:numId="630">
    <w:abstractNumId w:val="819"/>
  </w:num>
  <w:num w:numId="631">
    <w:abstractNumId w:val="464"/>
  </w:num>
  <w:num w:numId="632">
    <w:abstractNumId w:val="778"/>
  </w:num>
  <w:num w:numId="633">
    <w:abstractNumId w:val="645"/>
  </w:num>
  <w:num w:numId="634">
    <w:abstractNumId w:val="6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754"/>
  </w:num>
  <w:num w:numId="636">
    <w:abstractNumId w:val="88"/>
  </w:num>
  <w:num w:numId="637">
    <w:abstractNumId w:val="758"/>
  </w:num>
  <w:num w:numId="638">
    <w:abstractNumId w:val="556"/>
  </w:num>
  <w:num w:numId="639">
    <w:abstractNumId w:val="735"/>
  </w:num>
  <w:num w:numId="640">
    <w:abstractNumId w:val="735"/>
    <w:lvlOverride w:ilvl="0"/>
    <w:lvlOverride w:ilvl="1"/>
    <w:lvlOverride w:ilvl="2"/>
    <w:lvlOverride w:ilvl="3"/>
    <w:lvlOverride w:ilvl="4"/>
    <w:lvlOverride w:ilvl="5"/>
    <w:lvlOverride w:ilvl="6"/>
    <w:lvlOverride w:ilvl="7"/>
    <w:lvlOverride w:ilvl="8"/>
  </w:num>
  <w:num w:numId="641">
    <w:abstractNumId w:val="440"/>
  </w:num>
  <w:num w:numId="642">
    <w:abstractNumId w:val="338"/>
  </w:num>
  <w:num w:numId="643">
    <w:abstractNumId w:val="780"/>
  </w:num>
  <w:num w:numId="644">
    <w:abstractNumId w:val="280"/>
  </w:num>
  <w:num w:numId="645">
    <w:abstractNumId w:val="671"/>
  </w:num>
  <w:num w:numId="646">
    <w:abstractNumId w:val="228"/>
  </w:num>
  <w:num w:numId="647">
    <w:abstractNumId w:val="477"/>
  </w:num>
  <w:num w:numId="648">
    <w:abstractNumId w:val="379"/>
  </w:num>
  <w:num w:numId="649">
    <w:abstractNumId w:val="543"/>
  </w:num>
  <w:num w:numId="650">
    <w:abstractNumId w:val="94"/>
  </w:num>
  <w:num w:numId="651">
    <w:abstractNumId w:val="201"/>
  </w:num>
  <w:num w:numId="652">
    <w:abstractNumId w:val="258"/>
  </w:num>
  <w:num w:numId="653">
    <w:abstractNumId w:val="744"/>
  </w:num>
  <w:num w:numId="654">
    <w:abstractNumId w:val="212"/>
  </w:num>
  <w:num w:numId="655">
    <w:abstractNumId w:val="687"/>
  </w:num>
  <w:num w:numId="656">
    <w:abstractNumId w:val="272"/>
  </w:num>
  <w:num w:numId="657">
    <w:abstractNumId w:val="240"/>
  </w:num>
  <w:num w:numId="658">
    <w:abstractNumId w:val="812"/>
  </w:num>
  <w:num w:numId="659">
    <w:abstractNumId w:val="332"/>
  </w:num>
  <w:num w:numId="660">
    <w:abstractNumId w:val="578"/>
  </w:num>
  <w:num w:numId="661">
    <w:abstractNumId w:val="189"/>
  </w:num>
  <w:num w:numId="662">
    <w:abstractNumId w:val="569"/>
  </w:num>
  <w:num w:numId="663">
    <w:abstractNumId w:val="592"/>
  </w:num>
  <w:num w:numId="664">
    <w:abstractNumId w:val="56"/>
  </w:num>
  <w:num w:numId="665">
    <w:abstractNumId w:val="827"/>
  </w:num>
  <w:num w:numId="666">
    <w:abstractNumId w:val="407"/>
  </w:num>
  <w:num w:numId="667">
    <w:abstractNumId w:val="646"/>
  </w:num>
  <w:num w:numId="668">
    <w:abstractNumId w:val="577"/>
  </w:num>
  <w:num w:numId="669">
    <w:abstractNumId w:val="389"/>
  </w:num>
  <w:num w:numId="670">
    <w:abstractNumId w:val="283"/>
  </w:num>
  <w:num w:numId="671">
    <w:abstractNumId w:val="821"/>
  </w:num>
  <w:num w:numId="672">
    <w:abstractNumId w:val="80"/>
  </w:num>
  <w:num w:numId="673">
    <w:abstractNumId w:val="828"/>
  </w:num>
  <w:num w:numId="674">
    <w:abstractNumId w:val="29"/>
  </w:num>
  <w:num w:numId="675">
    <w:abstractNumId w:val="269"/>
  </w:num>
  <w:num w:numId="676">
    <w:abstractNumId w:val="309"/>
  </w:num>
  <w:num w:numId="677">
    <w:abstractNumId w:val="395"/>
  </w:num>
  <w:num w:numId="678">
    <w:abstractNumId w:val="748"/>
  </w:num>
  <w:num w:numId="679">
    <w:abstractNumId w:val="211"/>
  </w:num>
  <w:num w:numId="680">
    <w:abstractNumId w:val="611"/>
  </w:num>
  <w:num w:numId="681">
    <w:abstractNumId w:val="643"/>
  </w:num>
  <w:num w:numId="682">
    <w:abstractNumId w:val="37"/>
  </w:num>
  <w:num w:numId="683">
    <w:abstractNumId w:val="222"/>
  </w:num>
  <w:num w:numId="684">
    <w:abstractNumId w:val="454"/>
  </w:num>
  <w:num w:numId="685">
    <w:abstractNumId w:val="616"/>
  </w:num>
  <w:num w:numId="686">
    <w:abstractNumId w:val="525"/>
  </w:num>
  <w:num w:numId="687">
    <w:abstractNumId w:val="721"/>
  </w:num>
  <w:num w:numId="688">
    <w:abstractNumId w:val="461"/>
  </w:num>
  <w:num w:numId="689">
    <w:abstractNumId w:val="296"/>
  </w:num>
  <w:num w:numId="690">
    <w:abstractNumId w:val="511"/>
  </w:num>
  <w:num w:numId="691">
    <w:abstractNumId w:val="527"/>
  </w:num>
  <w:num w:numId="692">
    <w:abstractNumId w:val="179"/>
  </w:num>
  <w:num w:numId="693">
    <w:abstractNumId w:val="684"/>
  </w:num>
  <w:num w:numId="694">
    <w:abstractNumId w:val="446"/>
  </w:num>
  <w:num w:numId="695">
    <w:abstractNumId w:val="199"/>
  </w:num>
  <w:num w:numId="696">
    <w:abstractNumId w:val="215"/>
  </w:num>
  <w:num w:numId="697">
    <w:abstractNumId w:val="18"/>
  </w:num>
  <w:num w:numId="698">
    <w:abstractNumId w:val="685"/>
  </w:num>
  <w:num w:numId="699">
    <w:abstractNumId w:val="565"/>
  </w:num>
  <w:num w:numId="700">
    <w:abstractNumId w:val="637"/>
  </w:num>
  <w:num w:numId="701">
    <w:abstractNumId w:val="297"/>
  </w:num>
  <w:num w:numId="702">
    <w:abstractNumId w:val="392"/>
  </w:num>
  <w:num w:numId="703">
    <w:abstractNumId w:val="753"/>
  </w:num>
  <w:num w:numId="704">
    <w:abstractNumId w:val="795"/>
  </w:num>
  <w:num w:numId="705">
    <w:abstractNumId w:val="623"/>
  </w:num>
  <w:num w:numId="706">
    <w:abstractNumId w:val="38"/>
  </w:num>
  <w:num w:numId="707">
    <w:abstractNumId w:val="153"/>
  </w:num>
  <w:num w:numId="708">
    <w:abstractNumId w:val="460"/>
  </w:num>
  <w:num w:numId="709">
    <w:abstractNumId w:val="197"/>
  </w:num>
  <w:num w:numId="710">
    <w:abstractNumId w:val="28"/>
  </w:num>
  <w:num w:numId="711">
    <w:abstractNumId w:val="345"/>
  </w:num>
  <w:num w:numId="712">
    <w:abstractNumId w:val="782"/>
  </w:num>
  <w:num w:numId="713">
    <w:abstractNumId w:val="101"/>
  </w:num>
  <w:num w:numId="714">
    <w:abstractNumId w:val="444"/>
  </w:num>
  <w:num w:numId="715">
    <w:abstractNumId w:val="252"/>
  </w:num>
  <w:num w:numId="716">
    <w:abstractNumId w:val="406"/>
  </w:num>
  <w:num w:numId="717">
    <w:abstractNumId w:val="293"/>
  </w:num>
  <w:num w:numId="718">
    <w:abstractNumId w:val="700"/>
  </w:num>
  <w:num w:numId="719">
    <w:abstractNumId w:val="375"/>
  </w:num>
  <w:num w:numId="720">
    <w:abstractNumId w:val="47"/>
  </w:num>
  <w:num w:numId="721">
    <w:abstractNumId w:val="66"/>
  </w:num>
  <w:num w:numId="722">
    <w:abstractNumId w:val="701"/>
  </w:num>
  <w:num w:numId="723">
    <w:abstractNumId w:val="484"/>
  </w:num>
  <w:num w:numId="724">
    <w:abstractNumId w:val="661"/>
  </w:num>
  <w:num w:numId="725">
    <w:abstractNumId w:val="420"/>
  </w:num>
  <w:num w:numId="726">
    <w:abstractNumId w:val="823"/>
  </w:num>
  <w:num w:numId="727">
    <w:abstractNumId w:val="53"/>
  </w:num>
  <w:num w:numId="728">
    <w:abstractNumId w:val="829"/>
  </w:num>
  <w:num w:numId="729">
    <w:abstractNumId w:val="541"/>
  </w:num>
  <w:num w:numId="730">
    <w:abstractNumId w:val="420"/>
    <w:lvlOverride w:ilvl="0">
      <w:startOverride w:val="1"/>
    </w:lvlOverride>
  </w:num>
  <w:num w:numId="731">
    <w:abstractNumId w:val="362"/>
  </w:num>
  <w:num w:numId="732">
    <w:abstractNumId w:val="185"/>
  </w:num>
  <w:num w:numId="733">
    <w:abstractNumId w:val="367"/>
  </w:num>
  <w:num w:numId="734">
    <w:abstractNumId w:val="507"/>
  </w:num>
  <w:num w:numId="735">
    <w:abstractNumId w:val="393"/>
  </w:num>
  <w:num w:numId="736">
    <w:abstractNumId w:val="521"/>
  </w:num>
  <w:num w:numId="737">
    <w:abstractNumId w:val="57"/>
  </w:num>
  <w:num w:numId="738">
    <w:abstractNumId w:val="736"/>
  </w:num>
  <w:num w:numId="739">
    <w:abstractNumId w:val="424"/>
  </w:num>
  <w:num w:numId="740">
    <w:abstractNumId w:val="693"/>
  </w:num>
  <w:num w:numId="741">
    <w:abstractNumId w:val="333"/>
  </w:num>
  <w:num w:numId="742">
    <w:abstractNumId w:val="161"/>
  </w:num>
  <w:num w:numId="743">
    <w:abstractNumId w:val="449"/>
  </w:num>
  <w:num w:numId="744">
    <w:abstractNumId w:val="532"/>
  </w:num>
  <w:num w:numId="745">
    <w:abstractNumId w:val="92"/>
  </w:num>
  <w:num w:numId="746">
    <w:abstractNumId w:val="73"/>
  </w:num>
  <w:num w:numId="747">
    <w:abstractNumId w:val="76"/>
  </w:num>
  <w:num w:numId="748">
    <w:abstractNumId w:val="102"/>
  </w:num>
  <w:num w:numId="749">
    <w:abstractNumId w:val="46"/>
  </w:num>
  <w:num w:numId="750">
    <w:abstractNumId w:val="564"/>
  </w:num>
  <w:num w:numId="751">
    <w:abstractNumId w:val="471"/>
  </w:num>
  <w:num w:numId="752">
    <w:abstractNumId w:val="221"/>
  </w:num>
  <w:num w:numId="753">
    <w:abstractNumId w:val="805"/>
  </w:num>
  <w:num w:numId="754">
    <w:abstractNumId w:val="71"/>
  </w:num>
  <w:num w:numId="755">
    <w:abstractNumId w:val="763"/>
  </w:num>
  <w:num w:numId="756">
    <w:abstractNumId w:val="417"/>
  </w:num>
  <w:num w:numId="757">
    <w:abstractNumId w:val="348"/>
  </w:num>
  <w:num w:numId="758">
    <w:abstractNumId w:val="742"/>
  </w:num>
  <w:num w:numId="759">
    <w:abstractNumId w:val="311"/>
  </w:num>
  <w:num w:numId="760">
    <w:abstractNumId w:val="61"/>
  </w:num>
  <w:num w:numId="761">
    <w:abstractNumId w:val="290"/>
  </w:num>
  <w:num w:numId="762">
    <w:abstractNumId w:val="409"/>
  </w:num>
  <w:num w:numId="763">
    <w:abstractNumId w:val="315"/>
  </w:num>
  <w:num w:numId="764">
    <w:abstractNumId w:val="613"/>
  </w:num>
  <w:num w:numId="765">
    <w:abstractNumId w:val="51"/>
  </w:num>
  <w:num w:numId="766">
    <w:abstractNumId w:val="432"/>
  </w:num>
  <w:num w:numId="767">
    <w:abstractNumId w:val="361"/>
  </w:num>
  <w:num w:numId="768">
    <w:abstractNumId w:val="442"/>
  </w:num>
  <w:num w:numId="769">
    <w:abstractNumId w:val="384"/>
  </w:num>
  <w:num w:numId="770">
    <w:abstractNumId w:val="72"/>
  </w:num>
  <w:num w:numId="771">
    <w:abstractNumId w:val="387"/>
  </w:num>
  <w:num w:numId="772">
    <w:abstractNumId w:val="149"/>
  </w:num>
  <w:num w:numId="773">
    <w:abstractNumId w:val="738"/>
  </w:num>
  <w:num w:numId="774">
    <w:abstractNumId w:val="494"/>
  </w:num>
  <w:num w:numId="775">
    <w:abstractNumId w:val="634"/>
  </w:num>
  <w:num w:numId="776">
    <w:abstractNumId w:val="100"/>
  </w:num>
  <w:num w:numId="777">
    <w:abstractNumId w:val="103"/>
  </w:num>
  <w:num w:numId="778">
    <w:abstractNumId w:val="130"/>
  </w:num>
  <w:num w:numId="779">
    <w:abstractNumId w:val="719"/>
  </w:num>
  <w:num w:numId="780">
    <w:abstractNumId w:val="413"/>
  </w:num>
  <w:num w:numId="781">
    <w:abstractNumId w:val="799"/>
  </w:num>
  <w:num w:numId="782">
    <w:abstractNumId w:val="619"/>
  </w:num>
  <w:num w:numId="783">
    <w:abstractNumId w:val="739"/>
  </w:num>
  <w:num w:numId="784">
    <w:abstractNumId w:val="250"/>
  </w:num>
  <w:num w:numId="785">
    <w:abstractNumId w:val="825"/>
  </w:num>
  <w:num w:numId="786">
    <w:abstractNumId w:val="766"/>
  </w:num>
  <w:num w:numId="787">
    <w:abstractNumId w:val="55"/>
  </w:num>
  <w:num w:numId="788">
    <w:abstractNumId w:val="162"/>
  </w:num>
  <w:num w:numId="789">
    <w:abstractNumId w:val="664"/>
  </w:num>
  <w:num w:numId="790">
    <w:abstractNumId w:val="108"/>
  </w:num>
  <w:num w:numId="791">
    <w:abstractNumId w:val="43"/>
  </w:num>
  <w:num w:numId="792">
    <w:abstractNumId w:val="608"/>
  </w:num>
  <w:num w:numId="793">
    <w:abstractNumId w:val="733"/>
  </w:num>
  <w:num w:numId="794">
    <w:abstractNumId w:val="352"/>
  </w:num>
  <w:num w:numId="795">
    <w:abstractNumId w:val="598"/>
  </w:num>
  <w:num w:numId="796">
    <w:abstractNumId w:val="253"/>
  </w:num>
  <w:num w:numId="797">
    <w:abstractNumId w:val="188"/>
  </w:num>
  <w:num w:numId="798">
    <w:abstractNumId w:val="600"/>
  </w:num>
  <w:num w:numId="799">
    <w:abstractNumId w:val="463"/>
  </w:num>
  <w:num w:numId="800">
    <w:abstractNumId w:val="506"/>
  </w:num>
  <w:num w:numId="801">
    <w:abstractNumId w:val="672"/>
  </w:num>
  <w:num w:numId="802">
    <w:abstractNumId w:val="148"/>
  </w:num>
  <w:num w:numId="803">
    <w:abstractNumId w:val="271"/>
  </w:num>
  <w:num w:numId="804">
    <w:abstractNumId w:val="547"/>
  </w:num>
  <w:num w:numId="805">
    <w:abstractNumId w:val="620"/>
  </w:num>
  <w:num w:numId="806">
    <w:abstractNumId w:val="761"/>
  </w:num>
  <w:num w:numId="807">
    <w:abstractNumId w:val="397"/>
  </w:num>
  <w:num w:numId="808">
    <w:abstractNumId w:val="278"/>
  </w:num>
  <w:num w:numId="809">
    <w:abstractNumId w:val="488"/>
  </w:num>
  <w:num w:numId="810">
    <w:abstractNumId w:val="550"/>
  </w:num>
  <w:num w:numId="811">
    <w:abstractNumId w:val="23"/>
  </w:num>
  <w:num w:numId="812">
    <w:abstractNumId w:val="196"/>
  </w:num>
  <w:num w:numId="813">
    <w:abstractNumId w:val="390"/>
  </w:num>
  <w:num w:numId="814">
    <w:abstractNumId w:val="423"/>
  </w:num>
  <w:num w:numId="815">
    <w:abstractNumId w:val="681"/>
  </w:num>
  <w:num w:numId="816">
    <w:abstractNumId w:val="632"/>
  </w:num>
  <w:num w:numId="817">
    <w:abstractNumId w:val="582"/>
  </w:num>
  <w:num w:numId="818">
    <w:abstractNumId w:val="225"/>
  </w:num>
  <w:num w:numId="819">
    <w:abstractNumId w:val="816"/>
  </w:num>
  <w:num w:numId="820">
    <w:abstractNumId w:val="745"/>
  </w:num>
  <w:num w:numId="821">
    <w:abstractNumId w:val="235"/>
  </w:num>
  <w:num w:numId="822">
    <w:abstractNumId w:val="660"/>
  </w:num>
  <w:num w:numId="823">
    <w:abstractNumId w:val="374"/>
  </w:num>
  <w:num w:numId="824">
    <w:abstractNumId w:val="231"/>
  </w:num>
  <w:num w:numId="825">
    <w:abstractNumId w:val="54"/>
  </w:num>
  <w:num w:numId="826">
    <w:abstractNumId w:val="341"/>
  </w:num>
  <w:num w:numId="827">
    <w:abstractNumId w:val="704"/>
  </w:num>
  <w:num w:numId="828">
    <w:abstractNumId w:val="707"/>
  </w:num>
  <w:num w:numId="829">
    <w:abstractNumId w:val="679"/>
  </w:num>
  <w:num w:numId="830">
    <w:abstractNumId w:val="358"/>
  </w:num>
  <w:num w:numId="831">
    <w:abstractNumId w:val="492"/>
  </w:num>
  <w:num w:numId="832">
    <w:abstractNumId w:val="516"/>
  </w:num>
  <w:num w:numId="833">
    <w:abstractNumId w:val="801"/>
  </w:num>
  <w:num w:numId="834">
    <w:abstractNumId w:val="642"/>
  </w:num>
  <w:num w:numId="835">
    <w:abstractNumId w:val="207"/>
  </w:num>
  <w:num w:numId="836">
    <w:abstractNumId w:val="68"/>
  </w:num>
  <w:num w:numId="837">
    <w:abstractNumId w:val="404"/>
  </w:num>
  <w:num w:numId="838">
    <w:abstractNumId w:val="31"/>
  </w:num>
  <w:num w:numId="839">
    <w:abstractNumId w:val="324"/>
  </w:num>
  <w:num w:numId="840">
    <w:abstractNumId w:val="575"/>
  </w:num>
  <w:num w:numId="841">
    <w:abstractNumId w:val="488"/>
  </w:num>
  <w:num w:numId="842">
    <w:abstractNumId w:val="488"/>
  </w:num>
  <w:num w:numId="843">
    <w:abstractNumId w:val="488"/>
  </w:num>
  <w:num w:numId="844">
    <w:abstractNumId w:val="488"/>
  </w:num>
  <w:num w:numId="845">
    <w:abstractNumId w:val="488"/>
  </w:num>
  <w:num w:numId="846">
    <w:abstractNumId w:val="488"/>
  </w:num>
  <w:num w:numId="847">
    <w:abstractNumId w:val="488"/>
  </w:num>
  <w:num w:numId="848">
    <w:abstractNumId w:val="488"/>
  </w:num>
  <w:num w:numId="849">
    <w:abstractNumId w:val="488"/>
  </w:num>
  <w:num w:numId="850">
    <w:abstractNumId w:val="488"/>
  </w:num>
  <w:num w:numId="851">
    <w:abstractNumId w:val="488"/>
  </w:num>
  <w:num w:numId="852">
    <w:abstractNumId w:val="488"/>
  </w:num>
  <w:num w:numId="853">
    <w:abstractNumId w:val="488"/>
  </w:num>
  <w:num w:numId="854">
    <w:abstractNumId w:val="488"/>
  </w:num>
  <w:num w:numId="855">
    <w:abstractNumId w:val="488"/>
  </w:num>
  <w:num w:numId="856">
    <w:abstractNumId w:val="488"/>
  </w:num>
  <w:num w:numId="857">
    <w:abstractNumId w:val="488"/>
  </w:num>
  <w:num w:numId="858">
    <w:abstractNumId w:val="488"/>
  </w:num>
  <w:num w:numId="859">
    <w:abstractNumId w:val="488"/>
  </w:num>
  <w:num w:numId="860">
    <w:abstractNumId w:val="488"/>
  </w:num>
  <w:num w:numId="861">
    <w:abstractNumId w:val="488"/>
  </w:num>
  <w:num w:numId="862">
    <w:abstractNumId w:val="488"/>
  </w:num>
  <w:num w:numId="863">
    <w:abstractNumId w:val="488"/>
  </w:num>
  <w:num w:numId="864">
    <w:abstractNumId w:val="488"/>
  </w:num>
  <w:num w:numId="865">
    <w:abstractNumId w:val="488"/>
  </w:num>
  <w:num w:numId="866">
    <w:abstractNumId w:val="488"/>
  </w:num>
  <w:num w:numId="867">
    <w:abstractNumId w:val="488"/>
  </w:num>
  <w:num w:numId="868">
    <w:abstractNumId w:val="488"/>
  </w:num>
  <w:num w:numId="869">
    <w:abstractNumId w:val="488"/>
  </w:num>
  <w:num w:numId="870">
    <w:abstractNumId w:val="488"/>
  </w:num>
  <w:num w:numId="871">
    <w:abstractNumId w:val="488"/>
  </w:num>
  <w:num w:numId="872">
    <w:abstractNumId w:val="488"/>
  </w:num>
  <w:num w:numId="873">
    <w:abstractNumId w:val="488"/>
  </w:num>
  <w:num w:numId="874">
    <w:abstractNumId w:val="488"/>
  </w:num>
  <w:num w:numId="875">
    <w:abstractNumId w:val="488"/>
  </w:num>
  <w:num w:numId="876">
    <w:abstractNumId w:val="488"/>
  </w:num>
  <w:num w:numId="877">
    <w:abstractNumId w:val="488"/>
  </w:num>
  <w:num w:numId="878">
    <w:abstractNumId w:val="488"/>
  </w:num>
  <w:num w:numId="879">
    <w:abstractNumId w:val="488"/>
  </w:num>
  <w:num w:numId="880">
    <w:abstractNumId w:val="488"/>
  </w:num>
  <w:num w:numId="881">
    <w:abstractNumId w:val="488"/>
  </w:num>
  <w:num w:numId="882">
    <w:abstractNumId w:val="488"/>
  </w:num>
  <w:num w:numId="883">
    <w:abstractNumId w:val="488"/>
  </w:num>
  <w:num w:numId="884">
    <w:abstractNumId w:val="488"/>
  </w:num>
  <w:num w:numId="885">
    <w:abstractNumId w:val="488"/>
  </w:num>
  <w:num w:numId="886">
    <w:abstractNumId w:val="488"/>
  </w:num>
  <w:num w:numId="887">
    <w:abstractNumId w:val="488"/>
  </w:num>
  <w:num w:numId="888">
    <w:abstractNumId w:val="488"/>
  </w:num>
  <w:num w:numId="889">
    <w:abstractNumId w:val="488"/>
  </w:num>
  <w:num w:numId="890">
    <w:abstractNumId w:val="488"/>
  </w:num>
  <w:num w:numId="891">
    <w:abstractNumId w:val="488"/>
  </w:num>
  <w:num w:numId="892">
    <w:abstractNumId w:val="488"/>
  </w:num>
  <w:num w:numId="893">
    <w:abstractNumId w:val="488"/>
  </w:num>
  <w:num w:numId="894">
    <w:abstractNumId w:val="488"/>
  </w:num>
  <w:num w:numId="895">
    <w:abstractNumId w:val="488"/>
  </w:num>
  <w:num w:numId="896">
    <w:abstractNumId w:val="488"/>
  </w:num>
  <w:num w:numId="897">
    <w:abstractNumId w:val="488"/>
  </w:num>
  <w:num w:numId="898">
    <w:abstractNumId w:val="488"/>
  </w:num>
  <w:num w:numId="899">
    <w:abstractNumId w:val="488"/>
  </w:num>
  <w:num w:numId="900">
    <w:abstractNumId w:val="488"/>
  </w:num>
  <w:num w:numId="901">
    <w:abstractNumId w:val="488"/>
  </w:num>
  <w:num w:numId="902">
    <w:abstractNumId w:val="488"/>
  </w:num>
  <w:num w:numId="903">
    <w:abstractNumId w:val="488"/>
  </w:num>
  <w:num w:numId="904">
    <w:abstractNumId w:val="488"/>
  </w:num>
  <w:num w:numId="905">
    <w:abstractNumId w:val="488"/>
  </w:num>
  <w:num w:numId="906">
    <w:abstractNumId w:val="488"/>
  </w:num>
  <w:num w:numId="907">
    <w:abstractNumId w:val="488"/>
  </w:num>
  <w:num w:numId="908">
    <w:abstractNumId w:val="488"/>
  </w:num>
  <w:num w:numId="909">
    <w:abstractNumId w:val="488"/>
  </w:num>
  <w:num w:numId="910">
    <w:abstractNumId w:val="488"/>
  </w:num>
  <w:num w:numId="911">
    <w:abstractNumId w:val="6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422F"/>
    <w:rsid w:val="00CA42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0">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styleId="BodyText3">
    <w:name w:val="Body Text 3"/>
    <w:basedOn w:val="Normal"/>
    <w:semiHidden/>
    <w:pPr>
      <w:adjustRightInd/>
      <w:spacing w:line="480" w:lineRule="auto"/>
      <w:ind w:right="25"/>
      <w:textAlignment w:val="auto"/>
    </w:pPr>
    <w:rPr>
      <w:kern w:val="2"/>
      <w:sz w:val="24"/>
      <w:szCs w:val="24"/>
    </w:rPr>
  </w:style>
  <w:style w:type="paragraph" w:customStyle="1" w:styleId="20">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21">
    <w:name w:val="正文2"/>
    <w:basedOn w:val="Normal"/>
    <w:pPr>
      <w:adjustRightInd/>
      <w:spacing w:beforeLines="100" w:before="100" w:afterLines="100" w:after="100" w:line="240" w:lineRule="auto"/>
      <w:textAlignment w:val="auto"/>
    </w:pPr>
    <w:rPr>
      <w:b/>
      <w:kern w:val="2"/>
      <w:szCs w:val="24"/>
    </w:rPr>
  </w:style>
  <w:style w:type="paragraph" w:customStyle="1" w:styleId="60">
    <w:name w:val="样式6"/>
    <w:basedOn w:val="20"/>
    <w:rPr>
      <w:sz w:val="21"/>
    </w:rPr>
  </w:style>
  <w:style w:type="paragraph" w:customStyle="1" w:styleId="4">
    <w:name w:val="正文4"/>
    <w:basedOn w:val="Normal"/>
    <w:pPr>
      <w:numPr>
        <w:numId w:val="809"/>
      </w:numPr>
      <w:adjustRightInd/>
      <w:spacing w:beforeLines="50" w:before="50" w:afterLines="50" w:after="50" w:line="240" w:lineRule="auto"/>
      <w:textAlignment w:val="auto"/>
    </w:pPr>
    <w:rPr>
      <w:kern w:val="2"/>
      <w:szCs w:val="24"/>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213</Pages>
  <Words>32092</Words>
  <Characters>182925</Characters>
  <Application>Microsoft Office Word</Application>
  <DocSecurity>4</DocSecurity>
  <Lines>1524</Lines>
  <Paragraphs>365</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224644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dc:description/>
  <cp:lastModifiedBy>Dezuo CAO</cp:lastModifiedBy>
  <cp:revision>2</cp:revision>
  <cp:lastPrinted>2003-06-19T12:11:00Z</cp:lastPrinted>
  <dcterms:created xsi:type="dcterms:W3CDTF">2003-07-09T12:42:00Z</dcterms:created>
  <dcterms:modified xsi:type="dcterms:W3CDTF">2003-07-09T12:42:00Z</dcterms:modified>
</cp:coreProperties>
</file>