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E0D40" w:rsidRPr="00DB58B5" w:rsidTr="0078670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E0D40" w:rsidRPr="00DB58B5" w:rsidRDefault="002E0D40" w:rsidP="0059365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E0D40" w:rsidRPr="00DB58B5" w:rsidRDefault="002E0D40" w:rsidP="0059365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E0D40" w:rsidRPr="00DB58B5" w:rsidRDefault="00C95F3A" w:rsidP="00C95F3A">
            <w:pPr>
              <w:jc w:val="right"/>
            </w:pPr>
            <w:r w:rsidRPr="00C95F3A">
              <w:rPr>
                <w:sz w:val="40"/>
              </w:rPr>
              <w:t>CERD</w:t>
            </w:r>
            <w:r>
              <w:t>/C/TKM/Q/6-7</w:t>
            </w:r>
          </w:p>
        </w:tc>
      </w:tr>
      <w:tr w:rsidR="002E0D40" w:rsidRPr="00DB58B5" w:rsidTr="0059365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E0D40" w:rsidRPr="00DB58B5" w:rsidRDefault="002E0D40" w:rsidP="0059365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E0D40" w:rsidRPr="00740562" w:rsidRDefault="002E0D40" w:rsidP="00593658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BB1AB4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C95F3A" w:rsidRDefault="00C95F3A" w:rsidP="00593658">
            <w:pPr>
              <w:spacing w:before="240"/>
            </w:pPr>
            <w:r>
              <w:t>Distr. générale</w:t>
            </w:r>
          </w:p>
          <w:p w:rsidR="00C95F3A" w:rsidRDefault="00C95F3A" w:rsidP="00C95F3A">
            <w:pPr>
              <w:spacing w:line="240" w:lineRule="exact"/>
            </w:pPr>
            <w:r>
              <w:t>13 janvier 2012</w:t>
            </w:r>
          </w:p>
          <w:p w:rsidR="00C95F3A" w:rsidRDefault="00C95F3A" w:rsidP="00C95F3A">
            <w:pPr>
              <w:spacing w:line="240" w:lineRule="exact"/>
            </w:pPr>
            <w:r>
              <w:t>Français</w:t>
            </w:r>
          </w:p>
          <w:p w:rsidR="002E0D40" w:rsidRPr="00DB58B5" w:rsidRDefault="00C95F3A" w:rsidP="00C95F3A">
            <w:pPr>
              <w:spacing w:line="240" w:lineRule="exact"/>
            </w:pPr>
            <w:r>
              <w:t>Original: anglais</w:t>
            </w:r>
          </w:p>
        </w:tc>
      </w:tr>
    </w:tbl>
    <w:p w:rsidR="00FF1DBD" w:rsidRDefault="0078670C" w:rsidP="00C95F3A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BB1AB4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</w:t>
      </w:r>
      <w:r w:rsidR="00C95F3A">
        <w:rPr>
          <w:b/>
          <w:sz w:val="24"/>
          <w:szCs w:val="24"/>
        </w:rPr>
        <w:t>on de la discrimination raciale</w:t>
      </w:r>
      <w:r w:rsidR="00C95F3A">
        <w:rPr>
          <w:b/>
          <w:sz w:val="24"/>
          <w:szCs w:val="24"/>
        </w:rPr>
        <w:br/>
      </w:r>
      <w:r w:rsidR="00C95F3A" w:rsidRPr="00C95F3A">
        <w:rPr>
          <w:b/>
        </w:rPr>
        <w:t>Quatre-vingtième session</w:t>
      </w:r>
      <w:r w:rsidR="00C95F3A">
        <w:rPr>
          <w:b/>
        </w:rPr>
        <w:br/>
      </w:r>
      <w:r w:rsidR="00C95F3A" w:rsidRPr="00C95F3A">
        <w:t>13 février-9 mars 2012</w:t>
      </w:r>
    </w:p>
    <w:p w:rsidR="00C95F3A" w:rsidRPr="00D51DD3" w:rsidRDefault="00C95F3A" w:rsidP="00C95F3A">
      <w:pPr>
        <w:pStyle w:val="HChG"/>
        <w:rPr>
          <w:lang w:val="fr-FR"/>
        </w:rPr>
      </w:pPr>
      <w:r w:rsidRPr="00D51DD3">
        <w:rPr>
          <w:lang w:val="en-GB"/>
        </w:rPr>
        <w:tab/>
      </w:r>
      <w:r w:rsidRPr="00D51DD3">
        <w:rPr>
          <w:lang w:val="en-GB"/>
        </w:rPr>
        <w:tab/>
      </w:r>
      <w:r w:rsidRPr="00D51DD3">
        <w:rPr>
          <w:lang w:val="fr-FR"/>
        </w:rPr>
        <w:t>Application de la Convention internationale sur l</w:t>
      </w:r>
      <w:r w:rsidR="00BB1AB4">
        <w:rPr>
          <w:lang w:val="fr-FR"/>
        </w:rPr>
        <w:t>’</w:t>
      </w:r>
      <w:r w:rsidRPr="00D51DD3">
        <w:rPr>
          <w:lang w:val="fr-FR"/>
        </w:rPr>
        <w:t>élimination de toutes les formes de discrimination raciale</w:t>
      </w:r>
    </w:p>
    <w:p w:rsidR="00C95F3A" w:rsidRDefault="00C95F3A" w:rsidP="00C95F3A">
      <w:pPr>
        <w:pStyle w:val="H1G"/>
        <w:rPr>
          <w:position w:val="6"/>
          <w:sz w:val="20"/>
          <w:lang w:val="fr-FR"/>
        </w:rPr>
      </w:pPr>
      <w:r w:rsidRPr="00D51DD3">
        <w:rPr>
          <w:lang w:val="fr-FR"/>
        </w:rPr>
        <w:tab/>
      </w:r>
      <w:r w:rsidRPr="00D51DD3">
        <w:rPr>
          <w:lang w:val="fr-FR"/>
        </w:rPr>
        <w:tab/>
        <w:t>Liste des thèmes à traiter à l</w:t>
      </w:r>
      <w:r w:rsidR="00BB1AB4">
        <w:rPr>
          <w:lang w:val="fr-FR"/>
        </w:rPr>
        <w:t>’</w:t>
      </w:r>
      <w:r w:rsidRPr="00D51DD3">
        <w:rPr>
          <w:lang w:val="fr-FR"/>
        </w:rPr>
        <w:t>occasion de l</w:t>
      </w:r>
      <w:r w:rsidR="00BB1AB4">
        <w:rPr>
          <w:lang w:val="fr-FR"/>
        </w:rPr>
        <w:t>’</w:t>
      </w:r>
      <w:r w:rsidRPr="00D51DD3">
        <w:rPr>
          <w:lang w:val="fr-FR"/>
        </w:rPr>
        <w:t>examen des</w:t>
      </w:r>
      <w:r w:rsidRPr="0030034E">
        <w:rPr>
          <w:lang w:val="fr-FR"/>
        </w:rPr>
        <w:t xml:space="preserve"> </w:t>
      </w:r>
      <w:r>
        <w:rPr>
          <w:lang w:val="fr-FR"/>
        </w:rPr>
        <w:t>sixième et septiè</w:t>
      </w:r>
      <w:r w:rsidRPr="0030034E">
        <w:rPr>
          <w:lang w:val="fr-FR"/>
        </w:rPr>
        <w:t xml:space="preserve">me rapports périodiques </w:t>
      </w:r>
      <w:r>
        <w:rPr>
          <w:bCs/>
          <w:lang w:val="fr-FR"/>
        </w:rPr>
        <w:t xml:space="preserve">du Turkménistan </w:t>
      </w:r>
      <w:r w:rsidRPr="0030034E">
        <w:rPr>
          <w:lang w:val="fr-FR"/>
        </w:rPr>
        <w:t>(CERD/C/</w:t>
      </w:r>
      <w:r>
        <w:rPr>
          <w:lang w:val="fr-FR"/>
        </w:rPr>
        <w:t>TKM/6-7</w:t>
      </w:r>
      <w:r w:rsidRPr="0030034E">
        <w:rPr>
          <w:lang w:val="fr-FR"/>
        </w:rPr>
        <w:t>)</w:t>
      </w:r>
      <w:r w:rsidRPr="00C95F3A">
        <w:rPr>
          <w:rStyle w:val="FootnoteReference"/>
          <w:sz w:val="20"/>
          <w:vertAlign w:val="baseline"/>
        </w:rPr>
        <w:footnoteReference w:customMarkFollows="1" w:id="2"/>
        <w:t>*</w:t>
      </w:r>
    </w:p>
    <w:tbl>
      <w:tblPr>
        <w:tblStyle w:val="TableGrid"/>
        <w:tblW w:w="765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CellMar>
          <w:left w:w="142" w:type="dxa"/>
          <w:right w:w="142" w:type="dxa"/>
        </w:tblCellMar>
        <w:tblLook w:val="01E0" w:firstRow="1" w:lastRow="1" w:firstColumn="1" w:lastColumn="1" w:noHBand="0" w:noVBand="0"/>
      </w:tblPr>
      <w:tblGrid>
        <w:gridCol w:w="7653"/>
      </w:tblGrid>
      <w:tr w:rsidR="00C95F3A" w:rsidTr="004D5689">
        <w:trPr>
          <w:trHeight w:hRule="exact" w:val="240"/>
          <w:jc w:val="center"/>
        </w:trPr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95F3A" w:rsidRDefault="00C95F3A" w:rsidP="004D5689">
            <w:pPr>
              <w:spacing w:line="720" w:lineRule="exact"/>
              <w:rPr>
                <w:lang w:val="fr-FR"/>
              </w:rPr>
            </w:pPr>
          </w:p>
        </w:tc>
      </w:tr>
      <w:tr w:rsidR="00C95F3A" w:rsidTr="004D5689">
        <w:trPr>
          <w:jc w:val="center"/>
        </w:trPr>
        <w:tc>
          <w:tcPr>
            <w:tcW w:w="765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95F3A" w:rsidRPr="001C301A" w:rsidRDefault="00C95F3A" w:rsidP="00C95F3A">
            <w:pPr>
              <w:spacing w:after="120"/>
              <w:ind w:firstLine="567"/>
              <w:jc w:val="both"/>
              <w:rPr>
                <w:lang w:val="fr-FR"/>
              </w:rPr>
            </w:pPr>
            <w:r w:rsidRPr="00D51DD3">
              <w:rPr>
                <w:lang w:val="fr-FR"/>
              </w:rPr>
              <w:t>On trouvera ci-après une liste de thèmes définis par le rapporteur de pays aux fins de l</w:t>
            </w:r>
            <w:r w:rsidR="00BB1AB4">
              <w:rPr>
                <w:lang w:val="fr-FR"/>
              </w:rPr>
              <w:t>’</w:t>
            </w:r>
            <w:r w:rsidRPr="00D51DD3">
              <w:rPr>
                <w:lang w:val="fr-FR"/>
              </w:rPr>
              <w:t xml:space="preserve">examen des </w:t>
            </w:r>
            <w:r w:rsidRPr="001C301A">
              <w:rPr>
                <w:lang w:val="fr-FR"/>
              </w:rPr>
              <w:t>sixième et septième rapports périodiques du Turkménistan.</w:t>
            </w:r>
            <w:r w:rsidRPr="00D51DD3">
              <w:rPr>
                <w:lang w:val="fr-FR"/>
              </w:rPr>
              <w:t xml:space="preserve"> Cette liste a pour but de structurer le dialogue entre la délégation </w:t>
            </w:r>
            <w:r w:rsidRPr="00DF3559">
              <w:rPr>
                <w:lang w:val="fr-FR"/>
              </w:rPr>
              <w:t>de l</w:t>
            </w:r>
            <w:r w:rsidR="00BB1AB4">
              <w:rPr>
                <w:lang w:val="fr-FR"/>
              </w:rPr>
              <w:t>’</w:t>
            </w:r>
            <w:r w:rsidRPr="00DF3559">
              <w:rPr>
                <w:lang w:val="fr-FR"/>
              </w:rPr>
              <w:t>État partie et le Comité</w:t>
            </w:r>
            <w:r w:rsidRPr="00D51DD3">
              <w:rPr>
                <w:lang w:val="fr-FR"/>
              </w:rPr>
              <w:t xml:space="preserve"> et </w:t>
            </w:r>
            <w:r w:rsidRPr="00D51DD3">
              <w:rPr>
                <w:i/>
                <w:lang w:val="fr-FR"/>
              </w:rPr>
              <w:t>n</w:t>
            </w:r>
            <w:r w:rsidR="00BB1AB4">
              <w:rPr>
                <w:i/>
                <w:lang w:val="fr-FR"/>
              </w:rPr>
              <w:t>’</w:t>
            </w:r>
            <w:r w:rsidRPr="00D51DD3">
              <w:rPr>
                <w:i/>
                <w:lang w:val="fr-FR"/>
              </w:rPr>
              <w:t>appelle pas de réponses écrites</w:t>
            </w:r>
            <w:r w:rsidRPr="00D51DD3">
              <w:rPr>
                <w:lang w:val="fr-FR"/>
              </w:rPr>
              <w:t>. Elle n</w:t>
            </w:r>
            <w:r w:rsidR="00BB1AB4">
              <w:rPr>
                <w:lang w:val="fr-FR"/>
              </w:rPr>
              <w:t>’</w:t>
            </w:r>
            <w:r w:rsidRPr="00D51DD3">
              <w:rPr>
                <w:lang w:val="fr-FR"/>
              </w:rPr>
              <w:t>est pas exhaustive; d</w:t>
            </w:r>
            <w:r w:rsidR="00BB1AB4">
              <w:rPr>
                <w:lang w:val="fr-FR"/>
              </w:rPr>
              <w:t>’</w:t>
            </w:r>
            <w:r w:rsidRPr="00D51DD3">
              <w:rPr>
                <w:lang w:val="fr-FR"/>
              </w:rPr>
              <w:t>autres questions pourront être abordées au cours du dialogue.</w:t>
            </w:r>
          </w:p>
        </w:tc>
      </w:tr>
      <w:tr w:rsidR="00C95F3A" w:rsidTr="004D5689">
        <w:trPr>
          <w:trHeight w:hRule="exact" w:val="23"/>
          <w:jc w:val="center"/>
        </w:trPr>
        <w:tc>
          <w:tcPr>
            <w:tcW w:w="76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F3A" w:rsidRDefault="00C95F3A" w:rsidP="004D5689">
            <w:pPr>
              <w:spacing w:line="720" w:lineRule="exact"/>
              <w:rPr>
                <w:lang w:val="fr-FR"/>
              </w:rPr>
            </w:pPr>
          </w:p>
        </w:tc>
      </w:tr>
    </w:tbl>
    <w:p w:rsidR="00C95F3A" w:rsidRPr="0030034E" w:rsidRDefault="00C95F3A" w:rsidP="00BB1AB4">
      <w:pPr>
        <w:pStyle w:val="H23G"/>
        <w:tabs>
          <w:tab w:val="clear" w:pos="851"/>
        </w:tabs>
        <w:rPr>
          <w:lang w:val="fr-FR"/>
        </w:rPr>
      </w:pPr>
      <w:r>
        <w:tab/>
        <w:t>1.</w:t>
      </w:r>
      <w:r>
        <w:tab/>
        <w:t xml:space="preserve">Place de la Convention dans le droit interne et mesures législatives et politiques prises aux fins </w:t>
      </w:r>
      <w:r w:rsidR="00BB1AB4">
        <w:t xml:space="preserve">de </w:t>
      </w:r>
      <w:r>
        <w:t>son application</w:t>
      </w:r>
      <w:r w:rsidRPr="0030034E">
        <w:rPr>
          <w:bCs/>
          <w:lang w:val="fr-FR"/>
        </w:rPr>
        <w:t xml:space="preserve"> (art. 1</w:t>
      </w:r>
      <w:r w:rsidRPr="001C301A">
        <w:t>, 2, 4, 5 et 7</w:t>
      </w:r>
      <w:r>
        <w:rPr>
          <w:bCs/>
          <w:lang w:val="fr-FR"/>
        </w:rPr>
        <w:t>)</w:t>
      </w:r>
    </w:p>
    <w:p w:rsidR="00C95F3A" w:rsidRDefault="00C95F3A" w:rsidP="00C95F3A">
      <w:pPr>
        <w:pStyle w:val="SingleTxtG"/>
        <w:ind w:firstLine="567"/>
        <w:rPr>
          <w:lang w:val="fr-FR"/>
        </w:rPr>
      </w:pPr>
      <w:r w:rsidRPr="0030034E">
        <w:rPr>
          <w:lang w:val="fr-FR"/>
        </w:rPr>
        <w:t>a)</w:t>
      </w:r>
      <w:r w:rsidRPr="0030034E">
        <w:rPr>
          <w:lang w:val="fr-FR"/>
        </w:rPr>
        <w:tab/>
      </w:r>
      <w:r>
        <w:rPr>
          <w:lang w:val="fr-FR"/>
        </w:rPr>
        <w:t>Informations concernant l</w:t>
      </w:r>
      <w:r w:rsidR="00BB1AB4">
        <w:rPr>
          <w:lang w:val="fr-FR"/>
        </w:rPr>
        <w:t>’</w:t>
      </w:r>
      <w:r>
        <w:rPr>
          <w:lang w:val="fr-FR"/>
        </w:rPr>
        <w:t>applicabilité directe de la Convention dans l</w:t>
      </w:r>
      <w:r w:rsidR="00BB1AB4">
        <w:rPr>
          <w:lang w:val="fr-FR"/>
        </w:rPr>
        <w:t>’</w:t>
      </w:r>
      <w:r>
        <w:rPr>
          <w:lang w:val="fr-FR"/>
        </w:rPr>
        <w:t>ordre juridique interne, notamment exemples de cas illustrant son application directe ou indirecte par les instances judiciaires ou administratives</w:t>
      </w:r>
      <w:r w:rsidRPr="0030034E">
        <w:rPr>
          <w:lang w:val="fr-FR"/>
        </w:rPr>
        <w:t>;</w:t>
      </w:r>
    </w:p>
    <w:p w:rsidR="00C95F3A" w:rsidRPr="0030034E" w:rsidRDefault="00C95F3A" w:rsidP="00C95F3A">
      <w:pPr>
        <w:pStyle w:val="SingleTxtG"/>
        <w:ind w:firstLine="567"/>
        <w:rPr>
          <w:lang w:val="fr-FR"/>
        </w:rPr>
      </w:pPr>
      <w:r>
        <w:rPr>
          <w:lang w:val="fr-FR"/>
        </w:rPr>
        <w:t>b)</w:t>
      </w:r>
      <w:r w:rsidRPr="0030034E">
        <w:rPr>
          <w:lang w:val="fr-FR"/>
        </w:rPr>
        <w:tab/>
      </w:r>
      <w:r>
        <w:rPr>
          <w:lang w:val="fr-FR"/>
        </w:rPr>
        <w:t>Efforts déployés pour créer une institution nationale des droits de l</w:t>
      </w:r>
      <w:r w:rsidR="00BB1AB4">
        <w:rPr>
          <w:lang w:val="fr-FR"/>
        </w:rPr>
        <w:t>’</w:t>
      </w:r>
      <w:r>
        <w:rPr>
          <w:lang w:val="fr-FR"/>
        </w:rPr>
        <w:t xml:space="preserve">homme indépendante, conformément aux </w:t>
      </w:r>
      <w:r w:rsidRPr="00D51DD3">
        <w:t>Principes concernant le statut des institutions nationales pour la promotion et la protection des droits de l</w:t>
      </w:r>
      <w:r w:rsidR="00BB1AB4">
        <w:t>’</w:t>
      </w:r>
      <w:r w:rsidRPr="00D51DD3">
        <w:t>homme</w:t>
      </w:r>
      <w:r w:rsidRPr="0030034E">
        <w:rPr>
          <w:lang w:val="fr-FR"/>
        </w:rPr>
        <w:t>.</w:t>
      </w:r>
    </w:p>
    <w:p w:rsidR="00C95F3A" w:rsidRDefault="00C95F3A" w:rsidP="00C95F3A">
      <w:pPr>
        <w:pStyle w:val="H23G"/>
        <w:rPr>
          <w:lang w:val="fr-FR"/>
        </w:rPr>
      </w:pPr>
      <w:r>
        <w:rPr>
          <w:lang w:val="fr-FR"/>
        </w:rPr>
        <w:tab/>
        <w:t>2.</w:t>
      </w:r>
      <w:r w:rsidRPr="0030034E">
        <w:rPr>
          <w:lang w:val="fr-FR"/>
        </w:rPr>
        <w:tab/>
      </w:r>
      <w:r>
        <w:rPr>
          <w:lang w:val="fr-FR"/>
        </w:rPr>
        <w:t>Application de la Convention aux personnes appartenant à une minorité aux fins de l</w:t>
      </w:r>
      <w:r w:rsidR="00BB1AB4">
        <w:rPr>
          <w:lang w:val="fr-FR"/>
        </w:rPr>
        <w:t>’</w:t>
      </w:r>
      <w:r>
        <w:rPr>
          <w:lang w:val="fr-FR"/>
        </w:rPr>
        <w:t>exercice des droits civils, politiques, économiques, soc</w:t>
      </w:r>
      <w:r w:rsidR="00BB1AB4">
        <w:rPr>
          <w:lang w:val="fr-FR"/>
        </w:rPr>
        <w:t>iaux et culturels (art. 2 et 5)</w:t>
      </w:r>
    </w:p>
    <w:p w:rsidR="00C95F3A" w:rsidRPr="0030034E" w:rsidRDefault="00C95F3A" w:rsidP="00C95F3A">
      <w:pPr>
        <w:pStyle w:val="SingleTxtG"/>
        <w:ind w:firstLine="567"/>
        <w:rPr>
          <w:lang w:val="fr-FR"/>
        </w:rPr>
      </w:pPr>
      <w:r w:rsidRPr="0030034E">
        <w:rPr>
          <w:lang w:val="fr-FR"/>
        </w:rPr>
        <w:t>a)</w:t>
      </w:r>
      <w:r w:rsidRPr="0030034E">
        <w:rPr>
          <w:lang w:val="fr-FR"/>
        </w:rPr>
        <w:tab/>
      </w:r>
      <w:r>
        <w:rPr>
          <w:lang w:val="fr-FR"/>
        </w:rPr>
        <w:t>Renseignements sur la composition ethnique de la population turkmène</w:t>
      </w:r>
      <w:r w:rsidRPr="0030034E">
        <w:rPr>
          <w:lang w:val="fr-FR"/>
        </w:rPr>
        <w:t>;</w:t>
      </w:r>
    </w:p>
    <w:p w:rsidR="00C95F3A" w:rsidRDefault="00C95F3A" w:rsidP="00C95F3A">
      <w:pPr>
        <w:pStyle w:val="SingleTxtG"/>
        <w:ind w:firstLine="567"/>
        <w:rPr>
          <w:lang w:val="fr-FR"/>
        </w:rPr>
      </w:pPr>
      <w:r>
        <w:rPr>
          <w:lang w:val="fr-FR"/>
        </w:rPr>
        <w:t>b)</w:t>
      </w:r>
      <w:r>
        <w:rPr>
          <w:lang w:val="fr-FR"/>
        </w:rPr>
        <w:tab/>
        <w:t>Participation des personnes appartenant à une minorité nationale à la vie politique et publique (parlement, gouvernement, autorités locales, justice; formes de leur participation aux prises de décisions sur les questions les intéressant);</w:t>
      </w:r>
    </w:p>
    <w:p w:rsidR="00C95F3A" w:rsidRDefault="00C95F3A" w:rsidP="00C95F3A">
      <w:pPr>
        <w:pStyle w:val="SingleTxtG"/>
        <w:ind w:firstLine="567"/>
        <w:rPr>
          <w:lang w:val="fr-FR"/>
        </w:rPr>
      </w:pPr>
      <w:r>
        <w:rPr>
          <w:lang w:val="fr-FR"/>
        </w:rPr>
        <w:t>c)</w:t>
      </w:r>
      <w:r>
        <w:rPr>
          <w:lang w:val="fr-FR"/>
        </w:rPr>
        <w:tab/>
        <w:t>Données concernant l</w:t>
      </w:r>
      <w:r w:rsidR="00BB1AB4">
        <w:rPr>
          <w:lang w:val="fr-FR"/>
        </w:rPr>
        <w:t>’</w:t>
      </w:r>
      <w:r>
        <w:rPr>
          <w:lang w:val="fr-FR"/>
        </w:rPr>
        <w:t>accès des personnes appartenant à une minorité ethnique ou nationale à la fonction publique et à l</w:t>
      </w:r>
      <w:r w:rsidR="00BB1AB4">
        <w:rPr>
          <w:lang w:val="fr-FR"/>
        </w:rPr>
        <w:t>’</w:t>
      </w:r>
      <w:r>
        <w:rPr>
          <w:lang w:val="fr-FR"/>
        </w:rPr>
        <w:t>éducation supérieure;</w:t>
      </w:r>
    </w:p>
    <w:p w:rsidR="00C95F3A" w:rsidRDefault="00C95F3A" w:rsidP="00C95F3A">
      <w:pPr>
        <w:pStyle w:val="SingleTxtG"/>
        <w:ind w:firstLine="567"/>
        <w:rPr>
          <w:lang w:val="fr-FR"/>
        </w:rPr>
      </w:pPr>
      <w:r>
        <w:rPr>
          <w:lang w:val="fr-FR"/>
        </w:rPr>
        <w:t>d)</w:t>
      </w:r>
      <w:r>
        <w:rPr>
          <w:lang w:val="fr-FR"/>
        </w:rPr>
        <w:tab/>
        <w:t>Données sur les écoles et les cours où l</w:t>
      </w:r>
      <w:r w:rsidR="00BB1AB4">
        <w:rPr>
          <w:lang w:val="fr-FR"/>
        </w:rPr>
        <w:t>’</w:t>
      </w:r>
      <w:r>
        <w:rPr>
          <w:lang w:val="fr-FR"/>
        </w:rPr>
        <w:t>enseignement est dispensé dans les langues minoritaires et où ces dernières sont enseignées;</w:t>
      </w:r>
    </w:p>
    <w:p w:rsidR="00C95F3A" w:rsidRDefault="00C95F3A" w:rsidP="00C95F3A">
      <w:pPr>
        <w:pStyle w:val="SingleTxtG"/>
        <w:ind w:firstLine="567"/>
        <w:rPr>
          <w:lang w:val="fr-FR"/>
        </w:rPr>
      </w:pPr>
      <w:r>
        <w:rPr>
          <w:lang w:val="fr-FR"/>
        </w:rPr>
        <w:t>e)</w:t>
      </w:r>
      <w:r>
        <w:rPr>
          <w:lang w:val="fr-FR"/>
        </w:rPr>
        <w:tab/>
        <w:t>Informations sur les institutions et les infrastructures culturelles destinées aux minorités nationales et ethniques;</w:t>
      </w:r>
    </w:p>
    <w:p w:rsidR="00C95F3A" w:rsidRDefault="00C95F3A" w:rsidP="00C95F3A">
      <w:pPr>
        <w:pStyle w:val="SingleTxtG"/>
        <w:ind w:firstLine="567"/>
        <w:rPr>
          <w:lang w:val="fr-FR"/>
        </w:rPr>
      </w:pPr>
      <w:r>
        <w:rPr>
          <w:lang w:val="fr-FR"/>
        </w:rPr>
        <w:t>f)</w:t>
      </w:r>
      <w:r>
        <w:rPr>
          <w:lang w:val="fr-FR"/>
        </w:rPr>
        <w:tab/>
        <w:t>Problèmes relatifs à la double nationalité et conséquences directes et indirectes pour les personnes concernées.</w:t>
      </w:r>
    </w:p>
    <w:p w:rsidR="00C95F3A" w:rsidRPr="0030034E" w:rsidRDefault="00C95F3A" w:rsidP="00C95F3A">
      <w:pPr>
        <w:pStyle w:val="H23G"/>
        <w:rPr>
          <w:lang w:val="fr-FR"/>
        </w:rPr>
      </w:pPr>
      <w:r>
        <w:tab/>
        <w:t>3.</w:t>
      </w:r>
      <w:r>
        <w:tab/>
        <w:t>Accès à la justice et recours disponibles en cas de discrimination raciale</w:t>
      </w:r>
      <w:r>
        <w:rPr>
          <w:lang w:val="fr-FR"/>
        </w:rPr>
        <w:t xml:space="preserve"> (art. 4 et 6)</w:t>
      </w:r>
    </w:p>
    <w:p w:rsidR="00C95F3A" w:rsidRPr="0030034E" w:rsidRDefault="00C95F3A" w:rsidP="00C95F3A">
      <w:pPr>
        <w:pStyle w:val="SingleTxtG"/>
        <w:ind w:firstLine="567"/>
        <w:rPr>
          <w:lang w:val="fr-FR"/>
        </w:rPr>
      </w:pPr>
      <w:r>
        <w:rPr>
          <w:lang w:val="fr-FR"/>
        </w:rPr>
        <w:t>a)</w:t>
      </w:r>
      <w:r w:rsidRPr="0030034E">
        <w:rPr>
          <w:lang w:val="fr-FR"/>
        </w:rPr>
        <w:tab/>
      </w:r>
      <w:r>
        <w:rPr>
          <w:lang w:val="fr-FR"/>
        </w:rPr>
        <w:t xml:space="preserve">Nombre et nature des plaintes déposées auprès de la Commission nationale près la </w:t>
      </w:r>
      <w:r w:rsidR="00BB1AB4">
        <w:rPr>
          <w:lang w:val="fr-FR"/>
        </w:rPr>
        <w:t>p</w:t>
      </w:r>
      <w:r>
        <w:rPr>
          <w:lang w:val="fr-FR"/>
        </w:rPr>
        <w:t>résidence chargée d</w:t>
      </w:r>
      <w:r w:rsidR="00BB1AB4">
        <w:rPr>
          <w:lang w:val="fr-FR"/>
        </w:rPr>
        <w:t>’</w:t>
      </w:r>
      <w:r>
        <w:rPr>
          <w:lang w:val="fr-FR"/>
        </w:rPr>
        <w:t>examiner les plaintes des citoyens</w:t>
      </w:r>
      <w:r w:rsidRPr="0030034E">
        <w:rPr>
          <w:lang w:val="fr-FR"/>
        </w:rPr>
        <w:t>;</w:t>
      </w:r>
    </w:p>
    <w:p w:rsidR="00C95F3A" w:rsidRPr="0030034E" w:rsidRDefault="00C95F3A" w:rsidP="00C95F3A">
      <w:pPr>
        <w:pStyle w:val="SingleTxtG"/>
        <w:ind w:firstLine="567"/>
        <w:rPr>
          <w:lang w:val="fr-FR"/>
        </w:rPr>
      </w:pPr>
      <w:r>
        <w:rPr>
          <w:lang w:val="fr-FR"/>
        </w:rPr>
        <w:t>b)</w:t>
      </w:r>
      <w:r w:rsidRPr="0030034E">
        <w:rPr>
          <w:lang w:val="fr-FR"/>
        </w:rPr>
        <w:tab/>
      </w:r>
      <w:r>
        <w:rPr>
          <w:lang w:val="fr-FR"/>
        </w:rPr>
        <w:t>Voies de recours ouvertes à toutes les victimes de discrimination raciale et voies de recours disponibles en matière civile, notamment indemnisation, réparation et mesures garantissant l</w:t>
      </w:r>
      <w:r w:rsidR="00BB1AB4">
        <w:rPr>
          <w:lang w:val="fr-FR"/>
        </w:rPr>
        <w:t>’</w:t>
      </w:r>
      <w:r>
        <w:rPr>
          <w:lang w:val="fr-FR"/>
        </w:rPr>
        <w:t>accès des victimes à la justice.</w:t>
      </w:r>
    </w:p>
    <w:p w:rsidR="00C95F3A" w:rsidRPr="00C95F3A" w:rsidRDefault="00C95F3A" w:rsidP="00C95F3A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95F3A" w:rsidRPr="00C95F3A" w:rsidSect="00C95F3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689" w:rsidRDefault="004D5689"/>
  </w:endnote>
  <w:endnote w:type="continuationSeparator" w:id="0">
    <w:p w:rsidR="004D5689" w:rsidRDefault="004D5689"/>
  </w:endnote>
  <w:endnote w:type="continuationNotice" w:id="1">
    <w:p w:rsidR="004D5689" w:rsidRDefault="004D56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F3A" w:rsidRPr="00C95F3A" w:rsidRDefault="00C95F3A" w:rsidP="00C95F3A">
    <w:pPr>
      <w:pStyle w:val="Footer"/>
      <w:tabs>
        <w:tab w:val="right" w:pos="9638"/>
      </w:tabs>
    </w:pPr>
    <w:r w:rsidRPr="00C95F3A">
      <w:rPr>
        <w:b/>
        <w:sz w:val="18"/>
      </w:rPr>
      <w:fldChar w:fldCharType="begin"/>
    </w:r>
    <w:r w:rsidRPr="00C95F3A">
      <w:rPr>
        <w:b/>
        <w:sz w:val="18"/>
      </w:rPr>
      <w:instrText xml:space="preserve"> PAGE  \* MERGEFORMAT </w:instrText>
    </w:r>
    <w:r w:rsidRPr="00C95F3A">
      <w:rPr>
        <w:b/>
        <w:sz w:val="18"/>
      </w:rPr>
      <w:fldChar w:fldCharType="separate"/>
    </w:r>
    <w:r w:rsidR="00BB1AB4">
      <w:rPr>
        <w:b/>
        <w:noProof/>
        <w:sz w:val="18"/>
      </w:rPr>
      <w:t>2</w:t>
    </w:r>
    <w:r w:rsidRPr="00C95F3A">
      <w:rPr>
        <w:b/>
        <w:sz w:val="18"/>
      </w:rPr>
      <w:fldChar w:fldCharType="end"/>
    </w:r>
    <w:r>
      <w:rPr>
        <w:b/>
        <w:sz w:val="18"/>
      </w:rPr>
      <w:tab/>
    </w:r>
    <w:r>
      <w:t>GE.12-40117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F3A" w:rsidRPr="00C95F3A" w:rsidRDefault="00C95F3A" w:rsidP="00C95F3A">
    <w:pPr>
      <w:pStyle w:val="Footer"/>
      <w:tabs>
        <w:tab w:val="right" w:pos="9638"/>
      </w:tabs>
      <w:rPr>
        <w:b/>
        <w:sz w:val="18"/>
      </w:rPr>
    </w:pPr>
    <w:r>
      <w:t>GE.12-40117</w:t>
    </w:r>
    <w:r>
      <w:tab/>
    </w:r>
    <w:r w:rsidRPr="00C95F3A">
      <w:rPr>
        <w:b/>
        <w:sz w:val="18"/>
      </w:rPr>
      <w:fldChar w:fldCharType="begin"/>
    </w:r>
    <w:r w:rsidRPr="00C95F3A">
      <w:rPr>
        <w:b/>
        <w:sz w:val="18"/>
      </w:rPr>
      <w:instrText xml:space="preserve"> PAGE  \* MERGEFORMAT </w:instrText>
    </w:r>
    <w:r w:rsidRPr="00C95F3A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C95F3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97B" w:rsidRDefault="00C95F3A">
    <w:pPr>
      <w:pStyle w:val="Footer"/>
    </w:pPr>
    <w:r>
      <w:rPr>
        <w:sz w:val="20"/>
      </w:rPr>
      <w:t>GE.12-40117</w:t>
    </w:r>
    <w:r w:rsidR="00D9197B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240112    250112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689" w:rsidRPr="00D27D5E" w:rsidRDefault="004D5689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D5689" w:rsidRPr="00AA7FE7" w:rsidRDefault="004D5689" w:rsidP="00AA7FE7">
      <w:pPr>
        <w:tabs>
          <w:tab w:val="right" w:pos="2155"/>
        </w:tabs>
        <w:spacing w:after="80"/>
        <w:ind w:left="680"/>
        <w:rPr>
          <w:u w:val="single"/>
        </w:rPr>
      </w:pPr>
      <w:r w:rsidRPr="00AA7FE7">
        <w:rPr>
          <w:u w:val="single"/>
        </w:rPr>
        <w:tab/>
      </w:r>
    </w:p>
  </w:footnote>
  <w:footnote w:type="continuationNotice" w:id="1">
    <w:p w:rsidR="004D5689" w:rsidRDefault="004D5689"/>
  </w:footnote>
  <w:footnote w:id="2">
    <w:p w:rsidR="00C95F3A" w:rsidRPr="00C95F3A" w:rsidRDefault="00C95F3A">
      <w:pPr>
        <w:pStyle w:val="FootnoteText"/>
      </w:pPr>
      <w:r>
        <w:tab/>
      </w:r>
      <w:r w:rsidRPr="00C95F3A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Soumission tardive.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F3A" w:rsidRPr="00C95F3A" w:rsidRDefault="00C95F3A">
    <w:pPr>
      <w:pStyle w:val="Header"/>
    </w:pPr>
    <w:r>
      <w:t>CERD/C/TKM/Q/6-7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F3A" w:rsidRPr="00C95F3A" w:rsidRDefault="00C95F3A" w:rsidP="00C95F3A">
    <w:pPr>
      <w:pStyle w:val="Header"/>
      <w:jc w:val="right"/>
    </w:pPr>
    <w:r>
      <w:t>CERD/C/TKM/Q/6-7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5EC173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1826CB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98EE0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80675D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CF008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DD4D3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37CC5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5E21F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92E1A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7461D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5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8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19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1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2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4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7">
    <w:nsid w:val="4B2E67DA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1">
    <w:nsid w:val="5E692026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5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39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F3A355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8"/>
  </w:num>
  <w:num w:numId="2">
    <w:abstractNumId w:val="17"/>
  </w:num>
  <w:num w:numId="3">
    <w:abstractNumId w:val="38"/>
  </w:num>
  <w:num w:numId="4">
    <w:abstractNumId w:val="17"/>
  </w:num>
  <w:num w:numId="5">
    <w:abstractNumId w:val="11"/>
  </w:num>
  <w:num w:numId="6">
    <w:abstractNumId w:val="19"/>
  </w:num>
  <w:num w:numId="7">
    <w:abstractNumId w:val="22"/>
  </w:num>
  <w:num w:numId="8">
    <w:abstractNumId w:val="36"/>
  </w:num>
  <w:num w:numId="9">
    <w:abstractNumId w:val="29"/>
  </w:num>
  <w:num w:numId="10">
    <w:abstractNumId w:val="39"/>
  </w:num>
  <w:num w:numId="11">
    <w:abstractNumId w:val="22"/>
  </w:num>
  <w:num w:numId="12">
    <w:abstractNumId w:val="26"/>
  </w:num>
  <w:num w:numId="13">
    <w:abstractNumId w:val="26"/>
  </w:num>
  <w:num w:numId="14">
    <w:abstractNumId w:val="33"/>
  </w:num>
  <w:num w:numId="15">
    <w:abstractNumId w:val="21"/>
  </w:num>
  <w:num w:numId="16">
    <w:abstractNumId w:val="21"/>
  </w:num>
  <w:num w:numId="17">
    <w:abstractNumId w:val="38"/>
  </w:num>
  <w:num w:numId="18">
    <w:abstractNumId w:val="17"/>
  </w:num>
  <w:num w:numId="19">
    <w:abstractNumId w:val="1"/>
  </w:num>
  <w:num w:numId="20">
    <w:abstractNumId w:val="0"/>
  </w:num>
  <w:num w:numId="21">
    <w:abstractNumId w:val="18"/>
  </w:num>
  <w:num w:numId="22">
    <w:abstractNumId w:val="10"/>
  </w:num>
  <w:num w:numId="23">
    <w:abstractNumId w:val="14"/>
  </w:num>
  <w:num w:numId="24">
    <w:abstractNumId w:val="12"/>
  </w:num>
  <w:num w:numId="25">
    <w:abstractNumId w:val="23"/>
  </w:num>
  <w:num w:numId="26">
    <w:abstractNumId w:val="30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7"/>
  </w:num>
  <w:num w:numId="37">
    <w:abstractNumId w:val="34"/>
  </w:num>
  <w:num w:numId="38">
    <w:abstractNumId w:val="20"/>
  </w:num>
  <w:num w:numId="39">
    <w:abstractNumId w:val="25"/>
  </w:num>
  <w:num w:numId="40">
    <w:abstractNumId w:val="35"/>
  </w:num>
  <w:num w:numId="41">
    <w:abstractNumId w:val="15"/>
  </w:num>
  <w:num w:numId="42">
    <w:abstractNumId w:val="31"/>
  </w:num>
  <w:num w:numId="43">
    <w:abstractNumId w:val="40"/>
  </w:num>
  <w:num w:numId="44">
    <w:abstractNumId w:val="27"/>
  </w:num>
  <w:num w:numId="45">
    <w:abstractNumId w:val="32"/>
  </w:num>
  <w:num w:numId="46">
    <w:abstractNumId w:val="28"/>
  </w:num>
  <w:num w:numId="47">
    <w:abstractNumId w:val="24"/>
  </w:num>
  <w:num w:numId="48">
    <w:abstractNumId w:val="16"/>
  </w:num>
  <w:num w:numId="49">
    <w:abstractNumId w:val="34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197B"/>
    <w:rsid w:val="00016AC5"/>
    <w:rsid w:val="00054609"/>
    <w:rsid w:val="000A6F55"/>
    <w:rsid w:val="000E7579"/>
    <w:rsid w:val="000F41F2"/>
    <w:rsid w:val="001231AD"/>
    <w:rsid w:val="001450E6"/>
    <w:rsid w:val="00150465"/>
    <w:rsid w:val="00160540"/>
    <w:rsid w:val="00192EEB"/>
    <w:rsid w:val="00197832"/>
    <w:rsid w:val="001A20FB"/>
    <w:rsid w:val="001B3867"/>
    <w:rsid w:val="001D72C5"/>
    <w:rsid w:val="001D7F8A"/>
    <w:rsid w:val="001E3FEB"/>
    <w:rsid w:val="001E4A02"/>
    <w:rsid w:val="00225A8C"/>
    <w:rsid w:val="002626D4"/>
    <w:rsid w:val="002659F1"/>
    <w:rsid w:val="00265CD7"/>
    <w:rsid w:val="00287E79"/>
    <w:rsid w:val="002928F9"/>
    <w:rsid w:val="002A5D07"/>
    <w:rsid w:val="002D3F03"/>
    <w:rsid w:val="002E0D40"/>
    <w:rsid w:val="002E5B0C"/>
    <w:rsid w:val="00300D06"/>
    <w:rsid w:val="003016B7"/>
    <w:rsid w:val="003515AA"/>
    <w:rsid w:val="00374106"/>
    <w:rsid w:val="003976D5"/>
    <w:rsid w:val="003D6C68"/>
    <w:rsid w:val="004159D0"/>
    <w:rsid w:val="00472145"/>
    <w:rsid w:val="004D5689"/>
    <w:rsid w:val="004F7B50"/>
    <w:rsid w:val="00540389"/>
    <w:rsid w:val="00543D5E"/>
    <w:rsid w:val="00571F41"/>
    <w:rsid w:val="00593658"/>
    <w:rsid w:val="005E5D1F"/>
    <w:rsid w:val="006034FC"/>
    <w:rsid w:val="00611D43"/>
    <w:rsid w:val="00612D48"/>
    <w:rsid w:val="00616B45"/>
    <w:rsid w:val="00630D9B"/>
    <w:rsid w:val="00631953"/>
    <w:rsid w:val="006439EC"/>
    <w:rsid w:val="00657120"/>
    <w:rsid w:val="00693E16"/>
    <w:rsid w:val="006B4590"/>
    <w:rsid w:val="006C340C"/>
    <w:rsid w:val="006D7B0B"/>
    <w:rsid w:val="006E6AE5"/>
    <w:rsid w:val="006F39E4"/>
    <w:rsid w:val="0070347C"/>
    <w:rsid w:val="007176C1"/>
    <w:rsid w:val="007231EF"/>
    <w:rsid w:val="0078670C"/>
    <w:rsid w:val="007F55CB"/>
    <w:rsid w:val="00844750"/>
    <w:rsid w:val="008B44C4"/>
    <w:rsid w:val="008D2259"/>
    <w:rsid w:val="008E7FAE"/>
    <w:rsid w:val="00911BF7"/>
    <w:rsid w:val="00977EC8"/>
    <w:rsid w:val="009C17F5"/>
    <w:rsid w:val="009D3A8C"/>
    <w:rsid w:val="009E7956"/>
    <w:rsid w:val="00A2492E"/>
    <w:rsid w:val="00A82B6C"/>
    <w:rsid w:val="00AA7FE7"/>
    <w:rsid w:val="00AB3173"/>
    <w:rsid w:val="00AC01AA"/>
    <w:rsid w:val="00AC67A1"/>
    <w:rsid w:val="00AC7977"/>
    <w:rsid w:val="00AE352C"/>
    <w:rsid w:val="00B32E2D"/>
    <w:rsid w:val="00B61990"/>
    <w:rsid w:val="00BB1AB4"/>
    <w:rsid w:val="00BF0556"/>
    <w:rsid w:val="00C03431"/>
    <w:rsid w:val="00C261F8"/>
    <w:rsid w:val="00C33100"/>
    <w:rsid w:val="00C95F3A"/>
    <w:rsid w:val="00CA5629"/>
    <w:rsid w:val="00CD1A71"/>
    <w:rsid w:val="00CD1FBB"/>
    <w:rsid w:val="00D016B5"/>
    <w:rsid w:val="00D034F1"/>
    <w:rsid w:val="00D27D5E"/>
    <w:rsid w:val="00D37345"/>
    <w:rsid w:val="00D9197B"/>
    <w:rsid w:val="00DC156C"/>
    <w:rsid w:val="00DE6D90"/>
    <w:rsid w:val="00DF002F"/>
    <w:rsid w:val="00E0244D"/>
    <w:rsid w:val="00E42D5E"/>
    <w:rsid w:val="00E81E94"/>
    <w:rsid w:val="00E82607"/>
    <w:rsid w:val="00EA3CAE"/>
    <w:rsid w:val="00EC5A42"/>
    <w:rsid w:val="00F63BC6"/>
    <w:rsid w:val="00FA5A79"/>
    <w:rsid w:val="00FB0BFE"/>
    <w:rsid w:val="00FB4C51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17F5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D37345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9C17F5"/>
    <w:pPr>
      <w:outlineLvl w:val="1"/>
    </w:pPr>
  </w:style>
  <w:style w:type="paragraph" w:styleId="Heading3">
    <w:name w:val="heading 3"/>
    <w:basedOn w:val="Normal"/>
    <w:next w:val="Normal"/>
    <w:qFormat/>
    <w:rsid w:val="009C17F5"/>
    <w:pPr>
      <w:outlineLvl w:val="2"/>
    </w:pPr>
  </w:style>
  <w:style w:type="paragraph" w:styleId="Heading4">
    <w:name w:val="heading 4"/>
    <w:basedOn w:val="Normal"/>
    <w:next w:val="Normal"/>
    <w:qFormat/>
    <w:rsid w:val="009C17F5"/>
    <w:pPr>
      <w:outlineLvl w:val="3"/>
    </w:pPr>
  </w:style>
  <w:style w:type="paragraph" w:styleId="Heading5">
    <w:name w:val="heading 5"/>
    <w:basedOn w:val="Normal"/>
    <w:next w:val="Normal"/>
    <w:qFormat/>
    <w:rsid w:val="009C17F5"/>
    <w:pPr>
      <w:outlineLvl w:val="4"/>
    </w:pPr>
  </w:style>
  <w:style w:type="paragraph" w:styleId="Heading6">
    <w:name w:val="heading 6"/>
    <w:basedOn w:val="Normal"/>
    <w:next w:val="Normal"/>
    <w:qFormat/>
    <w:rsid w:val="009C17F5"/>
    <w:pPr>
      <w:outlineLvl w:val="5"/>
    </w:pPr>
  </w:style>
  <w:style w:type="paragraph" w:styleId="Heading7">
    <w:name w:val="heading 7"/>
    <w:basedOn w:val="Normal"/>
    <w:next w:val="Normal"/>
    <w:qFormat/>
    <w:rsid w:val="009C17F5"/>
    <w:pPr>
      <w:outlineLvl w:val="6"/>
    </w:pPr>
  </w:style>
  <w:style w:type="paragraph" w:styleId="Heading8">
    <w:name w:val="heading 8"/>
    <w:basedOn w:val="Normal"/>
    <w:next w:val="Normal"/>
    <w:qFormat/>
    <w:rsid w:val="009C17F5"/>
    <w:pPr>
      <w:outlineLvl w:val="7"/>
    </w:pPr>
  </w:style>
  <w:style w:type="paragraph" w:styleId="Heading9">
    <w:name w:val="heading 9"/>
    <w:basedOn w:val="Normal"/>
    <w:next w:val="Normal"/>
    <w:qFormat/>
    <w:rsid w:val="009C17F5"/>
    <w:pPr>
      <w:outlineLvl w:val="8"/>
    </w:pPr>
  </w:style>
  <w:style w:type="character" w:default="1" w:styleId="DefaultParagraphFont">
    <w:name w:val="Default Paragraph Font"/>
    <w:semiHidden/>
    <w:rsid w:val="009C17F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C17F5"/>
  </w:style>
  <w:style w:type="paragraph" w:customStyle="1" w:styleId="HMG">
    <w:name w:val="_ H __M_G"/>
    <w:basedOn w:val="Normal"/>
    <w:next w:val="Normal"/>
    <w:rsid w:val="009C17F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9C17F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9C17F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9C17F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9C17F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9C17F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9C17F5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9C17F5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9C17F5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9C17F5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9C17F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05460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54609"/>
  </w:style>
  <w:style w:type="character" w:styleId="PageNumber">
    <w:name w:val="page number"/>
    <w:aliases w:val="7_G"/>
    <w:rsid w:val="009C17F5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9C17F5"/>
    <w:pPr>
      <w:spacing w:line="240" w:lineRule="auto"/>
    </w:pPr>
    <w:rPr>
      <w:sz w:val="16"/>
    </w:rPr>
  </w:style>
  <w:style w:type="character" w:styleId="Hyperlink">
    <w:name w:val="Hyperlink"/>
    <w:rsid w:val="00540389"/>
    <w:rPr>
      <w:color w:val="auto"/>
      <w:u w:val="none"/>
    </w:rPr>
  </w:style>
  <w:style w:type="character" w:styleId="FollowedHyperlink">
    <w:name w:val="FollowedHyperlink"/>
    <w:rsid w:val="00540389"/>
    <w:rPr>
      <w:color w:val="auto"/>
      <w:u w:val="none"/>
    </w:rPr>
  </w:style>
  <w:style w:type="table" w:styleId="TableGrid">
    <w:name w:val="Table Grid"/>
    <w:basedOn w:val="TableNormal"/>
    <w:semiHidden/>
    <w:rsid w:val="00C95F3A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2</Pages>
  <Words>430</Words>
  <Characters>2540</Characters>
  <Application>Microsoft Office Word</Application>
  <DocSecurity>4</DocSecurity>
  <Lines>54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CERD/C/TKM/Q/6-7</vt:lpstr>
    </vt:vector>
  </TitlesOfParts>
  <Company>CSD</Company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CERD/C/TKM/Q/6-7</dc:title>
  <dc:subject>Final</dc:subject>
  <dc:creator>BURDIN</dc:creator>
  <cp:keywords/>
  <dc:description/>
  <cp:lastModifiedBy>Pool</cp:lastModifiedBy>
  <cp:revision>2</cp:revision>
  <cp:lastPrinted>2009-10-07T16:37:00Z</cp:lastPrinted>
  <dcterms:created xsi:type="dcterms:W3CDTF">2012-01-25T07:59:00Z</dcterms:created>
  <dcterms:modified xsi:type="dcterms:W3CDTF">2012-01-25T07:59:00Z</dcterms:modified>
</cp:coreProperties>
</file>