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C47" w:rsidRDefault="00ED4C47" w:rsidP="00ED4C47">
      <w:pPr>
        <w:spacing w:line="60" w:lineRule="exact"/>
        <w:rPr>
          <w:sz w:val="6"/>
        </w:rPr>
        <w:sectPr w:rsidR="00ED4C47" w:rsidSect="00ED4C4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ED4C47" w:rsidRDefault="00ED4C47" w:rsidP="00ED4C47">
      <w:pPr>
        <w:spacing w:line="60" w:lineRule="exact"/>
        <w:rPr>
          <w:sz w:val="6"/>
        </w:rPr>
      </w:pPr>
    </w:p>
    <w:p w:rsidR="006D12F1" w:rsidRDefault="006D12F1" w:rsidP="008D5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4" w:right="1259" w:hanging="1264"/>
        <w:rPr>
          <w:rFonts w:hint="eastAsia"/>
        </w:rPr>
      </w:pPr>
      <w:r>
        <w:rPr>
          <w:rFonts w:hint="eastAsia"/>
        </w:rPr>
        <w:t>消除对妇女歧视委员会</w:t>
      </w:r>
    </w:p>
    <w:p w:rsidR="006D12F1" w:rsidRDefault="006D12F1" w:rsidP="008D5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4" w:right="1259" w:hanging="1264"/>
        <w:rPr>
          <w:rFonts w:hint="eastAsia"/>
        </w:rPr>
      </w:pPr>
      <w:r>
        <w:rPr>
          <w:rFonts w:hint="eastAsia"/>
        </w:rPr>
        <w:t>会前工作组</w:t>
      </w:r>
    </w:p>
    <w:p w:rsidR="006D12F1" w:rsidRDefault="006D12F1" w:rsidP="008D5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4" w:right="1259" w:hanging="1264"/>
        <w:rPr>
          <w:rFonts w:hint="eastAsia"/>
        </w:rPr>
      </w:pPr>
      <w:r>
        <w:rPr>
          <w:rFonts w:hint="eastAsia"/>
        </w:rPr>
        <w:t>第四十二届会议</w:t>
      </w:r>
    </w:p>
    <w:p w:rsidR="006D12F1" w:rsidRDefault="006D12F1" w:rsidP="008D5004">
      <w:pPr>
        <w:pStyle w:val="SingleTxt"/>
        <w:ind w:left="0"/>
        <w:rPr>
          <w:rFonts w:hint="eastAsia"/>
        </w:rPr>
      </w:pPr>
      <w:r>
        <w:rPr>
          <w:rFonts w:hint="eastAsia"/>
        </w:rPr>
        <w:t>2008年10月20日至11月7日</w:t>
      </w:r>
    </w:p>
    <w:p w:rsidR="008D5004" w:rsidRPr="008D5004" w:rsidRDefault="008D5004" w:rsidP="008D500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SimSun" w:eastAsia="SimSun"/>
          <w:color w:val="auto"/>
          <w:sz w:val="10"/>
        </w:rPr>
      </w:pPr>
    </w:p>
    <w:p w:rsidR="008D5004" w:rsidRPr="008D5004" w:rsidRDefault="008D5004" w:rsidP="008D500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6D12F1" w:rsidRDefault="008D5004" w:rsidP="008D500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6D12F1">
        <w:rPr>
          <w:rFonts w:hint="eastAsia"/>
        </w:rPr>
        <w:t>与审议定期报告有关的议题和问题清单</w:t>
      </w:r>
    </w:p>
    <w:p w:rsidR="008D5004" w:rsidRPr="008D5004" w:rsidRDefault="008D5004" w:rsidP="008D5004">
      <w:pPr>
        <w:pStyle w:val="SingleTxt"/>
        <w:spacing w:after="0" w:line="120" w:lineRule="exact"/>
        <w:ind w:left="0"/>
        <w:rPr>
          <w:rFonts w:hint="eastAsia"/>
          <w:sz w:val="10"/>
        </w:rPr>
      </w:pPr>
    </w:p>
    <w:p w:rsidR="008D5004" w:rsidRPr="008D5004" w:rsidRDefault="008D5004" w:rsidP="008D5004">
      <w:pPr>
        <w:pStyle w:val="SingleTxt"/>
        <w:spacing w:after="0" w:line="120" w:lineRule="exact"/>
        <w:ind w:left="0"/>
        <w:rPr>
          <w:rFonts w:hint="eastAsia"/>
          <w:sz w:val="10"/>
        </w:rPr>
      </w:pPr>
    </w:p>
    <w:p w:rsidR="006D12F1" w:rsidRDefault="008D5004" w:rsidP="008D5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6D12F1">
        <w:rPr>
          <w:rFonts w:hint="eastAsia"/>
        </w:rPr>
        <w:t>厄瓜多尔</w:t>
      </w:r>
      <w:r w:rsidR="001A24BB" w:rsidRPr="001A24BB">
        <w:rPr>
          <w:rStyle w:val="FootnoteReference"/>
          <w:sz w:val="21"/>
        </w:rPr>
        <w:footnoteReference w:customMarkFollows="1" w:id="1"/>
        <w:t>*</w:t>
      </w:r>
    </w:p>
    <w:p w:rsidR="008D5004" w:rsidRPr="008D5004" w:rsidRDefault="008D5004" w:rsidP="008D5004">
      <w:pPr>
        <w:pStyle w:val="SingleTxt"/>
        <w:spacing w:after="0" w:line="120" w:lineRule="exact"/>
        <w:rPr>
          <w:rFonts w:hint="eastAsia"/>
          <w:sz w:val="10"/>
        </w:rPr>
      </w:pPr>
    </w:p>
    <w:p w:rsidR="008D5004" w:rsidRPr="008D5004" w:rsidRDefault="008D5004" w:rsidP="008D5004">
      <w:pPr>
        <w:pStyle w:val="SingleTxt"/>
        <w:spacing w:after="0" w:line="120" w:lineRule="exact"/>
        <w:rPr>
          <w:rFonts w:hint="eastAsia"/>
          <w:sz w:val="10"/>
        </w:rPr>
      </w:pPr>
    </w:p>
    <w:p w:rsidR="008D5004" w:rsidRPr="008D5004" w:rsidRDefault="008D5004" w:rsidP="008D5004">
      <w:pPr>
        <w:pStyle w:val="SingleTxt"/>
        <w:spacing w:after="0" w:line="120" w:lineRule="exact"/>
        <w:rPr>
          <w:rFonts w:hint="eastAsia"/>
          <w:sz w:val="10"/>
        </w:rPr>
      </w:pPr>
    </w:p>
    <w:p w:rsidR="006D12F1" w:rsidRDefault="006D12F1" w:rsidP="006D12F1">
      <w:pPr>
        <w:pStyle w:val="SingleTxt"/>
        <w:rPr>
          <w:rFonts w:hint="eastAsia"/>
        </w:rPr>
      </w:pPr>
      <w:r>
        <w:rPr>
          <w:rFonts w:hint="eastAsia"/>
        </w:rPr>
        <w:tab/>
      </w:r>
      <w:r w:rsidRPr="001673E0">
        <w:rPr>
          <w:rFonts w:hint="eastAsia"/>
          <w:spacing w:val="-2"/>
        </w:rPr>
        <w:t>会前工作组审议了厄瓜多尔第六次和第七次合并定期报告</w:t>
      </w:r>
      <w:r w:rsidR="001673E0" w:rsidRPr="001673E0">
        <w:rPr>
          <w:spacing w:val="-2"/>
        </w:rPr>
        <w:t>(</w:t>
      </w:r>
      <w:r w:rsidRPr="001673E0">
        <w:rPr>
          <w:rFonts w:hint="eastAsia"/>
          <w:spacing w:val="-2"/>
        </w:rPr>
        <w:t>CEDAW/C/ECU/7</w:t>
      </w:r>
      <w:r w:rsidR="001673E0" w:rsidRPr="001673E0">
        <w:rPr>
          <w:spacing w:val="-2"/>
        </w:rPr>
        <w:t>)</w:t>
      </w:r>
      <w:r>
        <w:rPr>
          <w:rFonts w:hint="eastAsia"/>
        </w:rPr>
        <w:t>。</w:t>
      </w:r>
    </w:p>
    <w:p w:rsidR="006D12F1" w:rsidRPr="008D5004" w:rsidRDefault="006D12F1" w:rsidP="006D12F1">
      <w:pPr>
        <w:pStyle w:val="SingleTxt"/>
        <w:rPr>
          <w:rFonts w:ascii="SimHei" w:eastAsia="SimHei" w:hint="eastAsia"/>
          <w:color w:val="FF0000"/>
        </w:rPr>
      </w:pPr>
      <w:r w:rsidRPr="008D5004">
        <w:rPr>
          <w:rFonts w:ascii="SimHei" w:eastAsia="SimHei" w:hint="eastAsia"/>
          <w:color w:val="FF0000"/>
        </w:rPr>
        <w:t>立法、提高妇女地位机构和国家计划</w:t>
      </w:r>
    </w:p>
    <w:p w:rsidR="006D12F1" w:rsidRDefault="006D12F1" w:rsidP="006D12F1">
      <w:pPr>
        <w:pStyle w:val="SingleTxt"/>
        <w:rPr>
          <w:rFonts w:hint="eastAsia"/>
        </w:rPr>
      </w:pPr>
      <w:r>
        <w:rPr>
          <w:rFonts w:hint="eastAsia"/>
        </w:rPr>
        <w:t>1.</w:t>
      </w:r>
      <w:r>
        <w:rPr>
          <w:rFonts w:hint="eastAsia"/>
        </w:rPr>
        <w:tab/>
        <w:t>请提供资料，说明不断进行的宪法改革进程的目标和时限，以及这次改革将如何在实践中影响《公约》所载的不歧视妇女和妇女平等的法律保障。</w:t>
      </w:r>
    </w:p>
    <w:p w:rsidR="006D12F1" w:rsidRDefault="006D12F1" w:rsidP="006D12F1">
      <w:pPr>
        <w:pStyle w:val="SingleTxt"/>
        <w:rPr>
          <w:rFonts w:hint="eastAsia"/>
        </w:rPr>
      </w:pPr>
      <w:r>
        <w:rPr>
          <w:rFonts w:hint="eastAsia"/>
        </w:rPr>
        <w:t>2.</w:t>
      </w:r>
      <w:r>
        <w:rPr>
          <w:rFonts w:hint="eastAsia"/>
        </w:rPr>
        <w:tab/>
        <w:t>虽然委员会以往的结论性意见敦促缔约国废除其刑法、民法和家庭法中的其余歧视性规定，但报告仍列出17项法律草案（第109段），并提到《机会均等和性别平等法》草案(第426段)。请提供最新资料，说明这些法律的状况，哪些法律被视为优先事项，以及通过这些法律的时限。还请报告任何妨碍其通过和实施的障碍。</w:t>
      </w:r>
    </w:p>
    <w:p w:rsidR="006D12F1" w:rsidRDefault="006D12F1" w:rsidP="006D12F1">
      <w:pPr>
        <w:pStyle w:val="SingleTxt"/>
        <w:rPr>
          <w:rFonts w:hint="eastAsia"/>
        </w:rPr>
      </w:pPr>
      <w:r>
        <w:rPr>
          <w:rFonts w:hint="eastAsia"/>
        </w:rPr>
        <w:t>3.</w:t>
      </w:r>
      <w:r>
        <w:rPr>
          <w:rFonts w:hint="eastAsia"/>
        </w:rPr>
        <w:tab/>
        <w:t>请提供资料，说明为恢复监察员办公室妇女问题副监察员并加强他/她的作用而采取的步骤，包括分配充足资金，以强制尊重和实现妇女人权。并提供资料，说明国家一级各部委和各省市政府的平等机会体制机制和法律机制的数目。</w:t>
      </w:r>
    </w:p>
    <w:p w:rsidR="006D12F1" w:rsidRDefault="006D12F1" w:rsidP="006D12F1">
      <w:pPr>
        <w:pStyle w:val="SingleTxt"/>
        <w:rPr>
          <w:rFonts w:hint="eastAsia"/>
        </w:rPr>
      </w:pPr>
      <w:r>
        <w:rPr>
          <w:rFonts w:hint="eastAsia"/>
        </w:rPr>
        <w:t>4.</w:t>
      </w:r>
      <w:r>
        <w:rPr>
          <w:rFonts w:hint="eastAsia"/>
        </w:rPr>
        <w:tab/>
        <w:t>报告（第137段）指出，一项行政令已经将通过《2005-2009年平等机会计划》宣布为国家政策。该计划保证在所有公共政策中为所有妇女群体纳入性别观点。请提供资料，说明为实施该计划拨出的资金；2007年年底以前实现的具体成果，并指出遇到的体制性和其他挑战。</w:t>
      </w:r>
    </w:p>
    <w:p w:rsidR="006D12F1" w:rsidRDefault="006D12F1" w:rsidP="006D12F1">
      <w:pPr>
        <w:pStyle w:val="SingleTxt"/>
        <w:rPr>
          <w:rFonts w:hint="eastAsia"/>
        </w:rPr>
      </w:pPr>
      <w:r>
        <w:rPr>
          <w:rFonts w:hint="eastAsia"/>
        </w:rPr>
        <w:t>5.</w:t>
      </w:r>
      <w:r>
        <w:rPr>
          <w:rFonts w:hint="eastAsia"/>
        </w:rPr>
        <w:tab/>
      </w:r>
      <w:r w:rsidRPr="001A24BB">
        <w:rPr>
          <w:rFonts w:hint="eastAsia"/>
          <w:spacing w:val="-2"/>
        </w:rPr>
        <w:t>缔约国的报告称（第222段），《配额法》规定妇女至少是大选候选人的30</w:t>
      </w:r>
      <w:r w:rsidR="001A24BB" w:rsidRPr="001A24BB">
        <w:rPr>
          <w:rFonts w:hint="eastAsia"/>
          <w:spacing w:val="-2"/>
        </w:rPr>
        <w:t>％</w:t>
      </w:r>
      <w:r w:rsidRPr="001A24BB">
        <w:rPr>
          <w:rFonts w:hint="eastAsia"/>
          <w:spacing w:val="-2"/>
        </w:rPr>
        <w:t>，</w:t>
      </w:r>
      <w:r>
        <w:rPr>
          <w:rFonts w:hint="eastAsia"/>
        </w:rPr>
        <w:t>司法行政部门雇员和公职选举候选人中的妇女配额为20％，然而，该法的实施未达到规定水平。请说明正在采取哪些措施来克服执行《配额法》要求的结构性和其他障碍；今后如何执行宪法法庭关于最高选举法院的裁决；以及是否正在实施有关妇女领导能力和男子接受这种能力的全国培训。</w:t>
      </w:r>
    </w:p>
    <w:p w:rsidR="006D12F1" w:rsidRDefault="006D12F1" w:rsidP="006D12F1">
      <w:pPr>
        <w:pStyle w:val="SingleTxt"/>
        <w:rPr>
          <w:rFonts w:hint="eastAsia"/>
        </w:rPr>
      </w:pPr>
      <w:r>
        <w:rPr>
          <w:rFonts w:hint="eastAsia"/>
        </w:rPr>
        <w:t>6.</w:t>
      </w:r>
      <w:r>
        <w:rPr>
          <w:rFonts w:hint="eastAsia"/>
        </w:rPr>
        <w:tab/>
        <w:t>报告（第97段）说，国家诉讼，特别是家庭暴力和行使性权利和生殖权利的案件中都援引了《公约》的规定。请详细说明这些案件并摘要说明其结果。</w:t>
      </w:r>
    </w:p>
    <w:p w:rsidR="006D12F1" w:rsidRPr="001A24BB" w:rsidRDefault="006D12F1" w:rsidP="006D12F1">
      <w:pPr>
        <w:pStyle w:val="SingleTxt"/>
        <w:rPr>
          <w:rFonts w:ascii="SimHei" w:eastAsia="SimHei" w:hint="eastAsia"/>
          <w:color w:val="FF0000"/>
        </w:rPr>
      </w:pPr>
      <w:r w:rsidRPr="001A24BB">
        <w:rPr>
          <w:rFonts w:ascii="SimHei" w:eastAsia="SimHei" w:hint="eastAsia"/>
          <w:color w:val="FF0000"/>
        </w:rPr>
        <w:t>对妇女的暴力行为</w:t>
      </w:r>
    </w:p>
    <w:p w:rsidR="006D12F1" w:rsidRDefault="006D12F1" w:rsidP="006D12F1">
      <w:pPr>
        <w:pStyle w:val="SingleTxt"/>
        <w:rPr>
          <w:rFonts w:hint="eastAsia"/>
        </w:rPr>
      </w:pPr>
      <w:r>
        <w:rPr>
          <w:rFonts w:hint="eastAsia"/>
        </w:rPr>
        <w:t>7.</w:t>
      </w:r>
      <w:r>
        <w:rPr>
          <w:rFonts w:hint="eastAsia"/>
        </w:rPr>
        <w:tab/>
        <w:t>报告称（第163段），对妇女的暴力行为虽然很普遍，但仍“被认为是不适当行为而非犯罪。”请提供资料，说明修正法律的努力、全国性别事务管理局在2005-2007年收到有关对妇女暴力行为的投诉数目、法院收到的起诉数目以及法院判刑次数。还提供资料，说明政策影响委员会2007年底以前的工作成果，以及是否有计划设立一个全国观察站，收集关于对妇女暴力行为的数据。</w:t>
      </w:r>
    </w:p>
    <w:p w:rsidR="006D12F1" w:rsidRDefault="006D12F1" w:rsidP="006D12F1">
      <w:pPr>
        <w:pStyle w:val="SingleTxt"/>
        <w:rPr>
          <w:rFonts w:hint="eastAsia"/>
        </w:rPr>
      </w:pPr>
      <w:r>
        <w:rPr>
          <w:rFonts w:hint="eastAsia"/>
        </w:rPr>
        <w:t>8.</w:t>
      </w:r>
      <w:r>
        <w:rPr>
          <w:rFonts w:hint="eastAsia"/>
        </w:rPr>
        <w:tab/>
        <w:t>报告（第56段）提到全国性别事务管理局收到的对妇女心理暴力行为投诉有所增加，并描述了妇女、儿童、和青少年权利办公室提供的社会和心理服务。请提供资料，说明寻求这些服务的受害者人数。</w:t>
      </w:r>
    </w:p>
    <w:p w:rsidR="006D12F1" w:rsidRDefault="006D12F1" w:rsidP="006D12F1">
      <w:pPr>
        <w:pStyle w:val="SingleTxt"/>
        <w:rPr>
          <w:rFonts w:hint="eastAsia"/>
        </w:rPr>
      </w:pPr>
      <w:r>
        <w:rPr>
          <w:rFonts w:hint="eastAsia"/>
        </w:rPr>
        <w:t>9.</w:t>
      </w:r>
      <w:r>
        <w:rPr>
          <w:rFonts w:hint="eastAsia"/>
        </w:rPr>
        <w:tab/>
        <w:t>报告提到（第170段）第3393号部长协议。协议要求在学校实施一套消除性犯罪的机制。请提供资料，说明这些机制的性质和是否已经在所有学校设立，处理了多少犯罪，以及这些机制是否也促进预防性措施。</w:t>
      </w:r>
    </w:p>
    <w:p w:rsidR="006D12F1" w:rsidRDefault="006D12F1" w:rsidP="006D12F1">
      <w:pPr>
        <w:pStyle w:val="SingleTxt"/>
        <w:rPr>
          <w:rFonts w:hint="eastAsia"/>
        </w:rPr>
      </w:pPr>
      <w:r>
        <w:rPr>
          <w:rFonts w:hint="eastAsia"/>
        </w:rPr>
        <w:t>10.</w:t>
      </w:r>
      <w:r>
        <w:rPr>
          <w:rFonts w:hint="eastAsia"/>
        </w:rPr>
        <w:tab/>
        <w:t>请提供资料，说明提高农村妇女地位方案基金《保护性暴力受害者方案》取得的成果，以及2006年和2007年是否在地方各级制定了保护妇女免遭所有形式暴力的新方案。</w:t>
      </w:r>
    </w:p>
    <w:p w:rsidR="006D12F1" w:rsidRDefault="006D12F1" w:rsidP="006D12F1">
      <w:pPr>
        <w:pStyle w:val="SingleTxt"/>
        <w:rPr>
          <w:rFonts w:hint="eastAsia"/>
        </w:rPr>
      </w:pPr>
      <w:r>
        <w:rPr>
          <w:rFonts w:hint="eastAsia"/>
        </w:rPr>
        <w:t>11.</w:t>
      </w:r>
      <w:r>
        <w:rPr>
          <w:rFonts w:hint="eastAsia"/>
        </w:rPr>
        <w:tab/>
        <w:t>报告（第169段）解释说，检察院作为将性别观点纳入司法行政主流的过程的一部分设立了一个性别问题委员会，并向法官、妇女专员和家庭专员以及心理暴力或性暴力案件警员提供培训课程。请提供资料，说明这些培训的影响；培训是否已导致采取对性别问题更敏感的调查程序，以及如何监测这些调查。</w:t>
      </w:r>
    </w:p>
    <w:p w:rsidR="006D12F1" w:rsidRPr="001A24BB" w:rsidRDefault="006D12F1" w:rsidP="006D12F1">
      <w:pPr>
        <w:pStyle w:val="SingleTxt"/>
        <w:rPr>
          <w:rFonts w:ascii="SimHei" w:eastAsia="SimHei" w:hint="eastAsia"/>
          <w:color w:val="FF0000"/>
        </w:rPr>
      </w:pPr>
      <w:r w:rsidRPr="001A24BB">
        <w:rPr>
          <w:rFonts w:ascii="SimHei" w:eastAsia="SimHei" w:hint="eastAsia"/>
          <w:color w:val="FF0000"/>
        </w:rPr>
        <w:t>贩运和剥削卖淫</w:t>
      </w:r>
    </w:p>
    <w:p w:rsidR="006D12F1" w:rsidRDefault="006D12F1" w:rsidP="006D12F1">
      <w:pPr>
        <w:pStyle w:val="SingleTxt"/>
        <w:rPr>
          <w:rFonts w:hint="eastAsia"/>
        </w:rPr>
      </w:pPr>
      <w:r>
        <w:rPr>
          <w:rFonts w:hint="eastAsia"/>
        </w:rPr>
        <w:t>12.</w:t>
      </w:r>
      <w:r>
        <w:rPr>
          <w:rFonts w:hint="eastAsia"/>
        </w:rPr>
        <w:tab/>
        <w:t>联合国的几名特别报告员曾对缔约国内贩卖人口，特别是将哥伦比亚人贩卖到厄瓜多尔的危险表示关切。报告（第172和175段）载有关于设立机构间委员会和技术秘书处的资料，并解释说从2007年起，厄瓜多尔力图实施打击绑架人口、非法贩运移民、性剥削和劳动剥削，以及对妇女和少年儿童的其他剥削和卖淫行为、儿童色情和腐化未成年人的《国家行动计划》。请提供资料，说明该计划目前执行情况、对妇女的特别保护以及国家是否已经通过立法和刑法制裁将非法跨界偷运人口定为犯罪。还请提供资料，说明厄瓜多尔境内贩卖妇女的程度。</w:t>
      </w:r>
    </w:p>
    <w:p w:rsidR="006D12F1" w:rsidRDefault="006D12F1" w:rsidP="006D12F1">
      <w:pPr>
        <w:pStyle w:val="SingleTxt"/>
        <w:rPr>
          <w:rFonts w:hint="eastAsia"/>
        </w:rPr>
      </w:pPr>
      <w:r>
        <w:rPr>
          <w:rFonts w:hint="eastAsia"/>
        </w:rPr>
        <w:t>13.</w:t>
      </w:r>
      <w:r>
        <w:rPr>
          <w:rFonts w:hint="eastAsia"/>
        </w:rPr>
        <w:tab/>
        <w:t>报告（第217段）提供资料，说明目前正在为贩卖人口规定的惩罚，并说明国家妇女理事会和联合国儿童基金会达成协议，以制定战略，打击对难民妇女的非法贩卖、绑架和迫使卖淫行为</w:t>
      </w:r>
      <w:r w:rsidR="001A24BB">
        <w:rPr>
          <w:rFonts w:hint="eastAsia"/>
        </w:rPr>
        <w:t>的情况</w:t>
      </w:r>
      <w:r>
        <w:rPr>
          <w:rFonts w:hint="eastAsia"/>
        </w:rPr>
        <w:t>。请提供资料，说明是否已经制定任何措施来起诉这些罪行，是否为受害者提供补救，以及这类措施是否扩展到北方各省的无证件难民妇女。</w:t>
      </w:r>
    </w:p>
    <w:p w:rsidR="006D12F1" w:rsidRPr="001A24BB" w:rsidRDefault="006D12F1" w:rsidP="006D12F1">
      <w:pPr>
        <w:pStyle w:val="SingleTxt"/>
        <w:rPr>
          <w:rFonts w:ascii="SimHei" w:eastAsia="SimHei" w:hint="eastAsia"/>
          <w:color w:val="FF0000"/>
        </w:rPr>
      </w:pPr>
      <w:r w:rsidRPr="001A24BB">
        <w:rPr>
          <w:rFonts w:ascii="SimHei" w:eastAsia="SimHei" w:hint="eastAsia"/>
          <w:color w:val="FF0000"/>
        </w:rPr>
        <w:t>定型观念与教育</w:t>
      </w:r>
    </w:p>
    <w:p w:rsidR="006D12F1" w:rsidRDefault="006D12F1" w:rsidP="006D12F1">
      <w:pPr>
        <w:pStyle w:val="SingleTxt"/>
        <w:rPr>
          <w:rFonts w:hint="eastAsia"/>
        </w:rPr>
      </w:pPr>
      <w:r>
        <w:rPr>
          <w:rFonts w:hint="eastAsia"/>
        </w:rPr>
        <w:t>14.</w:t>
      </w:r>
      <w:r>
        <w:rPr>
          <w:rFonts w:hint="eastAsia"/>
        </w:rPr>
        <w:tab/>
        <w:t>报告说(第335段)，执行《爱与性教育法》的国家计划在厄瓜多尔鼓励性权利和生殖权利教育。该计划已经被学校、政府采用，并向媒体介绍。请提供资料，说明此计划的影响，性权利和生殖权利教育是否是所有公私立学校的必修课，包括是哪一级教育水平的必修课，并澄清学校是否有关于其他性别相关问题的提高认识工作。</w:t>
      </w:r>
    </w:p>
    <w:p w:rsidR="006D12F1" w:rsidRDefault="006D12F1" w:rsidP="006D12F1">
      <w:pPr>
        <w:pStyle w:val="SingleTxt"/>
        <w:rPr>
          <w:rFonts w:hint="eastAsia"/>
        </w:rPr>
      </w:pPr>
      <w:r>
        <w:rPr>
          <w:rFonts w:hint="eastAsia"/>
        </w:rPr>
        <w:t>15.</w:t>
      </w:r>
      <w:r>
        <w:rPr>
          <w:rFonts w:hint="eastAsia"/>
        </w:rPr>
        <w:tab/>
        <w:t>针对委员会以往关于执行方案和政策消除与家庭、教育、就业、政策和社会方面传统角色相关的定型观念的结论性意见（第326段），报告描述了（第193</w:t>
      </w:r>
      <w:r w:rsidR="00D01F9B">
        <w:t>-</w:t>
      </w:r>
      <w:r>
        <w:rPr>
          <w:rFonts w:hint="eastAsia"/>
        </w:rPr>
        <w:t>203段）缔约国向记者提供无性别歧视报道培训的努力，以及民间社会在该国一些地方监测媒体信息和广告，并推出有关妇女的积极信息的努力。请提供资料，说明这些培训和监测努力的影响，以及是否可能查明无性别歧视报道和广告的趋势有所加强，包括家庭、教育、工作和健康领域的传统性别观念发生了很大变化。</w:t>
      </w:r>
    </w:p>
    <w:p w:rsidR="006D12F1" w:rsidRDefault="006D12F1" w:rsidP="006D12F1">
      <w:pPr>
        <w:pStyle w:val="SingleTxt"/>
        <w:rPr>
          <w:rFonts w:hint="eastAsia"/>
        </w:rPr>
      </w:pPr>
      <w:r>
        <w:rPr>
          <w:rFonts w:hint="eastAsia"/>
        </w:rPr>
        <w:t>16.</w:t>
      </w:r>
      <w:r>
        <w:rPr>
          <w:rFonts w:hint="eastAsia"/>
        </w:rPr>
        <w:tab/>
        <w:t>报告（第36段）列出女孩和少女不上学或辍学的原因。请</w:t>
      </w:r>
      <w:r w:rsidR="001A24BB">
        <w:rPr>
          <w:rFonts w:hint="eastAsia"/>
        </w:rPr>
        <w:t>描述让女孩和少女继续受教育，特别是在农村，</w:t>
      </w:r>
      <w:r>
        <w:rPr>
          <w:rFonts w:hint="eastAsia"/>
        </w:rPr>
        <w:t>让土著妇女和非洲裔妇女继续受</w:t>
      </w:r>
      <w:r w:rsidR="001A24BB">
        <w:rPr>
          <w:rFonts w:hint="eastAsia"/>
        </w:rPr>
        <w:t>教育的措施及其结果。还说明是否正在采取措施在妇女，特别是在农村</w:t>
      </w:r>
      <w:r>
        <w:rPr>
          <w:rFonts w:hint="eastAsia"/>
        </w:rPr>
        <w:t>这些群体中扫盲，以及是否已经为彻底</w:t>
      </w:r>
      <w:r w:rsidR="001A24BB">
        <w:rPr>
          <w:rFonts w:hint="eastAsia"/>
        </w:rPr>
        <w:t>扫</w:t>
      </w:r>
      <w:r>
        <w:rPr>
          <w:rFonts w:hint="eastAsia"/>
        </w:rPr>
        <w:t>盲规定了目标和时限。</w:t>
      </w:r>
    </w:p>
    <w:p w:rsidR="006D12F1" w:rsidRPr="001A24BB" w:rsidRDefault="006D12F1" w:rsidP="006D12F1">
      <w:pPr>
        <w:pStyle w:val="SingleTxt"/>
        <w:rPr>
          <w:rFonts w:ascii="SimHei" w:eastAsia="SimHei" w:hint="eastAsia"/>
          <w:color w:val="FF0000"/>
        </w:rPr>
      </w:pPr>
      <w:r w:rsidRPr="001A24BB">
        <w:rPr>
          <w:rFonts w:ascii="SimHei" w:eastAsia="SimHei" w:hint="eastAsia"/>
          <w:color w:val="FF0000"/>
        </w:rPr>
        <w:t>就业</w:t>
      </w:r>
    </w:p>
    <w:p w:rsidR="006D12F1" w:rsidRDefault="006D12F1" w:rsidP="006D12F1">
      <w:pPr>
        <w:pStyle w:val="SingleTxt"/>
        <w:rPr>
          <w:rFonts w:hint="eastAsia"/>
        </w:rPr>
      </w:pPr>
      <w:r>
        <w:rPr>
          <w:rFonts w:hint="eastAsia"/>
        </w:rPr>
        <w:t>17.</w:t>
      </w:r>
      <w:r>
        <w:rPr>
          <w:rFonts w:hint="eastAsia"/>
        </w:rPr>
        <w:tab/>
        <w:t>委员会以往的结论性意见（第324段）建议，采取措施保证执行《公约》第11条的规定，并通过一项新的劳工法。报告说（第106段），目前正在进行与《劳工法》有关的改革进程。请提供最新资料，说明改革的进展和实施情况，并告知委员会是否设想采取新的法律措施，以及这些措施是否包括在公共就业部门适用暂行特别措施。</w:t>
      </w:r>
    </w:p>
    <w:p w:rsidR="006D12F1" w:rsidRDefault="006D12F1" w:rsidP="006D12F1">
      <w:pPr>
        <w:pStyle w:val="SingleTxt"/>
        <w:rPr>
          <w:rFonts w:hint="eastAsia"/>
        </w:rPr>
      </w:pPr>
      <w:r>
        <w:rPr>
          <w:rFonts w:hint="eastAsia"/>
        </w:rPr>
        <w:t>18.</w:t>
      </w:r>
      <w:r>
        <w:rPr>
          <w:rFonts w:hint="eastAsia"/>
        </w:rPr>
        <w:tab/>
        <w:t>报告称（第32和33段），就业不足和失业给妇女带来的痛苦大于男子，对于受过高等教育的妇女尤其如此。请说明是否对受过教育妇女</w:t>
      </w:r>
      <w:r w:rsidR="001A24BB">
        <w:rPr>
          <w:rFonts w:hint="eastAsia"/>
        </w:rPr>
        <w:t>的</w:t>
      </w:r>
      <w:r>
        <w:rPr>
          <w:rFonts w:hint="eastAsia"/>
        </w:rPr>
        <w:t>就业不足问题进行过研究，以</w:t>
      </w:r>
      <w:r w:rsidR="001A24BB">
        <w:rPr>
          <w:rFonts w:hint="eastAsia"/>
        </w:rPr>
        <w:t>及是否正在采取措施处理公私就业部门所有妇女群体的就业不足和失业</w:t>
      </w:r>
      <w:r>
        <w:rPr>
          <w:rFonts w:hint="eastAsia"/>
        </w:rPr>
        <w:t>问题。</w:t>
      </w:r>
    </w:p>
    <w:p w:rsidR="006D12F1" w:rsidRDefault="006D12F1" w:rsidP="006D12F1">
      <w:pPr>
        <w:pStyle w:val="SingleTxt"/>
        <w:rPr>
          <w:rFonts w:hint="eastAsia"/>
        </w:rPr>
      </w:pPr>
      <w:r>
        <w:rPr>
          <w:rFonts w:hint="eastAsia"/>
        </w:rPr>
        <w:t>19.</w:t>
      </w:r>
      <w:r>
        <w:rPr>
          <w:rFonts w:hint="eastAsia"/>
        </w:rPr>
        <w:tab/>
        <w:t>请提供资料，说明残疾妇女的就业情况，以及公私雇主是否遵守《2006年劳工法改革法》所载的残疾人配额规定、因不遵守这些配额而被劳动部处罚的雇主人数以及《残疾法》是否经过修订。还请提供资料，说明《就业保护法》是否适用于私营部门以及厄瓜多尔批准2007年3月30日签署的《残疾人权利公约》的进展。</w:t>
      </w:r>
    </w:p>
    <w:p w:rsidR="006D12F1" w:rsidRDefault="006D12F1" w:rsidP="006D12F1">
      <w:pPr>
        <w:pStyle w:val="SingleTxt"/>
        <w:rPr>
          <w:rFonts w:hint="eastAsia"/>
        </w:rPr>
      </w:pPr>
      <w:r>
        <w:rPr>
          <w:rFonts w:hint="eastAsia"/>
        </w:rPr>
        <w:t>20.</w:t>
      </w:r>
      <w:r>
        <w:rPr>
          <w:rFonts w:hint="eastAsia"/>
        </w:rPr>
        <w:tab/>
        <w:t>报告说(第309段)，93</w:t>
      </w:r>
      <w:r w:rsidR="001A24BB">
        <w:rPr>
          <w:rFonts w:hint="eastAsia"/>
        </w:rPr>
        <w:t>％</w:t>
      </w:r>
      <w:r>
        <w:rPr>
          <w:rFonts w:hint="eastAsia"/>
        </w:rPr>
        <w:t>的18岁以下女孩进入劳工市场后从事家务工作。请提供资料，说明这些女孩的工作情况，包括怀孕女孩的百分比。还提供资料，说明家佣情况（一般来说女孩和妇女在这个部门占多数）、劳工法对她们的保护、对这些法律执行情况的监测以及妇女和女孩获取社会保障的情况。</w:t>
      </w:r>
    </w:p>
    <w:p w:rsidR="006D12F1" w:rsidRDefault="006D12F1" w:rsidP="006D12F1">
      <w:pPr>
        <w:pStyle w:val="SingleTxt"/>
        <w:rPr>
          <w:rFonts w:hint="eastAsia"/>
        </w:rPr>
      </w:pPr>
      <w:r>
        <w:rPr>
          <w:rFonts w:hint="eastAsia"/>
        </w:rPr>
        <w:t>21.</w:t>
      </w:r>
      <w:r>
        <w:rPr>
          <w:rFonts w:hint="eastAsia"/>
        </w:rPr>
        <w:tab/>
        <w:t>报告（第73段）指出，劳动和就业部的检查司共收到40起因休产假而被辞退的投诉，有关工作场所性骚扰的投诉比较少。请说明是否已经采取措施，打击辞退休产假妇女的做法，并提供资料，说明为打击工作场所性骚扰而采取的措施以及对被指控行为人的任何起诉。</w:t>
      </w:r>
    </w:p>
    <w:p w:rsidR="006D12F1" w:rsidRPr="001A24BB" w:rsidRDefault="006D12F1" w:rsidP="006D12F1">
      <w:pPr>
        <w:pStyle w:val="SingleTxt"/>
        <w:rPr>
          <w:rFonts w:ascii="SimHei" w:eastAsia="SimHei" w:hint="eastAsia"/>
          <w:color w:val="FF0000"/>
        </w:rPr>
      </w:pPr>
      <w:r w:rsidRPr="001A24BB">
        <w:rPr>
          <w:rFonts w:ascii="SimHei" w:eastAsia="SimHei" w:hint="eastAsia"/>
          <w:color w:val="FF0000"/>
        </w:rPr>
        <w:t>健康</w:t>
      </w:r>
    </w:p>
    <w:p w:rsidR="006D12F1" w:rsidRDefault="006D12F1" w:rsidP="006D12F1">
      <w:pPr>
        <w:pStyle w:val="SingleTxt"/>
        <w:rPr>
          <w:rFonts w:hint="eastAsia"/>
        </w:rPr>
      </w:pPr>
      <w:r>
        <w:rPr>
          <w:rFonts w:hint="eastAsia"/>
        </w:rPr>
        <w:t>22.</w:t>
      </w:r>
      <w:r>
        <w:rPr>
          <w:rFonts w:hint="eastAsia"/>
        </w:rPr>
        <w:tab/>
        <w:t>请提供资料，说明经修订的《保健组织法》执行情况和拨给该法的资金，以及</w:t>
      </w:r>
      <w:r w:rsidR="001A24BB">
        <w:rPr>
          <w:rFonts w:hint="eastAsia"/>
        </w:rPr>
        <w:t>对</w:t>
      </w:r>
      <w:r>
        <w:rPr>
          <w:rFonts w:hint="eastAsia"/>
        </w:rPr>
        <w:t>受艾滋病毒/艾滋病影响的女孩和妇女的防治工作。</w:t>
      </w:r>
    </w:p>
    <w:p w:rsidR="006D12F1" w:rsidRDefault="006D12F1" w:rsidP="006D12F1">
      <w:pPr>
        <w:pStyle w:val="SingleTxt"/>
        <w:rPr>
          <w:rFonts w:hint="eastAsia"/>
        </w:rPr>
      </w:pPr>
      <w:r>
        <w:rPr>
          <w:rFonts w:hint="eastAsia"/>
        </w:rPr>
        <w:t>23.</w:t>
      </w:r>
      <w:r>
        <w:rPr>
          <w:rFonts w:hint="eastAsia"/>
        </w:rPr>
        <w:tab/>
      </w:r>
      <w:r w:rsidRPr="001A24BB">
        <w:rPr>
          <w:rFonts w:hint="eastAsia"/>
          <w:spacing w:val="-2"/>
        </w:rPr>
        <w:t>请根据委员会结论性意见（第317和318段）的要求提供资料，说明限制和防止少女怀孕方案的影响，特别是在农村以及在土著妇女和非洲裔妇女中的成果。</w:t>
      </w:r>
    </w:p>
    <w:p w:rsidR="006D12F1" w:rsidRDefault="006D12F1" w:rsidP="006D12F1">
      <w:pPr>
        <w:pStyle w:val="SingleTxt"/>
        <w:rPr>
          <w:rFonts w:hint="eastAsia"/>
        </w:rPr>
      </w:pPr>
      <w:r>
        <w:rPr>
          <w:rFonts w:hint="eastAsia"/>
        </w:rPr>
        <w:t>24.</w:t>
      </w:r>
      <w:r>
        <w:rPr>
          <w:rFonts w:hint="eastAsia"/>
        </w:rPr>
        <w:tab/>
        <w:t>报告（第346段）描述了正在进行的关于获取紧急避孕药问题的讨论，指出Glanique药丸已经作为一种紧急避孕措施得到批准和广泛使用。请说明2006年5月宪法法院禁止使用晨后避孕药“Postinor 2”的裁决的影响。还请说明已经采取哪些措施来保证对性健康和生殖健康采取非宗教办法</w:t>
      </w:r>
      <w:r w:rsidR="008D5004">
        <w:rPr>
          <w:rFonts w:hint="eastAsia"/>
        </w:rPr>
        <w:t>。</w:t>
      </w:r>
    </w:p>
    <w:p w:rsidR="006D12F1" w:rsidRPr="001A24BB" w:rsidRDefault="006D12F1" w:rsidP="006D12F1">
      <w:pPr>
        <w:pStyle w:val="SingleTxt"/>
        <w:rPr>
          <w:rFonts w:ascii="SimHei" w:eastAsia="SimHei" w:hint="eastAsia"/>
          <w:color w:val="FF0000"/>
        </w:rPr>
      </w:pPr>
      <w:r w:rsidRPr="001A24BB">
        <w:rPr>
          <w:rFonts w:ascii="SimHei" w:eastAsia="SimHei" w:hint="eastAsia"/>
          <w:color w:val="FF0000"/>
        </w:rPr>
        <w:t>婚姻和家庭关系</w:t>
      </w:r>
    </w:p>
    <w:p w:rsidR="006D12F1" w:rsidRDefault="006D12F1" w:rsidP="006D12F1">
      <w:pPr>
        <w:pStyle w:val="SingleTxt"/>
        <w:rPr>
          <w:rFonts w:hint="eastAsia"/>
        </w:rPr>
      </w:pPr>
      <w:r>
        <w:rPr>
          <w:rFonts w:hint="eastAsia"/>
        </w:rPr>
        <w:t>25.</w:t>
      </w:r>
      <w:r>
        <w:rPr>
          <w:rFonts w:hint="eastAsia"/>
        </w:rPr>
        <w:tab/>
        <w:t>该报告称(第385段)，《民法》确立了婚姻平等原则，但同时该报告说，如果配偶双方在结婚时没有明确表示反对，维护有利于丈夫管理夫妻事务的推定。请提供资料，说明这一推定是《民法》的一部分，还是社会惯例的结果。还提供资料，说明为纠正这种状况和提高女青年对其权利的认识而采取的措施</w:t>
      </w:r>
      <w:r w:rsidR="008D5004">
        <w:rPr>
          <w:rFonts w:hint="eastAsia"/>
        </w:rPr>
        <w:t>。</w:t>
      </w:r>
    </w:p>
    <w:p w:rsidR="006D12F1" w:rsidRDefault="006D12F1" w:rsidP="006D12F1">
      <w:pPr>
        <w:pStyle w:val="SingleTxt"/>
        <w:rPr>
          <w:rFonts w:hint="eastAsia"/>
        </w:rPr>
      </w:pPr>
      <w:r>
        <w:rPr>
          <w:rFonts w:hint="eastAsia"/>
        </w:rPr>
        <w:t>26.</w:t>
      </w:r>
      <w:r>
        <w:rPr>
          <w:rFonts w:hint="eastAsia"/>
        </w:rPr>
        <w:tab/>
        <w:t>请提供资料，说明有子女和无子女的女户主的经济状况，她们主要在城市还是在农村，是否属于弱势群体，并说明为改善其生活而采取的措施。</w:t>
      </w:r>
    </w:p>
    <w:p w:rsidR="006D12F1" w:rsidRDefault="006D12F1" w:rsidP="006D12F1">
      <w:pPr>
        <w:pStyle w:val="SingleTxt"/>
        <w:rPr>
          <w:rFonts w:hint="eastAsia"/>
        </w:rPr>
      </w:pPr>
      <w:r>
        <w:rPr>
          <w:rFonts w:hint="eastAsia"/>
        </w:rPr>
        <w:t>27.</w:t>
      </w:r>
      <w:r>
        <w:rPr>
          <w:rFonts w:hint="eastAsia"/>
        </w:rPr>
        <w:tab/>
        <w:t>报告(第386段)指出，新的《少年儿童法》改进了适用该法的案件的司法行政，但该法与新《家庭法》的统一暂停了。请更详细地说明《家庭法》的改革暂停对《少年儿童法》内容的影响，特别是对女孩和少女影响。</w:t>
      </w:r>
    </w:p>
    <w:p w:rsidR="008D5004" w:rsidRDefault="008D5004" w:rsidP="006D12F1">
      <w:pPr>
        <w:pStyle w:val="SingleTxt"/>
        <w:rPr>
          <w:rFonts w:ascii="SimHei" w:eastAsia="SimHei" w:hint="eastAsia"/>
          <w:color w:val="FF0000"/>
        </w:rPr>
      </w:pPr>
    </w:p>
    <w:p w:rsidR="006D12F1" w:rsidRPr="001A24BB" w:rsidRDefault="006D12F1" w:rsidP="006D12F1">
      <w:pPr>
        <w:pStyle w:val="SingleTxt"/>
        <w:rPr>
          <w:rFonts w:ascii="SimHei" w:eastAsia="SimHei" w:hint="eastAsia"/>
          <w:color w:val="FF0000"/>
        </w:rPr>
      </w:pPr>
      <w:r w:rsidRPr="001A24BB">
        <w:rPr>
          <w:rFonts w:ascii="SimHei" w:eastAsia="SimHei" w:hint="eastAsia"/>
          <w:color w:val="FF0000"/>
        </w:rPr>
        <w:t>妇女弱势群体</w:t>
      </w:r>
    </w:p>
    <w:p w:rsidR="006D12F1" w:rsidRDefault="006D12F1" w:rsidP="006D12F1">
      <w:pPr>
        <w:pStyle w:val="SingleTxt"/>
        <w:rPr>
          <w:rFonts w:hint="eastAsia"/>
        </w:rPr>
      </w:pPr>
      <w:r>
        <w:rPr>
          <w:rFonts w:hint="eastAsia"/>
        </w:rPr>
        <w:t>28.</w:t>
      </w:r>
      <w:r>
        <w:rPr>
          <w:rFonts w:hint="eastAsia"/>
        </w:rPr>
        <w:tab/>
        <w:t>请提供资料，说明妇女与男子相比没有获得身份证的人数。请提供资料，说明作为获取基本服务的一个先决条件让所有未登记厄瓜多尔人登记和获取身份证的时限，以及2007年年底以前妇女登记人数。</w:t>
      </w:r>
    </w:p>
    <w:p w:rsidR="006D12F1" w:rsidRDefault="006D12F1" w:rsidP="006D12F1">
      <w:pPr>
        <w:pStyle w:val="SingleTxt"/>
        <w:rPr>
          <w:rFonts w:hint="eastAsia"/>
        </w:rPr>
      </w:pPr>
      <w:r>
        <w:rPr>
          <w:rFonts w:hint="eastAsia"/>
        </w:rPr>
        <w:t>29.</w:t>
      </w:r>
      <w:r>
        <w:rPr>
          <w:rFonts w:hint="eastAsia"/>
        </w:rPr>
        <w:tab/>
        <w:t>报告(第375段)</w:t>
      </w:r>
      <w:r w:rsidR="001A24BB">
        <w:rPr>
          <w:rFonts w:hint="eastAsia"/>
        </w:rPr>
        <w:t>提供了资料，说明为克服农村妇女、土著和非裔厄瓜多尔妇女</w:t>
      </w:r>
      <w:r>
        <w:rPr>
          <w:rFonts w:hint="eastAsia"/>
        </w:rPr>
        <w:t>贫穷而采取的重大措施，包括免费提供生殖健康和性健康服务。请说明农村成年妇女以及土著和非裔厄瓜多尔妇女目前利用团结基金，利用或不能利用金融服务的百分比，并说明这些基金如何改善了她们的生活条件。还提供资料，说明这些妇女群体实际获取和利用免费性健康和生殖健康服务的情况</w:t>
      </w:r>
      <w:r w:rsidR="001A24BB">
        <w:rPr>
          <w:rFonts w:hint="eastAsia"/>
        </w:rPr>
        <w:t>。</w:t>
      </w:r>
    </w:p>
    <w:p w:rsidR="006D12F1" w:rsidRDefault="006D12F1" w:rsidP="006D12F1">
      <w:pPr>
        <w:pStyle w:val="SingleTxt"/>
        <w:rPr>
          <w:rFonts w:hint="eastAsia"/>
        </w:rPr>
      </w:pPr>
      <w:r>
        <w:rPr>
          <w:rFonts w:hint="eastAsia"/>
        </w:rPr>
        <w:t>30.</w:t>
      </w:r>
      <w:r>
        <w:rPr>
          <w:rFonts w:hint="eastAsia"/>
        </w:rPr>
        <w:tab/>
        <w:t>报告</w:t>
      </w:r>
      <w:r w:rsidR="001A24BB">
        <w:rPr>
          <w:rFonts w:hint="eastAsia"/>
        </w:rPr>
        <w:t>（</w:t>
      </w:r>
      <w:r>
        <w:rPr>
          <w:rFonts w:hint="eastAsia"/>
        </w:rPr>
        <w:t>第292段</w:t>
      </w:r>
      <w:r w:rsidR="001A24BB">
        <w:rPr>
          <w:rFonts w:hint="eastAsia"/>
        </w:rPr>
        <w:t>）</w:t>
      </w:r>
      <w:r>
        <w:rPr>
          <w:rFonts w:hint="eastAsia"/>
        </w:rPr>
        <w:t>描述了为改善该国境内众多难民和</w:t>
      </w:r>
      <w:r w:rsidR="001A24BB">
        <w:rPr>
          <w:rFonts w:hint="eastAsia"/>
        </w:rPr>
        <w:t>避难者的状况以及厄瓜多尔在其他国家的移民</w:t>
      </w:r>
      <w:r>
        <w:rPr>
          <w:rFonts w:hint="eastAsia"/>
        </w:rPr>
        <w:t>状况而采取的措施。请说明是否已经采取任何措施来保护在哥伦比亚边界附近居住的无证件难民妇女脆弱群体,以及为让她们登记正在采取的措施。还提供资料,说明《移民工法案》是否已经通过，其中是否纳入性别观点，以及如何监测该法案。</w:t>
      </w:r>
    </w:p>
    <w:p w:rsidR="00EA31C3" w:rsidRPr="001A24BB" w:rsidRDefault="001A24BB" w:rsidP="001A24BB">
      <w:pPr>
        <w:pStyle w:val="SingleTxt"/>
        <w:spacing w:after="0" w:line="240" w:lineRule="auto"/>
        <w:rPr>
          <w:rFonts w:hint="eastAsia"/>
          <w:sz w:val="20"/>
        </w:rPr>
      </w:pPr>
      <w:r>
        <w:rPr>
          <w:rFonts w:hint="eastAsia"/>
          <w:noProof/>
          <w:sz w:val="20"/>
        </w:rPr>
        <w:pict>
          <v:line id="_x0000_s1027" style="position:absolute;left:0;text-align:left;z-index:1;mso-position-horizontal:center" from="0,30pt" to="1in,30pt" strokeweight=".25pt"/>
        </w:pict>
      </w:r>
    </w:p>
    <w:sectPr w:rsidR="00EA31C3" w:rsidRPr="001A24BB" w:rsidSect="00ED4C47">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5T09:46:00Z" w:initials="Start">
    <w:p w:rsidR="00134C65" w:rsidRDefault="00134C65">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NO&gt;&gt;N0826252C&lt;&lt;ODS JOB NO&gt;&gt;</w:t>
      </w:r>
    </w:p>
    <w:p w:rsidR="00134C65" w:rsidRDefault="00134C65">
      <w:pPr>
        <w:pStyle w:val="CommentText"/>
      </w:pPr>
      <w:r>
        <w:t>&lt;&lt;ODS DOC SYMBOL1&gt;&gt;CEDAW/C/ECU/Q/7&lt;&lt;ODS DOC SYMBOL1&gt;&gt;</w:t>
      </w:r>
    </w:p>
    <w:p w:rsidR="00134C65" w:rsidRDefault="00134C6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ED3" w:rsidRDefault="00962ED3">
      <w:r>
        <w:separator/>
      </w:r>
    </w:p>
  </w:endnote>
  <w:endnote w:type="continuationSeparator" w:id="0">
    <w:p w:rsidR="00962ED3" w:rsidRDefault="00962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34C65" w:rsidTr="00ED4C47">
      <w:tblPrEx>
        <w:tblCellMar>
          <w:top w:w="0" w:type="dxa"/>
          <w:bottom w:w="0" w:type="dxa"/>
        </w:tblCellMar>
      </w:tblPrEx>
      <w:tc>
        <w:tcPr>
          <w:tcW w:w="5033" w:type="dxa"/>
          <w:shd w:val="clear" w:color="auto" w:fill="auto"/>
        </w:tcPr>
        <w:p w:rsidR="00134C65" w:rsidRPr="00ED4C47" w:rsidRDefault="00134C65" w:rsidP="00ED4C47">
          <w:pPr>
            <w:pStyle w:val="Footer"/>
            <w:jc w:val="right"/>
            <w:rPr>
              <w:b w:val="0"/>
              <w:w w:val="103"/>
              <w:sz w:val="14"/>
            </w:rPr>
          </w:pPr>
          <w:r>
            <w:rPr>
              <w:b w:val="0"/>
              <w:w w:val="103"/>
              <w:sz w:val="14"/>
            </w:rPr>
            <w:t>08-26252 (C)</w:t>
          </w:r>
        </w:p>
      </w:tc>
      <w:tc>
        <w:tcPr>
          <w:tcW w:w="5033" w:type="dxa"/>
          <w:shd w:val="clear" w:color="auto" w:fill="auto"/>
        </w:tcPr>
        <w:p w:rsidR="00134C65" w:rsidRPr="00ED4C47" w:rsidRDefault="00134C65" w:rsidP="00ED4C47">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6655F2">
            <w:rPr>
              <w:w w:val="103"/>
              <w:sz w:val="17"/>
            </w:rPr>
            <w:t>4</w:t>
          </w:r>
          <w:r>
            <w:rPr>
              <w:w w:val="103"/>
              <w:sz w:val="17"/>
            </w:rPr>
            <w:fldChar w:fldCharType="end"/>
          </w:r>
        </w:p>
      </w:tc>
    </w:tr>
  </w:tbl>
  <w:p w:rsidR="00134C65" w:rsidRPr="00ED4C47" w:rsidRDefault="00134C65" w:rsidP="00ED4C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34C65" w:rsidTr="00ED4C47">
      <w:tblPrEx>
        <w:tblCellMar>
          <w:top w:w="0" w:type="dxa"/>
          <w:bottom w:w="0" w:type="dxa"/>
        </w:tblCellMar>
      </w:tblPrEx>
      <w:tc>
        <w:tcPr>
          <w:tcW w:w="5033" w:type="dxa"/>
          <w:shd w:val="clear" w:color="auto" w:fill="auto"/>
        </w:tcPr>
        <w:p w:rsidR="00134C65" w:rsidRPr="00ED4C47" w:rsidRDefault="00134C65" w:rsidP="00ED4C47">
          <w:pPr>
            <w:pStyle w:val="Footer"/>
            <w:jc w:val="right"/>
          </w:pPr>
          <w:r>
            <w:fldChar w:fldCharType="begin"/>
          </w:r>
          <w:r>
            <w:instrText xml:space="preserve"> PAGE  \* MERGEFORMAT </w:instrText>
          </w:r>
          <w:r>
            <w:fldChar w:fldCharType="separate"/>
          </w:r>
          <w:r w:rsidR="006655F2">
            <w:t>3</w:t>
          </w:r>
          <w:r>
            <w:fldChar w:fldCharType="end"/>
          </w:r>
        </w:p>
      </w:tc>
      <w:tc>
        <w:tcPr>
          <w:tcW w:w="5033" w:type="dxa"/>
          <w:shd w:val="clear" w:color="auto" w:fill="auto"/>
        </w:tcPr>
        <w:p w:rsidR="00134C65" w:rsidRPr="00ED4C47" w:rsidRDefault="00134C65" w:rsidP="00ED4C47">
          <w:pPr>
            <w:pStyle w:val="Footer"/>
            <w:jc w:val="left"/>
            <w:rPr>
              <w:b w:val="0"/>
              <w:w w:val="103"/>
              <w:sz w:val="14"/>
            </w:rPr>
          </w:pPr>
          <w:r>
            <w:rPr>
              <w:b w:val="0"/>
              <w:w w:val="103"/>
              <w:sz w:val="14"/>
            </w:rPr>
            <w:t>08-26252 (C)</w:t>
          </w:r>
        </w:p>
      </w:tc>
    </w:tr>
  </w:tbl>
  <w:p w:rsidR="00134C65" w:rsidRPr="00ED4C47" w:rsidRDefault="00134C65" w:rsidP="00ED4C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C65" w:rsidRDefault="00134C65" w:rsidP="00ED4C47">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6655F2">
      <w:rPr>
        <w:b w:val="0"/>
        <w:sz w:val="21"/>
      </w:rPr>
      <w:t>08-26252 (C)</w:t>
    </w:r>
    <w:r>
      <w:rPr>
        <w:b w:val="0"/>
        <w:sz w:val="21"/>
      </w:rPr>
      <w:fldChar w:fldCharType="end"/>
    </w:r>
    <w:r>
      <w:rPr>
        <w:b w:val="0"/>
        <w:sz w:val="21"/>
      </w:rPr>
      <w:t xml:space="preserve">    2</w:t>
    </w:r>
    <w:r>
      <w:rPr>
        <w:rFonts w:hint="eastAsia"/>
        <w:b w:val="0"/>
        <w:sz w:val="21"/>
      </w:rPr>
      <w:t>4</w:t>
    </w:r>
    <w:r>
      <w:rPr>
        <w:b w:val="0"/>
        <w:sz w:val="21"/>
      </w:rPr>
      <w:t>0308    250308</w:t>
    </w:r>
  </w:p>
  <w:p w:rsidR="00134C65" w:rsidRPr="00ED4C47" w:rsidRDefault="00134C65" w:rsidP="00ED4C47">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6655F2">
      <w:rPr>
        <w:rFonts w:ascii="Barcode 3 of 9 by request" w:hAnsi="Barcode 3 of 9 by request"/>
        <w:sz w:val="24"/>
      </w:rPr>
      <w:t>*0826252*</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ED3" w:rsidRPr="001A24BB" w:rsidRDefault="00962ED3" w:rsidP="001A24BB">
      <w:pPr>
        <w:pStyle w:val="Footer"/>
        <w:spacing w:after="80"/>
        <w:ind w:left="792"/>
        <w:rPr>
          <w:sz w:val="16"/>
        </w:rPr>
      </w:pPr>
      <w:r w:rsidRPr="001A24BB">
        <w:rPr>
          <w:sz w:val="16"/>
        </w:rPr>
        <w:t>__________________</w:t>
      </w:r>
    </w:p>
  </w:footnote>
  <w:footnote w:type="continuationSeparator" w:id="0">
    <w:p w:rsidR="00962ED3" w:rsidRPr="001A24BB" w:rsidRDefault="00962ED3" w:rsidP="001A24BB">
      <w:pPr>
        <w:pStyle w:val="Footer"/>
        <w:spacing w:after="80"/>
        <w:ind w:left="792"/>
        <w:rPr>
          <w:sz w:val="16"/>
        </w:rPr>
      </w:pPr>
      <w:r w:rsidRPr="001A24BB">
        <w:rPr>
          <w:sz w:val="16"/>
        </w:rPr>
        <w:t>__________________</w:t>
      </w:r>
    </w:p>
  </w:footnote>
  <w:footnote w:id="1">
    <w:p w:rsidR="00134C65" w:rsidRDefault="00134C65" w:rsidP="001A24BB">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t>*</w:t>
      </w:r>
      <w:r>
        <w:tab/>
        <w:t>印发时未经正式编辑</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34C65" w:rsidTr="00ED4C47">
      <w:tblPrEx>
        <w:tblCellMar>
          <w:top w:w="0" w:type="dxa"/>
          <w:bottom w:w="0" w:type="dxa"/>
        </w:tblCellMar>
      </w:tblPrEx>
      <w:trPr>
        <w:trHeight w:hRule="exact" w:val="864"/>
      </w:trPr>
      <w:tc>
        <w:tcPr>
          <w:tcW w:w="4838" w:type="dxa"/>
          <w:shd w:val="clear" w:color="auto" w:fill="auto"/>
          <w:vAlign w:val="bottom"/>
        </w:tcPr>
        <w:p w:rsidR="00134C65" w:rsidRPr="00ED4C47" w:rsidRDefault="00134C65" w:rsidP="00ED4C47">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655F2">
            <w:rPr>
              <w:b/>
              <w:sz w:val="17"/>
            </w:rPr>
            <w:t>CEDAW/C/ECU/Q/7</w:t>
          </w:r>
          <w:r>
            <w:rPr>
              <w:b/>
              <w:sz w:val="17"/>
            </w:rPr>
            <w:fldChar w:fldCharType="end"/>
          </w:r>
        </w:p>
      </w:tc>
      <w:tc>
        <w:tcPr>
          <w:tcW w:w="5033" w:type="dxa"/>
          <w:shd w:val="clear" w:color="auto" w:fill="auto"/>
          <w:vAlign w:val="bottom"/>
        </w:tcPr>
        <w:p w:rsidR="00134C65" w:rsidRDefault="00134C65" w:rsidP="00ED4C47">
          <w:pPr>
            <w:pStyle w:val="Header"/>
          </w:pPr>
        </w:p>
      </w:tc>
    </w:tr>
  </w:tbl>
  <w:p w:rsidR="00134C65" w:rsidRPr="00ED4C47" w:rsidRDefault="00134C65" w:rsidP="00ED4C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34C65" w:rsidTr="00ED4C47">
      <w:tblPrEx>
        <w:tblCellMar>
          <w:top w:w="0" w:type="dxa"/>
          <w:bottom w:w="0" w:type="dxa"/>
        </w:tblCellMar>
      </w:tblPrEx>
      <w:trPr>
        <w:trHeight w:hRule="exact" w:val="864"/>
      </w:trPr>
      <w:tc>
        <w:tcPr>
          <w:tcW w:w="4838" w:type="dxa"/>
          <w:shd w:val="clear" w:color="auto" w:fill="auto"/>
          <w:vAlign w:val="bottom"/>
        </w:tcPr>
        <w:p w:rsidR="00134C65" w:rsidRDefault="00134C65" w:rsidP="00ED4C47">
          <w:pPr>
            <w:pStyle w:val="Header"/>
          </w:pPr>
        </w:p>
      </w:tc>
      <w:tc>
        <w:tcPr>
          <w:tcW w:w="5033" w:type="dxa"/>
          <w:shd w:val="clear" w:color="auto" w:fill="auto"/>
          <w:vAlign w:val="bottom"/>
        </w:tcPr>
        <w:p w:rsidR="00134C65" w:rsidRPr="00ED4C47" w:rsidRDefault="00134C65" w:rsidP="00ED4C47">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655F2">
            <w:rPr>
              <w:b/>
              <w:sz w:val="17"/>
            </w:rPr>
            <w:t>CEDAW/C/ECU/Q/7</w:t>
          </w:r>
          <w:r>
            <w:rPr>
              <w:b/>
              <w:sz w:val="17"/>
            </w:rPr>
            <w:fldChar w:fldCharType="end"/>
          </w:r>
        </w:p>
      </w:tc>
    </w:tr>
  </w:tbl>
  <w:p w:rsidR="00134C65" w:rsidRPr="00ED4C47" w:rsidRDefault="00134C65" w:rsidP="00ED4C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34C65" w:rsidTr="00ED4C4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34C65" w:rsidRDefault="00134C65" w:rsidP="00ED4C47">
          <w:pPr>
            <w:pStyle w:val="Header"/>
            <w:spacing w:after="120"/>
          </w:pPr>
        </w:p>
      </w:tc>
      <w:tc>
        <w:tcPr>
          <w:tcW w:w="1872" w:type="dxa"/>
          <w:tcBorders>
            <w:bottom w:val="single" w:sz="4" w:space="0" w:color="auto"/>
          </w:tcBorders>
          <w:shd w:val="clear" w:color="auto" w:fill="auto"/>
          <w:vAlign w:val="bottom"/>
        </w:tcPr>
        <w:p w:rsidR="00134C65" w:rsidRPr="00ED4C47" w:rsidRDefault="00134C65" w:rsidP="00ED4C4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34C65" w:rsidRDefault="00134C65" w:rsidP="00ED4C47">
          <w:pPr>
            <w:pStyle w:val="Header"/>
            <w:spacing w:after="120"/>
          </w:pPr>
        </w:p>
      </w:tc>
      <w:tc>
        <w:tcPr>
          <w:tcW w:w="6523" w:type="dxa"/>
          <w:gridSpan w:val="3"/>
          <w:tcBorders>
            <w:bottom w:val="single" w:sz="4" w:space="0" w:color="auto"/>
          </w:tcBorders>
          <w:shd w:val="clear" w:color="auto" w:fill="auto"/>
          <w:vAlign w:val="bottom"/>
        </w:tcPr>
        <w:p w:rsidR="00134C65" w:rsidRPr="00ED4C47" w:rsidRDefault="00134C65" w:rsidP="00ED4C47">
          <w:pPr>
            <w:spacing w:after="80" w:line="240" w:lineRule="auto"/>
            <w:jc w:val="right"/>
            <w:rPr>
              <w:rFonts w:ascii="Times New Roman"/>
              <w:position w:val="-4"/>
            </w:rPr>
          </w:pPr>
          <w:r>
            <w:rPr>
              <w:rFonts w:ascii="Times New Roman"/>
              <w:position w:val="-4"/>
              <w:sz w:val="40"/>
            </w:rPr>
            <w:t>CEDAW</w:t>
          </w:r>
          <w:r>
            <w:rPr>
              <w:rFonts w:ascii="Times New Roman"/>
              <w:position w:val="-4"/>
            </w:rPr>
            <w:t>/C/ECU/Q/7</w:t>
          </w:r>
        </w:p>
      </w:tc>
    </w:tr>
    <w:tr w:rsidR="00134C65" w:rsidRPr="00ED4C47" w:rsidTr="00ED4C4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34C65" w:rsidRDefault="00134C65" w:rsidP="00ED4C4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34C65" w:rsidRPr="00ED4C47" w:rsidRDefault="00134C65" w:rsidP="00ED4C47">
          <w:pPr>
            <w:pStyle w:val="Header"/>
            <w:spacing w:before="109"/>
            <w:ind w:left="-72"/>
          </w:pPr>
        </w:p>
      </w:tc>
      <w:tc>
        <w:tcPr>
          <w:tcW w:w="5227" w:type="dxa"/>
          <w:gridSpan w:val="3"/>
          <w:tcBorders>
            <w:top w:val="single" w:sz="4" w:space="0" w:color="auto"/>
            <w:bottom w:val="single" w:sz="12" w:space="0" w:color="auto"/>
          </w:tcBorders>
          <w:shd w:val="clear" w:color="auto" w:fill="auto"/>
        </w:tcPr>
        <w:p w:rsidR="00134C65" w:rsidRPr="00ED4C47" w:rsidRDefault="00134C65" w:rsidP="00ED4C4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34C65" w:rsidRPr="00ED4C47" w:rsidRDefault="00134C65" w:rsidP="00ED4C47">
          <w:pPr>
            <w:pStyle w:val="Header"/>
            <w:spacing w:before="109"/>
          </w:pPr>
        </w:p>
      </w:tc>
      <w:tc>
        <w:tcPr>
          <w:tcW w:w="3180" w:type="dxa"/>
          <w:gridSpan w:val="2"/>
          <w:tcBorders>
            <w:top w:val="single" w:sz="4" w:space="0" w:color="auto"/>
            <w:bottom w:val="single" w:sz="12" w:space="0" w:color="auto"/>
          </w:tcBorders>
          <w:shd w:val="clear" w:color="auto" w:fill="auto"/>
        </w:tcPr>
        <w:p w:rsidR="00134C65" w:rsidRDefault="00134C65" w:rsidP="00ED4C47">
          <w:pPr>
            <w:spacing w:before="240" w:line="240" w:lineRule="exact"/>
            <w:rPr>
              <w:rFonts w:ascii="Times New Roman"/>
            </w:rPr>
          </w:pPr>
          <w:r>
            <w:rPr>
              <w:rFonts w:ascii="Times New Roman"/>
            </w:rPr>
            <w:t>Distr.: General</w:t>
          </w:r>
        </w:p>
        <w:p w:rsidR="00134C65" w:rsidRDefault="00134C65" w:rsidP="00ED4C47">
          <w:pPr>
            <w:spacing w:line="240" w:lineRule="exact"/>
            <w:rPr>
              <w:rFonts w:ascii="Times New Roman"/>
            </w:rPr>
          </w:pPr>
          <w:r>
            <w:rPr>
              <w:rFonts w:ascii="Times New Roman"/>
            </w:rPr>
            <w:t>6 March 2008</w:t>
          </w:r>
        </w:p>
        <w:p w:rsidR="00134C65" w:rsidRDefault="00134C65" w:rsidP="00ED4C47">
          <w:pPr>
            <w:spacing w:line="240" w:lineRule="exact"/>
            <w:rPr>
              <w:rFonts w:ascii="Times New Roman"/>
            </w:rPr>
          </w:pPr>
          <w:r>
            <w:rPr>
              <w:rFonts w:ascii="Times New Roman"/>
            </w:rPr>
            <w:t>Chinese</w:t>
          </w:r>
        </w:p>
        <w:p w:rsidR="00134C65" w:rsidRPr="00ED4C47" w:rsidRDefault="00134C65" w:rsidP="00ED4C47">
          <w:pPr>
            <w:spacing w:line="240" w:lineRule="exact"/>
            <w:rPr>
              <w:rFonts w:ascii="Times New Roman"/>
            </w:rPr>
          </w:pPr>
          <w:r>
            <w:rPr>
              <w:rFonts w:ascii="Times New Roman"/>
            </w:rPr>
            <w:t>Original: English</w:t>
          </w:r>
        </w:p>
      </w:tc>
    </w:tr>
  </w:tbl>
  <w:p w:rsidR="00134C65" w:rsidRPr="00ED4C47" w:rsidRDefault="00134C65" w:rsidP="00ED4C4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52*"/>
    <w:docVar w:name="CreationDt" w:val="25/03/2008 09:25:16"/>
    <w:docVar w:name="DocCategory" w:val="Doc"/>
    <w:docVar w:name="DocType" w:val="Final"/>
    <w:docVar w:name="FooterJN" w:val="08-26252"/>
    <w:docVar w:name="jobn" w:val="08-26252 (C)"/>
    <w:docVar w:name="jobnDT" w:val="08-26252 (C)   250308"/>
    <w:docVar w:name="jobnDTDT" w:val="08-26252 (C)   250308   250308"/>
    <w:docVar w:name="JobNo" w:val="0826252C"/>
    <w:docVar w:name="OandT" w:val="jia"/>
    <w:docVar w:name="sss1" w:val="CEDAW/C/ECU/Q/7"/>
    <w:docVar w:name="sss2" w:val="-"/>
    <w:docVar w:name="Symbol1" w:val="CEDAW/C/ECU/Q/7"/>
    <w:docVar w:name="Symbol2" w:val="-"/>
  </w:docVars>
  <w:rsids>
    <w:rsidRoot w:val="00376960"/>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34C65"/>
    <w:rsid w:val="00141322"/>
    <w:rsid w:val="0015066B"/>
    <w:rsid w:val="00150D3A"/>
    <w:rsid w:val="00153D29"/>
    <w:rsid w:val="00161E69"/>
    <w:rsid w:val="00161F54"/>
    <w:rsid w:val="001673E0"/>
    <w:rsid w:val="00170FBE"/>
    <w:rsid w:val="0017506F"/>
    <w:rsid w:val="001A24BB"/>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103"/>
    <w:rsid w:val="002C3BC9"/>
    <w:rsid w:val="002C54DB"/>
    <w:rsid w:val="002D039F"/>
    <w:rsid w:val="002D0694"/>
    <w:rsid w:val="002D5503"/>
    <w:rsid w:val="002E66D5"/>
    <w:rsid w:val="002F41E2"/>
    <w:rsid w:val="00320C99"/>
    <w:rsid w:val="003274A9"/>
    <w:rsid w:val="00331221"/>
    <w:rsid w:val="003649EE"/>
    <w:rsid w:val="00371BC6"/>
    <w:rsid w:val="00373A15"/>
    <w:rsid w:val="00376960"/>
    <w:rsid w:val="00394A02"/>
    <w:rsid w:val="003C7B20"/>
    <w:rsid w:val="003E4565"/>
    <w:rsid w:val="003E748F"/>
    <w:rsid w:val="003E7612"/>
    <w:rsid w:val="00414423"/>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328DE"/>
    <w:rsid w:val="006479F1"/>
    <w:rsid w:val="00650BEE"/>
    <w:rsid w:val="006520FA"/>
    <w:rsid w:val="0065377D"/>
    <w:rsid w:val="006655F2"/>
    <w:rsid w:val="00666F57"/>
    <w:rsid w:val="006740A7"/>
    <w:rsid w:val="00691524"/>
    <w:rsid w:val="006A654B"/>
    <w:rsid w:val="006D12F1"/>
    <w:rsid w:val="006E2924"/>
    <w:rsid w:val="006E7A26"/>
    <w:rsid w:val="006F2B3D"/>
    <w:rsid w:val="006F6089"/>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C19"/>
    <w:rsid w:val="00826250"/>
    <w:rsid w:val="008378D1"/>
    <w:rsid w:val="00846462"/>
    <w:rsid w:val="0086691F"/>
    <w:rsid w:val="00883DB0"/>
    <w:rsid w:val="00884C8F"/>
    <w:rsid w:val="00896D38"/>
    <w:rsid w:val="008C3296"/>
    <w:rsid w:val="008D5004"/>
    <w:rsid w:val="008E2D03"/>
    <w:rsid w:val="008F2BB5"/>
    <w:rsid w:val="008F425D"/>
    <w:rsid w:val="008F5472"/>
    <w:rsid w:val="008F5D0F"/>
    <w:rsid w:val="009122E0"/>
    <w:rsid w:val="00913351"/>
    <w:rsid w:val="0096193C"/>
    <w:rsid w:val="00962ED3"/>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01F9B"/>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DF041C"/>
    <w:rsid w:val="00E050BA"/>
    <w:rsid w:val="00E25442"/>
    <w:rsid w:val="00E25A1F"/>
    <w:rsid w:val="00E37EEB"/>
    <w:rsid w:val="00E710FB"/>
    <w:rsid w:val="00E806D9"/>
    <w:rsid w:val="00E82CA2"/>
    <w:rsid w:val="00E94E5A"/>
    <w:rsid w:val="00E95594"/>
    <w:rsid w:val="00EA31C3"/>
    <w:rsid w:val="00EB33AC"/>
    <w:rsid w:val="00EC6F21"/>
    <w:rsid w:val="00ED2A6D"/>
    <w:rsid w:val="00ED4C47"/>
    <w:rsid w:val="00EE0913"/>
    <w:rsid w:val="00F01440"/>
    <w:rsid w:val="00F076A2"/>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61</TotalTime>
  <Pages>1</Pages>
  <Words>1953</Words>
  <Characters>2130</Characters>
  <Application>Microsoft Office Word</Application>
  <DocSecurity>4</DocSecurity>
  <Lines>85</Lines>
  <Paragraphs>45</Paragraphs>
  <ScaleCrop>false</ScaleCrop>
  <Company>United Nations</Company>
  <LinksUpToDate>false</LinksUpToDate>
  <CharactersWithSpaces>4038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Qiping.Jia</dc:creator>
  <cp:keywords/>
  <dc:description/>
  <cp:lastModifiedBy>Qingquan.Hua</cp:lastModifiedBy>
  <cp:revision>9</cp:revision>
  <cp:lastPrinted>2008-03-25T10:28:00Z</cp:lastPrinted>
  <dcterms:created xsi:type="dcterms:W3CDTF">2008-03-25T08:19:00Z</dcterms:created>
  <dcterms:modified xsi:type="dcterms:W3CDTF">2008-03-25T10:55:00Z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0826252</vt:lpwstr>
  </property>
  <property fmtid="{D5CDD505-2E9C-101B-9397-08002B2CF9AE}" pid="3" name="Symbol1">
    <vt:lpwstr>CEDAW/C/ECU/Q/7</vt:lpwstr>
  </property>
  <property fmtid="{D5CDD505-2E9C-101B-9397-08002B2CF9AE}" pid="4" name="Symbol2">
    <vt:lpwstr/>
  </property>
  <property fmtid="{D5CDD505-2E9C-101B-9397-08002B2CF9AE}" pid="5" name="Translator">
    <vt:lpwstr/>
  </property>
  <property fmtid="{D5CDD505-2E9C-101B-9397-08002B2CF9AE}" pid="6" name="Operator">
    <vt:lpwstr>jia</vt:lpwstr>
  </property>
  <property fmtid="{D5CDD505-2E9C-101B-9397-08002B2CF9AE}" pid="7" name="DraftPages">
    <vt:lpwstr> </vt:lpwstr>
  </property>
  <property fmtid="{D5CDD505-2E9C-101B-9397-08002B2CF9AE}" pid="8" name="Comment">
    <vt:lpwstr/>
  </property>
</Properties>
</file>