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7DA" w:rsidRDefault="002C27DA" w:rsidP="002C27DA">
      <w:pPr>
        <w:spacing w:line="60" w:lineRule="exact"/>
        <w:rPr>
          <w:sz w:val="6"/>
        </w:rPr>
        <w:sectPr w:rsidR="002C27DA" w:rsidSect="002C27DA">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bookmarkStart w:id="1" w:name="_GoBack"/>
      <w:bookmarkEnd w:id="1"/>
    </w:p>
    <w:p w:rsidR="00B31E9D" w:rsidRDefault="00B31E9D" w:rsidP="002C27DA">
      <w:pPr>
        <w:spacing w:line="60" w:lineRule="exact"/>
        <w:rPr>
          <w:sz w:val="6"/>
        </w:rPr>
      </w:pPr>
    </w:p>
    <w:p w:rsidR="002C27DA" w:rsidRDefault="002C27DA" w:rsidP="002C27DA">
      <w:pPr>
        <w:pStyle w:val="H1"/>
      </w:pPr>
      <w:r>
        <w:rPr>
          <w:rFonts w:hint="eastAsia"/>
        </w:rPr>
        <w:t>人权事务委员会</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Pr="00C601E0" w:rsidRDefault="003165A6" w:rsidP="003165A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rPr>
      </w:pPr>
      <w:r>
        <w:rPr>
          <w:rFonts w:hint="eastAsia"/>
        </w:rPr>
        <w:tab/>
      </w:r>
      <w:r>
        <w:rPr>
          <w:rFonts w:hint="eastAsia"/>
        </w:rPr>
        <w:tab/>
        <w:t>关于科特迪瓦第一次报告的结论性意见</w:t>
      </w:r>
      <w:r w:rsidRPr="00C601E0">
        <w:rPr>
          <w:rStyle w:val="a3"/>
          <w:rFonts w:ascii="Times New Roman"/>
          <w:position w:val="2"/>
          <w:vertAlign w:val="baseline"/>
        </w:rPr>
        <w:footnoteReference w:customMarkFollows="1" w:id="1"/>
        <w:t>*</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1.  </w:t>
      </w:r>
      <w:r>
        <w:rPr>
          <w:rFonts w:hint="eastAsia"/>
        </w:rPr>
        <w:t>人权事务委员会在</w:t>
      </w:r>
      <w:r>
        <w:rPr>
          <w:rFonts w:hint="eastAsia"/>
        </w:rPr>
        <w:t>2015</w:t>
      </w:r>
      <w:r>
        <w:rPr>
          <w:rFonts w:hint="eastAsia"/>
        </w:rPr>
        <w:t>年</w:t>
      </w:r>
      <w:r>
        <w:rPr>
          <w:rFonts w:hint="eastAsia"/>
        </w:rPr>
        <w:t>3</w:t>
      </w:r>
      <w:r>
        <w:rPr>
          <w:rFonts w:hint="eastAsia"/>
        </w:rPr>
        <w:t>月</w:t>
      </w:r>
      <w:r>
        <w:rPr>
          <w:rFonts w:hint="eastAsia"/>
        </w:rPr>
        <w:t>18</w:t>
      </w:r>
      <w:r>
        <w:rPr>
          <w:rFonts w:hint="eastAsia"/>
        </w:rPr>
        <w:t>日和</w:t>
      </w:r>
      <w:r>
        <w:rPr>
          <w:rFonts w:hint="eastAsia"/>
        </w:rPr>
        <w:t>19</w:t>
      </w:r>
      <w:r>
        <w:rPr>
          <w:rFonts w:hint="eastAsia"/>
        </w:rPr>
        <w:t>日举行的第</w:t>
      </w:r>
      <w:r>
        <w:rPr>
          <w:rFonts w:hint="eastAsia"/>
        </w:rPr>
        <w:t>3140</w:t>
      </w:r>
      <w:r>
        <w:rPr>
          <w:rFonts w:hint="eastAsia"/>
        </w:rPr>
        <w:t>次和第</w:t>
      </w:r>
      <w:r>
        <w:rPr>
          <w:rFonts w:hint="eastAsia"/>
        </w:rPr>
        <w:t>3141</w:t>
      </w:r>
      <w:r>
        <w:rPr>
          <w:rFonts w:hint="eastAsia"/>
        </w:rPr>
        <w:t>次会议</w:t>
      </w:r>
      <w:r>
        <w:rPr>
          <w:rFonts w:hint="eastAsia"/>
        </w:rPr>
        <w:t>(CCPR/C/SR.3140</w:t>
      </w:r>
      <w:r>
        <w:rPr>
          <w:rFonts w:hint="eastAsia"/>
        </w:rPr>
        <w:t>和</w:t>
      </w:r>
      <w:r>
        <w:rPr>
          <w:rFonts w:hint="eastAsia"/>
        </w:rPr>
        <w:t>3141)</w:t>
      </w:r>
      <w:r>
        <w:rPr>
          <w:rFonts w:hint="eastAsia"/>
        </w:rPr>
        <w:t>上审议了科特迪瓦第一次报告</w:t>
      </w:r>
      <w:r>
        <w:rPr>
          <w:rFonts w:hint="eastAsia"/>
        </w:rPr>
        <w:t>(CCPR/C/CIV/1)</w:t>
      </w:r>
      <w:r>
        <w:rPr>
          <w:rFonts w:hint="eastAsia"/>
        </w:rPr>
        <w:t>。在</w:t>
      </w:r>
      <w:r>
        <w:rPr>
          <w:rFonts w:hint="eastAsia"/>
        </w:rPr>
        <w:t>2015</w:t>
      </w:r>
      <w:r>
        <w:rPr>
          <w:rFonts w:hint="eastAsia"/>
        </w:rPr>
        <w:t>年</w:t>
      </w:r>
      <w:r>
        <w:rPr>
          <w:rFonts w:hint="eastAsia"/>
        </w:rPr>
        <w:t>3</w:t>
      </w:r>
      <w:r>
        <w:rPr>
          <w:rFonts w:hint="eastAsia"/>
        </w:rPr>
        <w:t>月</w:t>
      </w:r>
      <w:r>
        <w:rPr>
          <w:rFonts w:hint="eastAsia"/>
        </w:rPr>
        <w:t>31</w:t>
      </w:r>
      <w:r>
        <w:rPr>
          <w:rFonts w:hint="eastAsia"/>
        </w:rPr>
        <w:t>日举行的第</w:t>
      </w:r>
      <w:r>
        <w:rPr>
          <w:rFonts w:hint="eastAsia"/>
        </w:rPr>
        <w:t>3158</w:t>
      </w:r>
      <w:r>
        <w:rPr>
          <w:rFonts w:hint="eastAsia"/>
        </w:rPr>
        <w:t>次会议上，人权事务委员会通过了以下结论性意见。</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A.</w:t>
      </w:r>
      <w:r>
        <w:rPr>
          <w:rFonts w:hint="eastAsia"/>
        </w:rPr>
        <w:tab/>
        <w:t>导言</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2.  </w:t>
      </w:r>
      <w:r>
        <w:rPr>
          <w:rFonts w:hint="eastAsia"/>
        </w:rPr>
        <w:t>人权事务委员会欢迎科特迪瓦在逾期</w:t>
      </w:r>
      <w:r>
        <w:rPr>
          <w:rFonts w:hint="eastAsia"/>
        </w:rPr>
        <w:t>20</w:t>
      </w:r>
      <w:r>
        <w:rPr>
          <w:rFonts w:hint="eastAsia"/>
        </w:rPr>
        <w:t>年后提交的第一次报告。委员会注意到报告中陈述的情况。委员会感到欣慰的是，有机会与缔约国高级别代表团就《公约》的执行情况进行建设性的对话。委员会感谢缔约国对问题单</w:t>
      </w:r>
      <w:r>
        <w:rPr>
          <w:rFonts w:hint="eastAsia"/>
        </w:rPr>
        <w:t>(CCPR/C/CIV/Q/1/ Add.1)</w:t>
      </w:r>
      <w:r>
        <w:rPr>
          <w:rFonts w:hint="eastAsia"/>
        </w:rPr>
        <w:t>所作的书面答复</w:t>
      </w:r>
      <w:r>
        <w:rPr>
          <w:rFonts w:hint="eastAsia"/>
        </w:rPr>
        <w:t>(CCPR/C/CIV/Q/1/Add.2)</w:t>
      </w:r>
      <w:r>
        <w:rPr>
          <w:rFonts w:hint="eastAsia"/>
        </w:rPr>
        <w:t>以及代表团后来所作的口头补充和提交了的进一步书面资料。</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t>积极方面</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3.  </w:t>
      </w:r>
      <w:r>
        <w:rPr>
          <w:rFonts w:hint="eastAsia"/>
        </w:rPr>
        <w:t>委员会欢迎缔约国采取以下立法和制度措施：</w:t>
      </w:r>
    </w:p>
    <w:p w:rsidR="003165A6" w:rsidRDefault="003165A6" w:rsidP="003165A6">
      <w:pPr>
        <w:pStyle w:val="SingleTxt"/>
      </w:pPr>
      <w:r>
        <w:rPr>
          <w:rFonts w:hint="eastAsia"/>
        </w:rPr>
        <w:tab/>
        <w:t>(a)</w:t>
      </w:r>
      <w:r>
        <w:rPr>
          <w:rFonts w:hint="eastAsia"/>
        </w:rPr>
        <w:tab/>
        <w:t>2015</w:t>
      </w:r>
      <w:r>
        <w:rPr>
          <w:rFonts w:hint="eastAsia"/>
        </w:rPr>
        <w:t>年废除了缔约国《刑法典》中规定的死刑；</w:t>
      </w:r>
    </w:p>
    <w:p w:rsidR="003165A6" w:rsidRDefault="003165A6" w:rsidP="003165A6">
      <w:pPr>
        <w:pStyle w:val="SingleTxt"/>
      </w:pPr>
      <w:r>
        <w:rPr>
          <w:rFonts w:hint="eastAsia"/>
        </w:rPr>
        <w:tab/>
        <w:t>(b)</w:t>
      </w:r>
      <w:r>
        <w:rPr>
          <w:rFonts w:hint="eastAsia"/>
        </w:rPr>
        <w:tab/>
        <w:t>2000</w:t>
      </w:r>
      <w:r>
        <w:rPr>
          <w:rFonts w:hint="eastAsia"/>
        </w:rPr>
        <w:t>年</w:t>
      </w:r>
      <w:r>
        <w:rPr>
          <w:rFonts w:hint="eastAsia"/>
        </w:rPr>
        <w:t>7</w:t>
      </w:r>
      <w:r>
        <w:rPr>
          <w:rFonts w:hint="eastAsia"/>
        </w:rPr>
        <w:t>月</w:t>
      </w:r>
      <w:r>
        <w:rPr>
          <w:rFonts w:hint="eastAsia"/>
        </w:rPr>
        <w:t>23</w:t>
      </w:r>
      <w:r>
        <w:rPr>
          <w:rFonts w:hint="eastAsia"/>
        </w:rPr>
        <w:t>日通过的《宪法》第一章规定对《公约》所保障的人权和基本自由加以保护，第</w:t>
      </w:r>
      <w:r>
        <w:rPr>
          <w:rFonts w:hint="eastAsia"/>
        </w:rPr>
        <w:t>87</w:t>
      </w:r>
      <w:r>
        <w:rPr>
          <w:rFonts w:hint="eastAsia"/>
        </w:rPr>
        <w:t>条还规定《公约》的地位优先于国内法；</w:t>
      </w:r>
    </w:p>
    <w:p w:rsidR="003165A6" w:rsidRDefault="003165A6" w:rsidP="003165A6">
      <w:pPr>
        <w:pStyle w:val="SingleTxt"/>
      </w:pPr>
      <w:r>
        <w:rPr>
          <w:rFonts w:hint="eastAsia"/>
        </w:rPr>
        <w:tab/>
        <w:t>(c)</w:t>
      </w:r>
      <w:r>
        <w:rPr>
          <w:rFonts w:hint="eastAsia"/>
        </w:rPr>
        <w:tab/>
        <w:t>2013</w:t>
      </w:r>
      <w:r>
        <w:rPr>
          <w:rFonts w:hint="eastAsia"/>
        </w:rPr>
        <w:t>年</w:t>
      </w:r>
      <w:r>
        <w:rPr>
          <w:rFonts w:hint="eastAsia"/>
        </w:rPr>
        <w:t>1</w:t>
      </w:r>
      <w:r>
        <w:rPr>
          <w:rFonts w:hint="eastAsia"/>
        </w:rPr>
        <w:t>月</w:t>
      </w:r>
      <w:r>
        <w:rPr>
          <w:rFonts w:hint="eastAsia"/>
        </w:rPr>
        <w:t>25</w:t>
      </w:r>
      <w:r>
        <w:rPr>
          <w:rFonts w:hint="eastAsia"/>
        </w:rPr>
        <w:t>日通过了第</w:t>
      </w:r>
      <w:r>
        <w:rPr>
          <w:rFonts w:hint="eastAsia"/>
        </w:rPr>
        <w:t>2013-33</w:t>
      </w:r>
      <w:r>
        <w:rPr>
          <w:rFonts w:hint="eastAsia"/>
        </w:rPr>
        <w:t>号法，其中修正或撤销了</w:t>
      </w:r>
      <w:r>
        <w:rPr>
          <w:rFonts w:hint="eastAsia"/>
        </w:rPr>
        <w:t>1964</w:t>
      </w:r>
      <w:r>
        <w:rPr>
          <w:rFonts w:hint="eastAsia"/>
        </w:rPr>
        <w:t>年</w:t>
      </w:r>
      <w:r>
        <w:rPr>
          <w:rFonts w:hint="eastAsia"/>
        </w:rPr>
        <w:t>10</w:t>
      </w:r>
      <w:r>
        <w:rPr>
          <w:rFonts w:hint="eastAsia"/>
        </w:rPr>
        <w:t>月</w:t>
      </w:r>
      <w:r>
        <w:rPr>
          <w:rFonts w:hint="eastAsia"/>
        </w:rPr>
        <w:t>7</w:t>
      </w:r>
      <w:r>
        <w:rPr>
          <w:rFonts w:hint="eastAsia"/>
        </w:rPr>
        <w:t>日第</w:t>
      </w:r>
      <w:r>
        <w:rPr>
          <w:rFonts w:hint="eastAsia"/>
        </w:rPr>
        <w:t>64-375</w:t>
      </w:r>
      <w:r>
        <w:rPr>
          <w:rFonts w:hint="eastAsia"/>
        </w:rPr>
        <w:t>法关于婚姻的某些规定，确立了男女在家务管理上平等的原则；</w:t>
      </w:r>
    </w:p>
    <w:p w:rsidR="00252450" w:rsidRDefault="003165A6" w:rsidP="00252450">
      <w:pPr>
        <w:pStyle w:val="SingleTxt"/>
      </w:pPr>
      <w:r>
        <w:rPr>
          <w:rFonts w:hint="eastAsia"/>
        </w:rPr>
        <w:tab/>
        <w:t>(d)</w:t>
      </w:r>
      <w:r>
        <w:rPr>
          <w:rFonts w:hint="eastAsia"/>
        </w:rPr>
        <w:tab/>
        <w:t>2010</w:t>
      </w:r>
      <w:r>
        <w:rPr>
          <w:rFonts w:hint="eastAsia"/>
        </w:rPr>
        <w:t>年</w:t>
      </w:r>
      <w:r>
        <w:rPr>
          <w:rFonts w:hint="eastAsia"/>
        </w:rPr>
        <w:t>9</w:t>
      </w:r>
      <w:r>
        <w:rPr>
          <w:rFonts w:hint="eastAsia"/>
        </w:rPr>
        <w:t>月</w:t>
      </w:r>
      <w:r>
        <w:rPr>
          <w:rFonts w:hint="eastAsia"/>
        </w:rPr>
        <w:t>30</w:t>
      </w:r>
      <w:r>
        <w:rPr>
          <w:rFonts w:hint="eastAsia"/>
        </w:rPr>
        <w:t>日通过了第</w:t>
      </w:r>
      <w:r>
        <w:rPr>
          <w:rFonts w:hint="eastAsia"/>
        </w:rPr>
        <w:t>2010-272</w:t>
      </w:r>
      <w:r>
        <w:rPr>
          <w:rFonts w:hint="eastAsia"/>
        </w:rPr>
        <w:t>号法，其中禁止贩运儿童和最恶劣形式的童工。</w:t>
      </w:r>
    </w:p>
    <w:p w:rsidR="00300A9C" w:rsidRDefault="00300A9C">
      <w:pPr>
        <w:spacing w:line="240" w:lineRule="auto"/>
        <w:jc w:val="left"/>
      </w:pPr>
      <w:r>
        <w:br w:type="page"/>
      </w:r>
    </w:p>
    <w:p w:rsidR="003165A6" w:rsidRDefault="003165A6" w:rsidP="003165A6">
      <w:pPr>
        <w:pStyle w:val="SingleTxt"/>
      </w:pPr>
      <w:r>
        <w:rPr>
          <w:rFonts w:hint="eastAsia"/>
        </w:rPr>
        <w:lastRenderedPageBreak/>
        <w:t xml:space="preserve">4.  </w:t>
      </w:r>
      <w:r>
        <w:rPr>
          <w:rFonts w:hint="eastAsia"/>
        </w:rPr>
        <w:t>委员会欢迎批准了以下国际文书：</w:t>
      </w:r>
    </w:p>
    <w:p w:rsidR="003165A6" w:rsidRDefault="003165A6" w:rsidP="003165A6">
      <w:pPr>
        <w:pStyle w:val="SingleTxt"/>
      </w:pPr>
      <w:r>
        <w:rPr>
          <w:rFonts w:hint="eastAsia"/>
        </w:rPr>
        <w:tab/>
        <w:t>(a)</w:t>
      </w:r>
      <w:r>
        <w:rPr>
          <w:rFonts w:hint="eastAsia"/>
        </w:rPr>
        <w:tab/>
      </w:r>
      <w:r>
        <w:rPr>
          <w:rFonts w:hint="eastAsia"/>
        </w:rPr>
        <w:t>《禁止酷刑和其他残忍、不人道或有辱人格的待遇或处罚公约》，</w:t>
      </w:r>
      <w:r>
        <w:rPr>
          <w:rFonts w:hint="eastAsia"/>
        </w:rPr>
        <w:t>1995</w:t>
      </w:r>
      <w:r>
        <w:rPr>
          <w:rFonts w:hint="eastAsia"/>
        </w:rPr>
        <w:t>年；</w:t>
      </w:r>
    </w:p>
    <w:p w:rsidR="003165A6" w:rsidRDefault="003165A6" w:rsidP="003165A6">
      <w:pPr>
        <w:pStyle w:val="SingleTxt"/>
      </w:pPr>
      <w:r>
        <w:rPr>
          <w:rFonts w:hint="eastAsia"/>
        </w:rPr>
        <w:tab/>
        <w:t>(b)</w:t>
      </w:r>
      <w:r>
        <w:rPr>
          <w:rFonts w:hint="eastAsia"/>
        </w:rPr>
        <w:tab/>
      </w:r>
      <w:r>
        <w:rPr>
          <w:rFonts w:hint="eastAsia"/>
        </w:rPr>
        <w:t>《消除对妇女一切形式歧视公约》，</w:t>
      </w:r>
      <w:r>
        <w:rPr>
          <w:rFonts w:hint="eastAsia"/>
        </w:rPr>
        <w:t>1995</w:t>
      </w:r>
      <w:r>
        <w:rPr>
          <w:rFonts w:hint="eastAsia"/>
        </w:rPr>
        <w:t>年；</w:t>
      </w:r>
    </w:p>
    <w:p w:rsidR="003165A6" w:rsidRDefault="003165A6" w:rsidP="003165A6">
      <w:pPr>
        <w:pStyle w:val="SingleTxt"/>
      </w:pPr>
      <w:r>
        <w:rPr>
          <w:rFonts w:hint="eastAsia"/>
        </w:rPr>
        <w:tab/>
        <w:t>(c)</w:t>
      </w:r>
      <w:r>
        <w:rPr>
          <w:rFonts w:hint="eastAsia"/>
        </w:rPr>
        <w:tab/>
      </w:r>
      <w:r>
        <w:rPr>
          <w:rFonts w:hint="eastAsia"/>
        </w:rPr>
        <w:t>《残疾人权利公约》，</w:t>
      </w:r>
      <w:r>
        <w:rPr>
          <w:rFonts w:hint="eastAsia"/>
        </w:rPr>
        <w:t>2014</w:t>
      </w:r>
      <w:r>
        <w:rPr>
          <w:rFonts w:hint="eastAsia"/>
        </w:rPr>
        <w:t>年；</w:t>
      </w:r>
    </w:p>
    <w:p w:rsidR="003165A6" w:rsidRDefault="003165A6" w:rsidP="003165A6">
      <w:pPr>
        <w:pStyle w:val="SingleTxt"/>
      </w:pPr>
      <w:r>
        <w:rPr>
          <w:rFonts w:hint="eastAsia"/>
        </w:rPr>
        <w:tab/>
        <w:t>(d)</w:t>
      </w:r>
      <w:r>
        <w:rPr>
          <w:rFonts w:hint="eastAsia"/>
        </w:rPr>
        <w:tab/>
      </w:r>
      <w:r>
        <w:rPr>
          <w:rFonts w:hint="eastAsia"/>
        </w:rPr>
        <w:t>《儿童权利公约关于买卖儿童、儿童卖淫和儿童色情制品问题的任择议定书》，</w:t>
      </w:r>
      <w:r>
        <w:rPr>
          <w:rFonts w:hint="eastAsia"/>
        </w:rPr>
        <w:t>2011</w:t>
      </w:r>
      <w:r>
        <w:rPr>
          <w:rFonts w:hint="eastAsia"/>
        </w:rPr>
        <w:t>年；</w:t>
      </w:r>
    </w:p>
    <w:p w:rsidR="003165A6" w:rsidRDefault="003165A6" w:rsidP="003165A6">
      <w:pPr>
        <w:pStyle w:val="SingleTxt"/>
      </w:pPr>
      <w:r>
        <w:rPr>
          <w:rFonts w:hint="eastAsia"/>
        </w:rPr>
        <w:tab/>
        <w:t>(e)</w:t>
      </w:r>
      <w:r>
        <w:rPr>
          <w:rFonts w:hint="eastAsia"/>
        </w:rPr>
        <w:tab/>
      </w:r>
      <w:r>
        <w:rPr>
          <w:rFonts w:hint="eastAsia"/>
        </w:rPr>
        <w:t>《儿童权利公约关于儿童卷入武装冲突问题的任择议定书》，</w:t>
      </w:r>
      <w:r>
        <w:rPr>
          <w:rFonts w:hint="eastAsia"/>
        </w:rPr>
        <w:t>2012</w:t>
      </w:r>
      <w:r>
        <w:rPr>
          <w:rFonts w:hint="eastAsia"/>
        </w:rPr>
        <w:t>年。</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C.</w:t>
      </w:r>
      <w:r>
        <w:rPr>
          <w:rFonts w:hint="eastAsia"/>
        </w:rPr>
        <w:tab/>
        <w:t>主要关注领域和建议</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将《公约》纳入国内法和在本国法庭适用《公约》</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5.  </w:t>
      </w:r>
      <w:r>
        <w:rPr>
          <w:rFonts w:hint="eastAsia"/>
        </w:rPr>
        <w:t>委员会注意到，缔约国《宪法》第</w:t>
      </w:r>
      <w:r>
        <w:rPr>
          <w:rFonts w:hint="eastAsia"/>
        </w:rPr>
        <w:t>87</w:t>
      </w:r>
      <w:r>
        <w:rPr>
          <w:rFonts w:hint="eastAsia"/>
        </w:rPr>
        <w:t>条规定，国际条约的地位优先于国内法，但委员会还注意到，该国法庭未曾援引或直接适用《公约》的条款</w:t>
      </w:r>
      <w:r>
        <w:rPr>
          <w:rFonts w:hint="eastAsia"/>
        </w:rPr>
        <w:t>(</w:t>
      </w:r>
      <w:r>
        <w:rPr>
          <w:rFonts w:hint="eastAsia"/>
        </w:rPr>
        <w:t>第二条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缔约国应采取必要步骤，提高法官、律师和检察官对《公约》条款的认识，以确保该国法庭本身和在庭上考虑到这些条款。</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国家人权委员会</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6.  </w:t>
      </w:r>
      <w:r>
        <w:rPr>
          <w:rFonts w:hint="eastAsia"/>
        </w:rPr>
        <w:t>委员会关切地注意到，国家人权委员会的职权范围不够广泛，无法处理侵犯人权的行为，也不充分独立，而且缺乏有效履行其职责所必须具备的财政独立性</w:t>
      </w:r>
      <w:r>
        <w:rPr>
          <w:rFonts w:hint="eastAsia"/>
        </w:rPr>
        <w:t>(</w:t>
      </w:r>
      <w:r>
        <w:rPr>
          <w:rFonts w:hint="eastAsia"/>
        </w:rPr>
        <w:t>第二条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鼓励缔约国扩大国家人权委员会的职权范围，使其能够处理侵犯人权的案件，保障其独立性，并使其拥有足够的资源和财政自主性，以便能够按照《巴黎原则》有效履行其职责。</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对话、真相与和解委员会</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7.  </w:t>
      </w:r>
      <w:r>
        <w:rPr>
          <w:rFonts w:hint="eastAsia"/>
        </w:rPr>
        <w:t>委员会感到关切的是，有报告指出，对话、真相与和解委员会的程序有一些不足，特别是：在选择要约谈的受害人方面缺乏透明度；很难接触到住在极偏远地区的受害人；以及不举行公开听证会。它遗憾地注意到，</w:t>
      </w:r>
      <w:r>
        <w:rPr>
          <w:rFonts w:hint="eastAsia"/>
        </w:rPr>
        <w:t>2014</w:t>
      </w:r>
      <w:r>
        <w:rPr>
          <w:rFonts w:hint="eastAsia"/>
        </w:rPr>
        <w:t>年</w:t>
      </w:r>
      <w:r>
        <w:rPr>
          <w:rFonts w:hint="eastAsia"/>
        </w:rPr>
        <w:t>12</w:t>
      </w:r>
      <w:r>
        <w:rPr>
          <w:rFonts w:hint="eastAsia"/>
        </w:rPr>
        <w:t>月</w:t>
      </w:r>
      <w:r>
        <w:rPr>
          <w:rFonts w:hint="eastAsia"/>
        </w:rPr>
        <w:t>15</w:t>
      </w:r>
      <w:r>
        <w:rPr>
          <w:rFonts w:hint="eastAsia"/>
        </w:rPr>
        <w:t>日送交共和国总统的该委员会最后报告尚未公布</w:t>
      </w:r>
      <w:r>
        <w:rPr>
          <w:rFonts w:hint="eastAsia"/>
        </w:rPr>
        <w:t>(</w:t>
      </w:r>
      <w:r>
        <w:rPr>
          <w:rFonts w:hint="eastAsia"/>
        </w:rPr>
        <w:t>第二条</w:t>
      </w:r>
      <w:r>
        <w:rPr>
          <w:rFonts w:hint="eastAsia"/>
        </w:rPr>
        <w:t>)</w:t>
      </w:r>
      <w:r>
        <w:rPr>
          <w:rFonts w:hint="eastAsia"/>
        </w:rPr>
        <w:t>。</w:t>
      </w:r>
    </w:p>
    <w:p w:rsidR="00252450" w:rsidRPr="00252450" w:rsidRDefault="003165A6" w:rsidP="00252450">
      <w:pPr>
        <w:pStyle w:val="SingleTxt"/>
        <w:rPr>
          <w:rFonts w:ascii="黑体" w:eastAsia="黑体" w:hAnsi="黑体"/>
        </w:rPr>
      </w:pPr>
      <w:r w:rsidRPr="003165A6">
        <w:rPr>
          <w:rFonts w:ascii="黑体" w:eastAsia="黑体" w:hAnsi="黑体" w:hint="eastAsia"/>
        </w:rPr>
        <w:t>缔约国应公布对话、真相与和解委员会的报告，以便公众包括受害人能够注意到其结论和建议。缔约国应采取必要步骤，确保就该委员会的建议采取行动。</w:t>
      </w:r>
    </w:p>
    <w:p w:rsidR="00300A9C" w:rsidRDefault="00300A9C">
      <w:pPr>
        <w:spacing w:line="240" w:lineRule="auto"/>
        <w:jc w:val="left"/>
        <w:rPr>
          <w:sz w:val="10"/>
        </w:rPr>
      </w:pPr>
      <w:r>
        <w:rPr>
          <w:sz w:val="10"/>
        </w:rPr>
        <w:br w:type="page"/>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基于性取向的歧视</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8.  </w:t>
      </w:r>
      <w:r>
        <w:rPr>
          <w:rFonts w:hint="eastAsia"/>
        </w:rPr>
        <w:t>委员会感到关切的是，有报告指出，女同性恋者、男同性恋者、双性恋者和变性者遭受歧视、骚扰、人身暴力威胁和恫吓，而行为人不受惩罚。委员会特别感到关切的是，《刑法典》第</w:t>
      </w:r>
      <w:r>
        <w:rPr>
          <w:rFonts w:hint="eastAsia"/>
        </w:rPr>
        <w:t>360</w:t>
      </w:r>
      <w:r>
        <w:rPr>
          <w:rFonts w:hint="eastAsia"/>
        </w:rPr>
        <w:t>条规定，“严重猥亵行为”若“是与同一性别的人发生的有伤风化或非自然的行为”，则应在最低刑罚的基础上加重处罚</w:t>
      </w:r>
      <w:r>
        <w:rPr>
          <w:rFonts w:hint="eastAsia"/>
        </w:rPr>
        <w:t>(</w:t>
      </w:r>
      <w:r>
        <w:rPr>
          <w:rFonts w:hint="eastAsia"/>
        </w:rPr>
        <w:t>第二和第二十六条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颁布一项普遍禁止歧视的法律，其中纳入《公约》和《宪法》的禁止歧视规定。缔约国还应采取必要步骤，保护女同性恋者、男同性恋者、双性恋者和变性者不受一切形式的歧视、恫吓和暴力侵害。缔约国应修订《刑法典》第</w:t>
      </w:r>
      <w:r w:rsidRPr="00C601E0">
        <w:rPr>
          <w:rFonts w:eastAsia="黑体"/>
        </w:rPr>
        <w:t>360</w:t>
      </w:r>
      <w:r w:rsidRPr="003165A6">
        <w:rPr>
          <w:rFonts w:ascii="黑体" w:eastAsia="黑体" w:hAnsi="黑体" w:hint="eastAsia"/>
        </w:rPr>
        <w:t>条基于性取向的歧视性规定及刑事法律中的任何其他这类规定。</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保护白化病患者</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9.  </w:t>
      </w:r>
      <w:r>
        <w:rPr>
          <w:rFonts w:hint="eastAsia"/>
        </w:rPr>
        <w:t>委员会感到关切的是，有报告指出，白化病患者继续遭受歧视和轻蔑。它还感到关切的是，保护白化病患者不遭受一切形式歧视的措施不力</w:t>
      </w:r>
      <w:r>
        <w:rPr>
          <w:rFonts w:hint="eastAsia"/>
        </w:rPr>
        <w:t>(</w:t>
      </w:r>
      <w:r>
        <w:rPr>
          <w:rFonts w:hint="eastAsia"/>
        </w:rPr>
        <w:t>第二和第二十六条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缔约国应采取步骤，确保从法律上和实际上保护白化病患者不遭受一切形式的歧视。</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男女平等</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10.  </w:t>
      </w:r>
      <w:r>
        <w:rPr>
          <w:rFonts w:hint="eastAsia"/>
        </w:rPr>
        <w:t>委员会注意到缔约国所作的澄清，但感到关切的是，统计数据表明，公共部门和私营部门的妇女代表率极低，尤其是高级别职位。它还感到关切的是，被选任政治职位的妇女人数很少</w:t>
      </w:r>
      <w:r>
        <w:rPr>
          <w:rFonts w:hint="eastAsia"/>
        </w:rPr>
        <w:t>(</w:t>
      </w:r>
      <w:r>
        <w:rPr>
          <w:rFonts w:hint="eastAsia"/>
        </w:rPr>
        <w:t>第三条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缔约国应修正阻碍妇女提高其在公共和政治事务中地位的所有歧视性法律规定。缔约国还应制定特别措施，保证妇女提高其在公共事务中的代表性，并鼓励妇女竞选政治职位。</w:t>
      </w:r>
    </w:p>
    <w:p w:rsidR="003165A6" w:rsidRDefault="003165A6" w:rsidP="003165A6">
      <w:pPr>
        <w:pStyle w:val="SingleTxt"/>
      </w:pPr>
      <w:r>
        <w:rPr>
          <w:rFonts w:hint="eastAsia"/>
        </w:rPr>
        <w:t xml:space="preserve">11.  </w:t>
      </w:r>
      <w:r>
        <w:rPr>
          <w:rFonts w:hint="eastAsia"/>
        </w:rPr>
        <w:t>委员会感到关切的是，缔约国关于离婚、血统和继承的法律中仍有歧视妇女的规定。特别是，委员会关切地注意到，</w:t>
      </w:r>
      <w:r>
        <w:rPr>
          <w:rFonts w:hint="eastAsia"/>
        </w:rPr>
        <w:t>1964</w:t>
      </w:r>
      <w:r>
        <w:rPr>
          <w:rFonts w:hint="eastAsia"/>
        </w:rPr>
        <w:t>年的离婚和分居法律仍要求妇女须等待</w:t>
      </w:r>
      <w:r>
        <w:rPr>
          <w:rFonts w:hint="eastAsia"/>
        </w:rPr>
        <w:t>300</w:t>
      </w:r>
      <w:r>
        <w:rPr>
          <w:rFonts w:hint="eastAsia"/>
        </w:rPr>
        <w:t>天才可再婚，而且《刑法典》仍将通奸定为刑事罪行，在犯通奸罪者为妇女的情况下罪行定义还具有歧视性。委员会还关切地注意到娶寡嫂和娶姨的习俗，而且男女的最低结婚年龄仍然有别</w:t>
      </w:r>
      <w:r>
        <w:rPr>
          <w:rFonts w:hint="eastAsia"/>
        </w:rPr>
        <w:t>(</w:t>
      </w:r>
      <w:r>
        <w:rPr>
          <w:rFonts w:hint="eastAsia"/>
        </w:rPr>
        <w:t>第二、第三、第十七、第二十三和第二十六条</w:t>
      </w:r>
      <w:r>
        <w:rPr>
          <w:rFonts w:hint="eastAsia"/>
        </w:rPr>
        <w:t>)</w:t>
      </w:r>
      <w:r>
        <w:rPr>
          <w:rFonts w:hint="eastAsia"/>
        </w:rPr>
        <w:t>。</w:t>
      </w:r>
    </w:p>
    <w:p w:rsidR="00252450" w:rsidRPr="00252450" w:rsidRDefault="003165A6" w:rsidP="00252450">
      <w:pPr>
        <w:pStyle w:val="SingleTxt"/>
        <w:rPr>
          <w:rFonts w:ascii="黑体" w:eastAsia="黑体" w:hAnsi="黑体"/>
        </w:rPr>
      </w:pPr>
      <w:r w:rsidRPr="003165A6">
        <w:rPr>
          <w:rFonts w:ascii="黑体" w:eastAsia="黑体" w:hAnsi="黑体" w:hint="eastAsia"/>
        </w:rPr>
        <w:t>缔约国应充分遵守《公约》，从速修订其《个人和家庭法》及所有相关法律，以保障男女平等，取消通奸罪名。缔约国还应按照国际标准，为男女规定相同的的最低结婚年龄。此外，缔约国应加大公共宣传力度，促进改变有损妇女行使其基本人权的能力的传统观念。</w:t>
      </w:r>
    </w:p>
    <w:p w:rsidR="00300A9C" w:rsidRDefault="00300A9C">
      <w:pPr>
        <w:spacing w:line="240" w:lineRule="auto"/>
        <w:jc w:val="left"/>
        <w:rPr>
          <w:sz w:val="10"/>
        </w:rPr>
      </w:pPr>
      <w:r>
        <w:rPr>
          <w:sz w:val="10"/>
        </w:rPr>
        <w:br w:type="page"/>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有害妇女的习俗</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12.  </w:t>
      </w:r>
      <w:r>
        <w:rPr>
          <w:rFonts w:hint="eastAsia"/>
        </w:rPr>
        <w:t>委员会感到关切的是，一些有害习俗虽为法律所禁止，但依然存在，诸如女性外阴残割、早婚和一夫多妻制，特别是在农村和缔约国境内某些地区。委员会还感到关切的是，缔约国表示，割礼从业者的经济利益考虑是起诉他们的一个障碍</w:t>
      </w:r>
      <w:r>
        <w:rPr>
          <w:rFonts w:hint="eastAsia"/>
        </w:rPr>
        <w:t>(</w:t>
      </w:r>
      <w:r>
        <w:rPr>
          <w:rFonts w:hint="eastAsia"/>
        </w:rPr>
        <w:t>第三、第七和第二十四条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缔约国应确保有效实施禁止女性外阴残割的</w:t>
      </w:r>
      <w:r w:rsidRPr="00C601E0">
        <w:rPr>
          <w:rFonts w:eastAsia="黑体"/>
        </w:rPr>
        <w:t>1998</w:t>
      </w:r>
      <w:r w:rsidRPr="00C601E0">
        <w:rPr>
          <w:rFonts w:eastAsia="黑体"/>
        </w:rPr>
        <w:t>年</w:t>
      </w:r>
      <w:r w:rsidRPr="00C601E0">
        <w:rPr>
          <w:rFonts w:eastAsia="黑体"/>
        </w:rPr>
        <w:t>12</w:t>
      </w:r>
      <w:r w:rsidRPr="00C601E0">
        <w:rPr>
          <w:rFonts w:eastAsia="黑体"/>
        </w:rPr>
        <w:t>月</w:t>
      </w:r>
      <w:r w:rsidRPr="00C601E0">
        <w:rPr>
          <w:rFonts w:eastAsia="黑体"/>
        </w:rPr>
        <w:t>23</w:t>
      </w:r>
      <w:r w:rsidRPr="00C601E0">
        <w:rPr>
          <w:rFonts w:eastAsia="黑体"/>
        </w:rPr>
        <w:t>日第</w:t>
      </w:r>
      <w:r w:rsidRPr="00C601E0">
        <w:rPr>
          <w:rFonts w:eastAsia="黑体"/>
        </w:rPr>
        <w:t>98/757</w:t>
      </w:r>
      <w:r w:rsidRPr="00C601E0">
        <w:rPr>
          <w:rFonts w:eastAsia="黑体"/>
        </w:rPr>
        <w:t>号</w:t>
      </w:r>
      <w:r w:rsidRPr="003165A6">
        <w:rPr>
          <w:rFonts w:ascii="黑体" w:eastAsia="黑体" w:hAnsi="黑体" w:hint="eastAsia"/>
        </w:rPr>
        <w:t>法、《刑法典》中将早婚定为非法的条款和禁止一夫多妻的法律。缔约国还应采取更有力步骤，使公众特别是宗教领袖和传统权威人士了解法律规定和这类习俗对妇女的有害影响。</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暴力侵害妇女</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13.  </w:t>
      </w:r>
      <w:r>
        <w:rPr>
          <w:rFonts w:hint="eastAsia"/>
        </w:rPr>
        <w:t>委员会对缔约国境内暴力侵害妇女的现象感到关切。委员会注意到，《刑法典》关于加重处罚的第</w:t>
      </w:r>
      <w:r>
        <w:rPr>
          <w:rFonts w:hint="eastAsia"/>
        </w:rPr>
        <w:t>346</w:t>
      </w:r>
      <w:r>
        <w:rPr>
          <w:rFonts w:hint="eastAsia"/>
        </w:rPr>
        <w:t>条没有提及家庭暴力案件，而将强奸定为犯罪的第</w:t>
      </w:r>
      <w:r>
        <w:rPr>
          <w:rFonts w:hint="eastAsia"/>
        </w:rPr>
        <w:t>354</w:t>
      </w:r>
      <w:r>
        <w:rPr>
          <w:rFonts w:hint="eastAsia"/>
        </w:rPr>
        <w:t>条也未提及婚内强奸。委员会还感到关切的是，缺乏可用以评估这类暴行规模的数据和统计，包括科特迪瓦共和国军队成员及其他武装人员犯下的性暴行及在缔约国布瓦凯和西部地区学校内犯下的性暴行</w:t>
      </w:r>
      <w:r>
        <w:rPr>
          <w:rFonts w:hint="eastAsia"/>
        </w:rPr>
        <w:t>(</w:t>
      </w:r>
      <w:r>
        <w:rPr>
          <w:rFonts w:hint="eastAsia"/>
        </w:rPr>
        <w:t>第三、第七和第二十六条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缔约国应：有效执行</w:t>
      </w:r>
      <w:r w:rsidRPr="00C601E0">
        <w:rPr>
          <w:rFonts w:eastAsia="黑体"/>
        </w:rPr>
        <w:t>1998</w:t>
      </w:r>
      <w:r w:rsidRPr="00C601E0">
        <w:rPr>
          <w:rFonts w:eastAsia="黑体"/>
        </w:rPr>
        <w:t>年第</w:t>
      </w:r>
      <w:r w:rsidRPr="00C601E0">
        <w:rPr>
          <w:rFonts w:eastAsia="黑体"/>
        </w:rPr>
        <w:t>98/757</w:t>
      </w:r>
      <w:r w:rsidRPr="003165A6">
        <w:rPr>
          <w:rFonts w:ascii="黑体" w:eastAsia="黑体" w:hAnsi="黑体" w:hint="eastAsia"/>
        </w:rPr>
        <w:t>法的相关规定，并修订《刑法典》，务必明文禁止家庭暴力和婚内强奸；便利家庭暴力指控的受理，并保护妇女不遭受任何形式的报复；确保对家庭暴力案件进行彻底调查并将施暴者绳之以法；确保执法官员接受充分的培训，使其有能力处理家庭暴力案件；以及对公众开展宣传。缔约国应调查和起诉犯下性暴行的科特迪瓦共和国军队成员及其他武装人员，并应继续打击学校内的性暴力行为。</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生命权</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621E6">
      <w:pPr>
        <w:pStyle w:val="SingleTxt"/>
      </w:pPr>
      <w:r>
        <w:rPr>
          <w:rFonts w:hint="eastAsia"/>
        </w:rPr>
        <w:t xml:space="preserve">14.  </w:t>
      </w:r>
      <w:r>
        <w:rPr>
          <w:rFonts w:hint="eastAsia"/>
        </w:rPr>
        <w:t>委员会感到关切的是，有报告指出，安全部队、民兵和仍未解除武装的团体实施的法外处决和强迫失踪行为在缔约国依然猖獗。委员会还感到关切的是，</w:t>
      </w:r>
      <w:r>
        <w:rPr>
          <w:rFonts w:hint="eastAsia"/>
        </w:rPr>
        <w:t>2000</w:t>
      </w:r>
      <w:r>
        <w:rPr>
          <w:rFonts w:hint="eastAsia"/>
        </w:rPr>
        <w:t>至</w:t>
      </w:r>
      <w:r>
        <w:rPr>
          <w:rFonts w:hint="eastAsia"/>
        </w:rPr>
        <w:t>2011</w:t>
      </w:r>
      <w:r>
        <w:rPr>
          <w:rFonts w:hint="eastAsia"/>
        </w:rPr>
        <w:t>年间</w:t>
      </w:r>
      <w:r w:rsidR="003621E6">
        <w:rPr>
          <w:rFonts w:hint="eastAsia"/>
        </w:rPr>
        <w:t>(</w:t>
      </w:r>
      <w:r>
        <w:rPr>
          <w:rFonts w:hint="eastAsia"/>
        </w:rPr>
        <w:t>包括</w:t>
      </w:r>
      <w:r>
        <w:rPr>
          <w:rFonts w:hint="eastAsia"/>
        </w:rPr>
        <w:t>2010</w:t>
      </w:r>
      <w:r w:rsidR="00300A9C">
        <w:rPr>
          <w:rFonts w:hint="eastAsia"/>
        </w:rPr>
        <w:t>-</w:t>
      </w:r>
      <w:r>
        <w:rPr>
          <w:rFonts w:hint="eastAsia"/>
        </w:rPr>
        <w:t>2011</w:t>
      </w:r>
      <w:r>
        <w:rPr>
          <w:rFonts w:hint="eastAsia"/>
        </w:rPr>
        <w:t>年选举结束后</w:t>
      </w:r>
      <w:r w:rsidR="003621E6">
        <w:rPr>
          <w:rFonts w:hint="eastAsia"/>
        </w:rPr>
        <w:t>)</w:t>
      </w:r>
      <w:r>
        <w:rPr>
          <w:rFonts w:hint="eastAsia"/>
        </w:rPr>
        <w:t>发生的众多法外处决和强迫失踪案件尚未全部起诉，调查工作持续多年而且大多不了了之。委员会特别感到关切的是，对</w:t>
      </w:r>
      <w:r>
        <w:rPr>
          <w:rFonts w:hint="eastAsia"/>
        </w:rPr>
        <w:t>Yopougon</w:t>
      </w:r>
      <w:r>
        <w:rPr>
          <w:rFonts w:hint="eastAsia"/>
        </w:rPr>
        <w:t>万人坑、</w:t>
      </w:r>
      <w:r>
        <w:rPr>
          <w:rFonts w:hint="eastAsia"/>
        </w:rPr>
        <w:t>D</w:t>
      </w:r>
      <w:r w:rsidRPr="00300A9C">
        <w:rPr>
          <w:rFonts w:asciiTheme="majorBidi" w:hAnsiTheme="majorBidi" w:cstheme="majorBidi"/>
        </w:rPr>
        <w:t>uékoué</w:t>
      </w:r>
      <w:r>
        <w:rPr>
          <w:rFonts w:hint="eastAsia"/>
        </w:rPr>
        <w:t>附近的</w:t>
      </w:r>
      <w:r>
        <w:rPr>
          <w:rFonts w:hint="eastAsia"/>
        </w:rPr>
        <w:t>Nahibly</w:t>
      </w:r>
      <w:r>
        <w:rPr>
          <w:rFonts w:hint="eastAsia"/>
        </w:rPr>
        <w:t>营攻击事件和</w:t>
      </w:r>
      <w:r>
        <w:rPr>
          <w:rFonts w:hint="eastAsia"/>
        </w:rPr>
        <w:t>Torgueï</w:t>
      </w:r>
      <w:r>
        <w:rPr>
          <w:rFonts w:hint="eastAsia"/>
        </w:rPr>
        <w:t>万人坑的调查工作已延误多时，而涉嫌曾参与国际罪行的人依然在缔约国身居高位</w:t>
      </w:r>
      <w:r>
        <w:rPr>
          <w:rFonts w:hint="eastAsia"/>
        </w:rPr>
        <w:t>(</w:t>
      </w:r>
      <w:r>
        <w:rPr>
          <w:rFonts w:hint="eastAsia"/>
        </w:rPr>
        <w:t>第六条</w:t>
      </w:r>
      <w:r>
        <w:rPr>
          <w:rFonts w:hint="eastAsia"/>
        </w:rPr>
        <w:t>)</w:t>
      </w:r>
      <w:r>
        <w:rPr>
          <w:rFonts w:hint="eastAsia"/>
        </w:rPr>
        <w:t>。</w:t>
      </w:r>
    </w:p>
    <w:p w:rsidR="003165A6" w:rsidRPr="00C601E0" w:rsidRDefault="003165A6" w:rsidP="003165A6">
      <w:pPr>
        <w:pStyle w:val="SingleTxt"/>
        <w:rPr>
          <w:rFonts w:eastAsia="黑体"/>
        </w:rPr>
      </w:pPr>
      <w:r w:rsidRPr="00C601E0">
        <w:rPr>
          <w:rFonts w:eastAsia="黑体"/>
        </w:rPr>
        <w:t>缔约国应一贯开展迅速、公正和有效的调查，查明和起诉行为人并在有罪的情况下予以适当惩处，无论其政治派别，并确保受害人家属得到适当的补偿。为此，缔约国应加快调查</w:t>
      </w:r>
      <w:r w:rsidRPr="00C601E0">
        <w:rPr>
          <w:rFonts w:eastAsia="黑体"/>
        </w:rPr>
        <w:t>2000</w:t>
      </w:r>
      <w:r w:rsidRPr="00C601E0">
        <w:rPr>
          <w:rFonts w:eastAsia="黑体"/>
        </w:rPr>
        <w:t>至</w:t>
      </w:r>
      <w:r w:rsidRPr="00C601E0">
        <w:rPr>
          <w:rFonts w:eastAsia="黑体"/>
        </w:rPr>
        <w:t>2011</w:t>
      </w:r>
      <w:r w:rsidRPr="00C601E0">
        <w:rPr>
          <w:rFonts w:eastAsia="黑体"/>
        </w:rPr>
        <w:t>年间和选后危机期间发生的法外处决案件包括</w:t>
      </w:r>
      <w:r w:rsidRPr="00C601E0">
        <w:rPr>
          <w:rFonts w:eastAsia="黑体"/>
        </w:rPr>
        <w:t>Yopougon</w:t>
      </w:r>
      <w:r w:rsidRPr="00C601E0">
        <w:rPr>
          <w:rFonts w:eastAsia="黑体"/>
        </w:rPr>
        <w:t>万人坑、</w:t>
      </w:r>
      <w:r w:rsidRPr="00C601E0">
        <w:rPr>
          <w:rFonts w:eastAsia="黑体"/>
        </w:rPr>
        <w:t>Duékoué</w:t>
      </w:r>
      <w:r w:rsidRPr="00C601E0">
        <w:rPr>
          <w:rFonts w:eastAsia="黑体"/>
        </w:rPr>
        <w:t>附近的</w:t>
      </w:r>
      <w:r w:rsidRPr="00C601E0">
        <w:rPr>
          <w:rFonts w:eastAsia="黑体"/>
        </w:rPr>
        <w:t>Nahibly</w:t>
      </w:r>
      <w:r w:rsidRPr="00C601E0">
        <w:rPr>
          <w:rFonts w:eastAsia="黑体"/>
        </w:rPr>
        <w:t>营攻击事件和</w:t>
      </w:r>
      <w:r w:rsidRPr="00C601E0">
        <w:rPr>
          <w:rFonts w:eastAsia="黑体"/>
        </w:rPr>
        <w:t>Torgue</w:t>
      </w:r>
      <w:r w:rsidR="00300A9C" w:rsidRPr="00C601E0">
        <w:t>ï</w:t>
      </w:r>
      <w:r w:rsidRPr="00C601E0">
        <w:rPr>
          <w:rFonts w:eastAsia="黑体"/>
        </w:rPr>
        <w:t>万人坑等案件。缔约国应采取必要措施和制定程序，查明同一期间发生的强迫失踪事件的真相。在调查完成前，</w:t>
      </w:r>
      <w:r w:rsidRPr="00C601E0">
        <w:rPr>
          <w:rFonts w:eastAsia="黑体"/>
        </w:rPr>
        <w:lastRenderedPageBreak/>
        <w:t>缔约国还应采取步骤，中止有参与国际罪行嫌疑的人的职务，并加快对他们的调查。此外，缔约国应考虑批准《公约》旨在废除死刑的第二项任择议定书。</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自愿终止妊娠</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15.  </w:t>
      </w:r>
      <w:r>
        <w:rPr>
          <w:rFonts w:hint="eastAsia"/>
        </w:rPr>
        <w:t>委员会感到关切的是，《刑法典》第</w:t>
      </w:r>
      <w:r>
        <w:rPr>
          <w:rFonts w:hint="eastAsia"/>
        </w:rPr>
        <w:t>366</w:t>
      </w:r>
      <w:r>
        <w:rPr>
          <w:rFonts w:hint="eastAsia"/>
        </w:rPr>
        <w:t>条将自愿终止妊娠定为罪行，除非为拯救孕妇生命而有此必要。这促使妇女寻求不良条件下的秘密堕胎，从而对其生命和健康造成危险</w:t>
      </w:r>
      <w:r>
        <w:rPr>
          <w:rFonts w:hint="eastAsia"/>
        </w:rPr>
        <w:t>(</w:t>
      </w:r>
      <w:r>
        <w:rPr>
          <w:rFonts w:hint="eastAsia"/>
        </w:rPr>
        <w:t>第六和第七条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修订其堕胎法律，为禁止堕胎规定更多的例外情况，例如强奸或乱伦致孕可以堕胎，确保妇女不求诸不良条件下的秘密堕胎，以免对其生命和健康造成危险。缔约国还应在全国保证妇女和少女能够获得生殖健康服务，并开展宣传教育活动，强调避孕以及性和生殖健康权利的重要性。</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禁止酷刑和虐待</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726488">
      <w:pPr>
        <w:pStyle w:val="SingleTxt"/>
      </w:pPr>
      <w:r>
        <w:rPr>
          <w:rFonts w:hint="eastAsia"/>
        </w:rPr>
        <w:t xml:space="preserve">16.  </w:t>
      </w:r>
      <w:r>
        <w:rPr>
          <w:rFonts w:hint="eastAsia"/>
        </w:rPr>
        <w:t>委员会感到关切的是，警方、警戒和安全部队</w:t>
      </w:r>
      <w:r w:rsidR="00726488">
        <w:rPr>
          <w:rFonts w:hint="eastAsia"/>
        </w:rPr>
        <w:t>(</w:t>
      </w:r>
      <w:r>
        <w:rPr>
          <w:rFonts w:hint="eastAsia"/>
        </w:rPr>
        <w:t>特别是在国土监察局和行动决定协调中心</w:t>
      </w:r>
      <w:r w:rsidR="00726488">
        <w:rPr>
          <w:rFonts w:hint="eastAsia"/>
        </w:rPr>
        <w:t>)</w:t>
      </w:r>
      <w:r>
        <w:rPr>
          <w:rFonts w:hint="eastAsia"/>
        </w:rPr>
        <w:t>以及科特迪瓦共和国军队实施酷刑的案件层出不穷。委员会还感到关切的是，有报告指出，《刑法典》中既未界定酷刑，也未将酷刑定为犯罪，因而很难起诉酷刑行为。此外，委员会感到关切的是，实施酷刑者据称有罪不罚。委员会注意到，国家调查委员会的报告中没有说明缔约国境内</w:t>
      </w:r>
      <w:r>
        <w:rPr>
          <w:rFonts w:hint="eastAsia"/>
        </w:rPr>
        <w:t>2000</w:t>
      </w:r>
      <w:r>
        <w:rPr>
          <w:rFonts w:hint="eastAsia"/>
        </w:rPr>
        <w:t>至</w:t>
      </w:r>
      <w:r>
        <w:rPr>
          <w:rFonts w:hint="eastAsia"/>
        </w:rPr>
        <w:t>2010</w:t>
      </w:r>
      <w:r>
        <w:rPr>
          <w:rFonts w:hint="eastAsia"/>
        </w:rPr>
        <w:t>年发生的酷刑行为的调查、起诉和定罪情况。委员会又感到关切的是，对于遭受警方和警戒部队酷刑的指控，缺乏一个独立而有效的受理和调查机制。委员会关切地注意到，根据《刑事诉讼法》第</w:t>
      </w:r>
      <w:r>
        <w:rPr>
          <w:rFonts w:hint="eastAsia"/>
        </w:rPr>
        <w:t>419</w:t>
      </w:r>
      <w:r>
        <w:rPr>
          <w:rFonts w:hint="eastAsia"/>
        </w:rPr>
        <w:t>条，法院可采纳通过酷刑手段获得的供词</w:t>
      </w:r>
      <w:r>
        <w:rPr>
          <w:rFonts w:hint="eastAsia"/>
        </w:rPr>
        <w:t>(</w:t>
      </w:r>
      <w:r>
        <w:rPr>
          <w:rFonts w:hint="eastAsia"/>
        </w:rPr>
        <w:t>第七和第十四条</w:t>
      </w:r>
      <w:r>
        <w:rPr>
          <w:rFonts w:hint="eastAsia"/>
        </w:rPr>
        <w:t>)</w:t>
      </w:r>
      <w:r>
        <w:rPr>
          <w:rFonts w:hint="eastAsia"/>
        </w:rPr>
        <w:t>。</w:t>
      </w:r>
    </w:p>
    <w:p w:rsidR="003165A6" w:rsidRPr="00C601E0" w:rsidRDefault="003165A6" w:rsidP="003165A6">
      <w:pPr>
        <w:pStyle w:val="SingleTxt"/>
        <w:rPr>
          <w:rFonts w:eastAsia="黑体"/>
        </w:rPr>
      </w:pPr>
      <w:r w:rsidRPr="003165A6">
        <w:rPr>
          <w:rFonts w:ascii="黑体" w:eastAsia="黑体" w:hAnsi="黑体" w:hint="eastAsia"/>
        </w:rPr>
        <w:t>缔约国应确保相关法律规定允许起诉构成酷刑的行为。缔约国还应防止在其领土上实施酷刑，并确保彻底调查关于警方、警戒和安全部队人员实施酷刑和虐待的指控，包括</w:t>
      </w:r>
      <w:r w:rsidRPr="00C601E0">
        <w:rPr>
          <w:rFonts w:eastAsia="黑体"/>
        </w:rPr>
        <w:t>2000</w:t>
      </w:r>
      <w:r w:rsidRPr="00C601E0">
        <w:rPr>
          <w:rFonts w:eastAsia="黑体"/>
        </w:rPr>
        <w:t>至</w:t>
      </w:r>
      <w:r w:rsidRPr="00C601E0">
        <w:rPr>
          <w:rFonts w:eastAsia="黑体"/>
        </w:rPr>
        <w:t>2010</w:t>
      </w:r>
      <w:r w:rsidRPr="00C601E0">
        <w:rPr>
          <w:rFonts w:eastAsia="黑体"/>
        </w:rPr>
        <w:t>年发生的酷刑行为和国家调查委员会的报告中提及的酷刑行为；确保起诉行为人并在有罪的情况下予以适当惩处，并确保受害人得到适当的补偿和康复服务。此外，缔约国应建立一个对警方和安全部队人员实施酷刑和虐待的指控进行调查的独立机制。缔约国应确保法院在任何诉讼阶段宣布通过酷刑手段获得的供词或证词一律不予采纳。</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人口贩运和童工</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17.  </w:t>
      </w:r>
      <w:r>
        <w:rPr>
          <w:rFonts w:hint="eastAsia"/>
        </w:rPr>
        <w:t>委员会关切地注意到，缔约国境内一直存在为强迫卖淫或剥削劳动和童工的目的贩运人口的行为，尤其是在农业和贸易领域。委员会感到遗憾的是，缺乏定罪数据而且处罚过轻</w:t>
      </w:r>
      <w:r>
        <w:rPr>
          <w:rFonts w:hint="eastAsia"/>
        </w:rPr>
        <w:t>(</w:t>
      </w:r>
      <w:r>
        <w:rPr>
          <w:rFonts w:hint="eastAsia"/>
        </w:rPr>
        <w:t>第八和第二十四条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缔约国应调查所有人口贩运和童工案件，并加大宣传力度，以提高公众和家庭对人口贩运和童工的认识。</w:t>
      </w:r>
    </w:p>
    <w:p w:rsidR="00300A9C" w:rsidRDefault="00300A9C">
      <w:pPr>
        <w:spacing w:line="240" w:lineRule="auto"/>
        <w:jc w:val="left"/>
        <w:rPr>
          <w:sz w:val="10"/>
        </w:rPr>
      </w:pPr>
      <w:r>
        <w:rPr>
          <w:sz w:val="10"/>
        </w:rPr>
        <w:br w:type="page"/>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拘留、审前拘留和基本法律保障</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726488">
      <w:pPr>
        <w:pStyle w:val="SingleTxt"/>
      </w:pPr>
      <w:r>
        <w:rPr>
          <w:rFonts w:hint="eastAsia"/>
        </w:rPr>
        <w:t xml:space="preserve">18.  </w:t>
      </w:r>
      <w:r>
        <w:rPr>
          <w:rFonts w:hint="eastAsia"/>
        </w:rPr>
        <w:t>委员会感到关切的是，警方拘留不得超过</w:t>
      </w:r>
      <w:r>
        <w:rPr>
          <w:rFonts w:hint="eastAsia"/>
        </w:rPr>
        <w:t>48</w:t>
      </w:r>
      <w:r>
        <w:rPr>
          <w:rFonts w:hint="eastAsia"/>
        </w:rPr>
        <w:t>小时且这一期限可延长一次的规定不一定得到遵守，例如国土监察局就不一定遵守。委员会还感到关切的是，审前拘留被过度使用，导致拘留期过长和侵权，许多人被拘留的时间超过法定时限数年之久，包括那些因</w:t>
      </w:r>
      <w:r>
        <w:rPr>
          <w:rFonts w:hint="eastAsia"/>
        </w:rPr>
        <w:t>2010</w:t>
      </w:r>
      <w:r w:rsidR="00726488">
        <w:rPr>
          <w:rFonts w:hint="eastAsia"/>
        </w:rPr>
        <w:t>-</w:t>
      </w:r>
      <w:r>
        <w:rPr>
          <w:rFonts w:hint="eastAsia"/>
        </w:rPr>
        <w:t>2011</w:t>
      </w:r>
      <w:r>
        <w:rPr>
          <w:rFonts w:hint="eastAsia"/>
        </w:rPr>
        <w:t>年选举结束后的危机被拘留的人。委员会关切的是，基本法律保障往往得不到尊重，特别是告知被拘留者应享权利的义务以及被拘留者获得律师和医生服务的权利、与家人联系的权利和即时面见法官的权利等。此外，委员会还关切的是，有报告指出，没有经常监督拘留的合法性以及毫无法律根据在国土监察局场地实施拘留的案件</w:t>
      </w:r>
      <w:r>
        <w:rPr>
          <w:rFonts w:hint="eastAsia"/>
        </w:rPr>
        <w:t>(</w:t>
      </w:r>
      <w:r>
        <w:rPr>
          <w:rFonts w:hint="eastAsia"/>
        </w:rPr>
        <w:t>第九、第十和第十四条</w:t>
      </w:r>
      <w:r>
        <w:rPr>
          <w:rFonts w:hint="eastAsia"/>
        </w:rPr>
        <w:t>)</w:t>
      </w:r>
      <w:r>
        <w:rPr>
          <w:rFonts w:hint="eastAsia"/>
        </w:rPr>
        <w:t>。</w:t>
      </w:r>
    </w:p>
    <w:p w:rsidR="003165A6" w:rsidRPr="00C601E0" w:rsidRDefault="003165A6" w:rsidP="003165A6">
      <w:pPr>
        <w:pStyle w:val="SingleTxt"/>
        <w:rPr>
          <w:rFonts w:eastAsia="黑体"/>
        </w:rPr>
      </w:pPr>
      <w:r w:rsidRPr="00C601E0">
        <w:rPr>
          <w:rFonts w:eastAsia="黑体"/>
        </w:rPr>
        <w:t>按照委员会关于人身自由和安全的第</w:t>
      </w:r>
      <w:r w:rsidRPr="00C601E0">
        <w:rPr>
          <w:rFonts w:eastAsia="黑体"/>
        </w:rPr>
        <w:t>35</w:t>
      </w:r>
      <w:r w:rsidRPr="00C601E0">
        <w:rPr>
          <w:rFonts w:eastAsia="黑体"/>
        </w:rPr>
        <w:t>号一般性意见</w:t>
      </w:r>
      <w:r w:rsidRPr="00C601E0">
        <w:rPr>
          <w:rFonts w:eastAsia="黑体"/>
        </w:rPr>
        <w:t>(2014</w:t>
      </w:r>
      <w:r w:rsidRPr="00C601E0">
        <w:rPr>
          <w:rFonts w:eastAsia="黑体"/>
        </w:rPr>
        <w:t>年</w:t>
      </w:r>
      <w:r w:rsidRPr="00C601E0">
        <w:rPr>
          <w:rFonts w:eastAsia="黑体"/>
        </w:rPr>
        <w:t>)</w:t>
      </w:r>
      <w:r w:rsidRPr="00C601E0">
        <w:rPr>
          <w:rFonts w:eastAsia="黑体"/>
        </w:rPr>
        <w:t>，缔约国应根据《公约》的规定，在目前修订《刑法典》和《刑事诉讼法》的过程中：</w:t>
      </w:r>
      <w:r w:rsidRPr="00C601E0">
        <w:rPr>
          <w:rFonts w:eastAsia="黑体"/>
        </w:rPr>
        <w:t xml:space="preserve">(a) </w:t>
      </w:r>
      <w:r w:rsidRPr="00C601E0">
        <w:rPr>
          <w:rFonts w:eastAsia="黑体"/>
        </w:rPr>
        <w:t>采取必要步</w:t>
      </w:r>
      <w:r w:rsidRPr="00C601E0">
        <w:rPr>
          <w:rFonts w:eastAsia="黑体"/>
          <w:spacing w:val="-2"/>
        </w:rPr>
        <w:t>骤，确保警方拘留和审前拘留的期限规定得到遵守，以防止拘留期侵权和过长；</w:t>
      </w:r>
      <w:r w:rsidRPr="00C601E0">
        <w:rPr>
          <w:rFonts w:eastAsia="黑体"/>
          <w:spacing w:val="-2"/>
        </w:rPr>
        <w:t xml:space="preserve">(b) </w:t>
      </w:r>
      <w:r w:rsidRPr="00C601E0">
        <w:rPr>
          <w:rFonts w:eastAsia="黑体"/>
        </w:rPr>
        <w:t>采取步骤，经常监督拘留的合法性，特别是在国土监察局实施的拘留；</w:t>
      </w:r>
      <w:r w:rsidRPr="00C601E0">
        <w:rPr>
          <w:rFonts w:eastAsia="黑体"/>
        </w:rPr>
        <w:t xml:space="preserve">(c) </w:t>
      </w:r>
      <w:r w:rsidRPr="00C601E0">
        <w:rPr>
          <w:rFonts w:eastAsia="黑体"/>
        </w:rPr>
        <w:t>采取步骤，终止在国土监察局场地实施的非法拘留；和</w:t>
      </w:r>
      <w:r w:rsidRPr="00C601E0">
        <w:rPr>
          <w:rFonts w:eastAsia="黑体"/>
        </w:rPr>
        <w:t xml:space="preserve">(d) </w:t>
      </w:r>
      <w:r w:rsidRPr="00C601E0">
        <w:rPr>
          <w:rFonts w:eastAsia="黑体"/>
        </w:rPr>
        <w:t>紧急采取步骤，解决遭到多年审前拘留者的问题，特别是因</w:t>
      </w:r>
      <w:r w:rsidRPr="00C601E0">
        <w:rPr>
          <w:rFonts w:eastAsia="黑体"/>
        </w:rPr>
        <w:t>2010-2011</w:t>
      </w:r>
      <w:r w:rsidRPr="00C601E0">
        <w:rPr>
          <w:rFonts w:eastAsia="黑体"/>
        </w:rPr>
        <w:t>年选举结束后的危机被拘留的人的问题。缔约国还应一直确保遭到警方拘留和审前拘留的人被告知应享的权利，并确保上述基本法律保障得到尊重，特别是获得律师服务的权利。最后，缔约国应确保服刑期满的被拘留者尽快获得释放。</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拘留条件</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Pr="00300A9C" w:rsidRDefault="003165A6" w:rsidP="003165A6">
      <w:pPr>
        <w:pStyle w:val="SingleTxt"/>
        <w:rPr>
          <w:spacing w:val="-2"/>
        </w:rPr>
      </w:pPr>
      <w:r w:rsidRPr="00300A9C">
        <w:rPr>
          <w:rFonts w:hint="eastAsia"/>
          <w:spacing w:val="-2"/>
        </w:rPr>
        <w:t xml:space="preserve">19.  </w:t>
      </w:r>
      <w:r w:rsidRPr="00300A9C">
        <w:rPr>
          <w:rFonts w:hint="eastAsia"/>
          <w:spacing w:val="-2"/>
        </w:rPr>
        <w:t>委员会关切地注意到，缔约国境内的几乎所有监狱设施的拘留条件都不合标准。委员会特别关切的是，过度拥挤的现象极为普遍，尤其是在</w:t>
      </w:r>
      <w:r w:rsidRPr="00300A9C">
        <w:rPr>
          <w:rFonts w:hint="eastAsia"/>
          <w:spacing w:val="-2"/>
        </w:rPr>
        <w:t>Abidjan</w:t>
      </w:r>
      <w:r w:rsidRPr="00300A9C">
        <w:rPr>
          <w:rFonts w:hint="eastAsia"/>
          <w:spacing w:val="-2"/>
        </w:rPr>
        <w:t>拘留管教所。委员会还注意到，缔约国监狱内的审前拘留者占比过高。委员会还感到关切的是，有报告指出，卫生条件欠佳，医疗照顾不足，囚犯食物质量很差。委员会又感到关切的是，成人和未成年人分开关押以及还押者和定罪者分开关押的原则未得到尊重。委员会感到遗憾的是，缺乏被拘留者申诉受理机制有效性的相关资料</w:t>
      </w:r>
      <w:r w:rsidRPr="00300A9C">
        <w:rPr>
          <w:rFonts w:hint="eastAsia"/>
          <w:spacing w:val="-2"/>
        </w:rPr>
        <w:t>(</w:t>
      </w:r>
      <w:r w:rsidRPr="00300A9C">
        <w:rPr>
          <w:rFonts w:hint="eastAsia"/>
          <w:spacing w:val="-2"/>
        </w:rPr>
        <w:t>第九和第十条</w:t>
      </w:r>
      <w:r w:rsidRPr="00300A9C">
        <w:rPr>
          <w:rFonts w:hint="eastAsia"/>
          <w:spacing w:val="-2"/>
        </w:rPr>
        <w:t>)</w:t>
      </w:r>
      <w:r w:rsidRPr="00300A9C">
        <w:rPr>
          <w:rFonts w:hint="eastAsia"/>
          <w:spacing w:val="-2"/>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加大努力改善被拘留者的生活条件和待遇，包括获得适当的医疗照顾。并继续采取步骤，按照《囚犯待遇最低限度标准规则》，解决监狱过度拥挤的问题。缔约国应确保审前拘留不超过规定期限，并应实行真正有别于关押的处罚政策。它应采取必要步骤，按年龄、性别和刑罚程度分开关押。</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司法和公平审判</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6C5413">
      <w:pPr>
        <w:pStyle w:val="SingleTxt"/>
      </w:pPr>
      <w:r>
        <w:rPr>
          <w:rFonts w:hint="eastAsia"/>
        </w:rPr>
        <w:t xml:space="preserve">20.  </w:t>
      </w:r>
      <w:r>
        <w:rPr>
          <w:rFonts w:hint="eastAsia"/>
        </w:rPr>
        <w:t>委员会感到关切的是，有报告指出，缔约国的司法制度存在种种弱点和不足，特别是：行政部门对司法的干预损害了司法独立性；法官在审理</w:t>
      </w:r>
      <w:r>
        <w:rPr>
          <w:rFonts w:hint="eastAsia"/>
        </w:rPr>
        <w:t>2010</w:t>
      </w:r>
      <w:r w:rsidR="006C5413">
        <w:rPr>
          <w:rFonts w:hint="eastAsia"/>
        </w:rPr>
        <w:t>-</w:t>
      </w:r>
      <w:r>
        <w:rPr>
          <w:rFonts w:hint="eastAsia"/>
        </w:rPr>
        <w:t>2011</w:t>
      </w:r>
      <w:r>
        <w:rPr>
          <w:rFonts w:hint="eastAsia"/>
        </w:rPr>
        <w:t>年选举后危机相关案件中据称怀有偏见和缺乏公平；腐败；司法系统不够普及，尽管设立了新的法院；法官人数不足；案件积压严重；以及法律援助不足</w:t>
      </w:r>
      <w:r>
        <w:rPr>
          <w:rFonts w:hint="eastAsia"/>
        </w:rPr>
        <w:t>(</w:t>
      </w:r>
      <w:r>
        <w:rPr>
          <w:rFonts w:hint="eastAsia"/>
        </w:rPr>
        <w:t>第十四条</w:t>
      </w:r>
      <w:r>
        <w:rPr>
          <w:rFonts w:hint="eastAsia"/>
        </w:rPr>
        <w:t>)</w:t>
      </w:r>
      <w:r>
        <w:rPr>
          <w:rFonts w:hint="eastAsia"/>
        </w:rPr>
        <w:t>。</w:t>
      </w:r>
    </w:p>
    <w:p w:rsidR="003165A6" w:rsidRPr="00C601E0" w:rsidRDefault="003165A6" w:rsidP="003165A6">
      <w:pPr>
        <w:pStyle w:val="SingleTxt"/>
        <w:rPr>
          <w:rFonts w:eastAsia="黑体"/>
        </w:rPr>
      </w:pPr>
      <w:r w:rsidRPr="003165A6">
        <w:rPr>
          <w:rFonts w:ascii="黑体" w:eastAsia="黑体" w:hAnsi="黑体" w:hint="eastAsia"/>
        </w:rPr>
        <w:lastRenderedPageBreak/>
        <w:t>缔约国应采取一切必要步骤，实现司法制度的深远改革。具体而言，应：</w:t>
      </w:r>
      <w:r w:rsidRPr="00C601E0">
        <w:rPr>
          <w:rFonts w:eastAsia="黑体"/>
        </w:rPr>
        <w:t xml:space="preserve">(a) </w:t>
      </w:r>
      <w:r w:rsidRPr="00C601E0">
        <w:rPr>
          <w:rFonts w:eastAsia="黑体"/>
        </w:rPr>
        <w:t>切实保障司法独立性；</w:t>
      </w:r>
      <w:r w:rsidRPr="00C601E0">
        <w:rPr>
          <w:rFonts w:eastAsia="黑体"/>
        </w:rPr>
        <w:t xml:space="preserve">(b) </w:t>
      </w:r>
      <w:r w:rsidRPr="00C601E0">
        <w:rPr>
          <w:rFonts w:eastAsia="黑体"/>
        </w:rPr>
        <w:t>加大反腐力度；</w:t>
      </w:r>
      <w:r w:rsidRPr="00C601E0">
        <w:rPr>
          <w:rFonts w:eastAsia="黑体"/>
        </w:rPr>
        <w:t xml:space="preserve">(c) </w:t>
      </w:r>
      <w:r w:rsidRPr="00C601E0">
        <w:rPr>
          <w:rFonts w:eastAsia="黑体"/>
        </w:rPr>
        <w:t>加紧采取措施，以确保可诉诸司法，特别是继续设立新的法院；</w:t>
      </w:r>
      <w:r w:rsidRPr="00C601E0">
        <w:rPr>
          <w:rFonts w:eastAsia="黑体"/>
        </w:rPr>
        <w:t xml:space="preserve">(d) </w:t>
      </w:r>
      <w:r w:rsidRPr="00C601E0">
        <w:rPr>
          <w:rFonts w:eastAsia="黑体"/>
        </w:rPr>
        <w:t>继续培训足够数目的法官；</w:t>
      </w:r>
      <w:r w:rsidRPr="00C601E0">
        <w:rPr>
          <w:rFonts w:eastAsia="黑体"/>
        </w:rPr>
        <w:t xml:space="preserve">(e) </w:t>
      </w:r>
      <w:r w:rsidRPr="00C601E0">
        <w:rPr>
          <w:rFonts w:eastAsia="黑体"/>
        </w:rPr>
        <w:t>减轻案件积压情况，并确保司法系统在处理选举后危机相关案件中做到公平；和</w:t>
      </w:r>
      <w:r w:rsidRPr="00C601E0">
        <w:rPr>
          <w:rFonts w:eastAsia="黑体"/>
        </w:rPr>
        <w:t xml:space="preserve">(f) </w:t>
      </w:r>
      <w:r w:rsidRPr="00C601E0">
        <w:rPr>
          <w:rFonts w:eastAsia="黑体"/>
        </w:rPr>
        <w:t>避免例行地采用审前拘留。缔约国还应改革法律援助机制，使偏远地区的居民更方便获得法律援助，并为此一机制提供充足的资源，使其运行更为有效。</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言论自由与集会和结社自由</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21.  </w:t>
      </w:r>
      <w:r>
        <w:rPr>
          <w:rFonts w:hint="eastAsia"/>
        </w:rPr>
        <w:t>委员会感到关切的是，有报告指出，某些新闻媒体，包括政治上持反对立场的媒体，受到了压制，有时甚至被暂时禁止出版。委员会还感到关切的是，有报告指出，集会和结社自由受到打压，包括禁止某些反对党和某些非政府组织在缔约国境内示威。委员会欣慰地注意到缔约国通过了关于促进和保护人权维护者的</w:t>
      </w:r>
      <w:r>
        <w:rPr>
          <w:rFonts w:hint="eastAsia"/>
        </w:rPr>
        <w:t>2014</w:t>
      </w:r>
      <w:r>
        <w:rPr>
          <w:rFonts w:hint="eastAsia"/>
        </w:rPr>
        <w:t>年</w:t>
      </w:r>
      <w:r>
        <w:rPr>
          <w:rFonts w:hint="eastAsia"/>
        </w:rPr>
        <w:t>6</w:t>
      </w:r>
      <w:r>
        <w:rPr>
          <w:rFonts w:hint="eastAsia"/>
        </w:rPr>
        <w:t>月</w:t>
      </w:r>
      <w:r>
        <w:rPr>
          <w:rFonts w:hint="eastAsia"/>
        </w:rPr>
        <w:t>20</w:t>
      </w:r>
      <w:r>
        <w:rPr>
          <w:rFonts w:hint="eastAsia"/>
        </w:rPr>
        <w:t>日第</w:t>
      </w:r>
      <w:r>
        <w:rPr>
          <w:rFonts w:hint="eastAsia"/>
        </w:rPr>
        <w:t>2014-388</w:t>
      </w:r>
      <w:r>
        <w:rPr>
          <w:rFonts w:hint="eastAsia"/>
        </w:rPr>
        <w:t>号法，但仍感到关切的是，有报告指出，人权维护者遭到威胁、骚扰和恫吓，而且该法尚未颁布。此外，委员会感到关切的是，在发生这类侵权事件后，不一定会对行为人进行调查、起诉、定罪和惩罚</w:t>
      </w:r>
      <w:r>
        <w:rPr>
          <w:rFonts w:hint="eastAsia"/>
        </w:rPr>
        <w:t>(</w:t>
      </w:r>
      <w:r>
        <w:rPr>
          <w:rFonts w:hint="eastAsia"/>
        </w:rPr>
        <w:t>第十九、第二十一和第二十二条</w:t>
      </w:r>
      <w:r>
        <w:rPr>
          <w:rFonts w:hint="eastAsia"/>
        </w:rPr>
        <w:t>)</w:t>
      </w:r>
      <w:r>
        <w:rPr>
          <w:rFonts w:hint="eastAsia"/>
        </w:rPr>
        <w:t>。</w:t>
      </w:r>
    </w:p>
    <w:p w:rsidR="003165A6" w:rsidRPr="00C601E0" w:rsidRDefault="003165A6" w:rsidP="003165A6">
      <w:pPr>
        <w:pStyle w:val="SingleTxt"/>
        <w:rPr>
          <w:rFonts w:eastAsia="黑体"/>
        </w:rPr>
      </w:pPr>
      <w:r w:rsidRPr="00C601E0">
        <w:rPr>
          <w:rFonts w:eastAsia="黑体"/>
        </w:rPr>
        <w:t>按照委员会关于见解和言论自由的第</w:t>
      </w:r>
      <w:r w:rsidRPr="00C601E0">
        <w:rPr>
          <w:rFonts w:eastAsia="黑体"/>
        </w:rPr>
        <w:t>34</w:t>
      </w:r>
      <w:r w:rsidRPr="00C601E0">
        <w:rPr>
          <w:rFonts w:eastAsia="黑体"/>
        </w:rPr>
        <w:t>号一般性意见</w:t>
      </w:r>
      <w:r w:rsidRPr="00C601E0">
        <w:rPr>
          <w:rFonts w:eastAsia="黑体"/>
        </w:rPr>
        <w:t>(2011</w:t>
      </w:r>
      <w:r w:rsidRPr="00C601E0">
        <w:rPr>
          <w:rFonts w:eastAsia="黑体"/>
        </w:rPr>
        <w:t>年</w:t>
      </w:r>
      <w:r w:rsidRPr="00C601E0">
        <w:rPr>
          <w:rFonts w:eastAsia="黑体"/>
        </w:rPr>
        <w:t>)</w:t>
      </w:r>
      <w:r w:rsidRPr="00C601E0">
        <w:rPr>
          <w:rFonts w:eastAsia="黑体"/>
        </w:rPr>
        <w:t>，缔约国应确保对新闻出版媒体施加的任何限制均严格符合《公约》第十九条第</w:t>
      </w:r>
      <w:r w:rsidRPr="00C601E0">
        <w:rPr>
          <w:rFonts w:eastAsia="黑体"/>
        </w:rPr>
        <w:t>3</w:t>
      </w:r>
      <w:r w:rsidRPr="00C601E0">
        <w:rPr>
          <w:rFonts w:eastAsia="黑体"/>
        </w:rPr>
        <w:t>款的规定。缔约国还应取消对集会自由特别是政党和非政府组织举行示威的自由施加的任何不必要限制。此外，缔约国应采取必要步骤，务必保护人权维护者不受威胁和恫吓，使他们享有为开展工作所必需的自由，并对实施威胁、骚扰和恫吓的人进行调查、起诉和定罪。最后，缔约国应颁布关于促进和保护人权维护者的</w:t>
      </w:r>
      <w:r w:rsidRPr="00C601E0">
        <w:rPr>
          <w:rFonts w:eastAsia="黑体"/>
        </w:rPr>
        <w:t>2014</w:t>
      </w:r>
      <w:r w:rsidRPr="00C601E0">
        <w:rPr>
          <w:rFonts w:eastAsia="黑体"/>
        </w:rPr>
        <w:t>年</w:t>
      </w:r>
      <w:r w:rsidRPr="00C601E0">
        <w:rPr>
          <w:rFonts w:eastAsia="黑体"/>
        </w:rPr>
        <w:t>6</w:t>
      </w:r>
      <w:r w:rsidRPr="00C601E0">
        <w:rPr>
          <w:rFonts w:eastAsia="黑体"/>
        </w:rPr>
        <w:t>月</w:t>
      </w:r>
      <w:r w:rsidRPr="00C601E0">
        <w:rPr>
          <w:rFonts w:eastAsia="黑体"/>
        </w:rPr>
        <w:t>20</w:t>
      </w:r>
      <w:r w:rsidRPr="00C601E0">
        <w:rPr>
          <w:rFonts w:eastAsia="黑体"/>
        </w:rPr>
        <w:t>日第</w:t>
      </w:r>
      <w:r w:rsidRPr="00C601E0">
        <w:rPr>
          <w:rFonts w:eastAsia="黑体"/>
        </w:rPr>
        <w:t>2014-388</w:t>
      </w:r>
      <w:r w:rsidRPr="00C601E0">
        <w:rPr>
          <w:rFonts w:eastAsia="黑体"/>
        </w:rPr>
        <w:t>号法，并确保该法的有效实施。</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出生登记</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SingleTxt"/>
      </w:pPr>
      <w:r>
        <w:rPr>
          <w:rFonts w:hint="eastAsia"/>
        </w:rPr>
        <w:t xml:space="preserve">22.  </w:t>
      </w:r>
      <w:r>
        <w:rPr>
          <w:rFonts w:hint="eastAsia"/>
        </w:rPr>
        <w:t>委员会注意到缔约国采取的行动，但感到关切的是，在缔约国境内，特别是在该国西部和极偏远地区，一直未作出生登记的儿童为数极多</w:t>
      </w:r>
      <w:r>
        <w:rPr>
          <w:rFonts w:hint="eastAsia"/>
        </w:rPr>
        <w:t>(</w:t>
      </w:r>
      <w:r>
        <w:rPr>
          <w:rFonts w:hint="eastAsia"/>
        </w:rPr>
        <w:t>第十六和第二十四条</w:t>
      </w:r>
      <w:r>
        <w:rPr>
          <w:rFonts w:hint="eastAsia"/>
        </w:rPr>
        <w:t>)</w:t>
      </w:r>
      <w:r>
        <w:rPr>
          <w:rFonts w:hint="eastAsia"/>
        </w:rPr>
        <w:t>。</w:t>
      </w:r>
    </w:p>
    <w:p w:rsidR="003165A6" w:rsidRPr="003165A6" w:rsidRDefault="003165A6" w:rsidP="003165A6">
      <w:pPr>
        <w:pStyle w:val="SingleTxt"/>
        <w:rPr>
          <w:rFonts w:ascii="黑体" w:eastAsia="黑体" w:hAnsi="黑体"/>
        </w:rPr>
      </w:pPr>
      <w:r w:rsidRPr="003165A6">
        <w:rPr>
          <w:rFonts w:ascii="黑体" w:eastAsia="黑体" w:hAnsi="黑体" w:hint="eastAsia"/>
        </w:rPr>
        <w:t>缔约国应加紧采取措施，迅速对仍未作出生登记的儿童进行登记。缔约国还应改善民事登记制度，使其现代化，确保在缔约国全境有系统地进行出生登记。此外，缔约国应继续推行关于出生登记的公众和家庭宣传。</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Default="003165A6" w:rsidP="003165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r>
      <w:r>
        <w:rPr>
          <w:rFonts w:hint="eastAsia"/>
        </w:rPr>
        <w:tab/>
        <w:t>传播《公约》</w:t>
      </w:r>
    </w:p>
    <w:p w:rsidR="003165A6" w:rsidRPr="003165A6" w:rsidRDefault="003165A6" w:rsidP="003165A6">
      <w:pPr>
        <w:pStyle w:val="SingleTxt"/>
        <w:spacing w:after="0" w:line="120" w:lineRule="exact"/>
        <w:rPr>
          <w:sz w:val="10"/>
        </w:rPr>
      </w:pPr>
    </w:p>
    <w:p w:rsidR="003165A6" w:rsidRPr="003165A6" w:rsidRDefault="003165A6" w:rsidP="003165A6">
      <w:pPr>
        <w:pStyle w:val="SingleTxt"/>
        <w:spacing w:after="0" w:line="120" w:lineRule="exact"/>
        <w:rPr>
          <w:sz w:val="10"/>
        </w:rPr>
      </w:pPr>
    </w:p>
    <w:p w:rsidR="003165A6" w:rsidRPr="003165A6" w:rsidRDefault="003165A6" w:rsidP="003165A6">
      <w:pPr>
        <w:pStyle w:val="SingleTxt"/>
        <w:rPr>
          <w:rFonts w:ascii="黑体" w:eastAsia="黑体" w:hAnsi="黑体"/>
        </w:rPr>
      </w:pPr>
      <w:r w:rsidRPr="008B6D49">
        <w:rPr>
          <w:rFonts w:eastAsia="黑体"/>
        </w:rPr>
        <w:t>23.</w:t>
      </w:r>
      <w:r w:rsidRPr="003165A6">
        <w:rPr>
          <w:rFonts w:ascii="黑体" w:eastAsia="黑体" w:hAnsi="黑体" w:hint="eastAsia"/>
        </w:rPr>
        <w:t xml:space="preserve">  缔约国应广泛传播《公约》、两项任择议定书、第一次报告、对委员会拟就问题单的书面答复和本结论性意见，以提高司法、立法和行政部门、公民社会和在该国开展活动的非政府组织以及公众的认识。</w:t>
      </w:r>
    </w:p>
    <w:p w:rsidR="00726488" w:rsidRDefault="00726488">
      <w:pPr>
        <w:spacing w:line="240" w:lineRule="auto"/>
        <w:jc w:val="left"/>
        <w:rPr>
          <w:rFonts w:ascii="黑体" w:eastAsia="黑体" w:hAnsi="黑体"/>
        </w:rPr>
      </w:pPr>
      <w:r>
        <w:rPr>
          <w:rFonts w:ascii="黑体" w:eastAsia="黑体" w:hAnsi="黑体"/>
        </w:rPr>
        <w:br w:type="page"/>
      </w:r>
    </w:p>
    <w:p w:rsidR="003165A6" w:rsidRPr="003165A6" w:rsidRDefault="003165A6" w:rsidP="003165A6">
      <w:pPr>
        <w:pStyle w:val="SingleTxt"/>
        <w:rPr>
          <w:rFonts w:ascii="黑体" w:eastAsia="黑体" w:hAnsi="黑体"/>
        </w:rPr>
      </w:pPr>
      <w:r w:rsidRPr="008B6D49">
        <w:rPr>
          <w:rFonts w:eastAsia="黑体"/>
        </w:rPr>
        <w:lastRenderedPageBreak/>
        <w:t>24.</w:t>
      </w:r>
      <w:r w:rsidRPr="003165A6">
        <w:rPr>
          <w:rFonts w:ascii="黑体" w:eastAsia="黑体" w:hAnsi="黑体" w:hint="eastAsia"/>
        </w:rPr>
        <w:t xml:space="preserve">  </w:t>
      </w:r>
      <w:r w:rsidRPr="00C601E0">
        <w:rPr>
          <w:rFonts w:eastAsia="黑体"/>
        </w:rPr>
        <w:t>按照委员会议事规则第</w:t>
      </w:r>
      <w:r w:rsidRPr="00C601E0">
        <w:rPr>
          <w:rFonts w:eastAsia="黑体"/>
        </w:rPr>
        <w:t>71</w:t>
      </w:r>
      <w:r w:rsidRPr="00C601E0">
        <w:rPr>
          <w:rFonts w:eastAsia="黑体"/>
        </w:rPr>
        <w:t>条第</w:t>
      </w:r>
      <w:r w:rsidRPr="00C601E0">
        <w:rPr>
          <w:rFonts w:eastAsia="黑体"/>
        </w:rPr>
        <w:t>5</w:t>
      </w:r>
      <w:r w:rsidRPr="00C601E0">
        <w:rPr>
          <w:rFonts w:eastAsia="黑体"/>
        </w:rPr>
        <w:t>款，缔约国应当在一年内提供相关资料，说明其采取行动落实第</w:t>
      </w:r>
      <w:r w:rsidRPr="00C601E0">
        <w:rPr>
          <w:rFonts w:eastAsia="黑体"/>
        </w:rPr>
        <w:t>14</w:t>
      </w:r>
      <w:r w:rsidRPr="00C601E0">
        <w:rPr>
          <w:rFonts w:eastAsia="黑体"/>
        </w:rPr>
        <w:t>、第</w:t>
      </w:r>
      <w:r w:rsidRPr="00C601E0">
        <w:rPr>
          <w:rFonts w:eastAsia="黑体"/>
        </w:rPr>
        <w:t>16</w:t>
      </w:r>
      <w:r w:rsidRPr="00C601E0">
        <w:rPr>
          <w:rFonts w:eastAsia="黑体"/>
        </w:rPr>
        <w:t>和第</w:t>
      </w:r>
      <w:r w:rsidRPr="00C601E0">
        <w:rPr>
          <w:rFonts w:eastAsia="黑体"/>
        </w:rPr>
        <w:t>18</w:t>
      </w:r>
      <w:r w:rsidRPr="00C601E0">
        <w:rPr>
          <w:rFonts w:eastAsia="黑体"/>
        </w:rPr>
        <w:t>段所载建议的情况。</w:t>
      </w:r>
    </w:p>
    <w:p w:rsidR="003165A6" w:rsidRPr="003165A6" w:rsidRDefault="003165A6" w:rsidP="003165A6">
      <w:pPr>
        <w:pStyle w:val="SingleTxt"/>
        <w:rPr>
          <w:rFonts w:ascii="黑体" w:eastAsia="黑体" w:hAnsi="黑体"/>
        </w:rPr>
      </w:pPr>
      <w:r w:rsidRPr="008B6D49">
        <w:rPr>
          <w:rFonts w:eastAsia="黑体"/>
        </w:rPr>
        <w:t>25.</w:t>
      </w:r>
      <w:r w:rsidRPr="003165A6">
        <w:rPr>
          <w:rFonts w:ascii="黑体" w:eastAsia="黑体" w:hAnsi="黑体" w:hint="eastAsia"/>
        </w:rPr>
        <w:t xml:space="preserve">  </w:t>
      </w:r>
      <w:r w:rsidRPr="00C601E0">
        <w:rPr>
          <w:rFonts w:eastAsia="黑体"/>
        </w:rPr>
        <w:t>委员会请缔约国在其应于</w:t>
      </w:r>
      <w:r w:rsidRPr="00C601E0">
        <w:rPr>
          <w:rFonts w:eastAsia="黑体"/>
        </w:rPr>
        <w:t>2019</w:t>
      </w:r>
      <w:r w:rsidRPr="00C601E0">
        <w:rPr>
          <w:rFonts w:eastAsia="黑体"/>
        </w:rPr>
        <w:t>年</w:t>
      </w:r>
      <w:r w:rsidRPr="00C601E0">
        <w:rPr>
          <w:rFonts w:eastAsia="黑体"/>
        </w:rPr>
        <w:t>4</w:t>
      </w:r>
      <w:r w:rsidRPr="00C601E0">
        <w:rPr>
          <w:rFonts w:eastAsia="黑体"/>
        </w:rPr>
        <w:t>月</w:t>
      </w:r>
      <w:r w:rsidRPr="00C601E0">
        <w:rPr>
          <w:rFonts w:eastAsia="黑体"/>
        </w:rPr>
        <w:t>2</w:t>
      </w:r>
      <w:r w:rsidRPr="00C601E0">
        <w:rPr>
          <w:rFonts w:eastAsia="黑体"/>
        </w:rPr>
        <w:t>日之前提交的下次定期报告中提供最新的具体资料，说明其采取行动落实</w:t>
      </w:r>
      <w:r w:rsidR="00726488" w:rsidRPr="00C601E0">
        <w:rPr>
          <w:rFonts w:eastAsia="黑体"/>
        </w:rPr>
        <w:t>其他建议和执行整个《公约》的情况。委员会还请缔约国在编写第二次</w:t>
      </w:r>
      <w:r w:rsidRPr="00C601E0">
        <w:rPr>
          <w:rFonts w:eastAsia="黑体"/>
        </w:rPr>
        <w:t>定期报告时广泛征求公民社会和非政府组织的意见。根据大会第</w:t>
      </w:r>
      <w:r w:rsidRPr="00C601E0">
        <w:rPr>
          <w:rFonts w:eastAsia="黑体"/>
        </w:rPr>
        <w:t>68/268</w:t>
      </w:r>
      <w:r w:rsidRPr="00C601E0">
        <w:rPr>
          <w:rFonts w:eastAsia="黑体"/>
        </w:rPr>
        <w:t>号决议，定期报告不应超过</w:t>
      </w:r>
      <w:r w:rsidRPr="00C601E0">
        <w:rPr>
          <w:rFonts w:eastAsia="黑体"/>
        </w:rPr>
        <w:t>21,200</w:t>
      </w:r>
      <w:r w:rsidRPr="00C601E0">
        <w:rPr>
          <w:rFonts w:eastAsia="黑体"/>
        </w:rPr>
        <w:t>字。</w:t>
      </w:r>
    </w:p>
    <w:p w:rsidR="002C27DA" w:rsidRPr="003165A6" w:rsidRDefault="003165A6" w:rsidP="003165A6">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2C27DA" w:rsidRPr="003165A6" w:rsidSect="002C27DA">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1T14:07:00Z" w:initials="Start">
    <w:p w:rsidR="002C27DA" w:rsidRDefault="002C27DA">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NO&gt;&gt;N1508406C&lt;&lt;ODS JOB NO&gt;&gt;</w:t>
      </w:r>
    </w:p>
    <w:p w:rsidR="002C27DA" w:rsidRDefault="002C27DA">
      <w:pPr>
        <w:pStyle w:val="a7"/>
      </w:pPr>
      <w:r>
        <w:t>&lt;&lt;ODS DOC SYMBOL1&gt;&gt;CCPR/C/CIV/CO/1&lt;&lt;ODS DOC SYMBOL1&gt;&gt;</w:t>
      </w:r>
    </w:p>
    <w:p w:rsidR="002C27DA" w:rsidRDefault="002C27DA">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A5D" w:rsidRDefault="00A52A5D">
      <w:r>
        <w:separator/>
      </w:r>
    </w:p>
  </w:endnote>
  <w:endnote w:type="continuationSeparator" w:id="0">
    <w:p w:rsidR="00A52A5D" w:rsidRDefault="00A52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C27DA" w:rsidTr="002C27DA">
      <w:trPr>
        <w:jc w:val="center"/>
      </w:trPr>
      <w:tc>
        <w:tcPr>
          <w:tcW w:w="5126" w:type="dxa"/>
          <w:shd w:val="clear" w:color="auto" w:fill="auto"/>
        </w:tcPr>
        <w:p w:rsidR="002C27DA" w:rsidRPr="002C27DA" w:rsidRDefault="002C27DA" w:rsidP="002C27D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0034">
            <w:rPr>
              <w:b w:val="0"/>
              <w:w w:val="103"/>
              <w:sz w:val="14"/>
            </w:rPr>
            <w:t>GE.15-05821 (C)</w:t>
          </w:r>
          <w:r>
            <w:rPr>
              <w:b w:val="0"/>
              <w:w w:val="103"/>
              <w:sz w:val="14"/>
            </w:rPr>
            <w:fldChar w:fldCharType="end"/>
          </w:r>
        </w:p>
      </w:tc>
      <w:tc>
        <w:tcPr>
          <w:tcW w:w="5127" w:type="dxa"/>
          <w:shd w:val="clear" w:color="auto" w:fill="auto"/>
        </w:tcPr>
        <w:p w:rsidR="002C27DA" w:rsidRPr="002C27DA" w:rsidRDefault="002C27DA" w:rsidP="002C27DA">
          <w:pPr>
            <w:pStyle w:val="ac"/>
            <w:jc w:val="left"/>
            <w:rPr>
              <w:w w:val="103"/>
            </w:rPr>
          </w:pPr>
          <w:r>
            <w:rPr>
              <w:w w:val="103"/>
            </w:rPr>
            <w:fldChar w:fldCharType="begin"/>
          </w:r>
          <w:r>
            <w:rPr>
              <w:w w:val="103"/>
            </w:rPr>
            <w:instrText xml:space="preserve"> PAGE  \* Arabic  \* MERGEFORMAT </w:instrText>
          </w:r>
          <w:r>
            <w:rPr>
              <w:w w:val="103"/>
            </w:rPr>
            <w:fldChar w:fldCharType="separate"/>
          </w:r>
          <w:r w:rsidR="00D20034">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20034">
            <w:rPr>
              <w:w w:val="103"/>
            </w:rPr>
            <w:t>8</w:t>
          </w:r>
          <w:r>
            <w:rPr>
              <w:w w:val="103"/>
            </w:rPr>
            <w:fldChar w:fldCharType="end"/>
          </w:r>
        </w:p>
      </w:tc>
    </w:tr>
  </w:tbl>
  <w:p w:rsidR="002C27DA" w:rsidRPr="002C27DA" w:rsidRDefault="002C27DA" w:rsidP="002C27DA">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C27DA" w:rsidTr="002C27DA">
      <w:trPr>
        <w:jc w:val="center"/>
      </w:trPr>
      <w:tc>
        <w:tcPr>
          <w:tcW w:w="5126" w:type="dxa"/>
          <w:shd w:val="clear" w:color="auto" w:fill="auto"/>
        </w:tcPr>
        <w:p w:rsidR="002C27DA" w:rsidRPr="002C27DA" w:rsidRDefault="002C27DA" w:rsidP="002C27DA">
          <w:pPr>
            <w:pStyle w:val="ac"/>
            <w:jc w:val="right"/>
          </w:pPr>
          <w:r>
            <w:fldChar w:fldCharType="begin"/>
          </w:r>
          <w:r>
            <w:instrText xml:space="preserve"> PAGE  \* Arabic  \* MERGEFORMAT </w:instrText>
          </w:r>
          <w:r>
            <w:fldChar w:fldCharType="separate"/>
          </w:r>
          <w:r w:rsidR="00D20034">
            <w:t>7</w:t>
          </w:r>
          <w:r>
            <w:fldChar w:fldCharType="end"/>
          </w:r>
          <w:r>
            <w:t>/</w:t>
          </w:r>
          <w:fldSimple w:instr=" NUMPAGES  \* Arabic  \* MERGEFORMAT ">
            <w:r w:rsidR="00D20034">
              <w:t>8</w:t>
            </w:r>
          </w:fldSimple>
        </w:p>
      </w:tc>
      <w:tc>
        <w:tcPr>
          <w:tcW w:w="5127" w:type="dxa"/>
          <w:shd w:val="clear" w:color="auto" w:fill="auto"/>
        </w:tcPr>
        <w:p w:rsidR="002C27DA" w:rsidRPr="002C27DA" w:rsidRDefault="002C27DA" w:rsidP="002C27D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0034">
            <w:rPr>
              <w:b w:val="0"/>
              <w:w w:val="103"/>
              <w:sz w:val="14"/>
            </w:rPr>
            <w:t>GE.15-05821 (C)</w:t>
          </w:r>
          <w:r>
            <w:rPr>
              <w:b w:val="0"/>
              <w:w w:val="103"/>
              <w:sz w:val="14"/>
            </w:rPr>
            <w:fldChar w:fldCharType="end"/>
          </w:r>
        </w:p>
      </w:tc>
    </w:tr>
  </w:tbl>
  <w:p w:rsidR="002C27DA" w:rsidRPr="002C27DA" w:rsidRDefault="002C27DA" w:rsidP="002C27DA">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2C27DA" w:rsidTr="002C27DA">
      <w:tc>
        <w:tcPr>
          <w:tcW w:w="3873" w:type="dxa"/>
        </w:tcPr>
        <w:p w:rsidR="002C27DA" w:rsidRDefault="002C27DA" w:rsidP="00C601E0">
          <w:pPr>
            <w:pStyle w:val="Release"/>
          </w:pPr>
          <w:r>
            <w:rPr>
              <w:noProof/>
            </w:rPr>
            <w:drawing>
              <wp:anchor distT="0" distB="0" distL="114300" distR="114300" simplePos="0" relativeHeight="251658240" behindDoc="0" locked="0" layoutInCell="1" allowOverlap="1" wp14:anchorId="2A5D3184" wp14:editId="5441570A">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CPR/C/CIV/CO/1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IV/CO/1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D20034">
              <w:t>GE.15-05821 (C)</w:t>
            </w:r>
          </w:fldSimple>
          <w:r>
            <w:t xml:space="preserve">    </w:t>
          </w:r>
          <w:r w:rsidR="003165A6">
            <w:rPr>
              <w:rFonts w:hint="eastAsia"/>
            </w:rPr>
            <w:t>04</w:t>
          </w:r>
          <w:r>
            <w:t>0815    1</w:t>
          </w:r>
          <w:r w:rsidR="00C601E0">
            <w:rPr>
              <w:rFonts w:hint="eastAsia"/>
            </w:rPr>
            <w:t>2</w:t>
          </w:r>
          <w:r>
            <w:t>0815</w:t>
          </w:r>
        </w:p>
        <w:p w:rsidR="002C27DA" w:rsidRPr="002C27DA" w:rsidRDefault="002C27DA" w:rsidP="002C27DA">
          <w:pPr>
            <w:spacing w:before="80" w:line="210" w:lineRule="exact"/>
            <w:rPr>
              <w:rFonts w:ascii="Barcode 3 of 9 by request" w:hAnsi="Barcode 3 of 9 by request"/>
              <w:sz w:val="24"/>
            </w:rPr>
          </w:pPr>
          <w:r>
            <w:rPr>
              <w:rFonts w:ascii="Barcode 3 of 9 by request" w:hAnsi="Barcode 3 of 9 by request"/>
              <w:sz w:val="24"/>
            </w:rPr>
            <w:t>*1505821*</w:t>
          </w:r>
        </w:p>
      </w:tc>
      <w:tc>
        <w:tcPr>
          <w:tcW w:w="5127" w:type="dxa"/>
        </w:tcPr>
        <w:p w:rsidR="002C27DA" w:rsidRDefault="002C27DA" w:rsidP="002C27DA">
          <w:pPr>
            <w:pStyle w:val="ac"/>
            <w:jc w:val="right"/>
            <w:rPr>
              <w:b w:val="0"/>
              <w:sz w:val="21"/>
            </w:rPr>
          </w:pPr>
          <w:r>
            <w:rPr>
              <w:b w:val="0"/>
              <w:sz w:val="21"/>
            </w:rPr>
            <w:drawing>
              <wp:inline distT="0" distB="0" distL="0" distR="0" wp14:anchorId="5DA14C72" wp14:editId="0FFE976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2C27DA" w:rsidRPr="002C27DA" w:rsidRDefault="002C27DA" w:rsidP="002C27DA">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A5D" w:rsidRPr="003165A6" w:rsidRDefault="003165A6" w:rsidP="003165A6">
      <w:pPr>
        <w:pStyle w:val="ac"/>
        <w:spacing w:after="80"/>
        <w:ind w:left="792"/>
        <w:rPr>
          <w:sz w:val="16"/>
        </w:rPr>
      </w:pPr>
      <w:r w:rsidRPr="003165A6">
        <w:rPr>
          <w:sz w:val="16"/>
        </w:rPr>
        <w:t>__________________</w:t>
      </w:r>
    </w:p>
  </w:footnote>
  <w:footnote w:type="continuationSeparator" w:id="0">
    <w:p w:rsidR="00A52A5D" w:rsidRPr="003165A6" w:rsidRDefault="003165A6" w:rsidP="003165A6">
      <w:pPr>
        <w:pStyle w:val="ac"/>
        <w:spacing w:after="80"/>
        <w:ind w:left="792"/>
        <w:rPr>
          <w:sz w:val="16"/>
        </w:rPr>
      </w:pPr>
      <w:r w:rsidRPr="003165A6">
        <w:rPr>
          <w:sz w:val="16"/>
        </w:rPr>
        <w:t>__________________</w:t>
      </w:r>
    </w:p>
  </w:footnote>
  <w:footnote w:id="1">
    <w:p w:rsidR="003165A6" w:rsidRPr="003165A6" w:rsidRDefault="003165A6" w:rsidP="001315D4">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rPr>
          <w:rStyle w:val="a3"/>
          <w:rFonts w:hint="eastAsia"/>
        </w:rPr>
        <w:tab/>
      </w:r>
      <w:r w:rsidRPr="003165A6">
        <w:rPr>
          <w:rStyle w:val="a3"/>
          <w:vertAlign w:val="baseline"/>
        </w:rPr>
        <w:t>*</w:t>
      </w:r>
      <w:r w:rsidRPr="003165A6">
        <w:rPr>
          <w:rFonts w:hint="eastAsia"/>
        </w:rPr>
        <w:tab/>
      </w:r>
      <w:r w:rsidR="00252450" w:rsidRPr="00252450">
        <w:rPr>
          <w:rFonts w:hint="eastAsia"/>
        </w:rPr>
        <w:t>委员会第</w:t>
      </w:r>
      <w:r w:rsidR="001315D4">
        <w:rPr>
          <w:rFonts w:hint="eastAsia"/>
        </w:rPr>
        <w:t>一一三</w:t>
      </w:r>
      <w:r w:rsidR="00252450" w:rsidRPr="00252450">
        <w:rPr>
          <w:rFonts w:hint="eastAsia"/>
        </w:rPr>
        <w:t>届会议</w:t>
      </w:r>
      <w:r w:rsidR="00252450" w:rsidRPr="00252450">
        <w:rPr>
          <w:rFonts w:hint="eastAsia"/>
        </w:rPr>
        <w:t>(2015</w:t>
      </w:r>
      <w:r w:rsidR="00252450" w:rsidRPr="00252450">
        <w:rPr>
          <w:rFonts w:hint="eastAsia"/>
        </w:rPr>
        <w:t>年</w:t>
      </w:r>
      <w:r w:rsidR="00252450" w:rsidRPr="00252450">
        <w:rPr>
          <w:rFonts w:hint="eastAsia"/>
        </w:rPr>
        <w:t>3</w:t>
      </w:r>
      <w:r w:rsidR="00252450" w:rsidRPr="00252450">
        <w:rPr>
          <w:rFonts w:hint="eastAsia"/>
        </w:rPr>
        <w:t>月</w:t>
      </w:r>
      <w:r w:rsidR="00252450" w:rsidRPr="00252450">
        <w:rPr>
          <w:rFonts w:hint="eastAsia"/>
        </w:rPr>
        <w:t>16</w:t>
      </w:r>
      <w:r w:rsidR="00252450" w:rsidRPr="00252450">
        <w:rPr>
          <w:rFonts w:hint="eastAsia"/>
        </w:rPr>
        <w:t>日至</w:t>
      </w:r>
      <w:r w:rsidR="00252450" w:rsidRPr="00252450">
        <w:rPr>
          <w:rFonts w:hint="eastAsia"/>
        </w:rPr>
        <w:t>4</w:t>
      </w:r>
      <w:r w:rsidR="00252450" w:rsidRPr="00252450">
        <w:rPr>
          <w:rFonts w:hint="eastAsia"/>
        </w:rPr>
        <w:t>月</w:t>
      </w:r>
      <w:r w:rsidR="00252450" w:rsidRPr="00252450">
        <w:rPr>
          <w:rFonts w:hint="eastAsia"/>
        </w:rPr>
        <w:t>2</w:t>
      </w:r>
      <w:r w:rsidR="00252450" w:rsidRPr="00252450">
        <w:rPr>
          <w:rFonts w:hint="eastAsia"/>
        </w:rPr>
        <w:t>日</w:t>
      </w:r>
      <w:r w:rsidR="00252450" w:rsidRPr="00252450">
        <w:rPr>
          <w:rFonts w:hint="eastAsia"/>
        </w:rPr>
        <w:t>)</w:t>
      </w:r>
      <w:r w:rsidR="00252450" w:rsidRPr="00252450">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C27DA" w:rsidTr="002C27DA">
      <w:trPr>
        <w:trHeight w:hRule="exact" w:val="864"/>
        <w:jc w:val="center"/>
      </w:trPr>
      <w:tc>
        <w:tcPr>
          <w:tcW w:w="4882" w:type="dxa"/>
          <w:shd w:val="clear" w:color="auto" w:fill="auto"/>
          <w:vAlign w:val="bottom"/>
        </w:tcPr>
        <w:p w:rsidR="002C27DA" w:rsidRPr="002C27DA" w:rsidRDefault="002C27DA" w:rsidP="002C27D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20034">
            <w:rPr>
              <w:b/>
              <w:sz w:val="17"/>
            </w:rPr>
            <w:t>CCPR/C/CIV/CO/1</w:t>
          </w:r>
          <w:r>
            <w:rPr>
              <w:b/>
              <w:sz w:val="17"/>
            </w:rPr>
            <w:fldChar w:fldCharType="end"/>
          </w:r>
        </w:p>
      </w:tc>
      <w:tc>
        <w:tcPr>
          <w:tcW w:w="5127" w:type="dxa"/>
          <w:shd w:val="clear" w:color="auto" w:fill="auto"/>
          <w:vAlign w:val="bottom"/>
        </w:tcPr>
        <w:p w:rsidR="002C27DA" w:rsidRDefault="002C27DA" w:rsidP="002C27DA">
          <w:pPr>
            <w:pStyle w:val="ab"/>
          </w:pPr>
        </w:p>
      </w:tc>
    </w:tr>
  </w:tbl>
  <w:p w:rsidR="002C27DA" w:rsidRPr="002C27DA" w:rsidRDefault="002C27DA" w:rsidP="002C27DA">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C27DA" w:rsidTr="002C27DA">
      <w:trPr>
        <w:trHeight w:hRule="exact" w:val="864"/>
        <w:jc w:val="center"/>
      </w:trPr>
      <w:tc>
        <w:tcPr>
          <w:tcW w:w="4882" w:type="dxa"/>
          <w:shd w:val="clear" w:color="auto" w:fill="auto"/>
          <w:vAlign w:val="bottom"/>
        </w:tcPr>
        <w:p w:rsidR="002C27DA" w:rsidRDefault="002C27DA" w:rsidP="002C27DA">
          <w:pPr>
            <w:pStyle w:val="ab"/>
          </w:pPr>
        </w:p>
      </w:tc>
      <w:tc>
        <w:tcPr>
          <w:tcW w:w="5127" w:type="dxa"/>
          <w:shd w:val="clear" w:color="auto" w:fill="auto"/>
          <w:vAlign w:val="bottom"/>
        </w:tcPr>
        <w:p w:rsidR="002C27DA" w:rsidRPr="002C27DA" w:rsidRDefault="002C27DA" w:rsidP="002C27D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20034">
            <w:rPr>
              <w:b/>
              <w:sz w:val="17"/>
            </w:rPr>
            <w:t>CCPR/C/CIV/CO/1</w:t>
          </w:r>
          <w:r>
            <w:rPr>
              <w:b/>
              <w:sz w:val="17"/>
            </w:rPr>
            <w:fldChar w:fldCharType="end"/>
          </w:r>
        </w:p>
      </w:tc>
    </w:tr>
  </w:tbl>
  <w:p w:rsidR="002C27DA" w:rsidRPr="002C27DA" w:rsidRDefault="002C27DA" w:rsidP="002C27DA">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2C27DA" w:rsidTr="002C27DA">
      <w:trPr>
        <w:trHeight w:hRule="exact" w:val="864"/>
      </w:trPr>
      <w:tc>
        <w:tcPr>
          <w:tcW w:w="1267" w:type="dxa"/>
          <w:tcBorders>
            <w:bottom w:val="single" w:sz="4" w:space="0" w:color="auto"/>
          </w:tcBorders>
          <w:shd w:val="clear" w:color="auto" w:fill="auto"/>
          <w:vAlign w:val="bottom"/>
        </w:tcPr>
        <w:p w:rsidR="002C27DA" w:rsidRDefault="002C27DA" w:rsidP="002C27DA">
          <w:pPr>
            <w:pStyle w:val="ab"/>
            <w:spacing w:after="120"/>
          </w:pPr>
        </w:p>
      </w:tc>
      <w:tc>
        <w:tcPr>
          <w:tcW w:w="1872" w:type="dxa"/>
          <w:tcBorders>
            <w:bottom w:val="single" w:sz="4" w:space="0" w:color="auto"/>
          </w:tcBorders>
          <w:shd w:val="clear" w:color="auto" w:fill="auto"/>
          <w:vAlign w:val="bottom"/>
        </w:tcPr>
        <w:p w:rsidR="002C27DA" w:rsidRPr="002C27DA" w:rsidRDefault="002C27DA" w:rsidP="002C27DA">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2C27DA" w:rsidRDefault="002C27DA" w:rsidP="002C27DA">
          <w:pPr>
            <w:pStyle w:val="ab"/>
            <w:spacing w:after="120"/>
          </w:pPr>
        </w:p>
      </w:tc>
      <w:tc>
        <w:tcPr>
          <w:tcW w:w="6653" w:type="dxa"/>
          <w:gridSpan w:val="4"/>
          <w:tcBorders>
            <w:bottom w:val="single" w:sz="4" w:space="0" w:color="auto"/>
          </w:tcBorders>
          <w:shd w:val="clear" w:color="auto" w:fill="auto"/>
          <w:vAlign w:val="bottom"/>
        </w:tcPr>
        <w:p w:rsidR="002C27DA" w:rsidRPr="002C27DA" w:rsidRDefault="002C27DA" w:rsidP="002C27DA">
          <w:pPr>
            <w:spacing w:after="80" w:line="240" w:lineRule="auto"/>
            <w:jc w:val="right"/>
            <w:rPr>
              <w:position w:val="-4"/>
            </w:rPr>
          </w:pPr>
          <w:r>
            <w:rPr>
              <w:position w:val="-4"/>
              <w:sz w:val="40"/>
            </w:rPr>
            <w:t>CCPR</w:t>
          </w:r>
          <w:r>
            <w:rPr>
              <w:position w:val="-4"/>
            </w:rPr>
            <w:t>/C/CIV/CO/1</w:t>
          </w:r>
        </w:p>
      </w:tc>
    </w:tr>
    <w:tr w:rsidR="002C27DA" w:rsidRPr="002C27DA" w:rsidTr="002C27DA">
      <w:trPr>
        <w:gridAfter w:val="1"/>
        <w:wAfter w:w="18" w:type="dxa"/>
        <w:trHeight w:hRule="exact" w:val="2880"/>
      </w:trPr>
      <w:tc>
        <w:tcPr>
          <w:tcW w:w="1267" w:type="dxa"/>
          <w:tcBorders>
            <w:top w:val="single" w:sz="4" w:space="0" w:color="auto"/>
            <w:bottom w:val="single" w:sz="12" w:space="0" w:color="auto"/>
          </w:tcBorders>
          <w:shd w:val="clear" w:color="auto" w:fill="auto"/>
        </w:tcPr>
        <w:p w:rsidR="002C27DA" w:rsidRPr="002C27DA" w:rsidRDefault="002C27DA" w:rsidP="002C27DA">
          <w:pPr>
            <w:pStyle w:val="ab"/>
            <w:spacing w:before="109"/>
            <w:ind w:left="-72"/>
          </w:pPr>
          <w:r>
            <w:t xml:space="preserve"> </w:t>
          </w:r>
          <w:r>
            <w:drawing>
              <wp:inline distT="0" distB="0" distL="0" distR="0" wp14:anchorId="6272C015" wp14:editId="673FD27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C27DA" w:rsidRPr="002C27DA" w:rsidRDefault="002C27DA" w:rsidP="002C27DA">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2C27DA" w:rsidRPr="002C27DA" w:rsidRDefault="002C27DA" w:rsidP="002C27DA">
          <w:pPr>
            <w:pStyle w:val="ab"/>
            <w:spacing w:before="109"/>
          </w:pPr>
        </w:p>
      </w:tc>
      <w:tc>
        <w:tcPr>
          <w:tcW w:w="3280" w:type="dxa"/>
          <w:tcBorders>
            <w:top w:val="single" w:sz="4" w:space="0" w:color="auto"/>
            <w:bottom w:val="single" w:sz="12" w:space="0" w:color="auto"/>
          </w:tcBorders>
          <w:shd w:val="clear" w:color="auto" w:fill="auto"/>
        </w:tcPr>
        <w:p w:rsidR="002C27DA" w:rsidRDefault="002C27DA" w:rsidP="002C27DA">
          <w:pPr>
            <w:pStyle w:val="Distr"/>
          </w:pPr>
          <w:r>
            <w:t>Distr.: General</w:t>
          </w:r>
        </w:p>
        <w:p w:rsidR="002C27DA" w:rsidRDefault="002C27DA" w:rsidP="002C27DA">
          <w:pPr>
            <w:pStyle w:val="Publication"/>
          </w:pPr>
          <w:r>
            <w:t>28 April 2015</w:t>
          </w:r>
        </w:p>
        <w:p w:rsidR="002C27DA" w:rsidRDefault="002C27DA" w:rsidP="002C27DA">
          <w:pPr>
            <w:spacing w:line="240" w:lineRule="exact"/>
          </w:pPr>
          <w:r>
            <w:t>Chinese</w:t>
          </w:r>
        </w:p>
        <w:p w:rsidR="002C27DA" w:rsidRDefault="002C27DA" w:rsidP="002C27DA">
          <w:pPr>
            <w:pStyle w:val="Original"/>
          </w:pPr>
          <w:r>
            <w:t>Original: French</w:t>
          </w:r>
        </w:p>
        <w:p w:rsidR="002C27DA" w:rsidRPr="002C27DA" w:rsidRDefault="002C27DA" w:rsidP="002C27DA"/>
      </w:tc>
    </w:tr>
  </w:tbl>
  <w:p w:rsidR="002C27DA" w:rsidRPr="002C27DA" w:rsidRDefault="002C27DA" w:rsidP="002C27DA">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821*"/>
    <w:docVar w:name="CreationDt" w:val="11/08/2015 14:07:46"/>
    <w:docVar w:name="DocCategory" w:val="Doc"/>
    <w:docVar w:name="DocType" w:val="Final"/>
    <w:docVar w:name="DutyStation" w:val="Geneva"/>
    <w:docVar w:name="FooterJN" w:val="GE.15-05821 (C)"/>
    <w:docVar w:name="jobn" w:val="GE.15-05821 (C)"/>
    <w:docVar w:name="jobnDT" w:val="15-05821 (C)   110815"/>
    <w:docVar w:name="jobnDTDT" w:val="15-05821 (C)   110815   110815"/>
    <w:docVar w:name="JobNo" w:val="GE.1505821C"/>
    <w:docVar w:name="LocalDrive" w:val="0"/>
    <w:docVar w:name="OandT" w:val="JI"/>
    <w:docVar w:name="PaperSize" w:val="A4"/>
    <w:docVar w:name="sss1" w:val="CCPR/C/CIV/CO/1"/>
    <w:docVar w:name="sss2" w:val="-"/>
    <w:docVar w:name="Symbol1" w:val="CCPR/C/CIV/CO/1"/>
    <w:docVar w:name="Symbol2" w:val="-"/>
  </w:docVars>
  <w:rsids>
    <w:rsidRoot w:val="00A52A5D"/>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15D4"/>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450"/>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27DA"/>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0A9C"/>
    <w:rsid w:val="00301C97"/>
    <w:rsid w:val="003063F6"/>
    <w:rsid w:val="003165A6"/>
    <w:rsid w:val="00320C99"/>
    <w:rsid w:val="003274A9"/>
    <w:rsid w:val="003305F1"/>
    <w:rsid w:val="00331221"/>
    <w:rsid w:val="00346223"/>
    <w:rsid w:val="00346C74"/>
    <w:rsid w:val="00350AE6"/>
    <w:rsid w:val="00355510"/>
    <w:rsid w:val="00360935"/>
    <w:rsid w:val="003621E6"/>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C541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26488"/>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52BC"/>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B6D49"/>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1A6"/>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2A5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1E0"/>
    <w:rsid w:val="00C60D8E"/>
    <w:rsid w:val="00C62EF9"/>
    <w:rsid w:val="00C650F5"/>
    <w:rsid w:val="00C672B6"/>
    <w:rsid w:val="00C75600"/>
    <w:rsid w:val="00C76854"/>
    <w:rsid w:val="00C847BD"/>
    <w:rsid w:val="00C900C5"/>
    <w:rsid w:val="00C92AE0"/>
    <w:rsid w:val="00C93BC6"/>
    <w:rsid w:val="00C943B4"/>
    <w:rsid w:val="00C97C0D"/>
    <w:rsid w:val="00C97FCA"/>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0034"/>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62AE"/>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E1517"/>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3EBD6-72C9-41C2-9EA9-983BAC673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1020</Words>
  <Characters>5819</Characters>
  <Application>Microsoft Office Word</Application>
  <DocSecurity>0</DocSecurity>
  <Lines>48</Lines>
  <Paragraphs>13</Paragraphs>
  <ScaleCrop>false</ScaleCrop>
  <Company>DCM</Company>
  <LinksUpToDate>false</LinksUpToDate>
  <CharactersWithSpaces>6826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dc:creator>
  <cp:keywords/>
  <dc:description/>
  <cp:lastModifiedBy>jiay</cp:lastModifiedBy>
  <cp:revision>3</cp:revision>
  <cp:lastPrinted>2015-08-12T09:15:00Z</cp:lastPrinted>
  <dcterms:created xsi:type="dcterms:W3CDTF">2015-08-12T09:15:00Z</dcterms:created>
  <dcterms:modified xsi:type="dcterms:W3CDTF">2015-08-12T09:15:00Z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1505821</vt:lpwstr>
  </property>
  <property fmtid="{D5CDD505-2E9C-101B-9397-08002B2CF9AE}" pid="3" name="ODSRefJobNo">
    <vt:lpwstr>1508406C</vt:lpwstr>
  </property>
  <property fmtid="{D5CDD505-2E9C-101B-9397-08002B2CF9AE}" pid="4" name="Symbol1">
    <vt:lpwstr>CCPR/C/CIV/CO/1</vt:lpwstr>
  </property>
  <property fmtid="{D5CDD505-2E9C-101B-9397-08002B2CF9AE}" pid="5" name="Symbol2">
    <vt:lpwstr/>
  </property>
  <property fmtid="{D5CDD505-2E9C-101B-9397-08002B2CF9AE}" pid="6" name="Translator">
    <vt:lpwstr/>
  </property>
  <property fmtid="{D5CDD505-2E9C-101B-9397-08002B2CF9AE}" pid="7" name="Operator">
    <vt:lpwstr>JI</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28 April 2015</vt:lpwstr>
  </property>
  <property fmtid="{D5CDD505-2E9C-101B-9397-08002B2CF9AE}" pid="12" name="Original">
    <vt:lpwstr>French</vt:lpwstr>
  </property>
  <property fmtid="{D5CDD505-2E9C-101B-9397-08002B2CF9AE}" pid="13" name="Release Date">
    <vt:lpwstr>110815</vt:lpwstr>
  </property>
</Properties>
</file>