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36530"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215"/>
        <w:rPr>
          <w:lang w:val="es-ES_tradnl"/>
        </w:rPr>
      </w:pPr>
      <w:r>
        <w:rPr>
          <w:lang w:val="es-ES_tradnl"/>
        </w:rPr>
        <w:t xml:space="preserve">Distr. </w:t>
      </w:r>
      <w:r>
        <w:rPr>
          <w:lang w:val="es-ES_tradnl"/>
        </w:rPr>
        <w:br/>
        <w:t>GENERAL</w:t>
      </w:r>
    </w:p>
    <w:p w:rsidR="00000000" w:rsidRDefault="00000000">
      <w:pPr>
        <w:spacing w:after="240"/>
        <w:ind w:left="7215"/>
        <w:rPr>
          <w:lang w:val="es-ES_tradnl"/>
        </w:rPr>
      </w:pPr>
      <w:r>
        <w:rPr>
          <w:lang w:val="es-ES_tradnl"/>
        </w:rPr>
        <w:t>CRC/C/8/Add.46</w:t>
      </w:r>
      <w:r>
        <w:rPr>
          <w:lang w:val="es-ES_tradnl"/>
        </w:rPr>
        <w:br/>
        <w:t>17 de marzo de 2003</w:t>
      </w:r>
    </w:p>
    <w:p w:rsidR="00000000" w:rsidRDefault="00000000">
      <w:pPr>
        <w:spacing w:after="960"/>
        <w:ind w:left="7215"/>
        <w:rPr>
          <w:lang w:val="es-ES_tradnl"/>
        </w:rPr>
      </w:pPr>
      <w:r>
        <w:rPr>
          <w:lang w:val="es-ES_tradnl"/>
        </w:rPr>
        <w:t>ESPAÑOL</w:t>
      </w:r>
      <w:r>
        <w:rPr>
          <w:lang w:val="es-ES_tradnl"/>
        </w:rPr>
        <w:br/>
        <w:t>Original:  INGLÉS</w:t>
      </w:r>
    </w:p>
    <w:p w:rsidR="00000000" w:rsidRDefault="00000000">
      <w:pPr>
        <w:tabs>
          <w:tab w:val="center" w:pos="4819"/>
        </w:tabs>
        <w:suppressAutoHyphens/>
        <w:spacing w:after="240"/>
        <w:jc w:val="center"/>
        <w:rPr>
          <w:b/>
          <w:bCs/>
          <w:spacing w:val="-2"/>
          <w:szCs w:val="20"/>
          <w:lang w:val="es-ES_tradnl"/>
        </w:rPr>
      </w:pPr>
      <w:r>
        <w:rPr>
          <w:b/>
          <w:bCs/>
          <w:spacing w:val="-2"/>
          <w:szCs w:val="20"/>
          <w:lang w:val="es-ES_tradnl"/>
        </w:rPr>
        <w:t>COMITÉ DE LOS DERECHOS DEL NIÑO</w:t>
      </w:r>
    </w:p>
    <w:p w:rsidR="00000000" w:rsidRDefault="00000000">
      <w:pPr>
        <w:tabs>
          <w:tab w:val="center" w:pos="4819"/>
        </w:tabs>
        <w:suppressAutoHyphens/>
        <w:spacing w:after="240"/>
        <w:jc w:val="center"/>
        <w:rPr>
          <w:b/>
          <w:bCs/>
          <w:spacing w:val="-2"/>
          <w:szCs w:val="20"/>
          <w:lang w:val="es-ES_tradnl"/>
        </w:rPr>
      </w:pPr>
      <w:r>
        <w:rPr>
          <w:b/>
          <w:bCs/>
          <w:spacing w:val="-2"/>
          <w:szCs w:val="20"/>
          <w:lang w:val="es-ES_tradnl"/>
        </w:rPr>
        <w:t>EXAMEN DE LOS INFORMES PRESENTADOS POR LOS ESTADOS</w:t>
      </w:r>
      <w:r>
        <w:rPr>
          <w:b/>
          <w:bCs/>
          <w:spacing w:val="-2"/>
          <w:szCs w:val="20"/>
          <w:lang w:val="es-ES_tradnl"/>
        </w:rPr>
        <w:br/>
        <w:t>PARTES DE CONFORMIDAD CON EL ARTICULO 44</w:t>
      </w:r>
      <w:r>
        <w:rPr>
          <w:b/>
          <w:bCs/>
          <w:spacing w:val="-2"/>
          <w:szCs w:val="20"/>
          <w:lang w:val="es-ES_tradnl"/>
        </w:rPr>
        <w:br/>
        <w:t>DE LA CONVENCIÓN</w:t>
      </w:r>
    </w:p>
    <w:p w:rsidR="00000000" w:rsidRDefault="00000000">
      <w:pPr>
        <w:pStyle w:val="Heading1"/>
        <w:spacing w:after="480" w:line="240" w:lineRule="auto"/>
        <w:rPr>
          <w:b/>
          <w:bCs/>
          <w:u w:val="none"/>
        </w:rPr>
      </w:pPr>
      <w:r>
        <w:rPr>
          <w:b/>
          <w:bCs/>
          <w:u w:val="none"/>
        </w:rPr>
        <w:t>Informes iniciales que los Estados Partes debían presentar en 1993</w:t>
      </w:r>
    </w:p>
    <w:p w:rsidR="00000000" w:rsidRDefault="00000000">
      <w:pPr>
        <w:spacing w:after="240"/>
        <w:jc w:val="center"/>
        <w:rPr>
          <w:lang w:val="es-ES_tradnl"/>
        </w:rPr>
      </w:pPr>
      <w:r>
        <w:rPr>
          <w:b/>
          <w:bCs/>
          <w:lang w:val="es-ES_tradnl"/>
        </w:rPr>
        <w:t>SAN MARINO</w:t>
      </w:r>
    </w:p>
    <w:p w:rsidR="00000000" w:rsidRDefault="00000000">
      <w:pPr>
        <w:spacing w:after="480"/>
        <w:jc w:val="right"/>
        <w:rPr>
          <w:lang w:val="es-ES_tradnl"/>
        </w:rPr>
      </w:pPr>
      <w:r>
        <w:rPr>
          <w:lang w:val="es-ES_tradnl"/>
        </w:rPr>
        <w:t>[25 de abril de 2002]</w:t>
      </w:r>
    </w:p>
    <w:p w:rsidR="00000000" w:rsidRDefault="00000000">
      <w:pPr>
        <w:spacing w:after="240"/>
        <w:jc w:val="center"/>
        <w:rPr>
          <w:b/>
          <w:bCs/>
          <w:lang w:val="es-ES_tradnl"/>
        </w:rPr>
      </w:pPr>
      <w:r>
        <w:rPr>
          <w:b/>
          <w:bCs/>
          <w:lang w:val="es-ES_tradnl"/>
        </w:rPr>
        <w:t>INTRODUCCIÓN</w:t>
      </w:r>
    </w:p>
    <w:p w:rsidR="00000000" w:rsidRDefault="00000000">
      <w:pPr>
        <w:autoSpaceDE w:val="0"/>
        <w:autoSpaceDN w:val="0"/>
        <w:adjustRightInd w:val="0"/>
        <w:spacing w:after="240"/>
        <w:rPr>
          <w:szCs w:val="20"/>
        </w:rPr>
      </w:pPr>
      <w:r>
        <w:rPr>
          <w:szCs w:val="20"/>
        </w:rPr>
        <w:t>1.</w:t>
      </w:r>
      <w:r>
        <w:rPr>
          <w:szCs w:val="20"/>
        </w:rPr>
        <w:tab/>
        <w:t>El presente informe, redactado de conformidad con las orientaciones generales respecto de la forma y el contenido de los informes que han de presentar los Estados Partes con arreglo al apartado a) del párrafo 1 del artículo 44 de la Convención sobre los Derechos del Niño, fue preparado por el Ministerio de Relaciones Exteriores en colaboración con otros ministerios y departamentos gubernamentales competentes.</w:t>
      </w:r>
    </w:p>
    <w:p w:rsidR="00000000" w:rsidRDefault="00000000">
      <w:pPr>
        <w:autoSpaceDE w:val="0"/>
        <w:autoSpaceDN w:val="0"/>
        <w:adjustRightInd w:val="0"/>
        <w:spacing w:after="480"/>
        <w:rPr>
          <w:szCs w:val="20"/>
        </w:rPr>
      </w:pPr>
      <w:r>
        <w:rPr>
          <w:szCs w:val="20"/>
        </w:rPr>
        <w:t>2.</w:t>
      </w:r>
      <w:r>
        <w:rPr>
          <w:szCs w:val="20"/>
        </w:rPr>
        <w:tab/>
        <w:t>Por lo que respecta a la protección de los niños, la República de San Marino tiene una amplia legislación interna.  Sin embargo, la adhesión a la Convención sobre los Derechos del Niño llevó a las autoridades del país a mejorar aún más la legislación ya existente.</w:t>
      </w:r>
    </w:p>
    <w:p w:rsidR="00000000" w:rsidRDefault="00000000">
      <w:pPr>
        <w:autoSpaceDE w:val="0"/>
        <w:autoSpaceDN w:val="0"/>
        <w:adjustRightInd w:val="0"/>
        <w:spacing w:after="240"/>
        <w:jc w:val="center"/>
        <w:rPr>
          <w:b/>
          <w:bCs/>
          <w:szCs w:val="20"/>
        </w:rPr>
      </w:pPr>
      <w:r>
        <w:rPr>
          <w:b/>
          <w:bCs/>
          <w:szCs w:val="20"/>
        </w:rPr>
        <w:t>I.  INFORMACIÓN GENERAL</w:t>
      </w:r>
    </w:p>
    <w:p w:rsidR="00000000" w:rsidRDefault="00000000">
      <w:pPr>
        <w:spacing w:after="360"/>
        <w:rPr>
          <w:lang w:val="es-ES_tradnl"/>
        </w:rPr>
      </w:pPr>
      <w:r>
        <w:rPr>
          <w:lang w:val="es-ES_tradnl"/>
        </w:rPr>
        <w:t>3.</w:t>
      </w:r>
      <w:r>
        <w:rPr>
          <w:lang w:val="es-ES_tradnl"/>
        </w:rPr>
        <w:tab/>
        <w:t>La República de San Marino está enclavada en Italia, entre las provincias de Rímini (Emilia Romaña) y Pesaro (Marcas).  Ocupa una superficie de 61,19 km</w:t>
      </w:r>
      <w:r>
        <w:rPr>
          <w:vertAlign w:val="superscript"/>
          <w:lang w:val="es-ES_tradnl"/>
        </w:rPr>
        <w:t>2</w:t>
      </w:r>
      <w:r>
        <w:rPr>
          <w:lang w:val="es-ES_tradnl"/>
        </w:rPr>
        <w:t xml:space="preserve"> en la ladera del monte Titano y tiene un perímetro de 39,03 km.</w:t>
      </w:r>
    </w:p>
    <w:p w:rsidR="00000000" w:rsidRDefault="00000000">
      <w:pPr>
        <w:pStyle w:val="Header"/>
        <w:tabs>
          <w:tab w:val="clear" w:pos="4252"/>
        </w:tabs>
        <w:spacing w:after="240"/>
        <w:rPr>
          <w:lang w:val="es-ES_tradnl"/>
        </w:rPr>
      </w:pPr>
      <w:r>
        <w:rPr>
          <w:lang w:val="es-ES_tradnl"/>
        </w:rPr>
        <w:t>GE.03-40786  (S)    030403    090403</w:t>
      </w:r>
    </w:p>
    <w:p w:rsidR="00000000" w:rsidRDefault="00000000">
      <w:pPr>
        <w:pStyle w:val="Header"/>
        <w:tabs>
          <w:tab w:val="clear" w:pos="4252"/>
          <w:tab w:val="clear" w:pos="8504"/>
        </w:tabs>
        <w:spacing w:after="240"/>
        <w:rPr>
          <w:lang w:val="es-ES_tradnl"/>
        </w:rPr>
      </w:pPr>
      <w:r>
        <w:rPr>
          <w:lang w:val="es-ES_tradnl"/>
        </w:rPr>
        <w:br w:type="page"/>
        <w:t>4.</w:t>
      </w:r>
      <w:r>
        <w:rPr>
          <w:lang w:val="es-ES_tradnl"/>
        </w:rPr>
        <w:tab/>
        <w:t>Administrativamente, el territorio se divide en nueve municipios (</w:t>
      </w:r>
      <w:r>
        <w:rPr>
          <w:i/>
          <w:iCs/>
          <w:lang w:val="es-ES_tradnl"/>
        </w:rPr>
        <w:t>Castelli</w:t>
      </w:r>
      <w:r>
        <w:rPr>
          <w:lang w:val="es-ES_tradnl"/>
        </w:rPr>
        <w:t>):  Acquaviva, Borgo Maggiore, Chiesanuova, Cittá di San Marino (la capital), Domagnano, Faetano, Fiorentino, Montegiardino y Serravalle.</w:t>
      </w:r>
    </w:p>
    <w:p w:rsidR="00000000" w:rsidRDefault="00000000">
      <w:pPr>
        <w:pStyle w:val="Header"/>
        <w:tabs>
          <w:tab w:val="clear" w:pos="4252"/>
          <w:tab w:val="clear" w:pos="8504"/>
        </w:tabs>
        <w:spacing w:after="240"/>
        <w:rPr>
          <w:lang w:val="es-ES_tradnl"/>
        </w:rPr>
      </w:pPr>
      <w:r>
        <w:rPr>
          <w:lang w:val="es-ES_tradnl"/>
        </w:rPr>
        <w:t>5.</w:t>
      </w:r>
      <w:r>
        <w:rPr>
          <w:lang w:val="es-ES_tradnl"/>
        </w:rPr>
        <w:tab/>
        <w:t>En diciembre de 2000, San Marino tenía una población de 26.941 habitantes.  La densidad de la población es de aproximadamente 440 habitantes por km</w:t>
      </w:r>
      <w:r>
        <w:rPr>
          <w:vertAlign w:val="superscript"/>
          <w:lang w:val="es-ES_tradnl"/>
        </w:rPr>
        <w:t>2</w:t>
      </w:r>
      <w:r>
        <w:rPr>
          <w:lang w:val="es-ES_tradnl"/>
        </w:rPr>
        <w:t>.  Más de 4.000 de ellos son ciudadanos de otros países, principalmente de Italia.  Aproximadamente 13.000 ciudadanos de San Marino residen en el extranjero; las comunidades más numerosas se encuentran en las regiones del norte de los Estados Unidos, Francia, la Argentina y, naturalmente, Italia.</w:t>
      </w:r>
    </w:p>
    <w:p w:rsidR="00000000" w:rsidRDefault="00000000">
      <w:pPr>
        <w:pStyle w:val="Header"/>
        <w:tabs>
          <w:tab w:val="clear" w:pos="4252"/>
          <w:tab w:val="clear" w:pos="8504"/>
        </w:tabs>
        <w:spacing w:after="240"/>
        <w:rPr>
          <w:lang w:val="es-ES_tradnl"/>
        </w:rPr>
      </w:pPr>
      <w:r>
        <w:rPr>
          <w:lang w:val="es-ES_tradnl"/>
        </w:rPr>
        <w:t>6.</w:t>
      </w:r>
      <w:r>
        <w:rPr>
          <w:lang w:val="es-ES_tradnl"/>
        </w:rPr>
        <w:tab/>
        <w:t>La mayoría de la población es católica.</w:t>
      </w:r>
    </w:p>
    <w:p w:rsidR="00000000" w:rsidRDefault="00000000">
      <w:pPr>
        <w:pStyle w:val="Header"/>
        <w:tabs>
          <w:tab w:val="clear" w:pos="4252"/>
          <w:tab w:val="clear" w:pos="8504"/>
        </w:tabs>
        <w:spacing w:after="240"/>
        <w:rPr>
          <w:lang w:val="es-ES_tradnl"/>
        </w:rPr>
      </w:pPr>
      <w:r>
        <w:rPr>
          <w:lang w:val="es-ES_tradnl"/>
        </w:rPr>
        <w:t>7.</w:t>
      </w:r>
      <w:r>
        <w:rPr>
          <w:lang w:val="es-ES_tradnl"/>
        </w:rPr>
        <w:tab/>
        <w:t>Se calcula que la tasa de alfabetización es del 100%.  En San Marino la escolaridad es obligatoria hasta los 16 años.  Las generaciones más jóvenes suelen tener un alto nivel educacional, el 35% concluye la enseñanza secundaria y el 8% obtiene un título universitario (datos de 2000).  En 1999 los gastos de educación por estudiante ascendían a 9.060,35 euros.</w:t>
      </w:r>
    </w:p>
    <w:p w:rsidR="00000000" w:rsidRDefault="00000000">
      <w:pPr>
        <w:pStyle w:val="Header"/>
        <w:tabs>
          <w:tab w:val="clear" w:pos="4252"/>
          <w:tab w:val="clear" w:pos="8504"/>
        </w:tabs>
        <w:spacing w:after="240"/>
        <w:rPr>
          <w:lang w:val="es-ES_tradnl"/>
        </w:rPr>
      </w:pPr>
      <w:r>
        <w:rPr>
          <w:lang w:val="es-ES_tradnl"/>
        </w:rPr>
        <w:t>8.</w:t>
      </w:r>
      <w:r>
        <w:rPr>
          <w:lang w:val="es-ES_tradnl"/>
        </w:rPr>
        <w:tab/>
        <w:t>La esperanza de vida en San Marino es una de las más altas del mundo:  77,4 años en el caso de los hombres y 84 años en el de las mujeres.  La tasa de natalidad es del 1,08% y la tasa de mortalidad del 0,7%.  Entre 1995 y 2000 el crecimiento medio de la población fue del 1,5% anual.</w:t>
      </w:r>
    </w:p>
    <w:p w:rsidR="00000000" w:rsidRDefault="00000000">
      <w:pPr>
        <w:pStyle w:val="Header"/>
        <w:tabs>
          <w:tab w:val="clear" w:pos="4252"/>
          <w:tab w:val="clear" w:pos="8504"/>
        </w:tabs>
        <w:spacing w:after="240"/>
        <w:rPr>
          <w:lang w:val="es-ES_tradnl"/>
        </w:rPr>
      </w:pPr>
      <w:r>
        <w:rPr>
          <w:lang w:val="es-ES_tradnl"/>
        </w:rPr>
        <w:t>9.</w:t>
      </w:r>
      <w:r>
        <w:rPr>
          <w:lang w:val="es-ES_tradnl"/>
        </w:rPr>
        <w:tab/>
        <w:t>El número de unidades familiares es de 11.166 y el promedio de miembros por unidad es de 2,4 personas (datos de 2000).</w:t>
      </w:r>
    </w:p>
    <w:p w:rsidR="00000000" w:rsidRDefault="00000000">
      <w:pPr>
        <w:spacing w:after="240"/>
        <w:sectPr w:rsidR="00000000">
          <w:headerReference w:type="even" r:id="rId8"/>
          <w:footerReference w:type="default" r:id="rId9"/>
          <w:pgSz w:w="11906" w:h="16838" w:code="9"/>
          <w:pgMar w:top="1701" w:right="851" w:bottom="1985" w:left="1701" w:header="851" w:footer="567" w:gutter="0"/>
          <w:cols w:space="708"/>
          <w:titlePg/>
          <w:docGrid w:linePitch="360"/>
        </w:sectPr>
      </w:pPr>
    </w:p>
    <w:p w:rsidR="00000000" w:rsidRDefault="00000000">
      <w:pPr>
        <w:spacing w:after="240"/>
      </w:pPr>
      <w:r>
        <w:rPr>
          <w:noProof/>
          <w:sz w:val="20"/>
        </w:rPr>
        <w:pict>
          <v:shape id="_x0000_s1035" type="#_x0000_t75" style="position:absolute;margin-left:0;margin-top:0;width:664.8pt;height:5in;z-index:7;mso-wrap-edited:f" wrapcoords="10264 858 10215 1144 10337 1287 10800 1621 8923 1812 8923 2241 1316 2909 -24 2956 -24 21552 21600 21552 21600 2956 20259 2909 12653 2241 12653 1812 10800 1621 11019 1621 11385 1144 11361 858 10264 858">
            <v:imagedata r:id="rId10" o:title=""/>
            <w10:anchorlock/>
          </v:shape>
          <o:OLEObject Type="Embed" ProgID="Excel.Sheet.8" ShapeID="_x0000_s1035" DrawAspect="Content" ObjectID="_1418836533" r:id="rId11"/>
        </w:pict>
      </w: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sectPr w:rsidR="00000000">
          <w:headerReference w:type="default" r:id="rId12"/>
          <w:pgSz w:w="16838" w:h="11906" w:orient="landscape" w:code="9"/>
          <w:pgMar w:top="1701" w:right="1701" w:bottom="851" w:left="1985" w:header="851" w:footer="567" w:gutter="0"/>
          <w:cols w:space="708"/>
          <w:docGrid w:linePitch="360"/>
        </w:sectPr>
      </w:pPr>
    </w:p>
    <w:p w:rsidR="00000000" w:rsidRDefault="00000000">
      <w:pPr>
        <w:autoSpaceDE w:val="0"/>
        <w:autoSpaceDN w:val="0"/>
        <w:adjustRightInd w:val="0"/>
        <w:spacing w:after="240"/>
        <w:ind w:left="340" w:hanging="340"/>
        <w:jc w:val="center"/>
        <w:rPr>
          <w:b/>
          <w:bCs/>
          <w:szCs w:val="20"/>
        </w:rPr>
      </w:pPr>
      <w:r>
        <w:rPr>
          <w:b/>
          <w:bCs/>
          <w:szCs w:val="20"/>
        </w:rPr>
        <w:t>II.  MEDIDAS GENERALES DE APLICACIÓN</w:t>
      </w:r>
      <w:r>
        <w:rPr>
          <w:b/>
          <w:bCs/>
          <w:szCs w:val="20"/>
        </w:rPr>
        <w:br/>
        <w:t>(artículos 4 y 42 y párrafo 6 del artículo 44)</w:t>
      </w:r>
    </w:p>
    <w:p w:rsidR="00000000" w:rsidRDefault="00000000">
      <w:pPr>
        <w:autoSpaceDE w:val="0"/>
        <w:autoSpaceDN w:val="0"/>
        <w:adjustRightInd w:val="0"/>
        <w:spacing w:after="240"/>
        <w:rPr>
          <w:szCs w:val="20"/>
        </w:rPr>
      </w:pPr>
      <w:r>
        <w:rPr>
          <w:szCs w:val="20"/>
        </w:rPr>
        <w:t>10.</w:t>
      </w:r>
      <w:r>
        <w:rPr>
          <w:szCs w:val="20"/>
        </w:rPr>
        <w:tab/>
        <w:t>San Marino se adhirió a la Convención en 1991 por decisión del Gran y General Consejo (el Parlamento de la República), sobre la base de un estudio que reveló que su legislación nacional se ajustaba a los principios de la Convención.</w:t>
      </w:r>
    </w:p>
    <w:p w:rsidR="00000000" w:rsidRDefault="00000000">
      <w:pPr>
        <w:autoSpaceDE w:val="0"/>
        <w:autoSpaceDN w:val="0"/>
        <w:adjustRightInd w:val="0"/>
        <w:spacing w:after="240"/>
        <w:rPr>
          <w:szCs w:val="20"/>
        </w:rPr>
      </w:pPr>
      <w:r>
        <w:rPr>
          <w:szCs w:val="20"/>
        </w:rPr>
        <w:t>11.</w:t>
      </w:r>
      <w:r>
        <w:rPr>
          <w:szCs w:val="20"/>
        </w:rPr>
        <w:tab/>
        <w:t>El ordenamiento jurídico de la República en lo relativo a los menores y las relaciones entre padres e hijos se ha fortalecido aún más con la Convención, que tiene fuerza de legislación internacional vinculante.  Sus disposiciones serán de gran ayuda para la interpretación de futuras leyes.  Asimismo, ha llevado a una aplicación más limitada del</w:t>
      </w:r>
      <w:r>
        <w:rPr>
          <w:i/>
          <w:iCs/>
          <w:szCs w:val="20"/>
        </w:rPr>
        <w:t xml:space="preserve"> ius commune</w:t>
      </w:r>
      <w:r>
        <w:rPr>
          <w:szCs w:val="20"/>
        </w:rPr>
        <w:t xml:space="preserve"> (derecho común) de San Marino en esta esfera.</w:t>
      </w:r>
    </w:p>
    <w:p w:rsidR="00000000" w:rsidRDefault="00000000">
      <w:pPr>
        <w:autoSpaceDE w:val="0"/>
        <w:autoSpaceDN w:val="0"/>
        <w:adjustRightInd w:val="0"/>
        <w:spacing w:after="240"/>
        <w:rPr>
          <w:szCs w:val="20"/>
        </w:rPr>
      </w:pPr>
      <w:r>
        <w:rPr>
          <w:szCs w:val="20"/>
        </w:rPr>
        <w:t>12.</w:t>
      </w:r>
      <w:r>
        <w:rPr>
          <w:szCs w:val="20"/>
        </w:rPr>
        <w:tab/>
        <w:t>La adhesión de la República de San Marino a la Convención fue ampliamente recogida en la prensa local y una publicación que contiene la totalidad de su texto, en italiano, se envió a todas las familias.</w:t>
      </w:r>
    </w:p>
    <w:p w:rsidR="00000000" w:rsidRDefault="00000000">
      <w:pPr>
        <w:autoSpaceDE w:val="0"/>
        <w:autoSpaceDN w:val="0"/>
        <w:adjustRightInd w:val="0"/>
        <w:spacing w:after="480"/>
        <w:rPr>
          <w:szCs w:val="20"/>
        </w:rPr>
      </w:pPr>
      <w:r>
        <w:rPr>
          <w:szCs w:val="20"/>
        </w:rPr>
        <w:t>13.</w:t>
      </w:r>
      <w:r>
        <w:rPr>
          <w:szCs w:val="20"/>
        </w:rPr>
        <w:tab/>
        <w:t xml:space="preserve">Posteriormente, los principios consagrados en la Convención sobre los Derechos del Niño se han promovido aún más mediante diversas iniciativas especialmente organizadas dentro de las escuelas, por ejemplo con cursos, conferencias y representaciones teatrales.  El décimo aniversario de la Convención se conmemoró con la publicación en 1998 de la traducción al italiano del libro de Velimir Milosevic </w:t>
      </w:r>
      <w:r>
        <w:rPr>
          <w:i/>
          <w:iCs/>
          <w:szCs w:val="20"/>
        </w:rPr>
        <w:t>U svijetu pravde diecje</w:t>
      </w:r>
      <w:r>
        <w:rPr>
          <w:szCs w:val="20"/>
        </w:rPr>
        <w:t xml:space="preserve"> (Los derechos del niño), que contiene 40 poemas, cada uno de los cuales está dedicado a uno de los 40 artículos de la Convención.  Este libro se entregó a todas las familias de San Marino.</w:t>
      </w:r>
    </w:p>
    <w:p w:rsidR="00000000" w:rsidRDefault="00000000">
      <w:pPr>
        <w:autoSpaceDE w:val="0"/>
        <w:autoSpaceDN w:val="0"/>
        <w:adjustRightInd w:val="0"/>
        <w:spacing w:after="240"/>
        <w:jc w:val="center"/>
        <w:rPr>
          <w:b/>
          <w:bCs/>
          <w:szCs w:val="20"/>
        </w:rPr>
      </w:pPr>
      <w:r>
        <w:rPr>
          <w:b/>
          <w:bCs/>
          <w:szCs w:val="20"/>
        </w:rPr>
        <w:t>III.  DEFINICIÓN DEL NIÑO</w:t>
      </w:r>
    </w:p>
    <w:p w:rsidR="00000000" w:rsidRDefault="00000000">
      <w:pPr>
        <w:autoSpaceDE w:val="0"/>
        <w:autoSpaceDN w:val="0"/>
        <w:adjustRightInd w:val="0"/>
        <w:spacing w:after="240"/>
        <w:rPr>
          <w:szCs w:val="20"/>
          <w:u w:val="single"/>
        </w:rPr>
      </w:pPr>
      <w:r>
        <w:rPr>
          <w:b/>
          <w:bCs/>
          <w:szCs w:val="20"/>
        </w:rPr>
        <w:t>Artículo 1</w:t>
      </w:r>
    </w:p>
    <w:p w:rsidR="00000000" w:rsidRDefault="00000000">
      <w:pPr>
        <w:autoSpaceDE w:val="0"/>
        <w:autoSpaceDN w:val="0"/>
        <w:adjustRightInd w:val="0"/>
        <w:spacing w:after="240"/>
        <w:rPr>
          <w:lang w:val="es-ES_tradnl"/>
        </w:rPr>
      </w:pPr>
      <w:r>
        <w:rPr>
          <w:szCs w:val="20"/>
        </w:rPr>
        <w:t>14.</w:t>
      </w:r>
      <w:r>
        <w:rPr>
          <w:szCs w:val="20"/>
        </w:rPr>
        <w:tab/>
        <w:t>La Ley Nº 15 de 25 de junio de 1975 establece la mayoría de edad a los 18 años.  En el artículo 4 de la Ley Nº 49 de 26 de abril de 1986, "</w:t>
      </w:r>
      <w:r>
        <w:rPr>
          <w:lang w:val="es-ES_tradnl"/>
        </w:rPr>
        <w:t>Reforma del derecho de familia", se estipula que los menores no pueden contraer matrimonio a menos que un juez, tras consultar a los titulares de la patria potestad, establezca que existen motivos graves para autorizar a un menor, de por lo menos 16 años de edad, a contraer matrimonio.  Un menor que ha sido autorizado a contraer matrimonio tiene derecho a realizar todas las transacciones que se exponen en esa misma ley.</w:t>
      </w:r>
    </w:p>
    <w:p w:rsidR="00000000" w:rsidRDefault="00000000">
      <w:pPr>
        <w:autoSpaceDE w:val="0"/>
        <w:autoSpaceDN w:val="0"/>
        <w:adjustRightInd w:val="0"/>
        <w:spacing w:after="240"/>
        <w:rPr>
          <w:lang w:val="es-ES_tradnl"/>
        </w:rPr>
      </w:pPr>
      <w:r>
        <w:rPr>
          <w:lang w:val="es-ES_tradnl"/>
        </w:rPr>
        <w:t>15.</w:t>
      </w:r>
      <w:r>
        <w:rPr>
          <w:lang w:val="es-ES_tradnl"/>
        </w:rPr>
        <w:tab/>
        <w:t>Los padres ejercen la patria potestad sobre el menor hasta que este último alcanza la edad de 18 años o se emancipa.  El padre y la madre ejercen la patria potestad conjuntamente.  En caso de desacuerdo, pueden solicitar la intervención de un juez.  Tras oír a ambos padres y al menor, siempre y cuando este último haya cumplido los 14 años, el juez adoptará una decisión en el interés superior del niño.  Si no se llega a un acuerdo, el juez otorga el poder de decisión a aquel de los padres que, en su opinión, puede salvaguardar mejor los intereses del niño.</w:t>
      </w:r>
    </w:p>
    <w:p w:rsidR="00000000" w:rsidRDefault="00000000">
      <w:pPr>
        <w:autoSpaceDE w:val="0"/>
        <w:autoSpaceDN w:val="0"/>
        <w:adjustRightInd w:val="0"/>
        <w:spacing w:after="240"/>
        <w:rPr>
          <w:szCs w:val="20"/>
        </w:rPr>
      </w:pPr>
      <w:r>
        <w:rPr>
          <w:szCs w:val="20"/>
        </w:rPr>
        <w:t>16.</w:t>
      </w:r>
      <w:r>
        <w:rPr>
          <w:szCs w:val="20"/>
        </w:rPr>
        <w:tab/>
        <w:t>Los padres son los representantes legales de sus hijos menores y administran sus bienes.  En caso de administración desleal, el Comisario de la Ley puede adoptar medidas temporales, de oficio, en favor del menor.  Únicamente puede decidir la pérdida de la patria potestad un juez cuando uno de los padres falta a sus deberes gravemente o abusa de su autoridad en perjuicio del niño.</w:t>
      </w:r>
    </w:p>
    <w:p w:rsidR="00000000" w:rsidRDefault="00000000">
      <w:pPr>
        <w:autoSpaceDE w:val="0"/>
        <w:autoSpaceDN w:val="0"/>
        <w:adjustRightInd w:val="0"/>
        <w:spacing w:after="240"/>
        <w:rPr>
          <w:szCs w:val="20"/>
        </w:rPr>
      </w:pPr>
      <w:r>
        <w:rPr>
          <w:szCs w:val="20"/>
        </w:rPr>
        <w:t>17.</w:t>
      </w:r>
      <w:r>
        <w:rPr>
          <w:szCs w:val="20"/>
        </w:rPr>
        <w:tab/>
        <w:t>En caso de separación, anulación o disolución del matrimonio, únicamente ejerce la patria potestad aquel de los padres a quien se ha otorgado la custodia de los hijos.  Las decisiones más importantes en interés del niño serán adoptadas por ambos conjuntamente.  En caso de desacuerdo, puede solicitarse la intervención de un juez.  Si no se llega a una solución, la decisión será adoptada por aquel de los padres que tenga la custodia de los hijos.</w:t>
      </w:r>
    </w:p>
    <w:p w:rsidR="00000000" w:rsidRDefault="00000000">
      <w:pPr>
        <w:autoSpaceDE w:val="0"/>
        <w:autoSpaceDN w:val="0"/>
        <w:adjustRightInd w:val="0"/>
        <w:spacing w:after="240"/>
        <w:rPr>
          <w:szCs w:val="20"/>
        </w:rPr>
      </w:pPr>
      <w:r>
        <w:rPr>
          <w:szCs w:val="20"/>
        </w:rPr>
        <w:t>18.</w:t>
      </w:r>
      <w:r>
        <w:rPr>
          <w:szCs w:val="20"/>
        </w:rPr>
        <w:tab/>
        <w:t>En el artículo 10 del Código Penal de San Marino se estipula que a un niño menor de 12 años no se le puede acusar de un delito.  En cuanto a los menores que han cumplido 12 años pero no 18, el juez, tras determinar cuáles son sus capacidades mentales, les impondrá una pena reducida.  También puede otorgarse una mitigación de la pena a toda persona que fuera menor de 21 años en el momento de cometer el delito.</w:t>
      </w:r>
    </w:p>
    <w:p w:rsidR="00000000" w:rsidRDefault="00000000">
      <w:pPr>
        <w:autoSpaceDE w:val="0"/>
        <w:autoSpaceDN w:val="0"/>
        <w:adjustRightInd w:val="0"/>
        <w:spacing w:after="480"/>
        <w:rPr>
          <w:szCs w:val="20"/>
        </w:rPr>
      </w:pPr>
      <w:r>
        <w:rPr>
          <w:szCs w:val="20"/>
        </w:rPr>
        <w:t>19.</w:t>
      </w:r>
      <w:r>
        <w:rPr>
          <w:szCs w:val="20"/>
        </w:rPr>
        <w:tab/>
        <w:t>La educación es obligatoria hasta los 16 años.  Los titulares de la patria potestad o de la custodia legal supervisarán el cumplimiento efectivo de esta obligación.  Para garantizar la aplicación efectiva de esta disposición, no se autoriza a los empleadores a contratar trabajadores menores de 18 años o que no hayan completado la escolaridad obligatoria.  En San Marino no hay servicio militar obligatorio.</w:t>
      </w:r>
    </w:p>
    <w:p w:rsidR="00000000" w:rsidRDefault="00000000">
      <w:pPr>
        <w:autoSpaceDE w:val="0"/>
        <w:autoSpaceDN w:val="0"/>
        <w:adjustRightInd w:val="0"/>
        <w:spacing w:after="240"/>
        <w:jc w:val="center"/>
        <w:rPr>
          <w:b/>
          <w:bCs/>
          <w:szCs w:val="20"/>
        </w:rPr>
      </w:pPr>
      <w:r>
        <w:rPr>
          <w:b/>
          <w:bCs/>
          <w:szCs w:val="20"/>
        </w:rPr>
        <w:t>IV.  PRINCIPIOS GENERALES</w:t>
      </w:r>
    </w:p>
    <w:p w:rsidR="00000000" w:rsidRDefault="00000000">
      <w:pPr>
        <w:autoSpaceDE w:val="0"/>
        <w:autoSpaceDN w:val="0"/>
        <w:adjustRightInd w:val="0"/>
        <w:spacing w:after="240"/>
        <w:rPr>
          <w:b/>
          <w:bCs/>
          <w:szCs w:val="20"/>
        </w:rPr>
      </w:pPr>
      <w:r>
        <w:rPr>
          <w:b/>
          <w:bCs/>
          <w:szCs w:val="20"/>
        </w:rPr>
        <w:t>Artículo 2</w:t>
      </w:r>
    </w:p>
    <w:p w:rsidR="00000000" w:rsidRDefault="00000000">
      <w:pPr>
        <w:autoSpaceDE w:val="0"/>
        <w:autoSpaceDN w:val="0"/>
        <w:adjustRightInd w:val="0"/>
        <w:spacing w:after="240"/>
        <w:ind w:firstLine="567"/>
        <w:rPr>
          <w:b/>
          <w:bCs/>
          <w:szCs w:val="20"/>
        </w:rPr>
      </w:pPr>
      <w:r>
        <w:rPr>
          <w:b/>
          <w:bCs/>
          <w:szCs w:val="20"/>
        </w:rPr>
        <w:t>No discriminación</w:t>
      </w:r>
    </w:p>
    <w:p w:rsidR="00000000" w:rsidRDefault="00000000">
      <w:pPr>
        <w:autoSpaceDE w:val="0"/>
        <w:autoSpaceDN w:val="0"/>
        <w:adjustRightInd w:val="0"/>
        <w:spacing w:after="240"/>
        <w:rPr>
          <w:lang w:val="es-ES_tradnl"/>
        </w:rPr>
      </w:pPr>
      <w:r>
        <w:rPr>
          <w:szCs w:val="20"/>
        </w:rPr>
        <w:t>20.</w:t>
      </w:r>
      <w:r>
        <w:rPr>
          <w:szCs w:val="20"/>
        </w:rPr>
        <w:tab/>
        <w:t>El principio de igualdad que inspira este artículo está sancionado por lo dispuesto en el párrafo 1 del artículo 4 de la Ley Nº 59 de 8 de julio de 1974, "</w:t>
      </w:r>
      <w:r>
        <w:rPr>
          <w:lang w:val="es-ES_tradnl"/>
        </w:rPr>
        <w:t>Declaración de derechos de los ciudadanos y principios fundamentales del orden constitucional de San Marino", en el que se afirma lo siguiente:  "Todos los ciudadanos son iguales ante la ley, sin distinción basada en la situación personal, económica, política o religiosa".</w:t>
      </w:r>
    </w:p>
    <w:p w:rsidR="00000000" w:rsidRDefault="00000000">
      <w:pPr>
        <w:autoSpaceDE w:val="0"/>
        <w:autoSpaceDN w:val="0"/>
        <w:adjustRightInd w:val="0"/>
        <w:spacing w:after="240"/>
        <w:rPr>
          <w:szCs w:val="20"/>
        </w:rPr>
      </w:pPr>
      <w:r>
        <w:rPr>
          <w:szCs w:val="20"/>
        </w:rPr>
        <w:t>21.</w:t>
      </w:r>
      <w:r>
        <w:rPr>
          <w:szCs w:val="20"/>
        </w:rPr>
        <w:tab/>
        <w:t>Cabe señalar que la República es Parte en muchas convenciones internacionales que contienen disposiciones sobre el principio de la no discriminación.</w:t>
      </w:r>
    </w:p>
    <w:p w:rsidR="00000000" w:rsidRDefault="00000000">
      <w:pPr>
        <w:autoSpaceDE w:val="0"/>
        <w:autoSpaceDN w:val="0"/>
        <w:adjustRightInd w:val="0"/>
        <w:spacing w:after="240"/>
        <w:rPr>
          <w:b/>
          <w:bCs/>
          <w:szCs w:val="20"/>
        </w:rPr>
      </w:pPr>
      <w:r>
        <w:rPr>
          <w:b/>
          <w:bCs/>
          <w:szCs w:val="20"/>
        </w:rPr>
        <w:t>Artículo 3</w:t>
      </w:r>
    </w:p>
    <w:p w:rsidR="00000000" w:rsidRDefault="00000000">
      <w:pPr>
        <w:autoSpaceDE w:val="0"/>
        <w:autoSpaceDN w:val="0"/>
        <w:adjustRightInd w:val="0"/>
        <w:spacing w:after="240"/>
        <w:ind w:firstLine="567"/>
        <w:rPr>
          <w:b/>
          <w:bCs/>
          <w:szCs w:val="20"/>
        </w:rPr>
      </w:pPr>
      <w:r>
        <w:rPr>
          <w:b/>
          <w:bCs/>
          <w:szCs w:val="20"/>
        </w:rPr>
        <w:t>Interés superior del niño</w:t>
      </w:r>
    </w:p>
    <w:p w:rsidR="00000000" w:rsidRDefault="00000000">
      <w:pPr>
        <w:autoSpaceDE w:val="0"/>
        <w:autoSpaceDN w:val="0"/>
        <w:adjustRightInd w:val="0"/>
        <w:spacing w:after="240"/>
        <w:rPr>
          <w:szCs w:val="20"/>
        </w:rPr>
      </w:pPr>
      <w:r>
        <w:rPr>
          <w:szCs w:val="20"/>
        </w:rPr>
        <w:t>22.</w:t>
      </w:r>
      <w:r>
        <w:rPr>
          <w:szCs w:val="20"/>
        </w:rPr>
        <w:tab/>
        <w:t>El principio "</w:t>
      </w:r>
      <w:r>
        <w:rPr>
          <w:i/>
          <w:iCs/>
          <w:szCs w:val="20"/>
        </w:rPr>
        <w:t>de favorecer"</w:t>
      </w:r>
      <w:r>
        <w:rPr>
          <w:szCs w:val="20"/>
        </w:rPr>
        <w:t>, que se aplica a todas las cuestiones relativas a los niños, está contenido implícitamente en la legislación nacional de San Marino.  En este sentido, cabe señalar que el Código Penal de San Marino garantiza al menor sobre el que pesa una acusación el derecho a disponer de asistencia jurídica para su defensa en todas las fases del proceso.  Asimismo, en algunas de las disposiciones de la mencionada "Ley de reforma del derecho de familia" se  tienen en cuenta específicamente los intereses del menor, en particular, en caso de adopción y custodia de los hijos, así como en caso de separación de los padres.</w:t>
      </w:r>
    </w:p>
    <w:p w:rsidR="00000000" w:rsidRDefault="00000000">
      <w:pPr>
        <w:autoSpaceDE w:val="0"/>
        <w:autoSpaceDN w:val="0"/>
        <w:adjustRightInd w:val="0"/>
        <w:spacing w:after="240"/>
        <w:rPr>
          <w:szCs w:val="20"/>
        </w:rPr>
      </w:pPr>
      <w:r>
        <w:rPr>
          <w:szCs w:val="20"/>
        </w:rPr>
        <w:t>23.</w:t>
      </w:r>
      <w:r>
        <w:rPr>
          <w:szCs w:val="20"/>
        </w:rPr>
        <w:tab/>
        <w:t>En cuanto al compromiso contraído por los Estados Partes de garantizar la protección y la atención necesarias para el bienestar del niño, con la Ley Nº 21 de 3 de mayo 1977 sobre el servicio de asistencia social y de la salud se estableció un órgano específico, el Servicio de Menores, que se encarga de proporcionar a los menores asistencia médica y social, así como asistencia psicopedagógica, hasta la edad de 18 años.</w:t>
      </w:r>
    </w:p>
    <w:p w:rsidR="00000000" w:rsidRDefault="00000000">
      <w:pPr>
        <w:autoSpaceDE w:val="0"/>
        <w:autoSpaceDN w:val="0"/>
        <w:adjustRightInd w:val="0"/>
        <w:spacing w:after="240"/>
        <w:rPr>
          <w:b/>
          <w:bCs/>
          <w:szCs w:val="20"/>
        </w:rPr>
      </w:pPr>
      <w:r>
        <w:rPr>
          <w:b/>
          <w:bCs/>
          <w:szCs w:val="20"/>
        </w:rPr>
        <w:t>Artículo 6</w:t>
      </w:r>
    </w:p>
    <w:p w:rsidR="00000000" w:rsidRDefault="00000000">
      <w:pPr>
        <w:autoSpaceDE w:val="0"/>
        <w:autoSpaceDN w:val="0"/>
        <w:adjustRightInd w:val="0"/>
        <w:spacing w:after="240"/>
        <w:ind w:firstLine="567"/>
        <w:rPr>
          <w:b/>
          <w:bCs/>
          <w:szCs w:val="20"/>
        </w:rPr>
      </w:pPr>
      <w:r>
        <w:rPr>
          <w:b/>
          <w:bCs/>
          <w:szCs w:val="20"/>
        </w:rPr>
        <w:t>Derecho la vida, a la supervivencia y al desarrollo</w:t>
      </w:r>
    </w:p>
    <w:p w:rsidR="00000000" w:rsidRDefault="00000000">
      <w:pPr>
        <w:autoSpaceDE w:val="0"/>
        <w:autoSpaceDN w:val="0"/>
        <w:adjustRightInd w:val="0"/>
        <w:spacing w:after="240"/>
        <w:rPr>
          <w:szCs w:val="20"/>
        </w:rPr>
      </w:pPr>
      <w:r>
        <w:rPr>
          <w:szCs w:val="20"/>
        </w:rPr>
        <w:t>24.</w:t>
      </w:r>
      <w:r>
        <w:rPr>
          <w:szCs w:val="20"/>
        </w:rPr>
        <w:tab/>
        <w:t>El derecho a la vida forma parte de los derechos humanos inviolables expuestos en el artículo 5 de la mencionada Declaración de derechos de los ciudadanos de 1974.</w:t>
      </w:r>
    </w:p>
    <w:p w:rsidR="00000000" w:rsidRDefault="00000000">
      <w:pPr>
        <w:autoSpaceDE w:val="0"/>
        <w:autoSpaceDN w:val="0"/>
        <w:adjustRightInd w:val="0"/>
        <w:spacing w:after="240"/>
        <w:rPr>
          <w:szCs w:val="20"/>
        </w:rPr>
      </w:pPr>
      <w:r>
        <w:rPr>
          <w:szCs w:val="20"/>
        </w:rPr>
        <w:t>25.</w:t>
      </w:r>
      <w:r>
        <w:rPr>
          <w:szCs w:val="20"/>
        </w:rPr>
        <w:tab/>
        <w:t>Para asegurar que los recién nacidos reciben la atención necesaria de los padres trabajadores, la Ley Nº 111 de 15 de diciembre de 1994 otorga a las madres trabajadoras el derecho a una licencia, con un salario reducido, hasta que los hijos hayan cumplido 1 año de edad.  Durante ese período se mantiene el puesto de trabajo abierto para su regreso.  Si la madre trabajadora decide no aprovechar esa posibilidad, una vez expirado el período de licencia por maternidad, tiene derecho a recibir una licencia diaria remunerada de dos horas durante los diez meses siguientes, y en todo caso hasta que el hijo haya cumplido 1 año de edad.</w:t>
      </w:r>
    </w:p>
    <w:p w:rsidR="00000000" w:rsidRDefault="00000000">
      <w:pPr>
        <w:autoSpaceDE w:val="0"/>
        <w:autoSpaceDN w:val="0"/>
        <w:adjustRightInd w:val="0"/>
        <w:spacing w:after="240"/>
        <w:rPr>
          <w:szCs w:val="20"/>
        </w:rPr>
      </w:pPr>
      <w:r>
        <w:rPr>
          <w:szCs w:val="20"/>
        </w:rPr>
        <w:t>26.</w:t>
      </w:r>
      <w:r>
        <w:rPr>
          <w:szCs w:val="20"/>
        </w:rPr>
        <w:tab/>
        <w:t>En virtud de la Ley Nº 112 de 16 de diciembre de 1994, el padre o la madre pueden solicitar que su contrato de trabajo a tiempo completo se transforme en un contrato a tiempo parcial hasta que su hijo haya alcanzado la edad de 3 años.</w:t>
      </w:r>
    </w:p>
    <w:p w:rsidR="00000000" w:rsidRDefault="00000000">
      <w:pPr>
        <w:autoSpaceDE w:val="0"/>
        <w:autoSpaceDN w:val="0"/>
        <w:adjustRightInd w:val="0"/>
        <w:spacing w:after="240"/>
        <w:rPr>
          <w:szCs w:val="20"/>
        </w:rPr>
      </w:pPr>
      <w:r>
        <w:rPr>
          <w:szCs w:val="20"/>
        </w:rPr>
        <w:t>27.</w:t>
      </w:r>
      <w:r>
        <w:rPr>
          <w:szCs w:val="20"/>
        </w:rPr>
        <w:tab/>
        <w:t>El Código Penal castiga a la mujer embarazada que recurra al aborto voluntario, y a todo el que le preste asistencia para ello.  También castiga a quien practique un aborto, incluso aunque la mujer sea mayor de edad y haya expresado su consentimiento consciente.</w:t>
      </w:r>
    </w:p>
    <w:p w:rsidR="00000000" w:rsidRDefault="00000000">
      <w:pPr>
        <w:autoSpaceDE w:val="0"/>
        <w:autoSpaceDN w:val="0"/>
        <w:adjustRightInd w:val="0"/>
        <w:spacing w:after="240"/>
        <w:rPr>
          <w:szCs w:val="20"/>
        </w:rPr>
      </w:pPr>
    </w:p>
    <w:p w:rsidR="00000000" w:rsidRDefault="00000000">
      <w:pPr>
        <w:autoSpaceDE w:val="0"/>
        <w:autoSpaceDN w:val="0"/>
        <w:adjustRightInd w:val="0"/>
        <w:spacing w:after="240"/>
        <w:rPr>
          <w:szCs w:val="20"/>
        </w:rPr>
      </w:pPr>
    </w:p>
    <w:p w:rsidR="00000000" w:rsidRDefault="00000000">
      <w:pPr>
        <w:autoSpaceDE w:val="0"/>
        <w:autoSpaceDN w:val="0"/>
        <w:adjustRightInd w:val="0"/>
        <w:spacing w:after="240"/>
        <w:rPr>
          <w:szCs w:val="20"/>
        </w:rPr>
      </w:pPr>
      <w:r>
        <w:rPr>
          <w:szCs w:val="20"/>
        </w:rPr>
        <w:br w:type="page"/>
      </w:r>
      <w:r>
        <w:rPr>
          <w:noProof/>
          <w:sz w:val="20"/>
          <w:szCs w:val="20"/>
        </w:rPr>
        <w:pict>
          <v:shape id="_x0000_s1046" type="#_x0000_t75" style="position:absolute;margin-left:0;margin-top:25.8pt;width:468.5pt;height:443.9pt;z-index:14">
            <v:imagedata r:id="rId13" o:title=""/>
            <w10:wrap type="topAndBottom"/>
            <w10:anchorlock/>
          </v:shape>
          <o:OLEObject Type="Embed" ProgID="Excel.Sheet.8" ShapeID="_x0000_s1046" DrawAspect="Content" ObjectID="_1418836532" r:id="rId14"/>
        </w:pict>
      </w:r>
    </w:p>
    <w:p w:rsidR="00000000" w:rsidRDefault="00000000">
      <w:pPr>
        <w:autoSpaceDE w:val="0"/>
        <w:autoSpaceDN w:val="0"/>
        <w:adjustRightInd w:val="0"/>
        <w:spacing w:after="240"/>
        <w:rPr>
          <w:szCs w:val="20"/>
        </w:rPr>
      </w:pPr>
    </w:p>
    <w:p w:rsidR="00000000" w:rsidRDefault="00000000">
      <w:pPr>
        <w:autoSpaceDE w:val="0"/>
        <w:autoSpaceDN w:val="0"/>
        <w:adjustRightInd w:val="0"/>
        <w:spacing w:after="240"/>
        <w:rPr>
          <w:szCs w:val="20"/>
        </w:rPr>
      </w:pPr>
    </w:p>
    <w:p w:rsidR="00000000" w:rsidRDefault="00000000">
      <w:pPr>
        <w:autoSpaceDE w:val="0"/>
        <w:autoSpaceDN w:val="0"/>
        <w:adjustRightInd w:val="0"/>
        <w:spacing w:after="240"/>
        <w:rPr>
          <w:szCs w:val="20"/>
        </w:rPr>
      </w:pPr>
    </w:p>
    <w:p w:rsidR="00000000" w:rsidRDefault="00000000">
      <w:pPr>
        <w:autoSpaceDE w:val="0"/>
        <w:autoSpaceDN w:val="0"/>
        <w:adjustRightInd w:val="0"/>
        <w:spacing w:after="240"/>
        <w:rPr>
          <w:szCs w:val="20"/>
        </w:rPr>
      </w:pPr>
    </w:p>
    <w:p w:rsidR="00000000" w:rsidRDefault="00000000">
      <w:pPr>
        <w:autoSpaceDE w:val="0"/>
        <w:autoSpaceDN w:val="0"/>
        <w:adjustRightInd w:val="0"/>
        <w:spacing w:after="240"/>
        <w:rPr>
          <w:szCs w:val="20"/>
        </w:rPr>
      </w:pPr>
    </w:p>
    <w:p w:rsidR="00000000" w:rsidRDefault="00000000">
      <w:pPr>
        <w:autoSpaceDE w:val="0"/>
        <w:autoSpaceDN w:val="0"/>
        <w:adjustRightInd w:val="0"/>
        <w:spacing w:after="240"/>
        <w:rPr>
          <w:szCs w:val="20"/>
        </w:rPr>
      </w:pPr>
    </w:p>
    <w:p w:rsidR="00000000" w:rsidRDefault="00000000">
      <w:pPr>
        <w:autoSpaceDE w:val="0"/>
        <w:autoSpaceDN w:val="0"/>
        <w:adjustRightInd w:val="0"/>
        <w:spacing w:after="240"/>
        <w:rPr>
          <w:szCs w:val="20"/>
        </w:rPr>
      </w:pPr>
    </w:p>
    <w:p w:rsidR="00000000" w:rsidRDefault="00000000">
      <w:pPr>
        <w:autoSpaceDE w:val="0"/>
        <w:autoSpaceDN w:val="0"/>
        <w:adjustRightInd w:val="0"/>
        <w:spacing w:after="240"/>
        <w:rPr>
          <w:b/>
          <w:bCs/>
          <w:szCs w:val="20"/>
        </w:rPr>
      </w:pPr>
      <w:r>
        <w:rPr>
          <w:b/>
          <w:bCs/>
          <w:szCs w:val="20"/>
        </w:rPr>
        <w:br w:type="page"/>
        <w:t>Artículo 12</w:t>
      </w:r>
    </w:p>
    <w:p w:rsidR="00000000" w:rsidRDefault="00000000">
      <w:pPr>
        <w:autoSpaceDE w:val="0"/>
        <w:autoSpaceDN w:val="0"/>
        <w:adjustRightInd w:val="0"/>
        <w:spacing w:after="240"/>
        <w:ind w:firstLine="567"/>
        <w:rPr>
          <w:b/>
          <w:bCs/>
          <w:szCs w:val="20"/>
        </w:rPr>
      </w:pPr>
      <w:r>
        <w:rPr>
          <w:b/>
          <w:bCs/>
          <w:szCs w:val="20"/>
        </w:rPr>
        <w:t>Respeto de las opiniones del niño</w:t>
      </w:r>
    </w:p>
    <w:p w:rsidR="00000000" w:rsidRDefault="00000000">
      <w:pPr>
        <w:autoSpaceDE w:val="0"/>
        <w:autoSpaceDN w:val="0"/>
        <w:adjustRightInd w:val="0"/>
        <w:spacing w:after="480"/>
        <w:rPr>
          <w:szCs w:val="20"/>
        </w:rPr>
      </w:pPr>
      <w:r>
        <w:rPr>
          <w:szCs w:val="20"/>
        </w:rPr>
        <w:t>28.</w:t>
      </w:r>
      <w:r>
        <w:rPr>
          <w:szCs w:val="20"/>
        </w:rPr>
        <w:tab/>
        <w:t>En la Ley Nº 59/1974 se estipula que todos tienen derecho a expresar sus opiniones.  El artículo 12 de la Convención se aplica plenamente, ya que las medidas que pueden afectar a un menor se adoptan únicamente después de que el Servicio de Menores del Instituto de Seguridad Social haya oído al menor.</w:t>
      </w:r>
    </w:p>
    <w:p w:rsidR="00000000" w:rsidRDefault="00000000">
      <w:pPr>
        <w:keepNext/>
        <w:keepLines/>
        <w:autoSpaceDE w:val="0"/>
        <w:autoSpaceDN w:val="0"/>
        <w:adjustRightInd w:val="0"/>
        <w:spacing w:after="240"/>
        <w:jc w:val="center"/>
        <w:rPr>
          <w:b/>
          <w:bCs/>
          <w:szCs w:val="20"/>
        </w:rPr>
      </w:pPr>
      <w:r>
        <w:rPr>
          <w:b/>
          <w:bCs/>
          <w:szCs w:val="20"/>
        </w:rPr>
        <w:t>V.  DERECHOS Y LIBERTADES CIVILES</w:t>
      </w:r>
    </w:p>
    <w:p w:rsidR="00000000" w:rsidRDefault="00000000">
      <w:pPr>
        <w:keepNext/>
        <w:keepLines/>
        <w:autoSpaceDE w:val="0"/>
        <w:autoSpaceDN w:val="0"/>
        <w:adjustRightInd w:val="0"/>
        <w:spacing w:after="240"/>
        <w:rPr>
          <w:szCs w:val="20"/>
          <w:u w:val="single"/>
        </w:rPr>
      </w:pPr>
      <w:r>
        <w:rPr>
          <w:b/>
          <w:bCs/>
          <w:szCs w:val="20"/>
        </w:rPr>
        <w:t>Artículo 7</w:t>
      </w:r>
    </w:p>
    <w:p w:rsidR="00000000" w:rsidRDefault="00000000">
      <w:pPr>
        <w:autoSpaceDE w:val="0"/>
        <w:autoSpaceDN w:val="0"/>
        <w:adjustRightInd w:val="0"/>
        <w:spacing w:after="240"/>
        <w:ind w:firstLine="567"/>
        <w:rPr>
          <w:b/>
          <w:bCs/>
          <w:szCs w:val="20"/>
        </w:rPr>
      </w:pPr>
      <w:r>
        <w:rPr>
          <w:b/>
          <w:bCs/>
          <w:szCs w:val="20"/>
        </w:rPr>
        <w:t>El derecho a un nombre y a una nacionalidad</w:t>
      </w:r>
    </w:p>
    <w:p w:rsidR="00000000" w:rsidRDefault="00000000">
      <w:pPr>
        <w:autoSpaceDE w:val="0"/>
        <w:autoSpaceDN w:val="0"/>
        <w:adjustRightInd w:val="0"/>
        <w:spacing w:after="240"/>
        <w:rPr>
          <w:szCs w:val="20"/>
        </w:rPr>
      </w:pPr>
      <w:r>
        <w:rPr>
          <w:szCs w:val="20"/>
        </w:rPr>
        <w:t>29.</w:t>
      </w:r>
      <w:r>
        <w:rPr>
          <w:szCs w:val="20"/>
        </w:rPr>
        <w:tab/>
        <w:t>En la Ley Nº 114 de 30 de noviembre de 2000 se establece que son ciudadanos de origen de San Marino los niños nacidos de padres que son ambos de nacionalidad de San Marino, así como los niños nacidos de padre de San Marino y madre extranjera, o los niños nacidos de padre extranjero y madre de San Marino, siempre y cuando, en los 12 meses posteriores a la obtención de la mayoría de edad, declaren su intención de mantener la ciudadanía del padre o la de la madre, respectivamente.  También son ciudadanos de origen de San Marino los niños nacidos de un padre o madre de San Marino cuando el otro es de origen desconocido o apátrida, los niños adoptados por un ciudadano de San Marino y los niños nacidos en el territorio de la República, si ambos padres son de nacionalidad desconocida o apátridas.</w:t>
      </w:r>
    </w:p>
    <w:p w:rsidR="00000000" w:rsidRDefault="00000000">
      <w:pPr>
        <w:autoSpaceDE w:val="0"/>
        <w:autoSpaceDN w:val="0"/>
        <w:adjustRightInd w:val="0"/>
        <w:spacing w:after="240"/>
        <w:rPr>
          <w:szCs w:val="20"/>
        </w:rPr>
      </w:pPr>
      <w:r>
        <w:rPr>
          <w:szCs w:val="20"/>
        </w:rPr>
        <w:t>30.</w:t>
      </w:r>
      <w:r>
        <w:rPr>
          <w:szCs w:val="20"/>
        </w:rPr>
        <w:tab/>
        <w:t>En la Ley que regula la Oficina del Registro de San Marino (Ley de 5 de octubre de 1996) se estipula que todos los nacimientos deben comunicarse al Secretario del Registro en un plazo máximo de diez días.  Puede comunicar el nacimiento el padre, la madre o un representante de su elección o, en su ausencia, el médico o cualquier otra persona que asistiera al nacimiento.  En todos los certificados de nacimiento se indicarán el lugar, el día y la hora de nacimiento, así como el sexo y el nombre de pila del niño.</w:t>
      </w:r>
    </w:p>
    <w:p w:rsidR="00000000" w:rsidRDefault="00000000">
      <w:pPr>
        <w:autoSpaceDE w:val="0"/>
        <w:autoSpaceDN w:val="0"/>
        <w:adjustRightInd w:val="0"/>
        <w:spacing w:after="240"/>
        <w:rPr>
          <w:szCs w:val="20"/>
        </w:rPr>
      </w:pPr>
      <w:r>
        <w:rPr>
          <w:szCs w:val="20"/>
        </w:rPr>
        <w:t>31.</w:t>
      </w:r>
      <w:r>
        <w:rPr>
          <w:szCs w:val="20"/>
        </w:rPr>
        <w:tab/>
        <w:t>Si la persona que informa del nacimiento no impone ningún nombre al niño, éste le será impuesto por el Secretario del Registro dentro de los diez días posteriores el nacimiento.  Este mismo funcionario también impondrá un nombre y un apellido a los hijos de padres desconocidos.</w:t>
      </w:r>
    </w:p>
    <w:p w:rsidR="00000000" w:rsidRDefault="00000000">
      <w:pPr>
        <w:autoSpaceDE w:val="0"/>
        <w:autoSpaceDN w:val="0"/>
        <w:adjustRightInd w:val="0"/>
        <w:spacing w:after="240"/>
        <w:rPr>
          <w:szCs w:val="20"/>
        </w:rPr>
      </w:pPr>
      <w:r>
        <w:rPr>
          <w:szCs w:val="20"/>
        </w:rPr>
        <w:br w:type="page"/>
      </w:r>
      <w:r>
        <w:rPr>
          <w:noProof/>
          <w:sz w:val="20"/>
          <w:szCs w:val="20"/>
        </w:rPr>
        <w:pict>
          <v:shape id="_x0000_s1044" type="#_x0000_t75" style="position:absolute;margin-left:0;margin-top:0;width:467.5pt;height:360.5pt;z-index:13;mso-wrap-edited:f" wrapcoords="10020 584 9951 853 10124 988 10783 1302 5963 1482 5963 1931 10783 2021 555 2335 -35 2335 -35 13113 6379 13517 10783 13517 10783 14954 10089 15313 9951 15448 10020 15672 6137 16301 728 16885 -35 16930 -35 21555 21600 21555 21600 16930 15463 16346 11615 15672 11684 15448 11545 15313 10748 14954 10783 13517 15186 13517 21600 13113 21600 2335 21011 2335 10783 2021 15602 1886 15602 1482 10783 1302 11095 1302 11615 853 11580 584 10020 584">
            <v:imagedata r:id="rId15" o:title=""/>
            <w10:anchorlock/>
          </v:shape>
          <o:OLEObject Type="Embed" ProgID="Excel.Sheet.8" ShapeID="_x0000_s1044" DrawAspect="Content" ObjectID="_1418836531" r:id="rId16"/>
        </w:pict>
      </w:r>
    </w:p>
    <w:p w:rsidR="00000000" w:rsidRDefault="00000000">
      <w:pPr>
        <w:autoSpaceDE w:val="0"/>
        <w:autoSpaceDN w:val="0"/>
        <w:adjustRightInd w:val="0"/>
        <w:spacing w:after="240"/>
        <w:rPr>
          <w:szCs w:val="20"/>
        </w:rPr>
      </w:pPr>
    </w:p>
    <w:p w:rsidR="00000000" w:rsidRDefault="00000000">
      <w:pPr>
        <w:autoSpaceDE w:val="0"/>
        <w:autoSpaceDN w:val="0"/>
        <w:adjustRightInd w:val="0"/>
        <w:spacing w:after="240"/>
        <w:rPr>
          <w:szCs w:val="20"/>
        </w:rPr>
      </w:pPr>
    </w:p>
    <w:p w:rsidR="00000000" w:rsidRDefault="00000000">
      <w:pPr>
        <w:autoSpaceDE w:val="0"/>
        <w:autoSpaceDN w:val="0"/>
        <w:adjustRightInd w:val="0"/>
        <w:spacing w:after="240"/>
        <w:rPr>
          <w:szCs w:val="20"/>
        </w:rPr>
      </w:pPr>
    </w:p>
    <w:p w:rsidR="00000000" w:rsidRDefault="00000000">
      <w:pPr>
        <w:autoSpaceDE w:val="0"/>
        <w:autoSpaceDN w:val="0"/>
        <w:adjustRightInd w:val="0"/>
        <w:spacing w:after="240"/>
        <w:rPr>
          <w:szCs w:val="20"/>
        </w:rPr>
      </w:pPr>
    </w:p>
    <w:p w:rsidR="00000000" w:rsidRDefault="00000000">
      <w:pPr>
        <w:autoSpaceDE w:val="0"/>
        <w:autoSpaceDN w:val="0"/>
        <w:adjustRightInd w:val="0"/>
        <w:spacing w:after="240"/>
        <w:rPr>
          <w:szCs w:val="20"/>
        </w:rPr>
      </w:pPr>
    </w:p>
    <w:p w:rsidR="00000000" w:rsidRDefault="00000000">
      <w:pPr>
        <w:autoSpaceDE w:val="0"/>
        <w:autoSpaceDN w:val="0"/>
        <w:adjustRightInd w:val="0"/>
        <w:spacing w:after="240"/>
        <w:rPr>
          <w:szCs w:val="20"/>
        </w:rPr>
      </w:pPr>
    </w:p>
    <w:p w:rsidR="00000000" w:rsidRDefault="00000000">
      <w:pPr>
        <w:autoSpaceDE w:val="0"/>
        <w:autoSpaceDN w:val="0"/>
        <w:adjustRightInd w:val="0"/>
        <w:spacing w:after="240"/>
        <w:rPr>
          <w:szCs w:val="20"/>
        </w:rPr>
      </w:pPr>
    </w:p>
    <w:p w:rsidR="00000000" w:rsidRDefault="00000000">
      <w:pPr>
        <w:autoSpaceDE w:val="0"/>
        <w:autoSpaceDN w:val="0"/>
        <w:adjustRightInd w:val="0"/>
        <w:spacing w:after="240"/>
        <w:rPr>
          <w:szCs w:val="20"/>
        </w:rPr>
      </w:pPr>
    </w:p>
    <w:p w:rsidR="00000000" w:rsidRDefault="00000000">
      <w:pPr>
        <w:autoSpaceDE w:val="0"/>
        <w:autoSpaceDN w:val="0"/>
        <w:adjustRightInd w:val="0"/>
        <w:spacing w:after="240"/>
        <w:rPr>
          <w:szCs w:val="20"/>
        </w:rPr>
      </w:pPr>
    </w:p>
    <w:p w:rsidR="00000000" w:rsidRDefault="00000000">
      <w:pPr>
        <w:autoSpaceDE w:val="0"/>
        <w:autoSpaceDN w:val="0"/>
        <w:adjustRightInd w:val="0"/>
        <w:spacing w:after="240"/>
        <w:rPr>
          <w:szCs w:val="20"/>
        </w:rPr>
      </w:pPr>
    </w:p>
    <w:p w:rsidR="00000000" w:rsidRDefault="00000000">
      <w:pPr>
        <w:autoSpaceDE w:val="0"/>
        <w:autoSpaceDN w:val="0"/>
        <w:adjustRightInd w:val="0"/>
        <w:spacing w:after="240"/>
        <w:rPr>
          <w:szCs w:val="20"/>
        </w:rPr>
      </w:pPr>
    </w:p>
    <w:p w:rsidR="00000000" w:rsidRDefault="00000000">
      <w:pPr>
        <w:autoSpaceDE w:val="0"/>
        <w:autoSpaceDN w:val="0"/>
        <w:adjustRightInd w:val="0"/>
        <w:spacing w:after="240"/>
        <w:rPr>
          <w:szCs w:val="20"/>
        </w:rPr>
      </w:pPr>
    </w:p>
    <w:p w:rsidR="00000000" w:rsidRDefault="00000000">
      <w:pPr>
        <w:autoSpaceDE w:val="0"/>
        <w:autoSpaceDN w:val="0"/>
        <w:adjustRightInd w:val="0"/>
        <w:spacing w:after="240"/>
        <w:rPr>
          <w:szCs w:val="20"/>
        </w:rPr>
      </w:pPr>
    </w:p>
    <w:p w:rsidR="00000000" w:rsidRDefault="00000000">
      <w:pPr>
        <w:autoSpaceDE w:val="0"/>
        <w:autoSpaceDN w:val="0"/>
        <w:adjustRightInd w:val="0"/>
        <w:spacing w:after="240"/>
        <w:rPr>
          <w:szCs w:val="20"/>
        </w:rPr>
      </w:pPr>
    </w:p>
    <w:p w:rsidR="00000000" w:rsidRDefault="00000000">
      <w:pPr>
        <w:autoSpaceDE w:val="0"/>
        <w:autoSpaceDN w:val="0"/>
        <w:adjustRightInd w:val="0"/>
        <w:spacing w:after="240"/>
        <w:rPr>
          <w:b/>
          <w:bCs/>
          <w:szCs w:val="20"/>
        </w:rPr>
      </w:pPr>
      <w:r>
        <w:rPr>
          <w:b/>
          <w:bCs/>
          <w:szCs w:val="20"/>
        </w:rPr>
        <w:t>Artículo 8</w:t>
      </w:r>
    </w:p>
    <w:p w:rsidR="00000000" w:rsidRDefault="00000000">
      <w:pPr>
        <w:autoSpaceDE w:val="0"/>
        <w:autoSpaceDN w:val="0"/>
        <w:adjustRightInd w:val="0"/>
        <w:spacing w:after="240"/>
        <w:ind w:firstLine="567"/>
        <w:rPr>
          <w:b/>
          <w:bCs/>
          <w:szCs w:val="20"/>
        </w:rPr>
      </w:pPr>
      <w:r>
        <w:rPr>
          <w:b/>
          <w:bCs/>
          <w:szCs w:val="20"/>
        </w:rPr>
        <w:t>Respeto de la identidad del niño</w:t>
      </w:r>
    </w:p>
    <w:p w:rsidR="00000000" w:rsidRDefault="00000000">
      <w:pPr>
        <w:autoSpaceDE w:val="0"/>
        <w:autoSpaceDN w:val="0"/>
        <w:adjustRightInd w:val="0"/>
        <w:spacing w:after="240"/>
        <w:rPr>
          <w:szCs w:val="20"/>
        </w:rPr>
      </w:pPr>
      <w:r>
        <w:rPr>
          <w:szCs w:val="20"/>
        </w:rPr>
        <w:t>32.</w:t>
      </w:r>
      <w:r>
        <w:rPr>
          <w:szCs w:val="20"/>
        </w:rPr>
        <w:tab/>
        <w:t>Esta disposición general abarca diversos casos, incluidos los previstos en los artículos 229 y 230 del Código Penal de San Marino.</w:t>
      </w:r>
    </w:p>
    <w:p w:rsidR="00000000" w:rsidRDefault="00000000">
      <w:pPr>
        <w:autoSpaceDE w:val="0"/>
        <w:autoSpaceDN w:val="0"/>
        <w:adjustRightInd w:val="0"/>
        <w:spacing w:after="240"/>
        <w:rPr>
          <w:szCs w:val="20"/>
        </w:rPr>
      </w:pPr>
      <w:r>
        <w:rPr>
          <w:szCs w:val="20"/>
        </w:rPr>
        <w:t>33.</w:t>
      </w:r>
      <w:r>
        <w:rPr>
          <w:szCs w:val="20"/>
        </w:rPr>
        <w:tab/>
        <w:t>En virtud del artículo 229, "Ocultación del estado civil de una persona", se castiga a toda persona que no informe de un nacimiento o que oculte el estado de una persona inscrita oficialmente en el Registro Oficial.</w:t>
      </w:r>
    </w:p>
    <w:p w:rsidR="00000000" w:rsidRDefault="00000000">
      <w:pPr>
        <w:autoSpaceDE w:val="0"/>
        <w:autoSpaceDN w:val="0"/>
        <w:adjustRightInd w:val="0"/>
        <w:spacing w:after="240"/>
        <w:rPr>
          <w:szCs w:val="20"/>
        </w:rPr>
      </w:pPr>
      <w:r>
        <w:rPr>
          <w:szCs w:val="20"/>
        </w:rPr>
        <w:t>34.</w:t>
      </w:r>
      <w:r>
        <w:rPr>
          <w:szCs w:val="20"/>
        </w:rPr>
        <w:tab/>
        <w:t>En virtud del artículo 230, "Modificación de la situación familiar de una persona", se castiga a toda persona que, por invención de un nacimiento o sustitución de un niño, o mediante la aportación de información falsa en el momento de la comunicación del nacimiento, atribuya a alguien una situación de filiación legítima que no existe o que es distinta de la reconocida por la ley.</w:t>
      </w:r>
    </w:p>
    <w:p w:rsidR="00000000" w:rsidRDefault="00000000">
      <w:pPr>
        <w:keepNext/>
        <w:keepLines/>
        <w:autoSpaceDE w:val="0"/>
        <w:autoSpaceDN w:val="0"/>
        <w:adjustRightInd w:val="0"/>
        <w:spacing w:after="240"/>
        <w:ind w:firstLine="567"/>
        <w:rPr>
          <w:i/>
          <w:iCs/>
          <w:szCs w:val="20"/>
        </w:rPr>
      </w:pPr>
      <w:r>
        <w:rPr>
          <w:i/>
          <w:iCs/>
          <w:szCs w:val="20"/>
        </w:rPr>
        <w:t>Filiación legítima</w:t>
      </w:r>
    </w:p>
    <w:p w:rsidR="00000000" w:rsidRDefault="00000000">
      <w:pPr>
        <w:autoSpaceDE w:val="0"/>
        <w:autoSpaceDN w:val="0"/>
        <w:adjustRightInd w:val="0"/>
        <w:spacing w:after="240"/>
        <w:rPr>
          <w:szCs w:val="20"/>
        </w:rPr>
      </w:pPr>
      <w:r>
        <w:rPr>
          <w:szCs w:val="20"/>
        </w:rPr>
        <w:t>35.</w:t>
      </w:r>
      <w:r>
        <w:rPr>
          <w:szCs w:val="20"/>
        </w:rPr>
        <w:tab/>
        <w:t>En el artículo 33 de la Ley Nº 49/86, "Reforma del derecho de familia", se expone que el marido es el padre del hijo concebido durante el matrimonio, al que da su apellido.  Además, en el artículo 34 se establece que se entenderá que la concepción ha tenido lugar durante el matrimonio si el nacimiento se produce en el período comprendido entre 180 días después de la celebración del matrimonio y 300 días después de la declaración de la anulación, la disolución y la terminación de todos los efectos civiles del matrimonio.  Cualquiera de los esposos y sus herederos tiene la posibilidad de demostrar que un niño nacido en una fecha que no entra en estos límites fue concebido durante el matrimonio (arts. 3 y 5).  Tanto el marido como la mujer tienen derecho, en casos específicos determinados por la ley, a negar la paternidad de un hijo concebido durante el matrimonio (art. 36).</w:t>
      </w:r>
    </w:p>
    <w:p w:rsidR="00000000" w:rsidRDefault="00000000">
      <w:pPr>
        <w:autoSpaceDE w:val="0"/>
        <w:autoSpaceDN w:val="0"/>
        <w:adjustRightInd w:val="0"/>
        <w:spacing w:after="240"/>
        <w:rPr>
          <w:szCs w:val="20"/>
        </w:rPr>
      </w:pPr>
      <w:r>
        <w:rPr>
          <w:szCs w:val="20"/>
        </w:rPr>
        <w:t>36.</w:t>
      </w:r>
      <w:r>
        <w:rPr>
          <w:szCs w:val="20"/>
        </w:rPr>
        <w:tab/>
        <w:t>La filiación legítima se demuestra con la presentación del certificado de nacimiento en la Oficina del Registro.  En ausencia de un certificado de nacimiento, la condición ininterrumpida de hijo legítimo basta para demostrar la legitimidad del hijo (art. 37).  En todo fallo de negación de paternidad, el supuesto padre, la madre y el hijo son partes necesarias.  Si una de las partes es un menor o ha sido inhabilitado, el Comisario de la Ley nombrará a un comisario especial.  Si una de estas partes ha muerto, puede presentarse una demanda de legitimación contra los antepasados o los herederos.  Puede presentar una demanda para rechazar la filiación legítima cualquier persona que en el certificado de nacimiento conste como el padre o la madre, o cualquier otra parte interesada.  Este tipo de acción judicial no está sometido a ningún plazo de prescripción (art. 42).</w:t>
      </w:r>
    </w:p>
    <w:p w:rsidR="00000000" w:rsidRDefault="00000000">
      <w:pPr>
        <w:spacing w:after="240"/>
        <w:ind w:firstLine="567"/>
        <w:rPr>
          <w:i/>
          <w:iCs/>
          <w:lang w:val="es-ES_tradnl"/>
        </w:rPr>
      </w:pPr>
      <w:r>
        <w:rPr>
          <w:i/>
          <w:iCs/>
          <w:lang w:val="es-ES_tradnl"/>
        </w:rPr>
        <w:t>Filiación natural</w:t>
      </w:r>
    </w:p>
    <w:p w:rsidR="00000000" w:rsidRDefault="00000000">
      <w:pPr>
        <w:spacing w:after="240"/>
        <w:rPr>
          <w:lang w:val="es-ES_tradnl"/>
        </w:rPr>
      </w:pPr>
      <w:r>
        <w:rPr>
          <w:lang w:val="es-ES_tradnl"/>
        </w:rPr>
        <w:t>37.</w:t>
      </w:r>
      <w:r>
        <w:rPr>
          <w:lang w:val="es-ES_tradnl"/>
        </w:rPr>
        <w:tab/>
        <w:t>En el artículo 12 de la Declaración de derechos de los ciudadanos de 1974 se estipula que los hijos nacidos fuera del matrimonio gozarán de la necesaria protección espiritual, jurídica y social.</w:t>
      </w:r>
    </w:p>
    <w:p w:rsidR="00000000" w:rsidRDefault="00000000">
      <w:pPr>
        <w:spacing w:after="240"/>
        <w:rPr>
          <w:lang w:val="es-ES_tradnl"/>
        </w:rPr>
      </w:pPr>
      <w:r>
        <w:rPr>
          <w:lang w:val="es-ES_tradnl"/>
        </w:rPr>
        <w:t>38.</w:t>
      </w:r>
      <w:r>
        <w:rPr>
          <w:lang w:val="es-ES_tradnl"/>
        </w:rPr>
        <w:tab/>
        <w:t>En virtud de lo dispuesto en la Ley de reforma del derecho de familia de 1986, los hijos nacidos fuera del matrimonio pueden ser reconocidos por el padre o por la madre, conjunta o separadamente, incluso si ya estuvieran unidos en matrimonio a otra persona.  Si uno o ambos padres fuesen menores, el hijo puede ser reconocido por la persona que ejerce la patria potestad sobre el recién nacido o sobre los padres menores de edad.</w:t>
      </w:r>
    </w:p>
    <w:p w:rsidR="00000000" w:rsidRDefault="00000000">
      <w:pPr>
        <w:spacing w:after="240"/>
        <w:rPr>
          <w:lang w:val="es-ES_tradnl"/>
        </w:rPr>
      </w:pPr>
      <w:r>
        <w:rPr>
          <w:lang w:val="es-ES_tradnl"/>
        </w:rPr>
        <w:t>39.</w:t>
      </w:r>
      <w:r>
        <w:rPr>
          <w:lang w:val="es-ES_tradnl"/>
        </w:rPr>
        <w:tab/>
        <w:t>El reconocimiento de un hijo que haya alcanzado la edad de 16 años no surtirá efecto sin su consentimiento (art. 43).  El reconocimiento de un hijo natural se inscribirá en el certificado de nacimiento, o podrá registrase en una declaración especial formulada ante el Secretario del Registro con posterioridad al nacimiento o la concepción del hijo, en un documento público, o en un testamento otorgado ante el Comisario de la Ley (art. 45).  También podrá reconocerse a un hijo ya fallecido en favor de sus descendientes.  Como consecuencia del reconocimiento, el hijo natural obtiene, en virtud de la ley, la condición plena de hijo legítimo, incluido el derecho a la herencia.  Los hijos naturales reconocidos llevarán el apellido del progenitor que le reconociese primero.  Si ambos padres reconociesen simultáneamente a un hijo, éste llevará el apellido del padre (art. 49).</w:t>
      </w:r>
    </w:p>
    <w:p w:rsidR="00000000" w:rsidRDefault="00000000">
      <w:pPr>
        <w:keepNext/>
        <w:keepLines/>
        <w:spacing w:after="240"/>
        <w:rPr>
          <w:b/>
          <w:bCs/>
          <w:lang w:val="es-ES_tradnl"/>
        </w:rPr>
      </w:pPr>
      <w:r>
        <w:rPr>
          <w:b/>
          <w:bCs/>
          <w:lang w:val="es-ES_tradnl"/>
        </w:rPr>
        <w:t>Artículo 13</w:t>
      </w:r>
    </w:p>
    <w:p w:rsidR="00000000" w:rsidRDefault="00000000">
      <w:pPr>
        <w:keepNext/>
        <w:keepLines/>
        <w:spacing w:after="240"/>
        <w:ind w:firstLine="567"/>
        <w:rPr>
          <w:b/>
          <w:bCs/>
          <w:lang w:val="es-ES_tradnl"/>
        </w:rPr>
      </w:pPr>
      <w:r>
        <w:rPr>
          <w:b/>
          <w:bCs/>
          <w:lang w:val="es-ES_tradnl"/>
        </w:rPr>
        <w:t>Libertad de expresión</w:t>
      </w:r>
    </w:p>
    <w:p w:rsidR="00000000" w:rsidRDefault="00000000">
      <w:pPr>
        <w:spacing w:after="240"/>
        <w:rPr>
          <w:lang w:val="es-ES_tradnl"/>
        </w:rPr>
      </w:pPr>
      <w:r>
        <w:rPr>
          <w:lang w:val="es-ES_tradnl"/>
        </w:rPr>
        <w:t>40.</w:t>
      </w:r>
      <w:r>
        <w:rPr>
          <w:lang w:val="es-ES_tradnl"/>
        </w:rPr>
        <w:tab/>
        <w:t>La libertad de expresión se contempla en los derechos consagrados en el artículo 6 de la Declaración de 1974.</w:t>
      </w:r>
    </w:p>
    <w:p w:rsidR="00000000" w:rsidRDefault="00000000">
      <w:pPr>
        <w:spacing w:after="240"/>
        <w:rPr>
          <w:b/>
          <w:bCs/>
          <w:lang w:val="es-ES_tradnl"/>
        </w:rPr>
      </w:pPr>
      <w:r>
        <w:rPr>
          <w:b/>
          <w:bCs/>
          <w:lang w:val="es-ES_tradnl"/>
        </w:rPr>
        <w:t>Artículo 17</w:t>
      </w:r>
    </w:p>
    <w:p w:rsidR="00000000" w:rsidRDefault="00000000">
      <w:pPr>
        <w:spacing w:after="240"/>
        <w:ind w:firstLine="567"/>
        <w:rPr>
          <w:b/>
          <w:bCs/>
          <w:lang w:val="es-ES_tradnl"/>
        </w:rPr>
      </w:pPr>
      <w:r>
        <w:rPr>
          <w:b/>
          <w:bCs/>
          <w:lang w:val="es-ES_tradnl"/>
        </w:rPr>
        <w:t>Acceso a la información pertinente</w:t>
      </w:r>
    </w:p>
    <w:p w:rsidR="00000000" w:rsidRDefault="00000000">
      <w:pPr>
        <w:spacing w:after="240"/>
        <w:rPr>
          <w:lang w:val="es-ES_tradnl"/>
        </w:rPr>
      </w:pPr>
      <w:r>
        <w:rPr>
          <w:lang w:val="es-ES_tradnl"/>
        </w:rPr>
        <w:t>41.</w:t>
      </w:r>
      <w:r>
        <w:rPr>
          <w:lang w:val="es-ES_tradnl"/>
        </w:rPr>
        <w:tab/>
        <w:t>En reconocimiento de la importante función que desempeñan los medios de comunicación en la educación y formación de los jóvenes, los niños deberán tener acceso a cualquier información y materiales que puedan favorecer su desarrollo.  En la legislación de San Marino se está desarrollando ese aspecto.</w:t>
      </w:r>
    </w:p>
    <w:p w:rsidR="00000000" w:rsidRDefault="00000000">
      <w:pPr>
        <w:spacing w:after="240"/>
        <w:rPr>
          <w:b/>
          <w:bCs/>
          <w:lang w:val="es-ES_tradnl"/>
        </w:rPr>
      </w:pPr>
      <w:r>
        <w:rPr>
          <w:b/>
          <w:bCs/>
          <w:lang w:val="es-ES_tradnl"/>
        </w:rPr>
        <w:t>Artículo 14</w:t>
      </w:r>
    </w:p>
    <w:p w:rsidR="00000000" w:rsidRDefault="00000000">
      <w:pPr>
        <w:spacing w:after="240"/>
        <w:ind w:firstLine="567"/>
        <w:rPr>
          <w:b/>
          <w:bCs/>
          <w:lang w:val="es-ES_tradnl"/>
        </w:rPr>
      </w:pPr>
      <w:r>
        <w:rPr>
          <w:b/>
          <w:bCs/>
          <w:lang w:val="es-ES_tradnl"/>
        </w:rPr>
        <w:t>Libertad de pensamiento, de conciencia y de religión</w:t>
      </w:r>
    </w:p>
    <w:p w:rsidR="00000000" w:rsidRDefault="00000000">
      <w:pPr>
        <w:spacing w:after="240"/>
        <w:rPr>
          <w:lang w:val="es-ES_tradnl"/>
        </w:rPr>
      </w:pPr>
      <w:r>
        <w:rPr>
          <w:lang w:val="es-ES_tradnl"/>
        </w:rPr>
        <w:t>42.</w:t>
      </w:r>
      <w:r>
        <w:rPr>
          <w:lang w:val="es-ES_tradnl"/>
        </w:rPr>
        <w:tab/>
        <w:t>Esas libertades se contemplan en los artículos 6 y 11 de la Declaración de 1974.  En la sección VIII de la Ley Nº 49 de reforma del derecho de familia se establecen los derechos y deberes de los padres en lo que se refiere a instruir a los hijos en el ejercicio de sus derechos.</w:t>
      </w:r>
    </w:p>
    <w:p w:rsidR="00000000" w:rsidRDefault="00000000">
      <w:pPr>
        <w:spacing w:after="240"/>
        <w:rPr>
          <w:b/>
          <w:bCs/>
          <w:lang w:val="es-ES_tradnl"/>
        </w:rPr>
      </w:pPr>
      <w:r>
        <w:rPr>
          <w:b/>
          <w:bCs/>
          <w:lang w:val="es-ES_tradnl"/>
        </w:rPr>
        <w:t>Artículo 15</w:t>
      </w:r>
    </w:p>
    <w:p w:rsidR="00000000" w:rsidRDefault="00000000">
      <w:pPr>
        <w:spacing w:after="240"/>
        <w:ind w:firstLine="567"/>
        <w:rPr>
          <w:lang w:val="es-ES_tradnl"/>
        </w:rPr>
      </w:pPr>
      <w:r>
        <w:rPr>
          <w:b/>
          <w:bCs/>
          <w:lang w:val="es-ES_tradnl"/>
        </w:rPr>
        <w:t>Libertad de asociación y libertad de celebrar reuniones pacíficas</w:t>
      </w:r>
    </w:p>
    <w:p w:rsidR="00000000" w:rsidRDefault="00000000">
      <w:pPr>
        <w:spacing w:after="240"/>
        <w:rPr>
          <w:lang w:val="es-ES_tradnl"/>
        </w:rPr>
      </w:pPr>
      <w:r>
        <w:rPr>
          <w:lang w:val="es-ES_tradnl"/>
        </w:rPr>
        <w:t>43.</w:t>
      </w:r>
      <w:r>
        <w:rPr>
          <w:lang w:val="es-ES_tradnl"/>
        </w:rPr>
        <w:tab/>
        <w:t>Ambas libertades se contemplan en el artículo 6 de la Declaración de 1974.</w:t>
      </w:r>
    </w:p>
    <w:p w:rsidR="00000000" w:rsidRDefault="00000000">
      <w:pPr>
        <w:spacing w:after="240"/>
        <w:rPr>
          <w:b/>
          <w:bCs/>
          <w:lang w:val="es-ES_tradnl"/>
        </w:rPr>
      </w:pPr>
      <w:r>
        <w:rPr>
          <w:b/>
          <w:bCs/>
          <w:lang w:val="es-ES_tradnl"/>
        </w:rPr>
        <w:t>Artículo 16</w:t>
      </w:r>
    </w:p>
    <w:p w:rsidR="00000000" w:rsidRDefault="00000000">
      <w:pPr>
        <w:spacing w:after="240"/>
        <w:ind w:firstLine="567"/>
        <w:rPr>
          <w:b/>
          <w:bCs/>
          <w:lang w:val="es-ES_tradnl"/>
        </w:rPr>
      </w:pPr>
      <w:r>
        <w:rPr>
          <w:b/>
          <w:bCs/>
          <w:lang w:val="es-ES_tradnl"/>
        </w:rPr>
        <w:t>Protección de la vida privada</w:t>
      </w:r>
    </w:p>
    <w:p w:rsidR="00000000" w:rsidRDefault="00000000">
      <w:pPr>
        <w:spacing w:after="240"/>
        <w:rPr>
          <w:lang w:val="es-ES_tradnl"/>
        </w:rPr>
      </w:pPr>
      <w:r>
        <w:rPr>
          <w:lang w:val="es-ES_tradnl"/>
        </w:rPr>
        <w:t>44.</w:t>
      </w:r>
      <w:r>
        <w:rPr>
          <w:lang w:val="es-ES_tradnl"/>
        </w:rPr>
        <w:tab/>
        <w:t>La libertad personal y la libertad para elegir residencia y domicilio están garantizadas en virtud del artículo 6 de la Declaración de 1974.  En ese mismo artículo se establece la protección de la confidencialidad de cualquier forma de comunicación.</w:t>
      </w:r>
    </w:p>
    <w:p w:rsidR="00000000" w:rsidRDefault="00000000">
      <w:pPr>
        <w:spacing w:after="240"/>
        <w:rPr>
          <w:lang w:val="es-ES_tradnl"/>
        </w:rPr>
      </w:pPr>
      <w:r>
        <w:rPr>
          <w:lang w:val="es-ES_tradnl"/>
        </w:rPr>
        <w:t>45.</w:t>
      </w:r>
      <w:r>
        <w:rPr>
          <w:lang w:val="es-ES_tradnl"/>
        </w:rPr>
        <w:tab/>
        <w:t>En el artículo 182 del Código Penal se estipulan las penas que se impondrán a quienes entren o permanezcan en el hogar, residencia privada o lugar de trabajo de otra persona, o en cualquiera de sus dependencias, de forma clandestina o contra la voluntad de la persona que tenga derecho a impedir la entrada de aquélla.</w:t>
      </w:r>
    </w:p>
    <w:p w:rsidR="00000000" w:rsidRDefault="00000000">
      <w:pPr>
        <w:spacing w:after="240"/>
        <w:rPr>
          <w:lang w:val="es-ES_tradnl"/>
        </w:rPr>
      </w:pPr>
      <w:r>
        <w:rPr>
          <w:lang w:val="es-ES_tradnl"/>
        </w:rPr>
        <w:t>46.</w:t>
      </w:r>
      <w:r>
        <w:rPr>
          <w:lang w:val="es-ES_tradnl"/>
        </w:rPr>
        <w:tab/>
        <w:t>Cualquiera que ofenda el honor de una persona durante una reunión pública o en una conversación con otros, ya sea en su presencia o en su ausencia, será castigada de conformidad con lo dispuesto en el artículo 184 del Código Penal.</w:t>
      </w:r>
    </w:p>
    <w:p w:rsidR="00000000" w:rsidRDefault="00000000">
      <w:pPr>
        <w:keepNext/>
        <w:keepLines/>
        <w:spacing w:after="240"/>
        <w:rPr>
          <w:b/>
          <w:bCs/>
          <w:lang w:val="es-ES_tradnl"/>
        </w:rPr>
      </w:pPr>
      <w:r>
        <w:rPr>
          <w:b/>
          <w:bCs/>
          <w:lang w:val="es-ES_tradnl"/>
        </w:rPr>
        <w:t>Artículo 37</w:t>
      </w:r>
    </w:p>
    <w:p w:rsidR="00000000" w:rsidRDefault="00000000">
      <w:pPr>
        <w:keepNext/>
        <w:keepLines/>
        <w:spacing w:after="240"/>
        <w:ind w:left="567"/>
        <w:rPr>
          <w:b/>
          <w:bCs/>
          <w:lang w:val="es-ES_tradnl"/>
        </w:rPr>
      </w:pPr>
      <w:r>
        <w:rPr>
          <w:b/>
          <w:bCs/>
          <w:lang w:val="es-ES_tradnl"/>
        </w:rPr>
        <w:t>El derecho a no ser sometido a torturas ni a otros tratos o penas crueles, inhumanos o degradantes</w:t>
      </w:r>
    </w:p>
    <w:p w:rsidR="00000000" w:rsidRDefault="00000000">
      <w:pPr>
        <w:spacing w:after="240"/>
        <w:rPr>
          <w:lang w:val="es-ES_tradnl"/>
        </w:rPr>
      </w:pPr>
      <w:r>
        <w:rPr>
          <w:lang w:val="es-ES_tradnl"/>
        </w:rPr>
        <w:t>47.</w:t>
      </w:r>
      <w:r>
        <w:rPr>
          <w:lang w:val="es-ES_tradnl"/>
        </w:rPr>
        <w:tab/>
        <w:t>En el artículo 15 de la Declaración de 1974 se establece que todos tienen derecho a la protección judicial de sus derechos personales y sus intereses legítimos ante los tribunales ordinarios y administrativos.  Además, cualquier persona tiene derecho a defenderse en cualquier etapa del procedimiento judicial.  Las penas, que no podrán ser inhumanas y deberán estar orientadas a la rehabilitación, sólo podrán ser impuestas por el juez competente, con arreglo a leyes no retroactivas, y teniendo siempre en cuenta que se presumirá la inocencia del acusado hasta que se le declare culpable con arreglo a la ley.</w:t>
      </w:r>
    </w:p>
    <w:p w:rsidR="00000000" w:rsidRDefault="00000000">
      <w:pPr>
        <w:spacing w:after="480"/>
        <w:rPr>
          <w:lang w:val="es-ES_tradnl"/>
        </w:rPr>
      </w:pPr>
      <w:r>
        <w:rPr>
          <w:lang w:val="es-ES_tradnl"/>
        </w:rPr>
        <w:t>48.</w:t>
      </w:r>
      <w:r>
        <w:rPr>
          <w:lang w:val="es-ES_tradnl"/>
        </w:rPr>
        <w:tab/>
        <w:t>La República de San Marino es Parte en la Convención Europea sobre la Prevención de la Tortura y Otros Tratos o Penas Inhumanos o Degradantes y observa sus principios relativos a la defensa del estado de derecho, así como el de la solidaridad universal contra las prácticas que constituyen una ofensa contra la dignidad humana.  Al hacerlo así, la República ha abordado de forma exhaustiva una cuestión importante y delicada:  los principios generales de la Convención Europea de Derechos Humanos, que también ha sido ratificada por San Marino.</w:t>
      </w:r>
    </w:p>
    <w:p w:rsidR="00000000" w:rsidRDefault="00000000">
      <w:pPr>
        <w:spacing w:after="240"/>
        <w:jc w:val="center"/>
        <w:rPr>
          <w:b/>
          <w:bCs/>
          <w:lang w:val="es-ES_tradnl"/>
        </w:rPr>
      </w:pPr>
      <w:r>
        <w:rPr>
          <w:b/>
          <w:bCs/>
          <w:lang w:val="es-ES_tradnl"/>
        </w:rPr>
        <w:t>VI.  ENTORNO FAMILIAR Y OTRAS FORMAS DE TUTELA</w:t>
      </w:r>
    </w:p>
    <w:p w:rsidR="00000000" w:rsidRDefault="00000000">
      <w:pPr>
        <w:spacing w:after="240"/>
        <w:rPr>
          <w:b/>
          <w:bCs/>
          <w:lang w:val="es-ES_tradnl"/>
        </w:rPr>
      </w:pPr>
      <w:r>
        <w:rPr>
          <w:b/>
          <w:bCs/>
          <w:lang w:val="es-ES_tradnl"/>
        </w:rPr>
        <w:t>Artículo 5</w:t>
      </w:r>
    </w:p>
    <w:p w:rsidR="00000000" w:rsidRDefault="00000000">
      <w:pPr>
        <w:spacing w:after="240"/>
        <w:ind w:firstLine="567"/>
        <w:rPr>
          <w:b/>
          <w:bCs/>
          <w:lang w:val="es-ES_tradnl"/>
        </w:rPr>
      </w:pPr>
      <w:r>
        <w:rPr>
          <w:b/>
          <w:bCs/>
          <w:lang w:val="es-ES_tradnl"/>
        </w:rPr>
        <w:t>Derechos y deberes de los padres</w:t>
      </w:r>
    </w:p>
    <w:p w:rsidR="00000000" w:rsidRDefault="00000000">
      <w:pPr>
        <w:spacing w:after="240"/>
        <w:rPr>
          <w:lang w:val="es-ES_tradnl"/>
        </w:rPr>
      </w:pPr>
      <w:r>
        <w:rPr>
          <w:lang w:val="es-ES_tradnl"/>
        </w:rPr>
        <w:t>49.</w:t>
      </w:r>
      <w:r>
        <w:rPr>
          <w:lang w:val="es-ES_tradnl"/>
        </w:rPr>
        <w:tab/>
        <w:t>En el artículo 28 de la Ley de reforma del derecho de familia de 1986 se establece que, con el matrimonio, ambos cónyuges asumen los mismos derechos y deberes.  Entre los deberes se encuentran el respeto mutuo, la asistencia moral y material, la convivencia, la fidelidad y la cooperación en interés de la familia.</w:t>
      </w:r>
    </w:p>
    <w:p w:rsidR="00000000" w:rsidRDefault="00000000">
      <w:pPr>
        <w:spacing w:after="240"/>
        <w:rPr>
          <w:lang w:val="es-ES_tradnl"/>
        </w:rPr>
      </w:pPr>
      <w:r>
        <w:rPr>
          <w:lang w:val="es-ES_tradnl"/>
        </w:rPr>
        <w:t>50.</w:t>
      </w:r>
      <w:r>
        <w:rPr>
          <w:lang w:val="es-ES_tradnl"/>
        </w:rPr>
        <w:tab/>
        <w:t>Ambos cónyuges tienen derecho a ejercer una actividad remunerada fuera del hogar y tienen el deber de contribuir al trabajo doméstico y a las necesidades familiares según sus recursos y su capacidad.</w:t>
      </w:r>
    </w:p>
    <w:p w:rsidR="00000000" w:rsidRDefault="00000000">
      <w:pPr>
        <w:spacing w:after="240"/>
        <w:rPr>
          <w:b/>
          <w:bCs/>
          <w:lang w:val="es-ES_tradnl"/>
        </w:rPr>
      </w:pPr>
      <w:r>
        <w:rPr>
          <w:b/>
          <w:bCs/>
          <w:lang w:val="es-ES_tradnl"/>
        </w:rPr>
        <w:t>Artículo 18</w:t>
      </w:r>
    </w:p>
    <w:p w:rsidR="00000000" w:rsidRDefault="00000000">
      <w:pPr>
        <w:spacing w:after="240"/>
        <w:rPr>
          <w:b/>
          <w:bCs/>
          <w:lang w:val="es-ES_tradnl"/>
        </w:rPr>
      </w:pPr>
      <w:r>
        <w:rPr>
          <w:b/>
          <w:bCs/>
          <w:lang w:val="es-ES_tradnl"/>
        </w:rPr>
        <w:tab/>
        <w:t>Responsabilidades de los padres</w:t>
      </w:r>
    </w:p>
    <w:p w:rsidR="00000000" w:rsidRDefault="00000000">
      <w:pPr>
        <w:spacing w:after="240"/>
        <w:rPr>
          <w:lang w:val="es-ES_tradnl"/>
        </w:rPr>
      </w:pPr>
      <w:r>
        <w:rPr>
          <w:lang w:val="es-ES_tradnl"/>
        </w:rPr>
        <w:t>51.</w:t>
      </w:r>
      <w:r>
        <w:rPr>
          <w:lang w:val="es-ES_tradnl"/>
        </w:rPr>
        <w:tab/>
        <w:t>En el artículo 31 de esa ley se establece que ambos padres tienen responsabilidades comunes en lo que respecta al sustento, la crianza y la educación de sus hijos, en el marco del respeto de su personalidad y sus aspiraciones.</w:t>
      </w:r>
    </w:p>
    <w:p w:rsidR="00000000" w:rsidRDefault="00000000">
      <w:pPr>
        <w:keepNext/>
        <w:keepLines/>
        <w:spacing w:after="240"/>
        <w:rPr>
          <w:b/>
          <w:bCs/>
          <w:lang w:val="es-ES_tradnl"/>
        </w:rPr>
      </w:pPr>
      <w:r>
        <w:rPr>
          <w:b/>
          <w:bCs/>
          <w:lang w:val="es-ES_tradnl"/>
        </w:rPr>
        <w:tab/>
        <w:t>Patria potestad</w:t>
      </w:r>
    </w:p>
    <w:p w:rsidR="00000000" w:rsidRDefault="00000000">
      <w:pPr>
        <w:keepNext/>
        <w:keepLines/>
        <w:spacing w:after="240"/>
        <w:rPr>
          <w:lang w:val="es-ES_tradnl"/>
        </w:rPr>
      </w:pPr>
      <w:r>
        <w:rPr>
          <w:lang w:val="es-ES_tradnl"/>
        </w:rPr>
        <w:t>52.</w:t>
      </w:r>
      <w:r>
        <w:rPr>
          <w:lang w:val="es-ES_tradnl"/>
        </w:rPr>
        <w:tab/>
        <w:t>La sección VIII de esa ley se ocupa de la patria potestad y de los deberes de los hijos.  En el artículo 81 se establece que los hijos estarán sujetos a la patria potestad hasta que alcancen la mayoría de edad o se emancipen.  La patria potestad la ejercen ambos padres de forma conjunta.</w:t>
      </w:r>
    </w:p>
    <w:p w:rsidR="00000000" w:rsidRDefault="00000000">
      <w:pPr>
        <w:spacing w:after="240"/>
        <w:rPr>
          <w:lang w:val="es-ES_tradnl"/>
        </w:rPr>
      </w:pPr>
      <w:r>
        <w:rPr>
          <w:lang w:val="es-ES_tradnl"/>
        </w:rPr>
        <w:t>53.</w:t>
      </w:r>
      <w:r>
        <w:rPr>
          <w:lang w:val="es-ES_tradnl"/>
        </w:rPr>
        <w:tab/>
        <w:t>En caso de desacuerdo en cuestiones de especial importancia, cualquiera de los padres podrá solicitar la intervención del Comisario de la Ley (en la introducción del presente informe puede encontrarse más información sobre este aspecto).</w:t>
      </w:r>
    </w:p>
    <w:p w:rsidR="00000000" w:rsidRDefault="00000000">
      <w:pPr>
        <w:spacing w:after="240"/>
        <w:rPr>
          <w:lang w:val="es-ES_tradnl"/>
        </w:rPr>
      </w:pPr>
      <w:r>
        <w:rPr>
          <w:lang w:val="es-ES_tradnl"/>
        </w:rPr>
        <w:t>54.</w:t>
      </w:r>
      <w:r>
        <w:rPr>
          <w:lang w:val="es-ES_tradnl"/>
        </w:rPr>
        <w:tab/>
        <w:t>Como ya se ha mencionado anteriormente, la patria potestad sobre los hijos menores corresponde a ambos padres, que la ejercen de mutuo acuerdo.  La ley también contempla los casos de desacuerdo entre los padres en el ejercicio de la patria potestad (véase la introducción del presente informe).  Según lo dispuesto en el artículo 84 de la Ley de "Reforma del derecho de familia", la representación jurídica de los hijos menores la ejercen conjuntamente ambos padres, que administran también los bienes de los menores.</w:t>
      </w:r>
    </w:p>
    <w:p w:rsidR="00000000" w:rsidRDefault="00000000">
      <w:pPr>
        <w:spacing w:after="240"/>
        <w:rPr>
          <w:lang w:val="es-ES_tradnl"/>
        </w:rPr>
      </w:pPr>
      <w:r>
        <w:rPr>
          <w:lang w:val="es-ES_tradnl"/>
        </w:rPr>
        <w:t>55.</w:t>
      </w:r>
      <w:r>
        <w:rPr>
          <w:lang w:val="es-ES_tradnl"/>
        </w:rPr>
        <w:tab/>
        <w:t>El interés de los hijos debe ser la consideración primordial de los padres.  En caso de desacuerdo entre los padres, los jueces intervendrán según el procedimiento mencionado más arriba; para la administración de carácter extraordinario de los bienes de los menores (por ejemplo, en caso de enajenación de bienes inmuebles, hipotecas, etc.), los padres deberán contar con la autorización del Comisario de la Ley.</w:t>
      </w:r>
    </w:p>
    <w:p w:rsidR="00000000" w:rsidRDefault="00000000">
      <w:pPr>
        <w:spacing w:after="240"/>
        <w:rPr>
          <w:lang w:val="es-ES_tradnl"/>
        </w:rPr>
      </w:pPr>
      <w:r>
        <w:rPr>
          <w:lang w:val="es-ES_tradnl"/>
        </w:rPr>
        <w:t>56.</w:t>
      </w:r>
      <w:r>
        <w:rPr>
          <w:lang w:val="es-ES_tradnl"/>
        </w:rPr>
        <w:tab/>
        <w:t>Si uno o ambos padres no administran los bienes de los menores en su mejor interés, el juez puede retirar la facultad de administración de los bienes y de representación jurídica.</w:t>
      </w:r>
    </w:p>
    <w:p w:rsidR="00000000" w:rsidRDefault="00000000">
      <w:pPr>
        <w:spacing w:after="240"/>
        <w:rPr>
          <w:b/>
          <w:bCs/>
          <w:lang w:val="es-ES_tradnl"/>
        </w:rPr>
      </w:pPr>
      <w:r>
        <w:rPr>
          <w:b/>
          <w:bCs/>
          <w:lang w:val="es-ES_tradnl"/>
        </w:rPr>
        <w:tab/>
        <w:t>Pérdida de la patria potestad</w:t>
      </w:r>
    </w:p>
    <w:p w:rsidR="00000000" w:rsidRDefault="00000000">
      <w:pPr>
        <w:spacing w:after="240"/>
        <w:rPr>
          <w:lang w:val="es-ES_tradnl"/>
        </w:rPr>
      </w:pPr>
      <w:r>
        <w:rPr>
          <w:lang w:val="es-ES_tradnl"/>
        </w:rPr>
        <w:t>57.</w:t>
      </w:r>
      <w:r>
        <w:rPr>
          <w:lang w:val="es-ES_tradnl"/>
        </w:rPr>
        <w:tab/>
        <w:t>En interés de los hijos, un juez puede ordenar la retirada de la patria potestad cuando los padres incumplan o descuiden gravemente sus deberes relacionados con la crianza de los hijos (artículo 86 de la Ley Nº 49/86).</w:t>
      </w:r>
    </w:p>
    <w:p w:rsidR="00000000" w:rsidRDefault="00000000">
      <w:pPr>
        <w:spacing w:after="240"/>
        <w:rPr>
          <w:lang w:val="es-ES_tradnl"/>
        </w:rPr>
      </w:pPr>
      <w:r>
        <w:rPr>
          <w:lang w:val="es-ES_tradnl"/>
        </w:rPr>
        <w:t>58.</w:t>
      </w:r>
      <w:r>
        <w:rPr>
          <w:lang w:val="es-ES_tradnl"/>
        </w:rPr>
        <w:tab/>
        <w:t>Por lo que se refiere al párrafo 2 del artículo 18 de la Convención, las disposiciones pertinentes se han mencionado ya en la introducción del presente informe:  facilidades que se otorgan a las madres trabajadoras y su derecho a cambiar un trabajo de jornada completa por otro a tiempo parcial hasta que el hijo alcance la edad de 3 años.</w:t>
      </w:r>
    </w:p>
    <w:p w:rsidR="00000000" w:rsidRDefault="00000000">
      <w:pPr>
        <w:spacing w:after="240"/>
        <w:rPr>
          <w:lang w:val="es-ES_tradnl"/>
        </w:rPr>
      </w:pPr>
      <w:r>
        <w:rPr>
          <w:lang w:val="es-ES_tradnl"/>
        </w:rPr>
        <w:t>59.</w:t>
      </w:r>
      <w:r>
        <w:rPr>
          <w:lang w:val="es-ES_tradnl"/>
        </w:rPr>
        <w:tab/>
        <w:t>En la Ley Nº 42, de 6 de diciembre de 1982 sobre el "Establecimiento del Fondo de Prestaciones Familiares" y sus posteriores enmiendas se fijan las cantidades que habrán de abonarse a los trabajadores que convivan con parientes de hasta tercer grado cuyos ingresos no sobrepasen un determinado nivel que dependan de aquéllos.  En el artículo 6 se define "una persona dependiente" como aquella cuya manutención habitual corre principalmente a cargo de un trabajador.  A ese respecto puede encontrarse más información en las referencias a la Ley Nº 21, de 3 de mayo de 1977.</w:t>
      </w:r>
    </w:p>
    <w:p w:rsidR="00000000" w:rsidRDefault="00000000">
      <w:pPr>
        <w:keepNext/>
        <w:keepLines/>
        <w:spacing w:after="240"/>
        <w:rPr>
          <w:b/>
          <w:bCs/>
          <w:lang w:val="es-ES_tradnl"/>
        </w:rPr>
      </w:pPr>
      <w:r>
        <w:rPr>
          <w:b/>
          <w:bCs/>
          <w:lang w:val="es-ES_tradnl"/>
        </w:rPr>
        <w:t>Artículo 9</w:t>
      </w:r>
    </w:p>
    <w:p w:rsidR="00000000" w:rsidRDefault="00000000">
      <w:pPr>
        <w:keepNext/>
        <w:keepLines/>
        <w:spacing w:after="240"/>
        <w:rPr>
          <w:b/>
          <w:bCs/>
          <w:lang w:val="es-ES_tradnl"/>
        </w:rPr>
      </w:pPr>
      <w:r>
        <w:rPr>
          <w:b/>
          <w:bCs/>
          <w:lang w:val="es-ES_tradnl"/>
        </w:rPr>
        <w:tab/>
        <w:t>Separación de los padres</w:t>
      </w:r>
    </w:p>
    <w:p w:rsidR="00000000" w:rsidRDefault="00000000">
      <w:pPr>
        <w:keepNext/>
        <w:keepLines/>
        <w:spacing w:after="240"/>
        <w:rPr>
          <w:lang w:val="es-ES_tradnl"/>
        </w:rPr>
      </w:pPr>
      <w:r>
        <w:rPr>
          <w:lang w:val="es-ES_tradnl"/>
        </w:rPr>
        <w:t>60.</w:t>
      </w:r>
      <w:r>
        <w:rPr>
          <w:lang w:val="es-ES_tradnl"/>
        </w:rPr>
        <w:tab/>
        <w:t>En la Ley Nº 46 de 1989 se contemplan dos casos de separación de los hijos de sus padres:</w:t>
      </w:r>
    </w:p>
    <w:p w:rsidR="00000000" w:rsidRDefault="00000000">
      <w:pPr>
        <w:keepNext/>
        <w:keepLines/>
        <w:spacing w:after="240"/>
        <w:ind w:left="1134" w:hanging="567"/>
        <w:rPr>
          <w:lang w:val="es-ES_tradnl"/>
        </w:rPr>
      </w:pPr>
      <w:r>
        <w:rPr>
          <w:lang w:val="es-ES_tradnl"/>
        </w:rPr>
        <w:t>a)</w:t>
      </w:r>
      <w:r>
        <w:rPr>
          <w:lang w:val="es-ES_tradnl"/>
        </w:rPr>
        <w:tab/>
        <w:t>La sección VII de la ley se ocupa de la "custodia de los hijos".  Aunque se reconoce el derecho del menor a crecer con su familia, en la Ley se consideran también situaciones en que los niños se encuentran privados de un entorno familiar adecuado.  En ese caso, en la ley se establece la colocación del niño en otra familia, a ser posible con hijos menores, o con una sola persona, o en una institución de tipo familiar que pueda garantizar la atención, la crianza y la educación del menor (art. 58).  La asignación de la custodia la decide el juez tras haber recibido el consentimiento de ambos padres, del progenitor que ejerce la patria potestad, o del tutor, y tras haber oído al Servicio de Menores.  Si los padres no otorgan su consentimiento, el juez decidirá en el interés superior del niño.  El juez se mantendrá informado sobre la custodia por conducto del Servicio de Menores, a quien corresponde la responsabilidad de la vigilancia en los casos de colocación bajo tutela (art. 59).  La tutela concluye cuando dejan de existir las condiciones que la hicieron necesaria, o cuando esa tutela demuestra ser perjudicial para el menor.</w:t>
      </w:r>
    </w:p>
    <w:p w:rsidR="00000000" w:rsidRDefault="00000000">
      <w:pPr>
        <w:spacing w:after="240"/>
        <w:ind w:left="1134" w:hanging="567"/>
        <w:rPr>
          <w:lang w:val="es-ES_tradnl"/>
        </w:rPr>
      </w:pPr>
      <w:r>
        <w:rPr>
          <w:lang w:val="es-ES_tradnl"/>
        </w:rPr>
        <w:t>b)</w:t>
      </w:r>
      <w:r>
        <w:rPr>
          <w:lang w:val="es-ES_tradnl"/>
        </w:rPr>
        <w:tab/>
        <w:t>La legislación de San Marino contempla también la separación de un hijo de uno de sus padres en caso de separación legal de la pareja.  En el artículo 112 de la Ley Nº 49/86 se establece que al dictar o confirmar un auto de separación, el juez concederá la custodia de los hijos a uno de los padres, atendiendo únicamente a los intereses morales y materiales de los hijos.  El progenitor a quien no se haya concedido la custodia tiene el deber de contribuir al sustento de los hijos.</w:t>
      </w:r>
    </w:p>
    <w:p w:rsidR="00000000" w:rsidRDefault="00000000">
      <w:pPr>
        <w:spacing w:after="240"/>
        <w:rPr>
          <w:b/>
          <w:bCs/>
          <w:lang w:val="es-ES_tradnl"/>
        </w:rPr>
      </w:pPr>
      <w:r>
        <w:rPr>
          <w:b/>
          <w:bCs/>
          <w:lang w:val="es-ES_tradnl"/>
        </w:rPr>
        <w:tab/>
        <w:t>Cumplimiento de las obligaciones en lo que respecta a la crianza de los hijos</w:t>
      </w:r>
    </w:p>
    <w:p w:rsidR="00000000" w:rsidRDefault="00000000">
      <w:pPr>
        <w:spacing w:after="240"/>
        <w:rPr>
          <w:lang w:val="es-ES_tradnl"/>
        </w:rPr>
      </w:pPr>
      <w:r>
        <w:rPr>
          <w:lang w:val="es-ES_tradnl"/>
        </w:rPr>
        <w:t>61.</w:t>
      </w:r>
      <w:r>
        <w:rPr>
          <w:lang w:val="es-ES_tradnl"/>
        </w:rPr>
        <w:tab/>
        <w:t>Esa cuestión se ha abordado ya en la sección relativa a las prestaciones familiares (Ley Nº 42, de 6 de diciembre de 1968, "Establecimiento del Fondo de Prestaciones Familiares").  En el artículo 31 de la Ley Nº 49/86 se establece que ambos padres comparten la responsabilidad en lo que respecta al sustento, la crianza y el desarrollo de sus hijos, según sus respectivos recursos y capacidad.</w:t>
      </w:r>
    </w:p>
    <w:p w:rsidR="00000000" w:rsidRDefault="00000000">
      <w:pPr>
        <w:spacing w:after="240"/>
        <w:rPr>
          <w:lang w:val="es-ES_tradnl"/>
        </w:rPr>
      </w:pPr>
      <w:r>
        <w:rPr>
          <w:lang w:val="es-ES_tradnl"/>
        </w:rPr>
        <w:t>62.</w:t>
      </w:r>
      <w:r>
        <w:rPr>
          <w:lang w:val="es-ES_tradnl"/>
        </w:rPr>
        <w:tab/>
        <w:t>Con el fin de garantizar el cumplimiento de esos deberes, en el artículo 32 se establece que cualquier parte interesada podrá pedir al juez que los cuantifique en términos económicos.  Tras haber recogido la información necesaria, el juez, mediante un auto de ejecución inmediata, y cualesquiera que sean las reclamaciones pendientes, adoptará una decisión sobre la cantidad que el obligado deberá pagar directamente al cónyuge que actúa correctamente o a cualquier persona que sufrague el costo del sustento, la crianza y la educación del niño.</w:t>
      </w:r>
    </w:p>
    <w:p w:rsidR="00000000" w:rsidRDefault="00000000">
      <w:pPr>
        <w:spacing w:after="240"/>
        <w:rPr>
          <w:lang w:val="es-ES_tradnl"/>
        </w:rPr>
      </w:pPr>
      <w:r>
        <w:rPr>
          <w:lang w:val="es-ES_tradnl"/>
        </w:rPr>
        <w:t>63.</w:t>
      </w:r>
      <w:r>
        <w:rPr>
          <w:lang w:val="es-ES_tradnl"/>
        </w:rPr>
        <w:tab/>
        <w:t>En la ley se regulan también los casos en que los padres viven separados y el cónyuge que está obligado a hacer una aportación económica no lo hace.  En particular, en la ley se establece que en caso de separación legal ambos padres contribuirán al sustento de los hijos en proporción a sus ingresos y bienes respectivos, teniéndose debidamente en cuenta la contribución en forma de trabajo del progenitor a quien se haya concedido la custodia.  Tanto durante el procedimiento jurídico como después de dictado el auto de separación, el juez podrá exigir una garantía personal o real suficiente por si el padre o la madre incumplieran sus obligaciones en lo que respecta al sustento de los hijos.</w:t>
      </w:r>
    </w:p>
    <w:p w:rsidR="00000000" w:rsidRDefault="00000000">
      <w:pPr>
        <w:spacing w:after="240"/>
        <w:jc w:val="center"/>
        <w:rPr>
          <w:b/>
          <w:bCs/>
        </w:rPr>
      </w:pPr>
      <w:r>
        <w:rPr>
          <w:b/>
          <w:bCs/>
        </w:rPr>
        <w:t>Cuadro 5</w:t>
      </w:r>
    </w:p>
    <w:p w:rsidR="00000000" w:rsidRDefault="00000000">
      <w:pPr>
        <w:spacing w:after="240"/>
        <w:jc w:val="center"/>
        <w:rPr>
          <w:b/>
          <w:bCs/>
          <w:vertAlign w:val="superscript"/>
        </w:rPr>
      </w:pPr>
      <w:r>
        <w:rPr>
          <w:b/>
          <w:bCs/>
        </w:rPr>
        <w:t>Registro de separaciones legales</w:t>
      </w:r>
      <w:r>
        <w:rPr>
          <w:b/>
          <w:bCs/>
          <w:vertAlign w:val="superscript"/>
        </w:rPr>
        <w:t>a</w:t>
      </w:r>
    </w:p>
    <w:tbl>
      <w:tblPr>
        <w:tblW w:w="0" w:type="auto"/>
        <w:tblLayout w:type="fixed"/>
        <w:tblCellMar>
          <w:left w:w="30" w:type="dxa"/>
          <w:right w:w="30" w:type="dxa"/>
        </w:tblCellMar>
        <w:tblLook w:val="0000" w:firstRow="0" w:lastRow="0" w:firstColumn="0" w:lastColumn="0" w:noHBand="0" w:noVBand="0"/>
      </w:tblPr>
      <w:tblGrid>
        <w:gridCol w:w="4968"/>
        <w:gridCol w:w="739"/>
        <w:gridCol w:w="739"/>
        <w:gridCol w:w="740"/>
        <w:gridCol w:w="739"/>
        <w:gridCol w:w="739"/>
        <w:gridCol w:w="739"/>
      </w:tblGrid>
      <w:tr w:rsidR="00000000">
        <w:trPr>
          <w:cantSplit/>
          <w:trHeight w:val="235"/>
          <w:tblHeader/>
        </w:trPr>
        <w:tc>
          <w:tcPr>
            <w:tcW w:w="4968" w:type="dxa"/>
            <w:vMerge w:val="restart"/>
            <w:tcBorders>
              <w:top w:val="single" w:sz="6" w:space="0" w:color="auto"/>
              <w:left w:val="single" w:sz="6" w:space="0" w:color="auto"/>
              <w:bottom w:val="single" w:sz="6" w:space="0" w:color="auto"/>
              <w:right w:val="single" w:sz="6" w:space="0" w:color="auto"/>
            </w:tcBorders>
            <w:vAlign w:val="center"/>
          </w:tcPr>
          <w:p w:rsidR="00000000" w:rsidRDefault="00000000">
            <w:pPr>
              <w:autoSpaceDE w:val="0"/>
              <w:autoSpaceDN w:val="0"/>
              <w:adjustRightInd w:val="0"/>
              <w:jc w:val="center"/>
              <w:rPr>
                <w:bCs/>
                <w:color w:val="000000"/>
                <w:szCs w:val="16"/>
                <w:lang w:val="es-ES_tradnl"/>
              </w:rPr>
            </w:pPr>
            <w:r>
              <w:rPr>
                <w:bCs/>
                <w:color w:val="000000"/>
                <w:szCs w:val="16"/>
                <w:lang w:val="es-ES_tradnl"/>
              </w:rPr>
              <w:t>Características</w:t>
            </w:r>
          </w:p>
        </w:tc>
        <w:tc>
          <w:tcPr>
            <w:tcW w:w="3696" w:type="dxa"/>
            <w:gridSpan w:val="5"/>
            <w:tcBorders>
              <w:top w:val="single" w:sz="6" w:space="0" w:color="auto"/>
              <w:left w:val="single" w:sz="6" w:space="0" w:color="auto"/>
              <w:bottom w:val="single" w:sz="6" w:space="0" w:color="auto"/>
              <w:right w:val="single" w:sz="6" w:space="0" w:color="auto"/>
            </w:tcBorders>
            <w:vAlign w:val="center"/>
          </w:tcPr>
          <w:p w:rsidR="00000000" w:rsidRDefault="00000000">
            <w:pPr>
              <w:autoSpaceDE w:val="0"/>
              <w:autoSpaceDN w:val="0"/>
              <w:adjustRightInd w:val="0"/>
              <w:jc w:val="center"/>
              <w:rPr>
                <w:bCs/>
                <w:color w:val="000000"/>
                <w:szCs w:val="16"/>
                <w:lang w:val="es-ES_tradnl"/>
              </w:rPr>
            </w:pPr>
            <w:r>
              <w:rPr>
                <w:bCs/>
                <w:color w:val="000000"/>
                <w:szCs w:val="16"/>
                <w:lang w:val="es-ES_tradnl"/>
              </w:rPr>
              <w:t>Año</w:t>
            </w:r>
          </w:p>
        </w:tc>
        <w:tc>
          <w:tcPr>
            <w:tcW w:w="739" w:type="dxa"/>
            <w:vMerge w:val="restart"/>
            <w:tcBorders>
              <w:top w:val="single" w:sz="6" w:space="0" w:color="auto"/>
              <w:left w:val="single" w:sz="6" w:space="0" w:color="auto"/>
              <w:bottom w:val="single" w:sz="6" w:space="0" w:color="auto"/>
              <w:right w:val="single" w:sz="6" w:space="0" w:color="auto"/>
            </w:tcBorders>
            <w:vAlign w:val="center"/>
          </w:tcPr>
          <w:p w:rsidR="00000000" w:rsidRDefault="00000000">
            <w:pPr>
              <w:autoSpaceDE w:val="0"/>
              <w:autoSpaceDN w:val="0"/>
              <w:adjustRightInd w:val="0"/>
              <w:jc w:val="center"/>
              <w:rPr>
                <w:bCs/>
                <w:color w:val="000000"/>
                <w:szCs w:val="16"/>
                <w:lang w:val="es-ES_tradnl"/>
              </w:rPr>
            </w:pPr>
            <w:r>
              <w:rPr>
                <w:bCs/>
                <w:color w:val="000000"/>
                <w:szCs w:val="16"/>
                <w:lang w:val="es-ES_tradnl"/>
              </w:rPr>
              <w:t>1996 2000</w:t>
            </w:r>
          </w:p>
        </w:tc>
      </w:tr>
      <w:tr w:rsidR="00000000">
        <w:trPr>
          <w:cantSplit/>
          <w:trHeight w:val="235"/>
          <w:tblHeader/>
        </w:trPr>
        <w:tc>
          <w:tcPr>
            <w:tcW w:w="4968" w:type="dxa"/>
            <w:vMerge/>
            <w:tcBorders>
              <w:top w:val="single" w:sz="6" w:space="0" w:color="auto"/>
              <w:left w:val="single" w:sz="6" w:space="0" w:color="auto"/>
              <w:bottom w:val="single" w:sz="6" w:space="0" w:color="auto"/>
              <w:right w:val="single" w:sz="6" w:space="0" w:color="auto"/>
            </w:tcBorders>
            <w:vAlign w:val="center"/>
          </w:tcPr>
          <w:p w:rsidR="00000000" w:rsidRDefault="00000000">
            <w:pPr>
              <w:rPr>
                <w:bCs/>
                <w:color w:val="000000"/>
                <w:szCs w:val="16"/>
                <w:lang w:val="es-ES_tradnl"/>
              </w:rPr>
            </w:pPr>
          </w:p>
        </w:tc>
        <w:tc>
          <w:tcPr>
            <w:tcW w:w="7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center"/>
              <w:rPr>
                <w:bCs/>
                <w:color w:val="000000"/>
                <w:szCs w:val="16"/>
                <w:lang w:val="es-ES_tradnl"/>
              </w:rPr>
            </w:pPr>
            <w:r>
              <w:rPr>
                <w:bCs/>
                <w:color w:val="000000"/>
                <w:szCs w:val="16"/>
                <w:lang w:val="es-ES_tradnl"/>
              </w:rPr>
              <w:t>1996</w:t>
            </w:r>
          </w:p>
        </w:tc>
        <w:tc>
          <w:tcPr>
            <w:tcW w:w="7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center"/>
              <w:rPr>
                <w:bCs/>
                <w:color w:val="000000"/>
                <w:szCs w:val="16"/>
                <w:lang w:val="es-ES_tradnl"/>
              </w:rPr>
            </w:pPr>
            <w:r>
              <w:rPr>
                <w:bCs/>
                <w:color w:val="000000"/>
                <w:szCs w:val="16"/>
                <w:lang w:val="es-ES_tradnl"/>
              </w:rPr>
              <w:t>1997</w:t>
            </w:r>
          </w:p>
        </w:tc>
        <w:tc>
          <w:tcPr>
            <w:tcW w:w="7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center"/>
              <w:rPr>
                <w:bCs/>
                <w:color w:val="000000"/>
                <w:szCs w:val="16"/>
                <w:lang w:val="es-ES_tradnl"/>
              </w:rPr>
            </w:pPr>
            <w:r>
              <w:rPr>
                <w:bCs/>
                <w:color w:val="000000"/>
                <w:szCs w:val="16"/>
                <w:lang w:val="es-ES_tradnl"/>
              </w:rPr>
              <w:t>1998</w:t>
            </w:r>
          </w:p>
        </w:tc>
        <w:tc>
          <w:tcPr>
            <w:tcW w:w="7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center"/>
              <w:rPr>
                <w:bCs/>
                <w:color w:val="000000"/>
                <w:szCs w:val="16"/>
                <w:lang w:val="es-ES_tradnl"/>
              </w:rPr>
            </w:pPr>
            <w:r>
              <w:rPr>
                <w:bCs/>
                <w:color w:val="000000"/>
                <w:szCs w:val="16"/>
                <w:lang w:val="es-ES_tradnl"/>
              </w:rPr>
              <w:t>1999</w:t>
            </w:r>
          </w:p>
        </w:tc>
        <w:tc>
          <w:tcPr>
            <w:tcW w:w="7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center"/>
              <w:rPr>
                <w:bCs/>
                <w:color w:val="000000"/>
                <w:szCs w:val="16"/>
                <w:lang w:val="es-ES_tradnl"/>
              </w:rPr>
            </w:pPr>
            <w:r>
              <w:rPr>
                <w:bCs/>
                <w:color w:val="000000"/>
                <w:szCs w:val="16"/>
                <w:lang w:val="es-ES_tradnl"/>
              </w:rPr>
              <w:t>2000</w:t>
            </w:r>
          </w:p>
        </w:tc>
        <w:tc>
          <w:tcPr>
            <w:tcW w:w="739" w:type="dxa"/>
            <w:vMerge/>
            <w:tcBorders>
              <w:top w:val="single" w:sz="6" w:space="0" w:color="auto"/>
              <w:left w:val="single" w:sz="6" w:space="0" w:color="auto"/>
              <w:bottom w:val="single" w:sz="6" w:space="0" w:color="auto"/>
              <w:right w:val="single" w:sz="6" w:space="0" w:color="auto"/>
            </w:tcBorders>
            <w:vAlign w:val="center"/>
          </w:tcPr>
          <w:p w:rsidR="00000000" w:rsidRDefault="00000000">
            <w:pPr>
              <w:rPr>
                <w:bCs/>
                <w:color w:val="000000"/>
                <w:szCs w:val="16"/>
                <w:lang w:val="es-ES_tradnl"/>
              </w:rPr>
            </w:pPr>
          </w:p>
        </w:tc>
      </w:tr>
      <w:tr w:rsidR="00000000">
        <w:trPr>
          <w:trHeight w:val="293"/>
        </w:trPr>
        <w:tc>
          <w:tcPr>
            <w:tcW w:w="4968"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center"/>
              <w:rPr>
                <w:bCs/>
                <w:color w:val="000000"/>
                <w:szCs w:val="16"/>
                <w:lang w:val="es-ES_tradnl"/>
              </w:rPr>
            </w:pPr>
            <w:r>
              <w:rPr>
                <w:bCs/>
                <w:color w:val="000000"/>
                <w:szCs w:val="16"/>
                <w:lang w:val="es-ES_tradnl"/>
              </w:rPr>
              <w:t>Total</w:t>
            </w:r>
          </w:p>
        </w:tc>
        <w:tc>
          <w:tcPr>
            <w:tcW w:w="7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39</w:t>
            </w:r>
          </w:p>
        </w:tc>
        <w:tc>
          <w:tcPr>
            <w:tcW w:w="7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55</w:t>
            </w:r>
          </w:p>
        </w:tc>
        <w:tc>
          <w:tcPr>
            <w:tcW w:w="7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48</w:t>
            </w:r>
          </w:p>
        </w:tc>
        <w:tc>
          <w:tcPr>
            <w:tcW w:w="7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63</w:t>
            </w:r>
          </w:p>
        </w:tc>
        <w:tc>
          <w:tcPr>
            <w:tcW w:w="7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45</w:t>
            </w:r>
          </w:p>
        </w:tc>
        <w:tc>
          <w:tcPr>
            <w:tcW w:w="7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250</w:t>
            </w:r>
          </w:p>
        </w:tc>
      </w:tr>
      <w:tr w:rsidR="00000000">
        <w:trPr>
          <w:trHeight w:val="293"/>
        </w:trPr>
        <w:tc>
          <w:tcPr>
            <w:tcW w:w="4968" w:type="dxa"/>
            <w:tcBorders>
              <w:top w:val="single" w:sz="6" w:space="0" w:color="auto"/>
              <w:left w:val="single" w:sz="6" w:space="0" w:color="auto"/>
              <w:bottom w:val="single" w:sz="2" w:space="0" w:color="000000"/>
              <w:right w:val="single" w:sz="6" w:space="0" w:color="auto"/>
            </w:tcBorders>
          </w:tcPr>
          <w:p w:rsidR="00000000" w:rsidRDefault="00000000">
            <w:pPr>
              <w:autoSpaceDE w:val="0"/>
              <w:autoSpaceDN w:val="0"/>
              <w:adjustRightInd w:val="0"/>
              <w:rPr>
                <w:color w:val="000000"/>
                <w:szCs w:val="16"/>
                <w:lang w:val="es-ES_tradnl"/>
              </w:rPr>
            </w:pPr>
            <w:r>
              <w:rPr>
                <w:color w:val="000000"/>
                <w:szCs w:val="16"/>
                <w:lang w:val="es-ES_tradnl"/>
              </w:rPr>
              <w:t>DURACIÓN DE LA CONVIVENCIA:</w:t>
            </w:r>
          </w:p>
        </w:tc>
        <w:tc>
          <w:tcPr>
            <w:tcW w:w="739" w:type="dxa"/>
            <w:tcBorders>
              <w:top w:val="single" w:sz="6" w:space="0" w:color="auto"/>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6" w:space="0" w:color="auto"/>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40" w:type="dxa"/>
            <w:tcBorders>
              <w:top w:val="single" w:sz="6" w:space="0" w:color="auto"/>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6" w:space="0" w:color="auto"/>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6" w:space="0" w:color="auto"/>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6" w:space="0" w:color="auto"/>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r>
      <w:tr w:rsidR="00000000">
        <w:trPr>
          <w:trHeight w:val="293"/>
        </w:trPr>
        <w:tc>
          <w:tcPr>
            <w:tcW w:w="4968" w:type="dxa"/>
            <w:tcBorders>
              <w:top w:val="single" w:sz="6" w:space="0" w:color="auto"/>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menos de 1 año</w:t>
            </w:r>
          </w:p>
        </w:tc>
        <w:tc>
          <w:tcPr>
            <w:tcW w:w="739" w:type="dxa"/>
            <w:tcBorders>
              <w:top w:val="single" w:sz="6" w:space="0" w:color="auto"/>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w:t>
            </w:r>
          </w:p>
        </w:tc>
        <w:tc>
          <w:tcPr>
            <w:tcW w:w="739" w:type="dxa"/>
            <w:tcBorders>
              <w:top w:val="single" w:sz="6" w:space="0" w:color="auto"/>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w:t>
            </w:r>
          </w:p>
        </w:tc>
        <w:tc>
          <w:tcPr>
            <w:tcW w:w="740" w:type="dxa"/>
            <w:tcBorders>
              <w:top w:val="single" w:sz="6" w:space="0" w:color="auto"/>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6" w:space="0" w:color="auto"/>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w:t>
            </w:r>
          </w:p>
        </w:tc>
        <w:tc>
          <w:tcPr>
            <w:tcW w:w="739" w:type="dxa"/>
            <w:tcBorders>
              <w:top w:val="single" w:sz="6" w:space="0" w:color="auto"/>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6" w:space="0" w:color="auto"/>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4</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de 1 a 3 años</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4</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6</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12</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10</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8</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40</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de 4 a 6 años</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11</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7</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5</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13</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15</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51</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 xml:space="preserve">de 7 a 9 años </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5</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4</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9</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8</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28</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de 10 a 19 años</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9</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23</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10</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14</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12</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68</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de 20 a 29 años</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4</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12</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10</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11</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6</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43</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más de 30 años</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5</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5</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16</w:t>
            </w:r>
          </w:p>
        </w:tc>
      </w:tr>
      <w:tr w:rsidR="00000000">
        <w:trPr>
          <w:trHeight w:val="293"/>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rPr>
                <w:color w:val="000000"/>
                <w:szCs w:val="16"/>
                <w:lang w:val="es-ES_tradnl"/>
              </w:rPr>
            </w:pPr>
            <w:r>
              <w:rPr>
                <w:color w:val="000000"/>
                <w:szCs w:val="16"/>
                <w:lang w:val="es-ES_tradnl"/>
              </w:rPr>
              <w:t>RITO EN QUE SE CELEBRÓ EL MATRIMONIO:</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r>
      <w:tr w:rsidR="00000000">
        <w:trPr>
          <w:trHeight w:val="293"/>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religioso</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27</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41</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33</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45</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33</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179</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civil</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12</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12</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14</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18</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12</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68</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otros</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w:t>
            </w:r>
          </w:p>
        </w:tc>
      </w:tr>
      <w:tr w:rsidR="00000000">
        <w:trPr>
          <w:trHeight w:val="293"/>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rPr>
                <w:color w:val="000000"/>
                <w:szCs w:val="16"/>
                <w:lang w:val="es-ES_tradnl"/>
              </w:rPr>
            </w:pPr>
            <w:r>
              <w:rPr>
                <w:color w:val="000000"/>
                <w:szCs w:val="16"/>
                <w:lang w:val="es-ES_tradnl"/>
              </w:rPr>
              <w:t>LUGAR DE CELEBRACIÓN DEL MATRIMONIO:</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4</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r>
      <w:tr w:rsidR="00000000">
        <w:trPr>
          <w:trHeight w:val="293"/>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San Marino</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33</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35</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34</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46</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31</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179</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Italia</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6</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18</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13</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15</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14</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66</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otros</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5</w:t>
            </w:r>
          </w:p>
        </w:tc>
      </w:tr>
      <w:tr w:rsidR="00000000">
        <w:trPr>
          <w:trHeight w:val="293"/>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rPr>
                <w:color w:val="000000"/>
                <w:szCs w:val="16"/>
                <w:lang w:val="es-ES_tradnl"/>
              </w:rPr>
            </w:pPr>
            <w:r>
              <w:rPr>
                <w:color w:val="000000"/>
                <w:szCs w:val="16"/>
                <w:lang w:val="es-ES_tradnl"/>
              </w:rPr>
              <w:t>EDAD A LA QUE SE CONTRAJO EL MATRIMONIO:</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r>
      <w:tr w:rsidR="00000000">
        <w:trPr>
          <w:trHeight w:val="293"/>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esposa menos de 20</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7</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15</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7</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6</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38</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de 20 a 24</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17</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29</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18</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32</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22</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118</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de 25 a 29</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10</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8</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15</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20</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14</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67</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de 30 a 39</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4</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5</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4</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5</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21</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de 40 a 49</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5</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más de 50</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esposo menos de 20</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6</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9</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de 20 a 24</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12</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24</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15</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18</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8</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77</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de 25 a 29</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16</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20</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18</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27</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21</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102</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de 30 a 39</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9</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5</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12</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14</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15</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55</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de 40 a 49</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4</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más de 50</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w:t>
            </w:r>
          </w:p>
        </w:tc>
      </w:tr>
      <w:tr w:rsidR="00000000">
        <w:trPr>
          <w:trHeight w:val="293"/>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keepNext/>
              <w:keepLines/>
              <w:autoSpaceDE w:val="0"/>
              <w:autoSpaceDN w:val="0"/>
              <w:adjustRightInd w:val="0"/>
              <w:rPr>
                <w:color w:val="000000"/>
                <w:szCs w:val="16"/>
                <w:lang w:val="es-ES_tradnl"/>
              </w:rPr>
            </w:pPr>
            <w:r>
              <w:rPr>
                <w:color w:val="000000"/>
                <w:szCs w:val="16"/>
                <w:lang w:val="es-ES_tradnl"/>
              </w:rPr>
              <w:t>EDAD EN EL MOMENTO DE LA SEPARACIÓN:</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keepNext/>
              <w:keepLines/>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keepNext/>
              <w:keepLines/>
              <w:autoSpaceDE w:val="0"/>
              <w:autoSpaceDN w:val="0"/>
              <w:adjustRightInd w:val="0"/>
              <w:jc w:val="center"/>
              <w:rPr>
                <w:color w:val="000000"/>
                <w:szCs w:val="16"/>
                <w:lang w:val="es-ES_tradnl"/>
              </w:rPr>
            </w:pP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keepNext/>
              <w:keepLines/>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keepNext/>
              <w:keepLines/>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keepNext/>
              <w:keepLines/>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keepNext/>
              <w:keepLines/>
              <w:autoSpaceDE w:val="0"/>
              <w:autoSpaceDN w:val="0"/>
              <w:adjustRightInd w:val="0"/>
              <w:jc w:val="center"/>
              <w:rPr>
                <w:color w:val="000000"/>
                <w:szCs w:val="16"/>
                <w:lang w:val="es-ES_tradnl"/>
              </w:rPr>
            </w:pPr>
          </w:p>
        </w:tc>
      </w:tr>
      <w:tr w:rsidR="00000000">
        <w:trPr>
          <w:trHeight w:val="293"/>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keepNext/>
              <w:keepLines/>
              <w:autoSpaceDE w:val="0"/>
              <w:autoSpaceDN w:val="0"/>
              <w:adjustRightInd w:val="0"/>
              <w:ind w:firstLine="360"/>
              <w:rPr>
                <w:color w:val="000000"/>
                <w:szCs w:val="16"/>
                <w:lang w:val="es-ES_tradnl"/>
              </w:rPr>
            </w:pPr>
            <w:r>
              <w:rPr>
                <w:color w:val="000000"/>
                <w:szCs w:val="16"/>
                <w:lang w:val="es-ES_tradnl"/>
              </w:rPr>
              <w:t>esposa menos de 20</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keepNext/>
              <w:keepLines/>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keepNext/>
              <w:keepLines/>
              <w:autoSpaceDE w:val="0"/>
              <w:autoSpaceDN w:val="0"/>
              <w:adjustRightInd w:val="0"/>
              <w:jc w:val="center"/>
              <w:rPr>
                <w:color w:val="000000"/>
                <w:szCs w:val="16"/>
                <w:lang w:val="es-ES_tradnl"/>
              </w:rPr>
            </w:pP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keepNext/>
              <w:keepLines/>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keepNext/>
              <w:keepLines/>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keepNext/>
              <w:keepLines/>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keepNext/>
              <w:keepLines/>
              <w:autoSpaceDE w:val="0"/>
              <w:autoSpaceDN w:val="0"/>
              <w:adjustRightInd w:val="0"/>
              <w:jc w:val="center"/>
              <w:rPr>
                <w:color w:val="000000"/>
                <w:szCs w:val="16"/>
                <w:lang w:val="es-ES_tradnl"/>
              </w:rPr>
            </w:pP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keepNext/>
              <w:keepLines/>
              <w:autoSpaceDE w:val="0"/>
              <w:autoSpaceDN w:val="0"/>
              <w:adjustRightInd w:val="0"/>
              <w:ind w:firstLine="360"/>
              <w:rPr>
                <w:color w:val="000000"/>
                <w:szCs w:val="16"/>
                <w:lang w:val="es-ES_tradnl"/>
              </w:rPr>
            </w:pPr>
            <w:r>
              <w:rPr>
                <w:color w:val="000000"/>
                <w:szCs w:val="16"/>
                <w:lang w:val="es-ES_tradnl"/>
              </w:rPr>
              <w:t>de 20 a 24</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keepNext/>
              <w:keepLines/>
              <w:autoSpaceDE w:val="0"/>
              <w:autoSpaceDN w:val="0"/>
              <w:adjustRightInd w:val="0"/>
              <w:jc w:val="center"/>
              <w:rPr>
                <w:color w:val="000000"/>
                <w:szCs w:val="16"/>
                <w:lang w:val="es-ES_tradnl"/>
              </w:rPr>
            </w:pPr>
            <w:r>
              <w:rPr>
                <w:color w:val="000000"/>
                <w:szCs w:val="16"/>
                <w:lang w:val="es-ES_tradnl"/>
              </w:rPr>
              <w:t>4</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keepNext/>
              <w:keepLines/>
              <w:autoSpaceDE w:val="0"/>
              <w:autoSpaceDN w:val="0"/>
              <w:adjustRightInd w:val="0"/>
              <w:jc w:val="center"/>
              <w:rPr>
                <w:color w:val="000000"/>
                <w:szCs w:val="16"/>
                <w:lang w:val="es-ES_tradnl"/>
              </w:rPr>
            </w:pPr>
            <w:r>
              <w:rPr>
                <w:color w:val="000000"/>
                <w:szCs w:val="16"/>
                <w:lang w:val="es-ES_tradnl"/>
              </w:rPr>
              <w:t>4</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keepNext/>
              <w:keepLines/>
              <w:autoSpaceDE w:val="0"/>
              <w:autoSpaceDN w:val="0"/>
              <w:adjustRightInd w:val="0"/>
              <w:jc w:val="center"/>
              <w:rPr>
                <w:color w:val="000000"/>
                <w:szCs w:val="16"/>
                <w:lang w:val="es-ES_tradnl"/>
              </w:rPr>
            </w:pPr>
            <w:r>
              <w:rPr>
                <w:color w:val="000000"/>
                <w:szCs w:val="16"/>
                <w:lang w:val="es-ES_tradnl"/>
              </w:rPr>
              <w:t>1</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keepNext/>
              <w:keepLines/>
              <w:autoSpaceDE w:val="0"/>
              <w:autoSpaceDN w:val="0"/>
              <w:adjustRightInd w:val="0"/>
              <w:jc w:val="center"/>
              <w:rPr>
                <w:color w:val="000000"/>
                <w:szCs w:val="16"/>
                <w:lang w:val="es-ES_tradnl"/>
              </w:rPr>
            </w:pPr>
            <w:r>
              <w:rPr>
                <w:color w:val="000000"/>
                <w:szCs w:val="16"/>
                <w:lang w:val="es-ES_tradnl"/>
              </w:rPr>
              <w:t>3</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keepNext/>
              <w:keepLines/>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keepNext/>
              <w:keepLines/>
              <w:autoSpaceDE w:val="0"/>
              <w:autoSpaceDN w:val="0"/>
              <w:adjustRightInd w:val="0"/>
              <w:jc w:val="center"/>
              <w:rPr>
                <w:color w:val="000000"/>
                <w:szCs w:val="16"/>
                <w:lang w:val="es-ES_tradnl"/>
              </w:rPr>
            </w:pPr>
            <w:r>
              <w:rPr>
                <w:color w:val="000000"/>
                <w:szCs w:val="16"/>
                <w:lang w:val="es-ES_tradnl"/>
              </w:rPr>
              <w:t>12</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de 25 a 29</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8</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8</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11</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9</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8</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44</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de 30 a 39</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16</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28</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18</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33</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26</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121</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de 40 a 49</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6</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11</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13</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9</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8</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47</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más de 50</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5</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4</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5</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9</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26</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esposo menos de 20</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de 20 a 24</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de 25 a 29</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6</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6</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5</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7</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26</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de 30 a 39</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15</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28</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19</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32</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26</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120</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de 40 a 49</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10</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12</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14</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11</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11</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58</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más de 50</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7</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8</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10</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13</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6</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44</w:t>
            </w:r>
          </w:p>
        </w:tc>
      </w:tr>
      <w:tr w:rsidR="00000000">
        <w:trPr>
          <w:trHeight w:val="293"/>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rPr>
                <w:color w:val="000000"/>
                <w:szCs w:val="16"/>
                <w:lang w:val="es-ES_tradnl"/>
              </w:rPr>
            </w:pPr>
            <w:r>
              <w:rPr>
                <w:color w:val="000000"/>
                <w:szCs w:val="16"/>
                <w:lang w:val="es-ES_tradnl"/>
              </w:rPr>
              <w:t>SEPARACIONES CON HIJOS MENORES</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22</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29</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22</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28</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25</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126</w:t>
            </w:r>
          </w:p>
        </w:tc>
      </w:tr>
      <w:tr w:rsidR="00000000">
        <w:trPr>
          <w:trHeight w:val="293"/>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rPr>
                <w:color w:val="000000"/>
                <w:szCs w:val="16"/>
                <w:lang w:val="es-ES_tradnl"/>
              </w:rPr>
            </w:pPr>
            <w:r>
              <w:rPr>
                <w:color w:val="000000"/>
                <w:szCs w:val="16"/>
                <w:lang w:val="es-ES_tradnl"/>
              </w:rPr>
              <w:t>NÚMERO TOTAL DE HIJOS MENORES EN ESE CASO</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25</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41</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28</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36</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31</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161</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rPr>
                <w:color w:val="000000"/>
                <w:szCs w:val="16"/>
                <w:lang w:val="es-ES_tradnl"/>
              </w:rPr>
            </w:pPr>
            <w:r>
              <w:rPr>
                <w:color w:val="000000"/>
                <w:szCs w:val="16"/>
                <w:lang w:val="es-ES_tradnl"/>
              </w:rPr>
              <w:t xml:space="preserve">Por edades:  </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de 0 a 2 años</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4</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14</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de 3 a 4 años</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5</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4</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5</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7</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7</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28</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de 5 a 9 años</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7</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13</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9</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11</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11</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51</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de 10 a 14 años</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7</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17</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9</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7</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6</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46</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de 15 a 17 años</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5</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7</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4</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22</w:t>
            </w:r>
          </w:p>
        </w:tc>
      </w:tr>
      <w:tr w:rsidR="00000000">
        <w:trPr>
          <w:trHeight w:val="293"/>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rPr>
                <w:color w:val="000000"/>
                <w:szCs w:val="16"/>
                <w:lang w:val="es-ES_tradnl"/>
              </w:rPr>
            </w:pPr>
            <w:r>
              <w:rPr>
                <w:color w:val="000000"/>
                <w:szCs w:val="16"/>
                <w:lang w:val="es-ES_tradnl"/>
              </w:rPr>
              <w:t>CUSTODIA CONCEDIDA:</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r>
      <w:tr w:rsidR="00000000">
        <w:trPr>
          <w:trHeight w:val="293"/>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al padre</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7</w:t>
            </w:r>
          </w:p>
        </w:tc>
      </w:tr>
      <w:tr w:rsidR="00000000">
        <w:trPr>
          <w:trHeight w:val="144"/>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a la madre</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24</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36</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28</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31</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30</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149</w:t>
            </w:r>
          </w:p>
        </w:tc>
      </w:tr>
      <w:tr w:rsidR="00000000">
        <w:trPr>
          <w:trHeight w:val="144"/>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a ambos</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5</w:t>
            </w:r>
          </w:p>
        </w:tc>
      </w:tr>
      <w:tr w:rsidR="00000000">
        <w:trPr>
          <w:trHeight w:val="293"/>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rPr>
                <w:color w:val="000000"/>
                <w:szCs w:val="16"/>
                <w:lang w:val="es-ES_tradnl"/>
              </w:rPr>
            </w:pPr>
            <w:r>
              <w:rPr>
                <w:color w:val="000000"/>
                <w:szCs w:val="16"/>
                <w:lang w:val="es-ES_tradnl"/>
              </w:rPr>
              <w:t>NIVEL DE ENSEÑANZA:</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r>
      <w:tr w:rsidR="00000000">
        <w:trPr>
          <w:trHeight w:val="293"/>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esposa elemental</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7</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4</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5</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4</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22</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720"/>
              <w:rPr>
                <w:color w:val="000000"/>
                <w:szCs w:val="16"/>
                <w:lang w:val="es-ES_tradnl"/>
              </w:rPr>
            </w:pPr>
            <w:r>
              <w:rPr>
                <w:color w:val="000000"/>
                <w:szCs w:val="16"/>
                <w:lang w:val="es-ES_tradnl"/>
              </w:rPr>
              <w:t>escuela secundaria de primer ciclo</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18</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24</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18</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22</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17</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99</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720"/>
              <w:rPr>
                <w:color w:val="000000"/>
                <w:szCs w:val="16"/>
                <w:lang w:val="es-ES_tradnl"/>
              </w:rPr>
            </w:pPr>
            <w:r>
              <w:rPr>
                <w:color w:val="000000"/>
                <w:szCs w:val="16"/>
                <w:lang w:val="es-ES_tradnl"/>
              </w:rPr>
              <w:t>escuela secundaria superior</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13</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24</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23</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30</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20</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110</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720"/>
              <w:rPr>
                <w:color w:val="000000"/>
                <w:szCs w:val="16"/>
                <w:lang w:val="es-ES_tradnl"/>
              </w:rPr>
            </w:pPr>
            <w:r>
              <w:rPr>
                <w:color w:val="000000"/>
                <w:szCs w:val="16"/>
                <w:lang w:val="es-ES_tradnl"/>
              </w:rPr>
              <w:t>universitaria</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7</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6</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19</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esposo elemental</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6</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9</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5</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8</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6</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34</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720"/>
              <w:rPr>
                <w:color w:val="000000"/>
                <w:szCs w:val="16"/>
                <w:lang w:val="es-ES_tradnl"/>
              </w:rPr>
            </w:pPr>
            <w:r>
              <w:rPr>
                <w:color w:val="000000"/>
                <w:szCs w:val="16"/>
                <w:lang w:val="es-ES_tradnl"/>
              </w:rPr>
              <w:t>escuela secundaria de primer ciclo</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26</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29</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24</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35</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23</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137</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720"/>
              <w:rPr>
                <w:color w:val="000000"/>
                <w:szCs w:val="16"/>
                <w:lang w:val="es-ES_tradnl"/>
              </w:rPr>
            </w:pPr>
            <w:r>
              <w:rPr>
                <w:color w:val="000000"/>
                <w:szCs w:val="16"/>
                <w:lang w:val="es-ES_tradnl"/>
              </w:rPr>
              <w:t>escuela secundaria superior</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5</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12</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16</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18</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11</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62</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720"/>
              <w:rPr>
                <w:color w:val="000000"/>
                <w:szCs w:val="16"/>
                <w:lang w:val="es-ES_tradnl"/>
              </w:rPr>
            </w:pPr>
            <w:r>
              <w:rPr>
                <w:color w:val="000000"/>
                <w:szCs w:val="16"/>
                <w:lang w:val="es-ES_tradnl"/>
              </w:rPr>
              <w:t>universitario</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5</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5</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17</w:t>
            </w:r>
          </w:p>
        </w:tc>
      </w:tr>
      <w:tr w:rsidR="00000000">
        <w:trPr>
          <w:trHeight w:val="293"/>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rPr>
                <w:color w:val="000000"/>
                <w:szCs w:val="16"/>
                <w:lang w:val="es-ES_tradnl"/>
              </w:rPr>
            </w:pPr>
            <w:r>
              <w:rPr>
                <w:color w:val="000000"/>
                <w:szCs w:val="16"/>
                <w:lang w:val="es-ES_tradnl"/>
              </w:rPr>
              <w:t>OCUPACIÓN:</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r>
      <w:tr w:rsidR="00000000">
        <w:trPr>
          <w:trHeight w:val="293"/>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esposa agricultura</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720"/>
              <w:rPr>
                <w:color w:val="000000"/>
                <w:szCs w:val="16"/>
                <w:lang w:val="es-ES_tradnl"/>
              </w:rPr>
            </w:pPr>
            <w:r>
              <w:rPr>
                <w:color w:val="000000"/>
                <w:szCs w:val="16"/>
                <w:lang w:val="es-ES_tradnl"/>
              </w:rPr>
              <w:t>empleada por cuenta propia</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9</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6</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5</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7</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29</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720"/>
              <w:rPr>
                <w:color w:val="000000"/>
                <w:szCs w:val="16"/>
                <w:lang w:val="es-ES_tradnl"/>
              </w:rPr>
            </w:pPr>
            <w:r>
              <w:rPr>
                <w:color w:val="000000"/>
                <w:szCs w:val="16"/>
                <w:lang w:val="es-ES_tradnl"/>
              </w:rPr>
              <w:t>empleada por cuenta ajena</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rPr>
            </w:pPr>
            <w:r>
              <w:rPr>
                <w:color w:val="000000"/>
                <w:szCs w:val="16"/>
              </w:rPr>
              <w:t>25</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rPr>
            </w:pPr>
            <w:r>
              <w:rPr>
                <w:color w:val="000000"/>
                <w:szCs w:val="16"/>
              </w:rPr>
              <w:t>40</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rPr>
            </w:pPr>
            <w:r>
              <w:rPr>
                <w:color w:val="000000"/>
                <w:szCs w:val="16"/>
              </w:rPr>
              <w:t>34</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rPr>
            </w:pPr>
            <w:r>
              <w:rPr>
                <w:color w:val="000000"/>
                <w:szCs w:val="16"/>
              </w:rPr>
              <w:t>44</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rPr>
            </w:pPr>
            <w:r>
              <w:rPr>
                <w:color w:val="000000"/>
                <w:szCs w:val="16"/>
              </w:rPr>
              <w:t>30</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rPr>
            </w:pPr>
            <w:r>
              <w:rPr>
                <w:color w:val="000000"/>
                <w:szCs w:val="16"/>
              </w:rPr>
              <w:t>173</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720"/>
              <w:rPr>
                <w:color w:val="000000"/>
                <w:szCs w:val="16"/>
                <w:lang w:val="es-ES_tradnl"/>
              </w:rPr>
            </w:pPr>
            <w:r>
              <w:rPr>
                <w:color w:val="000000"/>
                <w:szCs w:val="16"/>
                <w:lang w:val="es-ES_tradnl"/>
              </w:rPr>
              <w:t>ama de casa</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6</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4</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5</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7</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6</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28</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720"/>
              <w:rPr>
                <w:color w:val="000000"/>
                <w:szCs w:val="16"/>
                <w:lang w:val="es-ES_tradnl"/>
              </w:rPr>
            </w:pPr>
            <w:r>
              <w:rPr>
                <w:color w:val="000000"/>
                <w:szCs w:val="16"/>
                <w:lang w:val="es-ES_tradnl"/>
              </w:rPr>
              <w:t>jubilada</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720"/>
              <w:rPr>
                <w:color w:val="000000"/>
                <w:szCs w:val="16"/>
                <w:lang w:val="es-ES_tradnl"/>
              </w:rPr>
            </w:pPr>
            <w:r>
              <w:rPr>
                <w:color w:val="000000"/>
                <w:szCs w:val="16"/>
                <w:lang w:val="es-ES_tradnl"/>
              </w:rPr>
              <w:t>otra o ninguna</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6</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16</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keepNext/>
              <w:keepLines/>
              <w:autoSpaceDE w:val="0"/>
              <w:autoSpaceDN w:val="0"/>
              <w:adjustRightInd w:val="0"/>
              <w:ind w:firstLine="360"/>
              <w:rPr>
                <w:color w:val="000000"/>
                <w:szCs w:val="16"/>
                <w:lang w:val="es-ES_tradnl"/>
              </w:rPr>
            </w:pPr>
            <w:r>
              <w:rPr>
                <w:color w:val="000000"/>
                <w:szCs w:val="16"/>
                <w:lang w:val="es-ES_tradnl"/>
              </w:rPr>
              <w:t>esposo agricultura</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keepNext/>
              <w:keepLines/>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keepNext/>
              <w:keepLines/>
              <w:autoSpaceDE w:val="0"/>
              <w:autoSpaceDN w:val="0"/>
              <w:adjustRightInd w:val="0"/>
              <w:jc w:val="center"/>
              <w:rPr>
                <w:color w:val="000000"/>
                <w:szCs w:val="16"/>
                <w:lang w:val="es-ES_tradnl"/>
              </w:rPr>
            </w:pPr>
            <w:r>
              <w:rPr>
                <w:color w:val="000000"/>
                <w:szCs w:val="16"/>
                <w:lang w:val="es-ES_tradnl"/>
              </w:rPr>
              <w:t>2</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keepNext/>
              <w:keepLines/>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keepNext/>
              <w:keepLines/>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keepNext/>
              <w:keepLines/>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keepNext/>
              <w:keepLines/>
              <w:autoSpaceDE w:val="0"/>
              <w:autoSpaceDN w:val="0"/>
              <w:adjustRightInd w:val="0"/>
              <w:jc w:val="center"/>
              <w:rPr>
                <w:color w:val="000000"/>
                <w:szCs w:val="16"/>
                <w:lang w:val="es-ES_tradnl"/>
              </w:rPr>
            </w:pPr>
            <w:r>
              <w:rPr>
                <w:color w:val="000000"/>
                <w:szCs w:val="16"/>
                <w:lang w:val="es-ES_tradnl"/>
              </w:rPr>
              <w:t>2</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keepNext/>
              <w:keepLines/>
              <w:autoSpaceDE w:val="0"/>
              <w:autoSpaceDN w:val="0"/>
              <w:adjustRightInd w:val="0"/>
              <w:ind w:firstLine="720"/>
              <w:rPr>
                <w:color w:val="000000"/>
                <w:szCs w:val="16"/>
                <w:lang w:val="es-ES_tradnl"/>
              </w:rPr>
            </w:pPr>
            <w:r>
              <w:rPr>
                <w:color w:val="000000"/>
                <w:szCs w:val="16"/>
                <w:lang w:val="es-ES_tradnl"/>
              </w:rPr>
              <w:t>empleado por cuenta propia</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keepNext/>
              <w:keepLines/>
              <w:autoSpaceDE w:val="0"/>
              <w:autoSpaceDN w:val="0"/>
              <w:adjustRightInd w:val="0"/>
              <w:jc w:val="center"/>
              <w:rPr>
                <w:color w:val="000000"/>
                <w:szCs w:val="16"/>
                <w:lang w:val="es-ES_tradnl"/>
              </w:rPr>
            </w:pPr>
            <w:r>
              <w:rPr>
                <w:color w:val="000000"/>
                <w:szCs w:val="16"/>
                <w:lang w:val="es-ES_tradnl"/>
              </w:rPr>
              <w:t>11</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keepNext/>
              <w:keepLines/>
              <w:autoSpaceDE w:val="0"/>
              <w:autoSpaceDN w:val="0"/>
              <w:adjustRightInd w:val="0"/>
              <w:jc w:val="center"/>
              <w:rPr>
                <w:color w:val="000000"/>
                <w:szCs w:val="16"/>
                <w:lang w:val="es-ES_tradnl"/>
              </w:rPr>
            </w:pPr>
            <w:r>
              <w:rPr>
                <w:color w:val="000000"/>
                <w:szCs w:val="16"/>
                <w:lang w:val="es-ES_tradnl"/>
              </w:rPr>
              <w:t>7</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keepNext/>
              <w:keepLines/>
              <w:autoSpaceDE w:val="0"/>
              <w:autoSpaceDN w:val="0"/>
              <w:adjustRightInd w:val="0"/>
              <w:jc w:val="center"/>
              <w:rPr>
                <w:color w:val="000000"/>
                <w:szCs w:val="16"/>
                <w:lang w:val="es-ES_tradnl"/>
              </w:rPr>
            </w:pPr>
            <w:r>
              <w:rPr>
                <w:color w:val="000000"/>
                <w:szCs w:val="16"/>
                <w:lang w:val="es-ES_tradnl"/>
              </w:rPr>
              <w:t>10</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keepNext/>
              <w:keepLines/>
              <w:autoSpaceDE w:val="0"/>
              <w:autoSpaceDN w:val="0"/>
              <w:adjustRightInd w:val="0"/>
              <w:jc w:val="center"/>
              <w:rPr>
                <w:color w:val="000000"/>
                <w:szCs w:val="16"/>
                <w:lang w:val="es-ES_tradnl"/>
              </w:rPr>
            </w:pPr>
            <w:r>
              <w:rPr>
                <w:color w:val="000000"/>
                <w:szCs w:val="16"/>
                <w:lang w:val="es-ES_tradnl"/>
              </w:rPr>
              <w:t>10</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keepNext/>
              <w:keepLines/>
              <w:autoSpaceDE w:val="0"/>
              <w:autoSpaceDN w:val="0"/>
              <w:adjustRightInd w:val="0"/>
              <w:jc w:val="center"/>
              <w:rPr>
                <w:color w:val="000000"/>
                <w:szCs w:val="16"/>
                <w:lang w:val="es-ES_tradnl"/>
              </w:rPr>
            </w:pPr>
            <w:r>
              <w:rPr>
                <w:color w:val="000000"/>
                <w:szCs w:val="16"/>
                <w:lang w:val="es-ES_tradnl"/>
              </w:rPr>
              <w:t>8</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keepNext/>
              <w:keepLines/>
              <w:autoSpaceDE w:val="0"/>
              <w:autoSpaceDN w:val="0"/>
              <w:adjustRightInd w:val="0"/>
              <w:jc w:val="center"/>
              <w:rPr>
                <w:color w:val="000000"/>
                <w:szCs w:val="16"/>
                <w:lang w:val="es-ES_tradnl"/>
              </w:rPr>
            </w:pPr>
            <w:r>
              <w:rPr>
                <w:color w:val="000000"/>
                <w:szCs w:val="16"/>
                <w:lang w:val="es-ES_tradnl"/>
              </w:rPr>
              <w:t>46</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keepNext/>
              <w:keepLines/>
              <w:autoSpaceDE w:val="0"/>
              <w:autoSpaceDN w:val="0"/>
              <w:adjustRightInd w:val="0"/>
              <w:ind w:firstLine="720"/>
              <w:rPr>
                <w:color w:val="000000"/>
                <w:szCs w:val="16"/>
                <w:lang w:val="es-ES_tradnl"/>
              </w:rPr>
            </w:pPr>
            <w:r>
              <w:rPr>
                <w:color w:val="000000"/>
                <w:szCs w:val="16"/>
                <w:lang w:val="es-ES_tradnl"/>
              </w:rPr>
              <w:t>empleado por cuenta ajena</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keepNext/>
              <w:keepLines/>
              <w:autoSpaceDE w:val="0"/>
              <w:autoSpaceDN w:val="0"/>
              <w:adjustRightInd w:val="0"/>
              <w:jc w:val="center"/>
              <w:rPr>
                <w:color w:val="000000"/>
                <w:szCs w:val="16"/>
                <w:lang w:val="es-ES_tradnl"/>
              </w:rPr>
            </w:pPr>
            <w:r>
              <w:rPr>
                <w:color w:val="000000"/>
                <w:szCs w:val="16"/>
                <w:lang w:val="es-ES_tradnl"/>
              </w:rPr>
              <w:t>25</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keepNext/>
              <w:keepLines/>
              <w:autoSpaceDE w:val="0"/>
              <w:autoSpaceDN w:val="0"/>
              <w:adjustRightInd w:val="0"/>
              <w:jc w:val="center"/>
              <w:rPr>
                <w:color w:val="000000"/>
                <w:szCs w:val="16"/>
                <w:lang w:val="es-ES_tradnl"/>
              </w:rPr>
            </w:pPr>
            <w:r>
              <w:rPr>
                <w:color w:val="000000"/>
                <w:szCs w:val="16"/>
                <w:lang w:val="es-ES_tradnl"/>
              </w:rPr>
              <w:t>42</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keepNext/>
              <w:keepLines/>
              <w:autoSpaceDE w:val="0"/>
              <w:autoSpaceDN w:val="0"/>
              <w:adjustRightInd w:val="0"/>
              <w:jc w:val="center"/>
              <w:rPr>
                <w:color w:val="000000"/>
                <w:szCs w:val="16"/>
                <w:lang w:val="es-ES_tradnl"/>
              </w:rPr>
            </w:pPr>
            <w:r>
              <w:rPr>
                <w:color w:val="000000"/>
                <w:szCs w:val="16"/>
                <w:lang w:val="es-ES_tradnl"/>
              </w:rPr>
              <w:t>31</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keepNext/>
              <w:keepLines/>
              <w:autoSpaceDE w:val="0"/>
              <w:autoSpaceDN w:val="0"/>
              <w:adjustRightInd w:val="0"/>
              <w:jc w:val="center"/>
              <w:rPr>
                <w:color w:val="000000"/>
                <w:szCs w:val="16"/>
                <w:lang w:val="es-ES_tradnl"/>
              </w:rPr>
            </w:pPr>
            <w:r>
              <w:rPr>
                <w:color w:val="000000"/>
                <w:szCs w:val="16"/>
                <w:lang w:val="es-ES_tradnl"/>
              </w:rPr>
              <w:t>35</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keepNext/>
              <w:keepLines/>
              <w:autoSpaceDE w:val="0"/>
              <w:autoSpaceDN w:val="0"/>
              <w:adjustRightInd w:val="0"/>
              <w:jc w:val="center"/>
              <w:rPr>
                <w:color w:val="000000"/>
                <w:szCs w:val="16"/>
                <w:lang w:val="es-ES_tradnl"/>
              </w:rPr>
            </w:pPr>
            <w:r>
              <w:rPr>
                <w:color w:val="000000"/>
                <w:szCs w:val="16"/>
                <w:lang w:val="es-ES_tradnl"/>
              </w:rPr>
              <w:t>29</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keepNext/>
              <w:keepLines/>
              <w:autoSpaceDE w:val="0"/>
              <w:autoSpaceDN w:val="0"/>
              <w:adjustRightInd w:val="0"/>
              <w:jc w:val="center"/>
              <w:rPr>
                <w:color w:val="000000"/>
                <w:szCs w:val="16"/>
                <w:lang w:val="es-ES_tradnl"/>
              </w:rPr>
            </w:pPr>
            <w:r>
              <w:rPr>
                <w:color w:val="000000"/>
                <w:szCs w:val="16"/>
                <w:lang w:val="es-ES_tradnl"/>
              </w:rPr>
              <w:t>162</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720"/>
              <w:rPr>
                <w:color w:val="000000"/>
                <w:szCs w:val="16"/>
                <w:lang w:val="es-ES_tradnl"/>
              </w:rPr>
            </w:pPr>
            <w:r>
              <w:rPr>
                <w:color w:val="000000"/>
                <w:szCs w:val="16"/>
                <w:lang w:val="es-ES_tradnl"/>
              </w:rPr>
              <w:t>jubilado</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4</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9</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720"/>
              <w:rPr>
                <w:color w:val="000000"/>
                <w:szCs w:val="16"/>
                <w:lang w:val="es-ES_tradnl"/>
              </w:rPr>
            </w:pPr>
            <w:r>
              <w:rPr>
                <w:color w:val="000000"/>
                <w:szCs w:val="16"/>
                <w:lang w:val="es-ES_tradnl"/>
              </w:rPr>
              <w:t>otra o ninguna</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7</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14</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7</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31</w:t>
            </w:r>
          </w:p>
        </w:tc>
      </w:tr>
      <w:tr w:rsidR="00000000">
        <w:trPr>
          <w:trHeight w:val="293"/>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rPr>
                <w:color w:val="000000"/>
                <w:szCs w:val="16"/>
                <w:lang w:val="es-ES_tradnl"/>
              </w:rPr>
            </w:pPr>
            <w:r>
              <w:rPr>
                <w:color w:val="000000"/>
                <w:szCs w:val="16"/>
                <w:lang w:val="es-ES_tradnl"/>
              </w:rPr>
              <w:t>NACIONALIDAD:</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r>
      <w:tr w:rsidR="00000000">
        <w:trPr>
          <w:trHeight w:val="293"/>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esposa de origen o naturalizada</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21</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29</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23</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36</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20</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129</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720"/>
              <w:rPr>
                <w:color w:val="000000"/>
                <w:szCs w:val="16"/>
                <w:lang w:val="es-ES_tradnl"/>
              </w:rPr>
            </w:pPr>
            <w:r>
              <w:rPr>
                <w:color w:val="000000"/>
                <w:szCs w:val="16"/>
                <w:lang w:val="es-ES_tradnl"/>
              </w:rPr>
              <w:t>adquirida por matrimonio</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16</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22</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22</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19</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21</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100</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720"/>
              <w:rPr>
                <w:color w:val="000000"/>
                <w:szCs w:val="16"/>
                <w:lang w:val="es-ES_tradnl"/>
              </w:rPr>
            </w:pPr>
            <w:r>
              <w:rPr>
                <w:color w:val="000000"/>
                <w:szCs w:val="16"/>
                <w:lang w:val="es-ES_tradnl"/>
              </w:rPr>
              <w:t>italiana</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7</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17</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720"/>
              <w:rPr>
                <w:color w:val="000000"/>
                <w:szCs w:val="16"/>
                <w:lang w:val="es-ES_tradnl"/>
              </w:rPr>
            </w:pPr>
            <w:r>
              <w:rPr>
                <w:color w:val="000000"/>
                <w:szCs w:val="16"/>
                <w:lang w:val="es-ES_tradnl"/>
              </w:rPr>
              <w:t>otra</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4</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esposo de origen o naturalizado</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33</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37</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35</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43</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33</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181</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720"/>
              <w:rPr>
                <w:color w:val="000000"/>
                <w:szCs w:val="16"/>
                <w:lang w:val="es-ES_tradnl"/>
              </w:rPr>
            </w:pPr>
            <w:r>
              <w:rPr>
                <w:color w:val="000000"/>
                <w:szCs w:val="16"/>
                <w:lang w:val="es-ES_tradnl"/>
              </w:rPr>
              <w:t>italiano</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5</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17</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11</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19</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12</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64</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720"/>
              <w:rPr>
                <w:color w:val="000000"/>
                <w:szCs w:val="16"/>
                <w:lang w:val="es-ES_tradnl"/>
              </w:rPr>
            </w:pPr>
            <w:r>
              <w:rPr>
                <w:color w:val="000000"/>
                <w:szCs w:val="16"/>
                <w:lang w:val="es-ES_tradnl"/>
              </w:rPr>
              <w:t>otra</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5</w:t>
            </w:r>
          </w:p>
        </w:tc>
      </w:tr>
    </w:tbl>
    <w:p w:rsidR="00000000" w:rsidRDefault="00000000">
      <w:pPr>
        <w:spacing w:after="240"/>
        <w:rPr>
          <w:b/>
          <w:bCs/>
          <w:vertAlign w:val="superscript"/>
          <w:lang w:val="es-ES_tradnl"/>
        </w:rPr>
      </w:pPr>
    </w:p>
    <w:p w:rsidR="00000000" w:rsidRDefault="00000000">
      <w:pPr>
        <w:spacing w:after="240"/>
      </w:pPr>
      <w:r>
        <w:rPr>
          <w:b/>
          <w:bCs/>
          <w:vertAlign w:val="superscript"/>
          <w:lang w:val="es-ES_tradnl"/>
        </w:rPr>
        <w:t>a</w:t>
      </w:r>
      <w:r>
        <w:rPr>
          <w:lang w:val="es-ES_tradnl"/>
        </w:rPr>
        <w:t xml:space="preserve"> </w:t>
      </w:r>
      <w:r>
        <w:t>Al menos uno de los cónyuges es residente o ciudadano de San Marino.</w:t>
      </w:r>
    </w:p>
    <w:p w:rsidR="00000000" w:rsidRDefault="00000000">
      <w:pPr>
        <w:spacing w:after="240"/>
      </w:pPr>
    </w:p>
    <w:p w:rsidR="00000000" w:rsidRDefault="00000000">
      <w:pPr>
        <w:spacing w:after="240"/>
        <w:jc w:val="center"/>
        <w:rPr>
          <w:b/>
          <w:bCs/>
          <w:lang w:val="es-ES_tradnl"/>
        </w:rPr>
      </w:pPr>
      <w:r>
        <w:rPr>
          <w:b/>
          <w:bCs/>
          <w:lang w:val="es-ES_tradnl"/>
        </w:rPr>
        <w:t>Cuadro 6</w:t>
      </w:r>
    </w:p>
    <w:p w:rsidR="00000000" w:rsidRDefault="00000000">
      <w:pPr>
        <w:spacing w:after="240"/>
        <w:jc w:val="center"/>
        <w:rPr>
          <w:b/>
          <w:bCs/>
          <w:vertAlign w:val="superscript"/>
          <w:lang w:val="es-ES_tradnl"/>
        </w:rPr>
      </w:pPr>
      <w:r>
        <w:rPr>
          <w:b/>
          <w:bCs/>
          <w:lang w:val="es-ES_tradnl"/>
        </w:rPr>
        <w:t>Registro de divorcios</w:t>
      </w:r>
      <w:r>
        <w:rPr>
          <w:b/>
          <w:bCs/>
          <w:vertAlign w:val="superscript"/>
          <w:lang w:val="es-ES_tradnl"/>
        </w:rPr>
        <w:t>a</w:t>
      </w:r>
    </w:p>
    <w:tbl>
      <w:tblPr>
        <w:tblW w:w="0" w:type="auto"/>
        <w:tblLayout w:type="fixed"/>
        <w:tblCellMar>
          <w:left w:w="30" w:type="dxa"/>
          <w:right w:w="30" w:type="dxa"/>
        </w:tblCellMar>
        <w:tblLook w:val="0000" w:firstRow="0" w:lastRow="0" w:firstColumn="0" w:lastColumn="0" w:noHBand="0" w:noVBand="0"/>
      </w:tblPr>
      <w:tblGrid>
        <w:gridCol w:w="4968"/>
        <w:gridCol w:w="739"/>
        <w:gridCol w:w="739"/>
        <w:gridCol w:w="740"/>
        <w:gridCol w:w="739"/>
        <w:gridCol w:w="739"/>
        <w:gridCol w:w="739"/>
      </w:tblGrid>
      <w:tr w:rsidR="00000000">
        <w:trPr>
          <w:cantSplit/>
          <w:trHeight w:val="235"/>
          <w:tblHeader/>
        </w:trPr>
        <w:tc>
          <w:tcPr>
            <w:tcW w:w="4968" w:type="dxa"/>
            <w:vMerge w:val="restart"/>
            <w:tcBorders>
              <w:top w:val="single" w:sz="6" w:space="0" w:color="auto"/>
              <w:left w:val="single" w:sz="6" w:space="0" w:color="auto"/>
              <w:bottom w:val="single" w:sz="6" w:space="0" w:color="auto"/>
              <w:right w:val="single" w:sz="6" w:space="0" w:color="auto"/>
            </w:tcBorders>
            <w:vAlign w:val="center"/>
          </w:tcPr>
          <w:p w:rsidR="00000000" w:rsidRDefault="00000000">
            <w:pPr>
              <w:autoSpaceDE w:val="0"/>
              <w:autoSpaceDN w:val="0"/>
              <w:adjustRightInd w:val="0"/>
              <w:jc w:val="center"/>
              <w:rPr>
                <w:bCs/>
                <w:color w:val="000000"/>
                <w:szCs w:val="16"/>
                <w:lang w:val="es-ES_tradnl"/>
              </w:rPr>
            </w:pPr>
            <w:r>
              <w:rPr>
                <w:bCs/>
                <w:color w:val="000000"/>
                <w:szCs w:val="16"/>
                <w:lang w:val="es-ES_tradnl"/>
              </w:rPr>
              <w:t>Características</w:t>
            </w:r>
          </w:p>
        </w:tc>
        <w:tc>
          <w:tcPr>
            <w:tcW w:w="3696" w:type="dxa"/>
            <w:gridSpan w:val="5"/>
            <w:tcBorders>
              <w:top w:val="single" w:sz="6" w:space="0" w:color="auto"/>
              <w:left w:val="single" w:sz="6" w:space="0" w:color="auto"/>
              <w:bottom w:val="single" w:sz="6" w:space="0" w:color="auto"/>
              <w:right w:val="single" w:sz="6" w:space="0" w:color="auto"/>
            </w:tcBorders>
            <w:vAlign w:val="center"/>
          </w:tcPr>
          <w:p w:rsidR="00000000" w:rsidRDefault="00000000">
            <w:pPr>
              <w:autoSpaceDE w:val="0"/>
              <w:autoSpaceDN w:val="0"/>
              <w:adjustRightInd w:val="0"/>
              <w:jc w:val="center"/>
              <w:rPr>
                <w:bCs/>
                <w:color w:val="000000"/>
                <w:szCs w:val="16"/>
                <w:lang w:val="es-ES_tradnl"/>
              </w:rPr>
            </w:pPr>
            <w:r>
              <w:rPr>
                <w:bCs/>
                <w:color w:val="000000"/>
                <w:szCs w:val="16"/>
                <w:lang w:val="es-ES_tradnl"/>
              </w:rPr>
              <w:t>Año</w:t>
            </w:r>
          </w:p>
        </w:tc>
        <w:tc>
          <w:tcPr>
            <w:tcW w:w="739" w:type="dxa"/>
            <w:vMerge w:val="restart"/>
            <w:tcBorders>
              <w:top w:val="single" w:sz="6" w:space="0" w:color="auto"/>
              <w:left w:val="single" w:sz="6" w:space="0" w:color="auto"/>
              <w:bottom w:val="single" w:sz="6" w:space="0" w:color="auto"/>
              <w:right w:val="single" w:sz="6" w:space="0" w:color="auto"/>
            </w:tcBorders>
            <w:vAlign w:val="center"/>
          </w:tcPr>
          <w:p w:rsidR="00000000" w:rsidRDefault="00000000">
            <w:pPr>
              <w:autoSpaceDE w:val="0"/>
              <w:autoSpaceDN w:val="0"/>
              <w:adjustRightInd w:val="0"/>
              <w:jc w:val="center"/>
              <w:rPr>
                <w:bCs/>
                <w:color w:val="000000"/>
                <w:szCs w:val="16"/>
                <w:lang w:val="es-ES_tradnl"/>
              </w:rPr>
            </w:pPr>
            <w:r>
              <w:rPr>
                <w:bCs/>
                <w:color w:val="000000"/>
                <w:szCs w:val="16"/>
                <w:lang w:val="es-ES_tradnl"/>
              </w:rPr>
              <w:t>1996 2000</w:t>
            </w:r>
          </w:p>
        </w:tc>
      </w:tr>
      <w:tr w:rsidR="00000000">
        <w:trPr>
          <w:cantSplit/>
          <w:trHeight w:val="235"/>
          <w:tblHeader/>
        </w:trPr>
        <w:tc>
          <w:tcPr>
            <w:tcW w:w="4968" w:type="dxa"/>
            <w:vMerge/>
            <w:tcBorders>
              <w:top w:val="single" w:sz="6" w:space="0" w:color="auto"/>
              <w:left w:val="single" w:sz="6" w:space="0" w:color="auto"/>
              <w:bottom w:val="single" w:sz="6" w:space="0" w:color="auto"/>
              <w:right w:val="single" w:sz="6" w:space="0" w:color="auto"/>
            </w:tcBorders>
            <w:vAlign w:val="center"/>
          </w:tcPr>
          <w:p w:rsidR="00000000" w:rsidRDefault="00000000">
            <w:pPr>
              <w:rPr>
                <w:bCs/>
                <w:color w:val="000000"/>
                <w:szCs w:val="16"/>
                <w:lang w:val="es-ES_tradnl"/>
              </w:rPr>
            </w:pPr>
          </w:p>
        </w:tc>
        <w:tc>
          <w:tcPr>
            <w:tcW w:w="7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center"/>
              <w:rPr>
                <w:bCs/>
                <w:color w:val="000000"/>
                <w:szCs w:val="16"/>
                <w:lang w:val="es-ES_tradnl"/>
              </w:rPr>
            </w:pPr>
            <w:r>
              <w:rPr>
                <w:bCs/>
                <w:color w:val="000000"/>
                <w:szCs w:val="16"/>
                <w:lang w:val="es-ES_tradnl"/>
              </w:rPr>
              <w:t>1996</w:t>
            </w:r>
          </w:p>
        </w:tc>
        <w:tc>
          <w:tcPr>
            <w:tcW w:w="7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center"/>
              <w:rPr>
                <w:bCs/>
                <w:color w:val="000000"/>
                <w:szCs w:val="16"/>
                <w:lang w:val="es-ES_tradnl"/>
              </w:rPr>
            </w:pPr>
            <w:r>
              <w:rPr>
                <w:bCs/>
                <w:color w:val="000000"/>
                <w:szCs w:val="16"/>
                <w:lang w:val="es-ES_tradnl"/>
              </w:rPr>
              <w:t>1997</w:t>
            </w:r>
          </w:p>
        </w:tc>
        <w:tc>
          <w:tcPr>
            <w:tcW w:w="7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center"/>
              <w:rPr>
                <w:bCs/>
                <w:color w:val="000000"/>
                <w:szCs w:val="16"/>
                <w:lang w:val="es-ES_tradnl"/>
              </w:rPr>
            </w:pPr>
            <w:r>
              <w:rPr>
                <w:bCs/>
                <w:color w:val="000000"/>
                <w:szCs w:val="16"/>
                <w:lang w:val="es-ES_tradnl"/>
              </w:rPr>
              <w:t>1998</w:t>
            </w:r>
          </w:p>
        </w:tc>
        <w:tc>
          <w:tcPr>
            <w:tcW w:w="7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center"/>
              <w:rPr>
                <w:bCs/>
                <w:color w:val="000000"/>
                <w:szCs w:val="16"/>
                <w:lang w:val="es-ES_tradnl"/>
              </w:rPr>
            </w:pPr>
            <w:r>
              <w:rPr>
                <w:bCs/>
                <w:color w:val="000000"/>
                <w:szCs w:val="16"/>
                <w:lang w:val="es-ES_tradnl"/>
              </w:rPr>
              <w:t>1999</w:t>
            </w:r>
          </w:p>
        </w:tc>
        <w:tc>
          <w:tcPr>
            <w:tcW w:w="7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center"/>
              <w:rPr>
                <w:bCs/>
                <w:color w:val="000000"/>
                <w:szCs w:val="16"/>
                <w:lang w:val="es-ES_tradnl"/>
              </w:rPr>
            </w:pPr>
            <w:r>
              <w:rPr>
                <w:bCs/>
                <w:color w:val="000000"/>
                <w:szCs w:val="16"/>
                <w:lang w:val="es-ES_tradnl"/>
              </w:rPr>
              <w:t>2000</w:t>
            </w:r>
          </w:p>
        </w:tc>
        <w:tc>
          <w:tcPr>
            <w:tcW w:w="739" w:type="dxa"/>
            <w:vMerge/>
            <w:tcBorders>
              <w:top w:val="single" w:sz="6" w:space="0" w:color="auto"/>
              <w:left w:val="single" w:sz="6" w:space="0" w:color="auto"/>
              <w:bottom w:val="single" w:sz="6" w:space="0" w:color="auto"/>
              <w:right w:val="single" w:sz="6" w:space="0" w:color="auto"/>
            </w:tcBorders>
            <w:vAlign w:val="center"/>
          </w:tcPr>
          <w:p w:rsidR="00000000" w:rsidRDefault="00000000">
            <w:pPr>
              <w:rPr>
                <w:bCs/>
                <w:color w:val="000000"/>
                <w:szCs w:val="16"/>
                <w:lang w:val="es-ES_tradnl"/>
              </w:rPr>
            </w:pPr>
          </w:p>
        </w:tc>
      </w:tr>
      <w:tr w:rsidR="00000000">
        <w:trPr>
          <w:trHeight w:val="293"/>
        </w:trPr>
        <w:tc>
          <w:tcPr>
            <w:tcW w:w="4968"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center"/>
              <w:rPr>
                <w:bCs/>
                <w:color w:val="000000"/>
                <w:szCs w:val="16"/>
                <w:lang w:val="es-ES_tradnl"/>
              </w:rPr>
            </w:pPr>
            <w:r>
              <w:rPr>
                <w:bCs/>
                <w:color w:val="000000"/>
                <w:szCs w:val="16"/>
                <w:lang w:val="es-ES_tradnl"/>
              </w:rPr>
              <w:t>Total</w:t>
            </w:r>
          </w:p>
        </w:tc>
        <w:tc>
          <w:tcPr>
            <w:tcW w:w="7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42</w:t>
            </w:r>
          </w:p>
        </w:tc>
        <w:tc>
          <w:tcPr>
            <w:tcW w:w="7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34</w:t>
            </w:r>
          </w:p>
        </w:tc>
        <w:tc>
          <w:tcPr>
            <w:tcW w:w="7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36</w:t>
            </w:r>
          </w:p>
        </w:tc>
        <w:tc>
          <w:tcPr>
            <w:tcW w:w="7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51</w:t>
            </w:r>
          </w:p>
        </w:tc>
        <w:tc>
          <w:tcPr>
            <w:tcW w:w="7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38</w:t>
            </w:r>
          </w:p>
        </w:tc>
        <w:tc>
          <w:tcPr>
            <w:tcW w:w="7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201</w:t>
            </w:r>
          </w:p>
        </w:tc>
      </w:tr>
      <w:tr w:rsidR="00000000">
        <w:trPr>
          <w:trHeight w:val="293"/>
        </w:trPr>
        <w:tc>
          <w:tcPr>
            <w:tcW w:w="4968" w:type="dxa"/>
            <w:tcBorders>
              <w:top w:val="single" w:sz="6" w:space="0" w:color="auto"/>
              <w:left w:val="single" w:sz="6" w:space="0" w:color="auto"/>
              <w:bottom w:val="single" w:sz="2" w:space="0" w:color="000000"/>
              <w:right w:val="single" w:sz="6" w:space="0" w:color="auto"/>
            </w:tcBorders>
          </w:tcPr>
          <w:p w:rsidR="00000000" w:rsidRDefault="00000000">
            <w:pPr>
              <w:autoSpaceDE w:val="0"/>
              <w:autoSpaceDN w:val="0"/>
              <w:adjustRightInd w:val="0"/>
              <w:rPr>
                <w:color w:val="000000"/>
                <w:szCs w:val="16"/>
                <w:vertAlign w:val="superscript"/>
                <w:lang w:val="es-ES_tradnl"/>
              </w:rPr>
            </w:pPr>
            <w:r>
              <w:rPr>
                <w:color w:val="000000"/>
                <w:szCs w:val="16"/>
                <w:lang w:val="es-ES_tradnl"/>
              </w:rPr>
              <w:t>DURACIÓN DE LA CONVIVENCIA:</w:t>
            </w:r>
          </w:p>
        </w:tc>
        <w:tc>
          <w:tcPr>
            <w:tcW w:w="739" w:type="dxa"/>
            <w:tcBorders>
              <w:top w:val="single" w:sz="6" w:space="0" w:color="auto"/>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6" w:space="0" w:color="auto"/>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40" w:type="dxa"/>
            <w:tcBorders>
              <w:top w:val="single" w:sz="6" w:space="0" w:color="auto"/>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6" w:space="0" w:color="auto"/>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6" w:space="0" w:color="auto"/>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6" w:space="0" w:color="auto"/>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r>
      <w:tr w:rsidR="00000000">
        <w:trPr>
          <w:trHeight w:val="293"/>
        </w:trPr>
        <w:tc>
          <w:tcPr>
            <w:tcW w:w="4968" w:type="dxa"/>
            <w:tcBorders>
              <w:top w:val="single" w:sz="6" w:space="0" w:color="auto"/>
              <w:left w:val="single" w:sz="6" w:space="0" w:color="auto"/>
              <w:bottom w:val="single" w:sz="2" w:space="0" w:color="000000"/>
              <w:right w:val="single" w:sz="6" w:space="0" w:color="auto"/>
            </w:tcBorders>
          </w:tcPr>
          <w:p w:rsidR="00000000" w:rsidRDefault="00000000">
            <w:pPr>
              <w:autoSpaceDE w:val="0"/>
              <w:autoSpaceDN w:val="0"/>
              <w:adjustRightInd w:val="0"/>
              <w:ind w:firstLine="360"/>
              <w:rPr>
                <w:b/>
                <w:bCs/>
                <w:color w:val="000000"/>
                <w:szCs w:val="16"/>
                <w:vertAlign w:val="superscript"/>
                <w:lang w:val="es-ES_tradnl"/>
              </w:rPr>
            </w:pPr>
            <w:r>
              <w:rPr>
                <w:color w:val="000000"/>
                <w:szCs w:val="16"/>
                <w:lang w:val="es-ES_tradnl"/>
              </w:rPr>
              <w:t>menos de 1 año</w:t>
            </w:r>
            <w:r>
              <w:rPr>
                <w:b/>
                <w:bCs/>
                <w:color w:val="000000"/>
                <w:szCs w:val="16"/>
                <w:vertAlign w:val="superscript"/>
                <w:lang w:val="es-ES_tradnl"/>
              </w:rPr>
              <w:t>b</w:t>
            </w:r>
          </w:p>
        </w:tc>
        <w:tc>
          <w:tcPr>
            <w:tcW w:w="739" w:type="dxa"/>
            <w:tcBorders>
              <w:top w:val="single" w:sz="6" w:space="0" w:color="auto"/>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w:t>
            </w:r>
          </w:p>
        </w:tc>
        <w:tc>
          <w:tcPr>
            <w:tcW w:w="739" w:type="dxa"/>
            <w:tcBorders>
              <w:top w:val="single" w:sz="6" w:space="0" w:color="auto"/>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40" w:type="dxa"/>
            <w:tcBorders>
              <w:top w:val="single" w:sz="6" w:space="0" w:color="auto"/>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w:t>
            </w:r>
          </w:p>
        </w:tc>
        <w:tc>
          <w:tcPr>
            <w:tcW w:w="739" w:type="dxa"/>
            <w:tcBorders>
              <w:top w:val="single" w:sz="6" w:space="0" w:color="auto"/>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6" w:space="0" w:color="auto"/>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w:t>
            </w:r>
          </w:p>
        </w:tc>
        <w:tc>
          <w:tcPr>
            <w:tcW w:w="739" w:type="dxa"/>
            <w:tcBorders>
              <w:top w:val="single" w:sz="6" w:space="0" w:color="auto"/>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5</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de 1 a 3 años</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8</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6</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6</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7</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30</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de 4 a 6 años</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11</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9</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7</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9</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38</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de 7 a 9 años</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6</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5</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11</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28</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de 10 a 19 años</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13</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10</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13</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15</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11</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62</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de 20 a 29 años</w:t>
            </w:r>
          </w:p>
        </w:tc>
        <w:tc>
          <w:tcPr>
            <w:tcW w:w="739" w:type="dxa"/>
            <w:tcBorders>
              <w:top w:val="single" w:sz="2" w:space="0" w:color="000000"/>
              <w:left w:val="single" w:sz="6" w:space="0" w:color="auto"/>
              <w:bottom w:val="single" w:sz="2" w:space="0" w:color="000000"/>
              <w:right w:val="single" w:sz="2" w:space="0" w:color="000000"/>
            </w:tcBorders>
          </w:tcPr>
          <w:p w:rsidR="00000000" w:rsidRDefault="00000000">
            <w:pPr>
              <w:autoSpaceDE w:val="0"/>
              <w:autoSpaceDN w:val="0"/>
              <w:adjustRightInd w:val="0"/>
              <w:jc w:val="center"/>
              <w:rPr>
                <w:color w:val="000000"/>
                <w:szCs w:val="16"/>
                <w:lang w:val="es-ES_tradnl"/>
              </w:rPr>
            </w:pPr>
            <w:r>
              <w:rPr>
                <w:color w:val="000000"/>
                <w:szCs w:val="16"/>
                <w:lang w:val="es-ES_tradnl"/>
              </w:rPr>
              <w:t>6</w:t>
            </w:r>
          </w:p>
        </w:tc>
        <w:tc>
          <w:tcPr>
            <w:tcW w:w="739" w:type="dxa"/>
            <w:tcBorders>
              <w:top w:val="single" w:sz="2" w:space="0" w:color="000000"/>
              <w:left w:val="single" w:sz="2" w:space="0" w:color="000000"/>
              <w:bottom w:val="single" w:sz="2" w:space="0" w:color="000000"/>
              <w:right w:val="single" w:sz="2" w:space="0" w:color="000000"/>
            </w:tcBorders>
          </w:tcPr>
          <w:p w:rsidR="00000000" w:rsidRDefault="00000000">
            <w:pPr>
              <w:autoSpaceDE w:val="0"/>
              <w:autoSpaceDN w:val="0"/>
              <w:adjustRightInd w:val="0"/>
              <w:jc w:val="center"/>
              <w:rPr>
                <w:color w:val="000000"/>
                <w:szCs w:val="16"/>
                <w:lang w:val="es-ES_tradnl"/>
              </w:rPr>
            </w:pPr>
            <w:r>
              <w:rPr>
                <w:color w:val="000000"/>
                <w:szCs w:val="16"/>
                <w:lang w:val="es-ES_tradnl"/>
              </w:rPr>
              <w:t>1</w:t>
            </w:r>
          </w:p>
        </w:tc>
        <w:tc>
          <w:tcPr>
            <w:tcW w:w="740" w:type="dxa"/>
            <w:tcBorders>
              <w:top w:val="single" w:sz="2" w:space="0" w:color="000000"/>
              <w:left w:val="single" w:sz="2" w:space="0" w:color="000000"/>
              <w:bottom w:val="single" w:sz="2" w:space="0" w:color="000000"/>
              <w:right w:val="single" w:sz="2" w:space="0" w:color="000000"/>
            </w:tcBorders>
          </w:tcPr>
          <w:p w:rsidR="00000000" w:rsidRDefault="00000000">
            <w:pPr>
              <w:autoSpaceDE w:val="0"/>
              <w:autoSpaceDN w:val="0"/>
              <w:adjustRightInd w:val="0"/>
              <w:jc w:val="center"/>
              <w:rPr>
                <w:color w:val="000000"/>
                <w:szCs w:val="16"/>
                <w:lang w:val="es-ES_tradnl"/>
              </w:rPr>
            </w:pPr>
            <w:r>
              <w:rPr>
                <w:color w:val="000000"/>
                <w:szCs w:val="16"/>
                <w:lang w:val="es-ES_tradnl"/>
              </w:rPr>
              <w:t>7</w:t>
            </w:r>
          </w:p>
        </w:tc>
        <w:tc>
          <w:tcPr>
            <w:tcW w:w="739" w:type="dxa"/>
            <w:tcBorders>
              <w:top w:val="single" w:sz="2" w:space="0" w:color="000000"/>
              <w:left w:val="single" w:sz="2" w:space="0" w:color="000000"/>
              <w:bottom w:val="single" w:sz="2" w:space="0" w:color="000000"/>
              <w:right w:val="single" w:sz="2" w:space="0" w:color="000000"/>
            </w:tcBorders>
          </w:tcPr>
          <w:p w:rsidR="00000000" w:rsidRDefault="00000000">
            <w:pPr>
              <w:autoSpaceDE w:val="0"/>
              <w:autoSpaceDN w:val="0"/>
              <w:adjustRightInd w:val="0"/>
              <w:jc w:val="center"/>
              <w:rPr>
                <w:color w:val="000000"/>
                <w:szCs w:val="16"/>
                <w:lang w:val="es-ES_tradnl"/>
              </w:rPr>
            </w:pPr>
            <w:r>
              <w:rPr>
                <w:color w:val="000000"/>
                <w:szCs w:val="16"/>
                <w:lang w:val="es-ES_tradnl"/>
              </w:rPr>
              <w:t>9</w:t>
            </w:r>
          </w:p>
        </w:tc>
        <w:tc>
          <w:tcPr>
            <w:tcW w:w="739" w:type="dxa"/>
            <w:tcBorders>
              <w:top w:val="single" w:sz="2" w:space="0" w:color="000000"/>
              <w:left w:val="single" w:sz="2" w:space="0" w:color="000000"/>
              <w:bottom w:val="single" w:sz="2" w:space="0" w:color="000000"/>
              <w:right w:val="single" w:sz="2" w:space="0" w:color="000000"/>
            </w:tcBorders>
          </w:tcPr>
          <w:p w:rsidR="00000000" w:rsidRDefault="00000000">
            <w:pPr>
              <w:autoSpaceDE w:val="0"/>
              <w:autoSpaceDN w:val="0"/>
              <w:adjustRightInd w:val="0"/>
              <w:jc w:val="center"/>
              <w:rPr>
                <w:color w:val="000000"/>
                <w:szCs w:val="16"/>
                <w:lang w:val="es-ES_tradnl"/>
              </w:rPr>
            </w:pPr>
            <w:r>
              <w:rPr>
                <w:color w:val="000000"/>
                <w:szCs w:val="16"/>
                <w:lang w:val="es-ES_tradnl"/>
              </w:rPr>
              <w:t>5</w:t>
            </w:r>
          </w:p>
        </w:tc>
        <w:tc>
          <w:tcPr>
            <w:tcW w:w="739" w:type="dxa"/>
            <w:tcBorders>
              <w:top w:val="single" w:sz="2" w:space="0" w:color="000000"/>
              <w:left w:val="single" w:sz="2" w:space="0" w:color="000000"/>
              <w:bottom w:val="single" w:sz="2" w:space="0" w:color="000000"/>
              <w:right w:val="single" w:sz="2" w:space="0" w:color="000000"/>
            </w:tcBorders>
          </w:tcPr>
          <w:p w:rsidR="00000000" w:rsidRDefault="00000000">
            <w:pPr>
              <w:autoSpaceDE w:val="0"/>
              <w:autoSpaceDN w:val="0"/>
              <w:adjustRightInd w:val="0"/>
              <w:jc w:val="center"/>
              <w:rPr>
                <w:color w:val="000000"/>
                <w:szCs w:val="16"/>
                <w:lang w:val="es-ES_tradnl"/>
              </w:rPr>
            </w:pPr>
            <w:r>
              <w:rPr>
                <w:color w:val="000000"/>
                <w:szCs w:val="16"/>
                <w:lang w:val="es-ES_tradnl"/>
              </w:rPr>
              <w:t>28</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más de 30 años</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28</w:t>
            </w:r>
          </w:p>
        </w:tc>
      </w:tr>
      <w:tr w:rsidR="00000000">
        <w:trPr>
          <w:trHeight w:val="293"/>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rPr>
                <w:color w:val="000000"/>
                <w:szCs w:val="16"/>
                <w:lang w:val="es-ES_tradnl"/>
              </w:rPr>
            </w:pPr>
            <w:r>
              <w:rPr>
                <w:color w:val="000000"/>
                <w:szCs w:val="16"/>
                <w:lang w:val="es-ES_tradnl"/>
              </w:rPr>
              <w:t>RITO EN QUE SE CELEBRÓ EL MATRIMONIO:</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r>
      <w:tr w:rsidR="00000000">
        <w:trPr>
          <w:trHeight w:val="293"/>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religioso</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33</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25</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28</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37</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32</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155</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civil</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9</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6</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7</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11</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6</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39</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otros</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7</w:t>
            </w:r>
          </w:p>
        </w:tc>
      </w:tr>
      <w:tr w:rsidR="00000000">
        <w:trPr>
          <w:trHeight w:val="293"/>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keepNext/>
              <w:keepLines/>
              <w:autoSpaceDE w:val="0"/>
              <w:autoSpaceDN w:val="0"/>
              <w:adjustRightInd w:val="0"/>
              <w:rPr>
                <w:color w:val="000000"/>
                <w:szCs w:val="16"/>
                <w:lang w:val="es-ES_tradnl"/>
              </w:rPr>
            </w:pPr>
            <w:r>
              <w:rPr>
                <w:color w:val="000000"/>
                <w:szCs w:val="16"/>
                <w:lang w:val="es-ES_tradnl"/>
              </w:rPr>
              <w:t>LUGAR DE CELEBRACIÓN DEL MATRIMONIO:</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r>
      <w:tr w:rsidR="00000000">
        <w:trPr>
          <w:trHeight w:val="293"/>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keepNext/>
              <w:keepLines/>
              <w:autoSpaceDE w:val="0"/>
              <w:autoSpaceDN w:val="0"/>
              <w:adjustRightInd w:val="0"/>
              <w:ind w:firstLine="360"/>
              <w:rPr>
                <w:color w:val="000000"/>
                <w:szCs w:val="16"/>
                <w:lang w:val="es-ES_tradnl"/>
              </w:rPr>
            </w:pPr>
            <w:r>
              <w:rPr>
                <w:color w:val="000000"/>
                <w:szCs w:val="16"/>
                <w:lang w:val="es-ES_tradnl"/>
              </w:rPr>
              <w:t>San Marino</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27</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20</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22</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33</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26</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128</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Italia</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12</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11</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4</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17</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12</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56</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otros</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9</w:t>
            </w:r>
          </w:p>
        </w:tc>
      </w:tr>
      <w:tr w:rsidR="00000000">
        <w:trPr>
          <w:trHeight w:val="293"/>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rPr>
                <w:color w:val="000000"/>
                <w:szCs w:val="16"/>
                <w:lang w:val="es-ES_tradnl"/>
              </w:rPr>
            </w:pPr>
            <w:r>
              <w:rPr>
                <w:color w:val="000000"/>
                <w:szCs w:val="16"/>
                <w:lang w:val="es-ES_tradnl"/>
              </w:rPr>
              <w:t>EDAD A LA QUE SE CONTRAJO EL MATRIMONIO:</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r>
      <w:tr w:rsidR="00000000">
        <w:trPr>
          <w:trHeight w:val="293"/>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esposa menos de 20</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9</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8</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14</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9</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9</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49</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de 20 a 24</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22</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19</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17</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32</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18</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108</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de 25 a 29</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9</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5</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4</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7</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9</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34</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de 30 a 39</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8</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de 40 a 49</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más de 50</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esposo menos de 20</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4</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10</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de 20 a 24</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14</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17</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22</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24</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14</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91</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de 25 a 29</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23</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11</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7</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20</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17</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78</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de 30 a 39</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4</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6</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4</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19</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de 40 a 49</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más de 50</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w:t>
            </w:r>
          </w:p>
        </w:tc>
      </w:tr>
      <w:tr w:rsidR="00000000">
        <w:trPr>
          <w:trHeight w:val="202"/>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rPr>
                <w:color w:val="000000"/>
                <w:szCs w:val="16"/>
                <w:lang w:val="es-ES_tradnl"/>
              </w:rPr>
            </w:pPr>
            <w:r>
              <w:rPr>
                <w:color w:val="000000"/>
                <w:szCs w:val="16"/>
                <w:lang w:val="es-ES_tradnl"/>
              </w:rPr>
              <w:t>EDAD EN EL MOMENTO DE LA SEPARACIÓN O EL DIVORCIO EN EL EXTRANJERO:</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r>
      <w:tr w:rsidR="00000000">
        <w:trPr>
          <w:trHeight w:val="187"/>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esposa menos de 20</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de 20 a 24</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4</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14</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de 25 a 29</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14</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12</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9</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9</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9</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53</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de 30 a 39</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18</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16</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13</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26</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18</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91</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de 40 a 49</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8</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7</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7</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6</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31</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más de 50</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4</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5</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12</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esposo menos de 20</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de 20 a 24</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7</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de 25 a 29</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7</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5</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4</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11</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4</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31</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de 30 a 39</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26</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21</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16</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22</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22</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107</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de 40 a 49</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6</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4</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9</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9</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31</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más de 50</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4</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8</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7</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25</w:t>
            </w:r>
          </w:p>
        </w:tc>
      </w:tr>
      <w:tr w:rsidR="00000000">
        <w:trPr>
          <w:trHeight w:val="293"/>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rPr>
                <w:color w:val="000000"/>
                <w:szCs w:val="16"/>
                <w:lang w:val="es-ES_tradnl"/>
              </w:rPr>
            </w:pPr>
            <w:r>
              <w:rPr>
                <w:color w:val="000000"/>
                <w:szCs w:val="16"/>
                <w:lang w:val="es-ES_tradnl"/>
              </w:rPr>
              <w:t>DIVORCIOS CON HIJOS MENORES</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10</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17</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14</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20</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12</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73</w:t>
            </w:r>
          </w:p>
        </w:tc>
      </w:tr>
      <w:tr w:rsidR="00000000">
        <w:trPr>
          <w:trHeight w:val="293"/>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rPr>
                <w:color w:val="000000"/>
                <w:szCs w:val="16"/>
                <w:lang w:val="es-ES_tradnl"/>
              </w:rPr>
            </w:pPr>
            <w:r>
              <w:rPr>
                <w:color w:val="000000"/>
                <w:szCs w:val="16"/>
                <w:lang w:val="es-ES_tradnl"/>
              </w:rPr>
              <w:t>NÚMERO TOTAL DE HIJOS MENORES EN ESE CASO</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11</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19</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14</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23</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12</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79</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rPr>
                <w:color w:val="000000"/>
                <w:szCs w:val="16"/>
                <w:lang w:val="es-ES_tradnl"/>
              </w:rPr>
            </w:pPr>
            <w:r>
              <w:rPr>
                <w:color w:val="000000"/>
                <w:szCs w:val="16"/>
                <w:lang w:val="es-ES_tradnl"/>
              </w:rPr>
              <w:t>Por edades:</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de 0 a 2 años</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de 3 a 4 años</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de 5 a 9 años</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6</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5</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7</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4</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25</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de 10 a 14 años</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6</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8</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5</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9</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5</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33</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de 15 a 17 años</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5</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4</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6</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18</w:t>
            </w:r>
          </w:p>
        </w:tc>
      </w:tr>
      <w:tr w:rsidR="00000000">
        <w:trPr>
          <w:trHeight w:val="293"/>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rPr>
                <w:color w:val="000000"/>
                <w:szCs w:val="16"/>
                <w:lang w:val="es-ES_tradnl"/>
              </w:rPr>
            </w:pPr>
            <w:r>
              <w:rPr>
                <w:color w:val="000000"/>
                <w:szCs w:val="16"/>
                <w:lang w:val="es-ES_tradnl"/>
              </w:rPr>
              <w:t>CUSTODIA CONCEDIDA:</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r>
      <w:tr w:rsidR="00000000">
        <w:trPr>
          <w:trHeight w:val="293"/>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al padre</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4</w:t>
            </w:r>
          </w:p>
        </w:tc>
      </w:tr>
      <w:tr w:rsidR="00000000">
        <w:trPr>
          <w:trHeight w:val="144"/>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a la madre</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11</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17</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14</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23</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10</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75</w:t>
            </w:r>
          </w:p>
        </w:tc>
      </w:tr>
      <w:tr w:rsidR="00000000">
        <w:trPr>
          <w:trHeight w:val="144"/>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a ambos</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r>
      <w:tr w:rsidR="00000000">
        <w:trPr>
          <w:trHeight w:val="293"/>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keepNext/>
              <w:keepLines/>
              <w:autoSpaceDE w:val="0"/>
              <w:autoSpaceDN w:val="0"/>
              <w:adjustRightInd w:val="0"/>
              <w:rPr>
                <w:color w:val="000000"/>
                <w:szCs w:val="16"/>
                <w:lang w:val="es-ES_tradnl"/>
              </w:rPr>
            </w:pPr>
            <w:r>
              <w:rPr>
                <w:color w:val="000000"/>
                <w:szCs w:val="16"/>
                <w:lang w:val="es-ES_tradnl"/>
              </w:rPr>
              <w:t>NIVEL DE ENSEÑANZA:</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keepNext/>
              <w:keepLines/>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keepNext/>
              <w:keepLines/>
              <w:autoSpaceDE w:val="0"/>
              <w:autoSpaceDN w:val="0"/>
              <w:adjustRightInd w:val="0"/>
              <w:jc w:val="center"/>
              <w:rPr>
                <w:color w:val="000000"/>
                <w:szCs w:val="16"/>
                <w:lang w:val="es-ES_tradnl"/>
              </w:rPr>
            </w:pP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keepNext/>
              <w:keepLines/>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keepNext/>
              <w:keepLines/>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keepNext/>
              <w:keepLines/>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keepNext/>
              <w:keepLines/>
              <w:autoSpaceDE w:val="0"/>
              <w:autoSpaceDN w:val="0"/>
              <w:adjustRightInd w:val="0"/>
              <w:jc w:val="center"/>
              <w:rPr>
                <w:color w:val="000000"/>
                <w:szCs w:val="16"/>
                <w:lang w:val="es-ES_tradnl"/>
              </w:rPr>
            </w:pPr>
          </w:p>
        </w:tc>
      </w:tr>
      <w:tr w:rsidR="00000000">
        <w:trPr>
          <w:trHeight w:val="293"/>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keepNext/>
              <w:keepLines/>
              <w:autoSpaceDE w:val="0"/>
              <w:autoSpaceDN w:val="0"/>
              <w:adjustRightInd w:val="0"/>
              <w:ind w:firstLine="360"/>
              <w:rPr>
                <w:color w:val="000000"/>
                <w:szCs w:val="16"/>
                <w:lang w:val="es-ES_tradnl"/>
              </w:rPr>
            </w:pPr>
            <w:r>
              <w:rPr>
                <w:color w:val="000000"/>
                <w:szCs w:val="16"/>
                <w:lang w:val="es-ES_tradnl"/>
              </w:rPr>
              <w:t>esposa elemental</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keepNext/>
              <w:keepLines/>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keepNext/>
              <w:keepLines/>
              <w:autoSpaceDE w:val="0"/>
              <w:autoSpaceDN w:val="0"/>
              <w:adjustRightInd w:val="0"/>
              <w:jc w:val="center"/>
              <w:rPr>
                <w:color w:val="000000"/>
                <w:szCs w:val="16"/>
                <w:lang w:val="es-ES_tradnl"/>
              </w:rPr>
            </w:pPr>
            <w:r>
              <w:rPr>
                <w:color w:val="000000"/>
                <w:szCs w:val="16"/>
                <w:lang w:val="es-ES_tradnl"/>
              </w:rPr>
              <w:t>3</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keepNext/>
              <w:keepLines/>
              <w:autoSpaceDE w:val="0"/>
              <w:autoSpaceDN w:val="0"/>
              <w:adjustRightInd w:val="0"/>
              <w:jc w:val="center"/>
              <w:rPr>
                <w:color w:val="000000"/>
                <w:szCs w:val="16"/>
                <w:lang w:val="es-ES_tradnl"/>
              </w:rPr>
            </w:pPr>
            <w:r>
              <w:rPr>
                <w:color w:val="000000"/>
                <w:szCs w:val="16"/>
                <w:lang w:val="es-ES_tradnl"/>
              </w:rPr>
              <w:t>3</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keepNext/>
              <w:keepLines/>
              <w:autoSpaceDE w:val="0"/>
              <w:autoSpaceDN w:val="0"/>
              <w:adjustRightInd w:val="0"/>
              <w:jc w:val="center"/>
              <w:rPr>
                <w:color w:val="000000"/>
                <w:szCs w:val="16"/>
                <w:lang w:val="es-ES_tradnl"/>
              </w:rPr>
            </w:pPr>
            <w:r>
              <w:rPr>
                <w:color w:val="000000"/>
                <w:szCs w:val="16"/>
                <w:lang w:val="es-ES_tradnl"/>
              </w:rPr>
              <w:t>10</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keepNext/>
              <w:keepLines/>
              <w:autoSpaceDE w:val="0"/>
              <w:autoSpaceDN w:val="0"/>
              <w:adjustRightInd w:val="0"/>
              <w:jc w:val="center"/>
              <w:rPr>
                <w:color w:val="000000"/>
                <w:szCs w:val="16"/>
                <w:lang w:val="es-ES_tradnl"/>
              </w:rPr>
            </w:pPr>
            <w:r>
              <w:rPr>
                <w:color w:val="000000"/>
                <w:szCs w:val="16"/>
                <w:lang w:val="es-ES_tradnl"/>
              </w:rPr>
              <w:t>8</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keepNext/>
              <w:keepLines/>
              <w:autoSpaceDE w:val="0"/>
              <w:autoSpaceDN w:val="0"/>
              <w:adjustRightInd w:val="0"/>
              <w:jc w:val="center"/>
              <w:rPr>
                <w:color w:val="000000"/>
                <w:szCs w:val="16"/>
                <w:lang w:val="es-ES_tradnl"/>
              </w:rPr>
            </w:pPr>
            <w:r>
              <w:rPr>
                <w:color w:val="000000"/>
                <w:szCs w:val="16"/>
                <w:lang w:val="es-ES_tradnl"/>
              </w:rPr>
              <w:t>24</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keepNext/>
              <w:keepLines/>
              <w:autoSpaceDE w:val="0"/>
              <w:autoSpaceDN w:val="0"/>
              <w:adjustRightInd w:val="0"/>
              <w:ind w:firstLine="720"/>
              <w:rPr>
                <w:color w:val="000000"/>
                <w:szCs w:val="16"/>
                <w:lang w:val="es-ES_tradnl"/>
              </w:rPr>
            </w:pPr>
            <w:r>
              <w:rPr>
                <w:color w:val="000000"/>
                <w:szCs w:val="16"/>
                <w:lang w:val="es-ES_tradnl"/>
              </w:rPr>
              <w:t>escuela secundaria de primer ciclo</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keepNext/>
              <w:keepLines/>
              <w:autoSpaceDE w:val="0"/>
              <w:autoSpaceDN w:val="0"/>
              <w:adjustRightInd w:val="0"/>
              <w:jc w:val="center"/>
              <w:rPr>
                <w:color w:val="000000"/>
                <w:szCs w:val="16"/>
                <w:lang w:val="es-ES_tradnl"/>
              </w:rPr>
            </w:pPr>
            <w:r>
              <w:rPr>
                <w:color w:val="000000"/>
                <w:szCs w:val="16"/>
                <w:lang w:val="es-ES_tradnl"/>
              </w:rPr>
              <w:t>15</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keepNext/>
              <w:keepLines/>
              <w:autoSpaceDE w:val="0"/>
              <w:autoSpaceDN w:val="0"/>
              <w:adjustRightInd w:val="0"/>
              <w:jc w:val="center"/>
              <w:rPr>
                <w:color w:val="000000"/>
                <w:szCs w:val="16"/>
                <w:lang w:val="es-ES_tradnl"/>
              </w:rPr>
            </w:pPr>
            <w:r>
              <w:rPr>
                <w:color w:val="000000"/>
                <w:szCs w:val="16"/>
                <w:lang w:val="es-ES_tradnl"/>
              </w:rPr>
              <w:t>14</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keepNext/>
              <w:keepLines/>
              <w:autoSpaceDE w:val="0"/>
              <w:autoSpaceDN w:val="0"/>
              <w:adjustRightInd w:val="0"/>
              <w:jc w:val="center"/>
              <w:rPr>
                <w:color w:val="000000"/>
                <w:szCs w:val="16"/>
                <w:lang w:val="es-ES_tradnl"/>
              </w:rPr>
            </w:pPr>
            <w:r>
              <w:rPr>
                <w:color w:val="000000"/>
                <w:szCs w:val="16"/>
                <w:lang w:val="es-ES_tradnl"/>
              </w:rPr>
              <w:t>17</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keepNext/>
              <w:keepLines/>
              <w:autoSpaceDE w:val="0"/>
              <w:autoSpaceDN w:val="0"/>
              <w:adjustRightInd w:val="0"/>
              <w:jc w:val="center"/>
              <w:rPr>
                <w:color w:val="000000"/>
                <w:szCs w:val="16"/>
                <w:lang w:val="es-ES_tradnl"/>
              </w:rPr>
            </w:pPr>
            <w:r>
              <w:rPr>
                <w:color w:val="000000"/>
                <w:szCs w:val="16"/>
                <w:lang w:val="es-ES_tradnl"/>
              </w:rPr>
              <w:t>21</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keepNext/>
              <w:keepLines/>
              <w:autoSpaceDE w:val="0"/>
              <w:autoSpaceDN w:val="0"/>
              <w:adjustRightInd w:val="0"/>
              <w:jc w:val="center"/>
              <w:rPr>
                <w:color w:val="000000"/>
                <w:szCs w:val="16"/>
                <w:lang w:val="es-ES_tradnl"/>
              </w:rPr>
            </w:pPr>
            <w:r>
              <w:rPr>
                <w:color w:val="000000"/>
                <w:szCs w:val="16"/>
                <w:lang w:val="es-ES_tradnl"/>
              </w:rPr>
              <w:t>17</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keepNext/>
              <w:keepLines/>
              <w:autoSpaceDE w:val="0"/>
              <w:autoSpaceDN w:val="0"/>
              <w:adjustRightInd w:val="0"/>
              <w:jc w:val="center"/>
              <w:rPr>
                <w:color w:val="000000"/>
                <w:szCs w:val="16"/>
                <w:lang w:val="es-ES_tradnl"/>
              </w:rPr>
            </w:pPr>
            <w:r>
              <w:rPr>
                <w:color w:val="000000"/>
                <w:szCs w:val="16"/>
                <w:lang w:val="es-ES_tradnl"/>
              </w:rPr>
              <w:t>84</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keepNext/>
              <w:keepLines/>
              <w:autoSpaceDE w:val="0"/>
              <w:autoSpaceDN w:val="0"/>
              <w:adjustRightInd w:val="0"/>
              <w:ind w:firstLine="720"/>
              <w:rPr>
                <w:color w:val="000000"/>
                <w:szCs w:val="16"/>
                <w:lang w:val="es-ES_tradnl"/>
              </w:rPr>
            </w:pPr>
            <w:r>
              <w:rPr>
                <w:color w:val="000000"/>
                <w:szCs w:val="16"/>
                <w:lang w:val="es-ES_tradnl"/>
              </w:rPr>
              <w:t>escuela secundaria superior</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keepNext/>
              <w:keepLines/>
              <w:autoSpaceDE w:val="0"/>
              <w:autoSpaceDN w:val="0"/>
              <w:adjustRightInd w:val="0"/>
              <w:jc w:val="center"/>
              <w:rPr>
                <w:color w:val="000000"/>
                <w:szCs w:val="16"/>
                <w:lang w:val="es-ES_tradnl"/>
              </w:rPr>
            </w:pPr>
            <w:r>
              <w:rPr>
                <w:color w:val="000000"/>
                <w:szCs w:val="16"/>
                <w:lang w:val="es-ES_tradnl"/>
              </w:rPr>
              <w:t>22</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keepNext/>
              <w:keepLines/>
              <w:autoSpaceDE w:val="0"/>
              <w:autoSpaceDN w:val="0"/>
              <w:adjustRightInd w:val="0"/>
              <w:jc w:val="center"/>
              <w:rPr>
                <w:color w:val="000000"/>
                <w:szCs w:val="16"/>
                <w:lang w:val="es-ES_tradnl"/>
              </w:rPr>
            </w:pPr>
            <w:r>
              <w:rPr>
                <w:color w:val="000000"/>
                <w:szCs w:val="16"/>
                <w:lang w:val="es-ES_tradnl"/>
              </w:rPr>
              <w:t>14</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keepNext/>
              <w:keepLines/>
              <w:autoSpaceDE w:val="0"/>
              <w:autoSpaceDN w:val="0"/>
              <w:adjustRightInd w:val="0"/>
              <w:jc w:val="center"/>
              <w:rPr>
                <w:color w:val="000000"/>
                <w:szCs w:val="16"/>
                <w:lang w:val="es-ES_tradnl"/>
              </w:rPr>
            </w:pPr>
            <w:r>
              <w:rPr>
                <w:color w:val="000000"/>
                <w:szCs w:val="16"/>
                <w:lang w:val="es-ES_tradnl"/>
              </w:rPr>
              <w:t>15</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keepNext/>
              <w:keepLines/>
              <w:autoSpaceDE w:val="0"/>
              <w:autoSpaceDN w:val="0"/>
              <w:adjustRightInd w:val="0"/>
              <w:jc w:val="center"/>
              <w:rPr>
                <w:color w:val="000000"/>
                <w:szCs w:val="16"/>
                <w:lang w:val="es-ES_tradnl"/>
              </w:rPr>
            </w:pPr>
            <w:r>
              <w:rPr>
                <w:color w:val="000000"/>
                <w:szCs w:val="16"/>
                <w:lang w:val="es-ES_tradnl"/>
              </w:rPr>
              <w:t>15</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keepNext/>
              <w:keepLines/>
              <w:autoSpaceDE w:val="0"/>
              <w:autoSpaceDN w:val="0"/>
              <w:adjustRightInd w:val="0"/>
              <w:jc w:val="center"/>
              <w:rPr>
                <w:color w:val="000000"/>
                <w:szCs w:val="16"/>
                <w:lang w:val="es-ES_tradnl"/>
              </w:rPr>
            </w:pPr>
            <w:r>
              <w:rPr>
                <w:color w:val="000000"/>
                <w:szCs w:val="16"/>
                <w:lang w:val="es-ES_tradnl"/>
              </w:rPr>
              <w:t>11</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keepNext/>
              <w:keepLines/>
              <w:autoSpaceDE w:val="0"/>
              <w:autoSpaceDN w:val="0"/>
              <w:adjustRightInd w:val="0"/>
              <w:jc w:val="center"/>
              <w:rPr>
                <w:color w:val="000000"/>
                <w:szCs w:val="16"/>
                <w:lang w:val="es-ES_tradnl"/>
              </w:rPr>
            </w:pPr>
            <w:r>
              <w:rPr>
                <w:color w:val="000000"/>
                <w:szCs w:val="16"/>
                <w:lang w:val="es-ES_tradnl"/>
              </w:rPr>
              <w:t>77</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keepNext/>
              <w:keepLines/>
              <w:autoSpaceDE w:val="0"/>
              <w:autoSpaceDN w:val="0"/>
              <w:adjustRightInd w:val="0"/>
              <w:ind w:firstLine="720"/>
              <w:rPr>
                <w:color w:val="000000"/>
                <w:szCs w:val="16"/>
                <w:lang w:val="es-ES_tradnl"/>
              </w:rPr>
            </w:pPr>
            <w:r>
              <w:rPr>
                <w:color w:val="000000"/>
                <w:szCs w:val="16"/>
                <w:lang w:val="es-ES_tradnl"/>
              </w:rPr>
              <w:t>universitaria</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keepNext/>
              <w:keepLines/>
              <w:autoSpaceDE w:val="0"/>
              <w:autoSpaceDN w:val="0"/>
              <w:adjustRightInd w:val="0"/>
              <w:jc w:val="center"/>
              <w:rPr>
                <w:color w:val="000000"/>
                <w:szCs w:val="16"/>
                <w:lang w:val="es-ES_tradnl"/>
              </w:rPr>
            </w:pPr>
            <w:r>
              <w:rPr>
                <w:color w:val="000000"/>
                <w:szCs w:val="16"/>
                <w:lang w:val="es-ES_tradnl"/>
              </w:rPr>
              <w:t>5</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keepNext/>
              <w:keepLines/>
              <w:autoSpaceDE w:val="0"/>
              <w:autoSpaceDN w:val="0"/>
              <w:adjustRightInd w:val="0"/>
              <w:jc w:val="center"/>
              <w:rPr>
                <w:color w:val="000000"/>
                <w:szCs w:val="16"/>
                <w:lang w:val="es-ES_tradnl"/>
              </w:rPr>
            </w:pPr>
            <w:r>
              <w:rPr>
                <w:color w:val="000000"/>
                <w:szCs w:val="16"/>
                <w:lang w:val="es-ES_tradnl"/>
              </w:rPr>
              <w:t>3</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keepNext/>
              <w:keepLines/>
              <w:autoSpaceDE w:val="0"/>
              <w:autoSpaceDN w:val="0"/>
              <w:adjustRightInd w:val="0"/>
              <w:jc w:val="center"/>
              <w:rPr>
                <w:color w:val="000000"/>
                <w:szCs w:val="16"/>
                <w:lang w:val="es-ES_tradnl"/>
              </w:rPr>
            </w:pPr>
            <w:r>
              <w:rPr>
                <w:color w:val="000000"/>
                <w:szCs w:val="16"/>
                <w:lang w:val="es-ES_tradnl"/>
              </w:rPr>
              <w:t>1</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keepNext/>
              <w:keepLines/>
              <w:autoSpaceDE w:val="0"/>
              <w:autoSpaceDN w:val="0"/>
              <w:adjustRightInd w:val="0"/>
              <w:jc w:val="center"/>
              <w:rPr>
                <w:color w:val="000000"/>
                <w:szCs w:val="16"/>
                <w:lang w:val="es-ES_tradnl"/>
              </w:rPr>
            </w:pPr>
            <w:r>
              <w:rPr>
                <w:color w:val="000000"/>
                <w:szCs w:val="16"/>
                <w:lang w:val="es-ES_tradnl"/>
              </w:rPr>
              <w:t>5</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keepNext/>
              <w:keepLines/>
              <w:autoSpaceDE w:val="0"/>
              <w:autoSpaceDN w:val="0"/>
              <w:adjustRightInd w:val="0"/>
              <w:jc w:val="center"/>
              <w:rPr>
                <w:color w:val="000000"/>
                <w:szCs w:val="16"/>
                <w:lang w:val="es-ES_tradnl"/>
              </w:rPr>
            </w:pPr>
            <w:r>
              <w:rPr>
                <w:color w:val="000000"/>
                <w:szCs w:val="16"/>
                <w:lang w:val="es-ES_tradnl"/>
              </w:rPr>
              <w:t>2</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keepNext/>
              <w:keepLines/>
              <w:autoSpaceDE w:val="0"/>
              <w:autoSpaceDN w:val="0"/>
              <w:adjustRightInd w:val="0"/>
              <w:jc w:val="center"/>
              <w:rPr>
                <w:color w:val="000000"/>
                <w:szCs w:val="16"/>
                <w:lang w:val="es-ES_tradnl"/>
              </w:rPr>
            </w:pPr>
            <w:r>
              <w:rPr>
                <w:color w:val="000000"/>
                <w:szCs w:val="16"/>
                <w:lang w:val="es-ES_tradnl"/>
              </w:rPr>
              <w:t>16</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esposo elemental</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5</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9</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8</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7</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32</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720"/>
              <w:rPr>
                <w:color w:val="000000"/>
                <w:szCs w:val="16"/>
                <w:lang w:val="es-ES_tradnl"/>
              </w:rPr>
            </w:pPr>
            <w:r>
              <w:rPr>
                <w:color w:val="000000"/>
                <w:szCs w:val="16"/>
                <w:lang w:val="es-ES_tradnl"/>
              </w:rPr>
              <w:t>escuela secundaria de primer ciclo</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19</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17</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20</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26</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19</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101</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720"/>
              <w:rPr>
                <w:color w:val="000000"/>
                <w:szCs w:val="16"/>
                <w:lang w:val="es-ES_tradnl"/>
              </w:rPr>
            </w:pPr>
            <w:r>
              <w:rPr>
                <w:color w:val="000000"/>
                <w:szCs w:val="16"/>
                <w:lang w:val="es-ES_tradnl"/>
              </w:rPr>
              <w:t>escuela secundaria superior</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14</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11</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6</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13</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11</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55</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720"/>
              <w:rPr>
                <w:color w:val="000000"/>
                <w:szCs w:val="16"/>
                <w:lang w:val="es-ES_tradnl"/>
              </w:rPr>
            </w:pPr>
            <w:r>
              <w:rPr>
                <w:color w:val="000000"/>
                <w:szCs w:val="16"/>
                <w:lang w:val="es-ES_tradnl"/>
              </w:rPr>
              <w:t>universitario</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rPr>
            </w:pPr>
            <w:r>
              <w:rPr>
                <w:color w:val="000000"/>
                <w:szCs w:val="16"/>
              </w:rPr>
              <w:t>4</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rPr>
            </w:pPr>
            <w:r>
              <w:rPr>
                <w:color w:val="000000"/>
                <w:szCs w:val="16"/>
              </w:rPr>
              <w:t>1</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rPr>
            </w:pPr>
            <w:r>
              <w:rPr>
                <w:color w:val="000000"/>
                <w:szCs w:val="16"/>
              </w:rPr>
              <w:t>1</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rPr>
            </w:pPr>
            <w:r>
              <w:rPr>
                <w:color w:val="000000"/>
                <w:szCs w:val="16"/>
              </w:rPr>
              <w:t>4</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rPr>
            </w:pPr>
            <w:r>
              <w:rPr>
                <w:color w:val="000000"/>
                <w:szCs w:val="16"/>
              </w:rPr>
              <w:t>1</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rPr>
            </w:pPr>
            <w:r>
              <w:rPr>
                <w:color w:val="000000"/>
                <w:szCs w:val="16"/>
              </w:rPr>
              <w:t>11</w:t>
            </w:r>
          </w:p>
        </w:tc>
      </w:tr>
      <w:tr w:rsidR="00000000">
        <w:trPr>
          <w:trHeight w:val="293"/>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rPr>
                <w:color w:val="000000"/>
                <w:szCs w:val="16"/>
                <w:lang w:val="es-ES_tradnl"/>
              </w:rPr>
            </w:pPr>
            <w:r>
              <w:rPr>
                <w:color w:val="000000"/>
                <w:szCs w:val="16"/>
                <w:lang w:val="es-ES_tradnl"/>
              </w:rPr>
              <w:t>OCUPACIÓN:</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r>
      <w:tr w:rsidR="00000000">
        <w:trPr>
          <w:trHeight w:val="293"/>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esposa agricultura</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720"/>
              <w:rPr>
                <w:color w:val="000000"/>
                <w:szCs w:val="16"/>
                <w:lang w:val="es-ES_tradnl"/>
              </w:rPr>
            </w:pPr>
            <w:r>
              <w:rPr>
                <w:color w:val="000000"/>
                <w:szCs w:val="16"/>
                <w:lang w:val="es-ES_tradnl"/>
              </w:rPr>
              <w:t>empleada por cuenta propia</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4</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5</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14</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720"/>
              <w:rPr>
                <w:color w:val="000000"/>
                <w:szCs w:val="16"/>
                <w:lang w:val="es-ES_tradnl"/>
              </w:rPr>
            </w:pPr>
            <w:r>
              <w:rPr>
                <w:color w:val="000000"/>
                <w:szCs w:val="16"/>
                <w:lang w:val="es-ES_tradnl"/>
              </w:rPr>
              <w:t>empleada por cuenta ajena</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38</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22</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25</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32</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27</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144</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720"/>
              <w:rPr>
                <w:color w:val="000000"/>
                <w:szCs w:val="16"/>
                <w:lang w:val="es-ES_tradnl"/>
              </w:rPr>
            </w:pPr>
            <w:r>
              <w:rPr>
                <w:color w:val="000000"/>
                <w:szCs w:val="16"/>
                <w:lang w:val="es-ES_tradnl"/>
              </w:rPr>
              <w:t>ama de casa</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4</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4</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5</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5</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19</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720"/>
              <w:rPr>
                <w:color w:val="000000"/>
                <w:szCs w:val="16"/>
                <w:lang w:val="es-ES_tradnl"/>
              </w:rPr>
            </w:pPr>
            <w:r>
              <w:rPr>
                <w:color w:val="000000"/>
                <w:szCs w:val="16"/>
                <w:lang w:val="es-ES_tradnl"/>
              </w:rPr>
              <w:t>jubilada</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8</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720"/>
              <w:rPr>
                <w:color w:val="000000"/>
                <w:szCs w:val="16"/>
                <w:lang w:val="es-ES_tradnl"/>
              </w:rPr>
            </w:pPr>
            <w:r>
              <w:rPr>
                <w:color w:val="000000"/>
                <w:szCs w:val="16"/>
                <w:lang w:val="es-ES_tradnl"/>
              </w:rPr>
              <w:t>otra o ninguna</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9</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16</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esposo agricultura</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720"/>
              <w:rPr>
                <w:color w:val="000000"/>
                <w:szCs w:val="16"/>
                <w:lang w:val="es-ES_tradnl"/>
              </w:rPr>
            </w:pPr>
            <w:r>
              <w:rPr>
                <w:color w:val="000000"/>
                <w:szCs w:val="16"/>
                <w:lang w:val="es-ES_tradnl"/>
              </w:rPr>
              <w:t>empleado por cuenta propia</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9</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4</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10</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7</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33</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720"/>
              <w:rPr>
                <w:color w:val="000000"/>
                <w:szCs w:val="16"/>
                <w:lang w:val="es-ES_tradnl"/>
              </w:rPr>
            </w:pPr>
            <w:r>
              <w:rPr>
                <w:color w:val="000000"/>
                <w:szCs w:val="16"/>
                <w:lang w:val="es-ES_tradnl"/>
              </w:rPr>
              <w:t>empleado por cuenta ajena</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32</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24</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24</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26</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22</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128</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720"/>
              <w:rPr>
                <w:color w:val="000000"/>
                <w:szCs w:val="16"/>
                <w:lang w:val="es-ES_tradnl"/>
              </w:rPr>
            </w:pPr>
            <w:r>
              <w:rPr>
                <w:color w:val="000000"/>
                <w:szCs w:val="16"/>
                <w:lang w:val="es-ES_tradnl"/>
              </w:rPr>
              <w:t>jubilado</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7</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720"/>
              <w:rPr>
                <w:color w:val="000000"/>
                <w:szCs w:val="16"/>
                <w:lang w:val="es-ES_tradnl"/>
              </w:rPr>
            </w:pPr>
            <w:r>
              <w:rPr>
                <w:color w:val="000000"/>
                <w:szCs w:val="16"/>
                <w:lang w:val="es-ES_tradnl"/>
              </w:rPr>
              <w:t>otra o ninguna</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6</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7</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12</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7</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33</w:t>
            </w:r>
          </w:p>
        </w:tc>
      </w:tr>
      <w:tr w:rsidR="00000000">
        <w:trPr>
          <w:trHeight w:val="293"/>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rPr>
                <w:color w:val="000000"/>
                <w:szCs w:val="16"/>
                <w:lang w:val="es-ES_tradnl"/>
              </w:rPr>
            </w:pPr>
            <w:r>
              <w:rPr>
                <w:color w:val="000000"/>
                <w:szCs w:val="16"/>
                <w:lang w:val="es-ES_tradnl"/>
              </w:rPr>
              <w:t>NACIONALIDAD:</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r>
      <w:tr w:rsidR="00000000">
        <w:trPr>
          <w:trHeight w:val="293"/>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esposa de origen o naturalizada</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21</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17</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20</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39</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23</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120</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720"/>
              <w:rPr>
                <w:color w:val="000000"/>
                <w:szCs w:val="16"/>
                <w:lang w:val="es-ES_tradnl"/>
              </w:rPr>
            </w:pPr>
            <w:r>
              <w:rPr>
                <w:color w:val="000000"/>
                <w:szCs w:val="16"/>
                <w:lang w:val="es-ES_tradnl"/>
              </w:rPr>
              <w:t>adquirida por matrimonio</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18</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16</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14</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14</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14</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76</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720"/>
              <w:rPr>
                <w:color w:val="000000"/>
                <w:szCs w:val="16"/>
                <w:lang w:val="es-ES_tradnl"/>
              </w:rPr>
            </w:pPr>
            <w:r>
              <w:rPr>
                <w:color w:val="000000"/>
                <w:szCs w:val="16"/>
                <w:lang w:val="es-ES_tradnl"/>
              </w:rPr>
              <w:t>italiana</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7</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13</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720"/>
              <w:rPr>
                <w:color w:val="000000"/>
                <w:szCs w:val="16"/>
                <w:lang w:val="es-ES_tradnl"/>
              </w:rPr>
            </w:pPr>
            <w:r>
              <w:rPr>
                <w:color w:val="000000"/>
                <w:szCs w:val="16"/>
                <w:lang w:val="es-ES_tradnl"/>
              </w:rPr>
              <w:t>otra</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360"/>
              <w:rPr>
                <w:color w:val="000000"/>
                <w:szCs w:val="16"/>
                <w:lang w:val="es-ES_tradnl"/>
              </w:rPr>
            </w:pPr>
            <w:r>
              <w:rPr>
                <w:color w:val="000000"/>
                <w:szCs w:val="16"/>
                <w:lang w:val="es-ES_tradnl"/>
              </w:rPr>
              <w:t>esposo de origen o naturalizado</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33</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31</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32</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32</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28</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156</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720"/>
              <w:rPr>
                <w:color w:val="000000"/>
                <w:szCs w:val="16"/>
                <w:lang w:val="es-ES_tradnl"/>
              </w:rPr>
            </w:pPr>
            <w:r>
              <w:rPr>
                <w:color w:val="000000"/>
                <w:szCs w:val="16"/>
                <w:lang w:val="es-ES_tradnl"/>
              </w:rPr>
              <w:t>italiano</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8</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2</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4</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18</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10</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42</w:t>
            </w:r>
          </w:p>
        </w:tc>
      </w:tr>
      <w:tr w:rsidR="00000000">
        <w:trPr>
          <w:trHeight w:val="158"/>
        </w:trPr>
        <w:tc>
          <w:tcPr>
            <w:tcW w:w="496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ind w:firstLine="720"/>
              <w:rPr>
                <w:color w:val="000000"/>
                <w:szCs w:val="16"/>
                <w:lang w:val="es-ES_tradnl"/>
              </w:rPr>
            </w:pPr>
            <w:r>
              <w:rPr>
                <w:color w:val="000000"/>
                <w:szCs w:val="16"/>
                <w:lang w:val="es-ES_tradnl"/>
              </w:rPr>
              <w:t>otra</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w:t>
            </w:r>
          </w:p>
        </w:tc>
        <w:tc>
          <w:tcPr>
            <w:tcW w:w="740"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1</w:t>
            </w: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p>
        </w:tc>
        <w:tc>
          <w:tcPr>
            <w:tcW w:w="7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szCs w:val="16"/>
                <w:lang w:val="es-ES_tradnl"/>
              </w:rPr>
            </w:pPr>
            <w:r>
              <w:rPr>
                <w:color w:val="000000"/>
                <w:szCs w:val="16"/>
                <w:lang w:val="es-ES_tradnl"/>
              </w:rPr>
              <w:t>3</w:t>
            </w:r>
          </w:p>
        </w:tc>
      </w:tr>
    </w:tbl>
    <w:p w:rsidR="00000000" w:rsidRDefault="00000000">
      <w:pPr>
        <w:rPr>
          <w:lang w:val="es-ES_tradnl"/>
        </w:rPr>
      </w:pPr>
    </w:p>
    <w:p w:rsidR="00000000" w:rsidRDefault="00000000">
      <w:r>
        <w:rPr>
          <w:rStyle w:val="FootnoteReference"/>
        </w:rPr>
        <w:t>a</w:t>
      </w:r>
      <w:r>
        <w:t xml:space="preserve"> Al menos uno de los cónyuges es residente o ciudadano de San Marino.</w:t>
      </w:r>
    </w:p>
    <w:p w:rsidR="00000000" w:rsidRDefault="00000000"/>
    <w:p w:rsidR="00000000" w:rsidRDefault="00000000">
      <w:r>
        <w:rPr>
          <w:rStyle w:val="FootnoteReference"/>
        </w:rPr>
        <w:t>b</w:t>
      </w:r>
      <w:r>
        <w:t xml:space="preserve"> Desde el matrimonio hasta la separación o la sentencia de divorcio en el extranjero.</w:t>
      </w:r>
    </w:p>
    <w:p w:rsidR="00000000" w:rsidRDefault="00000000">
      <w:pPr>
        <w:spacing w:after="240"/>
      </w:pPr>
    </w:p>
    <w:p w:rsidR="00000000" w:rsidRDefault="00000000">
      <w:pPr>
        <w:spacing w:after="240"/>
        <w:rPr>
          <w:b/>
          <w:bCs/>
          <w:lang w:val="es-ES_tradnl"/>
        </w:rPr>
      </w:pPr>
      <w:r>
        <w:rPr>
          <w:b/>
          <w:bCs/>
          <w:lang w:val="es-ES_tradnl"/>
        </w:rPr>
        <w:t>Artículo 20</w:t>
      </w:r>
    </w:p>
    <w:p w:rsidR="00000000" w:rsidRDefault="00000000">
      <w:pPr>
        <w:spacing w:after="240"/>
        <w:rPr>
          <w:lang w:val="es-ES_tradnl"/>
        </w:rPr>
      </w:pPr>
      <w:r>
        <w:rPr>
          <w:b/>
          <w:bCs/>
          <w:lang w:val="es-ES_tradnl"/>
        </w:rPr>
        <w:tab/>
        <w:t>Niños privados de su medio familiar</w:t>
      </w:r>
    </w:p>
    <w:p w:rsidR="00000000" w:rsidRDefault="00000000">
      <w:pPr>
        <w:spacing w:after="240"/>
        <w:rPr>
          <w:lang w:val="es-ES_tradnl"/>
        </w:rPr>
      </w:pPr>
      <w:r>
        <w:rPr>
          <w:lang w:val="es-ES_tradnl"/>
        </w:rPr>
        <w:t>64.</w:t>
      </w:r>
      <w:r>
        <w:rPr>
          <w:lang w:val="es-ES_tradnl"/>
        </w:rPr>
        <w:tab/>
        <w:t>Véase el epígrafe correspondiente al artículo 9 de la Convención sobre los Derechos del Niño en relación con la custodia de los hijos.  La adopción está regulada por la subsección VII de la Ley Nº 49/86 y en los párrafos siguientes se hace referencia a dicha ley.</w:t>
      </w:r>
    </w:p>
    <w:p w:rsidR="00000000" w:rsidRDefault="00000000">
      <w:pPr>
        <w:spacing w:after="240"/>
        <w:rPr>
          <w:lang w:val="es-ES_tradnl"/>
        </w:rPr>
      </w:pPr>
      <w:r>
        <w:rPr>
          <w:lang w:val="es-ES_tradnl"/>
        </w:rPr>
        <w:t>65.</w:t>
      </w:r>
      <w:r>
        <w:rPr>
          <w:lang w:val="es-ES_tradnl"/>
        </w:rPr>
        <w:tab/>
        <w:t>En lo que se refiere a los menores temporal o permanentemente privados de un entorno familiar adecuado, en el apartado 2 del párrafo 1 del artículo 6 de la Ley Nº 21 de 3 de mayo de 1997 se dispone que los niños cuyas familias no puedan garantizar su sustento, crianza y educación, o los niños que no tengan ninguna familia, sean acogidos en una "institución similar a la familia".</w:t>
      </w:r>
    </w:p>
    <w:p w:rsidR="00000000" w:rsidRDefault="00000000">
      <w:pPr>
        <w:spacing w:after="240"/>
        <w:rPr>
          <w:b/>
          <w:bCs/>
          <w:lang w:val="es-ES_tradnl"/>
        </w:rPr>
      </w:pPr>
      <w:r>
        <w:rPr>
          <w:b/>
          <w:bCs/>
          <w:lang w:val="es-ES_tradnl"/>
        </w:rPr>
        <w:t>Artículo 21</w:t>
      </w:r>
    </w:p>
    <w:p w:rsidR="00000000" w:rsidRDefault="00000000">
      <w:pPr>
        <w:spacing w:after="240"/>
        <w:rPr>
          <w:b/>
          <w:bCs/>
          <w:lang w:val="es-ES_tradnl"/>
        </w:rPr>
      </w:pPr>
      <w:r>
        <w:rPr>
          <w:b/>
          <w:bCs/>
          <w:lang w:val="es-ES_tradnl"/>
        </w:rPr>
        <w:tab/>
        <w:t>Adopción</w:t>
      </w:r>
    </w:p>
    <w:p w:rsidR="00000000" w:rsidRDefault="00000000">
      <w:pPr>
        <w:spacing w:after="240"/>
        <w:rPr>
          <w:lang w:val="es-ES_tradnl"/>
        </w:rPr>
      </w:pPr>
      <w:r>
        <w:rPr>
          <w:lang w:val="es-ES_tradnl"/>
        </w:rPr>
        <w:t>66.</w:t>
      </w:r>
      <w:r>
        <w:rPr>
          <w:lang w:val="es-ES_tradnl"/>
        </w:rPr>
        <w:tab/>
        <w:t>En la subsección VII de la Ley Nº 49/86 de "Reforma del derecho de familia" se disponen los requisitos que debe reunir el adoptante:</w:t>
      </w:r>
    </w:p>
    <w:p w:rsidR="00000000" w:rsidRDefault="00000000">
      <w:pPr>
        <w:spacing w:after="240"/>
        <w:ind w:left="924" w:hanging="357"/>
        <w:rPr>
          <w:lang w:val="es-ES_tradnl"/>
        </w:rPr>
      </w:pPr>
      <w:r>
        <w:rPr>
          <w:lang w:val="es-ES_tradnl"/>
        </w:rPr>
        <w:t>-</w:t>
      </w:r>
      <w:r>
        <w:rPr>
          <w:lang w:val="es-ES_tradnl"/>
        </w:rPr>
        <w:tab/>
        <w:t>tener 25 años de edad;</w:t>
      </w:r>
    </w:p>
    <w:p w:rsidR="00000000" w:rsidRDefault="00000000">
      <w:pPr>
        <w:spacing w:after="240"/>
        <w:ind w:left="924" w:hanging="357"/>
        <w:rPr>
          <w:lang w:val="es-ES_tradnl"/>
        </w:rPr>
      </w:pPr>
      <w:r>
        <w:rPr>
          <w:lang w:val="es-ES_tradnl"/>
        </w:rPr>
        <w:t>-</w:t>
      </w:r>
      <w:r>
        <w:rPr>
          <w:lang w:val="es-ES_tradnl"/>
        </w:rPr>
        <w:tab/>
        <w:t>tener la capacidad de criar, mantener y educar a los menores;</w:t>
      </w:r>
    </w:p>
    <w:p w:rsidR="00000000" w:rsidRDefault="00000000">
      <w:pPr>
        <w:spacing w:after="240"/>
        <w:ind w:left="924" w:hanging="357"/>
        <w:rPr>
          <w:lang w:val="es-ES_tradnl"/>
        </w:rPr>
      </w:pPr>
      <w:r>
        <w:rPr>
          <w:lang w:val="es-ES_tradnl"/>
        </w:rPr>
        <w:t>-</w:t>
      </w:r>
      <w:r>
        <w:rPr>
          <w:lang w:val="es-ES_tradnl"/>
        </w:rPr>
        <w:tab/>
        <w:t>ser al menos 18 años mayor que el menor adoptado y no haber cumplido los 45.</w:t>
      </w:r>
    </w:p>
    <w:p w:rsidR="00000000" w:rsidRDefault="00000000">
      <w:pPr>
        <w:spacing w:after="240"/>
        <w:rPr>
          <w:lang w:val="es-ES_tradnl"/>
        </w:rPr>
      </w:pPr>
      <w:r>
        <w:rPr>
          <w:lang w:val="es-ES_tradnl"/>
        </w:rPr>
        <w:t>Todas las solicitudes de adopción deben enviarse al Comisario de la Ley.</w:t>
      </w:r>
    </w:p>
    <w:p w:rsidR="00000000" w:rsidRDefault="00000000">
      <w:pPr>
        <w:spacing w:after="240"/>
        <w:rPr>
          <w:lang w:val="es-ES_tradnl"/>
        </w:rPr>
      </w:pPr>
      <w:r>
        <w:rPr>
          <w:lang w:val="es-ES_tradnl"/>
        </w:rPr>
        <w:t>67.</w:t>
      </w:r>
      <w:r>
        <w:rPr>
          <w:lang w:val="es-ES_tradnl"/>
        </w:rPr>
        <w:tab/>
        <w:t>Una vez comprobado que el adoptante reúne los requisitos antes mencionados, el Comisario de la Ley ordena al Servicio de Menores y, cuando proceda, a otros organismos públicos, que investigue la capacidad del solicitante para educar al menor y sus condiciones económicas, para garantizar que éste se integre en un entorno adecuado.  El Comisario de la Ley mantiene un registro confidencial de todos los adoptantes que reúnen las condiciones.</w:t>
      </w:r>
    </w:p>
    <w:p w:rsidR="00000000" w:rsidRDefault="00000000">
      <w:pPr>
        <w:spacing w:after="240"/>
        <w:rPr>
          <w:lang w:val="es-ES_tradnl"/>
        </w:rPr>
      </w:pPr>
      <w:r>
        <w:rPr>
          <w:lang w:val="es-ES_tradnl"/>
        </w:rPr>
        <w:t>68.</w:t>
      </w:r>
      <w:r>
        <w:rPr>
          <w:lang w:val="es-ES_tradnl"/>
        </w:rPr>
        <w:tab/>
        <w:t>Cuando se declara que un menor puede ser adoptado, el juez elige entre los solicitantes que reúnen las condiciones, los cónyuges o las personas que puedan subvenir a las necesidades del adoptado y dicta un auto de custodia y adopción provisional de un año de duración.</w:t>
      </w:r>
    </w:p>
    <w:p w:rsidR="00000000" w:rsidRDefault="00000000">
      <w:pPr>
        <w:spacing w:after="240"/>
        <w:rPr>
          <w:lang w:val="es-ES_tradnl"/>
        </w:rPr>
      </w:pPr>
      <w:r>
        <w:rPr>
          <w:lang w:val="es-ES_tradnl"/>
        </w:rPr>
        <w:t>69.</w:t>
      </w:r>
      <w:r>
        <w:rPr>
          <w:lang w:val="es-ES_tradnl"/>
        </w:rPr>
        <w:tab/>
        <w:t>El Servicio de Menores supervisa todos los casos de adopción provisional e informa al juez de cualquier novedad.  La orden de adopción provisional puede ser revocada con carácter inmediato cuando el juez estime que hay graves problemas en el desempeño de la custodia.  Si la custodia otorgada en el procedimiento de adopción provisional discurre sin problemas, el juez dictará el auto de adopción definitiva.  A raíz de la adopción, el adoptado adquiere la condición de hijo legítimo del adoptante, incluido el derecho a la herencia; el adoptado también toma y transmite al apellido y la nacionalidad del adoptante.  En los documentos expedidos por el Registro Civil no se hará ninguna referencia a sus padres naturales y tan sólo figurará el nuevo apellido.</w:t>
      </w:r>
    </w:p>
    <w:p w:rsidR="00000000" w:rsidRDefault="00000000">
      <w:pPr>
        <w:spacing w:after="240"/>
        <w:rPr>
          <w:lang w:val="es-ES_tradnl"/>
        </w:rPr>
      </w:pPr>
      <w:r>
        <w:rPr>
          <w:lang w:val="es-ES_tradnl"/>
        </w:rPr>
        <w:t>70.</w:t>
      </w:r>
      <w:r>
        <w:rPr>
          <w:lang w:val="es-ES_tradnl"/>
        </w:rPr>
        <w:tab/>
        <w:t>La Ley Nº 83 de 20 de julio de 1999 regula la adopción de menores extranjeros.  La solicitud de adopción internacional únicamente se puede presentar a través de las organizaciones homologadas y debidamente autorizadas por el Congreso de Estado (Gobierno).</w:t>
      </w:r>
    </w:p>
    <w:p w:rsidR="00000000" w:rsidRDefault="00000000">
      <w:pPr>
        <w:spacing w:after="240"/>
        <w:rPr>
          <w:lang w:val="es-ES_tradnl"/>
        </w:rPr>
      </w:pPr>
      <w:r>
        <w:rPr>
          <w:lang w:val="es-ES_tradnl"/>
        </w:rPr>
        <w:t>71.</w:t>
      </w:r>
      <w:r>
        <w:rPr>
          <w:lang w:val="es-ES_tradnl"/>
        </w:rPr>
        <w:tab/>
        <w:t>A los fines de expatriación legal, sólo se admite la entrada en el país de los menores que son objeto de un auto de custodia y adopción provisional.  El auto dictado por la autoridad extranjera sólo puede ser declarado efectivo a los efectos de adopción una vez transcurrido al menos un año de custodia y adopción provisional.  En ese caso, la autoridad judicial de San Marino dictará ese auto como complemento del auto de adopción dictado por la autoridad extranjera, en cumplimiento de la legislación de San Marino en la materia.</w:t>
      </w:r>
    </w:p>
    <w:p w:rsidR="00000000" w:rsidRDefault="00000000">
      <w:pPr>
        <w:spacing w:after="240"/>
        <w:rPr>
          <w:lang w:val="es-ES_tradnl"/>
        </w:rPr>
      </w:pPr>
      <w:r>
        <w:rPr>
          <w:lang w:val="es-ES_tradnl"/>
        </w:rPr>
        <w:t>72.</w:t>
      </w:r>
      <w:r>
        <w:rPr>
          <w:lang w:val="es-ES_tradnl"/>
        </w:rPr>
        <w:tab/>
        <w:t>Transcurrido el período de custodia y adopción provisional, la autoridad judicial ante la que se presentó la solicitud de adopción resolverá sobre el asunto.</w:t>
      </w:r>
    </w:p>
    <w:p w:rsidR="00000000" w:rsidRDefault="00000000">
      <w:pPr>
        <w:spacing w:after="240"/>
        <w:rPr>
          <w:b/>
          <w:bCs/>
          <w:lang w:val="es-ES_tradnl"/>
        </w:rPr>
      </w:pPr>
      <w:r>
        <w:rPr>
          <w:b/>
          <w:bCs/>
          <w:lang w:val="es-ES_tradnl"/>
        </w:rPr>
        <w:t>Artículo 11</w:t>
      </w:r>
    </w:p>
    <w:p w:rsidR="00000000" w:rsidRDefault="00000000">
      <w:pPr>
        <w:spacing w:after="240"/>
        <w:rPr>
          <w:lang w:val="es-ES_tradnl"/>
        </w:rPr>
      </w:pPr>
      <w:r>
        <w:rPr>
          <w:b/>
          <w:bCs/>
          <w:lang w:val="es-ES_tradnl"/>
        </w:rPr>
        <w:tab/>
        <w:t>Transferencia ilícita de niños</w:t>
      </w:r>
    </w:p>
    <w:p w:rsidR="00000000" w:rsidRDefault="00000000">
      <w:pPr>
        <w:spacing w:after="240"/>
        <w:rPr>
          <w:lang w:val="es-ES_tradnl"/>
        </w:rPr>
      </w:pPr>
      <w:r>
        <w:rPr>
          <w:lang w:val="es-ES_tradnl"/>
        </w:rPr>
        <w:t>73.</w:t>
      </w:r>
      <w:r>
        <w:rPr>
          <w:lang w:val="es-ES_tradnl"/>
        </w:rPr>
        <w:tab/>
        <w:t>En el artículo 167 del Código Penal de San Marino (Ley Nº 15 de 25 de febrero de 1974) se dispone que toda persona que reduzca a otra persona a la condición de esclavo o lo retenga como tal será condenada a la pena de 6 a 14 años de prisión y de 1 a 5 de inhabilitación.</w:t>
      </w:r>
    </w:p>
    <w:p w:rsidR="00000000" w:rsidRDefault="00000000">
      <w:pPr>
        <w:spacing w:after="240"/>
        <w:rPr>
          <w:lang w:val="es-ES_tradnl"/>
        </w:rPr>
      </w:pPr>
      <w:r>
        <w:rPr>
          <w:lang w:val="es-ES_tradnl"/>
        </w:rPr>
        <w:t>74.</w:t>
      </w:r>
      <w:r>
        <w:rPr>
          <w:lang w:val="es-ES_tradnl"/>
        </w:rPr>
        <w:tab/>
        <w:t>Además, en el artículo 167 se tipifica como delito el comercio o tráfico de esclavos.  Esos delitos están castigados con una pena de 6 a 14 años de prisión y de 2 a 5 años de inhabilitación.  A tenor de lo dispuesto en el artículo 82, se podrá privar a los inhabilitados de ocupar cargo público alguno, de sus derechos civiles y políticos, del ejercicio de su profesión de la patria potestad o de la tutela y de su capacidad para testar o de cualquier habilitación o licencia pública, incluido el goce de todos los derechos conexos.  Los delitos anteriores son punibles aun cuando se cometan fueran del territorio de San Marino.</w:t>
      </w:r>
    </w:p>
    <w:p w:rsidR="00000000" w:rsidRDefault="00000000">
      <w:pPr>
        <w:spacing w:after="240"/>
        <w:rPr>
          <w:b/>
          <w:bCs/>
          <w:lang w:val="es-ES_tradnl"/>
        </w:rPr>
      </w:pPr>
      <w:r>
        <w:rPr>
          <w:b/>
          <w:bCs/>
          <w:lang w:val="es-ES_tradnl"/>
        </w:rPr>
        <w:t>Artículos 19 y 39</w:t>
      </w:r>
    </w:p>
    <w:p w:rsidR="00000000" w:rsidRDefault="00000000">
      <w:pPr>
        <w:spacing w:after="240"/>
        <w:rPr>
          <w:lang w:val="es-ES_tradnl"/>
        </w:rPr>
      </w:pPr>
      <w:r>
        <w:rPr>
          <w:b/>
          <w:bCs/>
          <w:lang w:val="es-ES_tradnl"/>
        </w:rPr>
        <w:tab/>
        <w:t>Abuso y desatención, incluidas la recuperación psicológica y reinserción social</w:t>
      </w:r>
    </w:p>
    <w:p w:rsidR="00000000" w:rsidRDefault="00000000">
      <w:pPr>
        <w:spacing w:after="240"/>
        <w:rPr>
          <w:lang w:val="es-ES_tradnl"/>
        </w:rPr>
      </w:pPr>
      <w:r>
        <w:rPr>
          <w:lang w:val="es-ES_tradnl"/>
        </w:rPr>
        <w:t>75.</w:t>
      </w:r>
      <w:r>
        <w:rPr>
          <w:lang w:val="es-ES_tradnl"/>
        </w:rPr>
        <w:tab/>
        <w:t>En algunos de los artículos del Código Penal de San Marino se recogen las disposiciones del artículo 19 de la Convención.</w:t>
      </w:r>
    </w:p>
    <w:p w:rsidR="00000000" w:rsidRDefault="00000000">
      <w:pPr>
        <w:spacing w:after="240"/>
        <w:rPr>
          <w:lang w:val="es-ES_tradnl"/>
        </w:rPr>
      </w:pPr>
      <w:r>
        <w:rPr>
          <w:lang w:val="es-ES_tradnl"/>
        </w:rPr>
        <w:t>76.</w:t>
      </w:r>
      <w:r>
        <w:rPr>
          <w:lang w:val="es-ES_tradnl"/>
        </w:rPr>
        <w:tab/>
        <w:t>En virtud del artículo 234, que trata del abuso en la imposición de correctivos y medidas disciplinarias, se castiga a toda persona que abuse física o psicológicamente de una persona a su cargo o bajo su tutela o que cometa actos que pudieran causar una enfermedad.</w:t>
      </w:r>
    </w:p>
    <w:p w:rsidR="00000000" w:rsidRDefault="00000000">
      <w:pPr>
        <w:spacing w:after="240"/>
        <w:rPr>
          <w:lang w:val="es-ES_tradnl"/>
        </w:rPr>
      </w:pPr>
      <w:r>
        <w:rPr>
          <w:lang w:val="es-ES_tradnl"/>
        </w:rPr>
        <w:t>77.</w:t>
      </w:r>
      <w:r>
        <w:rPr>
          <w:lang w:val="es-ES_tradnl"/>
        </w:rPr>
        <w:tab/>
        <w:t>En el artículo 235 que trata del maltrato se sanciona todo acto de violencia cometido por una persona que ejercite autoridad y tenga la custodia contra un miembro de su familia.</w:t>
      </w:r>
    </w:p>
    <w:p w:rsidR="00000000" w:rsidRDefault="00000000">
      <w:pPr>
        <w:spacing w:after="240"/>
        <w:rPr>
          <w:lang w:val="es-ES_tradnl"/>
        </w:rPr>
      </w:pPr>
      <w:r>
        <w:rPr>
          <w:lang w:val="es-ES_tradnl"/>
        </w:rPr>
        <w:t>78.</w:t>
      </w:r>
      <w:r>
        <w:rPr>
          <w:lang w:val="es-ES_tradnl"/>
        </w:rPr>
        <w:tab/>
        <w:t>En el artículo 171, que trata sobre la violación de la libertad sexual, se tipifica como delito la incitación o la coacción a una persona a realizar prácticas sexuales mediante la fuerza, la amenaza, el engaño u otro medio similar.</w:t>
      </w:r>
    </w:p>
    <w:p w:rsidR="00000000" w:rsidRDefault="00000000">
      <w:pPr>
        <w:spacing w:after="240"/>
        <w:rPr>
          <w:lang w:val="es-ES_tradnl"/>
        </w:rPr>
      </w:pPr>
      <w:r>
        <w:rPr>
          <w:lang w:val="es-ES_tradnl"/>
        </w:rPr>
        <w:t>79.</w:t>
      </w:r>
      <w:r>
        <w:rPr>
          <w:lang w:val="es-ES_tradnl"/>
        </w:rPr>
        <w:tab/>
        <w:t>En el artículo 173, que trata de los abusos deshonestos contra un menor o una persona discapacitada aunque ésta consienta, tipifican como delito todos los actos que según la ley constituyan un delito de estupro si la víctima es menor de 14 años de edad.  En ese caso no se puede invocar como atenuante el desconocimiento de edad de la víctima.</w:t>
      </w:r>
    </w:p>
    <w:p w:rsidR="00000000" w:rsidRDefault="00000000">
      <w:pPr>
        <w:spacing w:after="240"/>
        <w:rPr>
          <w:lang w:val="es-ES_tradnl"/>
        </w:rPr>
      </w:pPr>
      <w:r>
        <w:rPr>
          <w:lang w:val="es-ES_tradnl"/>
        </w:rPr>
        <w:t>80.</w:t>
      </w:r>
      <w:r>
        <w:rPr>
          <w:lang w:val="es-ES_tradnl"/>
        </w:rPr>
        <w:tab/>
        <w:t>Las medidas adecuadas que cabe adoptar en los casos antes mencionados figuran en las disposiciones sobre custodia y adopción temporal que se establecen en la Ley Nº 49 de 26 de abril de 1986 (sec. VII) ya descritas en los epígrafes correspondientes a los artículos 20 y 21 de la Convención.</w:t>
      </w:r>
    </w:p>
    <w:p w:rsidR="00000000" w:rsidRDefault="00000000">
      <w:pPr>
        <w:spacing w:after="480"/>
        <w:rPr>
          <w:lang w:val="es-ES_tradnl"/>
        </w:rPr>
      </w:pPr>
      <w:r>
        <w:rPr>
          <w:lang w:val="es-ES_tradnl"/>
        </w:rPr>
        <w:t>81.</w:t>
      </w:r>
      <w:r>
        <w:rPr>
          <w:lang w:val="es-ES_tradnl"/>
        </w:rPr>
        <w:tab/>
        <w:t>Véase también la Ley Nº 21 de 3 de mayo de 1977 por la que se crea el Servicio de Asistencia Social y de la Salud, en particular el régimen de la "Casa Famiglia" (institución pública para menores con problemas y discapacidades).</w:t>
      </w:r>
    </w:p>
    <w:p w:rsidR="00000000" w:rsidRDefault="00000000">
      <w:pPr>
        <w:spacing w:after="240"/>
        <w:jc w:val="center"/>
        <w:rPr>
          <w:b/>
          <w:bCs/>
          <w:lang w:val="es-ES_tradnl"/>
        </w:rPr>
      </w:pPr>
      <w:r>
        <w:rPr>
          <w:b/>
          <w:bCs/>
          <w:lang w:val="es-ES_tradnl"/>
        </w:rPr>
        <w:t>VII.  SALUD BÁSICA Y BIENESTAR</w:t>
      </w:r>
    </w:p>
    <w:p w:rsidR="00000000" w:rsidRDefault="00000000">
      <w:pPr>
        <w:spacing w:after="240"/>
        <w:rPr>
          <w:b/>
          <w:bCs/>
          <w:lang w:val="es-ES_tradnl"/>
        </w:rPr>
      </w:pPr>
      <w:r>
        <w:rPr>
          <w:b/>
          <w:bCs/>
          <w:lang w:val="es-ES_tradnl"/>
        </w:rPr>
        <w:t>Artículo 6</w:t>
      </w:r>
    </w:p>
    <w:p w:rsidR="00000000" w:rsidRDefault="00000000">
      <w:pPr>
        <w:spacing w:after="240"/>
        <w:rPr>
          <w:lang w:val="es-ES_tradnl"/>
        </w:rPr>
      </w:pPr>
      <w:r>
        <w:rPr>
          <w:b/>
          <w:bCs/>
          <w:lang w:val="es-ES_tradnl"/>
        </w:rPr>
        <w:tab/>
        <w:t>Supervivencia y desarrollo</w:t>
      </w:r>
    </w:p>
    <w:p w:rsidR="00000000" w:rsidRDefault="00000000">
      <w:pPr>
        <w:spacing w:after="240"/>
        <w:rPr>
          <w:lang w:val="es-ES_tradnl"/>
        </w:rPr>
      </w:pPr>
      <w:r>
        <w:rPr>
          <w:lang w:val="es-ES_tradnl"/>
        </w:rPr>
        <w:t>82.</w:t>
      </w:r>
      <w:r>
        <w:rPr>
          <w:lang w:val="es-ES_tradnl"/>
        </w:rPr>
        <w:tab/>
        <w:t>Con arreglo a la Ley Nº 21 de 3 de mayo de 1977 el Servicio de Menores es el encargado de facilitar asistencia a los niños discapacitados y a los menores que necesitan cuidados especiales a fin de que puedan desarrollar plenamente sus capacidades.</w:t>
      </w:r>
    </w:p>
    <w:p w:rsidR="00000000" w:rsidRDefault="00000000">
      <w:pPr>
        <w:spacing w:after="240"/>
        <w:rPr>
          <w:lang w:val="es-ES_tradnl"/>
        </w:rPr>
      </w:pPr>
      <w:r>
        <w:rPr>
          <w:lang w:val="es-ES_tradnl"/>
        </w:rPr>
        <w:t>83.</w:t>
      </w:r>
      <w:r>
        <w:rPr>
          <w:lang w:val="es-ES_tradnl"/>
        </w:rPr>
        <w:tab/>
        <w:t>Más adelante se enumeran los distintos servicios establecidos en el artículo 6 de la Ley Nº 21 que ofrece esta institución:</w:t>
      </w:r>
    </w:p>
    <w:p w:rsidR="00000000" w:rsidRDefault="00000000">
      <w:pPr>
        <w:spacing w:after="240"/>
        <w:ind w:left="1134" w:hanging="567"/>
        <w:rPr>
          <w:lang w:val="es-ES_tradnl"/>
        </w:rPr>
      </w:pPr>
      <w:r>
        <w:rPr>
          <w:lang w:val="es-ES_tradnl"/>
        </w:rPr>
        <w:t>a)</w:t>
      </w:r>
      <w:r>
        <w:rPr>
          <w:lang w:val="es-ES_tradnl"/>
        </w:rPr>
        <w:tab/>
        <w:t>Centro de Educación Psicomotriz.  Este centro de día ofrece asistencia a los menores que, debido a su grave discapacidad psicofísica, no pueden asistir a la escuela ni realizar ningún trabajo y necesitan rehabilitación periódica, como fisioterapia, terapia del lenguaje y enseñanzas especiales.  Se establecen varios grados de rehabilitación, que van desde medidas simples a la asistencia total, en función de las necesidades especiales del menor.  Las personas con discapacidades graves pueden residir en el centro.</w:t>
      </w:r>
    </w:p>
    <w:p w:rsidR="00000000" w:rsidRDefault="00000000">
      <w:pPr>
        <w:spacing w:after="240"/>
        <w:ind w:left="1134" w:hanging="567"/>
        <w:rPr>
          <w:lang w:val="es-ES_tradnl"/>
        </w:rPr>
      </w:pPr>
      <w:r>
        <w:rPr>
          <w:lang w:val="es-ES_tradnl"/>
        </w:rPr>
        <w:t>b)</w:t>
      </w:r>
      <w:r>
        <w:rPr>
          <w:lang w:val="es-ES_tradnl"/>
        </w:rPr>
        <w:tab/>
        <w:t>"Casa Famiglia".  Este centro alberga a menores cuyas familias no pueden hacerse cargo de su desarrollo y educación, así como a los niños sin familia.  Los menores residen en el centro y asisten a escuelas normales hasta que alcanzan la mayoría de edad.</w:t>
      </w:r>
    </w:p>
    <w:p w:rsidR="00000000" w:rsidRDefault="00000000">
      <w:pPr>
        <w:spacing w:after="240"/>
        <w:ind w:left="1134" w:hanging="567"/>
        <w:rPr>
          <w:lang w:val="es-ES_tradnl"/>
        </w:rPr>
      </w:pPr>
      <w:r>
        <w:rPr>
          <w:lang w:val="es-ES_tradnl"/>
        </w:rPr>
        <w:t>c)</w:t>
      </w:r>
      <w:r>
        <w:rPr>
          <w:lang w:val="es-ES_tradnl"/>
        </w:rPr>
        <w:tab/>
        <w:t>Asistencia domiciliaria.  Este tipo de asistencia se facilita en todos los casos en que existen relaciones difíciles entre los niños y padres o entre ellos y su entorno social, a fin de supervisar su respuesta a las medidas educativas y terapéuticas.</w:t>
      </w:r>
    </w:p>
    <w:p w:rsidR="00000000" w:rsidRDefault="00000000">
      <w:pPr>
        <w:spacing w:after="240"/>
        <w:ind w:left="1134" w:hanging="567"/>
        <w:rPr>
          <w:lang w:val="es-ES_tradnl"/>
        </w:rPr>
      </w:pPr>
      <w:r>
        <w:rPr>
          <w:lang w:val="es-ES_tradnl"/>
        </w:rPr>
        <w:t>d)</w:t>
      </w:r>
      <w:r>
        <w:rPr>
          <w:lang w:val="es-ES_tradnl"/>
        </w:rPr>
        <w:tab/>
        <w:t>Atención psicológica en las escuelas normales.  En todos los centros de cualquier nivel de enseñanza los docentes facilitan asesoramiento psicológico en todos los casos señalados por los profesores, el médico de familia o la propia familia, a fin de determinar conjuntamente la medida más adecuada para promover de manera armoniosa el desarrollo psicosocial del menor.  Además, en el caso de los niños minusválidos, se garantiza la asistencia en las guarderías hasta la edad de los 3 años y en los centros de enseñanza infantil en el caso de los niños de edades comprendidas entre los 3 y los 6 años.</w:t>
      </w:r>
    </w:p>
    <w:p w:rsidR="00000000" w:rsidRDefault="00000000">
      <w:pPr>
        <w:spacing w:after="480"/>
        <w:rPr>
          <w:lang w:val="es-ES_tradnl"/>
        </w:rPr>
      </w:pPr>
      <w:r>
        <w:rPr>
          <w:lang w:val="es-ES_tradnl"/>
        </w:rPr>
        <w:t>84.</w:t>
      </w:r>
      <w:r>
        <w:rPr>
          <w:lang w:val="es-ES_tradnl"/>
        </w:rPr>
        <w:tab/>
        <w:t>Con arreglo a los criterios de aplicación que se fijan en el artículo 9 de la ley antes mencionada, deberá hacerse todo lo posible, en todos los casos y en la medida de lo posible, para que los niños permanezcan en su entorno familiar y estudien en escuelas normales.  En la ley se sientan las bases para una amplia cooperación entre los distintos sectores implicados, así como la participación de la comunidad en la forma y manera más adecuada.</w:t>
      </w:r>
    </w:p>
    <w:p w:rsidR="00000000" w:rsidRDefault="00000000">
      <w:pPr>
        <w:keepNext/>
        <w:keepLines/>
        <w:spacing w:after="240"/>
        <w:jc w:val="center"/>
        <w:rPr>
          <w:b/>
          <w:bCs/>
          <w:lang w:val="es-ES_tradnl"/>
        </w:rPr>
      </w:pPr>
      <w:r>
        <w:rPr>
          <w:b/>
          <w:bCs/>
          <w:lang w:val="es-ES_tradnl"/>
        </w:rPr>
        <w:t>VIII.  EDUCACIÓN, ESPARCIMIENTO Y ACTIVIDADES CULTURALES</w:t>
      </w:r>
    </w:p>
    <w:p w:rsidR="00000000" w:rsidRDefault="00000000">
      <w:pPr>
        <w:keepNext/>
        <w:keepLines/>
        <w:spacing w:after="240"/>
        <w:rPr>
          <w:lang w:val="es-ES_tradnl"/>
        </w:rPr>
      </w:pPr>
      <w:r>
        <w:rPr>
          <w:lang w:val="es-ES_tradnl"/>
        </w:rPr>
        <w:t>85.</w:t>
      </w:r>
      <w:r>
        <w:rPr>
          <w:lang w:val="es-ES_tradnl"/>
        </w:rPr>
        <w:tab/>
        <w:t>A principios del decenio de 1999 se entabló un debate sobre la reforma del sistema escolar que a la postre desembocó en la promulgación de una nueva ley en febrero de 1998.</w:t>
      </w:r>
    </w:p>
    <w:p w:rsidR="00000000" w:rsidRDefault="00000000">
      <w:pPr>
        <w:spacing w:after="240"/>
        <w:rPr>
          <w:lang w:val="es-ES_tradnl"/>
        </w:rPr>
      </w:pPr>
      <w:r>
        <w:rPr>
          <w:lang w:val="es-ES_tradnl"/>
        </w:rPr>
        <w:t>86.</w:t>
      </w:r>
      <w:r>
        <w:rPr>
          <w:lang w:val="es-ES_tradnl"/>
        </w:rPr>
        <w:tab/>
        <w:t>En la Ley Nº 22 de 12 de febrero de 1998 se establecen tres "ciclos educativos":</w:t>
      </w:r>
    </w:p>
    <w:p w:rsidR="00000000" w:rsidRDefault="00000000">
      <w:pPr>
        <w:spacing w:after="240"/>
        <w:ind w:left="1134" w:hanging="567"/>
        <w:rPr>
          <w:lang w:val="es-ES_tradnl"/>
        </w:rPr>
      </w:pPr>
      <w:r>
        <w:rPr>
          <w:lang w:val="es-ES_tradnl"/>
        </w:rPr>
        <w:t>a)</w:t>
      </w:r>
      <w:r>
        <w:rPr>
          <w:lang w:val="es-ES_tradnl"/>
        </w:rPr>
        <w:tab/>
        <w:t>"Ciclo de educación infantil".  Dura tres años y empieza a la edad de 3 años.  Durante este período los niños van a un jardín de infancia;</w:t>
      </w:r>
    </w:p>
    <w:p w:rsidR="00000000" w:rsidRDefault="00000000">
      <w:pPr>
        <w:spacing w:after="240"/>
        <w:ind w:left="1134" w:hanging="567"/>
        <w:rPr>
          <w:lang w:val="es-ES_tradnl"/>
        </w:rPr>
      </w:pPr>
      <w:r>
        <w:rPr>
          <w:lang w:val="es-ES_tradnl"/>
        </w:rPr>
        <w:t>b)</w:t>
      </w:r>
      <w:r>
        <w:rPr>
          <w:lang w:val="es-ES_tradnl"/>
        </w:rPr>
        <w:tab/>
        <w:t>"Ciclo de enseñanza primaria".  Dura cinco años y se inicia a la edad de 6 años.  Los niños van a una escuela elemental;</w:t>
      </w:r>
    </w:p>
    <w:p w:rsidR="00000000" w:rsidRDefault="00000000">
      <w:pPr>
        <w:spacing w:after="240"/>
        <w:ind w:left="1134" w:hanging="567"/>
        <w:rPr>
          <w:lang w:val="es-ES_tradnl"/>
        </w:rPr>
      </w:pPr>
      <w:r>
        <w:rPr>
          <w:lang w:val="es-ES_tradnl"/>
        </w:rPr>
        <w:t>c)</w:t>
      </w:r>
      <w:r>
        <w:rPr>
          <w:lang w:val="es-ES_tradnl"/>
        </w:rPr>
        <w:tab/>
        <w:t>"Ciclo de enseñanza secundaria".  Dura ocho años.  Los niños cursan sus estudios en un centro de enseñanza secundaria elemental (tres años) y después un centro de enseñanza secundaria superior (cinco años).</w:t>
      </w:r>
    </w:p>
    <w:p w:rsidR="00000000" w:rsidRDefault="00000000">
      <w:pPr>
        <w:spacing w:after="240"/>
        <w:rPr>
          <w:lang w:val="es-ES_tradnl"/>
        </w:rPr>
      </w:pPr>
      <w:r>
        <w:rPr>
          <w:lang w:val="es-ES_tradnl"/>
        </w:rPr>
        <w:t>87.</w:t>
      </w:r>
      <w:r>
        <w:rPr>
          <w:lang w:val="es-ES_tradnl"/>
        </w:rPr>
        <w:tab/>
        <w:t>La educación es obligatoria hasta los 16 años.</w:t>
      </w:r>
    </w:p>
    <w:p w:rsidR="00000000" w:rsidRDefault="00000000">
      <w:pPr>
        <w:spacing w:after="240"/>
        <w:rPr>
          <w:lang w:val="es-ES_tradnl"/>
        </w:rPr>
      </w:pPr>
      <w:r>
        <w:rPr>
          <w:lang w:val="es-ES_tradnl"/>
        </w:rPr>
        <w:t>88.</w:t>
      </w:r>
      <w:r>
        <w:rPr>
          <w:lang w:val="es-ES_tradnl"/>
        </w:rPr>
        <w:tab/>
        <w:t>En la Ley Nº 21 de 12 de febrero de 1998, relativa a las disposiciones generales sobre la educación se enuncian los siguientes principios rectores de las enseñanzas impartidas en la República:</w:t>
      </w:r>
    </w:p>
    <w:p w:rsidR="00000000" w:rsidRDefault="00000000">
      <w:pPr>
        <w:spacing w:after="240"/>
        <w:ind w:left="1134" w:hanging="567"/>
        <w:rPr>
          <w:lang w:val="es-ES_tradnl"/>
        </w:rPr>
      </w:pPr>
      <w:r>
        <w:rPr>
          <w:lang w:val="es-ES_tradnl"/>
        </w:rPr>
        <w:t>a)</w:t>
      </w:r>
      <w:r>
        <w:rPr>
          <w:lang w:val="es-ES_tradnl"/>
        </w:rPr>
        <w:tab/>
        <w:t>Continuidad en los métodos educativos y docentes.  Mediante este principio se persigue garantizar la relación entre los distintos ciclos y que todos los alumnos estén integrados en un proyecto educativo común.</w:t>
      </w:r>
    </w:p>
    <w:p w:rsidR="00000000" w:rsidRDefault="00000000">
      <w:pPr>
        <w:spacing w:after="240"/>
        <w:ind w:left="1134" w:hanging="567"/>
        <w:rPr>
          <w:lang w:val="es-ES_tradnl"/>
        </w:rPr>
      </w:pPr>
      <w:r>
        <w:rPr>
          <w:lang w:val="es-ES_tradnl"/>
        </w:rPr>
        <w:t>b)</w:t>
      </w:r>
      <w:r>
        <w:rPr>
          <w:lang w:val="es-ES_tradnl"/>
        </w:rPr>
        <w:tab/>
        <w:t>Orientación, entendida como desarrollo de la capacidad del niño para adoptar decisiones y hacer elecciones en lo tocante a los estudios, la asistencia a la universidad o el empleo.</w:t>
      </w:r>
    </w:p>
    <w:p w:rsidR="00000000" w:rsidRDefault="00000000">
      <w:pPr>
        <w:spacing w:after="240"/>
        <w:ind w:left="1134" w:hanging="567"/>
        <w:rPr>
          <w:lang w:val="es-ES_tradnl"/>
        </w:rPr>
      </w:pPr>
      <w:r>
        <w:rPr>
          <w:lang w:val="es-ES_tradnl"/>
        </w:rPr>
        <w:t>c)</w:t>
      </w:r>
      <w:r>
        <w:rPr>
          <w:lang w:val="es-ES_tradnl"/>
        </w:rPr>
        <w:tab/>
        <w:t>Enseñar a los niños a ser autónomos.</w:t>
      </w:r>
    </w:p>
    <w:p w:rsidR="00000000" w:rsidRDefault="00000000">
      <w:pPr>
        <w:spacing w:after="240"/>
        <w:ind w:left="1134" w:hanging="567"/>
        <w:rPr>
          <w:lang w:val="es-ES_tradnl"/>
        </w:rPr>
      </w:pPr>
      <w:r>
        <w:rPr>
          <w:lang w:val="es-ES_tradnl"/>
        </w:rPr>
        <w:t>d)</w:t>
      </w:r>
      <w:r>
        <w:rPr>
          <w:lang w:val="es-ES_tradnl"/>
        </w:rPr>
        <w:tab/>
        <w:t>Aprovechamiento pleno de las capacidades de los docentes.</w:t>
      </w:r>
    </w:p>
    <w:p w:rsidR="00000000" w:rsidRDefault="00000000">
      <w:pPr>
        <w:spacing w:after="240"/>
        <w:ind w:left="1134" w:hanging="567"/>
        <w:rPr>
          <w:lang w:val="es-ES_tradnl"/>
        </w:rPr>
      </w:pPr>
      <w:r>
        <w:rPr>
          <w:lang w:val="es-ES_tradnl"/>
        </w:rPr>
        <w:t>e)</w:t>
      </w:r>
      <w:r>
        <w:rPr>
          <w:lang w:val="es-ES_tradnl"/>
        </w:rPr>
        <w:tab/>
        <w:t>Mejora de la escolarización obligatoria.</w:t>
      </w:r>
    </w:p>
    <w:p w:rsidR="00000000" w:rsidRDefault="00000000">
      <w:pPr>
        <w:spacing w:after="240"/>
        <w:ind w:left="1134" w:hanging="567"/>
        <w:rPr>
          <w:lang w:val="es-ES_tradnl"/>
        </w:rPr>
      </w:pPr>
      <w:r>
        <w:rPr>
          <w:lang w:val="es-ES_tradnl"/>
        </w:rPr>
        <w:t>f)</w:t>
      </w:r>
      <w:r>
        <w:rPr>
          <w:lang w:val="es-ES_tradnl"/>
        </w:rPr>
        <w:tab/>
        <w:t>Evaluación del sistema escolar.</w:t>
      </w:r>
    </w:p>
    <w:p w:rsidR="00000000" w:rsidRDefault="00000000">
      <w:pPr>
        <w:spacing w:after="240"/>
        <w:rPr>
          <w:lang w:val="es-ES_tradnl"/>
        </w:rPr>
      </w:pPr>
      <w:r>
        <w:rPr>
          <w:lang w:val="es-ES_tradnl"/>
        </w:rPr>
        <w:t>89.</w:t>
      </w:r>
      <w:r>
        <w:rPr>
          <w:lang w:val="es-ES_tradnl"/>
        </w:rPr>
        <w:tab/>
        <w:t>En cuanto al nivel de instrucción en San Marino, los datos estadísticos correspondientes a diciembre de 2000 indican que la población escolar asciende a 5.227 alumnos, de los que:</w:t>
      </w:r>
    </w:p>
    <w:p w:rsidR="00000000" w:rsidRDefault="00000000">
      <w:pPr>
        <w:spacing w:after="240"/>
        <w:ind w:left="1350" w:hanging="810"/>
        <w:rPr>
          <w:lang w:val="es-ES_tradnl"/>
        </w:rPr>
      </w:pPr>
      <w:r>
        <w:rPr>
          <w:lang w:val="es-ES_tradnl"/>
        </w:rPr>
        <w:t>991</w:t>
      </w:r>
      <w:r>
        <w:rPr>
          <w:lang w:val="es-ES_tradnl"/>
        </w:rPr>
        <w:tab/>
        <w:t>asisten a jardines de infancia;</w:t>
      </w:r>
    </w:p>
    <w:p w:rsidR="00000000" w:rsidRDefault="00000000">
      <w:pPr>
        <w:spacing w:after="240"/>
        <w:ind w:left="1350" w:hanging="810"/>
        <w:rPr>
          <w:lang w:val="es-ES_tradnl"/>
        </w:rPr>
      </w:pPr>
      <w:r>
        <w:rPr>
          <w:lang w:val="es-ES_tradnl"/>
        </w:rPr>
        <w:t>1.297</w:t>
      </w:r>
      <w:r>
        <w:rPr>
          <w:lang w:val="es-ES_tradnl"/>
        </w:rPr>
        <w:tab/>
        <w:t>asisten a escuelas elementales; el promedio de alumnos por profesor es de 5,4.  En la República existen 14 escuelas elementales;</w:t>
      </w:r>
    </w:p>
    <w:p w:rsidR="00000000" w:rsidRDefault="00000000">
      <w:pPr>
        <w:spacing w:after="240"/>
        <w:ind w:left="1350" w:hanging="810"/>
        <w:rPr>
          <w:lang w:val="es-ES_tradnl"/>
        </w:rPr>
      </w:pPr>
      <w:r>
        <w:rPr>
          <w:lang w:val="es-ES_tradnl"/>
        </w:rPr>
        <w:t>729</w:t>
      </w:r>
      <w:r>
        <w:rPr>
          <w:lang w:val="es-ES_tradnl"/>
        </w:rPr>
        <w:tab/>
        <w:t>asisten a centros de enseñanza secundaria elemental; existen 3 centros con 18 clases cada uno.  El promedio de alumnos por profesor es de 5,2.</w:t>
      </w:r>
    </w:p>
    <w:p w:rsidR="00000000" w:rsidRDefault="00000000">
      <w:pPr>
        <w:spacing w:after="240"/>
        <w:rPr>
          <w:lang w:val="es-ES_tradnl"/>
        </w:rPr>
      </w:pPr>
      <w:r>
        <w:rPr>
          <w:lang w:val="es-ES_tradnl"/>
        </w:rPr>
        <w:t>90.</w:t>
      </w:r>
      <w:r>
        <w:rPr>
          <w:lang w:val="es-ES_tradnl"/>
        </w:rPr>
        <w:tab/>
        <w:t>En San Marino existen los siguientes centros de enseñanza secundaria superior:</w:t>
      </w:r>
    </w:p>
    <w:p w:rsidR="00000000" w:rsidRDefault="00000000">
      <w:pPr>
        <w:spacing w:after="240"/>
        <w:ind w:left="924" w:hanging="357"/>
        <w:rPr>
          <w:lang w:val="es-ES_tradnl"/>
        </w:rPr>
      </w:pPr>
      <w:r>
        <w:rPr>
          <w:lang w:val="es-ES_tradnl"/>
        </w:rPr>
        <w:t>-</w:t>
      </w:r>
      <w:r>
        <w:rPr>
          <w:lang w:val="es-ES_tradnl"/>
        </w:rPr>
        <w:tab/>
        <w:t>Liceo clásico;</w:t>
      </w:r>
    </w:p>
    <w:p w:rsidR="00000000" w:rsidRDefault="00000000">
      <w:pPr>
        <w:spacing w:after="240"/>
        <w:ind w:left="924" w:hanging="357"/>
        <w:rPr>
          <w:lang w:val="es-ES_tradnl"/>
        </w:rPr>
      </w:pPr>
      <w:r>
        <w:rPr>
          <w:lang w:val="es-ES_tradnl"/>
        </w:rPr>
        <w:t>-</w:t>
      </w:r>
      <w:r>
        <w:rPr>
          <w:lang w:val="es-ES_tradnl"/>
        </w:rPr>
        <w:tab/>
        <w:t>Liceo de lenguas modernas;</w:t>
      </w:r>
    </w:p>
    <w:p w:rsidR="00000000" w:rsidRDefault="00000000">
      <w:pPr>
        <w:spacing w:after="240"/>
        <w:ind w:left="924" w:hanging="357"/>
        <w:rPr>
          <w:lang w:val="es-ES_tradnl"/>
        </w:rPr>
      </w:pPr>
      <w:r>
        <w:rPr>
          <w:lang w:val="es-ES_tradnl"/>
        </w:rPr>
        <w:t>-</w:t>
      </w:r>
      <w:r>
        <w:rPr>
          <w:lang w:val="es-ES_tradnl"/>
        </w:rPr>
        <w:tab/>
        <w:t>Liceo científico;</w:t>
      </w:r>
    </w:p>
    <w:p w:rsidR="00000000" w:rsidRDefault="00000000">
      <w:pPr>
        <w:spacing w:after="240"/>
        <w:ind w:left="924" w:hanging="357"/>
        <w:rPr>
          <w:lang w:val="es-ES_tradnl"/>
        </w:rPr>
      </w:pPr>
      <w:r>
        <w:rPr>
          <w:lang w:val="es-ES_tradnl"/>
        </w:rPr>
        <w:t>-</w:t>
      </w:r>
      <w:r>
        <w:rPr>
          <w:lang w:val="es-ES_tradnl"/>
        </w:rPr>
        <w:tab/>
        <w:t>Escuela técnica (únicamente los dos primeros años);</w:t>
      </w:r>
    </w:p>
    <w:p w:rsidR="00000000" w:rsidRDefault="00000000">
      <w:pPr>
        <w:spacing w:after="240"/>
        <w:ind w:left="924" w:hanging="357"/>
        <w:rPr>
          <w:lang w:val="es-ES_tradnl"/>
        </w:rPr>
      </w:pPr>
      <w:r>
        <w:rPr>
          <w:lang w:val="es-ES_tradnl"/>
        </w:rPr>
        <w:t>-</w:t>
      </w:r>
      <w:r>
        <w:rPr>
          <w:lang w:val="es-ES_tradnl"/>
        </w:rPr>
        <w:tab/>
        <w:t>Centro de formación profesional.</w:t>
      </w:r>
    </w:p>
    <w:p w:rsidR="00000000" w:rsidRDefault="00000000">
      <w:pPr>
        <w:spacing w:after="240"/>
        <w:rPr>
          <w:lang w:val="es-ES_tradnl"/>
        </w:rPr>
      </w:pPr>
      <w:r>
        <w:rPr>
          <w:lang w:val="es-ES_tradnl"/>
        </w:rPr>
        <w:t>91.</w:t>
      </w:r>
      <w:r>
        <w:rPr>
          <w:lang w:val="es-ES_tradnl"/>
        </w:rPr>
        <w:tab/>
        <w:t xml:space="preserve">El total de alumnos inscritos en los centros de enseñanza secundaria es de 506 en San Marino y 787 fuera de San Marino.  En general, los alumnos que estudian fuera del país están inscritos en cursos que no se imparten en la República, como los que se imparten en distintos centros de formación profesional, los últimos tres años de la escuela técnica, el liceo artístico y el liceo de comunicaciones que sustituyó al antiguo </w:t>
      </w:r>
      <w:r>
        <w:rPr>
          <w:i/>
          <w:iCs/>
          <w:lang w:val="es-ES_tradnl"/>
        </w:rPr>
        <w:t>Istituto Magistrale</w:t>
      </w:r>
      <w:r>
        <w:rPr>
          <w:lang w:val="es-ES_tradnl"/>
        </w:rPr>
        <w:t>.</w:t>
      </w:r>
    </w:p>
    <w:p w:rsidR="00000000" w:rsidRDefault="00000000">
      <w:pPr>
        <w:spacing w:after="240"/>
        <w:rPr>
          <w:lang w:val="es-ES_tradnl"/>
        </w:rPr>
      </w:pPr>
      <w:r>
        <w:rPr>
          <w:lang w:val="es-ES_tradnl"/>
        </w:rPr>
        <w:t>92.</w:t>
      </w:r>
      <w:r>
        <w:rPr>
          <w:lang w:val="es-ES_tradnl"/>
        </w:rPr>
        <w:tab/>
        <w:t>Por último, 917 alumnos cursan estudios universitarios.</w:t>
      </w:r>
    </w:p>
    <w:p w:rsidR="00000000" w:rsidRDefault="00000000">
      <w:pPr>
        <w:spacing w:after="240"/>
        <w:rPr>
          <w:lang w:val="es-ES_tradnl"/>
        </w:rPr>
      </w:pPr>
      <w:r>
        <w:rPr>
          <w:lang w:val="es-ES_tradnl"/>
        </w:rPr>
        <w:t>93.</w:t>
      </w:r>
      <w:r>
        <w:rPr>
          <w:lang w:val="es-ES_tradnl"/>
        </w:rPr>
        <w:tab/>
        <w:t>Además, existe una escuela de música que prepara a los alumnos para los exámenes intermedios y finales en diferentes instrumentos que organizan los conservatorios italianos.  El número total de alumnos inscritos es de 192.  En general, los estudiantes cursan esos estudios al mismo tiempo que las enseñanzas normales.</w:t>
      </w:r>
    </w:p>
    <w:p w:rsidR="00000000" w:rsidRDefault="00000000">
      <w:pPr>
        <w:spacing w:after="240"/>
        <w:rPr>
          <w:lang w:val="es-ES_tradnl"/>
        </w:rPr>
      </w:pPr>
      <w:r>
        <w:rPr>
          <w:lang w:val="es-ES_tradnl"/>
        </w:rPr>
        <w:t>94.</w:t>
      </w:r>
      <w:r>
        <w:rPr>
          <w:lang w:val="es-ES_tradnl"/>
        </w:rPr>
        <w:tab/>
        <w:t>Los gráficos que figuran más abajo muestran que el total de la población escolar registró un aumento del 6,1% en el último lustro.  Este incremento no se refleja en todas las enseñanzas.  En efecto, debido a la mayor tasa de natalidad (1,11%), el número de estudiantes inscritos en los jardines de infancia y las escuelas elementales aumentó en un 16 y un 10,8% respectivamente, mientras que el número de alumnos en los centros de enseñanza secundaria elemental se redujo en un 3,3%.</w:t>
      </w:r>
    </w:p>
    <w:p w:rsidR="00000000" w:rsidRDefault="00000000">
      <w:pPr>
        <w:spacing w:after="240"/>
        <w:rPr>
          <w:lang w:val="es-ES_tradnl"/>
        </w:rPr>
      </w:pPr>
      <w:r>
        <w:rPr>
          <w:lang w:val="es-ES_tradnl"/>
        </w:rPr>
        <w:t>95.</w:t>
      </w:r>
      <w:r>
        <w:rPr>
          <w:lang w:val="es-ES_tradnl"/>
        </w:rPr>
        <w:tab/>
        <w:t>Es significativa la tendencia de que los adolescentes cursen estudios de nivel más elevado, gracias también al clima social y económico favorable.  Se ha registrado un aumento constante del número de alumnos inscritos en los centros de enseñanza secundaria y de formación profesional en San Marino (+15,3%), mientras que se ha producido una reducción en las escuelas de nivel similar fuera de San Marino (-14,1%).  Los estudios universitarios son los que registran el incremento más importante (+12,8%).</w:t>
      </w:r>
    </w:p>
    <w:p w:rsidR="00000000" w:rsidRDefault="00000000">
      <w:pPr>
        <w:spacing w:after="240"/>
        <w:rPr>
          <w:lang w:val="es-ES_tradnl"/>
        </w:rPr>
      </w:pPr>
      <w:r>
        <w:rPr>
          <w:lang w:val="es-ES_tradnl"/>
        </w:rPr>
        <w:br w:type="page"/>
      </w:r>
      <w:r>
        <w:rPr>
          <w:noProof/>
          <w:sz w:val="20"/>
        </w:rPr>
        <w:pict>
          <v:shape id="_x0000_s1041" type="#_x0000_t75" style="position:absolute;margin-left:0;margin-top:0;width:466.05pt;height:249.55pt;z-index:11;mso-wrap-edited:f" wrapcoords="3711 761 3711 2950 7803 3806 10752 3806 3901 4758 1618 5138 1618 7137 2569 8278 1713 8659 1713 8944 2950 9896 1618 10467 1618 10752 2950 11419 2189 12370 3235 12941 3901 12941 3711 14368 3806 15891 7327 16176 7422 18270 9135 19031 9515 19697 11989 19697 12085 19221 11799 19031 12846 18270 12751 14463 14273 14463 14463 13512 14178 12941 15130 12941 15415 12370 15034 11419 16271 11419 20458 10277 20648 8183 18365 7898 7041 6756 5900 6280 3330 5329 10752 3806 13322 3806 17984 2855 17889 761 3711 761">
            <v:imagedata r:id="rId17" o:title=""/>
            <w10:anchorlock/>
          </v:shape>
          <o:OLEObject Type="Embed" ProgID="Excel.Chart.8" ShapeID="_x0000_s1041" DrawAspect="Content" ObjectID="_1418836534" r:id="rId18">
            <o:FieldCodes>\s</o:FieldCodes>
          </o:OLEObject>
        </w:pict>
      </w:r>
      <w:r>
        <w:rPr>
          <w:noProof/>
          <w:sz w:val="20"/>
        </w:rPr>
        <w:pict>
          <v:shape id="_x0000_s1040" type="#_x0000_t75" style="position:absolute;margin-left:0;margin-top:0;width:8.65pt;height:8.65pt;z-index:10;mso-wrap-edited:f" wrapcoords="4229 914 4229 3200 9257 4571 10743 4571 10743 6400 1829 8114 1714 9714 2057 10057 3429 10057 1943 10857 1943 11200 3429 11886 2057 12114 1829 12571 2514 13714 2514 13943 3886 15543 4114 16114 6514 17371 7657 17371 7543 18514 9143 19200 11429 19429 12000 19429 12229 19200 12800 17714 12800 15543 14400 14743 15543 13943 16800 13714 20571 12457 20686 10171 19771 10057 7314 10057 7429 9486 4686 8343 3086 8229 10629 6400 10743 4571 12229 4571 17257 3200 17257 914 4229 914">
            <v:imagedata r:id="rId19" o:title=""/>
            <w10:anchorlock/>
          </v:shape>
          <o:OLEObject Type="Embed" ProgID="Excel.Chart.8" ShapeID="_x0000_s1040" DrawAspect="Content" ObjectID="_1418836535" r:id="rId20">
            <o:FieldCodes>\s</o:FieldCodes>
          </o:OLEObject>
        </w:pict>
      </w:r>
      <w:r>
        <w:rPr>
          <w:noProof/>
          <w:sz w:val="20"/>
        </w:rPr>
        <w:pict>
          <v:shape id="_x0000_s1038" type="#_x0000_t75" style="position:absolute;margin-left:0;margin-top:0;width:8.65pt;height:8.65pt;z-index:8;mso-wrap-edited:f" wrapcoords="6660 828 6660 3934 699 4348 589 5107 1877 5245 1877 6349 1067 6901 626 7246 626 7729 1582 8557 1877 8557 1877 9661 662 9661 662 10351 1877 10765 1877 11870 810 12353 626 12491 626 13112 1729 14078 1877 14078 1178 15182 1178 15665 2355 16286 3238 16286 3128 20013 3165 20220 3385 20358 3533 20358 5115 20358 15013 19737 15013 19599 17552 19116 17736 18978 17589 18495 17994 18495 18178 18081 18178 17252 18067 16907 17699 16286 19245 15734 19319 15389 18656 15182 18656 11870 19355 11870 21306 11042 21342 8212 7139 7453 7212 6763 6145 6556 2024 6349 2024 5245 10782 4141 14388 4141 15528 3865 15455 828 6660 828">
            <v:imagedata r:id="rId21" o:title=""/>
            <w10:anchorlock/>
          </v:shape>
          <o:OLEObject Type="Embed" ProgID="Excel.Chart.8" ShapeID="_x0000_s1038" DrawAspect="Content" ObjectID="_1418836536" r:id="rId22">
            <o:FieldCodes>\s</o:FieldCodes>
          </o:OLEObject>
        </w:pict>
      </w: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r>
        <w:rPr>
          <w:lang w:val="es-ES_tradnl"/>
        </w:rPr>
        <w:t>96.</w:t>
      </w:r>
      <w:r>
        <w:rPr>
          <w:lang w:val="es-ES_tradnl"/>
        </w:rPr>
        <w:tab/>
        <w:t>Si se analiza la relación entre la población estudiantil de los centros de enseñanza secundaria y de la universidad y la población residente de la misma edad, se observa que los niveles de instrucción aumentaron considerablemente, alcanzando el 92,8 y el 60,0% respectivamente en el caso de los centros de enseñanza secundaria y la universidad.</w:t>
      </w:r>
    </w:p>
    <w:p w:rsidR="00000000" w:rsidRDefault="00000000">
      <w:pPr>
        <w:spacing w:after="240"/>
        <w:rPr>
          <w:lang w:val="es-ES_tradnl"/>
        </w:rPr>
      </w:pPr>
      <w:r>
        <w:rPr>
          <w:noProof/>
          <w:sz w:val="20"/>
        </w:rPr>
        <w:pict>
          <v:shape id="_x0000_s1039" type="#_x0000_t75" style="position:absolute;margin-left:0;margin-top:0;width:463.9pt;height:229.8pt;z-index:9;mso-wrap-edited:f" wrapcoords="9242 435 9242 1829 645 2874 609 3658 1361 4616 1684 4616 931 5487 824 5748 824 6184 1110 6706 1684 7403 824 8100 824 8797 1684 8797 1684 10190 860 10539 860 11323 1684 11584 967 12977 824 13413 896 13761 1684 14371 860 15590 824 16200 1003 16461 1684 17158 1075 17942 824 18377 681 20468 14472 20468 14543 19858 13612 18552 13576 14371 17803 14371 21457 13761 21493 7665 21206 7577 13576 7403 13648 3310 7988 3223 12430 2700 12394 435 9242 435">
            <v:imagedata r:id="rId23" o:title=""/>
            <w10:anchorlock/>
          </v:shape>
          <o:OLEObject Type="Embed" ProgID="Excel.Chart.8" ShapeID="_x0000_s1039" DrawAspect="Content" ObjectID="_1418836537" r:id="rId24">
            <o:FieldCodes>\s</o:FieldCodes>
          </o:OLEObject>
        </w:pict>
      </w: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r>
        <w:rPr>
          <w:lang w:val="es-ES_tradnl"/>
        </w:rPr>
        <w:br w:type="page"/>
      </w:r>
    </w:p>
    <w:p w:rsidR="00000000" w:rsidRDefault="00000000">
      <w:pPr>
        <w:spacing w:after="240"/>
        <w:rPr>
          <w:lang w:val="es-ES_tradnl"/>
        </w:rPr>
      </w:pPr>
      <w:r>
        <w:rPr>
          <w:noProof/>
          <w:sz w:val="20"/>
        </w:rPr>
        <w:pict>
          <v:shape id="_x0000_s1042" type="#_x0000_t75" style="position:absolute;margin-left:0;margin-top:-18pt;width:464.1pt;height:4in;z-index:12;mso-wrap-edited:f" wrapcoords="3862 1001 3862 1287 9226 2146 8726 2217 8726 2503 10800 3290 10800 5579 8011 6723 4649 6938 3719 7224 3719 7868 3290 8082 2217 8869 1645 10156 715 10156 715 10442 1502 11301 1788 12445 2503 13589 2718 14805 8011 15950 8011 16593 21099 16593 21171 6652 10728 5579 10800 3290 13089 2575 13089 2217 10800 2146 15234 1788 17738 1216 17452 1001 3862 1001">
            <v:imagedata r:id="rId25" o:title=""/>
            <w10:anchorlock/>
          </v:shape>
          <o:OLEObject Type="Embed" ProgID="Excel.Chart.8" ShapeID="_x0000_s1042" DrawAspect="Content" ObjectID="_1418836538" r:id="rId26">
            <o:FieldCodes>\s</o:FieldCodes>
          </o:OLEObject>
        </w:pict>
      </w: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r>
        <w:rPr>
          <w:lang w:val="es-ES_tradnl"/>
        </w:rPr>
        <w:t>97.</w:t>
      </w:r>
      <w:r>
        <w:rPr>
          <w:lang w:val="es-ES_tradnl"/>
        </w:rPr>
        <w:tab/>
        <w:t>El Estado no interviene directamente en las actividades recreativas y de esparcimiento.  Sin embargo, presta una gran atención a la creación y a la gestión de zonas verdes; patrocina varias iniciativas encaminadas a promover el deporte y construye numerosos centros deportivos como dos piscinas públicas, el Estadio Olímpico y varias pistas de tenis y campos de fútbol existentes en todo el territorio de la República.</w:t>
      </w:r>
    </w:p>
    <w:p w:rsidR="00000000" w:rsidRDefault="00000000">
      <w:pPr>
        <w:spacing w:after="240"/>
        <w:rPr>
          <w:lang w:val="es-ES_tradnl"/>
        </w:rPr>
      </w:pPr>
      <w:r>
        <w:rPr>
          <w:lang w:val="es-ES_tradnl"/>
        </w:rPr>
        <w:t>98.</w:t>
      </w:r>
      <w:r>
        <w:rPr>
          <w:lang w:val="es-ES_tradnl"/>
        </w:rPr>
        <w:tab/>
        <w:t>Existen tres salas de cine de titularidad de gestión pública que exhiben películas infantiles dos veces a la semana.</w:t>
      </w:r>
    </w:p>
    <w:p w:rsidR="00000000" w:rsidRDefault="00000000">
      <w:pPr>
        <w:spacing w:after="480"/>
        <w:rPr>
          <w:lang w:val="es-ES_tradnl"/>
        </w:rPr>
      </w:pPr>
      <w:r>
        <w:rPr>
          <w:lang w:val="es-ES_tradnl"/>
        </w:rPr>
        <w:t>99.</w:t>
      </w:r>
      <w:r>
        <w:rPr>
          <w:lang w:val="es-ES_tradnl"/>
        </w:rPr>
        <w:tab/>
        <w:t>Además de las actividades específicamente promovidas o llevadas a cabo por el Estado, existen varias asociaciones recreativas juveniles, como los Scouts y otras, principalmente activas en las parroquias.</w:t>
      </w:r>
    </w:p>
    <w:p w:rsidR="00000000" w:rsidRDefault="00000000">
      <w:pPr>
        <w:spacing w:after="240"/>
        <w:jc w:val="center"/>
        <w:rPr>
          <w:lang w:val="es-ES_tradnl"/>
        </w:rPr>
      </w:pPr>
      <w:r>
        <w:rPr>
          <w:b/>
          <w:bCs/>
          <w:lang w:val="es-ES_tradnl"/>
        </w:rPr>
        <w:t>XI.  MEDIDAS ESPECIALES DE PROTECCIÓN</w:t>
      </w:r>
    </w:p>
    <w:p w:rsidR="00000000" w:rsidRDefault="00000000">
      <w:pPr>
        <w:spacing w:after="240"/>
        <w:rPr>
          <w:b/>
          <w:bCs/>
          <w:lang w:val="es-ES_tradnl"/>
        </w:rPr>
      </w:pPr>
      <w:r>
        <w:rPr>
          <w:b/>
          <w:bCs/>
          <w:lang w:val="es-ES_tradnl"/>
        </w:rPr>
        <w:t>Artículos 22 y 38</w:t>
      </w:r>
    </w:p>
    <w:p w:rsidR="00000000" w:rsidRDefault="00000000">
      <w:pPr>
        <w:spacing w:after="240"/>
        <w:ind w:firstLine="567"/>
        <w:rPr>
          <w:b/>
          <w:bCs/>
          <w:lang w:val="es-ES_tradnl"/>
        </w:rPr>
      </w:pPr>
      <w:r>
        <w:rPr>
          <w:b/>
          <w:bCs/>
          <w:lang w:val="es-ES_tradnl"/>
        </w:rPr>
        <w:t>Niños refugiados y niños en conflictos armados</w:t>
      </w:r>
    </w:p>
    <w:p w:rsidR="00000000" w:rsidRDefault="00000000">
      <w:pPr>
        <w:spacing w:after="240"/>
        <w:rPr>
          <w:lang w:val="es-ES_tradnl"/>
        </w:rPr>
      </w:pPr>
      <w:r>
        <w:rPr>
          <w:lang w:val="es-ES_tradnl"/>
        </w:rPr>
        <w:t>100.</w:t>
      </w:r>
      <w:r>
        <w:rPr>
          <w:lang w:val="es-ES_tradnl"/>
        </w:rPr>
        <w:tab/>
        <w:t>En San Marino no hay niños que se encuentren en ninguna de esas situaciones.</w:t>
      </w:r>
    </w:p>
    <w:p w:rsidR="00000000" w:rsidRDefault="00000000">
      <w:pPr>
        <w:keepNext/>
        <w:keepLines/>
        <w:spacing w:after="240"/>
        <w:rPr>
          <w:b/>
          <w:bCs/>
          <w:lang w:val="es-ES_tradnl"/>
        </w:rPr>
      </w:pPr>
      <w:r>
        <w:rPr>
          <w:b/>
          <w:bCs/>
          <w:lang w:val="es-ES_tradnl"/>
        </w:rPr>
        <w:t>Artículo 40</w:t>
      </w:r>
    </w:p>
    <w:p w:rsidR="00000000" w:rsidRDefault="00000000">
      <w:pPr>
        <w:keepNext/>
        <w:keepLines/>
        <w:spacing w:after="240"/>
        <w:ind w:firstLine="567"/>
        <w:rPr>
          <w:b/>
          <w:bCs/>
          <w:lang w:val="es-ES_tradnl"/>
        </w:rPr>
      </w:pPr>
      <w:r>
        <w:rPr>
          <w:b/>
          <w:bCs/>
          <w:lang w:val="es-ES_tradnl"/>
        </w:rPr>
        <w:t>Derecho de los niños acusados de haber conculcado el derecho penal</w:t>
      </w:r>
    </w:p>
    <w:p w:rsidR="00000000" w:rsidRDefault="00000000">
      <w:pPr>
        <w:keepNext/>
        <w:keepLines/>
        <w:spacing w:after="240"/>
        <w:rPr>
          <w:lang w:val="es-ES_tradnl"/>
        </w:rPr>
      </w:pPr>
      <w:r>
        <w:rPr>
          <w:lang w:val="es-ES_tradnl"/>
        </w:rPr>
        <w:t>101.</w:t>
      </w:r>
      <w:r>
        <w:rPr>
          <w:lang w:val="es-ES_tradnl"/>
        </w:rPr>
        <w:tab/>
        <w:t>Debido al pequeño tamaño del país en San Marino no existe ningún tribunal de menores.  Sin embargo, la ley establece penas menos severas en el caso de delitos cometidos por menores.  Cabe destacar que en el Código Penal de San Marino no se prevé la pena capital ni la cadena perpetua y que la pena máxima de prisión es de 30 años.</w:t>
      </w:r>
    </w:p>
    <w:p w:rsidR="00000000" w:rsidRDefault="00000000">
      <w:pPr>
        <w:spacing w:after="240"/>
        <w:rPr>
          <w:b/>
          <w:bCs/>
          <w:lang w:val="es-ES_tradnl"/>
        </w:rPr>
      </w:pPr>
      <w:r>
        <w:rPr>
          <w:b/>
          <w:bCs/>
          <w:lang w:val="es-ES_tradnl"/>
        </w:rPr>
        <w:t>Artículo 32</w:t>
      </w:r>
    </w:p>
    <w:p w:rsidR="00000000" w:rsidRDefault="00000000">
      <w:pPr>
        <w:spacing w:after="240"/>
        <w:ind w:firstLine="567"/>
        <w:rPr>
          <w:b/>
          <w:bCs/>
          <w:lang w:val="es-ES_tradnl"/>
        </w:rPr>
      </w:pPr>
      <w:r>
        <w:rPr>
          <w:b/>
          <w:bCs/>
          <w:lang w:val="es-ES_tradnl"/>
        </w:rPr>
        <w:t>Explotación económica de menores</w:t>
      </w:r>
    </w:p>
    <w:p w:rsidR="00000000" w:rsidRDefault="00000000">
      <w:pPr>
        <w:spacing w:after="240"/>
        <w:rPr>
          <w:lang w:val="es-ES_tradnl"/>
        </w:rPr>
      </w:pPr>
      <w:r>
        <w:rPr>
          <w:lang w:val="es-ES_tradnl"/>
        </w:rPr>
        <w:t>102.</w:t>
      </w:r>
      <w:r>
        <w:rPr>
          <w:lang w:val="es-ES_tradnl"/>
        </w:rPr>
        <w:tab/>
        <w:t>Como ya se ha mencionado, en San Marino la edad mínima para poder trabajar está fijada en 16 años.  La ley prevé una serie de excepciones en el caso de trabajos de verano que pueden llevar a cabo los menores que normalmente asisten a la escuela durante el invierno.</w:t>
      </w:r>
    </w:p>
    <w:p w:rsidR="00000000" w:rsidRDefault="00000000">
      <w:pPr>
        <w:spacing w:after="240"/>
        <w:rPr>
          <w:lang w:val="es-ES_tradnl"/>
        </w:rPr>
      </w:pPr>
      <w:r>
        <w:rPr>
          <w:lang w:val="es-ES_tradnl"/>
        </w:rPr>
        <w:t>103.</w:t>
      </w:r>
      <w:r>
        <w:rPr>
          <w:lang w:val="es-ES_tradnl"/>
        </w:rPr>
        <w:tab/>
        <w:t>No se ha señalado ningún caso de trabajo infantil.  Se previene esta práctica mediante las estrictas y frecuentes inspecciones que se llevan a cabo.  Además, debido a la prosperidad económica del país, los jóvenes no se ven obligados a buscar un trabajo antes de alcanzar la edad mínima requerida.</w:t>
      </w:r>
    </w:p>
    <w:p w:rsidR="00000000" w:rsidRDefault="00000000">
      <w:pPr>
        <w:spacing w:after="240"/>
        <w:rPr>
          <w:b/>
          <w:bCs/>
          <w:lang w:val="es-ES_tradnl"/>
        </w:rPr>
      </w:pPr>
      <w:r>
        <w:rPr>
          <w:b/>
          <w:bCs/>
          <w:lang w:val="es-ES_tradnl"/>
        </w:rPr>
        <w:t>Artículo 34</w:t>
      </w:r>
    </w:p>
    <w:p w:rsidR="00000000" w:rsidRDefault="00000000">
      <w:pPr>
        <w:spacing w:after="240"/>
        <w:ind w:firstLine="567"/>
        <w:rPr>
          <w:b/>
          <w:bCs/>
          <w:lang w:val="es-ES_tradnl"/>
        </w:rPr>
      </w:pPr>
      <w:r>
        <w:rPr>
          <w:b/>
          <w:bCs/>
          <w:lang w:val="es-ES_tradnl"/>
        </w:rPr>
        <w:t>Explotación y abuso sexual</w:t>
      </w:r>
    </w:p>
    <w:p w:rsidR="00000000" w:rsidRDefault="00000000">
      <w:pPr>
        <w:spacing w:after="240"/>
        <w:rPr>
          <w:u w:val="single"/>
          <w:lang w:val="es-ES_tradnl"/>
        </w:rPr>
      </w:pPr>
      <w:r>
        <w:rPr>
          <w:lang w:val="es-ES_tradnl"/>
        </w:rPr>
        <w:t>104.</w:t>
      </w:r>
      <w:r>
        <w:rPr>
          <w:lang w:val="es-ES_tradnl"/>
        </w:rPr>
        <w:tab/>
        <w:t xml:space="preserve">Véase </w:t>
      </w:r>
      <w:r>
        <w:rPr>
          <w:i/>
          <w:iCs/>
          <w:lang w:val="es-ES_tradnl"/>
        </w:rPr>
        <w:t>supra</w:t>
      </w:r>
      <w:r>
        <w:rPr>
          <w:lang w:val="es-ES_tradnl"/>
        </w:rPr>
        <w:t>.</w:t>
      </w:r>
    </w:p>
    <w:p w:rsidR="00000000" w:rsidRDefault="00000000">
      <w:pPr>
        <w:spacing w:after="240"/>
        <w:ind w:firstLine="567"/>
        <w:rPr>
          <w:b/>
          <w:bCs/>
          <w:lang w:val="es-ES_tradnl"/>
        </w:rPr>
      </w:pPr>
      <w:r>
        <w:rPr>
          <w:b/>
          <w:bCs/>
          <w:lang w:val="es-ES_tradnl"/>
        </w:rPr>
        <w:t>Otras formas de explotación</w:t>
      </w:r>
    </w:p>
    <w:p w:rsidR="00000000" w:rsidRDefault="00000000">
      <w:pPr>
        <w:spacing w:after="240"/>
        <w:rPr>
          <w:lang w:val="es-ES_tradnl"/>
        </w:rPr>
      </w:pPr>
      <w:r>
        <w:rPr>
          <w:lang w:val="es-ES_tradnl"/>
        </w:rPr>
        <w:t>105.</w:t>
      </w:r>
      <w:r>
        <w:rPr>
          <w:lang w:val="es-ES_tradnl"/>
        </w:rPr>
        <w:tab/>
        <w:t xml:space="preserve">Véase </w:t>
      </w:r>
      <w:r>
        <w:rPr>
          <w:i/>
          <w:iCs/>
          <w:lang w:val="es-ES_tradnl"/>
        </w:rPr>
        <w:t>supra</w:t>
      </w:r>
      <w:r>
        <w:rPr>
          <w:lang w:val="es-ES_tradnl"/>
        </w:rPr>
        <w:t>.</w:t>
      </w:r>
    </w:p>
    <w:p w:rsidR="00000000" w:rsidRDefault="00000000">
      <w:pPr>
        <w:spacing w:after="240"/>
        <w:rPr>
          <w:b/>
          <w:bCs/>
          <w:lang w:val="es-ES_tradnl"/>
        </w:rPr>
      </w:pPr>
      <w:r>
        <w:rPr>
          <w:b/>
          <w:bCs/>
          <w:lang w:val="es-ES_tradnl"/>
        </w:rPr>
        <w:t>Artículo 35</w:t>
      </w:r>
    </w:p>
    <w:p w:rsidR="00000000" w:rsidRDefault="00000000">
      <w:pPr>
        <w:spacing w:after="240"/>
        <w:ind w:firstLine="567"/>
        <w:rPr>
          <w:b/>
          <w:bCs/>
          <w:lang w:val="es-ES_tradnl"/>
        </w:rPr>
      </w:pPr>
      <w:r>
        <w:rPr>
          <w:b/>
          <w:bCs/>
          <w:lang w:val="es-ES_tradnl"/>
        </w:rPr>
        <w:t>Secuestro, venta o trata de niños</w:t>
      </w:r>
    </w:p>
    <w:p w:rsidR="00000000" w:rsidRDefault="00000000">
      <w:pPr>
        <w:spacing w:after="240"/>
        <w:rPr>
          <w:lang w:val="es-ES_tradnl"/>
        </w:rPr>
      </w:pPr>
      <w:r>
        <w:rPr>
          <w:lang w:val="es-ES_tradnl"/>
        </w:rPr>
        <w:t>106.</w:t>
      </w:r>
      <w:r>
        <w:rPr>
          <w:lang w:val="es-ES_tradnl"/>
        </w:rPr>
        <w:tab/>
        <w:t xml:space="preserve">Véase </w:t>
      </w:r>
      <w:r>
        <w:rPr>
          <w:i/>
          <w:iCs/>
          <w:lang w:val="es-ES_tradnl"/>
        </w:rPr>
        <w:t>supra</w:t>
      </w:r>
      <w:r>
        <w:rPr>
          <w:lang w:val="es-ES_tradnl"/>
        </w:rPr>
        <w:t>.</w:t>
      </w:r>
    </w:p>
    <w:p w:rsidR="00000000" w:rsidRDefault="00000000">
      <w:pPr>
        <w:spacing w:after="240"/>
        <w:rPr>
          <w:b/>
          <w:bCs/>
          <w:lang w:val="es-ES_tradnl"/>
        </w:rPr>
      </w:pPr>
      <w:r>
        <w:rPr>
          <w:b/>
          <w:bCs/>
          <w:lang w:val="es-ES_tradnl"/>
        </w:rPr>
        <w:t>Artículo 33</w:t>
      </w:r>
    </w:p>
    <w:p w:rsidR="00000000" w:rsidRDefault="00000000">
      <w:pPr>
        <w:spacing w:after="240"/>
        <w:ind w:firstLine="567"/>
        <w:rPr>
          <w:b/>
          <w:bCs/>
          <w:lang w:val="es-ES_tradnl"/>
        </w:rPr>
      </w:pPr>
      <w:r>
        <w:rPr>
          <w:b/>
          <w:bCs/>
          <w:lang w:val="es-ES_tradnl"/>
        </w:rPr>
        <w:t>Uso indebido de drogas</w:t>
      </w:r>
    </w:p>
    <w:p w:rsidR="00000000" w:rsidRDefault="00000000">
      <w:pPr>
        <w:spacing w:after="240"/>
        <w:rPr>
          <w:lang w:val="es-ES_tradnl"/>
        </w:rPr>
      </w:pPr>
      <w:r>
        <w:rPr>
          <w:lang w:val="es-ES_tradnl"/>
        </w:rPr>
        <w:t>107.</w:t>
      </w:r>
      <w:r>
        <w:rPr>
          <w:lang w:val="es-ES_tradnl"/>
        </w:rPr>
        <w:tab/>
        <w:t>La ley que se menciona más abajo se aplica a todas las personas sin distinción de edad, aunque en algunas disposiciones se hace referencia concreta a los menores.</w:t>
      </w:r>
    </w:p>
    <w:p w:rsidR="00000000" w:rsidRDefault="00000000">
      <w:pPr>
        <w:spacing w:after="240"/>
        <w:rPr>
          <w:lang w:val="es-ES_tradnl"/>
        </w:rPr>
      </w:pPr>
      <w:r>
        <w:rPr>
          <w:lang w:val="es-ES_tradnl"/>
        </w:rPr>
        <w:t>108.</w:t>
      </w:r>
      <w:r>
        <w:rPr>
          <w:lang w:val="es-ES_tradnl"/>
        </w:rPr>
        <w:tab/>
        <w:t>Esta cuestión está regulada en el Código Penal y por la Ley Nº 139 de 26 de noviembre de 1997, que complementa las disposiciones del Código Penal y del Código de Procedimiento Penal relativas a los delitos relacionados con las sustancias estupefacientes, las bebidas alcohólicas, las sustancias peligrosas o dañinas y las sustancias psicotrópicas.  En esa ley se han endurecido las penas por el uso indebido y el tráfico de esas sustancias.</w:t>
      </w:r>
    </w:p>
    <w:p w:rsidR="00000000" w:rsidRDefault="00000000">
      <w:pPr>
        <w:spacing w:after="240"/>
        <w:rPr>
          <w:lang w:val="es-ES_tradnl"/>
        </w:rPr>
      </w:pPr>
      <w:r>
        <w:rPr>
          <w:lang w:val="es-ES_tradnl"/>
        </w:rPr>
        <w:t>109.</w:t>
      </w:r>
      <w:r>
        <w:rPr>
          <w:lang w:val="es-ES_tradnl"/>
        </w:rPr>
        <w:tab/>
        <w:t>A fin de favorecer la recuperación y la reinserción del menor, en el artículo 5 de la ley antes mencionada se dispone que en todas las fases del procedimiento y después de la condena, todo reo o condenado puede acogerse a medidas de libertad provisional bajo la supervisión de personal capacitado y asistentes sociales.  El juez también puede recurrir a otras medidas, por ejemplo, la hospitalización o el internamiento en centros terapéuticos.</w:t>
      </w:r>
    </w:p>
    <w:p w:rsidR="00000000" w:rsidRDefault="00000000">
      <w:pPr>
        <w:spacing w:after="240"/>
        <w:rPr>
          <w:lang w:val="es-ES_tradnl"/>
        </w:rPr>
      </w:pPr>
      <w:r>
        <w:rPr>
          <w:lang w:val="es-ES_tradnl"/>
        </w:rPr>
        <w:t>110.</w:t>
      </w:r>
      <w:r>
        <w:rPr>
          <w:lang w:val="es-ES_tradnl"/>
        </w:rPr>
        <w:tab/>
        <w:t>Se imponen sanciones más severas a toda persona que administre o venda narcóticos a menores.</w:t>
      </w:r>
    </w:p>
    <w:p w:rsidR="00000000" w:rsidRDefault="00000000">
      <w:pPr>
        <w:spacing w:after="240"/>
        <w:rPr>
          <w:lang w:val="es-ES_tradnl"/>
        </w:rPr>
      </w:pPr>
      <w:r>
        <w:rPr>
          <w:lang w:val="es-ES_tradnl"/>
        </w:rPr>
        <w:t>111.</w:t>
      </w:r>
      <w:r>
        <w:rPr>
          <w:lang w:val="es-ES_tradnl"/>
        </w:rPr>
        <w:tab/>
        <w:t>El Servicio Neuropsiquiátrico y el Servicio de Menores del Instituto de la Seguridad Social son los encargados del tratamiento y la recuperación de los menores que consuman o hayan consumido estupefacientes.</w:t>
      </w:r>
    </w:p>
    <w:p w:rsidR="00000000" w:rsidRDefault="00000000">
      <w:pPr>
        <w:spacing w:after="240"/>
        <w:jc w:val="center"/>
        <w:rPr>
          <w:lang w:val="es-ES_tradnl"/>
        </w:rPr>
      </w:pPr>
      <w:r>
        <w:rPr>
          <w:lang w:val="es-ES_tradnl"/>
        </w:rPr>
        <w:t>-----</w:t>
      </w:r>
    </w:p>
    <w:sectPr w:rsidR="00000000">
      <w:headerReference w:type="even" r:id="rId27"/>
      <w:headerReference w:type="default" r:id="rId28"/>
      <w:pgSz w:w="11906" w:h="16838" w:code="9"/>
      <w:pgMar w:top="1701" w:right="851" w:bottom="1985" w:left="1701" w:header="851"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z w:val="20"/>
      </w:rPr>
      <w:pict>
        <v:shapetype id="_x0000_t202" coordsize="21600,21600" o:spt="202" path="m,l,21600r21600,l21600,xe">
          <v:stroke joinstyle="miter"/>
          <v:path gradientshapeok="t" o:connecttype="rect"/>
        </v:shapetype>
        <v:shape id="_x0000_s2049" type="#_x0000_t202" style="position:absolute;margin-left:671.75pt;margin-top:-207.1pt;width:35pt;height:99pt;z-index:1" filled="f" stroked="f">
          <v:textbox style="layout-flow:vertical" inset="0,0,0,0">
            <w:txbxContent>
              <w:p w:rsidR="00000000" w:rsidRDefault="00000000">
                <w:pPr>
                  <w:rPr>
                    <w:lang w:val="en-GB"/>
                  </w:rPr>
                </w:pPr>
                <w:r>
                  <w:rPr>
                    <w:lang w:val="en-GB"/>
                  </w:rPr>
                  <w:t>CRC/C/8/Add.46</w:t>
                </w:r>
              </w:p>
              <w:p w:rsidR="00000000" w:rsidRDefault="00000000">
                <w:r>
                  <w:t xml:space="preserve">página </w:t>
                </w:r>
                <w:r>
                  <w:fldChar w:fldCharType="begin"/>
                </w:r>
                <w:r>
                  <w:instrText xml:space="preserve"> PAGE  \* MERGEFORMAT </w:instrText>
                </w:r>
                <w:r>
                  <w:fldChar w:fldCharType="separate"/>
                </w:r>
                <w:r>
                  <w:rPr>
                    <w:noProof/>
                  </w:rPr>
                  <w:t>27</w:t>
                </w:r>
                <w:r>
                  <w:fldChar w:fldCharType="end"/>
                </w:r>
              </w:p>
            </w:txbxContent>
          </v:textbox>
          <w10:anchorlock/>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CRC/C/8/Add.46</w:t>
    </w:r>
  </w:p>
  <w:p w:rsidR="00000000" w:rsidRDefault="00000000">
    <w:pPr>
      <w:pStyle w:val="Header"/>
      <w:rPr>
        <w:lang w:val="en-GB"/>
      </w:rPr>
    </w:pPr>
    <w:r>
      <w:rPr>
        <w:lang w:val="en-GB"/>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CRC/C/8/Add.46</w:t>
    </w:r>
  </w:p>
  <w:p w:rsidR="00000000" w:rsidRDefault="00000000">
    <w:pPr>
      <w:pStyle w:val="Header"/>
    </w:pPr>
    <w:r>
      <w:t xml:space="preserve">página </w:t>
    </w:r>
    <w:r>
      <w:fldChar w:fldCharType="begin"/>
    </w:r>
    <w:r>
      <w:instrText xml:space="preserve"> PAGE  \* MERGEFORMAT </w:instrText>
    </w:r>
    <w:r>
      <w:fldChar w:fldCharType="separate"/>
    </w:r>
    <w:r>
      <w:rPr>
        <w:noProof/>
      </w:rPr>
      <w:t>28</w:t>
    </w:r>
    <w: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60"/>
      </w:tabs>
      <w:rPr>
        <w:lang w:val="en-GB"/>
      </w:rPr>
    </w:pPr>
    <w:r>
      <w:tab/>
    </w:r>
    <w:r>
      <w:rPr>
        <w:lang w:val="en-GB"/>
      </w:rPr>
      <w:t>CRC/C/8/Add.46</w:t>
    </w:r>
  </w:p>
  <w:p w:rsidR="00000000" w:rsidRDefault="00000000">
    <w:pPr>
      <w:tabs>
        <w:tab w:val="left" w:pos="7560"/>
      </w:tabs>
    </w:pPr>
    <w:r>
      <w:rPr>
        <w:lang w:val="en-GB"/>
      </w:rPr>
      <w:tab/>
    </w:r>
    <w:r>
      <w:t xml:space="preserve">página </w:t>
    </w:r>
    <w:r>
      <w:fldChar w:fldCharType="begin"/>
    </w:r>
    <w:r>
      <w:instrText xml:space="preserve"> PAGE  \* MERGEFORMAT </w:instrText>
    </w:r>
    <w:r>
      <w:fldChar w:fldCharType="separate"/>
    </w:r>
    <w:r>
      <w:rPr>
        <w:noProof/>
      </w:rPr>
      <w:t>27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9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tabs>
        <w:tab w:val="center" w:pos="4819"/>
      </w:tabs>
      <w:suppressAutoHyphens/>
      <w:spacing w:line="360" w:lineRule="auto"/>
      <w:jc w:val="center"/>
      <w:outlineLvl w:val="0"/>
    </w:pPr>
    <w:rPr>
      <w:spacing w:val="-2"/>
      <w:szCs w:val="20"/>
      <w:u w:val="single"/>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 w:type="character" w:styleId="FootnoteReference">
    <w:name w:val="foot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wmf"/><Relationship Id="rId18" Type="http://schemas.openxmlformats.org/officeDocument/2006/relationships/oleObject" Target="embeddings/Microsoft_Excel_Chart4.xls"/><Relationship Id="rId26" Type="http://schemas.openxmlformats.org/officeDocument/2006/relationships/oleObject" Target="embeddings/Microsoft_Excel_Chart8.xls"/><Relationship Id="rId3" Type="http://schemas.openxmlformats.org/officeDocument/2006/relationships/webSettings" Target="webSettings.xml"/><Relationship Id="rId21" Type="http://schemas.openxmlformats.org/officeDocument/2006/relationships/image" Target="media/image7.wmf"/><Relationship Id="rId7" Type="http://schemas.openxmlformats.org/officeDocument/2006/relationships/oleObject" Target="embeddings/oleObject1.bin"/><Relationship Id="rId12" Type="http://schemas.openxmlformats.org/officeDocument/2006/relationships/header" Target="header2.xml"/><Relationship Id="rId17" Type="http://schemas.openxmlformats.org/officeDocument/2006/relationships/image" Target="media/image5.wmf"/><Relationship Id="rId25" Type="http://schemas.openxmlformats.org/officeDocument/2006/relationships/image" Target="media/image9.wmf"/><Relationship Id="rId2" Type="http://schemas.openxmlformats.org/officeDocument/2006/relationships/settings" Target="settings.xml"/><Relationship Id="rId16" Type="http://schemas.openxmlformats.org/officeDocument/2006/relationships/oleObject" Target="embeddings/Microsoft_Excel_97-2003_Worksheet3.xls"/><Relationship Id="rId20" Type="http://schemas.openxmlformats.org/officeDocument/2006/relationships/oleObject" Target="embeddings/Microsoft_Excel_Chart5.xls"/><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oleObject" Target="embeddings/Microsoft_Excel_97-2003_Worksheet1.xls"/><Relationship Id="rId24" Type="http://schemas.openxmlformats.org/officeDocument/2006/relationships/oleObject" Target="embeddings/Microsoft_Excel_Chart7.xls"/><Relationship Id="rId5" Type="http://schemas.openxmlformats.org/officeDocument/2006/relationships/endnotes" Target="endnotes.xml"/><Relationship Id="rId15" Type="http://schemas.openxmlformats.org/officeDocument/2006/relationships/image" Target="media/image4.wmf"/><Relationship Id="rId23" Type="http://schemas.openxmlformats.org/officeDocument/2006/relationships/image" Target="media/image8.wmf"/><Relationship Id="rId28" Type="http://schemas.openxmlformats.org/officeDocument/2006/relationships/header" Target="header4.xml"/><Relationship Id="rId10" Type="http://schemas.openxmlformats.org/officeDocument/2006/relationships/image" Target="media/image2.wmf"/><Relationship Id="rId19" Type="http://schemas.openxmlformats.org/officeDocument/2006/relationships/image" Target="media/image6.wmf"/><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oleObject" Target="embeddings/Microsoft_Excel_97-2003_Worksheet2.xls"/><Relationship Id="rId22" Type="http://schemas.openxmlformats.org/officeDocument/2006/relationships/oleObject" Target="embeddings/Microsoft_Excel_Chart6.xls"/><Relationship Id="rId27" Type="http://schemas.openxmlformats.org/officeDocument/2006/relationships/header" Target="header3.xm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28</Pages>
  <Words>7146</Words>
  <Characters>40734</Characters>
  <Application>Microsoft Office Word</Application>
  <DocSecurity>4</DocSecurity>
  <Lines>339</Lines>
  <Paragraphs>81</Paragraphs>
  <ScaleCrop>false</ScaleCrop>
  <HeadingPairs>
    <vt:vector size="2" baseType="variant">
      <vt:variant>
        <vt:lpstr>Título</vt:lpstr>
      </vt:variant>
      <vt:variant>
        <vt:i4>1</vt:i4>
      </vt:variant>
    </vt:vector>
  </HeadingPairs>
  <TitlesOfParts>
    <vt:vector size="1" baseType="lpstr">
      <vt:lpstr>CRC/C/8/Add.46;  03-40786</vt:lpstr>
    </vt:vector>
  </TitlesOfParts>
  <Company>ONU</Company>
  <LinksUpToDate>false</LinksUpToDate>
  <CharactersWithSpaces>50024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CRC/C/8/Add.46;  03-40786</dc:title>
  <dc:subject/>
  <dc:creator>Mari Tere</dc:creator>
  <cp:keywords/>
  <dc:description/>
  <cp:lastModifiedBy>CSD</cp:lastModifiedBy>
  <cp:revision>2</cp:revision>
  <cp:lastPrinted>2003-04-09T15:43:00Z</cp:lastPrinted>
  <dcterms:created xsi:type="dcterms:W3CDTF">2003-04-09T15:45:00Z</dcterms:created>
  <dcterms:modified xsi:type="dcterms:W3CDTF">2003-04-09T15:45:00Z</dcterms:modified>
</cp:coreProperties>
</file>