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napToGrid/>
          <w:lang w:val="zh-CN"/>
        </w:rPr>
      </w:pPr>
      <w:r>
        <w:rPr>
          <w:rFonts w:hint="eastAsia"/>
          <w:snapToGrid/>
          <w:lang w:val="zh-CN"/>
        </w:rPr>
        <w:t>经济、社会、文化权利委员会</w:t>
      </w:r>
    </w:p>
    <w:p w:rsidR="00000000" w:rsidRDefault="00000000">
      <w:pPr>
        <w:rPr>
          <w:snapToGrid/>
          <w:lang w:val="zh-CN"/>
        </w:rPr>
      </w:pPr>
      <w:r>
        <w:rPr>
          <w:rFonts w:hint="eastAsia"/>
          <w:snapToGrid/>
          <w:lang w:val="zh-CN"/>
        </w:rPr>
        <w:t>第三十三届会议</w:t>
      </w:r>
    </w:p>
    <w:p w:rsidR="00000000" w:rsidRDefault="00000000">
      <w:pPr>
        <w:spacing w:after="480"/>
        <w:rPr>
          <w:snapToGrid/>
          <w:lang w:val="zh-CN"/>
        </w:rPr>
      </w:pPr>
      <w:r>
        <w:rPr>
          <w:snapToGrid/>
          <w:lang w:val="zh-CN"/>
        </w:rPr>
        <w:t>2004</w:t>
      </w:r>
      <w:r>
        <w:rPr>
          <w:rFonts w:hint="eastAsia"/>
          <w:snapToGrid/>
          <w:lang w:val="zh-CN"/>
        </w:rPr>
        <w:t>年</w:t>
      </w:r>
      <w:r>
        <w:rPr>
          <w:snapToGrid/>
          <w:lang w:val="zh-CN"/>
        </w:rPr>
        <w:t>11</w:t>
      </w:r>
      <w:r>
        <w:rPr>
          <w:rFonts w:hint="eastAsia"/>
          <w:snapToGrid/>
          <w:lang w:val="zh-CN"/>
        </w:rPr>
        <w:t>月</w:t>
      </w:r>
      <w:r>
        <w:rPr>
          <w:snapToGrid/>
          <w:lang w:val="zh-CN"/>
        </w:rPr>
        <w:t>8</w:t>
      </w:r>
      <w:r>
        <w:rPr>
          <w:rFonts w:hint="eastAsia"/>
          <w:snapToGrid/>
          <w:lang w:val="zh-CN"/>
        </w:rPr>
        <w:t>日至</w:t>
      </w:r>
      <w:r>
        <w:rPr>
          <w:snapToGrid/>
          <w:lang w:val="zh-CN"/>
        </w:rPr>
        <w:t>26</w:t>
      </w:r>
      <w:r>
        <w:rPr>
          <w:rFonts w:hint="eastAsia"/>
          <w:snapToGrid/>
          <w:lang w:val="zh-CN"/>
        </w:rPr>
        <w:t>日</w:t>
      </w:r>
    </w:p>
    <w:p w:rsidR="00000000" w:rsidRDefault="00000000">
      <w:pPr>
        <w:pStyle w:val="Heading2"/>
        <w:spacing w:before="360"/>
        <w:ind w:firstLine="510"/>
        <w:rPr>
          <w:snapToGrid/>
          <w:kern w:val="0"/>
          <w:szCs w:val="28"/>
          <w:lang w:val="zh-CN"/>
        </w:rPr>
      </w:pPr>
      <w:r>
        <w:rPr>
          <w:rFonts w:hint="eastAsia"/>
          <w:snapToGrid/>
          <w:kern w:val="0"/>
          <w:lang w:val="zh-CN"/>
        </w:rPr>
        <w:t>审议缔约国根据《公约》第十六条和</w:t>
      </w:r>
      <w:r>
        <w:rPr>
          <w:snapToGrid/>
          <w:kern w:val="0"/>
        </w:rPr>
        <w:br/>
      </w:r>
      <w:r>
        <w:rPr>
          <w:rFonts w:hint="eastAsia"/>
          <w:snapToGrid/>
          <w:kern w:val="0"/>
          <w:szCs w:val="28"/>
          <w:lang w:val="zh-CN"/>
        </w:rPr>
        <w:t>第十七条提交的报告</w:t>
      </w:r>
    </w:p>
    <w:p w:rsidR="00000000" w:rsidRDefault="00000000">
      <w:pPr>
        <w:pStyle w:val="Heading3"/>
        <w:ind w:firstLine="510"/>
        <w:rPr>
          <w:snapToGrid/>
          <w:kern w:val="0"/>
          <w:lang w:val="zh-CN"/>
        </w:rPr>
      </w:pPr>
      <w:r>
        <w:rPr>
          <w:rFonts w:hint="eastAsia"/>
          <w:snapToGrid/>
          <w:kern w:val="0"/>
          <w:lang w:val="zh-CN"/>
        </w:rPr>
        <w:t>经济、社会、文化权利委员会的结论性意见</w:t>
      </w:r>
    </w:p>
    <w:p w:rsidR="00000000" w:rsidRDefault="00000000">
      <w:pPr>
        <w:pStyle w:val="Heading3"/>
        <w:ind w:firstLine="510"/>
        <w:rPr>
          <w:rFonts w:ascii="Time New Roman" w:eastAsia="SimHei" w:hAnsi="Time New Roman"/>
          <w:snapToGrid/>
          <w:kern w:val="0"/>
          <w:u w:val="none"/>
          <w:lang w:val="zh-CN"/>
        </w:rPr>
      </w:pPr>
      <w:r>
        <w:rPr>
          <w:rFonts w:ascii="Time New Roman" w:eastAsia="SimHei" w:hAnsi="Time New Roman" w:hint="eastAsia"/>
          <w:snapToGrid/>
          <w:kern w:val="0"/>
          <w:u w:val="none"/>
          <w:lang w:val="zh-CN"/>
        </w:rPr>
        <w:t>意大利</w:t>
      </w:r>
    </w:p>
    <w:p w:rsidR="00000000" w:rsidRDefault="00000000">
      <w:pPr>
        <w:spacing w:after="320"/>
        <w:rPr>
          <w:snapToGrid/>
          <w:lang w:val="zh-CN"/>
        </w:rPr>
      </w:pPr>
      <w:r>
        <w:rPr>
          <w:snapToGrid/>
        </w:rPr>
        <w:tab/>
      </w:r>
      <w:r>
        <w:rPr>
          <w:snapToGrid/>
          <w:lang w:val="zh-CN"/>
        </w:rPr>
        <w:t xml:space="preserve">1.  </w:t>
      </w:r>
      <w:r>
        <w:rPr>
          <w:rFonts w:hint="eastAsia"/>
          <w:snapToGrid/>
          <w:lang w:val="zh-CN"/>
        </w:rPr>
        <w:t>经济、社会、文化权利委员会在</w:t>
      </w:r>
      <w:r>
        <w:rPr>
          <w:snapToGrid/>
          <w:lang w:val="zh-CN"/>
        </w:rPr>
        <w:t>2004</w:t>
      </w:r>
      <w:r>
        <w:rPr>
          <w:rFonts w:hint="eastAsia"/>
          <w:snapToGrid/>
          <w:lang w:val="zh-CN"/>
        </w:rPr>
        <w:t>年</w:t>
      </w:r>
      <w:r>
        <w:rPr>
          <w:snapToGrid/>
          <w:lang w:val="zh-CN"/>
        </w:rPr>
        <w:t>11</w:t>
      </w:r>
      <w:r>
        <w:rPr>
          <w:rFonts w:hint="eastAsia"/>
          <w:snapToGrid/>
          <w:lang w:val="zh-CN"/>
        </w:rPr>
        <w:t>月</w:t>
      </w:r>
      <w:r>
        <w:rPr>
          <w:snapToGrid/>
          <w:lang w:val="zh-CN"/>
        </w:rPr>
        <w:t>15</w:t>
      </w:r>
      <w:r>
        <w:rPr>
          <w:rFonts w:hint="eastAsia"/>
          <w:snapToGrid/>
          <w:lang w:val="zh-CN"/>
        </w:rPr>
        <w:t>日和</w:t>
      </w:r>
      <w:r>
        <w:rPr>
          <w:snapToGrid/>
          <w:lang w:val="zh-CN"/>
        </w:rPr>
        <w:t>16</w:t>
      </w:r>
      <w:r>
        <w:rPr>
          <w:rFonts w:hint="eastAsia"/>
          <w:snapToGrid/>
          <w:lang w:val="zh-CN"/>
        </w:rPr>
        <w:t>日举行的第</w:t>
      </w:r>
      <w:r>
        <w:rPr>
          <w:snapToGrid/>
          <w:lang w:val="zh-CN"/>
        </w:rPr>
        <w:t>38</w:t>
      </w:r>
      <w:r>
        <w:rPr>
          <w:rFonts w:hint="eastAsia"/>
          <w:snapToGrid/>
          <w:lang w:val="zh-CN"/>
        </w:rPr>
        <w:t>、</w:t>
      </w:r>
      <w:r>
        <w:rPr>
          <w:snapToGrid/>
          <w:lang w:val="zh-CN"/>
        </w:rPr>
        <w:t>39</w:t>
      </w:r>
      <w:r>
        <w:rPr>
          <w:rFonts w:hint="eastAsia"/>
          <w:snapToGrid/>
          <w:lang w:val="zh-CN"/>
        </w:rPr>
        <w:t>和</w:t>
      </w:r>
      <w:r>
        <w:rPr>
          <w:snapToGrid/>
          <w:lang w:val="zh-CN"/>
        </w:rPr>
        <w:t>40</w:t>
      </w:r>
      <w:r>
        <w:rPr>
          <w:rFonts w:hint="eastAsia"/>
          <w:snapToGrid/>
          <w:lang w:val="zh-CN"/>
        </w:rPr>
        <w:t>次会议</w:t>
      </w:r>
      <w:r>
        <w:rPr>
          <w:snapToGrid/>
          <w:lang w:val="zh-CN"/>
        </w:rPr>
        <w:t>(E/C.12/2004/SR.38-40)</w:t>
      </w:r>
      <w:r>
        <w:rPr>
          <w:rFonts w:hint="eastAsia"/>
          <w:snapToGrid/>
          <w:lang w:val="zh-CN"/>
        </w:rPr>
        <w:t>上，审议了意大利关于《经济、社会、文化权利国际公约》执行情况的第四次定期报告</w:t>
      </w:r>
      <w:r>
        <w:rPr>
          <w:snapToGrid/>
          <w:lang w:val="zh-CN"/>
        </w:rPr>
        <w:t>(E/C.12/4/Add.13)</w:t>
      </w:r>
      <w:r>
        <w:rPr>
          <w:rFonts w:hint="eastAsia"/>
          <w:snapToGrid/>
          <w:lang w:val="zh-CN"/>
        </w:rPr>
        <w:t>，并于</w:t>
      </w:r>
      <w:r>
        <w:rPr>
          <w:snapToGrid/>
          <w:lang w:val="zh-CN"/>
        </w:rPr>
        <w:t>2004</w:t>
      </w:r>
      <w:r>
        <w:rPr>
          <w:rFonts w:hint="eastAsia"/>
          <w:snapToGrid/>
          <w:lang w:val="zh-CN"/>
        </w:rPr>
        <w:t>年</w:t>
      </w:r>
      <w:r>
        <w:rPr>
          <w:snapToGrid/>
          <w:lang w:val="zh-CN"/>
        </w:rPr>
        <w:t>11</w:t>
      </w:r>
      <w:r>
        <w:rPr>
          <w:rFonts w:hint="eastAsia"/>
          <w:snapToGrid/>
          <w:lang w:val="zh-CN"/>
        </w:rPr>
        <w:t>月</w:t>
      </w:r>
      <w:r>
        <w:rPr>
          <w:snapToGrid/>
          <w:lang w:val="zh-CN"/>
        </w:rPr>
        <w:t>26</w:t>
      </w:r>
      <w:r>
        <w:rPr>
          <w:rFonts w:hint="eastAsia"/>
          <w:snapToGrid/>
          <w:lang w:val="zh-CN"/>
        </w:rPr>
        <w:t>日举行的第</w:t>
      </w:r>
      <w:r>
        <w:rPr>
          <w:snapToGrid/>
          <w:lang w:val="zh-CN"/>
        </w:rPr>
        <w:t>56</w:t>
      </w:r>
      <w:r>
        <w:rPr>
          <w:rFonts w:hint="eastAsia"/>
          <w:snapToGrid/>
          <w:lang w:val="zh-CN"/>
        </w:rPr>
        <w:t>次会议</w:t>
      </w:r>
      <w:r>
        <w:rPr>
          <w:snapToGrid/>
          <w:lang w:val="zh-CN"/>
        </w:rPr>
        <w:t>(E/C.12/2004/SR.56)</w:t>
      </w:r>
      <w:r>
        <w:rPr>
          <w:rFonts w:hint="eastAsia"/>
          <w:snapToGrid/>
          <w:lang w:val="zh-CN"/>
        </w:rPr>
        <w:t>上通过了以下结论性意见。</w:t>
      </w:r>
    </w:p>
    <w:p w:rsidR="00000000" w:rsidRDefault="00000000">
      <w:pPr>
        <w:pStyle w:val="Heading3"/>
        <w:rPr>
          <w:snapToGrid/>
          <w:kern w:val="0"/>
          <w:lang w:val="zh-CN"/>
        </w:rPr>
      </w:pPr>
      <w:r>
        <w:rPr>
          <w:snapToGrid/>
          <w:kern w:val="0"/>
          <w:u w:val="none"/>
          <w:lang w:val="zh-CN"/>
        </w:rPr>
        <w:t xml:space="preserve">A.  </w:t>
      </w:r>
      <w:r>
        <w:rPr>
          <w:rFonts w:hint="eastAsia"/>
          <w:snapToGrid/>
          <w:kern w:val="0"/>
          <w:lang w:val="zh-CN"/>
        </w:rPr>
        <w:t>导</w:t>
      </w:r>
      <w:r>
        <w:rPr>
          <w:snapToGrid/>
          <w:kern w:val="0"/>
          <w:lang w:val="zh-CN"/>
        </w:rPr>
        <w:t xml:space="preserve">  </w:t>
      </w:r>
      <w:r>
        <w:rPr>
          <w:rFonts w:hint="eastAsia"/>
          <w:snapToGrid/>
          <w:kern w:val="0"/>
          <w:lang w:val="zh-CN"/>
        </w:rPr>
        <w:t>言</w:t>
      </w:r>
    </w:p>
    <w:p w:rsidR="00000000" w:rsidRDefault="00000000">
      <w:pPr>
        <w:rPr>
          <w:rFonts w:hint="eastAsia"/>
          <w:snapToGrid/>
          <w:lang w:val="zh-CN"/>
        </w:rPr>
      </w:pPr>
      <w:r>
        <w:rPr>
          <w:snapToGrid/>
        </w:rPr>
        <w:tab/>
      </w:r>
      <w:r>
        <w:rPr>
          <w:snapToGrid/>
          <w:lang w:val="zh-CN"/>
        </w:rPr>
        <w:t xml:space="preserve">2.  </w:t>
      </w:r>
      <w:r>
        <w:rPr>
          <w:rFonts w:hint="eastAsia"/>
          <w:snapToGrid/>
          <w:lang w:val="zh-CN"/>
        </w:rPr>
        <w:t>委员会欢迎缔约国依照委员会的准则</w:t>
      </w:r>
      <w:r>
        <w:rPr>
          <w:rFonts w:hint="eastAsia"/>
          <w:snapToGrid/>
        </w:rPr>
        <w:t>而</w:t>
      </w:r>
      <w:r>
        <w:rPr>
          <w:rFonts w:hint="eastAsia"/>
          <w:snapToGrid/>
          <w:lang w:val="zh-CN"/>
        </w:rPr>
        <w:t>编写的第四次定期报告</w:t>
      </w:r>
      <w:r>
        <w:rPr>
          <w:snapToGrid/>
          <w:lang w:val="zh-CN"/>
        </w:rPr>
        <w:t>，</w:t>
      </w:r>
      <w:r>
        <w:rPr>
          <w:rFonts w:hint="eastAsia"/>
          <w:snapToGrid/>
          <w:lang w:val="zh-CN"/>
        </w:rPr>
        <w:t>并对问题清单得到的详尽书面答复表示赞赏。</w:t>
      </w:r>
    </w:p>
    <w:p w:rsidR="00000000" w:rsidRDefault="00000000">
      <w:pPr>
        <w:spacing w:after="320"/>
        <w:rPr>
          <w:snapToGrid/>
          <w:lang w:val="zh-CN"/>
        </w:rPr>
      </w:pPr>
      <w:r>
        <w:rPr>
          <w:rFonts w:hint="eastAsia"/>
          <w:snapToGrid/>
          <w:lang w:val="zh-CN"/>
        </w:rPr>
        <w:tab/>
      </w:r>
      <w:r>
        <w:rPr>
          <w:snapToGrid/>
          <w:lang w:val="zh-CN"/>
        </w:rPr>
        <w:t>3.</w:t>
      </w:r>
      <w:r>
        <w:rPr>
          <w:rFonts w:hint="eastAsia"/>
          <w:snapToGrid/>
          <w:lang w:val="zh-CN"/>
        </w:rPr>
        <w:t xml:space="preserve">  </w:t>
      </w:r>
      <w:r>
        <w:rPr>
          <w:rFonts w:hint="eastAsia"/>
          <w:snapToGrid/>
          <w:lang w:val="zh-CN"/>
        </w:rPr>
        <w:t>委员会欢迎与缔约国代表团进行的建设性对话</w:t>
      </w:r>
      <w:r>
        <w:rPr>
          <w:snapToGrid/>
          <w:lang w:val="zh-CN"/>
        </w:rPr>
        <w:t>，</w:t>
      </w:r>
      <w:r>
        <w:rPr>
          <w:rFonts w:hint="eastAsia"/>
          <w:snapToGrid/>
          <w:lang w:val="zh-CN"/>
        </w:rPr>
        <w:t>代表团成员包括在涉及《公约》的事务方面有专门知识的政府官员。</w:t>
      </w:r>
    </w:p>
    <w:p w:rsidR="00000000" w:rsidRDefault="00000000">
      <w:pPr>
        <w:pStyle w:val="Heading3"/>
        <w:rPr>
          <w:snapToGrid/>
          <w:kern w:val="0"/>
          <w:lang w:val="zh-CN"/>
        </w:rPr>
      </w:pPr>
      <w:r>
        <w:rPr>
          <w:snapToGrid/>
          <w:kern w:val="0"/>
          <w:u w:val="none"/>
          <w:lang w:val="zh-CN"/>
        </w:rPr>
        <w:t xml:space="preserve">B.  </w:t>
      </w:r>
      <w:r>
        <w:rPr>
          <w:rFonts w:hint="eastAsia"/>
          <w:snapToGrid/>
          <w:kern w:val="0"/>
          <w:lang w:val="zh-CN"/>
        </w:rPr>
        <w:t>积极方面</w:t>
      </w:r>
    </w:p>
    <w:p w:rsidR="00000000" w:rsidRDefault="00000000">
      <w:pPr>
        <w:rPr>
          <w:snapToGrid/>
          <w:lang w:val="zh-CN"/>
        </w:rPr>
      </w:pPr>
      <w:r>
        <w:rPr>
          <w:rFonts w:hint="eastAsia"/>
          <w:snapToGrid/>
          <w:lang w:val="zh-CN"/>
        </w:rPr>
        <w:tab/>
      </w:r>
      <w:r>
        <w:rPr>
          <w:snapToGrid/>
          <w:lang w:val="zh-CN"/>
        </w:rPr>
        <w:t>4.</w:t>
      </w:r>
      <w:r>
        <w:rPr>
          <w:rFonts w:hint="eastAsia"/>
          <w:snapToGrid/>
        </w:rPr>
        <w:t xml:space="preserve">  </w:t>
      </w:r>
      <w:r>
        <w:rPr>
          <w:rFonts w:hint="eastAsia"/>
          <w:snapToGrid/>
          <w:lang w:val="zh-CN"/>
        </w:rPr>
        <w:t>委员会赞赏地注意到该国</w:t>
      </w:r>
      <w:r>
        <w:rPr>
          <w:snapToGrid/>
          <w:lang w:val="zh-CN"/>
        </w:rPr>
        <w:t>2003</w:t>
      </w:r>
      <w:r>
        <w:rPr>
          <w:rFonts w:hint="eastAsia"/>
          <w:snapToGrid/>
          <w:lang w:val="zh-CN"/>
        </w:rPr>
        <w:t>年</w:t>
      </w:r>
      <w:r>
        <w:rPr>
          <w:snapToGrid/>
          <w:lang w:val="zh-CN"/>
        </w:rPr>
        <w:t>5</w:t>
      </w:r>
      <w:r>
        <w:rPr>
          <w:rFonts w:hint="eastAsia"/>
          <w:snapToGrid/>
          <w:lang w:val="zh-CN"/>
        </w:rPr>
        <w:t>月</w:t>
      </w:r>
      <w:r>
        <w:rPr>
          <w:snapToGrid/>
          <w:lang w:val="zh-CN"/>
        </w:rPr>
        <w:t>30</w:t>
      </w:r>
      <w:r>
        <w:rPr>
          <w:rFonts w:hint="eastAsia"/>
          <w:snapToGrid/>
          <w:lang w:val="zh-CN"/>
        </w:rPr>
        <w:t>日通过了修改意大利《宪法》第</w:t>
      </w:r>
      <w:r>
        <w:rPr>
          <w:snapToGrid/>
          <w:lang w:val="zh-CN"/>
        </w:rPr>
        <w:t>51</w:t>
      </w:r>
      <w:r>
        <w:rPr>
          <w:rFonts w:hint="eastAsia"/>
          <w:snapToGrid/>
          <w:lang w:val="zh-CN"/>
        </w:rPr>
        <w:t>条的法律，在执掌政治职位方面提出男女平等的原则。</w:t>
      </w:r>
    </w:p>
    <w:p w:rsidR="00000000" w:rsidRDefault="00000000">
      <w:pPr>
        <w:rPr>
          <w:b/>
          <w:snapToGrid/>
          <w:lang w:val="zh-CN"/>
        </w:rPr>
      </w:pPr>
      <w:r>
        <w:rPr>
          <w:rFonts w:hint="eastAsia"/>
          <w:snapToGrid/>
          <w:lang w:val="zh-CN"/>
        </w:rPr>
        <w:tab/>
      </w:r>
      <w:r>
        <w:rPr>
          <w:snapToGrid/>
          <w:lang w:val="zh-CN"/>
        </w:rPr>
        <w:t>5.</w:t>
      </w:r>
      <w:r>
        <w:rPr>
          <w:rFonts w:hint="eastAsia"/>
          <w:snapToGrid/>
        </w:rPr>
        <w:t xml:space="preserve">  </w:t>
      </w:r>
      <w:r>
        <w:rPr>
          <w:rFonts w:hint="eastAsia"/>
          <w:snapToGrid/>
          <w:lang w:val="zh-CN"/>
        </w:rPr>
        <w:t>委员会欢迎缔约国为打击人口贩运现象而采取的措施，其中包括</w:t>
      </w:r>
      <w:r>
        <w:rPr>
          <w:snapToGrid/>
          <w:lang w:val="zh-CN"/>
        </w:rPr>
        <w:t>2003</w:t>
      </w:r>
      <w:r>
        <w:rPr>
          <w:rFonts w:hint="eastAsia"/>
          <w:snapToGrid/>
          <w:lang w:val="zh-CN"/>
        </w:rPr>
        <w:t>年</w:t>
      </w:r>
      <w:r>
        <w:rPr>
          <w:snapToGrid/>
          <w:lang w:val="zh-CN"/>
        </w:rPr>
        <w:t>8</w:t>
      </w:r>
      <w:r>
        <w:rPr>
          <w:rFonts w:hint="eastAsia"/>
          <w:snapToGrid/>
          <w:lang w:val="zh-CN"/>
        </w:rPr>
        <w:t>月所通过关于人口贩运问题的第</w:t>
      </w:r>
      <w:r>
        <w:rPr>
          <w:snapToGrid/>
          <w:lang w:val="zh-CN"/>
        </w:rPr>
        <w:t>288/8</w:t>
      </w:r>
      <w:r>
        <w:rPr>
          <w:rFonts w:hint="eastAsia"/>
          <w:snapToGrid/>
          <w:lang w:val="zh-CN"/>
        </w:rPr>
        <w:t>号法律。</w:t>
      </w:r>
    </w:p>
    <w:p w:rsidR="00000000" w:rsidRDefault="00000000">
      <w:pPr>
        <w:ind w:firstLine="510"/>
        <w:rPr>
          <w:b/>
          <w:snapToGrid/>
        </w:rPr>
      </w:pPr>
      <w:r>
        <w:rPr>
          <w:snapToGrid/>
          <w:lang w:val="zh-CN"/>
        </w:rPr>
        <w:t>6.</w:t>
      </w:r>
      <w:r>
        <w:rPr>
          <w:rFonts w:hint="eastAsia"/>
          <w:snapToGrid/>
        </w:rPr>
        <w:t xml:space="preserve">  </w:t>
      </w:r>
      <w:r>
        <w:rPr>
          <w:rFonts w:hint="eastAsia"/>
          <w:snapToGrid/>
          <w:lang w:val="zh-CN"/>
        </w:rPr>
        <w:t>委员会赞赏地注意到</w:t>
      </w:r>
      <w:r>
        <w:rPr>
          <w:rFonts w:hint="eastAsia"/>
          <w:snapToGrid/>
        </w:rPr>
        <w:t>，</w:t>
      </w:r>
      <w:r>
        <w:rPr>
          <w:snapToGrid/>
        </w:rPr>
        <w:t>2004</w:t>
      </w:r>
      <w:r>
        <w:rPr>
          <w:rFonts w:hint="eastAsia"/>
          <w:snapToGrid/>
          <w:lang w:val="zh-CN"/>
        </w:rPr>
        <w:t>年</w:t>
      </w:r>
      <w:r>
        <w:rPr>
          <w:snapToGrid/>
        </w:rPr>
        <w:t>11</w:t>
      </w:r>
      <w:r>
        <w:rPr>
          <w:rFonts w:hint="eastAsia"/>
          <w:snapToGrid/>
          <w:lang w:val="zh-CN"/>
        </w:rPr>
        <w:t>月在机会均等部之下设立了全国消除种族歧视办事处</w:t>
      </w:r>
      <w:r>
        <w:rPr>
          <w:rFonts w:hint="eastAsia"/>
          <w:snapToGrid/>
        </w:rPr>
        <w:t>(</w:t>
      </w:r>
      <w:r>
        <w:rPr>
          <w:snapToGrid/>
        </w:rPr>
        <w:t>Ufficio Nazionale Antidicriminazione Razziali</w:t>
      </w:r>
      <w:r>
        <w:rPr>
          <w:rFonts w:hint="eastAsia"/>
          <w:snapToGrid/>
        </w:rPr>
        <w:t>)</w:t>
      </w:r>
      <w:r>
        <w:rPr>
          <w:rFonts w:hint="eastAsia"/>
          <w:snapToGrid/>
        </w:rPr>
        <w:t>，以促进平等和制止基于种族或祖裔的歧视。</w:t>
      </w:r>
    </w:p>
    <w:p w:rsidR="00000000" w:rsidRDefault="00000000">
      <w:pPr>
        <w:ind w:firstLine="510"/>
        <w:rPr>
          <w:rFonts w:hint="eastAsia"/>
          <w:b/>
          <w:snapToGrid/>
          <w:lang w:val="zh-CN"/>
        </w:rPr>
      </w:pPr>
      <w:r>
        <w:rPr>
          <w:snapToGrid/>
        </w:rPr>
        <w:t>7.</w:t>
      </w:r>
      <w:r>
        <w:rPr>
          <w:rFonts w:hint="eastAsia"/>
          <w:snapToGrid/>
        </w:rPr>
        <w:t xml:space="preserve">  </w:t>
      </w:r>
      <w:r>
        <w:rPr>
          <w:rFonts w:hint="eastAsia"/>
          <w:snapToGrid/>
          <w:lang w:val="zh-CN"/>
        </w:rPr>
        <w:t>委员会满意地注意到缔约国为减少失业所作的努力。</w:t>
      </w:r>
    </w:p>
    <w:p w:rsidR="00000000" w:rsidRDefault="00000000">
      <w:pPr>
        <w:ind w:firstLine="510"/>
        <w:rPr>
          <w:b/>
          <w:snapToGrid/>
          <w:lang w:val="zh-CN"/>
        </w:rPr>
      </w:pPr>
      <w:r>
        <w:rPr>
          <w:snapToGrid/>
          <w:lang w:val="zh-CN"/>
        </w:rPr>
        <w:t>8.</w:t>
      </w:r>
      <w:r>
        <w:rPr>
          <w:rFonts w:hint="eastAsia"/>
          <w:snapToGrid/>
        </w:rPr>
        <w:t xml:space="preserve">  </w:t>
      </w:r>
      <w:r>
        <w:rPr>
          <w:rFonts w:hint="eastAsia"/>
          <w:snapToGrid/>
          <w:lang w:val="zh-CN"/>
        </w:rPr>
        <w:t>委员会欢迎缔约国使</w:t>
      </w:r>
      <w:r>
        <w:rPr>
          <w:snapToGrid/>
          <w:lang w:val="zh-CN"/>
        </w:rPr>
        <w:t>700,000</w:t>
      </w:r>
      <w:r>
        <w:rPr>
          <w:rFonts w:hint="eastAsia"/>
          <w:snapToGrid/>
          <w:lang w:val="zh-CN"/>
        </w:rPr>
        <w:t>移民工人地位的改变有规章可循。</w:t>
      </w:r>
    </w:p>
    <w:p w:rsidR="00000000" w:rsidRDefault="00000000">
      <w:pPr>
        <w:ind w:firstLine="510"/>
        <w:rPr>
          <w:b/>
          <w:snapToGrid/>
          <w:lang w:val="zh-CN"/>
        </w:rPr>
      </w:pPr>
      <w:r>
        <w:rPr>
          <w:snapToGrid/>
          <w:lang w:val="zh-CN"/>
        </w:rPr>
        <w:t>9.</w:t>
      </w:r>
      <w:r>
        <w:rPr>
          <w:rFonts w:hint="eastAsia"/>
          <w:snapToGrid/>
        </w:rPr>
        <w:t xml:space="preserve">  </w:t>
      </w:r>
      <w:r>
        <w:rPr>
          <w:rFonts w:hint="eastAsia"/>
          <w:snapToGrid/>
          <w:lang w:val="zh-CN"/>
        </w:rPr>
        <w:t>委员会欢迎该国在前次报告至今的时期儿童死亡率持续下降的情况。</w:t>
      </w:r>
    </w:p>
    <w:p w:rsidR="00000000" w:rsidRDefault="00000000">
      <w:pPr>
        <w:ind w:firstLine="510"/>
        <w:rPr>
          <w:b/>
          <w:snapToGrid/>
          <w:lang w:val="zh-CN"/>
        </w:rPr>
      </w:pPr>
      <w:r>
        <w:rPr>
          <w:snapToGrid/>
          <w:lang w:val="zh-CN"/>
        </w:rPr>
        <w:t>10.</w:t>
      </w:r>
      <w:r>
        <w:rPr>
          <w:rFonts w:hint="eastAsia"/>
          <w:snapToGrid/>
        </w:rPr>
        <w:t xml:space="preserve">  </w:t>
      </w:r>
      <w:r>
        <w:rPr>
          <w:rFonts w:hint="eastAsia"/>
          <w:snapToGrid/>
          <w:lang w:val="zh-CN"/>
        </w:rPr>
        <w:t>委员会并欢迎《国家卫生计划</w:t>
      </w:r>
      <w:r>
        <w:rPr>
          <w:rFonts w:hint="eastAsia"/>
          <w:snapToGrid/>
          <w:lang w:val="zh-CN"/>
        </w:rPr>
        <w:t>(</w:t>
      </w:r>
      <w:r>
        <w:rPr>
          <w:snapToGrid/>
          <w:lang w:val="zh-CN"/>
        </w:rPr>
        <w:t>PSN</w:t>
      </w:r>
      <w:r>
        <w:rPr>
          <w:rFonts w:hint="eastAsia"/>
          <w:snapToGrid/>
          <w:lang w:val="zh-CN"/>
        </w:rPr>
        <w:t xml:space="preserve"> </w:t>
      </w:r>
      <w:r>
        <w:rPr>
          <w:snapToGrid/>
          <w:lang w:val="zh-CN"/>
        </w:rPr>
        <w:t>2003-2005</w:t>
      </w:r>
      <w:r>
        <w:rPr>
          <w:rFonts w:hint="eastAsia"/>
          <w:snapToGrid/>
          <w:lang w:val="zh-CN"/>
        </w:rPr>
        <w:t>)</w:t>
      </w:r>
      <w:r>
        <w:rPr>
          <w:rFonts w:hint="eastAsia"/>
          <w:snapToGrid/>
          <w:lang w:val="zh-CN"/>
        </w:rPr>
        <w:t>》涵盖的对象已扩大到非法移民，从而使其得以获得预防性医务治疗以及急救和基本治疗。</w:t>
      </w:r>
    </w:p>
    <w:p w:rsidR="00000000" w:rsidRDefault="00000000">
      <w:pPr>
        <w:spacing w:after="320"/>
        <w:ind w:firstLine="510"/>
        <w:rPr>
          <w:b/>
          <w:snapToGrid/>
          <w:lang w:val="zh-CN"/>
        </w:rPr>
      </w:pPr>
      <w:r>
        <w:rPr>
          <w:snapToGrid/>
          <w:lang w:val="zh-CN"/>
        </w:rPr>
        <w:t>11.</w:t>
      </w:r>
      <w:r>
        <w:rPr>
          <w:rFonts w:hint="eastAsia"/>
          <w:snapToGrid/>
        </w:rPr>
        <w:t xml:space="preserve">  </w:t>
      </w:r>
      <w:r>
        <w:rPr>
          <w:rFonts w:hint="eastAsia"/>
          <w:snapToGrid/>
          <w:lang w:val="zh-CN"/>
        </w:rPr>
        <w:t>委员会欢迎民间社会积极主动地参与《公约》的实施，包括向委员会提供了大量的资料。</w:t>
      </w:r>
    </w:p>
    <w:p w:rsidR="00000000" w:rsidRDefault="00000000">
      <w:pPr>
        <w:pStyle w:val="Heading3"/>
        <w:rPr>
          <w:snapToGrid/>
          <w:kern w:val="0"/>
          <w:lang w:val="zh-CN"/>
        </w:rPr>
      </w:pPr>
      <w:r>
        <w:rPr>
          <w:snapToGrid/>
          <w:kern w:val="0"/>
          <w:u w:val="none"/>
          <w:lang w:val="zh-CN"/>
        </w:rPr>
        <w:t xml:space="preserve">C.  </w:t>
      </w:r>
      <w:r>
        <w:rPr>
          <w:rFonts w:hint="eastAsia"/>
          <w:snapToGrid/>
          <w:kern w:val="0"/>
          <w:lang w:val="zh-CN"/>
        </w:rPr>
        <w:t>阻碍《公约》执行的因素和困难</w:t>
      </w:r>
    </w:p>
    <w:p w:rsidR="00000000" w:rsidRDefault="00000000">
      <w:pPr>
        <w:spacing w:after="320"/>
        <w:ind w:firstLine="510"/>
        <w:rPr>
          <w:b/>
          <w:snapToGrid/>
          <w:lang w:val="zh-CN"/>
        </w:rPr>
      </w:pPr>
      <w:r>
        <w:rPr>
          <w:snapToGrid/>
          <w:lang w:val="zh-CN"/>
        </w:rPr>
        <w:t>12.</w:t>
      </w:r>
      <w:r>
        <w:rPr>
          <w:rFonts w:hint="eastAsia"/>
          <w:snapToGrid/>
        </w:rPr>
        <w:t xml:space="preserve">  </w:t>
      </w:r>
      <w:r>
        <w:rPr>
          <w:rFonts w:hint="eastAsia"/>
          <w:snapToGrid/>
          <w:lang w:val="zh-CN"/>
        </w:rPr>
        <w:t>委员会注意到缔约国没有任何阻碍有效实施《公约》的重大因素或困难。</w:t>
      </w:r>
    </w:p>
    <w:p w:rsidR="00000000" w:rsidRDefault="00000000">
      <w:pPr>
        <w:pStyle w:val="Heading3"/>
        <w:rPr>
          <w:snapToGrid/>
          <w:kern w:val="0"/>
          <w:lang w:val="zh-CN"/>
        </w:rPr>
      </w:pPr>
      <w:r>
        <w:rPr>
          <w:snapToGrid/>
          <w:kern w:val="0"/>
          <w:u w:val="none"/>
          <w:lang w:val="zh-CN"/>
        </w:rPr>
        <w:t xml:space="preserve">D.  </w:t>
      </w:r>
      <w:r>
        <w:rPr>
          <w:rFonts w:hint="eastAsia"/>
          <w:snapToGrid/>
          <w:kern w:val="0"/>
          <w:lang w:val="zh-CN"/>
        </w:rPr>
        <w:t>主要关注的问题</w:t>
      </w:r>
    </w:p>
    <w:p w:rsidR="00000000" w:rsidRDefault="00000000">
      <w:pPr>
        <w:ind w:firstLine="510"/>
        <w:rPr>
          <w:b/>
          <w:snapToGrid/>
          <w:lang w:val="zh-CN"/>
        </w:rPr>
      </w:pPr>
      <w:r>
        <w:rPr>
          <w:snapToGrid/>
          <w:lang w:val="zh-CN"/>
        </w:rPr>
        <w:t>13.</w:t>
      </w:r>
      <w:r>
        <w:rPr>
          <w:rFonts w:hint="eastAsia"/>
          <w:snapToGrid/>
        </w:rPr>
        <w:t xml:space="preserve">  </w:t>
      </w:r>
      <w:r>
        <w:rPr>
          <w:rFonts w:hint="eastAsia"/>
          <w:snapToGrid/>
          <w:lang w:val="zh-CN"/>
        </w:rPr>
        <w:t>委员会关注到，缔约国仍然认为，有些经济、社会和文化权利，包括适当住房权，没有法律依据，因为这些权利对缔约国造成财政负担。在这一方面，委员会注意到援引《公约》的法院裁决很少。</w:t>
      </w:r>
    </w:p>
    <w:p w:rsidR="00000000" w:rsidRDefault="00000000">
      <w:pPr>
        <w:ind w:firstLine="510"/>
        <w:rPr>
          <w:b/>
          <w:snapToGrid/>
          <w:lang w:val="zh-CN"/>
        </w:rPr>
      </w:pPr>
      <w:r>
        <w:rPr>
          <w:snapToGrid/>
          <w:lang w:val="zh-CN"/>
        </w:rPr>
        <w:t>14.</w:t>
      </w:r>
      <w:r>
        <w:rPr>
          <w:rFonts w:hint="eastAsia"/>
          <w:snapToGrid/>
        </w:rPr>
        <w:t xml:space="preserve">  </w:t>
      </w:r>
      <w:r>
        <w:rPr>
          <w:rFonts w:hint="eastAsia"/>
          <w:snapToGrid/>
          <w:lang w:val="zh-CN"/>
        </w:rPr>
        <w:t>委员会关注到该国没有符合《巴黎原则》</w:t>
      </w:r>
      <w:r>
        <w:rPr>
          <w:rFonts w:hint="eastAsia"/>
          <w:snapToGrid/>
          <w:lang w:val="zh-CN"/>
        </w:rPr>
        <w:t>(</w:t>
      </w:r>
      <w:r>
        <w:rPr>
          <w:rFonts w:hint="eastAsia"/>
          <w:snapToGrid/>
          <w:lang w:val="zh-CN"/>
        </w:rPr>
        <w:t>大会</w:t>
      </w:r>
      <w:r>
        <w:rPr>
          <w:snapToGrid/>
          <w:lang w:val="zh-CN"/>
        </w:rPr>
        <w:t>1993</w:t>
      </w:r>
      <w:r>
        <w:rPr>
          <w:rFonts w:hint="eastAsia"/>
          <w:snapToGrid/>
          <w:lang w:val="zh-CN"/>
        </w:rPr>
        <w:t>年</w:t>
      </w:r>
      <w:r>
        <w:rPr>
          <w:snapToGrid/>
          <w:lang w:val="zh-CN"/>
        </w:rPr>
        <w:t>12</w:t>
      </w:r>
      <w:r>
        <w:rPr>
          <w:rFonts w:hint="eastAsia"/>
          <w:snapToGrid/>
          <w:lang w:val="zh-CN"/>
        </w:rPr>
        <w:t>月</w:t>
      </w:r>
      <w:r>
        <w:rPr>
          <w:snapToGrid/>
          <w:lang w:val="zh-CN"/>
        </w:rPr>
        <w:t>20</w:t>
      </w:r>
      <w:r>
        <w:rPr>
          <w:rFonts w:hint="eastAsia"/>
          <w:snapToGrid/>
          <w:lang w:val="zh-CN"/>
        </w:rPr>
        <w:t>日第</w:t>
      </w:r>
      <w:r>
        <w:rPr>
          <w:snapToGrid/>
          <w:lang w:val="zh-CN"/>
        </w:rPr>
        <w:t>48/134</w:t>
      </w:r>
      <w:r>
        <w:rPr>
          <w:rFonts w:hint="eastAsia"/>
          <w:snapToGrid/>
          <w:lang w:val="zh-CN"/>
        </w:rPr>
        <w:t>号决议附件</w:t>
      </w:r>
      <w:r>
        <w:rPr>
          <w:rFonts w:hint="eastAsia"/>
          <w:snapToGrid/>
          <w:lang w:val="zh-CN"/>
        </w:rPr>
        <w:t>)</w:t>
      </w:r>
      <w:r>
        <w:rPr>
          <w:rFonts w:hint="eastAsia"/>
          <w:snapToGrid/>
          <w:lang w:val="zh-CN"/>
        </w:rPr>
        <w:t>的独立全国性人权机构。委员会并关注到，该国可能倡议，使相关机构从属于总理或总统办公室的权责之下。</w:t>
      </w:r>
    </w:p>
    <w:p w:rsidR="00000000" w:rsidRDefault="00000000">
      <w:pPr>
        <w:ind w:firstLine="510"/>
        <w:rPr>
          <w:b/>
          <w:snapToGrid/>
          <w:lang w:val="zh-CN"/>
        </w:rPr>
      </w:pPr>
      <w:r>
        <w:rPr>
          <w:snapToGrid/>
          <w:lang w:val="zh-CN"/>
        </w:rPr>
        <w:t>15.</w:t>
      </w:r>
      <w:r>
        <w:rPr>
          <w:rFonts w:hint="eastAsia"/>
          <w:snapToGrid/>
        </w:rPr>
        <w:t xml:space="preserve">  </w:t>
      </w:r>
      <w:r>
        <w:rPr>
          <w:rFonts w:hint="eastAsia"/>
          <w:snapToGrid/>
          <w:lang w:val="zh-CN"/>
        </w:rPr>
        <w:t>委员会注意到缔约国承诺将官方发展援助</w:t>
      </w:r>
      <w:r>
        <w:rPr>
          <w:rFonts w:hint="eastAsia"/>
          <w:snapToGrid/>
          <w:lang w:val="zh-CN"/>
        </w:rPr>
        <w:t>(</w:t>
      </w:r>
      <w:r>
        <w:rPr>
          <w:rFonts w:hint="eastAsia"/>
          <w:snapToGrid/>
          <w:lang w:val="zh-CN"/>
        </w:rPr>
        <w:t>官发援</w:t>
      </w:r>
      <w:r>
        <w:rPr>
          <w:rFonts w:hint="eastAsia"/>
          <w:snapToGrid/>
          <w:lang w:val="zh-CN"/>
        </w:rPr>
        <w:t>)</w:t>
      </w:r>
      <w:r>
        <w:rPr>
          <w:rFonts w:hint="eastAsia"/>
          <w:snapToGrid/>
          <w:lang w:val="zh-CN"/>
        </w:rPr>
        <w:t>由目前国内生产总值的</w:t>
      </w:r>
      <w:r>
        <w:rPr>
          <w:snapToGrid/>
          <w:lang w:val="zh-CN"/>
        </w:rPr>
        <w:t>0.23%</w:t>
      </w:r>
      <w:r>
        <w:rPr>
          <w:rFonts w:hint="eastAsia"/>
          <w:snapToGrid/>
          <w:lang w:val="zh-CN"/>
        </w:rPr>
        <w:t>增加到</w:t>
      </w:r>
      <w:r>
        <w:rPr>
          <w:snapToGrid/>
          <w:lang w:val="zh-CN"/>
        </w:rPr>
        <w:t>2006</w:t>
      </w:r>
      <w:r>
        <w:rPr>
          <w:rFonts w:hint="eastAsia"/>
          <w:snapToGrid/>
          <w:lang w:val="zh-CN"/>
        </w:rPr>
        <w:t>年的</w:t>
      </w:r>
      <w:r>
        <w:rPr>
          <w:snapToGrid/>
          <w:lang w:val="zh-CN"/>
        </w:rPr>
        <w:t>0.33%</w:t>
      </w:r>
      <w:r>
        <w:rPr>
          <w:rFonts w:hint="eastAsia"/>
          <w:snapToGrid/>
          <w:lang w:val="zh-CN"/>
        </w:rPr>
        <w:t>，但表示关注，发展援助的数额仍然低于联合国所定国内生产总值</w:t>
      </w:r>
      <w:r>
        <w:rPr>
          <w:snapToGrid/>
          <w:lang w:val="zh-CN"/>
        </w:rPr>
        <w:t>0.7%</w:t>
      </w:r>
      <w:r>
        <w:rPr>
          <w:rFonts w:hint="eastAsia"/>
          <w:snapToGrid/>
          <w:lang w:val="zh-CN"/>
        </w:rPr>
        <w:t>的目标。</w:t>
      </w:r>
    </w:p>
    <w:p w:rsidR="00000000" w:rsidRDefault="00000000">
      <w:pPr>
        <w:ind w:firstLine="510"/>
        <w:rPr>
          <w:b/>
          <w:snapToGrid/>
          <w:lang w:val="zh-CN"/>
        </w:rPr>
      </w:pPr>
      <w:r>
        <w:rPr>
          <w:snapToGrid/>
          <w:lang w:val="zh-CN"/>
        </w:rPr>
        <w:t>16.</w:t>
      </w:r>
      <w:r>
        <w:rPr>
          <w:rFonts w:hint="eastAsia"/>
          <w:snapToGrid/>
        </w:rPr>
        <w:t xml:space="preserve">  </w:t>
      </w:r>
      <w:r>
        <w:rPr>
          <w:rFonts w:hint="eastAsia"/>
          <w:snapToGrid/>
          <w:lang w:val="zh-CN"/>
        </w:rPr>
        <w:t>尽管缔约国通过了各项措施以制止种族主义和种族歧视，委员会仍然关注到这些措施之实施有限，尤其关注到，没有设立任何区域或地方机构，以便按照</w:t>
      </w:r>
      <w:r>
        <w:rPr>
          <w:rFonts w:hint="eastAsia"/>
          <w:snapToGrid/>
          <w:lang w:val="zh-CN"/>
        </w:rPr>
        <w:t>1998</w:t>
      </w:r>
      <w:r>
        <w:rPr>
          <w:rFonts w:hint="eastAsia"/>
          <w:snapToGrid/>
          <w:lang w:val="zh-CN"/>
        </w:rPr>
        <w:t>年</w:t>
      </w:r>
      <w:r>
        <w:rPr>
          <w:rFonts w:hint="eastAsia"/>
          <w:snapToGrid/>
          <w:lang w:val="zh-CN"/>
        </w:rPr>
        <w:t>7</w:t>
      </w:r>
      <w:r>
        <w:rPr>
          <w:rFonts w:hint="eastAsia"/>
          <w:snapToGrid/>
          <w:lang w:val="zh-CN"/>
        </w:rPr>
        <w:t>月</w:t>
      </w:r>
      <w:r>
        <w:rPr>
          <w:rFonts w:hint="eastAsia"/>
          <w:snapToGrid/>
          <w:lang w:val="zh-CN"/>
        </w:rPr>
        <w:t>25</w:t>
      </w:r>
      <w:r>
        <w:rPr>
          <w:rFonts w:hint="eastAsia"/>
          <w:snapToGrid/>
          <w:lang w:val="zh-CN"/>
        </w:rPr>
        <w:t>日《第</w:t>
      </w:r>
      <w:r>
        <w:rPr>
          <w:rFonts w:hint="eastAsia"/>
          <w:snapToGrid/>
          <w:lang w:val="zh-CN"/>
        </w:rPr>
        <w:t>286</w:t>
      </w:r>
      <w:r>
        <w:rPr>
          <w:rFonts w:hint="eastAsia"/>
          <w:snapToGrid/>
          <w:lang w:val="zh-CN"/>
        </w:rPr>
        <w:t>号立法法令》第</w:t>
      </w:r>
      <w:r>
        <w:rPr>
          <w:snapToGrid/>
          <w:lang w:val="zh-CN"/>
        </w:rPr>
        <w:t>44</w:t>
      </w:r>
      <w:r>
        <w:rPr>
          <w:rFonts w:hint="eastAsia"/>
          <w:snapToGrid/>
          <w:lang w:val="zh-CN"/>
        </w:rPr>
        <w:t>条的宗旨，监测种族主义和种族歧视情况。</w:t>
      </w:r>
    </w:p>
    <w:p w:rsidR="00000000" w:rsidRDefault="00000000">
      <w:pPr>
        <w:ind w:firstLine="510"/>
        <w:rPr>
          <w:b/>
          <w:snapToGrid/>
          <w:lang w:val="zh-CN"/>
        </w:rPr>
      </w:pPr>
      <w:r>
        <w:rPr>
          <w:snapToGrid/>
          <w:lang w:val="zh-CN"/>
        </w:rPr>
        <w:t>17.</w:t>
      </w:r>
      <w:r>
        <w:rPr>
          <w:rFonts w:hint="eastAsia"/>
          <w:snapToGrid/>
        </w:rPr>
        <w:t xml:space="preserve">  </w:t>
      </w:r>
      <w:r>
        <w:rPr>
          <w:rFonts w:hint="eastAsia"/>
          <w:snapToGrid/>
          <w:lang w:val="zh-CN"/>
        </w:rPr>
        <w:t>委员会对</w:t>
      </w:r>
      <w:r>
        <w:rPr>
          <w:snapToGrid/>
          <w:lang w:val="zh-CN"/>
        </w:rPr>
        <w:t>2002</w:t>
      </w:r>
      <w:r>
        <w:rPr>
          <w:rFonts w:hint="eastAsia"/>
          <w:snapToGrid/>
          <w:lang w:val="zh-CN"/>
        </w:rPr>
        <w:t>年关于移民的第</w:t>
      </w:r>
      <w:r>
        <w:rPr>
          <w:snapToGrid/>
          <w:lang w:val="zh-CN"/>
        </w:rPr>
        <w:t>189</w:t>
      </w:r>
      <w:r>
        <w:rPr>
          <w:rFonts w:hint="eastAsia"/>
          <w:snapToGrid/>
          <w:lang w:val="zh-CN"/>
        </w:rPr>
        <w:t>号法律表示关注，该法在劳工合同与居住期限之间建立了牢固的联系，这可能阻止移民工人及其家属享受《公约》所载的社会、经济和文化权利。委员会并关注到政府当局在延长缔约国内居留权方面拖延的时间过长，这除其他问题外，更可能限制移民工人及其家属的行动自由及获得社会服务的机会。</w:t>
      </w:r>
    </w:p>
    <w:p w:rsidR="00000000" w:rsidRDefault="00000000">
      <w:pPr>
        <w:ind w:firstLine="510"/>
        <w:rPr>
          <w:rFonts w:hint="eastAsia"/>
          <w:b/>
          <w:snapToGrid/>
          <w:lang w:val="zh-CN"/>
        </w:rPr>
      </w:pPr>
      <w:r>
        <w:rPr>
          <w:snapToGrid/>
          <w:lang w:val="zh-CN"/>
        </w:rPr>
        <w:t>18.</w:t>
      </w:r>
      <w:r>
        <w:rPr>
          <w:rFonts w:hint="eastAsia"/>
          <w:snapToGrid/>
        </w:rPr>
        <w:t xml:space="preserve">  </w:t>
      </w:r>
      <w:r>
        <w:rPr>
          <w:rFonts w:hint="eastAsia"/>
          <w:snapToGrid/>
          <w:lang w:val="zh-CN"/>
        </w:rPr>
        <w:t>委员会关注地注意到缔约国关于个案法所作的解释</w:t>
      </w:r>
      <w:r>
        <w:rPr>
          <w:rFonts w:hint="eastAsia"/>
          <w:snapToGrid/>
          <w:lang w:val="zh-CN"/>
        </w:rPr>
        <w:t>(</w:t>
      </w:r>
      <w:r>
        <w:rPr>
          <w:snapToGrid/>
          <w:lang w:val="zh-CN"/>
        </w:rPr>
        <w:t>1993</w:t>
      </w:r>
      <w:r>
        <w:rPr>
          <w:rFonts w:hint="eastAsia"/>
          <w:snapToGrid/>
          <w:lang w:val="zh-CN"/>
        </w:rPr>
        <w:t>年</w:t>
      </w:r>
      <w:r>
        <w:rPr>
          <w:snapToGrid/>
          <w:lang w:val="zh-CN"/>
        </w:rPr>
        <w:t>5</w:t>
      </w:r>
      <w:r>
        <w:rPr>
          <w:rFonts w:hint="eastAsia"/>
          <w:snapToGrid/>
          <w:lang w:val="zh-CN"/>
        </w:rPr>
        <w:t>月</w:t>
      </w:r>
      <w:r>
        <w:rPr>
          <w:snapToGrid/>
          <w:lang w:val="zh-CN"/>
        </w:rPr>
        <w:t>25</w:t>
      </w:r>
      <w:r>
        <w:rPr>
          <w:rFonts w:hint="eastAsia"/>
          <w:snapToGrid/>
          <w:lang w:val="zh-CN"/>
        </w:rPr>
        <w:t>日第</w:t>
      </w:r>
      <w:r>
        <w:rPr>
          <w:snapToGrid/>
          <w:lang w:val="zh-CN"/>
        </w:rPr>
        <w:t>6030</w:t>
      </w:r>
      <w:r>
        <w:rPr>
          <w:rFonts w:hint="eastAsia"/>
          <w:snapToGrid/>
          <w:lang w:val="zh-CN"/>
        </w:rPr>
        <w:t>号和</w:t>
      </w:r>
      <w:r>
        <w:rPr>
          <w:snapToGrid/>
          <w:lang w:val="zh-CN"/>
        </w:rPr>
        <w:t>1996</w:t>
      </w:r>
      <w:r>
        <w:rPr>
          <w:rFonts w:hint="eastAsia"/>
          <w:snapToGrid/>
          <w:lang w:val="zh-CN"/>
        </w:rPr>
        <w:t>年</w:t>
      </w:r>
      <w:r>
        <w:rPr>
          <w:snapToGrid/>
          <w:lang w:val="zh-CN"/>
        </w:rPr>
        <w:t>5</w:t>
      </w:r>
      <w:r>
        <w:rPr>
          <w:rFonts w:hint="eastAsia"/>
          <w:snapToGrid/>
          <w:lang w:val="zh-CN"/>
        </w:rPr>
        <w:t>月</w:t>
      </w:r>
      <w:r>
        <w:rPr>
          <w:snapToGrid/>
          <w:lang w:val="zh-CN"/>
        </w:rPr>
        <w:t>17</w:t>
      </w:r>
      <w:r>
        <w:rPr>
          <w:rFonts w:hint="eastAsia"/>
          <w:snapToGrid/>
          <w:lang w:val="zh-CN"/>
        </w:rPr>
        <w:t>日第</w:t>
      </w:r>
      <w:r>
        <w:rPr>
          <w:snapToGrid/>
          <w:lang w:val="zh-CN"/>
        </w:rPr>
        <w:t>4570</w:t>
      </w:r>
      <w:r>
        <w:rPr>
          <w:rFonts w:hint="eastAsia"/>
          <w:snapToGrid/>
          <w:lang w:val="zh-CN"/>
        </w:rPr>
        <w:t>号</w:t>
      </w:r>
      <w:r>
        <w:rPr>
          <w:rFonts w:hint="eastAsia"/>
          <w:snapToGrid/>
          <w:lang w:val="zh-CN"/>
        </w:rPr>
        <w:t>)</w:t>
      </w:r>
      <w:r>
        <w:rPr>
          <w:rFonts w:hint="eastAsia"/>
          <w:snapToGrid/>
          <w:lang w:val="zh-CN"/>
        </w:rPr>
        <w:t>，根据这项法律，同工同酬的原则不能在意大利法律秩序中得到充分贯彻。</w:t>
      </w:r>
    </w:p>
    <w:p w:rsidR="00000000" w:rsidRDefault="00000000">
      <w:pPr>
        <w:ind w:firstLine="510"/>
        <w:rPr>
          <w:b/>
          <w:snapToGrid/>
          <w:lang w:val="zh-CN"/>
        </w:rPr>
      </w:pPr>
      <w:r>
        <w:rPr>
          <w:snapToGrid/>
          <w:lang w:val="zh-CN"/>
        </w:rPr>
        <w:t>19.</w:t>
      </w:r>
      <w:r>
        <w:rPr>
          <w:snapToGrid/>
        </w:rPr>
        <w:t xml:space="preserve"> </w:t>
      </w:r>
      <w:r>
        <w:rPr>
          <w:rFonts w:hint="eastAsia"/>
          <w:snapToGrid/>
        </w:rPr>
        <w:t xml:space="preserve"> </w:t>
      </w:r>
      <w:r>
        <w:rPr>
          <w:rFonts w:hint="eastAsia"/>
          <w:snapToGrid/>
          <w:lang w:val="zh-CN"/>
        </w:rPr>
        <w:t>委员会关注到</w:t>
      </w:r>
      <w:r>
        <w:rPr>
          <w:snapToGrid/>
          <w:lang w:val="zh-CN"/>
        </w:rPr>
        <w:t>，</w:t>
      </w:r>
      <w:r>
        <w:rPr>
          <w:rFonts w:hint="eastAsia"/>
          <w:snapToGrid/>
          <w:lang w:val="zh-CN"/>
        </w:rPr>
        <w:t>缔约国继续存在大规模的非正式经济部门</w:t>
      </w:r>
      <w:r>
        <w:rPr>
          <w:snapToGrid/>
          <w:lang w:val="zh-CN"/>
        </w:rPr>
        <w:t>，</w:t>
      </w:r>
      <w:r>
        <w:rPr>
          <w:rFonts w:hint="eastAsia"/>
          <w:snapToGrid/>
          <w:lang w:val="zh-CN"/>
        </w:rPr>
        <w:t>这一部门除其他情况外</w:t>
      </w:r>
      <w:r>
        <w:rPr>
          <w:snapToGrid/>
          <w:lang w:val="zh-CN"/>
        </w:rPr>
        <w:t>，</w:t>
      </w:r>
      <w:r>
        <w:rPr>
          <w:rFonts w:hint="eastAsia"/>
          <w:snapToGrid/>
          <w:lang w:val="zh-CN"/>
        </w:rPr>
        <w:t>尤其侵犯包括儿童在内的受雇人士的经济、社会和文化权利。</w:t>
      </w:r>
    </w:p>
    <w:p w:rsidR="00000000" w:rsidRDefault="00000000">
      <w:pPr>
        <w:ind w:firstLine="510"/>
        <w:rPr>
          <w:b/>
          <w:snapToGrid/>
        </w:rPr>
      </w:pPr>
      <w:r>
        <w:rPr>
          <w:snapToGrid/>
          <w:lang w:val="zh-CN"/>
        </w:rPr>
        <w:t>20.</w:t>
      </w:r>
      <w:r>
        <w:rPr>
          <w:rFonts w:hint="eastAsia"/>
          <w:snapToGrid/>
        </w:rPr>
        <w:t xml:space="preserve">  </w:t>
      </w:r>
      <w:r>
        <w:rPr>
          <w:rFonts w:hint="eastAsia"/>
          <w:snapToGrid/>
          <w:lang w:val="zh-CN"/>
        </w:rPr>
        <w:t>委员会重申其对该国持续的区域不平等和严重的贫困状况，尤其对该国南部的不平等和贫困状况表示关注。委员会注意到缔约国决定延长</w:t>
      </w:r>
      <w:r>
        <w:rPr>
          <w:rFonts w:hint="eastAsia"/>
          <w:snapToGrid/>
        </w:rPr>
        <w:t>最低综合收入</w:t>
      </w:r>
      <w:r>
        <w:rPr>
          <w:rFonts w:hint="eastAsia"/>
          <w:snapToGrid/>
          <w:lang w:val="zh-CN"/>
        </w:rPr>
        <w:t>(</w:t>
      </w:r>
      <w:r>
        <w:rPr>
          <w:snapToGrid/>
        </w:rPr>
        <w:t>Reddito Monimo d'Inserimento</w:t>
      </w:r>
      <w:r>
        <w:rPr>
          <w:rFonts w:hint="eastAsia"/>
          <w:snapToGrid/>
        </w:rPr>
        <w:t>)</w:t>
      </w:r>
      <w:r>
        <w:rPr>
          <w:rFonts w:hint="eastAsia"/>
          <w:snapToGrid/>
        </w:rPr>
        <w:t>方案的审批时间，目前有</w:t>
      </w:r>
      <w:r>
        <w:rPr>
          <w:snapToGrid/>
        </w:rPr>
        <w:t>306</w:t>
      </w:r>
      <w:r>
        <w:rPr>
          <w:rFonts w:hint="eastAsia"/>
          <w:snapToGrid/>
        </w:rPr>
        <w:t>个城市实施这一方案。</w:t>
      </w:r>
    </w:p>
    <w:p w:rsidR="00000000" w:rsidRDefault="00000000">
      <w:pPr>
        <w:ind w:firstLine="510"/>
        <w:rPr>
          <w:b/>
          <w:snapToGrid/>
        </w:rPr>
      </w:pPr>
      <w:r>
        <w:rPr>
          <w:snapToGrid/>
        </w:rPr>
        <w:t>21.</w:t>
      </w:r>
      <w:r>
        <w:rPr>
          <w:rFonts w:hint="eastAsia"/>
          <w:snapToGrid/>
        </w:rPr>
        <w:t xml:space="preserve">  </w:t>
      </w:r>
      <w:r>
        <w:rPr>
          <w:rFonts w:hint="eastAsia"/>
          <w:snapToGrid/>
        </w:rPr>
        <w:t>委员会关注地注意到缔约国没有关于寻求庇护人士的全面法律规定。</w:t>
      </w:r>
    </w:p>
    <w:p w:rsidR="00000000" w:rsidRDefault="00000000">
      <w:pPr>
        <w:ind w:firstLine="510"/>
        <w:rPr>
          <w:b/>
          <w:snapToGrid/>
        </w:rPr>
      </w:pPr>
      <w:r>
        <w:rPr>
          <w:snapToGrid/>
        </w:rPr>
        <w:t>22.</w:t>
      </w:r>
      <w:r>
        <w:rPr>
          <w:rFonts w:hint="eastAsia"/>
          <w:snapToGrid/>
        </w:rPr>
        <w:t xml:space="preserve">  </w:t>
      </w:r>
      <w:r>
        <w:rPr>
          <w:rFonts w:hint="eastAsia"/>
          <w:snapToGrid/>
        </w:rPr>
        <w:t>委员会表示关注，尽管该国为打击家庭暴力采取了相关措施，包括通过了</w:t>
      </w:r>
      <w:r>
        <w:rPr>
          <w:snapToGrid/>
        </w:rPr>
        <w:t>2001</w:t>
      </w:r>
      <w:r>
        <w:rPr>
          <w:rFonts w:hint="eastAsia"/>
          <w:snapToGrid/>
        </w:rPr>
        <w:t>年</w:t>
      </w:r>
      <w:r>
        <w:rPr>
          <w:snapToGrid/>
        </w:rPr>
        <w:t>4</w:t>
      </w:r>
      <w:r>
        <w:rPr>
          <w:rFonts w:hint="eastAsia"/>
          <w:snapToGrid/>
        </w:rPr>
        <w:t>月的第</w:t>
      </w:r>
      <w:r>
        <w:rPr>
          <w:snapToGrid/>
        </w:rPr>
        <w:t>154</w:t>
      </w:r>
      <w:r>
        <w:rPr>
          <w:rFonts w:hint="eastAsia"/>
          <w:snapToGrid/>
        </w:rPr>
        <w:t>号法律，规定</w:t>
      </w:r>
      <w:r>
        <w:rPr>
          <w:snapToGrid/>
        </w:rPr>
        <w:t>“</w:t>
      </w:r>
      <w:r>
        <w:rPr>
          <w:rFonts w:hint="eastAsia"/>
          <w:snapToGrid/>
        </w:rPr>
        <w:t>制止家庭关系中使用暴力的措施</w:t>
      </w:r>
      <w:r>
        <w:rPr>
          <w:snapToGrid/>
        </w:rPr>
        <w:t>”</w:t>
      </w:r>
      <w:r>
        <w:rPr>
          <w:rFonts w:hint="eastAsia"/>
          <w:snapToGrid/>
        </w:rPr>
        <w:t>，但是，提出的相关申诉，尤其是妇女提出的申诉案例并不多。</w:t>
      </w:r>
    </w:p>
    <w:p w:rsidR="00000000" w:rsidRDefault="00000000">
      <w:pPr>
        <w:ind w:firstLine="510"/>
        <w:rPr>
          <w:b/>
          <w:snapToGrid/>
        </w:rPr>
      </w:pPr>
      <w:r>
        <w:rPr>
          <w:snapToGrid/>
        </w:rPr>
        <w:t>23.</w:t>
      </w:r>
      <w:r>
        <w:rPr>
          <w:rFonts w:hint="eastAsia"/>
          <w:snapToGrid/>
        </w:rPr>
        <w:t xml:space="preserve">  </w:t>
      </w:r>
      <w:r>
        <w:rPr>
          <w:rFonts w:hint="eastAsia"/>
          <w:snapToGrid/>
        </w:rPr>
        <w:t>委员会关注到，有子女的妇女在寻找和保持职业方面面临更多困难，其中一部分原因是由于缺少对年幼儿童提供的服务。</w:t>
      </w:r>
    </w:p>
    <w:p w:rsidR="00000000" w:rsidRDefault="00000000">
      <w:pPr>
        <w:ind w:firstLine="510"/>
        <w:rPr>
          <w:b/>
          <w:snapToGrid/>
        </w:rPr>
      </w:pPr>
      <w:r>
        <w:rPr>
          <w:snapToGrid/>
        </w:rPr>
        <w:t>24.</w:t>
      </w:r>
      <w:r>
        <w:rPr>
          <w:rFonts w:hint="eastAsia"/>
          <w:snapToGrid/>
        </w:rPr>
        <w:t xml:space="preserve">  </w:t>
      </w:r>
      <w:r>
        <w:rPr>
          <w:rFonts w:hint="eastAsia"/>
          <w:snapToGrid/>
        </w:rPr>
        <w:t>委员会重申其</w:t>
      </w:r>
      <w:r>
        <w:rPr>
          <w:snapToGrid/>
        </w:rPr>
        <w:t>2000</w:t>
      </w:r>
      <w:r>
        <w:rPr>
          <w:rFonts w:hint="eastAsia"/>
          <w:snapToGrid/>
        </w:rPr>
        <w:t>年</w:t>
      </w:r>
      <w:r>
        <w:rPr>
          <w:rFonts w:hint="eastAsia"/>
          <w:snapToGrid/>
        </w:rPr>
        <w:t>5</w:t>
      </w:r>
      <w:r>
        <w:rPr>
          <w:rFonts w:hint="eastAsia"/>
          <w:snapToGrid/>
        </w:rPr>
        <w:t>月的结论性意见</w:t>
      </w:r>
      <w:r>
        <w:rPr>
          <w:rFonts w:hint="eastAsia"/>
          <w:snapToGrid/>
        </w:rPr>
        <w:t>(</w:t>
      </w:r>
      <w:r>
        <w:rPr>
          <w:snapToGrid/>
        </w:rPr>
        <w:t>E/C.12/1/Add.43</w:t>
      </w:r>
      <w:r>
        <w:rPr>
          <w:rFonts w:hint="eastAsia"/>
          <w:snapToGrid/>
        </w:rPr>
        <w:t>)</w:t>
      </w:r>
      <w:r>
        <w:rPr>
          <w:rFonts w:hint="eastAsia"/>
          <w:snapToGrid/>
        </w:rPr>
        <w:t>，对于居住在营地的罗姆人所处困境、这些人居住条件恶劣、卫生设施很糟、就业希望有限，其子女的教育条件不能满足要求等仍然表示关注。</w:t>
      </w:r>
    </w:p>
    <w:p w:rsidR="00000000" w:rsidRDefault="00000000">
      <w:pPr>
        <w:ind w:firstLine="510"/>
        <w:rPr>
          <w:b/>
          <w:snapToGrid/>
        </w:rPr>
      </w:pPr>
      <w:r>
        <w:rPr>
          <w:snapToGrid/>
        </w:rPr>
        <w:t>25.</w:t>
      </w:r>
      <w:r>
        <w:rPr>
          <w:rFonts w:hint="eastAsia"/>
          <w:snapToGrid/>
        </w:rPr>
        <w:t xml:space="preserve">  </w:t>
      </w:r>
      <w:r>
        <w:rPr>
          <w:rFonts w:hint="eastAsia"/>
          <w:snapToGrid/>
        </w:rPr>
        <w:t>委员会关注到处境不利和社会上无足轻重人士，尤其是移民和罗姆人由于歧视而在租房或获得公共住宅方面所面临的日益严重的困难。</w:t>
      </w:r>
    </w:p>
    <w:p w:rsidR="00000000" w:rsidRDefault="00000000">
      <w:pPr>
        <w:ind w:firstLine="510"/>
        <w:rPr>
          <w:b/>
          <w:snapToGrid/>
        </w:rPr>
      </w:pPr>
      <w:r>
        <w:rPr>
          <w:snapToGrid/>
        </w:rPr>
        <w:t>26.</w:t>
      </w:r>
      <w:r>
        <w:rPr>
          <w:rFonts w:hint="eastAsia"/>
          <w:snapToGrid/>
        </w:rPr>
        <w:t xml:space="preserve">  </w:t>
      </w:r>
      <w:r>
        <w:rPr>
          <w:rFonts w:hint="eastAsia"/>
          <w:snapToGrid/>
        </w:rPr>
        <w:t>委员会还关注到该国租金继续上涨、住房的私有化以及低收入家庭适当的社会福利性住房单位紧缺，同时为提供住房援助而设立的社会基金却有所减少。</w:t>
      </w:r>
    </w:p>
    <w:p w:rsidR="00000000" w:rsidRDefault="00000000">
      <w:pPr>
        <w:ind w:firstLine="510"/>
        <w:rPr>
          <w:b/>
          <w:snapToGrid/>
        </w:rPr>
      </w:pPr>
      <w:r>
        <w:rPr>
          <w:snapToGrid/>
        </w:rPr>
        <w:t>27.</w:t>
      </w:r>
      <w:r>
        <w:rPr>
          <w:rFonts w:hint="eastAsia"/>
          <w:snapToGrid/>
        </w:rPr>
        <w:t xml:space="preserve">  </w:t>
      </w:r>
      <w:r>
        <w:rPr>
          <w:rFonts w:hint="eastAsia"/>
          <w:snapToGrid/>
        </w:rPr>
        <w:t>委员会注意到缔约国的报告和答复提到，慢性病、老龄和残疾是该国必须用新的方式和战略来解决的现实问题，并提到了这一战略的具体内容，但仍然关注，该国没有提供能帮助委员会评估缔约国保健情况的具体事实和数据。</w:t>
      </w:r>
    </w:p>
    <w:p w:rsidR="00000000" w:rsidRDefault="00000000">
      <w:pPr>
        <w:spacing w:after="320"/>
        <w:ind w:firstLine="510"/>
        <w:rPr>
          <w:b/>
          <w:snapToGrid/>
        </w:rPr>
      </w:pPr>
      <w:r>
        <w:rPr>
          <w:snapToGrid/>
        </w:rPr>
        <w:t>28.</w:t>
      </w:r>
      <w:r>
        <w:rPr>
          <w:rFonts w:hint="eastAsia"/>
          <w:snapToGrid/>
        </w:rPr>
        <w:t xml:space="preserve">  </w:t>
      </w:r>
      <w:r>
        <w:rPr>
          <w:rFonts w:hint="eastAsia"/>
          <w:snapToGrid/>
        </w:rPr>
        <w:t>委员会注意到，缔约国就爱滋病毒</w:t>
      </w:r>
      <w:r>
        <w:rPr>
          <w:snapToGrid/>
        </w:rPr>
        <w:t>/</w:t>
      </w:r>
      <w:r>
        <w:rPr>
          <w:rFonts w:hint="eastAsia"/>
          <w:snapToGrid/>
        </w:rPr>
        <w:t>爱滋病的新感染发病率所设定的优先方案符合卫生组织的目标，但是对于该国没有为这些优先目标提供具体事实和数据仍然表示关注。</w:t>
      </w:r>
    </w:p>
    <w:p w:rsidR="00000000" w:rsidRDefault="00000000">
      <w:pPr>
        <w:pStyle w:val="Heading3"/>
        <w:rPr>
          <w:snapToGrid/>
          <w:kern w:val="0"/>
        </w:rPr>
      </w:pPr>
      <w:r>
        <w:rPr>
          <w:snapToGrid/>
          <w:kern w:val="0"/>
          <w:u w:val="none"/>
        </w:rPr>
        <w:t xml:space="preserve">E.  </w:t>
      </w:r>
      <w:r>
        <w:rPr>
          <w:rFonts w:hint="eastAsia"/>
          <w:snapToGrid/>
          <w:kern w:val="0"/>
        </w:rPr>
        <w:t>意见和建议</w:t>
      </w:r>
    </w:p>
    <w:p w:rsidR="00000000" w:rsidRDefault="00000000">
      <w:pPr>
        <w:ind w:firstLine="510"/>
        <w:rPr>
          <w:b/>
          <w:snapToGrid/>
        </w:rPr>
      </w:pPr>
      <w:r>
        <w:rPr>
          <w:snapToGrid/>
        </w:rPr>
        <w:t>29.</w:t>
      </w:r>
      <w:r>
        <w:rPr>
          <w:rFonts w:hint="eastAsia"/>
          <w:snapToGrid/>
        </w:rPr>
        <w:t xml:space="preserve">  </w:t>
      </w:r>
      <w:r>
        <w:rPr>
          <w:rFonts w:hint="eastAsia"/>
          <w:snapToGrid/>
        </w:rPr>
        <w:t>委员会重申所有人权的相互依存和不可分割原则，鼓励缔约国重新考虑其对经济、社会和文化权利是否具有法律根据问题所持的立场。此外，委员会认为，缔约国仍然有义务在其国内法律秩序中充分实施《公约》，对于侵犯所有经济、社会和文化权利的行为提供司法和其他补救办法。在这方面，委员会提请缔约国注意委员会关于《公约》在国内适用性问题的第</w:t>
      </w:r>
      <w:r>
        <w:rPr>
          <w:snapToGrid/>
        </w:rPr>
        <w:t>9</w:t>
      </w:r>
      <w:r>
        <w:rPr>
          <w:rFonts w:hint="eastAsia"/>
          <w:snapToGrid/>
        </w:rPr>
        <w:t>号一般性意见。</w:t>
      </w:r>
    </w:p>
    <w:p w:rsidR="00000000" w:rsidRDefault="00000000">
      <w:pPr>
        <w:ind w:firstLine="510"/>
        <w:rPr>
          <w:b/>
          <w:snapToGrid/>
        </w:rPr>
      </w:pPr>
      <w:r>
        <w:rPr>
          <w:snapToGrid/>
        </w:rPr>
        <w:t>30.</w:t>
      </w:r>
      <w:r>
        <w:rPr>
          <w:rFonts w:hint="eastAsia"/>
          <w:snapToGrid/>
        </w:rPr>
        <w:t xml:space="preserve">  </w:t>
      </w:r>
      <w:r>
        <w:rPr>
          <w:rFonts w:hint="eastAsia"/>
          <w:snapToGrid/>
        </w:rPr>
        <w:t>委员会建议，缔约国向司法机关、检察官和负责实施《公约》所载经济、社会和文化权利的其他官员提供适当培训，保证这些权利在法院得到一贯的实施。</w:t>
      </w:r>
    </w:p>
    <w:p w:rsidR="00000000" w:rsidRDefault="00000000">
      <w:pPr>
        <w:ind w:firstLine="510"/>
        <w:rPr>
          <w:b/>
          <w:snapToGrid/>
        </w:rPr>
      </w:pPr>
      <w:r>
        <w:rPr>
          <w:snapToGrid/>
        </w:rPr>
        <w:t>31.</w:t>
      </w:r>
      <w:r>
        <w:rPr>
          <w:rFonts w:hint="eastAsia"/>
          <w:snapToGrid/>
        </w:rPr>
        <w:t xml:space="preserve">  </w:t>
      </w:r>
      <w:r>
        <w:rPr>
          <w:rFonts w:hint="eastAsia"/>
          <w:snapToGrid/>
        </w:rPr>
        <w:t>委员会欢迎该国代表团提到的</w:t>
      </w:r>
      <w:r>
        <w:rPr>
          <w:snapToGrid/>
        </w:rPr>
        <w:t>“</w:t>
      </w:r>
      <w:r>
        <w:rPr>
          <w:rFonts w:hint="eastAsia"/>
          <w:snapToGrid/>
        </w:rPr>
        <w:t>对公民的教育</w:t>
      </w:r>
      <w:r>
        <w:rPr>
          <w:snapToGrid/>
        </w:rPr>
        <w:t>”</w:t>
      </w:r>
      <w:r>
        <w:rPr>
          <w:rFonts w:hint="eastAsia"/>
          <w:snapToGrid/>
        </w:rPr>
        <w:t>新方案，并鼓励缔约国在学校各年级提供人权教育，同时提高一般公众对于《公约》和其他国际人权的认识。</w:t>
      </w:r>
    </w:p>
    <w:p w:rsidR="00000000" w:rsidRDefault="00000000">
      <w:pPr>
        <w:ind w:firstLine="510"/>
        <w:rPr>
          <w:b/>
          <w:snapToGrid/>
        </w:rPr>
      </w:pPr>
      <w:r>
        <w:rPr>
          <w:snapToGrid/>
        </w:rPr>
        <w:t>32.</w:t>
      </w:r>
      <w:r>
        <w:rPr>
          <w:rFonts w:hint="eastAsia"/>
          <w:snapToGrid/>
        </w:rPr>
        <w:t xml:space="preserve">  </w:t>
      </w:r>
      <w:r>
        <w:rPr>
          <w:rFonts w:hint="eastAsia"/>
          <w:snapToGrid/>
        </w:rPr>
        <w:t>委员会建议缔约国在民间社会代表的广泛基础上、并在联合国人权事务高级专员办事处国家机构股的支助下，就建立独立的国家人权机构的可能性开展必要协商。</w:t>
      </w:r>
    </w:p>
    <w:p w:rsidR="00000000" w:rsidRDefault="00000000">
      <w:pPr>
        <w:ind w:firstLine="510"/>
        <w:rPr>
          <w:b/>
          <w:snapToGrid/>
        </w:rPr>
      </w:pPr>
      <w:r>
        <w:rPr>
          <w:snapToGrid/>
        </w:rPr>
        <w:t>33.</w:t>
      </w:r>
      <w:r>
        <w:rPr>
          <w:rFonts w:hint="eastAsia"/>
          <w:snapToGrid/>
        </w:rPr>
        <w:t xml:space="preserve">  </w:t>
      </w:r>
      <w:r>
        <w:rPr>
          <w:rFonts w:hint="eastAsia"/>
          <w:snapToGrid/>
        </w:rPr>
        <w:t>委员会促请缔约国尽早根据</w:t>
      </w:r>
      <w:r>
        <w:rPr>
          <w:snapToGrid/>
        </w:rPr>
        <w:t>1993</w:t>
      </w:r>
      <w:r>
        <w:rPr>
          <w:rFonts w:hint="eastAsia"/>
          <w:snapToGrid/>
        </w:rPr>
        <w:t>年《维也纳宣言和行动纲领》第二部分第</w:t>
      </w:r>
      <w:r>
        <w:rPr>
          <w:snapToGrid/>
        </w:rPr>
        <w:t>71</w:t>
      </w:r>
      <w:r>
        <w:rPr>
          <w:rFonts w:hint="eastAsia"/>
          <w:snapToGrid/>
        </w:rPr>
        <w:t>段，拟定一项综合的全国人权行动计划。</w:t>
      </w:r>
    </w:p>
    <w:p w:rsidR="00000000" w:rsidRDefault="00000000">
      <w:pPr>
        <w:ind w:firstLine="510"/>
        <w:rPr>
          <w:b/>
          <w:snapToGrid/>
        </w:rPr>
      </w:pPr>
      <w:r>
        <w:rPr>
          <w:snapToGrid/>
        </w:rPr>
        <w:t>34.</w:t>
      </w:r>
      <w:r>
        <w:rPr>
          <w:rFonts w:hint="eastAsia"/>
          <w:snapToGrid/>
        </w:rPr>
        <w:t xml:space="preserve">  </w:t>
      </w:r>
      <w:r>
        <w:rPr>
          <w:rFonts w:hint="eastAsia"/>
          <w:snapToGrid/>
        </w:rPr>
        <w:t>委员会建议，缔约国在国际合作方面继续开展活动，并根据联合国的建议，将其官方发展援助增加到其国民生产总值的</w:t>
      </w:r>
      <w:r>
        <w:rPr>
          <w:snapToGrid/>
        </w:rPr>
        <w:t>0.7%</w:t>
      </w:r>
      <w:r>
        <w:rPr>
          <w:rFonts w:hint="eastAsia"/>
          <w:snapToGrid/>
        </w:rPr>
        <w:t>。委员会并促请缔约国在与其他国家签署的双边项目协议中考虑到《公约》的条款。</w:t>
      </w:r>
    </w:p>
    <w:p w:rsidR="00000000" w:rsidRDefault="00000000">
      <w:pPr>
        <w:ind w:firstLine="510"/>
        <w:rPr>
          <w:snapToGrid/>
        </w:rPr>
      </w:pPr>
      <w:r>
        <w:rPr>
          <w:snapToGrid/>
        </w:rPr>
        <w:t>35.</w:t>
      </w:r>
      <w:r>
        <w:rPr>
          <w:rFonts w:hint="eastAsia"/>
          <w:snapToGrid/>
        </w:rPr>
        <w:t xml:space="preserve">  </w:t>
      </w:r>
      <w:r>
        <w:rPr>
          <w:rFonts w:hint="eastAsia"/>
          <w:snapToGrid/>
        </w:rPr>
        <w:t>委员会建议缔约国有效实施为制止种族主义和种族歧视所通过的法律和方案，其中包括根据</w:t>
      </w:r>
      <w:r>
        <w:rPr>
          <w:snapToGrid/>
        </w:rPr>
        <w:t>1998</w:t>
      </w:r>
      <w:r>
        <w:rPr>
          <w:rFonts w:hint="eastAsia"/>
          <w:snapToGrid/>
        </w:rPr>
        <w:t>年</w:t>
      </w:r>
      <w:r>
        <w:rPr>
          <w:snapToGrid/>
        </w:rPr>
        <w:t>7</w:t>
      </w:r>
      <w:r>
        <w:rPr>
          <w:rFonts w:hint="eastAsia"/>
          <w:snapToGrid/>
        </w:rPr>
        <w:t>月</w:t>
      </w:r>
      <w:r>
        <w:rPr>
          <w:snapToGrid/>
        </w:rPr>
        <w:t>25</w:t>
      </w:r>
      <w:r>
        <w:rPr>
          <w:rFonts w:hint="eastAsia"/>
          <w:snapToGrid/>
        </w:rPr>
        <w:t>日第</w:t>
      </w:r>
      <w:r>
        <w:rPr>
          <w:snapToGrid/>
        </w:rPr>
        <w:t>286</w:t>
      </w:r>
      <w:r>
        <w:rPr>
          <w:rFonts w:hint="eastAsia"/>
          <w:snapToGrid/>
        </w:rPr>
        <w:t>号立法法令第</w:t>
      </w:r>
      <w:r>
        <w:rPr>
          <w:snapToGrid/>
        </w:rPr>
        <w:t>44</w:t>
      </w:r>
      <w:r>
        <w:rPr>
          <w:rFonts w:hint="eastAsia"/>
          <w:snapToGrid/>
        </w:rPr>
        <w:t>条的设想，在全国各地设立监测机构，并向其提供足够的人力和财力资源。</w:t>
      </w:r>
    </w:p>
    <w:p w:rsidR="00000000" w:rsidRDefault="00000000">
      <w:pPr>
        <w:ind w:firstLine="510"/>
        <w:rPr>
          <w:b/>
          <w:snapToGrid/>
        </w:rPr>
      </w:pPr>
      <w:r>
        <w:rPr>
          <w:snapToGrid/>
        </w:rPr>
        <w:t>36.</w:t>
      </w:r>
      <w:r>
        <w:rPr>
          <w:rFonts w:hint="eastAsia"/>
          <w:snapToGrid/>
        </w:rPr>
        <w:t xml:space="preserve">  </w:t>
      </w:r>
      <w:r>
        <w:rPr>
          <w:rFonts w:hint="eastAsia"/>
          <w:snapToGrid/>
        </w:rPr>
        <w:t>委员会建议缔约国采取措施，加快移民工人延续居留许可的过程，从而使他们得以享受经济、社会和文化权利。委员会并建议缔约国考虑批准《保护所有移徙工人及其家庭成员权利国际公约》。</w:t>
      </w:r>
    </w:p>
    <w:p w:rsidR="00000000" w:rsidRDefault="00000000">
      <w:pPr>
        <w:ind w:firstLine="510"/>
        <w:rPr>
          <w:b/>
          <w:snapToGrid/>
        </w:rPr>
      </w:pPr>
      <w:r>
        <w:rPr>
          <w:snapToGrid/>
        </w:rPr>
        <w:t>37.</w:t>
      </w:r>
      <w:r>
        <w:rPr>
          <w:rFonts w:hint="eastAsia"/>
          <w:snapToGrid/>
        </w:rPr>
        <w:t xml:space="preserve">  </w:t>
      </w:r>
      <w:r>
        <w:rPr>
          <w:rFonts w:hint="eastAsia"/>
          <w:snapToGrid/>
        </w:rPr>
        <w:t>委员会建议缔约国加快批准国际劳工组织</w:t>
      </w:r>
      <w:r>
        <w:rPr>
          <w:snapToGrid/>
        </w:rPr>
        <w:t>1993</w:t>
      </w:r>
      <w:r>
        <w:rPr>
          <w:rFonts w:hint="eastAsia"/>
          <w:snapToGrid/>
        </w:rPr>
        <w:t>年《预防重大工业事故公约》</w:t>
      </w:r>
      <w:r>
        <w:rPr>
          <w:rFonts w:hint="eastAsia"/>
          <w:snapToGrid/>
        </w:rPr>
        <w:t>(</w:t>
      </w:r>
      <w:r>
        <w:rPr>
          <w:rFonts w:hint="eastAsia"/>
          <w:snapToGrid/>
        </w:rPr>
        <w:t>第</w:t>
      </w:r>
      <w:r>
        <w:rPr>
          <w:snapToGrid/>
        </w:rPr>
        <w:t>174</w:t>
      </w:r>
      <w:r>
        <w:rPr>
          <w:rFonts w:hint="eastAsia"/>
          <w:snapToGrid/>
        </w:rPr>
        <w:t>号</w:t>
      </w:r>
      <w:r>
        <w:rPr>
          <w:rFonts w:hint="eastAsia"/>
          <w:snapToGrid/>
        </w:rPr>
        <w:t>)</w:t>
      </w:r>
      <w:r>
        <w:rPr>
          <w:rFonts w:hint="eastAsia"/>
          <w:snapToGrid/>
        </w:rPr>
        <w:t>的程序。</w:t>
      </w:r>
    </w:p>
    <w:p w:rsidR="00000000" w:rsidRDefault="00000000">
      <w:pPr>
        <w:ind w:firstLine="510"/>
        <w:rPr>
          <w:b/>
          <w:snapToGrid/>
        </w:rPr>
      </w:pPr>
      <w:r>
        <w:rPr>
          <w:snapToGrid/>
        </w:rPr>
        <w:t>38.</w:t>
      </w:r>
      <w:r>
        <w:rPr>
          <w:rFonts w:hint="eastAsia"/>
          <w:snapToGrid/>
        </w:rPr>
        <w:t xml:space="preserve">  </w:t>
      </w:r>
      <w:r>
        <w:rPr>
          <w:rFonts w:hint="eastAsia"/>
          <w:snapToGrid/>
        </w:rPr>
        <w:t>委员会重申，《公约》第七条第</w:t>
      </w:r>
      <w:r>
        <w:rPr>
          <w:snapToGrid/>
        </w:rPr>
        <w:t>2</w:t>
      </w:r>
      <w:r>
        <w:rPr>
          <w:rFonts w:hint="eastAsia"/>
          <w:snapToGrid/>
        </w:rPr>
        <w:t>款所载的同工同酬原则必须立即实施，并重申，缔约国背离这一条就是违反了《公约》规定的义务。</w:t>
      </w:r>
    </w:p>
    <w:p w:rsidR="00000000" w:rsidRDefault="00000000">
      <w:pPr>
        <w:ind w:firstLine="510"/>
        <w:rPr>
          <w:b/>
          <w:snapToGrid/>
        </w:rPr>
      </w:pPr>
      <w:r>
        <w:rPr>
          <w:snapToGrid/>
        </w:rPr>
        <w:t>39.</w:t>
      </w:r>
      <w:r>
        <w:rPr>
          <w:rFonts w:hint="eastAsia"/>
          <w:snapToGrid/>
        </w:rPr>
        <w:t xml:space="preserve">  </w:t>
      </w:r>
      <w:r>
        <w:rPr>
          <w:rFonts w:hint="eastAsia"/>
          <w:snapToGrid/>
        </w:rPr>
        <w:t>委员会建议，缔约国考虑拟修改的司法条例法案如果得到通过，应当能遵守《公约》第八条第</w:t>
      </w:r>
      <w:r>
        <w:rPr>
          <w:snapToGrid/>
        </w:rPr>
        <w:t>1</w:t>
      </w:r>
      <w:r>
        <w:rPr>
          <w:rFonts w:hint="eastAsia"/>
          <w:snapToGrid/>
        </w:rPr>
        <w:t>款</w:t>
      </w:r>
      <w:r>
        <w:rPr>
          <w:snapToGrid/>
        </w:rPr>
        <w:t>(a)</w:t>
      </w:r>
      <w:r>
        <w:rPr>
          <w:rFonts w:hint="eastAsia"/>
          <w:snapToGrid/>
        </w:rPr>
        <w:t>的规定，保证包括法官在内的所有人建立和参加工会、参与工会活动的权利得到尊重。</w:t>
      </w:r>
    </w:p>
    <w:p w:rsidR="00000000" w:rsidRDefault="00000000">
      <w:pPr>
        <w:ind w:firstLine="510"/>
        <w:rPr>
          <w:b/>
          <w:snapToGrid/>
        </w:rPr>
      </w:pPr>
      <w:r>
        <w:rPr>
          <w:snapToGrid/>
        </w:rPr>
        <w:t>40.</w:t>
      </w:r>
      <w:r>
        <w:rPr>
          <w:rFonts w:hint="eastAsia"/>
          <w:snapToGrid/>
        </w:rPr>
        <w:t xml:space="preserve">  </w:t>
      </w:r>
      <w:r>
        <w:rPr>
          <w:rFonts w:hint="eastAsia"/>
          <w:snapToGrid/>
        </w:rPr>
        <w:t>委员会请缔约国加紧努力，有效地规范其非正式劳工部门。</w:t>
      </w:r>
    </w:p>
    <w:p w:rsidR="00000000" w:rsidRDefault="00000000">
      <w:pPr>
        <w:ind w:firstLine="510"/>
        <w:rPr>
          <w:snapToGrid/>
        </w:rPr>
      </w:pPr>
      <w:r>
        <w:rPr>
          <w:snapToGrid/>
        </w:rPr>
        <w:t>41.</w:t>
      </w:r>
      <w:r>
        <w:rPr>
          <w:rFonts w:hint="eastAsia"/>
          <w:snapToGrid/>
        </w:rPr>
        <w:t xml:space="preserve">  </w:t>
      </w:r>
      <w:r>
        <w:rPr>
          <w:rFonts w:hint="eastAsia"/>
          <w:snapToGrid/>
        </w:rPr>
        <w:t>委员会促请缔约国将经济、社会和文化权利纳入其《关于贫困和社会排挤问题的行动计划》之中。在这方面，委员会请缔约国回顾</w:t>
      </w:r>
      <w:r>
        <w:rPr>
          <w:snapToGrid/>
        </w:rPr>
        <w:t>2001</w:t>
      </w:r>
      <w:r>
        <w:rPr>
          <w:rFonts w:hint="eastAsia"/>
          <w:snapToGrid/>
        </w:rPr>
        <w:t>年</w:t>
      </w:r>
      <w:r>
        <w:rPr>
          <w:snapToGrid/>
        </w:rPr>
        <w:t>5</w:t>
      </w:r>
      <w:r>
        <w:rPr>
          <w:rFonts w:hint="eastAsia"/>
          <w:snapToGrid/>
        </w:rPr>
        <w:t>月</w:t>
      </w:r>
      <w:r>
        <w:rPr>
          <w:snapToGrid/>
        </w:rPr>
        <w:t>4</w:t>
      </w:r>
      <w:r>
        <w:rPr>
          <w:rFonts w:hint="eastAsia"/>
          <w:snapToGrid/>
        </w:rPr>
        <w:t>日通过的委员会</w:t>
      </w:r>
      <w:r>
        <w:rPr>
          <w:snapToGrid/>
        </w:rPr>
        <w:t>“</w:t>
      </w:r>
      <w:r>
        <w:rPr>
          <w:rFonts w:hint="eastAsia"/>
          <w:snapToGrid/>
        </w:rPr>
        <w:t>贫穷与《经济、社会、文化权利国际公约》</w:t>
      </w:r>
      <w:r>
        <w:rPr>
          <w:snapToGrid/>
        </w:rPr>
        <w:t>”</w:t>
      </w:r>
      <w:r>
        <w:rPr>
          <w:rFonts w:hint="eastAsia"/>
          <w:snapToGrid/>
        </w:rPr>
        <w:t>的声明</w:t>
      </w:r>
      <w:r>
        <w:rPr>
          <w:rFonts w:hint="eastAsia"/>
          <w:snapToGrid/>
        </w:rPr>
        <w:t>(</w:t>
      </w:r>
      <w:r>
        <w:rPr>
          <w:snapToGrid/>
        </w:rPr>
        <w:t>E/C.12/2001/10</w:t>
      </w:r>
      <w:r>
        <w:rPr>
          <w:rFonts w:hint="eastAsia"/>
          <w:snapToGrid/>
        </w:rPr>
        <w:t>)</w:t>
      </w:r>
      <w:r>
        <w:rPr>
          <w:rFonts w:hint="eastAsia"/>
          <w:snapToGrid/>
        </w:rPr>
        <w:t>。委员会还促请缔约国在国家层面上确定最低综合收入以防止贫困现象。</w:t>
      </w:r>
    </w:p>
    <w:p w:rsidR="00000000" w:rsidRDefault="00000000">
      <w:pPr>
        <w:ind w:firstLine="510"/>
        <w:rPr>
          <w:b/>
          <w:snapToGrid/>
        </w:rPr>
      </w:pPr>
      <w:r>
        <w:rPr>
          <w:snapToGrid/>
        </w:rPr>
        <w:t>42.</w:t>
      </w:r>
      <w:r>
        <w:rPr>
          <w:rFonts w:hint="eastAsia"/>
          <w:snapToGrid/>
        </w:rPr>
        <w:t xml:space="preserve">  </w:t>
      </w:r>
      <w:r>
        <w:rPr>
          <w:rFonts w:hint="eastAsia"/>
          <w:snapToGrid/>
        </w:rPr>
        <w:t>委员会促请缔约国采取适当措施通过有关寻求庇护者的完整立法，并保证其经济、社会和文化权利得到适当考虑。</w:t>
      </w:r>
    </w:p>
    <w:p w:rsidR="00000000" w:rsidRDefault="00000000">
      <w:pPr>
        <w:ind w:firstLine="510"/>
        <w:rPr>
          <w:b/>
          <w:snapToGrid/>
        </w:rPr>
      </w:pPr>
      <w:r>
        <w:rPr>
          <w:snapToGrid/>
        </w:rPr>
        <w:t>43.</w:t>
      </w:r>
      <w:r>
        <w:rPr>
          <w:rFonts w:hint="eastAsia"/>
          <w:snapToGrid/>
        </w:rPr>
        <w:t xml:space="preserve">  </w:t>
      </w:r>
      <w:r>
        <w:rPr>
          <w:rFonts w:hint="eastAsia"/>
          <w:snapToGrid/>
        </w:rPr>
        <w:t>委员会建议缔约国加紧努力，制止家庭暴力，尤其是对妇女的暴力，并开展宣传运动，以便向一般公众进行有关家庭暴力后果的教育。委员会请缔约国在其下次定期报告阐述在实施相关法律中所取得的成就和所遇到的困难。</w:t>
      </w:r>
    </w:p>
    <w:p w:rsidR="00000000" w:rsidRDefault="00000000">
      <w:pPr>
        <w:ind w:firstLine="510"/>
        <w:rPr>
          <w:b/>
          <w:snapToGrid/>
        </w:rPr>
      </w:pPr>
      <w:r>
        <w:rPr>
          <w:snapToGrid/>
        </w:rPr>
        <w:t>44.</w:t>
      </w:r>
      <w:r>
        <w:rPr>
          <w:rFonts w:hint="eastAsia"/>
          <w:snapToGrid/>
        </w:rPr>
        <w:t xml:space="preserve">  </w:t>
      </w:r>
      <w:r>
        <w:rPr>
          <w:rFonts w:hint="eastAsia"/>
          <w:snapToGrid/>
        </w:rPr>
        <w:t>委员会强烈建议缔约国扩大收费低廉、大门敞开、容易利用的托儿服务网络。</w:t>
      </w:r>
    </w:p>
    <w:p w:rsidR="00000000" w:rsidRDefault="00000000">
      <w:pPr>
        <w:ind w:firstLine="510"/>
        <w:rPr>
          <w:b/>
          <w:snapToGrid/>
        </w:rPr>
      </w:pPr>
      <w:r>
        <w:rPr>
          <w:snapToGrid/>
        </w:rPr>
        <w:t>45.</w:t>
      </w:r>
      <w:r>
        <w:rPr>
          <w:rFonts w:hint="eastAsia"/>
          <w:snapToGrid/>
        </w:rPr>
        <w:t xml:space="preserve">  </w:t>
      </w:r>
      <w:r>
        <w:rPr>
          <w:rFonts w:hint="eastAsia"/>
          <w:snapToGrid/>
        </w:rPr>
        <w:t>委员会促请缔约国加紧努力，为罗姆人移民建造更多的永久住宅区，并采取一切必要措施帮助他们融入当地社区，向其提供就业机会，并向其子女提供适当的教育设施。</w:t>
      </w:r>
    </w:p>
    <w:p w:rsidR="00000000" w:rsidRDefault="00000000">
      <w:pPr>
        <w:ind w:firstLine="510"/>
        <w:rPr>
          <w:b/>
          <w:snapToGrid/>
        </w:rPr>
      </w:pPr>
      <w:r>
        <w:rPr>
          <w:snapToGrid/>
        </w:rPr>
        <w:t>46.</w:t>
      </w:r>
      <w:r>
        <w:rPr>
          <w:rFonts w:hint="eastAsia"/>
          <w:snapToGrid/>
        </w:rPr>
        <w:t xml:space="preserve">  </w:t>
      </w:r>
      <w:r>
        <w:rPr>
          <w:rFonts w:hint="eastAsia"/>
          <w:snapToGrid/>
        </w:rPr>
        <w:t>委员会促请缔约国采取一切必要的纠正措施，制止在住房领域里对处境不利和社会边际群体，尤其是移民和罗姆人所施加的歧视。</w:t>
      </w:r>
    </w:p>
    <w:p w:rsidR="00000000" w:rsidRDefault="00000000">
      <w:pPr>
        <w:ind w:firstLine="510"/>
        <w:rPr>
          <w:b/>
          <w:snapToGrid/>
        </w:rPr>
      </w:pPr>
      <w:r>
        <w:rPr>
          <w:snapToGrid/>
        </w:rPr>
        <w:t>47.</w:t>
      </w:r>
      <w:r>
        <w:rPr>
          <w:rFonts w:hint="eastAsia"/>
          <w:snapToGrid/>
        </w:rPr>
        <w:t xml:space="preserve">  </w:t>
      </w:r>
      <w:r>
        <w:rPr>
          <w:rFonts w:hint="eastAsia"/>
          <w:snapToGrid/>
        </w:rPr>
        <w:t>委员会促请缔约国采取有效措施，以便保证对于罗姆人和交不起房租的房客所实行的强迫搬离符合委员会在其第</w:t>
      </w:r>
      <w:r>
        <w:rPr>
          <w:snapToGrid/>
        </w:rPr>
        <w:t>7</w:t>
      </w:r>
      <w:r>
        <w:rPr>
          <w:rFonts w:hint="eastAsia"/>
          <w:snapToGrid/>
        </w:rPr>
        <w:t>号一般性意见中所确立的指导方针，并提供更多的住房单位，以便满足处境不利和社会边际群体的需要，其中包括老年人、残疾人士和移民。</w:t>
      </w:r>
    </w:p>
    <w:p w:rsidR="00000000" w:rsidRDefault="00000000">
      <w:pPr>
        <w:ind w:firstLine="510"/>
        <w:rPr>
          <w:b/>
          <w:snapToGrid/>
        </w:rPr>
      </w:pPr>
      <w:r>
        <w:rPr>
          <w:snapToGrid/>
        </w:rPr>
        <w:t>48.</w:t>
      </w:r>
      <w:r>
        <w:rPr>
          <w:rFonts w:hint="eastAsia"/>
          <w:snapToGrid/>
        </w:rPr>
        <w:t xml:space="preserve">  </w:t>
      </w:r>
      <w:r>
        <w:rPr>
          <w:rFonts w:hint="eastAsia"/>
          <w:snapToGrid/>
        </w:rPr>
        <w:t>委员会并促请缔约国在其下次定期报告阐述特别影响到移民的无家可归者问题的范围和程度。</w:t>
      </w:r>
    </w:p>
    <w:p w:rsidR="00000000" w:rsidRDefault="00000000">
      <w:pPr>
        <w:ind w:firstLine="510"/>
        <w:rPr>
          <w:b/>
          <w:snapToGrid/>
        </w:rPr>
      </w:pPr>
      <w:r>
        <w:rPr>
          <w:snapToGrid/>
        </w:rPr>
        <w:t>49.</w:t>
      </w:r>
      <w:r>
        <w:rPr>
          <w:rFonts w:hint="eastAsia"/>
          <w:snapToGrid/>
        </w:rPr>
        <w:t xml:space="preserve">  </w:t>
      </w:r>
      <w:r>
        <w:rPr>
          <w:rFonts w:hint="eastAsia"/>
          <w:snapToGrid/>
        </w:rPr>
        <w:t>委员会建议缔约国在其下次定期报告中随同分门别类的数据，一并提供在整个报告期间有关慢性病、老龄和残疾情况的基准资料，从而使委员会能够根据委员会第</w:t>
      </w:r>
      <w:r>
        <w:rPr>
          <w:snapToGrid/>
        </w:rPr>
        <w:t>14</w:t>
      </w:r>
      <w:r>
        <w:rPr>
          <w:rFonts w:hint="eastAsia"/>
          <w:snapToGrid/>
        </w:rPr>
        <w:t>号一般性意见评估健康权的落实情况。</w:t>
      </w:r>
    </w:p>
    <w:p w:rsidR="00000000" w:rsidRDefault="00000000">
      <w:pPr>
        <w:ind w:firstLine="510"/>
        <w:rPr>
          <w:b/>
          <w:snapToGrid/>
        </w:rPr>
      </w:pPr>
      <w:r>
        <w:rPr>
          <w:snapToGrid/>
        </w:rPr>
        <w:t>50.</w:t>
      </w:r>
      <w:r>
        <w:rPr>
          <w:rFonts w:hint="eastAsia"/>
          <w:snapToGrid/>
        </w:rPr>
        <w:t xml:space="preserve">  </w:t>
      </w:r>
      <w:r>
        <w:rPr>
          <w:rFonts w:hint="eastAsia"/>
          <w:snapToGrid/>
        </w:rPr>
        <w:t>委员会并建议缔约国在其下次定期报告提供在涉及爱滋病毒</w:t>
      </w:r>
      <w:r>
        <w:rPr>
          <w:snapToGrid/>
        </w:rPr>
        <w:t>/</w:t>
      </w:r>
      <w:r>
        <w:rPr>
          <w:rFonts w:hint="eastAsia"/>
          <w:snapToGrid/>
        </w:rPr>
        <w:t>爱滋病方面所采取的措施的详细资料，并提供按性别、城市</w:t>
      </w:r>
      <w:r>
        <w:rPr>
          <w:snapToGrid/>
        </w:rPr>
        <w:t>/</w:t>
      </w:r>
      <w:r>
        <w:rPr>
          <w:rFonts w:hint="eastAsia"/>
          <w:snapToGrid/>
        </w:rPr>
        <w:t>农村地区和处境不利或社会边际群体情况，并按第</w:t>
      </w:r>
      <w:r>
        <w:rPr>
          <w:snapToGrid/>
        </w:rPr>
        <w:t>14</w:t>
      </w:r>
      <w:r>
        <w:rPr>
          <w:rFonts w:hint="eastAsia"/>
          <w:snapToGrid/>
        </w:rPr>
        <w:t>号一般性意见所提到的其他标准而分门别类开列的更详尽统计数据。</w:t>
      </w:r>
    </w:p>
    <w:p w:rsidR="00000000" w:rsidRDefault="00000000">
      <w:pPr>
        <w:ind w:firstLine="510"/>
        <w:rPr>
          <w:b/>
          <w:snapToGrid/>
        </w:rPr>
      </w:pPr>
      <w:r>
        <w:rPr>
          <w:snapToGrid/>
        </w:rPr>
        <w:t>51.</w:t>
      </w:r>
      <w:r>
        <w:rPr>
          <w:rFonts w:hint="eastAsia"/>
          <w:snapToGrid/>
        </w:rPr>
        <w:t xml:space="preserve">  </w:t>
      </w:r>
      <w:r>
        <w:rPr>
          <w:rFonts w:hint="eastAsia"/>
          <w:snapToGrid/>
        </w:rPr>
        <w:t>委员会建议缔约国考虑老年人的健康和社会看护综合需求，建立家庭看护和其他个人和社会服务。</w:t>
      </w:r>
    </w:p>
    <w:p w:rsidR="00000000" w:rsidRDefault="00000000">
      <w:pPr>
        <w:ind w:firstLine="510"/>
        <w:rPr>
          <w:b/>
          <w:snapToGrid/>
        </w:rPr>
      </w:pPr>
      <w:r>
        <w:rPr>
          <w:snapToGrid/>
        </w:rPr>
        <w:t>52.</w:t>
      </w:r>
      <w:r>
        <w:rPr>
          <w:rFonts w:hint="eastAsia"/>
          <w:snapToGrid/>
        </w:rPr>
        <w:t xml:space="preserve">  </w:t>
      </w:r>
      <w:r>
        <w:rPr>
          <w:rFonts w:hint="eastAsia"/>
          <w:snapToGrid/>
        </w:rPr>
        <w:t>委员会注意到，</w:t>
      </w:r>
      <w:r>
        <w:rPr>
          <w:snapToGrid/>
        </w:rPr>
        <w:t>2004</w:t>
      </w:r>
      <w:r>
        <w:rPr>
          <w:rFonts w:hint="eastAsia"/>
          <w:snapToGrid/>
        </w:rPr>
        <w:t>年</w:t>
      </w:r>
      <w:r>
        <w:rPr>
          <w:snapToGrid/>
        </w:rPr>
        <w:t>5</w:t>
      </w:r>
      <w:r>
        <w:rPr>
          <w:rFonts w:hint="eastAsia"/>
          <w:snapToGrid/>
        </w:rPr>
        <w:t>月，该国参议院通过了关于养老金改革的法案。委员会希望在该国的下次定期报告了解到该法案的实施情况，尤其是希望了解最低养老金是否为领取人及其家属提供适当的生活标准。</w:t>
      </w:r>
    </w:p>
    <w:p w:rsidR="00000000" w:rsidRDefault="00000000">
      <w:pPr>
        <w:ind w:firstLine="510"/>
        <w:rPr>
          <w:b/>
          <w:snapToGrid/>
        </w:rPr>
      </w:pPr>
      <w:r>
        <w:rPr>
          <w:snapToGrid/>
        </w:rPr>
        <w:t>53.</w:t>
      </w:r>
      <w:r>
        <w:rPr>
          <w:rFonts w:hint="eastAsia"/>
          <w:snapToGrid/>
        </w:rPr>
        <w:t xml:space="preserve">  </w:t>
      </w:r>
      <w:r>
        <w:rPr>
          <w:rFonts w:hint="eastAsia"/>
          <w:snapToGrid/>
        </w:rPr>
        <w:t>委员会请缔约国向社会各界，尤其在国家官员和司法机构中广为散发本结论性意见，并在下次定期报告中向委员会通报为落实这些意见所采取的一切步骤。委员会并鼓励缔约国在提交第五次定期报告以前，与非政府组织和民间社会的其他成员进行国家一级的讨论。</w:t>
      </w:r>
    </w:p>
    <w:p w:rsidR="00000000" w:rsidRDefault="00000000">
      <w:pPr>
        <w:ind w:firstLine="510"/>
        <w:rPr>
          <w:b/>
          <w:snapToGrid/>
        </w:rPr>
      </w:pPr>
      <w:r>
        <w:rPr>
          <w:snapToGrid/>
        </w:rPr>
        <w:t xml:space="preserve">54.  </w:t>
      </w:r>
      <w:r>
        <w:rPr>
          <w:rFonts w:hint="eastAsia"/>
          <w:snapToGrid/>
        </w:rPr>
        <w:t>最后，委员会请缔约国于</w:t>
      </w:r>
      <w:r>
        <w:rPr>
          <w:snapToGrid/>
        </w:rPr>
        <w:t>2009</w:t>
      </w:r>
      <w:r>
        <w:rPr>
          <w:rFonts w:hint="eastAsia"/>
          <w:snapToGrid/>
        </w:rPr>
        <w:t>年</w:t>
      </w:r>
      <w:r>
        <w:rPr>
          <w:snapToGrid/>
        </w:rPr>
        <w:t>6</w:t>
      </w:r>
      <w:r>
        <w:rPr>
          <w:rFonts w:hint="eastAsia"/>
          <w:snapToGrid/>
        </w:rPr>
        <w:t>月</w:t>
      </w:r>
      <w:r>
        <w:rPr>
          <w:snapToGrid/>
        </w:rPr>
        <w:t>30</w:t>
      </w:r>
      <w:r>
        <w:rPr>
          <w:rFonts w:hint="eastAsia"/>
          <w:snapToGrid/>
        </w:rPr>
        <w:t>日之前提交第五次定期报告。</w:t>
      </w:r>
    </w:p>
    <w:p w:rsidR="00000000" w:rsidRDefault="00000000">
      <w:pPr>
        <w:ind w:firstLine="510"/>
        <w:rPr>
          <w:rFonts w:hint="eastAsia"/>
          <w:b/>
          <w:snapToGrid/>
        </w:rPr>
      </w:pPr>
    </w:p>
    <w:p w:rsidR="00000000" w:rsidRDefault="00000000">
      <w:pPr>
        <w:ind w:firstLine="510"/>
        <w:rPr>
          <w:rFonts w:hint="eastAsia"/>
          <w:b/>
          <w:snapToGrid/>
        </w:rPr>
      </w:pPr>
    </w:p>
    <w:p w:rsidR="00000000" w:rsidRDefault="00000000">
      <w:pPr>
        <w:jc w:val="center"/>
      </w:pPr>
      <w:r>
        <w:t>--  --  --  --  --</w:t>
      </w:r>
    </w:p>
    <w:p w:rsidR="00000000" w:rsidRDefault="00000000">
      <w:pPr>
        <w:ind w:firstLine="510"/>
        <w:rPr>
          <w:rFonts w:hint="eastAsia"/>
          <w:snapToGrid/>
        </w:rPr>
      </w:pPr>
    </w:p>
    <w:sectPr w:rsidR="00000000">
      <w:headerReference w:type="even" r:id="rId7"/>
      <w:headerReference w:type="default" r:id="rId8"/>
      <w:headerReference w:type="first" r:id="rId9"/>
      <w:footerReference w:type="first" r:id="rId10"/>
      <w:pgSz w:w="11906" w:h="16838"/>
      <w:pgMar w:top="1985" w:right="1276" w:bottom="1985" w:left="1276" w:header="794" w:footer="1588" w:gutter="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Univers (WN)">
    <w:altName w:val="Arial"/>
    <w:panose1 w:val="00000000000000000000"/>
    <w:charset w:val="00"/>
    <w:family w:val="swiss"/>
    <w:notTrueType/>
    <w:pitch w:val="variable"/>
    <w:sig w:usb0="00000003" w:usb1="00000000" w:usb2="00000000" w:usb3="00000000" w:csb0="00000001"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04-45222 (C)</w:t>
          </w:r>
        </w:p>
      </w:tc>
      <w:tc>
        <w:tcPr>
          <w:tcW w:w="1050" w:type="dxa"/>
        </w:tcPr>
        <w:p w:rsidR="00000000" w:rsidRDefault="00000000">
          <w:pPr>
            <w:pStyle w:val="Footer"/>
          </w:pPr>
          <w:r>
            <w:t>020205</w:t>
          </w:r>
        </w:p>
      </w:tc>
      <w:tc>
        <w:tcPr>
          <w:tcW w:w="6061" w:type="dxa"/>
        </w:tcPr>
        <w:p w:rsidR="00000000" w:rsidRDefault="00000000">
          <w:pPr>
            <w:pStyle w:val="Footer"/>
          </w:pPr>
          <w:r>
            <w:t>020205</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E/C.12/1/Add.103</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ab/>
    </w:r>
    <w:r>
      <w:tab/>
    </w:r>
    <w:r>
      <w:tab/>
    </w:r>
    <w:r>
      <w:tab/>
      <w:t>E/C.12/1/Add.103</w:t>
    </w:r>
  </w:p>
  <w:p w:rsidR="00000000" w:rsidRDefault="00000000">
    <w:pPr>
      <w:pStyle w:val="Header"/>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L"/>
      <w:framePr w:w="1620" w:wrap="around" w:x="1277"/>
    </w:pPr>
    <w:r>
      <w:rPr>
        <w:noProof/>
      </w:rPr>
      <w:pict>
        <v:rect id="_x0000_s1025" style="position:absolute;left:0;text-align:left;margin-left:-12pt;margin-top:95.45pt;width:492.05pt;height:.95pt;z-index:-6;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Header"/>
    </w:pPr>
  </w:p>
  <w:p w:rsidR="00000000" w:rsidRDefault="00000000">
    <w:pPr>
      <w:pStyle w:val="Header"/>
    </w:pPr>
    <w:r>
      <w:rPr>
        <w:noProof/>
        <w:snapToGrid/>
        <w:lang w:eastAsia="zh-TW"/>
      </w:rPr>
      <w:pict>
        <v:rect id="_x0000_s1027" style="position:absolute;left:0;text-align:left;margin-left:525.3pt;margin-top:59.05pt;width:26pt;height:36pt;z-index:-4;mso-position-horizontal-relative:page;mso-position-vertical-relative:page" o:allowincell="f" filled="f" stroked="f" strokeweight="0">
          <v:textbox style="mso-next-textbox:#_x0000_s1027"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Header"/>
    </w:pPr>
    <w:r>
      <w:rPr>
        <w:noProof/>
        <w:snapToGrid/>
        <w:lang w:eastAsia="zh-TW"/>
      </w:rPr>
      <w:pict>
        <v:shapetype id="_x0000_t202" coordsize="21600,21600" o:spt="202" path="m,l,21600r21600,l21600,xe">
          <v:stroke joinstyle="miter"/>
          <v:path gradientshapeok="t" o:connecttype="rect"/>
        </v:shapetype>
        <v:shape id="_x0000_s1031" type="#_x0000_t202" style="position:absolute;left:0;text-align:left;margin-left:325pt;margin-top:52.65pt;width:149.5pt;height:108pt;z-index:6" strokecolor="white">
          <v:textbox>
            <w:txbxContent>
              <w:p w:rsidR="00000000" w:rsidRDefault="00000000">
                <w:pPr>
                  <w:pStyle w:val="Header"/>
                </w:pPr>
                <w:r>
                  <w:t>Distr.</w:t>
                </w:r>
              </w:p>
              <w:p w:rsidR="00000000" w:rsidRDefault="00000000">
                <w:pPr>
                  <w:pStyle w:val="Header"/>
                </w:pPr>
                <w:r>
                  <w:t>GENERAL</w:t>
                </w:r>
              </w:p>
              <w:p w:rsidR="00000000" w:rsidRDefault="00000000">
                <w:pPr>
                  <w:pStyle w:val="Header"/>
                </w:pPr>
              </w:p>
              <w:p w:rsidR="00000000" w:rsidRDefault="00000000">
                <w:pPr>
                  <w:pStyle w:val="Header"/>
                </w:pPr>
                <w:r>
                  <w:t>E/C.12/1/Add.103</w:t>
                </w:r>
              </w:p>
              <w:p w:rsidR="00000000" w:rsidRDefault="00000000">
                <w:pPr>
                  <w:pStyle w:val="Header"/>
                </w:pPr>
                <w:r>
                  <w:t>14 December 2004</w:t>
                </w:r>
              </w:p>
              <w:p w:rsidR="00000000" w:rsidRDefault="00000000">
                <w:pPr>
                  <w:pStyle w:val="Header"/>
                </w:pPr>
                <w:r>
                  <w:t>CHINESE</w:t>
                </w:r>
              </w:p>
              <w:p w:rsidR="00000000" w:rsidRDefault="00000000">
                <w:pPr>
                  <w:pStyle w:val="Header"/>
                </w:pPr>
                <w:r>
                  <w:t>Original:</w:t>
                </w:r>
                <w:r>
                  <w:tab/>
                  <w:t>ENGLISH</w:t>
                </w:r>
              </w:p>
              <w:p w:rsidR="00000000" w:rsidRDefault="00000000"/>
            </w:txbxContent>
          </v:textbox>
        </v:shape>
      </w:pict>
    </w:r>
  </w:p>
  <w:p w:rsidR="00000000" w:rsidRDefault="00000000">
    <w:pPr>
      <w:pStyle w:val="Header"/>
    </w:pPr>
  </w:p>
  <w:p w:rsidR="00000000" w:rsidRDefault="00000000">
    <w:pPr>
      <w:pStyle w:val="Header"/>
    </w:pPr>
  </w:p>
  <w:p w:rsidR="00000000" w:rsidRDefault="00000000">
    <w:pPr>
      <w:pStyle w:val="Header"/>
    </w:pPr>
    <w:r>
      <w:rPr>
        <w:noProof/>
        <w:snapToGrid/>
        <w:lang w:eastAsia="zh-TW"/>
      </w:rPr>
      <w:pict>
        <v:shape id="_x0000_s1026" type="#_x0000_t202" style="position:absolute;left:0;text-align:left;margin-left:-19.5pt;margin-top:6.25pt;width:83.35pt;height:66.45pt;z-index:2" strokecolor="white">
          <v:textbox style="mso-next-textbox:#_x0000_s1026">
            <w:txbxContent>
              <w:p w:rsidR="00000000" w:rsidRDefault="00000000">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58.5pt" fillcolor="window">
                      <v:imagedata r:id="rId1" o:title="" croptop="-107f" cropbottom="-92f" cropleft="-3348f" cropright="-3348f"/>
                    </v:shape>
                  </w:pict>
                </w:r>
              </w:p>
            </w:txbxContent>
          </v:textbox>
        </v:shape>
      </w:pict>
    </w:r>
  </w:p>
  <w:p w:rsidR="00000000" w:rsidRDefault="00000000">
    <w:pPr>
      <w:pStyle w:val="Header"/>
    </w:pPr>
    <w:r>
      <w:rPr>
        <w:noProof/>
        <w:snapToGrid/>
        <w:lang w:eastAsia="zh-TW"/>
      </w:rPr>
      <w:pict>
        <v:rect id="_x0000_s1030" style="position:absolute;left:0;text-align:left;margin-left:135.3pt;margin-top:121.45pt;width:201.5pt;height:31.25pt;z-index:-2;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r>
      <w:rPr>
        <w:noProof/>
        <w:snapToGrid/>
        <w:lang w:eastAsia="zh-TW"/>
      </w:rPr>
      <w:pict>
        <v:rect id="_x0000_s1028" style="position:absolute;left:0;text-align:left;margin-left:-12pt;margin-top:235.85pt;width:492.05pt;height:.05pt;z-index:-3;mso-position-horizontal-relative:margin;mso-position-vertical-relative:page" o:allowincell="f" fillcolor="black" strokeweight="4pt">
          <v:fill color2="black"/>
          <w10:wrap anchorx="margin"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A5D2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
    <w:nsid w:val="03103861"/>
    <w:multiLevelType w:val="singleLevel"/>
    <w:tmpl w:val="B4A25A9E"/>
    <w:lvl w:ilvl="0">
      <w:start w:val="1"/>
      <w:numFmt w:val="lowerLetter"/>
      <w:lvlText w:val="(%1)"/>
      <w:legacy w:legacy="1" w:legacySpace="0" w:legacyIndent="425"/>
      <w:lvlJc w:val="left"/>
      <w:pPr>
        <w:ind w:left="1446" w:hanging="425"/>
      </w:pPr>
    </w:lvl>
  </w:abstractNum>
  <w:abstractNum w:abstractNumId="2">
    <w:nsid w:val="03186C5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
    <w:nsid w:val="09140562"/>
    <w:multiLevelType w:val="singleLevel"/>
    <w:tmpl w:val="82686F16"/>
    <w:lvl w:ilvl="0">
      <w:start w:val="1"/>
      <w:numFmt w:val="lowerLetter"/>
      <w:lvlText w:val="(%1)"/>
      <w:lvlJc w:val="left"/>
      <w:pPr>
        <w:tabs>
          <w:tab w:val="num" w:pos="1531"/>
        </w:tabs>
        <w:ind w:left="1531" w:hanging="510"/>
      </w:pPr>
      <w:rPr>
        <w:rFonts w:hint="eastAsia"/>
      </w:rPr>
    </w:lvl>
  </w:abstractNum>
  <w:abstractNum w:abstractNumId="4">
    <w:nsid w:val="095375A4"/>
    <w:multiLevelType w:val="singleLevel"/>
    <w:tmpl w:val="B4A25A9E"/>
    <w:lvl w:ilvl="0">
      <w:start w:val="1"/>
      <w:numFmt w:val="lowerLetter"/>
      <w:lvlText w:val="(%1)"/>
      <w:legacy w:legacy="1" w:legacySpace="0" w:legacyIndent="425"/>
      <w:lvlJc w:val="left"/>
      <w:pPr>
        <w:ind w:left="1446" w:hanging="425"/>
      </w:pPr>
    </w:lvl>
  </w:abstractNum>
  <w:abstractNum w:abstractNumId="5">
    <w:nsid w:val="095F2F2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
    <w:nsid w:val="0A29067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
    <w:nsid w:val="0CD872A0"/>
    <w:multiLevelType w:val="singleLevel"/>
    <w:tmpl w:val="B4A25A9E"/>
    <w:lvl w:ilvl="0">
      <w:start w:val="1"/>
      <w:numFmt w:val="lowerLetter"/>
      <w:lvlText w:val="(%1)"/>
      <w:legacy w:legacy="1" w:legacySpace="0" w:legacyIndent="425"/>
      <w:lvlJc w:val="left"/>
      <w:pPr>
        <w:ind w:left="1446" w:hanging="425"/>
      </w:pPr>
    </w:lvl>
  </w:abstractNum>
  <w:abstractNum w:abstractNumId="8">
    <w:nsid w:val="0DC0252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
    <w:nsid w:val="0F8637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
    <w:nsid w:val="105C5A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
    <w:nsid w:val="11EC2BA0"/>
    <w:multiLevelType w:val="singleLevel"/>
    <w:tmpl w:val="E9F4FBEE"/>
    <w:lvl w:ilvl="0">
      <w:start w:val="1"/>
      <w:numFmt w:val="lowerLetter"/>
      <w:lvlText w:val="(%1)"/>
      <w:legacy w:legacy="1" w:legacySpace="0" w:legacyIndent="425"/>
      <w:lvlJc w:val="left"/>
      <w:pPr>
        <w:ind w:left="1446" w:hanging="425"/>
      </w:pPr>
    </w:lvl>
  </w:abstractNum>
  <w:abstractNum w:abstractNumId="12">
    <w:nsid w:val="127557C9"/>
    <w:multiLevelType w:val="singleLevel"/>
    <w:tmpl w:val="E9F4FBEE"/>
    <w:lvl w:ilvl="0">
      <w:start w:val="1"/>
      <w:numFmt w:val="lowerLetter"/>
      <w:lvlText w:val="(%1)"/>
      <w:legacy w:legacy="1" w:legacySpace="0" w:legacyIndent="425"/>
      <w:lvlJc w:val="left"/>
      <w:pPr>
        <w:ind w:left="1446" w:hanging="425"/>
      </w:pPr>
    </w:lvl>
  </w:abstractNum>
  <w:abstractNum w:abstractNumId="13">
    <w:nsid w:val="168E6F2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4">
    <w:nsid w:val="179B577F"/>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5">
    <w:nsid w:val="184135EC"/>
    <w:multiLevelType w:val="singleLevel"/>
    <w:tmpl w:val="B4A25A9E"/>
    <w:lvl w:ilvl="0">
      <w:start w:val="1"/>
      <w:numFmt w:val="lowerLetter"/>
      <w:lvlText w:val="(%1)"/>
      <w:legacy w:legacy="1" w:legacySpace="0" w:legacyIndent="425"/>
      <w:lvlJc w:val="left"/>
      <w:pPr>
        <w:ind w:left="1446" w:hanging="425"/>
      </w:pPr>
    </w:lvl>
  </w:abstractNum>
  <w:abstractNum w:abstractNumId="16">
    <w:nsid w:val="1D57580F"/>
    <w:multiLevelType w:val="singleLevel"/>
    <w:tmpl w:val="B4A25A9E"/>
    <w:lvl w:ilvl="0">
      <w:start w:val="1"/>
      <w:numFmt w:val="lowerLetter"/>
      <w:lvlText w:val="(%1)"/>
      <w:legacy w:legacy="1" w:legacySpace="0" w:legacyIndent="425"/>
      <w:lvlJc w:val="left"/>
      <w:pPr>
        <w:ind w:left="1446" w:hanging="425"/>
      </w:pPr>
    </w:lvl>
  </w:abstractNum>
  <w:abstractNum w:abstractNumId="17">
    <w:nsid w:val="1D9A55A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8">
    <w:nsid w:val="1FD9126C"/>
    <w:multiLevelType w:val="singleLevel"/>
    <w:tmpl w:val="E7BCB06A"/>
    <w:lvl w:ilvl="0">
      <w:start w:val="1"/>
      <w:numFmt w:val="chineseCountingThousand"/>
      <w:lvlText w:val="(%1)"/>
      <w:legacy w:legacy="1" w:legacySpace="0" w:legacyIndent="510"/>
      <w:lvlJc w:val="left"/>
      <w:pPr>
        <w:ind w:left="1531" w:hanging="510"/>
      </w:pPr>
    </w:lvl>
  </w:abstractNum>
  <w:abstractNum w:abstractNumId="19">
    <w:nsid w:val="22C6376B"/>
    <w:multiLevelType w:val="singleLevel"/>
    <w:tmpl w:val="E7BCB06A"/>
    <w:lvl w:ilvl="0">
      <w:start w:val="1"/>
      <w:numFmt w:val="chineseCountingThousand"/>
      <w:lvlText w:val="(%1)"/>
      <w:legacy w:legacy="1" w:legacySpace="0" w:legacyIndent="510"/>
      <w:lvlJc w:val="left"/>
      <w:pPr>
        <w:ind w:left="1531" w:hanging="510"/>
      </w:pPr>
    </w:lvl>
  </w:abstractNum>
  <w:abstractNum w:abstractNumId="20">
    <w:nsid w:val="22E44274"/>
    <w:multiLevelType w:val="hybridMultilevel"/>
    <w:tmpl w:val="E132C74E"/>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2"/>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25DF17E1"/>
    <w:multiLevelType w:val="singleLevel"/>
    <w:tmpl w:val="E9F4FBEE"/>
    <w:lvl w:ilvl="0">
      <w:start w:val="1"/>
      <w:numFmt w:val="lowerLetter"/>
      <w:lvlText w:val="(%1)"/>
      <w:lvlJc w:val="left"/>
      <w:pPr>
        <w:tabs>
          <w:tab w:val="num" w:pos="1531"/>
        </w:tabs>
        <w:ind w:left="1531" w:hanging="510"/>
      </w:pPr>
      <w:rPr>
        <w:rFonts w:hint="eastAsia"/>
      </w:rPr>
    </w:lvl>
  </w:abstractNum>
  <w:abstractNum w:abstractNumId="22">
    <w:nsid w:val="25F3061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3">
    <w:nsid w:val="294E42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4">
    <w:nsid w:val="32D95CC5"/>
    <w:multiLevelType w:val="singleLevel"/>
    <w:tmpl w:val="B4A25A9E"/>
    <w:lvl w:ilvl="0">
      <w:start w:val="1"/>
      <w:numFmt w:val="lowerLetter"/>
      <w:lvlText w:val="(%1)"/>
      <w:legacy w:legacy="1" w:legacySpace="0" w:legacyIndent="425"/>
      <w:lvlJc w:val="left"/>
      <w:pPr>
        <w:ind w:left="1446" w:hanging="425"/>
      </w:pPr>
    </w:lvl>
  </w:abstractNum>
  <w:abstractNum w:abstractNumId="25">
    <w:nsid w:val="33BF5892"/>
    <w:multiLevelType w:val="singleLevel"/>
    <w:tmpl w:val="C86ED9F2"/>
    <w:lvl w:ilvl="0">
      <w:start w:val="1"/>
      <w:numFmt w:val="chineseCountingThousand"/>
      <w:lvlText w:val="(%1)"/>
      <w:lvlJc w:val="left"/>
      <w:pPr>
        <w:tabs>
          <w:tab w:val="num" w:pos="1021"/>
        </w:tabs>
        <w:ind w:left="1021" w:hanging="511"/>
      </w:pPr>
      <w:rPr>
        <w:rFonts w:hint="eastAsia"/>
        <w:sz w:val="21"/>
      </w:rPr>
    </w:lvl>
  </w:abstractNum>
  <w:abstractNum w:abstractNumId="26">
    <w:nsid w:val="34364C53"/>
    <w:multiLevelType w:val="singleLevel"/>
    <w:tmpl w:val="E7BCB06A"/>
    <w:lvl w:ilvl="0">
      <w:start w:val="1"/>
      <w:numFmt w:val="chineseCountingThousand"/>
      <w:lvlText w:val="(%1)"/>
      <w:legacy w:legacy="1" w:legacySpace="0" w:legacyIndent="510"/>
      <w:lvlJc w:val="left"/>
      <w:pPr>
        <w:ind w:left="1531" w:hanging="510"/>
      </w:pPr>
    </w:lvl>
  </w:abstractNum>
  <w:abstractNum w:abstractNumId="27">
    <w:nsid w:val="36DE14D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8">
    <w:nsid w:val="39640286"/>
    <w:multiLevelType w:val="singleLevel"/>
    <w:tmpl w:val="E9F4FBEE"/>
    <w:lvl w:ilvl="0">
      <w:start w:val="1"/>
      <w:numFmt w:val="lowerLetter"/>
      <w:lvlText w:val="(%1)"/>
      <w:legacy w:legacy="1" w:legacySpace="0" w:legacyIndent="425"/>
      <w:lvlJc w:val="left"/>
      <w:pPr>
        <w:ind w:left="1446" w:hanging="425"/>
      </w:pPr>
    </w:lvl>
  </w:abstractNum>
  <w:abstractNum w:abstractNumId="29">
    <w:nsid w:val="39D90235"/>
    <w:multiLevelType w:val="singleLevel"/>
    <w:tmpl w:val="FE361496"/>
    <w:lvl w:ilvl="0">
      <w:start w:val="1"/>
      <w:numFmt w:val="bullet"/>
      <w:pStyle w:val="a"/>
      <w:lvlText w:val=""/>
      <w:lvlJc w:val="left"/>
      <w:pPr>
        <w:tabs>
          <w:tab w:val="num" w:pos="510"/>
        </w:tabs>
        <w:ind w:left="510" w:hanging="510"/>
      </w:pPr>
      <w:rPr>
        <w:rFonts w:ascii="Symbol" w:hAnsi="Symbol" w:hint="default"/>
      </w:rPr>
    </w:lvl>
  </w:abstractNum>
  <w:abstractNum w:abstractNumId="30">
    <w:nsid w:val="3A2144BA"/>
    <w:multiLevelType w:val="singleLevel"/>
    <w:tmpl w:val="E7BCB06A"/>
    <w:lvl w:ilvl="0">
      <w:start w:val="1"/>
      <w:numFmt w:val="chineseCountingThousand"/>
      <w:lvlText w:val="(%1)"/>
      <w:legacy w:legacy="1" w:legacySpace="0" w:legacyIndent="510"/>
      <w:lvlJc w:val="left"/>
      <w:pPr>
        <w:ind w:left="1531" w:hanging="510"/>
      </w:pPr>
    </w:lvl>
  </w:abstractNum>
  <w:abstractNum w:abstractNumId="31">
    <w:nsid w:val="3D3D063F"/>
    <w:multiLevelType w:val="singleLevel"/>
    <w:tmpl w:val="E9F4FBEE"/>
    <w:lvl w:ilvl="0">
      <w:start w:val="1"/>
      <w:numFmt w:val="lowerLetter"/>
      <w:lvlText w:val="(%1)"/>
      <w:legacy w:legacy="1" w:legacySpace="0" w:legacyIndent="425"/>
      <w:lvlJc w:val="left"/>
      <w:pPr>
        <w:ind w:left="1446" w:hanging="425"/>
      </w:pPr>
    </w:lvl>
  </w:abstractNum>
  <w:abstractNum w:abstractNumId="32">
    <w:nsid w:val="3D9135F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3">
    <w:nsid w:val="4058264B"/>
    <w:multiLevelType w:val="singleLevel"/>
    <w:tmpl w:val="E7BCB06A"/>
    <w:lvl w:ilvl="0">
      <w:start w:val="1"/>
      <w:numFmt w:val="chineseCountingThousand"/>
      <w:lvlText w:val="(%1)"/>
      <w:legacy w:legacy="1" w:legacySpace="0" w:legacyIndent="510"/>
      <w:lvlJc w:val="left"/>
      <w:pPr>
        <w:ind w:left="1531" w:hanging="510"/>
      </w:pPr>
    </w:lvl>
  </w:abstractNum>
  <w:abstractNum w:abstractNumId="34">
    <w:nsid w:val="43956758"/>
    <w:multiLevelType w:val="singleLevel"/>
    <w:tmpl w:val="E7BCB06A"/>
    <w:lvl w:ilvl="0">
      <w:start w:val="1"/>
      <w:numFmt w:val="chineseCountingThousand"/>
      <w:lvlText w:val="(%1)"/>
      <w:legacy w:legacy="1" w:legacySpace="0" w:legacyIndent="510"/>
      <w:lvlJc w:val="left"/>
      <w:pPr>
        <w:ind w:left="1531" w:hanging="510"/>
      </w:pPr>
    </w:lvl>
  </w:abstractNum>
  <w:abstractNum w:abstractNumId="35">
    <w:nsid w:val="479A15CD"/>
    <w:multiLevelType w:val="singleLevel"/>
    <w:tmpl w:val="E7BCB06A"/>
    <w:lvl w:ilvl="0">
      <w:start w:val="1"/>
      <w:numFmt w:val="chineseCountingThousand"/>
      <w:lvlText w:val="(%1)"/>
      <w:legacy w:legacy="1" w:legacySpace="0" w:legacyIndent="510"/>
      <w:lvlJc w:val="left"/>
      <w:pPr>
        <w:ind w:left="1531" w:hanging="510"/>
      </w:pPr>
    </w:lvl>
  </w:abstractNum>
  <w:abstractNum w:abstractNumId="36">
    <w:nsid w:val="47B819F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7">
    <w:nsid w:val="48634CBB"/>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8">
    <w:nsid w:val="49DE16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9">
    <w:nsid w:val="4A4B593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0">
    <w:nsid w:val="4D225052"/>
    <w:multiLevelType w:val="singleLevel"/>
    <w:tmpl w:val="E9F4FBEE"/>
    <w:lvl w:ilvl="0">
      <w:start w:val="1"/>
      <w:numFmt w:val="lowerLetter"/>
      <w:lvlText w:val="(%1)"/>
      <w:legacy w:legacy="1" w:legacySpace="0" w:legacyIndent="425"/>
      <w:lvlJc w:val="left"/>
      <w:pPr>
        <w:ind w:left="1446" w:hanging="425"/>
      </w:pPr>
    </w:lvl>
  </w:abstractNum>
  <w:abstractNum w:abstractNumId="41">
    <w:nsid w:val="4DC000A7"/>
    <w:multiLevelType w:val="singleLevel"/>
    <w:tmpl w:val="E7BCB06A"/>
    <w:lvl w:ilvl="0">
      <w:start w:val="1"/>
      <w:numFmt w:val="chineseCountingThousand"/>
      <w:lvlText w:val="(%1)"/>
      <w:legacy w:legacy="1" w:legacySpace="0" w:legacyIndent="510"/>
      <w:lvlJc w:val="left"/>
      <w:pPr>
        <w:ind w:left="1531" w:hanging="510"/>
      </w:pPr>
    </w:lvl>
  </w:abstractNum>
  <w:abstractNum w:abstractNumId="42">
    <w:nsid w:val="4E78043E"/>
    <w:multiLevelType w:val="singleLevel"/>
    <w:tmpl w:val="B4A25A9E"/>
    <w:lvl w:ilvl="0">
      <w:start w:val="1"/>
      <w:numFmt w:val="lowerLetter"/>
      <w:lvlText w:val="(%1)"/>
      <w:legacy w:legacy="1" w:legacySpace="0" w:legacyIndent="425"/>
      <w:lvlJc w:val="left"/>
      <w:pPr>
        <w:ind w:left="1446" w:hanging="425"/>
      </w:pPr>
    </w:lvl>
  </w:abstractNum>
  <w:abstractNum w:abstractNumId="43">
    <w:nsid w:val="4F3265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4">
    <w:nsid w:val="506E43E8"/>
    <w:multiLevelType w:val="singleLevel"/>
    <w:tmpl w:val="E7BCB06A"/>
    <w:lvl w:ilvl="0">
      <w:start w:val="1"/>
      <w:numFmt w:val="chineseCountingThousand"/>
      <w:lvlText w:val="(%1)"/>
      <w:legacy w:legacy="1" w:legacySpace="0" w:legacyIndent="510"/>
      <w:lvlJc w:val="left"/>
      <w:pPr>
        <w:ind w:left="1531" w:hanging="510"/>
      </w:pPr>
    </w:lvl>
  </w:abstractNum>
  <w:abstractNum w:abstractNumId="45">
    <w:nsid w:val="507317FD"/>
    <w:multiLevelType w:val="singleLevel"/>
    <w:tmpl w:val="34588E14"/>
    <w:lvl w:ilvl="0">
      <w:start w:val="1"/>
      <w:numFmt w:val="bullet"/>
      <w:pStyle w:val="a0"/>
      <w:lvlText w:val=""/>
      <w:lvlJc w:val="left"/>
      <w:pPr>
        <w:tabs>
          <w:tab w:val="num" w:pos="510"/>
        </w:tabs>
        <w:ind w:left="510" w:hanging="510"/>
      </w:pPr>
      <w:rPr>
        <w:rFonts w:ascii="Symbol" w:hAnsi="Symbol" w:hint="default"/>
        <w:sz w:val="24"/>
      </w:rPr>
    </w:lvl>
  </w:abstractNum>
  <w:abstractNum w:abstractNumId="46">
    <w:nsid w:val="517B1E4B"/>
    <w:multiLevelType w:val="singleLevel"/>
    <w:tmpl w:val="B4A25A9E"/>
    <w:lvl w:ilvl="0">
      <w:start w:val="1"/>
      <w:numFmt w:val="lowerLetter"/>
      <w:lvlText w:val="(%1)"/>
      <w:legacy w:legacy="1" w:legacySpace="0" w:legacyIndent="425"/>
      <w:lvlJc w:val="left"/>
      <w:pPr>
        <w:ind w:left="1446" w:hanging="425"/>
      </w:pPr>
    </w:lvl>
  </w:abstractNum>
  <w:abstractNum w:abstractNumId="47">
    <w:nsid w:val="518A6E7F"/>
    <w:multiLevelType w:val="singleLevel"/>
    <w:tmpl w:val="E7BCB06A"/>
    <w:lvl w:ilvl="0">
      <w:start w:val="1"/>
      <w:numFmt w:val="chineseCountingThousand"/>
      <w:lvlText w:val="(%1)"/>
      <w:legacy w:legacy="1" w:legacySpace="0" w:legacyIndent="510"/>
      <w:lvlJc w:val="left"/>
      <w:pPr>
        <w:ind w:left="1531" w:hanging="510"/>
      </w:pPr>
    </w:lvl>
  </w:abstractNum>
  <w:abstractNum w:abstractNumId="48">
    <w:nsid w:val="54156E5F"/>
    <w:multiLevelType w:val="singleLevel"/>
    <w:tmpl w:val="E7BCB06A"/>
    <w:lvl w:ilvl="0">
      <w:start w:val="1"/>
      <w:numFmt w:val="chineseCountingThousand"/>
      <w:lvlText w:val="(%1)"/>
      <w:legacy w:legacy="1" w:legacySpace="0" w:legacyIndent="510"/>
      <w:lvlJc w:val="left"/>
      <w:pPr>
        <w:ind w:left="1531" w:hanging="510"/>
      </w:pPr>
    </w:lvl>
  </w:abstractNum>
  <w:abstractNum w:abstractNumId="49">
    <w:nsid w:val="57565379"/>
    <w:multiLevelType w:val="singleLevel"/>
    <w:tmpl w:val="E7BCB06A"/>
    <w:lvl w:ilvl="0">
      <w:start w:val="1"/>
      <w:numFmt w:val="chineseCountingThousand"/>
      <w:lvlText w:val="(%1)"/>
      <w:legacy w:legacy="1" w:legacySpace="0" w:legacyIndent="510"/>
      <w:lvlJc w:val="left"/>
      <w:pPr>
        <w:ind w:left="1531" w:hanging="510"/>
      </w:pPr>
    </w:lvl>
  </w:abstractNum>
  <w:abstractNum w:abstractNumId="50">
    <w:nsid w:val="598B72F5"/>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1">
    <w:nsid w:val="5A4C6217"/>
    <w:multiLevelType w:val="singleLevel"/>
    <w:tmpl w:val="E9F4FBEE"/>
    <w:lvl w:ilvl="0">
      <w:start w:val="1"/>
      <w:numFmt w:val="lowerLetter"/>
      <w:lvlText w:val="(%1)"/>
      <w:legacy w:legacy="1" w:legacySpace="0" w:legacyIndent="425"/>
      <w:lvlJc w:val="left"/>
      <w:pPr>
        <w:ind w:left="1446" w:hanging="425"/>
      </w:pPr>
    </w:lvl>
  </w:abstractNum>
  <w:abstractNum w:abstractNumId="52">
    <w:nsid w:val="5C2F337C"/>
    <w:multiLevelType w:val="singleLevel"/>
    <w:tmpl w:val="B4A25A9E"/>
    <w:lvl w:ilvl="0">
      <w:start w:val="1"/>
      <w:numFmt w:val="lowerLetter"/>
      <w:lvlText w:val="(%1)"/>
      <w:legacy w:legacy="1" w:legacySpace="0" w:legacyIndent="425"/>
      <w:lvlJc w:val="left"/>
      <w:pPr>
        <w:ind w:left="1446" w:hanging="425"/>
      </w:pPr>
    </w:lvl>
  </w:abstractNum>
  <w:abstractNum w:abstractNumId="53">
    <w:nsid w:val="5C4B027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4">
    <w:nsid w:val="5CCA6BE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5">
    <w:nsid w:val="5D6070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6">
    <w:nsid w:val="5DD74E8E"/>
    <w:multiLevelType w:val="singleLevel"/>
    <w:tmpl w:val="E7BCB06A"/>
    <w:lvl w:ilvl="0">
      <w:start w:val="1"/>
      <w:numFmt w:val="chineseCountingThousand"/>
      <w:lvlText w:val="(%1)"/>
      <w:legacy w:legacy="1" w:legacySpace="0" w:legacyIndent="510"/>
      <w:lvlJc w:val="left"/>
      <w:pPr>
        <w:ind w:left="1531" w:hanging="510"/>
      </w:pPr>
    </w:lvl>
  </w:abstractNum>
  <w:abstractNum w:abstractNumId="57">
    <w:nsid w:val="5F1E5E12"/>
    <w:multiLevelType w:val="singleLevel"/>
    <w:tmpl w:val="E9F4FBEE"/>
    <w:lvl w:ilvl="0">
      <w:start w:val="1"/>
      <w:numFmt w:val="lowerLetter"/>
      <w:lvlText w:val="(%1)"/>
      <w:legacy w:legacy="1" w:legacySpace="0" w:legacyIndent="425"/>
      <w:lvlJc w:val="left"/>
      <w:pPr>
        <w:ind w:left="1446" w:hanging="425"/>
      </w:pPr>
    </w:lvl>
  </w:abstractNum>
  <w:abstractNum w:abstractNumId="58">
    <w:nsid w:val="62841E0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9">
    <w:nsid w:val="62895BB0"/>
    <w:multiLevelType w:val="singleLevel"/>
    <w:tmpl w:val="E7BCB06A"/>
    <w:lvl w:ilvl="0">
      <w:start w:val="1"/>
      <w:numFmt w:val="chineseCountingThousand"/>
      <w:lvlText w:val="(%1)"/>
      <w:legacy w:legacy="1" w:legacySpace="0" w:legacyIndent="510"/>
      <w:lvlJc w:val="left"/>
      <w:pPr>
        <w:ind w:left="1531" w:hanging="510"/>
      </w:pPr>
    </w:lvl>
  </w:abstractNum>
  <w:abstractNum w:abstractNumId="60">
    <w:nsid w:val="644F6C68"/>
    <w:multiLevelType w:val="singleLevel"/>
    <w:tmpl w:val="B4A25A9E"/>
    <w:lvl w:ilvl="0">
      <w:start w:val="1"/>
      <w:numFmt w:val="lowerLetter"/>
      <w:lvlText w:val="(%1)"/>
      <w:legacy w:legacy="1" w:legacySpace="0" w:legacyIndent="425"/>
      <w:lvlJc w:val="left"/>
      <w:pPr>
        <w:ind w:left="1446" w:hanging="425"/>
      </w:pPr>
    </w:lvl>
  </w:abstractNum>
  <w:abstractNum w:abstractNumId="61">
    <w:nsid w:val="67A72E09"/>
    <w:multiLevelType w:val="singleLevel"/>
    <w:tmpl w:val="B4A25A9E"/>
    <w:lvl w:ilvl="0">
      <w:start w:val="1"/>
      <w:numFmt w:val="lowerLetter"/>
      <w:lvlText w:val="(%1)"/>
      <w:legacy w:legacy="1" w:legacySpace="0" w:legacyIndent="425"/>
      <w:lvlJc w:val="left"/>
      <w:pPr>
        <w:ind w:left="1446" w:hanging="425"/>
      </w:pPr>
    </w:lvl>
  </w:abstractNum>
  <w:abstractNum w:abstractNumId="62">
    <w:nsid w:val="68264AA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3">
    <w:nsid w:val="688572CE"/>
    <w:multiLevelType w:val="singleLevel"/>
    <w:tmpl w:val="B4A25A9E"/>
    <w:lvl w:ilvl="0">
      <w:start w:val="1"/>
      <w:numFmt w:val="lowerLetter"/>
      <w:lvlText w:val="(%1)"/>
      <w:legacy w:legacy="1" w:legacySpace="0" w:legacyIndent="425"/>
      <w:lvlJc w:val="left"/>
      <w:pPr>
        <w:ind w:left="1446" w:hanging="425"/>
      </w:pPr>
    </w:lvl>
  </w:abstractNum>
  <w:abstractNum w:abstractNumId="64">
    <w:nsid w:val="6A27318B"/>
    <w:multiLevelType w:val="singleLevel"/>
    <w:tmpl w:val="E7BCB06A"/>
    <w:lvl w:ilvl="0">
      <w:start w:val="1"/>
      <w:numFmt w:val="chineseCountingThousand"/>
      <w:lvlText w:val="(%1)"/>
      <w:legacy w:legacy="1" w:legacySpace="0" w:legacyIndent="510"/>
      <w:lvlJc w:val="left"/>
      <w:pPr>
        <w:ind w:left="1531" w:hanging="510"/>
      </w:pPr>
    </w:lvl>
  </w:abstractNum>
  <w:abstractNum w:abstractNumId="65">
    <w:nsid w:val="6C6A76B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6">
    <w:nsid w:val="709D151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7">
    <w:nsid w:val="714A7CB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8">
    <w:nsid w:val="72E2133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9">
    <w:nsid w:val="738B6B3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0">
    <w:nsid w:val="74C879AA"/>
    <w:multiLevelType w:val="singleLevel"/>
    <w:tmpl w:val="B4A25A9E"/>
    <w:lvl w:ilvl="0">
      <w:start w:val="1"/>
      <w:numFmt w:val="lowerLetter"/>
      <w:lvlText w:val="(%1)"/>
      <w:legacy w:legacy="1" w:legacySpace="0" w:legacyIndent="425"/>
      <w:lvlJc w:val="left"/>
      <w:pPr>
        <w:ind w:left="1446" w:hanging="425"/>
      </w:pPr>
    </w:lvl>
  </w:abstractNum>
  <w:abstractNum w:abstractNumId="71">
    <w:nsid w:val="77350EFD"/>
    <w:multiLevelType w:val="hybridMultilevel"/>
    <w:tmpl w:val="67E8A7A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2">
    <w:nsid w:val="7796048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3">
    <w:nsid w:val="78332066"/>
    <w:multiLevelType w:val="singleLevel"/>
    <w:tmpl w:val="E7BCB06A"/>
    <w:lvl w:ilvl="0">
      <w:start w:val="1"/>
      <w:numFmt w:val="chineseCountingThousand"/>
      <w:lvlText w:val="(%1)"/>
      <w:legacy w:legacy="1" w:legacySpace="0" w:legacyIndent="510"/>
      <w:lvlJc w:val="left"/>
      <w:pPr>
        <w:ind w:left="1531" w:hanging="510"/>
      </w:pPr>
    </w:lvl>
  </w:abstractNum>
  <w:abstractNum w:abstractNumId="74">
    <w:nsid w:val="7AE3359F"/>
    <w:multiLevelType w:val="singleLevel"/>
    <w:tmpl w:val="E7BCB06A"/>
    <w:lvl w:ilvl="0">
      <w:start w:val="1"/>
      <w:numFmt w:val="chineseCountingThousand"/>
      <w:lvlText w:val="(%1)"/>
      <w:legacy w:legacy="1" w:legacySpace="0" w:legacyIndent="510"/>
      <w:lvlJc w:val="left"/>
      <w:pPr>
        <w:ind w:left="1531" w:hanging="510"/>
      </w:pPr>
    </w:lvl>
  </w:abstractNum>
  <w:abstractNum w:abstractNumId="75">
    <w:nsid w:val="7B816060"/>
    <w:multiLevelType w:val="singleLevel"/>
    <w:tmpl w:val="B4A25A9E"/>
    <w:lvl w:ilvl="0">
      <w:start w:val="1"/>
      <w:numFmt w:val="lowerLetter"/>
      <w:lvlText w:val="(%1)"/>
      <w:legacy w:legacy="1" w:legacySpace="0" w:legacyIndent="425"/>
      <w:lvlJc w:val="left"/>
      <w:pPr>
        <w:ind w:left="1446" w:hanging="425"/>
      </w:pPr>
    </w:lvl>
  </w:abstractNum>
  <w:abstractNum w:abstractNumId="76">
    <w:nsid w:val="7DE8756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7">
    <w:nsid w:val="7E8035EA"/>
    <w:multiLevelType w:val="singleLevel"/>
    <w:tmpl w:val="B4A25A9E"/>
    <w:lvl w:ilvl="0">
      <w:start w:val="1"/>
      <w:numFmt w:val="lowerLetter"/>
      <w:lvlText w:val="(%1)"/>
      <w:legacy w:legacy="1" w:legacySpace="0" w:legacyIndent="425"/>
      <w:lvlJc w:val="left"/>
      <w:pPr>
        <w:ind w:left="1446" w:hanging="425"/>
      </w:pPr>
    </w:lvl>
  </w:abstractNum>
  <w:num w:numId="1">
    <w:abstractNumId w:val="45"/>
  </w:num>
  <w:num w:numId="2">
    <w:abstractNumId w:val="29"/>
  </w:num>
  <w:num w:numId="3">
    <w:abstractNumId w:val="24"/>
  </w:num>
  <w:num w:numId="4">
    <w:abstractNumId w:val="25"/>
  </w:num>
  <w:num w:numId="5">
    <w:abstractNumId w:val="72"/>
  </w:num>
  <w:num w:numId="6">
    <w:abstractNumId w:val="0"/>
  </w:num>
  <w:num w:numId="7">
    <w:abstractNumId w:val="38"/>
  </w:num>
  <w:num w:numId="8">
    <w:abstractNumId w:val="22"/>
  </w:num>
  <w:num w:numId="9">
    <w:abstractNumId w:val="8"/>
  </w:num>
  <w:num w:numId="10">
    <w:abstractNumId w:val="13"/>
  </w:num>
  <w:num w:numId="11">
    <w:abstractNumId w:val="66"/>
  </w:num>
  <w:num w:numId="12">
    <w:abstractNumId w:val="16"/>
  </w:num>
  <w:num w:numId="13">
    <w:abstractNumId w:val="70"/>
  </w:num>
  <w:num w:numId="14">
    <w:abstractNumId w:val="42"/>
  </w:num>
  <w:num w:numId="15">
    <w:abstractNumId w:val="46"/>
  </w:num>
  <w:num w:numId="16">
    <w:abstractNumId w:val="4"/>
  </w:num>
  <w:num w:numId="17">
    <w:abstractNumId w:val="76"/>
  </w:num>
  <w:num w:numId="18">
    <w:abstractNumId w:val="65"/>
  </w:num>
  <w:num w:numId="19">
    <w:abstractNumId w:val="62"/>
  </w:num>
  <w:num w:numId="20">
    <w:abstractNumId w:val="6"/>
  </w:num>
  <w:num w:numId="21">
    <w:abstractNumId w:val="44"/>
  </w:num>
  <w:num w:numId="22">
    <w:abstractNumId w:val="48"/>
  </w:num>
  <w:num w:numId="23">
    <w:abstractNumId w:val="74"/>
  </w:num>
  <w:num w:numId="24">
    <w:abstractNumId w:val="56"/>
  </w:num>
  <w:num w:numId="25">
    <w:abstractNumId w:val="54"/>
  </w:num>
  <w:num w:numId="26">
    <w:abstractNumId w:val="37"/>
  </w:num>
  <w:num w:numId="27">
    <w:abstractNumId w:val="10"/>
  </w:num>
  <w:num w:numId="28">
    <w:abstractNumId w:val="7"/>
  </w:num>
  <w:num w:numId="29">
    <w:abstractNumId w:val="77"/>
  </w:num>
  <w:num w:numId="30">
    <w:abstractNumId w:val="1"/>
  </w:num>
  <w:num w:numId="31">
    <w:abstractNumId w:val="15"/>
  </w:num>
  <w:num w:numId="32">
    <w:abstractNumId w:val="69"/>
  </w:num>
  <w:num w:numId="33">
    <w:abstractNumId w:val="23"/>
  </w:num>
  <w:num w:numId="34">
    <w:abstractNumId w:val="61"/>
  </w:num>
  <w:num w:numId="35">
    <w:abstractNumId w:val="60"/>
  </w:num>
  <w:num w:numId="36">
    <w:abstractNumId w:val="30"/>
  </w:num>
  <w:num w:numId="37">
    <w:abstractNumId w:val="49"/>
  </w:num>
  <w:num w:numId="38">
    <w:abstractNumId w:val="53"/>
  </w:num>
  <w:num w:numId="39">
    <w:abstractNumId w:val="67"/>
  </w:num>
  <w:num w:numId="40">
    <w:abstractNumId w:val="5"/>
  </w:num>
  <w:num w:numId="41">
    <w:abstractNumId w:val="27"/>
  </w:num>
  <w:num w:numId="42">
    <w:abstractNumId w:val="75"/>
  </w:num>
  <w:num w:numId="43">
    <w:abstractNumId w:val="52"/>
  </w:num>
  <w:num w:numId="44">
    <w:abstractNumId w:val="63"/>
  </w:num>
  <w:num w:numId="45">
    <w:abstractNumId w:val="21"/>
  </w:num>
  <w:num w:numId="46">
    <w:abstractNumId w:val="28"/>
  </w:num>
  <w:num w:numId="47">
    <w:abstractNumId w:val="12"/>
  </w:num>
  <w:num w:numId="48">
    <w:abstractNumId w:val="57"/>
  </w:num>
  <w:num w:numId="49">
    <w:abstractNumId w:val="50"/>
  </w:num>
  <w:num w:numId="50">
    <w:abstractNumId w:val="32"/>
  </w:num>
  <w:num w:numId="51">
    <w:abstractNumId w:val="14"/>
  </w:num>
  <w:num w:numId="52">
    <w:abstractNumId w:val="51"/>
  </w:num>
  <w:num w:numId="53">
    <w:abstractNumId w:val="11"/>
  </w:num>
  <w:num w:numId="54">
    <w:abstractNumId w:val="31"/>
  </w:num>
  <w:num w:numId="55">
    <w:abstractNumId w:val="40"/>
  </w:num>
  <w:num w:numId="56">
    <w:abstractNumId w:val="73"/>
  </w:num>
  <w:num w:numId="57">
    <w:abstractNumId w:val="47"/>
  </w:num>
  <w:num w:numId="58">
    <w:abstractNumId w:val="33"/>
  </w:num>
  <w:num w:numId="59">
    <w:abstractNumId w:val="26"/>
  </w:num>
  <w:num w:numId="60">
    <w:abstractNumId w:val="3"/>
  </w:num>
  <w:num w:numId="61">
    <w:abstractNumId w:val="41"/>
  </w:num>
  <w:num w:numId="62">
    <w:abstractNumId w:val="18"/>
  </w:num>
  <w:num w:numId="63">
    <w:abstractNumId w:val="59"/>
  </w:num>
  <w:num w:numId="64">
    <w:abstractNumId w:val="58"/>
  </w:num>
  <w:num w:numId="65">
    <w:abstractNumId w:val="2"/>
  </w:num>
  <w:num w:numId="66">
    <w:abstractNumId w:val="43"/>
  </w:num>
  <w:num w:numId="67">
    <w:abstractNumId w:val="17"/>
  </w:num>
  <w:num w:numId="68">
    <w:abstractNumId w:val="39"/>
  </w:num>
  <w:num w:numId="69">
    <w:abstractNumId w:val="9"/>
  </w:num>
  <w:num w:numId="70">
    <w:abstractNumId w:val="55"/>
  </w:num>
  <w:num w:numId="71">
    <w:abstractNumId w:val="36"/>
  </w:num>
  <w:num w:numId="72">
    <w:abstractNumId w:val="68"/>
  </w:num>
  <w:num w:numId="73">
    <w:abstractNumId w:val="64"/>
  </w:num>
  <w:num w:numId="74">
    <w:abstractNumId w:val="19"/>
  </w:num>
  <w:num w:numId="75">
    <w:abstractNumId w:val="34"/>
  </w:num>
  <w:num w:numId="76">
    <w:abstractNumId w:val="35"/>
  </w:num>
  <w:num w:numId="77">
    <w:abstractNumId w:val="20"/>
  </w:num>
  <w:num w:numId="78">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30"/>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rFonts w:eastAsia="SimSun"/>
      <w:snapToGrid w:val="0"/>
      <w:spacing w:val="10"/>
      <w:sz w:val="24"/>
      <w:lang w:val="en-US" w:eastAsia="zh-CN"/>
    </w:rPr>
  </w:style>
  <w:style w:type="paragraph" w:styleId="Heading1">
    <w:name w:val="heading 1"/>
    <w:basedOn w:val="Normal"/>
    <w:next w:val="Normal"/>
    <w:qFormat/>
    <w:pPr>
      <w:keepNext/>
      <w:keepLines/>
      <w:spacing w:after="320" w:line="288" w:lineRule="auto"/>
      <w:jc w:val="center"/>
      <w:outlineLvl w:val="0"/>
    </w:pPr>
    <w:rPr>
      <w:b/>
      <w:kern w:val="32"/>
      <w:sz w:val="30"/>
    </w:rPr>
  </w:style>
  <w:style w:type="paragraph" w:styleId="Heading2">
    <w:name w:val="heading 2"/>
    <w:basedOn w:val="Normal"/>
    <w:next w:val="Normal"/>
    <w:qFormat/>
    <w:pPr>
      <w:keepNext/>
      <w:keepLines/>
      <w:spacing w:after="320" w:line="288" w:lineRule="auto"/>
      <w:jc w:val="center"/>
      <w:outlineLvl w:val="1"/>
    </w:pPr>
    <w:rPr>
      <w:kern w:val="28"/>
      <w:sz w:val="28"/>
    </w:rPr>
  </w:style>
  <w:style w:type="paragraph" w:styleId="Heading3">
    <w:name w:val="heading 3"/>
    <w:basedOn w:val="Normal"/>
    <w:next w:val="Normal"/>
    <w:qFormat/>
    <w:pPr>
      <w:keepNext/>
      <w:keepLines/>
      <w:spacing w:after="320"/>
      <w:jc w:val="center"/>
      <w:outlineLvl w:val="2"/>
    </w:pPr>
    <w:rPr>
      <w:kern w:val="28"/>
      <w:u w:val="single"/>
    </w:rPr>
  </w:style>
  <w:style w:type="paragraph" w:styleId="Heading4">
    <w:name w:val="heading 4"/>
    <w:basedOn w:val="Normal"/>
    <w:next w:val="Normal"/>
    <w:qFormat/>
    <w:pPr>
      <w:keepNext/>
      <w:keepLines/>
      <w:spacing w:after="240"/>
      <w:outlineLvl w:val="3"/>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cm">
    <w:name w:val="12cm落款"/>
    <w:basedOn w:val="Normal"/>
    <w:pPr>
      <w:keepLines/>
      <w:tabs>
        <w:tab w:val="left" w:pos="510"/>
      </w:tabs>
      <w:spacing w:before="160" w:after="280" w:line="288" w:lineRule="auto"/>
      <w:ind w:left="6804"/>
    </w:pPr>
  </w:style>
  <w:style w:type="paragraph" w:customStyle="1" w:styleId="9cm">
    <w:name w:val="9cm落款"/>
    <w:basedOn w:val="Normal"/>
    <w:pPr>
      <w:keepLines/>
      <w:tabs>
        <w:tab w:val="left" w:pos="510"/>
      </w:tabs>
      <w:spacing w:before="160" w:after="280" w:line="288" w:lineRule="auto"/>
      <w:ind w:left="5103"/>
    </w:pPr>
  </w:style>
  <w:style w:type="paragraph" w:customStyle="1" w:styleId="a1">
    <w:name w:val="表决"/>
    <w:basedOn w:val="Normal"/>
    <w:pPr>
      <w:ind w:left="2042" w:hanging="1021"/>
    </w:pPr>
  </w:style>
  <w:style w:type="paragraph" w:customStyle="1" w:styleId="a2">
    <w:name w:val="表中文字"/>
    <w:basedOn w:val="Normal"/>
    <w:pPr>
      <w:spacing w:line="320" w:lineRule="exact"/>
    </w:pPr>
    <w:rPr>
      <w:sz w:val="21"/>
    </w:rPr>
  </w:style>
  <w:style w:type="paragraph" w:customStyle="1" w:styleId="a3">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styleId="Header">
    <w:name w:val="header"/>
    <w:basedOn w:val="Normal"/>
    <w:semiHidden/>
    <w:pPr>
      <w:tabs>
        <w:tab w:val="left" w:pos="1202"/>
        <w:tab w:val="left" w:pos="6124"/>
        <w:tab w:val="left" w:pos="6634"/>
        <w:tab w:val="left" w:pos="7144"/>
        <w:tab w:val="left" w:pos="7655"/>
        <w:tab w:val="left" w:pos="8165"/>
      </w:tabs>
      <w:spacing w:line="264" w:lineRule="auto"/>
    </w:pPr>
    <w:rPr>
      <w:rFonts w:ascii="Courier New" w:hAnsi="Courier New"/>
      <w:sz w:val="20"/>
    </w:rPr>
  </w:style>
  <w:style w:type="paragraph" w:customStyle="1" w:styleId="a4">
    <w:name w:val="横眉"/>
    <w:basedOn w:val="Header"/>
    <w:autoRedefine/>
    <w:pPr>
      <w:tabs>
        <w:tab w:val="left" w:pos="1202"/>
      </w:tabs>
      <w:snapToGrid/>
      <w:spacing w:line="160" w:lineRule="exact"/>
    </w:pPr>
    <w:rPr>
      <w:snapToGrid/>
      <w:spacing w:val="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rFonts w:eastAsia="SimSun"/>
      <w:kern w:val="24"/>
      <w:sz w:val="24"/>
      <w:lang w:val="en-US" w:eastAsia="zh-CN"/>
    </w:rPr>
  </w:style>
  <w:style w:type="paragraph" w:styleId="FootnoteText">
    <w:name w:val="footnote text"/>
    <w:basedOn w:val="Normal"/>
    <w:semiHidden/>
    <w:pPr>
      <w:keepLines/>
      <w:spacing w:line="288" w:lineRule="auto"/>
      <w:ind w:firstLine="510"/>
    </w:pPr>
    <w:rPr>
      <w:rFonts w:eastAsia="KaiTi_GB2312"/>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5">
    <w:name w:val="居中页眉"/>
    <w:basedOn w:val="Header"/>
    <w:pPr>
      <w:tabs>
        <w:tab w:val="left" w:pos="1202"/>
      </w:tabs>
      <w:snapToGrid/>
      <w:spacing w:line="288" w:lineRule="auto"/>
    </w:pPr>
    <w:rPr>
      <w:snapToGrid/>
      <w:spacing w:val="0"/>
    </w:rPr>
  </w:style>
  <w:style w:type="paragraph" w:customStyle="1" w:styleId="a6">
    <w:name w:val="楷体"/>
    <w:basedOn w:val="Normal"/>
    <w:rPr>
      <w:rFonts w:eastAsia="KaiTi_GB2312"/>
    </w:rPr>
  </w:style>
  <w:style w:type="paragraph" w:customStyle="1" w:styleId="a7">
    <w:name w:val="目录"/>
    <w:basedOn w:val="Normal"/>
    <w:pPr>
      <w:tabs>
        <w:tab w:val="left" w:pos="510"/>
        <w:tab w:val="left" w:pos="7201"/>
        <w:tab w:val="left" w:pos="7711"/>
        <w:tab w:val="left" w:pos="8618"/>
        <w:tab w:val="right" w:pos="9356"/>
      </w:tabs>
      <w:spacing w:line="360" w:lineRule="auto"/>
    </w:pPr>
    <w:rPr>
      <w:rFonts w:eastAsia="KaiTi_GB2312"/>
      <w:noProof/>
    </w:rPr>
  </w:style>
  <w:style w:type="paragraph" w:customStyle="1" w:styleId="a8">
    <w:name w:val="目录段次"/>
    <w:basedOn w:val="Normal"/>
    <w:pPr>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9">
    <w:name w:val="目录段页次"/>
    <w:basedOn w:val="Normal"/>
    <w:pPr>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a">
    <w:name w:val="目录页次"/>
    <w:basedOn w:val="Normal"/>
    <w:pPr>
      <w:tabs>
        <w:tab w:val="left" w:pos="510"/>
        <w:tab w:val="left" w:pos="1021"/>
        <w:tab w:val="left" w:pos="1531"/>
        <w:tab w:val="left" w:pos="2041"/>
        <w:tab w:val="right" w:leader="dot" w:pos="8392"/>
        <w:tab w:val="right" w:pos="9185"/>
      </w:tabs>
      <w:ind w:left="510" w:right="1701" w:hanging="510"/>
    </w:pPr>
  </w:style>
  <w:style w:type="paragraph" w:customStyle="1" w:styleId="ab">
    <w:name w:val="首页页眉"/>
    <w:basedOn w:val="Normal"/>
    <w:pPr>
      <w:tabs>
        <w:tab w:val="left" w:pos="510"/>
      </w:tabs>
      <w:suppressAutoHyphens/>
      <w:spacing w:line="288" w:lineRule="auto"/>
    </w:pPr>
    <w:rPr>
      <w:rFonts w:ascii="Univers Bold" w:hAnsi="Univers Bold"/>
    </w:rPr>
  </w:style>
  <w:style w:type="paragraph" w:styleId="EndnoteText">
    <w:name w:val="endnote text"/>
    <w:basedOn w:val="FootnoteText"/>
    <w:semiHidden/>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c">
    <w:name w:val="悬挂"/>
    <w:basedOn w:val="Normal"/>
    <w:pPr>
      <w:ind w:left="1531" w:hanging="510"/>
    </w:pPr>
  </w:style>
  <w:style w:type="paragraph" w:customStyle="1" w:styleId="x">
    <w:name w:val="悬挂[(x)"/>
    <w:basedOn w:val="Normal"/>
    <w:pPr>
      <w:ind w:left="1531" w:hanging="595"/>
    </w:pPr>
  </w:style>
  <w:style w:type="paragraph" w:customStyle="1" w:styleId="x0">
    <w:name w:val="悬挂“(x)"/>
    <w:basedOn w:val="Normal"/>
    <w:pPr>
      <w:ind w:left="1531" w:hanging="794"/>
    </w:pPr>
  </w:style>
  <w:style w:type="paragraph" w:customStyle="1" w:styleId="a0">
    <w:name w:val="悬挂符号－"/>
    <w:basedOn w:val="ac"/>
    <w:pPr>
      <w:numPr>
        <w:numId w:val="1"/>
      </w:numPr>
      <w:tabs>
        <w:tab w:val="clear" w:pos="510"/>
      </w:tabs>
    </w:pPr>
  </w:style>
  <w:style w:type="paragraph" w:customStyle="1" w:styleId="a">
    <w:name w:val="悬挂符号●"/>
    <w:basedOn w:val="Normal"/>
    <w:pPr>
      <w:numPr>
        <w:numId w:val="2"/>
      </w:numPr>
      <w:tabs>
        <w:tab w:val="clear" w:pos="510"/>
      </w:tabs>
    </w:pPr>
  </w:style>
  <w:style w:type="paragraph" w:styleId="Footer">
    <w:name w:val="footer"/>
    <w:basedOn w:val="Normal"/>
    <w:semiHidden/>
    <w:pPr>
      <w:tabs>
        <w:tab w:val="left" w:pos="510"/>
      </w:tabs>
      <w:spacing w:line="264" w:lineRule="auto"/>
    </w:pPr>
    <w:rPr>
      <w:rFonts w:ascii="Courier New" w:hAnsi="Courier New"/>
      <w:sz w:val="20"/>
    </w:rPr>
  </w:style>
  <w:style w:type="character" w:styleId="PageNumber">
    <w:name w:val="page number"/>
    <w:semiHidden/>
    <w:rPr>
      <w:rFonts w:ascii="Courier New" w:eastAsia="SimSun" w:hAnsi="Courier New"/>
      <w:spacing w:val="0"/>
      <w:w w:val="100"/>
      <w:position w:val="0"/>
      <w:sz w:val="20"/>
    </w:rPr>
  </w:style>
  <w:style w:type="paragraph" w:customStyle="1" w:styleId="1L">
    <w:name w:val="页眉1L"/>
    <w:basedOn w:val="Normal"/>
    <w:autoRedefine/>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ad">
    <w:name w:val="英文本"/>
    <w:basedOn w:val="EndnoteText"/>
    <w:pPr>
      <w:keepLines w:val="0"/>
      <w:overflowPunct/>
      <w:spacing w:after="120" w:line="240" w:lineRule="auto"/>
      <w:ind w:firstLine="0"/>
      <w:jc w:val="left"/>
    </w:pPr>
    <w:rPr>
      <w:spacing w:val="0"/>
      <w:lang w:val="en-GB" w:eastAsia="en-US"/>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e">
    <w:name w:val="正文缩进"/>
    <w:basedOn w:val="Normal"/>
    <w:pPr>
      <w:ind w:left="1021" w:firstLine="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6</Pages>
  <Words>665</Words>
  <Characters>3791</Characters>
  <Application>Microsoft Office Word</Application>
  <DocSecurity>4</DocSecurity>
  <Lines>31</Lines>
  <Paragraphs>7</Paragraphs>
  <ScaleCrop>false</ScaleCrop>
  <HeadingPairs>
    <vt:vector size="4" baseType="variant">
      <vt:variant>
        <vt:lpstr>题目</vt:lpstr>
      </vt:variant>
      <vt:variant>
        <vt:i4>1</vt:i4>
      </vt:variant>
      <vt:variant>
        <vt:lpstr>标题</vt:lpstr>
      </vt:variant>
      <vt:variant>
        <vt:i4>8</vt:i4>
      </vt:variant>
    </vt:vector>
  </HeadingPairs>
  <TitlesOfParts>
    <vt:vector size="9" baseType="lpstr">
      <vt:lpstr>经济、社会、文化权利委员会</vt:lpstr>
      <vt:lpstr>    审议缔约国根据《公约》第十六条和 第十七条提交的报告</vt:lpstr>
      <vt:lpstr>        经济、社会、文化权利委员会的结论性意见</vt:lpstr>
      <vt:lpstr>        意大利</vt:lpstr>
      <vt:lpstr>        A.  导  言</vt:lpstr>
      <vt:lpstr>        B.  积极方面</vt:lpstr>
      <vt:lpstr>        C.  阻碍《公约》执行的因素和困难</vt:lpstr>
      <vt:lpstr>        D.  主要关注的问题</vt:lpstr>
      <vt:lpstr>        E.  意见和建议</vt:lpstr>
    </vt:vector>
  </TitlesOfParts>
  <Company>Chinese Unit - GE</Company>
  <LinksUpToDate>false</LinksUpToDate>
  <CharactersWithSpaces>4655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经济、社会、文化权利委员会</dc:title>
  <dc:subject/>
  <dc:creator>CSD</dc:creator>
  <cp:keywords/>
  <dc:description>经济及社会理事会</dc:description>
  <cp:lastModifiedBy>niu</cp:lastModifiedBy>
  <cp:revision>2</cp:revision>
  <cp:lastPrinted>2005-02-02T15:12:00Z</cp:lastPrinted>
  <dcterms:created xsi:type="dcterms:W3CDTF">2005-02-02T15:13:00Z</dcterms:created>
  <dcterms:modified xsi:type="dcterms:W3CDTF">2005-02-02T15:13:00Z</dcterms:modified>
  <cp:category>E</cp:category>
</cp:coreProperties>
</file>