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6D6A3C" w14:textId="77777777" w:rsidTr="00660CE8">
        <w:trPr>
          <w:trHeight w:hRule="exact" w:val="851"/>
        </w:trPr>
        <w:tc>
          <w:tcPr>
            <w:tcW w:w="1276" w:type="dxa"/>
            <w:tcBorders>
              <w:bottom w:val="single" w:sz="4" w:space="0" w:color="auto"/>
            </w:tcBorders>
          </w:tcPr>
          <w:p w14:paraId="1AB67CEE" w14:textId="77777777" w:rsidR="002D5AAC" w:rsidRPr="007A0D9C" w:rsidRDefault="002D5AAC" w:rsidP="008C0C3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5E382A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418832E" w14:textId="268705BD" w:rsidR="002D5AAC" w:rsidRDefault="008C0C38" w:rsidP="008C0C38">
            <w:pPr>
              <w:jc w:val="right"/>
            </w:pPr>
            <w:r w:rsidRPr="008C0C38">
              <w:rPr>
                <w:sz w:val="40"/>
              </w:rPr>
              <w:t>CCPR</w:t>
            </w:r>
            <w:r>
              <w:t>/C/144/1</w:t>
            </w:r>
          </w:p>
        </w:tc>
      </w:tr>
      <w:tr w:rsidR="002D5AAC" w14:paraId="578B13A7" w14:textId="77777777" w:rsidTr="00660CE8">
        <w:trPr>
          <w:trHeight w:hRule="exact" w:val="2835"/>
        </w:trPr>
        <w:tc>
          <w:tcPr>
            <w:tcW w:w="1276" w:type="dxa"/>
            <w:tcBorders>
              <w:top w:val="single" w:sz="4" w:space="0" w:color="auto"/>
              <w:bottom w:val="single" w:sz="12" w:space="0" w:color="auto"/>
            </w:tcBorders>
          </w:tcPr>
          <w:p w14:paraId="4F913033" w14:textId="77777777" w:rsidR="002D5AAC" w:rsidRDefault="00411A36" w:rsidP="00660CE8">
            <w:pPr>
              <w:spacing w:before="120"/>
              <w:jc w:val="center"/>
            </w:pPr>
            <w:r>
              <w:rPr>
                <w:noProof/>
              </w:rPr>
              <w:drawing>
                <wp:inline distT="0" distB="0" distL="0" distR="0" wp14:anchorId="0DFB8DA5" wp14:editId="06759A8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F2FB6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E2E8A8C" w14:textId="77777777" w:rsidR="002D5AAC" w:rsidRDefault="008C0C38" w:rsidP="00660CE8">
            <w:pPr>
              <w:spacing w:before="240"/>
            </w:pPr>
            <w:r>
              <w:t>Distr. general</w:t>
            </w:r>
          </w:p>
          <w:p w14:paraId="2A98333B" w14:textId="77777777" w:rsidR="008C0C38" w:rsidRDefault="008C0C38" w:rsidP="008C0C38">
            <w:pPr>
              <w:spacing w:line="240" w:lineRule="exact"/>
            </w:pPr>
            <w:r>
              <w:t>12 de junio de 2025</w:t>
            </w:r>
          </w:p>
          <w:p w14:paraId="7BA34CD5" w14:textId="77777777" w:rsidR="008C0C38" w:rsidRDefault="008C0C38" w:rsidP="008C0C38">
            <w:pPr>
              <w:spacing w:line="240" w:lineRule="exact"/>
            </w:pPr>
            <w:r>
              <w:t>Español</w:t>
            </w:r>
          </w:p>
          <w:p w14:paraId="1B4FAAF2" w14:textId="77777777" w:rsidR="008C0C38" w:rsidRDefault="008C0C38" w:rsidP="008C0C38">
            <w:pPr>
              <w:spacing w:line="240" w:lineRule="exact"/>
            </w:pPr>
            <w:r>
              <w:t>Original: inglés</w:t>
            </w:r>
          </w:p>
          <w:p w14:paraId="77A38751" w14:textId="50D10105" w:rsidR="008C0C38" w:rsidRDefault="008C0C38" w:rsidP="008C0C38">
            <w:pPr>
              <w:spacing w:line="240" w:lineRule="exact"/>
            </w:pPr>
            <w:r>
              <w:t>Español, francés e inglés únicamente</w:t>
            </w:r>
          </w:p>
        </w:tc>
      </w:tr>
    </w:tbl>
    <w:p w14:paraId="0D7DD6CC" w14:textId="77777777" w:rsidR="006F35EE" w:rsidRPr="00411A36" w:rsidRDefault="00411A36" w:rsidP="0036261E">
      <w:pPr>
        <w:spacing w:before="120"/>
        <w:rPr>
          <w:b/>
          <w:sz w:val="24"/>
          <w:szCs w:val="24"/>
        </w:rPr>
      </w:pPr>
      <w:r w:rsidRPr="00411A36">
        <w:rPr>
          <w:b/>
          <w:sz w:val="24"/>
          <w:szCs w:val="24"/>
        </w:rPr>
        <w:t>Comité de Derechos Humanos</w:t>
      </w:r>
    </w:p>
    <w:p w14:paraId="31C03892" w14:textId="77777777" w:rsidR="00521CB9" w:rsidRPr="00521CB9" w:rsidRDefault="00521CB9" w:rsidP="00521CB9">
      <w:pPr>
        <w:rPr>
          <w:rFonts w:eastAsiaTheme="minorEastAsia"/>
          <w:b/>
          <w:bCs/>
          <w:lang w:val="en-GB"/>
        </w:rPr>
      </w:pPr>
      <w:r w:rsidRPr="00521CB9">
        <w:rPr>
          <w:b/>
          <w:bCs/>
        </w:rPr>
        <w:t>144º período de sesiones</w:t>
      </w:r>
    </w:p>
    <w:p w14:paraId="3646F6DB" w14:textId="77777777" w:rsidR="00521CB9" w:rsidRPr="00976D0C" w:rsidRDefault="00521CB9" w:rsidP="00521CB9">
      <w:pPr>
        <w:rPr>
          <w:rFonts w:eastAsiaTheme="minorEastAsia"/>
          <w:lang w:val="en-GB"/>
        </w:rPr>
      </w:pPr>
      <w:bookmarkStart w:id="0" w:name="_Hlk43814704"/>
      <w:r w:rsidRPr="00976D0C">
        <w:t>Ginebra, 23 de junio a 17 de julio de 2025</w:t>
      </w:r>
    </w:p>
    <w:bookmarkEnd w:id="0"/>
    <w:p w14:paraId="5B7903C7" w14:textId="77777777" w:rsidR="00521CB9" w:rsidRPr="00976D0C" w:rsidRDefault="00521CB9" w:rsidP="00521CB9">
      <w:pPr>
        <w:rPr>
          <w:rFonts w:eastAsiaTheme="minorEastAsia"/>
          <w:lang w:val="en-GB"/>
        </w:rPr>
      </w:pPr>
      <w:r w:rsidRPr="00976D0C">
        <w:t>Tema 1 del programa provisional</w:t>
      </w:r>
    </w:p>
    <w:p w14:paraId="4C92C96D" w14:textId="77777777" w:rsidR="00521CB9" w:rsidRPr="00521CB9" w:rsidRDefault="00521CB9" w:rsidP="00521CB9">
      <w:pPr>
        <w:rPr>
          <w:rFonts w:eastAsiaTheme="minorEastAsia"/>
          <w:b/>
          <w:bCs/>
          <w:lang w:val="en-GB"/>
        </w:rPr>
      </w:pPr>
      <w:r w:rsidRPr="00521CB9">
        <w:rPr>
          <w:b/>
          <w:bCs/>
        </w:rPr>
        <w:t>Aprobación del programa</w:t>
      </w:r>
    </w:p>
    <w:p w14:paraId="36463629" w14:textId="213FB34B" w:rsidR="00521CB9" w:rsidRPr="00976D0C" w:rsidRDefault="00521CB9" w:rsidP="00521CB9">
      <w:pPr>
        <w:pStyle w:val="HChG"/>
        <w:rPr>
          <w:rFonts w:eastAsiaTheme="minorEastAsia"/>
          <w:lang w:val="en-GB"/>
        </w:rPr>
      </w:pPr>
      <w:r>
        <w:tab/>
      </w:r>
      <w:r>
        <w:tab/>
      </w:r>
      <w:r>
        <w:tab/>
      </w:r>
      <w:r w:rsidRPr="00976D0C">
        <w:t>Programa provisional anotado</w:t>
      </w:r>
      <w:r w:rsidRPr="00521CB9">
        <w:rPr>
          <w:rStyle w:val="Refdenotaalpie"/>
          <w:b w:val="0"/>
          <w:bCs/>
          <w:sz w:val="20"/>
          <w:vertAlign w:val="baseline"/>
        </w:rPr>
        <w:footnoteReference w:customMarkFollows="1" w:id="1"/>
        <w:t>*</w:t>
      </w:r>
    </w:p>
    <w:p w14:paraId="3E989B63" w14:textId="58763985" w:rsidR="00521CB9" w:rsidRPr="00976D0C" w:rsidRDefault="00521CB9" w:rsidP="00521CB9">
      <w:pPr>
        <w:pStyle w:val="H1G"/>
        <w:rPr>
          <w:rFonts w:eastAsiaTheme="minorEastAsia"/>
          <w:lang w:val="en-GB"/>
        </w:rPr>
      </w:pPr>
      <w:r>
        <w:tab/>
      </w:r>
      <w:r>
        <w:tab/>
      </w:r>
      <w:r>
        <w:tab/>
      </w:r>
      <w:r w:rsidRPr="00976D0C">
        <w:t>Programa provisional</w:t>
      </w:r>
    </w:p>
    <w:p w14:paraId="7F8DEC4B" w14:textId="77777777" w:rsidR="00521CB9" w:rsidRPr="00976D0C" w:rsidRDefault="00521CB9" w:rsidP="00521CB9">
      <w:pPr>
        <w:pStyle w:val="SingleTxtG"/>
        <w:ind w:left="1701" w:hanging="567"/>
        <w:rPr>
          <w:lang w:val="en-GB"/>
        </w:rPr>
      </w:pPr>
      <w:r w:rsidRPr="00976D0C">
        <w:t>1.</w:t>
      </w:r>
      <w:r w:rsidRPr="00976D0C">
        <w:tab/>
        <w:t>Aprobación del programa.</w:t>
      </w:r>
    </w:p>
    <w:p w14:paraId="02AEF675" w14:textId="77777777" w:rsidR="00521CB9" w:rsidRPr="00976D0C" w:rsidRDefault="00521CB9" w:rsidP="00521CB9">
      <w:pPr>
        <w:pStyle w:val="SingleTxtG"/>
        <w:ind w:left="1701" w:hanging="567"/>
        <w:rPr>
          <w:lang w:val="en-GB"/>
        </w:rPr>
      </w:pPr>
      <w:r w:rsidRPr="00976D0C">
        <w:t>2.</w:t>
      </w:r>
      <w:r w:rsidRPr="00976D0C">
        <w:tab/>
        <w:t>Cuestiones de organización y otros asuntos, incluida la aprobación del informe del Grupo de Trabajo sobre las Comunicaciones Individuales.</w:t>
      </w:r>
    </w:p>
    <w:p w14:paraId="0D3187B3" w14:textId="77777777" w:rsidR="00521CB9" w:rsidRPr="00976D0C" w:rsidRDefault="00521CB9" w:rsidP="00521CB9">
      <w:pPr>
        <w:pStyle w:val="SingleTxtG"/>
        <w:ind w:left="1701" w:hanging="567"/>
        <w:rPr>
          <w:lang w:val="en-GB"/>
        </w:rPr>
      </w:pPr>
      <w:r w:rsidRPr="00976D0C">
        <w:t>3.</w:t>
      </w:r>
      <w:r w:rsidRPr="00976D0C">
        <w:tab/>
        <w:t>Reunión con representantes de órganos y organismos especializados de las Naciones Unidas, instituciones nacionales de derechos humanos y organizaciones no gubernamentales.</w:t>
      </w:r>
    </w:p>
    <w:p w14:paraId="402FA36A" w14:textId="77777777" w:rsidR="00521CB9" w:rsidRPr="00976D0C" w:rsidRDefault="00521CB9" w:rsidP="00521CB9">
      <w:pPr>
        <w:pStyle w:val="SingleTxtG"/>
        <w:ind w:left="1701" w:hanging="567"/>
        <w:rPr>
          <w:lang w:val="en-GB"/>
        </w:rPr>
      </w:pPr>
      <w:r w:rsidRPr="00976D0C">
        <w:t>4.</w:t>
      </w:r>
      <w:r w:rsidRPr="00976D0C">
        <w:tab/>
        <w:t>Examen de los informes presentados por los Estados partes en virtud del artículo 40 del Pacto.</w:t>
      </w:r>
    </w:p>
    <w:p w14:paraId="7E9CEB9E" w14:textId="77777777" w:rsidR="00521CB9" w:rsidRPr="00976D0C" w:rsidRDefault="00521CB9" w:rsidP="00521CB9">
      <w:pPr>
        <w:pStyle w:val="SingleTxtG"/>
        <w:ind w:left="1701" w:hanging="567"/>
        <w:rPr>
          <w:lang w:val="en-GB"/>
        </w:rPr>
      </w:pPr>
      <w:r w:rsidRPr="00976D0C">
        <w:t>5.</w:t>
      </w:r>
      <w:r w:rsidRPr="00976D0C">
        <w:tab/>
        <w:t>Seguimiento de las observaciones finales sobre los informes de los Estados partes.</w:t>
      </w:r>
    </w:p>
    <w:p w14:paraId="65080050" w14:textId="77777777" w:rsidR="00521CB9" w:rsidRPr="00976D0C" w:rsidRDefault="00521CB9" w:rsidP="00521CB9">
      <w:pPr>
        <w:pStyle w:val="SingleTxtG"/>
        <w:ind w:left="1701" w:hanging="567"/>
        <w:rPr>
          <w:lang w:val="en-GB"/>
        </w:rPr>
      </w:pPr>
      <w:r w:rsidRPr="00976D0C">
        <w:t>6.</w:t>
      </w:r>
      <w:r w:rsidRPr="00976D0C">
        <w:tab/>
        <w:t>Examen de las comunicaciones presentadas en virtud del primer Protocolo Facultativo del Pacto.</w:t>
      </w:r>
    </w:p>
    <w:p w14:paraId="7F00D6E6" w14:textId="23CDFF11" w:rsidR="00521CB9" w:rsidRPr="00976D0C" w:rsidRDefault="00521CB9" w:rsidP="00521CB9">
      <w:pPr>
        <w:pStyle w:val="H1G"/>
        <w:rPr>
          <w:rFonts w:eastAsiaTheme="minorEastAsia"/>
          <w:lang w:val="en-GB"/>
        </w:rPr>
      </w:pPr>
      <w:r>
        <w:tab/>
      </w:r>
      <w:r>
        <w:tab/>
      </w:r>
      <w:r w:rsidRPr="00976D0C">
        <w:t>Anotaciones</w:t>
      </w:r>
    </w:p>
    <w:p w14:paraId="5E412D97" w14:textId="296B2B6A" w:rsidR="00521CB9" w:rsidRPr="00976D0C" w:rsidRDefault="00521CB9" w:rsidP="00521CB9">
      <w:pPr>
        <w:pStyle w:val="H23G"/>
        <w:rPr>
          <w:rFonts w:eastAsiaTheme="minorEastAsia"/>
          <w:lang w:val="en-GB"/>
        </w:rPr>
      </w:pPr>
      <w:r>
        <w:tab/>
      </w:r>
      <w:r w:rsidRPr="00976D0C">
        <w:t>1.</w:t>
      </w:r>
      <w:r>
        <w:tab/>
      </w:r>
      <w:r w:rsidRPr="00976D0C">
        <w:tab/>
        <w:t>Aprobación del programa</w:t>
      </w:r>
    </w:p>
    <w:p w14:paraId="057ED366" w14:textId="0F6D4E16" w:rsidR="00521CB9" w:rsidRPr="00976D0C" w:rsidRDefault="00521CB9" w:rsidP="00521CB9">
      <w:pPr>
        <w:pStyle w:val="SingleTxtG"/>
        <w:rPr>
          <w:lang w:val="en-GB"/>
        </w:rPr>
      </w:pPr>
      <w:r>
        <w:tab/>
      </w:r>
      <w:r w:rsidRPr="00976D0C">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6D80A5DA" w14:textId="6F596DE4" w:rsidR="00521CB9" w:rsidRPr="00976D0C" w:rsidRDefault="00521CB9" w:rsidP="00521CB9">
      <w:pPr>
        <w:pStyle w:val="SingleTxtG"/>
        <w:rPr>
          <w:lang w:val="en-GB"/>
        </w:rPr>
      </w:pPr>
      <w:r>
        <w:tab/>
      </w:r>
      <w:r w:rsidRPr="00976D0C">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7B678611" w14:textId="12C7C90C" w:rsidR="00521CB9" w:rsidRPr="00976D0C" w:rsidRDefault="00521CB9" w:rsidP="00521CB9">
      <w:pPr>
        <w:pStyle w:val="H23G"/>
        <w:rPr>
          <w:rFonts w:eastAsiaTheme="minorEastAsia"/>
          <w:lang w:val="en-GB"/>
        </w:rPr>
      </w:pPr>
      <w:r>
        <w:tab/>
      </w:r>
      <w:r w:rsidRPr="00976D0C">
        <w:t>2.</w:t>
      </w:r>
      <w:r w:rsidRPr="00976D0C">
        <w:tab/>
        <w:t>Cuestiones de organización y otros asuntos, incluida la aprobación del</w:t>
      </w:r>
      <w:r>
        <w:br/>
      </w:r>
      <w:r w:rsidRPr="00976D0C">
        <w:t>informe del Grupo de Trabajo sobre las Comunicaciones Individuales</w:t>
      </w:r>
    </w:p>
    <w:p w14:paraId="4D8F2D57" w14:textId="743CEB01" w:rsidR="00521CB9" w:rsidRPr="00976D0C" w:rsidRDefault="00521CB9" w:rsidP="00521CB9">
      <w:pPr>
        <w:pStyle w:val="SingleTxtG"/>
        <w:rPr>
          <w:lang w:val="en-GB"/>
        </w:rPr>
      </w:pPr>
      <w:bookmarkStart w:id="1" w:name="_Hlk43881586"/>
      <w:r>
        <w:tab/>
      </w:r>
      <w:r w:rsidRPr="00976D0C">
        <w:t>El 144º período de sesiones del Comité se celebrará del 23 de junio al 17 de julio de</w:t>
      </w:r>
      <w:r w:rsidR="00673E5A">
        <w:t> </w:t>
      </w:r>
      <w:r w:rsidRPr="00976D0C">
        <w:t>2025. La primera sesión tendrá lugar el lunes 23 de junio a las 10.00 horas.</w:t>
      </w:r>
    </w:p>
    <w:bookmarkEnd w:id="1"/>
    <w:p w14:paraId="08CB437E" w14:textId="4F9D6899" w:rsidR="00521CB9" w:rsidRPr="00976D0C" w:rsidRDefault="00521CB9" w:rsidP="00521CB9">
      <w:pPr>
        <w:pStyle w:val="SingleTxtG"/>
        <w:rPr>
          <w:lang w:val="en-GB"/>
        </w:rPr>
      </w:pPr>
      <w:r>
        <w:lastRenderedPageBreak/>
        <w:tab/>
      </w:r>
      <w:r w:rsidRPr="00976D0C">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78E8E6ED" w14:textId="64C29351" w:rsidR="00521CB9" w:rsidRPr="00976D0C" w:rsidRDefault="00521CB9" w:rsidP="00521CB9">
      <w:pPr>
        <w:pStyle w:val="SingleTxtG"/>
        <w:rPr>
          <w:lang w:val="en-GB"/>
        </w:rPr>
      </w:pPr>
      <w:r>
        <w:tab/>
      </w:r>
      <w:r w:rsidRPr="00976D0C">
        <w:t>En relación con este tema, el Comité examinará diversos asuntos referentes a sus actividades.</w:t>
      </w:r>
    </w:p>
    <w:p w14:paraId="19F00E1B" w14:textId="22FBA320" w:rsidR="00521CB9" w:rsidRPr="00976D0C" w:rsidRDefault="00521CB9" w:rsidP="00521CB9">
      <w:pPr>
        <w:pStyle w:val="H23G"/>
        <w:rPr>
          <w:rFonts w:eastAsiaTheme="minorEastAsia"/>
          <w:lang w:val="en-GB"/>
        </w:rPr>
      </w:pPr>
      <w:r>
        <w:tab/>
      </w:r>
      <w:r w:rsidRPr="00976D0C">
        <w:t>3.</w:t>
      </w:r>
      <w:r w:rsidRPr="00976D0C">
        <w:tab/>
        <w:t>Reunión con representantes de órganos y organismos especializados de las</w:t>
      </w:r>
      <w:r>
        <w:br/>
      </w:r>
      <w:r w:rsidRPr="00976D0C">
        <w:t>Naciones Unidas, instituciones nacionales de derechos humanos y</w:t>
      </w:r>
      <w:r>
        <w:br/>
      </w:r>
      <w:r w:rsidRPr="00976D0C">
        <w:t>organizaciones no gubernamentales</w:t>
      </w:r>
    </w:p>
    <w:p w14:paraId="2959ECF7" w14:textId="2AADD1D3" w:rsidR="00521CB9" w:rsidRPr="00976D0C" w:rsidRDefault="00521CB9" w:rsidP="00521CB9">
      <w:pPr>
        <w:pStyle w:val="SingleTxtG"/>
        <w:rPr>
          <w:lang w:val="en-GB"/>
        </w:rPr>
      </w:pPr>
      <w:r>
        <w:tab/>
      </w:r>
      <w:r w:rsidRPr="00976D0C">
        <w:t>En cada período de sesiones, el Comité se reúne con representantes de órganos y organismos especializados de las Naciones Unidas, instituciones nacionales de derechos humanos y organizaciones no gubernamentales. Por consiguiente, se han programado las siguientes reuniones: el 23 de junio, sobre Guinea-Bissau y Kazajstán, con las organizaciones y los organismos especializados de las Naciones Unidas y las instituciones nacionales de derechos humanos de las 10.30 a las 13.00 horas, y con las organizaciones no gubernamentales de las 15.00 a las 18.00 horas; el 30 de junio, sobre Haití, Letonia, Macedonia del Norte y España, con las organizaciones y los organismos especializados de las Naciones Unidas de las 10.00 a las 10.30 horas, y con las instituciones nacionales de derechos humanos y las organizaciones no gubernamentales de las 10.30 a las 13.00 horas; y el 7 de julio, sobre Viet Nam, con las organizaciones y los organismos especializados de las Naciones Unidas de las 10.00 a las 10.30 horas, y con las instituciones nacionales de derechos humanos y las organizaciones no gubernamentales de las 10.30 a las 13.00 horas.</w:t>
      </w:r>
      <w:bookmarkStart w:id="2" w:name="_Hlk127448444"/>
      <w:bookmarkStart w:id="3" w:name="_Hlk127448398"/>
      <w:bookmarkEnd w:id="2"/>
      <w:bookmarkEnd w:id="3"/>
    </w:p>
    <w:p w14:paraId="79E47A52" w14:textId="75900521" w:rsidR="00521CB9" w:rsidRPr="00976D0C" w:rsidRDefault="00521CB9" w:rsidP="00521CB9">
      <w:pPr>
        <w:pStyle w:val="H23G"/>
        <w:rPr>
          <w:rFonts w:eastAsiaTheme="minorEastAsia"/>
          <w:lang w:val="en-GB"/>
        </w:rPr>
      </w:pPr>
      <w:r>
        <w:tab/>
      </w:r>
      <w:r w:rsidRPr="00976D0C">
        <w:t>4.</w:t>
      </w:r>
      <w:r w:rsidRPr="00976D0C">
        <w:tab/>
        <w:t>Examen de los informes presentados por los Estados partes en virtud</w:t>
      </w:r>
      <w:r>
        <w:br/>
      </w:r>
      <w:r w:rsidRPr="00976D0C">
        <w:t>del artículo 40 del Pacto</w:t>
      </w:r>
    </w:p>
    <w:p w14:paraId="4D359DA4" w14:textId="3121B674" w:rsidR="00521CB9" w:rsidRPr="00976D0C" w:rsidRDefault="00521CB9" w:rsidP="00521CB9">
      <w:pPr>
        <w:pStyle w:val="SingleTxtG"/>
        <w:rPr>
          <w:lang w:val="en-GB"/>
        </w:rPr>
      </w:pPr>
      <w:r>
        <w:tab/>
      </w:r>
      <w:r w:rsidRPr="00976D0C">
        <w:t>Durante el 144º período de sesiones del Comité se examinarán los informes de Guinea-Bissau, Haití, Kazajstán, Letonia, Macedonia del Norte, España y Viet Nam A continuación figura un calendario provisional para el examen de los informes, preparado en consulta con el Comité.</w:t>
      </w:r>
    </w:p>
    <w:p w14:paraId="1CED6E2D" w14:textId="17507AFB" w:rsidR="00521CB9" w:rsidRPr="00976D0C" w:rsidRDefault="00521CB9" w:rsidP="00521CB9">
      <w:pPr>
        <w:pStyle w:val="H23G"/>
        <w:rPr>
          <w:rFonts w:eastAsiaTheme="minorEastAsia"/>
          <w:lang w:val="en-GB"/>
        </w:rPr>
      </w:pPr>
      <w:r>
        <w:tab/>
      </w:r>
      <w:r>
        <w:tab/>
      </w:r>
      <w:r w:rsidRPr="00976D0C">
        <w:t>Calendario para el examen de los informes presentados en virtud</w:t>
      </w:r>
      <w:r>
        <w:br/>
      </w:r>
      <w:r w:rsidRPr="00976D0C">
        <w:t>del artículo 40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2409"/>
        <w:gridCol w:w="2976"/>
      </w:tblGrid>
      <w:tr w:rsidR="00521CB9" w:rsidRPr="00521CB9" w14:paraId="7A9A7E9C" w14:textId="77777777" w:rsidTr="00521CB9">
        <w:trPr>
          <w:trHeight w:val="240"/>
          <w:tblHeader/>
        </w:trPr>
        <w:tc>
          <w:tcPr>
            <w:tcW w:w="1985" w:type="dxa"/>
            <w:tcBorders>
              <w:top w:val="single" w:sz="4" w:space="0" w:color="auto"/>
              <w:bottom w:val="single" w:sz="12" w:space="0" w:color="auto"/>
            </w:tcBorders>
            <w:shd w:val="clear" w:color="auto" w:fill="auto"/>
            <w:vAlign w:val="bottom"/>
            <w:hideMark/>
          </w:tcPr>
          <w:p w14:paraId="5BA886C4" w14:textId="77777777" w:rsidR="00521CB9" w:rsidRPr="00521CB9" w:rsidRDefault="00521CB9" w:rsidP="00521CB9">
            <w:pPr>
              <w:pStyle w:val="SingleTxtG"/>
              <w:tabs>
                <w:tab w:val="clear" w:pos="1701"/>
                <w:tab w:val="clear" w:pos="2268"/>
                <w:tab w:val="clear" w:pos="2835"/>
              </w:tabs>
              <w:spacing w:before="80" w:after="80" w:line="200" w:lineRule="exact"/>
              <w:ind w:left="0" w:right="0"/>
              <w:jc w:val="left"/>
              <w:rPr>
                <w:i/>
                <w:sz w:val="16"/>
                <w:lang w:val="en-GB"/>
              </w:rPr>
            </w:pPr>
            <w:r w:rsidRPr="00521CB9">
              <w:rPr>
                <w:i/>
                <w:iCs/>
                <w:sz w:val="16"/>
              </w:rPr>
              <w:t>Estado</w:t>
            </w:r>
            <w:r w:rsidRPr="00521CB9">
              <w:rPr>
                <w:i/>
                <w:sz w:val="16"/>
              </w:rPr>
              <w:t xml:space="preserve"> </w:t>
            </w:r>
          </w:p>
        </w:tc>
        <w:tc>
          <w:tcPr>
            <w:tcW w:w="2409" w:type="dxa"/>
            <w:tcBorders>
              <w:top w:val="single" w:sz="4" w:space="0" w:color="auto"/>
              <w:bottom w:val="single" w:sz="12" w:space="0" w:color="auto"/>
            </w:tcBorders>
            <w:shd w:val="clear" w:color="auto" w:fill="auto"/>
            <w:vAlign w:val="bottom"/>
            <w:hideMark/>
          </w:tcPr>
          <w:p w14:paraId="6B4705E9" w14:textId="77777777" w:rsidR="00521CB9" w:rsidRPr="00521CB9" w:rsidRDefault="00521CB9" w:rsidP="00521CB9">
            <w:pPr>
              <w:pStyle w:val="SingleTxtG"/>
              <w:tabs>
                <w:tab w:val="clear" w:pos="1701"/>
                <w:tab w:val="clear" w:pos="2268"/>
                <w:tab w:val="clear" w:pos="2835"/>
              </w:tabs>
              <w:spacing w:before="80" w:after="80" w:line="200" w:lineRule="exact"/>
              <w:ind w:left="0" w:right="0"/>
              <w:jc w:val="left"/>
              <w:rPr>
                <w:i/>
                <w:sz w:val="16"/>
                <w:lang w:val="en-GB"/>
              </w:rPr>
            </w:pPr>
            <w:r w:rsidRPr="00521CB9">
              <w:rPr>
                <w:i/>
                <w:iCs/>
                <w:sz w:val="16"/>
              </w:rPr>
              <w:t>Informe</w:t>
            </w:r>
          </w:p>
        </w:tc>
        <w:tc>
          <w:tcPr>
            <w:tcW w:w="2976" w:type="dxa"/>
            <w:tcBorders>
              <w:top w:val="single" w:sz="4" w:space="0" w:color="auto"/>
              <w:bottom w:val="single" w:sz="12" w:space="0" w:color="auto"/>
            </w:tcBorders>
            <w:shd w:val="clear" w:color="auto" w:fill="auto"/>
            <w:vAlign w:val="bottom"/>
            <w:hideMark/>
          </w:tcPr>
          <w:p w14:paraId="1EBAAD63" w14:textId="77777777" w:rsidR="00521CB9" w:rsidRPr="00521CB9" w:rsidRDefault="00521CB9" w:rsidP="00521CB9">
            <w:pPr>
              <w:pStyle w:val="SingleTxtG"/>
              <w:tabs>
                <w:tab w:val="clear" w:pos="1701"/>
                <w:tab w:val="clear" w:pos="2268"/>
                <w:tab w:val="clear" w:pos="2835"/>
              </w:tabs>
              <w:spacing w:before="80" w:after="80" w:line="200" w:lineRule="exact"/>
              <w:ind w:left="0" w:right="0"/>
              <w:jc w:val="left"/>
              <w:rPr>
                <w:i/>
                <w:sz w:val="16"/>
                <w:lang w:val="en-GB"/>
              </w:rPr>
            </w:pPr>
            <w:r w:rsidRPr="00521CB9">
              <w:rPr>
                <w:i/>
                <w:iCs/>
                <w:sz w:val="16"/>
              </w:rPr>
              <w:t>Fecha</w:t>
            </w:r>
          </w:p>
        </w:tc>
      </w:tr>
      <w:tr w:rsidR="00521CB9" w:rsidRPr="00521CB9" w14:paraId="0D634A7B" w14:textId="77777777" w:rsidTr="00521CB9">
        <w:trPr>
          <w:trHeight w:hRule="exact" w:val="113"/>
          <w:tblHeader/>
        </w:trPr>
        <w:tc>
          <w:tcPr>
            <w:tcW w:w="1985" w:type="dxa"/>
            <w:tcBorders>
              <w:top w:val="single" w:sz="12" w:space="0" w:color="auto"/>
            </w:tcBorders>
            <w:shd w:val="clear" w:color="auto" w:fill="auto"/>
          </w:tcPr>
          <w:p w14:paraId="13F82A19"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p>
        </w:tc>
        <w:tc>
          <w:tcPr>
            <w:tcW w:w="2409" w:type="dxa"/>
            <w:tcBorders>
              <w:top w:val="single" w:sz="12" w:space="0" w:color="auto"/>
            </w:tcBorders>
            <w:shd w:val="clear" w:color="auto" w:fill="auto"/>
          </w:tcPr>
          <w:p w14:paraId="3273CBA3"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p>
        </w:tc>
        <w:tc>
          <w:tcPr>
            <w:tcW w:w="2976" w:type="dxa"/>
            <w:tcBorders>
              <w:top w:val="single" w:sz="12" w:space="0" w:color="auto"/>
            </w:tcBorders>
            <w:shd w:val="clear" w:color="auto" w:fill="auto"/>
          </w:tcPr>
          <w:p w14:paraId="1F57FBCA"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p>
        </w:tc>
      </w:tr>
      <w:tr w:rsidR="00521CB9" w:rsidRPr="00521CB9" w14:paraId="731609C8" w14:textId="77777777" w:rsidTr="00521CB9">
        <w:trPr>
          <w:trHeight w:val="240"/>
        </w:trPr>
        <w:tc>
          <w:tcPr>
            <w:tcW w:w="1985" w:type="dxa"/>
            <w:shd w:val="clear" w:color="auto" w:fill="auto"/>
          </w:tcPr>
          <w:p w14:paraId="352CF8D9"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Kazajstán</w:t>
            </w:r>
          </w:p>
        </w:tc>
        <w:tc>
          <w:tcPr>
            <w:tcW w:w="2409" w:type="dxa"/>
            <w:shd w:val="clear" w:color="auto" w:fill="auto"/>
          </w:tcPr>
          <w:p w14:paraId="19535E19" w14:textId="1BA150E9"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Tercer informe periódico (</w:t>
            </w:r>
            <w:proofErr w:type="spellStart"/>
            <w:r>
              <w:fldChar w:fldCharType="begin"/>
            </w:r>
            <w:r>
              <w:instrText>HYPERLINK "https://undocs.org/es/CCPR/C/KAZ/3"</w:instrText>
            </w:r>
            <w:r>
              <w:fldChar w:fldCharType="separate"/>
            </w:r>
            <w:r w:rsidRPr="00521CB9">
              <w:rPr>
                <w:rStyle w:val="Hipervnculo"/>
              </w:rPr>
              <w:t>C</w:t>
            </w:r>
            <w:r w:rsidRPr="00521CB9">
              <w:rPr>
                <w:rStyle w:val="Hipervnculo"/>
              </w:rPr>
              <w:t>C</w:t>
            </w:r>
            <w:r w:rsidRPr="00521CB9">
              <w:rPr>
                <w:rStyle w:val="Hipervnculo"/>
              </w:rPr>
              <w:t>PR</w:t>
            </w:r>
            <w:proofErr w:type="spellEnd"/>
            <w:r w:rsidRPr="00521CB9">
              <w:rPr>
                <w:rStyle w:val="Hipervnculo"/>
              </w:rPr>
              <w:t>/C/</w:t>
            </w:r>
            <w:proofErr w:type="spellStart"/>
            <w:r w:rsidRPr="00521CB9">
              <w:rPr>
                <w:rStyle w:val="Hipervnculo"/>
              </w:rPr>
              <w:t>KAZ</w:t>
            </w:r>
            <w:proofErr w:type="spellEnd"/>
            <w:r w:rsidRPr="00521CB9">
              <w:rPr>
                <w:rStyle w:val="Hipervnculo"/>
              </w:rPr>
              <w:t>/3</w:t>
            </w:r>
            <w:r>
              <w:fldChar w:fldCharType="end"/>
            </w:r>
            <w:r w:rsidRPr="00521CB9">
              <w:t>)</w:t>
            </w:r>
            <w:hyperlink r:id="rId9" w:history="1"/>
          </w:p>
        </w:tc>
        <w:tc>
          <w:tcPr>
            <w:tcW w:w="2976" w:type="dxa"/>
            <w:shd w:val="clear" w:color="auto" w:fill="auto"/>
          </w:tcPr>
          <w:p w14:paraId="2E4DA094"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Martes 24 de junio, tarde</w:t>
            </w:r>
            <w:r w:rsidRPr="00521CB9">
              <w:br/>
              <w:t>Miércoles 25 de julio, mañana</w:t>
            </w:r>
          </w:p>
        </w:tc>
      </w:tr>
      <w:tr w:rsidR="00521CB9" w:rsidRPr="00521CB9" w14:paraId="7A2B2C61" w14:textId="77777777" w:rsidTr="00521CB9">
        <w:trPr>
          <w:trHeight w:val="240"/>
        </w:trPr>
        <w:tc>
          <w:tcPr>
            <w:tcW w:w="1985" w:type="dxa"/>
            <w:shd w:val="clear" w:color="auto" w:fill="auto"/>
          </w:tcPr>
          <w:p w14:paraId="2F822A74" w14:textId="77777777" w:rsidR="00521CB9" w:rsidRPr="00521CB9" w:rsidDel="007A7198" w:rsidRDefault="00521CB9" w:rsidP="00521CB9">
            <w:pPr>
              <w:pStyle w:val="SingleTxtG"/>
              <w:tabs>
                <w:tab w:val="clear" w:pos="1701"/>
                <w:tab w:val="clear" w:pos="2268"/>
                <w:tab w:val="clear" w:pos="2835"/>
              </w:tabs>
              <w:spacing w:before="40"/>
              <w:ind w:left="0" w:right="0"/>
              <w:jc w:val="left"/>
              <w:rPr>
                <w:lang w:val="en-GB"/>
              </w:rPr>
            </w:pPr>
            <w:r w:rsidRPr="00521CB9">
              <w:t>Guinea-Bissau</w:t>
            </w:r>
          </w:p>
        </w:tc>
        <w:tc>
          <w:tcPr>
            <w:tcW w:w="2409" w:type="dxa"/>
            <w:shd w:val="clear" w:color="auto" w:fill="auto"/>
          </w:tcPr>
          <w:p w14:paraId="2FA37417" w14:textId="7B2D5D1C"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Informe inicial (</w:t>
            </w:r>
            <w:proofErr w:type="spellStart"/>
            <w:r>
              <w:fldChar w:fldCharType="begin"/>
            </w:r>
            <w:r>
              <w:instrText>HYPERLINK "https://undocs.org/es/CCPR/C/GNB/1"</w:instrText>
            </w:r>
            <w:r>
              <w:fldChar w:fldCharType="separate"/>
            </w:r>
            <w:r w:rsidRPr="00521CB9">
              <w:rPr>
                <w:rStyle w:val="Hipervnculo"/>
              </w:rPr>
              <w:t>CCPR</w:t>
            </w:r>
            <w:proofErr w:type="spellEnd"/>
            <w:r w:rsidRPr="00521CB9">
              <w:rPr>
                <w:rStyle w:val="Hipervnculo"/>
              </w:rPr>
              <w:t>/C/</w:t>
            </w:r>
            <w:proofErr w:type="spellStart"/>
            <w:r w:rsidRPr="00521CB9">
              <w:rPr>
                <w:rStyle w:val="Hipervnculo"/>
              </w:rPr>
              <w:t>GNB</w:t>
            </w:r>
            <w:proofErr w:type="spellEnd"/>
            <w:r w:rsidRPr="00521CB9">
              <w:rPr>
                <w:rStyle w:val="Hipervnculo"/>
              </w:rPr>
              <w:t>/1</w:t>
            </w:r>
            <w:r>
              <w:fldChar w:fldCharType="end"/>
            </w:r>
            <w:r w:rsidRPr="00521CB9">
              <w:t>)</w:t>
            </w:r>
            <w:hyperlink r:id="rId10" w:history="1"/>
          </w:p>
        </w:tc>
        <w:tc>
          <w:tcPr>
            <w:tcW w:w="2976" w:type="dxa"/>
            <w:shd w:val="clear" w:color="auto" w:fill="auto"/>
          </w:tcPr>
          <w:p w14:paraId="2CA968EE"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Jueves 26 de junio, tarde</w:t>
            </w:r>
            <w:r w:rsidRPr="00521CB9">
              <w:br/>
              <w:t>Viernes 27 de junio, mañana</w:t>
            </w:r>
          </w:p>
        </w:tc>
      </w:tr>
      <w:tr w:rsidR="00521CB9" w:rsidRPr="00521CB9" w14:paraId="29DA315F" w14:textId="77777777" w:rsidTr="00521CB9">
        <w:trPr>
          <w:trHeight w:val="240"/>
        </w:trPr>
        <w:tc>
          <w:tcPr>
            <w:tcW w:w="1985" w:type="dxa"/>
            <w:shd w:val="clear" w:color="auto" w:fill="auto"/>
          </w:tcPr>
          <w:p w14:paraId="65526EBC"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Macedonia del Norte</w:t>
            </w:r>
          </w:p>
        </w:tc>
        <w:tc>
          <w:tcPr>
            <w:tcW w:w="2409" w:type="dxa"/>
            <w:shd w:val="clear" w:color="auto" w:fill="auto"/>
          </w:tcPr>
          <w:p w14:paraId="266F18E9" w14:textId="6691AFF6"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Cuarto informe periódico (</w:t>
            </w:r>
            <w:proofErr w:type="spellStart"/>
            <w:r>
              <w:fldChar w:fldCharType="begin"/>
            </w:r>
            <w:r>
              <w:instrText>HYPERLINK "https://undocs.org/es/CCPR/C/MKD/4"</w:instrText>
            </w:r>
            <w:r>
              <w:fldChar w:fldCharType="separate"/>
            </w:r>
            <w:r w:rsidRPr="00521CB9">
              <w:rPr>
                <w:rStyle w:val="Hipervnculo"/>
              </w:rPr>
              <w:t>CCPR</w:t>
            </w:r>
            <w:proofErr w:type="spellEnd"/>
            <w:r w:rsidRPr="00521CB9">
              <w:rPr>
                <w:rStyle w:val="Hipervnculo"/>
              </w:rPr>
              <w:t>/C/MKD/4</w:t>
            </w:r>
            <w:r>
              <w:fldChar w:fldCharType="end"/>
            </w:r>
            <w:r w:rsidRPr="00521CB9">
              <w:t>)</w:t>
            </w:r>
            <w:hyperlink r:id="rId11" w:history="1"/>
          </w:p>
        </w:tc>
        <w:tc>
          <w:tcPr>
            <w:tcW w:w="2976" w:type="dxa"/>
            <w:shd w:val="clear" w:color="auto" w:fill="auto"/>
          </w:tcPr>
          <w:p w14:paraId="0F1B6ABB"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Lunes 30 de junio, tarde</w:t>
            </w:r>
            <w:r w:rsidRPr="00521CB9">
              <w:br/>
              <w:t xml:space="preserve">Martes 1 de julio, mañana </w:t>
            </w:r>
          </w:p>
        </w:tc>
      </w:tr>
      <w:tr w:rsidR="00521CB9" w:rsidRPr="00521CB9" w14:paraId="1AD55321" w14:textId="77777777" w:rsidTr="00521CB9">
        <w:trPr>
          <w:trHeight w:val="240"/>
        </w:trPr>
        <w:tc>
          <w:tcPr>
            <w:tcW w:w="1985" w:type="dxa"/>
            <w:shd w:val="clear" w:color="auto" w:fill="auto"/>
          </w:tcPr>
          <w:p w14:paraId="32A4CE26"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Letonia</w:t>
            </w:r>
          </w:p>
        </w:tc>
        <w:tc>
          <w:tcPr>
            <w:tcW w:w="2409" w:type="dxa"/>
            <w:shd w:val="clear" w:color="auto" w:fill="auto"/>
          </w:tcPr>
          <w:p w14:paraId="778549F7" w14:textId="2CF043AA"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Cuarto informe periódico (</w:t>
            </w:r>
            <w:proofErr w:type="spellStart"/>
            <w:r>
              <w:fldChar w:fldCharType="begin"/>
            </w:r>
            <w:r>
              <w:instrText>HYPERLINK "https://undocs.org/es/CCPR/C/LVA/4"</w:instrText>
            </w:r>
            <w:r>
              <w:fldChar w:fldCharType="separate"/>
            </w:r>
            <w:r w:rsidRPr="00521CB9">
              <w:rPr>
                <w:rStyle w:val="Hipervnculo"/>
              </w:rPr>
              <w:t>CCPR</w:t>
            </w:r>
            <w:proofErr w:type="spellEnd"/>
            <w:r w:rsidRPr="00521CB9">
              <w:rPr>
                <w:rStyle w:val="Hipervnculo"/>
              </w:rPr>
              <w:t>/C/</w:t>
            </w:r>
            <w:proofErr w:type="spellStart"/>
            <w:r w:rsidRPr="00521CB9">
              <w:rPr>
                <w:rStyle w:val="Hipervnculo"/>
              </w:rPr>
              <w:t>LVA</w:t>
            </w:r>
            <w:proofErr w:type="spellEnd"/>
            <w:r w:rsidRPr="00521CB9">
              <w:rPr>
                <w:rStyle w:val="Hipervnculo"/>
              </w:rPr>
              <w:t>/4</w:t>
            </w:r>
            <w:r>
              <w:fldChar w:fldCharType="end"/>
            </w:r>
            <w:r w:rsidRPr="00521CB9">
              <w:t>)</w:t>
            </w:r>
            <w:hyperlink r:id="rId12" w:history="1"/>
          </w:p>
        </w:tc>
        <w:tc>
          <w:tcPr>
            <w:tcW w:w="2976" w:type="dxa"/>
            <w:shd w:val="clear" w:color="auto" w:fill="auto"/>
          </w:tcPr>
          <w:p w14:paraId="4F73717B"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Martes 1 de julio, tarde</w:t>
            </w:r>
            <w:r w:rsidRPr="00521CB9">
              <w:br/>
              <w:t xml:space="preserve">Miércoles 2 de julio, mañana </w:t>
            </w:r>
          </w:p>
        </w:tc>
      </w:tr>
      <w:tr w:rsidR="00521CB9" w:rsidRPr="00521CB9" w14:paraId="0D8D1F4B" w14:textId="77777777" w:rsidTr="00521CB9">
        <w:trPr>
          <w:trHeight w:val="240"/>
        </w:trPr>
        <w:tc>
          <w:tcPr>
            <w:tcW w:w="1985" w:type="dxa"/>
            <w:shd w:val="clear" w:color="auto" w:fill="auto"/>
          </w:tcPr>
          <w:p w14:paraId="04E2CB7E"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España</w:t>
            </w:r>
          </w:p>
        </w:tc>
        <w:tc>
          <w:tcPr>
            <w:tcW w:w="2409" w:type="dxa"/>
            <w:shd w:val="clear" w:color="auto" w:fill="auto"/>
          </w:tcPr>
          <w:p w14:paraId="0BA56496" w14:textId="288018DA"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Séptimo informe periódico (</w:t>
            </w:r>
            <w:proofErr w:type="spellStart"/>
            <w:r>
              <w:fldChar w:fldCharType="begin"/>
            </w:r>
            <w:r>
              <w:instrText>HYPERLINK "https://undocs.org/es/CCPR/C/ESP/7"</w:instrText>
            </w:r>
            <w:r>
              <w:fldChar w:fldCharType="separate"/>
            </w:r>
            <w:r w:rsidRPr="00521CB9">
              <w:rPr>
                <w:rStyle w:val="Hipervnculo"/>
              </w:rPr>
              <w:t>CCPR</w:t>
            </w:r>
            <w:proofErr w:type="spellEnd"/>
            <w:r w:rsidRPr="00521CB9">
              <w:rPr>
                <w:rStyle w:val="Hipervnculo"/>
              </w:rPr>
              <w:t>/C/</w:t>
            </w:r>
            <w:proofErr w:type="spellStart"/>
            <w:r w:rsidRPr="00521CB9">
              <w:rPr>
                <w:rStyle w:val="Hipervnculo"/>
              </w:rPr>
              <w:t>ESP</w:t>
            </w:r>
            <w:proofErr w:type="spellEnd"/>
            <w:r w:rsidRPr="00521CB9">
              <w:rPr>
                <w:rStyle w:val="Hipervnculo"/>
              </w:rPr>
              <w:t>/7</w:t>
            </w:r>
            <w:r>
              <w:fldChar w:fldCharType="end"/>
            </w:r>
            <w:r w:rsidRPr="00521CB9">
              <w:t>)</w:t>
            </w:r>
            <w:hyperlink r:id="rId13" w:history="1"/>
          </w:p>
        </w:tc>
        <w:tc>
          <w:tcPr>
            <w:tcW w:w="2976" w:type="dxa"/>
            <w:shd w:val="clear" w:color="auto" w:fill="auto"/>
          </w:tcPr>
          <w:p w14:paraId="631090BA"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Miércoles 2 de julio, tarde</w:t>
            </w:r>
            <w:r w:rsidRPr="00521CB9">
              <w:br/>
              <w:t>Jueves 3 de julio, mañana</w:t>
            </w:r>
          </w:p>
        </w:tc>
      </w:tr>
      <w:tr w:rsidR="00521CB9" w:rsidRPr="00521CB9" w14:paraId="385AC41D" w14:textId="77777777" w:rsidTr="00521CB9">
        <w:trPr>
          <w:trHeight w:val="240"/>
        </w:trPr>
        <w:tc>
          <w:tcPr>
            <w:tcW w:w="1985" w:type="dxa"/>
            <w:shd w:val="clear" w:color="auto" w:fill="auto"/>
          </w:tcPr>
          <w:p w14:paraId="79F62D0D"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Haití</w:t>
            </w:r>
          </w:p>
        </w:tc>
        <w:tc>
          <w:tcPr>
            <w:tcW w:w="2409" w:type="dxa"/>
            <w:shd w:val="clear" w:color="auto" w:fill="auto"/>
          </w:tcPr>
          <w:p w14:paraId="742B3D63" w14:textId="69F27A91"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Segundo informe periódico (</w:t>
            </w:r>
            <w:proofErr w:type="spellStart"/>
            <w:r>
              <w:fldChar w:fldCharType="begin"/>
            </w:r>
            <w:r>
              <w:instrText>HYPERLINK "https://undocs.org/es/CCPR/C/HTI/2"</w:instrText>
            </w:r>
            <w:r>
              <w:fldChar w:fldCharType="separate"/>
            </w:r>
            <w:r w:rsidRPr="00521CB9">
              <w:rPr>
                <w:rStyle w:val="Hipervnculo"/>
              </w:rPr>
              <w:t>CCPR</w:t>
            </w:r>
            <w:proofErr w:type="spellEnd"/>
            <w:r w:rsidRPr="00521CB9">
              <w:rPr>
                <w:rStyle w:val="Hipervnculo"/>
              </w:rPr>
              <w:t>/C/</w:t>
            </w:r>
            <w:proofErr w:type="spellStart"/>
            <w:r w:rsidRPr="00521CB9">
              <w:rPr>
                <w:rStyle w:val="Hipervnculo"/>
              </w:rPr>
              <w:t>HTI</w:t>
            </w:r>
            <w:proofErr w:type="spellEnd"/>
            <w:r w:rsidRPr="00521CB9">
              <w:rPr>
                <w:rStyle w:val="Hipervnculo"/>
              </w:rPr>
              <w:t>/2</w:t>
            </w:r>
            <w:r>
              <w:fldChar w:fldCharType="end"/>
            </w:r>
            <w:r w:rsidRPr="00521CB9">
              <w:t>)</w:t>
            </w:r>
            <w:hyperlink r:id="rId14" w:history="1"/>
          </w:p>
        </w:tc>
        <w:tc>
          <w:tcPr>
            <w:tcW w:w="2976" w:type="dxa"/>
            <w:shd w:val="clear" w:color="auto" w:fill="auto"/>
          </w:tcPr>
          <w:p w14:paraId="39DEEDEF"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Jueves 3 de julio, tarde</w:t>
            </w:r>
            <w:r w:rsidRPr="00521CB9">
              <w:br/>
              <w:t>Viernes 4 de julio, mañana</w:t>
            </w:r>
          </w:p>
        </w:tc>
      </w:tr>
      <w:tr w:rsidR="00521CB9" w:rsidRPr="00521CB9" w14:paraId="092C7EDB" w14:textId="77777777" w:rsidTr="00521CB9">
        <w:trPr>
          <w:trHeight w:val="240"/>
        </w:trPr>
        <w:tc>
          <w:tcPr>
            <w:tcW w:w="1985" w:type="dxa"/>
            <w:tcBorders>
              <w:bottom w:val="single" w:sz="12" w:space="0" w:color="auto"/>
            </w:tcBorders>
            <w:shd w:val="clear" w:color="auto" w:fill="auto"/>
          </w:tcPr>
          <w:p w14:paraId="0D2261A8"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Viet Nam</w:t>
            </w:r>
          </w:p>
        </w:tc>
        <w:tc>
          <w:tcPr>
            <w:tcW w:w="2409" w:type="dxa"/>
            <w:tcBorders>
              <w:bottom w:val="single" w:sz="12" w:space="0" w:color="auto"/>
            </w:tcBorders>
            <w:shd w:val="clear" w:color="auto" w:fill="auto"/>
          </w:tcPr>
          <w:p w14:paraId="7B092AB1" w14:textId="4D996EF4"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Cuarto informe periódico (</w:t>
            </w:r>
            <w:proofErr w:type="spellStart"/>
            <w:r>
              <w:fldChar w:fldCharType="begin"/>
            </w:r>
            <w:r>
              <w:instrText>HYPERLINK "https://undocs.org/es/CCPR/C/VNM/4"</w:instrText>
            </w:r>
            <w:r>
              <w:fldChar w:fldCharType="separate"/>
            </w:r>
            <w:r w:rsidRPr="00521CB9">
              <w:rPr>
                <w:rStyle w:val="Hipervnculo"/>
              </w:rPr>
              <w:t>CCPR</w:t>
            </w:r>
            <w:proofErr w:type="spellEnd"/>
            <w:r w:rsidRPr="00521CB9">
              <w:rPr>
                <w:rStyle w:val="Hipervnculo"/>
              </w:rPr>
              <w:t>/C/</w:t>
            </w:r>
            <w:proofErr w:type="spellStart"/>
            <w:r w:rsidRPr="00521CB9">
              <w:rPr>
                <w:rStyle w:val="Hipervnculo"/>
              </w:rPr>
              <w:t>VNM</w:t>
            </w:r>
            <w:proofErr w:type="spellEnd"/>
            <w:r w:rsidRPr="00521CB9">
              <w:rPr>
                <w:rStyle w:val="Hipervnculo"/>
              </w:rPr>
              <w:t>/4</w:t>
            </w:r>
            <w:r>
              <w:fldChar w:fldCharType="end"/>
            </w:r>
            <w:r w:rsidRPr="00521CB9">
              <w:t>)</w:t>
            </w:r>
            <w:hyperlink r:id="rId15" w:history="1"/>
          </w:p>
        </w:tc>
        <w:tc>
          <w:tcPr>
            <w:tcW w:w="2976" w:type="dxa"/>
            <w:tcBorders>
              <w:bottom w:val="single" w:sz="12" w:space="0" w:color="auto"/>
            </w:tcBorders>
            <w:shd w:val="clear" w:color="auto" w:fill="auto"/>
          </w:tcPr>
          <w:p w14:paraId="29B7BF24" w14:textId="77777777" w:rsidR="00521CB9" w:rsidRPr="00521CB9" w:rsidRDefault="00521CB9" w:rsidP="00521CB9">
            <w:pPr>
              <w:pStyle w:val="SingleTxtG"/>
              <w:tabs>
                <w:tab w:val="clear" w:pos="1701"/>
                <w:tab w:val="clear" w:pos="2268"/>
                <w:tab w:val="clear" w:pos="2835"/>
              </w:tabs>
              <w:spacing w:before="40"/>
              <w:ind w:left="0" w:right="0"/>
              <w:jc w:val="left"/>
              <w:rPr>
                <w:lang w:val="en-GB"/>
              </w:rPr>
            </w:pPr>
            <w:r w:rsidRPr="00521CB9">
              <w:t>Lunes 7 de julio, tarde</w:t>
            </w:r>
            <w:r w:rsidRPr="00521CB9">
              <w:br/>
              <w:t>Martes 8 de julio, mañana</w:t>
            </w:r>
          </w:p>
        </w:tc>
      </w:tr>
    </w:tbl>
    <w:p w14:paraId="0B0B4292" w14:textId="6047D0D5" w:rsidR="00521CB9" w:rsidRPr="00976D0C" w:rsidRDefault="00521CB9" w:rsidP="00260B6F">
      <w:pPr>
        <w:pStyle w:val="SingleTxtG"/>
        <w:keepNext/>
        <w:keepLines/>
        <w:spacing w:before="240"/>
        <w:rPr>
          <w:lang w:val="en-GB"/>
        </w:rPr>
      </w:pPr>
      <w:r>
        <w:tab/>
      </w:r>
      <w:r w:rsidRPr="00976D0C">
        <w:t xml:space="preserve">De conformidad con el artículo 68 del reglamento del Comité, los representantes de los Estados partes pueden asistir a las sesiones del Comité cuando se examinen sus informes. </w:t>
      </w:r>
      <w:r w:rsidRPr="00976D0C">
        <w:lastRenderedPageBreak/>
        <w:t>En consecuencia, el Secretario General ha informado a los Estados partes interesados de las fechas previstas para que el Comité examine sus respectivos informes en el 144º período de sesiones.</w:t>
      </w:r>
    </w:p>
    <w:p w14:paraId="4A05988E" w14:textId="0DD0729B" w:rsidR="00521CB9" w:rsidRPr="00976D0C" w:rsidRDefault="00521CB9" w:rsidP="00521CB9">
      <w:pPr>
        <w:pStyle w:val="SingleTxtG"/>
        <w:rPr>
          <w:lang w:val="en-GB"/>
        </w:rPr>
      </w:pPr>
      <w:r>
        <w:tab/>
      </w:r>
      <w:r w:rsidRPr="00976D0C">
        <w:t>Los equipos de tareas para los informes de los países examinarán y aprobarán las listas de cuestiones previas a la presentación de informes para la Argentina, Australia, Las Bahamas, Dinamarca, Ghana, Liechtenstein, Marruecos, Rwanda, Suecia y Suiza.</w:t>
      </w:r>
    </w:p>
    <w:p w14:paraId="53BA5E4B" w14:textId="10C94D4C" w:rsidR="00521CB9" w:rsidRPr="00976D0C" w:rsidRDefault="00521CB9" w:rsidP="00521CB9">
      <w:pPr>
        <w:pStyle w:val="H23G"/>
        <w:rPr>
          <w:rFonts w:eastAsiaTheme="minorEastAsia"/>
          <w:lang w:val="en-GB"/>
        </w:rPr>
      </w:pPr>
      <w:r>
        <w:tab/>
      </w:r>
      <w:r w:rsidRPr="00976D0C">
        <w:t>5.</w:t>
      </w:r>
      <w:r w:rsidRPr="00976D0C">
        <w:tab/>
        <w:t>Seguimiento de las observaciones finales sobre los informes de los Estados partes</w:t>
      </w:r>
    </w:p>
    <w:p w14:paraId="2FC053DD" w14:textId="15A71DCD" w:rsidR="00521CB9" w:rsidRPr="00976D0C" w:rsidRDefault="00521CB9" w:rsidP="00521CB9">
      <w:pPr>
        <w:pStyle w:val="SingleTxtG"/>
        <w:rPr>
          <w:lang w:val="en-GB"/>
        </w:rPr>
      </w:pPr>
      <w:r>
        <w:tab/>
      </w:r>
      <w:r w:rsidRPr="00976D0C">
        <w:t>La Relatora Especial para el seguimiento de las observaciones finales presentará un informe sobre sus actividades.</w:t>
      </w:r>
      <w:bookmarkStart w:id="4" w:name="_Hlk168399580"/>
      <w:bookmarkEnd w:id="4"/>
    </w:p>
    <w:p w14:paraId="005E1F5A" w14:textId="005034ED" w:rsidR="00521CB9" w:rsidRPr="00976D0C" w:rsidRDefault="00521CB9" w:rsidP="00521CB9">
      <w:pPr>
        <w:pStyle w:val="H23G"/>
        <w:rPr>
          <w:rFonts w:eastAsiaTheme="minorEastAsia"/>
          <w:lang w:val="en-GB"/>
        </w:rPr>
      </w:pPr>
      <w:r>
        <w:tab/>
      </w:r>
      <w:r w:rsidRPr="00976D0C">
        <w:t>6.</w:t>
      </w:r>
      <w:r w:rsidRPr="00976D0C">
        <w:tab/>
        <w:t>Examen de las comunicaciones presentadas en virtud del primer Protocolo Facultativo del Pacto</w:t>
      </w:r>
      <w:bookmarkStart w:id="5" w:name="_Hlk121731363"/>
      <w:bookmarkStart w:id="6" w:name="_Hlk195107837"/>
    </w:p>
    <w:p w14:paraId="35E57FE9" w14:textId="5F7830A5" w:rsidR="00521CB9" w:rsidRPr="00976D0C" w:rsidRDefault="00521CB9" w:rsidP="00521CB9">
      <w:pPr>
        <w:pStyle w:val="SingleTxtG"/>
        <w:rPr>
          <w:lang w:val="en-GB"/>
        </w:rPr>
      </w:pPr>
      <w:r>
        <w:tab/>
      </w:r>
      <w:r w:rsidRPr="00976D0C">
        <w:t>Teniendo presentes las disposiciones del artículo 107 del reglamento del Comité, el Grupo de Trabajo sobre las Comunicaciones Individuales se reunirá del 18 al 20 de junio de</w:t>
      </w:r>
      <w:r w:rsidR="00511236">
        <w:t> </w:t>
      </w:r>
      <w:r w:rsidRPr="00976D0C">
        <w:t>2025, con anterioridad al 144º período de sesiones.</w:t>
      </w:r>
    </w:p>
    <w:p w14:paraId="4068DAAC" w14:textId="626A87E3" w:rsidR="00521CB9" w:rsidRPr="00976D0C" w:rsidRDefault="00521CB9" w:rsidP="00521CB9">
      <w:pPr>
        <w:pStyle w:val="SingleTxtG"/>
        <w:rPr>
          <w:lang w:val="en-GB"/>
        </w:rPr>
      </w:pPr>
      <w:r>
        <w:tab/>
      </w:r>
      <w:r w:rsidRPr="00976D0C">
        <w:t>De conformidad con las disposiciones del capítulo XVIII de su reglamento, el Comité examinará las comunicaciones que se le hayan presentado o parezcan habérsele presentado de conformidad con el Protocolo Facultativo.</w:t>
      </w:r>
    </w:p>
    <w:p w14:paraId="1199D639" w14:textId="2BEC0794" w:rsidR="00521CB9" w:rsidRPr="00976D0C" w:rsidRDefault="00521CB9" w:rsidP="00521CB9">
      <w:pPr>
        <w:pStyle w:val="SingleTxtG"/>
        <w:rPr>
          <w:lang w:val="en-GB"/>
        </w:rPr>
      </w:pPr>
      <w:r>
        <w:tab/>
      </w:r>
      <w:r w:rsidRPr="00976D0C">
        <w:t>Al 9 de abril de 2025 el Comité tenía pendientes 954 comunicaciones.</w:t>
      </w:r>
    </w:p>
    <w:p w14:paraId="56FC745F" w14:textId="3DB16F6A" w:rsidR="00411A36" w:rsidRDefault="00521CB9" w:rsidP="00521CB9">
      <w:pPr>
        <w:pStyle w:val="SingleTxtG"/>
      </w:pPr>
      <w:r>
        <w:tab/>
      </w:r>
      <w:r w:rsidRPr="00976D0C">
        <w:t>De conformidad con el artículo 5, párrafo 3, del Protocolo Facultativo y con el artículo 110 del reglamento del Comité, el presente tema del programa se examinará en sesiones privadas.</w:t>
      </w:r>
      <w:bookmarkEnd w:id="5"/>
      <w:bookmarkEnd w:id="6"/>
    </w:p>
    <w:p w14:paraId="7787C894" w14:textId="2F26E03C" w:rsidR="00521CB9" w:rsidRPr="00521CB9" w:rsidRDefault="00521CB9" w:rsidP="00521CB9">
      <w:pPr>
        <w:pStyle w:val="SingleTxtG"/>
        <w:suppressAutoHyphens/>
        <w:spacing w:before="240" w:after="0"/>
        <w:jc w:val="center"/>
        <w:rPr>
          <w:u w:val="single"/>
        </w:rPr>
      </w:pPr>
      <w:r>
        <w:rPr>
          <w:u w:val="single"/>
        </w:rPr>
        <w:tab/>
      </w:r>
      <w:r>
        <w:rPr>
          <w:u w:val="single"/>
        </w:rPr>
        <w:tab/>
      </w:r>
      <w:r>
        <w:rPr>
          <w:u w:val="single"/>
        </w:rPr>
        <w:tab/>
      </w:r>
    </w:p>
    <w:sectPr w:rsidR="00521CB9" w:rsidRPr="00521CB9" w:rsidSect="008C0C38">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AF724" w14:textId="77777777" w:rsidR="003B43C0" w:rsidRDefault="003B43C0"/>
  </w:endnote>
  <w:endnote w:type="continuationSeparator" w:id="0">
    <w:p w14:paraId="2F63F84C" w14:textId="77777777" w:rsidR="003B43C0" w:rsidRDefault="003B43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367A5" w14:textId="7BC81276" w:rsidR="008C0C38" w:rsidRPr="008C0C38" w:rsidRDefault="008C0C38" w:rsidP="008C0C38">
    <w:pPr>
      <w:pStyle w:val="Piedepgina"/>
      <w:tabs>
        <w:tab w:val="right" w:pos="9638"/>
      </w:tabs>
    </w:pPr>
    <w:r w:rsidRPr="008C0C38">
      <w:rPr>
        <w:b/>
        <w:sz w:val="18"/>
      </w:rPr>
      <w:fldChar w:fldCharType="begin"/>
    </w:r>
    <w:r w:rsidRPr="008C0C38">
      <w:rPr>
        <w:b/>
        <w:sz w:val="18"/>
      </w:rPr>
      <w:instrText xml:space="preserve"> PAGE  \* MERGEFORMAT </w:instrText>
    </w:r>
    <w:r w:rsidRPr="008C0C38">
      <w:rPr>
        <w:b/>
        <w:sz w:val="18"/>
      </w:rPr>
      <w:fldChar w:fldCharType="separate"/>
    </w:r>
    <w:r w:rsidRPr="008C0C38">
      <w:rPr>
        <w:b/>
        <w:noProof/>
        <w:sz w:val="18"/>
      </w:rPr>
      <w:t>2</w:t>
    </w:r>
    <w:r w:rsidRPr="008C0C38">
      <w:rPr>
        <w:b/>
        <w:sz w:val="18"/>
      </w:rPr>
      <w:fldChar w:fldCharType="end"/>
    </w:r>
    <w:r>
      <w:rPr>
        <w:b/>
        <w:sz w:val="18"/>
      </w:rPr>
      <w:tab/>
    </w:r>
    <w:r>
      <w:t>GE.25-08553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0844F" w14:textId="2E9C92B2" w:rsidR="008C0C38" w:rsidRPr="008C0C38" w:rsidRDefault="008C0C38" w:rsidP="008C0C38">
    <w:pPr>
      <w:pStyle w:val="Piedepgina"/>
      <w:tabs>
        <w:tab w:val="right" w:pos="9638"/>
      </w:tabs>
      <w:rPr>
        <w:b/>
        <w:sz w:val="18"/>
      </w:rPr>
    </w:pPr>
    <w:r>
      <w:t>GE.25-08553</w:t>
    </w:r>
    <w:r>
      <w:tab/>
    </w:r>
    <w:r w:rsidRPr="008C0C38">
      <w:rPr>
        <w:b/>
        <w:sz w:val="18"/>
      </w:rPr>
      <w:fldChar w:fldCharType="begin"/>
    </w:r>
    <w:r w:rsidRPr="008C0C38">
      <w:rPr>
        <w:b/>
        <w:sz w:val="18"/>
      </w:rPr>
      <w:instrText xml:space="preserve"> PAGE  \* MERGEFORMAT </w:instrText>
    </w:r>
    <w:r w:rsidRPr="008C0C38">
      <w:rPr>
        <w:b/>
        <w:sz w:val="18"/>
      </w:rPr>
      <w:fldChar w:fldCharType="separate"/>
    </w:r>
    <w:r w:rsidRPr="008C0C38">
      <w:rPr>
        <w:b/>
        <w:noProof/>
        <w:sz w:val="18"/>
      </w:rPr>
      <w:t>3</w:t>
    </w:r>
    <w:r w:rsidRPr="008C0C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4FBE7" w14:textId="75B70442" w:rsidR="00DE44AD" w:rsidRPr="008C0C38" w:rsidRDefault="008C0C38" w:rsidP="008C0C3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80CD835" wp14:editId="7E184EB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25-08553  (S)</w:t>
    </w:r>
    <w:r>
      <w:rPr>
        <w:noProof/>
        <w:sz w:val="20"/>
      </w:rPr>
      <w:drawing>
        <wp:anchor distT="0" distB="0" distL="114300" distR="114300" simplePos="0" relativeHeight="251658752" behindDoc="0" locked="0" layoutInCell="1" allowOverlap="1" wp14:anchorId="08A134EE" wp14:editId="108835A4">
          <wp:simplePos x="0" y="0"/>
          <wp:positionH relativeFrom="margin">
            <wp:posOffset>5489575</wp:posOffset>
          </wp:positionH>
          <wp:positionV relativeFrom="margin">
            <wp:posOffset>8891905</wp:posOffset>
          </wp:positionV>
          <wp:extent cx="628650" cy="628650"/>
          <wp:effectExtent l="0" t="0" r="0" b="0"/>
          <wp:wrapNone/>
          <wp:docPr id="3245758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90515">
      <w:rPr>
        <w:sz w:val="20"/>
      </w:rPr>
      <w:t xml:space="preserve">    030725    040725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A7146" w14:textId="77777777" w:rsidR="003B43C0" w:rsidRPr="001075E9" w:rsidRDefault="003B43C0" w:rsidP="001075E9">
      <w:pPr>
        <w:tabs>
          <w:tab w:val="right" w:pos="2155"/>
        </w:tabs>
        <w:spacing w:after="80" w:line="240" w:lineRule="auto"/>
        <w:ind w:left="680"/>
        <w:rPr>
          <w:u w:val="single"/>
        </w:rPr>
      </w:pPr>
      <w:r>
        <w:rPr>
          <w:u w:val="single"/>
        </w:rPr>
        <w:tab/>
      </w:r>
    </w:p>
  </w:footnote>
  <w:footnote w:type="continuationSeparator" w:id="0">
    <w:p w14:paraId="29507562" w14:textId="77777777" w:rsidR="003B43C0" w:rsidRDefault="003B43C0" w:rsidP="00AE0E02">
      <w:pPr>
        <w:tabs>
          <w:tab w:val="right" w:pos="2155"/>
        </w:tabs>
        <w:spacing w:after="80" w:line="240" w:lineRule="auto"/>
        <w:ind w:left="680"/>
        <w:rPr>
          <w:u w:val="single"/>
        </w:rPr>
      </w:pPr>
      <w:r>
        <w:rPr>
          <w:u w:val="single"/>
        </w:rPr>
        <w:tab/>
      </w:r>
    </w:p>
  </w:footnote>
  <w:footnote w:id="1">
    <w:p w14:paraId="0DFBCA70" w14:textId="783AC508" w:rsidR="00521CB9" w:rsidRPr="00521CB9" w:rsidRDefault="00521CB9">
      <w:pPr>
        <w:pStyle w:val="Textonotapie"/>
        <w:rPr>
          <w:sz w:val="20"/>
        </w:rPr>
      </w:pPr>
      <w:r>
        <w:tab/>
      </w:r>
      <w:r w:rsidRPr="00521CB9">
        <w:rPr>
          <w:rStyle w:val="Refdenotaalpie"/>
          <w:sz w:val="20"/>
          <w:vertAlign w:val="baseline"/>
        </w:rPr>
        <w:t>*</w:t>
      </w:r>
      <w:r w:rsidRPr="00521CB9">
        <w:rPr>
          <w:rStyle w:val="Refdenotaalpie"/>
          <w:vertAlign w:val="baseline"/>
        </w:rPr>
        <w:tab/>
      </w:r>
      <w:r w:rsidRPr="00976D0C">
        <w:t>Este documento se presentó a los servicios de conferencias para su tramitación fuera del plazo establecido a fin de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07B5" w14:textId="3E7249A2" w:rsidR="008C0C38" w:rsidRPr="008C0C38" w:rsidRDefault="008C0C38">
    <w:pPr>
      <w:pStyle w:val="Encabezado"/>
    </w:pPr>
    <w:r>
      <w:fldChar w:fldCharType="begin"/>
    </w:r>
    <w:r>
      <w:instrText xml:space="preserve"> TITLE  \* MERGEFORMAT </w:instrText>
    </w:r>
    <w:r>
      <w:fldChar w:fldCharType="separate"/>
    </w:r>
    <w:proofErr w:type="spellStart"/>
    <w:r w:rsidR="00A643C4">
      <w:t>CCPR</w:t>
    </w:r>
    <w:proofErr w:type="spellEnd"/>
    <w:r w:rsidR="00A643C4">
      <w:t>/C/144/1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1BA8C" w14:textId="56FEE040" w:rsidR="008C0C38" w:rsidRPr="008C0C38" w:rsidRDefault="008C0C38" w:rsidP="008C0C38">
    <w:pPr>
      <w:pStyle w:val="Encabezado"/>
      <w:jc w:val="right"/>
    </w:pPr>
    <w:r>
      <w:fldChar w:fldCharType="begin"/>
    </w:r>
    <w:r>
      <w:instrText xml:space="preserve"> TITLE  \* MERGEFORMAT </w:instrText>
    </w:r>
    <w:r>
      <w:fldChar w:fldCharType="separate"/>
    </w:r>
    <w:proofErr w:type="spellStart"/>
    <w:r w:rsidR="00A643C4">
      <w:t>CCPR</w:t>
    </w:r>
    <w:proofErr w:type="spellEnd"/>
    <w:r w:rsidR="00A643C4">
      <w:t>/C/144/1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39820744">
    <w:abstractNumId w:val="14"/>
  </w:num>
  <w:num w:numId="2" w16cid:durableId="1822506319">
    <w:abstractNumId w:val="11"/>
  </w:num>
  <w:num w:numId="3" w16cid:durableId="1418673494">
    <w:abstractNumId w:val="16"/>
  </w:num>
  <w:num w:numId="4" w16cid:durableId="360909320">
    <w:abstractNumId w:val="15"/>
  </w:num>
  <w:num w:numId="5" w16cid:durableId="140510251">
    <w:abstractNumId w:val="13"/>
  </w:num>
  <w:num w:numId="6" w16cid:durableId="1160730484">
    <w:abstractNumId w:val="8"/>
  </w:num>
  <w:num w:numId="7" w16cid:durableId="2080781572">
    <w:abstractNumId w:val="3"/>
  </w:num>
  <w:num w:numId="8" w16cid:durableId="1895118964">
    <w:abstractNumId w:val="2"/>
  </w:num>
  <w:num w:numId="9" w16cid:durableId="1793287625">
    <w:abstractNumId w:val="1"/>
  </w:num>
  <w:num w:numId="10" w16cid:durableId="1398943945">
    <w:abstractNumId w:val="0"/>
  </w:num>
  <w:num w:numId="11" w16cid:durableId="1783959837">
    <w:abstractNumId w:val="9"/>
  </w:num>
  <w:num w:numId="12" w16cid:durableId="227494312">
    <w:abstractNumId w:val="7"/>
  </w:num>
  <w:num w:numId="13" w16cid:durableId="633101925">
    <w:abstractNumId w:val="6"/>
  </w:num>
  <w:num w:numId="14" w16cid:durableId="147137965">
    <w:abstractNumId w:val="5"/>
  </w:num>
  <w:num w:numId="15" w16cid:durableId="1464928303">
    <w:abstractNumId w:val="4"/>
  </w:num>
  <w:num w:numId="16" w16cid:durableId="1368065809">
    <w:abstractNumId w:val="10"/>
  </w:num>
  <w:num w:numId="17" w16cid:durableId="631132608">
    <w:abstractNumId w:val="14"/>
  </w:num>
  <w:num w:numId="18" w16cid:durableId="738750885">
    <w:abstractNumId w:val="11"/>
  </w:num>
  <w:num w:numId="19" w16cid:durableId="644429926">
    <w:abstractNumId w:val="10"/>
  </w:num>
  <w:num w:numId="20" w16cid:durableId="1546260121">
    <w:abstractNumId w:val="16"/>
  </w:num>
  <w:num w:numId="21" w16cid:durableId="31422890">
    <w:abstractNumId w:val="15"/>
  </w:num>
  <w:num w:numId="22" w16cid:durableId="471337580">
    <w:abstractNumId w:val="12"/>
  </w:num>
  <w:num w:numId="23" w16cid:durableId="745301964">
    <w:abstractNumId w:val="12"/>
  </w:num>
  <w:num w:numId="24" w16cid:durableId="1419444277">
    <w:abstractNumId w:val="13"/>
  </w:num>
  <w:num w:numId="25" w16cid:durableId="1287850084">
    <w:abstractNumId w:val="9"/>
  </w:num>
  <w:num w:numId="26" w16cid:durableId="1291784323">
    <w:abstractNumId w:val="7"/>
  </w:num>
  <w:num w:numId="27" w16cid:durableId="1338851909">
    <w:abstractNumId w:val="6"/>
  </w:num>
  <w:num w:numId="28" w16cid:durableId="2031253794">
    <w:abstractNumId w:val="5"/>
  </w:num>
  <w:num w:numId="29" w16cid:durableId="1514564781">
    <w:abstractNumId w:val="4"/>
  </w:num>
  <w:num w:numId="30" w16cid:durableId="675690537">
    <w:abstractNumId w:val="8"/>
  </w:num>
  <w:num w:numId="31" w16cid:durableId="1083457059">
    <w:abstractNumId w:val="3"/>
  </w:num>
  <w:num w:numId="32" w16cid:durableId="1668943957">
    <w:abstractNumId w:val="2"/>
  </w:num>
  <w:num w:numId="33" w16cid:durableId="1472214874">
    <w:abstractNumId w:val="1"/>
  </w:num>
  <w:num w:numId="34" w16cid:durableId="9760429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3C0"/>
    <w:rsid w:val="00006BB9"/>
    <w:rsid w:val="0005274F"/>
    <w:rsid w:val="000A36A2"/>
    <w:rsid w:val="000B57E7"/>
    <w:rsid w:val="000F09DF"/>
    <w:rsid w:val="000F61B2"/>
    <w:rsid w:val="001075E9"/>
    <w:rsid w:val="00160FF7"/>
    <w:rsid w:val="00180183"/>
    <w:rsid w:val="00196389"/>
    <w:rsid w:val="001A1F00"/>
    <w:rsid w:val="001C7A89"/>
    <w:rsid w:val="0022765D"/>
    <w:rsid w:val="00260B6F"/>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B43C0"/>
    <w:rsid w:val="003E1F6E"/>
    <w:rsid w:val="004039A7"/>
    <w:rsid w:val="00411A36"/>
    <w:rsid w:val="00454E07"/>
    <w:rsid w:val="004744DF"/>
    <w:rsid w:val="004875CF"/>
    <w:rsid w:val="004E4B46"/>
    <w:rsid w:val="0050108D"/>
    <w:rsid w:val="00511236"/>
    <w:rsid w:val="00521CB9"/>
    <w:rsid w:val="0056787C"/>
    <w:rsid w:val="00572E19"/>
    <w:rsid w:val="005B3E01"/>
    <w:rsid w:val="005F0B42"/>
    <w:rsid w:val="00614642"/>
    <w:rsid w:val="00655A21"/>
    <w:rsid w:val="00660CE8"/>
    <w:rsid w:val="00673E5A"/>
    <w:rsid w:val="006808A9"/>
    <w:rsid w:val="006F35EE"/>
    <w:rsid w:val="007021FF"/>
    <w:rsid w:val="007076CB"/>
    <w:rsid w:val="00721764"/>
    <w:rsid w:val="00790515"/>
    <w:rsid w:val="007967DF"/>
    <w:rsid w:val="007A0D9C"/>
    <w:rsid w:val="00834B71"/>
    <w:rsid w:val="0086445C"/>
    <w:rsid w:val="00887BA6"/>
    <w:rsid w:val="008A08D7"/>
    <w:rsid w:val="008A13F9"/>
    <w:rsid w:val="008C0C38"/>
    <w:rsid w:val="008D5DB6"/>
    <w:rsid w:val="00906890"/>
    <w:rsid w:val="00916396"/>
    <w:rsid w:val="0093343C"/>
    <w:rsid w:val="00951972"/>
    <w:rsid w:val="00963777"/>
    <w:rsid w:val="009946B1"/>
    <w:rsid w:val="009B452A"/>
    <w:rsid w:val="009B4E5E"/>
    <w:rsid w:val="00A17DFD"/>
    <w:rsid w:val="00A643C4"/>
    <w:rsid w:val="00A81257"/>
    <w:rsid w:val="00A917B3"/>
    <w:rsid w:val="00AB4B51"/>
    <w:rsid w:val="00AE0E02"/>
    <w:rsid w:val="00AE4CC4"/>
    <w:rsid w:val="00B10CC7"/>
    <w:rsid w:val="00B10F84"/>
    <w:rsid w:val="00B511D3"/>
    <w:rsid w:val="00B62458"/>
    <w:rsid w:val="00BB3D0C"/>
    <w:rsid w:val="00BD33EE"/>
    <w:rsid w:val="00BF6492"/>
    <w:rsid w:val="00C2215B"/>
    <w:rsid w:val="00C27ECE"/>
    <w:rsid w:val="00C33381"/>
    <w:rsid w:val="00C56FC7"/>
    <w:rsid w:val="00C60F0C"/>
    <w:rsid w:val="00C66AA2"/>
    <w:rsid w:val="00C76505"/>
    <w:rsid w:val="00C805C9"/>
    <w:rsid w:val="00CA1679"/>
    <w:rsid w:val="00CA1E36"/>
    <w:rsid w:val="00CC0B02"/>
    <w:rsid w:val="00D32C7B"/>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46CEA"/>
  <w15:docId w15:val="{E35FD425-DFD0-4F84-A8AF-FD3A8495C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ESP/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CPR/C/LVA/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MKD/4" TargetMode="External"/><Relationship Id="rId5" Type="http://schemas.openxmlformats.org/officeDocument/2006/relationships/webSettings" Target="webSettings.xml"/><Relationship Id="rId15" Type="http://schemas.openxmlformats.org/officeDocument/2006/relationships/hyperlink" Target="http://undocs.org/en/CCPR/C/VNM/4" TargetMode="External"/><Relationship Id="rId10" Type="http://schemas.openxmlformats.org/officeDocument/2006/relationships/hyperlink" Target="http://undocs.org/en/CCPR/C/GNB/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CPR/C/KAZ/3" TargetMode="External"/><Relationship Id="rId14" Type="http://schemas.openxmlformats.org/officeDocument/2006/relationships/hyperlink" Target="http://undocs.org/en/CCPR/C/HTI/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3</Pages>
  <Words>1005</Words>
  <Characters>5521</Characters>
  <Application>Microsoft Office Word</Application>
  <DocSecurity>0</DocSecurity>
  <Lines>139</Lines>
  <Paragraphs>67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CCPR/C/144/1</dc:title>
  <dc:subject/>
  <dc:creator>Romina Valeria MERINO MAC-KAY</dc:creator>
  <cp:keywords/>
  <cp:lastModifiedBy>Romina Merino Mac-Kay</cp:lastModifiedBy>
  <cp:revision>3</cp:revision>
  <cp:lastPrinted>2025-07-04T08:13:00Z</cp:lastPrinted>
  <dcterms:created xsi:type="dcterms:W3CDTF">2025-07-04T08:13:00Z</dcterms:created>
  <dcterms:modified xsi:type="dcterms:W3CDTF">2025-07-04T08:14:00Z</dcterms:modified>
</cp:coreProperties>
</file>