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4694"/>
        <w:gridCol w:w="137"/>
        <w:gridCol w:w="283"/>
        <w:gridCol w:w="567"/>
        <w:gridCol w:w="2977"/>
      </w:tblGrid>
      <w:tr w:rsidR="003E3ADF">
        <w:tblPrEx>
          <w:tblCellMar>
            <w:top w:w="0" w:type="dxa"/>
            <w:left w:w="0" w:type="dxa"/>
            <w:bottom w:w="0" w:type="dxa"/>
            <w:right w:w="0" w:type="dxa"/>
          </w:tblCellMar>
        </w:tblPrEx>
        <w:trPr>
          <w:cantSplit/>
          <w:trHeight w:hRule="exact" w:val="864"/>
        </w:trPr>
        <w:tc>
          <w:tcPr>
            <w:tcW w:w="6096" w:type="dxa"/>
            <w:gridSpan w:val="3"/>
            <w:tcBorders>
              <w:top w:val="nil"/>
              <w:left w:val="nil"/>
              <w:bottom w:val="single" w:sz="6" w:space="0" w:color="auto"/>
              <w:right w:val="nil"/>
            </w:tcBorders>
            <w:vAlign w:val="bottom"/>
          </w:tcPr>
          <w:p w:rsidR="007E58C1" w:rsidRPr="00551BCE" w:rsidRDefault="00551BCE" w:rsidP="00551BCE">
            <w:pPr>
              <w:pStyle w:val="HCh"/>
              <w:spacing w:after="0" w:line="60" w:lineRule="exact"/>
              <w:ind w:left="1276"/>
              <w:jc w:val="left"/>
              <w:rPr>
                <w:b w:val="0"/>
                <w:spacing w:val="0"/>
                <w:w w:val="100"/>
                <w:sz w:val="6"/>
              </w:rPr>
            </w:pPr>
            <w:bookmarkStart w:id="0" w:name="insstart"/>
            <w:bookmarkEnd w:id="0"/>
            <w:r>
              <w:rPr>
                <w:rStyle w:val="CommentReference"/>
                <w:b w:val="0"/>
                <w:spacing w:val="0"/>
                <w:w w:val="100"/>
              </w:rPr>
              <w:commentReference w:id="1"/>
            </w:r>
          </w:p>
          <w:p w:rsidR="003E3ADF" w:rsidRDefault="003E3ADF">
            <w:pPr>
              <w:pStyle w:val="HCh"/>
              <w:spacing w:after="80"/>
              <w:ind w:left="1276"/>
              <w:jc w:val="left"/>
              <w:rPr>
                <w:b w:val="0"/>
                <w:spacing w:val="0"/>
                <w:w w:val="100"/>
              </w:rPr>
            </w:pPr>
            <w:r>
              <w:rPr>
                <w:b w:val="0"/>
                <w:spacing w:val="0"/>
                <w:w w:val="100"/>
              </w:rPr>
              <w:t>Организация Объединенных Наций</w:t>
            </w:r>
          </w:p>
        </w:tc>
        <w:tc>
          <w:tcPr>
            <w:tcW w:w="283" w:type="dxa"/>
            <w:tcBorders>
              <w:top w:val="nil"/>
              <w:left w:val="nil"/>
              <w:bottom w:val="single" w:sz="6" w:space="0" w:color="auto"/>
              <w:right w:val="nil"/>
            </w:tcBorders>
            <w:vAlign w:val="bottom"/>
          </w:tcPr>
          <w:p w:rsidR="003E3ADF" w:rsidRDefault="003E3ADF">
            <w:pPr>
              <w:pStyle w:val="Header"/>
              <w:spacing w:after="120"/>
            </w:pPr>
          </w:p>
        </w:tc>
        <w:tc>
          <w:tcPr>
            <w:tcW w:w="3544" w:type="dxa"/>
            <w:gridSpan w:val="2"/>
            <w:tcBorders>
              <w:top w:val="nil"/>
              <w:left w:val="nil"/>
              <w:bottom w:val="single" w:sz="6" w:space="0" w:color="auto"/>
              <w:right w:val="nil"/>
            </w:tcBorders>
            <w:vAlign w:val="bottom"/>
          </w:tcPr>
          <w:p w:rsidR="003E3ADF" w:rsidRDefault="003E3ADF">
            <w:pPr>
              <w:pStyle w:val="Header"/>
              <w:spacing w:after="20"/>
              <w:jc w:val="right"/>
              <w:rPr>
                <w:sz w:val="20"/>
                <w:lang w:val="en-US"/>
              </w:rPr>
            </w:pPr>
            <w:r>
              <w:rPr>
                <w:sz w:val="40"/>
                <w:lang w:val="en-US"/>
              </w:rPr>
              <w:t>CEDAW</w:t>
            </w:r>
            <w:r>
              <w:rPr>
                <w:sz w:val="20"/>
                <w:lang w:val="en-US"/>
              </w:rPr>
              <w:t>/C/NOR/7</w:t>
            </w:r>
          </w:p>
        </w:tc>
      </w:tr>
      <w:tr w:rsidR="003E3ADF">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3E3ADF" w:rsidRDefault="003E3ADF">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8" o:title="_unlogo"/>
                </v:shape>
              </w:pict>
            </w:r>
          </w:p>
          <w:p w:rsidR="003E3ADF" w:rsidRDefault="003E3ADF">
            <w:pPr>
              <w:pStyle w:val="Header"/>
              <w:spacing w:before="109"/>
            </w:pPr>
          </w:p>
        </w:tc>
        <w:tc>
          <w:tcPr>
            <w:tcW w:w="4694" w:type="dxa"/>
            <w:tcBorders>
              <w:top w:val="single" w:sz="6" w:space="0" w:color="auto"/>
              <w:left w:val="nil"/>
              <w:bottom w:val="single" w:sz="12" w:space="0" w:color="auto"/>
              <w:right w:val="nil"/>
            </w:tcBorders>
          </w:tcPr>
          <w:p w:rsidR="003E3ADF" w:rsidRDefault="003E3ADF">
            <w:pPr>
              <w:pStyle w:val="XLarge"/>
              <w:spacing w:before="240" w:line="330" w:lineRule="exact"/>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987" w:type="dxa"/>
            <w:gridSpan w:val="3"/>
            <w:tcBorders>
              <w:top w:val="single" w:sz="6" w:space="0" w:color="auto"/>
              <w:left w:val="nil"/>
              <w:bottom w:val="single" w:sz="12" w:space="0" w:color="auto"/>
              <w:right w:val="nil"/>
            </w:tcBorders>
          </w:tcPr>
          <w:p w:rsidR="003E3ADF" w:rsidRDefault="003E3ADF">
            <w:pPr>
              <w:pStyle w:val="Header"/>
              <w:spacing w:before="109"/>
            </w:pPr>
          </w:p>
        </w:tc>
        <w:tc>
          <w:tcPr>
            <w:tcW w:w="2977" w:type="dxa"/>
            <w:tcBorders>
              <w:top w:val="single" w:sz="6" w:space="0" w:color="auto"/>
              <w:left w:val="nil"/>
              <w:bottom w:val="single" w:sz="12" w:space="0" w:color="auto"/>
              <w:right w:val="nil"/>
            </w:tcBorders>
          </w:tcPr>
          <w:p w:rsidR="003E3ADF" w:rsidRDefault="003E3ADF">
            <w:pPr>
              <w:spacing w:before="240" w:after="0"/>
              <w:rPr>
                <w:sz w:val="20"/>
                <w:lang w:val="en-US"/>
              </w:rPr>
            </w:pPr>
            <w:r>
              <w:rPr>
                <w:sz w:val="20"/>
                <w:lang w:val="en-US"/>
              </w:rPr>
              <w:t>Distr.: General</w:t>
            </w:r>
          </w:p>
          <w:p w:rsidR="003E3ADF" w:rsidRPr="003E3ADF" w:rsidRDefault="003E3ADF">
            <w:pPr>
              <w:pStyle w:val="H56"/>
              <w:keepNext w:val="0"/>
              <w:keepLines w:val="0"/>
              <w:tabs>
                <w:tab w:val="clear" w:pos="360"/>
              </w:tabs>
              <w:suppressAutoHyphens w:val="0"/>
              <w:spacing w:after="0" w:line="240" w:lineRule="auto"/>
              <w:outlineLvl w:val="9"/>
              <w:rPr>
                <w:spacing w:val="0"/>
                <w:w w:val="100"/>
                <w:sz w:val="20"/>
                <w:lang w:val="en-US"/>
              </w:rPr>
            </w:pPr>
            <w:r>
              <w:rPr>
                <w:spacing w:val="0"/>
                <w:w w:val="100"/>
                <w:sz w:val="20"/>
                <w:lang w:val="en-US"/>
              </w:rPr>
              <w:t>26 March 200</w:t>
            </w:r>
            <w:r w:rsidRPr="003E3ADF">
              <w:rPr>
                <w:spacing w:val="0"/>
                <w:w w:val="100"/>
                <w:sz w:val="20"/>
                <w:lang w:val="en-US"/>
              </w:rPr>
              <w:t>7</w:t>
            </w:r>
          </w:p>
          <w:p w:rsidR="003E3ADF" w:rsidRDefault="003E3ADF">
            <w:pPr>
              <w:spacing w:after="0"/>
              <w:rPr>
                <w:sz w:val="20"/>
                <w:lang w:val="en-US"/>
              </w:rPr>
            </w:pPr>
          </w:p>
          <w:p w:rsidR="003E3ADF" w:rsidRDefault="003E3ADF">
            <w:pPr>
              <w:spacing w:after="0"/>
              <w:rPr>
                <w:sz w:val="20"/>
                <w:lang w:val="en-US"/>
              </w:rPr>
            </w:pPr>
            <w:r>
              <w:rPr>
                <w:sz w:val="20"/>
                <w:lang w:val="en-US"/>
              </w:rPr>
              <w:t>Russian</w:t>
            </w:r>
          </w:p>
          <w:p w:rsidR="003E3ADF" w:rsidRPr="003E3ADF" w:rsidRDefault="003E3ADF">
            <w:pPr>
              <w:spacing w:after="0"/>
              <w:rPr>
                <w:lang w:val="en-US"/>
              </w:rPr>
            </w:pPr>
            <w:r>
              <w:rPr>
                <w:sz w:val="20"/>
                <w:lang w:val="en-US"/>
              </w:rPr>
              <w:t>Original: English</w:t>
            </w:r>
          </w:p>
        </w:tc>
      </w:tr>
    </w:tbl>
    <w:p w:rsidR="003E3ADF" w:rsidRDefault="003E3ADF">
      <w:pPr>
        <w:pStyle w:val="H1"/>
        <w:tabs>
          <w:tab w:val="left" w:pos="680"/>
        </w:tabs>
        <w:spacing w:after="0" w:line="100" w:lineRule="exact"/>
        <w:jc w:val="left"/>
        <w:rPr>
          <w:spacing w:val="0"/>
          <w:w w:val="100"/>
          <w:lang w:val="en-US"/>
        </w:rPr>
      </w:pPr>
    </w:p>
    <w:p w:rsidR="003E3ADF" w:rsidRDefault="003E3ADF">
      <w:pPr>
        <w:pStyle w:val="H1"/>
        <w:tabs>
          <w:tab w:val="left" w:pos="680"/>
        </w:tabs>
        <w:jc w:val="left"/>
        <w:rPr>
          <w:spacing w:val="0"/>
          <w:w w:val="100"/>
        </w:rPr>
      </w:pPr>
      <w:r>
        <w:rPr>
          <w:spacing w:val="0"/>
          <w:w w:val="100"/>
        </w:rPr>
        <w:t>Комитет по ликвидации дискриминации</w:t>
      </w:r>
      <w:r>
        <w:rPr>
          <w:spacing w:val="0"/>
          <w:w w:val="100"/>
        </w:rPr>
        <w:br/>
        <w:t>в отношении женщин</w:t>
      </w:r>
    </w:p>
    <w:p w:rsidR="003E3ADF" w:rsidRDefault="003E3ADF">
      <w:pPr>
        <w:pStyle w:val="HCh"/>
        <w:tabs>
          <w:tab w:val="left" w:pos="680"/>
        </w:tabs>
        <w:spacing w:before="120" w:after="60"/>
        <w:ind w:left="1247"/>
        <w:jc w:val="left"/>
        <w:rPr>
          <w:spacing w:val="0"/>
          <w:w w:val="100"/>
          <w:highlight w:val="yellow"/>
        </w:rPr>
      </w:pPr>
      <w:r>
        <w:t xml:space="preserve">Рассмотрение докладов, представленных </w:t>
      </w:r>
      <w:r>
        <w:br/>
        <w:t xml:space="preserve">государствами-участниками в соответствии со статьей 18 Конвенции о ликвидации всех форм дискриминации </w:t>
      </w:r>
      <w:r>
        <w:br/>
        <w:t>в отношении женщин</w:t>
      </w:r>
    </w:p>
    <w:p w:rsidR="003E3ADF" w:rsidRDefault="003E3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rPr>
          <w:spacing w:val="0"/>
          <w:w w:val="100"/>
          <w:sz w:val="10"/>
          <w:highlight w:val="yellow"/>
        </w:rPr>
      </w:pPr>
    </w:p>
    <w:p w:rsidR="003E3ADF" w:rsidRDefault="003E3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jc w:val="right"/>
        <w:rPr>
          <w:spacing w:val="0"/>
          <w:w w:val="100"/>
          <w:sz w:val="10"/>
          <w:highlight w:val="yellow"/>
        </w:rPr>
      </w:pPr>
    </w:p>
    <w:p w:rsidR="003E3ADF" w:rsidRDefault="003E3ADF">
      <w:pPr>
        <w:pStyle w:val="H1"/>
        <w:keepNext/>
        <w:keepLines/>
        <w:tabs>
          <w:tab w:val="clear" w:pos="1361"/>
          <w:tab w:val="left" w:pos="680"/>
        </w:tabs>
        <w:spacing w:line="300" w:lineRule="exact"/>
        <w:ind w:left="1276"/>
        <w:jc w:val="left"/>
        <w:rPr>
          <w:b w:val="0"/>
          <w:spacing w:val="-3"/>
          <w:sz w:val="28"/>
          <w:szCs w:val="24"/>
        </w:rPr>
      </w:pPr>
      <w:r>
        <w:rPr>
          <w:sz w:val="28"/>
        </w:rPr>
        <w:t>Норвегия</w:t>
      </w:r>
      <w:r>
        <w:rPr>
          <w:rStyle w:val="FootnoteReference"/>
          <w:b w:val="0"/>
          <w:spacing w:val="-3"/>
          <w:sz w:val="28"/>
          <w:szCs w:val="24"/>
        </w:rPr>
        <w:footnoteReference w:customMarkFollows="1" w:id="1"/>
        <w:t>*</w:t>
      </w:r>
    </w:p>
    <w:p w:rsidR="003E3ADF" w:rsidRDefault="003E3ADF">
      <w:pPr>
        <w:pStyle w:val="SingleTxt"/>
        <w:rPr>
          <w:spacing w:val="0"/>
          <w:w w:val="100"/>
          <w:sz w:val="24"/>
        </w:rPr>
      </w:pPr>
      <w:r>
        <w:rPr>
          <w:spacing w:val="0"/>
          <w:w w:val="100"/>
          <w:sz w:val="24"/>
        </w:rPr>
        <w:t>Седьмой периодический доклад государств-участников</w:t>
      </w:r>
    </w:p>
    <w:p w:rsidR="003E3ADF" w:rsidRDefault="003E3ADF">
      <w:pPr>
        <w:pStyle w:val="HCh"/>
        <w:spacing w:after="120"/>
        <w:rPr>
          <w:b w:val="0"/>
        </w:rPr>
      </w:pPr>
      <w:r>
        <w:rPr>
          <w:b w:val="0"/>
        </w:rPr>
        <w:t>Coдержание</w:t>
      </w:r>
    </w:p>
    <w:tbl>
      <w:tblPr>
        <w:tblW w:w="9904" w:type="dxa"/>
        <w:tblInd w:w="-108" w:type="dxa"/>
        <w:tblLayout w:type="fixed"/>
        <w:tblCellMar>
          <w:left w:w="0" w:type="dxa"/>
          <w:right w:w="0" w:type="dxa"/>
        </w:tblCellMar>
        <w:tblLook w:val="0000" w:firstRow="0" w:lastRow="0" w:firstColumn="0" w:lastColumn="0" w:noHBand="0" w:noVBand="0"/>
      </w:tblPr>
      <w:tblGrid>
        <w:gridCol w:w="108"/>
        <w:gridCol w:w="1049"/>
        <w:gridCol w:w="7237"/>
        <w:gridCol w:w="975"/>
        <w:gridCol w:w="8"/>
        <w:gridCol w:w="527"/>
      </w:tblGrid>
      <w:tr w:rsidR="003E3ADF">
        <w:tblPrEx>
          <w:tblCellMar>
            <w:top w:w="0" w:type="dxa"/>
            <w:bottom w:w="0" w:type="dxa"/>
          </w:tblCellMar>
        </w:tblPrEx>
        <w:trPr>
          <w:gridBefore w:val="1"/>
          <w:wBefore w:w="108" w:type="dxa"/>
        </w:trPr>
        <w:tc>
          <w:tcPr>
            <w:tcW w:w="1049" w:type="dxa"/>
          </w:tcPr>
          <w:p w:rsidR="003E3ADF" w:rsidRDefault="003E3ADF">
            <w:pPr>
              <w:spacing w:after="120"/>
              <w:jc w:val="right"/>
              <w:rPr>
                <w:i/>
                <w:sz w:val="14"/>
              </w:rPr>
            </w:pPr>
          </w:p>
        </w:tc>
        <w:tc>
          <w:tcPr>
            <w:tcW w:w="7237" w:type="dxa"/>
          </w:tcPr>
          <w:p w:rsidR="003E3ADF" w:rsidRDefault="003E3ADF">
            <w:pPr>
              <w:spacing w:after="120"/>
              <w:rPr>
                <w:i/>
                <w:sz w:val="14"/>
              </w:rPr>
            </w:pPr>
          </w:p>
        </w:tc>
        <w:tc>
          <w:tcPr>
            <w:tcW w:w="983" w:type="dxa"/>
            <w:gridSpan w:val="2"/>
          </w:tcPr>
          <w:p w:rsidR="003E3ADF" w:rsidRDefault="003E3ADF">
            <w:pPr>
              <w:spacing w:after="120"/>
              <w:jc w:val="right"/>
              <w:rPr>
                <w:i/>
                <w:sz w:val="14"/>
              </w:rPr>
            </w:pPr>
          </w:p>
        </w:tc>
        <w:tc>
          <w:tcPr>
            <w:tcW w:w="527" w:type="dxa"/>
          </w:tcPr>
          <w:p w:rsidR="003E3ADF" w:rsidRDefault="003E3ADF">
            <w:pPr>
              <w:spacing w:after="120"/>
              <w:jc w:val="right"/>
              <w:rPr>
                <w:i/>
                <w:sz w:val="14"/>
              </w:rPr>
            </w:pPr>
            <w:r>
              <w:rPr>
                <w:i/>
                <w:sz w:val="14"/>
              </w:rPr>
              <w:t>Стр.</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34"/>
                <w:tab w:val="left" w:leader="dot" w:pos="9356"/>
              </w:tabs>
              <w:spacing w:before="20" w:after="20"/>
              <w:ind w:left="717" w:hanging="717"/>
              <w:rPr>
                <w:spacing w:val="60"/>
              </w:rPr>
            </w:pPr>
            <w:r>
              <w:rPr>
                <w:b/>
                <w:bCs/>
                <w:lang w:eastAsia="en-US"/>
              </w:rPr>
              <w:t>1.</w:t>
            </w:r>
            <w:r>
              <w:rPr>
                <w:b/>
                <w:bCs/>
                <w:lang w:eastAsia="en-US"/>
              </w:rPr>
              <w:tab/>
              <w:t>Часть I.  Законодательство, механизм обеспечения гендерного равенства и основные права</w:t>
            </w:r>
            <w: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4</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rPr>
                <w:spacing w:val="60"/>
              </w:rPr>
            </w:pPr>
            <w:r>
              <w:rPr>
                <w:b/>
                <w:bCs/>
                <w:lang w:eastAsia="en-US"/>
              </w:rPr>
              <w:tab/>
            </w:r>
            <w:r>
              <w:rPr>
                <w:lang w:eastAsia="en-US"/>
              </w:rPr>
              <w:t>1.1</w:t>
            </w:r>
            <w:r>
              <w:rPr>
                <w:lang w:eastAsia="en-US"/>
              </w:rPr>
              <w:tab/>
              <w:t>Статья 2</w:t>
            </w:r>
            <w: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4</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jc w:val="left"/>
              <w:rPr>
                <w:spacing w:val="60"/>
              </w:rPr>
            </w:pPr>
            <w:r>
              <w:rPr>
                <w:lang w:eastAsia="en-US"/>
              </w:rPr>
              <w:tab/>
            </w:r>
            <w:r>
              <w:rPr>
                <w:lang w:eastAsia="en-US"/>
              </w:rPr>
              <w:tab/>
              <w:t>1.1.1</w:t>
            </w:r>
            <w:r>
              <w:rPr>
                <w:lang w:eastAsia="en-US"/>
              </w:rPr>
              <w:tab/>
              <w:t>Статья 2а.  Гендерное ра</w:t>
            </w:r>
            <w:r>
              <w:t xml:space="preserve">венство </w:t>
            </w:r>
            <w:r>
              <w:rPr>
                <w:lang w:eastAsia="en-US"/>
              </w:rPr>
              <w:t>в основном законодательстве</w:t>
            </w:r>
            <w:r>
              <w:rPr>
                <w:lang w:eastAsia="en-US"/>
              </w:rP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4</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rPr>
                <w:spacing w:val="60"/>
              </w:rPr>
            </w:pPr>
            <w:r>
              <w:rPr>
                <w:lang w:eastAsia="en-US"/>
              </w:rPr>
              <w:tab/>
            </w:r>
            <w:r>
              <w:rPr>
                <w:lang w:eastAsia="en-US"/>
              </w:rPr>
              <w:tab/>
              <w:t>1.1.2</w:t>
            </w:r>
            <w:r>
              <w:rPr>
                <w:lang w:eastAsia="en-US"/>
              </w:rPr>
              <w:tab/>
              <w:t>Статья 2b.  Закон о равенстве полов</w:t>
            </w:r>
            <w:r>
              <w:rPr>
                <w:lang w:eastAsia="en-US"/>
              </w:rP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7</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rPr>
                <w:spacing w:val="60"/>
              </w:rPr>
            </w:pPr>
            <w:r>
              <w:rPr>
                <w:lang w:eastAsia="en-US"/>
              </w:rPr>
              <w:tab/>
            </w:r>
            <w:r>
              <w:rPr>
                <w:lang w:eastAsia="en-US"/>
              </w:rPr>
              <w:tab/>
              <w:t>1.1.3</w:t>
            </w:r>
            <w:r>
              <w:rPr>
                <w:lang w:eastAsia="en-US"/>
              </w:rPr>
              <w:tab/>
              <w:t>Статья 2с.  Национальный механизм обеспечения гендерного равенства</w:t>
            </w:r>
            <w:r>
              <w:rPr>
                <w:lang w:eastAsia="en-US"/>
              </w:rP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8</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jc w:val="left"/>
              <w:rPr>
                <w:spacing w:val="60"/>
              </w:rPr>
            </w:pPr>
            <w:r>
              <w:tab/>
            </w:r>
            <w:r>
              <w:tab/>
              <w:t>1.1.4</w:t>
            </w:r>
            <w:r>
              <w:tab/>
              <w:t>Статья 2d.  Усилия государственных органов по поощрению равенства полов</w:t>
            </w:r>
            <w: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13</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jc w:val="left"/>
            </w:pPr>
            <w:r>
              <w:tab/>
            </w:r>
            <w:r>
              <w:tab/>
              <w:t>1.1.5</w:t>
            </w:r>
            <w:r>
              <w:tab/>
              <w:t>Статья 2е</w:t>
            </w:r>
            <w: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16</w:t>
            </w:r>
          </w:p>
        </w:tc>
      </w:tr>
      <w:tr w:rsidR="003E3ADF">
        <w:tblPrEx>
          <w:tblCellMar>
            <w:top w:w="0" w:type="dxa"/>
            <w:left w:w="108" w:type="dxa"/>
            <w:bottom w:w="0" w:type="dxa"/>
            <w:right w:w="108" w:type="dxa"/>
          </w:tblCellMar>
        </w:tblPrEx>
        <w:tc>
          <w:tcPr>
            <w:tcW w:w="9369" w:type="dxa"/>
            <w:gridSpan w:val="4"/>
          </w:tcPr>
          <w:p w:rsidR="003E3ADF" w:rsidRDefault="003E3ADF">
            <w:pPr>
              <w:tabs>
                <w:tab w:val="clear" w:pos="709"/>
                <w:tab w:val="clear" w:pos="1361"/>
                <w:tab w:val="clear" w:pos="2041"/>
                <w:tab w:val="left" w:pos="680"/>
                <w:tab w:val="left" w:pos="1142"/>
                <w:tab w:val="left" w:pos="1701"/>
                <w:tab w:val="left" w:leader="dot" w:pos="9356"/>
              </w:tabs>
              <w:spacing w:before="20" w:after="20"/>
              <w:jc w:val="left"/>
            </w:pPr>
            <w:r>
              <w:tab/>
            </w:r>
            <w:r>
              <w:tab/>
              <w:t>1.1.6</w:t>
            </w:r>
            <w:r>
              <w:tab/>
              <w:t>Статья 2f и 2g</w:t>
            </w:r>
            <w:r>
              <w:tab/>
            </w:r>
          </w:p>
        </w:tc>
        <w:tc>
          <w:tcPr>
            <w:tcW w:w="535"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16</w:t>
            </w:r>
          </w:p>
        </w:tc>
      </w:tr>
    </w:tbl>
    <w:p w:rsidR="003E3ADF" w:rsidRDefault="00CC2A43">
      <w:pPr>
        <w:pStyle w:val="FootnoteText"/>
        <w:tabs>
          <w:tab w:val="clear" w:pos="340"/>
          <w:tab w:val="clear" w:pos="709"/>
          <w:tab w:val="left" w:pos="680"/>
          <w:tab w:val="left" w:pos="1134"/>
          <w:tab w:val="left" w:pos="1701"/>
          <w:tab w:val="left" w:leader="dot" w:pos="9356"/>
        </w:tabs>
        <w:spacing w:before="20" w:after="20"/>
        <w:rPr>
          <w:color w:val="000000"/>
          <w:sz w:val="22"/>
          <w:szCs w:val="24"/>
        </w:rPr>
      </w:pPr>
      <w:r>
        <w:rPr>
          <w:noProof/>
          <w:color w:val="000000"/>
          <w:sz w:val="22"/>
          <w:szCs w:val="24"/>
        </w:rPr>
        <w:pict>
          <v:shapetype id="_x0000_t202" coordsize="21600,21600" o:spt="202" path="m,l,21600r21600,l21600,xe">
            <v:stroke joinstyle="miter"/>
            <v:path gradientshapeok="t" o:connecttype="rect"/>
          </v:shapetype>
          <v:shape id="_x0000_s2484" type="#_x0000_t202" style="position:absolute;left:0;text-align:left;margin-left:12.05pt;margin-top:173.35pt;width:120.85pt;height:25.75pt;z-index:1;mso-position-horizontal-relative:text;mso-position-vertical-relative:text" filled="f" stroked="f">
            <v:textbox inset="0,0,0,0">
              <w:txbxContent>
                <w:p w:rsidR="003E3ADF" w:rsidRDefault="003E3ADF" w:rsidP="00CC2A43">
                  <w:pPr>
                    <w:spacing w:after="0"/>
                    <w:rPr>
                      <w:sz w:val="20"/>
                      <w:lang w:val="en-US"/>
                    </w:rPr>
                  </w:pPr>
                  <w:r w:rsidRPr="00CC2A43">
                    <w:rPr>
                      <w:sz w:val="20"/>
                      <w:lang w:val="en-US"/>
                    </w:rPr>
                    <w:t>07-2</w:t>
                  </w:r>
                  <w:r w:rsidRPr="00CC2A43">
                    <w:rPr>
                      <w:sz w:val="20"/>
                    </w:rPr>
                    <w:t>8618</w:t>
                  </w:r>
                  <w:r w:rsidRPr="00CC2A43">
                    <w:rPr>
                      <w:sz w:val="20"/>
                      <w:lang w:val="en-US"/>
                    </w:rPr>
                    <w:t>.R</w:t>
                  </w:r>
                </w:p>
                <w:p w:rsidR="00CC2A43" w:rsidRPr="00CC2A43" w:rsidRDefault="00CC2A43" w:rsidP="00CC2A43">
                  <w:pPr>
                    <w:spacing w:after="60"/>
                    <w:rPr>
                      <w:rFonts w:ascii="Barcode 3 of 9 by request" w:hAnsi="Barcode 3 of 9 by request"/>
                      <w:sz w:val="20"/>
                      <w:lang w:val="en-US"/>
                    </w:rPr>
                  </w:pPr>
                  <w:r w:rsidRPr="00CC2A43">
                    <w:rPr>
                      <w:rFonts w:ascii="Barcode 3 of 9 by request" w:hAnsi="Barcode 3 of 9 by request"/>
                      <w:sz w:val="20"/>
                      <w:lang w:val="en-US"/>
                    </w:rPr>
                    <w:t>*0728618*</w:t>
                  </w:r>
                </w:p>
              </w:txbxContent>
            </v:textbox>
          </v:shape>
        </w:pict>
      </w:r>
      <w:r w:rsidR="003E3ADF">
        <w:rPr>
          <w:noProof/>
          <w:color w:val="000000"/>
          <w:sz w:val="20"/>
          <w:szCs w:val="24"/>
        </w:rPr>
        <w:pict>
          <v:line id="_x0000_s2486" style="position:absolute;left:0;text-align:left;z-index:2;mso-position-horizontal-relative:text;mso-position-vertical-relative:text" from="51.45pt,26.1pt" to="493.05pt,26.1pt" strokeweight=".5pt"/>
        </w:pict>
      </w:r>
    </w:p>
    <w:p w:rsidR="003E3ADF" w:rsidRDefault="003E3ADF">
      <w:pPr>
        <w:pStyle w:val="FootnoteText"/>
        <w:tabs>
          <w:tab w:val="clear" w:pos="340"/>
          <w:tab w:val="clear" w:pos="709"/>
          <w:tab w:val="left" w:pos="680"/>
          <w:tab w:val="left" w:pos="1134"/>
          <w:tab w:val="left" w:pos="1701"/>
          <w:tab w:val="left" w:leader="dot" w:pos="9356"/>
        </w:tabs>
        <w:spacing w:before="20" w:after="20"/>
        <w:rPr>
          <w:color w:val="000000"/>
          <w:sz w:val="22"/>
          <w:szCs w:val="24"/>
        </w:rPr>
        <w:sectPr w:rsidR="003E3ADF">
          <w:headerReference w:type="even" r:id="rId9"/>
          <w:headerReference w:type="default" r:id="rId10"/>
          <w:footerReference w:type="default" r:id="rId11"/>
          <w:endnotePr>
            <w:numFmt w:val="decimal"/>
          </w:endnotePr>
          <w:type w:val="continuous"/>
          <w:pgSz w:w="12242" w:h="15842" w:code="1"/>
          <w:pgMar w:top="624" w:right="1191" w:bottom="1418" w:left="1191" w:header="1247" w:footer="1247" w:gutter="0"/>
          <w:pgNumType w:start="2"/>
          <w:cols w:space="708"/>
          <w:titlePg/>
          <w:docGrid w:linePitch="360"/>
        </w:sectPr>
      </w:pPr>
    </w:p>
    <w:tbl>
      <w:tblPr>
        <w:tblW w:w="10065" w:type="dxa"/>
        <w:tblInd w:w="-34" w:type="dxa"/>
        <w:tblLayout w:type="fixed"/>
        <w:tblLook w:val="0000" w:firstRow="0" w:lastRow="0" w:firstColumn="0" w:lastColumn="0" w:noHBand="0" w:noVBand="0"/>
      </w:tblPr>
      <w:tblGrid>
        <w:gridCol w:w="9395"/>
        <w:gridCol w:w="8"/>
        <w:gridCol w:w="662"/>
      </w:tblGrid>
      <w:tr w:rsidR="003E3ADF">
        <w:tblPrEx>
          <w:tblCellMar>
            <w:top w:w="0" w:type="dxa"/>
            <w:bottom w:w="0" w:type="dxa"/>
          </w:tblCellMar>
        </w:tblPrEx>
        <w:tc>
          <w:tcPr>
            <w:tcW w:w="9395" w:type="dxa"/>
          </w:tcPr>
          <w:p w:rsidR="003E3ADF" w:rsidRDefault="003E3ADF">
            <w:pPr>
              <w:tabs>
                <w:tab w:val="clear" w:pos="709"/>
                <w:tab w:val="clear" w:pos="1361"/>
                <w:tab w:val="clear" w:pos="2041"/>
                <w:tab w:val="left" w:pos="680"/>
                <w:tab w:val="left" w:pos="1134"/>
                <w:tab w:val="left" w:pos="1701"/>
                <w:tab w:val="left" w:leader="dot" w:pos="9356"/>
              </w:tabs>
              <w:spacing w:before="20" w:after="20"/>
              <w:rPr>
                <w:spacing w:val="60"/>
              </w:rPr>
            </w:pPr>
          </w:p>
        </w:tc>
        <w:tc>
          <w:tcPr>
            <w:tcW w:w="670"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left"/>
              <w:rPr>
                <w:i/>
                <w:iCs/>
                <w:sz w:val="14"/>
                <w:lang/>
              </w:rPr>
            </w:pPr>
            <w:r>
              <w:rPr>
                <w:i/>
                <w:iCs/>
                <w:sz w:val="14"/>
                <w:lang/>
              </w:rPr>
              <w:t>Стр.</w:t>
            </w:r>
          </w:p>
        </w:tc>
      </w:tr>
      <w:tr w:rsidR="003E3ADF">
        <w:tblPrEx>
          <w:tblCellMar>
            <w:top w:w="0" w:type="dxa"/>
            <w:bottom w:w="0" w:type="dxa"/>
          </w:tblCellMar>
        </w:tblPrEx>
        <w:tc>
          <w:tcPr>
            <w:tcW w:w="9395" w:type="dxa"/>
          </w:tcPr>
          <w:p w:rsidR="003E3ADF" w:rsidRDefault="003E3ADF">
            <w:pPr>
              <w:tabs>
                <w:tab w:val="clear" w:pos="709"/>
                <w:tab w:val="clear" w:pos="1361"/>
                <w:tab w:val="clear" w:pos="2041"/>
                <w:tab w:val="left" w:pos="680"/>
                <w:tab w:val="left" w:pos="1134"/>
                <w:tab w:val="left" w:pos="1701"/>
                <w:tab w:val="left" w:leader="dot" w:pos="9356"/>
              </w:tabs>
              <w:spacing w:before="20" w:after="20"/>
              <w:rPr>
                <w:spacing w:val="60"/>
              </w:rPr>
            </w:pPr>
            <w:r>
              <w:tab/>
              <w:t>1.2</w:t>
            </w:r>
            <w:r>
              <w:tab/>
              <w:t>Статья 3.  Гендерное равенство и права человека</w:t>
            </w:r>
            <w:r>
              <w:tab/>
            </w:r>
          </w:p>
        </w:tc>
        <w:tc>
          <w:tcPr>
            <w:tcW w:w="670"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16</w:t>
            </w:r>
          </w:p>
        </w:tc>
      </w:tr>
      <w:tr w:rsidR="003E3ADF">
        <w:tblPrEx>
          <w:tblCellMar>
            <w:top w:w="0" w:type="dxa"/>
            <w:bottom w:w="0" w:type="dxa"/>
          </w:tblCellMar>
        </w:tblPrEx>
        <w:tc>
          <w:tcPr>
            <w:tcW w:w="9395" w:type="dxa"/>
          </w:tcPr>
          <w:p w:rsidR="003E3ADF" w:rsidRDefault="003E3ADF">
            <w:pPr>
              <w:tabs>
                <w:tab w:val="clear" w:pos="709"/>
                <w:tab w:val="clear" w:pos="1361"/>
                <w:tab w:val="clear" w:pos="2041"/>
                <w:tab w:val="left" w:pos="680"/>
                <w:tab w:val="left" w:pos="1134"/>
                <w:tab w:val="left" w:pos="1701"/>
                <w:tab w:val="left" w:leader="dot" w:pos="9356"/>
              </w:tabs>
              <w:spacing w:before="20" w:after="20"/>
            </w:pPr>
            <w:r>
              <w:rPr>
                <w:spacing w:val="-3"/>
              </w:rPr>
              <w:tab/>
              <w:t>1.3</w:t>
            </w:r>
            <w:r>
              <w:rPr>
                <w:spacing w:val="-3"/>
              </w:rPr>
              <w:tab/>
              <w:t>Статья 4</w:t>
            </w:r>
            <w:r>
              <w:rPr>
                <w:spacing w:val="-3"/>
              </w:rPr>
              <w:tab/>
            </w:r>
          </w:p>
        </w:tc>
        <w:tc>
          <w:tcPr>
            <w:tcW w:w="670"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25</w:t>
            </w:r>
          </w:p>
        </w:tc>
      </w:tr>
      <w:tr w:rsidR="003E3ADF">
        <w:tblPrEx>
          <w:tblCellMar>
            <w:top w:w="0" w:type="dxa"/>
            <w:bottom w:w="0" w:type="dxa"/>
          </w:tblCellMar>
        </w:tblPrEx>
        <w:tc>
          <w:tcPr>
            <w:tcW w:w="9395" w:type="dxa"/>
          </w:tcPr>
          <w:p w:rsidR="003E3ADF" w:rsidRDefault="003E3ADF">
            <w:pPr>
              <w:tabs>
                <w:tab w:val="clear" w:pos="709"/>
                <w:tab w:val="clear" w:pos="1361"/>
                <w:tab w:val="clear" w:pos="2041"/>
                <w:tab w:val="left" w:pos="680"/>
                <w:tab w:val="left" w:pos="1168"/>
                <w:tab w:val="left" w:pos="1735"/>
                <w:tab w:val="left" w:leader="dot" w:pos="9356"/>
              </w:tabs>
              <w:spacing w:before="20" w:after="20"/>
            </w:pPr>
            <w:r>
              <w:rPr>
                <w:spacing w:val="-3"/>
              </w:rPr>
              <w:tab/>
            </w:r>
            <w:r>
              <w:rPr>
                <w:spacing w:val="-3"/>
              </w:rPr>
              <w:tab/>
              <w:t>1.3.1</w:t>
            </w:r>
            <w:r>
              <w:rPr>
                <w:spacing w:val="-3"/>
              </w:rPr>
              <w:tab/>
              <w:t>Статья 4.1.  Специальные меры по обеспечению гендерного равенства</w:t>
            </w:r>
            <w:r>
              <w:rPr>
                <w:spacing w:val="-3"/>
              </w:rPr>
              <w:tab/>
            </w:r>
          </w:p>
        </w:tc>
        <w:tc>
          <w:tcPr>
            <w:tcW w:w="670"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25</w:t>
            </w:r>
          </w:p>
        </w:tc>
      </w:tr>
      <w:tr w:rsidR="003E3ADF">
        <w:tblPrEx>
          <w:tblCellMar>
            <w:top w:w="0" w:type="dxa"/>
            <w:bottom w:w="0" w:type="dxa"/>
          </w:tblCellMar>
        </w:tblPrEx>
        <w:tc>
          <w:tcPr>
            <w:tcW w:w="9395" w:type="dxa"/>
          </w:tcPr>
          <w:p w:rsidR="003E3ADF" w:rsidRDefault="003E3ADF">
            <w:pPr>
              <w:tabs>
                <w:tab w:val="clear" w:pos="709"/>
                <w:tab w:val="clear" w:pos="1361"/>
                <w:tab w:val="clear" w:pos="2041"/>
                <w:tab w:val="left" w:pos="680"/>
                <w:tab w:val="left" w:pos="1168"/>
                <w:tab w:val="left" w:pos="1701"/>
                <w:tab w:val="left" w:pos="1735"/>
                <w:tab w:val="left" w:leader="dot" w:pos="9356"/>
              </w:tabs>
              <w:spacing w:before="20" w:after="20"/>
              <w:rPr>
                <w:spacing w:val="-3"/>
              </w:rPr>
            </w:pPr>
            <w:r>
              <w:tab/>
            </w:r>
            <w:r>
              <w:tab/>
              <w:t>1.3.2</w:t>
            </w:r>
            <w:r>
              <w:tab/>
              <w:t>Статья 4.2.  Защита репродуктивной роли женщин</w:t>
            </w:r>
            <w:r>
              <w:tab/>
            </w:r>
          </w:p>
        </w:tc>
        <w:tc>
          <w:tcPr>
            <w:tcW w:w="670" w:type="dxa"/>
            <w:gridSpan w:val="2"/>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26</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pPr>
            <w:r>
              <w:tab/>
              <w:t>1.4</w:t>
            </w:r>
            <w:r>
              <w:tab/>
              <w:t>Статья 5</w:t>
            </w:r>
            <w: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27</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pPr>
            <w:r>
              <w:tab/>
            </w:r>
            <w:r>
              <w:tab/>
              <w:t>1.4.1</w:t>
            </w:r>
            <w:r>
              <w:tab/>
              <w:t>Статья 5а.  Гендерные роли</w:t>
            </w:r>
            <w: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27</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pPr>
            <w:r>
              <w:tab/>
            </w:r>
            <w:r>
              <w:tab/>
              <w:t>1.4.2</w:t>
            </w:r>
            <w:r>
              <w:tab/>
              <w:t>Статья 5b.  Совместная ответственность женщин и мужчин за детей и семью</w:t>
            </w:r>
            <w: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30</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pPr>
            <w:r>
              <w:tab/>
              <w:t>1.5</w:t>
            </w:r>
            <w:r>
              <w:tab/>
              <w:t>Статья 6  Насилие, торговля женщинами и проституция</w:t>
            </w:r>
            <w: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31</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leader="dot" w:pos="9356"/>
              </w:tabs>
              <w:spacing w:before="100" w:after="20"/>
              <w:rPr>
                <w:b/>
                <w:bCs/>
              </w:rPr>
            </w:pPr>
            <w:r>
              <w:rPr>
                <w:b/>
                <w:bCs/>
                <w:lang/>
              </w:rPr>
              <w:t>2</w:t>
            </w:r>
            <w:r>
              <w:rPr>
                <w:b/>
                <w:bCs/>
                <w:lang/>
              </w:rPr>
              <w:tab/>
            </w:r>
            <w:r>
              <w:rPr>
                <w:b/>
                <w:bCs/>
              </w:rPr>
              <w:t>Часть II</w:t>
            </w:r>
            <w:r>
              <w:tab/>
            </w:r>
            <w:r>
              <w:rPr>
                <w:b/>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52</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t>2.1</w:t>
            </w:r>
            <w:r>
              <w:rPr>
                <w:bCs/>
              </w:rPr>
              <w:tab/>
              <w:t>Статья 7.</w:t>
            </w:r>
            <w:r>
              <w:rPr>
                <w:bCs/>
                <w:lang w:val="en-US"/>
              </w:rPr>
              <w:t> </w:t>
            </w:r>
            <w:r>
              <w:rPr>
                <w:bCs/>
              </w:rPr>
              <w:t> Участие в политической жизни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52</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iCs/>
              </w:rPr>
              <w:tab/>
            </w:r>
            <w:r>
              <w:rPr>
                <w:bCs/>
                <w:iCs/>
              </w:rPr>
              <w:tab/>
              <w:t>2.1.1</w:t>
            </w:r>
            <w:r>
              <w:rPr>
                <w:bCs/>
                <w:iCs/>
              </w:rPr>
              <w:tab/>
              <w:t>Статья 7а.  Выборы и выборные органы</w:t>
            </w:r>
            <w:r>
              <w:rPr>
                <w:bCs/>
              </w:rPr>
              <w:tab/>
            </w:r>
            <w:r>
              <w:rPr>
                <w:bCs/>
                <w:spacing w:val="60"/>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52</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r>
            <w:r>
              <w:rPr>
                <w:bCs/>
              </w:rPr>
              <w:tab/>
              <w:t>2.1.2</w:t>
            </w:r>
            <w:r>
              <w:rPr>
                <w:bCs/>
              </w:rPr>
              <w:tab/>
              <w:t>Статья 7</w:t>
            </w:r>
            <w:r>
              <w:rPr>
                <w:bCs/>
                <w:lang w:val="en-US"/>
              </w:rPr>
              <w:t>b</w:t>
            </w:r>
            <w:r>
              <w:rPr>
                <w:bCs/>
              </w:rPr>
              <w:t>.  Государственные должности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56</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r>
            <w:r>
              <w:rPr>
                <w:bCs/>
              </w:rPr>
              <w:tab/>
              <w:t>2.1.3</w:t>
            </w:r>
            <w:r>
              <w:rPr>
                <w:bCs/>
              </w:rPr>
              <w:tab/>
              <w:t>Статья 7</w:t>
            </w:r>
            <w:r>
              <w:rPr>
                <w:bCs/>
                <w:lang w:val="en-US"/>
              </w:rPr>
              <w:t>c</w:t>
            </w:r>
            <w:r>
              <w:rPr>
                <w:bCs/>
              </w:rPr>
              <w:t>.  Неправительственные организации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56</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2.2</w:t>
            </w:r>
            <w:r>
              <w:rPr>
                <w:bCs/>
              </w:rPr>
              <w:tab/>
              <w:t>Статья 8.  Представительство на международном уровне</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58</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2.3</w:t>
            </w:r>
            <w:r>
              <w:rPr>
                <w:bCs/>
              </w:rPr>
              <w:tab/>
              <w:t>Статья 9.  Гражданство</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58</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t>2.4</w:t>
            </w:r>
            <w:r>
              <w:rPr>
                <w:bCs/>
              </w:rPr>
              <w:tab/>
              <w:t>Статья 10.  Образование</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59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2.5</w:t>
            </w:r>
            <w:r>
              <w:rPr>
                <w:bCs/>
              </w:rPr>
              <w:tab/>
              <w:t>Статья 11.  Сфера труда</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75</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r>
            <w:r>
              <w:rPr>
                <w:bCs/>
              </w:rPr>
              <w:tab/>
              <w:t>2.5.1</w:t>
            </w:r>
            <w:r>
              <w:rPr>
                <w:bCs/>
              </w:rPr>
              <w:tab/>
              <w:t>Статья 11.1</w:t>
            </w:r>
            <w:r>
              <w:rPr>
                <w:bCs/>
                <w:lang w:val="en-US"/>
              </w:rPr>
              <w:t>a</w:t>
            </w:r>
            <w:r>
              <w:rPr>
                <w:bCs/>
              </w:rPr>
              <w:t>.  Право на труд</w:t>
            </w:r>
            <w:r>
              <w:rPr>
                <w:bCs/>
              </w:rPr>
              <w:tab/>
            </w:r>
            <w:r>
              <w:rPr>
                <w:bCs/>
                <w:spacing w:val="60"/>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75</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r>
            <w:r>
              <w:rPr>
                <w:bCs/>
              </w:rPr>
              <w:tab/>
              <w:t>2.5.2</w:t>
            </w:r>
            <w:r>
              <w:rPr>
                <w:bCs/>
              </w:rPr>
              <w:tab/>
              <w:t>Статья 11.1</w:t>
            </w:r>
            <w:r>
              <w:rPr>
                <w:bCs/>
                <w:lang w:val="en-US"/>
              </w:rPr>
              <w:t>b</w:t>
            </w:r>
            <w:r>
              <w:rPr>
                <w:bCs/>
              </w:rPr>
              <w:t>.  Равные возможности в сфере труда</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79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r>
            <w:r>
              <w:rPr>
                <w:bCs/>
              </w:rPr>
              <w:tab/>
              <w:t>2.5.3</w:t>
            </w:r>
            <w:r>
              <w:rPr>
                <w:bCs/>
              </w:rPr>
              <w:tab/>
              <w:t>Статья 11.1</w:t>
            </w:r>
            <w:r>
              <w:rPr>
                <w:bCs/>
                <w:lang w:val="en-US"/>
              </w:rPr>
              <w:t>c</w:t>
            </w:r>
            <w:r>
              <w:rPr>
                <w:bCs/>
              </w:rPr>
              <w:t>.  Образование</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88</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2.5.4</w:t>
            </w:r>
            <w:r>
              <w:rPr>
                <w:bCs/>
              </w:rPr>
              <w:tab/>
              <w:t>Статья 11.1</w:t>
            </w:r>
            <w:r>
              <w:rPr>
                <w:bCs/>
                <w:lang w:val="en-US"/>
              </w:rPr>
              <w:t>d</w:t>
            </w:r>
            <w:r>
              <w:rPr>
                <w:bCs/>
              </w:rPr>
              <w:t>.  Равная оплата труда</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89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2.5.5</w:t>
            </w:r>
            <w:r>
              <w:rPr>
                <w:bCs/>
              </w:rPr>
              <w:tab/>
              <w:t>Статья 11.1</w:t>
            </w:r>
            <w:r>
              <w:rPr>
                <w:bCs/>
                <w:lang w:val="en-US"/>
              </w:rPr>
              <w:t>e</w:t>
            </w:r>
            <w:r>
              <w:rPr>
                <w:bCs/>
              </w:rPr>
              <w:t>.  Социальное и пенсионное обеспечение</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93</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jc w:val="left"/>
              <w:rPr>
                <w:bCs/>
              </w:rPr>
            </w:pPr>
            <w:r>
              <w:rPr>
                <w:bCs/>
              </w:rPr>
              <w:tab/>
            </w:r>
            <w:r>
              <w:rPr>
                <w:bCs/>
              </w:rPr>
              <w:tab/>
              <w:t>2.5.6</w:t>
            </w:r>
            <w:r>
              <w:rPr>
                <w:bCs/>
              </w:rPr>
              <w:tab/>
              <w:t>Статья 11.2</w:t>
            </w:r>
            <w:r>
              <w:rPr>
                <w:bCs/>
                <w:lang w:val="en-US"/>
              </w:rPr>
              <w:t>a</w:t>
            </w:r>
            <w:r>
              <w:rPr>
                <w:bCs/>
              </w:rPr>
              <w:t xml:space="preserve">.  Дискриминация по причине семейного положения </w:t>
            </w:r>
            <w:r>
              <w:rPr>
                <w:bCs/>
              </w:rPr>
              <w:br/>
            </w:r>
            <w:r>
              <w:rPr>
                <w:bCs/>
              </w:rPr>
              <w:tab/>
            </w:r>
            <w:r>
              <w:rPr>
                <w:bCs/>
              </w:rPr>
              <w:tab/>
            </w:r>
            <w:r>
              <w:rPr>
                <w:bCs/>
              </w:rPr>
              <w:tab/>
              <w:t>и беременности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94</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2.5.7</w:t>
            </w:r>
            <w:r>
              <w:rPr>
                <w:bCs/>
              </w:rPr>
              <w:tab/>
              <w:t>Статья 11.2</w:t>
            </w:r>
            <w:r>
              <w:rPr>
                <w:bCs/>
                <w:lang w:val="en-US"/>
              </w:rPr>
              <w:t>b</w:t>
            </w:r>
            <w:r>
              <w:rPr>
                <w:bCs/>
              </w:rPr>
              <w:t>.  Отпуск в связи с беременностью и родами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94</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2.5.8</w:t>
            </w:r>
            <w:r>
              <w:rPr>
                <w:bCs/>
              </w:rPr>
              <w:tab/>
              <w:t>Статья 11.2</w:t>
            </w:r>
            <w:r>
              <w:rPr>
                <w:bCs/>
                <w:lang w:val="en-US"/>
              </w:rPr>
              <w:t>c</w:t>
            </w:r>
            <w:r>
              <w:rPr>
                <w:bCs/>
              </w:rPr>
              <w:t>  Сеть учреждений по уходу за детьми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96</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2.5.9</w:t>
            </w:r>
            <w:r>
              <w:rPr>
                <w:bCs/>
              </w:rPr>
              <w:tab/>
              <w:t>Статья 11.2</w:t>
            </w:r>
            <w:r>
              <w:rPr>
                <w:bCs/>
                <w:lang w:val="en-US"/>
              </w:rPr>
              <w:t>d</w:t>
            </w:r>
            <w:r>
              <w:rPr>
                <w:bCs/>
              </w:rPr>
              <w:t>  Права в период беременности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99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2.6</w:t>
            </w:r>
            <w:r>
              <w:rPr>
                <w:bCs/>
              </w:rPr>
              <w:tab/>
              <w:t>Статья 12.  Здравоохранение</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100</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spacing w:val="60"/>
              </w:rPr>
            </w:pPr>
            <w:r>
              <w:rPr>
                <w:bCs/>
              </w:rPr>
              <w:tab/>
              <w:t>2.7</w:t>
            </w:r>
            <w:r>
              <w:rPr>
                <w:bCs/>
              </w:rPr>
              <w:tab/>
              <w:t>Статья 13</w:t>
            </w:r>
            <w:r>
              <w:rPr>
                <w:bCs/>
              </w:rPr>
              <w:tab/>
            </w:r>
            <w:r>
              <w:rPr>
                <w:bCs/>
                <w:spacing w:val="60"/>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104</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2.7.1</w:t>
            </w:r>
            <w:r>
              <w:rPr>
                <w:bCs/>
              </w:rPr>
              <w:tab/>
              <w:t>Статья 13</w:t>
            </w:r>
            <w:r>
              <w:rPr>
                <w:bCs/>
                <w:lang w:val="en-US"/>
              </w:rPr>
              <w:t>a</w:t>
            </w:r>
            <w:r>
              <w:rPr>
                <w:bCs/>
              </w:rPr>
              <w:t>.  Право на семейные пособия</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104</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r>
            <w:r>
              <w:rPr>
                <w:bCs/>
              </w:rPr>
              <w:tab/>
              <w:t>2.7.2</w:t>
            </w:r>
            <w:r>
              <w:rPr>
                <w:bCs/>
              </w:rPr>
              <w:tab/>
              <w:t>Статья 13</w:t>
            </w:r>
            <w:r>
              <w:rPr>
                <w:bCs/>
                <w:lang w:val="en-US"/>
              </w:rPr>
              <w:t>b</w:t>
            </w:r>
            <w:r>
              <w:rPr>
                <w:bCs/>
              </w:rPr>
              <w:t>.  Экономические права</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105</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jc w:val="left"/>
              <w:rPr>
                <w:bCs/>
              </w:rPr>
            </w:pPr>
            <w:r>
              <w:rPr>
                <w:bCs/>
              </w:rPr>
              <w:tab/>
            </w:r>
            <w:r>
              <w:rPr>
                <w:bCs/>
              </w:rPr>
              <w:tab/>
              <w:t>2.7.3</w:t>
            </w:r>
            <w:r>
              <w:rPr>
                <w:bCs/>
              </w:rPr>
              <w:tab/>
              <w:t>Статья 13</w:t>
            </w:r>
            <w:r>
              <w:rPr>
                <w:bCs/>
                <w:lang w:val="en-US"/>
              </w:rPr>
              <w:t>c</w:t>
            </w:r>
            <w:r>
              <w:rPr>
                <w:bCs/>
              </w:rPr>
              <w:t xml:space="preserve">.  Право участвовать в мероприятиях, связанных с отдыхом, </w:t>
            </w:r>
            <w:r>
              <w:rPr>
                <w:bCs/>
              </w:rPr>
              <w:br/>
            </w:r>
            <w:r>
              <w:rPr>
                <w:bCs/>
              </w:rPr>
              <w:tab/>
            </w:r>
            <w:r>
              <w:rPr>
                <w:bCs/>
              </w:rPr>
              <w:tab/>
            </w:r>
            <w:r>
              <w:rPr>
                <w:bCs/>
              </w:rPr>
              <w:tab/>
              <w:t>в занятиях спортом и во всех областях культурной жизни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105</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2.8</w:t>
            </w:r>
            <w:r>
              <w:rPr>
                <w:bCs/>
              </w:rPr>
              <w:tab/>
              <w:t>Статья 14.  Женщины в сельских районах</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107</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rPr>
                <w:bCs/>
              </w:rPr>
            </w:pPr>
            <w:r>
              <w:rPr>
                <w:bCs/>
              </w:rPr>
              <w:tab/>
              <w:t>2.9</w:t>
            </w:r>
            <w:r>
              <w:rPr>
                <w:bCs/>
              </w:rPr>
              <w:tab/>
              <w:t>Статья 15.  Гендерное равенство в рамках правовой системы</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701"/>
                <w:tab w:val="left" w:leader="dot" w:pos="9356"/>
              </w:tabs>
              <w:spacing w:before="20" w:after="20"/>
              <w:jc w:val="left"/>
              <w:rPr>
                <w:bCs/>
              </w:rPr>
            </w:pPr>
            <w:r>
              <w:rPr>
                <w:bCs/>
              </w:rPr>
              <w:tab/>
              <w:t>2.10</w:t>
            </w:r>
            <w:r>
              <w:rPr>
                <w:bCs/>
              </w:rPr>
              <w:tab/>
              <w:t>Статья 16.  Ликвидация дискриминации в отношении женщин во всех вопросах,</w:t>
            </w:r>
            <w:r>
              <w:rPr>
                <w:bCs/>
              </w:rPr>
              <w:br/>
            </w:r>
            <w:r>
              <w:rPr>
                <w:bCs/>
              </w:rPr>
              <w:tab/>
            </w:r>
            <w:r>
              <w:rPr>
                <w:bCs/>
              </w:rPr>
              <w:tab/>
              <w:t>касающихся брака и семейной жизни</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877"/>
                <w:tab w:val="left" w:leader="dot" w:pos="9356"/>
              </w:tabs>
              <w:spacing w:before="20" w:after="20"/>
              <w:rPr>
                <w:bCs/>
              </w:rPr>
            </w:pPr>
            <w:r>
              <w:rPr>
                <w:bCs/>
              </w:rPr>
              <w:tab/>
            </w:r>
            <w:r>
              <w:rPr>
                <w:bCs/>
              </w:rPr>
              <w:tab/>
              <w:t>2.10.1</w:t>
            </w:r>
            <w:r>
              <w:rPr>
                <w:bCs/>
              </w:rPr>
              <w:tab/>
              <w:t>Статья 16</w:t>
            </w:r>
            <w:r>
              <w:rPr>
                <w:bCs/>
                <w:lang w:val="en-US"/>
              </w:rPr>
              <w:t>b</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109</w:t>
            </w:r>
          </w:p>
        </w:tc>
      </w:tr>
      <w:tr w:rsidR="003E3ADF">
        <w:tblPrEx>
          <w:tblCellMar>
            <w:top w:w="0" w:type="dxa"/>
            <w:bottom w:w="0" w:type="dxa"/>
          </w:tblCellMar>
        </w:tblPrEx>
        <w:tc>
          <w:tcPr>
            <w:tcW w:w="9403" w:type="dxa"/>
            <w:gridSpan w:val="2"/>
          </w:tcPr>
          <w:p w:rsidR="003E3ADF" w:rsidRDefault="003E3ADF">
            <w:pPr>
              <w:tabs>
                <w:tab w:val="clear" w:pos="709"/>
                <w:tab w:val="clear" w:pos="1361"/>
                <w:tab w:val="clear" w:pos="2041"/>
                <w:tab w:val="left" w:pos="680"/>
                <w:tab w:val="left" w:pos="1134"/>
                <w:tab w:val="left" w:pos="1877"/>
                <w:tab w:val="left" w:leader="dot" w:pos="9356"/>
              </w:tabs>
              <w:spacing w:before="20" w:after="20"/>
              <w:rPr>
                <w:bCs/>
              </w:rPr>
            </w:pPr>
            <w:r>
              <w:rPr>
                <w:bCs/>
              </w:rPr>
              <w:tab/>
            </w:r>
            <w:r>
              <w:rPr>
                <w:bCs/>
              </w:rPr>
              <w:tab/>
              <w:t>2.10.2</w:t>
            </w:r>
            <w:r>
              <w:rPr>
                <w:bCs/>
              </w:rPr>
              <w:tab/>
              <w:t xml:space="preserve">Статьи 16 </w:t>
            </w:r>
            <w:r>
              <w:rPr>
                <w:bCs/>
                <w:lang w:val="en-US"/>
              </w:rPr>
              <w:t>d</w:t>
            </w:r>
            <w:r>
              <w:rPr>
                <w:bCs/>
              </w:rPr>
              <w:t xml:space="preserve"> и </w:t>
            </w:r>
            <w:r>
              <w:rPr>
                <w:bCs/>
                <w:lang w:val="en-US"/>
              </w:rPr>
              <w:t>f</w:t>
            </w:r>
            <w:r>
              <w:rPr>
                <w:bCs/>
              </w:rPr>
              <w:tab/>
            </w:r>
          </w:p>
        </w:tc>
        <w:tc>
          <w:tcPr>
            <w:tcW w:w="662" w:type="dxa"/>
            <w:vAlign w:val="bottom"/>
          </w:tcPr>
          <w:p w:rsidR="003E3ADF" w:rsidRDefault="003E3ADF">
            <w:pPr>
              <w:tabs>
                <w:tab w:val="clear" w:pos="709"/>
                <w:tab w:val="clear" w:pos="1361"/>
                <w:tab w:val="clear" w:pos="2041"/>
                <w:tab w:val="left" w:pos="680"/>
                <w:tab w:val="left" w:pos="1134"/>
                <w:tab w:val="left" w:pos="1701"/>
                <w:tab w:val="left" w:leader="dot" w:pos="9356"/>
              </w:tabs>
              <w:spacing w:before="20" w:after="20"/>
              <w:jc w:val="right"/>
              <w:rPr>
                <w:lang/>
              </w:rPr>
            </w:pPr>
            <w:r>
              <w:rPr>
                <w:lang/>
              </w:rPr>
              <w:t>114</w:t>
            </w:r>
          </w:p>
        </w:tc>
      </w:tr>
    </w:tbl>
    <w:p w:rsidR="003E3ADF" w:rsidRDefault="003E3ADF">
      <w:pPr>
        <w:rPr>
          <w:b/>
          <w:bCs/>
          <w:szCs w:val="24"/>
          <w:highlight w:val="yellow"/>
        </w:rPr>
      </w:pPr>
      <w:r>
        <w:rPr>
          <w:rFonts w:eastAsia="BatangChe"/>
          <w:b/>
          <w:bCs/>
          <w:sz w:val="20"/>
          <w:szCs w:val="24"/>
        </w:rPr>
        <w:br w:type="page"/>
      </w:r>
      <w:r>
        <w:rPr>
          <w:b/>
          <w:szCs w:val="28"/>
        </w:rPr>
        <w:t>Введение</w:t>
      </w:r>
    </w:p>
    <w:p w:rsidR="003E3ADF" w:rsidRDefault="003E3ADF">
      <w:pPr>
        <w:rPr>
          <w:szCs w:val="28"/>
        </w:rPr>
      </w:pPr>
      <w:r>
        <w:rPr>
          <w:szCs w:val="28"/>
        </w:rPr>
        <w:t xml:space="preserve">Настоящий доклад является седьмым периодическим докладом Норвегии Организации Объединенных Наций об осуществлении Норвегией Конвенции Организации Объединенных Наций о ликвидации всех форм дискриминации в отношении женщин (КЛДЖ). Доклад охватывает период 2002–2005 годов, и его подготовка была завершена в сентябре 2006 года. </w:t>
      </w:r>
    </w:p>
    <w:p w:rsidR="003E3ADF" w:rsidRDefault="003E3ADF">
      <w:pPr>
        <w:rPr>
          <w:szCs w:val="28"/>
        </w:rPr>
      </w:pPr>
      <w:r>
        <w:rPr>
          <w:szCs w:val="28"/>
        </w:rPr>
        <w:t xml:space="preserve">В соответствии с указаниями относительно подготовки периодических докладов, мы стремились сделать доклад как можно более кратким. Изложение доклада следует за структурой статей Конвенции. Мы ставили перед собой цель описать изменения, происшедшие после нашего последнего доклада, и, где необходимо, делали ссылки на предыдущие доклады. Мы также уделили внимание подготовке ответов на замечания, высказанные Комитетом КЛДЖ в связи с рассмотрением им пятого и шестого периодических докладов Норвегии, состоявшемся в январе 2003 года. </w:t>
      </w:r>
    </w:p>
    <w:p w:rsidR="003E3ADF" w:rsidRDefault="003E3ADF">
      <w:r>
        <w:t>В октябре 2005 года Министерство по делам детей и вопросам равноправия обратилось к другим министерствам с просьбой представить доклады, касающиеся их конкретных областей компетенции. Министерство также обратилось к омбудсмену по вопросам р</w:t>
      </w:r>
      <w:r>
        <w:t>а</w:t>
      </w:r>
      <w:r>
        <w:t xml:space="preserve">венства и недопущения дискриминации с просьбой о помощи в подготовке седьмого периодического доклада Норвегии. Омбудсмен подготовил свои замечания в отношении представленных министерствами разделов доклада и, кроме того, предоставил информацию о собственной деятельности в данной области. С целью получения консультативных замечаний подготовленный проект доклада, включавший материалы, полученные от министерств и омбудсмена, был разослан многочисленным женским организациям и организациям, занимающимся вопросами гендерного равенства, организациям по правам человека, социальным партнерам и министерствам. Министерство по делам детей и вопросам равноправия также пригласило все консультативные органы на совещание. Министерство включило материалы, полученные в ходе упомянутого раунда консультаций и совещания, в окончательный вариант седьмого периодического доклада Норвегии. Текст окончательного доклада будет направлен всем консультативным органам. </w:t>
      </w:r>
    </w:p>
    <w:p w:rsidR="003E3ADF" w:rsidRDefault="003E3ADF">
      <w:pPr>
        <w:rPr>
          <w:szCs w:val="24"/>
        </w:rPr>
      </w:pPr>
      <w:r>
        <w:rPr>
          <w:lang w:eastAsia="en-US"/>
        </w:rPr>
        <w:t xml:space="preserve">Согласно КЛДЖ в отношении подготовки </w:t>
      </w:r>
      <w:r>
        <w:t>периодических</w:t>
      </w:r>
      <w:r>
        <w:rPr>
          <w:lang w:eastAsia="en-US"/>
        </w:rPr>
        <w:t xml:space="preserve"> докладов, доклад должен содержать описание мер, принятых Норвегией во исполнение Пекинской платформы действий. Норвегия представила Организации Объединенных Наций три доклада о мероприятиях, реализованных ею во исполнение Пекинской платформы действий, последний из которых поступил на рассмотрение в 2004 году. Необходимо отметить, что с 2000 года правительство в сотрудничестве с координирующей организацией ФОКУС (Форум в интересах женщин и развития) и бывшим Центром по вопросам </w:t>
      </w:r>
      <w:r>
        <w:t xml:space="preserve">равенства полов </w:t>
      </w:r>
      <w:r>
        <w:rPr>
          <w:lang w:eastAsia="en-US"/>
        </w:rPr>
        <w:t>ежегодно проводило обзорные конференции для мониторинга мер по выполнению Пекинской программы действий. ФОКУС координирует деятельность норвежских НПО, занимающихся проектами сотрудничества в целях развития и специализирующихся на защите интересов женщин, и получает финансовую помощь от Министерства иностранных дел. Одной из тем конференции 2004 года были результаты рассмотрения Комитетом КЛДЖ шестого периодического доклада Норвегии, а также анализ хода осуществления Норвегией Конвенции КЛДЖ, которое состоялось в январе 2003 года.</w:t>
      </w:r>
    </w:p>
    <w:p w:rsidR="003E3ADF" w:rsidRDefault="003E3ADF">
      <w:pPr>
        <w:keepNext/>
        <w:tabs>
          <w:tab w:val="clear" w:pos="1361"/>
          <w:tab w:val="right" w:pos="567"/>
          <w:tab w:val="left" w:pos="680"/>
          <w:tab w:val="left" w:pos="1247"/>
        </w:tabs>
        <w:ind w:left="726" w:hanging="482"/>
        <w:jc w:val="left"/>
        <w:rPr>
          <w:b/>
          <w:bCs/>
          <w:sz w:val="24"/>
          <w:lang w:eastAsia="en-US"/>
        </w:rPr>
      </w:pPr>
      <w:r>
        <w:rPr>
          <w:lang/>
        </w:rPr>
        <w:br w:type="page"/>
      </w:r>
      <w:r>
        <w:rPr>
          <w:lang/>
        </w:rPr>
        <w:tab/>
      </w:r>
      <w:r>
        <w:rPr>
          <w:b/>
          <w:bCs/>
          <w:sz w:val="24"/>
          <w:lang w:eastAsia="en-US"/>
        </w:rPr>
        <w:t>1.</w:t>
      </w:r>
      <w:r>
        <w:rPr>
          <w:b/>
          <w:bCs/>
          <w:sz w:val="24"/>
          <w:lang w:eastAsia="en-US"/>
        </w:rPr>
        <w:tab/>
        <w:t>Часть I.  Законодательство, механизм обеспечения гендерного равенства и основные права</w:t>
      </w:r>
    </w:p>
    <w:p w:rsidR="003E3ADF" w:rsidRDefault="003E3ADF">
      <w:pPr>
        <w:keepNext/>
        <w:tabs>
          <w:tab w:val="clear" w:pos="1361"/>
          <w:tab w:val="right" w:pos="567"/>
          <w:tab w:val="left" w:pos="680"/>
          <w:tab w:val="left" w:pos="1247"/>
        </w:tabs>
        <w:ind w:left="709" w:hanging="709"/>
        <w:rPr>
          <w:b/>
          <w:bCs/>
          <w:lang w:eastAsia="en-US"/>
        </w:rPr>
      </w:pPr>
      <w:r>
        <w:rPr>
          <w:b/>
          <w:bCs/>
          <w:lang w:eastAsia="en-US"/>
        </w:rPr>
        <w:tab/>
        <w:t>1.1</w:t>
      </w:r>
      <w:r>
        <w:rPr>
          <w:b/>
          <w:bCs/>
          <w:lang w:eastAsia="en-US"/>
        </w:rPr>
        <w:tab/>
        <w:t>Статья 2</w:t>
      </w:r>
    </w:p>
    <w:p w:rsidR="003E3ADF" w:rsidRDefault="003E3ADF">
      <w:pPr>
        <w:keepNext/>
        <w:tabs>
          <w:tab w:val="clear" w:pos="1361"/>
          <w:tab w:val="right" w:pos="567"/>
          <w:tab w:val="left" w:pos="680"/>
          <w:tab w:val="left" w:pos="1247"/>
        </w:tabs>
        <w:ind w:left="709" w:hanging="709"/>
        <w:rPr>
          <w:lang w:eastAsia="en-US"/>
        </w:rPr>
      </w:pPr>
      <w:r>
        <w:rPr>
          <w:lang w:eastAsia="en-US"/>
        </w:rPr>
        <w:tab/>
        <w:t>1.1.1</w:t>
      </w:r>
      <w:r>
        <w:rPr>
          <w:lang w:eastAsia="en-US"/>
        </w:rPr>
        <w:tab/>
        <w:t>Статья 2а.  Гендерное ра</w:t>
      </w:r>
      <w:r>
        <w:t xml:space="preserve">венство </w:t>
      </w:r>
      <w:r>
        <w:rPr>
          <w:lang w:eastAsia="en-US"/>
        </w:rPr>
        <w:t>в основном законодательстве</w:t>
      </w:r>
    </w:p>
    <w:p w:rsidR="003E3ADF" w:rsidRDefault="003E3ADF">
      <w:pPr>
        <w:ind w:left="709"/>
        <w:rPr>
          <w:i/>
          <w:lang w:eastAsia="en-US"/>
        </w:rPr>
      </w:pPr>
      <w:r>
        <w:rPr>
          <w:i/>
        </w:rPr>
        <w:t>Закон о равенстве полов</w:t>
      </w:r>
      <w:r>
        <w:rPr>
          <w:i/>
          <w:lang w:eastAsia="en-US"/>
        </w:rPr>
        <w:t xml:space="preserve"> </w:t>
      </w:r>
    </w:p>
    <w:p w:rsidR="003E3ADF" w:rsidRDefault="003E3ADF">
      <w:pPr>
        <w:ind w:left="709"/>
        <w:rPr>
          <w:lang w:eastAsia="en-US"/>
        </w:rPr>
      </w:pPr>
      <w:r>
        <w:rPr>
          <w:lang w:eastAsia="en-US"/>
        </w:rPr>
        <w:t xml:space="preserve">Закон о </w:t>
      </w:r>
      <w:r>
        <w:t>равенстве полов</w:t>
      </w:r>
      <w:r>
        <w:rPr>
          <w:lang w:eastAsia="en-US"/>
        </w:rPr>
        <w:t xml:space="preserve"> запрещает дискриминацию по признаку пола во всех сферах общества, за исключением внутренних вопросов в религиозных общинах. Закон разрешает позитивное дифференцированное обращение в целях поощрения </w:t>
      </w:r>
      <w:r>
        <w:t>равенства полов</w:t>
      </w:r>
      <w:r>
        <w:rPr>
          <w:lang w:eastAsia="en-US"/>
        </w:rPr>
        <w:t xml:space="preserve">, в частности с целью улучшения положения женщин. Закон вступил в силу в 1979 году, и впоследствии в него было внесено несколько изменений, последний раз – в 2005 году. Более подробная информация, касающаяся Закона о </w:t>
      </w:r>
      <w:r>
        <w:t>равенстве полов</w:t>
      </w:r>
      <w:r>
        <w:rPr>
          <w:lang w:eastAsia="en-US"/>
        </w:rPr>
        <w:t>, содержится в предыдущих докладах. О последних поправках сообщается ниже, в разделе, посвященном статье 2b.</w:t>
      </w:r>
    </w:p>
    <w:p w:rsidR="003E3ADF" w:rsidRDefault="003E3ADF">
      <w:pPr>
        <w:ind w:left="709"/>
        <w:jc w:val="left"/>
        <w:rPr>
          <w:i/>
          <w:lang w:eastAsia="en-US"/>
        </w:rPr>
      </w:pPr>
      <w:r>
        <w:rPr>
          <w:i/>
          <w:lang w:eastAsia="en-US"/>
        </w:rPr>
        <w:t xml:space="preserve">Включение Конвенции Организации Объединенных Наций о ликвидации всех форм дискриминации в отношении женщин в </w:t>
      </w:r>
      <w:r>
        <w:rPr>
          <w:i/>
        </w:rPr>
        <w:t>Закон о равенстве полов</w:t>
      </w:r>
      <w:r>
        <w:rPr>
          <w:i/>
          <w:lang w:eastAsia="en-US"/>
        </w:rPr>
        <w:t xml:space="preserve"> </w:t>
      </w:r>
    </w:p>
    <w:p w:rsidR="003E3ADF" w:rsidRDefault="003E3ADF">
      <w:pPr>
        <w:ind w:left="709"/>
        <w:rPr>
          <w:lang w:eastAsia="en-US"/>
        </w:rPr>
      </w:pPr>
      <w:r>
        <w:rPr>
          <w:lang w:eastAsia="en-US"/>
        </w:rPr>
        <w:t>Конвенция Организации Объединенных Наций о ликвидации всех форм дискриминации в отношении женщин, ратифицированная Норвегией без каких-либо оговорок 21 мая 1981 года, вступила в силу 3 сентября того же года. 6 октября 1999 года пятьдесят четвертая сессия Генеральной Ассамблеи Организации Объединенных Наций приняла Факультативный протокол к Конвенции КЛДЖ, который был ратифицирован Норвегией 5 марта 2002 года.</w:t>
      </w:r>
    </w:p>
    <w:p w:rsidR="003E3ADF" w:rsidRDefault="003E3ADF">
      <w:pPr>
        <w:ind w:left="709"/>
        <w:rPr>
          <w:lang w:eastAsia="en-US"/>
        </w:rPr>
      </w:pPr>
      <w:r>
        <w:rPr>
          <w:lang w:eastAsia="en-US"/>
        </w:rPr>
        <w:t xml:space="preserve">Конвенция КЛДЖ и Факультативный протокол были включены в Закон о </w:t>
      </w:r>
      <w:r>
        <w:t>равенстве полов</w:t>
      </w:r>
      <w:r>
        <w:rPr>
          <w:lang w:eastAsia="en-US"/>
        </w:rPr>
        <w:t xml:space="preserve"> посредством Закона от 10 июня 2005 года. Ответственность за контроль над тем, чтобы норвежские законы и административная практика соответствовали обязательствам Норвегии, вытекающим из Конвенции, возложена на </w:t>
      </w:r>
      <w:r>
        <w:t>омбудсмена по вопросам р</w:t>
      </w:r>
      <w:r>
        <w:t>а</w:t>
      </w:r>
      <w:r>
        <w:t>венства и недопущения дискриминации</w:t>
      </w:r>
      <w:r>
        <w:rPr>
          <w:lang w:eastAsia="en-US"/>
        </w:rPr>
        <w:t xml:space="preserve">. При этом следует подчеркнуть, что обстоятельство никак не влияет на положение об общей ответственности за контроль над осуществлением конвенций в национальном и международном масштабах, которую несет не </w:t>
      </w:r>
      <w:r>
        <w:t>омбудсмен</w:t>
      </w:r>
      <w:r>
        <w:rPr>
          <w:lang w:eastAsia="en-US"/>
        </w:rPr>
        <w:t xml:space="preserve">, а правительство, обязанное представлять доклады. </w:t>
      </w:r>
    </w:p>
    <w:p w:rsidR="003E3ADF" w:rsidRDefault="003E3ADF">
      <w:pPr>
        <w:ind w:left="709"/>
        <w:rPr>
          <w:lang w:eastAsia="en-US"/>
        </w:rPr>
      </w:pPr>
      <w:r>
        <w:rPr>
          <w:lang w:eastAsia="en-US"/>
        </w:rPr>
        <w:t xml:space="preserve">Принятию стортингом (парламентом Норвегии) резолюции о включении Конвенции в Закон о </w:t>
      </w:r>
      <w:r>
        <w:t>равенстве полов</w:t>
      </w:r>
      <w:r>
        <w:rPr>
          <w:lang w:eastAsia="en-US"/>
        </w:rPr>
        <w:t xml:space="preserve"> предшествовали продолжительные дискуссии по вопросу о надлежащей процедуре включения конвенций по правам человека в норвежское законодательство, развернувшиеся в обществе. Исходной точкой этой полемики явился тот факт, что в 1999 году в норвежское законодательство посредством Закона о правах человека были включены три общих документа по правам человека, ратифицированные Норвегией, – Европейская конвенции о правах человека (ЕКПЧ), Международный пакт об экономических, социальных и культурных правах (МПЭСКП), Международный пакт о гражданских и политических правах (МПГПП) и Протоколы к этим конвенциям. В 2003 году посредством того же Закона была инкорпорирована Конвенция Организации Объединенных Наций о правах ребенка. Особая значимость инкорпорирования Конвенции посредством Закона о правах человека состоит в том, что Закон о правах человека обладает преимущественной силой по сравнению с другими норвежскими законами. Таким образом, в случае коллизии между конвенциями, включенными в Закон о правах человека, и другими норвежскими законодательными актами, конвенции, входящие в Закон о правах человека, будут иметь приоритет над другими норвежскими законодательными актами. Эти конвенции содержат несколько статей, которые запрещают дискриминацию по признаку пола. Особого упоминания заслуживает статья 26 Международного пакта о гражданских и политических правах, в которой подтверждается, что в</w:t>
      </w:r>
      <w:r>
        <w:t>се люди равны перед законом и имеют право без всякой дискриминации на равную защиту закона.</w:t>
      </w:r>
      <w:r>
        <w:rPr>
          <w:lang w:eastAsia="en-US"/>
        </w:rPr>
        <w:t xml:space="preserve"> Эта статья истолковывается как распространяющаяся на любую область, подлежащую регулированию, а не только на области, охваченные настоящей Конвенцией, откуда следует, что она требует от государств – участников Конвенции ликвидировать положения, допускающие дискриминацию по признаку пола, во всех законодательных актах. Однако позитивное дифференцированное обращение разрешается и предусматривается, что необходимо проводить различие между справедливой и несправедливой дискриминацией. Можно также сослаться на статью 14 ЕКПЧ, статью 3 МПЭСКП и статью 3 МПГПП, которые возлагают на участвующие в них государства обязанность обеспечить соблюдение прав, установленных в этих конвенциях, без дискриминации по признаку пола. В тех случаях, когда положения норвежского законодательства вступают в коллизию с вышеупомянутыми или другими положениями этих трех договоров, положения Конвенции будут в обязательном порядке иметь приоритет над положениями норвежского законодательства.</w:t>
      </w:r>
    </w:p>
    <w:p w:rsidR="003E3ADF" w:rsidRDefault="003E3ADF">
      <w:pPr>
        <w:ind w:left="709"/>
        <w:rPr>
          <w:lang w:eastAsia="en-US"/>
        </w:rPr>
      </w:pPr>
      <w:r>
        <w:rPr>
          <w:lang w:eastAsia="en-US"/>
        </w:rPr>
        <w:t xml:space="preserve">В 2003 году, когда правительство в целях получения общих консультативных замечаний распространило предложение о включении Конвенции в законодательство, экспертные органы были практически единодушны в том, что Конвенция должна быть включена в Закон о правах человека и обладать преимущественной силой аналогично другим основным конвенциям. Правительство, однако, предложило одельстингу включить Конвенцию в Закон о </w:t>
      </w:r>
      <w:r>
        <w:t>равенстве полов (</w:t>
      </w:r>
      <w:r>
        <w:rPr>
          <w:lang w:eastAsia="en-US"/>
        </w:rPr>
        <w:t xml:space="preserve">см. Предложение № 35 (2004–2005 годы)). В качестве основания приводится довод о том, что Закон о </w:t>
      </w:r>
      <w:r>
        <w:t>равенстве полов</w:t>
      </w:r>
      <w:r>
        <w:rPr>
          <w:lang w:eastAsia="en-US"/>
        </w:rPr>
        <w:t xml:space="preserve">, ставящий в качестве особой цели улучшение положения женщин, по своей сути является тем документом, в который следует включить Конвенцию. Такой шаг мог бы обеспечить четкость и логическую завершенность законодательства. Тот факт, что включение Конвенции в Закон о </w:t>
      </w:r>
      <w:r>
        <w:t>равенстве полов</w:t>
      </w:r>
      <w:r>
        <w:rPr>
          <w:lang w:eastAsia="en-US"/>
        </w:rPr>
        <w:t xml:space="preserve"> не предоставило бы Конвенции преимущественной силы, не рассматривался как решающий контраргумент, поскольку предполагается, что норвежское законодательство в любом случае соответствует нормам международного права, которое обязалась соблюдать Норвегия. Иными словами, предполагалось, что положения норвежского законодательства будут в любом случае толковаться в соответствии с Конвенцией КЛДЖ. Кроме того, в то же самое время была проведена аналогичная оценка Конвенции Организации Объединенных Наций о ликвидации всех форм расовой дискриминации (КЛРД), которая была включена в новый Закон, запрещающий дискриминацию по признаку этнической принадлежности, религии и т. д. (Антидискриминационный закон). Вопрос о выборе законодательного документа, в который должна была быть включена эта Конвенция, вызвал бурную полемику в обществе, немалую роль в которой сыграл заключительный доклад Норвегии о власти и демократии, представленный правительству в 2003 году. Большинство участвующих в группе исследователей выразили обеспокоенность по поводу того, что сфера действий стортинга – и, следовательно, норвежской системы представительной власти –ограничивается вследствие растущего числа международных договоров, ратифицированных Норвегией. Меньшинство отстаивало мнение, что международные документы по правам человека, в том числе Конвенция КЛДЖ, представляют собой определенную форму перераспределения власти, которое бросает вызов структурному доминированию мужчин и патриархальным формам культуры и религии. Права человека становятся своего рода инструментом, позволяющим обеспечить более справедливое распределение власти и, отчасти, средством достижения более широкой демократии. В Докладе № 17 (2004–2005 годы) стортингу "Власть и демократия" находившееся в то время у власти правительство (второй срок правительства Бондевика), обсудило вопрос о принципах классификации и правилах, устанавливающих приоритет международных конвенций о правах человека. В докладе сделано заключение, что правило преимущественной силы должно применяться только в исключительных случаях и что в будущем следует соблюдать осторожность в отношении применения положений о приоритете при инкорпорации международных конвенций во внутреннее законодательство.</w:t>
      </w:r>
    </w:p>
    <w:p w:rsidR="003E3ADF" w:rsidRDefault="003E3ADF">
      <w:pPr>
        <w:ind w:left="709"/>
        <w:rPr>
          <w:lang w:eastAsia="en-US"/>
        </w:rPr>
      </w:pPr>
      <w:r>
        <w:rPr>
          <w:lang w:eastAsia="en-US"/>
        </w:rPr>
        <w:t>Различные мнения, выраженные в Докладе Норвегии о власти и демократии, нашли отражение в прениях, состоявшихся в стортинге по вопросу о включении Конвенции КЛДЖ во внутреннее законодательство, в ходе которых незначительное большинство, состоявшее из правящих в то время партий (Консервативная партия, Либеральная партия, Христианско-демократическая партия) при поддержке Партии прогресса выступало за включение Конвенции в Закон о равенстве полов, ссылаясь на основания, приведенные в разработанном правительством проекте закона в Предложении № 35 (2004–2005 годы), внесенного на рассмотрение одельстинга, в то время как Лейбористская партия, Социалистическая левая партия и Партия центра выступали за включение Конвенции в Закон о правах человека, ссылаясь на тот факт, что инкорпорация в последний закон обеспечит Конвенции КЛДЖ приоритет над другими норвежскими законодательными актами.</w:t>
      </w:r>
    </w:p>
    <w:p w:rsidR="003E3ADF" w:rsidRDefault="003E3ADF">
      <w:pPr>
        <w:ind w:left="709"/>
        <w:rPr>
          <w:lang w:eastAsia="en-US"/>
        </w:rPr>
      </w:pPr>
      <w:r>
        <w:rPr>
          <w:lang w:eastAsia="en-US"/>
        </w:rPr>
        <w:t xml:space="preserve">Когда Лейбористская партия, Социалистическая левая партия и Партия центра (второй срок правительства Столтенберга) пришли к власти осенью 2005 года, они в своей правительственной декларации взяли обязательство "включить Конвенцию Организации Объединенных Наций о ликвидации всех форм дискриминации в отношении женщин в Закон о правах человека". </w:t>
      </w:r>
    </w:p>
    <w:p w:rsidR="003E3ADF" w:rsidRDefault="003E3ADF">
      <w:pPr>
        <w:ind w:left="709"/>
        <w:rPr>
          <w:i/>
          <w:lang w:eastAsia="en-US"/>
        </w:rPr>
      </w:pPr>
      <w:r>
        <w:rPr>
          <w:i/>
          <w:lang w:eastAsia="en-US"/>
        </w:rPr>
        <w:t>Осуществление Конвенции КЛДЖ в национальной правоприменительной практике</w:t>
      </w:r>
    </w:p>
    <w:p w:rsidR="003E3ADF" w:rsidRDefault="003E3ADF">
      <w:pPr>
        <w:ind w:left="709"/>
        <w:rPr>
          <w:lang w:eastAsia="en-US"/>
        </w:rPr>
      </w:pPr>
      <w:r>
        <w:rPr>
          <w:lang w:eastAsia="en-US"/>
        </w:rPr>
        <w:t xml:space="preserve">Первоначальными источниками закона, на которые ссылаются в норвежских судах общего права и в деятельности норвежских административных учреждений, являются положения норвежского законодательства и прецедентное право. Однако в некоторых случаях омбудсмен по вопросам гендерного равенства представлял аргументы, основанные на Конвенции КЛДЖ, и активно использовал последнюю для обоснования различных заключений. Это относится, например, к ряду жалоб в отношении рекламы, содержащей гендерные стереотипы, – сферы, в которой Норвегия стремится укрепить правовую защиту в соответствии с требованиями Конвенции КЛДЖ (см. раздел, </w:t>
      </w:r>
      <w:r>
        <w:rPr>
          <w:spacing w:val="-3"/>
        </w:rPr>
        <w:t xml:space="preserve">касающийся </w:t>
      </w:r>
      <w:r>
        <w:rPr>
          <w:lang w:eastAsia="en-US"/>
        </w:rPr>
        <w:t xml:space="preserve">статьи 5). В этих случаях омбудсмен отметил, что Конвенция КЛДЖ налагает на государства-участники обязательство принимать все соответствующие меры для изменения социальных и культурных моделей поведения мужчин и женщин с целью искоренения предрассудков в отношении полов, основанных на стереотипных представлениях о роли мужчин и женщин. </w:t>
      </w:r>
    </w:p>
    <w:p w:rsidR="003E3ADF" w:rsidRDefault="003E3ADF">
      <w:pPr>
        <w:ind w:left="709"/>
        <w:rPr>
          <w:lang w:eastAsia="en-US"/>
        </w:rPr>
      </w:pPr>
      <w:r>
        <w:rPr>
          <w:lang w:eastAsia="en-US"/>
        </w:rPr>
        <w:t xml:space="preserve">В норвежском суде ссылки на Конвенцию КЛДЖ делаются нечасто. В одном деле о предоставлении убежища, рассмотренном Апелляционным судом в марте 2006 года, женщина отстаивала свое право на убежище в Норвегии на том основании, что страна ее происхождения не подписала Конвенцию КЛДЖ. </w:t>
      </w:r>
    </w:p>
    <w:p w:rsidR="003E3ADF" w:rsidRDefault="003E3ADF">
      <w:pPr>
        <w:keepNext/>
        <w:tabs>
          <w:tab w:val="clear" w:pos="1361"/>
          <w:tab w:val="right" w:pos="567"/>
          <w:tab w:val="left" w:pos="680"/>
          <w:tab w:val="left" w:pos="1247"/>
        </w:tabs>
        <w:ind w:left="709" w:hanging="709"/>
        <w:rPr>
          <w:lang w:eastAsia="en-US"/>
        </w:rPr>
      </w:pPr>
      <w:r>
        <w:rPr>
          <w:lang w:eastAsia="en-US"/>
        </w:rPr>
        <w:tab/>
        <w:t>1.1.2</w:t>
      </w:r>
      <w:r>
        <w:rPr>
          <w:lang w:eastAsia="en-US"/>
        </w:rPr>
        <w:tab/>
        <w:t>Статья 2b.  Закон о равенстве полов</w:t>
      </w:r>
    </w:p>
    <w:p w:rsidR="003E3ADF" w:rsidRDefault="003E3ADF">
      <w:pPr>
        <w:ind w:left="709"/>
        <w:rPr>
          <w:lang w:eastAsia="en-US"/>
        </w:rPr>
      </w:pPr>
      <w:r>
        <w:rPr>
          <w:lang w:eastAsia="en-US"/>
        </w:rPr>
        <w:t>В 2005 году в закон № 45 от 9 июня 1978 года, касающийся равенства полов (Закон о равенстве полов), были внесены изменения. Причиной для внесения поправок явилась необходимость обеспечить удовлетворительное выполнение Директивы 2002/73/ЕС Европейского парламента и Европейского совета (об осуществлении принципа равного обращения с мужчинами и женщинами в вопросах доступа к трудоустройству, профессиональному обучению и повышению в должности, а также в области условий труда), целью которой является укрепление гендерного равенства. Были также внесены изменения в законодательство в целях гармонизации положений Закона о равенстве полов, Закона об условиях труда и Закона о запрещении дискриминации по признаку этнической принадлежности, религии и т. д. (Антидискриминационный закон). С 1 января 2006 года все перечисленные законы осуществляются всеми правоприменительными органами страны.</w:t>
      </w:r>
    </w:p>
    <w:p w:rsidR="003E3ADF" w:rsidRDefault="003E3ADF">
      <w:pPr>
        <w:ind w:left="709"/>
        <w:rPr>
          <w:lang w:eastAsia="en-US"/>
        </w:rPr>
      </w:pPr>
      <w:r>
        <w:rPr>
          <w:lang w:eastAsia="en-US"/>
        </w:rPr>
        <w:t>Внесенные в Закон о равенстве полов поправки предусматривали введение запрета на применение мер возмездия к любому лицу, подавшему жалобу на нарушение закона, или лицу, заявившему о возможности подачи жалобы. Этот запрет распространяется также на свидетелей. В Закон о равенстве полов было также включено положение, в котором четко оговаривается запрет на дачу указаний относительно иного обращения с каким-либо лицом по признаку пола или указаний о возмездии, сексуальных домогательствах либо притеснениях по признаку пола. Этот запрет в известной мере можно было вывести из толкования Закона о равенстве полов, поэтому данная поправка явилась лишь разъяснением существующего закона. Кроме того, был объявлен запрет на соучастие в нарушениях Закона о равенстве полов. Положение, касающееся сексуальных домогательств, было расширено, с тем чтобы включить в него домогательства по признаку пола и дать возможность применять эту норму как в</w:t>
      </w:r>
      <w:r>
        <w:rPr>
          <w:i/>
          <w:iCs/>
          <w:lang w:eastAsia="en-US"/>
        </w:rPr>
        <w:t xml:space="preserve"> сфере трудовой деятельности, так и в иных областях</w:t>
      </w:r>
      <w:r>
        <w:rPr>
          <w:lang w:eastAsia="en-US"/>
        </w:rPr>
        <w:t>. Для того чтобы включить в Закон о равенстве полов домогательства по признаку пола, в нем, помимо прочего, была расширена защитительная норма, которая налагает на работодателей и администрацию организаций или учебных заведений обязанность, в сфере их компетенции, не допускать случаев сексуальных домогательств и принимать меры к их предотвращению.</w:t>
      </w:r>
    </w:p>
    <w:p w:rsidR="003E3ADF" w:rsidRDefault="003E3ADF">
      <w:pPr>
        <w:ind w:left="709"/>
        <w:rPr>
          <w:lang w:eastAsia="en-US"/>
        </w:rPr>
      </w:pPr>
      <w:r>
        <w:rPr>
          <w:lang w:eastAsia="en-US"/>
        </w:rPr>
        <w:t xml:space="preserve">Кроме того, были расширены положения, касающиеся материальной ответственности за финансовые убытки и их возмещение, с тем чтобы они распространялись также на случаи сексуальных домогательств и других домогательств на сексуальной почве </w:t>
      </w:r>
      <w:r>
        <w:rPr>
          <w:i/>
          <w:lang w:eastAsia="en-US"/>
        </w:rPr>
        <w:t>в сфере трудовой деятельности</w:t>
      </w:r>
      <w:r>
        <w:rPr>
          <w:lang w:eastAsia="en-US"/>
        </w:rPr>
        <w:t xml:space="preserve">. Общие положения, касающиеся возмещения ущерба, применимы </w:t>
      </w:r>
      <w:r>
        <w:rPr>
          <w:i/>
          <w:lang w:eastAsia="en-US"/>
        </w:rPr>
        <w:t>за рамками трудовой деятельности</w:t>
      </w:r>
      <w:r>
        <w:rPr>
          <w:lang w:eastAsia="en-US"/>
        </w:rPr>
        <w:t xml:space="preserve">. Были также конкретизированы формулировки Закона, с тем чтобы более четко установить право любого лица, ставшего объектом дифференцированного обращения по признаку пола </w:t>
      </w:r>
      <w:r>
        <w:rPr>
          <w:i/>
          <w:lang w:eastAsia="en-US"/>
        </w:rPr>
        <w:t>в сфере трудовой деятельности</w:t>
      </w:r>
      <w:r>
        <w:rPr>
          <w:lang w:eastAsia="en-US"/>
        </w:rPr>
        <w:t xml:space="preserve">, на возмещение ущерба по объективным основаниям. Правило в отношении совместного бремени доказывания было расширено с тем, чтобы охватывать также случаи, имевшие место </w:t>
      </w:r>
      <w:r>
        <w:rPr>
          <w:i/>
          <w:lang w:eastAsia="en-US"/>
        </w:rPr>
        <w:t>вне сферы трудовой деятельности,</w:t>
      </w:r>
      <w:r>
        <w:rPr>
          <w:lang w:eastAsia="en-US"/>
        </w:rPr>
        <w:t xml:space="preserve"> а также случаи сексуальных домогательств или иных домогательств по признаку пола. Было ужесточено содержащееся в разделе 21 Закона о равенстве полов положение, касающееся подачи ходатайств об исключении из общего требования, теперь предусмотренного в данном Законе, согласно которому доля мужчин и женщин в составе избранных или назначенных государственными властями советов, комитетов, советов управляющих, комиссий и т. д., должна находиться на уровне 40 процентов. В новой редакции Закона предусмотрена выдача таких разрешений только в исключительных случаях.</w:t>
      </w:r>
    </w:p>
    <w:p w:rsidR="003E3ADF" w:rsidRDefault="003E3ADF">
      <w:pPr>
        <w:keepNext/>
        <w:tabs>
          <w:tab w:val="clear" w:pos="1361"/>
          <w:tab w:val="right" w:pos="567"/>
          <w:tab w:val="left" w:pos="680"/>
          <w:tab w:val="left" w:pos="1247"/>
        </w:tabs>
        <w:ind w:left="709" w:hanging="709"/>
        <w:rPr>
          <w:lang w:eastAsia="en-US"/>
        </w:rPr>
      </w:pPr>
      <w:r>
        <w:rPr>
          <w:lang w:eastAsia="en-US"/>
        </w:rPr>
        <w:tab/>
        <w:t>1.1.3</w:t>
      </w:r>
      <w:r>
        <w:rPr>
          <w:lang w:eastAsia="en-US"/>
        </w:rPr>
        <w:tab/>
        <w:t>Статья 2с.  Национальный механизм обеспечения гендерного равенства</w:t>
      </w:r>
    </w:p>
    <w:p w:rsidR="003E3ADF" w:rsidRDefault="003E3ADF">
      <w:pPr>
        <w:ind w:left="709"/>
        <w:rPr>
          <w:lang w:eastAsia="en-US"/>
        </w:rPr>
      </w:pPr>
      <w:r>
        <w:rPr>
          <w:lang w:eastAsia="en-US"/>
        </w:rPr>
        <w:t xml:space="preserve">До 1 января 2006 года выполнение Закона о равенстве полов обеспечивалось омбудсменом по вопросам гендерного равенства и Апелляционной палатой по вопросам гендерного равенства. </w:t>
      </w:r>
    </w:p>
    <w:p w:rsidR="003E3ADF" w:rsidRDefault="003E3ADF">
      <w:pPr>
        <w:ind w:left="709"/>
        <w:rPr>
          <w:lang w:eastAsia="en-US"/>
        </w:rPr>
      </w:pPr>
      <w:r>
        <w:rPr>
          <w:lang w:eastAsia="en-US"/>
        </w:rPr>
        <w:t xml:space="preserve">В 2005 году омбудсмен по вопросам гендерного равенства зарегистрировал 430 новых дел. Эта цифра свидетельствует о значительном сокращении по сравнению с 2004 годом (517 дел). </w:t>
      </w:r>
      <w:r>
        <w:rPr>
          <w:lang w:eastAsia="en-US"/>
        </w:rPr>
        <w:br/>
        <w:t>В период 2001–2005 годов количество дел менялось следующим образом:</w:t>
      </w:r>
    </w:p>
    <w:tbl>
      <w:tblPr>
        <w:tblW w:w="9129" w:type="dxa"/>
        <w:tblInd w:w="822" w:type="dxa"/>
        <w:tblLook w:val="0000" w:firstRow="0" w:lastRow="0" w:firstColumn="0" w:lastColumn="0" w:noHBand="0" w:noVBand="0"/>
      </w:tblPr>
      <w:tblGrid>
        <w:gridCol w:w="1843"/>
        <w:gridCol w:w="1457"/>
        <w:gridCol w:w="1457"/>
        <w:gridCol w:w="1457"/>
        <w:gridCol w:w="1457"/>
        <w:gridCol w:w="1458"/>
      </w:tblGrid>
      <w:tr w:rsidR="003E3ADF">
        <w:tblPrEx>
          <w:tblCellMar>
            <w:top w:w="0" w:type="dxa"/>
            <w:bottom w:w="0" w:type="dxa"/>
          </w:tblCellMar>
        </w:tblPrEx>
        <w:tc>
          <w:tcPr>
            <w:tcW w:w="1595" w:type="dxa"/>
            <w:tcBorders>
              <w:top w:val="single" w:sz="4" w:space="0" w:color="auto"/>
              <w:bottom w:val="single" w:sz="12" w:space="0" w:color="auto"/>
            </w:tcBorders>
          </w:tcPr>
          <w:p w:rsidR="003E3ADF" w:rsidRDefault="003E3ADF">
            <w:pPr>
              <w:spacing w:before="20" w:after="20"/>
              <w:rPr>
                <w:b/>
                <w:bCs/>
                <w:i/>
                <w:iCs/>
                <w:sz w:val="18"/>
                <w:lang w:eastAsia="en-US"/>
              </w:rPr>
            </w:pPr>
            <w:r>
              <w:rPr>
                <w:b/>
                <w:bCs/>
                <w:i/>
                <w:iCs/>
                <w:sz w:val="18"/>
                <w:lang w:eastAsia="en-US"/>
              </w:rPr>
              <w:t>Год</w:t>
            </w:r>
          </w:p>
        </w:tc>
        <w:tc>
          <w:tcPr>
            <w:tcW w:w="1595"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2001</w:t>
            </w:r>
          </w:p>
        </w:tc>
        <w:tc>
          <w:tcPr>
            <w:tcW w:w="1595"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2002</w:t>
            </w:r>
          </w:p>
        </w:tc>
        <w:tc>
          <w:tcPr>
            <w:tcW w:w="1595"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2003</w:t>
            </w:r>
          </w:p>
        </w:tc>
        <w:tc>
          <w:tcPr>
            <w:tcW w:w="1595"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2004</w:t>
            </w:r>
          </w:p>
        </w:tc>
        <w:tc>
          <w:tcPr>
            <w:tcW w:w="1596"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2005</w:t>
            </w:r>
          </w:p>
        </w:tc>
      </w:tr>
      <w:tr w:rsidR="003E3ADF">
        <w:tblPrEx>
          <w:tblCellMar>
            <w:top w:w="0" w:type="dxa"/>
            <w:bottom w:w="0" w:type="dxa"/>
          </w:tblCellMar>
        </w:tblPrEx>
        <w:tc>
          <w:tcPr>
            <w:tcW w:w="1595" w:type="dxa"/>
            <w:tcBorders>
              <w:top w:val="single" w:sz="12" w:space="0" w:color="auto"/>
              <w:bottom w:val="single" w:sz="12" w:space="0" w:color="auto"/>
            </w:tcBorders>
            <w:vAlign w:val="bottom"/>
          </w:tcPr>
          <w:p w:rsidR="003E3ADF" w:rsidRDefault="003E3ADF">
            <w:pPr>
              <w:spacing w:before="20" w:after="20"/>
              <w:jc w:val="left"/>
              <w:rPr>
                <w:sz w:val="18"/>
                <w:lang w:eastAsia="en-US"/>
              </w:rPr>
            </w:pPr>
            <w:r>
              <w:rPr>
                <w:i/>
                <w:iCs/>
                <w:sz w:val="18"/>
                <w:lang w:eastAsia="en-US"/>
              </w:rPr>
              <w:t>Зарегистрированные случаи</w:t>
            </w:r>
            <w:r>
              <w:rPr>
                <w:sz w:val="18"/>
                <w:lang w:eastAsia="en-US"/>
              </w:rPr>
              <w:t xml:space="preserve"> </w:t>
            </w:r>
          </w:p>
        </w:tc>
        <w:tc>
          <w:tcPr>
            <w:tcW w:w="1595" w:type="dxa"/>
            <w:tcBorders>
              <w:top w:val="single" w:sz="12" w:space="0" w:color="auto"/>
              <w:bottom w:val="single" w:sz="12" w:space="0" w:color="auto"/>
            </w:tcBorders>
            <w:vAlign w:val="bottom"/>
          </w:tcPr>
          <w:p w:rsidR="003E3ADF" w:rsidRDefault="003E3ADF">
            <w:pPr>
              <w:pStyle w:val="FootnoteText"/>
              <w:widowControl/>
              <w:tabs>
                <w:tab w:val="clear" w:pos="340"/>
                <w:tab w:val="left" w:pos="1361"/>
                <w:tab w:val="left" w:pos="2041"/>
              </w:tabs>
              <w:suppressAutoHyphens w:val="0"/>
              <w:spacing w:before="20" w:after="20"/>
              <w:jc w:val="center"/>
              <w:rPr>
                <w:lang w:eastAsia="en-US"/>
              </w:rPr>
            </w:pPr>
            <w:r>
              <w:rPr>
                <w:lang w:eastAsia="en-US"/>
              </w:rPr>
              <w:t>337</w:t>
            </w:r>
          </w:p>
        </w:tc>
        <w:tc>
          <w:tcPr>
            <w:tcW w:w="1595" w:type="dxa"/>
            <w:tcBorders>
              <w:top w:val="single" w:sz="12" w:space="0" w:color="auto"/>
              <w:bottom w:val="single" w:sz="12" w:space="0" w:color="auto"/>
            </w:tcBorders>
            <w:vAlign w:val="bottom"/>
          </w:tcPr>
          <w:p w:rsidR="003E3ADF" w:rsidRDefault="003E3ADF">
            <w:pPr>
              <w:spacing w:before="20" w:after="20"/>
              <w:jc w:val="center"/>
              <w:rPr>
                <w:sz w:val="18"/>
                <w:lang w:eastAsia="en-US"/>
              </w:rPr>
            </w:pPr>
            <w:r>
              <w:rPr>
                <w:sz w:val="18"/>
                <w:lang w:eastAsia="en-US"/>
              </w:rPr>
              <w:t>422</w:t>
            </w:r>
          </w:p>
        </w:tc>
        <w:tc>
          <w:tcPr>
            <w:tcW w:w="1595" w:type="dxa"/>
            <w:tcBorders>
              <w:top w:val="single" w:sz="12" w:space="0" w:color="auto"/>
              <w:bottom w:val="single" w:sz="12" w:space="0" w:color="auto"/>
            </w:tcBorders>
            <w:vAlign w:val="bottom"/>
          </w:tcPr>
          <w:p w:rsidR="003E3ADF" w:rsidRDefault="003E3ADF">
            <w:pPr>
              <w:spacing w:before="20" w:after="20"/>
              <w:jc w:val="center"/>
              <w:rPr>
                <w:sz w:val="18"/>
                <w:lang w:eastAsia="en-US"/>
              </w:rPr>
            </w:pPr>
            <w:r>
              <w:rPr>
                <w:sz w:val="18"/>
                <w:lang w:eastAsia="en-US"/>
              </w:rPr>
              <w:t>476</w:t>
            </w:r>
          </w:p>
        </w:tc>
        <w:tc>
          <w:tcPr>
            <w:tcW w:w="1595" w:type="dxa"/>
            <w:tcBorders>
              <w:top w:val="single" w:sz="12" w:space="0" w:color="auto"/>
              <w:bottom w:val="single" w:sz="12" w:space="0" w:color="auto"/>
            </w:tcBorders>
            <w:vAlign w:val="bottom"/>
          </w:tcPr>
          <w:p w:rsidR="003E3ADF" w:rsidRDefault="003E3ADF">
            <w:pPr>
              <w:spacing w:before="20" w:after="20"/>
              <w:jc w:val="center"/>
              <w:rPr>
                <w:sz w:val="18"/>
                <w:lang w:eastAsia="en-US"/>
              </w:rPr>
            </w:pPr>
            <w:r>
              <w:rPr>
                <w:sz w:val="18"/>
                <w:lang w:eastAsia="en-US"/>
              </w:rPr>
              <w:t>517</w:t>
            </w:r>
          </w:p>
        </w:tc>
        <w:tc>
          <w:tcPr>
            <w:tcW w:w="1596" w:type="dxa"/>
            <w:tcBorders>
              <w:top w:val="single" w:sz="12" w:space="0" w:color="auto"/>
              <w:bottom w:val="single" w:sz="12" w:space="0" w:color="auto"/>
            </w:tcBorders>
            <w:vAlign w:val="bottom"/>
          </w:tcPr>
          <w:p w:rsidR="003E3ADF" w:rsidRDefault="003E3ADF">
            <w:pPr>
              <w:spacing w:before="20" w:after="20"/>
              <w:jc w:val="center"/>
              <w:rPr>
                <w:sz w:val="18"/>
                <w:lang w:eastAsia="en-US"/>
              </w:rPr>
            </w:pPr>
            <w:r>
              <w:rPr>
                <w:sz w:val="18"/>
                <w:lang w:eastAsia="en-US"/>
              </w:rPr>
              <w:t>430</w:t>
            </w:r>
          </w:p>
        </w:tc>
      </w:tr>
    </w:tbl>
    <w:p w:rsidR="003E3ADF" w:rsidRDefault="003E3ADF">
      <w:pPr>
        <w:pStyle w:val="BodyText"/>
        <w:spacing w:after="0"/>
        <w:ind w:left="709"/>
        <w:rPr>
          <w:sz w:val="22"/>
          <w:lang w:val="ru-RU"/>
        </w:rPr>
      </w:pPr>
    </w:p>
    <w:p w:rsidR="003E3ADF" w:rsidRDefault="003E3ADF">
      <w:pPr>
        <w:pStyle w:val="BodyText"/>
        <w:ind w:left="709"/>
        <w:rPr>
          <w:sz w:val="22"/>
        </w:rPr>
      </w:pPr>
      <w:r>
        <w:rPr>
          <w:sz w:val="22"/>
        </w:rPr>
        <w:t xml:space="preserve">Кроме того, в 2005 году омбудсмен проанализировал 113 отчетов, в которых компании сообщали о проведенных ими мероприятиях по достижению гендерного равенства </w:t>
      </w:r>
      <w:r>
        <w:rPr>
          <w:sz w:val="22"/>
          <w:lang w:val="ru-RU"/>
        </w:rPr>
        <w:br/>
      </w:r>
      <w:r>
        <w:rPr>
          <w:sz w:val="22"/>
        </w:rPr>
        <w:t xml:space="preserve">(см. раздел 1а Закона о равенстве полов). В 2005 году омбудсмен предоставил консультации по телефону по 492 делам, по сравнению с 471 делом в 2004 году. </w:t>
      </w:r>
    </w:p>
    <w:p w:rsidR="003E3ADF" w:rsidRDefault="003E3ADF">
      <w:pPr>
        <w:ind w:left="709"/>
        <w:rPr>
          <w:lang w:eastAsia="en-US"/>
        </w:rPr>
      </w:pPr>
      <w:r>
        <w:rPr>
          <w:lang w:eastAsia="en-US"/>
        </w:rPr>
        <w:t xml:space="preserve">Дела, представленные на рассмотрение омбудсмена по вопросам гендерного равенства, были зарегистрированы по следующим категориям: индивидуальные дела, дела, переданные омбудсмену по защите прав потребителей, и дела, представленные в целях получения консультативных заключений. Индивидуальные дела включают жалобы, просьбы о предоставлении консультаций и дела, затрагивающие важные принципы, которые омбудсмен рассматривает по своей собственной инициативе. Рассмотрение дел, связанных с жалобами или просьбами о предоставлении консультации, обычно начинается с анализа претензии, а заканчивается вынесением заключения о том, произошло или не произошло нарушение Закона о равенстве полов. </w:t>
      </w:r>
    </w:p>
    <w:p w:rsidR="003E3ADF" w:rsidRDefault="003E3ADF">
      <w:pPr>
        <w:ind w:left="709"/>
        <w:rPr>
          <w:lang w:eastAsia="en-US"/>
        </w:rPr>
      </w:pPr>
      <w:r>
        <w:rPr>
          <w:lang w:eastAsia="en-US"/>
        </w:rPr>
        <w:t xml:space="preserve">Подробные данные о поступивших в письменном виде делах в период 2001–2005 годов: </w:t>
      </w:r>
    </w:p>
    <w:tbl>
      <w:tblPr>
        <w:tblW w:w="9129" w:type="dxa"/>
        <w:tblInd w:w="822" w:type="dxa"/>
        <w:tblLook w:val="0000" w:firstRow="0" w:lastRow="0" w:firstColumn="0" w:lastColumn="0" w:noHBand="0" w:noVBand="0"/>
      </w:tblPr>
      <w:tblGrid>
        <w:gridCol w:w="2614"/>
        <w:gridCol w:w="1303"/>
        <w:gridCol w:w="1303"/>
        <w:gridCol w:w="1303"/>
        <w:gridCol w:w="1303"/>
        <w:gridCol w:w="1303"/>
      </w:tblGrid>
      <w:tr w:rsidR="003E3ADF">
        <w:tblPrEx>
          <w:tblCellMar>
            <w:top w:w="0" w:type="dxa"/>
            <w:bottom w:w="0" w:type="dxa"/>
          </w:tblCellMar>
        </w:tblPrEx>
        <w:tc>
          <w:tcPr>
            <w:tcW w:w="2274" w:type="dxa"/>
            <w:tcBorders>
              <w:top w:val="single" w:sz="4" w:space="0" w:color="auto"/>
              <w:bottom w:val="single" w:sz="12" w:space="0" w:color="auto"/>
            </w:tcBorders>
          </w:tcPr>
          <w:p w:rsidR="003E3ADF" w:rsidRDefault="003E3ADF">
            <w:pPr>
              <w:spacing w:before="20" w:after="20"/>
              <w:jc w:val="left"/>
              <w:rPr>
                <w:b/>
                <w:bCs/>
                <w:i/>
                <w:iCs/>
                <w:sz w:val="18"/>
                <w:lang w:eastAsia="en-US"/>
              </w:rPr>
            </w:pPr>
            <w:r>
              <w:rPr>
                <w:b/>
                <w:bCs/>
                <w:i/>
                <w:iCs/>
                <w:sz w:val="18"/>
                <w:lang w:eastAsia="en-US"/>
              </w:rPr>
              <w:t>Категория дел/год</w:t>
            </w:r>
          </w:p>
        </w:tc>
        <w:tc>
          <w:tcPr>
            <w:tcW w:w="1134"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2001</w:t>
            </w:r>
          </w:p>
        </w:tc>
        <w:tc>
          <w:tcPr>
            <w:tcW w:w="1134"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2002</w:t>
            </w:r>
          </w:p>
        </w:tc>
        <w:tc>
          <w:tcPr>
            <w:tcW w:w="1134"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2003</w:t>
            </w:r>
          </w:p>
        </w:tc>
        <w:tc>
          <w:tcPr>
            <w:tcW w:w="1134"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2004</w:t>
            </w:r>
          </w:p>
        </w:tc>
        <w:tc>
          <w:tcPr>
            <w:tcW w:w="1134" w:type="dxa"/>
            <w:tcBorders>
              <w:top w:val="single" w:sz="4" w:space="0" w:color="auto"/>
              <w:bottom w:val="single" w:sz="12" w:space="0" w:color="auto"/>
            </w:tcBorders>
          </w:tcPr>
          <w:p w:rsidR="003E3ADF" w:rsidRDefault="003E3ADF">
            <w:pPr>
              <w:spacing w:before="20" w:after="20"/>
              <w:jc w:val="center"/>
              <w:rPr>
                <w:b/>
                <w:bCs/>
                <w:i/>
                <w:iCs/>
                <w:sz w:val="18"/>
                <w:lang w:eastAsia="en-US"/>
              </w:rPr>
            </w:pPr>
            <w:r>
              <w:rPr>
                <w:b/>
                <w:bCs/>
                <w:i/>
                <w:iCs/>
                <w:sz w:val="18"/>
                <w:lang w:eastAsia="en-US"/>
              </w:rPr>
              <w:t>2005</w:t>
            </w:r>
          </w:p>
        </w:tc>
      </w:tr>
      <w:tr w:rsidR="003E3ADF">
        <w:tblPrEx>
          <w:tblCellMar>
            <w:top w:w="0" w:type="dxa"/>
            <w:bottom w:w="0" w:type="dxa"/>
          </w:tblCellMar>
        </w:tblPrEx>
        <w:tc>
          <w:tcPr>
            <w:tcW w:w="2274" w:type="dxa"/>
            <w:tcBorders>
              <w:top w:val="single" w:sz="12" w:space="0" w:color="auto"/>
            </w:tcBorders>
            <w:vAlign w:val="bottom"/>
          </w:tcPr>
          <w:p w:rsidR="003E3ADF" w:rsidRDefault="003E3ADF">
            <w:pPr>
              <w:spacing w:before="20" w:after="20"/>
              <w:jc w:val="left"/>
              <w:rPr>
                <w:sz w:val="18"/>
                <w:lang w:eastAsia="en-US"/>
              </w:rPr>
            </w:pPr>
            <w:r>
              <w:rPr>
                <w:sz w:val="18"/>
                <w:lang w:eastAsia="en-US"/>
              </w:rPr>
              <w:t xml:space="preserve">Индивидуальные дела  </w:t>
            </w:r>
          </w:p>
        </w:tc>
        <w:tc>
          <w:tcPr>
            <w:tcW w:w="1134" w:type="dxa"/>
            <w:tcBorders>
              <w:top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270</w:t>
            </w:r>
          </w:p>
        </w:tc>
        <w:tc>
          <w:tcPr>
            <w:tcW w:w="1134" w:type="dxa"/>
            <w:tcBorders>
              <w:top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350</w:t>
            </w:r>
          </w:p>
        </w:tc>
        <w:tc>
          <w:tcPr>
            <w:tcW w:w="1134" w:type="dxa"/>
            <w:tcBorders>
              <w:top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390</w:t>
            </w:r>
          </w:p>
        </w:tc>
        <w:tc>
          <w:tcPr>
            <w:tcW w:w="1134" w:type="dxa"/>
            <w:tcBorders>
              <w:top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440</w:t>
            </w:r>
          </w:p>
        </w:tc>
        <w:tc>
          <w:tcPr>
            <w:tcW w:w="1134" w:type="dxa"/>
            <w:tcBorders>
              <w:top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350</w:t>
            </w:r>
          </w:p>
        </w:tc>
      </w:tr>
      <w:tr w:rsidR="003E3ADF">
        <w:tblPrEx>
          <w:tblCellMar>
            <w:top w:w="0" w:type="dxa"/>
            <w:bottom w:w="0" w:type="dxa"/>
          </w:tblCellMar>
        </w:tblPrEx>
        <w:tc>
          <w:tcPr>
            <w:tcW w:w="2274" w:type="dxa"/>
            <w:vAlign w:val="bottom"/>
          </w:tcPr>
          <w:p w:rsidR="003E3ADF" w:rsidRDefault="003E3ADF">
            <w:pPr>
              <w:spacing w:before="20" w:after="20"/>
              <w:jc w:val="left"/>
              <w:rPr>
                <w:sz w:val="18"/>
                <w:lang w:eastAsia="en-US"/>
              </w:rPr>
            </w:pPr>
            <w:r>
              <w:rPr>
                <w:sz w:val="18"/>
                <w:lang w:eastAsia="en-US"/>
              </w:rPr>
              <w:t>Дела, переданные омбудсмену по правам потребителей</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20</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28</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11</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18</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13</w:t>
            </w:r>
          </w:p>
        </w:tc>
      </w:tr>
      <w:tr w:rsidR="003E3ADF">
        <w:tblPrEx>
          <w:tblCellMar>
            <w:top w:w="0" w:type="dxa"/>
            <w:bottom w:w="0" w:type="dxa"/>
          </w:tblCellMar>
        </w:tblPrEx>
        <w:tc>
          <w:tcPr>
            <w:tcW w:w="2274" w:type="dxa"/>
            <w:vAlign w:val="bottom"/>
          </w:tcPr>
          <w:p w:rsidR="003E3ADF" w:rsidRDefault="003E3ADF">
            <w:pPr>
              <w:spacing w:before="20" w:after="20"/>
              <w:jc w:val="left"/>
              <w:rPr>
                <w:sz w:val="18"/>
                <w:lang w:eastAsia="en-US"/>
              </w:rPr>
            </w:pPr>
            <w:r>
              <w:rPr>
                <w:sz w:val="18"/>
                <w:lang w:eastAsia="en-US"/>
              </w:rPr>
              <w:t>Дела для вынесения консультативных заключений</w:t>
            </w:r>
          </w:p>
        </w:tc>
        <w:tc>
          <w:tcPr>
            <w:tcW w:w="1134" w:type="dxa"/>
            <w:vAlign w:val="bottom"/>
          </w:tcPr>
          <w:p w:rsidR="003E3ADF" w:rsidRDefault="003E3ADF">
            <w:pPr>
              <w:pStyle w:val="FootnoteText"/>
              <w:widowControl/>
              <w:tabs>
                <w:tab w:val="clear" w:pos="340"/>
                <w:tab w:val="left" w:pos="1361"/>
                <w:tab w:val="left" w:pos="2041"/>
              </w:tabs>
              <w:suppressAutoHyphens w:val="0"/>
              <w:spacing w:before="20" w:after="20"/>
              <w:ind w:right="397"/>
              <w:jc w:val="right"/>
              <w:rPr>
                <w:lang w:eastAsia="en-US"/>
              </w:rPr>
            </w:pPr>
            <w:r>
              <w:rPr>
                <w:lang w:eastAsia="en-US"/>
              </w:rPr>
              <w:t xml:space="preserve">  47</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44</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75</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59</w:t>
            </w:r>
          </w:p>
        </w:tc>
        <w:tc>
          <w:tcPr>
            <w:tcW w:w="1134" w:type="dxa"/>
            <w:vAlign w:val="bottom"/>
          </w:tcPr>
          <w:p w:rsidR="003E3ADF" w:rsidRDefault="003E3ADF">
            <w:pPr>
              <w:spacing w:before="20" w:after="20"/>
              <w:ind w:right="397"/>
              <w:jc w:val="right"/>
              <w:rPr>
                <w:sz w:val="18"/>
                <w:lang w:eastAsia="en-US"/>
              </w:rPr>
            </w:pPr>
            <w:r>
              <w:rPr>
                <w:sz w:val="18"/>
                <w:lang w:eastAsia="en-US"/>
              </w:rPr>
              <w:t xml:space="preserve">   67</w:t>
            </w:r>
          </w:p>
        </w:tc>
      </w:tr>
      <w:tr w:rsidR="003E3ADF">
        <w:tblPrEx>
          <w:tblCellMar>
            <w:top w:w="0" w:type="dxa"/>
            <w:bottom w:w="0" w:type="dxa"/>
          </w:tblCellMar>
        </w:tblPrEx>
        <w:tc>
          <w:tcPr>
            <w:tcW w:w="2274" w:type="dxa"/>
            <w:tcBorders>
              <w:bottom w:val="single" w:sz="12" w:space="0" w:color="auto"/>
            </w:tcBorders>
            <w:vAlign w:val="bottom"/>
          </w:tcPr>
          <w:p w:rsidR="003E3ADF" w:rsidRDefault="003E3ADF">
            <w:pPr>
              <w:spacing w:before="20" w:after="20"/>
              <w:jc w:val="left"/>
              <w:rPr>
                <w:b/>
                <w:bCs/>
                <w:sz w:val="18"/>
                <w:lang w:eastAsia="en-US"/>
              </w:rPr>
            </w:pPr>
            <w:r>
              <w:rPr>
                <w:b/>
                <w:bCs/>
                <w:sz w:val="18"/>
                <w:lang w:eastAsia="en-US"/>
              </w:rPr>
              <w:t>Итого:</w:t>
            </w:r>
          </w:p>
        </w:tc>
        <w:tc>
          <w:tcPr>
            <w:tcW w:w="1134" w:type="dxa"/>
            <w:tcBorders>
              <w:bottom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337   </w:t>
            </w:r>
          </w:p>
        </w:tc>
        <w:tc>
          <w:tcPr>
            <w:tcW w:w="1134" w:type="dxa"/>
            <w:tcBorders>
              <w:bottom w:val="single" w:sz="12" w:space="0" w:color="auto"/>
            </w:tcBorders>
            <w:vAlign w:val="bottom"/>
          </w:tcPr>
          <w:p w:rsidR="003E3ADF" w:rsidRDefault="003E3ADF">
            <w:pPr>
              <w:spacing w:before="20" w:after="20"/>
              <w:ind w:right="397"/>
              <w:jc w:val="right"/>
              <w:rPr>
                <w:sz w:val="18"/>
                <w:lang w:eastAsia="en-US"/>
              </w:rPr>
            </w:pPr>
            <w:r>
              <w:rPr>
                <w:sz w:val="18"/>
                <w:lang w:eastAsia="en-US"/>
              </w:rPr>
              <w:t>422</w:t>
            </w:r>
          </w:p>
        </w:tc>
        <w:tc>
          <w:tcPr>
            <w:tcW w:w="1134" w:type="dxa"/>
            <w:tcBorders>
              <w:bottom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476</w:t>
            </w:r>
          </w:p>
        </w:tc>
        <w:tc>
          <w:tcPr>
            <w:tcW w:w="1134" w:type="dxa"/>
            <w:tcBorders>
              <w:bottom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517</w:t>
            </w:r>
          </w:p>
        </w:tc>
        <w:tc>
          <w:tcPr>
            <w:tcW w:w="1134" w:type="dxa"/>
            <w:tcBorders>
              <w:bottom w:val="single" w:sz="12" w:space="0" w:color="auto"/>
            </w:tcBorders>
            <w:vAlign w:val="bottom"/>
          </w:tcPr>
          <w:p w:rsidR="003E3ADF" w:rsidRDefault="003E3ADF">
            <w:pPr>
              <w:spacing w:before="20" w:after="20"/>
              <w:ind w:right="397"/>
              <w:jc w:val="right"/>
              <w:rPr>
                <w:sz w:val="18"/>
                <w:lang w:eastAsia="en-US"/>
              </w:rPr>
            </w:pPr>
            <w:r>
              <w:rPr>
                <w:sz w:val="18"/>
                <w:lang w:eastAsia="en-US"/>
              </w:rPr>
              <w:t xml:space="preserve">  430</w:t>
            </w:r>
          </w:p>
        </w:tc>
      </w:tr>
    </w:tbl>
    <w:p w:rsidR="003E3ADF" w:rsidRDefault="003E3ADF">
      <w:pPr>
        <w:spacing w:after="0"/>
        <w:ind w:left="709"/>
        <w:rPr>
          <w:lang w:eastAsia="en-US"/>
        </w:rPr>
      </w:pPr>
    </w:p>
    <w:p w:rsidR="003E3ADF" w:rsidRDefault="003E3ADF">
      <w:pPr>
        <w:ind w:left="709"/>
        <w:rPr>
          <w:lang w:eastAsia="en-US"/>
        </w:rPr>
      </w:pPr>
      <w:r>
        <w:rPr>
          <w:lang w:eastAsia="en-US"/>
        </w:rPr>
        <w:t xml:space="preserve">Большинство индивидуальных дел (2005 года) касаются вопросов неодинакового обращения в связи с разделом 3 (общая оговорка) Закона о равенстве полов и преимущественно являются делами, касающимися отпуска по беременности и родам. Другая часть индивидуальных дел в основном касается трудовой деятельности, в частности вопросов найма или равной оплаты труда: объявления о вакантных рабочих местах (18), назначения на должность (53) и равная оплата труда (39). В 2005 году 18 процентов жалоб были поданы мужчинами, 55 процентов –женщинами и 9 процентов – организациями, и 18 процентов дел были рассмотрены по инициативе омбудсмена по вопросам гендерного равенства. </w:t>
      </w:r>
    </w:p>
    <w:p w:rsidR="003E3ADF" w:rsidRDefault="003E3ADF">
      <w:pPr>
        <w:pStyle w:val="Heading2"/>
        <w:ind w:left="709"/>
        <w:rPr>
          <w:b w:val="0"/>
          <w:bCs w:val="0"/>
          <w:i/>
          <w:iCs/>
          <w:sz w:val="22"/>
        </w:rPr>
      </w:pPr>
      <w:r>
        <w:rPr>
          <w:b w:val="0"/>
          <w:bCs w:val="0"/>
          <w:i/>
          <w:iCs/>
          <w:sz w:val="22"/>
        </w:rPr>
        <w:t>Новый правоприменительный механизм</w:t>
      </w:r>
    </w:p>
    <w:p w:rsidR="003E3ADF" w:rsidRDefault="003E3ADF">
      <w:pPr>
        <w:ind w:left="709"/>
        <w:rPr>
          <w:lang w:eastAsia="en-US"/>
        </w:rPr>
      </w:pPr>
      <w:r>
        <w:rPr>
          <w:lang w:eastAsia="en-US"/>
        </w:rPr>
        <w:t>До конца 2005 года меры по обеспечению применения Закона о равенстве полов входили в сферу компетенции омбудсмена по вопросам гендерного равенства и Апелляционной палаты по вопросам гендерного равенства. С 1 января 2006 года эти обязанности переданы новому омбудсмену по вопросам равенства и недопущения дискриминации и Суду по вопросам равенства и недопущения дискриминации, который также приводит в исполнение запрет дискриминации по иным основаниям.</w:t>
      </w:r>
    </w:p>
    <w:p w:rsidR="003E3ADF" w:rsidRDefault="003E3ADF">
      <w:pPr>
        <w:ind w:left="709"/>
        <w:rPr>
          <w:lang w:eastAsia="en-US"/>
        </w:rPr>
      </w:pPr>
      <w:r>
        <w:rPr>
          <w:lang w:eastAsia="en-US"/>
        </w:rPr>
        <w:t xml:space="preserve">Институт омбудсмена и Суд по вопросам равенства полов и недопущения дискриминации являются органами центрального правительства, обладающими независимостью в профессиональном отношении. Они занимаются рассмотрением жалоб бесплатно. Их деятельность и организационная структура регламентируются законом, принятым стортингом. </w:t>
      </w:r>
    </w:p>
    <w:p w:rsidR="003E3ADF" w:rsidRDefault="003E3ADF">
      <w:pPr>
        <w:ind w:left="709"/>
      </w:pPr>
      <w:r>
        <w:rPr>
          <w:lang w:eastAsia="en-US"/>
        </w:rPr>
        <w:t xml:space="preserve">Кроме вопросов дискриминации по признаку пола, на омбудсмена возложена ответственность за приведение в исполнение запрета дискриминации по признаку </w:t>
      </w:r>
      <w:r>
        <w:t xml:space="preserve">религии, вероисповедания, цвета кожи, национального или этнического происхождения, политической и партийной принадлежности, сексуальной ориентации, инвалидности или возраста. Правоприменительный механизм включает существующие структуры по обеспечению гендерного равенства – Центр по </w:t>
      </w:r>
      <w:r>
        <w:rPr>
          <w:lang w:eastAsia="en-US"/>
        </w:rPr>
        <w:t>вопросам</w:t>
      </w:r>
      <w:r>
        <w:t xml:space="preserve"> гендерного равенства, </w:t>
      </w:r>
      <w:r>
        <w:rPr>
          <w:lang w:eastAsia="en-US"/>
        </w:rPr>
        <w:t xml:space="preserve">институт омбудсмена по вопросам гендерного равенства </w:t>
      </w:r>
      <w:r>
        <w:t xml:space="preserve">и Апелляционный совет по </w:t>
      </w:r>
      <w:r>
        <w:rPr>
          <w:lang w:eastAsia="en-US"/>
        </w:rPr>
        <w:t>вопросам</w:t>
      </w:r>
      <w:r>
        <w:t xml:space="preserve"> гендерного равенства, а также некоторые функции Центра по борьбе с этнической дискриминацией.</w:t>
      </w:r>
    </w:p>
    <w:p w:rsidR="003E3ADF" w:rsidRDefault="003E3ADF">
      <w:pPr>
        <w:ind w:left="709"/>
      </w:pPr>
      <w:r>
        <w:t>Цель создания общего механизма состояла в том, чтобы активизировать усилия по предотвращению дискриминации и поощрению равенства посредством выработки более широкого междисциплинарного подхода и более рационального использования ресурсов, а также обеспечения более высокой отдачи и повышения значимости деятельности этого института, что не всегда способны сделать мелкие и разрозненные учреждения, которые функционируют с настоящее время в этой области. Кроме того, объединенный механизм в большей мере ориентирован на защиту интересов потребителей. Лица, считающие себя жертвами дискриминации, смогут воспользоваться всеми возможностями, которые предоставляет им закон, в рамках единой системы. Преимущества такой процедуры очевидны, в первую очередь, в делах о множественной дискриминации, то есть дискриминации по нескольким основаниям. Примерами такой дискриминации являются случаи, когда женщинам отказывают в праве на ношение религиозного головного убора (хиджаб) на рабочем месте. Дела такого рода находятся на рубеже дискриминации по признаку пола и дискриминации по признаку религии, и общий правоприменительный механизм будет способствовать обеспечению того, чтобы конкретные отдельные дела и структурные проблемы решались во взаимосвязи и логической последовательности.</w:t>
      </w:r>
    </w:p>
    <w:p w:rsidR="003E3ADF" w:rsidRDefault="003E3ADF">
      <w:pPr>
        <w:ind w:left="709"/>
      </w:pPr>
      <w:r>
        <w:t xml:space="preserve">Аналогичным образом, работодателям и другим лицам, нуждающимся в советах и помощи в вопросах антидискриминационного законодательства, в отношении путей достижения равенства и активного поощрения культурного разнообразия, будет намного удобнее работать с одним учреждением, чем с несколькими. </w:t>
      </w:r>
      <w:r>
        <w:rPr>
          <w:lang w:eastAsia="en-US"/>
        </w:rPr>
        <w:t>Омбудсмен</w:t>
      </w:r>
      <w:r>
        <w:t xml:space="preserve"> по вопросам равенства и недопущения дискриминации играет двоякую роль: он обеспечивает применение законов и одновременно активно содействует обеспечению равенства и борьбе с дискриминацией. Выполняя функции правоприменительного органа, омбудсмен выносит заключения по жалобам о нарушениях законов и законодательных положений в пределах своей компетенции, предоставляет консультационные услуги и обеспечивает руководство в области осуществления этих законодательных актов. Любое лицо, которое считает, что оно подверглось дискриминации, может передать этот вопрос на рассмотрение </w:t>
      </w:r>
      <w:r>
        <w:rPr>
          <w:lang w:eastAsia="en-US"/>
        </w:rPr>
        <w:t>омбудсмена</w:t>
      </w:r>
      <w:r>
        <w:t xml:space="preserve">, который запросит информацию от обеих сторон, проведет объективную оценку дела и вынесет заключение о том, имела ли место дискриминация. Заключение </w:t>
      </w:r>
      <w:r>
        <w:rPr>
          <w:lang w:eastAsia="en-US"/>
        </w:rPr>
        <w:t>омбудсмена</w:t>
      </w:r>
      <w:r>
        <w:t xml:space="preserve"> может быть вынесено на рассмотрение Суда по вопросам гендерного равенства и недопущения дискриминации. </w:t>
      </w:r>
      <w:r>
        <w:rPr>
          <w:lang w:eastAsia="en-US"/>
        </w:rPr>
        <w:t xml:space="preserve">Омбудсмен наделен </w:t>
      </w:r>
      <w:r>
        <w:t>полномочиями принимать обязательные к исполнению административные решения (срочные решения) по делам, которые не терпят отлагательства и не могут ждать решения Суда.</w:t>
      </w:r>
    </w:p>
    <w:p w:rsidR="003E3ADF" w:rsidRDefault="003E3ADF">
      <w:pPr>
        <w:ind w:left="709"/>
      </w:pPr>
      <w:r>
        <w:t>Усилиями омбудсмена в рамках нескольких дел удалось не допустить дискриминации по признаку пола и возраста в связи с наймом на работу, для чего понадобилось в безотлагательном порядке принять меры, которые сопровождались предупреждением о вынесении срочного административного решения. Опираясь на этот положительный опыт, омбудсмен намерен продолжать свою работу по повышению эффективности правоприменительной практики.</w:t>
      </w:r>
    </w:p>
    <w:p w:rsidR="003E3ADF" w:rsidRDefault="003E3ADF">
      <w:pPr>
        <w:ind w:left="709"/>
      </w:pPr>
      <w:r>
        <w:t xml:space="preserve">Кроме того, на </w:t>
      </w:r>
      <w:r>
        <w:rPr>
          <w:lang w:eastAsia="en-US"/>
        </w:rPr>
        <w:t>омбудсмена</w:t>
      </w:r>
      <w:r>
        <w:t xml:space="preserve"> возложена обязанность по вынесению рекомендаций при рассмотрении дел о дискриминации, подпадающих под действие положений, не входящих в компетенцию омбудсмена,  например в связи с заявлением в полицию о преступном деянии, совершенном из расистских побуждений, делами об увольнении с работы, на которые распространяются другие положения главы о равном обращении в Законе об условиях труда, или в случае ходатайства о бесплатном рассмотрении дела. </w:t>
      </w:r>
      <w:r>
        <w:rPr>
          <w:lang w:eastAsia="en-US"/>
        </w:rPr>
        <w:t>Омбудсмен</w:t>
      </w:r>
      <w:r>
        <w:t xml:space="preserve"> должен, помимо прочего, обеспечивать, чтобы законодательство и административная практика Норвегии соответствовали обязательствам Норвегии, предусмотренным Конвенцией Организации Объединенных Наций о ликвидации всех форм дискриминации в отношении женщин и Конвенцией Организации Объединенных Наций о ликвидации всех форм расовой дискриминации. Активные усилия </w:t>
      </w:r>
      <w:r>
        <w:rPr>
          <w:lang w:eastAsia="en-US"/>
        </w:rPr>
        <w:t>омбудсмена</w:t>
      </w:r>
      <w:r>
        <w:t xml:space="preserve"> должны вносить вклад в укрепление принципа равноправия во всех сферах общественной жизни. Омбудсмен должен участвовать в процессе выработки основных направлений, определяющих политику в данной области. В функции омбудсмена входит также предоставление информации общественности, а также оказание поддержки и предоставление рекомендаций государственным органам, частным и добровольным организациям и отдельным лицам, действующим в интересах обеспечения равенства и ликвидации дискриминации. Например, организации трудящихся и работодателей, школы и ассоциации могут обращаться к </w:t>
      </w:r>
      <w:r>
        <w:rPr>
          <w:lang w:eastAsia="en-US"/>
        </w:rPr>
        <w:t xml:space="preserve">омбудсмену </w:t>
      </w:r>
      <w:r>
        <w:t xml:space="preserve">с просьбами о предоставлении консультативной помощи и общих рекомендаций. </w:t>
      </w:r>
      <w:r>
        <w:rPr>
          <w:lang w:eastAsia="en-US"/>
        </w:rPr>
        <w:t xml:space="preserve">Кроме того, в задачи омбудсмена входят </w:t>
      </w:r>
      <w:r>
        <w:t xml:space="preserve">мониторинг характера и масштабов дискриминации, развитие и накопление опыта и знаний и распространение информации о проблемах равенства. </w:t>
      </w:r>
    </w:p>
    <w:p w:rsidR="003E3ADF" w:rsidRDefault="003E3ADF">
      <w:pPr>
        <w:ind w:left="709"/>
      </w:pPr>
      <w:r>
        <w:t xml:space="preserve">Большая часть жалоб, поступающих в адрес омбудсмена по вопросам равенства и недопущения дискриминации, по-прежнему касается проблемы равноправия мужчин и женщин, в частности дискриминации в области трудоустройства в связи с беременностью. </w:t>
      </w:r>
      <w:r>
        <w:rPr>
          <w:lang w:eastAsia="en-US"/>
        </w:rPr>
        <w:t>Омбудсмен</w:t>
      </w:r>
      <w:r>
        <w:t xml:space="preserve"> получил также многочисленные запросы в отношении дискриминации в связи с возрастом, большая часть которых поступила по телефону и по электронной почте в виде просьб о предоставлении консультаций. Меньше жалоб, чем ожидалось, было прислано в связи с дискриминацией по этническому признаку, однако омбудсмен рассмотрела некоторые дела по собственной инициативе, в том числе дела о дискриминации на предприятиях сферы обслуживания, таких как бары, рестораны, ночные клубы и т. п., а также дела, связанные с объявлениями о вакансиях, для занятия которых требовалось хорошее знание норвежского языка. Омбудсмен намерена и впредь рассматривать по собственной инициативе дела о дискриминации с целью внедрения новой административной практики и уточнения некоторых аспектов, связанных с толкованием новых положений по борьбе с дискриминацией. Омбудсмен также планирует активизировать свою информационную деятельность, что, по-видимому, приведет к увеличению числа жалоб. </w:t>
      </w:r>
    </w:p>
    <w:p w:rsidR="003E3ADF" w:rsidRDefault="003E3ADF">
      <w:pPr>
        <w:ind w:left="709"/>
      </w:pPr>
      <w:r>
        <w:t xml:space="preserve">Суд по вопросам равенства и недопущения дискриминации рассматривает любые вынесенные </w:t>
      </w:r>
      <w:r>
        <w:rPr>
          <w:lang w:eastAsia="en-US"/>
        </w:rPr>
        <w:t xml:space="preserve">омбудсменом </w:t>
      </w:r>
      <w:r>
        <w:t xml:space="preserve">заключения, которые могут быть представлены на его рассмотрение, либо заключения, которые Суд самостоятельно принимает к рассмотрению. Решения Суда по любому делу являются обязательными для всех сторон. Суд обладает полномочиями налагать принудительный штраф на сторону, уличенную в дискриминации, до тех пор пока дискриминация не прекратится. Суд приступил к рассмотрению дел, находящихся в настоящее время в производстве Апелляционного совета по вопросам равенства полов; предусматривается также, что он рассмотрит дела, связанные с заключениями </w:t>
      </w:r>
      <w:r>
        <w:rPr>
          <w:lang w:eastAsia="en-US"/>
        </w:rPr>
        <w:t>омбудсмена</w:t>
      </w:r>
      <w:r>
        <w:t xml:space="preserve">, вынесенными в соответствии с Антидискриминационным законом главой 13 Закона об условиях труда, касающейся защиты от дискриминации в сфере трудовой деятельности, и положениями о борьбе с дискриминацией, содержащимися в жилищном законодательстве. </w:t>
      </w:r>
    </w:p>
    <w:p w:rsidR="003E3ADF" w:rsidRDefault="003E3ADF">
      <w:pPr>
        <w:ind w:left="709"/>
      </w:pPr>
      <w:r>
        <w:t xml:space="preserve">Суд состоит из двенадцати членов, четверо из которых являются заместителями членов Суда, и обслуживается специальным секретариатом. </w:t>
      </w:r>
    </w:p>
    <w:p w:rsidR="003E3ADF" w:rsidRDefault="003E3ADF">
      <w:pPr>
        <w:ind w:left="709"/>
      </w:pPr>
      <w:r>
        <w:t xml:space="preserve">Некоторые ведомства и добровольческие организации весьма критически отнеслись к идее создания общего правоприменительного механизма. Часть из них опасалась того, что отдельным формам дискриминации будет уделяться больше внимания, чем другим, другие же ожидали, что акцент будет перенесен на более срочную работу по рассмотрению конкретных жалоб, что отодвигает на второй план рассчитанные на долгосрочную перспективу усилия по содействию равенству и борьбе с дискриминацией, особенно если этому учреждению придется столкнуться с нехваткой ресурсов. Правительство, зная об этих проблемах, приняло меры к тому, чтобы избежать подобных сценариев развития событий, в частности, предоставив омбудсмену четкие полномочия по активному содействию равенству и недопущению дискриминации. </w:t>
      </w:r>
    </w:p>
    <w:p w:rsidR="003E3ADF" w:rsidRDefault="003E3ADF">
      <w:pPr>
        <w:ind w:left="709"/>
      </w:pPr>
      <w:r>
        <w:rPr>
          <w:lang w:eastAsia="en-US"/>
        </w:rPr>
        <w:t>Омбудсмен</w:t>
      </w:r>
      <w:r>
        <w:t xml:space="preserve"> должен предпринимать усилия по поощрению равенства во всех сферах общественной жизни. Это включает следующие виды деятельности: </w:t>
      </w:r>
    </w:p>
    <w:p w:rsidR="003E3ADF" w:rsidRDefault="003E3ADF">
      <w:pPr>
        <w:ind w:left="1191" w:hanging="482"/>
      </w:pPr>
      <w:r>
        <w:sym w:font="Symbol" w:char="F0B7"/>
      </w:r>
      <w:r>
        <w:tab/>
        <w:t xml:space="preserve">выявление вопросов, препятствующих обеспечению равенства и равного обращения, и привлечение внимания к ним; </w:t>
      </w:r>
    </w:p>
    <w:p w:rsidR="003E3ADF" w:rsidRDefault="003E3ADF">
      <w:pPr>
        <w:ind w:left="1191" w:hanging="482"/>
      </w:pPr>
      <w:r>
        <w:sym w:font="Symbol" w:char="F0B7"/>
      </w:r>
      <w:r>
        <w:tab/>
        <w:t xml:space="preserve">повышение информированности общественности в отношении равенства и равного обращения и активное содействие пересмотру отношения к этим вопросам и изменению модели поведения; </w:t>
      </w:r>
    </w:p>
    <w:p w:rsidR="003E3ADF" w:rsidRDefault="003E3ADF">
      <w:pPr>
        <w:ind w:left="1191" w:hanging="482"/>
      </w:pPr>
      <w:r>
        <w:sym w:font="Symbol" w:char="F0B7"/>
      </w:r>
      <w:r>
        <w:tab/>
        <w:t xml:space="preserve">предоставление информации, оказание помощи и консультационных услуг организаторам мероприятий, направленных на поощрение равенства и противодействие дискриминации; </w:t>
      </w:r>
    </w:p>
    <w:p w:rsidR="003E3ADF" w:rsidRDefault="003E3ADF">
      <w:pPr>
        <w:ind w:left="1191" w:hanging="482"/>
      </w:pPr>
      <w:r>
        <w:sym w:font="Symbol" w:char="F0B7"/>
      </w:r>
      <w:r>
        <w:tab/>
        <w:t>оказание консультационных услуг и предоставление рекомендаций работодателям в государственном и частном секторах по вопросам этнического разнообразия в сфере занятости;</w:t>
      </w:r>
    </w:p>
    <w:p w:rsidR="003E3ADF" w:rsidRDefault="003E3ADF">
      <w:pPr>
        <w:ind w:left="1191" w:hanging="482"/>
      </w:pPr>
      <w:r>
        <w:sym w:font="Symbol" w:char="F0B7"/>
      </w:r>
      <w:r>
        <w:tab/>
        <w:t xml:space="preserve">просветительская работа и подготовка документации по проблемам равенства, а также мониторинг характера и масштабов дискриминации; </w:t>
      </w:r>
    </w:p>
    <w:p w:rsidR="003E3ADF" w:rsidRDefault="003E3ADF">
      <w:pPr>
        <w:ind w:left="1191" w:hanging="482"/>
      </w:pPr>
      <w:r>
        <w:sym w:font="Symbol" w:char="F0B7"/>
      </w:r>
      <w:r>
        <w:tab/>
        <w:t>организация и проведение встреч и выполнение функций информационного центра в целях расширения сотрудничества между заинтересованными сторонами.</w:t>
      </w:r>
    </w:p>
    <w:p w:rsidR="003E3ADF" w:rsidRDefault="003E3ADF">
      <w:pPr>
        <w:ind w:left="709"/>
      </w:pPr>
      <w:r>
        <w:t xml:space="preserve">Работа по оценке функционирования нового механизма начнется к концу 2008 года. </w:t>
      </w:r>
    </w:p>
    <w:p w:rsidR="003E3ADF" w:rsidRDefault="003E3ADF">
      <w:pPr>
        <w:ind w:left="709"/>
        <w:rPr>
          <w:i/>
        </w:rPr>
      </w:pPr>
      <w:r>
        <w:rPr>
          <w:i/>
        </w:rPr>
        <w:t>Полномочия</w:t>
      </w:r>
      <w:r>
        <w:rPr>
          <w:i/>
          <w:lang w:eastAsia="en-US"/>
        </w:rPr>
        <w:t xml:space="preserve"> омбудсмена</w:t>
      </w:r>
      <w:r>
        <w:rPr>
          <w:i/>
        </w:rPr>
        <w:t xml:space="preserve"> и Суда в отношении других административных учреждений и т. п.</w:t>
      </w:r>
    </w:p>
    <w:p w:rsidR="003E3ADF" w:rsidRDefault="003E3ADF">
      <w:pPr>
        <w:ind w:left="709"/>
      </w:pPr>
      <w:r>
        <w:t xml:space="preserve">Полномочия нового </w:t>
      </w:r>
      <w:r>
        <w:rPr>
          <w:lang w:eastAsia="en-US"/>
        </w:rPr>
        <w:t>института омбудсмена</w:t>
      </w:r>
      <w:r>
        <w:t xml:space="preserve"> и нового Суда в отношении других административных учреждений являются продолжением полномочий бывшего </w:t>
      </w:r>
      <w:r>
        <w:rPr>
          <w:lang w:eastAsia="en-US"/>
        </w:rPr>
        <w:t>омбудсмена</w:t>
      </w:r>
      <w:r>
        <w:t xml:space="preserve"> по вопросам равенства полов и Апелляционного совета по вопросам равенства полов. Тем не менее ниже приводится общее описание полномочий </w:t>
      </w:r>
      <w:r>
        <w:rPr>
          <w:lang w:eastAsia="en-US"/>
        </w:rPr>
        <w:t>омбудсмена</w:t>
      </w:r>
      <w:r>
        <w:t xml:space="preserve"> и Суда в отношении других административных учреждений, поскольку права, которыми обладают эти органы в отношении остальных звеньев государственной администрации, являются одним из средств обеспечения соблюдения властями обязательств по поощрению равенства и предотвращению дискриминации, предусмотренных в законодательстве Норвегии и в конвенциях, которые имеют для Норвегии обязательную силу. </w:t>
      </w:r>
    </w:p>
    <w:p w:rsidR="003E3ADF" w:rsidRDefault="003E3ADF">
      <w:pPr>
        <w:ind w:left="709"/>
      </w:pPr>
      <w:r>
        <w:rPr>
          <w:lang w:eastAsia="en-US"/>
        </w:rPr>
        <w:t>Омбудсмен</w:t>
      </w:r>
      <w:r>
        <w:t xml:space="preserve"> и Суд являются административными органами, однако по закону им гарантирована профессиональная независимость, что означает, что им не требуется разрешение короля или министерства для разработки инструкций в отношении их административных процедур или профессиональной деятельности. </w:t>
      </w:r>
    </w:p>
    <w:p w:rsidR="003E3ADF" w:rsidRDefault="003E3ADF">
      <w:pPr>
        <w:ind w:left="709"/>
      </w:pPr>
      <w:r>
        <w:t xml:space="preserve">С другой стороны, </w:t>
      </w:r>
      <w:r>
        <w:rPr>
          <w:lang w:eastAsia="en-US"/>
        </w:rPr>
        <w:t xml:space="preserve">ни омбудсмен, </w:t>
      </w:r>
      <w:r>
        <w:t xml:space="preserve">ни Суд не могут издавать постановления, которые бы имели обязательную силу для министерства или короля. Кроме того, ни омбудсмен, ни Суд не вправе отменять или изменять административные решения, принятые другими административными учреждениями, или давать распоряжения в отношении того, каким образом должны реализовываться полномочия по установлению правил или принятию административных решений. Следует отметить в этой связи, что в Норвегии никогда не существовало административных трибуналов. </w:t>
      </w:r>
    </w:p>
    <w:p w:rsidR="003E3ADF" w:rsidRDefault="003E3ADF">
      <w:pPr>
        <w:ind w:left="709"/>
      </w:pPr>
      <w:r>
        <w:t xml:space="preserve">Однако Закон не запрещает омбудсмену или Суду выносить заключения по поводу того, противоречат ли административные решения, принятые другими органами, Закону о равенстве полов. Эти заключения не будут иметь обязательной юридической силы, однако обычно предполагается, что исполнительные органы вынуждены будут принять мнение омбудсмена или Суда. Омбудсмен стортинга по вопросам государственной администрации (парламентский </w:t>
      </w:r>
      <w:r>
        <w:rPr>
          <w:lang w:eastAsia="en-US"/>
        </w:rPr>
        <w:t>омбудсмен</w:t>
      </w:r>
      <w:r>
        <w:t xml:space="preserve">) исходил из этого же предположения при рассмотрении жалоб на административные решения, которые нарушают положения Закона о равенстве полов. </w:t>
      </w:r>
    </w:p>
    <w:p w:rsidR="003E3ADF" w:rsidRDefault="003E3ADF">
      <w:pPr>
        <w:ind w:left="709"/>
      </w:pPr>
      <w:r>
        <w:t xml:space="preserve">Что касается взаимодействия </w:t>
      </w:r>
      <w:r>
        <w:rPr>
          <w:lang w:eastAsia="en-US"/>
        </w:rPr>
        <w:t>омбудсмена</w:t>
      </w:r>
      <w:r>
        <w:t xml:space="preserve"> и Суда со стортингом и судебными органами, то в ходе разработки Закона эксперты придерживались общих конституционных принципов, не предусматривающих право административного учреждения подвергать контролю или критике деятельность судебных органов. На практике, однако, и омбудсмене и Суд не раз выносили заключения с обоснованием своей позиции в отношении соответствия или несоответствия тех или иных законодательных положений запрету на прямую или косвенную дискриминацию, содержащемуся в Законе о равенстве полов. Последний раз такое обоснование было дано омбудсменом и Судом по поводу жалобы на дифференцированное отношение к донорству яйцеклетки и спермы, предусмотренному в Законе о биотехнологиях. Суд решил не рассматривать вопрос о том, свидетельствует ли это о различном обращении с мужчинами и женщинами, а вынес заключение на основе общих принципов толкования приоритета статутного права о том, что запрещение донорства яйцеклетки не является нарушением Закона о равенстве полов (Судебное дело № 9/2006). </w:t>
      </w:r>
    </w:p>
    <w:p w:rsidR="003E3ADF" w:rsidRDefault="003E3ADF">
      <w:pPr>
        <w:keepNext/>
        <w:tabs>
          <w:tab w:val="clear" w:pos="1361"/>
          <w:tab w:val="right" w:pos="567"/>
          <w:tab w:val="left" w:pos="680"/>
          <w:tab w:val="left" w:pos="1247"/>
        </w:tabs>
        <w:ind w:left="709" w:hanging="709"/>
      </w:pPr>
      <w:r>
        <w:tab/>
        <w:t>1.1.4</w:t>
      </w:r>
      <w:r>
        <w:tab/>
        <w:t xml:space="preserve">Статья 2d.  Усилия государственных органов по поощрению равенства полов </w:t>
      </w:r>
    </w:p>
    <w:p w:rsidR="003E3ADF" w:rsidRDefault="003E3ADF">
      <w:pPr>
        <w:ind w:left="709"/>
      </w:pPr>
      <w:r>
        <w:t>Закон о равенстве полов содержит требование о том, чтобы органы государственной власти предпринимали систематические, целенаправленные усилия к поощрению равенства между женщинами и мужчинами во всех сферах общественной жизни. Для выполнения этого обязательства Норвегия с середины 1980-х годов последовательно и целеустремленно проводит стратегию включения гендерной тематики и вопросов укрепления равенства во все сферы политики (учет гендерной проблематики), осуществляемой центральными органами государственной власти. Процесс разработки и распределения обязанностей по реализации стратегии актуализации гендерной проблематики до 2001 года был описан в шестом периодическом докладе Норвегии в материалах</w:t>
      </w:r>
      <w:r>
        <w:rPr>
          <w:spacing w:val="-3"/>
        </w:rPr>
        <w:t xml:space="preserve">, касающихся статьи 2d. </w:t>
      </w:r>
      <w:r>
        <w:t xml:space="preserve">С 2001 года усилия по учету гендерных аспектов и вопросов укрепления равенства в работе над государственным бюджетом (учет гендерной тематики при составлении бюджета) еще больше активизировались, с тем чтобы охватить все министерства. Осенью 2002 года в стортинг было представлено первое Приложение к Предложению № 1, касающееся гендерного равенства, которое было подготовлено Министерством по делам детей и семьи, и включающее материалы, представленные 8 министерствами. Работа по подготовке Приложения координировалась и проводилась под руководством Министерства по делам детей и семьи. </w:t>
      </w:r>
    </w:p>
    <w:p w:rsidR="003E3ADF" w:rsidRDefault="003E3ADF">
      <w:pPr>
        <w:ind w:left="709"/>
      </w:pPr>
      <w:r>
        <w:t xml:space="preserve">В 2005 году находящееся в то время у власти правительство решило активизировать эти усилия, предложив каждому министерству провести оценку положения в области гендерного равенства в их специализированных бюджетных сферах, находящихся в их компетенции. Министерствам было также предложено отчитываться о ходе этой работы в своих собственных бюджетных предложениях. Каждый министр определял параметры отчета по своему усмотрению. Был также изменен формат Приложения, касающегося гендерного равенства. Если предыдущие документы содержали результаты оценки работы, проводимой министерствами в области гендерного равенства в их специализированных бюджетных сферах, то Приложение к бюджетным предложениям на 2006–2007 годы включало статистические данные на макроуровне и аналитические оценки, которые показывают распределение финансовых ресурсов между мужчинами и женщинами, с уделением главного внимания уровню дохода, занятости и использованию времени. Доклад содержит особые разделы, в которых эти вопросы анализируются применительно к иммигрантам и группам лиц с низкими доходами. Министерство по делам детей и семьи привлекло к подготовке этого доклада Статистическое управление Норвегии в сотрудничестве с наиболее заинтересованными министерствами. В докладе, который Министерство по делам детей и семьи планирует представить в стортинг вместе с Предложением № 1 (2006–2007 годы), будут собраны данные и представлен анализ продолжительности рабочего дня матерей и отцов и расходов на содержание детей для женщин и мужчин (2007–2008 годы). </w:t>
      </w:r>
    </w:p>
    <w:p w:rsidR="003E3ADF" w:rsidRDefault="003E3ADF">
      <w:pPr>
        <w:ind w:left="709"/>
      </w:pPr>
      <w:r>
        <w:t xml:space="preserve">Нынешнее правительство продолжает требовать от всех министерств проведения оценки положения в области гендерного равенства в бюджетных сферах, находящихся в круге их ответственности. Межминистерская рабочая группа также разработала руководство по оценке положения в области гендерного равенства и предоставлению отчетности в бюджетных предложениях министерств. В руководстве содержатся четкие инструкции относительно распределения ответственности за осуществление оценки, планирование и организацию работы, проведение анализа, последующие меры и представление отчетности в бюджетных предложениях. В рамках внешней оценки, запланированной на 2006 год, будет осуществляться мониторинг процесса реорганизации, который позволит обеспечить выработку более системного и целенаправленного подхода к оценке государственного бюджета с точки зрения обеспечения гендерного равенства. В будущем Министерство по делам детей и семьи продолжит предоставление консультационных услуг и оказание помощи в этом процессе, включая обучение пользованию руководством. </w:t>
      </w:r>
    </w:p>
    <w:p w:rsidR="003E3ADF" w:rsidRDefault="003E3ADF">
      <w:pPr>
        <w:ind w:left="709"/>
      </w:pPr>
      <w:r>
        <w:t xml:space="preserve">В своей политической платформе (Декларация Сориа Мориа) новое правительство заявило, что с 1 января 2006 года Министерство по делам детей и семьи будет переименовано в Министерство по делам детей и вопросам равноправия. </w:t>
      </w:r>
    </w:p>
    <w:p w:rsidR="003E3ADF" w:rsidRDefault="003E3ADF">
      <w:pPr>
        <w:ind w:left="709"/>
        <w:rPr>
          <w:i/>
        </w:rPr>
      </w:pPr>
      <w:r>
        <w:rPr>
          <w:i/>
        </w:rPr>
        <w:t>Актуализация гендерной проблематики в региональном масштабе</w:t>
      </w:r>
    </w:p>
    <w:p w:rsidR="003E3ADF" w:rsidRDefault="003E3ADF">
      <w:pPr>
        <w:ind w:left="709"/>
      </w:pPr>
      <w:r>
        <w:t>Установленная Законом о равенстве полов обязанность предпринимать систематические целенаправленные усилия с целью обеспечения равенства полов распространяется на все органы государственной власти, независимо от уровня. В последние несколько лет Министерство по делам детей и вопросам равноправия оказывало поддержку экспериментальному проекту по созданию регионального информационного центра по вопросам гендерного равенства полов, который поддерживает связи с Северным феминистским университетом. Этот проект будет продолжен в 2007 году.</w:t>
      </w:r>
    </w:p>
    <w:p w:rsidR="003E3ADF" w:rsidRDefault="003E3ADF">
      <w:pPr>
        <w:ind w:left="709"/>
      </w:pPr>
      <w:r>
        <w:t>Губернаторы области представляют годовые отчеты о выполнении задач, возложенных на находящиеся в их подчинении учреждения, в ежегодных извещениях о выделении бюджетных средств курирующему их органу – Министерству по вопросам государственного управления и реформ. Одной из этих задач является выполнение обязательств по активному содействию гендерному равенству, предусмотренных в Законе о равенстве полов. Министерство анализирует эти отчеты и в ходе подготовки ежегодного обсуждения обменивается информацией с канцеляриями губернаторов, отдельных областей. Сведения о мерах по решению внутренних проблем в области обеспечения гендерного равенства, содержащиеся в отчетах канцелярий областных губернаторов, в целом носят весьма позитивный характер и позволяют министерству использовать эти отчеты для выдвижения конкретных предложений и рекомендаций в отношении улучшения методов работы. Что касается последующих мероприятий, осуществляемых канцеляриями областных губернаторов в целях реализации принятых обязательств и активной поддержки идеи гендерного равенства за пределами их областей, то, по состоянию на 2006 год, об этой работе отчитались лишь отдельные канцелярии, и ощущается явный недостаток конкретной информации, касающейся дальнейших задач и приоритетов. В этом отношении немало предстоит сделать. С целью активизации этих усилий министерство предоставило Северному феминистскому университету средства для организации подготовки сотрудников канцелярии областных губернаторов по вопросам выполнения их профессиональных обязанностей по активному поощрению гендерного равенства в их роли консультантов муниципалитетов. Программа профессиональной подготовки проводится в различных учреждениях и предлагается как руководителям, так и рядовым сотрудникам. Проект планируется завершить в начале осени 2006 года. Министерство надеется, что благодаря принятым мерам повысится эффективность работы и улучшится система отчетности по этому направлению деятельности, при этом оно намерено осуществлять тщательный мониторинг отчетов, с тем чтобы в случае необходимости своевременно принять дополнительные меры для наращивания потенциала.</w:t>
      </w:r>
    </w:p>
    <w:p w:rsidR="003E3ADF" w:rsidRDefault="003E3ADF">
      <w:pPr>
        <w:ind w:left="709"/>
        <w:rPr>
          <w:i/>
        </w:rPr>
      </w:pPr>
      <w:r>
        <w:rPr>
          <w:i/>
        </w:rPr>
        <w:t>Вопросы гендерного равенства в муниципальном планировании</w:t>
      </w:r>
    </w:p>
    <w:p w:rsidR="003E3ADF" w:rsidRDefault="003E3ADF">
      <w:pPr>
        <w:ind w:left="709"/>
      </w:pPr>
      <w:r>
        <w:t>В 2004–2005 годах Норвежская ассоциация местных и региональных властей (КС), объединяющая в своих рядах группы, представляющие особые интересы, и организации работодателей муниципального сектора, осуществила проект, направленный на учет вопросов гендерного равенства в плановой деятельности муниципалитетов (</w:t>
      </w:r>
      <w:r>
        <w:rPr>
          <w:i/>
        </w:rPr>
        <w:t>Likestilling in kommunalt planarbeid</w:t>
      </w:r>
      <w:r>
        <w:t xml:space="preserve"> ). Целью проекта являлось повышение мотивации и приобретение опыта в работе по поощрению гендерного равенства и создание основы для целенаправленной систематической деятельности по содействию гендерному равенству в рамках муниципалитетов.</w:t>
      </w:r>
    </w:p>
    <w:p w:rsidR="003E3ADF" w:rsidRDefault="003E3ADF">
      <w:pPr>
        <w:ind w:left="709"/>
      </w:pPr>
      <w:r>
        <w:t>Опираясь на три различные сетевые структуры, 10 муниципалитетов выступили инициаторами 20 различных проектов, направленных на обеспечение гендерного равенства в различных областях своей деятельности. Были проведены дискуссии по вопросам концентрации усилий на обеспечении гендерного равенства в муниципальных советах и муниципальных исполнительных комитетах, подготовлены документы стратегического характера, которые должны служить основой для мероприятий по обеспечению гендерного равенства на муниципальном уровне планирования, была проведена работа по муниципальному планированию с участием женщин и мужчин, и разработаны планы по более широкому привлечению мужчин к работе в детских дошкольных учреждениях, рассмотрены вопросы равной оплаты и использования труда занятых неполный рабочий день, рассмотрена и проанализирована работа одной из школьных библиотек в контексте гендерной тематики, а также силами сотрудников одного из дошкольных учреждений было осуществлено исследование методов, посредством которых они общаются с девочками и мальчиками. Эти меры позволили накопить практический опыт и ценные знания о различных путях оказания содействия гендерному равенству, а также о необходимых предпосылках успешного достижения этой цели. В рамках проекта был создан веб-сайт (</w:t>
      </w:r>
      <w:hyperlink r:id="rId12" w:history="1">
        <w:r>
          <w:rPr>
            <w:rStyle w:val="Hyperlink"/>
            <w:color w:val="auto"/>
            <w:szCs w:val="28"/>
          </w:rPr>
          <w:t>www.likestillingsaktiviteter.no</w:t>
        </w:r>
      </w:hyperlink>
      <w:r>
        <w:t xml:space="preserve">), а также подготовлен доклад и методическое пособие. Для осуществления этого проекта КС привлекла Северный феминистский университет и </w:t>
      </w:r>
      <w:r>
        <w:rPr>
          <w:caps/>
        </w:rPr>
        <w:t>и</w:t>
      </w:r>
      <w:r>
        <w:t>нформационный центр Фредриккес Хаге, специализирующийся на гендерной проблематике.</w:t>
      </w:r>
    </w:p>
    <w:p w:rsidR="003E3ADF" w:rsidRDefault="003E3ADF">
      <w:pPr>
        <w:keepNext/>
        <w:tabs>
          <w:tab w:val="clear" w:pos="1361"/>
          <w:tab w:val="right" w:pos="567"/>
          <w:tab w:val="left" w:pos="680"/>
          <w:tab w:val="left" w:pos="1247"/>
        </w:tabs>
        <w:ind w:left="709" w:hanging="709"/>
      </w:pPr>
      <w:r>
        <w:tab/>
        <w:t>1.1.5</w:t>
      </w:r>
      <w:r>
        <w:tab/>
        <w:t>Статья 2е</w:t>
      </w:r>
    </w:p>
    <w:p w:rsidR="003E3ADF" w:rsidRDefault="003E3ADF">
      <w:pPr>
        <w:ind w:left="709"/>
      </w:pPr>
      <w:r>
        <w:t>Закон о равенстве полов запрещает дискриминацию во всех сферах общества, включая трудовую и общественную деятельность. Исключение предусматривается для внутренних вопросов, касающихся религиозных общин. Это исключение относится к статье 2 Конституции Норвегии, в которой закреплена свобода вероисповедания. Исключение не выходит за рамки вопросов, тесно связанных с фактическим отправлением религиозных культов, и на него нельзя ссылаться в связи с деятельностью религиозных общин, носящей социальный, гуманитарный или иной аналогичный характер. Содержащееся в разделе 2 Закона о равенстве полов исключение касается также Норвежской церкви (государственной церкви). Вопрос о том, следует ли применять это исключение к государственной церкви, является в последние годы предметом постоянных дискуссий. Осенью 2005 года нынешнее правительство (второй срок правительства Столтенберга) в своей Правительственной декларации заявило о том, что оно намерено изучить вопрос о возможности изъятия положения, устанавливающего упомянутое исключение. В таком случае этот вопрос будет рассматриваться в связи с положением об аналогичном исключении, предусмотренном в Законе об условиях труда, которое касается найма лиц, состоящих в отношениях гомосексуального партнерства и проживающих в религиозных общинах.</w:t>
      </w:r>
    </w:p>
    <w:p w:rsidR="003E3ADF" w:rsidRDefault="003E3ADF">
      <w:pPr>
        <w:keepNext/>
        <w:tabs>
          <w:tab w:val="clear" w:pos="1361"/>
          <w:tab w:val="right" w:pos="567"/>
          <w:tab w:val="left" w:pos="680"/>
          <w:tab w:val="left" w:pos="1247"/>
        </w:tabs>
        <w:ind w:left="709" w:hanging="709"/>
      </w:pPr>
      <w:r>
        <w:tab/>
        <w:t>1.1.6</w:t>
      </w:r>
      <w:r>
        <w:tab/>
        <w:t>Статья 2f и 2g</w:t>
      </w:r>
    </w:p>
    <w:p w:rsidR="003E3ADF" w:rsidRDefault="003E3ADF">
      <w:pPr>
        <w:ind w:left="709"/>
      </w:pPr>
      <w:r>
        <w:t xml:space="preserve">Эти вопросы были рассмотрены в более подробных тематических докладах, </w:t>
      </w:r>
      <w:r>
        <w:rPr>
          <w:spacing w:val="-3"/>
        </w:rPr>
        <w:t>касающихся статей </w:t>
      </w:r>
      <w:r>
        <w:t>3–16.</w:t>
      </w:r>
    </w:p>
    <w:p w:rsidR="003E3ADF" w:rsidRDefault="003E3ADF">
      <w:pPr>
        <w:keepNext/>
        <w:tabs>
          <w:tab w:val="clear" w:pos="1361"/>
          <w:tab w:val="right" w:pos="567"/>
          <w:tab w:val="left" w:pos="680"/>
          <w:tab w:val="left" w:pos="1247"/>
        </w:tabs>
        <w:ind w:left="709" w:hanging="709"/>
        <w:rPr>
          <w:b/>
          <w:bCs/>
        </w:rPr>
      </w:pPr>
      <w:r>
        <w:rPr>
          <w:b/>
          <w:bCs/>
        </w:rPr>
        <w:tab/>
        <w:t>1.2</w:t>
      </w:r>
      <w:r>
        <w:rPr>
          <w:b/>
          <w:bCs/>
        </w:rPr>
        <w:tab/>
        <w:t>Статья 3.  Гендерное равенство и права человека</w:t>
      </w:r>
    </w:p>
    <w:p w:rsidR="003E3ADF" w:rsidRDefault="003E3ADF">
      <w:pPr>
        <w:ind w:left="709"/>
      </w:pPr>
      <w:r>
        <w:t xml:space="preserve">В период 2002–2005 годов правительство приняло несколько национальных планов действий, в частности, касающихся усилий по улучшению положения в области прав человека, в частности прав женщин. Эти планы действий включают предложенную в 2003 году программу международных мероприятий правительства в области борьбы с калечащими операциями на женских половых органах и план действий по борьбе против торговли людьми и детьми на 2003–2005 годы, который получил дальнейшее развитие в новом плане действий, разработанном на период 2005–2008 годов. Оба этих плана, а также усилия по борьбе с насилием в семье рассматриваются в разделе, </w:t>
      </w:r>
      <w:r>
        <w:rPr>
          <w:spacing w:val="-3"/>
        </w:rPr>
        <w:t>касающемся статьи </w:t>
      </w:r>
      <w:r>
        <w:t xml:space="preserve">6. Усилия по недопущению принудительных браков излагаются в части, посвященной </w:t>
      </w:r>
      <w:r>
        <w:rPr>
          <w:spacing w:val="-3"/>
        </w:rPr>
        <w:t>статье </w:t>
      </w:r>
      <w:r>
        <w:t>16.</w:t>
      </w:r>
    </w:p>
    <w:p w:rsidR="003E3ADF" w:rsidRDefault="003E3ADF">
      <w:pPr>
        <w:ind w:left="709"/>
        <w:rPr>
          <w:i/>
        </w:rPr>
      </w:pPr>
      <w:r>
        <w:rPr>
          <w:i/>
        </w:rPr>
        <w:t>Нормативное регулирование и положение в сфере реализации прав человека в ряде областей</w:t>
      </w:r>
    </w:p>
    <w:p w:rsidR="003E3ADF" w:rsidRDefault="003E3ADF">
      <w:pPr>
        <w:ind w:left="709"/>
      </w:pPr>
      <w:r>
        <w:t>Весной 2003 года правительство представило в одельстинг Предложение № 45 (2002–2003 годы) относительно включения в норвежское законодательство Конвенции Организации Объединенных Наций по правам ребенка. В июне 2003 года стортинг проголосовал за включение этой Конвенции в норвежское законодательство, добавив ее к перечню конвенций по правам человека, которые в соответствии с Законом о правах человека (Закон № 30 от 21 мая 1999 года) применяются как норвежский закон. Эта законодательная поправка вступила в силу 1 октября 2003 года. В то же время были приняты поправки к таким законодательным документам, как Закон о детях, Закон о благосостоянии детей и Закон об усыновлении, с тем чтобы отразить положения статьи 12 Конвенции о правах ребенка, касающейся права ребенка быть заслушанным в ходе любого разбирательства. Дети, достигшие 7-летнего возраста, а также дети младше 7 лет, которые в состоянии сформировать свое собственное мнение, должны быть проинформированы о происходящем и иметь возможность высказать свое мнение перед тем, как будет принято решение, затрагивающее их интересы.</w:t>
      </w:r>
    </w:p>
    <w:p w:rsidR="003E3ADF" w:rsidRDefault="003E3ADF">
      <w:pPr>
        <w:ind w:left="709"/>
      </w:pPr>
      <w:r>
        <w:t xml:space="preserve">Норвежские власти приняли участие в подготовке и проведении специальной сессии Организации Объединенных Наций по положению детей, состоявшейся 8–10 мая 2002 года. Дети, молодые люди и добровольческие организации также принимали участие в этом процессе, который завершился изданием книги </w:t>
      </w:r>
      <w:r>
        <w:rPr>
          <w:iCs/>
          <w:szCs w:val="24"/>
        </w:rPr>
        <w:t xml:space="preserve">под названием </w:t>
      </w:r>
      <w:r>
        <w:rPr>
          <w:i/>
          <w:szCs w:val="24"/>
        </w:rPr>
        <w:t xml:space="preserve">Hallo, er det noen der? </w:t>
      </w:r>
      <w:r>
        <w:t xml:space="preserve">("Вы нас слышите?"). Одна из тем этой книги была посвящена молодым людям, ставшим жертвами сексуального насилия. В качестве меры по выполнению решений специальной сессии был разработан и в январе 2004 года направлен в ООН Национальный план действий, озаглавленный "Деятельность Норвегии по выполнению решений специальной сессии Организации Объединенных Наций по положению детей". План действий включает 10 основных целей, в том числе расширение участия и повышение роли детей в общественной жизни, содействие социальной интеграции детей и молодых людей с ограниченными возможностями, а также меры по активизации сотрудничества в интересах развития с целью более полной реализации прав детей на здоровье, образование и защиту и осуществления программ по борьбе с эпидемией ВИЧ/СПИДа.   </w:t>
      </w:r>
    </w:p>
    <w:p w:rsidR="003E3ADF" w:rsidRDefault="003E3ADF">
      <w:pPr>
        <w:ind w:left="709"/>
        <w:rPr>
          <w:spacing w:val="-3"/>
        </w:rPr>
      </w:pPr>
      <w:r>
        <w:t>В шестом периодическом докладе</w:t>
      </w:r>
      <w:r>
        <w:rPr>
          <w:spacing w:val="-3"/>
        </w:rPr>
        <w:t xml:space="preserve"> Норвегии отмечалось, что норвежские власти уделяют особое внимание женщинам-иммигрантам. В целях борьбы с дискриминацией по признаку этнической принадлежности и вероисповедания 3 июня 2005 года был принят Закон № 33 о запрещении дискриминации по признаку этнической принадлежности, вероисповедания и т. д. (Антидискриминационный закон). Принятый стортингом Закон отвечает требованиям, предусмотренным в Директиве Совета ЕС 2000/43/ЕС о применении принципа равного обращения с людьми, независимо от расового или этнического происхождения, и Директиве Совета ЕС 2000/78/ЕF, устанавливающей общие принципы равного обращения в сфере трудовых отношений. </w:t>
      </w:r>
      <w:r>
        <w:t>Закон запрещает дискриминацию</w:t>
      </w:r>
      <w:r>
        <w:rPr>
          <w:spacing w:val="-3"/>
        </w:rPr>
        <w:t xml:space="preserve"> по признаку этнической и национальной принадлежности, происхождения, цвета кожи, языка, религии или вероисповедания. Прямая или косвенная дискриминация по вышеупомянутым признакам запрещена. Этот запрет распространяется на преследование и побуждение к дискриминации или преследованию либо использованию отрицательной реакции (возмездия) в отношении лица, подавшего жалобу в связи с дискриминацией. Закон охватывает все сферы жизни общества, включая трудовую деятельность и рынок жилья. </w:t>
      </w:r>
    </w:p>
    <w:p w:rsidR="003E3ADF" w:rsidRDefault="003E3ADF">
      <w:pPr>
        <w:ind w:left="709"/>
        <w:rPr>
          <w:spacing w:val="-3"/>
        </w:rPr>
      </w:pPr>
      <w:r>
        <w:rPr>
          <w:spacing w:val="-3"/>
        </w:rPr>
        <w:t xml:space="preserve">В соответствии с вышеупомянутыми Директивами Совета Европейского союза, Закон также включает положения, касающиеся совместного бремени доказывания, а также санкции, обеспечивающие эффективность указанного запрета. Совместное бремя доказывания означает, что в тех случаях, когда есть основания предполагать, что имела место дискриминация, лицо, на которое подана жалоба, должно, на основе соотношения вероятностей, доказать, что не было совершено никакого акта дискриминации в нарушение указанного Закона. Нарушение запрета может привести к выдвижению иска о возмещении ущерба и компенсации финансовых убытков. </w:t>
      </w:r>
    </w:p>
    <w:p w:rsidR="003E3ADF" w:rsidRDefault="003E3ADF">
      <w:pPr>
        <w:ind w:left="709"/>
      </w:pPr>
      <w:r>
        <w:rPr>
          <w:spacing w:val="-3"/>
        </w:rPr>
        <w:t xml:space="preserve">Конвенция Организации Объединенных Наций о ликвидации всех форм расовой дискриминации была осуществлена путем включения ее в </w:t>
      </w:r>
      <w:r>
        <w:t>норвежское законодательство</w:t>
      </w:r>
      <w:r>
        <w:rPr>
          <w:spacing w:val="-3"/>
        </w:rPr>
        <w:t xml:space="preserve"> посредством Антидискриминационного з</w:t>
      </w:r>
      <w:r>
        <w:t>акона</w:t>
      </w:r>
      <w:r>
        <w:rPr>
          <w:spacing w:val="-3"/>
        </w:rPr>
        <w:t xml:space="preserve">, что укрепило ее статус в </w:t>
      </w:r>
      <w:r>
        <w:t xml:space="preserve">норвежском законодательстве. Как ожидается, такой вариант имплементации </w:t>
      </w:r>
      <w:r>
        <w:rPr>
          <w:spacing w:val="-3"/>
        </w:rPr>
        <w:t>Конвенци</w:t>
      </w:r>
      <w:r>
        <w:t xml:space="preserve">и будет иметь большое значение как в национальном, так и в международном масштабе. </w:t>
      </w:r>
    </w:p>
    <w:p w:rsidR="003E3ADF" w:rsidRDefault="003E3ADF">
      <w:pPr>
        <w:ind w:left="709"/>
        <w:rPr>
          <w:spacing w:val="-3"/>
        </w:rPr>
      </w:pPr>
      <w:r>
        <w:t>Вместе с</w:t>
      </w:r>
      <w:r>
        <w:rPr>
          <w:spacing w:val="-3"/>
        </w:rPr>
        <w:t xml:space="preserve"> Антидискриминационным законом стортинг принял поправки к разделу 135 Уголовного кодекса, в которых в более четких формулировках подчеркивается неприемлемость оскорбительных расистских высказываний, подпадающих под действие вышеупомянутого положения. </w:t>
      </w:r>
    </w:p>
    <w:p w:rsidR="003E3ADF" w:rsidRDefault="003E3ADF">
      <w:pPr>
        <w:ind w:left="709"/>
        <w:rPr>
          <w:spacing w:val="-3"/>
        </w:rPr>
      </w:pPr>
      <w:r>
        <w:t xml:space="preserve">В этом году завершается реализация Правительственного плана действий по </w:t>
      </w:r>
      <w:r>
        <w:rPr>
          <w:spacing w:val="-3"/>
        </w:rPr>
        <w:t>борьбе с расизмом и дискриминацией</w:t>
      </w:r>
      <w:r>
        <w:t xml:space="preserve"> (2002–2006 годы). Помимо прочего, этот План действий является мероприятием, разработанным для выполнения решений Всемирной конференции по борьбе против расизма, состоявшейся в Южной Африке в сентябре 2001 года. План охватывает меры по борьбе с </w:t>
      </w:r>
      <w:r>
        <w:rPr>
          <w:spacing w:val="-3"/>
        </w:rPr>
        <w:t>дискриминацией для коренных народов, национальных меньшинств и выходцев из иммигрантской среды. Предусмотренные Планом меры ориентированы на сферу трудовых отношений и государственные службы, школы/образование, полицию/органы уголовного преследования/суды, документацию и контроль, интернет, местные общины, а также на усиление механизмов правовой защиты против дискриминации по этническому признаку. Учет гендерной тематики является неотъемлемой частью мер, предусмотренных Планом. Доклад о ходе выполнения Плана показывает, что, по состоянию на 1 июня 2005 года, почти все предусмотренные Планом программы осуществлены или находятся в стадии осуществления. Был инициирован ряд мероприятий по обеспечению кризисных центров и местных служб социального обеспечения специалистами и информацией о потребностях женщин-иммигрантов, ставших жертвами насилия. Кроме того, оказывается поддержка усилиям по проведению профилактической работы с семьями из числа меньшинств. Новый доклад о ходе выполнения Плана и внутриведомственная оценка Плана действий будут подготовлены в 2006 году перед принятием решения о дальнейших мерах (см. также материал, касающийся статьи 6).</w:t>
      </w:r>
    </w:p>
    <w:p w:rsidR="003E3ADF" w:rsidRDefault="003E3ADF">
      <w:pPr>
        <w:ind w:left="709"/>
        <w:rPr>
          <w:spacing w:val="-3"/>
        </w:rPr>
      </w:pPr>
      <w:r>
        <w:rPr>
          <w:spacing w:val="-3"/>
        </w:rPr>
        <w:t>В остальном можно сослаться на шестой периодический доклад Норвегии и на информацию, касающуюся осуществления Закона об иммиграции и преследований по признаку пола, которая по-прежнему актуальна и при нынешней системе. В 2002 году Министерство по вопросам местного управления и регионального развития привлекло Университет Осло к подготовке научного доклада, главное темой которого был анализ дел о предоставлении убежища и других вопросов с точки зрения гендерного подхода. Этот научный доклад помог привлечь внимание широкой общественности к делам, в рамках которых преследования по признаку пола рассматриваются в качестве основания для предоставления убежища. Статистические данные показывают, что в настоящее время в Норвегии статус беженцев предоставляется женщинам намного чаще, чем раньше.</w:t>
      </w:r>
    </w:p>
    <w:p w:rsidR="003E3ADF" w:rsidRDefault="003E3ADF">
      <w:pPr>
        <w:ind w:left="709"/>
        <w:rPr>
          <w:spacing w:val="-3"/>
        </w:rPr>
      </w:pPr>
      <w:r>
        <w:rPr>
          <w:spacing w:val="-3"/>
        </w:rPr>
        <w:t xml:space="preserve">14 декабря 2001 года правительство назначило законодательный комитет по подготовке доклада и предложений в отношении нового Закона об иммиграции (Комитет по Закону об иммиграции). Комитету было поручено изучить вопрос о том, существует ли необходимость укрепления правового положения женщин в области иммиграции, например в связи с подачей ходатайства о предоставлении убежища или просьбы о выдаче вида на жительство в Норвегии, обусловленной иными причинами. 19 октября 2004 года Комитет по Закону об иммиграции представил свои рекомендации в докладе, озаглавленном </w:t>
      </w:r>
      <w:r>
        <w:rPr>
          <w:i/>
          <w:szCs w:val="24"/>
        </w:rPr>
        <w:t xml:space="preserve">NOU 2004: 20 Ny utlendingslov </w:t>
      </w:r>
      <w:r>
        <w:rPr>
          <w:spacing w:val="-3"/>
        </w:rPr>
        <w:t>("Официальный доклад Норвегии 2004: 20 Новый норвежский закон об иммиграции").</w:t>
      </w:r>
    </w:p>
    <w:p w:rsidR="003E3ADF" w:rsidRDefault="003E3ADF">
      <w:pPr>
        <w:ind w:left="709"/>
        <w:rPr>
          <w:spacing w:val="-3"/>
        </w:rPr>
      </w:pPr>
      <w:r>
        <w:rPr>
          <w:spacing w:val="-3"/>
        </w:rPr>
        <w:t>В докладе Комитета, в частности, подробно обсуждаются гендерные аспекты, связанные с определением статуса беженца, и особо рассматриваются проблемы насилия в семье, принудительных браков, а также практика калечащих операций на женских половых органах. По мнению Комитета, до определенного предела конкретные проблемы в этой области можно эффективно решать посредством законодательных мер, однако в дальнейшем для регулирования практической деятельности могут потребоваться более подробные национальные руководящие принципы, о разработке которых следует думать уже сейчас.</w:t>
      </w:r>
    </w:p>
    <w:p w:rsidR="003E3ADF" w:rsidRDefault="003E3ADF">
      <w:pPr>
        <w:ind w:left="709"/>
        <w:rPr>
          <w:spacing w:val="-3"/>
        </w:rPr>
      </w:pPr>
      <w:r>
        <w:rPr>
          <w:spacing w:val="-3"/>
        </w:rPr>
        <w:t>Проблемы принудительных браков и жестокого обращения или циничной эксплуатации женщин из более бедных стран, которые выходят замуж за мужчин, проживающих в Норвегии, рассматриваются также в контексте семейной иммиграции, и Комитет предлагает конкретные меры по борьбе с этими явлениями.</w:t>
      </w:r>
    </w:p>
    <w:p w:rsidR="003E3ADF" w:rsidRDefault="003E3ADF">
      <w:pPr>
        <w:ind w:left="709"/>
        <w:rPr>
          <w:spacing w:val="-3"/>
        </w:rPr>
      </w:pPr>
      <w:r>
        <w:rPr>
          <w:spacing w:val="-3"/>
        </w:rPr>
        <w:t>Доклад был распространен с целью получения консультативных комментариев, которые должны быть представлены до установленного срока 1 июля 2005 года. Правительство намерено представить в стортинг законопроект, разработанный на основе предложений Комитета по Закону об иммиграции и мнений консультативных органов. Некоторые из предложений, касающихся мер защиты от принудительных браков и насилия в браке, уже реализованы в нынешнем Законе об иммиграции (см. более подробно в материалах к статье 6, касающихся насилия, и статье 16, касающихся принудительных браков).</w:t>
      </w:r>
    </w:p>
    <w:p w:rsidR="003E3ADF" w:rsidRDefault="003E3ADF">
      <w:pPr>
        <w:ind w:left="709"/>
        <w:rPr>
          <w:i/>
          <w:spacing w:val="-3"/>
        </w:rPr>
      </w:pPr>
      <w:r>
        <w:rPr>
          <w:i/>
          <w:spacing w:val="-3"/>
        </w:rPr>
        <w:t>Улучшение положения женщин и обеспечение гендерного равенства как первоочередные задачи во внешней политике Норвегии и ее политике в области сотрудничества в целях развития</w:t>
      </w:r>
    </w:p>
    <w:p w:rsidR="003E3ADF" w:rsidRDefault="003E3ADF">
      <w:pPr>
        <w:ind w:left="709"/>
        <w:rPr>
          <w:spacing w:val="-3"/>
        </w:rPr>
      </w:pPr>
      <w:r>
        <w:rPr>
          <w:spacing w:val="-3"/>
        </w:rPr>
        <w:t>Вопросы прав человека, в том числе гендерное равенство и права женщин, являются приоритетными направлениями внешней политики Норвегии и ее политики в области сотрудничества в целях развития. В политической платформе правительства (Декларация Сориа Мориа 2005 года) стратегия по обеспечению прав женщин и гендерного равенства в области сотрудничества в целях развития определена в качестве одного из четырех основополагающих компонентов, определяющих политический курс развития страны, наряду с добычей нефти и энергоресурсов, защитой окружающей среды и обеспечением мира и примирения. Это соответствует обязательствам по улучшению координации по оказанию помощи в целях развития, взятым на себя Норвегией в соответствии с Парижской декларацией (2005 года). Вопросы обеспечения прав женщин и гендерного равенства являются той областью, в которой Норвегия имеет особые преимущества по сравнению с другими странами. К концу 2006 года правительство приступит к осуществлению нового Плана действий в интересах женщин и равенства полов в области сотрудничества в целях развития, который заменит Стратегию в интересах женщин и равенства полов в области сотрудничества в целях развития (1997–2005 годы).</w:t>
      </w:r>
    </w:p>
    <w:p w:rsidR="003E3ADF" w:rsidRDefault="003E3ADF">
      <w:pPr>
        <w:keepNext/>
        <w:ind w:left="709"/>
        <w:rPr>
          <w:i/>
          <w:iCs/>
          <w:spacing w:val="-3"/>
        </w:rPr>
      </w:pPr>
      <w:r>
        <w:rPr>
          <w:i/>
          <w:iCs/>
          <w:spacing w:val="-3"/>
        </w:rPr>
        <w:t>Проблемы</w:t>
      </w:r>
    </w:p>
    <w:p w:rsidR="003E3ADF" w:rsidRDefault="003E3ADF">
      <w:pPr>
        <w:ind w:left="709"/>
        <w:rPr>
          <w:spacing w:val="-3"/>
        </w:rPr>
      </w:pPr>
      <w:r>
        <w:rPr>
          <w:spacing w:val="-3"/>
        </w:rPr>
        <w:t>В 2005 году началась работа по оценке Стратегии в интересах женщин и равенства полов в области сотрудничества в целях развития (1997–2005 годы). Основное внимание уделялось двустороннему сотрудничеству в целях развития, на которое в целом приходится менее 20 процентов общего объема помощи в целях развития. Результаты этой оценки были представлены в 2006 году. Данные отчета показали, что политические цели сотрудничества в интересах развития были сформулированы с учетом гендерного фактора и что задачи по обеспечению прав женщин и содействию гендерному равенству особо выделены в программных и страновых документах в качестве стержневых проблем. Тем не менее существуют многочисленные трудности в области институционализации принципа гендерного равенства.</w:t>
      </w:r>
    </w:p>
    <w:p w:rsidR="003E3ADF" w:rsidRDefault="003E3ADF">
      <w:pPr>
        <w:ind w:left="709"/>
        <w:rPr>
          <w:spacing w:val="-3"/>
        </w:rPr>
      </w:pPr>
      <w:r>
        <w:rPr>
          <w:spacing w:val="-3"/>
        </w:rPr>
        <w:t xml:space="preserve">Тематика прав женщин и гендерного равенства становится все менее заметной в программном цикле планирования, осуществления, отчетности и оценки. Проведенная оценка также продемонстрировала, что в области сотрудничества в целях развития Норвегия выделяет недостаточно кадровых ресурсов на решение вопросов, связанных с реализацией упомянутой стратегии, содействием улучшению положения женщин и поддержкой мер по обеспечению гендерного равенства. </w:t>
      </w:r>
    </w:p>
    <w:p w:rsidR="003E3ADF" w:rsidRDefault="003E3ADF">
      <w:pPr>
        <w:ind w:left="709"/>
        <w:rPr>
          <w:spacing w:val="-3"/>
        </w:rPr>
      </w:pPr>
      <w:r>
        <w:rPr>
          <w:spacing w:val="-3"/>
        </w:rPr>
        <w:t xml:space="preserve">Новая организационная структура и направленность программ помощи в целях развития (новые условия предоставления помощи) нашли отражение в расширенном использовании бюджетных средств и повышении степени координации. Это означает, что в отношениях со странами-партнерами заниматься этой проблематикой стало труднее. Поэтому в своем диалоге со странами-партнерами Норвегия должна более эффективно привлекать внимание к проблеме обеспечения гендерного равенства и защиты прав женщин. Это еще более важно в ситуациях, когда затрагиваются макроэкономические проблемы. Норвегия будет добиваться, чтобы ее партнеры по сотрудничеству, будь то правительства, международные учреждения или неправительственные организации, серьезно относились к вопросам обеспечения прав женщин и равенства полов. Страны – партнеры Норвегии подписали Конвенцию о ликвидации всех форм дискриминации в отношении женщин, и Норвегия будет предпринимать активные усилия к тому, чтобы содействовать созданию в этих странах возможностей для выполнения их международных обязательств по обеспечению прав женщин. </w:t>
      </w:r>
    </w:p>
    <w:p w:rsidR="003E3ADF" w:rsidRDefault="003E3ADF">
      <w:pPr>
        <w:ind w:left="709"/>
        <w:rPr>
          <w:i/>
          <w:iCs/>
          <w:spacing w:val="-3"/>
        </w:rPr>
      </w:pPr>
      <w:r>
        <w:rPr>
          <w:i/>
          <w:iCs/>
          <w:spacing w:val="-3"/>
        </w:rPr>
        <w:t xml:space="preserve">Новая кампания </w:t>
      </w:r>
    </w:p>
    <w:p w:rsidR="003E3ADF" w:rsidRDefault="003E3ADF">
      <w:pPr>
        <w:ind w:left="709"/>
        <w:rPr>
          <w:spacing w:val="-3"/>
        </w:rPr>
      </w:pPr>
      <w:r>
        <w:rPr>
          <w:spacing w:val="-3"/>
        </w:rPr>
        <w:t>Правительство намерено уделять все большее внимание мерам по содействию гендерному равенству в области сотрудничества в целях развития. В рамках этой кампании будет проводиться двоякая стратегия. Во-первых, аспекты гендерной тематики и равенства полов будут включаться в каждую область сотрудничества в целях развития и в процессе формулирования внешней политики (учет гендерной проблематики). Во-вторых, будет делаться упор на меры, специально разработанные в целях обеспечения прав женщин и гендерного равенства, в особенности в тех областях, где неравенство между положением женщин и мужчин столь велико, что учет гендерных факторов не принесет желаемых результатов (целевое планирование). Кроме того, Норвегия будет активно поддерживать принцип равного представительства женщин и мужчин в ее собственных делегациях и будет принимать меры к увеличению представительства женщин на двусторонних и многосторонних форумах, занимающихся принятием решений (обеспечение справедливости).</w:t>
      </w:r>
    </w:p>
    <w:p w:rsidR="003E3ADF" w:rsidRDefault="003E3ADF">
      <w:pPr>
        <w:ind w:left="709"/>
        <w:rPr>
          <w:spacing w:val="-3"/>
        </w:rPr>
      </w:pPr>
      <w:r>
        <w:rPr>
          <w:spacing w:val="-3"/>
        </w:rPr>
        <w:t>В качестве свидетельства постоянно растущего внимания Норвегии к положению женщин и вопросам гендерного равенства было принято решение о разработке трехгодичного проекта по гендерной проблематике и обеспечению равенства полов в области сотрудничества в целях развития в норвежском Министерстве иностранных дел, реализация которого начнется в 2006 году. Техническое подразделение министерства, НОРАД, также разработает отдельный проект в этой области. Целью этих мер является повышение информированности сотрудников министерства и зарубежных представительств Норвегии в отношении гендерной проблематики и вопросов обеспечения прав женщин, а также осуществление усилий по поддержке и активизации процессов учета гендерных аспектов в деятельности министерства и зарубежных представительств. Необходимо повысить профессионализм и квалификацию сотрудников, укрепить механизмы учета и регистрации и недвусмысленным образом возложить ответственность на старший руководящий состав.</w:t>
      </w:r>
    </w:p>
    <w:p w:rsidR="003E3ADF" w:rsidRDefault="003E3ADF">
      <w:pPr>
        <w:ind w:left="709"/>
        <w:rPr>
          <w:spacing w:val="-3"/>
        </w:rPr>
      </w:pPr>
      <w:r>
        <w:rPr>
          <w:spacing w:val="-3"/>
        </w:rPr>
        <w:t>Занимающаяся проектом группа Министерства иностранных дел будет также нести ответственность за разработку нового Плана действий в интересах женщин и равенства полов в области сотрудничества в целях развития. Особое внимание в этом Плане действий будет уделено обеспечению прав (политических, экономических, культурных и гражданских). Он будет включать конкретные хорошо продуманные меры, направленные на масштабное, поддающееся оценке внедрение гендерного подхода во все сферы деятельности, с четким указанием тематических первоочередных задач, распределением ответственности и сосредоточением усилий на развитии людских ресурсов и наращивании потенциала. Он будет содержать конкретные, поддающиеся измерению показатели оценки степени учета гендерных аспектов в области сотрудничества в целях развития, а также целевые мероприятия по содействию достижению этой цели.</w:t>
      </w:r>
    </w:p>
    <w:p w:rsidR="003E3ADF" w:rsidRDefault="003E3ADF">
      <w:pPr>
        <w:ind w:left="709"/>
        <w:rPr>
          <w:spacing w:val="-3"/>
        </w:rPr>
      </w:pPr>
      <w:r>
        <w:rPr>
          <w:spacing w:val="-3"/>
        </w:rPr>
        <w:t xml:space="preserve">Кроме того, предусматривается уделять больше внимания обеспечению прав женщин и гендерного равенства при предоставлении грантов. В новых посланиях о выделении многолетней финансовой помощи от учреждений системы Организации Объединенных Наций содержатся требования о предоставлении отчетности в отношении положения женщин и ситуации в области гендерного равенства. В системе управления другими механизмами финансирования были также введены более жесткие критерии отчетности по этой проблематике. </w:t>
      </w:r>
    </w:p>
    <w:p w:rsidR="003E3ADF" w:rsidRDefault="003E3ADF">
      <w:pPr>
        <w:ind w:left="709"/>
        <w:rPr>
          <w:i/>
          <w:iCs/>
          <w:spacing w:val="-3"/>
        </w:rPr>
      </w:pPr>
      <w:r>
        <w:rPr>
          <w:i/>
          <w:iCs/>
          <w:spacing w:val="-3"/>
        </w:rPr>
        <w:t>Интеграция на политическом уровне</w:t>
      </w:r>
    </w:p>
    <w:p w:rsidR="003E3ADF" w:rsidRDefault="003E3ADF">
      <w:pPr>
        <w:ind w:left="709"/>
        <w:rPr>
          <w:spacing w:val="-3"/>
        </w:rPr>
      </w:pPr>
      <w:r>
        <w:rPr>
          <w:spacing w:val="-3"/>
        </w:rPr>
        <w:t>В период 2002–2005 годов правительство приняло несколько национальных планов действий, в которых усилия по содействию осуществлению прав человека, в частности прав женщин, занимали особое место. В их числе следует отметить программу международных усилий правительства по борьбе с калечащими операциями на женских</w:t>
      </w:r>
      <w:r>
        <w:t xml:space="preserve"> половых органах, реализация которой началась в 2003 году, </w:t>
      </w:r>
      <w:r>
        <w:rPr>
          <w:spacing w:val="-3"/>
        </w:rPr>
        <w:t>и План действий по борьбе с торговлей женщинами и детьми (2003–2005 годы), осуществление которого было продлено в форме нового плана действий на 2005–2008 годы.</w:t>
      </w:r>
    </w:p>
    <w:p w:rsidR="003E3ADF" w:rsidRDefault="003E3ADF">
      <w:pPr>
        <w:ind w:left="709"/>
        <w:rPr>
          <w:spacing w:val="-3"/>
        </w:rPr>
      </w:pPr>
      <w:r>
        <w:rPr>
          <w:spacing w:val="-3"/>
        </w:rPr>
        <w:t>В 2005 году правительство приняло решение разработать национальный План действий по выполнению резолюции 1325 Совета Безопасности Организации Объединенных Наций по проблеме женщин, мира и безопасности. Этот план, осуществление которого началось в 2006 году, содержит ряд требований, которые должны выполняться всеми заинтересованными сторонами, что будет способствовать тому, что усилия Норвегии по содействию миру и безопасности будут в большей степени ориентированы на обеспечение гендерного равенства и осуществление прав женщин. План включает меры, предусматривающие более надежную защиту женщин и девочек, активное вовлечение женщин в процесс принятия решений и обеспечение большей сбалансированности состава норвежских делегаций и групп, принимающих участие в международных миротворческих операциях.</w:t>
      </w:r>
    </w:p>
    <w:p w:rsidR="003E3ADF" w:rsidRDefault="003E3ADF">
      <w:pPr>
        <w:ind w:left="709"/>
        <w:rPr>
          <w:spacing w:val="-3"/>
        </w:rPr>
      </w:pPr>
      <w:r>
        <w:rPr>
          <w:spacing w:val="-3"/>
        </w:rPr>
        <w:t>Аспекты равенства полов и проблематика прав женщин систематически включаются также в различные планы действий и стратегии. В Плане действий по борьбе с бедностью посредством развития сельского хозяйства специальный раздел посвящен роли женщин в развитии сельского хозяйства и важности мер по обеспечению прав женщин, особенно права на землевладение. Норвегия являлась также одним из инициаторов создания Комиссии Организации Объединенных Наций высокого уровня по расширению юридических прав неимущих слоев населения, которой поручено провести оценку возможного влияния на сокращение бедности мер по улучшению правовой защиты и предоставлению всем гражданам экономических возможностей (процедура формализации). Комиссия должна уделить особое внимание вопросам расширения и более эффективной защиты прав женщин в экономическом секторе.</w:t>
      </w:r>
    </w:p>
    <w:p w:rsidR="003E3ADF" w:rsidRDefault="003E3ADF">
      <w:pPr>
        <w:ind w:left="709"/>
        <w:rPr>
          <w:i/>
          <w:iCs/>
          <w:spacing w:val="-3"/>
        </w:rPr>
      </w:pPr>
      <w:r>
        <w:rPr>
          <w:i/>
          <w:iCs/>
          <w:spacing w:val="-3"/>
        </w:rPr>
        <w:t>Деятельность в области прав человека</w:t>
      </w:r>
    </w:p>
    <w:p w:rsidR="003E3ADF" w:rsidRDefault="003E3ADF">
      <w:pPr>
        <w:ind w:left="709"/>
        <w:rPr>
          <w:spacing w:val="-3"/>
        </w:rPr>
      </w:pPr>
      <w:r>
        <w:rPr>
          <w:spacing w:val="-3"/>
        </w:rPr>
        <w:t>Принимая участие в работе таких международных форумов, как Генеральная Ассамблея Организации Объединенных Наций и Комиссия Организации Объединенных Наций по правам человека, Норвегия предпринимала усилия к тому, чтобы разработать правовые нормы и обеспечить их эффективное осуществление. В выступлениях, посвященных исключительно правам женщин, упор делался на вопросы достижения гендерного равенства, запрещение дискриминации и насилия в отношении женщин. Права и возможности женщин являлись постоянными темами и при обсуждении других проблем, таких как гражданские и политические права, экономические, социальные и культурные права, а также право на образование. Кроме того, вопрос гендерного равенства поднимался Министерством иностранных дел в рамках двусторонних контактов, в частности в ходе диалогов по правам человека с Китаем и Вьетнамом. В качестве структуры, координирующей деятельность по обеспечению гендерного равенства, в широком двустороннем сотрудничестве по обмену опытом в области политики обеспечения равноправия мужчин и женщин участвует Министерство по делам детей и вопросам гендерного равенства.</w:t>
      </w:r>
    </w:p>
    <w:p w:rsidR="003E3ADF" w:rsidRDefault="003E3ADF">
      <w:pPr>
        <w:ind w:left="709"/>
        <w:rPr>
          <w:i/>
          <w:iCs/>
          <w:spacing w:val="-3"/>
        </w:rPr>
      </w:pPr>
      <w:r>
        <w:rPr>
          <w:i/>
          <w:iCs/>
          <w:spacing w:val="-3"/>
        </w:rPr>
        <w:t>Экономические права</w:t>
      </w:r>
    </w:p>
    <w:p w:rsidR="003E3ADF" w:rsidRDefault="003E3ADF">
      <w:pPr>
        <w:ind w:left="709"/>
        <w:rPr>
          <w:spacing w:val="-3"/>
        </w:rPr>
      </w:pPr>
      <w:r>
        <w:rPr>
          <w:spacing w:val="-3"/>
        </w:rPr>
        <w:t xml:space="preserve">В 2005 году в результате совместных усилий Норвегии, Соединенного Королевства и Всемирного банка в Вашингтоне была организована конференция высокого уровня, которая рассмотрела вопросы осуществления третьей цели, предусмотренной в целях в области развития Декларации тысячелетия (расширение прав и возможностей женщин), и экономических прав. В ходе конференции Всемирный банк под нажимом со стороны других участников форума принял решение активизировать свою деятельность в области улучшения положения женщин и разработать в течение ста дней план действий, предусматривающий принятие целого ряда экономических мер в защиту интересов женщин. Норвегия также намерена внести свой вклад в реализацию этого плана. Новый норвежский план действий по учету гендерного фактора и обеспечения равенства полов в области сотрудничества в целях развития будет, наряду с прочим, уделять внимание экономическим правам, включая право на владение землей и имуществом и право на их наследование, и увязывать эти права с правом на профессиональную деятельность. Норвегия оказывает существенную поддержку Целевому фонду Всемирного банка и региональных банков по учету гендерной проблематики во всех сферах деятельности и намерена делать это и впредь. Кроме того, Норвегия тесно сотрудничает с Международной организацией труда в области поощрения прав на профессиональную деятельность, включая гендерные аспекты реализации таких прав, и в будущем будет оказывать более широкую поддержку собственному Партнерскому фонду МОТ в интересах обеспечения равенства полов. </w:t>
      </w:r>
    </w:p>
    <w:p w:rsidR="003E3ADF" w:rsidRDefault="003E3ADF">
      <w:pPr>
        <w:keepNext/>
        <w:ind w:left="709"/>
        <w:rPr>
          <w:i/>
          <w:iCs/>
          <w:spacing w:val="-3"/>
        </w:rPr>
      </w:pPr>
      <w:r>
        <w:rPr>
          <w:i/>
          <w:iCs/>
          <w:spacing w:val="-3"/>
        </w:rPr>
        <w:t>Право на здоровье и репродуктивные права</w:t>
      </w:r>
    </w:p>
    <w:p w:rsidR="003E3ADF" w:rsidRDefault="003E3ADF">
      <w:pPr>
        <w:ind w:left="709"/>
        <w:rPr>
          <w:spacing w:val="-3"/>
        </w:rPr>
      </w:pPr>
      <w:r>
        <w:rPr>
          <w:spacing w:val="-3"/>
        </w:rPr>
        <w:t xml:space="preserve">Особенно важно обеспечить учет гендерных факторов в усилиях по борьбе с распространением ВИЧ/СПИДа. Доля женщин среди инфицированных постоянно растет, и женщины должны получить возможность влиять на условия своей жизни, с тем чтобы защитить себя. С 2002 года Норвегия оказывает поддержку инициативе по разработке продуктов (микробиоцидов), которые способны обеспечить защиту от ВИЧ-инфекции и которые могут контролироваться самими женщинами. Норвегия поддержала Международную инициативу в отношении вакцины против СПИДа. В целях снижения детской смертности первостепенное внимание уделяется Глобальному альянсу по вакцинам и иммунизации.   </w:t>
      </w:r>
    </w:p>
    <w:p w:rsidR="003E3ADF" w:rsidRDefault="003E3ADF">
      <w:pPr>
        <w:ind w:left="709"/>
        <w:rPr>
          <w:spacing w:val="-3"/>
        </w:rPr>
      </w:pPr>
      <w:r>
        <w:rPr>
          <w:spacing w:val="-3"/>
        </w:rPr>
        <w:t xml:space="preserve">Политика Норвегии в отношении права женщин на безопасный аборт, решение о котором принимает сама женщина, остается неизменной. В своей политической платформе правительство провозгласило обязательство вести работу на международном уровне, с тем чтобы исключить аборт из числа уголовно-наказуемых деяний. Норвегия, таким образом, будет оказывать содействие международному фонду поддержки безопасных абортов, который был создан по инициативе Международной федерации планирования семьи (МФПС). Фонд ставит своей целью оказание поддержки программам, которые лишились финансирования в результате мер по борьбе с абортами в других странах. </w:t>
      </w:r>
    </w:p>
    <w:p w:rsidR="003E3ADF" w:rsidRDefault="003E3ADF">
      <w:pPr>
        <w:ind w:left="709"/>
        <w:rPr>
          <w:i/>
          <w:spacing w:val="-3"/>
        </w:rPr>
      </w:pPr>
      <w:r>
        <w:rPr>
          <w:i/>
          <w:spacing w:val="-3"/>
        </w:rPr>
        <w:t>Осуществление резолюции 1325 Совета Безопасности Организации Объединенных Наций</w:t>
      </w:r>
    </w:p>
    <w:p w:rsidR="003E3ADF" w:rsidRDefault="003E3ADF">
      <w:pPr>
        <w:ind w:left="709"/>
        <w:rPr>
          <w:spacing w:val="-3"/>
        </w:rPr>
      </w:pPr>
      <w:r>
        <w:rPr>
          <w:spacing w:val="-3"/>
        </w:rPr>
        <w:t xml:space="preserve">В целях координации мер по выполнению плана действий, касающегося осуществления резолюции 1325 Совета Безопасности Организации Объединенных Наций, в Министерстве иностранных дел была создана специальная группа по подготовке проекта. В этой работе участвует также объединенная межминистерская группа и группа широкого состава, объединяющая представителей многочисленных НПО и исследовательских институтов. </w:t>
      </w:r>
    </w:p>
    <w:p w:rsidR="003E3ADF" w:rsidRDefault="003E3ADF">
      <w:pPr>
        <w:ind w:left="709"/>
        <w:rPr>
          <w:spacing w:val="-3"/>
        </w:rPr>
      </w:pPr>
      <w:r>
        <w:rPr>
          <w:spacing w:val="-3"/>
        </w:rPr>
        <w:t>Меры по осуществлению резолюции 1325 Совета Безопасности Организации Объединенных Наций, касающейся участия женщин в миротворческих процессах и постконфликтном восстановлении, занимают важное место в деятельности Норвегии по поддержке мира и усилий по примирению в районах различных конфликтов. Норвегия использует многосторонние учреждения в целях поощрения участия женщин в миротворческих процессах и развитии, а также в деятельности в различных миротворческих процессах, в рамках которых Норвегия исполняет роль координатора. В Южном Судане более 60 процентов населения составляют женщины, однако возможность участвовать в мирных переговорах в этой стране предоставляется лишь единицам. Посредством целого ряда конкретных мер Норвегия стремится обеспечить привлечение суданских женщин к участию в важных процессах восстановления, которые в настоящее время происходят в стране. Так, накануне Конференции доноров, посвященной Судану, которая состоялась в Осло в апреле 2005 года, Норвегия и Фонд Организации Объединенных Наций для развития в интересах женщин (ЮНИФЕМ) совместными усилиями организовали женский симпозиум. Женщины из Северного и Южного Судана, принявшие участие в работе симпозиума, приняли совместный меморандум, в котором были определены первоочередные задачи по достижению мира и примирения. Меморандум впоследствии был представлен на Конференции доноров.</w:t>
      </w:r>
    </w:p>
    <w:p w:rsidR="003E3ADF" w:rsidRDefault="003E3ADF">
      <w:pPr>
        <w:ind w:left="709"/>
        <w:rPr>
          <w:spacing w:val="-3"/>
        </w:rPr>
      </w:pPr>
      <w:r>
        <w:rPr>
          <w:spacing w:val="-3"/>
        </w:rPr>
        <w:t>Норвегия также оказала поддержку проекту ЮНИФЕМ под названием "Содействие участию женщин и обеспечению гендерного равенства в постконфликтном восстановлении и миростроительстве в Южном Судане", средства которого предназначаются для организации в Судане региональных и национальных женских конференций и последующей реализации принятых ими решений. В рамках программы сотрудничества с ЮНИФЕМ Норвегия выделила средства для 20 женщин из Дарфура, которые дали им возможность приехать в декабре 2005 года в Абуджу и принять участие в мирных переговорах.</w:t>
      </w:r>
    </w:p>
    <w:p w:rsidR="003E3ADF" w:rsidRDefault="003E3ADF">
      <w:pPr>
        <w:ind w:left="709"/>
        <w:rPr>
          <w:spacing w:val="-3"/>
        </w:rPr>
      </w:pPr>
      <w:r>
        <w:rPr>
          <w:spacing w:val="-3"/>
        </w:rPr>
        <w:t>Норвегия также предпринимала усилия по укреплению потенциала учреждений Организации Объединенных Наций в области применения гендерного подхода в районах конфликтов. На предоставленные Норвегией средства, УВКБ ООН учредило особый пост специального советника по гендерным вопросам и улучшению положения женщин и назначило на этот пост женщину из Норвегии. Норвегия также финансирует пост младшего эксперта в группе по гендерным проблемам Департамента Организации Объединенных Наций операций по поддержанию мира. В связи с переговорами по созданию Отделения Организации Объединенных Наций по поддержке миротворческих операций Норвегия при поддержке стран Группы 77 и с четкой ссылкой на резолюцию 1325 Совета Безопасности Организации Объединенных Наций добилась включения пункта в отношении работы в отделении экспертов-женщин. Таким образом, был сделан важный шаг, заложивший основу для включения аналогичных ссылок в будущие резолюции, касающиеся комплексных операций по поддержанию мира.</w:t>
      </w:r>
    </w:p>
    <w:p w:rsidR="003E3ADF" w:rsidRDefault="003E3ADF">
      <w:pPr>
        <w:ind w:left="709"/>
        <w:rPr>
          <w:i/>
          <w:spacing w:val="-3"/>
        </w:rPr>
      </w:pPr>
      <w:r>
        <w:rPr>
          <w:i/>
          <w:spacing w:val="-3"/>
        </w:rPr>
        <w:t>Международные инвестиции: Этические принципы Государственного пенсионного фонда –Глобальный договор</w:t>
      </w:r>
    </w:p>
    <w:p w:rsidR="003E3ADF" w:rsidRDefault="003E3ADF">
      <w:pPr>
        <w:ind w:left="709"/>
        <w:rPr>
          <w:spacing w:val="-3"/>
        </w:rPr>
      </w:pPr>
      <w:r>
        <w:rPr>
          <w:spacing w:val="-3"/>
        </w:rPr>
        <w:t xml:space="preserve">Этические принципы Государственного пенсионного фонда – Глобальный договор исходят из предпосылки, что компании, в которые инвестирует средства Фонд, должны уважать основные права человека и защищать окружающую среду. Эти принципы предусматривают два инструмента, при помощи которых можно обеспечить соблюдение этого необходимого условия: </w:t>
      </w:r>
      <w:r>
        <w:rPr>
          <w:spacing w:val="-3"/>
          <w:u w:val="single"/>
        </w:rPr>
        <w:t>осуществление прав собственности</w:t>
      </w:r>
      <w:r>
        <w:rPr>
          <w:spacing w:val="-3"/>
        </w:rPr>
        <w:t xml:space="preserve"> и </w:t>
      </w:r>
      <w:r>
        <w:rPr>
          <w:spacing w:val="-3"/>
          <w:u w:val="single"/>
        </w:rPr>
        <w:t>исключение</w:t>
      </w:r>
      <w:r>
        <w:rPr>
          <w:spacing w:val="-3"/>
        </w:rPr>
        <w:t xml:space="preserve"> компаний из числа инвестиционных партнеров Фонда.</w:t>
      </w:r>
    </w:p>
    <w:p w:rsidR="003E3ADF" w:rsidRDefault="003E3ADF">
      <w:pPr>
        <w:ind w:left="709"/>
        <w:rPr>
          <w:spacing w:val="-3"/>
        </w:rPr>
      </w:pPr>
      <w:r>
        <w:rPr>
          <w:spacing w:val="-3"/>
          <w:u w:val="single"/>
        </w:rPr>
        <w:t>Осуществление прав собственности</w:t>
      </w:r>
      <w:r>
        <w:rPr>
          <w:spacing w:val="-3"/>
        </w:rPr>
        <w:t xml:space="preserve"> означает стремление оказать влияние на деятельность компаний, в которые инвестированы средства Фонда, посредством активной работы в качестве акционера такой компании. Ответственность за деятельность по осуществлению прав собственности несет банк "Норгес". Руководящие принципы управления собственностью разработаны в соответствии с Глобальным договором Организации Объединенных Наций. Не следует ожидать, что эти усилия дадут быстрый эффект или принесут результаты, в обязательном порядке поддающиеся измерению. </w:t>
      </w:r>
    </w:p>
    <w:p w:rsidR="003E3ADF" w:rsidRDefault="003E3ADF">
      <w:pPr>
        <w:ind w:left="709"/>
        <w:rPr>
          <w:spacing w:val="-3"/>
        </w:rPr>
      </w:pPr>
      <w:r>
        <w:rPr>
          <w:spacing w:val="-3"/>
          <w:u w:val="single"/>
        </w:rPr>
        <w:t>Исключение</w:t>
      </w:r>
      <w:r>
        <w:rPr>
          <w:spacing w:val="-3"/>
        </w:rPr>
        <w:t xml:space="preserve"> компаний из числа инвестиционных партнеров Фонда является средством, благодаря которому можно не допустить того, чтобы Фонд способствовал серьезным нарушениям этических норм или совершению ошибок. Эти принципы и средства охватывают широкий круг проблем, в том числе </w:t>
      </w:r>
      <w:r>
        <w:rPr>
          <w:i/>
          <w:spacing w:val="-3"/>
        </w:rPr>
        <w:t>права женщин и детей</w:t>
      </w:r>
      <w:r>
        <w:rPr>
          <w:spacing w:val="-3"/>
        </w:rPr>
        <w:t xml:space="preserve">. Ответственность за исключение компаний из числа инвестиционных партнеров Фонда несет Министерство финансов. Министерство основывает такие решения на рекомендациях Совета по этике Государственного пенсионного фонда – Глобального договора, который проводит оценку каждого случая, с тем чтобы определить, противоречит ли та или иная инвестиционная операция этическим принципам. Совет должен выносить рекомендацию об исключении компании из числа инвестиционных партнеров Фонда, если существует неприемлемый риск того, что Фонд может способствовать нарушению признанных на международном уровне прав человека и прав трудящихся. К настоящему времени из Государственного пенсионного фонда – Глобального договора была исключена одна компания, на основе предположения о том, что, продолжая инвестировать средства в эту компанию, Фонд рискует оказаться среди тех, кто способствует серьезным или систематическим нарушениям прав человека и прав трудящихся. Одним из многочисленных параметров, по которым проводилась оценка, была дискриминация женщин на производстве. </w:t>
      </w:r>
    </w:p>
    <w:p w:rsidR="003E3ADF" w:rsidRDefault="003E3ADF">
      <w:pPr>
        <w:keepNext/>
        <w:tabs>
          <w:tab w:val="clear" w:pos="1361"/>
          <w:tab w:val="right" w:pos="567"/>
          <w:tab w:val="left" w:pos="680"/>
          <w:tab w:val="left" w:pos="1247"/>
        </w:tabs>
        <w:ind w:left="709" w:hanging="709"/>
        <w:rPr>
          <w:b/>
          <w:bCs/>
          <w:spacing w:val="-3"/>
        </w:rPr>
      </w:pPr>
      <w:r>
        <w:rPr>
          <w:b/>
          <w:bCs/>
          <w:spacing w:val="-3"/>
        </w:rPr>
        <w:tab/>
        <w:t>1.3</w:t>
      </w:r>
      <w:r>
        <w:rPr>
          <w:b/>
          <w:bCs/>
          <w:spacing w:val="-3"/>
        </w:rPr>
        <w:tab/>
        <w:t>Статья 4</w:t>
      </w:r>
    </w:p>
    <w:p w:rsidR="003E3ADF" w:rsidRDefault="003E3ADF">
      <w:pPr>
        <w:keepNext/>
        <w:tabs>
          <w:tab w:val="clear" w:pos="1361"/>
          <w:tab w:val="right" w:pos="567"/>
          <w:tab w:val="left" w:pos="680"/>
          <w:tab w:val="left" w:pos="1247"/>
        </w:tabs>
        <w:ind w:left="709" w:hanging="709"/>
        <w:rPr>
          <w:spacing w:val="-3"/>
        </w:rPr>
      </w:pPr>
      <w:r>
        <w:rPr>
          <w:spacing w:val="-3"/>
        </w:rPr>
        <w:tab/>
        <w:t>1.3.1</w:t>
      </w:r>
      <w:r>
        <w:rPr>
          <w:spacing w:val="-3"/>
        </w:rPr>
        <w:tab/>
        <w:t>Статья 4.1.  Специальные меры по обеспечению гендерного равенства</w:t>
      </w:r>
    </w:p>
    <w:p w:rsidR="003E3ADF" w:rsidRDefault="003E3ADF">
      <w:pPr>
        <w:ind w:left="709"/>
        <w:rPr>
          <w:spacing w:val="-3"/>
        </w:rPr>
      </w:pPr>
      <w:r>
        <w:rPr>
          <w:spacing w:val="-3"/>
        </w:rPr>
        <w:t xml:space="preserve">Информация о представительстве в политической сфере изложена в разделе, посвященном статье 7, о положении в образовании – в материалах к статье 10, и о ситуации в сфере трудовых отношений –в материалах к статье 11. </w:t>
      </w:r>
    </w:p>
    <w:p w:rsidR="003E3ADF" w:rsidRDefault="003E3ADF">
      <w:pPr>
        <w:ind w:left="709"/>
      </w:pPr>
      <w:r>
        <w:rPr>
          <w:spacing w:val="-3"/>
        </w:rPr>
        <w:t>В соответствии с разделом 1</w:t>
      </w:r>
      <w:r>
        <w:rPr>
          <w:lang w:eastAsia="en-US"/>
        </w:rPr>
        <w:t xml:space="preserve"> Закона о </w:t>
      </w:r>
      <w:r>
        <w:t>равенстве полов</w:t>
      </w:r>
      <w:r>
        <w:rPr>
          <w:spacing w:val="-3"/>
        </w:rPr>
        <w:t xml:space="preserve"> государственные власти должны предпринимать систематические целенаправленные усилия к поощрению </w:t>
      </w:r>
      <w:r>
        <w:t xml:space="preserve">равенства мужчин и женщин во всех сферах жизни общества. На основе этого положения в качестве стратегии достижения гендерного равенства была принята концепция актуализации </w:t>
      </w:r>
      <w:r>
        <w:rPr>
          <w:spacing w:val="-3"/>
        </w:rPr>
        <w:t xml:space="preserve">гендерной проблематики. Эта стратегия была подробно описана в предыдущих докладах, а проводимая в настоящее время работа по </w:t>
      </w:r>
      <w:r>
        <w:t>учету</w:t>
      </w:r>
      <w:r>
        <w:rPr>
          <w:spacing w:val="-3"/>
        </w:rPr>
        <w:t xml:space="preserve"> гендерных факторов при составлении государственного бюджета описана в пунктах, посвященных к статье 2d. Раздел 3 </w:t>
      </w:r>
      <w:r>
        <w:rPr>
          <w:lang w:eastAsia="en-US"/>
        </w:rPr>
        <w:t xml:space="preserve">Закона о </w:t>
      </w:r>
      <w:r>
        <w:t>равенстве полов также разрешает различное обращение с лицами одного из полов, если это может содействовать достижению гендерного равенства. Однако различное обращение с мужчинами или женщинами практикуется редко. В сфере трудовых отношений в качестве нормы обращения практически повсеместно признается умеренная форма позитивной дифференциации. При всех прочих равных условиях предпочтение может отдаваться представителям того пола, который оказался в меньшинстве. В системе образования время от времени отмечались отдельные случаи ярко выраженного неравного обращения, когда девочкам, желающим обучаться специальностям, в которых они представлены в высшей степени недостаточно, присуждались дополнительные баллы.</w:t>
      </w:r>
    </w:p>
    <w:p w:rsidR="003E3ADF" w:rsidRDefault="003E3ADF">
      <w:pPr>
        <w:ind w:left="709"/>
      </w:pPr>
      <w:r>
        <w:t xml:space="preserve">Раздел 3а) был истолкован в свете целевой оговорки, которая гласит, что основной целью Закона является улучшение положения женщин. Однако в 1998 году были приняты касающиеся Закона положения, которые предусматривали обращение с умеренной формой позитивной дифференциации в пользу мужчин в ограниченном круге профессий и должностей в детских дошкольных учреждениях, начальных и средних школах первой ступени и службах социальной защиты детей. Эти меры были направлены на привлечение большего числа мужчин к повседневной работе с детьми и участии в воспитании детей. Наиболее радикально положения раздела 3а) применяются в области высшего образования и научных исследований. Однако в 2002 году Суд ЕАСТ вынес постановление, в котором Норвегия обвинялась в нарушении директивы ЕС 1976 года о равном обращении. Суд постановил, что выделение для женщин определенного числа руководящих должностей в учебных заведениях и научных институтах является нарушением правил ЕС. Это дело рассматривалось омбудсменом по вопросам гендерного равенства и Апелляционным советом по вопросам равенства полов, которые пришли к заключению, что указанные меры не противоречат принципу равного обращения, установленному в Законе, поскольку они несомненно внесут вклад в обеспечение гендерного равенства в области, где женщины представлены в высшей степени недостаточно. </w:t>
      </w:r>
    </w:p>
    <w:p w:rsidR="003E3ADF" w:rsidRDefault="003E3ADF">
      <w:pPr>
        <w:ind w:left="709"/>
      </w:pPr>
      <w:r>
        <w:t xml:space="preserve">По заказу Министерства образования и научных исследований Исследовательский совет Норвегии провел обследование, озаглавленное </w:t>
      </w:r>
      <w:r>
        <w:rPr>
          <w:i/>
          <w:szCs w:val="24"/>
        </w:rPr>
        <w:t xml:space="preserve">Kvinner i forskning – fra kvotering til integrering </w:t>
      </w:r>
      <w:r>
        <w:t>("Женщины в области научных исследований – от квот к интеграции"). В 2004 году на основе результатов этого обследования министерство выступило с инициативой по созданию Государственного комитета по вопросам вовлечения женщин в сферу научных исследований. Комитету поручено оказывать содействие обеспечению гендерного равенства в деятельности университетов и колледжей в течение трехлетнего периода. Комитет изучил меры, предпринимаемые в упомянутом секторе, и организовал крупную конференцию для обмена опытом и привлечения внимания широкой общественности к проблеме представительства полов в области академической науки.</w:t>
      </w:r>
    </w:p>
    <w:p w:rsidR="003E3ADF" w:rsidRDefault="003E3ADF">
      <w:pPr>
        <w:keepNext/>
        <w:tabs>
          <w:tab w:val="clear" w:pos="1361"/>
          <w:tab w:val="right" w:pos="567"/>
          <w:tab w:val="left" w:pos="680"/>
          <w:tab w:val="left" w:pos="1247"/>
        </w:tabs>
        <w:ind w:left="709" w:hanging="709"/>
      </w:pPr>
      <w:r>
        <w:tab/>
        <w:t>1.3.2</w:t>
      </w:r>
      <w:r>
        <w:tab/>
        <w:t>Статья 4.2.  Защита репродуктивной роли женщин</w:t>
      </w:r>
    </w:p>
    <w:p w:rsidR="003E3ADF" w:rsidRDefault="003E3ADF">
      <w:pPr>
        <w:ind w:left="709"/>
      </w:pPr>
      <w:r>
        <w:t>Описание деятельности омбудсмена по вопросам равенства и недопущения дискриминации в отношении дискриминации по признаку беременности содержится в предыдущих докладах и в материалах к статье 2с. В этой области сообщения о случаях дискриминации появляются постоянно. Норвежское законодательство обеспечивает беременным женщинам хорошую защиту. Права этой группы лиц находятся под защитой Закона об условиях труда, Закона о национальном страховании и Закона о равенстве полов. Закон об условиях труда обязывает работодателей адаптировать условия труда потребностям беременных женщин и защищает работников от увольнений, предоставляя им широкие права на отпуск. Закон о национальном страховании предусматривает право женщин на финансовую компенсацию в форме пособия по болезни, пособия по беременности и родам в случае отсутствия на работе во время беременности или декретного отпуска. Закон о равенстве полов запрещает различное обращение в связи с беременностью, кормлением грудью и использованием прав на отпуск, предусмотренных для мужчин или женщин. Запрещение дискриминации по признаку беременности было подкреплено внесением в 2002 году законодательной поправки и в настоящее время распространяется также на отцов, которые используют причитающийся отцу срок родительского отпуска.</w:t>
      </w:r>
    </w:p>
    <w:p w:rsidR="003E3ADF" w:rsidRDefault="003E3ADF">
      <w:pPr>
        <w:pStyle w:val="BodyText"/>
        <w:ind w:left="709"/>
        <w:rPr>
          <w:sz w:val="22"/>
          <w:lang w:eastAsia="ru-RU"/>
        </w:rPr>
      </w:pPr>
      <w:r>
        <w:rPr>
          <w:sz w:val="22"/>
          <w:lang w:eastAsia="ru-RU"/>
        </w:rPr>
        <w:t xml:space="preserve">Тот факт, что беременные женщины все же подвергаются дискриминации, обусловлен не столько отсутствием прав, сколько случаями несоблюдения законодательства. Число жалоб, которые поступают по таким делам на имя </w:t>
      </w:r>
      <w:r>
        <w:rPr>
          <w:sz w:val="22"/>
          <w:lang w:val="ru-RU" w:eastAsia="ru-RU"/>
        </w:rPr>
        <w:t>о</w:t>
      </w:r>
      <w:r>
        <w:rPr>
          <w:sz w:val="22"/>
          <w:lang w:eastAsia="ru-RU"/>
        </w:rPr>
        <w:t>мбудсмена по вопросам равенства и недопущения дискриминации (в прошлом омбудсмен по вопросам гендерного равенства), остается значительным. В 2004 году омбудсмен получил 113 жалоб такого рода, а в 2005 году – 95 жалоб. В своей политической платформе (Декларация Сориа Мориа) правительство пообещало улучшить охрану здоровья беременных женщин. Для того чтобы оценить полезность и эффективность принимаемых мер, необходимо получить более обширную информацию о масштабах и характере дискриминации, которой подвергаются беременные женщины и родители в период декретного отпуска и после него. Министерство по делам детей и вопросам равноправия намерено обсудить эти проблемы с социальными партнерами и выработать соответствующие меры.</w:t>
      </w:r>
    </w:p>
    <w:p w:rsidR="003E3ADF" w:rsidRDefault="003E3ADF">
      <w:pPr>
        <w:keepNext/>
        <w:tabs>
          <w:tab w:val="clear" w:pos="1361"/>
          <w:tab w:val="right" w:pos="567"/>
          <w:tab w:val="left" w:pos="680"/>
          <w:tab w:val="left" w:pos="1247"/>
        </w:tabs>
        <w:ind w:left="709" w:hanging="709"/>
        <w:rPr>
          <w:b/>
          <w:bCs/>
        </w:rPr>
      </w:pPr>
      <w:r>
        <w:rPr>
          <w:b/>
          <w:bCs/>
        </w:rPr>
        <w:tab/>
        <w:t>1.4</w:t>
      </w:r>
      <w:r>
        <w:rPr>
          <w:b/>
          <w:bCs/>
        </w:rPr>
        <w:tab/>
        <w:t>Статья 5</w:t>
      </w:r>
    </w:p>
    <w:p w:rsidR="003E3ADF" w:rsidRDefault="003E3ADF">
      <w:pPr>
        <w:keepNext/>
        <w:tabs>
          <w:tab w:val="clear" w:pos="1361"/>
          <w:tab w:val="right" w:pos="567"/>
          <w:tab w:val="left" w:pos="680"/>
          <w:tab w:val="left" w:pos="1247"/>
        </w:tabs>
        <w:ind w:left="709" w:hanging="709"/>
      </w:pPr>
      <w:r>
        <w:tab/>
        <w:t>1.4.1</w:t>
      </w:r>
      <w:r>
        <w:tab/>
        <w:t>Статья 5а.  Гендерные роли</w:t>
      </w:r>
    </w:p>
    <w:p w:rsidR="003E3ADF" w:rsidRDefault="003E3ADF">
      <w:pPr>
        <w:ind w:left="709"/>
      </w:pPr>
      <w:r>
        <w:t>В рамках проекта ТЕНК (ТИНК) была разработана интерактивная учебная программа, направленная на преодоление стереотипных представлений о роли мужчин и женщин, созданных различными видами рекламы и маркетинга. Эта программа, являющаяся частью школьного курса просвещения потребителей, дает ученикам возможность более глубоко понять механизм влияния средств массовой информации и рекламы на общественное сознание. Кроме того, была разработана программа обсуждения таких вопросов, как создание образов девочек и мальчиков в средствах массовой информации с акцентом на различиях по половой принадлежности, предназначенная для использования на встречах родителей и учителей. Целью мероприятий является укрепление способности детей противостоять давлению, которое они испытывают в сфере покупок, моды и потребления.</w:t>
      </w:r>
    </w:p>
    <w:p w:rsidR="003E3ADF" w:rsidRDefault="003E3ADF">
      <w:pPr>
        <w:ind w:left="709"/>
      </w:pPr>
      <w:r>
        <w:t>В Предложении № 35 (2004–2005 годы), направленном в одельстинг, Министерство по делам детей и вопросам равноправия объявило о своем намерении пересмотреть Закон о рекламе с целью введения запрета на рекламу, использующую гендерные стереотипы. Положения раздела 1 Закона о торговле распространяются также на маркетинговые технологии, насаждающие гендерные стереотипы, однако в этом отношении требуются разъяснения в тексте Закона. Раздел 1 Закона о рекламе является правовой нормой, что подразумевает гибкость этого положения и его способность отражать изменения в обществе. Тем не менее министерство намерено проанализировать содержание этого положения и его место в Законе. В настоящее время министерство создает рабочую группу, которая будет заниматься изучением этих проблем и в том числе рассмотрит вопрос о том, следует ли передать функции Специального омбудсмена по защите прав потребителей, связанные с обеспечением контроля за соблюдением этого положения, новому омбудсмену по вопросам гендерного равенства и недопущения дискриминации.</w:t>
      </w:r>
    </w:p>
    <w:p w:rsidR="003E3ADF" w:rsidRDefault="003E3ADF">
      <w:pPr>
        <w:ind w:left="709"/>
      </w:pPr>
      <w:r>
        <w:t xml:space="preserve">Чрезмерное внимание общества к половой сфере оказывает воздействие на подходы мальчиков и девочек к осознанию их собственной половой принадлежности. Положение в области доступа к порнографии путем использования новых средств массовой информации в последние годы значительно изменилось, однако информация о воздействии этого фактора на понимание молодыми людьми проблемы равенства полов, гендера и сексуальности практически отсутствует. В последние два года страны Северной Европы осуществляют совместный исследовательский проект под эгидой Совета министров стран Северной Европы с целью расширения знаний в этой области. Проект будет завершен в июне 2006 года. </w:t>
      </w:r>
    </w:p>
    <w:p w:rsidR="003E3ADF" w:rsidRDefault="003E3ADF">
      <w:pPr>
        <w:ind w:left="709"/>
      </w:pPr>
      <w:r>
        <w:t xml:space="preserve">Важной задачей является набор молодых людей на работу в учреждения системы образования и муниципального сектора. С помощью интернет-сайта </w:t>
      </w:r>
      <w:hyperlink r:id="rId13" w:history="1">
        <w:r>
          <w:rPr>
            <w:rStyle w:val="Hyperlink"/>
            <w:color w:val="auto"/>
            <w:szCs w:val="24"/>
          </w:rPr>
          <w:t>www.mittvalg.net</w:t>
        </w:r>
      </w:hyperlink>
      <w:r>
        <w:rPr>
          <w:szCs w:val="24"/>
        </w:rPr>
        <w:t xml:space="preserve"> </w:t>
      </w:r>
      <w:r>
        <w:t>Норвежская ассоциация местных и региональных органов власти (КС) пытается привлечь внимание молодых людей к муниципальным органам власти как к будущему месту их работы. Проводятся интервью с молодыми людьми, работающими в муниципальных органах на различных должностях, на примере которых демонстрируются широкие возможности, которые предоставляются сотрудникам в плане выбора профессии и карьерного роста. Важно показать, что есть юноши, желающие сделать своей профессией работу с детьми и пожилыми людьми, обеспечение ухода за ними, и девушки, работающие по специальностям, в которых преобладают мужчины, и найти хорошие примеры в подтверждение этого среди муниципальных служащих.</w:t>
      </w:r>
    </w:p>
    <w:p w:rsidR="003E3ADF" w:rsidRDefault="003E3ADF">
      <w:pPr>
        <w:pStyle w:val="Heading3"/>
        <w:ind w:left="709"/>
        <w:rPr>
          <w:b w:val="0"/>
          <w:bCs w:val="0"/>
          <w:i/>
          <w:iCs/>
          <w:sz w:val="22"/>
        </w:rPr>
      </w:pPr>
      <w:r>
        <w:rPr>
          <w:b w:val="0"/>
          <w:bCs w:val="0"/>
          <w:i/>
          <w:iCs/>
          <w:sz w:val="22"/>
        </w:rPr>
        <w:t xml:space="preserve">Мужчины, гендерные роли и равенство полов </w:t>
      </w:r>
    </w:p>
    <w:p w:rsidR="003E3ADF" w:rsidRDefault="003E3ADF">
      <w:pPr>
        <w:ind w:left="709"/>
      </w:pPr>
      <w:r>
        <w:t xml:space="preserve">Для того чтобы добиться успеха в обеспечении гендерного равенства, чрезвычайно важно изменить отношение мужчин. </w:t>
      </w:r>
      <w:r>
        <w:rPr>
          <w:i/>
        </w:rPr>
        <w:t>Необходимо сосредоточить усилия на поведении мужчин и их</w:t>
      </w:r>
      <w:r>
        <w:t xml:space="preserve"> </w:t>
      </w:r>
      <w:r>
        <w:rPr>
          <w:i/>
          <w:iCs/>
        </w:rPr>
        <w:t>установках</w:t>
      </w:r>
      <w:r>
        <w:t>. Мы склонны воспринимать мужчин и их установки и поведение как стандарт и критерий оценки человеческой деятельности как в нашем собственном, так и в других обществах. Это прискорбно, потому что мы не пытаемся оценить истинное положение и роль мужчин во взаимоотношениях людей. Невозможно кардинально изменить ситуацию, в том что касается иерархии полов и отношений между полами, не затрагивая вопросы действий, подходов и позиций как женщин, так и мужчин.</w:t>
      </w:r>
    </w:p>
    <w:p w:rsidR="003E3ADF" w:rsidRDefault="003E3ADF">
      <w:pPr>
        <w:ind w:left="709"/>
      </w:pPr>
      <w:r>
        <w:t xml:space="preserve">Профессор Майкл Киммел, широко известный американский исследователь, специализирующийся на гендерных проблемах и вопросах, связанных с положением мужчин, в ходе "отчетной конференции", состоявшейся в Осло в 2005 году в рамках мероприятий по выполнению принятого в Пекине Плана действий, заявил, что </w:t>
      </w:r>
      <w:r>
        <w:rPr>
          <w:i/>
        </w:rPr>
        <w:t>отношение и поведение мужчин являются главным не имеющим аналогов препятствием на пути освобождения женщин и достижения гендерного равенства</w:t>
      </w:r>
      <w:r>
        <w:t xml:space="preserve">. Он далее определил четыре основных правила мужественности, которые в свободном переводе звучат следующим образом: </w:t>
      </w:r>
    </w:p>
    <w:p w:rsidR="003E3ADF" w:rsidRDefault="003E3ADF">
      <w:pPr>
        <w:ind w:left="1191" w:hanging="482"/>
      </w:pPr>
      <w:r>
        <w:t>а)</w:t>
      </w:r>
      <w:r>
        <w:tab/>
        <w:t>дистанцирование от женщины и женственности и разрыв связей;</w:t>
      </w:r>
    </w:p>
    <w:p w:rsidR="003E3ADF" w:rsidRDefault="003E3ADF">
      <w:pPr>
        <w:ind w:left="1191" w:hanging="482"/>
        <w:rPr>
          <w:spacing w:val="-3"/>
        </w:rPr>
      </w:pPr>
      <w:r>
        <w:t>b)</w:t>
      </w:r>
      <w:r>
        <w:tab/>
        <w:t xml:space="preserve">богатство, власть и статус являются мерилами мужественности; </w:t>
      </w:r>
    </w:p>
    <w:p w:rsidR="003E3ADF" w:rsidRDefault="003E3ADF">
      <w:pPr>
        <w:ind w:left="1191" w:hanging="482"/>
        <w:rPr>
          <w:spacing w:val="-3"/>
        </w:rPr>
      </w:pPr>
      <w:r>
        <w:t>с)</w:t>
      </w:r>
      <w:r>
        <w:tab/>
        <w:t xml:space="preserve">понятия безопасное и надежное воспринимаются как незыблемое и несокрушимое; </w:t>
      </w:r>
    </w:p>
    <w:p w:rsidR="003E3ADF" w:rsidRDefault="003E3ADF">
      <w:pPr>
        <w:ind w:left="1191" w:hanging="482"/>
      </w:pPr>
      <w:r>
        <w:t>d)</w:t>
      </w:r>
      <w:r>
        <w:tab/>
        <w:t xml:space="preserve">безрассудное и рискованное поведение являются признаком мужественности. </w:t>
      </w:r>
    </w:p>
    <w:p w:rsidR="003E3ADF" w:rsidRDefault="003E3ADF">
      <w:pPr>
        <w:ind w:left="709"/>
      </w:pPr>
      <w:r>
        <w:t xml:space="preserve">Последний пункт важен для того, чтобы понять природу насилия мужчин в отношении женщин. Исследования проблем изнасилования и жестокого обращения с женщинами показывают, что мужчины прибегают к насилию тогда, когда они чувствуют, что теряют власть и уважение, на которые они, по их мнению, имеют право как мужчины. Киммел отмечает, что эти мужчины, по-видимому, полагают, что они вправе распоряжаться телом женщины, используя его для полового удовлетворения, независимо от того, вступает ли женщина в половые отношения добровольно, за деньги или ее принуждают к этому силой. </w:t>
      </w:r>
    </w:p>
    <w:p w:rsidR="003E3ADF" w:rsidRDefault="003E3ADF">
      <w:pPr>
        <w:pStyle w:val="BodyText"/>
        <w:ind w:left="709"/>
        <w:rPr>
          <w:sz w:val="22"/>
          <w:lang w:eastAsia="ru-RU"/>
        </w:rPr>
      </w:pPr>
      <w:r>
        <w:rPr>
          <w:sz w:val="22"/>
          <w:lang w:eastAsia="ru-RU"/>
        </w:rPr>
        <w:t xml:space="preserve">Особенно важно учитывать определенные аспекты поведения и отношения некоторых мужчин в усилиях по борьбе с насилием в семье, изнасилованием и другими сексуальными преступлениями, а также с международной торговлей людьми в целях сексуальной эксплуатации. Более подробную информацию о соответствующих мерах можно найти в материалах к статье 6. </w:t>
      </w:r>
    </w:p>
    <w:p w:rsidR="003E3ADF" w:rsidRDefault="003E3ADF">
      <w:pPr>
        <w:ind w:left="709"/>
      </w:pPr>
      <w:r>
        <w:t xml:space="preserve">Киммел также ссылается на сравнительные антропологические исследования обществ, основанные на масштабах распространенности случаев изнасилования. Основными показателями низкой доли случаев изнасилования, по-видимому, являются: </w:t>
      </w:r>
    </w:p>
    <w:p w:rsidR="003E3ADF" w:rsidRDefault="003E3ADF">
      <w:pPr>
        <w:ind w:left="1191" w:hanging="482"/>
      </w:pPr>
      <w:r>
        <w:t>а)</w:t>
      </w:r>
      <w:r>
        <w:tab/>
        <w:t>право замужних женщин на собственное владение имуществом как мера финансовой независимости женщин;</w:t>
      </w:r>
    </w:p>
    <w:p w:rsidR="003E3ADF" w:rsidRDefault="003E3ADF">
      <w:pPr>
        <w:pStyle w:val="BodyText"/>
        <w:ind w:left="1191" w:hanging="482"/>
        <w:rPr>
          <w:spacing w:val="-3"/>
          <w:kern w:val="14"/>
          <w:sz w:val="22"/>
          <w:szCs w:val="20"/>
          <w:lang w:val="ru-RU" w:eastAsia="ru-RU"/>
        </w:rPr>
      </w:pPr>
      <w:r>
        <w:rPr>
          <w:kern w:val="14"/>
          <w:sz w:val="22"/>
          <w:szCs w:val="20"/>
          <w:lang w:val="ru-RU" w:eastAsia="ru-RU"/>
        </w:rPr>
        <w:t>b)</w:t>
      </w:r>
      <w:r>
        <w:rPr>
          <w:kern w:val="14"/>
          <w:sz w:val="22"/>
          <w:szCs w:val="20"/>
          <w:lang w:val="ru-RU" w:eastAsia="ru-RU"/>
        </w:rPr>
        <w:tab/>
        <w:t>участие отца в воспитании собственных детей как мера ценности, которую придает общество роли родителей/воспитателей и женскому труду.</w:t>
      </w:r>
    </w:p>
    <w:p w:rsidR="003E3ADF" w:rsidRDefault="003E3ADF">
      <w:pPr>
        <w:ind w:left="709"/>
      </w:pPr>
      <w:r>
        <w:t xml:space="preserve">Чтобы добиться перемен в мужской среде, следует начать с изменения мужской точки зрения, мужских желаний, мечтаний, проблем и конфликтов. Мужчины должны играть важную роль в процессе изменения традиционных гендерных ролей. Потребуется принять ряд мер, специально направленных на мужчин. Важно избегать деления мужчин и женщин на категории. Вместе с тем мужчины и женщины зачастую ведут разный образ жизни и имеют различные интересы. В то же время существуют также значительные различия между мужчинами. Мужчины также подвергаются дискриминации. </w:t>
      </w:r>
    </w:p>
    <w:p w:rsidR="003E3ADF" w:rsidRDefault="003E3ADF">
      <w:pPr>
        <w:ind w:left="709"/>
      </w:pPr>
      <w:r>
        <w:t>В мужском обществе мужчины могут быть победителями или неудачниками, нередко выступая в двух ипостасях одновременно. Они добиваются положения и денег, отдавая предпочтение карьере в ущерб семье. В то же время они лишаются возможности установить хорошие, тесные отношения со своими детьми. Либо им приходится смириться с тем, что они не достигли своих целей в профессиональной карьере со всеми последствиями, которые может повлечь за собой такая неудача для мужского престижа в нашем обществе. Среди мужчин показатели смертности, обусловленной образом жизни, выше, чем среди женщин, они реже посещают врачей, и, согласно статистическим данным, именно они совершают подавляющее большинство актов насилия и преступлений. Успеваемость мальчиков по всем школьным дисциплинам, кроме физической подготовки, ниже, чем у девочек, и гораздо меньше мужчин, чем женщин, имеют высшее образование.</w:t>
      </w:r>
    </w:p>
    <w:p w:rsidR="003E3ADF" w:rsidRDefault="003E3ADF">
      <w:pPr>
        <w:ind w:left="709"/>
      </w:pPr>
      <w:r>
        <w:t xml:space="preserve">В этой двойственности заложен важный потенциал для изменения так называемого господствующего мужского начала: типа мужчины, который доминирует и определяет, с точки зрения культуры, характеристики, которым должен соответствовать мужчина в нашем обществе. Следует разрабатывать меры, которые бы учитывали разные ситуации, в которых находятся мужчины, и их различные интересы. </w:t>
      </w:r>
    </w:p>
    <w:p w:rsidR="003E3ADF" w:rsidRDefault="003E3ADF">
      <w:pPr>
        <w:ind w:left="709"/>
      </w:pPr>
      <w:r>
        <w:t xml:space="preserve">Правительство предоставляет средства для Информационного центра по проблемам мужчин –первого подобного центра в Норвегии. Осуществляя работу по формированию позитивного образа мужчины и расширению знаний в отношении гендерных ролей мужчин в качестве ключевого направления своей деятельности, </w:t>
      </w:r>
      <w:r>
        <w:rPr>
          <w:caps/>
        </w:rPr>
        <w:t>ц</w:t>
      </w:r>
      <w:r>
        <w:t>ентр также является важным источником информации и весьма влиятельным участником общественных дискуссий. Кроме того, сотрудники Центра разработали предложение по предотвращению насилия.</w:t>
      </w:r>
    </w:p>
    <w:p w:rsidR="003E3ADF" w:rsidRDefault="003E3ADF">
      <w:pPr>
        <w:ind w:left="709"/>
      </w:pPr>
      <w:r>
        <w:t xml:space="preserve">Самые существенные изменения, затронувшие в последние годы мужчин, касались их роли отцов. Отцовские квоты родительских отпусков используются мужчинами почти на 90 процентов, и многие из них хотели бы иметь более длительный отпуск, чем тот, который им предоставляется (с 1 июля 2006 года – шесть недель). Важной частью этой реформы является расчет размера родительских пособий отцов на основе их собственного заработанного дохода. Тот факт, что мужчины берут на себя ответственность за малолетних детей и устанавливают тесный контакт с ними, является чрезвычайно важным изменением в отношениях между отцом и ребенком, которое может повлиять на оценку мужчинами таких понятий, как забота, близость и взаимосвязи. </w:t>
      </w:r>
    </w:p>
    <w:p w:rsidR="003E3ADF" w:rsidRDefault="003E3ADF">
      <w:pPr>
        <w:ind w:left="709"/>
      </w:pPr>
      <w:r>
        <w:t>Вероятно, именно в этой области добиться перемен легче всего, поскольку мужчины постепенно осознают, как много они потеряли, не желая отходить от традиционной мужской роли. Необходимо принимать меры к тому, чтобы обеспечить более активное участие мужчин в жизни детей, как в частной, так и в общественной сфере. Это важно само по себе и, кроме того, влечет за собой перемены в других областях, таких как трудовая деятельность.</w:t>
      </w:r>
    </w:p>
    <w:p w:rsidR="003E3ADF" w:rsidRDefault="003E3ADF">
      <w:pPr>
        <w:ind w:left="709"/>
      </w:pPr>
      <w:r>
        <w:t xml:space="preserve">Тот факт, что роли мужчин в настоящее время уделяется столь пристальное внимание, является результатом работы женских организаций. Поэтому важно оказывать поддержку налаживанию связей и взаимодействия между исследовательскими центрами, добровольческими организациями и другими партнерами, занимающимися проблемами мужчин в плане обеспечения гендерного равенства. </w:t>
      </w:r>
    </w:p>
    <w:p w:rsidR="003E3ADF" w:rsidRDefault="003E3ADF">
      <w:pPr>
        <w:ind w:left="709"/>
      </w:pPr>
      <w:r>
        <w:t xml:space="preserve">Поскольку мужчины совсем недавно начали участвовать в дискуссиях по проблемам гендерного равенства, сведения о положении мужчин, в том числе об их взглядах и стремлениях, проблем, с которыми они сталкиваются, – весьма ограниченны. Большая часть гендерных исследований была сосредоточена на проблемах женщин и основывалась на точке зрения и мировосприятии женщин. Большинство исследований по проблемам мужчин до настоящего времени проводились с позиции мужчин и в мужских сферах деятельности, однако не рассматривали мужчин как один из </w:t>
      </w:r>
      <w:r>
        <w:rPr>
          <w:i/>
          <w:iCs/>
        </w:rPr>
        <w:t xml:space="preserve">полов </w:t>
      </w:r>
      <w:r>
        <w:t>в социальном измерении. Требуется больше информации о роли отца, мужской культуре в трудовой деятельности, положении мужчин после развода, мужском насилии, а также о значении фактора отсутствующего мужчины в условиях взросления детей и подготовки мальчиков к жизни в обществе. Нам необходимо получить больше информации о мальчиках и мужчинах с учетом гендерного фактора, в том числе развитие мужественности и мужской культуры.</w:t>
      </w:r>
    </w:p>
    <w:p w:rsidR="003E3ADF" w:rsidRDefault="003E3ADF">
      <w:pPr>
        <w:ind w:left="709"/>
      </w:pPr>
      <w:r>
        <w:t>Правительство будет уделять первоочередное внимание мерам, касающимся роли мужчин, и представит в стортинг доклад о положении и роли мужчин.</w:t>
      </w:r>
    </w:p>
    <w:p w:rsidR="003E3ADF" w:rsidRDefault="003E3ADF">
      <w:pPr>
        <w:keepNext/>
        <w:tabs>
          <w:tab w:val="clear" w:pos="1361"/>
          <w:tab w:val="right" w:pos="567"/>
          <w:tab w:val="left" w:pos="680"/>
          <w:tab w:val="left" w:pos="1247"/>
        </w:tabs>
        <w:ind w:left="709" w:hanging="709"/>
      </w:pPr>
      <w:r>
        <w:tab/>
        <w:t>1.4.2</w:t>
      </w:r>
      <w:r>
        <w:tab/>
        <w:t xml:space="preserve">Статья 5b.  Совместная ответственность женщин и мужчин за детей и семью </w:t>
      </w:r>
    </w:p>
    <w:p w:rsidR="003E3ADF" w:rsidRDefault="003E3ADF">
      <w:pPr>
        <w:ind w:left="709"/>
      </w:pPr>
      <w:r>
        <w:t xml:space="preserve">В последние годы политика в области семьи была сосредоточена главным образом на роли </w:t>
      </w:r>
      <w:r>
        <w:rPr>
          <w:i/>
        </w:rPr>
        <w:t>отцов</w:t>
      </w:r>
      <w:r>
        <w:t xml:space="preserve"> и необходимости повышения значимости этой роли в интересах детей. Продолжительность родительского отпуска, предоставляемого в обязательном порядке в связи с рождением ребенка отцу ("отцовская квота"), была увеличена до шести недель. Кроме того, с 1 января 2005 года отец получил право на родительское пособие на период отпуска по "отцовской квоте" с учетом его собственного положения в сфере занятости (и размер компенсационных выплат теперь не уменьшается в тех случаях, если мать до рождения ребенка работала неполный рабочий день). См. также материалы к статьям 5а, 11, 2b и 16.</w:t>
      </w:r>
    </w:p>
    <w:p w:rsidR="003E3ADF" w:rsidRDefault="003E3ADF">
      <w:pPr>
        <w:ind w:left="709"/>
      </w:pPr>
      <w:r>
        <w:t>Были приняты меры по активизации профилактической работы по улучшению климата в семье в целях сокращения числа разводов и распадов семьи. Семейным парам и совместно проживающим партнерам предлагается бесплатный курс обучения в области семейных и половых отношений после рождения их первого ребенка. С 1 января 2006 года совместно проживающие родители несут общую родительскую ответственность. С 1 января 2007 года сожительствующие родители с детьми, родившимися в период их взаимоотношений, должны будут посещать обязательные курсы, в рамках которых специальные сотрудники попытаются примирить стороны, если их партнерство распадается. Информацию, касающуюся дошкольных учреждений, см. в материалах к статьям 11 и 2с.</w:t>
      </w:r>
    </w:p>
    <w:p w:rsidR="003E3ADF" w:rsidRDefault="003E3ADF">
      <w:pPr>
        <w:keepNext/>
        <w:tabs>
          <w:tab w:val="clear" w:pos="1361"/>
          <w:tab w:val="right" w:pos="567"/>
          <w:tab w:val="left" w:pos="680"/>
          <w:tab w:val="left" w:pos="1247"/>
        </w:tabs>
        <w:ind w:left="709" w:hanging="709"/>
        <w:rPr>
          <w:b/>
          <w:bCs/>
        </w:rPr>
      </w:pPr>
      <w:r>
        <w:rPr>
          <w:b/>
          <w:bCs/>
        </w:rPr>
        <w:tab/>
        <w:t>1.5</w:t>
      </w:r>
      <w:r>
        <w:rPr>
          <w:b/>
          <w:bCs/>
        </w:rPr>
        <w:tab/>
        <w:t>Статья 6.  Насилие, торговля женщинами и проституция</w:t>
      </w:r>
    </w:p>
    <w:p w:rsidR="003E3ADF" w:rsidRDefault="003E3ADF">
      <w:pPr>
        <w:ind w:left="709"/>
        <w:rPr>
          <w:b/>
          <w:bCs/>
        </w:rPr>
      </w:pPr>
      <w:r>
        <w:rPr>
          <w:b/>
          <w:bCs/>
        </w:rPr>
        <w:t>Насилие в семье</w:t>
      </w:r>
    </w:p>
    <w:p w:rsidR="003E3ADF" w:rsidRDefault="003E3ADF">
      <w:pPr>
        <w:ind w:left="709"/>
        <w:rPr>
          <w:i/>
        </w:rPr>
      </w:pPr>
      <w:r>
        <w:rPr>
          <w:i/>
        </w:rPr>
        <w:t xml:space="preserve">Стратегии по предотвращению домашнего насилия в отношении женщин </w:t>
      </w:r>
    </w:p>
    <w:p w:rsidR="003E3ADF" w:rsidRDefault="003E3ADF">
      <w:pPr>
        <w:ind w:left="709"/>
      </w:pPr>
      <w:r>
        <w:t>В Норвегии существует политический консенсус в отношении того, что насилие против женщин не является частным вопросом и что государственные власти несут ответственность за предотвращение насилия такого типа и содействие его недопущению. Усилия государственных властей основаны на признании ими этой ответственности. В последние годы норвежские власти осуществили целый ряд мер по борьбе с насилием в семье. Эти усилия предпринимались главным образом в рамках двух правительственных планов действий: по борьбе с насилием в отношении женщин (2000–2003 годы) и по борьбе с насилием в семье (2004–2007 годы). Осуществление Плана действий по борьбе с насилием в отношении женщин принесло определенные результаты, но также выявило слабые места и подчеркнуло необходимость принятия более активных мер, в частности в отношении детей, которые становятся свидетелями насилия, и лиц, совершающих акты насилия.</w:t>
      </w:r>
    </w:p>
    <w:p w:rsidR="003E3ADF" w:rsidRDefault="003E3ADF">
      <w:pPr>
        <w:ind w:left="709"/>
      </w:pPr>
      <w:r>
        <w:t xml:space="preserve">В декабре 2003 года Комитет по проблемам насилия в отношении женщин, являющийся независимым комитетом, представил свой доклад NOU 2003:31 </w:t>
      </w:r>
      <w:r>
        <w:rPr>
          <w:i/>
        </w:rPr>
        <w:t>Retten til et liv uten vold</w:t>
      </w:r>
      <w:r>
        <w:rPr>
          <w:i/>
          <w:szCs w:val="24"/>
        </w:rPr>
        <w:t xml:space="preserve"> </w:t>
      </w:r>
      <w:r>
        <w:t>(Официальный доклад Норвегии 2003:31 "Право на жизнь без насилия"). В докладе предлагается ряд мер, направленных на улучшение положения женщин и детей, ставших жертвами насилия в семье, например предусматривается расширение программ лечения правонарушителей и повышение качества услуг для детей, ставших свидетелями насилия, а также введение в Уголовный кодекс нового положения, охватывающего бытовое насилие в отношении женщин. Эти меры осуществляются в рамках Плана действий на 2004–2007 годы.</w:t>
      </w:r>
    </w:p>
    <w:p w:rsidR="003E3ADF" w:rsidRDefault="003E3ADF">
      <w:pPr>
        <w:ind w:left="709"/>
      </w:pPr>
      <w:r>
        <w:t>В июне 2004 года было начато осуществление Плана действий по борьбе с насилием в семье, что должно обеспечить непрерывность усилий в этой области. План включает 30 конкретных мероприятий, которые можно разбить на следующие четыре категории:</w:t>
      </w:r>
    </w:p>
    <w:p w:rsidR="003E3ADF" w:rsidRDefault="003E3ADF">
      <w:pPr>
        <w:ind w:left="1191" w:hanging="482"/>
      </w:pPr>
      <w:r>
        <w:sym w:font="Symbol" w:char="F0B7"/>
      </w:r>
      <w:r>
        <w:tab/>
        <w:t>усилия по повышению уровня сотрудничества и осведомленности о работе служб помощи;</w:t>
      </w:r>
    </w:p>
    <w:p w:rsidR="003E3ADF" w:rsidRDefault="003E3ADF">
      <w:pPr>
        <w:ind w:left="1191" w:hanging="482"/>
      </w:pPr>
      <w:r>
        <w:sym w:font="Symbol" w:char="F0B7"/>
      </w:r>
      <w:r>
        <w:tab/>
        <w:t>усилия по повышению информированности о домашнем насилии и его предотвращению посредством изменения отношения к этому явлению;</w:t>
      </w:r>
    </w:p>
    <w:p w:rsidR="003E3ADF" w:rsidRDefault="003E3ADF">
      <w:pPr>
        <w:ind w:left="1191" w:hanging="482"/>
      </w:pPr>
      <w:r>
        <w:sym w:font="Symbol" w:char="F0B7"/>
      </w:r>
      <w:r>
        <w:tab/>
        <w:t>усилия по обеспечению того, чтобы жертвы насилия в семье получали надлежащую поддержку, защиту и помощь;</w:t>
      </w:r>
    </w:p>
    <w:p w:rsidR="003E3ADF" w:rsidRDefault="003E3ADF">
      <w:pPr>
        <w:ind w:left="1191" w:hanging="482"/>
      </w:pPr>
      <w:r>
        <w:sym w:font="Symbol" w:char="F0B7"/>
      </w:r>
      <w:r>
        <w:tab/>
        <w:t>усилия по ликвидации порочного круга насилия посредством расширения программ лечения правонарушителей.</w:t>
      </w:r>
    </w:p>
    <w:p w:rsidR="003E3ADF" w:rsidRDefault="003E3ADF">
      <w:pPr>
        <w:ind w:left="709"/>
        <w:rPr>
          <w:spacing w:val="-4"/>
        </w:rPr>
      </w:pPr>
      <w:r>
        <w:rPr>
          <w:spacing w:val="-4"/>
        </w:rPr>
        <w:t xml:space="preserve">С тем чтобы побудить жертв насилия чаще обращаться в службы помощи, планируется осуществить ряд мер по публичному обсуждению и осуждению этого вида насилия среди сотрудников служб помощи и среди широких слоев населения. В качестве примера пропагандистских мер по повышению информированности служб помощи о насилии можно привести обследования </w:t>
      </w:r>
      <w:r>
        <w:t>масштабов насилия, проведенные Министерством юстиции в 2003 и 2005 годах.</w:t>
      </w:r>
    </w:p>
    <w:p w:rsidR="003E3ADF" w:rsidRDefault="003E3ADF">
      <w:pPr>
        <w:ind w:left="709"/>
      </w:pPr>
      <w:r>
        <w:t>В своей политической платформе (Декларация Сориа Мориа) правительство объявило, что оно намеревается активизировать усилия по борьбе с насилием в отношении женщин и детей.</w:t>
      </w:r>
    </w:p>
    <w:p w:rsidR="003E3ADF" w:rsidRDefault="003E3ADF">
      <w:pPr>
        <w:ind w:left="709"/>
        <w:rPr>
          <w:i/>
        </w:rPr>
      </w:pPr>
      <w:r>
        <w:rPr>
          <w:i/>
        </w:rPr>
        <w:t>Организация государственных мер по борьбе с насилием в семье</w:t>
      </w:r>
    </w:p>
    <w:p w:rsidR="003E3ADF" w:rsidRDefault="003E3ADF">
      <w:pPr>
        <w:ind w:left="709"/>
      </w:pPr>
      <w:r>
        <w:t xml:space="preserve">Ответственность за координацию усилий правительства по борьбе с насилием в семье несет Министерство юстиции. Однако в этой области имеется ряд проблем, которые не возможно решить посредством использования одних лишь средств уголовной полиции. Для того чтобы эффективно бороться с насилием, требуется тесное сотрудничество с другими ключевыми органами, отвечающими за здравоохранение, социальные вопросы и вопросы гендерной политики. Для обеспечения координации на центральном уровне создана </w:t>
      </w:r>
      <w:r>
        <w:rPr>
          <w:i/>
        </w:rPr>
        <w:t xml:space="preserve">постоянная </w:t>
      </w:r>
      <w:r>
        <w:t xml:space="preserve">межминистерская рабочая группа, включающая представителей Министерства здравоохранения и медицинского обслуживания, Министерства труда и социальной интеграции, Министерства по делам детей и вопросам равноправия и Министерства юстиции. Благодаря деятельности этой рабочей группы, созданной в ходе осуществления Плана действий по борьбе с насилием в отношении женщин (2000–2003 годы), удается обеспечить своевременный учет результатов уже принятых мер и их использование в процессе разработки дальнейшей политики. Одной из главных целей рабочей группы является анализ последствий реализованных программ. </w:t>
      </w:r>
    </w:p>
    <w:p w:rsidR="003E3ADF" w:rsidRDefault="003E3ADF">
      <w:pPr>
        <w:ind w:left="709"/>
        <w:rPr>
          <w:i/>
        </w:rPr>
      </w:pPr>
      <w:r>
        <w:rPr>
          <w:i/>
        </w:rPr>
        <w:t xml:space="preserve">Последствия принятых мер </w:t>
      </w:r>
    </w:p>
    <w:p w:rsidR="003E3ADF" w:rsidRDefault="003E3ADF">
      <w:pPr>
        <w:ind w:left="709"/>
      </w:pPr>
      <w:r>
        <w:t xml:space="preserve">Общая оценка мер по борьбе с домашним насилием в семье, принятых в Норвегии, не проводилась. Поэтому затруднительно дать подробный отчет о достигнутых результатах. Вместе с тем был проведен ряд оценок более ограниченного масштаба, в том числе анализ программы координации действий полиции по борьбе с насилием в семье и оценка создания мобильной системы оповещения об актах насилия. </w:t>
      </w:r>
    </w:p>
    <w:p w:rsidR="003E3ADF" w:rsidRDefault="003E3ADF">
      <w:pPr>
        <w:ind w:left="709"/>
      </w:pPr>
      <w:r>
        <w:t xml:space="preserve">Есть основания надеяться, что создание специального научно-исследовательского центра по проблемам стресса, вызванного насилием и травмами (НКВТС), будет содействовать накоплению в следующие несколько лет общей информации и профессионального опыта в этой области. Текущая реорганизация сектора здравоохранения в долгосрочном плане также приведет к повышению уровня знаний и активизации деятельности в секторе здравоохранения в области борьбы с насилием в семье. </w:t>
      </w:r>
    </w:p>
    <w:p w:rsidR="003E3ADF" w:rsidRDefault="003E3ADF">
      <w:pPr>
        <w:ind w:left="709"/>
        <w:rPr>
          <w:i/>
        </w:rPr>
      </w:pPr>
      <w:r>
        <w:rPr>
          <w:i/>
        </w:rPr>
        <w:t xml:space="preserve">Обследование насилия в семье </w:t>
      </w:r>
    </w:p>
    <w:p w:rsidR="003E3ADF" w:rsidRDefault="003E3ADF">
      <w:pPr>
        <w:ind w:left="709"/>
      </w:pPr>
      <w:r>
        <w:t xml:space="preserve">Результаты первого общенационального обследования масштабов насилия в семье были представлены в мае 2005 года. Проведенное Норвежским институтом изучения городов и регионов обследование показало, что в парах в Норвегии широко распространена практика применения физической силы и насилия в семье. Более одной женщины из четырех и более одного мужчины из пяти в возрасте старше 15 лет сообщили, что их супруги или сожители, по крайней мере однажды, применяли физическую силу или угрожали им насилием. Более пяти процентов мужчин и женщин сообщили, что в последние двенадцать месяцев их партнеры поступали таким образом. </w:t>
      </w:r>
    </w:p>
    <w:p w:rsidR="003E3ADF" w:rsidRDefault="003E3ADF">
      <w:pPr>
        <w:ind w:left="709"/>
      </w:pPr>
      <w:r>
        <w:t>Обследование насилия, проведенное Министерством юстиции летом 2005 года, показало, что в ходе одной недели обследования полиция и службы помощи зарегистрировали около 1 тыс. случаев обращений женщин, ставших жертвами домашнего насилия. За ту же неделю, как явствует из зарегистрированных заявлений, от насилия и угроз со стороны лиц, с которыми они находились в родственных связях, пострадали около 2 тыс. детей. Почти все пострадавшие дети были младше 15 лет, многие из них – дошкольного возраста. По данным обследования, правонарушителями были главным образом мужчины. В 85 процентах жалоб лицом, виновным в насилии, был мужчина. Более 60 процентов жалоб касались физического насилия. Приблизительно в 40 процентах дел имели место угрозы, и почти 60 процентов зарегистрированных обращений были связаны с физическим насилием.</w:t>
      </w:r>
    </w:p>
    <w:p w:rsidR="003E3ADF" w:rsidRDefault="003E3ADF">
      <w:pPr>
        <w:ind w:left="709"/>
      </w:pPr>
      <w:r>
        <w:t xml:space="preserve">Количество </w:t>
      </w:r>
      <w:r>
        <w:rPr>
          <w:i/>
        </w:rPr>
        <w:t>официальных заявлений</w:t>
      </w:r>
      <w:r>
        <w:t xml:space="preserve"> о насилии в семье увеличилось с 3890 случаев зарегистрированных в 2003 году, до 4348 случаев в 2005 году. Вряд ли следует связывать эту динамику с ростом масштабов насилия. Скорее, это увеличение указывает на то, что в полицию стало обращаться больше жертв и что эта проблема стала обсуждаться более открыто, а также о том, что в отличие от практики прошлых лет сегодня жертвы насилия в семье уже не боятся говорить о том, что с ними произошло. </w:t>
      </w:r>
    </w:p>
    <w:p w:rsidR="003E3ADF" w:rsidRDefault="003E3ADF">
      <w:pPr>
        <w:ind w:left="709"/>
        <w:rPr>
          <w:i/>
        </w:rPr>
      </w:pPr>
      <w:r>
        <w:rPr>
          <w:i/>
        </w:rPr>
        <w:t xml:space="preserve">Кризисные центры и центры помощи жертвам изнасилования </w:t>
      </w:r>
    </w:p>
    <w:p w:rsidR="003E3ADF" w:rsidRDefault="003E3ADF">
      <w:pPr>
        <w:ind w:left="709"/>
      </w:pPr>
      <w:r>
        <w:t xml:space="preserve">В стране работают 50 кризисных центров. Число таких центров остается примерно на одном уровне с середины 1980-х годов. Кризисные центры имеются в каждой области, и число центров в каждой области варьируется от одного до восьми. Размеры, организация и форма собственности этих учреждений различны. Шесть кризисных центров управляются муниципальными органами, а другие 44 являются частными. Некоторые кризисные центры одновременно являются центрами для жертв инцеста. В рамках этих учреждений предоставляются консультации, поддержка и психологическая помощь лицам, подвергшимся ненадлежащему обращению, жестокому обращению или насилию в собственном доме. Они также предоставляют временный кров для жертв и их детей. Правительство рассматривает вопрос о разработке нормативно-правовой базы для кризисных центров. </w:t>
      </w:r>
    </w:p>
    <w:p w:rsidR="003E3ADF" w:rsidRDefault="003E3ADF">
      <w:pPr>
        <w:ind w:left="709"/>
      </w:pPr>
      <w:r>
        <w:t xml:space="preserve">В дополнение к кризисным центрам, имеются два центра помощи жертвам изнасилования ДИКСИ, которые предоставляют помощь жертвам изнасилования и их ближайшим родственникам. </w:t>
      </w:r>
    </w:p>
    <w:p w:rsidR="003E3ADF" w:rsidRDefault="003E3ADF">
      <w:pPr>
        <w:ind w:left="709"/>
      </w:pPr>
      <w:r>
        <w:t xml:space="preserve">В августе 2003 года Университетским колледжем Осло был опубликован доклад, озаглавленный </w:t>
      </w:r>
      <w:r>
        <w:rPr>
          <w:i/>
        </w:rPr>
        <w:t xml:space="preserve">Ideologi eller profesjonstenkning? En statusrapport om krisesentrene </w:t>
      </w:r>
      <w:r>
        <w:t xml:space="preserve">("Идеология или профессионализм? Отчет о положении кризисных центров"). В докладе представлен общий обзор системы финансирования кризисных центров, их организационной структуры, программ, условий труда работников, механизма сотрудничества с другими службами помощи и долгосрочных перспектив развития. Обследование финансировалось Министерством по делам детей и вопросам равноправия. </w:t>
      </w:r>
    </w:p>
    <w:p w:rsidR="003E3ADF" w:rsidRDefault="003E3ADF">
      <w:pPr>
        <w:ind w:left="709"/>
      </w:pPr>
      <w:r>
        <w:t xml:space="preserve">Правительственный План действий по борьбе с насилием в семье включает меры, направленные на расширение сотрудничества и повышение уровня квалификации сотрудников служб помощи, а также на предотвращение насилия в семье и предоставление помощи жертвам такого насилия. В соответствии с этими целями секретариат Норвежского кризисного центра и Норвежская конфедерация профсоюзов издали информационную брошюру, озаглавленную </w:t>
      </w:r>
      <w:r>
        <w:rPr>
          <w:i/>
        </w:rPr>
        <w:t xml:space="preserve">Vi bryr oss på arbeidsplassen </w:t>
      </w:r>
      <w:r>
        <w:t xml:space="preserve">("Мы заботимся о наших сотрудниках"). Брошюра предназначена для повышения осведомленности работодателей в вопросах оказания помощи и поддержки женщинам, ставшим жертвами насилия, и предоставления им консультационных услуг. Задача состоит в том, чтобы сделать консультационные услуги составной частью механизма внутреннего контроля на всех рабочих местах. </w:t>
      </w:r>
    </w:p>
    <w:p w:rsidR="003E3ADF" w:rsidRDefault="003E3ADF">
      <w:pPr>
        <w:ind w:left="709"/>
      </w:pPr>
      <w:r>
        <w:t>Существенное значение для обеспечения эффективной помощи женщинам-инвалидам имеет межведомственное сотрудничество, которое официально закреплено в планах муниципального развития и предусматривает четкое разделение сфер ответственности. В 2006 году Сеть организаций женщин-инвалидов в Норвегии опубликовала доклад о работе муниципальных служб помощи женщинам-инвалидам, ставшим жертвами насилия (</w:t>
      </w:r>
      <w:r>
        <w:rPr>
          <w:i/>
        </w:rPr>
        <w:t>Hvilket tilbud gir kommunene til voldsutsatte kvinner med funksjonshemning?</w:t>
      </w:r>
      <w:r>
        <w:t>). Доклад основан на обзоре собеседований, проведенных в отдельных муниципалитетах в 2005 году. Один из выводов доклада состоит в том, что по всей видимости "в муниципальных службах помощи отсутствует информация о важных аспектах условий жизни женщин-инвалидов, а также о таком явлении, как насилие в семье". В докладе также отмечается, что услуги, предоставляемые кризисными центрами и муниципальными органами, необходимо рассматривать в комплексе и что наиболее важная помощь женщинам, являющимся жертвами насилия, предоставляется через кризисные центры и механизмы их сотрудничества с местными муниципальными органами.</w:t>
      </w:r>
    </w:p>
    <w:p w:rsidR="003E3ADF" w:rsidRDefault="003E3ADF">
      <w:pPr>
        <w:ind w:left="709"/>
      </w:pPr>
      <w:r>
        <w:t xml:space="preserve">Норвежское управление по делам детей, молодежи и семьи, в ведении которого находится система грантов для кризисных центров, приступило к работе над исследованием доступности кризисных центров в Норвегии, в том числе степени соответствия предоставляемых ими услуг потребностям женщин-инвалидов. Исследование является одним из мероприятий, предусмотренных в правительственном Плане действий по борьбе с насилием в семье (2004–2007 годы). В 2003 году программы 14 из 50 кризисных центров были пересмотрены, с тем чтобы учесть потребности женщин-инвалидов. </w:t>
      </w:r>
    </w:p>
    <w:p w:rsidR="003E3ADF" w:rsidRDefault="003E3ADF">
      <w:pPr>
        <w:ind w:left="709"/>
      </w:pPr>
      <w:r>
        <w:t>Изменение с 2005 года процедуры предоставления грантов, повлекшее за собой увеличение финансирования со стороны центрального правительства, сделало финансовое положение кризисных центров более предсказуемым. В то же время больше центров стали пользоваться кредитной схемой Норвежского государственного жилищного банка для ремонта помещений и строительства новых зданий в соответствии с установленными стандартами, обеспечивающими универсальную доступность в помещении. Ожидается, что в результате этих мер число кризисных центров, приспособленных к нуждам женщин-инвалидов, в предстоящие годы существенно возрастет.</w:t>
      </w:r>
    </w:p>
    <w:p w:rsidR="003E3ADF" w:rsidRDefault="003E3ADF">
      <w:pPr>
        <w:ind w:left="709"/>
      </w:pPr>
      <w:r>
        <w:t>Осенью 2006 года Норвежское управление по делам детей, молодежи и семьи представит доклад, посвященный положению женщин, которым было отказано в допуске в кризисные центры. Осенью 2005 года все кризисные центры Норвегии приняли участие в трехмесячном проекте по учету женщин, которые по различным причинам не были размещены в кризисных центрах и были направлены в другие службы помощи. На основе этого доклада будут разработаны меры, направленные на удовлетворение потребностей этой наиболее уязвимой группы женщин.</w:t>
      </w:r>
    </w:p>
    <w:p w:rsidR="003E3ADF" w:rsidRDefault="003E3ADF">
      <w:pPr>
        <w:ind w:left="709"/>
        <w:rPr>
          <w:i/>
        </w:rPr>
      </w:pPr>
      <w:r>
        <w:rPr>
          <w:i/>
        </w:rPr>
        <w:t>Законодательные поправки</w:t>
      </w:r>
    </w:p>
    <w:p w:rsidR="003E3ADF" w:rsidRDefault="003E3ADF">
      <w:pPr>
        <w:ind w:left="709"/>
      </w:pPr>
      <w:r>
        <w:t>20 декабря 2005 года стортинг принял положение о наказании, касающееся насилия в семье (раздел 219 Уголовного кодекса), которое вступило в силу 1 января 2006 года. Внесенные изменения позволили привести в соответствие с современными требованиями и расширить бывший раздел 219, касающийся насилия в семье, который явно устарел, был труден для понимания и содержал ряд сложных условий. В новом положении оговаривается, что акты запугивания и жестокое обращение правонарушителя с ближайшими родственниками на протяжении длительного времени и составляют уголовный аспект такого деяния. Это положение, предусматривающее уголовное наказание, укрепит правовой статус женщин, поскольку женщины являются главными жертвами насилия со стороны близкого партнера.</w:t>
      </w:r>
    </w:p>
    <w:p w:rsidR="003E3ADF" w:rsidRDefault="003E3ADF">
      <w:pPr>
        <w:ind w:left="709"/>
      </w:pPr>
      <w:r>
        <w:rPr>
          <w:u w:val="single"/>
        </w:rPr>
        <w:t>Правила, касающиеся запрета на контакты и т. п.</w:t>
      </w:r>
      <w:r>
        <w:t xml:space="preserve">: Раздел 222 Уголовно-процессуального кодекса, касающийся запрета на посещения, был изменен посредством Закона № 67 от 30 августа 2002 года, с тем чтобы разрешить наложение запрета на лиц, проживающих в собственном доме. Целью этой нормы является предотвращение насилия в отношении женщин и улучшение положения жертв насилия. Это положение будет особенно актуальным в случаях, когда лицо, которому должна обеспечиваться защита, проживает в одном домохозяйстве с лицом, которое подпадает под запрет на посещения. Запрет, препятствующий какому-либо лицу посещать свой собственный дом, может быть наложен независимо от того, кто владеет этим жилым помещением. Новое, более всеобъемлющее положение раздела 33 Уголовного кодекса, предусматривающее запрещение контактов, вступило в силу 1 января 2006 года. Это положение специально предназначено для защиты потерпевших лиц в случаях жестокого обращения с женщинами и насилия в семье. Новое положение о наказании дает возможность налагать запрет на большее число различных видов угрожающего или раздражающего поведения, чем это было раньше. </w:t>
      </w:r>
    </w:p>
    <w:p w:rsidR="003E3ADF" w:rsidRDefault="003E3ADF">
      <w:pPr>
        <w:ind w:left="709"/>
      </w:pPr>
      <w:r>
        <w:t>Закон, касающийся поправок к Закону о полиции, в соответствии с которыми лица, подвергающиеся угрозам, могут получить новое имя (вымышленная личность), вступил в силу 1 января 2004 года. Лица, которым угрожает опасность стать жертвами серьезных преступлений, направленных против их жизни, здоровья или свободы, могут в настоящее время получить новое имя (личный идентификационный номер). Право на получение нового имени предоставляется лишь в том случае, если другие защитные меры оказываются недостаточными.</w:t>
      </w:r>
    </w:p>
    <w:p w:rsidR="003E3ADF" w:rsidRDefault="003E3ADF">
      <w:pPr>
        <w:keepNext/>
        <w:ind w:left="709"/>
        <w:rPr>
          <w:i/>
        </w:rPr>
      </w:pPr>
      <w:r>
        <w:rPr>
          <w:i/>
        </w:rPr>
        <w:t>Подразделения полиции</w:t>
      </w:r>
    </w:p>
    <w:p w:rsidR="003E3ADF" w:rsidRDefault="003E3ADF">
      <w:pPr>
        <w:ind w:left="709"/>
      </w:pPr>
      <w:r>
        <w:t xml:space="preserve">Подразделения полиции играют главную роль в программах правительства по борьбе с насилием в отношении женщин. В 2002 году в каждом из 27 полицейских округов Норвегии были созданы службы координаторов по делам о насилии в семье. Задача координаторов состоит в том, чтобы обеспечить жертвам насилия и их ближайшим родственникам сочувствие и понимание со стороны сотрудников полиции. С целью удостовериться в том, что полиция уделяет должное внимание случаям насилия в отношении женщин, в 2002 году были изданы инструкции, разъясняющие офицерам полиции порядок ведения дел о насилии в семье. Эти инструкции включают общий обзор практических мер по защите лиц, подвергающихся насилию и угрозам. Управление полиции подготовило руководство для полиции по вопросам домашнего насилия, которое в июне 2002 года было разослано во все полицейские округа. </w:t>
      </w:r>
    </w:p>
    <w:p w:rsidR="003E3ADF" w:rsidRDefault="003E3ADF">
      <w:pPr>
        <w:ind w:left="709"/>
      </w:pPr>
      <w:r>
        <w:rPr>
          <w:i/>
        </w:rPr>
        <w:t>Оценка мер</w:t>
      </w:r>
      <w:r>
        <w:t>: В 2004 году была проведена оценка функционирования службы координаторов по вопросам насилия в семье. На основе полученных данных были сделаны выводы, характеризующие состояние службы и эффективность ее работы в течение двух лет. Одновременно результаты оценки показали, что некоторые области деятельности нуждаются в дальнейшем улучшении. В различных полицейских округах значимость проблемы насилия в семье оценивается по-разному и, как представляется, независимо от того, в каких именно районах этот вид правонарушений получил наибольшее распространение. Кроме того, просьба Управления полиции о том, чтобы другие задания поручались координаторам по вопросам насилия в семье лишь в исключительных случаях, была удовлетворена не во всех округах. В целях ликвидации различий между округами Управление разработало стратегию дальнейшего развития службы координаторов по вопросам насилия в семье.</w:t>
      </w:r>
    </w:p>
    <w:p w:rsidR="003E3ADF" w:rsidRDefault="003E3ADF">
      <w:pPr>
        <w:ind w:left="709"/>
      </w:pPr>
      <w:r>
        <w:t xml:space="preserve">1 января 2004 года полиция ввела в действие общенациональную систему мобильного оповещения о случаях насилия. Используемая в комплексе с другими мерами мобильная система оповещения преследует цель предоставить лицам, которым угрожает насилие, большую свободу передвижения и содействовать предотвращению насилия и угроз. Система сигнализации основана на двух системах географического позиционирования (GPS и GSM), которые позволяют полиции выявить местоположение лица, находящегося под угрозой, с максимальной точностью. Нажав тревожную кнопку, соответствующее лицо может непосредственно связываться с операторским центром полиции. Для обеспечения того, чтобы система использовалась эффективно в каждом полицейском округе, Управление полиции разработало специальное руководство работы системы мобильного оповещения о случаях насилия. Кроме того, были подготовлены специальная информационная брошюра и методическое пособие для лиц, которые могут стать жертвой насилия. По состоянию на январь 2006 года, в общей сложности действовало около 1500 тревожных кнопок. </w:t>
      </w:r>
    </w:p>
    <w:p w:rsidR="003E3ADF" w:rsidRDefault="003E3ADF">
      <w:pPr>
        <w:ind w:left="709"/>
      </w:pPr>
      <w:r>
        <w:rPr>
          <w:u w:val="single"/>
        </w:rPr>
        <w:t>Экспериментальный проект "обратной сигнализации" для правонарушителей-насильников</w:t>
      </w:r>
      <w:r>
        <w:t xml:space="preserve">. Министерство юстиции создало рабочую группу по подготовке отчета о реализации экспериментального проекта, предусматривающего использование электронного контроля за передвижением лиц, которые нарушили запрет на посещения. Рабочей группе было поручено представить предложения о варианте электронного контроля, который следует использовать в этом проекте, а также выяснить необходимость принятия решений об организации электронного контроля и вынести предложения по этому вопросу. Рабочая группа должна заимствовать опыт, накопленный Швецией, Соединенным Королевством, США и Испанией, которые испытали или проводят испытания использования электронного контроля за лицами, нарушившими запрет на посещения. Отчет должен быть завершен осенью 2006 года, а реализацию экспериментального проекта планируется начать в январе 2007 года. </w:t>
      </w:r>
    </w:p>
    <w:p w:rsidR="003E3ADF" w:rsidRDefault="003E3ADF">
      <w:pPr>
        <w:ind w:left="709"/>
      </w:pPr>
      <w:r>
        <w:t xml:space="preserve">Система консультационных пунктов для жертв насилия была создана в 1996 году. Эти пункты предоставляют консультации и психологическую помощь жертвам уголовных преступлений. По состоянию на май 2005 года, в Норвегии в общей сложности функционировали десять консультационных пунктов. Помимо этих пунктов, в Тронхейме было начато осуществление трехлетнего (2004–2006 годы) экспериментального проекта по созданию центра помощи для пострадавших лиц. Сотрудники, принимающие участие в проекте, размещены в полицейском отделении Тронхейма, где они предоставляют помощь как жертвам преступлений, так и их ближайшим родственникам. В рамках этого проекта большое значение придается налаживанию тесного сотрудничества с муниципальными службами помощи. </w:t>
      </w:r>
    </w:p>
    <w:p w:rsidR="003E3ADF" w:rsidRDefault="003E3ADF">
      <w:pPr>
        <w:ind w:left="709"/>
      </w:pPr>
      <w:r>
        <w:t>Выступление со свидетельскими показаниями в ходе уголовного процесса зачастую является весьма травмирующим событием для жертв преступления, особенно для жертв преступлений на сексуальной почве. В целях улучшения положения жертв преступлений Министерство юстиции заказало доклад о положении пострадавших лиц в ходе уголовных разбирательств (</w:t>
      </w:r>
      <w:r>
        <w:rPr>
          <w:szCs w:val="24"/>
        </w:rPr>
        <w:t xml:space="preserve">Anne </w:t>
      </w:r>
      <w:r>
        <w:t xml:space="preserve">Robberstad, </w:t>
      </w:r>
      <w:r>
        <w:rPr>
          <w:i/>
        </w:rPr>
        <w:t>Kontradiksjon og verdighet 2002</w:t>
      </w:r>
      <w:r>
        <w:t xml:space="preserve"> ("Право быть заслушанным и достоинство", 2002 год)). Выдвинутые в этом докладе предложения были реализованы рабочей группой, созданной для рассмотрения ряда практических мер, связанных с уголовными разбирательствами, которые могли бы ослабить негативное воздействие этих процессов на пострадавших лиц. В сентябре 2005 года рабочая группа представила свой доклад, в котором предлагается повысить уровень квалификации лиц, занимающихся уголовным преследованием, в вопросах, связанных с поведением пострадавших, разработать систему поддержки свидетелей и улучшить защиту свидетелей. Предложенные меры в настоящее время осуществляются Министерством юстиции.</w:t>
      </w:r>
    </w:p>
    <w:p w:rsidR="003E3ADF" w:rsidRDefault="003E3ADF">
      <w:pPr>
        <w:ind w:left="709"/>
      </w:pPr>
      <w:r>
        <w:t xml:space="preserve">В целях дальнейшего улучшения положения пострадавших лиц и выживших ближайших родственников в мае 2006 года назначенный в публичном порядке комитет представил доклад, в котором были предложены меры по улучшению положения этих лиц в процессе уголовных разбирательств (NOU 2006: </w:t>
      </w:r>
      <w:r>
        <w:rPr>
          <w:i/>
        </w:rPr>
        <w:t xml:space="preserve">Fornærmede i straffeprosessen – ny perspektiv, nye rettigheter </w:t>
      </w:r>
      <w:r>
        <w:t>(Официальный доклад Норвегии 2006 год: "Жертвы преступлений в процедуре уголовного разбирательства – новые перспективы, новые права")). Комитет предлагает следующие меры:</w:t>
      </w:r>
    </w:p>
    <w:p w:rsidR="003E3ADF" w:rsidRDefault="003E3ADF">
      <w:pPr>
        <w:ind w:left="1191" w:hanging="482"/>
      </w:pPr>
      <w:r>
        <w:sym w:font="Symbol" w:char="F0B7"/>
      </w:r>
      <w:r>
        <w:tab/>
        <w:t>обеспечить, чтобы в серьезных уголовных делах пострадавшие лица и их выжившие ближайшие родственники получали значительно более качественную и исчерпывающую информацию в течение все периода слушания дела. Комитет предлагает, чтобы полиция предоставляла информацию о ходе следствия. Пострадавшее лицо и его выжившие ближайшие родственники должны быть также информированы о каждом решении, вынесенном в связи с уголовным преследованием, каждом заседании суда и любом поданном апелляционном ходатайстве;</w:t>
      </w:r>
    </w:p>
    <w:p w:rsidR="003E3ADF" w:rsidRDefault="003E3ADF">
      <w:pPr>
        <w:ind w:left="1191" w:hanging="482"/>
      </w:pPr>
      <w:r>
        <w:sym w:font="Symbol" w:char="F0B7"/>
      </w:r>
      <w:r>
        <w:tab/>
        <w:t>расширить право на получение информации об освобождении и т. п. заключенных, отбывающих наказание;</w:t>
      </w:r>
    </w:p>
    <w:p w:rsidR="003E3ADF" w:rsidRDefault="003E3ADF">
      <w:pPr>
        <w:ind w:left="1191" w:hanging="482"/>
      </w:pPr>
      <w:r>
        <w:sym w:font="Symbol" w:char="F0B7"/>
      </w:r>
      <w:r>
        <w:tab/>
        <w:t xml:space="preserve">обязать полицию назначать контактное лицо для пострадавших лиц и их выживших ближайших родственников и предоставить последним возможность встречаться с представителями обвинения; </w:t>
      </w:r>
    </w:p>
    <w:p w:rsidR="003E3ADF" w:rsidRDefault="003E3ADF">
      <w:pPr>
        <w:ind w:left="1191" w:hanging="482"/>
      </w:pPr>
      <w:r>
        <w:sym w:font="Symbol" w:char="F0B7"/>
      </w:r>
      <w:r>
        <w:tab/>
        <w:t>обеспечить, чтобы в серьезных уголовных делах пострадавшему лицу и его выжившим ближайшим родственникам разрешалось посещать все судебные заседания по этим делам, включая заседания, проводимые за закрытыми дверями;</w:t>
      </w:r>
    </w:p>
    <w:p w:rsidR="003E3ADF" w:rsidRDefault="003E3ADF">
      <w:pPr>
        <w:ind w:left="1191" w:hanging="482"/>
      </w:pPr>
      <w:r>
        <w:sym w:font="Symbol" w:char="F0B7"/>
      </w:r>
      <w:r>
        <w:tab/>
        <w:t xml:space="preserve">в серьезных уголовных делах предоставить пострадавшему лицу и его выжившим ближайшим родственникам право выражать свое мнение и возможность опровергать информацию как в ходе следствия по делу, так и в ходе рассмотрения дела в суде. Комитет также предлагает, чтобы в ходе основного этапа слушаний пострадавшие лица имели право задавать вопросы обвиняемым и свидетелям и имели такое же право, как и обвиняемые, на заключительные заявления с опровержением; </w:t>
      </w:r>
    </w:p>
    <w:p w:rsidR="003E3ADF" w:rsidRDefault="003E3ADF">
      <w:pPr>
        <w:ind w:left="1191" w:hanging="482"/>
      </w:pPr>
      <w:r>
        <w:sym w:font="Symbol" w:char="F0B7"/>
      </w:r>
      <w:r>
        <w:tab/>
        <w:t>обеспечить, чтобы большее число пострадавших лиц и их выживших ближайших родственников имели право на адвоката и чтобы функции адвоката были уточнены и расширены.</w:t>
      </w:r>
    </w:p>
    <w:p w:rsidR="003E3ADF" w:rsidRDefault="003E3ADF">
      <w:pPr>
        <w:ind w:left="709"/>
        <w:rPr>
          <w:i/>
        </w:rPr>
      </w:pPr>
      <w:r>
        <w:rPr>
          <w:i/>
        </w:rPr>
        <w:t>Бесплатная правовая помощь и право на компенсацию</w:t>
      </w:r>
    </w:p>
    <w:p w:rsidR="003E3ADF" w:rsidRDefault="003E3ADF">
      <w:pPr>
        <w:ind w:left="709"/>
      </w:pPr>
      <w:r>
        <w:t xml:space="preserve">Жертвы насилия имеют право на правовую помощь в подаче гражданских исков в связи с уголовным производством (см. раздел 29 Уголовно-процессуального кодекса) или в соответствии с Законом о бесплатной правовой помощи. </w:t>
      </w:r>
    </w:p>
    <w:p w:rsidR="003E3ADF" w:rsidRDefault="003E3ADF">
      <w:pPr>
        <w:ind w:left="709"/>
      </w:pPr>
      <w:r>
        <w:t>В соответствии с Законом о бесплатной правовой помощи, Министерство юстиции ввело в действие специальный механизм предоставления правовой помощи для жертв насилия в целом (как женщин, так и мужчин) в связи с возбуждением дела в отношении правонарушителя по взысканию ущерба. В этой разновидности дел жертвы насилия имеют право на бесплатную правовую помощь без проведения проверки материального положения потерпевшего. Однако, если против правонарушителя возбуждено уголовное дело, бесплатная правовая помощь в связи с иском о возмещении ущерба будет предоставлена в том случае, если иск будет включен в уголовное дело, возбужденное против правонарушителя, однако суд не обязан рассматривать это дело целиком.</w:t>
      </w:r>
    </w:p>
    <w:p w:rsidR="003E3ADF" w:rsidRDefault="003E3ADF">
      <w:pPr>
        <w:ind w:left="709"/>
      </w:pPr>
      <w:r>
        <w:t>В соответствии с Законом о бесплатной правовой помощи, жертвы насилия имеют право на бесплатную правовую помощь также при подаче иска о государственной компенсации личного ущерба, нанесенного преступным деянием (компенсация для жертв преступлений с применением насилия). Однако в таких случаях для получения права на помощь должны быть соблюдены определенные финансовые условия (уровень дохода и владение активами ниже определенного минимума), и пострадавшее лицо должно будет покрыть часть издержек.</w:t>
      </w:r>
    </w:p>
    <w:p w:rsidR="003E3ADF" w:rsidRDefault="003E3ADF">
      <w:pPr>
        <w:keepNext/>
        <w:ind w:left="709"/>
        <w:rPr>
          <w:i/>
        </w:rPr>
      </w:pPr>
      <w:r>
        <w:rPr>
          <w:i/>
        </w:rPr>
        <w:t>Некоторые категории лиц, на которые направлены меры по предотвращению насилия в отношении женщин</w:t>
      </w:r>
    </w:p>
    <w:p w:rsidR="003E3ADF" w:rsidRDefault="003E3ADF">
      <w:pPr>
        <w:keepNext/>
        <w:ind w:left="709"/>
        <w:rPr>
          <w:u w:val="single"/>
        </w:rPr>
      </w:pPr>
      <w:r>
        <w:rPr>
          <w:u w:val="single"/>
        </w:rPr>
        <w:t>Мужчины как лица, совершающие акты насилия</w:t>
      </w:r>
    </w:p>
    <w:p w:rsidR="003E3ADF" w:rsidRDefault="003E3ADF">
      <w:pPr>
        <w:ind w:left="709"/>
      </w:pPr>
      <w:r>
        <w:t>В Плане действий по борьбе с насилием в семье подчеркивается, что принимаемые меры должны быть направлены не только на жертву, но и на лицо, совершающее акт насилия.</w:t>
      </w:r>
    </w:p>
    <w:p w:rsidR="003E3ADF" w:rsidRDefault="003E3ADF">
      <w:pPr>
        <w:ind w:left="709"/>
      </w:pPr>
      <w:r>
        <w:t>Для мужчин, совершающих акты насилия, одного только наказания недостаточно; несмотря на всю важность этой меры, свидетельствующей о том, что общество считает, что акт насилия является нарушением закона и злоупотреблением правами. Услуги по лечению мужчин, совершающих акты насилия в семье, предлагают как государственные, так и частные учреждения. Однако эти службы неравномерно распределены по территории страны, и программы лечения не всегда оцениваются удовлетворительно. Предусмотренные в Плане действий меры предусматривают разработку и осуществление программ лечения лиц, совершивших насилие, в масштабах всей страны. Кроме того, склонным к насилию мужчинам, отбывающим наказание, будет предложено лечение в обычных учреждениях здравоохранения и в рамках различных программ, осуществляемых Исправительной службой с целью изменения их поведения. В качестве примеров можно привести программы групповую терапии, основанные на модели "альтернатива насилию", группы по снятию стресса и группы по контролю за проявлениями гнева.</w:t>
      </w:r>
    </w:p>
    <w:p w:rsidR="003E3ADF" w:rsidRDefault="003E3ADF">
      <w:pPr>
        <w:ind w:left="709"/>
      </w:pPr>
      <w:r>
        <w:t xml:space="preserve">Практика показывает, что мужчины прибегают к насилию, когда они чувствуют, что теряют власть. Другим аспектом их поведения является отрицание ответственности: инициатором был их партнер, и виноват он. Важно, чтобы эти мужчины научились нести ответственность за свои действия и чтобы они выработали другой взгляд на женщин. Не менее важно также, чтобы мужчины сами, посредством различных мер по самообразованию и расширению кругозора, научились осуждать применение насилия другими мужчинами. </w:t>
      </w:r>
    </w:p>
    <w:p w:rsidR="003E3ADF" w:rsidRDefault="003E3ADF">
      <w:pPr>
        <w:ind w:left="709"/>
      </w:pPr>
      <w:r>
        <w:t xml:space="preserve">В качестве средства предотвращения насилия и оказания помощи мужчинам </w:t>
      </w:r>
      <w:r>
        <w:rPr>
          <w:iCs/>
        </w:rPr>
        <w:t>на той стадии</w:t>
      </w:r>
      <w:r>
        <w:rPr>
          <w:i/>
        </w:rPr>
        <w:t>, пока ни не начали</w:t>
      </w:r>
      <w:r>
        <w:rPr>
          <w:iCs/>
        </w:rPr>
        <w:t xml:space="preserve"> </w:t>
      </w:r>
      <w:r>
        <w:t>прибегать к насилию, правительство осуществляет финансирование Информационного центра по проблемам мужчин (РЕФОРМ). Центр разработал предложения о методах предотвращения применения насилия. Дальнейшую информацию см. в разделе, касающемся статьи 5а.</w:t>
      </w:r>
    </w:p>
    <w:p w:rsidR="003E3ADF" w:rsidRDefault="003E3ADF">
      <w:pPr>
        <w:keepNext/>
        <w:spacing w:after="160"/>
        <w:ind w:left="709"/>
        <w:rPr>
          <w:u w:val="single"/>
        </w:rPr>
      </w:pPr>
      <w:r>
        <w:rPr>
          <w:u w:val="single"/>
        </w:rPr>
        <w:t xml:space="preserve">Дети – жертвы насилия и дети – свидетели насилия в семье </w:t>
      </w:r>
    </w:p>
    <w:p w:rsidR="003E3ADF" w:rsidRDefault="003E3ADF">
      <w:pPr>
        <w:spacing w:after="160"/>
        <w:ind w:left="709"/>
      </w:pPr>
      <w:r>
        <w:t xml:space="preserve">Меры по предотвращению насилия в отношении детей, в том числе детей, являющихся свидетелями домашнего насилия, разрабатываются и реализуются в рамках нескольких министерств. Координатором этой деятельности выступает Министерство по делам детей и вопросы равноправия. </w:t>
      </w:r>
    </w:p>
    <w:p w:rsidR="003E3ADF" w:rsidRDefault="003E3ADF">
      <w:pPr>
        <w:spacing w:after="160"/>
        <w:ind w:left="709"/>
      </w:pPr>
      <w:r>
        <w:t xml:space="preserve">В число мероприятий входит проект, именуемый </w:t>
      </w:r>
      <w:r>
        <w:rPr>
          <w:i/>
        </w:rPr>
        <w:t xml:space="preserve">Barn som lever med vold i familien </w:t>
      </w:r>
      <w:r>
        <w:t xml:space="preserve">("Дети, живущие в условиях домашнего насилия") (2004–2006 годы), который осуществляется совместно организацией "Альтернатива насилию" в Осло и Телемарке и Центром кризисной психологии в Бергене. Проект охватывает детей, сталкивающихся с насилием либо в качестве свидетелей бытового насилия, и/или детей, которые сами являются жертвами насилия в семье. Проект состоит из трех основных компонентов: </w:t>
      </w:r>
    </w:p>
    <w:p w:rsidR="003E3ADF" w:rsidRDefault="003E3ADF">
      <w:pPr>
        <w:spacing w:after="160"/>
        <w:ind w:left="1191" w:hanging="482"/>
      </w:pPr>
      <w:r>
        <w:t>1.</w:t>
      </w:r>
      <w:r>
        <w:tab/>
      </w:r>
      <w:r>
        <w:rPr>
          <w:u w:val="single"/>
        </w:rPr>
        <w:t>Услуги по лечению</w:t>
      </w:r>
      <w:r>
        <w:t xml:space="preserve">. В рамках проекта детям предоставляются клинические услуги по лечению организациями "Альтернатива насилию" в Осло и Телемарке и Центром кризисной психологии в Бергене. </w:t>
      </w:r>
    </w:p>
    <w:p w:rsidR="003E3ADF" w:rsidRDefault="003E3ADF">
      <w:pPr>
        <w:ind w:left="1191" w:hanging="482"/>
      </w:pPr>
      <w:r>
        <w:t>2.</w:t>
      </w:r>
      <w:r>
        <w:tab/>
      </w:r>
      <w:r>
        <w:rPr>
          <w:u w:val="single"/>
        </w:rPr>
        <w:t>Расширение информационной базы посредством распространения информации и оказания консультационных услуг</w:t>
      </w:r>
      <w:r>
        <w:t xml:space="preserve"> службам семейных консультаций, службам социальной защиты детей и кризисным центрам. Информация рассылается также психиатрическим службам для детей и молодежи, полицейским службам, судебным органам и т. п. Материалы разработаны для использования при проведении собеседований с родителями и детьми в кризисных центрах. Осуществляется подготовка учебных материалов для специалистов, которые работают с детьми, живущими в условиях домашнего насилия. Этому проекту выделено дополнительное финансирование на подготовку информационных материалов и разработку пособий для широкой общественности, персонала государственных медицинских учреждений, преподавателей и сотрудников детских дошкольных учреждений. </w:t>
      </w:r>
    </w:p>
    <w:p w:rsidR="003E3ADF" w:rsidRDefault="003E3ADF">
      <w:pPr>
        <w:ind w:left="1191" w:hanging="482"/>
      </w:pPr>
      <w:r>
        <w:t>3.</w:t>
      </w:r>
      <w:r>
        <w:tab/>
      </w:r>
      <w:r>
        <w:rPr>
          <w:u w:val="single"/>
        </w:rPr>
        <w:t>Научные исследования</w:t>
      </w:r>
      <w:r>
        <w:t xml:space="preserve">. В рамках этого направления работы утвержден исследовательский проект под названием </w:t>
      </w:r>
      <w:r>
        <w:rPr>
          <w:i/>
        </w:rPr>
        <w:t xml:space="preserve">Barn som lever med vold i familien. </w:t>
      </w:r>
      <w:r>
        <w:rPr>
          <w:i/>
          <w:lang w:val="en-US"/>
        </w:rPr>
        <w:t>Hva har barna i disse familiene opplevd og har det påført dem skader?</w:t>
      </w:r>
      <w:r>
        <w:rPr>
          <w:lang w:val="en-US"/>
        </w:rPr>
        <w:t xml:space="preserve"> </w:t>
      </w:r>
      <w:r>
        <w:t xml:space="preserve">("Дети, живущие в условиях насилия в семье. Что испытали дети в этих семьях и нанесло ли это им вред?"). Главной целью этого исследования является сбор более широкой информации о детях – жертвах насилия в Норвегии, с тем чтобы улучшить качество их жизни и их шансы на будущее. </w:t>
      </w:r>
    </w:p>
    <w:p w:rsidR="003E3ADF" w:rsidRDefault="003E3ADF">
      <w:pPr>
        <w:ind w:left="709"/>
      </w:pPr>
      <w:r>
        <w:t xml:space="preserve">В целях активизации усилий по оказанию помощи детям – жертвам насилия были разработаны специальные пособия и руководства для работников государственного сектора, включающие: </w:t>
      </w:r>
    </w:p>
    <w:p w:rsidR="003E3ADF" w:rsidRDefault="003E3ADF">
      <w:pPr>
        <w:ind w:left="1191" w:hanging="482"/>
      </w:pPr>
      <w:r>
        <w:sym w:font="Symbol" w:char="F0B7"/>
      </w:r>
      <w:r>
        <w:t xml:space="preserve"> </w:t>
      </w:r>
      <w:r>
        <w:tab/>
        <w:t xml:space="preserve">Пособие по информационному обеспечению и сотрудничеству для работы с детьми, живущими в условиях бытового насилия, Q-1088 В. </w:t>
      </w:r>
    </w:p>
    <w:p w:rsidR="003E3ADF" w:rsidRDefault="003E3ADF">
      <w:pPr>
        <w:ind w:left="1191" w:hanging="482"/>
      </w:pPr>
      <w:r>
        <w:sym w:font="Symbol" w:char="F0B7"/>
      </w:r>
      <w:r>
        <w:tab/>
        <w:t>Циркуляр, касающийся службы социальной защиты детей и ее обязанности соблюдать конфиденциальность, право на информацию и обязанности обнародовать информацию, Q</w:t>
      </w:r>
      <w:r>
        <w:noBreakHyphen/>
        <w:t>24/2005.</w:t>
      </w:r>
    </w:p>
    <w:p w:rsidR="003E3ADF" w:rsidRDefault="003E3ADF">
      <w:pPr>
        <w:ind w:left="1191" w:hanging="482"/>
      </w:pPr>
      <w:r>
        <w:sym w:font="Symbol" w:char="F0B7"/>
      </w:r>
      <w:r>
        <w:tab/>
        <w:t xml:space="preserve">Издание "Молодые люди, оказывающие платные сексуальные услуги или торгующие ими", – профессиональное пособие для сотрудников служб помощи, Q-1100 (см. также материалы к пункту 3 статьи 6). </w:t>
      </w:r>
    </w:p>
    <w:p w:rsidR="003E3ADF" w:rsidRDefault="003E3ADF">
      <w:pPr>
        <w:ind w:left="709"/>
      </w:pPr>
      <w:r>
        <w:t xml:space="preserve">(Все эти материалы имеются только на норвежском языке.) </w:t>
      </w:r>
    </w:p>
    <w:p w:rsidR="003E3ADF" w:rsidRDefault="003E3ADF">
      <w:pPr>
        <w:ind w:left="709"/>
      </w:pPr>
      <w:r>
        <w:t xml:space="preserve">Целевыми группами, для которых предназначены эти руководства, являются службы социальной защиты детей, сотрудники судебных органов, социальные службы, службы здравоохранения, дошкольные учреждения и школы. Планируется также издание пособия о действиях служб социальной защиты детей в случае возникновения подозрений о жестоком обращении с детьми в ходе посещения родителей. </w:t>
      </w:r>
    </w:p>
    <w:p w:rsidR="003E3ADF" w:rsidRDefault="003E3ADF">
      <w:pPr>
        <w:ind w:left="709"/>
      </w:pPr>
      <w:r>
        <w:t>С целью защиты детей от жестокого обращения приняты поправки к Закону о детях и другим законам (см. Предложение № 11 (2005–2006 годы), представленное в одельстинг). В соответствии с этими поправками, в случаях опеки над детьми необходимо установить контроль, позволяющий гарантировать, что ребенок не подвергается жестокому обращению, в том числе не является свидетелем насилия, и обеспечить право на отказ в посещении ребенка, если это посещение не отвечает его интересам. В соответствии с другой поправкой, на государственные органы возложено обязательство в особых случаях, когда условием для посещения ребенка родителями является осуществление надзора, назначать надзирателя. Кроме того, в соответствии с этими поправками, для защиты лиц, которые имеют детей и могут стать жертвами насилия, разрешается использовать программы по предоставлению вымышленного имени и конфиденциального места жительства. Кроме того, была принята резолюция о внесении в Закон изменений, предусматривающих, что в тех случаях, когда один из родителей обвинен, приговорен или осужден за деяния, повлекшие за собой смерть другого родителя, дальнейшая ответственность за их детей возлагается не автоматически.</w:t>
      </w:r>
    </w:p>
    <w:p w:rsidR="003E3ADF" w:rsidRDefault="003E3ADF">
      <w:pPr>
        <w:ind w:left="709"/>
      </w:pPr>
      <w:r>
        <w:t xml:space="preserve">В 2005 году Министерство по делам детей и вопросам равноправия организовало в Осло и Бергене курсы для судебных работников, экспертов и юристов по проблемам вредных последствий насилия и жестокого обращения, а также по вопросам ведения дел об опеке над детьми в тех случаях, когда имеются подозрения в отношении насилия и жестокого обращения. </w:t>
      </w:r>
    </w:p>
    <w:p w:rsidR="003E3ADF" w:rsidRDefault="003E3ADF">
      <w:pPr>
        <w:ind w:left="709"/>
      </w:pPr>
      <w:r>
        <w:t xml:space="preserve">Были также приняты поправки к Закону о социальной защите детей, которые возлагают на частные кризисные центры установленную в законодательном порядке обязанность предоставлять центрам социальной защиты детей соответствующую информацию, если существует риск того, что ребенок вернется к отцу, склонному к насилию. Эта обязанность соответствует обязанностям других организаций и частных учреждений, которые в настоящее время выполняют ряд функций для государственного сектора. </w:t>
      </w:r>
    </w:p>
    <w:p w:rsidR="003E3ADF" w:rsidRDefault="003E3ADF">
      <w:pPr>
        <w:ind w:left="709"/>
      </w:pPr>
      <w:r>
        <w:t>Используя самостоятельно собранные средства и средства, выделенные Управлением по делам детей, молодежи и семьи и Министерством юстиции, Секретариат Кризисного центра подготовил руководство, предназначенное для повышения квалификации вспомогательного персонала, оказывающего помощь женщинам – жертвам насилия и их детям, которые проживают в кризисных центрах Норвегии или пользуются их услугами. В частности, в пособии рассказывается о положении женщин – жертв насилия и их детей, оказавшихся в кризисной ситуации, приводится описание методов, посредством которых сотрудники могут установить с жертвами доверительные отношения, заставить поверить в свои силы и внушить женщинам уверенность в том, что только от них зависит, как сложится их дальнейшая судьба. На наглядных примерах в пособии разъясняются способы ведения беседы, при помощи которых можно определить, существует ли угроза насилия, масштабы и последствия насилия, а также весь комплекс мер, к которым могут прибегнуть жертвы насилия. Мы живем в обществе культурного плюрализма, и в руководстве подчеркивается важная роль сотрудников, обладающих опытом работы с женщинами – жертвами насилия и детьми из числа меньшинств, а также необходимость знания ими методов, при помощи которых они могут поддержать жертв насилия после их выхода из кризисных центров.</w:t>
      </w:r>
    </w:p>
    <w:p w:rsidR="003E3ADF" w:rsidRDefault="003E3ADF">
      <w:pPr>
        <w:keepNext/>
        <w:ind w:left="709"/>
        <w:rPr>
          <w:u w:val="single"/>
        </w:rPr>
      </w:pPr>
      <w:r>
        <w:rPr>
          <w:u w:val="single"/>
        </w:rPr>
        <w:t xml:space="preserve">Работа с женщинами – жертвами насилия в тюрьме </w:t>
      </w:r>
    </w:p>
    <w:p w:rsidR="003E3ADF" w:rsidRDefault="003E3ADF">
      <w:pPr>
        <w:ind w:left="709"/>
      </w:pPr>
      <w:r>
        <w:t xml:space="preserve">Большое число женщин, находящихся в заключении, подвергались жестокому обращению со стороны лиц, с которыми они находились в близких отношениях. Чтобы помочь заключенным справиться с пережитым опытом, под эгидой Исправительной службы в дополнение к услугам, предоставляемым обычными службами здравоохранения, был разработан ряд специальных мероприятий, в том числе познавательные программы. </w:t>
      </w:r>
    </w:p>
    <w:p w:rsidR="003E3ADF" w:rsidRDefault="003E3ADF">
      <w:pPr>
        <w:ind w:left="709"/>
      </w:pPr>
      <w:r>
        <w:t>Осенью 2004 года Исправительная служба Восточного региона и Секретариат Кризисного центра заключили соглашение о начале реализации программы собеседований для находящихся в тюрьмах женщин – жертв насилия. Цель программы состояла в том, чтобы помочь женщинам-заключенным избавиться от роли жертвы и не допустить применения мужчинами насилия в отношении женщин. Кроме того, одной из задач проекта было повышение квалификации тюремного персонала. Женщинам была предоставлена возможность участвовать в занятиях обычных групп или также в период отбывания наказания проходить индивидуальные собеседования в кризисном центре. Опыт, накопленный в ходе этого проекта, оказался чрезвычайно полезным. По словам женщин, им было трудно говорить о насилии и о своих личных переживаниях, однако их психическое здоровье улучшилось, и они считают, что процесс, через который они прошли в ходе осуществления проекта, был чрезвычайно важным как способ подготовки к жизни без насилия после выхода из тюрьмы.</w:t>
      </w:r>
    </w:p>
    <w:p w:rsidR="003E3ADF" w:rsidRDefault="003E3ADF">
      <w:pPr>
        <w:keepNext/>
        <w:ind w:left="709"/>
        <w:rPr>
          <w:u w:val="single"/>
        </w:rPr>
      </w:pPr>
      <w:r>
        <w:rPr>
          <w:u w:val="single"/>
        </w:rPr>
        <w:t>Лица, не имеющие разрешения на постоянное проживание в Норвегии</w:t>
      </w:r>
    </w:p>
    <w:p w:rsidR="003E3ADF" w:rsidRDefault="003E3ADF">
      <w:pPr>
        <w:ind w:left="709"/>
      </w:pPr>
      <w:r>
        <w:t xml:space="preserve">Законодательная поправка, принятая 6 января 2006 года, ввела в действие положения, которые предусматривают возможность отклонения ходатайства о воссоединении семьи и о предоставлении визы, если существует вероятность того, что заявитель или его/ее дети от другого брака могут быть подвергнуты жестокому обращению или грубой эксплуатации. В связи с этим были также введены в действие положения о праве на проверку поведения и характера заявителя в случаях, касающихся воссоединения семьи и выдачи виз. Целью является предотвращение жестокого обращения или циничной эксплуатации женщин из более бедных стран, выходящих замуж за мужчин, проживающих в Норвегии. Положения, касающиеся проверки поведения и характера заявителя, пока не вступили в силу. </w:t>
      </w:r>
    </w:p>
    <w:p w:rsidR="003E3ADF" w:rsidRDefault="003E3ADF">
      <w:pPr>
        <w:ind w:left="709"/>
      </w:pPr>
      <w:r>
        <w:t xml:space="preserve">Иммиграционные правила содержат специальное положение, касающееся женщин и детей, подвергающихся жестокому обращению. В соответствии с этим положением, подвергающиеся жестокому обращению женщины и дети, которым предоставлен вид на жительство на основании воссоединения семьи, должны получать обновленные разрешения на проживание на независимых основаниях, если они являются жертвами жестокого обращения. Цель этого положения состоит в том, чтобы исключить ситуации, когда жертва жестокого обращения вынуждена мириться с этой ситуацией, чтобы сохранить разрешение на проживание в Норвегии. Согласно статистическим данным Иммиграционного управления за 2004 год, на этих основаниях из общего числа 89 заявлений на предоставление вида на жительство 58 были удовлетворены и 31 отклонено. В документе </w:t>
      </w:r>
      <w:r>
        <w:rPr>
          <w:szCs w:val="24"/>
        </w:rPr>
        <w:t xml:space="preserve">NOU 2004: 20 </w:t>
      </w:r>
      <w:r>
        <w:t>"</w:t>
      </w:r>
      <w:r>
        <w:rPr>
          <w:i/>
        </w:rPr>
        <w:t>Ny utlendingslov</w:t>
      </w:r>
      <w:r>
        <w:rPr>
          <w:iCs/>
        </w:rPr>
        <w:t>"</w:t>
      </w:r>
      <w:r>
        <w:rPr>
          <w:i/>
          <w:szCs w:val="24"/>
        </w:rPr>
        <w:t xml:space="preserve"> </w:t>
      </w:r>
      <w:r>
        <w:t>(Официальный доклад Норвегии 2004: 20 "Новый закон об иммиграции") содержится предложение сделать это положение гендерно нейтральным, применяя его к мужчинам и женщинам.</w:t>
      </w:r>
    </w:p>
    <w:p w:rsidR="003E3ADF" w:rsidRDefault="003E3ADF">
      <w:pPr>
        <w:ind w:left="709"/>
        <w:rPr>
          <w:b/>
          <w:bCs/>
        </w:rPr>
      </w:pPr>
      <w:r>
        <w:rPr>
          <w:b/>
          <w:bCs/>
        </w:rPr>
        <w:t>Изнасилование</w:t>
      </w:r>
    </w:p>
    <w:p w:rsidR="003E3ADF" w:rsidRDefault="003E3ADF">
      <w:pPr>
        <w:ind w:left="709"/>
      </w:pPr>
      <w:r>
        <w:t xml:space="preserve">Изнасилования представляют собой особую проблему для правовой системы и служб здравоохранения. Как показатели распространенности зарегистрированных случаев изнасилования, так и абсолютные цифры зарегистрированных изнасилований, заканчивающихся осуждением правонарушителей, являются низкими. Кроме того, по данным обследований, медицинские услуги, предоставляемые жертвам изнасилования, значительно различаются по качеству, содержанию и организации. Предусмотренные в Плане действий меры направлены на то, чтобы улучшить качество предоставляемых жертвам изнасилования услуг посредством укрепления служб здравоохранения на местном и региональном уровнях. В каждой области должен быть создан по меньшей мере один межмуниципальный приемный центр для жертв насилия или изнасилования. </w:t>
      </w:r>
    </w:p>
    <w:p w:rsidR="003E3ADF" w:rsidRDefault="003E3ADF">
      <w:pPr>
        <w:ind w:left="709"/>
      </w:pPr>
      <w:r>
        <w:t xml:space="preserve">Нынешнее правительство на странице 70 своей политической платформы (Декларация Сориа Мориа) заявило о своем намерении назначить общественный комитет широкого состава, который готовил бы информацию о положении женщин, подвергшихся изнасилованию или другим формам сексуального насилия. Комитет, который будет назначен в августе 2006 года, будет выявлять причины, способствующие тому, что случаи изнасилования не регистрируются, предлагать меры и стратегии, направленные на улучшение системы показателей учета случаев изнасилования, анализировать возможность применения к случаям изнасилования альтернативных стратегий разрешения конфликтов, а также оценивать положение ставших жертвами изнасилования женщин и мужчин с различными формами инвалидности, представителей меньшинств или, в частности, лиц с опытом проституции. </w:t>
      </w:r>
    </w:p>
    <w:p w:rsidR="003E3ADF" w:rsidRDefault="003E3ADF">
      <w:pPr>
        <w:ind w:left="709"/>
      </w:pPr>
      <w:r>
        <w:t xml:space="preserve">Правительство также заявило о своем намерении ужесточить наказания за изнасилование, убийство, тяжкие насильственные преступления с применением насилия и преступления на сексуальной почве. </w:t>
      </w:r>
    </w:p>
    <w:p w:rsidR="003E3ADF" w:rsidRDefault="003E3ADF">
      <w:pPr>
        <w:ind w:left="709"/>
      </w:pPr>
      <w:r>
        <w:t xml:space="preserve">Генеральный директор Государственной прокуратуры в настоящее время проводит обзор вынесенных судебными органами в период с 2003 года до конца первой половины 2005 года обязательных к исполнению решений по делам об изнасиловании, которые завершились оправдательными приговорами. С целью оценки качества работы следствия и прокуратуры и анализа имеющихся статистических данных была назначена рабочая группа, которая должна представить свой отчет в сентябре 2006 года. </w:t>
      </w:r>
    </w:p>
    <w:p w:rsidR="003E3ADF" w:rsidRDefault="003E3ADF">
      <w:pPr>
        <w:ind w:left="709"/>
        <w:rPr>
          <w:b/>
          <w:bCs/>
        </w:rPr>
      </w:pPr>
      <w:r>
        <w:rPr>
          <w:b/>
          <w:bCs/>
        </w:rPr>
        <w:t xml:space="preserve">Насилие на сексуальной почве и физическое насилие в отношении детей </w:t>
      </w:r>
    </w:p>
    <w:p w:rsidR="003E3ADF" w:rsidRDefault="003E3ADF">
      <w:pPr>
        <w:ind w:left="709"/>
      </w:pPr>
      <w:r>
        <w:t xml:space="preserve">Органы государственной власти, добровольческие организации, исследователи и эксперты были едины в том, что службы для детей и молодежи, которые подвергаются сексуальному и/или физическому насилию, нуждаются в укреплении. В связи с этим в мае 2005 года Министерство по делам детей и семьи и другие министерства и управления представили документ </w:t>
      </w:r>
      <w:r>
        <w:rPr>
          <w:i/>
        </w:rPr>
        <w:t>Strategi mot seksuelle og fysiske overgrep mot barn (2005-2009)</w:t>
      </w:r>
      <w:r>
        <w:rPr>
          <w:szCs w:val="24"/>
        </w:rPr>
        <w:t xml:space="preserve"> </w:t>
      </w:r>
      <w:r>
        <w:t>("Стратегический план борьбы с насилием на сексуальной почве и физическим насилием в отношении детей") (2005–2009 годы)). Предусмотренные планом меры распространяются на детей и молодежь в возрасте до 18 лет. План включает 22 мероприятия, которые направлены на то, чтобы предотвратить и предать гласности случаи насилия, предоставить помощь и лечение жертвам, провести соответствующие исследования и повысить профессиональную квалификацию сотрудников. Руководство министерств подчеркивает, что мероприятия по борьбе с насилием на сексуальной почве и физическим насилием должны сочетаться с мерами по защите детей, являющихся свидетелями бытового насилия, в частности программами, предусмотренными в Плане действий по борьбе с насилием в семье. В соответствии с Планом, должно быть проведено крупное национальное обследование масштабов насилия в отношении детей, в том числе и физического насилия и насилия на сексуальной почве. Кроме того, в обследовании будет уделено серьезное внимание причинам и последствиям такого насилия (см. также материалы к разделу "Насилие в семье").</w:t>
      </w:r>
    </w:p>
    <w:p w:rsidR="003E3ADF" w:rsidRDefault="003E3ADF">
      <w:pPr>
        <w:ind w:left="709"/>
      </w:pPr>
      <w:r>
        <w:t xml:space="preserve">Центры по защите жертв инцеста, работающие в основном в дневное время, оказывают помощь взрослым, ставшим жертвами насилия на сексуальной почве, и родственникам детей и молодых людей, пострадавших от насилия. Однако отдельные центры по защите жертв инцеста имеют также программы для детей и молодежи. Целью этих центров является оказание консультационных услуг, поддержки и помощи обращающимся к ним лицам на базе принципа "помощь для самопомощи". Многие центры наряду с этим проводят профилактическую работу и предоставляют информацию и методическую помощь другим учреждениям, действующим в этой области. Начиная с 2006 года центры по защите жертв инцеста, подобно кризисным центрам, находятся на государственном обеспечении, при этом 20 процентов их бюджетных средств поступают из муниципалитетов или больниц, финансируемых за счет центрального правительства, а остающиеся 80 процентов покрываются непосредственно из государственного бюджета. </w:t>
      </w:r>
    </w:p>
    <w:p w:rsidR="003E3ADF" w:rsidRDefault="003E3ADF">
      <w:pPr>
        <w:ind w:left="709"/>
      </w:pPr>
      <w:r>
        <w:t>Задача по защите детей от насилия на сексуальной почве стоит на одном из первых мест в реализуемой министерством программе по обеспечению более безопасного для детей и юношества пользования интернетом. В рамках плана действий, касающегося детей и молодежи и проекта "Интернет: факты о его безопасности и методы ее обеспечения", информация о рискованном поведении и безопасном использовании сети интернета распространяется среди детей и молодежи, преподавателей и других заинтересованных лиц. Детей учат, как избежать того, чтобы их личные данные появлялись в интернете, и как вести себя с лицами, с которыми они встречаются на чат-сайтах. Это имеет большое значение для того, чтобы помешать лицам, занимающимся растлением малолетних, выследить ребенка и не допустить, чтобы в реальной жизни дети встретились с потенциальными растлителями малолетних. Этот проект, частично финансируемый Европейским союзом, осуществляется при сотрудничестве Швеции, Дании, Исландии и Ирландии.</w:t>
      </w:r>
    </w:p>
    <w:p w:rsidR="003E3ADF" w:rsidRDefault="003E3ADF">
      <w:pPr>
        <w:ind w:left="709"/>
        <w:rPr>
          <w:b/>
          <w:bCs/>
        </w:rPr>
      </w:pPr>
      <w:r>
        <w:rPr>
          <w:b/>
          <w:bCs/>
        </w:rPr>
        <w:t>Усилия по борьбе с торговлей людьми</w:t>
      </w:r>
    </w:p>
    <w:p w:rsidR="003E3ADF" w:rsidRDefault="003E3ADF">
      <w:pPr>
        <w:ind w:left="709"/>
        <w:rPr>
          <w:i/>
        </w:rPr>
      </w:pPr>
      <w:r>
        <w:rPr>
          <w:i/>
        </w:rPr>
        <w:t>Введение</w:t>
      </w:r>
    </w:p>
    <w:p w:rsidR="003E3ADF" w:rsidRDefault="003E3ADF">
      <w:pPr>
        <w:ind w:left="709"/>
      </w:pPr>
      <w:r>
        <w:t xml:space="preserve">Ответственность за координацию усилий правительства по борьбе с торговлей людьми несет Министерство юстиции. Эта деятельность организована на базе двух правительственных планов действий: Плана действий по борьбе с торговлей женщинами и детьми (2003–2005 годы), который начал осуществляться в феврале 2003 года, и Плана действий по борьбе с торговлей людьми (2005–2008 годы), к реализации которого Норвегия приступила в июне 2005 года. Осенью 2006 года второе правительство Столтенберга планирует представить программу мероприятий по борьбе с торговлей людьми. Для централизованной координации действий создана межминистерская рабочая группа, в которую вошли представители пяти министерств. Рабочая группа будет осуществлять контроль за реализацией мер по борьбе с торговлей людьми и дважды в год представлять отчеты в комитет государственного секретаря. </w:t>
      </w:r>
    </w:p>
    <w:p w:rsidR="003E3ADF" w:rsidRDefault="003E3ADF">
      <w:pPr>
        <w:keepNext/>
        <w:ind w:left="709"/>
      </w:pPr>
      <w:r>
        <w:t>Усилия по борьбе с торговлей людьми сосредоточены на решении пяти основных задач:</w:t>
      </w:r>
    </w:p>
    <w:p w:rsidR="003E3ADF" w:rsidRDefault="003E3ADF">
      <w:pPr>
        <w:ind w:left="1191" w:hanging="482"/>
      </w:pPr>
      <w:r>
        <w:t>1.</w:t>
      </w:r>
      <w:r>
        <w:tab/>
        <w:t>Предотвращение торговли людьми посредством ограничения найма и спроса на рабочую силу;</w:t>
      </w:r>
    </w:p>
    <w:p w:rsidR="003E3ADF" w:rsidRDefault="003E3ADF">
      <w:pPr>
        <w:ind w:left="1191" w:hanging="482"/>
      </w:pPr>
      <w:r>
        <w:t>2.</w:t>
      </w:r>
      <w:r>
        <w:tab/>
        <w:t>Улучшение качества программ предоставления помощи и защиты жертвам торговли людьми;</w:t>
      </w:r>
    </w:p>
    <w:p w:rsidR="003E3ADF" w:rsidRDefault="003E3ADF">
      <w:pPr>
        <w:ind w:left="1191" w:hanging="482"/>
      </w:pPr>
      <w:r>
        <w:t>3.</w:t>
      </w:r>
      <w:r>
        <w:tab/>
        <w:t>Активизация усилий по разоблачению и уголовному преследованию торговцев людьми;</w:t>
      </w:r>
    </w:p>
    <w:p w:rsidR="003E3ADF" w:rsidRDefault="003E3ADF">
      <w:pPr>
        <w:ind w:left="1191" w:hanging="482"/>
      </w:pPr>
      <w:r>
        <w:t>4.</w:t>
      </w:r>
      <w:r>
        <w:tab/>
        <w:t>Накопление информации и расширение межведомственного сотрудничества на национальном уровне;</w:t>
      </w:r>
    </w:p>
    <w:p w:rsidR="003E3ADF" w:rsidRDefault="003E3ADF">
      <w:pPr>
        <w:ind w:left="1191" w:hanging="482"/>
      </w:pPr>
      <w:r>
        <w:t>5.</w:t>
      </w:r>
      <w:r>
        <w:tab/>
        <w:t>Укрепление международных механизмов и развитие международного сотрудничества.</w:t>
      </w:r>
    </w:p>
    <w:p w:rsidR="003E3ADF" w:rsidRDefault="003E3ADF">
      <w:pPr>
        <w:keepNext/>
        <w:ind w:left="709"/>
        <w:rPr>
          <w:i/>
        </w:rPr>
      </w:pPr>
      <w:r>
        <w:rPr>
          <w:i/>
        </w:rPr>
        <w:t>Поправки к законодательным актам и прецедентное право</w:t>
      </w:r>
    </w:p>
    <w:p w:rsidR="003E3ADF" w:rsidRDefault="003E3ADF">
      <w:pPr>
        <w:ind w:left="709"/>
      </w:pPr>
      <w:r>
        <w:t>В 2003 году в соответствии с определением статьи 3 Палермского протокола к разделу 224 Уголовного кодекса было принято специальное положение, относящее торговлю людьми к разряду уголовных преступлений и устанавливающее наказание за нее. При этом положение Протокола охватывает только преступные группировки, стоящие за торговлей людьми, тогда как первый пункт раздела 224 направлен и против лиц, занимающихся фактической эксплуатацией людей. Максимальное наказание составляет 10 лет. Приняты также положения, которые предписывают более суровые наказания за участие в организованной преступной деятельности (раздел 60 Уголовного кодекса) и повторные преступления (раздел 61 Уголовного кодекса) и которые будут также применяться к делам о торговле людьми. Оба положения были приняты посредством Закона № 78 от 4 июля 2003 года.</w:t>
      </w:r>
    </w:p>
    <w:p w:rsidR="003E3ADF" w:rsidRDefault="003E3ADF">
      <w:pPr>
        <w:ind w:left="709"/>
      </w:pPr>
      <w:r>
        <w:t xml:space="preserve">Поскольку раздел 224 Уголовного кодекса является относительно новым, опыт прецедентного права, относящийся к данному положению, является ограниченным. Однако в постановлении, вынесенном недавно Апелляционным судом Фростатинга (LF-2005-71379), двое обвиняемых были осуждены за нарушение данного уголовного положения. Это решение было обжаловано в Верховном суде как осужденными лицами, так и государственным обвинителем. Верховный суд оставил в силе меру наказания – лишение свободы на срок пять лет и три года, соответственно. </w:t>
      </w:r>
    </w:p>
    <w:p w:rsidR="003E3ADF" w:rsidRDefault="003E3ADF">
      <w:pPr>
        <w:ind w:left="709"/>
      </w:pPr>
      <w:r>
        <w:t>До вступления в силу этого положения, предусматривающего уголовное наказание, к делам подобного рода применялись другие положения, вводящие уголовные санкции, в частности раздел 202 (касающийся сводничества) Уголовного кодекса. Например, можно сослаться на постановление, опубликованное на странице 331 Отчетов Верховного суда Норвегии за 2004 год (которые являются кратким изложением решений Верховного суда), в котором устанавливается, что владельцы кемпинга, в котором имело место масштабное занятие проституцией, подлежат наказанию. Имеется также относящееся к данному вопросу дело Окружного суда Осло от 15 февраля 2005 года, в котором было применено положение бывшего раздела 224 Уголовного кодекса. Это положение применимо к любому лицу, которое силой, угрозами или обманными методами незаконно подчиняет кого-либо лицо собственной власти или власти другого лица с намерением переправить это лицо в другую страну с непристойными целями. Это решение было обжаловано, и недавно было вынесено постановление Апелляционного суда Боргартинга (LB</w:t>
      </w:r>
      <w:r>
        <w:noBreakHyphen/>
        <w:t>2005-58617), в котором двое обвиняемых лиц были признаны виновными в нарушении положений раздела 224. В настоящее время в соответствии с разделом 224 Уголовного кодекса также проводится расследование ряда дел.</w:t>
      </w:r>
    </w:p>
    <w:p w:rsidR="003E3ADF" w:rsidRDefault="003E3ADF">
      <w:pPr>
        <w:ind w:left="709"/>
        <w:rPr>
          <w:i/>
        </w:rPr>
      </w:pPr>
      <w:r>
        <w:rPr>
          <w:i/>
        </w:rPr>
        <w:t>Разработка и выполнение международных правил</w:t>
      </w:r>
    </w:p>
    <w:p w:rsidR="003E3ADF" w:rsidRDefault="003E3ADF">
      <w:pPr>
        <w:ind w:left="709"/>
      </w:pPr>
      <w:r>
        <w:t xml:space="preserve">Норвегия ратифицировала Конвенцию Организации Объединенных Наций </w:t>
      </w:r>
      <w:r>
        <w:rPr>
          <w:rFonts w:cs="TimesNewRomanPSMT+1"/>
          <w:kern w:val="0"/>
        </w:rPr>
        <w:t xml:space="preserve">против транснациональной организованной преступности </w:t>
      </w:r>
      <w:r>
        <w:rPr>
          <w:rFonts w:cs="TimesNewRomanPSMT"/>
          <w:kern w:val="0"/>
        </w:rPr>
        <w:t>и Дополнительный п</w:t>
      </w:r>
      <w:r>
        <w:rPr>
          <w:rFonts w:cs="TimesNewRomanPSMT+1"/>
          <w:kern w:val="0"/>
        </w:rPr>
        <w:t>ротокол о предупреждении и пресечении торговли людьми</w:t>
      </w:r>
      <w:r>
        <w:rPr>
          <w:rFonts w:cs="TimesNewRomanPSMT"/>
          <w:kern w:val="0"/>
        </w:rPr>
        <w:t xml:space="preserve">, </w:t>
      </w:r>
      <w:r>
        <w:rPr>
          <w:rFonts w:cs="TimesNewRomanPSMT+1"/>
          <w:kern w:val="0"/>
        </w:rPr>
        <w:t>особенно женщинами и детьми</w:t>
      </w:r>
      <w:r>
        <w:rPr>
          <w:rFonts w:cs="TimesNewRomanPSMT"/>
          <w:kern w:val="0"/>
        </w:rPr>
        <w:t xml:space="preserve">, </w:t>
      </w:r>
      <w:r>
        <w:rPr>
          <w:rFonts w:cs="TimesNewRomanPSMT+1"/>
          <w:kern w:val="0"/>
        </w:rPr>
        <w:t>и наказании за нее</w:t>
      </w:r>
      <w:r>
        <w:rPr>
          <w:rFonts w:cs="TimesNewRomanPSMT"/>
          <w:kern w:val="0"/>
        </w:rPr>
        <w:t xml:space="preserve">, известный также как </w:t>
      </w:r>
      <w:r>
        <w:t xml:space="preserve">Палермский протокол. В мае 2005 года Норвегия подписала Конвенцию Совета Европы о действиях по борьбе с </w:t>
      </w:r>
      <w:r>
        <w:rPr>
          <w:rFonts w:cs="TimesNewRomanPSMT+1"/>
          <w:kern w:val="0"/>
        </w:rPr>
        <w:t>торговлей людьми и в настоящее время готовится к ратификации этой конвенции.</w:t>
      </w:r>
    </w:p>
    <w:p w:rsidR="003E3ADF" w:rsidRDefault="003E3ADF">
      <w:pPr>
        <w:ind w:left="709"/>
      </w:pPr>
      <w:r>
        <w:t>Норвежские власти являются активными сторонниками деятельности по укреплению и координации международных правил и расширения борьбы против торговли людьми в рамках сотрудничества между странами Северной Европы и между странами Северной Европы и Балтии,</w:t>
      </w:r>
      <w:r>
        <w:rPr>
          <w:rFonts w:cs="TimesNewRomanPSMT+1"/>
          <w:kern w:val="0"/>
        </w:rPr>
        <w:t xml:space="preserve"> НАТО, ОБСЕ, </w:t>
      </w:r>
      <w:r>
        <w:t>Совета Европы, Совета Баренцева региона и Совета государств</w:t>
      </w:r>
      <w:r>
        <w:rPr>
          <w:rFonts w:cs="TimesNewRomanPSMT+1"/>
          <w:kern w:val="0"/>
        </w:rPr>
        <w:t xml:space="preserve"> Балтийского</w:t>
      </w:r>
      <w:r>
        <w:t xml:space="preserve"> моря. Посредством оказания поддержки в осуществлении проектов и обмена опытом Норвегия помогает странам происхождения жертв</w:t>
      </w:r>
      <w:r>
        <w:rPr>
          <w:rFonts w:cs="TimesNewRomanPSMT+1"/>
          <w:kern w:val="0"/>
        </w:rPr>
        <w:t xml:space="preserve"> торговли людьми в выполнении положений и рекомендаций, предусмотренных в </w:t>
      </w:r>
      <w:r>
        <w:t>международных договорах. Норвежские власти уделяют особое внимание детям – жертвам</w:t>
      </w:r>
      <w:r>
        <w:rPr>
          <w:rFonts w:cs="TimesNewRomanPSMT+1"/>
          <w:kern w:val="0"/>
        </w:rPr>
        <w:t xml:space="preserve"> торговли людьми</w:t>
      </w:r>
      <w:r>
        <w:t>, в частности, посредством сотрудничества и поддержки политики в интересах защиты детей в Совете государств</w:t>
      </w:r>
      <w:r>
        <w:rPr>
          <w:rFonts w:cs="TimesNewRomanPSMT+1"/>
          <w:kern w:val="0"/>
        </w:rPr>
        <w:t xml:space="preserve"> Балтийского</w:t>
      </w:r>
      <w:r>
        <w:t xml:space="preserve"> моря. </w:t>
      </w:r>
    </w:p>
    <w:p w:rsidR="003E3ADF" w:rsidRDefault="003E3ADF">
      <w:pPr>
        <w:ind w:left="709"/>
      </w:pPr>
      <w:r>
        <w:t xml:space="preserve">Министерство обороны и вооруженные силы в целом активно участвуют в предпринимаемых в настоящее время НАТО и Организацией Объединенных Наций усилиях, направленных на то, чтобы не допустить совершение участвующими в международных операциях военнослужащими каких-либо действий, способствующих </w:t>
      </w:r>
      <w:r>
        <w:rPr>
          <w:rFonts w:cs="TimesNewRomanPSMT+1"/>
          <w:kern w:val="0"/>
        </w:rPr>
        <w:t>торговле женщинами и детьми, например посредством приобретения сексуальных услуг. В настоящее время м</w:t>
      </w:r>
      <w:r>
        <w:t>инистерство занимается внесением необходимых изменений в законодательство в целях обеспечения того, чтобы вооруженные силы располагали необходимыми полномочиями для принятия дисциплинарных мер против таких нарушителей.</w:t>
      </w:r>
    </w:p>
    <w:p w:rsidR="003E3ADF" w:rsidRDefault="003E3ADF">
      <w:pPr>
        <w:ind w:left="709"/>
        <w:rPr>
          <w:i/>
        </w:rPr>
      </w:pPr>
      <w:r>
        <w:rPr>
          <w:i/>
        </w:rPr>
        <w:t xml:space="preserve">Двустороннее и многостороннее сотрудничество полиции </w:t>
      </w:r>
    </w:p>
    <w:p w:rsidR="003E3ADF" w:rsidRDefault="003E3ADF">
      <w:pPr>
        <w:ind w:left="709"/>
      </w:pPr>
      <w:r>
        <w:t xml:space="preserve">Норвегия принимает участие в нескольких международных форумах по сотрудничеству полицейских и судебных органов и вносит вклад в работу организаций, занимающихся активной борьбой с </w:t>
      </w:r>
      <w:r>
        <w:rPr>
          <w:rFonts w:cs="TimesNewRomanPSMT+1"/>
          <w:kern w:val="0"/>
        </w:rPr>
        <w:t>торговлей людьми. Это относится также к ОБСЕ, Европолу, Евроюсту, Пакту стабильности для Юго-Восточной Европы и, не в последнюю очередь, к Интерполу, в котором Управление полиции возглавило Рабочую группу по</w:t>
      </w:r>
      <w:r>
        <w:t xml:space="preserve"> борьбе с </w:t>
      </w:r>
      <w:r>
        <w:rPr>
          <w:rFonts w:cs="TimesNewRomanPSMT+1"/>
          <w:kern w:val="0"/>
        </w:rPr>
        <w:t xml:space="preserve">торговлей женщинами в целях сексуальной эксплуатации. </w:t>
      </w:r>
      <w:r>
        <w:t xml:space="preserve">Норвегия работает в тесном взаимодействии с полицией </w:t>
      </w:r>
      <w:r>
        <w:rPr>
          <w:rFonts w:cs="TimesNewRomanPSMT+1"/>
          <w:kern w:val="0"/>
        </w:rPr>
        <w:t>стран Северной Европы, балтийских</w:t>
      </w:r>
      <w:r>
        <w:t xml:space="preserve"> государств</w:t>
      </w:r>
      <w:r>
        <w:rPr>
          <w:rFonts w:cs="TimesNewRomanPSMT+1"/>
          <w:kern w:val="0"/>
        </w:rPr>
        <w:t xml:space="preserve"> </w:t>
      </w:r>
      <w:r>
        <w:t xml:space="preserve">и региона Баренцева моря. В </w:t>
      </w:r>
      <w:r>
        <w:rPr>
          <w:rFonts w:cs="TimesNewRomanPSMT+1"/>
          <w:kern w:val="0"/>
        </w:rPr>
        <w:t xml:space="preserve">рамках </w:t>
      </w:r>
      <w:r>
        <w:t>совместного проекта, осуществляемого полицейскими подразделениями в</w:t>
      </w:r>
      <w:r>
        <w:rPr>
          <w:rFonts w:cs="TimesNewRomanPSMT+1"/>
          <w:kern w:val="0"/>
        </w:rPr>
        <w:t xml:space="preserve"> </w:t>
      </w:r>
      <w:r>
        <w:t>регионе Баренцева моря, о</w:t>
      </w:r>
      <w:r>
        <w:rPr>
          <w:rFonts w:cs="TimesNewRomanPSMT+1"/>
          <w:kern w:val="0"/>
        </w:rPr>
        <w:t xml:space="preserve">собое внимание уделяется борьбе с приобретением сексуальных услуг несовершеннолетних и торговлей детьми. </w:t>
      </w:r>
      <w:r>
        <w:t xml:space="preserve"> </w:t>
      </w:r>
    </w:p>
    <w:p w:rsidR="003E3ADF" w:rsidRDefault="003E3ADF">
      <w:pPr>
        <w:ind w:left="709"/>
        <w:rPr>
          <w:rFonts w:cs="TimesNewRomanPSMT+1"/>
          <w:i/>
          <w:kern w:val="0"/>
        </w:rPr>
      </w:pPr>
      <w:r>
        <w:rPr>
          <w:i/>
        </w:rPr>
        <w:t>Поддержка мер, направленных на сокращение масштабов вербовки в странах происхождения</w:t>
      </w:r>
      <w:r>
        <w:rPr>
          <w:rFonts w:cs="TimesNewRomanPSMT+1"/>
          <w:i/>
          <w:kern w:val="0"/>
        </w:rPr>
        <w:t xml:space="preserve"> </w:t>
      </w:r>
    </w:p>
    <w:p w:rsidR="003E3ADF" w:rsidRDefault="003E3ADF">
      <w:pPr>
        <w:ind w:left="709"/>
      </w:pPr>
      <w:r>
        <w:t xml:space="preserve">В рамках планов действий по борьбе с </w:t>
      </w:r>
      <w:r>
        <w:rPr>
          <w:rFonts w:cs="TimesNewRomanPSMT+1"/>
          <w:kern w:val="0"/>
        </w:rPr>
        <w:t xml:space="preserve">торговлей людьми, правительственной Стратегии в интересах женщин и равенства полов в области сотрудничества в целях развития (1997–2005 годы) и Плана действий правительства по борьбе с нищетой в странах Юга на период до 2015 года </w:t>
      </w:r>
      <w:r>
        <w:t xml:space="preserve">Норвегия оказывает поддержку проектам норвежских и международных </w:t>
      </w:r>
      <w:r>
        <w:rPr>
          <w:rFonts w:cs="TimesNewRomanPSMT+1"/>
          <w:kern w:val="0"/>
        </w:rPr>
        <w:t xml:space="preserve">организаций, направленным на улучшение положения женщин и детей </w:t>
      </w:r>
      <w:r>
        <w:t xml:space="preserve">в странах происхождения </w:t>
      </w:r>
      <w:r>
        <w:rPr>
          <w:rFonts w:cs="TimesNewRomanPSMT+1"/>
          <w:kern w:val="0"/>
        </w:rPr>
        <w:t>и, посредством этого, на сокращение масштабов</w:t>
      </w:r>
      <w:r>
        <w:t xml:space="preserve"> вербовки с целью</w:t>
      </w:r>
      <w:r>
        <w:rPr>
          <w:rFonts w:cs="TimesNewRomanPSMT+1"/>
          <w:kern w:val="0"/>
        </w:rPr>
        <w:t xml:space="preserve"> торговли людьми. Реализуемые этими организациями информационные</w:t>
      </w:r>
      <w:r>
        <w:t xml:space="preserve"> кампании, а также различные программы в области образования, занятости и восстановления создают </w:t>
      </w:r>
      <w:r>
        <w:rPr>
          <w:rFonts w:cs="TimesNewRomanPSMT+1"/>
          <w:kern w:val="0"/>
        </w:rPr>
        <w:t>новые возможности для женщин и детей</w:t>
      </w:r>
      <w:r>
        <w:t xml:space="preserve">. В проектах, осуществляемых в рамках сотрудничества в целях развития, особое внимание уделяется укреплению прав женщин и детей, особенно наиболее уязвимых групп населения. Представительства Норвегии за рубежом в сотрудничестве с национальными властями и организациями разрабатывают и осуществляют необходимые проекты и программы, и в ответ на предложения от стран – получателей помощи Норвегия будет оказывать поддержку усилиям по борьбе с торговлей людьми в новых странах – членах ЕС. </w:t>
      </w:r>
    </w:p>
    <w:p w:rsidR="003E3ADF" w:rsidRDefault="003E3ADF">
      <w:pPr>
        <w:keepNext/>
        <w:ind w:left="709"/>
        <w:rPr>
          <w:i/>
        </w:rPr>
      </w:pPr>
      <w:r>
        <w:rPr>
          <w:i/>
        </w:rPr>
        <w:t>Условия предоставления срока для размышлений и временное пребывание в Норвегии</w:t>
      </w:r>
    </w:p>
    <w:p w:rsidR="003E3ADF" w:rsidRDefault="003E3ADF">
      <w:pPr>
        <w:ind w:left="709"/>
      </w:pPr>
      <w:r>
        <w:t xml:space="preserve">Жертвам торговли людьми, которые не имеют разрешения на проживание в Норвегии, может быть предоставлен срок для размышлений продолжительностью, по меньшей мере, 45 дней. Это означает, что может быть приостановлено действие любого распоряжения об отклонении ходатайства или высылке. Предоставленный для размышления срок намеренно сделан непродолжительным, но достаточным для предположения о том, что соответствующее лицо является жертвой торговли людьми и желает принять помощь и информацию. Этот срок для размышлений дает возможность данному лицу обдумать свое положение и подать заявление в полицию. Во время данного срока это лицо должно получать информацию и помощь, а также содействие в оформлении заявления в полицию о торговцах людьми. Этот срок может быть продлен. После периода размышления на определенных условиях может быть предоставлено разрешение на временную работу и проживание. Согласно общему правилу, это лицо должно прекратить все контакты с торговцами людьми. Кроме того, в это время должны проводиться следственные действия и/или подготовительные мероприятия к возбуждению уголовного преследования. </w:t>
      </w:r>
    </w:p>
    <w:p w:rsidR="003E3ADF" w:rsidRDefault="003E3ADF">
      <w:pPr>
        <w:ind w:left="709"/>
      </w:pPr>
      <w:r>
        <w:t xml:space="preserve">Практика предоставления жертвам торговли людьми срока для размышлений и права на временное пребывание в Норвегии пока не получила широкого распространения. В настоящее время Министерство труда и социальной интеграции разрабатывает ряд инструкций, в которых разъясняются условия предоставления срока для размышлений и реализации программы помощи и защиты в течение этого периода, а также продления этого срока. Эта работа проводится в тесном сотрудничестве с другими заинтересованными органами. </w:t>
      </w:r>
    </w:p>
    <w:p w:rsidR="003E3ADF" w:rsidRDefault="003E3ADF">
      <w:pPr>
        <w:ind w:left="709"/>
      </w:pPr>
      <w:r>
        <w:t>Жертвам торговли людьми, которые подвергаются опасности стать объектом преследований, если они вернутся в страны происхождения, может, на определенных условиях, быть предоставлено убежище или защита на основаниях, аналогичных основаниям, касающимся беженцев. В связи с работой над новым Законом об иммиграции предполагается четко оговорить, что в законе положение о том, что жертвам торговли людьми может быть предоставлено убежище, при условии что все другие требования, необходимые для предоставления убежища, будут выполнены.</w:t>
      </w:r>
    </w:p>
    <w:p w:rsidR="003E3ADF" w:rsidRDefault="003E3ADF">
      <w:pPr>
        <w:keepNext/>
        <w:ind w:left="709"/>
        <w:rPr>
          <w:i/>
        </w:rPr>
      </w:pPr>
      <w:r>
        <w:rPr>
          <w:i/>
        </w:rPr>
        <w:t>Междисциплинарные методы выявления жертв торговли людьми</w:t>
      </w:r>
    </w:p>
    <w:p w:rsidR="003E3ADF" w:rsidRDefault="003E3ADF">
      <w:pPr>
        <w:ind w:left="709"/>
      </w:pPr>
      <w:r>
        <w:t>Главную ответственность за выявление жертв торговли людьми несут полицейские и иммиграционные власти, однако институты, организации и отдельные лица также могут вступать в контакт с такими жертвами. Наряду с пособием по расследованию случаев торговли людьми, Управление полиции подготовило инструкции для сотрудников, работающих с населением, где перечислены факторы, на которые должна обращать внимание полиция. Ведется работа по созданию методического пособия, содержащего информацию о том, в какие учреждения и организации следует обратиться, чтобы получить помощь и защиту для возможных жертв. Это пособие будет также содержать междисциплинарный перечень признаков для выявления жертв торговли людьми. Особый перечень и пособие должны быть разработаны для выявления детей, ставших жертвами торговли людьми, и принятия в их отношении последующих мер.</w:t>
      </w:r>
    </w:p>
    <w:p w:rsidR="003E3ADF" w:rsidRDefault="003E3ADF">
      <w:pPr>
        <w:ind w:left="709"/>
        <w:rPr>
          <w:i/>
        </w:rPr>
      </w:pPr>
      <w:r>
        <w:rPr>
          <w:i/>
        </w:rPr>
        <w:t>Информационно-просветительская работа с лицами, занимающимися проституцией</w:t>
      </w:r>
    </w:p>
    <w:p w:rsidR="003E3ADF" w:rsidRDefault="003E3ADF">
      <w:pPr>
        <w:ind w:left="709"/>
      </w:pPr>
      <w:r>
        <w:t xml:space="preserve">Не менее важно обеспечить, чтобы лица, которые могут стать жертвами торговли людьми, получали точную, вызывающую доверие информацию. Посредством сотрудничества с организациями и государственными службами, ведущими просветительскую работу с лицами, занимающимися проституцией, возможные жертвы торговли людьми смогут получить поддержку и информацию о том, какие услуги им могут предоставить другие службы помощи. Средства на просветительскую работу с лицами, занимающимися проституцией, выделяются по нескольким различным статьям государственного бюджета, в частности в рамках национального плана улучшения сексуального здоровья. Кроме того, Министерство юстиции и полиция участвовали в создании круглосуточной информационной линии помощи, которую курирует Секретариат Кризисного центра. В 2005 году этой линией помощи были получены сообщения, касавшиеся приблизительно 70 женщин и детей, которые возможно являются жертвами торговли людьми. </w:t>
      </w:r>
    </w:p>
    <w:p w:rsidR="003E3ADF" w:rsidRDefault="003E3ADF">
      <w:pPr>
        <w:ind w:left="709"/>
        <w:rPr>
          <w:i/>
        </w:rPr>
      </w:pPr>
      <w:r>
        <w:rPr>
          <w:i/>
        </w:rPr>
        <w:t>Доступ жертв торговли людьми к медицинским и социальным услугам</w:t>
      </w:r>
    </w:p>
    <w:p w:rsidR="003E3ADF" w:rsidRDefault="003E3ADF">
      <w:pPr>
        <w:ind w:left="709"/>
      </w:pPr>
      <w:r>
        <w:t>Власти намерены провести работу по разъяснению прав и возможностей доступа жертв торговли людьми к медицинским и социальным услугам с учетом статуса лица, получившего право на проживание в стране. В 2004 году началось осуществление экспериментального проекта, в рамках которого опробуется модель работы социальных служб по предоставлению необходимой помощи и последующего содействия женщинам и детям, ставшим жертвами торговли людьми. Услуги по дальнейшему сопровождению предоставляются особым отделом службы социального обеспечения в Осло, который в 2005 году оказал помощь 11 женщинам. Этот проект помогает выявить потребности жертв торговли людьми в медицинской и социальной помощи.</w:t>
      </w:r>
    </w:p>
    <w:p w:rsidR="003E3ADF" w:rsidRDefault="003E3ADF">
      <w:pPr>
        <w:ind w:left="709"/>
        <w:rPr>
          <w:i/>
        </w:rPr>
      </w:pPr>
      <w:r>
        <w:rPr>
          <w:i/>
        </w:rPr>
        <w:t>Безопасное жилье для женщин – жертв торговли людьми</w:t>
      </w:r>
    </w:p>
    <w:p w:rsidR="003E3ADF" w:rsidRDefault="003E3ADF">
      <w:pPr>
        <w:ind w:left="709"/>
      </w:pPr>
      <w:r>
        <w:t xml:space="preserve">При финансовой поддержке Министерства юстиции Секретариат Кризисного центра приступил к реализации проекта по предоставлению безопасного жилья и осуществлению программ переселения для женщин – жертв торговли людьми. Одной из целей этого проекта, получившего название РОСА, является оказание помощи властям и другим органам в поиске безопасного жилья, которое отвечает потребностям отдельных пользователей. Было создано девять приютов, которым также поручено осуществлять меры по последующему сопровождению жертв торговли людьми в течении этапа переселения. В 2005 году предложение о предоставлении безопасного жилья в рамках проекта РОСА приняли 18 женщин. РОСА также несет ответственность за функционирование круглосуточной телефонной службы, которая оказывает помощь и предоставляет консультационные услуги жертвам торговли людьми и другим лицам, вступающим в контакт с жертвами. </w:t>
      </w:r>
    </w:p>
    <w:p w:rsidR="003E3ADF" w:rsidRDefault="003E3ADF">
      <w:pPr>
        <w:keepNext/>
        <w:ind w:left="709"/>
        <w:rPr>
          <w:i/>
        </w:rPr>
      </w:pPr>
      <w:r>
        <w:rPr>
          <w:i/>
        </w:rPr>
        <w:t xml:space="preserve">Безопасное жилье для детей – жертв торговли людьми </w:t>
      </w:r>
    </w:p>
    <w:p w:rsidR="003E3ADF" w:rsidRDefault="003E3ADF">
      <w:pPr>
        <w:ind w:left="709"/>
      </w:pPr>
      <w:r>
        <w:t>Потребности детей в безопасном жилье и последующем сопровождении удовлетворяются совместными усилиями местных служб социального обеспечения детей и Управления по делам детей, молодежи и семьи, а также других заинтересованных органов. Ведется работа по подготовке циркуляра, в котором будет уточнена роль и функции служб социальной защиты детей в оказании помощи детям, ставшим жертвами торговли людьми. Кроме того, в циркуляре будут определены функции других служб, оказывающих помощь малолетним жертвам. Планируется также организовать ряд региональных конференций для обмена опытом и повышения квалификации сотрудников служб помощи, которым, возможно, придется общаться с несовершеннолетними жертвами торговли людьми. Расходы муниципальных органов на социальное обеспечение малолетних детей, ставших жертвами торговли людьми, возмещает государство.</w:t>
      </w:r>
    </w:p>
    <w:p w:rsidR="003E3ADF" w:rsidRDefault="003E3ADF">
      <w:pPr>
        <w:ind w:left="709"/>
        <w:rPr>
          <w:i/>
        </w:rPr>
      </w:pPr>
      <w:r>
        <w:rPr>
          <w:i/>
        </w:rPr>
        <w:t>Защита свидетелей</w:t>
      </w:r>
    </w:p>
    <w:p w:rsidR="003E3ADF" w:rsidRDefault="003E3ADF">
      <w:pPr>
        <w:ind w:left="709"/>
      </w:pPr>
      <w:r>
        <w:t>Управление полиции разработало национальное руководство по защите свидетелей, которое предусматривает обязанность руководства полицейских и судебных органов учитывать возможность выдвижения угроз или совершения актов возмездия в отношении свидетелей. Кроме того, была завершена работа над программой защиты свидетелей.</w:t>
      </w:r>
    </w:p>
    <w:p w:rsidR="003E3ADF" w:rsidRDefault="003E3ADF">
      <w:pPr>
        <w:ind w:left="709"/>
        <w:rPr>
          <w:i/>
        </w:rPr>
      </w:pPr>
      <w:r>
        <w:rPr>
          <w:i/>
        </w:rPr>
        <w:t>Правовая помощь</w:t>
      </w:r>
    </w:p>
    <w:p w:rsidR="003E3ADF" w:rsidRDefault="003E3ADF">
      <w:pPr>
        <w:ind w:left="709"/>
      </w:pPr>
      <w:r>
        <w:t>Жертвы торговли людьми наряду с прочим имеют право на юридическую помощь в рамках системы предоставления услуг адвоката потерпевшим лицам или в соответствии с Законом о бесплатной правовой помощи. Это означает, что расходы на правовую помощь будут полностью или частично покрываться государством.</w:t>
      </w:r>
    </w:p>
    <w:p w:rsidR="003E3ADF" w:rsidRDefault="003E3ADF">
      <w:pPr>
        <w:ind w:left="709"/>
      </w:pPr>
      <w:r>
        <w:t>В настоящее время жертвы торговли людьми, признанные пострадавшими лицами, могут бесплатно получать юридическую помощь, если имеются основания полагать, что в результате преступного деяния им будут нанесены значительные телесные повреждения или ущерб здоровью (см. второе предложение первого пункта раздела 107а Уголовно-процессуального кодекса), либо в случае нарушения одного из положений уголовной процедуры, на которое распространяется система предоставления юридических услуг потерпевшим лицам, например положений раздела 192, касающихся изнасилования. Право потерпевшего лица на юридическую помощь вступает в силу с момента сообщения о данном преступлении в полицию.</w:t>
      </w:r>
    </w:p>
    <w:p w:rsidR="003E3ADF" w:rsidRDefault="003E3ADF">
      <w:pPr>
        <w:ind w:left="709"/>
      </w:pPr>
      <w:r>
        <w:t xml:space="preserve">Система предоставления услуг адвоката потерпевшим лицам дополняется программой бесплатной правовой помощи. В рамках этой программы жертвы торговли людьми имеют право на бесплатную помощь любого юриста, независимо от того, сообщено ли об этом преступлении в полицию. В соответствии с положением второго пункта раздела 6 Закона о правовой помощи, Министерство юстиции создало специальную службу правовой помощи, которая оказывает содействие жертвам бытового насилия в оформлении заявлений о фактах правонарушений, прохождении собеседований в полиции и т. п. Эти услуги включают помощь юриста, в том числе и лицам, занимающимся проституцией, которые подвергаются жестокому обращению, угрозам или принуждению со стороны клиентов или сутенеров. </w:t>
      </w:r>
    </w:p>
    <w:p w:rsidR="003E3ADF" w:rsidRDefault="003E3ADF">
      <w:pPr>
        <w:keepNext/>
        <w:ind w:left="709"/>
        <w:rPr>
          <w:i/>
        </w:rPr>
      </w:pPr>
      <w:r>
        <w:rPr>
          <w:i/>
        </w:rPr>
        <w:t>Подразделение для общенациональной координации действий по оказанию помощи и защиты</w:t>
      </w:r>
    </w:p>
    <w:p w:rsidR="003E3ADF" w:rsidRDefault="003E3ADF">
      <w:pPr>
        <w:ind w:left="709"/>
      </w:pPr>
      <w:r>
        <w:t>В ближайшее время начнется реализация межсекторального экспериментального проекта, предусматривающего создание служб по оказанию помощи и защиты жертв торговли людьми во всех государственных, неправительственных и добровольческих организациях, действующих в стране. Этот вид помощи и защиты чрезвычайно важен, так как он позволяет жертвам заявить о преступлении и дать показания против организаторов торговли людьми. В рамках данного проекта будут также разработаны новые механизмы и процедуры, необходимые для выполнения Норвегией национальных и международных обязательств по обеспечению поддержки и защиты жертв торговли людьми. За реализацию мероприятий, финансируемых из бюджетов четырех министерств, будет отвечать специально назначенный руководитель проекта.</w:t>
      </w:r>
    </w:p>
    <w:p w:rsidR="003E3ADF" w:rsidRDefault="003E3ADF">
      <w:pPr>
        <w:ind w:left="709"/>
        <w:rPr>
          <w:i/>
        </w:rPr>
      </w:pPr>
      <w:r>
        <w:rPr>
          <w:i/>
        </w:rPr>
        <w:t>Сотрудничество между властями и организациями</w:t>
      </w:r>
    </w:p>
    <w:p w:rsidR="003E3ADF" w:rsidRDefault="003E3ADF">
      <w:pPr>
        <w:ind w:left="709"/>
      </w:pPr>
      <w:r>
        <w:t>Был организован целый ряд совместных форумов в целях обеспечения сотрудничества и координации действий между министерством, подведомственными ему учреждениями и организациями, занимающимися вопросами борьбы с торговлей людьми. Создана общенациональная контактная сеть, обеспечивающая взаимодействие организаций в случаях, когда жертвы торговли людьми не получают достаточной помощи от государственных служб помощи, действующих в стране. Эта сеть функционирует с апреля 2004 года и при необходимости принимает конкретные меры.</w:t>
      </w:r>
    </w:p>
    <w:p w:rsidR="003E3ADF" w:rsidRDefault="003E3ADF">
      <w:pPr>
        <w:ind w:left="709"/>
      </w:pPr>
      <w:r>
        <w:t>По инициативе властей в Осло был создан межведомственный совместный форум для оказания помощи и защиты жертв торговли людьми. В состав форума, получившего название "Пилотный форум Осло" входят сотрудники полиции, органов социальной защиты, социальных и медицинских служб, служб социальной защиты детей и представители заинтересованных организаций. Участники форума проводят свои заседания раз в шесть месяцев и вносят существенный вклад в повышение квалификации специалистов, занимающихся вопросами торговли людьми, и укрепление сотрудничества между властями и общественными организациями. Аналогичные сети сотрудничества создаются и в других городах. Организован также городской форум по проблемам проституции и торговли людьми, в котором участвуют представители шести крупнейших городов Норвегии. Цель форума состоит в том, чтобы организовать обмен опытом и передовой практикой борьбы с проституцией и торговлей людьми между представителями муниципальных учреждений, полиции и заинтересованных общественных организаций различных городов. Эта конференция городов проводится каждые полгода.</w:t>
      </w:r>
    </w:p>
    <w:p w:rsidR="003E3ADF" w:rsidRDefault="003E3ADF">
      <w:pPr>
        <w:keepNext/>
        <w:ind w:left="709"/>
        <w:rPr>
          <w:i/>
        </w:rPr>
      </w:pPr>
      <w:r>
        <w:rPr>
          <w:i/>
        </w:rPr>
        <w:t>Накопление знаний и углубление понимания проблемы торговли людьми</w:t>
      </w:r>
    </w:p>
    <w:p w:rsidR="003E3ADF" w:rsidRDefault="003E3ADF">
      <w:pPr>
        <w:ind w:left="709"/>
      </w:pPr>
      <w:r>
        <w:t xml:space="preserve">Власти оказали поддержку нескольким исследовательским проектам, предусматривающим повышение уровня знаний и более глубокое понимание проблемы торговли людьми, а также событий, происходящих в странах и на международной арене в этой области. Посредством организации межведомственных форумов, таких как "Пилотный форум Осло", учреждения и организации, занимающиеся вопросами борьбы с торговлей людьми, накопили знания и опыт в этой области. Для повышения квалификации персонала, работающего в данной области, было разработано несколько программ, часть которых в настоящее время находится в стадии осуществления. Под руководством Иммиграционного управления была проведена первая из пяти региональных конференций, организованных в целях расширения межведомственного сотрудничества в области борьбы с торговлей людьми, при уделении особого внимания работе служб приема. Министерство труда и социальной интеграции привлекло исследовательский фонд ФАФО и Колледж университета Сёр-Трёнделаг к подготовке учебных материалов по проблемам торговли людьми в целом и по проблемам торговли детьми в частности. </w:t>
      </w:r>
    </w:p>
    <w:p w:rsidR="003E3ADF" w:rsidRDefault="003E3ADF">
      <w:pPr>
        <w:ind w:left="709"/>
      </w:pPr>
      <w:r>
        <w:t>Управление полиции и Полицейский округ Осло организовали семинары в целях повышения знаний сотрудников полиции о проблеме торговли людьми; в планах Управления и директора Государственной прокуратуры также стоит проведение серии совместных семинаров в целях повышения квалификации сотрудников полиции и органов уголовного преследования. Кроме того, тематика торговли людьми будет включена в программу обучения в Полицейской академии. Для сотрудников полиции разработаны специальные карточки, содержащие подробный перечень мер, которые следует применять в соответствующих ситуациях, а Управление полиции подготовило пособие по расследованию дел, связанных с торговлей людьми. Будут также предприняты усилия по повышению уровня осведомленности работников судебных органов в области торговли людьми.</w:t>
      </w:r>
    </w:p>
    <w:p w:rsidR="003E3ADF" w:rsidRDefault="003E3ADF">
      <w:pPr>
        <w:keepNext/>
        <w:ind w:left="709"/>
        <w:rPr>
          <w:i/>
        </w:rPr>
      </w:pPr>
      <w:r>
        <w:rPr>
          <w:i/>
        </w:rPr>
        <w:t>Информационная кампания по сокращению масштабов вербовки и сокращению спроса</w:t>
      </w:r>
    </w:p>
    <w:p w:rsidR="003E3ADF" w:rsidRDefault="003E3ADF">
      <w:pPr>
        <w:ind w:left="709"/>
      </w:pPr>
      <w:r>
        <w:t>Началось проведение информационной кампании, рассчитанной на три года и направленной на сокращение спроса на сексуальные услуги. Кампания преследует цель повысить информированность широкой общественности в отношении этого явления и разъяснить взаимосвязь, которая существует между спросом на сексуальные услуги и торговлей женщинами и детьми. Кампания направлена на молодых людей, потенциальных покупателей услуг, и клиентов лиц, занимающихся проституцией, при этом особое внимание уделяется ответственности мужчин, которые должны воздерживаться от пользования сексуальными услугами.</w:t>
      </w:r>
    </w:p>
    <w:p w:rsidR="003E3ADF" w:rsidRDefault="003E3ADF">
      <w:pPr>
        <w:ind w:left="709"/>
      </w:pPr>
      <w:r>
        <w:t>В рамках комплексного подхода проводится работа по выявлению целевых групп и привлечению их к прямому диалогу. Особенно важными категориями являются школьники-подростки, военнослужащие, туристы и бизнесмены. Планируется осуществление специально разработанных мер с целью установления непосредственного контакта и общения с представителями этих целевых групп в местах и ситуациях, сопряженных с нежелательным поведением, будь в школе, на работе или на отдыхе.</w:t>
      </w:r>
    </w:p>
    <w:p w:rsidR="003E3ADF" w:rsidRDefault="003E3ADF">
      <w:pPr>
        <w:ind w:left="709"/>
      </w:pPr>
      <w:r>
        <w:t xml:space="preserve">Информационный центр по проблемам мужчин РЕФОРМ получил заказ от Министерства по делам детей и семьи на создание интернет-сайта </w:t>
      </w:r>
      <w:hyperlink r:id="rId14" w:history="1">
        <w:r>
          <w:rPr>
            <w:rStyle w:val="Hyperlink"/>
            <w:color w:val="auto"/>
            <w:szCs w:val="24"/>
          </w:rPr>
          <w:t>www.sexhandel.no</w:t>
        </w:r>
      </w:hyperlink>
      <w:r>
        <w:rPr>
          <w:szCs w:val="24"/>
        </w:rPr>
        <w:t xml:space="preserve"> </w:t>
      </w:r>
      <w:r>
        <w:t>и управление им. Интернет-сайт содержит информацию и фактические материалы о проституции и торговле людьми, а также располагает дискуссионным форумом. Центр РЕФОРМ отвечает также за функционирование телефонной службы и онлайновой консультационной службы.</w:t>
      </w:r>
    </w:p>
    <w:p w:rsidR="003E3ADF" w:rsidRDefault="003E3ADF">
      <w:pPr>
        <w:ind w:left="709"/>
      </w:pPr>
      <w:r>
        <w:t xml:space="preserve">Другим важным средством сокращения масштабов вербовки и спроса является утверждение "этических норм поведения". В Докладе № 28 о кадровой политике было принято решение о введении в действие этических норм поведения гражданских служащих, которые налагают запрет на приобретение сексуальных услуг и согласие на получение таких услуг. Впоследствии эта инициатива получила распространение, и аналогичные правила установили другие организации и крупные работодатели. </w:t>
      </w:r>
    </w:p>
    <w:p w:rsidR="003E3ADF" w:rsidRDefault="003E3ADF">
      <w:pPr>
        <w:ind w:left="709"/>
      </w:pPr>
      <w:r>
        <w:t xml:space="preserve">Перед отправкой для участия в международных операциях норвежский персонал должен быть ознакомлен с проблемами, которые могут возникнуть в конкретных ситуациях в соответствующих странах, и проинструктирован в отношении поведения в этих ситуациях. Ответственность за обеспечение необходимой подготовки персонала будут нести Министерство обороны и Министерство юстиции. Инструктаж должен включать ознакомление с Кодексом личного поведения персонала Организации Объединенных Наций и Руководством НАТО по борьбе с торговлей людьми для персонала вооруженных сил и гражданских служащих, занятых в проводимых под руководством НАТО операциях. Весь норвежский персонал должен также пройти подготовку по международному праву, в частности гуманитарному праву и международным правам человека, включая правила, относящиеся к насилию на сексуальной почве и торговле людьми. </w:t>
      </w:r>
    </w:p>
    <w:p w:rsidR="003E3ADF" w:rsidRDefault="003E3ADF">
      <w:pPr>
        <w:pStyle w:val="HCh"/>
        <w:spacing w:before="120" w:line="240" w:lineRule="auto"/>
        <w:rPr>
          <w:spacing w:val="0"/>
          <w:w w:val="100"/>
          <w:sz w:val="24"/>
        </w:rPr>
      </w:pPr>
      <w:r>
        <w:rPr>
          <w:lang/>
        </w:rPr>
        <w:t xml:space="preserve">      2</w:t>
      </w:r>
      <w:r>
        <w:rPr>
          <w:lang/>
        </w:rPr>
        <w:tab/>
      </w:r>
      <w:r>
        <w:rPr>
          <w:spacing w:val="0"/>
          <w:w w:val="100"/>
          <w:sz w:val="24"/>
        </w:rPr>
        <w:t>Часть II</w:t>
      </w:r>
    </w:p>
    <w:p w:rsidR="003E3ADF" w:rsidRDefault="003E3ADF">
      <w:pPr>
        <w:keepNext/>
        <w:tabs>
          <w:tab w:val="clear" w:pos="1361"/>
          <w:tab w:val="right" w:pos="567"/>
          <w:tab w:val="left" w:pos="680"/>
          <w:tab w:val="left" w:pos="1247"/>
        </w:tabs>
        <w:ind w:left="709" w:hanging="709"/>
        <w:rPr>
          <w:b/>
        </w:rPr>
      </w:pPr>
      <w:r>
        <w:rPr>
          <w:b/>
        </w:rPr>
        <w:tab/>
        <w:t>2.1</w:t>
      </w:r>
      <w:r>
        <w:rPr>
          <w:b/>
        </w:rPr>
        <w:tab/>
        <w:t>Статья 7.</w:t>
      </w:r>
      <w:r>
        <w:rPr>
          <w:b/>
          <w:lang w:val="en-US"/>
        </w:rPr>
        <w:t> </w:t>
      </w:r>
      <w:r>
        <w:rPr>
          <w:b/>
        </w:rPr>
        <w:t> Участие в политической жизни</w:t>
      </w:r>
    </w:p>
    <w:p w:rsidR="003E3ADF" w:rsidRDefault="003E3ADF">
      <w:pPr>
        <w:keepNext/>
        <w:tabs>
          <w:tab w:val="clear" w:pos="1361"/>
          <w:tab w:val="right" w:pos="567"/>
          <w:tab w:val="left" w:pos="680"/>
          <w:tab w:val="left" w:pos="1247"/>
        </w:tabs>
        <w:ind w:left="709" w:hanging="709"/>
        <w:rPr>
          <w:iCs/>
        </w:rPr>
      </w:pPr>
      <w:r>
        <w:rPr>
          <w:iCs/>
        </w:rPr>
        <w:tab/>
        <w:t>2.1.1</w:t>
      </w:r>
      <w:r>
        <w:rPr>
          <w:iCs/>
        </w:rPr>
        <w:tab/>
        <w:t>Статья 7а.  Выборы и выборные органы</w:t>
      </w:r>
    </w:p>
    <w:p w:rsidR="003E3ADF" w:rsidRDefault="003E3ADF">
      <w:pPr>
        <w:ind w:left="709"/>
      </w:pPr>
      <w:r>
        <w:t>Вполне очевидно, что мужчины и женщины имеют равное право на участие в выполнении основных дем</w:t>
      </w:r>
      <w:r>
        <w:t>о</w:t>
      </w:r>
      <w:r>
        <w:t>кратических функций. Таким образом, с точки зрения равноправия и равенства важно обеспечить разумный гендерный баланс как в плане участия в выборах, так и в плане работы в выборных органах. С точки зрения власти и демократии решающим аргументом в пользу обеспечения равного участия, естестве</w:t>
      </w:r>
      <w:r>
        <w:t>н</w:t>
      </w:r>
      <w:r>
        <w:t>но, служат соображения, касающиеся прав человека.</w:t>
      </w:r>
    </w:p>
    <w:p w:rsidR="003E3ADF" w:rsidRDefault="003E3ADF">
      <w:pPr>
        <w:ind w:left="709"/>
      </w:pPr>
      <w:r>
        <w:t>Между тем сбалансированное представительство мужчин и женщин в выборных органах имеет бол</w:t>
      </w:r>
      <w:r>
        <w:t>ь</w:t>
      </w:r>
      <w:r>
        <w:t>шое значение и с точки зрения талантов и ресурсов. Демократия только выигрывает в том случае, если политические представители избираются из всей массы населения. Можно также утверждать, что женщины и мужчины имеют разный опыт, потребности и интересы и что равное участие женщин является необходимым условием для обеспечения того, чтобы это многообразие было отражено в процессах принятия политических решений.</w:t>
      </w:r>
    </w:p>
    <w:p w:rsidR="003E3ADF" w:rsidRDefault="003E3ADF">
      <w:pPr>
        <w:ind w:left="709"/>
      </w:pPr>
      <w:r>
        <w:t>Если рассматривать ситуацию в политических органах, то в настоящее время доля женщин является наивы</w:t>
      </w:r>
      <w:r>
        <w:t>с</w:t>
      </w:r>
      <w:r>
        <w:t>шей в правительстве. Нынешняя правительственная коалиция состоит из представителей Лейборис</w:t>
      </w:r>
      <w:r>
        <w:t>т</w:t>
      </w:r>
      <w:r>
        <w:t>ской партии, Социалистической левой партии и Партии центра. В состав правительства входят 19 министров кабинета: 9 женщин и 10 мужчин. С учетом государственных секретарей и политических советников доля представителей каждого пола составляет 50 процентов. Премьер-министром является мужчина.</w:t>
      </w:r>
    </w:p>
    <w:p w:rsidR="003E3ADF" w:rsidRDefault="003E3ADF">
      <w:pPr>
        <w:ind w:left="709"/>
      </w:pPr>
      <w:r>
        <w:t>По итогам выборов 2005 года доля женщин среди членов стортинга составляет 38 процентов. Эта ци</w:t>
      </w:r>
      <w:r>
        <w:t>ф</w:t>
      </w:r>
      <w:r>
        <w:t>ра несколько выше по сравнению с результатами предыдущих выборов, когда женщины составляли 36,4 процента избранных представителей. В крупнейшей из входящих в состав стортинга партий – Рабочей партии – доля представителей женского пола составляет 52 процента. Наименьшее число представителей женского пола в стортинге имеет Партия прогресса, и их доля равняется 16 процентам, но лидером этой партии в настоящее время является женщина. С середины 1980-х годов, когда женщины составляли треть всех членов стортинга, их доля в национальном собрании практически не увеличилась.</w:t>
      </w:r>
    </w:p>
    <w:p w:rsidR="003E3ADF" w:rsidRDefault="003E3ADF">
      <w:pPr>
        <w:ind w:left="709"/>
      </w:pPr>
      <w:r>
        <w:t>По итогам выборов в муниципальные и окружные советы, состоявшихся в 2003 году, доля женщин среди членов муниципальных советов составила 35,8 процента, окружных советов – 42,6 процента. Эти показатели, соответственно, на 1,7 и 0,7 процента выше по сравнению с результатами предыдущих выборов, состоявшихся в 1999 году. Из 434 мэров городов Норвегии 73, или приблизительно 17 процентов, являются женщинами. Гендерный состав муниципальных комитетов регулируется Законом о местных органах власти, в котором предусматривается, что доля представителей каждого пола должна составлять не менее 40 процентов членского состава таких органов. Доля женщин в муниципальных исполнительных советах составляет в настоящее время 37,9 процента, что значительно выше, чем в предыдущий период работы муниципальных советов. Среди членов постоянных муниципальных комитетов женщины составляют 43 процента по сравнению с 44 процентами в предыдущий период. Представительство женщин в окружных комитетах несколько снизилось – с 41 до 37,9 процента. Вместе с тем доля женщин в постоянных окружных комитетах в текущий период увеличилась с 44 до 46 процентов.</w:t>
      </w:r>
    </w:p>
    <w:p w:rsidR="003E3ADF" w:rsidRDefault="003E3ADF">
      <w:pPr>
        <w:ind w:left="709"/>
      </w:pPr>
      <w:r>
        <w:t>В подготовленной в 2005 году докторской диссертации на тему "Гендерное равенство и система квот в мес</w:t>
      </w:r>
      <w:r>
        <w:t>т</w:t>
      </w:r>
      <w:r>
        <w:t>ных политических органах" (</w:t>
      </w:r>
      <w:r>
        <w:rPr>
          <w:lang w:val="en-US"/>
        </w:rPr>
        <w:t>Ingrid</w:t>
      </w:r>
      <w:r>
        <w:t xml:space="preserve"> </w:t>
      </w:r>
      <w:r>
        <w:rPr>
          <w:lang w:val="en-US"/>
        </w:rPr>
        <w:t>Gulvik</w:t>
      </w:r>
      <w:r>
        <w:t>) анализируются процессы, связанные с введением и применением правил о квотах, содержащихся в Законе о местных органах власти. В этой диссертации показывается, что конкретные меры, такие как системы гендерных квот, встречают сопротивление, что местные партии не выдвигают женщин на первые роли и что почти не предпринимается никаких шагов для устранения практических препятс</w:t>
      </w:r>
      <w:r>
        <w:t>т</w:t>
      </w:r>
      <w:r>
        <w:t>вий, затрудняющих возможность совмещения женщинами участия в политической жизни с выполнением семейных обязанностей. Гендерный фактор практически не принимается во внимание при решении вопросов, касающихся политического представительства, и ему придается не большее значение, чем, скажем, таким критериям, как профессия или возраст. Оказывается, что различия в степени политической активности на местном уровне воспринимаются как следствие "выполнения естественных женских функций", то есть рождения и воспитания женщинами детей. Мужчины рассматрив</w:t>
      </w:r>
      <w:r>
        <w:t>а</w:t>
      </w:r>
      <w:r>
        <w:t>ются как независимые и объективные личности, а женщины – как субъективные и обремененные их гендерной ролью индивидуумы. В последние 15 лет наметилась некоторая стагнация, вместе с тем имеются признаки, свидетельствующие об увеличении доли женщин, участвующих в политической жизни. Однако данная тенденция носит нелинейный характер; между муниципалит</w:t>
      </w:r>
      <w:r>
        <w:t>е</w:t>
      </w:r>
      <w:r>
        <w:t>тами, партиями, различными уровнями внутри отдельных муниципалитетов и политических партий наблюдаю</w:t>
      </w:r>
      <w:r>
        <w:t>т</w:t>
      </w:r>
      <w:r>
        <w:t>ся различия. В данной докторской диссертации показано, что почти треть всех политических комитетов не выполняют пред</w:t>
      </w:r>
      <w:r>
        <w:t>у</w:t>
      </w:r>
      <w:r>
        <w:t>смотренное в Законе о местных органах власти требование о том, чтобы представители каждого пола составляли не менее 40 процентов членов политических комитетов. В исследовании говорится, что принятия одних только законодательных поправок не достаточно для того, чтобы изменить сложившиеся гендерные структуры власти, и что их необходимо дополнить целым рядом условий и инструментов, которые обеспечивали бы равноправное участие.</w:t>
      </w:r>
    </w:p>
    <w:p w:rsidR="003E3ADF" w:rsidRDefault="003E3ADF">
      <w:pPr>
        <w:ind w:left="709"/>
        <w:rPr>
          <w:b/>
          <w:sz w:val="20"/>
        </w:rPr>
      </w:pPr>
      <w:r>
        <w:rPr>
          <w:b/>
          <w:sz w:val="20"/>
        </w:rPr>
        <w:t>Доля женщин в кабинете министров и стортинге в 2003 и 2005 годах, в процентах</w:t>
      </w:r>
    </w:p>
    <w:tbl>
      <w:tblPr>
        <w:tblW w:w="9129" w:type="dxa"/>
        <w:tblInd w:w="822" w:type="dxa"/>
        <w:tblLook w:val="01E0" w:firstRow="1" w:lastRow="1" w:firstColumn="1" w:lastColumn="1" w:noHBand="0" w:noVBand="0"/>
      </w:tblPr>
      <w:tblGrid>
        <w:gridCol w:w="3748"/>
        <w:gridCol w:w="2367"/>
        <w:gridCol w:w="3014"/>
      </w:tblGrid>
      <w:tr w:rsidR="003E3ADF">
        <w:tc>
          <w:tcPr>
            <w:tcW w:w="4008" w:type="dxa"/>
            <w:tcBorders>
              <w:top w:val="single" w:sz="4" w:space="0" w:color="auto"/>
              <w:bottom w:val="single" w:sz="12" w:space="0" w:color="auto"/>
            </w:tcBorders>
          </w:tcPr>
          <w:p w:rsidR="003E3ADF" w:rsidRDefault="003E3ADF">
            <w:pPr>
              <w:spacing w:before="20" w:after="20"/>
              <w:jc w:val="left"/>
              <w:rPr>
                <w:b/>
                <w:i/>
                <w:iCs/>
                <w:sz w:val="18"/>
              </w:rPr>
            </w:pPr>
            <w:r>
              <w:rPr>
                <w:b/>
                <w:i/>
                <w:iCs/>
                <w:sz w:val="18"/>
              </w:rPr>
              <w:t>Члены правительства</w:t>
            </w:r>
          </w:p>
        </w:tc>
        <w:tc>
          <w:tcPr>
            <w:tcW w:w="2569" w:type="dxa"/>
            <w:tcBorders>
              <w:top w:val="single" w:sz="4" w:space="0" w:color="auto"/>
              <w:bottom w:val="single" w:sz="12" w:space="0" w:color="auto"/>
            </w:tcBorders>
          </w:tcPr>
          <w:p w:rsidR="003E3ADF" w:rsidRDefault="003E3ADF">
            <w:pPr>
              <w:spacing w:before="20" w:after="20"/>
              <w:jc w:val="center"/>
              <w:rPr>
                <w:b/>
                <w:i/>
                <w:iCs/>
                <w:sz w:val="18"/>
              </w:rPr>
            </w:pPr>
            <w:r>
              <w:rPr>
                <w:b/>
                <w:i/>
                <w:iCs/>
                <w:sz w:val="18"/>
              </w:rPr>
              <w:t>2003 год</w:t>
            </w:r>
          </w:p>
        </w:tc>
        <w:tc>
          <w:tcPr>
            <w:tcW w:w="3289" w:type="dxa"/>
            <w:tcBorders>
              <w:top w:val="single" w:sz="4" w:space="0" w:color="auto"/>
              <w:bottom w:val="single" w:sz="12" w:space="0" w:color="auto"/>
            </w:tcBorders>
          </w:tcPr>
          <w:p w:rsidR="003E3ADF" w:rsidRDefault="003E3ADF">
            <w:pPr>
              <w:spacing w:before="20" w:after="20"/>
              <w:jc w:val="center"/>
              <w:rPr>
                <w:b/>
                <w:i/>
                <w:iCs/>
                <w:sz w:val="18"/>
              </w:rPr>
            </w:pPr>
            <w:r>
              <w:rPr>
                <w:b/>
                <w:i/>
                <w:iCs/>
                <w:sz w:val="18"/>
              </w:rPr>
              <w:t>2005 год</w:t>
            </w:r>
          </w:p>
        </w:tc>
      </w:tr>
      <w:tr w:rsidR="003E3ADF">
        <w:tc>
          <w:tcPr>
            <w:tcW w:w="4008" w:type="dxa"/>
            <w:tcBorders>
              <w:top w:val="single" w:sz="12" w:space="0" w:color="auto"/>
            </w:tcBorders>
          </w:tcPr>
          <w:p w:rsidR="003E3ADF" w:rsidRDefault="003E3ADF">
            <w:pPr>
              <w:pStyle w:val="Heading1"/>
              <w:spacing w:before="20" w:after="20"/>
              <w:ind w:left="0" w:firstLine="0"/>
              <w:rPr>
                <w:b w:val="0"/>
                <w:bCs w:val="0"/>
                <w:i/>
                <w:iCs/>
                <w:sz w:val="18"/>
              </w:rPr>
            </w:pPr>
            <w:r>
              <w:rPr>
                <w:b w:val="0"/>
                <w:bCs w:val="0"/>
                <w:i/>
                <w:iCs/>
                <w:sz w:val="18"/>
              </w:rPr>
              <w:t>Кабинет</w:t>
            </w:r>
          </w:p>
        </w:tc>
        <w:tc>
          <w:tcPr>
            <w:tcW w:w="2569" w:type="dxa"/>
            <w:tcBorders>
              <w:top w:val="single" w:sz="12" w:space="0" w:color="auto"/>
            </w:tcBorders>
          </w:tcPr>
          <w:p w:rsidR="003E3ADF" w:rsidRDefault="003E3ADF">
            <w:pPr>
              <w:spacing w:before="20" w:after="20"/>
              <w:jc w:val="center"/>
              <w:rPr>
                <w:sz w:val="18"/>
              </w:rPr>
            </w:pPr>
            <w:r>
              <w:rPr>
                <w:sz w:val="18"/>
              </w:rPr>
              <w:t>42</w:t>
            </w:r>
          </w:p>
        </w:tc>
        <w:tc>
          <w:tcPr>
            <w:tcW w:w="3289" w:type="dxa"/>
            <w:tcBorders>
              <w:top w:val="single" w:sz="12" w:space="0" w:color="auto"/>
            </w:tcBorders>
          </w:tcPr>
          <w:p w:rsidR="003E3ADF" w:rsidRDefault="003E3ADF">
            <w:pPr>
              <w:spacing w:before="20" w:after="20"/>
              <w:jc w:val="center"/>
              <w:rPr>
                <w:sz w:val="18"/>
              </w:rPr>
            </w:pPr>
            <w:r>
              <w:rPr>
                <w:sz w:val="18"/>
              </w:rPr>
              <w:t>47</w:t>
            </w:r>
          </w:p>
        </w:tc>
      </w:tr>
      <w:tr w:rsidR="003E3ADF">
        <w:tc>
          <w:tcPr>
            <w:tcW w:w="4008" w:type="dxa"/>
            <w:tcBorders>
              <w:bottom w:val="single" w:sz="12" w:space="0" w:color="auto"/>
            </w:tcBorders>
          </w:tcPr>
          <w:p w:rsidR="003E3ADF" w:rsidRDefault="003E3ADF">
            <w:pPr>
              <w:spacing w:before="20" w:after="20"/>
              <w:jc w:val="left"/>
              <w:rPr>
                <w:i/>
                <w:iCs/>
                <w:sz w:val="18"/>
              </w:rPr>
            </w:pPr>
            <w:r>
              <w:rPr>
                <w:i/>
                <w:iCs/>
                <w:sz w:val="18"/>
              </w:rPr>
              <w:t>Стортинг</w:t>
            </w:r>
          </w:p>
        </w:tc>
        <w:tc>
          <w:tcPr>
            <w:tcW w:w="2569" w:type="dxa"/>
            <w:tcBorders>
              <w:bottom w:val="single" w:sz="12" w:space="0" w:color="auto"/>
            </w:tcBorders>
          </w:tcPr>
          <w:p w:rsidR="003E3ADF" w:rsidRDefault="003E3ADF">
            <w:pPr>
              <w:spacing w:before="20" w:after="20"/>
              <w:jc w:val="center"/>
              <w:rPr>
                <w:sz w:val="18"/>
              </w:rPr>
            </w:pPr>
            <w:r>
              <w:rPr>
                <w:sz w:val="18"/>
              </w:rPr>
              <w:t>37</w:t>
            </w:r>
          </w:p>
        </w:tc>
        <w:tc>
          <w:tcPr>
            <w:tcW w:w="3289" w:type="dxa"/>
            <w:tcBorders>
              <w:bottom w:val="single" w:sz="12" w:space="0" w:color="auto"/>
            </w:tcBorders>
          </w:tcPr>
          <w:p w:rsidR="003E3ADF" w:rsidRDefault="003E3ADF">
            <w:pPr>
              <w:spacing w:before="20" w:after="20"/>
              <w:jc w:val="center"/>
              <w:rPr>
                <w:sz w:val="18"/>
              </w:rPr>
            </w:pPr>
            <w:r>
              <w:rPr>
                <w:sz w:val="18"/>
              </w:rPr>
              <w:t>38</w:t>
            </w:r>
          </w:p>
        </w:tc>
      </w:tr>
    </w:tbl>
    <w:p w:rsidR="003E3ADF" w:rsidRDefault="003E3ADF">
      <w:pPr>
        <w:pStyle w:val="CommentText"/>
        <w:spacing w:after="120"/>
      </w:pPr>
    </w:p>
    <w:p w:rsidR="003E3ADF" w:rsidRDefault="003E3ADF">
      <w:pPr>
        <w:ind w:left="709"/>
      </w:pPr>
      <w:r>
        <w:t>Как представляется, гендерный фактор начинает играть все более важную роль в качестве разграничител</w:t>
      </w:r>
      <w:r>
        <w:t>ь</w:t>
      </w:r>
      <w:r>
        <w:t>ной линии в политической жизни Норвегии. Раньше эта линия в основном проводилась между городскими и сельскими районами и профессиональными категориями. Женщины составляют большинство избирателей Социалистической левой партии, Либеральной партии и Союза "красных" избирателей, а мужчины – Партии прогресса, Консервати</w:t>
      </w:r>
      <w:r>
        <w:t>в</w:t>
      </w:r>
      <w:r>
        <w:t>ной партии и Лейбористской партии. В настоящее время число женщин и мужчин, являющихся членами политических партий, меньше, чем в 1980-е годы. Больше всего уменьшилось число мужчин. Кроме того, женщины чаще, чем мужчины, пользуются своим правом голоса.</w:t>
      </w:r>
    </w:p>
    <w:p w:rsidR="003E3ADF" w:rsidRDefault="003E3ADF">
      <w:pPr>
        <w:keepNext/>
        <w:ind w:left="709"/>
        <w:rPr>
          <w:i/>
        </w:rPr>
      </w:pPr>
      <w:r>
        <w:rPr>
          <w:i/>
        </w:rPr>
        <w:t>Процесс выдвижения кандидатов – серьезная проблема</w:t>
      </w:r>
    </w:p>
    <w:p w:rsidR="003E3ADF" w:rsidRDefault="003E3ADF">
      <w:pPr>
        <w:ind w:left="709"/>
      </w:pPr>
      <w:r>
        <w:t>Несмотря на то, что политика во многих отношениях является сферой деятельности, в которой был достигнут значительный прогресс в деле обеспечения гендерного равенства, женщины по-прежнему недостаточно широко представлены практически в каждой из областей политической жизни как на местном, так и на национальном уровне.</w:t>
      </w:r>
    </w:p>
    <w:p w:rsidR="003E3ADF" w:rsidRDefault="003E3ADF">
      <w:pPr>
        <w:ind w:left="709"/>
      </w:pPr>
      <w:r>
        <w:t>Одна из главных проблем по-прежнему состоит в том, что женщины недостаточно широко представл</w:t>
      </w:r>
      <w:r>
        <w:t>е</w:t>
      </w:r>
      <w:r>
        <w:t>ны в верхних строках списков кандидатов от политических партий, баллотирующихся в стортинг, местные органы власти и парламент Саами. Обследование, проведенное в рамках Кампании за увеличение числа женщин в составе муниципальных советов до выборов в местные органы власти в 2003 году, показало, что мужчины возглавляют 77 процентов этих списков. Согласно результатам данного обследования, число списков, в которых первую и вторую верхние строки занимают мужчины, превышает число списков, на первом месте в которых стоят женщины (соответственно, 27 и 23 процента). Хотя женщины постепенно добиваются относительно справедливой доли участия в партийных списках, их неустойчивое положение в этих списках серьезно затрудняет усилия по обеспечению равного представительства мужчин и женщин в выборных органах. Таким образом, процесс выдвижения кандидатов является "узким местом" избирательн</w:t>
      </w:r>
      <w:r>
        <w:t>о</w:t>
      </w:r>
      <w:r>
        <w:t>го процесса. Обеспечение гендерного баланса среди кандидатов, находящихся в верхних строках выборных списков, крайне необходимо для обеспечения гендерного баланса в выборных органах. Место, занимаемое кандидатами в выборном списке, имеет большое значение во время выборов, особенно в небольших избирательных округах и в небольших партиях.</w:t>
      </w:r>
    </w:p>
    <w:p w:rsidR="003E3ADF" w:rsidRDefault="003E3ADF">
      <w:pPr>
        <w:ind w:left="709"/>
      </w:pPr>
      <w:r>
        <w:t>Система корректировки списков создает особые сложности в деятельности, направленной на обеспеч</w:t>
      </w:r>
      <w:r>
        <w:t>е</w:t>
      </w:r>
      <w:r>
        <w:t>ние большего гендерного баланса в местных политических органах. Возможность избирателей влиять на выбор кандидатов (путем голосования за одних кандидатов и вычеркивания фамилий других из выборных списков) в целом наносит ущерб интересам женщин. В ходе каждых выборов в местные органы власти начиная с 1970 года доля женщин сокращалась на 5–10 процентов из-за корректировки списков (Hellevik и Bjørklund, 1995). Однако имеется ряд исключений как в территориальном плане, так и в некоторых политических партиях. Наличие опыта участия в политической жизни на местном уровне имеет большое значение при подборе кандидатов для избрания в стортинг, и, следовательно, дисбаланс на местном политическом уровне оказывает также влияние на гендерный баланс в национальном собрании.</w:t>
      </w:r>
    </w:p>
    <w:p w:rsidR="003E3ADF" w:rsidRDefault="003E3ADF">
      <w:pPr>
        <w:keepNext/>
        <w:ind w:left="709"/>
        <w:rPr>
          <w:i/>
        </w:rPr>
      </w:pPr>
      <w:r>
        <w:rPr>
          <w:i/>
        </w:rPr>
        <w:t>Усилия по расширению представительства женщин, прилагаемые на муниципальном уровне</w:t>
      </w:r>
    </w:p>
    <w:p w:rsidR="003E3ADF" w:rsidRDefault="003E3ADF">
      <w:pPr>
        <w:ind w:left="709"/>
        <w:rPr>
          <w:lang/>
        </w:rPr>
      </w:pPr>
      <w:r>
        <w:rPr>
          <w:lang/>
        </w:rPr>
        <w:t>Норвежская ассоциация местных и региональных органов власти (</w:t>
      </w:r>
      <w:r>
        <w:t>KS</w:t>
      </w:r>
      <w:r>
        <w:rPr>
          <w:lang/>
        </w:rPr>
        <w:t>) и политические партии совмес</w:t>
      </w:r>
      <w:r>
        <w:rPr>
          <w:lang/>
        </w:rPr>
        <w:t>т</w:t>
      </w:r>
      <w:r>
        <w:rPr>
          <w:lang/>
        </w:rPr>
        <w:t>но выступили инициаторами проекта под названием "Каким образом можно увеличить долю женщин на руководящих должностях в муниципальном секторе?". Цель данного проекта состоит в том, чтобы увеличить долю женщин на влиятельных должностях в муниципальном секторе в 2011</w:t>
      </w:r>
      <w:r>
        <w:t> </w:t>
      </w:r>
      <w:r>
        <w:rPr>
          <w:lang/>
        </w:rPr>
        <w:t>году по меньшей мере до 40</w:t>
      </w:r>
      <w:r>
        <w:t> </w:t>
      </w:r>
      <w:r>
        <w:rPr>
          <w:lang/>
        </w:rPr>
        <w:t>процентов и определить, какие критерии успеха являются решающими для достижения поставленной цели. В ходе данного проекта также планируется определить нынешний гендерный состав лиц, работающих на руководящих должностях на муниципальном уровне, таких как мэры, председатели групп, председатели советов и т.</w:t>
      </w:r>
      <w:r>
        <w:t> </w:t>
      </w:r>
      <w:r>
        <w:rPr>
          <w:lang/>
        </w:rPr>
        <w:t>д. Проект должен осуществляться в тесном сотрудничестве с политическими партиями на национальном и местном уровнях, поскольку изменение партийных регламентов является одной из предпосылок для увеличения числа женщин на руководящих должностях. Для лучшего освещения процесса выдвижения кандидатов будут организованы конференции по диалогу. На основе опыта, полученного в ходе таких конференций, будут подготовлены руководство и брошюра, содержащие предложения и рекомендации в отношении более активного продвижения женщин на руководящие политические должности на местном уровне. Планируется также открыть специальный вет-сайт и блог для данного проекта в интернете.</w:t>
      </w:r>
    </w:p>
    <w:p w:rsidR="003E3ADF" w:rsidRDefault="003E3ADF">
      <w:pPr>
        <w:ind w:left="709"/>
        <w:rPr>
          <w:b/>
          <w:bCs/>
        </w:rPr>
      </w:pPr>
      <w:r>
        <w:rPr>
          <w:b/>
          <w:bCs/>
        </w:rPr>
        <w:t>Парламент Саами</w:t>
      </w:r>
    </w:p>
    <w:p w:rsidR="003E3ADF" w:rsidRDefault="003E3ADF">
      <w:pPr>
        <w:ind w:left="709"/>
      </w:pPr>
      <w:r>
        <w:rPr>
          <w:lang/>
        </w:rPr>
        <w:t>Парламент Саами, который был учрежден в 1989 году, является выборным органом народа саами. До выборов нового парламента Саами в 2005 году прежний парламент организовал кампанию, направленную на увеличение доли молодежи и женщин в списках кандидатов и тем самым на увеличение доли женщин в парламенте Саами. Цель кампании состояла в том, чтобы возложить ответственность за расширение представительства женщин в парламенте Саами в ходе выборов на тех, кто представляет списки, стимулир</w:t>
      </w:r>
      <w:r>
        <w:rPr>
          <w:lang/>
        </w:rPr>
        <w:t>о</w:t>
      </w:r>
      <w:r>
        <w:rPr>
          <w:lang/>
        </w:rPr>
        <w:t xml:space="preserve">вать женщин к тому, чтобы они занимали первые места в списках кандидатов и содействовать созданию женских сетей. </w:t>
      </w:r>
      <w:r>
        <w:t>В финансировании данной кампании принимало участие Министерство по делам местных органов власти и регионального развития. Эти усилия дали очень хорошие результаты, и доля женщин увеличилась с 18 процентов в 2001 году до 51 процента в 2005 году. В настоящее время парламент Саами впервые возглавляет женщина. Кроме того, в парламенте Саами предусмотрены гибкие схемы ухода за детьми, чтобы облегчить возможность для родителей, имеющих малолетних детей, исполнять функции членов парламента. Депутатам парламента Саами разрешается брать с собой своих детей и няню для ухода за детьми, причем они имеют право на возмещение этих расходов. В феврале 2006 года Совет парламента Саами представил на рассмотрение пленарной ассамблеи этого парламента свой четвертый доклад, посвященный политике обеспечения гендерного равенства.</w:t>
      </w:r>
    </w:p>
    <w:p w:rsidR="003E3ADF" w:rsidRDefault="003E3ADF">
      <w:pPr>
        <w:keepNext/>
        <w:ind w:left="709"/>
        <w:rPr>
          <w:b/>
        </w:rPr>
      </w:pPr>
      <w:r>
        <w:rPr>
          <w:b/>
        </w:rPr>
        <w:t>Иммигранты и участие в выборах</w:t>
      </w:r>
    </w:p>
    <w:p w:rsidR="003E3ADF" w:rsidRDefault="003E3ADF">
      <w:pPr>
        <w:ind w:left="709"/>
      </w:pPr>
      <w:r>
        <w:t>В начале 2006 года в Норвегии насчитывалось 387 тыс. лиц иммигрантского происхождения, что соответс</w:t>
      </w:r>
      <w:r>
        <w:t>т</w:t>
      </w:r>
      <w:r>
        <w:t>вует 8,3 процента населения страны. В 2005 году численность иммигрантов выросла на 6,0 процента. Для сравнения численность населения Норвегии в целом увеличилась за предыдущий год лишь на 0,73 процента. В общей сложности 6,1 процента населения Норвегии являются выходцами из незападных стран, в то время как доля иммигрантов из западных стран составляет 2,2 процента. Пять лет назад, в начале 2001 года, доля иммигра</w:t>
      </w:r>
      <w:r>
        <w:t>н</w:t>
      </w:r>
      <w:r>
        <w:t>тов составляла 6,6 процента от общей численности населения Норвегии, из них 2,1 процента были выходцами из западных стран, а 4,5 процента – из других стран. Иммигрантов можно встретить практически в каждом муниципалитете Норвегии, и их доля составляет свыше 10 процентов от общей численности населения 14 муниципалитетов. Наибольшее число лиц иммигрантского происхождения проживает в столице страны, Осло, где их доля составляет 23 процента.</w:t>
      </w:r>
    </w:p>
    <w:p w:rsidR="003E3ADF" w:rsidRDefault="003E3ADF">
      <w:pPr>
        <w:ind w:left="709"/>
      </w:pPr>
      <w:r>
        <w:t>В ходе состоявшихся в 2003 году выборов в местные органы власти общий показатель участия имм</w:t>
      </w:r>
      <w:r>
        <w:t>и</w:t>
      </w:r>
      <w:r>
        <w:t>грантов (иностранных граждан и норвежских граждан иностранного происхождения) составил 41 процент. Это на 2 процента меньше по сравнению с выборами в местные органы власти 1999 года. Снижение показателя можно в значительной мере отнести на счет того, что иммигрантское население резко молодеет.</w:t>
      </w:r>
    </w:p>
    <w:p w:rsidR="003E3ADF" w:rsidRDefault="003E3ADF">
      <w:pPr>
        <w:ind w:left="709"/>
      </w:pPr>
      <w:r>
        <w:t>Среди граждан Норвегии иммигрантского происхождения никакой разницы в участии в выборах между му</w:t>
      </w:r>
      <w:r>
        <w:t>ж</w:t>
      </w:r>
      <w:r>
        <w:t>чинами и женщинами не наблюдается. В ходе предыдущих выборов показатель участия женщин в данной группе был несколько выше показателя участия мужчин. В данной группе главное различие в участии в выборах зависит не от пола избирателей, а от того, являются ли они выходцами из западных или других стран.</w:t>
      </w:r>
    </w:p>
    <w:p w:rsidR="003E3ADF" w:rsidRDefault="003E3ADF">
      <w:pPr>
        <w:ind w:left="709"/>
      </w:pPr>
      <w:r>
        <w:t>Среди иностранных граждан в выборах участвовали 35 процентов избирателей-женщин по сравнению с 33 процентами избирателей-мужчин. В ходе предыдущих выборов показатель участия женщин был значительно выше аналогичного показателя для мужчин. В настоящее время эта разница сократилась. В категории иностра</w:t>
      </w:r>
      <w:r>
        <w:t>н</w:t>
      </w:r>
      <w:r>
        <w:t>ных граждан, обладающих правом голоса, показатель участия выходцев из западных стран существенно выше показателя участия выходцев из других стран. Гендерные различия внутри каждой из этих групп минимальны, однако при этом они наиболее значительны в группе иностранных граждан, являющихся выходцами из незапа</w:t>
      </w:r>
      <w:r>
        <w:t>д</w:t>
      </w:r>
      <w:r>
        <w:t>ных стран, в которой в выборах приняли участие 26 процентов избират</w:t>
      </w:r>
      <w:r>
        <w:t>е</w:t>
      </w:r>
      <w:r>
        <w:t>лей-женщин по сравнению с 23 процентами мужчин.</w:t>
      </w:r>
    </w:p>
    <w:p w:rsidR="003E3ADF" w:rsidRDefault="003E3ADF">
      <w:pPr>
        <w:keepNext/>
        <w:tabs>
          <w:tab w:val="clear" w:pos="1361"/>
          <w:tab w:val="right" w:pos="567"/>
          <w:tab w:val="left" w:pos="680"/>
          <w:tab w:val="left" w:pos="1247"/>
        </w:tabs>
        <w:ind w:left="709" w:hanging="709"/>
      </w:pPr>
      <w:r>
        <w:tab/>
        <w:t>2.1.2</w:t>
      </w:r>
      <w:r>
        <w:tab/>
        <w:t>Статья 7</w:t>
      </w:r>
      <w:r>
        <w:rPr>
          <w:lang w:val="en-US"/>
        </w:rPr>
        <w:t>b</w:t>
      </w:r>
      <w:r>
        <w:t>.  Государственные должности</w:t>
      </w:r>
    </w:p>
    <w:p w:rsidR="003E3ADF" w:rsidRDefault="003E3ADF">
      <w:pPr>
        <w:ind w:left="709"/>
      </w:pPr>
      <w:r>
        <w:t>См. раздел 11</w:t>
      </w:r>
      <w:r>
        <w:rPr>
          <w:lang w:val="en-US"/>
        </w:rPr>
        <w:t>b</w:t>
      </w:r>
      <w:r>
        <w:t>, в котором содержится информация о руководящих должностях в государственном секторе</w:t>
      </w:r>
    </w:p>
    <w:p w:rsidR="003E3ADF" w:rsidRDefault="003E3ADF">
      <w:pPr>
        <w:keepNext/>
        <w:tabs>
          <w:tab w:val="clear" w:pos="1361"/>
          <w:tab w:val="right" w:pos="567"/>
          <w:tab w:val="left" w:pos="680"/>
          <w:tab w:val="left" w:pos="1247"/>
        </w:tabs>
        <w:ind w:left="709" w:hanging="709"/>
      </w:pPr>
      <w:r>
        <w:tab/>
        <w:t>2.1.3</w:t>
      </w:r>
      <w:r>
        <w:tab/>
        <w:t>Статья 7</w:t>
      </w:r>
      <w:r>
        <w:rPr>
          <w:lang w:val="en-US"/>
        </w:rPr>
        <w:t>c</w:t>
      </w:r>
      <w:r>
        <w:t>.  Неправительственные организации</w:t>
      </w:r>
    </w:p>
    <w:p w:rsidR="003E3ADF" w:rsidRDefault="003E3ADF">
      <w:pPr>
        <w:ind w:left="709"/>
      </w:pPr>
      <w:r>
        <w:t>Неправительственные организации играют одну из основных ролей в усилиях по созданию государства вс</w:t>
      </w:r>
      <w:r>
        <w:t>е</w:t>
      </w:r>
      <w:r>
        <w:t>общего благоденствия, укреплению демократических прав и поощрению гендерного равенства. Власти придают большое значение контактам и сотрудничеству с этими организациями. Суть одного из "консультати</w:t>
      </w:r>
      <w:r>
        <w:t>в</w:t>
      </w:r>
      <w:r>
        <w:t>ных" замечаний, высказанных в отношении доклада, сводилась к тому, что власти должны шире использовать специальные знания и опыт этих организаций при подборе кандидатов для назначения в состав комитетов, делегаций и групп экспертов.</w:t>
      </w:r>
    </w:p>
    <w:p w:rsidR="003E3ADF" w:rsidRDefault="003E3ADF">
      <w:pPr>
        <w:ind w:left="709"/>
      </w:pPr>
      <w:r>
        <w:t>Начиная с 2000 года правительство в сотрудничестве с зонтичной организацией ФОКУС и бывшим Центром по вопросам равенства полов ежегодно проводит специальную конференцию по подведению итогов мониторинга последующих мероприятий по осуществлению Пекинской платформы действий. ФОКУС организует деятельность норвежских НПО, занимающихся вопросами сотрудничества в целях развития, ориентированными на женщин, и получает финансовую поддержку от Министерства иностранных дел. Одной из тем конференции 2004 года являлось рассмотрение выводов Комитета КЛДОЖ, сделанных в отношении пятого и шестого периодических докладов Норвегии в январе 2003 года, и хода осуществления Норвегией Конвенции о ликвидации всех форм дискриминации в отношении женщин.</w:t>
      </w:r>
    </w:p>
    <w:p w:rsidR="003E3ADF" w:rsidRDefault="003E3ADF">
      <w:pPr>
        <w:ind w:left="709"/>
      </w:pPr>
      <w:r>
        <w:t>Никаких существенных различий между общим числом мужчин и общим числом женщин, являющихся чл</w:t>
      </w:r>
      <w:r>
        <w:t>е</w:t>
      </w:r>
      <w:r>
        <w:t>нами организаций, не наблюдается. Около 50 процентов представителей обоих полов участвуют в работе той или иной организации или ассоциации. Уровень активности явно повышается с возрастом. В профсою</w:t>
      </w:r>
      <w:r>
        <w:t>з</w:t>
      </w:r>
      <w:r>
        <w:t>ных или профессиональных организациях активно участвуют 18 процентов женщин и 17 процентов мужчин. В 2004 году о своем активном участии в работе женских организаций заявили 2 процента женщин, что на 50 процентов меньше показателя, который был зафиксирован в 1997 году. Доля активно участвующих женщин в возрасте 45 лет и старше существенно повысилась. В 2004 году активными членами той или иной политической партии являлись 2 процента женщин, в то время как в 2001 году этот показатель равнялся 3 процентам.</w:t>
      </w:r>
    </w:p>
    <w:p w:rsidR="003E3ADF" w:rsidRDefault="003E3ADF">
      <w:pPr>
        <w:ind w:left="709"/>
      </w:pPr>
      <w:r>
        <w:t>Управление по делам детей, молодежи и семьи Норвегии выделяет бюджетные ассигнования на операти</w:t>
      </w:r>
      <w:r>
        <w:t>в</w:t>
      </w:r>
      <w:r>
        <w:t>ную поддержку и деятельность неправительственных организаций, занимающихся вопросами семьи и гендерного равенства. В 2005 году были выделены средства на оплату поездки представителей 20 организ</w:t>
      </w:r>
      <w:r>
        <w:t>а</w:t>
      </w:r>
      <w:r>
        <w:t>ций для участия в совещании Комиссии КЛДОЖ Организации Объединенных Наций, состоявшемся в марте 2005 года. Начиная с 2005 года работа по осуществлению резолюции 1325 Совета Безопасности Организ</w:t>
      </w:r>
      <w:r>
        <w:t>а</w:t>
      </w:r>
      <w:r>
        <w:t>ции Объединенных Наций была включена в число возможных критериев для получения государственного финансирования.</w:t>
      </w:r>
    </w:p>
    <w:p w:rsidR="003E3ADF" w:rsidRDefault="003E3ADF">
      <w:pPr>
        <w:ind w:left="709"/>
      </w:pPr>
      <w:r>
        <w:t>Многие крупные организации включили работу по обеспечению гендерного равенства в свою повестку дня в качестве одной из главных задач, и некоторые из них представили информацию о прилагаемых ими усилиях в этой области в своих "консультативных" замечаниях. Особое внимание при этом обращается на усилия по улучшению гендерного баланса в рамках процессов принятия решений и борьбе с насилием в отношении женщин.</w:t>
      </w:r>
    </w:p>
    <w:p w:rsidR="003E3ADF" w:rsidRDefault="003E3ADF">
      <w:pPr>
        <w:ind w:left="709"/>
      </w:pPr>
      <w:r>
        <w:t>Норвежская ассоциация местных органов власти занимается продвижением идеи гендерного равенства на национальном и международном уровнях, в частности путем содействия обеспечению гендерного равенства в процессе местного и регионального планирования и большего гендерного баланса в рамках процессов принятия решений. Крупнейшая организация трудящихся Норвегии – Норвежская конфедерация профсоюзов – включила гендерную проблематику во все свои административные процедуры. Так, например, на состоявшемся в 2005 году съезде она утвердила новую статью своего Устава для обеспечения как можно большего гендерного баланса во всех советах, органах и комитетах Конфедерации:</w:t>
      </w:r>
    </w:p>
    <w:p w:rsidR="003E3ADF" w:rsidRDefault="003E3ADF">
      <w:pPr>
        <w:ind w:left="709"/>
      </w:pPr>
      <w:r>
        <w:t>"Статья 11.   Гендерное равенство: При выборах и назначениях на должности в Норвежской ко</w:t>
      </w:r>
      <w:r>
        <w:t>н</w:t>
      </w:r>
      <w:r>
        <w:t>федерации профсоюзов доля представителей каждого пола должна составлять, по возможности, не менее 40 процентов". Подобно некоторым гуманитарным организациям, Конфедерация приняла м</w:t>
      </w:r>
      <w:r>
        <w:t>о</w:t>
      </w:r>
      <w:r>
        <w:t>ральный кодекс, в соответствии с которым членам организации запрещается пользоваться платными сексуал</w:t>
      </w:r>
      <w:r>
        <w:t>ь</w:t>
      </w:r>
      <w:r>
        <w:t>ными услугами во время любых поездок и командировок. Кроме того, Норвежская конфедерация профсоюзов выступает за то, чтобы Норвегия ратифицировала Конвенцию № 183 МОТ об охране материнства.</w:t>
      </w:r>
    </w:p>
    <w:p w:rsidR="003E3ADF" w:rsidRDefault="003E3ADF">
      <w:pPr>
        <w:keepNext/>
        <w:tabs>
          <w:tab w:val="clear" w:pos="1361"/>
          <w:tab w:val="right" w:pos="567"/>
          <w:tab w:val="left" w:pos="680"/>
          <w:tab w:val="left" w:pos="1247"/>
        </w:tabs>
        <w:ind w:left="709" w:hanging="709"/>
        <w:rPr>
          <w:b/>
          <w:bCs/>
        </w:rPr>
      </w:pPr>
      <w:r>
        <w:rPr>
          <w:b/>
          <w:bCs/>
        </w:rPr>
        <w:tab/>
        <w:t>2.2</w:t>
      </w:r>
      <w:r>
        <w:rPr>
          <w:b/>
          <w:bCs/>
        </w:rPr>
        <w:tab/>
        <w:t>Статья 8.  Представительство на международном уровне</w:t>
      </w:r>
    </w:p>
    <w:p w:rsidR="003E3ADF" w:rsidRDefault="003E3ADF">
      <w:pPr>
        <w:ind w:left="709"/>
      </w:pPr>
      <w:r>
        <w:t>В 2006 году в международных организациях работал 431 гражданин Норвегии, в том числе 172</w:t>
      </w:r>
      <w:r>
        <w:rPr>
          <w:lang w:val="en-US"/>
        </w:rPr>
        <w:t> </w:t>
      </w:r>
      <w:r>
        <w:t>женщ</w:t>
      </w:r>
      <w:r>
        <w:t>и</w:t>
      </w:r>
      <w:r>
        <w:t>ны. Из 225 граждан Норвегии, работающих в Организации Объединенных Наций, 94 являются женщинами; из 166 граждан Норвегии, работающих в европейских организациях, включая ОБСЕ и НАТО, женщинами являются 63 человека; и среди более чем 40 служащих банков развития, ОЕСР и других соответствующих организаций насчитывается не менее 15 женщин. Из 45 младших сотрудников категории специалистов, набранных в различные учреждения Организации Объединенных Наций в 2005 году, 35 были женщинами.</w:t>
      </w:r>
    </w:p>
    <w:p w:rsidR="003E3ADF" w:rsidRDefault="003E3ADF">
      <w:pPr>
        <w:ind w:left="709"/>
      </w:pPr>
      <w:r>
        <w:t>Раздел 21 Закона о гендерном равенстве предусматривает как минимум 40-процентное представител</w:t>
      </w:r>
      <w:r>
        <w:t>ь</w:t>
      </w:r>
      <w:r>
        <w:t>ство каждого пола во всех официальных комитетах, органах, советах и т. д., и это правило также применяе</w:t>
      </w:r>
      <w:r>
        <w:t>т</w:t>
      </w:r>
      <w:r>
        <w:t>ся при определении состава официальных делегаций для участия в различных международных форумах. Статистических данных о фактической процентной доле представителей каждого пола не имеется.</w:t>
      </w:r>
    </w:p>
    <w:p w:rsidR="003E3ADF" w:rsidRDefault="003E3ADF">
      <w:pPr>
        <w:ind w:left="709"/>
      </w:pPr>
      <w:r>
        <w:t>В штате Министерства иностранных дел насчитывается примерно 1430 сотрудников, 52 процента кот</w:t>
      </w:r>
      <w:r>
        <w:t>о</w:t>
      </w:r>
      <w:r>
        <w:t>рых составляют женщины. В 2005 году среди общего числа сотрудников старшего звена женщины составл</w:t>
      </w:r>
      <w:r>
        <w:t>я</w:t>
      </w:r>
      <w:r>
        <w:t>ли 29 процентов. С 2001 года их доля несколько увеличилась. Министерство планирует активизировать свои усилия по увеличению числа женщин среди сотрудников старшего звена и разработало План действий по обеспечению гендерного равенства на дипломатической службе (2002–2006 годы). У Норвегии имеется 100 дипломатических представительств за рубежом, 15 из которых возглавляют женщины в ранге генерал</w:t>
      </w:r>
      <w:r>
        <w:t>ь</w:t>
      </w:r>
      <w:r>
        <w:t xml:space="preserve">ного консула или посла. Три женщины работают послами в европейских странах. </w:t>
      </w:r>
    </w:p>
    <w:p w:rsidR="003E3ADF" w:rsidRDefault="003E3ADF">
      <w:pPr>
        <w:keepNext/>
        <w:tabs>
          <w:tab w:val="clear" w:pos="1361"/>
          <w:tab w:val="right" w:pos="567"/>
          <w:tab w:val="left" w:pos="680"/>
          <w:tab w:val="left" w:pos="1247"/>
        </w:tabs>
        <w:ind w:left="709" w:hanging="709"/>
        <w:rPr>
          <w:b/>
          <w:bCs/>
        </w:rPr>
      </w:pPr>
      <w:r>
        <w:rPr>
          <w:b/>
          <w:bCs/>
        </w:rPr>
        <w:tab/>
        <w:t>2.3</w:t>
      </w:r>
      <w:r>
        <w:rPr>
          <w:b/>
          <w:bCs/>
        </w:rPr>
        <w:tab/>
        <w:t>Статья 9.  Гражданство</w:t>
      </w:r>
    </w:p>
    <w:p w:rsidR="003E3ADF" w:rsidRDefault="003E3ADF">
      <w:pPr>
        <w:ind w:left="709"/>
      </w:pPr>
      <w:r>
        <w:t>В Норвегии был принят новый Закон о гражданстве. Ожидается, что Закон № 51 от 10 июня 2005 года о норвежском гражданстве вступит в силу осенью 2006 года.</w:t>
      </w:r>
    </w:p>
    <w:p w:rsidR="003E3ADF" w:rsidRDefault="003E3ADF">
      <w:pPr>
        <w:ind w:left="709"/>
      </w:pPr>
      <w:r>
        <w:t>Новый закон является нейтральным с гендерной точки зрения, во многих отношениях он является продолж</w:t>
      </w:r>
      <w:r>
        <w:t>е</w:t>
      </w:r>
      <w:r>
        <w:t>нием действующего законодательства. Одно из его самых существенных отличий от действующего закона состоит в том, что любой человек имеет право на получение норвежского гражданства в случае выполнения всех условий. Другими словами, в нем сделан меньший упор на результаты административной оценки. Все конкретные условия получения гражданства оговариваются в законе, который дополняется правилами, в то время как действующий закон в значительной мере имеет вид рамочного законодательного инструмента.</w:t>
      </w:r>
    </w:p>
    <w:p w:rsidR="003E3ADF" w:rsidRDefault="003E3ADF">
      <w:pPr>
        <w:ind w:left="709"/>
      </w:pPr>
      <w:r>
        <w:t>Дети могут получить норвежское гражданство по достижении ими возраста 12 лет, подав соответс</w:t>
      </w:r>
      <w:r>
        <w:t>т</w:t>
      </w:r>
      <w:r>
        <w:t>вующее заявление, даже если их родители не являются или не становятся гражданами Норвегии одновреме</w:t>
      </w:r>
      <w:r>
        <w:t>н</w:t>
      </w:r>
      <w:r>
        <w:t>но с ними. Оба родителя пользуются одинаковым правом в отношении автоматической передачи гражданства своему ребенку при рождении. Новый закон опирается на принцип единого гражданства. Данный принцип будет применяться более эффективно, чем раньше, отчасти благодаря тому, что любой новый гражданин Норвегии, который не отвечает условию, требующему от него отказа от любого другого гражданства после получения норвежского гражданства, рискует лишиться своего приобретенного норвежского гражданства. Одно из условий получения норвежского гражданства путем подачи заявления состоит в том, что человек должен пройти курс обучения норвежскому языку.</w:t>
      </w:r>
    </w:p>
    <w:p w:rsidR="003E3ADF" w:rsidRDefault="003E3ADF">
      <w:pPr>
        <w:ind w:left="709"/>
      </w:pPr>
      <w:r>
        <w:t xml:space="preserve">Лицо, получающее норвежское гражданство, будет приглашено на церемонию, организуемую для новых граждан Норвегии после принятия решения о предоставлении им норвежского гражданства. Присутствие на церемонии не обязательно, однако лица, решившие принять в ней участие, должны принести клятву верности своей новой стране. </w:t>
      </w:r>
    </w:p>
    <w:p w:rsidR="003E3ADF" w:rsidRDefault="003E3ADF">
      <w:pPr>
        <w:keepNext/>
        <w:tabs>
          <w:tab w:val="clear" w:pos="1361"/>
          <w:tab w:val="right" w:pos="567"/>
          <w:tab w:val="left" w:pos="680"/>
          <w:tab w:val="left" w:pos="1247"/>
        </w:tabs>
        <w:ind w:left="709" w:hanging="709"/>
        <w:rPr>
          <w:b/>
        </w:rPr>
      </w:pPr>
      <w:r>
        <w:rPr>
          <w:b/>
        </w:rPr>
        <w:tab/>
        <w:t>2.4</w:t>
      </w:r>
      <w:r>
        <w:rPr>
          <w:b/>
        </w:rPr>
        <w:tab/>
        <w:t>Статья 10.  Образование</w:t>
      </w:r>
    </w:p>
    <w:p w:rsidR="003E3ADF" w:rsidRDefault="003E3ADF">
      <w:pPr>
        <w:spacing w:after="160"/>
        <w:ind w:left="709"/>
      </w:pPr>
      <w:r>
        <w:t>Норвегия связывает свое будущее с превращением в основанное на знаниях государство и стремится обесп</w:t>
      </w:r>
      <w:r>
        <w:t>е</w:t>
      </w:r>
      <w:r>
        <w:t>чить равенство в сфере образования. С 1 января 2006 года детские дошкольные учреждения, школы и другие учебные заведения переходят в ведение единого министерства – Министерства образования и научных исследов</w:t>
      </w:r>
      <w:r>
        <w:t>а</w:t>
      </w:r>
      <w:r>
        <w:t>ний. Это означает, что детские дошкольные учреждения в Норвегии рассматриваются в качестве составной части процесса обучения. Знание – это большая сила, и важно использовать все людские ресурсы страны, то есть потенциал как мужчин, так и женщин. Разнообразие является одним из важных факторов творчества и роста. Тем не менее норвежские женщины и мужчины предпочитают останавливать свой выбор на традиционных учебных дисциплинах и специальностях. Гендерный баланс лучше всего обеспечивается на старшей ступени среднего образования, но с переходом на каждую новую ступень образования постепенно снижается. Мужчины больше предпочитают изучать технические и научные дисциплины, в то время как большинство женщин выбирают такие дисциплины, как педагогика, образов</w:t>
      </w:r>
      <w:r>
        <w:t>а</w:t>
      </w:r>
      <w:r>
        <w:t>ние, медицина и общественные дисциплины. Гендерные роли в рамках системы образования в значительной мере находят отражение на рынке труда, где также наблюдается сегрегация по признаку пола.</w:t>
      </w:r>
    </w:p>
    <w:p w:rsidR="003E3ADF" w:rsidRDefault="003E3ADF">
      <w:pPr>
        <w:spacing w:after="160"/>
        <w:ind w:left="709"/>
      </w:pPr>
      <w:r>
        <w:t>В результате сделанного ими выбора в области образования большинство женщин оказываются на м</w:t>
      </w:r>
      <w:r>
        <w:t>е</w:t>
      </w:r>
      <w:r>
        <w:t>нее высоко оплачиваемых должностях по сравнению с мужчинами. Что касается  выбора нетрадиционных специал</w:t>
      </w:r>
      <w:r>
        <w:t>ь</w:t>
      </w:r>
      <w:r>
        <w:t>ностей, то женщины чаще, чем мужчины, выбирают нетрадиционные для них специальности, поскольку хотят получать больше. Мужчины, вероятно, и впредь будут составлять меньшинство в професс</w:t>
      </w:r>
      <w:r>
        <w:t>и</w:t>
      </w:r>
      <w:r>
        <w:t>ях, в которых ощущается потребность в более равном соотношении мужчин и женщин, таких как медици</w:t>
      </w:r>
      <w:r>
        <w:t>н</w:t>
      </w:r>
      <w:r>
        <w:t>ские сестры, школьные учителя или воспитатели детских дошкольных учреждений. До тех пор, пока профессии, в которых преобладают женщины, не будут оплачиваться на том же уровне, что и профессии, в которых доминируют мужчины, устранить сегрегацию на рынке труда по признаку пола будет весьма сложно. Цель обеспечения более справедливого соотношения полов на рынке труда является одной из задач социальных партнеров в ходе переговоров по вопросам, касающимся размеров оплаты труда.</w:t>
      </w:r>
    </w:p>
    <w:p w:rsidR="003E3ADF" w:rsidRDefault="003E3ADF">
      <w:pPr>
        <w:ind w:left="709"/>
      </w:pPr>
      <w:r>
        <w:t>Хотя норвежские женщины и делают традиционный выбор в плане образования и профессии, в стране, тем не менее, имеется весьма высокий процент женщин, получивших дипломы о высшем образовании. Завоевания женщин в системе высшего образования вполне можно назвать "тихой революцией", поскольку последовательное увеличение их числа за последние 30 лет кардинально изменило соотношение полов в системе высшего образования.</w:t>
      </w:r>
    </w:p>
    <w:p w:rsidR="003E3ADF" w:rsidRDefault="003E3ADF">
      <w:pPr>
        <w:ind w:left="709"/>
      </w:pPr>
      <w:r>
        <w:t>Дипломы об окончании колледжа или университета в настоящее время имеют более 21 процента но</w:t>
      </w:r>
      <w:r>
        <w:t>р</w:t>
      </w:r>
      <w:r>
        <w:t>вежских женщин по сравнению с 16 процентами норвежских мужчин. Вместе с тем число мужчин, имеющих длительное университетское образование (свыше 4 лет), все еще превышает соответствующее число женщин. В возрастной группе 25–39 лет дипломы об окончании колледжа или университета имеют более 40 процентов норвежских женщин по сравнению с 18 процентами в возрастной группе 60–66 лет. Среди мужчин разница между различными возрастными группами является гораздо менее заметной. В возрастной группе до 50 лет высшее образование имеет большее число женщин, чем мужчин, а в возрастной группе старше 50 лет наблюдается обратная картина.</w:t>
      </w:r>
    </w:p>
    <w:p w:rsidR="003E3ADF" w:rsidRDefault="003E3ADF">
      <w:pPr>
        <w:ind w:left="709"/>
        <w:rPr>
          <w:b/>
          <w:bCs/>
          <w:sz w:val="20"/>
        </w:rPr>
      </w:pPr>
      <w:r>
        <w:rPr>
          <w:b/>
          <w:bCs/>
          <w:sz w:val="20"/>
        </w:rPr>
        <w:t>Наивысший уровень образования женщин и мужчин в возрасте 16 лет и старше, 1990 и 2004 годы, в процентах</w:t>
      </w:r>
    </w:p>
    <w:tbl>
      <w:tblPr>
        <w:tblW w:w="9129" w:type="dxa"/>
        <w:tblInd w:w="822" w:type="dxa"/>
        <w:tblLook w:val="01E0" w:firstRow="1" w:lastRow="1" w:firstColumn="1" w:lastColumn="1" w:noHBand="0" w:noVBand="0"/>
      </w:tblPr>
      <w:tblGrid>
        <w:gridCol w:w="3822"/>
        <w:gridCol w:w="1276"/>
        <w:gridCol w:w="1418"/>
        <w:gridCol w:w="1275"/>
        <w:gridCol w:w="1338"/>
      </w:tblGrid>
      <w:tr w:rsidR="003E3ADF">
        <w:tc>
          <w:tcPr>
            <w:tcW w:w="3822" w:type="dxa"/>
            <w:tcBorders>
              <w:top w:val="single" w:sz="4" w:space="0" w:color="auto"/>
            </w:tcBorders>
          </w:tcPr>
          <w:p w:rsidR="003E3ADF" w:rsidRDefault="003E3ADF">
            <w:pPr>
              <w:spacing w:before="20" w:after="20"/>
              <w:rPr>
                <w:i/>
                <w:iCs/>
                <w:sz w:val="18"/>
              </w:rPr>
            </w:pPr>
          </w:p>
        </w:tc>
        <w:tc>
          <w:tcPr>
            <w:tcW w:w="2694" w:type="dxa"/>
            <w:gridSpan w:val="2"/>
            <w:tcBorders>
              <w:top w:val="single" w:sz="4" w:space="0" w:color="auto"/>
            </w:tcBorders>
          </w:tcPr>
          <w:p w:rsidR="003E3ADF" w:rsidRDefault="003E3ADF">
            <w:pPr>
              <w:spacing w:before="20" w:after="20"/>
              <w:jc w:val="center"/>
              <w:rPr>
                <w:b/>
                <w:i/>
                <w:iCs/>
                <w:sz w:val="18"/>
              </w:rPr>
            </w:pPr>
            <w:r>
              <w:rPr>
                <w:b/>
                <w:i/>
                <w:iCs/>
                <w:sz w:val="18"/>
              </w:rPr>
              <w:t>1990 год</w:t>
            </w:r>
          </w:p>
        </w:tc>
        <w:tc>
          <w:tcPr>
            <w:tcW w:w="2613" w:type="dxa"/>
            <w:gridSpan w:val="2"/>
            <w:tcBorders>
              <w:top w:val="single" w:sz="4" w:space="0" w:color="auto"/>
            </w:tcBorders>
          </w:tcPr>
          <w:p w:rsidR="003E3ADF" w:rsidRDefault="003E3ADF">
            <w:pPr>
              <w:spacing w:before="20" w:after="20"/>
              <w:jc w:val="center"/>
              <w:rPr>
                <w:b/>
                <w:i/>
                <w:iCs/>
                <w:sz w:val="18"/>
              </w:rPr>
            </w:pPr>
            <w:r>
              <w:rPr>
                <w:b/>
                <w:i/>
                <w:iCs/>
                <w:sz w:val="18"/>
              </w:rPr>
              <w:t>2004 год</w:t>
            </w:r>
          </w:p>
        </w:tc>
      </w:tr>
      <w:tr w:rsidR="003E3ADF">
        <w:tc>
          <w:tcPr>
            <w:tcW w:w="3822" w:type="dxa"/>
            <w:tcBorders>
              <w:bottom w:val="single" w:sz="12" w:space="0" w:color="auto"/>
            </w:tcBorders>
          </w:tcPr>
          <w:p w:rsidR="003E3ADF" w:rsidRDefault="003E3ADF">
            <w:pPr>
              <w:spacing w:before="20" w:after="20"/>
              <w:rPr>
                <w:b/>
                <w:i/>
                <w:iCs/>
                <w:sz w:val="18"/>
              </w:rPr>
            </w:pPr>
            <w:r>
              <w:rPr>
                <w:b/>
                <w:i/>
                <w:iCs/>
                <w:sz w:val="18"/>
              </w:rPr>
              <w:t>Уровень образов</w:t>
            </w:r>
            <w:r>
              <w:rPr>
                <w:b/>
                <w:i/>
                <w:iCs/>
                <w:sz w:val="18"/>
              </w:rPr>
              <w:t>а</w:t>
            </w:r>
            <w:r>
              <w:rPr>
                <w:b/>
                <w:i/>
                <w:iCs/>
                <w:sz w:val="18"/>
              </w:rPr>
              <w:t>ния</w:t>
            </w:r>
          </w:p>
        </w:tc>
        <w:tc>
          <w:tcPr>
            <w:tcW w:w="1276" w:type="dxa"/>
            <w:tcBorders>
              <w:bottom w:val="single" w:sz="12" w:space="0" w:color="auto"/>
            </w:tcBorders>
          </w:tcPr>
          <w:p w:rsidR="003E3ADF" w:rsidRDefault="003E3ADF">
            <w:pPr>
              <w:pStyle w:val="Heading2"/>
              <w:spacing w:before="20" w:after="20"/>
              <w:jc w:val="center"/>
              <w:rPr>
                <w:i/>
                <w:iCs/>
                <w:sz w:val="18"/>
                <w:lang w:val="ru-RU"/>
              </w:rPr>
            </w:pPr>
            <w:r>
              <w:rPr>
                <w:i/>
                <w:iCs/>
                <w:sz w:val="18"/>
                <w:lang w:val="ru-RU"/>
              </w:rPr>
              <w:t>Женщины</w:t>
            </w:r>
          </w:p>
        </w:tc>
        <w:tc>
          <w:tcPr>
            <w:tcW w:w="1418" w:type="dxa"/>
            <w:tcBorders>
              <w:bottom w:val="single" w:sz="12" w:space="0" w:color="auto"/>
            </w:tcBorders>
          </w:tcPr>
          <w:p w:rsidR="003E3ADF" w:rsidRDefault="003E3ADF">
            <w:pPr>
              <w:spacing w:before="20" w:after="20"/>
              <w:jc w:val="center"/>
              <w:rPr>
                <w:b/>
                <w:i/>
                <w:iCs/>
                <w:sz w:val="18"/>
              </w:rPr>
            </w:pPr>
            <w:r>
              <w:rPr>
                <w:b/>
                <w:i/>
                <w:iCs/>
                <w:sz w:val="18"/>
              </w:rPr>
              <w:t>Мужчины</w:t>
            </w:r>
          </w:p>
        </w:tc>
        <w:tc>
          <w:tcPr>
            <w:tcW w:w="1275" w:type="dxa"/>
            <w:tcBorders>
              <w:bottom w:val="single" w:sz="12" w:space="0" w:color="auto"/>
            </w:tcBorders>
          </w:tcPr>
          <w:p w:rsidR="003E3ADF" w:rsidRDefault="003E3ADF">
            <w:pPr>
              <w:spacing w:before="20" w:after="20"/>
              <w:jc w:val="center"/>
              <w:rPr>
                <w:b/>
                <w:i/>
                <w:iCs/>
                <w:sz w:val="18"/>
              </w:rPr>
            </w:pPr>
            <w:r>
              <w:rPr>
                <w:b/>
                <w:i/>
                <w:iCs/>
                <w:sz w:val="18"/>
              </w:rPr>
              <w:t>Женщины</w:t>
            </w:r>
          </w:p>
        </w:tc>
        <w:tc>
          <w:tcPr>
            <w:tcW w:w="1338" w:type="dxa"/>
            <w:tcBorders>
              <w:bottom w:val="single" w:sz="12" w:space="0" w:color="auto"/>
            </w:tcBorders>
          </w:tcPr>
          <w:p w:rsidR="003E3ADF" w:rsidRDefault="003E3ADF">
            <w:pPr>
              <w:spacing w:before="20" w:after="20"/>
              <w:jc w:val="center"/>
              <w:rPr>
                <w:b/>
                <w:i/>
                <w:iCs/>
                <w:sz w:val="18"/>
              </w:rPr>
            </w:pPr>
            <w:r>
              <w:rPr>
                <w:b/>
                <w:i/>
                <w:iCs/>
                <w:sz w:val="18"/>
              </w:rPr>
              <w:t>Мужчины</w:t>
            </w:r>
          </w:p>
        </w:tc>
      </w:tr>
      <w:tr w:rsidR="003E3ADF">
        <w:tc>
          <w:tcPr>
            <w:tcW w:w="3822" w:type="dxa"/>
            <w:tcBorders>
              <w:top w:val="single" w:sz="12" w:space="0" w:color="auto"/>
            </w:tcBorders>
          </w:tcPr>
          <w:p w:rsidR="003E3ADF" w:rsidRDefault="003E3ADF">
            <w:pPr>
              <w:spacing w:before="20" w:after="20"/>
              <w:jc w:val="left"/>
              <w:rPr>
                <w:sz w:val="18"/>
              </w:rPr>
            </w:pPr>
            <w:r>
              <w:rPr>
                <w:sz w:val="18"/>
              </w:rPr>
              <w:t>Начальная школа</w:t>
            </w:r>
          </w:p>
        </w:tc>
        <w:tc>
          <w:tcPr>
            <w:tcW w:w="1276" w:type="dxa"/>
            <w:tcBorders>
              <w:top w:val="single" w:sz="12" w:space="0" w:color="auto"/>
            </w:tcBorders>
          </w:tcPr>
          <w:p w:rsidR="003E3ADF" w:rsidRDefault="003E3ADF">
            <w:pPr>
              <w:spacing w:before="20" w:after="20"/>
              <w:ind w:right="454"/>
              <w:jc w:val="right"/>
              <w:rPr>
                <w:sz w:val="18"/>
              </w:rPr>
            </w:pPr>
            <w:r>
              <w:rPr>
                <w:sz w:val="18"/>
              </w:rPr>
              <w:t>36,3</w:t>
            </w:r>
          </w:p>
        </w:tc>
        <w:tc>
          <w:tcPr>
            <w:tcW w:w="1418" w:type="dxa"/>
            <w:tcBorders>
              <w:top w:val="single" w:sz="12" w:space="0" w:color="auto"/>
            </w:tcBorders>
          </w:tcPr>
          <w:p w:rsidR="003E3ADF" w:rsidRDefault="003E3ADF">
            <w:pPr>
              <w:spacing w:before="20" w:after="20"/>
              <w:ind w:right="454"/>
              <w:jc w:val="right"/>
              <w:rPr>
                <w:sz w:val="18"/>
              </w:rPr>
            </w:pPr>
            <w:r>
              <w:rPr>
                <w:sz w:val="18"/>
              </w:rPr>
              <w:t>30,1</w:t>
            </w:r>
          </w:p>
        </w:tc>
        <w:tc>
          <w:tcPr>
            <w:tcW w:w="1275" w:type="dxa"/>
            <w:tcBorders>
              <w:top w:val="single" w:sz="12" w:space="0" w:color="auto"/>
            </w:tcBorders>
          </w:tcPr>
          <w:p w:rsidR="003E3ADF" w:rsidRDefault="003E3ADF">
            <w:pPr>
              <w:spacing w:before="20" w:after="20"/>
              <w:ind w:right="454"/>
              <w:jc w:val="right"/>
              <w:rPr>
                <w:sz w:val="18"/>
              </w:rPr>
            </w:pPr>
            <w:r>
              <w:rPr>
                <w:sz w:val="18"/>
              </w:rPr>
              <w:t>21,4</w:t>
            </w:r>
          </w:p>
        </w:tc>
        <w:tc>
          <w:tcPr>
            <w:tcW w:w="1338" w:type="dxa"/>
            <w:tcBorders>
              <w:top w:val="single" w:sz="12" w:space="0" w:color="auto"/>
            </w:tcBorders>
          </w:tcPr>
          <w:p w:rsidR="003E3ADF" w:rsidRDefault="003E3ADF">
            <w:pPr>
              <w:spacing w:before="20" w:after="20"/>
              <w:ind w:right="454"/>
              <w:jc w:val="right"/>
              <w:rPr>
                <w:sz w:val="18"/>
              </w:rPr>
            </w:pPr>
            <w:r>
              <w:rPr>
                <w:sz w:val="18"/>
              </w:rPr>
              <w:t>17,6</w:t>
            </w:r>
          </w:p>
        </w:tc>
      </w:tr>
      <w:tr w:rsidR="003E3ADF">
        <w:tc>
          <w:tcPr>
            <w:tcW w:w="3822" w:type="dxa"/>
          </w:tcPr>
          <w:p w:rsidR="003E3ADF" w:rsidRDefault="003E3ADF">
            <w:pPr>
              <w:spacing w:before="20" w:after="20"/>
              <w:jc w:val="left"/>
              <w:rPr>
                <w:sz w:val="18"/>
              </w:rPr>
            </w:pPr>
            <w:r>
              <w:rPr>
                <w:sz w:val="18"/>
              </w:rPr>
              <w:t>Средняя школа</w:t>
            </w:r>
          </w:p>
        </w:tc>
        <w:tc>
          <w:tcPr>
            <w:tcW w:w="1276" w:type="dxa"/>
          </w:tcPr>
          <w:p w:rsidR="003E3ADF" w:rsidRDefault="003E3ADF">
            <w:pPr>
              <w:spacing w:before="20" w:after="20"/>
              <w:ind w:right="454"/>
              <w:jc w:val="right"/>
              <w:rPr>
                <w:sz w:val="18"/>
              </w:rPr>
            </w:pPr>
            <w:r>
              <w:rPr>
                <w:sz w:val="18"/>
              </w:rPr>
              <w:t>49,7</w:t>
            </w:r>
          </w:p>
        </w:tc>
        <w:tc>
          <w:tcPr>
            <w:tcW w:w="1418" w:type="dxa"/>
          </w:tcPr>
          <w:p w:rsidR="003E3ADF" w:rsidRDefault="003E3ADF">
            <w:pPr>
              <w:spacing w:before="20" w:after="20"/>
              <w:ind w:right="454"/>
              <w:jc w:val="right"/>
              <w:rPr>
                <w:sz w:val="18"/>
              </w:rPr>
            </w:pPr>
            <w:r>
              <w:rPr>
                <w:sz w:val="18"/>
              </w:rPr>
              <w:t>53,0</w:t>
            </w:r>
          </w:p>
        </w:tc>
        <w:tc>
          <w:tcPr>
            <w:tcW w:w="1275" w:type="dxa"/>
          </w:tcPr>
          <w:p w:rsidR="003E3ADF" w:rsidRDefault="003E3ADF">
            <w:pPr>
              <w:spacing w:before="20" w:after="20"/>
              <w:ind w:right="454"/>
              <w:jc w:val="right"/>
              <w:rPr>
                <w:sz w:val="18"/>
              </w:rPr>
            </w:pPr>
            <w:r>
              <w:rPr>
                <w:sz w:val="18"/>
              </w:rPr>
              <w:t>53,9</w:t>
            </w:r>
          </w:p>
        </w:tc>
        <w:tc>
          <w:tcPr>
            <w:tcW w:w="1338" w:type="dxa"/>
          </w:tcPr>
          <w:p w:rsidR="003E3ADF" w:rsidRDefault="003E3ADF">
            <w:pPr>
              <w:spacing w:before="20" w:after="20"/>
              <w:ind w:right="454"/>
              <w:jc w:val="right"/>
              <w:rPr>
                <w:sz w:val="18"/>
              </w:rPr>
            </w:pPr>
            <w:r>
              <w:rPr>
                <w:sz w:val="18"/>
              </w:rPr>
              <w:t>59,3</w:t>
            </w:r>
          </w:p>
        </w:tc>
      </w:tr>
      <w:tr w:rsidR="003E3ADF">
        <w:tc>
          <w:tcPr>
            <w:tcW w:w="3822" w:type="dxa"/>
          </w:tcPr>
          <w:p w:rsidR="003E3ADF" w:rsidRDefault="003E3ADF">
            <w:pPr>
              <w:spacing w:before="20" w:after="20"/>
              <w:jc w:val="left"/>
              <w:rPr>
                <w:sz w:val="18"/>
              </w:rPr>
            </w:pPr>
            <w:r>
              <w:rPr>
                <w:sz w:val="18"/>
              </w:rPr>
              <w:t>Университет/колледж, 4 года обучения</w:t>
            </w:r>
          </w:p>
        </w:tc>
        <w:tc>
          <w:tcPr>
            <w:tcW w:w="1276" w:type="dxa"/>
          </w:tcPr>
          <w:p w:rsidR="003E3ADF" w:rsidRDefault="003E3ADF">
            <w:pPr>
              <w:spacing w:before="20" w:after="20"/>
              <w:ind w:right="454"/>
              <w:jc w:val="right"/>
              <w:rPr>
                <w:sz w:val="18"/>
              </w:rPr>
            </w:pPr>
            <w:r>
              <w:rPr>
                <w:sz w:val="18"/>
              </w:rPr>
              <w:t>12,7</w:t>
            </w:r>
          </w:p>
        </w:tc>
        <w:tc>
          <w:tcPr>
            <w:tcW w:w="1418" w:type="dxa"/>
          </w:tcPr>
          <w:p w:rsidR="003E3ADF" w:rsidRDefault="003E3ADF">
            <w:pPr>
              <w:spacing w:before="20" w:after="20"/>
              <w:ind w:right="454"/>
              <w:jc w:val="right"/>
              <w:rPr>
                <w:sz w:val="18"/>
              </w:rPr>
            </w:pPr>
            <w:r>
              <w:rPr>
                <w:sz w:val="18"/>
              </w:rPr>
              <w:t>11,7</w:t>
            </w:r>
          </w:p>
        </w:tc>
        <w:tc>
          <w:tcPr>
            <w:tcW w:w="1275" w:type="dxa"/>
          </w:tcPr>
          <w:p w:rsidR="003E3ADF" w:rsidRDefault="003E3ADF">
            <w:pPr>
              <w:spacing w:before="20" w:after="20"/>
              <w:ind w:right="454"/>
              <w:jc w:val="right"/>
              <w:rPr>
                <w:sz w:val="18"/>
              </w:rPr>
            </w:pPr>
            <w:r>
              <w:rPr>
                <w:sz w:val="18"/>
              </w:rPr>
              <w:t>21,2</w:t>
            </w:r>
          </w:p>
        </w:tc>
        <w:tc>
          <w:tcPr>
            <w:tcW w:w="1338" w:type="dxa"/>
          </w:tcPr>
          <w:p w:rsidR="003E3ADF" w:rsidRDefault="003E3ADF">
            <w:pPr>
              <w:spacing w:before="20" w:after="20"/>
              <w:ind w:right="454"/>
              <w:jc w:val="right"/>
              <w:rPr>
                <w:sz w:val="18"/>
              </w:rPr>
            </w:pPr>
            <w:r>
              <w:rPr>
                <w:sz w:val="18"/>
              </w:rPr>
              <w:t>15,9</w:t>
            </w:r>
          </w:p>
        </w:tc>
      </w:tr>
      <w:tr w:rsidR="003E3ADF">
        <w:tc>
          <w:tcPr>
            <w:tcW w:w="3822" w:type="dxa"/>
            <w:tcBorders>
              <w:bottom w:val="single" w:sz="12" w:space="0" w:color="auto"/>
            </w:tcBorders>
          </w:tcPr>
          <w:p w:rsidR="003E3ADF" w:rsidRDefault="003E3ADF">
            <w:pPr>
              <w:spacing w:before="20" w:after="20"/>
              <w:jc w:val="left"/>
              <w:rPr>
                <w:sz w:val="18"/>
              </w:rPr>
            </w:pPr>
            <w:r>
              <w:rPr>
                <w:sz w:val="18"/>
              </w:rPr>
              <w:t>Университет/колледж, более 4 лет обучения</w:t>
            </w:r>
          </w:p>
        </w:tc>
        <w:tc>
          <w:tcPr>
            <w:tcW w:w="1276" w:type="dxa"/>
            <w:tcBorders>
              <w:bottom w:val="single" w:sz="12" w:space="0" w:color="auto"/>
            </w:tcBorders>
          </w:tcPr>
          <w:p w:rsidR="003E3ADF" w:rsidRDefault="003E3ADF">
            <w:pPr>
              <w:spacing w:before="20" w:after="20"/>
              <w:ind w:right="454"/>
              <w:jc w:val="right"/>
              <w:rPr>
                <w:sz w:val="18"/>
              </w:rPr>
            </w:pPr>
            <w:r>
              <w:rPr>
                <w:sz w:val="18"/>
              </w:rPr>
              <w:t>1,3</w:t>
            </w:r>
          </w:p>
        </w:tc>
        <w:tc>
          <w:tcPr>
            <w:tcW w:w="1418" w:type="dxa"/>
            <w:tcBorders>
              <w:bottom w:val="single" w:sz="12" w:space="0" w:color="auto"/>
            </w:tcBorders>
          </w:tcPr>
          <w:p w:rsidR="003E3ADF" w:rsidRDefault="003E3ADF">
            <w:pPr>
              <w:spacing w:before="20" w:after="20"/>
              <w:ind w:right="454"/>
              <w:jc w:val="right"/>
              <w:rPr>
                <w:sz w:val="18"/>
              </w:rPr>
            </w:pPr>
            <w:r>
              <w:rPr>
                <w:sz w:val="18"/>
              </w:rPr>
              <w:t>5,2</w:t>
            </w:r>
          </w:p>
        </w:tc>
        <w:tc>
          <w:tcPr>
            <w:tcW w:w="1275" w:type="dxa"/>
            <w:tcBorders>
              <w:bottom w:val="single" w:sz="12" w:space="0" w:color="auto"/>
            </w:tcBorders>
          </w:tcPr>
          <w:p w:rsidR="003E3ADF" w:rsidRDefault="003E3ADF">
            <w:pPr>
              <w:spacing w:before="20" w:after="20"/>
              <w:ind w:right="454"/>
              <w:jc w:val="right"/>
              <w:rPr>
                <w:sz w:val="18"/>
              </w:rPr>
            </w:pPr>
            <w:r>
              <w:rPr>
                <w:sz w:val="18"/>
              </w:rPr>
              <w:t>3,6</w:t>
            </w:r>
          </w:p>
        </w:tc>
        <w:tc>
          <w:tcPr>
            <w:tcW w:w="1338" w:type="dxa"/>
            <w:tcBorders>
              <w:bottom w:val="single" w:sz="12" w:space="0" w:color="auto"/>
            </w:tcBorders>
          </w:tcPr>
          <w:p w:rsidR="003E3ADF" w:rsidRDefault="003E3ADF">
            <w:pPr>
              <w:spacing w:before="20" w:after="20"/>
              <w:ind w:right="454"/>
              <w:jc w:val="right"/>
              <w:rPr>
                <w:sz w:val="18"/>
              </w:rPr>
            </w:pPr>
            <w:r>
              <w:rPr>
                <w:sz w:val="18"/>
              </w:rPr>
              <w:t>7,2</w:t>
            </w:r>
          </w:p>
        </w:tc>
      </w:tr>
    </w:tbl>
    <w:p w:rsidR="003E3ADF" w:rsidRDefault="003E3ADF">
      <w:pPr>
        <w:pStyle w:val="a1"/>
        <w:tabs>
          <w:tab w:val="clear" w:pos="9000"/>
          <w:tab w:val="clear" w:pos="9360"/>
        </w:tabs>
        <w:suppressAutoHyphens w:val="0"/>
        <w:spacing w:line="240" w:lineRule="auto"/>
        <w:rPr>
          <w:spacing w:val="0"/>
          <w:w w:val="100"/>
          <w:lang w:val="ru-RU"/>
        </w:rPr>
      </w:pPr>
    </w:p>
    <w:p w:rsidR="003E3ADF" w:rsidRDefault="003E3ADF">
      <w:pPr>
        <w:ind w:left="709"/>
        <w:rPr>
          <w:b/>
          <w:bCs/>
        </w:rPr>
      </w:pPr>
      <w:r>
        <w:rPr>
          <w:b/>
          <w:bCs/>
        </w:rPr>
        <w:t>Выбор предмета для изучения в средней школе старшей ступени</w:t>
      </w:r>
    </w:p>
    <w:p w:rsidR="003E3ADF" w:rsidRDefault="003E3ADF">
      <w:pPr>
        <w:ind w:left="709"/>
      </w:pPr>
      <w:r>
        <w:t>Выбор сферы образования и специальности формируется на протяжении всего процесса обучения. Вместе с тем выбор основного предмета для изучения в средней школе старшей ступени является первым серьезным выбором в рамках системы формального образования, который молодой человек делает после 10 лет начального и неполного среднего школьного образования. Этот выбор оказывает довольно ощутимое воздействие на последу</w:t>
      </w:r>
      <w:r>
        <w:t>ю</w:t>
      </w:r>
      <w:r>
        <w:t>щий путь образования, хотя, в принципе, в высшее учебное заведение можно поступить, прослушав базовый курс по той или иной технической специальности.</w:t>
      </w:r>
    </w:p>
    <w:p w:rsidR="003E3ADF" w:rsidRDefault="003E3ADF">
      <w:pPr>
        <w:ind w:left="709"/>
      </w:pPr>
      <w:r>
        <w:t>Разбивка учащихся первого года обучения на старшей ступени средней школы по изучаемым предметам свидетельствует не только об устремлениях молодых людей. На нее могут влиять имеющиеся возможности в отношении изучаемых предметов в различных частях страны. Тем не менее показатели достаточно точно отражают выбираемые молодыми норвежцами предметы для изучения в средней школе старшей ступени. На первом году обучения в средней школе старшей ступени между учащимися наблюдаются гендерные различия в плане выбора изучаемого предмета. Например, в некоторых дисциплинах, таких как медицина, обществе</w:t>
      </w:r>
      <w:r>
        <w:t>н</w:t>
      </w:r>
      <w:r>
        <w:t>ные дисциплины и проектирование, преобладают девушки. В других дисциплинах, таких как строительство, электротехника и машиностроение, преобладают юноши. Распределение учащихся по различным изучаемым предметам с разбивкой по полу в последние годы является относительно стабильным. С конца 1990-х годов до 2004 года существенные изменения в разбивке учащихся по полу произошли лишь в областях с огран</w:t>
      </w:r>
      <w:r>
        <w:t>и</w:t>
      </w:r>
      <w:r>
        <w:t>ченным кругом учащихся, таких как экологические исследования, химия и химическая технология. Гендерный состав учащихся по новым предметам, таким как средства массовой информации и коммуник</w:t>
      </w:r>
      <w:r>
        <w:t>а</w:t>
      </w:r>
      <w:r>
        <w:t>ция, торговля и сфера услуг, которые были введены в 2000 году, выглядит более сбалансированным, чем по другим изучаемым предметам.</w:t>
      </w:r>
    </w:p>
    <w:p w:rsidR="003E3ADF" w:rsidRDefault="003E3ADF">
      <w:pPr>
        <w:ind w:left="709"/>
      </w:pPr>
      <w:r>
        <w:t>Комплексных обследований для выяснения причин, лежащих в основе традиционного выбора в сфере обр</w:t>
      </w:r>
      <w:r>
        <w:t>а</w:t>
      </w:r>
      <w:r>
        <w:t>зования, в Норвегии в последние годы не проводилось. Норвежский институт изучения инноваций, научных исследований и обучения проводил обследования такого типа в начале 1980-х годов и в 1990-е годы. Есть все основания полагать, что многие из выводов, сделанных по результатам указанных обследований, сохраняют свою актуальность и по сей день.</w:t>
      </w:r>
    </w:p>
    <w:p w:rsidR="003E3ADF" w:rsidRDefault="003E3ADF">
      <w:pPr>
        <w:spacing w:after="200"/>
        <w:ind w:left="709"/>
      </w:pPr>
      <w:r>
        <w:t>Почему девушки делают именно такой выбор в средней школе старшей ступени? Некоторые из выв</w:t>
      </w:r>
      <w:r>
        <w:t>о</w:t>
      </w:r>
      <w:r>
        <w:t>дов, сделанных по результатам обследования, проведенного в 1995 году, представлены ниже:</w:t>
      </w:r>
    </w:p>
    <w:p w:rsidR="003E3ADF" w:rsidRDefault="003E3ADF">
      <w:pPr>
        <w:spacing w:after="200"/>
        <w:ind w:left="1191" w:hanging="482"/>
      </w:pPr>
      <w:r>
        <w:rPr>
          <w:iCs/>
        </w:rPr>
        <w:sym w:font="Symbol" w:char="F0B7"/>
      </w:r>
      <w:r>
        <w:rPr>
          <w:iCs/>
        </w:rPr>
        <w:tab/>
      </w:r>
      <w:r>
        <w:rPr>
          <w:i/>
        </w:rPr>
        <w:t>Иметь возможность работать неподалеку от дома</w:t>
      </w:r>
      <w:r>
        <w:t>. Этот довод в качестве причины прив</w:t>
      </w:r>
      <w:r>
        <w:t>е</w:t>
      </w:r>
      <w:r>
        <w:t>ли 16 процентов девушек, выбравших общий курс обучения, по сравнению с 34 процентами юношей, выбравших курс пр</w:t>
      </w:r>
      <w:r>
        <w:t>о</w:t>
      </w:r>
      <w:r>
        <w:t>фессионального обучения.</w:t>
      </w:r>
    </w:p>
    <w:p w:rsidR="003E3ADF" w:rsidRDefault="003E3ADF">
      <w:pPr>
        <w:spacing w:after="200"/>
        <w:ind w:left="1191" w:hanging="482"/>
      </w:pPr>
      <w:r>
        <w:rPr>
          <w:iCs/>
        </w:rPr>
        <w:sym w:font="Symbol" w:char="F0B7"/>
      </w:r>
      <w:r>
        <w:rPr>
          <w:iCs/>
        </w:rPr>
        <w:tab/>
      </w:r>
      <w:r>
        <w:rPr>
          <w:i/>
        </w:rPr>
        <w:t>Удовлетворить свой интерес к конкретным предметам</w:t>
      </w:r>
      <w:r>
        <w:t>. Девушки чаще приводили этот довод, чем юноши.</w:t>
      </w:r>
    </w:p>
    <w:p w:rsidR="003E3ADF" w:rsidRDefault="003E3ADF">
      <w:pPr>
        <w:spacing w:after="200"/>
        <w:ind w:left="1191" w:hanging="482"/>
      </w:pPr>
      <w:r>
        <w:rPr>
          <w:iCs/>
        </w:rPr>
        <w:sym w:font="Symbol" w:char="F0B7"/>
      </w:r>
      <w:r>
        <w:rPr>
          <w:iCs/>
        </w:rPr>
        <w:tab/>
      </w:r>
      <w:r>
        <w:rPr>
          <w:i/>
        </w:rPr>
        <w:t>Получить работу, на которой они могли бы реализовать свои способности</w:t>
      </w:r>
      <w:r>
        <w:t>.</w:t>
      </w:r>
    </w:p>
    <w:p w:rsidR="003E3ADF" w:rsidRDefault="003E3ADF">
      <w:pPr>
        <w:spacing w:after="200"/>
        <w:ind w:left="1191" w:hanging="482"/>
      </w:pPr>
      <w:r>
        <w:rPr>
          <w:iCs/>
        </w:rPr>
        <w:sym w:font="Symbol" w:char="F0B7"/>
      </w:r>
      <w:r>
        <w:rPr>
          <w:iCs/>
        </w:rPr>
        <w:tab/>
      </w:r>
      <w:r>
        <w:rPr>
          <w:i/>
        </w:rPr>
        <w:t>Получить работу, позволяющую им контактировать с другими людьми</w:t>
      </w:r>
      <w:r>
        <w:t>. Данную причину считали важной каждые 3 из 10 юношей и 6 из 10 девушек.</w:t>
      </w:r>
    </w:p>
    <w:p w:rsidR="003E3ADF" w:rsidRDefault="003E3ADF">
      <w:pPr>
        <w:spacing w:after="200"/>
        <w:ind w:left="1191" w:hanging="482"/>
      </w:pPr>
      <w:r>
        <w:rPr>
          <w:iCs/>
        </w:rPr>
        <w:sym w:font="Symbol" w:char="F0B7"/>
      </w:r>
      <w:r>
        <w:rPr>
          <w:iCs/>
        </w:rPr>
        <w:tab/>
      </w:r>
      <w:r>
        <w:rPr>
          <w:i/>
        </w:rPr>
        <w:t>Возможность получать высокий доход</w:t>
      </w:r>
      <w:r>
        <w:t>. Эту причину считали важной каждые 6 из 10 юношей, в</w:t>
      </w:r>
      <w:r>
        <w:t>ы</w:t>
      </w:r>
      <w:r>
        <w:t>бравших общий курс обучения, и лишь каждые 3 из 10 девушек, выбравших курс профессионального обучения. В данной области за период с 1980 по 1991 год предпочтения молодых людей несколько и</w:t>
      </w:r>
      <w:r>
        <w:t>з</w:t>
      </w:r>
      <w:r>
        <w:t>менились. В 1980 году о важности получения высокого дохода говорили лишь 2 из 10 учащихся, в</w:t>
      </w:r>
      <w:r>
        <w:t>ы</w:t>
      </w:r>
      <w:r>
        <w:t>бравших общий курс обучения, по сравнению с 4 из 10 в 1991 и 1995 годах.</w:t>
      </w:r>
    </w:p>
    <w:p w:rsidR="003E3ADF" w:rsidRDefault="003E3ADF">
      <w:pPr>
        <w:spacing w:after="200"/>
        <w:ind w:left="1191" w:hanging="482"/>
      </w:pPr>
      <w:r>
        <w:rPr>
          <w:iCs/>
        </w:rPr>
        <w:sym w:font="Symbol" w:char="F0B7"/>
      </w:r>
      <w:r>
        <w:rPr>
          <w:iCs/>
        </w:rPr>
        <w:tab/>
      </w:r>
      <w:r>
        <w:rPr>
          <w:i/>
        </w:rPr>
        <w:t>Иметь работу, которую можно будет совмещать с уходом за ребенком</w:t>
      </w:r>
      <w:r>
        <w:t>. Данную причину считали важной каждые 3 из 10 юношей, выбравших общий курс обучения и курс профессионального обучения, 4 из 10 девушек, выбравших общий курс обучения, и 5 из 10 девушек, выбравших курс профессионального об</w:t>
      </w:r>
      <w:r>
        <w:t>у</w:t>
      </w:r>
      <w:r>
        <w:t>чения.</w:t>
      </w:r>
    </w:p>
    <w:p w:rsidR="003E3ADF" w:rsidRDefault="003E3ADF">
      <w:pPr>
        <w:ind w:left="1191" w:hanging="482"/>
      </w:pPr>
      <w:r>
        <w:rPr>
          <w:iCs/>
        </w:rPr>
        <w:sym w:font="Symbol" w:char="F0B7"/>
      </w:r>
      <w:r>
        <w:rPr>
          <w:iCs/>
        </w:rPr>
        <w:tab/>
      </w:r>
      <w:r>
        <w:rPr>
          <w:i/>
        </w:rPr>
        <w:t>Иметь возможность помогать другим людям</w:t>
      </w:r>
      <w:r>
        <w:t>. Эту причину считали важной каждые 5 из 10 девушек, выбравших курс профессионального обучения, 4 из 10 девушек, выбравших общий курс обучения, и лишь 2 из 10 юношей, выбравших общий курс обучения и курс профессионального обучения.</w:t>
      </w:r>
    </w:p>
    <w:p w:rsidR="003E3ADF" w:rsidRDefault="003E3ADF">
      <w:pPr>
        <w:ind w:left="709"/>
      </w:pPr>
      <w:r>
        <w:t>Результаты обследования свидетельствуют о том, что девушками движет желание изучать конкретные пре</w:t>
      </w:r>
      <w:r>
        <w:t>д</w:t>
      </w:r>
      <w:r>
        <w:t>меты. Кроме того, они, по всей видимости, тратят больше сил и времени на школьные занятия. Необходимо будет постоянно следить за выбором специальностей молодыми людьми и всячески содейств</w:t>
      </w:r>
      <w:r>
        <w:t>о</w:t>
      </w:r>
      <w:r>
        <w:t>вать расширению круга их интересов в сфере образования.</w:t>
      </w:r>
    </w:p>
    <w:p w:rsidR="003E3ADF" w:rsidRDefault="003E3ADF">
      <w:pPr>
        <w:ind w:left="709"/>
        <w:jc w:val="left"/>
        <w:rPr>
          <w:b/>
          <w:bCs/>
          <w:sz w:val="20"/>
        </w:rPr>
      </w:pPr>
      <w:r>
        <w:rPr>
          <w:b/>
          <w:bCs/>
          <w:sz w:val="20"/>
        </w:rPr>
        <w:br w:type="page"/>
        <w:t>Доля девушек на базовых курсах в средней школе старшей ступени в разбивке по изучаемым предметам, 1998–2004 годы</w:t>
      </w:r>
    </w:p>
    <w:tbl>
      <w:tblPr>
        <w:tblW w:w="9129" w:type="dxa"/>
        <w:tblInd w:w="822" w:type="dxa"/>
        <w:tblLook w:val="01E0" w:firstRow="1" w:lastRow="1" w:firstColumn="1" w:lastColumn="1" w:noHBand="0" w:noVBand="0"/>
      </w:tblPr>
      <w:tblGrid>
        <w:gridCol w:w="3641"/>
        <w:gridCol w:w="1372"/>
        <w:gridCol w:w="1372"/>
        <w:gridCol w:w="1372"/>
        <w:gridCol w:w="1372"/>
      </w:tblGrid>
      <w:tr w:rsidR="003E3ADF">
        <w:tc>
          <w:tcPr>
            <w:tcW w:w="3309" w:type="dxa"/>
            <w:tcBorders>
              <w:top w:val="single" w:sz="4" w:space="0" w:color="auto"/>
              <w:bottom w:val="single" w:sz="12" w:space="0" w:color="auto"/>
            </w:tcBorders>
          </w:tcPr>
          <w:p w:rsidR="003E3ADF" w:rsidRDefault="003E3ADF">
            <w:pPr>
              <w:keepLines/>
              <w:suppressAutoHyphens/>
              <w:spacing w:before="20" w:after="20"/>
              <w:jc w:val="left"/>
              <w:rPr>
                <w:b/>
                <w:i/>
                <w:iCs/>
                <w:sz w:val="18"/>
              </w:rPr>
            </w:pPr>
            <w:r>
              <w:rPr>
                <w:b/>
                <w:i/>
                <w:iCs/>
                <w:sz w:val="18"/>
              </w:rPr>
              <w:t>Изучаемый предмет</w:t>
            </w:r>
          </w:p>
        </w:tc>
        <w:tc>
          <w:tcPr>
            <w:tcW w:w="1247" w:type="dxa"/>
            <w:tcBorders>
              <w:top w:val="single" w:sz="4" w:space="0" w:color="auto"/>
              <w:bottom w:val="single" w:sz="12" w:space="0" w:color="auto"/>
            </w:tcBorders>
          </w:tcPr>
          <w:p w:rsidR="003E3ADF" w:rsidRDefault="003E3ADF">
            <w:pPr>
              <w:keepLines/>
              <w:spacing w:before="20" w:after="20"/>
              <w:jc w:val="center"/>
              <w:rPr>
                <w:b/>
                <w:i/>
                <w:iCs/>
                <w:sz w:val="18"/>
              </w:rPr>
            </w:pPr>
            <w:r>
              <w:rPr>
                <w:b/>
                <w:i/>
                <w:iCs/>
                <w:sz w:val="18"/>
              </w:rPr>
              <w:t>1998 год</w:t>
            </w:r>
          </w:p>
        </w:tc>
        <w:tc>
          <w:tcPr>
            <w:tcW w:w="1247" w:type="dxa"/>
            <w:tcBorders>
              <w:top w:val="single" w:sz="4" w:space="0" w:color="auto"/>
              <w:bottom w:val="single" w:sz="12" w:space="0" w:color="auto"/>
            </w:tcBorders>
          </w:tcPr>
          <w:p w:rsidR="003E3ADF" w:rsidRDefault="003E3ADF">
            <w:pPr>
              <w:keepLines/>
              <w:spacing w:before="20" w:after="20"/>
              <w:jc w:val="center"/>
              <w:rPr>
                <w:b/>
                <w:i/>
                <w:iCs/>
                <w:sz w:val="18"/>
              </w:rPr>
            </w:pPr>
            <w:r>
              <w:rPr>
                <w:b/>
                <w:i/>
                <w:iCs/>
                <w:sz w:val="18"/>
              </w:rPr>
              <w:t>2000 год</w:t>
            </w:r>
          </w:p>
        </w:tc>
        <w:tc>
          <w:tcPr>
            <w:tcW w:w="1247" w:type="dxa"/>
            <w:tcBorders>
              <w:top w:val="single" w:sz="4" w:space="0" w:color="auto"/>
              <w:bottom w:val="single" w:sz="12" w:space="0" w:color="auto"/>
            </w:tcBorders>
          </w:tcPr>
          <w:p w:rsidR="003E3ADF" w:rsidRDefault="003E3ADF">
            <w:pPr>
              <w:keepLines/>
              <w:spacing w:before="20" w:after="20"/>
              <w:jc w:val="center"/>
              <w:rPr>
                <w:b/>
                <w:i/>
                <w:iCs/>
                <w:sz w:val="18"/>
              </w:rPr>
            </w:pPr>
            <w:r>
              <w:rPr>
                <w:b/>
                <w:i/>
                <w:iCs/>
                <w:sz w:val="18"/>
              </w:rPr>
              <w:t>2002 год</w:t>
            </w:r>
          </w:p>
        </w:tc>
        <w:tc>
          <w:tcPr>
            <w:tcW w:w="1247" w:type="dxa"/>
            <w:tcBorders>
              <w:top w:val="single" w:sz="4" w:space="0" w:color="auto"/>
              <w:bottom w:val="single" w:sz="12" w:space="0" w:color="auto"/>
            </w:tcBorders>
          </w:tcPr>
          <w:p w:rsidR="003E3ADF" w:rsidRDefault="003E3ADF">
            <w:pPr>
              <w:keepLines/>
              <w:spacing w:before="20" w:after="20"/>
              <w:jc w:val="center"/>
              <w:rPr>
                <w:b/>
                <w:i/>
                <w:iCs/>
                <w:sz w:val="18"/>
              </w:rPr>
            </w:pPr>
            <w:r>
              <w:rPr>
                <w:b/>
                <w:i/>
                <w:iCs/>
                <w:sz w:val="18"/>
              </w:rPr>
              <w:t>2004 год</w:t>
            </w:r>
          </w:p>
        </w:tc>
      </w:tr>
      <w:tr w:rsidR="003E3ADF">
        <w:tc>
          <w:tcPr>
            <w:tcW w:w="3309" w:type="dxa"/>
            <w:tcBorders>
              <w:top w:val="single" w:sz="12" w:space="0" w:color="auto"/>
            </w:tcBorders>
            <w:vAlign w:val="bottom"/>
          </w:tcPr>
          <w:p w:rsidR="003E3ADF" w:rsidRDefault="003E3ADF">
            <w:pPr>
              <w:keepLines/>
              <w:suppressAutoHyphens/>
              <w:spacing w:before="30" w:after="30"/>
              <w:jc w:val="left"/>
              <w:rPr>
                <w:sz w:val="18"/>
              </w:rPr>
            </w:pPr>
            <w:r>
              <w:rPr>
                <w:sz w:val="18"/>
              </w:rPr>
              <w:t>Доля девушек в процентах, итого</w:t>
            </w:r>
          </w:p>
        </w:tc>
        <w:tc>
          <w:tcPr>
            <w:tcW w:w="1247" w:type="dxa"/>
            <w:tcBorders>
              <w:top w:val="single" w:sz="12" w:space="0" w:color="auto"/>
            </w:tcBorders>
            <w:vAlign w:val="bottom"/>
          </w:tcPr>
          <w:p w:rsidR="003E3ADF" w:rsidRDefault="003E3ADF">
            <w:pPr>
              <w:keepLines/>
              <w:spacing w:before="30" w:after="30"/>
              <w:ind w:right="454"/>
              <w:jc w:val="right"/>
              <w:rPr>
                <w:sz w:val="18"/>
              </w:rPr>
            </w:pPr>
            <w:r>
              <w:rPr>
                <w:sz w:val="18"/>
              </w:rPr>
              <w:t>49,3</w:t>
            </w:r>
          </w:p>
        </w:tc>
        <w:tc>
          <w:tcPr>
            <w:tcW w:w="1247" w:type="dxa"/>
            <w:tcBorders>
              <w:top w:val="single" w:sz="12" w:space="0" w:color="auto"/>
            </w:tcBorders>
            <w:vAlign w:val="bottom"/>
          </w:tcPr>
          <w:p w:rsidR="003E3ADF" w:rsidRDefault="003E3ADF">
            <w:pPr>
              <w:keepLines/>
              <w:spacing w:before="30" w:after="30"/>
              <w:ind w:right="454"/>
              <w:jc w:val="right"/>
              <w:rPr>
                <w:sz w:val="18"/>
              </w:rPr>
            </w:pPr>
            <w:r>
              <w:rPr>
                <w:sz w:val="18"/>
              </w:rPr>
              <w:t>48,5</w:t>
            </w:r>
          </w:p>
        </w:tc>
        <w:tc>
          <w:tcPr>
            <w:tcW w:w="1247" w:type="dxa"/>
            <w:tcBorders>
              <w:top w:val="single" w:sz="12" w:space="0" w:color="auto"/>
            </w:tcBorders>
            <w:vAlign w:val="bottom"/>
          </w:tcPr>
          <w:p w:rsidR="003E3ADF" w:rsidRDefault="003E3ADF">
            <w:pPr>
              <w:keepLines/>
              <w:spacing w:before="30" w:after="30"/>
              <w:ind w:right="454"/>
              <w:jc w:val="right"/>
              <w:rPr>
                <w:sz w:val="18"/>
              </w:rPr>
            </w:pPr>
            <w:r>
              <w:rPr>
                <w:sz w:val="18"/>
              </w:rPr>
              <w:t>48,0</w:t>
            </w:r>
          </w:p>
        </w:tc>
        <w:tc>
          <w:tcPr>
            <w:tcW w:w="1247" w:type="dxa"/>
            <w:tcBorders>
              <w:top w:val="single" w:sz="12" w:space="0" w:color="auto"/>
            </w:tcBorders>
            <w:vAlign w:val="bottom"/>
          </w:tcPr>
          <w:p w:rsidR="003E3ADF" w:rsidRDefault="003E3ADF">
            <w:pPr>
              <w:keepLines/>
              <w:spacing w:before="30" w:after="30"/>
              <w:ind w:right="454"/>
              <w:jc w:val="right"/>
              <w:rPr>
                <w:sz w:val="18"/>
              </w:rPr>
            </w:pPr>
            <w:r>
              <w:rPr>
                <w:sz w:val="18"/>
              </w:rPr>
              <w:t>47,9</w:t>
            </w:r>
          </w:p>
        </w:tc>
      </w:tr>
      <w:tr w:rsidR="003E3ADF">
        <w:tc>
          <w:tcPr>
            <w:tcW w:w="3309" w:type="dxa"/>
            <w:vAlign w:val="bottom"/>
          </w:tcPr>
          <w:p w:rsidR="003E3ADF" w:rsidRDefault="003E3ADF">
            <w:pPr>
              <w:keepLines/>
              <w:suppressAutoHyphens/>
              <w:spacing w:before="30" w:after="30"/>
              <w:jc w:val="left"/>
              <w:rPr>
                <w:sz w:val="18"/>
              </w:rPr>
            </w:pPr>
            <w:r>
              <w:rPr>
                <w:sz w:val="18"/>
              </w:rPr>
              <w:t>Общие предметы, эконом</w:t>
            </w:r>
            <w:r>
              <w:rPr>
                <w:sz w:val="18"/>
              </w:rPr>
              <w:t>и</w:t>
            </w:r>
            <w:r>
              <w:rPr>
                <w:sz w:val="18"/>
              </w:rPr>
              <w:t>ка и администрация</w:t>
            </w:r>
          </w:p>
        </w:tc>
        <w:tc>
          <w:tcPr>
            <w:tcW w:w="1247" w:type="dxa"/>
            <w:vAlign w:val="bottom"/>
          </w:tcPr>
          <w:p w:rsidR="003E3ADF" w:rsidRDefault="003E3ADF">
            <w:pPr>
              <w:keepLines/>
              <w:spacing w:before="30" w:after="30"/>
              <w:ind w:right="454"/>
              <w:jc w:val="right"/>
              <w:rPr>
                <w:sz w:val="18"/>
              </w:rPr>
            </w:pPr>
            <w:r>
              <w:rPr>
                <w:sz w:val="18"/>
              </w:rPr>
              <w:t>54,0</w:t>
            </w:r>
          </w:p>
        </w:tc>
        <w:tc>
          <w:tcPr>
            <w:tcW w:w="1247" w:type="dxa"/>
            <w:vAlign w:val="bottom"/>
          </w:tcPr>
          <w:p w:rsidR="003E3ADF" w:rsidRDefault="003E3ADF">
            <w:pPr>
              <w:keepLines/>
              <w:spacing w:before="30" w:after="30"/>
              <w:ind w:right="454"/>
              <w:jc w:val="right"/>
              <w:rPr>
                <w:sz w:val="18"/>
              </w:rPr>
            </w:pPr>
            <w:r>
              <w:rPr>
                <w:sz w:val="18"/>
              </w:rPr>
              <w:t>52,1</w:t>
            </w:r>
          </w:p>
        </w:tc>
        <w:tc>
          <w:tcPr>
            <w:tcW w:w="1247" w:type="dxa"/>
            <w:vAlign w:val="bottom"/>
          </w:tcPr>
          <w:p w:rsidR="003E3ADF" w:rsidRDefault="003E3ADF">
            <w:pPr>
              <w:keepLines/>
              <w:spacing w:before="30" w:after="30"/>
              <w:ind w:right="454"/>
              <w:jc w:val="right"/>
              <w:rPr>
                <w:sz w:val="18"/>
              </w:rPr>
            </w:pPr>
            <w:r>
              <w:rPr>
                <w:sz w:val="18"/>
              </w:rPr>
              <w:t>51,5</w:t>
            </w:r>
          </w:p>
        </w:tc>
        <w:tc>
          <w:tcPr>
            <w:tcW w:w="1247" w:type="dxa"/>
            <w:vAlign w:val="bottom"/>
          </w:tcPr>
          <w:p w:rsidR="003E3ADF" w:rsidRDefault="003E3ADF">
            <w:pPr>
              <w:keepLines/>
              <w:spacing w:before="30" w:after="30"/>
              <w:ind w:right="454"/>
              <w:jc w:val="right"/>
              <w:rPr>
                <w:sz w:val="18"/>
              </w:rPr>
            </w:pPr>
            <w:r>
              <w:rPr>
                <w:sz w:val="18"/>
              </w:rPr>
              <w:t>53,2</w:t>
            </w:r>
          </w:p>
        </w:tc>
      </w:tr>
      <w:tr w:rsidR="003E3ADF">
        <w:tc>
          <w:tcPr>
            <w:tcW w:w="3309" w:type="dxa"/>
            <w:vAlign w:val="bottom"/>
          </w:tcPr>
          <w:p w:rsidR="003E3ADF" w:rsidRDefault="003E3ADF">
            <w:pPr>
              <w:keepLines/>
              <w:suppressAutoHyphens/>
              <w:spacing w:before="30" w:after="30"/>
              <w:jc w:val="left"/>
              <w:rPr>
                <w:sz w:val="18"/>
              </w:rPr>
            </w:pPr>
            <w:r>
              <w:rPr>
                <w:sz w:val="18"/>
              </w:rPr>
              <w:t>Музыка, танцы, театрал</w:t>
            </w:r>
            <w:r>
              <w:rPr>
                <w:sz w:val="18"/>
              </w:rPr>
              <w:t>ь</w:t>
            </w:r>
            <w:r>
              <w:rPr>
                <w:sz w:val="18"/>
              </w:rPr>
              <w:t>ное искусство</w:t>
            </w:r>
          </w:p>
        </w:tc>
        <w:tc>
          <w:tcPr>
            <w:tcW w:w="1247" w:type="dxa"/>
            <w:vAlign w:val="bottom"/>
          </w:tcPr>
          <w:p w:rsidR="003E3ADF" w:rsidRDefault="003E3ADF">
            <w:pPr>
              <w:keepLines/>
              <w:spacing w:before="30" w:after="30"/>
              <w:ind w:right="454"/>
              <w:jc w:val="right"/>
              <w:rPr>
                <w:sz w:val="18"/>
              </w:rPr>
            </w:pPr>
            <w:r>
              <w:rPr>
                <w:sz w:val="18"/>
              </w:rPr>
              <w:t>69,1</w:t>
            </w:r>
          </w:p>
        </w:tc>
        <w:tc>
          <w:tcPr>
            <w:tcW w:w="1247" w:type="dxa"/>
            <w:vAlign w:val="bottom"/>
          </w:tcPr>
          <w:p w:rsidR="003E3ADF" w:rsidRDefault="003E3ADF">
            <w:pPr>
              <w:keepLines/>
              <w:spacing w:before="30" w:after="30"/>
              <w:ind w:right="454"/>
              <w:jc w:val="right"/>
              <w:rPr>
                <w:sz w:val="18"/>
              </w:rPr>
            </w:pPr>
            <w:r>
              <w:rPr>
                <w:sz w:val="18"/>
              </w:rPr>
              <w:t>75,7</w:t>
            </w:r>
          </w:p>
        </w:tc>
        <w:tc>
          <w:tcPr>
            <w:tcW w:w="1247" w:type="dxa"/>
            <w:vAlign w:val="bottom"/>
          </w:tcPr>
          <w:p w:rsidR="003E3ADF" w:rsidRDefault="003E3ADF">
            <w:pPr>
              <w:keepLines/>
              <w:spacing w:before="30" w:after="30"/>
              <w:ind w:right="454"/>
              <w:jc w:val="right"/>
              <w:rPr>
                <w:sz w:val="18"/>
              </w:rPr>
            </w:pPr>
            <w:r>
              <w:rPr>
                <w:sz w:val="18"/>
              </w:rPr>
              <w:t>73,8</w:t>
            </w:r>
          </w:p>
        </w:tc>
        <w:tc>
          <w:tcPr>
            <w:tcW w:w="1247" w:type="dxa"/>
            <w:vAlign w:val="bottom"/>
          </w:tcPr>
          <w:p w:rsidR="003E3ADF" w:rsidRDefault="003E3ADF">
            <w:pPr>
              <w:keepLines/>
              <w:spacing w:before="30" w:after="30"/>
              <w:ind w:right="454"/>
              <w:jc w:val="right"/>
              <w:rPr>
                <w:sz w:val="18"/>
              </w:rPr>
            </w:pPr>
            <w:r>
              <w:rPr>
                <w:sz w:val="18"/>
              </w:rPr>
              <w:t>70,8</w:t>
            </w:r>
          </w:p>
        </w:tc>
      </w:tr>
      <w:tr w:rsidR="003E3ADF">
        <w:tc>
          <w:tcPr>
            <w:tcW w:w="3309" w:type="dxa"/>
            <w:vAlign w:val="bottom"/>
          </w:tcPr>
          <w:p w:rsidR="003E3ADF" w:rsidRDefault="003E3ADF">
            <w:pPr>
              <w:keepLines/>
              <w:suppressAutoHyphens/>
              <w:spacing w:before="30" w:after="30"/>
              <w:jc w:val="left"/>
              <w:rPr>
                <w:sz w:val="18"/>
              </w:rPr>
            </w:pPr>
            <w:r>
              <w:rPr>
                <w:sz w:val="18"/>
              </w:rPr>
              <w:t>Спорт</w:t>
            </w:r>
          </w:p>
        </w:tc>
        <w:tc>
          <w:tcPr>
            <w:tcW w:w="1247" w:type="dxa"/>
            <w:vAlign w:val="bottom"/>
          </w:tcPr>
          <w:p w:rsidR="003E3ADF" w:rsidRDefault="003E3ADF">
            <w:pPr>
              <w:keepLines/>
              <w:spacing w:before="30" w:after="30"/>
              <w:ind w:right="454"/>
              <w:jc w:val="right"/>
              <w:rPr>
                <w:sz w:val="18"/>
              </w:rPr>
            </w:pPr>
            <w:r>
              <w:rPr>
                <w:sz w:val="18"/>
              </w:rPr>
              <w:t>40,5</w:t>
            </w:r>
          </w:p>
        </w:tc>
        <w:tc>
          <w:tcPr>
            <w:tcW w:w="1247" w:type="dxa"/>
            <w:vAlign w:val="bottom"/>
          </w:tcPr>
          <w:p w:rsidR="003E3ADF" w:rsidRDefault="003E3ADF">
            <w:pPr>
              <w:keepLines/>
              <w:spacing w:before="30" w:after="30"/>
              <w:ind w:right="454"/>
              <w:jc w:val="right"/>
              <w:rPr>
                <w:sz w:val="18"/>
              </w:rPr>
            </w:pPr>
            <w:r>
              <w:rPr>
                <w:sz w:val="18"/>
              </w:rPr>
              <w:t>37,5</w:t>
            </w:r>
          </w:p>
        </w:tc>
        <w:tc>
          <w:tcPr>
            <w:tcW w:w="1247" w:type="dxa"/>
            <w:vAlign w:val="bottom"/>
          </w:tcPr>
          <w:p w:rsidR="003E3ADF" w:rsidRDefault="003E3ADF">
            <w:pPr>
              <w:keepLines/>
              <w:spacing w:before="30" w:after="30"/>
              <w:ind w:right="454"/>
              <w:jc w:val="right"/>
              <w:rPr>
                <w:sz w:val="18"/>
              </w:rPr>
            </w:pPr>
            <w:r>
              <w:rPr>
                <w:sz w:val="18"/>
              </w:rPr>
              <w:t>42,1</w:t>
            </w:r>
          </w:p>
        </w:tc>
        <w:tc>
          <w:tcPr>
            <w:tcW w:w="1247" w:type="dxa"/>
            <w:vAlign w:val="bottom"/>
          </w:tcPr>
          <w:p w:rsidR="003E3ADF" w:rsidRDefault="003E3ADF">
            <w:pPr>
              <w:keepLines/>
              <w:spacing w:before="30" w:after="30"/>
              <w:ind w:right="454"/>
              <w:jc w:val="right"/>
              <w:rPr>
                <w:sz w:val="18"/>
              </w:rPr>
            </w:pPr>
            <w:r>
              <w:rPr>
                <w:sz w:val="18"/>
              </w:rPr>
              <w:t>41,9</w:t>
            </w:r>
          </w:p>
        </w:tc>
      </w:tr>
      <w:tr w:rsidR="003E3ADF">
        <w:tc>
          <w:tcPr>
            <w:tcW w:w="3309" w:type="dxa"/>
            <w:vAlign w:val="bottom"/>
          </w:tcPr>
          <w:p w:rsidR="003E3ADF" w:rsidRDefault="003E3ADF">
            <w:pPr>
              <w:keepLines/>
              <w:suppressAutoHyphens/>
              <w:spacing w:before="30" w:after="30"/>
              <w:jc w:val="left"/>
              <w:rPr>
                <w:sz w:val="18"/>
              </w:rPr>
            </w:pPr>
            <w:r>
              <w:rPr>
                <w:sz w:val="18"/>
              </w:rPr>
              <w:t>Медицина и общественные дисциплины</w:t>
            </w:r>
          </w:p>
        </w:tc>
        <w:tc>
          <w:tcPr>
            <w:tcW w:w="1247" w:type="dxa"/>
            <w:vAlign w:val="bottom"/>
          </w:tcPr>
          <w:p w:rsidR="003E3ADF" w:rsidRDefault="003E3ADF">
            <w:pPr>
              <w:keepLines/>
              <w:spacing w:before="30" w:after="30"/>
              <w:ind w:right="454"/>
              <w:jc w:val="right"/>
              <w:rPr>
                <w:sz w:val="18"/>
              </w:rPr>
            </w:pPr>
            <w:r>
              <w:rPr>
                <w:sz w:val="18"/>
              </w:rPr>
              <w:t>90,8</w:t>
            </w:r>
          </w:p>
        </w:tc>
        <w:tc>
          <w:tcPr>
            <w:tcW w:w="1247" w:type="dxa"/>
            <w:vAlign w:val="bottom"/>
          </w:tcPr>
          <w:p w:rsidR="003E3ADF" w:rsidRDefault="003E3ADF">
            <w:pPr>
              <w:keepLines/>
              <w:spacing w:before="30" w:after="30"/>
              <w:ind w:right="454"/>
              <w:jc w:val="right"/>
              <w:rPr>
                <w:sz w:val="18"/>
              </w:rPr>
            </w:pPr>
            <w:r>
              <w:rPr>
                <w:sz w:val="18"/>
              </w:rPr>
              <w:t>88,5</w:t>
            </w:r>
          </w:p>
        </w:tc>
        <w:tc>
          <w:tcPr>
            <w:tcW w:w="1247" w:type="dxa"/>
            <w:vAlign w:val="bottom"/>
          </w:tcPr>
          <w:p w:rsidR="003E3ADF" w:rsidRDefault="003E3ADF">
            <w:pPr>
              <w:keepLines/>
              <w:spacing w:before="30" w:after="30"/>
              <w:ind w:right="454"/>
              <w:jc w:val="right"/>
              <w:rPr>
                <w:sz w:val="18"/>
              </w:rPr>
            </w:pPr>
            <w:r>
              <w:rPr>
                <w:sz w:val="18"/>
              </w:rPr>
              <w:t>88,8</w:t>
            </w:r>
          </w:p>
        </w:tc>
        <w:tc>
          <w:tcPr>
            <w:tcW w:w="1247" w:type="dxa"/>
            <w:vAlign w:val="bottom"/>
          </w:tcPr>
          <w:p w:rsidR="003E3ADF" w:rsidRDefault="003E3ADF">
            <w:pPr>
              <w:keepLines/>
              <w:spacing w:before="30" w:after="30"/>
              <w:ind w:right="454"/>
              <w:jc w:val="right"/>
              <w:rPr>
                <w:sz w:val="18"/>
              </w:rPr>
            </w:pPr>
            <w:r>
              <w:rPr>
                <w:sz w:val="18"/>
              </w:rPr>
              <w:t>87,1</w:t>
            </w:r>
          </w:p>
        </w:tc>
      </w:tr>
      <w:tr w:rsidR="003E3ADF">
        <w:tc>
          <w:tcPr>
            <w:tcW w:w="3309" w:type="dxa"/>
            <w:vAlign w:val="bottom"/>
          </w:tcPr>
          <w:p w:rsidR="003E3ADF" w:rsidRDefault="003E3ADF">
            <w:pPr>
              <w:keepLines/>
              <w:suppressAutoHyphens/>
              <w:spacing w:before="30" w:after="30"/>
              <w:jc w:val="left"/>
              <w:rPr>
                <w:sz w:val="18"/>
              </w:rPr>
            </w:pPr>
            <w:r>
              <w:rPr>
                <w:sz w:val="18"/>
              </w:rPr>
              <w:t>Экологические исследов</w:t>
            </w:r>
            <w:r>
              <w:rPr>
                <w:sz w:val="18"/>
              </w:rPr>
              <w:t>а</w:t>
            </w:r>
            <w:r>
              <w:rPr>
                <w:sz w:val="18"/>
              </w:rPr>
              <w:t>ния</w:t>
            </w:r>
          </w:p>
        </w:tc>
        <w:tc>
          <w:tcPr>
            <w:tcW w:w="1247" w:type="dxa"/>
            <w:vAlign w:val="bottom"/>
          </w:tcPr>
          <w:p w:rsidR="003E3ADF" w:rsidRDefault="003E3ADF">
            <w:pPr>
              <w:keepLines/>
              <w:spacing w:before="30" w:after="30"/>
              <w:ind w:right="454"/>
              <w:jc w:val="right"/>
              <w:rPr>
                <w:sz w:val="18"/>
              </w:rPr>
            </w:pPr>
            <w:r>
              <w:rPr>
                <w:sz w:val="18"/>
              </w:rPr>
              <w:t>41,7</w:t>
            </w:r>
          </w:p>
        </w:tc>
        <w:tc>
          <w:tcPr>
            <w:tcW w:w="1247" w:type="dxa"/>
            <w:vAlign w:val="bottom"/>
          </w:tcPr>
          <w:p w:rsidR="003E3ADF" w:rsidRDefault="003E3ADF">
            <w:pPr>
              <w:keepLines/>
              <w:spacing w:before="30" w:after="30"/>
              <w:ind w:right="454"/>
              <w:jc w:val="right"/>
              <w:rPr>
                <w:sz w:val="18"/>
              </w:rPr>
            </w:pPr>
            <w:r>
              <w:rPr>
                <w:sz w:val="18"/>
              </w:rPr>
              <w:t>46,5</w:t>
            </w:r>
          </w:p>
        </w:tc>
        <w:tc>
          <w:tcPr>
            <w:tcW w:w="1247" w:type="dxa"/>
            <w:vAlign w:val="bottom"/>
          </w:tcPr>
          <w:p w:rsidR="003E3ADF" w:rsidRDefault="003E3ADF">
            <w:pPr>
              <w:keepLines/>
              <w:spacing w:before="30" w:after="30"/>
              <w:ind w:right="454"/>
              <w:jc w:val="right"/>
              <w:rPr>
                <w:sz w:val="18"/>
              </w:rPr>
            </w:pPr>
            <w:r>
              <w:rPr>
                <w:sz w:val="18"/>
              </w:rPr>
              <w:t>54,1</w:t>
            </w:r>
          </w:p>
        </w:tc>
        <w:tc>
          <w:tcPr>
            <w:tcW w:w="1247" w:type="dxa"/>
            <w:vAlign w:val="bottom"/>
          </w:tcPr>
          <w:p w:rsidR="003E3ADF" w:rsidRDefault="003E3ADF">
            <w:pPr>
              <w:keepLines/>
              <w:spacing w:before="30" w:after="30"/>
              <w:ind w:right="454"/>
              <w:jc w:val="right"/>
              <w:rPr>
                <w:sz w:val="18"/>
              </w:rPr>
            </w:pPr>
            <w:r>
              <w:rPr>
                <w:sz w:val="18"/>
              </w:rPr>
              <w:t>54,7</w:t>
            </w:r>
          </w:p>
        </w:tc>
      </w:tr>
      <w:tr w:rsidR="003E3ADF">
        <w:tc>
          <w:tcPr>
            <w:tcW w:w="3309" w:type="dxa"/>
            <w:vAlign w:val="bottom"/>
          </w:tcPr>
          <w:p w:rsidR="003E3ADF" w:rsidRDefault="003E3ADF">
            <w:pPr>
              <w:keepLines/>
              <w:suppressAutoHyphens/>
              <w:spacing w:before="30" w:after="30"/>
              <w:jc w:val="left"/>
              <w:rPr>
                <w:sz w:val="18"/>
              </w:rPr>
            </w:pPr>
            <w:r>
              <w:rPr>
                <w:sz w:val="18"/>
              </w:rPr>
              <w:t>Проектирование</w:t>
            </w:r>
          </w:p>
        </w:tc>
        <w:tc>
          <w:tcPr>
            <w:tcW w:w="1247" w:type="dxa"/>
            <w:vAlign w:val="bottom"/>
          </w:tcPr>
          <w:p w:rsidR="003E3ADF" w:rsidRDefault="003E3ADF">
            <w:pPr>
              <w:keepLines/>
              <w:spacing w:before="30" w:after="30"/>
              <w:ind w:right="454"/>
              <w:jc w:val="right"/>
              <w:rPr>
                <w:sz w:val="18"/>
              </w:rPr>
            </w:pPr>
            <w:r>
              <w:rPr>
                <w:sz w:val="18"/>
              </w:rPr>
              <w:t>81,3</w:t>
            </w:r>
          </w:p>
        </w:tc>
        <w:tc>
          <w:tcPr>
            <w:tcW w:w="1247" w:type="dxa"/>
            <w:vAlign w:val="bottom"/>
          </w:tcPr>
          <w:p w:rsidR="003E3ADF" w:rsidRDefault="003E3ADF">
            <w:pPr>
              <w:keepLines/>
              <w:spacing w:before="30" w:after="30"/>
              <w:ind w:right="454"/>
              <w:jc w:val="right"/>
              <w:rPr>
                <w:sz w:val="18"/>
              </w:rPr>
            </w:pPr>
            <w:r>
              <w:rPr>
                <w:sz w:val="18"/>
              </w:rPr>
              <w:t>82,8</w:t>
            </w:r>
          </w:p>
        </w:tc>
        <w:tc>
          <w:tcPr>
            <w:tcW w:w="1247" w:type="dxa"/>
            <w:vAlign w:val="bottom"/>
          </w:tcPr>
          <w:p w:rsidR="003E3ADF" w:rsidRDefault="003E3ADF">
            <w:pPr>
              <w:keepLines/>
              <w:spacing w:before="30" w:after="30"/>
              <w:ind w:right="454"/>
              <w:jc w:val="right"/>
              <w:rPr>
                <w:sz w:val="18"/>
              </w:rPr>
            </w:pPr>
            <w:r>
              <w:rPr>
                <w:sz w:val="18"/>
              </w:rPr>
              <w:t>84,8</w:t>
            </w:r>
          </w:p>
        </w:tc>
        <w:tc>
          <w:tcPr>
            <w:tcW w:w="1247" w:type="dxa"/>
            <w:vAlign w:val="bottom"/>
          </w:tcPr>
          <w:p w:rsidR="003E3ADF" w:rsidRDefault="003E3ADF">
            <w:pPr>
              <w:keepLines/>
              <w:spacing w:before="30" w:after="30"/>
              <w:ind w:right="454"/>
              <w:jc w:val="right"/>
              <w:rPr>
                <w:sz w:val="18"/>
              </w:rPr>
            </w:pPr>
            <w:r>
              <w:rPr>
                <w:sz w:val="18"/>
              </w:rPr>
              <w:t>84,8</w:t>
            </w:r>
          </w:p>
        </w:tc>
      </w:tr>
      <w:tr w:rsidR="003E3ADF">
        <w:tc>
          <w:tcPr>
            <w:tcW w:w="3309" w:type="dxa"/>
            <w:vAlign w:val="bottom"/>
          </w:tcPr>
          <w:p w:rsidR="003E3ADF" w:rsidRDefault="003E3ADF">
            <w:pPr>
              <w:keepLines/>
              <w:suppressAutoHyphens/>
              <w:spacing w:before="30" w:after="30"/>
              <w:jc w:val="left"/>
              <w:rPr>
                <w:sz w:val="18"/>
              </w:rPr>
            </w:pPr>
            <w:r>
              <w:rPr>
                <w:sz w:val="18"/>
              </w:rPr>
              <w:t>Гостиничное хозяйство и промышле</w:t>
            </w:r>
            <w:r>
              <w:rPr>
                <w:sz w:val="18"/>
              </w:rPr>
              <w:t>н</w:t>
            </w:r>
            <w:r>
              <w:rPr>
                <w:sz w:val="18"/>
              </w:rPr>
              <w:t>ность</w:t>
            </w:r>
          </w:p>
        </w:tc>
        <w:tc>
          <w:tcPr>
            <w:tcW w:w="1247" w:type="dxa"/>
            <w:vAlign w:val="bottom"/>
          </w:tcPr>
          <w:p w:rsidR="003E3ADF" w:rsidRDefault="003E3ADF">
            <w:pPr>
              <w:keepLines/>
              <w:spacing w:before="30" w:after="30"/>
              <w:ind w:right="454"/>
              <w:jc w:val="right"/>
              <w:rPr>
                <w:sz w:val="18"/>
              </w:rPr>
            </w:pPr>
            <w:r>
              <w:rPr>
                <w:sz w:val="18"/>
              </w:rPr>
              <w:t>53,2</w:t>
            </w:r>
          </w:p>
        </w:tc>
        <w:tc>
          <w:tcPr>
            <w:tcW w:w="1247" w:type="dxa"/>
            <w:vAlign w:val="bottom"/>
          </w:tcPr>
          <w:p w:rsidR="003E3ADF" w:rsidRDefault="003E3ADF">
            <w:pPr>
              <w:keepLines/>
              <w:spacing w:before="30" w:after="30"/>
              <w:ind w:right="454"/>
              <w:jc w:val="right"/>
              <w:rPr>
                <w:sz w:val="18"/>
              </w:rPr>
            </w:pPr>
            <w:r>
              <w:rPr>
                <w:sz w:val="18"/>
              </w:rPr>
              <w:t>54,5</w:t>
            </w:r>
          </w:p>
        </w:tc>
        <w:tc>
          <w:tcPr>
            <w:tcW w:w="1247" w:type="dxa"/>
            <w:vAlign w:val="bottom"/>
          </w:tcPr>
          <w:p w:rsidR="003E3ADF" w:rsidRDefault="003E3ADF">
            <w:pPr>
              <w:keepLines/>
              <w:spacing w:before="30" w:after="30"/>
              <w:ind w:right="454"/>
              <w:jc w:val="right"/>
              <w:rPr>
                <w:sz w:val="18"/>
              </w:rPr>
            </w:pPr>
            <w:r>
              <w:rPr>
                <w:sz w:val="18"/>
              </w:rPr>
              <w:t>56,5</w:t>
            </w:r>
          </w:p>
        </w:tc>
        <w:tc>
          <w:tcPr>
            <w:tcW w:w="1247" w:type="dxa"/>
            <w:vAlign w:val="bottom"/>
          </w:tcPr>
          <w:p w:rsidR="003E3ADF" w:rsidRDefault="003E3ADF">
            <w:pPr>
              <w:keepLines/>
              <w:spacing w:before="30" w:after="30"/>
              <w:ind w:right="454"/>
              <w:jc w:val="right"/>
              <w:rPr>
                <w:sz w:val="18"/>
              </w:rPr>
            </w:pPr>
            <w:r>
              <w:rPr>
                <w:sz w:val="18"/>
              </w:rPr>
              <w:t>53,7</w:t>
            </w:r>
          </w:p>
        </w:tc>
      </w:tr>
      <w:tr w:rsidR="003E3ADF">
        <w:tc>
          <w:tcPr>
            <w:tcW w:w="3309" w:type="dxa"/>
            <w:vAlign w:val="bottom"/>
          </w:tcPr>
          <w:p w:rsidR="003E3ADF" w:rsidRDefault="003E3ADF">
            <w:pPr>
              <w:keepLines/>
              <w:suppressAutoHyphens/>
              <w:spacing w:before="30" w:after="30"/>
              <w:jc w:val="left"/>
              <w:rPr>
                <w:sz w:val="18"/>
              </w:rPr>
            </w:pPr>
            <w:r>
              <w:rPr>
                <w:sz w:val="18"/>
              </w:rPr>
              <w:t>Строительство</w:t>
            </w:r>
          </w:p>
        </w:tc>
        <w:tc>
          <w:tcPr>
            <w:tcW w:w="1247" w:type="dxa"/>
            <w:vAlign w:val="bottom"/>
          </w:tcPr>
          <w:p w:rsidR="003E3ADF" w:rsidRDefault="003E3ADF">
            <w:pPr>
              <w:keepLines/>
              <w:spacing w:before="30" w:after="30"/>
              <w:ind w:right="454"/>
              <w:jc w:val="right"/>
              <w:rPr>
                <w:sz w:val="18"/>
              </w:rPr>
            </w:pPr>
            <w:r>
              <w:rPr>
                <w:sz w:val="18"/>
              </w:rPr>
              <w:t>2,2</w:t>
            </w:r>
          </w:p>
        </w:tc>
        <w:tc>
          <w:tcPr>
            <w:tcW w:w="1247" w:type="dxa"/>
            <w:vAlign w:val="bottom"/>
          </w:tcPr>
          <w:p w:rsidR="003E3ADF" w:rsidRDefault="003E3ADF">
            <w:pPr>
              <w:keepLines/>
              <w:spacing w:before="30" w:after="30"/>
              <w:ind w:right="454"/>
              <w:jc w:val="right"/>
              <w:rPr>
                <w:sz w:val="18"/>
              </w:rPr>
            </w:pPr>
            <w:r>
              <w:rPr>
                <w:sz w:val="18"/>
              </w:rPr>
              <w:t>2,1</w:t>
            </w:r>
          </w:p>
        </w:tc>
        <w:tc>
          <w:tcPr>
            <w:tcW w:w="1247" w:type="dxa"/>
            <w:vAlign w:val="bottom"/>
          </w:tcPr>
          <w:p w:rsidR="003E3ADF" w:rsidRDefault="003E3ADF">
            <w:pPr>
              <w:keepLines/>
              <w:spacing w:before="30" w:after="30"/>
              <w:ind w:right="454"/>
              <w:jc w:val="right"/>
              <w:rPr>
                <w:sz w:val="18"/>
              </w:rPr>
            </w:pPr>
            <w:r>
              <w:rPr>
                <w:sz w:val="18"/>
              </w:rPr>
              <w:t>1,6</w:t>
            </w:r>
          </w:p>
        </w:tc>
        <w:tc>
          <w:tcPr>
            <w:tcW w:w="1247" w:type="dxa"/>
            <w:vAlign w:val="bottom"/>
          </w:tcPr>
          <w:p w:rsidR="003E3ADF" w:rsidRDefault="003E3ADF">
            <w:pPr>
              <w:keepLines/>
              <w:spacing w:before="30" w:after="30"/>
              <w:ind w:right="454"/>
              <w:jc w:val="right"/>
              <w:rPr>
                <w:sz w:val="18"/>
              </w:rPr>
            </w:pPr>
            <w:r>
              <w:rPr>
                <w:sz w:val="18"/>
              </w:rPr>
              <w:t>1,8</w:t>
            </w:r>
          </w:p>
        </w:tc>
      </w:tr>
      <w:tr w:rsidR="003E3ADF">
        <w:tc>
          <w:tcPr>
            <w:tcW w:w="3309" w:type="dxa"/>
            <w:vAlign w:val="bottom"/>
          </w:tcPr>
          <w:p w:rsidR="003E3ADF" w:rsidRDefault="003E3ADF">
            <w:pPr>
              <w:keepLines/>
              <w:suppressAutoHyphens/>
              <w:spacing w:before="30" w:after="30"/>
              <w:jc w:val="left"/>
              <w:rPr>
                <w:sz w:val="18"/>
              </w:rPr>
            </w:pPr>
            <w:r>
              <w:rPr>
                <w:sz w:val="18"/>
              </w:rPr>
              <w:t>Промышленное строител</w:t>
            </w:r>
            <w:r>
              <w:rPr>
                <w:sz w:val="18"/>
              </w:rPr>
              <w:t>ь</w:t>
            </w:r>
            <w:r>
              <w:rPr>
                <w:sz w:val="18"/>
              </w:rPr>
              <w:t>ство</w:t>
            </w:r>
          </w:p>
        </w:tc>
        <w:tc>
          <w:tcPr>
            <w:tcW w:w="1247" w:type="dxa"/>
            <w:vAlign w:val="bottom"/>
          </w:tcPr>
          <w:p w:rsidR="003E3ADF" w:rsidRDefault="003E3ADF">
            <w:pPr>
              <w:keepLines/>
              <w:spacing w:before="30" w:after="30"/>
              <w:ind w:right="454"/>
              <w:jc w:val="right"/>
              <w:rPr>
                <w:sz w:val="18"/>
              </w:rPr>
            </w:pPr>
            <w:r>
              <w:rPr>
                <w:sz w:val="18"/>
              </w:rPr>
              <w:t>9,7</w:t>
            </w:r>
          </w:p>
        </w:tc>
        <w:tc>
          <w:tcPr>
            <w:tcW w:w="1247" w:type="dxa"/>
            <w:vAlign w:val="bottom"/>
          </w:tcPr>
          <w:p w:rsidR="003E3ADF" w:rsidRDefault="003E3ADF">
            <w:pPr>
              <w:keepLines/>
              <w:spacing w:before="30" w:after="30"/>
              <w:ind w:right="454"/>
              <w:jc w:val="right"/>
              <w:rPr>
                <w:sz w:val="18"/>
              </w:rPr>
            </w:pPr>
            <w:r>
              <w:rPr>
                <w:sz w:val="18"/>
              </w:rPr>
              <w:t>6,8</w:t>
            </w:r>
          </w:p>
        </w:tc>
        <w:tc>
          <w:tcPr>
            <w:tcW w:w="1247" w:type="dxa"/>
            <w:vAlign w:val="bottom"/>
          </w:tcPr>
          <w:p w:rsidR="003E3ADF" w:rsidRDefault="003E3ADF">
            <w:pPr>
              <w:keepLines/>
              <w:spacing w:before="30" w:after="30"/>
              <w:ind w:right="454"/>
              <w:jc w:val="right"/>
              <w:rPr>
                <w:sz w:val="18"/>
              </w:rPr>
            </w:pPr>
            <w:r>
              <w:rPr>
                <w:sz w:val="18"/>
              </w:rPr>
              <w:t>6,9</w:t>
            </w:r>
          </w:p>
        </w:tc>
        <w:tc>
          <w:tcPr>
            <w:tcW w:w="1247" w:type="dxa"/>
            <w:vAlign w:val="bottom"/>
          </w:tcPr>
          <w:p w:rsidR="003E3ADF" w:rsidRDefault="003E3ADF">
            <w:pPr>
              <w:keepLines/>
              <w:spacing w:before="30" w:after="30"/>
              <w:ind w:right="454"/>
              <w:jc w:val="right"/>
              <w:rPr>
                <w:sz w:val="18"/>
              </w:rPr>
            </w:pPr>
            <w:r>
              <w:rPr>
                <w:sz w:val="18"/>
              </w:rPr>
              <w:t>5,8</w:t>
            </w:r>
          </w:p>
        </w:tc>
      </w:tr>
      <w:tr w:rsidR="003E3ADF">
        <w:tc>
          <w:tcPr>
            <w:tcW w:w="3309" w:type="dxa"/>
            <w:vAlign w:val="bottom"/>
          </w:tcPr>
          <w:p w:rsidR="003E3ADF" w:rsidRDefault="003E3ADF">
            <w:pPr>
              <w:keepLines/>
              <w:suppressAutoHyphens/>
              <w:spacing w:before="30" w:after="30"/>
              <w:jc w:val="left"/>
              <w:rPr>
                <w:sz w:val="18"/>
              </w:rPr>
            </w:pPr>
            <w:r>
              <w:rPr>
                <w:sz w:val="18"/>
              </w:rPr>
              <w:t>Электротехника</w:t>
            </w:r>
          </w:p>
        </w:tc>
        <w:tc>
          <w:tcPr>
            <w:tcW w:w="1247" w:type="dxa"/>
            <w:vAlign w:val="bottom"/>
          </w:tcPr>
          <w:p w:rsidR="003E3ADF" w:rsidRDefault="003E3ADF">
            <w:pPr>
              <w:keepLines/>
              <w:spacing w:before="30" w:after="30"/>
              <w:ind w:right="454"/>
              <w:jc w:val="right"/>
              <w:rPr>
                <w:sz w:val="18"/>
              </w:rPr>
            </w:pPr>
            <w:r>
              <w:rPr>
                <w:sz w:val="18"/>
              </w:rPr>
              <w:t>4,4</w:t>
            </w:r>
          </w:p>
        </w:tc>
        <w:tc>
          <w:tcPr>
            <w:tcW w:w="1247" w:type="dxa"/>
            <w:vAlign w:val="bottom"/>
          </w:tcPr>
          <w:p w:rsidR="003E3ADF" w:rsidRDefault="003E3ADF">
            <w:pPr>
              <w:keepLines/>
              <w:spacing w:before="30" w:after="30"/>
              <w:ind w:right="454"/>
              <w:jc w:val="right"/>
              <w:rPr>
                <w:sz w:val="18"/>
              </w:rPr>
            </w:pPr>
            <w:r>
              <w:rPr>
                <w:sz w:val="18"/>
              </w:rPr>
              <w:t>3,8</w:t>
            </w:r>
          </w:p>
        </w:tc>
        <w:tc>
          <w:tcPr>
            <w:tcW w:w="1247" w:type="dxa"/>
            <w:vAlign w:val="bottom"/>
          </w:tcPr>
          <w:p w:rsidR="003E3ADF" w:rsidRDefault="003E3ADF">
            <w:pPr>
              <w:keepLines/>
              <w:spacing w:before="30" w:after="30"/>
              <w:ind w:right="454"/>
              <w:jc w:val="right"/>
              <w:rPr>
                <w:sz w:val="18"/>
              </w:rPr>
            </w:pPr>
            <w:r>
              <w:rPr>
                <w:sz w:val="18"/>
              </w:rPr>
              <w:t>5,1</w:t>
            </w:r>
          </w:p>
        </w:tc>
        <w:tc>
          <w:tcPr>
            <w:tcW w:w="1247" w:type="dxa"/>
            <w:vAlign w:val="bottom"/>
          </w:tcPr>
          <w:p w:rsidR="003E3ADF" w:rsidRDefault="003E3ADF">
            <w:pPr>
              <w:keepLines/>
              <w:spacing w:before="30" w:after="30"/>
              <w:ind w:right="454"/>
              <w:jc w:val="right"/>
              <w:rPr>
                <w:sz w:val="18"/>
              </w:rPr>
            </w:pPr>
            <w:r>
              <w:rPr>
                <w:sz w:val="18"/>
              </w:rPr>
              <w:t>3,6</w:t>
            </w:r>
          </w:p>
        </w:tc>
      </w:tr>
      <w:tr w:rsidR="003E3ADF">
        <w:tc>
          <w:tcPr>
            <w:tcW w:w="3309" w:type="dxa"/>
            <w:vAlign w:val="bottom"/>
          </w:tcPr>
          <w:p w:rsidR="003E3ADF" w:rsidRDefault="003E3ADF">
            <w:pPr>
              <w:keepLines/>
              <w:suppressAutoHyphens/>
              <w:spacing w:before="30" w:after="30"/>
              <w:jc w:val="left"/>
              <w:rPr>
                <w:sz w:val="18"/>
              </w:rPr>
            </w:pPr>
            <w:r>
              <w:rPr>
                <w:sz w:val="18"/>
              </w:rPr>
              <w:t>Машиностроение</w:t>
            </w:r>
          </w:p>
        </w:tc>
        <w:tc>
          <w:tcPr>
            <w:tcW w:w="1247" w:type="dxa"/>
            <w:vAlign w:val="bottom"/>
          </w:tcPr>
          <w:p w:rsidR="003E3ADF" w:rsidRDefault="003E3ADF">
            <w:pPr>
              <w:keepLines/>
              <w:spacing w:before="30" w:after="30"/>
              <w:ind w:right="454"/>
              <w:jc w:val="right"/>
              <w:rPr>
                <w:sz w:val="18"/>
              </w:rPr>
            </w:pPr>
            <w:r>
              <w:rPr>
                <w:sz w:val="18"/>
              </w:rPr>
              <w:t>6,0</w:t>
            </w:r>
          </w:p>
        </w:tc>
        <w:tc>
          <w:tcPr>
            <w:tcW w:w="1247" w:type="dxa"/>
            <w:vAlign w:val="bottom"/>
          </w:tcPr>
          <w:p w:rsidR="003E3ADF" w:rsidRDefault="003E3ADF">
            <w:pPr>
              <w:keepLines/>
              <w:spacing w:before="30" w:after="30"/>
              <w:ind w:right="454"/>
              <w:jc w:val="right"/>
              <w:rPr>
                <w:sz w:val="18"/>
              </w:rPr>
            </w:pPr>
            <w:r>
              <w:rPr>
                <w:sz w:val="18"/>
              </w:rPr>
              <w:t>4,3</w:t>
            </w:r>
          </w:p>
        </w:tc>
        <w:tc>
          <w:tcPr>
            <w:tcW w:w="1247" w:type="dxa"/>
            <w:vAlign w:val="bottom"/>
          </w:tcPr>
          <w:p w:rsidR="003E3ADF" w:rsidRDefault="003E3ADF">
            <w:pPr>
              <w:keepLines/>
              <w:spacing w:before="30" w:after="30"/>
              <w:ind w:right="454"/>
              <w:jc w:val="right"/>
              <w:rPr>
                <w:sz w:val="18"/>
              </w:rPr>
            </w:pPr>
            <w:r>
              <w:rPr>
                <w:sz w:val="18"/>
              </w:rPr>
              <w:t>5,4</w:t>
            </w:r>
          </w:p>
        </w:tc>
        <w:tc>
          <w:tcPr>
            <w:tcW w:w="1247" w:type="dxa"/>
            <w:vAlign w:val="bottom"/>
          </w:tcPr>
          <w:p w:rsidR="003E3ADF" w:rsidRDefault="003E3ADF">
            <w:pPr>
              <w:keepLines/>
              <w:spacing w:before="30" w:after="30"/>
              <w:ind w:right="454"/>
              <w:jc w:val="right"/>
              <w:rPr>
                <w:sz w:val="18"/>
              </w:rPr>
            </w:pPr>
            <w:r>
              <w:rPr>
                <w:sz w:val="18"/>
              </w:rPr>
              <w:t>5,6</w:t>
            </w:r>
          </w:p>
        </w:tc>
      </w:tr>
      <w:tr w:rsidR="003E3ADF">
        <w:tc>
          <w:tcPr>
            <w:tcW w:w="3309" w:type="dxa"/>
            <w:vAlign w:val="bottom"/>
          </w:tcPr>
          <w:p w:rsidR="003E3ADF" w:rsidRDefault="003E3ADF">
            <w:pPr>
              <w:keepLines/>
              <w:suppressAutoHyphens/>
              <w:spacing w:before="30" w:after="30"/>
              <w:jc w:val="left"/>
              <w:rPr>
                <w:sz w:val="18"/>
              </w:rPr>
            </w:pPr>
            <w:r>
              <w:rPr>
                <w:sz w:val="18"/>
              </w:rPr>
              <w:t>Химия и химическая техн</w:t>
            </w:r>
            <w:r>
              <w:rPr>
                <w:sz w:val="18"/>
              </w:rPr>
              <w:t>о</w:t>
            </w:r>
            <w:r>
              <w:rPr>
                <w:sz w:val="18"/>
              </w:rPr>
              <w:t>логия</w:t>
            </w:r>
          </w:p>
        </w:tc>
        <w:tc>
          <w:tcPr>
            <w:tcW w:w="1247" w:type="dxa"/>
            <w:vAlign w:val="bottom"/>
          </w:tcPr>
          <w:p w:rsidR="003E3ADF" w:rsidRDefault="003E3ADF">
            <w:pPr>
              <w:keepLines/>
              <w:spacing w:before="30" w:after="30"/>
              <w:ind w:right="454"/>
              <w:jc w:val="right"/>
              <w:rPr>
                <w:sz w:val="18"/>
              </w:rPr>
            </w:pPr>
            <w:r>
              <w:rPr>
                <w:sz w:val="18"/>
              </w:rPr>
              <w:t>39,3</w:t>
            </w:r>
          </w:p>
        </w:tc>
        <w:tc>
          <w:tcPr>
            <w:tcW w:w="1247" w:type="dxa"/>
            <w:vAlign w:val="bottom"/>
          </w:tcPr>
          <w:p w:rsidR="003E3ADF" w:rsidRDefault="003E3ADF">
            <w:pPr>
              <w:keepLines/>
              <w:spacing w:before="30" w:after="30"/>
              <w:ind w:right="454"/>
              <w:jc w:val="right"/>
              <w:rPr>
                <w:sz w:val="18"/>
              </w:rPr>
            </w:pPr>
            <w:r>
              <w:rPr>
                <w:sz w:val="18"/>
              </w:rPr>
              <w:t>35,1</w:t>
            </w:r>
          </w:p>
        </w:tc>
        <w:tc>
          <w:tcPr>
            <w:tcW w:w="1247" w:type="dxa"/>
            <w:vAlign w:val="bottom"/>
          </w:tcPr>
          <w:p w:rsidR="003E3ADF" w:rsidRDefault="003E3ADF">
            <w:pPr>
              <w:keepLines/>
              <w:spacing w:before="30" w:after="30"/>
              <w:ind w:right="454"/>
              <w:jc w:val="right"/>
              <w:rPr>
                <w:sz w:val="18"/>
              </w:rPr>
            </w:pPr>
            <w:r>
              <w:rPr>
                <w:sz w:val="18"/>
              </w:rPr>
              <w:t>31,2</w:t>
            </w:r>
          </w:p>
        </w:tc>
        <w:tc>
          <w:tcPr>
            <w:tcW w:w="1247" w:type="dxa"/>
            <w:vAlign w:val="bottom"/>
          </w:tcPr>
          <w:p w:rsidR="003E3ADF" w:rsidRDefault="003E3ADF">
            <w:pPr>
              <w:keepLines/>
              <w:spacing w:before="30" w:after="30"/>
              <w:ind w:right="454"/>
              <w:jc w:val="right"/>
              <w:rPr>
                <w:sz w:val="18"/>
              </w:rPr>
            </w:pPr>
            <w:r>
              <w:rPr>
                <w:sz w:val="18"/>
              </w:rPr>
              <w:t>30,8</w:t>
            </w:r>
          </w:p>
        </w:tc>
      </w:tr>
      <w:tr w:rsidR="003E3ADF">
        <w:tc>
          <w:tcPr>
            <w:tcW w:w="3309" w:type="dxa"/>
            <w:vAlign w:val="bottom"/>
          </w:tcPr>
          <w:p w:rsidR="003E3ADF" w:rsidRDefault="003E3ADF">
            <w:pPr>
              <w:keepLines/>
              <w:suppressAutoHyphens/>
              <w:spacing w:before="30" w:after="30"/>
              <w:jc w:val="left"/>
              <w:rPr>
                <w:sz w:val="18"/>
              </w:rPr>
            </w:pPr>
            <w:r>
              <w:rPr>
                <w:sz w:val="18"/>
              </w:rPr>
              <w:t>Деревообработка</w:t>
            </w:r>
          </w:p>
        </w:tc>
        <w:tc>
          <w:tcPr>
            <w:tcW w:w="1247" w:type="dxa"/>
            <w:vAlign w:val="bottom"/>
          </w:tcPr>
          <w:p w:rsidR="003E3ADF" w:rsidRDefault="003E3ADF">
            <w:pPr>
              <w:keepLines/>
              <w:spacing w:before="30" w:after="30"/>
              <w:ind w:right="454"/>
              <w:jc w:val="right"/>
              <w:rPr>
                <w:sz w:val="18"/>
              </w:rPr>
            </w:pPr>
            <w:r>
              <w:rPr>
                <w:sz w:val="18"/>
              </w:rPr>
              <w:t>21,1</w:t>
            </w:r>
          </w:p>
        </w:tc>
        <w:tc>
          <w:tcPr>
            <w:tcW w:w="1247" w:type="dxa"/>
            <w:vAlign w:val="bottom"/>
          </w:tcPr>
          <w:p w:rsidR="003E3ADF" w:rsidRDefault="003E3ADF">
            <w:pPr>
              <w:keepLines/>
              <w:spacing w:before="30" w:after="30"/>
              <w:ind w:right="454"/>
              <w:jc w:val="right"/>
              <w:rPr>
                <w:sz w:val="18"/>
              </w:rPr>
            </w:pPr>
            <w:r>
              <w:rPr>
                <w:sz w:val="18"/>
              </w:rPr>
              <w:t>17,7</w:t>
            </w:r>
          </w:p>
        </w:tc>
        <w:tc>
          <w:tcPr>
            <w:tcW w:w="1247" w:type="dxa"/>
            <w:vAlign w:val="bottom"/>
          </w:tcPr>
          <w:p w:rsidR="003E3ADF" w:rsidRDefault="003E3ADF">
            <w:pPr>
              <w:keepLines/>
              <w:spacing w:before="30" w:after="30"/>
              <w:ind w:right="454"/>
              <w:jc w:val="right"/>
              <w:rPr>
                <w:sz w:val="18"/>
              </w:rPr>
            </w:pPr>
            <w:r>
              <w:rPr>
                <w:sz w:val="18"/>
              </w:rPr>
              <w:t>13,8</w:t>
            </w:r>
          </w:p>
        </w:tc>
        <w:tc>
          <w:tcPr>
            <w:tcW w:w="1247" w:type="dxa"/>
            <w:vAlign w:val="bottom"/>
          </w:tcPr>
          <w:p w:rsidR="003E3ADF" w:rsidRDefault="003E3ADF">
            <w:pPr>
              <w:keepLines/>
              <w:spacing w:before="30" w:after="30"/>
              <w:ind w:right="454"/>
              <w:jc w:val="right"/>
              <w:rPr>
                <w:sz w:val="18"/>
              </w:rPr>
            </w:pPr>
            <w:r>
              <w:rPr>
                <w:sz w:val="18"/>
              </w:rPr>
              <w:t>15,6</w:t>
            </w:r>
          </w:p>
        </w:tc>
      </w:tr>
      <w:tr w:rsidR="003E3ADF">
        <w:tc>
          <w:tcPr>
            <w:tcW w:w="3309" w:type="dxa"/>
            <w:vAlign w:val="bottom"/>
          </w:tcPr>
          <w:p w:rsidR="003E3ADF" w:rsidRDefault="003E3ADF">
            <w:pPr>
              <w:keepLines/>
              <w:suppressAutoHyphens/>
              <w:spacing w:before="30" w:after="30"/>
              <w:jc w:val="left"/>
              <w:rPr>
                <w:sz w:val="18"/>
              </w:rPr>
            </w:pPr>
            <w:r>
              <w:rPr>
                <w:sz w:val="18"/>
              </w:rPr>
              <w:t>Средства массовой инфо</w:t>
            </w:r>
            <w:r>
              <w:rPr>
                <w:sz w:val="18"/>
              </w:rPr>
              <w:t>р</w:t>
            </w:r>
            <w:r>
              <w:rPr>
                <w:sz w:val="18"/>
              </w:rPr>
              <w:t>мации и коммуникация</w:t>
            </w:r>
          </w:p>
        </w:tc>
        <w:tc>
          <w:tcPr>
            <w:tcW w:w="1247" w:type="dxa"/>
            <w:vAlign w:val="bottom"/>
          </w:tcPr>
          <w:p w:rsidR="003E3ADF" w:rsidRDefault="003E3ADF">
            <w:pPr>
              <w:keepLines/>
              <w:spacing w:before="30" w:after="30"/>
              <w:ind w:right="454"/>
              <w:jc w:val="right"/>
              <w:rPr>
                <w:sz w:val="18"/>
              </w:rPr>
            </w:pPr>
          </w:p>
        </w:tc>
        <w:tc>
          <w:tcPr>
            <w:tcW w:w="1247" w:type="dxa"/>
            <w:vAlign w:val="bottom"/>
          </w:tcPr>
          <w:p w:rsidR="003E3ADF" w:rsidRDefault="003E3ADF">
            <w:pPr>
              <w:keepLines/>
              <w:spacing w:before="30" w:after="30"/>
              <w:ind w:right="454"/>
              <w:jc w:val="right"/>
              <w:rPr>
                <w:sz w:val="18"/>
              </w:rPr>
            </w:pPr>
            <w:r>
              <w:rPr>
                <w:sz w:val="18"/>
              </w:rPr>
              <w:t>57,1</w:t>
            </w:r>
          </w:p>
        </w:tc>
        <w:tc>
          <w:tcPr>
            <w:tcW w:w="1247" w:type="dxa"/>
            <w:vAlign w:val="bottom"/>
          </w:tcPr>
          <w:p w:rsidR="003E3ADF" w:rsidRDefault="003E3ADF">
            <w:pPr>
              <w:keepLines/>
              <w:spacing w:before="30" w:after="30"/>
              <w:ind w:right="454"/>
              <w:jc w:val="right"/>
              <w:rPr>
                <w:sz w:val="18"/>
              </w:rPr>
            </w:pPr>
            <w:r>
              <w:rPr>
                <w:sz w:val="18"/>
              </w:rPr>
              <w:t>57,4</w:t>
            </w:r>
          </w:p>
        </w:tc>
        <w:tc>
          <w:tcPr>
            <w:tcW w:w="1247" w:type="dxa"/>
            <w:vAlign w:val="bottom"/>
          </w:tcPr>
          <w:p w:rsidR="003E3ADF" w:rsidRDefault="003E3ADF">
            <w:pPr>
              <w:keepLines/>
              <w:spacing w:before="30" w:after="30"/>
              <w:ind w:right="454"/>
              <w:jc w:val="right"/>
              <w:rPr>
                <w:sz w:val="18"/>
              </w:rPr>
            </w:pPr>
            <w:r>
              <w:rPr>
                <w:sz w:val="18"/>
              </w:rPr>
              <w:t>53,2</w:t>
            </w:r>
          </w:p>
        </w:tc>
      </w:tr>
      <w:tr w:rsidR="003E3ADF">
        <w:tc>
          <w:tcPr>
            <w:tcW w:w="3309" w:type="dxa"/>
            <w:tcBorders>
              <w:bottom w:val="single" w:sz="12" w:space="0" w:color="auto"/>
            </w:tcBorders>
          </w:tcPr>
          <w:p w:rsidR="003E3ADF" w:rsidRDefault="003E3ADF">
            <w:pPr>
              <w:keepLines/>
              <w:suppressAutoHyphens/>
              <w:spacing w:before="30" w:after="30"/>
              <w:jc w:val="left"/>
              <w:rPr>
                <w:sz w:val="18"/>
              </w:rPr>
            </w:pPr>
            <w:r>
              <w:rPr>
                <w:sz w:val="18"/>
              </w:rPr>
              <w:t>Торговля и сфера услуг</w:t>
            </w:r>
          </w:p>
        </w:tc>
        <w:tc>
          <w:tcPr>
            <w:tcW w:w="1247" w:type="dxa"/>
            <w:tcBorders>
              <w:bottom w:val="single" w:sz="12" w:space="0" w:color="auto"/>
            </w:tcBorders>
            <w:vAlign w:val="bottom"/>
          </w:tcPr>
          <w:p w:rsidR="003E3ADF" w:rsidRDefault="003E3ADF">
            <w:pPr>
              <w:keepLines/>
              <w:spacing w:before="30" w:after="30"/>
              <w:ind w:right="454"/>
              <w:jc w:val="right"/>
              <w:rPr>
                <w:sz w:val="18"/>
              </w:rPr>
            </w:pPr>
          </w:p>
        </w:tc>
        <w:tc>
          <w:tcPr>
            <w:tcW w:w="1247" w:type="dxa"/>
            <w:tcBorders>
              <w:bottom w:val="single" w:sz="12" w:space="0" w:color="auto"/>
            </w:tcBorders>
            <w:vAlign w:val="bottom"/>
          </w:tcPr>
          <w:p w:rsidR="003E3ADF" w:rsidRDefault="003E3ADF">
            <w:pPr>
              <w:keepLines/>
              <w:spacing w:before="30" w:after="30"/>
              <w:ind w:right="454"/>
              <w:jc w:val="right"/>
              <w:rPr>
                <w:sz w:val="18"/>
              </w:rPr>
            </w:pPr>
            <w:r>
              <w:rPr>
                <w:sz w:val="18"/>
              </w:rPr>
              <w:t>55,1</w:t>
            </w:r>
          </w:p>
        </w:tc>
        <w:tc>
          <w:tcPr>
            <w:tcW w:w="1247" w:type="dxa"/>
            <w:tcBorders>
              <w:bottom w:val="single" w:sz="12" w:space="0" w:color="auto"/>
            </w:tcBorders>
            <w:vAlign w:val="bottom"/>
          </w:tcPr>
          <w:p w:rsidR="003E3ADF" w:rsidRDefault="003E3ADF">
            <w:pPr>
              <w:keepLines/>
              <w:spacing w:before="30" w:after="30"/>
              <w:ind w:right="454"/>
              <w:jc w:val="right"/>
              <w:rPr>
                <w:sz w:val="18"/>
              </w:rPr>
            </w:pPr>
            <w:r>
              <w:rPr>
                <w:sz w:val="18"/>
              </w:rPr>
              <w:t>59,2</w:t>
            </w:r>
          </w:p>
        </w:tc>
        <w:tc>
          <w:tcPr>
            <w:tcW w:w="1247" w:type="dxa"/>
            <w:tcBorders>
              <w:bottom w:val="single" w:sz="12" w:space="0" w:color="auto"/>
            </w:tcBorders>
            <w:vAlign w:val="bottom"/>
          </w:tcPr>
          <w:p w:rsidR="003E3ADF" w:rsidRDefault="003E3ADF">
            <w:pPr>
              <w:keepLines/>
              <w:spacing w:before="30" w:after="30"/>
              <w:ind w:right="454"/>
              <w:jc w:val="right"/>
              <w:rPr>
                <w:sz w:val="18"/>
              </w:rPr>
            </w:pPr>
            <w:r>
              <w:rPr>
                <w:sz w:val="18"/>
              </w:rPr>
              <w:t>55,8</w:t>
            </w:r>
          </w:p>
        </w:tc>
      </w:tr>
    </w:tbl>
    <w:p w:rsidR="003E3ADF" w:rsidRDefault="003E3ADF">
      <w:pPr>
        <w:spacing w:before="120"/>
        <w:ind w:left="709"/>
        <w:rPr>
          <w:sz w:val="18"/>
        </w:rPr>
      </w:pPr>
      <w:r>
        <w:rPr>
          <w:i/>
          <w:iCs/>
          <w:sz w:val="18"/>
        </w:rPr>
        <w:t>Источник:</w:t>
      </w:r>
      <w:r>
        <w:rPr>
          <w:sz w:val="18"/>
        </w:rPr>
        <w:t xml:space="preserve"> Статистическое управление Норвегии.</w:t>
      </w:r>
    </w:p>
    <w:p w:rsidR="003E3ADF" w:rsidRDefault="003E3ADF">
      <w:pPr>
        <w:spacing w:before="120"/>
        <w:ind w:left="709"/>
        <w:rPr>
          <w:b/>
          <w:bCs/>
        </w:rPr>
      </w:pPr>
      <w:r>
        <w:rPr>
          <w:b/>
          <w:bCs/>
        </w:rPr>
        <w:t>Школьная успеваемость</w:t>
      </w:r>
    </w:p>
    <w:p w:rsidR="003E3ADF" w:rsidRDefault="003E3ADF">
      <w:pPr>
        <w:ind w:left="709"/>
      </w:pPr>
      <w:r>
        <w:t>Одним из факторов, влияющих на ход дебатов по вопросам образования, которые ведутся в Норвегии с начала нынешнего тысячелетия, является все больший упор на повышение успеваемости учащихся. Хотя учащиеся и студенты в Норвегии делают традиционный выбор в сфере образования, в школе девочки демонстрируют более высокую успеваемость, чем мальчики. Статистические данные, полученные в ходе крупных международных обследований, и статистика, отражающая успеваемость учащихся в средней школе старшей ступени, свидетельствуют не только о том, что девушки демонстрируют более высокую успева</w:t>
      </w:r>
      <w:r>
        <w:t>е</w:t>
      </w:r>
      <w:r>
        <w:t>мость, но и о том, что получаемые ими оценки в целом выше, чем те, которые получают юноши. Это вызвало в Норвегии дебаты по поводу того, не превратились ли мальчики в неудачников и не является ли норвежская школьная система более подходящей для развития познавательных навыков девочек.</w:t>
      </w:r>
    </w:p>
    <w:p w:rsidR="003E3ADF" w:rsidRDefault="003E3ADF">
      <w:pPr>
        <w:keepNext/>
        <w:ind w:left="709"/>
        <w:rPr>
          <w:i/>
        </w:rPr>
      </w:pPr>
      <w:r>
        <w:rPr>
          <w:i/>
        </w:rPr>
        <w:t>Программа международной оценки учащихся</w:t>
      </w:r>
    </w:p>
    <w:p w:rsidR="003E3ADF" w:rsidRDefault="003E3ADF">
      <w:pPr>
        <w:ind w:left="709"/>
      </w:pPr>
      <w:r>
        <w:rPr>
          <w:iCs/>
        </w:rPr>
        <w:t xml:space="preserve">Программа международной оценки учащихся (ПМОУ) </w:t>
      </w:r>
      <w:r>
        <w:t>представляет собой международное обследование, проводимое под эгидой ОЕСР для оценки уровня знаний и навыков учащихся в чтении, математике и естественных науках по окончании обязательного курса обучения. Согласно результатам обследования ПМОУ, проведенного в 2003 году, 15-летние норвежские школьники получали более низкие оценки по естественным наукам, математике и чтению, чем в 2000 году, когда проводилось аналогичное обследование. В успеваемости по естественным наукам и математике между норвежскими учащимися наблюдаются незначительные гендерные различия. Гендерные различия в успеваемости по чтению стали еще более заметными, причем в пользу девочек. Это в значительной мере объясняется тем, что в 2003 году успеваемость норвежских мальчиков оказалась в целом хуже по сравнению с результатами обследования ПМОУ 2000 года.</w:t>
      </w:r>
    </w:p>
    <w:p w:rsidR="003E3ADF" w:rsidRDefault="003E3ADF">
      <w:pPr>
        <w:ind w:left="709"/>
        <w:rPr>
          <w:i/>
        </w:rPr>
      </w:pPr>
      <w:r>
        <w:rPr>
          <w:i/>
        </w:rPr>
        <w:t>Гендерные различия в успеваемости по чтению</w:t>
      </w:r>
    </w:p>
    <w:p w:rsidR="003E3ADF" w:rsidRDefault="003E3ADF">
      <w:pPr>
        <w:ind w:left="709"/>
      </w:pPr>
      <w:r>
        <w:t>Девочки явно демонстрируют лучшую успеваемость по чтению, чем мальчики, а успеваемость норве</w:t>
      </w:r>
      <w:r>
        <w:t>ж</w:t>
      </w:r>
      <w:r>
        <w:t>ских мальчиков, по результатам обследования ПМОУ 2003 года, оказалась хуже, чем в 2000 году. На рис. 1 показано выраженное в процентах различие между мальчиками и девочками в полученных оценках по трем видам чтения, обследованным в рамках ПМОУ. Положительные оценки свидетельствуют о более высокой успеваемости девочек. Что касается поиска информации, то гендерные различия в этой области невелики, особенно в Дании и Швеции. Более заметные различия наблюдаются в выполнении заданий, требующих понимания и толкования, за исключением Дании. Вместе с тем во всех странах Северной Европы девочки обладали более развитыми навыками мышления и оценки, чем мальчики. В рамках обследования ПМОУ девочки демонстрировали гораздо более высокие результаты в чтении в тех случаях, когда текст был сплошным, а также несколько превосходили мальчиков при выполнении заданий, когда текст состоял из отдельных отрывков.</w:t>
      </w:r>
    </w:p>
    <w:p w:rsidR="003E3ADF" w:rsidRDefault="003E3ADF">
      <w:pPr>
        <w:keepNext/>
        <w:ind w:left="709"/>
        <w:rPr>
          <w:i/>
        </w:rPr>
      </w:pPr>
      <w:r>
        <w:rPr>
          <w:i/>
        </w:rPr>
        <w:t>Гендерные различия в успеваемости по естественным наукам и математике</w:t>
      </w:r>
    </w:p>
    <w:p w:rsidR="003E3ADF" w:rsidRDefault="003E3ADF">
      <w:pPr>
        <w:ind w:left="709"/>
      </w:pPr>
      <w:r>
        <w:t>В рамках обследования ПМОУ, проведенного в 2003 году, 15-летние норвежцы показали более низкую успеваемость по естественным наукам, математике и чтению по сравнению с результатами предыдущего обследования, проведенного в 2000 году. В успеваемости норвежских учащихся и по естественным наукам, и по математике наблюдаются незначительные гендерные различия. Во всех странах Северной Европы мальчики лучше успевали по математике, чем девочки. Единственным исключением является Исландия, в которой девочки получали более высокие оценки, чем мальчики. В Дании были отмечены относительно значительные гендерные различия в успеваемости, причем в пользу мальчиков.</w:t>
      </w:r>
    </w:p>
    <w:p w:rsidR="003E3ADF" w:rsidRDefault="003E3ADF">
      <w:pPr>
        <w:keepNext/>
        <w:ind w:left="709"/>
        <w:rPr>
          <w:i/>
        </w:rPr>
      </w:pPr>
      <w:r>
        <w:rPr>
          <w:i/>
        </w:rPr>
        <w:t>Гендерные различия в плане интереса и мотивации к чтению и математике и уверенности в собс</w:t>
      </w:r>
      <w:r>
        <w:rPr>
          <w:i/>
        </w:rPr>
        <w:t>т</w:t>
      </w:r>
      <w:r>
        <w:rPr>
          <w:i/>
        </w:rPr>
        <w:t>венных силах</w:t>
      </w:r>
    </w:p>
    <w:p w:rsidR="003E3ADF" w:rsidRDefault="003E3ADF">
      <w:pPr>
        <w:ind w:left="709"/>
      </w:pPr>
      <w:r>
        <w:t>Результаты обследования ПМОУ 2000 года, в рамках которого упор был сделан на чтении, показали, что девочки больше любят читать и что они читают больше, чем мальчики. С другой стороны, мальчики по сравнению с девочками читают больше газет, электронных сообщений, страниц в интернете и комиксов. Норвежские мальчики проявляют гораздо больший интерес к математике, чем девочки. Мотивацией для мальчиков служат соперничество и инструментальные аспекты конкретного предмета. Девочки лучше учатся в обстановке сотрудничества. Согласно ПМОУ, девочки гораздо ниже оценивают свои математические способности, чем мальчики. Исследователи выяснили, что уверенность мальчиков в собственных силах на уровне начальной и неполной средней школы с возрастом повышается. Результаты анализа, проведенного Норвежским институтом изучения инноваций, научных исследований и обучения, показывают, что девочки должны получить оценку по меньшей мере на полбалла выше, чем мальчики, прежде чем они поверят в то, что обладают хорошими математическими способностями.</w:t>
      </w:r>
    </w:p>
    <w:p w:rsidR="003E3ADF" w:rsidRDefault="003E3ADF">
      <w:pPr>
        <w:ind w:left="709"/>
        <w:rPr>
          <w:i/>
        </w:rPr>
      </w:pPr>
      <w:r>
        <w:rPr>
          <w:i/>
        </w:rPr>
        <w:t xml:space="preserve">Международное исследование тенденций в области обучения </w:t>
      </w:r>
      <w:r>
        <w:rPr>
          <w:i/>
          <w:iCs/>
        </w:rPr>
        <w:t>математике</w:t>
      </w:r>
      <w:r>
        <w:rPr>
          <w:i/>
        </w:rPr>
        <w:t xml:space="preserve"> и естественным наукам</w:t>
      </w:r>
    </w:p>
    <w:p w:rsidR="003E3ADF" w:rsidRDefault="003E3ADF">
      <w:pPr>
        <w:ind w:left="709"/>
      </w:pPr>
      <w:r>
        <w:rPr>
          <w:iCs/>
        </w:rPr>
        <w:t xml:space="preserve">Международное исследование </w:t>
      </w:r>
      <w:r>
        <w:t>тенденции в области обучения математике и естественным наукам (ТИММС) представляет собой международное обследование, проводимое под эгидой Международной ассоциации оценки образования. Норвегия принимала участие в ТИММС в 1995 и 2003 годах. Главная цель данного обследования состоит в том, чтобы выяснить, какие факторы лучше всего способствуют обучению математике и естественным наукам. В 2003 году в ходе обследования было установлено, что девочки лучше всего воспринимают естественные науки в четвертом классе, а мальчики – в восьмом классе. В то время как гендерные различия в успеваемости в целом являются незначительными, между различными предметами наблюдаются более существенные гендерные различия, особенно в восьмом классе школы.</w:t>
      </w:r>
    </w:p>
    <w:p w:rsidR="003E3ADF" w:rsidRDefault="003E3ADF">
      <w:pPr>
        <w:keepNext/>
        <w:ind w:left="709"/>
        <w:rPr>
          <w:i/>
        </w:rPr>
      </w:pPr>
      <w:r>
        <w:rPr>
          <w:i/>
        </w:rPr>
        <w:t>Показатели успеваемости</w:t>
      </w:r>
    </w:p>
    <w:p w:rsidR="003E3ADF" w:rsidRDefault="003E3ADF">
      <w:pPr>
        <w:ind w:left="709"/>
      </w:pPr>
      <w:r>
        <w:t>Норвежские власти публикуют итоговые оценки, получаемые норвежскими учащимися в средней школе младшей и старшей ступеней, с 2002 года. Они включают как экзаменационные оценки, так и оценки, поставленные за работу, выполненную в классе. Статистические данные по средней школе младшей ступени за 2004 год свидетельствуют о том, что между оценками девочек и мальчиков наблюдаются заметные различия. Это относится как к результатам выпускных экзаменов, так и к оценкам, получаемым за классные работы. Результаты анализа успеваемости в начальной школе и средней школе младшей и старшей ступеней в Норвегии, проведенного Управлением образования в 2004 году, показывают, что различия в оценках между учащимися во многом объясняются уровнем образования родителей и положением семьи.</w:t>
      </w:r>
    </w:p>
    <w:p w:rsidR="003E3ADF" w:rsidRDefault="003E3ADF">
      <w:pPr>
        <w:ind w:left="709"/>
      </w:pPr>
      <w:r>
        <w:t>Гендерные различия являются не столь значительными, но устойчивыми. В средней школе младшей ступени девочки получают более высокие оценки, чем мальчики, по всем предметам, кроме физического воспитания. Учащиеся-иммигранты получают несколько более низкие по сравнению с этническими норвежцами оценки. В 2004 году девочки получили более высокие средние итоговые оценки, чем мальчики, по шести предметам из семи. Только на выпускном экзамене по математике девочки и мальчики показали одинаковые результаты. У девочек были более высокие, чем у мальчиков, оценки за классную работу по всем предметам, кроме физического воспитания.</w:t>
      </w:r>
    </w:p>
    <w:p w:rsidR="003E3ADF" w:rsidRDefault="003E3ADF">
      <w:pPr>
        <w:keepNext/>
        <w:ind w:left="709"/>
        <w:rPr>
          <w:b/>
          <w:bCs/>
        </w:rPr>
      </w:pPr>
      <w:r>
        <w:rPr>
          <w:b/>
          <w:bCs/>
        </w:rPr>
        <w:t>Стратегии по обеспечению большего учета гендерного фактора в системе начального, младшего среднего и старшего среднего образования</w:t>
      </w:r>
    </w:p>
    <w:p w:rsidR="003E3ADF" w:rsidRDefault="003E3ADF">
      <w:pPr>
        <w:ind w:left="709"/>
      </w:pPr>
      <w:r>
        <w:t>В 2001 году Министерство образования и научных исследований выпустило брошюру под названием "Симпатичные и привлекательные". В брошюре содержится информация по вопросу о гендерном равенстве и приводятся примеры того, как гендерный фактор может учитываться в различных предметах и областях. Авторы брошюры также настоятельно призывают школы принять надлежащие меры. Эта брошюра была задумана как руководство по обеспечению учета гендерного фактора в начальной школе и средней школе младшей ступени. Директора всех норвежских школ несут ответственность за то, чтобы работе по обеспеч</w:t>
      </w:r>
      <w:r>
        <w:t>е</w:t>
      </w:r>
      <w:r>
        <w:t>нию гендерного равенства в школах уделялось приоритетное внимание.</w:t>
      </w:r>
    </w:p>
    <w:p w:rsidR="003E3ADF" w:rsidRDefault="003E3ADF">
      <w:pPr>
        <w:ind w:left="709"/>
      </w:pPr>
      <w:r>
        <w:t>В последние годы был издан ряд других брошюр и руководств:</w:t>
      </w:r>
    </w:p>
    <w:p w:rsidR="003E3ADF" w:rsidRDefault="003E3ADF">
      <w:pPr>
        <w:ind w:left="1191" w:hanging="482"/>
      </w:pPr>
      <w:r>
        <w:sym w:font="Symbol" w:char="F0B7"/>
      </w:r>
      <w:r>
        <w:tab/>
        <w:t>Бывший Норвежский совет по вопросам образования (в настоящее время Управление образ</w:t>
      </w:r>
      <w:r>
        <w:t>о</w:t>
      </w:r>
      <w:r>
        <w:t>вания) и бывший Центр по вопросам равенства полов (в настоящее время Омбудсмен по вопросам гендерного раве</w:t>
      </w:r>
      <w:r>
        <w:t>н</w:t>
      </w:r>
      <w:r>
        <w:t>ства и запрета дискриминации) совместно выпустили брошюру под названием "Молодежь, фильмы и секс. Спр</w:t>
      </w:r>
      <w:r>
        <w:t>а</w:t>
      </w:r>
      <w:r>
        <w:t>вочник для учителей по вопросам гендерного равенства", адаптированную к среднему уровню, а также к уровням средней школы младшей и старшей ступеней. Эта брошюра, в которой особое внимание обращ</w:t>
      </w:r>
      <w:r>
        <w:t>е</w:t>
      </w:r>
      <w:r>
        <w:t>но на гендерные роли и связанные с этим дискуссии, была издана в августе 2003 года вместе с пособием для учителей. Цель данного материала состоит в том, чтобы ознакомить учащихся с ролевыми моделями, предо</w:t>
      </w:r>
      <w:r>
        <w:t>с</w:t>
      </w:r>
      <w:r>
        <w:t>тавить учителям практические методические инструменты для достижения этой цели и развить некот</w:t>
      </w:r>
      <w:r>
        <w:t>о</w:t>
      </w:r>
      <w:r>
        <w:t>рые темы, фигурирующие в брошюре под названием "Симпатичные и привлекательные".</w:t>
      </w:r>
    </w:p>
    <w:p w:rsidR="003E3ADF" w:rsidRDefault="003E3ADF">
      <w:pPr>
        <w:ind w:left="1191" w:hanging="482"/>
      </w:pPr>
      <w:r>
        <w:sym w:font="Symbol" w:char="F0B7"/>
      </w:r>
      <w:r>
        <w:tab/>
        <w:t>По просьбе Министерства здравоохранения и социальных дел и в сотрудничестве с Министе</w:t>
      </w:r>
      <w:r>
        <w:t>р</w:t>
      </w:r>
      <w:r>
        <w:t>ством образования, научных исследований и по делам церкви Норвежский совет по вопросам образования в 2001 году опубликовал книгу под названием "Партнерство и сексуальность. Пособие для учителей". Цель данной книги состояла в том, чтобы повысить уровень знаний учителей средней школы младшей ступени и медицинского персонала, с тем чтобы они могли вести с молодежью просветительскую работу по вопросам, к</w:t>
      </w:r>
      <w:r>
        <w:t>а</w:t>
      </w:r>
      <w:r>
        <w:t>сающимся сексуальных отношений, сексуальности и использования противозачаточных средств.</w:t>
      </w:r>
    </w:p>
    <w:p w:rsidR="003E3ADF" w:rsidRDefault="003E3ADF">
      <w:pPr>
        <w:ind w:left="1191" w:hanging="482"/>
      </w:pPr>
      <w:r>
        <w:sym w:font="Symbol" w:char="F0B7"/>
      </w:r>
      <w:r>
        <w:tab/>
        <w:t>В развитие результатов проекта под названием "Сознательный выбор предметов для изучения", осуществл</w:t>
      </w:r>
      <w:r>
        <w:t>е</w:t>
      </w:r>
      <w:r>
        <w:t>ние которого завершилось в 2000 году, Норвежский совет по вопросам образования подготовил руководство по консультированию по вопросам образования и профессиональному консультир</w:t>
      </w:r>
      <w:r>
        <w:t>о</w:t>
      </w:r>
      <w:r>
        <w:t>ванию для консультантов в средней школе младшей и старшей ступеней. Цель данного проекта состояла в том, чтобы поощрить молодых людей к выбору менее традиционных предметов для изучения.</w:t>
      </w:r>
    </w:p>
    <w:p w:rsidR="003E3ADF" w:rsidRDefault="003E3ADF">
      <w:pPr>
        <w:ind w:left="709"/>
        <w:rPr>
          <w:lang/>
        </w:rPr>
      </w:pPr>
      <w:r>
        <w:rPr>
          <w:lang/>
        </w:rPr>
        <w:t>В целях обеспечения большего учета гендерного фактора Министерство образования и научных иссл</w:t>
      </w:r>
      <w:r>
        <w:rPr>
          <w:lang/>
        </w:rPr>
        <w:t>е</w:t>
      </w:r>
      <w:r>
        <w:rPr>
          <w:lang/>
        </w:rPr>
        <w:t xml:space="preserve">дований обратилось к Управлению образования с просьбой разработать стратегию по улучшению гендерного баланса в сфере образования, опираясь на современные знания и результаты исследований причин выбора юношами и девушками тех или иных изучаемых предметов и специальностей. Эта стратегия будет также рассматриваться совместно с другими важными целями политики в области образования, такими как привлечение к изучению научных дисциплин, привлечение мужчин к работе в детских дошкольных учреждениях, преподаванию </w:t>
      </w:r>
      <w:r>
        <w:rPr>
          <w:lang/>
        </w:rPr>
        <w:br/>
        <w:t>и т.</w:t>
      </w:r>
      <w:r>
        <w:t> </w:t>
      </w:r>
      <w:r>
        <w:rPr>
          <w:lang/>
        </w:rPr>
        <w:t>д. Разработку данной стратегии планируется завершить в 2006 году, и она будет включать в себя ряд практических мер.</w:t>
      </w:r>
    </w:p>
    <w:p w:rsidR="003E3ADF" w:rsidRDefault="003E3ADF">
      <w:pPr>
        <w:ind w:left="709"/>
        <w:rPr>
          <w:lang/>
        </w:rPr>
      </w:pPr>
      <w:r>
        <w:rPr>
          <w:lang/>
        </w:rPr>
        <w:t>Министерство образования и научных исследований также приступило к осуществлению программы по привлечению учащихся к изучению математики и естественных наук под названием "Математика и естественные науки как естественный выбор – стратегия по повышению авторитета математики и естестве</w:t>
      </w:r>
      <w:r>
        <w:rPr>
          <w:lang/>
        </w:rPr>
        <w:t>н</w:t>
      </w:r>
      <w:r>
        <w:rPr>
          <w:lang/>
        </w:rPr>
        <w:t>ных наук в период 2002–2007</w:t>
      </w:r>
      <w:r>
        <w:t> </w:t>
      </w:r>
      <w:r>
        <w:rPr>
          <w:lang/>
        </w:rPr>
        <w:t>годов". Данная стратегия в настоящее время пересматривается, и в ней планируется сделать больший упор на привлечение девочек к изучению указанных предметов. В этом процессе принимают участие несколько национальных центров, включая Математический центр – наци</w:t>
      </w:r>
      <w:r>
        <w:rPr>
          <w:lang/>
        </w:rPr>
        <w:t>о</w:t>
      </w:r>
      <w:r>
        <w:rPr>
          <w:lang/>
        </w:rPr>
        <w:t>нальный центр по математике как предмету изучения и Центр "Ринейт" – национальный центр сотруднич</w:t>
      </w:r>
      <w:r>
        <w:rPr>
          <w:lang/>
        </w:rPr>
        <w:t>е</w:t>
      </w:r>
      <w:r>
        <w:rPr>
          <w:lang/>
        </w:rPr>
        <w:t>ства с деловыми кругами и промышленными предприятиями, который занимается вопросами повышения интереса учащихся к изучению математики и естественных наук. Эти центры уделяют особое внимание усилиям по повышению интереса девочек и женщин к перечисленным предметам. Одна из задач центров состоит в том, чтобы добиться увеличения числа женщин, останавливающих свой выбор на изучении математики, естественных наук и технических дисциплин и связанных с ними специальностях.</w:t>
      </w:r>
    </w:p>
    <w:p w:rsidR="003E3ADF" w:rsidRDefault="003E3ADF">
      <w:pPr>
        <w:ind w:left="709"/>
        <w:rPr>
          <w:b/>
          <w:bCs/>
        </w:rPr>
      </w:pPr>
      <w:r>
        <w:rPr>
          <w:b/>
          <w:bCs/>
        </w:rPr>
        <w:t>Привлечение мужчин к работе в детских дошкольных учреждениях и школах</w:t>
      </w:r>
    </w:p>
    <w:p w:rsidR="003E3ADF" w:rsidRDefault="003E3ADF">
      <w:pPr>
        <w:ind w:left="709"/>
        <w:rPr>
          <w:lang/>
        </w:rPr>
      </w:pPr>
      <w:r>
        <w:rPr>
          <w:lang/>
        </w:rPr>
        <w:t>Система образования обязана предоставлять комплекс различных услуг. И мальчики, и девочки в детс</w:t>
      </w:r>
      <w:r>
        <w:rPr>
          <w:lang/>
        </w:rPr>
        <w:t>т</w:t>
      </w:r>
      <w:r>
        <w:rPr>
          <w:lang/>
        </w:rPr>
        <w:t>ве должны общаться со взрослыми обоих полов. По данным Статистического управления Норвегии, каждые 7 из 10</w:t>
      </w:r>
      <w:r>
        <w:t> </w:t>
      </w:r>
      <w:r>
        <w:rPr>
          <w:lang/>
        </w:rPr>
        <w:t>учителей в Норвегии являются женщинами. Соответственно, ощущается большой дефицит учителей-мужчин. Вместе с тем на более высоких ступенях системы образования мужчин гораздо больше.</w:t>
      </w:r>
    </w:p>
    <w:p w:rsidR="003E3ADF" w:rsidRDefault="003E3ADF">
      <w:pPr>
        <w:ind w:left="709"/>
        <w:rPr>
          <w:lang/>
        </w:rPr>
      </w:pPr>
      <w:r>
        <w:rPr>
          <w:lang/>
        </w:rPr>
        <w:t>Привлечение на работу большего числа мужчин было одним из компонентов кампании, организованной Министерством образования и научных исследований в 2002</w:t>
      </w:r>
      <w:r>
        <w:t> </w:t>
      </w:r>
      <w:r>
        <w:rPr>
          <w:lang/>
        </w:rPr>
        <w:t>году. В 2003</w:t>
      </w:r>
      <w:r>
        <w:t> </w:t>
      </w:r>
      <w:r>
        <w:rPr>
          <w:lang/>
        </w:rPr>
        <w:t xml:space="preserve">году министерство также опубликовало доклад специального семинара по вопросам гендерного равенства в области образования и научных исследований. На основе данного семинара был создан веб-сайт по адресу: </w:t>
      </w:r>
      <w:hyperlink r:id="rId15" w:history="1">
        <w:r>
          <w:rPr>
            <w:rStyle w:val="Hyperlink"/>
            <w:color w:val="auto"/>
          </w:rPr>
          <w:t>www</w:t>
        </w:r>
        <w:r>
          <w:rPr>
            <w:rStyle w:val="Hyperlink"/>
            <w:color w:val="auto"/>
            <w:lang/>
          </w:rPr>
          <w:t>.</w:t>
        </w:r>
        <w:r>
          <w:rPr>
            <w:rStyle w:val="Hyperlink"/>
            <w:color w:val="auto"/>
          </w:rPr>
          <w:t>menniskolen</w:t>
        </w:r>
        <w:r>
          <w:rPr>
            <w:rStyle w:val="Hyperlink"/>
            <w:color w:val="auto"/>
            <w:lang/>
          </w:rPr>
          <w:t>.</w:t>
        </w:r>
        <w:r>
          <w:rPr>
            <w:rStyle w:val="Hyperlink"/>
            <w:color w:val="auto"/>
          </w:rPr>
          <w:t>no</w:t>
        </w:r>
      </w:hyperlink>
      <w:r>
        <w:rPr>
          <w:lang/>
        </w:rPr>
        <w:t>, и был опубликован доклад об отсутствии мужчин в школах и трудных мальчиках-подростках.</w:t>
      </w:r>
    </w:p>
    <w:p w:rsidR="003E3ADF" w:rsidRDefault="003E3ADF">
      <w:pPr>
        <w:ind w:left="709"/>
      </w:pPr>
      <w:r>
        <w:t>Министерство по делам детей и равенства также разработало План действий по обеспечению гендерн</w:t>
      </w:r>
      <w:r>
        <w:t>о</w:t>
      </w:r>
      <w:r>
        <w:t>го равенства в детских дошкольных учреждениях на 2004–2007 годы. Цель данного Плана действий – обеспечить, чтобы 20 процентов работников норвежских детских дошкольных учреждений составляли мужчины. Согласно статистическим данным, в последние годы (с 2002 по 2004 год) доля мужчин увеличилась всего лишь с 7 до 8 процентов. Вместе с тем все большее число мужчин поступает на курсы подготовки воспитателей дошкольных учреждений. В 2004 году 13 процентов учащихся таких курсов были лицами мужского пола. Тем не менее имеющиеся данные свидетельствуют о том, что лишь половина мужчин, поступающих на курсы подготовки воспитателей дошкольных учреждений, оканчивают эти курсы. По мнению исследователей, главная причина кроется в отсутствии признания со стороны общества и профессиональной гордости.</w:t>
      </w:r>
    </w:p>
    <w:p w:rsidR="003E3ADF" w:rsidRDefault="003E3ADF">
      <w:pPr>
        <w:keepNext/>
        <w:ind w:left="709"/>
        <w:rPr>
          <w:i/>
        </w:rPr>
      </w:pPr>
      <w:r>
        <w:rPr>
          <w:i/>
        </w:rPr>
        <w:t>Мужчины как индикатор качества работы детских дошкольных учреждений</w:t>
      </w:r>
    </w:p>
    <w:p w:rsidR="003E3ADF" w:rsidRDefault="003E3ADF">
      <w:pPr>
        <w:ind w:left="709"/>
      </w:pPr>
      <w:r>
        <w:t>На 10 крупнейших муниципалитетов Норвегии, которые объединены в Сеть эффективных сетей АССС, приходится примерно треть всего населения страны. В июне 2006 года власти этих муниципалитетов утвердили 5 общих показателей муниципального качества. Одним из таких показателей является "доля мужчин, участвующих в основной работе во всех частных и муниципальных детских дошкольных учрежд</w:t>
      </w:r>
      <w:r>
        <w:t>е</w:t>
      </w:r>
      <w:r>
        <w:t>ниях". Согласно имеющемуся плану, муниципалитеты будут отчитываться о достигнутых в этой области результатах начиная с 2007 года. Данные будут собираться из годовых отчетов муниципалитетов и КОСТРА. Это меры, принимаемые в связи с Планом действий по обеспечению гендерного равенства, разработанным Министерством по делам детей и равенства, исходя из убежденности муниципалитетов в том, что разнообр</w:t>
      </w:r>
      <w:r>
        <w:t>а</w:t>
      </w:r>
      <w:r>
        <w:t>зие и гендерное равенство имеют большое значение для качества работы детских дошкольных учреждений.</w:t>
      </w:r>
    </w:p>
    <w:p w:rsidR="003E3ADF" w:rsidRDefault="003E3ADF">
      <w:pPr>
        <w:ind w:left="709"/>
        <w:rPr>
          <w:b/>
          <w:bCs/>
        </w:rPr>
      </w:pPr>
      <w:r>
        <w:rPr>
          <w:b/>
          <w:bCs/>
        </w:rPr>
        <w:t>Университеты и колледжи</w:t>
      </w:r>
    </w:p>
    <w:p w:rsidR="003E3ADF" w:rsidRDefault="003E3ADF">
      <w:pPr>
        <w:ind w:left="709"/>
      </w:pPr>
      <w:r>
        <w:t>В 2004 году женщины составляли немногим менее 60 процентов от общего зарегистрированного числа ст</w:t>
      </w:r>
      <w:r>
        <w:t>у</w:t>
      </w:r>
      <w:r>
        <w:t>дентов норвежских университетов и колледжей. С момента представления предыдущего доклада ситуация не изменилась. В рамках норвежской системы образования наблюдается резкое деление по полу, другими словами, в выборе учащимися предметов для изучения наблюдаются четкие гендерные различия. Женщины в избытке представлены на факультетах, на которых изучают вопросы воспитания и обучения, а мужчины составляют большинство среди учащихся, выбравших для изучения технические дисциплины. Наибольший гендерный дисбаланс наблюдается на медицинских факультетах. Так, например, на курсах медицинских сестер 89 процентов учащихся составляют лица женского пола (2004 год). Среди связанных с медициной предметов наименьшие различия наблюдаются по такому предмету, как медицинские исследования, где доля мужчин среди учащихся составляет около 40 процентов. В 2004 году мужчины стали активнее поступать на медицинские факультеты, чем в 2002 году. Доля мужчин также несколько повысилась среди учащихся факультетов по подготовке учителей и воспитателей дошкольных учреждений, хотя женщины по-прежнему обладают здесь значительным численным превосходством над мужчинами. С другой стороны, мужчины составляют значительное большинство среди учащихся технических факультетов. Доля женщин, обуча</w:t>
      </w:r>
      <w:r>
        <w:t>ю</w:t>
      </w:r>
      <w:r>
        <w:t>щихся на факультетах машиностроения, снизилась с 17 процентов в 2002 году до 15 процентов в 2005 году.</w:t>
      </w:r>
    </w:p>
    <w:p w:rsidR="003E3ADF" w:rsidRDefault="003E3ADF">
      <w:pPr>
        <w:keepNext/>
        <w:ind w:left="709"/>
        <w:rPr>
          <w:i/>
        </w:rPr>
      </w:pPr>
      <w:r>
        <w:rPr>
          <w:i/>
        </w:rPr>
        <w:t>Стратегия правительства по поощрению выбора нетрадиционной области образования</w:t>
      </w:r>
    </w:p>
    <w:p w:rsidR="003E3ADF" w:rsidRDefault="003E3ADF">
      <w:pPr>
        <w:ind w:left="709"/>
      </w:pPr>
      <w:r>
        <w:t>При оценке знаний учащихся во время поступления в высшие учебные заведения абитуриентам того пола, который в данной профессии оказывается в явном численном меньшинстве, могут начисляться дополнительные баллы. С 1 января 2005 года дополнительные баллы начисляются абитуриентам женского пола, желающим поступить на факультеты машиностроения и информатики, в сельскохозяйственные колледжи или колледжи по морским специальностям. Аналогичным образом, дополнительные баллы также начисляются абитуриентам мужского пола, желающим поступить на зоотехнические или ветеринарные факультеты. В особых обстоятельс</w:t>
      </w:r>
      <w:r>
        <w:t>т</w:t>
      </w:r>
      <w:r>
        <w:t>вах Министерству образования и исследований разрешено также вводить специальные квоты для отдельных курсов обучения. На данный момент такие квоты установлены в отношении абитуриентов женского пола, желающих стать слушателями двух конкретных курсов в области машиностроения и получить по их окончании степень магистра.</w:t>
      </w:r>
    </w:p>
    <w:p w:rsidR="003E3ADF" w:rsidRDefault="003E3ADF">
      <w:pPr>
        <w:keepNext/>
        <w:ind w:left="709"/>
        <w:rPr>
          <w:i/>
        </w:rPr>
      </w:pPr>
      <w:r>
        <w:rPr>
          <w:i/>
        </w:rPr>
        <w:t>Доля женщин на преподавательских должностях в высших учебных заведениях</w:t>
      </w:r>
    </w:p>
    <w:p w:rsidR="003E3ADF" w:rsidRDefault="003E3ADF">
      <w:pPr>
        <w:ind w:left="709"/>
      </w:pPr>
      <w:r>
        <w:t>В 1992 году доля женщин среди всех лиц, имеющих докторскую степень, составляла лишь 21 процент. В 1996 году этот показатель вырос до 34 процентов, а в 2000 году – до 35 процентов общего числа лиц, имеющих докторскую степень. В 2002 году доля женщин существенно повысилась до 40 процентов и в дальнейшем стабилизировалась на этом уровне. В настоящее время среди докторов наук в таких областях, как общественные науки, гуманитарные науки, сельское хозяйство, ветеринария и медицина, установился относительный гендерный баланс. Положительные сдвиги наметились в области математики, естественных наук и технологий, хотя в сфере технологий ситуация выглядит несколько менее благополучной.</w:t>
      </w:r>
    </w:p>
    <w:p w:rsidR="003E3ADF" w:rsidRDefault="003E3ADF">
      <w:pPr>
        <w:ind w:left="709"/>
      </w:pPr>
      <w:r>
        <w:t>За период 1995–2004 годов доля женщин, получивших докторскую степень в области общественных наук, увеличилась с 29 до 49 процентов, в области математики/естественных наук – с 27 до 34 процентов, в области технических наук – с 21 до 24 процентов, в области медицины – с 38 до 41 процента и в области сельского хозяйства/ветеринарии – с 44 до 62 процентов. За тот же период доля женщин, получивших степень доктора в области гуманитарных наук, снизилась на 1 процент – с 39 до 38 процентов.</w:t>
      </w:r>
    </w:p>
    <w:p w:rsidR="003E3ADF" w:rsidRDefault="003E3ADF">
      <w:pPr>
        <w:ind w:left="709"/>
      </w:pPr>
      <w:r>
        <w:t>В 2004 году женщины составляли лишь 16 процентов от общего числа лиц, назначенных на должности пр</w:t>
      </w:r>
      <w:r>
        <w:t>о</w:t>
      </w:r>
      <w:r>
        <w:t>фессоров (старшие преподавательские должности). Их доля увеличилась с 13 процентов в 2001 году до 15 процентов в 2002 году. В период с 2003 по 2004 год доля женщин-профессоров оставалась неизменной.</w:t>
      </w:r>
    </w:p>
    <w:p w:rsidR="003E3ADF" w:rsidRDefault="003E3ADF">
      <w:pPr>
        <w:ind w:left="709"/>
        <w:rPr>
          <w:i/>
        </w:rPr>
      </w:pPr>
      <w:r>
        <w:rPr>
          <w:i/>
        </w:rPr>
        <w:t>Стратегия правительства по увеличению числа женщин на старших преподавательских должностях в высших учебных заведениях</w:t>
      </w:r>
    </w:p>
    <w:p w:rsidR="003E3ADF" w:rsidRDefault="003E3ADF">
      <w:pPr>
        <w:ind w:left="709"/>
      </w:pPr>
      <w:r>
        <w:t>Соотношение мужчин и женщин на старших преподавательских должностях в высших учебных завед</w:t>
      </w:r>
      <w:r>
        <w:t>е</w:t>
      </w:r>
      <w:r>
        <w:t>ниях улучшается медленнее, чем хотелось бы. Поэтому от университетов и государственных колледжей требуется разработать планы действий по обеспечению гендерного равенства, включающие целевые показатели в области соотношения полов, а также меры по достижению этих целевых показателей. В рамках реформы системы образования, известной под названием "реформа качества", на высшие учебные заведения возлагается бóльшая и более конкретная ответственность за стратегическое планирование и конечные результаты. Таким образом, учебные заведения сами разрабатывают различные меры по обеспечению гендерного равенства, исходя из собственного профиля, потребностей и общих руководящих принципов. Министерство образования и исследов</w:t>
      </w:r>
      <w:r>
        <w:t>а</w:t>
      </w:r>
      <w:r>
        <w:t>ний следит за развитием ситуации путем рассмотрения представля</w:t>
      </w:r>
      <w:r>
        <w:t>е</w:t>
      </w:r>
      <w:r>
        <w:t>мых ими докладов в связи с заседаниями по бюджетным и административным вопросам, проводимым при участии представителей соответствующих заведений. В письмах, уведомляющих о выделенных университ</w:t>
      </w:r>
      <w:r>
        <w:t>е</w:t>
      </w:r>
      <w:r>
        <w:t>там и колледжам ассигнованиях, в пункте о целях указывается, что эти учебные заведения должны прилагать усилия для обеспечения того, чтобы сектор труда в будущем стал менее сегрегированным по признаку пола, путем принятия мер, связанных с набором студентов, и проведения соответствующей кадровой политики.</w:t>
      </w:r>
    </w:p>
    <w:p w:rsidR="003E3ADF" w:rsidRDefault="003E3ADF">
      <w:pPr>
        <w:ind w:left="709"/>
      </w:pPr>
      <w:r>
        <w:t>В целях обеспечения более справедливого гендерного соотношения некоторые профессорские должн</w:t>
      </w:r>
      <w:r>
        <w:t>о</w:t>
      </w:r>
      <w:r>
        <w:t>сти были закреплены за женщинами. В 2001 и 2002 годах были выделены бюджетные ассигнования для финансиров</w:t>
      </w:r>
      <w:r>
        <w:t>а</w:t>
      </w:r>
      <w:r>
        <w:t>ния 30 новых профессорских должностей, специально созданных для женщин. В своем решении, вынесенном 24 января 2003 года, Суд ЕАСТ постановил, что данная мера противоречит соглашению о Европейском экономич</w:t>
      </w:r>
      <w:r>
        <w:t>е</w:t>
      </w:r>
      <w:r>
        <w:t>ском пространстве. В результате практика создания целевых должностей прекратилась.</w:t>
      </w:r>
    </w:p>
    <w:p w:rsidR="003E3ADF" w:rsidRDefault="003E3ADF">
      <w:pPr>
        <w:ind w:left="709"/>
      </w:pPr>
      <w:r>
        <w:t>Для того чтобы улучшить ситуацию с набором на старшие преподавательские должности, в университ</w:t>
      </w:r>
      <w:r>
        <w:t>е</w:t>
      </w:r>
      <w:r>
        <w:t>тах и колледжах были созданы специальные постдокторские должности. Доля женщин на постдокторских должностях увеличилась с 34 процентов в 1994 году до 45 процентов в 1996 году. В 2003 году она возросла до 49 процентов, однако в 2004 году снизилась до уровня 1996 года, когда она равнялась 45 процентам.</w:t>
      </w:r>
    </w:p>
    <w:p w:rsidR="003E3ADF" w:rsidRDefault="003E3ADF">
      <w:pPr>
        <w:keepNext/>
        <w:ind w:left="709"/>
        <w:rPr>
          <w:b/>
          <w:bCs/>
        </w:rPr>
      </w:pPr>
      <w:r>
        <w:rPr>
          <w:b/>
          <w:bCs/>
        </w:rPr>
        <w:t>Научно-исследовательская деятельность</w:t>
      </w:r>
    </w:p>
    <w:p w:rsidR="003E3ADF" w:rsidRDefault="003E3ADF">
      <w:pPr>
        <w:ind w:left="709"/>
      </w:pPr>
      <w:r>
        <w:t>В настоящее время в области научно-исследовательской деятельности Норвегия столкнулась с двумя пробл</w:t>
      </w:r>
      <w:r>
        <w:t>е</w:t>
      </w:r>
      <w:r>
        <w:t>мами, касающимися гендерного равенства. Во-первых, женщины недостаточно широко представлены на научных должностях на всех уровнях в высших учебных заведениях, причем эта тенденция усиливается с каждым шагом вверх по иерархической лестнице. Вторая проблема связана с неравномерным соотношением мужчин и женщин в некоторых дисциплинах и секторах. В 2003 году лишь 6 процентов штатных научных сотрудников, занимающихся техническими дисциплинами, были женщинами. Для сравнения доля женщин среди штатных сотрудников в области гуманитарных наук составляет 36 процентов. На должностях в кадровой службе гендерное соотношение является более или менее равным. Среди научных исследователей, работающих в частном секторе, гендерное соотношение является менее сбалансированным, чем в других секторах.</w:t>
      </w:r>
    </w:p>
    <w:p w:rsidR="003E3ADF" w:rsidRDefault="003E3ADF">
      <w:pPr>
        <w:ind w:left="709"/>
      </w:pPr>
      <w:r>
        <w:t>Соотношение мужчин и женщин варьируется не только между различными секторами, но и между разли</w:t>
      </w:r>
      <w:r>
        <w:t>ч</w:t>
      </w:r>
      <w:r>
        <w:t>ными дисциплинами. Весной 2005 года в связи с обсуждением научного доклада под названием "Тяга к исследов</w:t>
      </w:r>
      <w:r>
        <w:t>а</w:t>
      </w:r>
      <w:r>
        <w:t>ниям" стортинг единогласно принял резолюцию для обеспечения особо благоприятных условий в областях энергетики и окружающей среды, морских исследований, продовольствия и здравоохранения. Эти области имеют огромное значение для норвежских деловых кругов и промышленности. Цель состоит в том, чтобы Норвегия приобрела особые знания и опыт в указанных областях. Стортинг также принял резолюцию, в которой упор был сделан на технологические области, такие как ИКТ, новые материалы, нанотехнологии и биотехнологии. Многие исследователи, которые будут работать во имя достижения этих целей, будут представлять факультеты математики, естественных наук и технологий. Как уже отмечалось выше, доля женщин на этих факультетах особенно мала. В 2003 году лишь 13 процентов исследователей в области математики и естественных наук в университетах Норвегии были женщинами. Среди специалистов, занимающихся техническими дисциплинами, доля женщин составляет 6 процентов. А доля женщин-профессоров по этим предметам еще ниже.</w:t>
      </w:r>
    </w:p>
    <w:p w:rsidR="003E3ADF" w:rsidRDefault="003E3ADF">
      <w:pPr>
        <w:ind w:left="709"/>
      </w:pPr>
      <w:r>
        <w:t>Для обеспечения того чтобы упор на отдельные тематические области не привел к еще большему наруш</w:t>
      </w:r>
      <w:r>
        <w:t>е</w:t>
      </w:r>
      <w:r>
        <w:t>нию гендерного баланса в рамках научно-исследовательской деятельности, необходимо приложить особые усилия для привлечения женщин к таким областям, как математика, естественные науки и технол</w:t>
      </w:r>
      <w:r>
        <w:t>о</w:t>
      </w:r>
      <w:r>
        <w:t>гии, и назначения их на более высокие должности.</w:t>
      </w:r>
    </w:p>
    <w:p w:rsidR="003E3ADF" w:rsidRDefault="003E3ADF">
      <w:pPr>
        <w:ind w:left="709"/>
      </w:pPr>
      <w:r>
        <w:t>В дополнение к особому упору на усиление научно-исследовательской деятельности в сферах частного пре</w:t>
      </w:r>
      <w:r>
        <w:t>д</w:t>
      </w:r>
      <w:r>
        <w:t xml:space="preserve">принимательства и промышленности, а также по научным дисциплинам все большее внимание уделяется управлению исследовательской деятельностью и интернационализации проводимой Норвегией политики в области научных исследований. В этих областях Норвегия также сталкивается с трудностями, связанными с обеспечением гендерного равенства. </w:t>
      </w:r>
    </w:p>
    <w:p w:rsidR="003E3ADF" w:rsidRDefault="003E3ADF">
      <w:pPr>
        <w:ind w:left="709"/>
      </w:pPr>
      <w:r>
        <w:t>Потребность в сотрудничестве между крупными группами исследователей усиливает необходимость в пр</w:t>
      </w:r>
      <w:r>
        <w:t>о</w:t>
      </w:r>
      <w:r>
        <w:t>фессиональном управлении, и наличие управленческого опыта будет приобретать все большее значение для карьерного роста исследователей. В связи с этим набор женщин в аппарат управления научно-исследовательской деятельностью будет являться одной из важнейших задач в ближайшие месяцы и годы.</w:t>
      </w:r>
    </w:p>
    <w:p w:rsidR="003E3ADF" w:rsidRDefault="003E3ADF">
      <w:pPr>
        <w:ind w:left="709"/>
      </w:pPr>
      <w:r>
        <w:t>В настоящее время ни один центр передовых научных исследований в стране не возглавляет женщина. Для того чтобы исправить данную ситуацию, Норвежский исследовательский совет провозгласил амбицио</w:t>
      </w:r>
      <w:r>
        <w:t>з</w:t>
      </w:r>
      <w:r>
        <w:t>ную цель обеспечения гендерного равенства в связи с объявлением о финансировании новых центров передовых научных исследований в 2006 году. Соискатели должны включить вопросы обеспечения гендерного равенства в процесс планирования деятельности новых центров и указать количественные целевые показатели в области гендерного равенства. Кроме того, Исследовательский совет будет выделять часть ежегодных ассигнований центрам для принятия мер по обеспечению гендерного равенства. Одним из примеров подобных мер является назначение женщин или поощрение женщин к выдвижению своих кандидатур на профессорские должности категории </w:t>
      </w:r>
      <w:r>
        <w:rPr>
          <w:lang w:val="en-US"/>
        </w:rPr>
        <w:t>II</w:t>
      </w:r>
      <w:r>
        <w:t>.</w:t>
      </w:r>
    </w:p>
    <w:p w:rsidR="003E3ADF" w:rsidRDefault="003E3ADF">
      <w:pPr>
        <w:ind w:left="709"/>
        <w:rPr>
          <w:i/>
        </w:rPr>
      </w:pPr>
      <w:r>
        <w:rPr>
          <w:i/>
        </w:rPr>
        <w:t>Комитет по мерам в отношении интеграции женщин в научно-исследовательскую деятельность</w:t>
      </w:r>
    </w:p>
    <w:p w:rsidR="003E3ADF" w:rsidRDefault="003E3ADF">
      <w:pPr>
        <w:spacing w:after="180"/>
        <w:ind w:left="709"/>
      </w:pPr>
      <w:r>
        <w:t>Для того чтобы активизировать реализацию мер по поощрению гендерного равенства в высших уче</w:t>
      </w:r>
      <w:r>
        <w:t>б</w:t>
      </w:r>
      <w:r>
        <w:t>ных заведениях, правительство в январе 2004 года создало комитет (на первоначальный трехлетний период) по содействию учету гендерного фактора в университетах и колледжах. Задача комитета состоит в том, чтобы поддерживать принимаемые меры и давать рекомендации, которые могут способствовать дальнейшему обеспеч</w:t>
      </w:r>
      <w:r>
        <w:t>е</w:t>
      </w:r>
      <w:r>
        <w:t>нию гендерного равенства в данном секторе. Такие рекомендации будут полезными для университетов и колледжей, Норвежского исследовательского совета и министерства. В 2004–2005 годах Комитет по мерам в отношении интеграции женщин в научно-исследовательскую деятельность уделял первоочередное внимание сбору информ</w:t>
      </w:r>
      <w:r>
        <w:t>а</w:t>
      </w:r>
      <w:r>
        <w:t>ции, созданию сетей и поощрению освещения средствами массовой информации вопросов гендерного равенства в научно-исследовательских учреждениях и высших учебных заведениях. Считается, что это имеет решающее значение для дальнейшей деятельности, которая запланирована на 2006 год. За время своего существования комитет провел совещания с политическим и административным руководством Министерства образования и исследований, руководителями университетов страны и консультантами по вопросам гендерного равенства, работающими в университетах. Комитет также установил контакты со всеми другими государственн</w:t>
      </w:r>
      <w:r>
        <w:t>ы</w:t>
      </w:r>
      <w:r>
        <w:t>ми и частными высшими учебными заведениями, Национальным советом по вопросам качества в области образования, Норвежским исследовательским советом и другими соответствующими органами. Помимо этого Комитет организовал ряд семинаров и конференций по данной теме и предоставил финансовые средства для выплаты стипендий кандидатам на соискание степени магистра по соответствующим дисциплинам.</w:t>
      </w:r>
    </w:p>
    <w:p w:rsidR="003E3ADF" w:rsidRDefault="003E3ADF">
      <w:pPr>
        <w:ind w:left="709"/>
      </w:pPr>
      <w:r>
        <w:t>Комитет также подготовил доклад под названием "Ситуация в области гендерного равенства и планы по его обеспечению в университетах и колледжах страны в 2004 году". В основе этого доклада лежат доклады всех государственных и частных высших учебных заведений, касающиеся нынешней ситуации и их планов по обеспечению дальнейшего учета гендерного фактора. Содержащийся в докладе материал является разрозненным и не является систематизированным или углубленным обзором ситуации в данном секторе. Учебные заведения приняли три критерия для обеспечения учета гендерного фактора:</w:t>
      </w:r>
    </w:p>
    <w:p w:rsidR="003E3ADF" w:rsidRDefault="003E3ADF">
      <w:pPr>
        <w:ind w:left="1191" w:hanging="482"/>
      </w:pPr>
      <w:r>
        <w:sym w:font="Symbol" w:char="F0B7"/>
      </w:r>
      <w:r>
        <w:tab/>
        <w:t>рассмотрение вопросов гендерного равенства в стратегических планах;</w:t>
      </w:r>
    </w:p>
    <w:p w:rsidR="003E3ADF" w:rsidRDefault="003E3ADF">
      <w:pPr>
        <w:ind w:left="1191" w:hanging="482"/>
      </w:pPr>
      <w:r>
        <w:sym w:font="Symbol" w:char="F0B7"/>
      </w:r>
      <w:r>
        <w:tab/>
        <w:t>планы действий по обеспечению гендерного равенства – понимание сути вопроса и прин</w:t>
      </w:r>
      <w:r>
        <w:t>и</w:t>
      </w:r>
      <w:r>
        <w:t>маемых мер;</w:t>
      </w:r>
    </w:p>
    <w:p w:rsidR="003E3ADF" w:rsidRDefault="003E3ADF">
      <w:pPr>
        <w:ind w:left="1191" w:hanging="482"/>
      </w:pPr>
      <w:r>
        <w:sym w:font="Symbol" w:char="F0B7"/>
      </w:r>
      <w:r>
        <w:tab/>
        <w:t>предоставление учебными заведениями докладов Комитету начиная с 2004 года относительно положения дел и стратегий.</w:t>
      </w:r>
    </w:p>
    <w:p w:rsidR="003E3ADF" w:rsidRDefault="003E3ADF">
      <w:pPr>
        <w:ind w:left="709"/>
      </w:pPr>
      <w:r>
        <w:t>Что касается учета вопросов гендерного равенства в рамках стратегического планирования, то подготовле</w:t>
      </w:r>
      <w:r>
        <w:t>н</w:t>
      </w:r>
      <w:r>
        <w:t>ные материалы демонстрируют наличие существенных различий. Если отдельно анализировать ситуацию в этой области в университетах, научных колледжах и государственных колледжах, то хуже всего дела обстоят в государственных колледжах. Лишь малая доля из них упоминает о вопросах гендерного равенства в своих стратегических планах. В случае упоминания о гендерном равенстве речь о нем идет только в контексте стратегий кадровой политики, и поэтому эти вопросы вряд ли можно считать составной частью общего стратегического планирования. В целом наибольший прогресс в деле обеспечения учета гендерного фактора в документах стратегического планирования, по-видимому, достигнут в университетском секторе.</w:t>
      </w:r>
    </w:p>
    <w:p w:rsidR="003E3ADF" w:rsidRDefault="003E3ADF">
      <w:pPr>
        <w:ind w:left="709"/>
      </w:pPr>
      <w:r>
        <w:t>Значительное большинство учебных заведений разработали собственные планы действий по обеспеч</w:t>
      </w:r>
      <w:r>
        <w:t>е</w:t>
      </w:r>
      <w:r>
        <w:t>нию гендерного равенства. Вместе с тем осуществление этих планов, в частности, зависит от того, как понимается и определяется равенство, на чем основывается деятельность по учету гендерного фактора и как широко определ</w:t>
      </w:r>
      <w:r>
        <w:t>я</w:t>
      </w:r>
      <w:r>
        <w:t>ются и насколько адекватными являются принимаемые меры. Важное значение в этой связи также приобретают вопросы, касающиеся целевых показателей, местных планов набора персонала, средств, выделяемых в этих учебных заведениях на цели обеспечения гендерного равенства, финансовых стимулов и других видов мер. Чаще всего перечисленные выше виды мер отсутствуют. Несмотря на наличие четко определенных целей в области обеспечения гендерного равенства, многим учебным заведениям явно недостает готовности реализовывать указанные меры и широты подхода. Тем не менее доклад показывает, что в последнее время в политике многих учебных заведений наметилось смещение акцента в сторону более конкретных целевых мер, таких как предоста</w:t>
      </w:r>
      <w:r>
        <w:t>в</w:t>
      </w:r>
      <w:r>
        <w:t>ление стипендий или освобождение учащихся женского пола от платы за обучение.</w:t>
      </w:r>
    </w:p>
    <w:p w:rsidR="003E3ADF" w:rsidRDefault="003E3ADF">
      <w:pPr>
        <w:ind w:left="709"/>
      </w:pPr>
      <w:r>
        <w:t>Как уже указывалось выше, планы по обеспечению учета гендерного фактора, включая специальные меры по вовлечению женщин в систему стипендий или принятию их на постдокторские должности, отличаются большим разнообразием. В целом в университетском секторе ситуация с обеспечением гендерного равенства выглядит несколько более однородной и благоприятной, чем в других секторах. Тем не менее даже между отдельными университетами наблюдаются существенные различия.</w:t>
      </w:r>
    </w:p>
    <w:p w:rsidR="003E3ADF" w:rsidRDefault="003E3ADF">
      <w:pPr>
        <w:ind w:left="709"/>
      </w:pPr>
      <w:r>
        <w:t>Другими словами, как представляется, этот сектор в целом еще не обладает стратегиями, в которых призн</w:t>
      </w:r>
      <w:r>
        <w:t>а</w:t>
      </w:r>
      <w:r>
        <w:t>валось бы, что учет гендерного фактора и, соответственно, обеспечение большего гендерного баланса способств</w:t>
      </w:r>
      <w:r>
        <w:t>у</w:t>
      </w:r>
      <w:r>
        <w:t>ют достижению общих стратегических целей данных учебных заведений. Вместе с тем, как уже указывалось ранее, доклад содержит явные признаки того, что такой подход начинает распространяться все шире и шире.</w:t>
      </w:r>
    </w:p>
    <w:p w:rsidR="003E3ADF" w:rsidRDefault="003E3ADF">
      <w:pPr>
        <w:ind w:left="709"/>
      </w:pPr>
      <w:r>
        <w:t>Упоминается также Закон о гендерном равенстве, в котором указывается, что мужчины могут пользоват</w:t>
      </w:r>
      <w:r>
        <w:t>ь</w:t>
      </w:r>
      <w:r>
        <w:t>ся особым отношением при поступлении в учебные заведения, в которых готовят учителей или воспитателей дошкольных учреждений, а также в тех дисциплинах, в которых мужчины недостаточно представлены. Министе</w:t>
      </w:r>
      <w:r>
        <w:t>р</w:t>
      </w:r>
      <w:r>
        <w:t>ство по делам детей и равенства также подготовило План действий по обеспечению гендерного равенства в детских дошкольных учреждениях на 2004–2007 годы, направленный на обеспечение того, чтобы доля мужчин среди воспитателей детских дошкольных учреждений в Норвегии составляла не менее 20 процентов. Таковы самые важные меры, принимаемые в рамках усилий по уменьшению сегрегации по признаку пола на рынке труда.</w:t>
      </w:r>
    </w:p>
    <w:p w:rsidR="003E3ADF" w:rsidRDefault="003E3ADF">
      <w:pPr>
        <w:ind w:left="709"/>
        <w:rPr>
          <w:i/>
        </w:rPr>
      </w:pPr>
      <w:r>
        <w:rPr>
          <w:i/>
        </w:rPr>
        <w:t>Исследования по проблемам женщин и гендерным вопросам</w:t>
      </w:r>
    </w:p>
    <w:p w:rsidR="003E3ADF" w:rsidRDefault="003E3ADF">
      <w:pPr>
        <w:ind w:left="709"/>
      </w:pPr>
      <w:r>
        <w:t>В Норвегии проводятся обширные исследования по женской и гендерной проблематике. Исследов</w:t>
      </w:r>
      <w:r>
        <w:t>а</w:t>
      </w:r>
      <w:r>
        <w:t>тельский центр по проблемам женщин и гендерным вопросам является крупнейшим учреждением по исследованию женской проблематики в Норвегии. Центр проводит исследования по различным дисциплинам и работает под непосредственным руководством Академического совета Университета Осло. Он был учрежден в 1986 году и с 1997 года действует на постоянной основе. Центр финансируется из бюджета Университета Осло и за счет средств внешних проектов. Его задача состоит в том, чтобы инициировать, стимулировать и проводить исследования по женской и гендерной проблематике, распространять информ</w:t>
      </w:r>
      <w:r>
        <w:t>а</w:t>
      </w:r>
      <w:r>
        <w:t>цию по этой теме, сотрудничать с аналогичными научно-исследовательскими учреждениями как на национальном, так и на международном уровне. Он задуман как форум для исследователей, работающих над проблемами женщин и гендерными вопросами, и студентов, занимающихся женской и гендерной проблематикой в рамках изучаемых ими дисциплин. Центр расположен в одном месте со Скандинавским исследовательским институтом по проблемам женщин и гендерным вопросам.</w:t>
      </w:r>
    </w:p>
    <w:p w:rsidR="003E3ADF" w:rsidRDefault="003E3ADF">
      <w:pPr>
        <w:ind w:left="709"/>
      </w:pPr>
      <w:r>
        <w:t>Материалы, касающиеся исследований в области женской и гендерной проблематики в Норвегии, размещ</w:t>
      </w:r>
      <w:r>
        <w:t>е</w:t>
      </w:r>
      <w:r>
        <w:t>ны на веб-сайте Центра информации и документации по женской и гендерной проблематике (</w:t>
      </w:r>
      <w:r>
        <w:rPr>
          <w:lang w:val="en-US"/>
        </w:rPr>
        <w:t>KILDEN</w:t>
      </w:r>
      <w:r>
        <w:t>) (</w:t>
      </w:r>
      <w:hyperlink r:id="rId16" w:history="1">
        <w:r>
          <w:rPr>
            <w:rStyle w:val="Hyperlink"/>
            <w:color w:val="auto"/>
            <w:lang w:val="en-GB"/>
          </w:rPr>
          <w:t>http</w:t>
        </w:r>
        <w:r>
          <w:rPr>
            <w:rStyle w:val="Hyperlink"/>
            <w:color w:val="auto"/>
          </w:rPr>
          <w:t>://</w:t>
        </w:r>
        <w:r>
          <w:rPr>
            <w:rStyle w:val="Hyperlink"/>
            <w:color w:val="auto"/>
            <w:lang w:val="en-GB"/>
          </w:rPr>
          <w:t>kilden</w:t>
        </w:r>
        <w:r>
          <w:rPr>
            <w:rStyle w:val="Hyperlink"/>
            <w:color w:val="auto"/>
          </w:rPr>
          <w:t>.</w:t>
        </w:r>
        <w:r>
          <w:rPr>
            <w:rStyle w:val="Hyperlink"/>
            <w:color w:val="auto"/>
            <w:lang w:val="en-GB"/>
          </w:rPr>
          <w:t>forskningsradet</w:t>
        </w:r>
        <w:r>
          <w:rPr>
            <w:rStyle w:val="Hyperlink"/>
            <w:color w:val="auto"/>
          </w:rPr>
          <w:t>.</w:t>
        </w:r>
        <w:r>
          <w:rPr>
            <w:rStyle w:val="Hyperlink"/>
            <w:color w:val="auto"/>
            <w:lang w:val="en-GB"/>
          </w:rPr>
          <w:t>no</w:t>
        </w:r>
        <w:r>
          <w:rPr>
            <w:rStyle w:val="Hyperlink"/>
            <w:color w:val="auto"/>
          </w:rPr>
          <w:t>/</w:t>
        </w:r>
      </w:hyperlink>
      <w:r>
        <w:t>) и публикации под названием "Журнал гендерных исследований".</w:t>
      </w:r>
    </w:p>
    <w:p w:rsidR="003E3ADF" w:rsidRDefault="003E3ADF">
      <w:pPr>
        <w:pStyle w:val="H1"/>
        <w:keepNext/>
        <w:ind w:left="709"/>
        <w:rPr>
          <w:spacing w:val="0"/>
          <w:w w:val="100"/>
          <w:sz w:val="22"/>
        </w:rPr>
      </w:pPr>
      <w:r>
        <w:rPr>
          <w:spacing w:val="0"/>
          <w:w w:val="100"/>
          <w:sz w:val="22"/>
        </w:rPr>
        <w:t>Вводная программа и курс обучения норвежскому языку и основам общественного устройства для недавно прибывших в страну взрослых иммигрантов</w:t>
      </w:r>
    </w:p>
    <w:p w:rsidR="003E3ADF" w:rsidRDefault="003E3ADF">
      <w:pPr>
        <w:ind w:left="709"/>
      </w:pPr>
      <w:r>
        <w:t>Норвегия считает, что для иммигрантов важно интегрироваться в норвежское общество. В связи с этим сто</w:t>
      </w:r>
      <w:r>
        <w:t>р</w:t>
      </w:r>
      <w:r>
        <w:t>тинг в июне 2003 года принял Закон, касающийся вводной программы для недавно прибывших в страну иммигрантов, учредив тем самым специальную систему для подготовки недавно прибывших иммигрантов и воссоединившихся с ними членов семей к участию в трудовой и общественной жизни. С 1 сентября 2003 года муниципалитетам, которые хотели этого, разрешалось применять данный закон в добровольном порядке, а с 1 сентября 2004 года этот закон стал обязательным для всех муниципалитетов по всей территории страны. Вводная программа представляет собой программу индивидуального очного обучения, которая длится в течение двух лет в зависимости от степени подготовки и способностей соответствующего лица. Закон распространяется на всех прибывших в страну беженцев в возрасте от 18 до 55 лет, которые нуждаются в базовых знаниях. Цель состоит в том, чтобы расширить возможности для участия недавно прибывших в страну иммигрантов в трудовой и общественной жизни и повысить степень их финансовой независимости. Участие в данной программе дает лицам право на получение фиксируемого, рассчитанного на индивидуальной основе начального пособия, а любое неоправданное отсутствие на занятиях приводит к автоматическому уменьшению размера этого пособия. Программа должна включать как минимум курс обучения норвежскому языку и основам общественного устройства, а также меры по подготовке обучаемых к участию в трудовой жизни.</w:t>
      </w:r>
    </w:p>
    <w:p w:rsidR="003E3ADF" w:rsidRDefault="003E3ADF">
      <w:pPr>
        <w:ind w:left="709"/>
      </w:pPr>
      <w:r>
        <w:t>Данный Закон распространяется как на женщин, так и на мужчин, хотя в ходе его подготовки и отмеч</w:t>
      </w:r>
      <w:r>
        <w:t>а</w:t>
      </w:r>
      <w:r>
        <w:t>лось, что Закон в первую очередь направлен на то, чтобы дать женщинам возможность участвовать в трудовой жизни. Введение правила, касающегося индивидуального порядка исчисления размера пособия, также направлено на то, чтобы способствовать повышению их финансовой независимости. Пособие выплачивается каждому человеку на индивидуальной основе, а не супругу (как правило, мужчине), как это имеет место в Норвегии в случае выплаты пособий по социальному обеспечению. Принцип индивидуального подхода считается крайне важным, особенно для обеспечения того, чтобы женщины продолжали принимать участие в программе даже в случае беременности или ухода за детьми.</w:t>
      </w:r>
    </w:p>
    <w:p w:rsidR="003E3ADF" w:rsidRDefault="003E3ADF">
      <w:pPr>
        <w:ind w:left="709"/>
      </w:pPr>
      <w:r>
        <w:t>В сотрудничестве с молодежной организацией под названием "Достижения молодежи – молодые предпр</w:t>
      </w:r>
      <w:r>
        <w:t>и</w:t>
      </w:r>
      <w:r>
        <w:t>ниматели Норвегии" Конфедерация норвежских деловых кругов и промышленных предприятий (</w:t>
      </w:r>
      <w:r>
        <w:rPr>
          <w:lang w:val="en-US"/>
        </w:rPr>
        <w:t>NHO</w:t>
      </w:r>
      <w:r>
        <w:t>) разработ</w:t>
      </w:r>
      <w:r>
        <w:t>а</w:t>
      </w:r>
      <w:r>
        <w:t>ла концепцию "вводного курса по управлению компанией" для использования в рамках муниц</w:t>
      </w:r>
      <w:r>
        <w:t>и</w:t>
      </w:r>
      <w:r>
        <w:t>пальной вводной программы. На практике в рамках этой программы некоторым женщинам-иммигрантам предоставлялась возможность проверить свои умения и навыки в качестве генерального директора компании. Центр образования для взрослых (</w:t>
      </w:r>
      <w:r>
        <w:rPr>
          <w:lang w:val="en-US"/>
        </w:rPr>
        <w:t>SEVO</w:t>
      </w:r>
      <w:r>
        <w:t>) в Тронхейме также апробировал концепцию "компании Альфа". Эта программа оказалась особенно полезной для женщин-иммигрантов, не имеющих даже базового образования.</w:t>
      </w:r>
    </w:p>
    <w:p w:rsidR="003E3ADF" w:rsidRDefault="003E3ADF">
      <w:pPr>
        <w:ind w:left="709"/>
      </w:pPr>
      <w:r>
        <w:t>Языковые навыки и умения являются одной из важных предпосылок для участия в общественной жизни страны. Поэтому с 1 сентября 2005 года закон предоставляет всем приезжающим в страну иммигрантам право и налагает на них обязанность посещать курсы обучения норвежскому языку и ознакомления с общественным устройством. Одна из важных причин, по которой этим курсам был придан статус обязател</w:t>
      </w:r>
      <w:r>
        <w:t>ь</w:t>
      </w:r>
      <w:r>
        <w:t>ных, связана с необходимостью обеспечения того, чтобы женщины-иммигранты получили подготовку по норвежскому языку. Иммигранты обязаны пройти курс обучения, рассчитанный на 300 часов, 250 из которых посвящены норвежскому языку, а 50 – основам общественного устройства. Помимо этих обязательных курсов обучения лица, нуждающи</w:t>
      </w:r>
      <w:r>
        <w:t>е</w:t>
      </w:r>
      <w:r>
        <w:t>ся в этом, могут прослушать курс языковой подготовки продолжительн</w:t>
      </w:r>
      <w:r>
        <w:t>о</w:t>
      </w:r>
      <w:r>
        <w:t>стью до 2700 часов. Каждый иммигрант должен пройти курс обучения длительностью 300 часов или доказать, что он или она обладает соответствующими языковыми навыками и умениями, прежде чем сможет получить разрешение на постоянное проживание в стране или норвежское гражданство.</w:t>
      </w:r>
    </w:p>
    <w:p w:rsidR="003E3ADF" w:rsidRDefault="003E3ADF">
      <w:pPr>
        <w:ind w:left="709"/>
      </w:pPr>
      <w:r>
        <w:t>Эта новая система применяется в отношении лиц, которым предоставлено убежище или разрешение на пр</w:t>
      </w:r>
      <w:r>
        <w:t>о</w:t>
      </w:r>
      <w:r>
        <w:t>живание по гуманитарным соображениям или соображениям коллективной защиты, а также в отношении воссоединяющихся с ними членов семей. Курс обязательного обучения, рассчитанный на 300 часов, необходимо пройти в течение первых трех лет пребывания в Норвегии, а полный курс обучения должен быть завершен в течение первых пяти лет пребывания в стране. Исключения в отношении этих временных рамок могут быть сделаны лишь в том случае, если будет доказано, что тот или иной человек был лишен возможн</w:t>
      </w:r>
      <w:r>
        <w:t>о</w:t>
      </w:r>
      <w:r>
        <w:t>сти посещать курсы вопреки его воле или не имел возможности делать это из-за того, что был крайне обременен обязанностями по уходу за другими членами семьи. В процессе подготовки Закона подчеркив</w:t>
      </w:r>
      <w:r>
        <w:t>а</w:t>
      </w:r>
      <w:r>
        <w:t>лось, что меры, призванные улучшить положение иммигрантов в целом, должны в равной степени распр</w:t>
      </w:r>
      <w:r>
        <w:t>о</w:t>
      </w:r>
      <w:r>
        <w:t>страняться на мужчин и женщин. Правом и/или обязанностью посещать курсы обучения норвежскому языку и основам общественного устройства обладает каждый человек независимо от пола. Закон требует составления индивидуальных планов обучения, предназначенных для обеспечения гибких решений, отвечающих индивидуальным потребностям каждого человека.</w:t>
      </w:r>
    </w:p>
    <w:p w:rsidR="003E3ADF" w:rsidRDefault="003E3ADF">
      <w:pPr>
        <w:keepNext/>
        <w:ind w:left="709"/>
        <w:rPr>
          <w:b/>
          <w:bCs/>
        </w:rPr>
      </w:pPr>
      <w:r>
        <w:rPr>
          <w:b/>
          <w:bCs/>
        </w:rPr>
        <w:t>Независимые школы</w:t>
      </w:r>
    </w:p>
    <w:p w:rsidR="003E3ADF" w:rsidRDefault="003E3ADF">
      <w:pPr>
        <w:ind w:left="709"/>
      </w:pPr>
      <w:r>
        <w:t>В разделе 2-3 Закона о независимых школах указывается, что деятельность независимых школ должна ос</w:t>
      </w:r>
      <w:r>
        <w:t>у</w:t>
      </w:r>
      <w:r>
        <w:t>ществляться в соответствии с программой обучения, утвержденной министерством. Если школа желает использ</w:t>
      </w:r>
      <w:r>
        <w:t>о</w:t>
      </w:r>
      <w:r>
        <w:t>вать программу обучения, отличающуюся от официальной, она должна, тем не менее, принять меры к тому, чтобы учащиеся получили образование одинаково высокого качества. Все программы обучения, отлича</w:t>
      </w:r>
      <w:r>
        <w:t>ю</w:t>
      </w:r>
      <w:r>
        <w:t>щиеся от официальной программы, независимо от того, имеет ли школа религиозный/этический или иной профиль, оцениваются исходя из требования, касающегося обеспечения образования одинаково высокого качества. В связи с этим власти сосредоточивают свое внимание на том, как в ней решаются вопросы, касающиеся гендерного равенства. При этом делается ссылка на второе предложение раздела 1</w:t>
      </w:r>
      <w:r>
        <w:noBreakHyphen/>
        <w:t>1 (</w:t>
      </w:r>
      <w:r>
        <w:rPr>
          <w:lang w:val="en-US"/>
        </w:rPr>
        <w:t>d</w:t>
      </w:r>
      <w:r>
        <w:t xml:space="preserve">), в котором говорится, что процесс обучения в независимых школах должен быть направлен на то, чтобы </w:t>
      </w:r>
      <w:r>
        <w:rPr>
          <w:i/>
        </w:rPr>
        <w:t>готовить учащегося к будущей ответс</w:t>
      </w:r>
      <w:r>
        <w:rPr>
          <w:i/>
        </w:rPr>
        <w:t>т</w:t>
      </w:r>
      <w:r>
        <w:rPr>
          <w:i/>
        </w:rPr>
        <w:t>венной жизни в свободном обществе в духе взаимопонимания, мира, терпимости, равенства между мужчинами женщинами и дружбы между всеми народами, этнич</w:t>
      </w:r>
      <w:r>
        <w:rPr>
          <w:i/>
        </w:rPr>
        <w:t>е</w:t>
      </w:r>
      <w:r>
        <w:rPr>
          <w:i/>
        </w:rPr>
        <w:t>скими, национальными и религиозными группами и лицами, являющимися представителями коренного населения</w:t>
      </w:r>
      <w:r>
        <w:t>.</w:t>
      </w:r>
    </w:p>
    <w:p w:rsidR="003E3ADF" w:rsidRDefault="003E3ADF">
      <w:pPr>
        <w:ind w:left="709"/>
      </w:pPr>
      <w:r>
        <w:t>Советы попечителей независимых школ обязаны принимать меры к тому, чтобы руководство школой осущ</w:t>
      </w:r>
      <w:r>
        <w:t>е</w:t>
      </w:r>
      <w:r>
        <w:t>ствлялось в соответствии с норвежским законодательством, включая Закон о гендерном равенстве (раздел 5-2 Закона о независимы школах). В соответствии с разделом 7-2 Закона о независимых школах министерство несет ответственность за инспектирование таких школ. В случае выявления какой-либо ситуации, противоречащей Закону о независимых школах, любым положениям, связанным с Законом о независимых школах, или условиям, на которых их было разрешено открыть, министерство может издать приказ и/или принять административное решение о введении других, более жестких санкций.</w:t>
      </w:r>
    </w:p>
    <w:p w:rsidR="003E3ADF" w:rsidRDefault="003E3ADF">
      <w:pPr>
        <w:ind w:left="709"/>
      </w:pPr>
      <w:r>
        <w:t>Министерство образования и научных исследований выступило инициатором всеобъемлющего проце</w:t>
      </w:r>
      <w:r>
        <w:t>с</w:t>
      </w:r>
      <w:r>
        <w:t>са внесения ряда существенных и согласованных поправок в Закон о независимых школах, с тем чтобы привести его в соответствие с проводимой правительством политикой. Министерство проинформировало стортинг о том, что в результате развития норвежских школ за последние 10–15 лет и изменений, происше</w:t>
      </w:r>
      <w:r>
        <w:t>д</w:t>
      </w:r>
      <w:r>
        <w:t>ших в обществе в целом, необходимо тщательно проанализировать, какие структуры могут рассматривать как альтернативные образов</w:t>
      </w:r>
      <w:r>
        <w:t>а</w:t>
      </w:r>
      <w:r>
        <w:t>тельные структуры и на какой основе могут создаваться религиозные школы. Предложения о внесении поправок в Закон о независимых школах будут разосланы осенью 2006 года для получения консультативных замечаний и представлены стортингу весной 2007 года.</w:t>
      </w:r>
    </w:p>
    <w:p w:rsidR="003E3ADF" w:rsidRDefault="003E3ADF">
      <w:pPr>
        <w:keepNext/>
        <w:tabs>
          <w:tab w:val="clear" w:pos="1361"/>
          <w:tab w:val="right" w:pos="567"/>
          <w:tab w:val="left" w:pos="680"/>
          <w:tab w:val="left" w:pos="1247"/>
        </w:tabs>
        <w:ind w:left="709" w:hanging="709"/>
        <w:rPr>
          <w:b/>
          <w:bCs/>
        </w:rPr>
      </w:pPr>
      <w:r>
        <w:rPr>
          <w:b/>
          <w:bCs/>
        </w:rPr>
        <w:tab/>
        <w:t>2.5</w:t>
      </w:r>
      <w:r>
        <w:rPr>
          <w:b/>
          <w:bCs/>
        </w:rPr>
        <w:tab/>
        <w:t>Статья 11.  Сфера труда</w:t>
      </w:r>
    </w:p>
    <w:p w:rsidR="003E3ADF" w:rsidRDefault="003E3ADF">
      <w:pPr>
        <w:keepNext/>
        <w:tabs>
          <w:tab w:val="clear" w:pos="1361"/>
          <w:tab w:val="right" w:pos="567"/>
          <w:tab w:val="left" w:pos="680"/>
          <w:tab w:val="left" w:pos="1247"/>
        </w:tabs>
        <w:ind w:left="709" w:hanging="709"/>
        <w:rPr>
          <w:b/>
          <w:bCs/>
          <w:i/>
          <w:iCs/>
          <w:sz w:val="26"/>
        </w:rPr>
      </w:pPr>
      <w:r>
        <w:tab/>
        <w:t>2.5.1</w:t>
      </w:r>
      <w:r>
        <w:tab/>
        <w:t>Статья 11.1</w:t>
      </w:r>
      <w:r>
        <w:rPr>
          <w:lang w:val="en-US"/>
        </w:rPr>
        <w:t>a</w:t>
      </w:r>
      <w:r>
        <w:t>.  Право на труд</w:t>
      </w:r>
    </w:p>
    <w:p w:rsidR="003E3ADF" w:rsidRDefault="003E3ADF">
      <w:pPr>
        <w:spacing w:after="200"/>
        <w:ind w:left="709"/>
        <w:rPr>
          <w:b/>
          <w:bCs/>
        </w:rPr>
      </w:pPr>
      <w:r>
        <w:rPr>
          <w:b/>
          <w:bCs/>
        </w:rPr>
        <w:t>Общая информация о рынке труда, включая статистические данные</w:t>
      </w:r>
    </w:p>
    <w:p w:rsidR="003E3ADF" w:rsidRDefault="003E3ADF">
      <w:pPr>
        <w:ind w:left="709"/>
        <w:rPr>
          <w:b/>
          <w:bCs/>
          <w:sz w:val="20"/>
        </w:rPr>
      </w:pPr>
      <w:r>
        <w:rPr>
          <w:b/>
          <w:bCs/>
          <w:sz w:val="20"/>
        </w:rPr>
        <w:t xml:space="preserve">Ключевые показатели представленности женщин на рынке труда, 2005 год, в процентах </w:t>
      </w:r>
    </w:p>
    <w:tbl>
      <w:tblPr>
        <w:tblW w:w="9129" w:type="dxa"/>
        <w:tblInd w:w="822" w:type="dxa"/>
        <w:tblLook w:val="01E0" w:firstRow="1" w:lastRow="1" w:firstColumn="1" w:lastColumn="1" w:noHBand="0" w:noVBand="0"/>
      </w:tblPr>
      <w:tblGrid>
        <w:gridCol w:w="5807"/>
        <w:gridCol w:w="1559"/>
        <w:gridCol w:w="1763"/>
      </w:tblGrid>
      <w:tr w:rsidR="003E3ADF">
        <w:tc>
          <w:tcPr>
            <w:tcW w:w="5807" w:type="dxa"/>
            <w:tcBorders>
              <w:top w:val="single" w:sz="4" w:space="0" w:color="auto"/>
              <w:bottom w:val="single" w:sz="12" w:space="0" w:color="auto"/>
            </w:tcBorders>
          </w:tcPr>
          <w:p w:rsidR="003E3ADF" w:rsidRDefault="003E3ADF">
            <w:pPr>
              <w:spacing w:before="20" w:after="20"/>
              <w:rPr>
                <w:b/>
                <w:i/>
                <w:sz w:val="18"/>
              </w:rPr>
            </w:pPr>
            <w:r>
              <w:rPr>
                <w:b/>
                <w:i/>
                <w:sz w:val="18"/>
              </w:rPr>
              <w:t>Занятость</w:t>
            </w:r>
          </w:p>
        </w:tc>
        <w:tc>
          <w:tcPr>
            <w:tcW w:w="1559" w:type="dxa"/>
            <w:tcBorders>
              <w:top w:val="single" w:sz="4" w:space="0" w:color="auto"/>
              <w:bottom w:val="single" w:sz="12" w:space="0" w:color="auto"/>
            </w:tcBorders>
          </w:tcPr>
          <w:p w:rsidR="003E3ADF" w:rsidRDefault="003E3ADF">
            <w:pPr>
              <w:spacing w:before="20" w:after="20"/>
              <w:rPr>
                <w:b/>
                <w:i/>
                <w:sz w:val="18"/>
              </w:rPr>
            </w:pPr>
            <w:r>
              <w:rPr>
                <w:b/>
                <w:i/>
                <w:sz w:val="18"/>
              </w:rPr>
              <w:t>Женщины</w:t>
            </w:r>
          </w:p>
        </w:tc>
        <w:tc>
          <w:tcPr>
            <w:tcW w:w="1763" w:type="dxa"/>
            <w:tcBorders>
              <w:top w:val="single" w:sz="4" w:space="0" w:color="auto"/>
              <w:bottom w:val="single" w:sz="12" w:space="0" w:color="auto"/>
            </w:tcBorders>
          </w:tcPr>
          <w:p w:rsidR="003E3ADF" w:rsidRDefault="003E3ADF">
            <w:pPr>
              <w:spacing w:before="20" w:after="20"/>
              <w:rPr>
                <w:b/>
                <w:i/>
                <w:sz w:val="18"/>
              </w:rPr>
            </w:pPr>
            <w:r>
              <w:rPr>
                <w:b/>
                <w:i/>
                <w:sz w:val="18"/>
              </w:rPr>
              <w:t>Мужчины</w:t>
            </w:r>
          </w:p>
        </w:tc>
      </w:tr>
      <w:tr w:rsidR="003E3ADF">
        <w:tc>
          <w:tcPr>
            <w:tcW w:w="5807" w:type="dxa"/>
            <w:tcBorders>
              <w:top w:val="single" w:sz="12" w:space="0" w:color="auto"/>
            </w:tcBorders>
            <w:vAlign w:val="bottom"/>
          </w:tcPr>
          <w:p w:rsidR="003E3ADF" w:rsidRDefault="003E3ADF">
            <w:pPr>
              <w:spacing w:before="20" w:after="20"/>
              <w:jc w:val="left"/>
              <w:rPr>
                <w:sz w:val="18"/>
              </w:rPr>
            </w:pPr>
            <w:r>
              <w:rPr>
                <w:sz w:val="18"/>
              </w:rPr>
              <w:t>Экономически активное нас</w:t>
            </w:r>
            <w:r>
              <w:rPr>
                <w:sz w:val="18"/>
              </w:rPr>
              <w:t>е</w:t>
            </w:r>
            <w:r>
              <w:rPr>
                <w:sz w:val="18"/>
              </w:rPr>
              <w:t>ление – процент от общей численности населения в возрасте 16–74 лет</w:t>
            </w:r>
          </w:p>
        </w:tc>
        <w:tc>
          <w:tcPr>
            <w:tcW w:w="1559" w:type="dxa"/>
            <w:tcBorders>
              <w:top w:val="single" w:sz="12" w:space="0" w:color="auto"/>
            </w:tcBorders>
            <w:vAlign w:val="bottom"/>
          </w:tcPr>
          <w:p w:rsidR="003E3ADF" w:rsidRDefault="003E3ADF">
            <w:pPr>
              <w:spacing w:before="20" w:after="20"/>
              <w:jc w:val="left"/>
              <w:rPr>
                <w:sz w:val="18"/>
              </w:rPr>
            </w:pPr>
            <w:r>
              <w:rPr>
                <w:sz w:val="18"/>
              </w:rPr>
              <w:t>69</w:t>
            </w:r>
          </w:p>
        </w:tc>
        <w:tc>
          <w:tcPr>
            <w:tcW w:w="1763" w:type="dxa"/>
            <w:tcBorders>
              <w:top w:val="single" w:sz="12" w:space="0" w:color="auto"/>
            </w:tcBorders>
            <w:vAlign w:val="bottom"/>
          </w:tcPr>
          <w:p w:rsidR="003E3ADF" w:rsidRDefault="003E3ADF">
            <w:pPr>
              <w:spacing w:before="20" w:after="20"/>
              <w:jc w:val="left"/>
              <w:rPr>
                <w:sz w:val="18"/>
              </w:rPr>
            </w:pPr>
            <w:r>
              <w:rPr>
                <w:sz w:val="18"/>
              </w:rPr>
              <w:t>76</w:t>
            </w:r>
          </w:p>
        </w:tc>
      </w:tr>
      <w:tr w:rsidR="003E3ADF">
        <w:tc>
          <w:tcPr>
            <w:tcW w:w="5807" w:type="dxa"/>
            <w:vAlign w:val="bottom"/>
          </w:tcPr>
          <w:p w:rsidR="003E3ADF" w:rsidRDefault="003E3ADF">
            <w:pPr>
              <w:spacing w:before="20" w:after="20"/>
              <w:jc w:val="left"/>
              <w:rPr>
                <w:sz w:val="18"/>
              </w:rPr>
            </w:pPr>
            <w:r>
              <w:rPr>
                <w:sz w:val="18"/>
              </w:rPr>
              <w:t>Безработные – процент от общей численности экономически активного населения</w:t>
            </w:r>
          </w:p>
        </w:tc>
        <w:tc>
          <w:tcPr>
            <w:tcW w:w="1559" w:type="dxa"/>
            <w:vAlign w:val="bottom"/>
          </w:tcPr>
          <w:p w:rsidR="003E3ADF" w:rsidRDefault="003E3ADF">
            <w:pPr>
              <w:spacing w:before="20" w:after="20"/>
              <w:jc w:val="left"/>
              <w:rPr>
                <w:sz w:val="18"/>
              </w:rPr>
            </w:pPr>
            <w:r>
              <w:rPr>
                <w:sz w:val="18"/>
              </w:rPr>
              <w:t>4,4</w:t>
            </w:r>
          </w:p>
        </w:tc>
        <w:tc>
          <w:tcPr>
            <w:tcW w:w="1763" w:type="dxa"/>
            <w:vAlign w:val="bottom"/>
          </w:tcPr>
          <w:p w:rsidR="003E3ADF" w:rsidRDefault="003E3ADF">
            <w:pPr>
              <w:spacing w:before="20" w:after="20"/>
              <w:jc w:val="left"/>
              <w:rPr>
                <w:sz w:val="18"/>
              </w:rPr>
            </w:pPr>
            <w:r>
              <w:rPr>
                <w:sz w:val="18"/>
              </w:rPr>
              <w:t>4,8</w:t>
            </w:r>
          </w:p>
        </w:tc>
      </w:tr>
      <w:tr w:rsidR="003E3ADF">
        <w:tc>
          <w:tcPr>
            <w:tcW w:w="5807" w:type="dxa"/>
            <w:vAlign w:val="bottom"/>
          </w:tcPr>
          <w:p w:rsidR="003E3ADF" w:rsidRDefault="003E3ADF">
            <w:pPr>
              <w:spacing w:before="20" w:after="20"/>
              <w:jc w:val="left"/>
              <w:rPr>
                <w:sz w:val="18"/>
              </w:rPr>
            </w:pPr>
            <w:r>
              <w:rPr>
                <w:sz w:val="18"/>
              </w:rPr>
              <w:t>Средняя продолжител</w:t>
            </w:r>
            <w:r>
              <w:rPr>
                <w:sz w:val="18"/>
              </w:rPr>
              <w:t>ь</w:t>
            </w:r>
            <w:r>
              <w:rPr>
                <w:sz w:val="18"/>
              </w:rPr>
              <w:t>ность рабочей недели, в часах</w:t>
            </w:r>
          </w:p>
        </w:tc>
        <w:tc>
          <w:tcPr>
            <w:tcW w:w="1559" w:type="dxa"/>
            <w:vAlign w:val="bottom"/>
          </w:tcPr>
          <w:p w:rsidR="003E3ADF" w:rsidRDefault="003E3ADF">
            <w:pPr>
              <w:spacing w:before="20" w:after="20"/>
              <w:jc w:val="left"/>
              <w:rPr>
                <w:sz w:val="18"/>
              </w:rPr>
            </w:pPr>
            <w:r>
              <w:rPr>
                <w:sz w:val="18"/>
              </w:rPr>
              <w:t>31</w:t>
            </w:r>
          </w:p>
        </w:tc>
        <w:tc>
          <w:tcPr>
            <w:tcW w:w="1763" w:type="dxa"/>
            <w:vAlign w:val="bottom"/>
          </w:tcPr>
          <w:p w:rsidR="003E3ADF" w:rsidRDefault="003E3ADF">
            <w:pPr>
              <w:spacing w:before="20" w:after="20"/>
              <w:jc w:val="left"/>
              <w:rPr>
                <w:sz w:val="18"/>
              </w:rPr>
            </w:pPr>
            <w:r>
              <w:rPr>
                <w:sz w:val="18"/>
              </w:rPr>
              <w:t>38,1</w:t>
            </w:r>
          </w:p>
        </w:tc>
      </w:tr>
      <w:tr w:rsidR="003E3ADF">
        <w:tc>
          <w:tcPr>
            <w:tcW w:w="5807" w:type="dxa"/>
            <w:vAlign w:val="bottom"/>
          </w:tcPr>
          <w:p w:rsidR="003E3ADF" w:rsidRDefault="003E3ADF">
            <w:pPr>
              <w:spacing w:before="20" w:after="20"/>
              <w:jc w:val="left"/>
              <w:rPr>
                <w:sz w:val="18"/>
              </w:rPr>
            </w:pPr>
            <w:r>
              <w:rPr>
                <w:sz w:val="18"/>
              </w:rPr>
              <w:t>Доля занятых полный р</w:t>
            </w:r>
            <w:r>
              <w:rPr>
                <w:sz w:val="18"/>
              </w:rPr>
              <w:t>а</w:t>
            </w:r>
            <w:r>
              <w:rPr>
                <w:sz w:val="18"/>
              </w:rPr>
              <w:t>бочий день или полную неделю – процент от общей численности экономически активного населения</w:t>
            </w:r>
          </w:p>
        </w:tc>
        <w:tc>
          <w:tcPr>
            <w:tcW w:w="1559" w:type="dxa"/>
            <w:vAlign w:val="bottom"/>
          </w:tcPr>
          <w:p w:rsidR="003E3ADF" w:rsidRDefault="003E3ADF">
            <w:pPr>
              <w:spacing w:before="20" w:after="20"/>
              <w:jc w:val="left"/>
              <w:rPr>
                <w:sz w:val="18"/>
              </w:rPr>
            </w:pPr>
            <w:r>
              <w:rPr>
                <w:sz w:val="18"/>
              </w:rPr>
              <w:t>57 (2004)</w:t>
            </w:r>
          </w:p>
        </w:tc>
        <w:tc>
          <w:tcPr>
            <w:tcW w:w="1763" w:type="dxa"/>
            <w:vAlign w:val="bottom"/>
          </w:tcPr>
          <w:p w:rsidR="003E3ADF" w:rsidRDefault="003E3ADF">
            <w:pPr>
              <w:spacing w:before="20" w:after="20"/>
              <w:jc w:val="left"/>
              <w:rPr>
                <w:sz w:val="18"/>
              </w:rPr>
            </w:pPr>
            <w:r>
              <w:rPr>
                <w:sz w:val="18"/>
              </w:rPr>
              <w:t>87 (2004)</w:t>
            </w:r>
          </w:p>
        </w:tc>
      </w:tr>
      <w:tr w:rsidR="003E3ADF">
        <w:tc>
          <w:tcPr>
            <w:tcW w:w="5807" w:type="dxa"/>
            <w:vAlign w:val="bottom"/>
          </w:tcPr>
          <w:p w:rsidR="003E3ADF" w:rsidRDefault="003E3ADF">
            <w:pPr>
              <w:spacing w:before="20" w:after="20"/>
              <w:jc w:val="left"/>
              <w:rPr>
                <w:sz w:val="18"/>
              </w:rPr>
            </w:pPr>
            <w:r>
              <w:rPr>
                <w:sz w:val="18"/>
              </w:rPr>
              <w:t>Доля неполностью занятых лиц – процент от общего числа частично занятых</w:t>
            </w:r>
          </w:p>
        </w:tc>
        <w:tc>
          <w:tcPr>
            <w:tcW w:w="1559" w:type="dxa"/>
            <w:vAlign w:val="bottom"/>
          </w:tcPr>
          <w:p w:rsidR="003E3ADF" w:rsidRDefault="003E3ADF">
            <w:pPr>
              <w:spacing w:before="20" w:after="20"/>
              <w:jc w:val="left"/>
              <w:rPr>
                <w:sz w:val="18"/>
              </w:rPr>
            </w:pPr>
            <w:r>
              <w:rPr>
                <w:sz w:val="18"/>
              </w:rPr>
              <w:t>73,5 (2004)</w:t>
            </w:r>
          </w:p>
        </w:tc>
        <w:tc>
          <w:tcPr>
            <w:tcW w:w="1763" w:type="dxa"/>
            <w:vAlign w:val="bottom"/>
          </w:tcPr>
          <w:p w:rsidR="003E3ADF" w:rsidRDefault="003E3ADF">
            <w:pPr>
              <w:spacing w:before="20" w:after="20"/>
              <w:jc w:val="left"/>
              <w:rPr>
                <w:sz w:val="18"/>
              </w:rPr>
            </w:pPr>
            <w:r>
              <w:rPr>
                <w:sz w:val="18"/>
              </w:rPr>
              <w:t>26,5 (2004)</w:t>
            </w:r>
          </w:p>
        </w:tc>
      </w:tr>
      <w:tr w:rsidR="003E3ADF">
        <w:tc>
          <w:tcPr>
            <w:tcW w:w="5807" w:type="dxa"/>
            <w:tcBorders>
              <w:bottom w:val="single" w:sz="12" w:space="0" w:color="auto"/>
            </w:tcBorders>
            <w:vAlign w:val="bottom"/>
          </w:tcPr>
          <w:p w:rsidR="003E3ADF" w:rsidRDefault="003E3ADF">
            <w:pPr>
              <w:spacing w:before="20" w:after="20"/>
              <w:jc w:val="left"/>
              <w:rPr>
                <w:sz w:val="18"/>
              </w:rPr>
            </w:pPr>
            <w:r>
              <w:rPr>
                <w:sz w:val="18"/>
              </w:rPr>
              <w:t>Доля занятых в государстве</w:t>
            </w:r>
            <w:r>
              <w:rPr>
                <w:sz w:val="18"/>
              </w:rPr>
              <w:t>н</w:t>
            </w:r>
            <w:r>
              <w:rPr>
                <w:sz w:val="18"/>
              </w:rPr>
              <w:t>ном секторе</w:t>
            </w:r>
          </w:p>
        </w:tc>
        <w:tc>
          <w:tcPr>
            <w:tcW w:w="1559" w:type="dxa"/>
            <w:tcBorders>
              <w:bottom w:val="single" w:sz="12" w:space="0" w:color="auto"/>
            </w:tcBorders>
            <w:vAlign w:val="bottom"/>
          </w:tcPr>
          <w:p w:rsidR="003E3ADF" w:rsidRDefault="003E3ADF">
            <w:pPr>
              <w:spacing w:before="20" w:after="20"/>
              <w:jc w:val="left"/>
              <w:rPr>
                <w:sz w:val="18"/>
              </w:rPr>
            </w:pPr>
            <w:r>
              <w:rPr>
                <w:sz w:val="18"/>
              </w:rPr>
              <w:t>47</w:t>
            </w:r>
          </w:p>
        </w:tc>
        <w:tc>
          <w:tcPr>
            <w:tcW w:w="1763" w:type="dxa"/>
            <w:tcBorders>
              <w:bottom w:val="single" w:sz="12" w:space="0" w:color="auto"/>
            </w:tcBorders>
            <w:vAlign w:val="bottom"/>
          </w:tcPr>
          <w:p w:rsidR="003E3ADF" w:rsidRDefault="003E3ADF">
            <w:pPr>
              <w:spacing w:before="20" w:after="20"/>
              <w:jc w:val="left"/>
              <w:rPr>
                <w:sz w:val="18"/>
              </w:rPr>
            </w:pPr>
            <w:r>
              <w:rPr>
                <w:sz w:val="18"/>
              </w:rPr>
              <w:t>18</w:t>
            </w:r>
          </w:p>
        </w:tc>
      </w:tr>
    </w:tbl>
    <w:p w:rsidR="003E3ADF" w:rsidRDefault="003E3ADF">
      <w:pPr>
        <w:pStyle w:val="Header"/>
        <w:spacing w:after="120"/>
        <w:jc w:val="both"/>
      </w:pPr>
    </w:p>
    <w:p w:rsidR="003E3ADF" w:rsidRDefault="003E3ADF">
      <w:pPr>
        <w:ind w:left="709"/>
      </w:pPr>
      <w:r>
        <w:t>Для обеспечения полного равенства между мужчинами и женщинами необходимо, чтобы женщины прин</w:t>
      </w:r>
      <w:r>
        <w:t>и</w:t>
      </w:r>
      <w:r>
        <w:t>мали участие в трудовой жизни. С середины 1970-х годов по настоящий момент доля экономически активных женщин резко возросла. В настоящее время женщины составляют 47 процентов в общей численности рабочей силы Норвегии. В 2005 году к числу экономически активного населения относились 69 процентов женщин и 76 процентов мужчин в возрасте 16–</w:t>
      </w:r>
      <w:r>
        <w:br/>
        <w:t>74 лет. С 1980-х годов по настоящий момент особенно заметный рост занятости наблюдался среди женщин в возрастной группе 25–40 лет.</w:t>
      </w:r>
    </w:p>
    <w:p w:rsidR="003E3ADF" w:rsidRDefault="003E3ADF">
      <w:pPr>
        <w:ind w:left="709"/>
      </w:pPr>
      <w:r>
        <w:t>Несмотря на приблизительное равенство показателей занятости женщин и мужчин, среди них по-пре</w:t>
      </w:r>
      <w:r>
        <w:t>ж</w:t>
      </w:r>
      <w:r>
        <w:t>нему наблюдаются существенные различия с точки зрения количества проработанных часов, оплаты труда, секторов занятости и пенсионного обеспечения. Женщины по-прежнему гораздо чаще, чем мужчины, работают неполный рабочий день или неполную неделю. Вместе с тем сегодня число частично занятых женщин меньше, чем 10</w:t>
      </w:r>
      <w:r>
        <w:rPr>
          <w:lang w:val="en-US"/>
        </w:rPr>
        <w:t> </w:t>
      </w:r>
      <w:r>
        <w:t>лет назад, а число мужчин – больше. В 1990 году неполный рабочий день или неполную неделю работали 48 процентов женщин (по сравнению с 9 процентами мужчин), а сейчас этот показатель составляет 42 процента (по сравнению с 12 процентами мужчин). Женщины, имеющие более одного ребенка в возрасте до 16 лет, более склонны работать неполный рабочий день или неполную неделю. Что касается мужчин, то работа по неполному рабочему графику больше распространена среди учащихся или лиц предпенсионного возраста.</w:t>
      </w:r>
    </w:p>
    <w:p w:rsidR="003E3ADF" w:rsidRDefault="003E3ADF">
      <w:pPr>
        <w:ind w:left="709"/>
      </w:pPr>
      <w:r>
        <w:t>В 2005 году уровень безработицы среди мужчин составлял 4,8 процента, а среди женщин – 4,4 процента. Несмотря на увеличение числа мужчин и женщин, имеющих дипломы о высшем образов</w:t>
      </w:r>
      <w:r>
        <w:t>а</w:t>
      </w:r>
      <w:r>
        <w:t>нии, большинство женщин и мужчин останавливают свой выбор на традиционных специальностях, в результате чего норвежский рынок труда является одним из самых сегрегированных по признаку пола рынков труда в Европе. В некоторых профессиях, таких как почтальоны, торговцы или рекламные агенты, установился относительный гендерный баланс. Но жизнь не стоит на месте, и женщины начинают все активнее осваивать те профессии, в которых доминирующие позиции ранее занимали мужчины, в то время как среди мужчин подобной тенденции не наблюдается.</w:t>
      </w:r>
    </w:p>
    <w:p w:rsidR="003E3ADF" w:rsidRDefault="003E3ADF">
      <w:pPr>
        <w:ind w:left="709"/>
      </w:pPr>
      <w:r>
        <w:t>Значительная доля экономически активных женщин занята в государственном секторе. Среди работн</w:t>
      </w:r>
      <w:r>
        <w:t>и</w:t>
      </w:r>
      <w:r>
        <w:t>ков государственного сектора доля женщин составляет 69 процентов, а среди работников частного сектора – 37 процентов. Среди государственных служащих доля женщин несколько возросла – с 43 процентов в 2000 году до 45</w:t>
      </w:r>
      <w:r>
        <w:rPr>
          <w:lang w:val="en-US"/>
        </w:rPr>
        <w:t> </w:t>
      </w:r>
      <w:r>
        <w:t>процентов в 2004 году. Некоторые государственные службы (например, Вооруженные силы, см. ниже) сталкиваются с трудностями в своих усилиях по обеспечению справедлив</w:t>
      </w:r>
      <w:r>
        <w:t>о</w:t>
      </w:r>
      <w:r>
        <w:t>го соотношения полов.</w:t>
      </w:r>
    </w:p>
    <w:p w:rsidR="003E3ADF" w:rsidRDefault="003E3ADF">
      <w:pPr>
        <w:ind w:left="709"/>
      </w:pPr>
      <w:r>
        <w:t>Подавляющее большинство всех созданных в последнее время предприятий являются предприяти</w:t>
      </w:r>
      <w:r>
        <w:t>я</w:t>
      </w:r>
      <w:r>
        <w:t>ми с о</w:t>
      </w:r>
      <w:r>
        <w:t>д</w:t>
      </w:r>
      <w:r>
        <w:t>ним работником, и в 2005 году женщины составляли треть работников всех этих новых предпр</w:t>
      </w:r>
      <w:r>
        <w:t>и</w:t>
      </w:r>
      <w:r>
        <w:t>ятий. С другой стороны, женщины составляли лишь четверть персонала уже существующих предприятий с одним работником. Женщины-предприниматели трудятся, в частности, в таких областях, как медицина, социальные услуги, образование, а также в других секторах, связанных с оказанием социальных и индивидуальных услуг.</w:t>
      </w:r>
    </w:p>
    <w:p w:rsidR="003E3ADF" w:rsidRDefault="003E3ADF">
      <w:pPr>
        <w:ind w:left="709"/>
      </w:pPr>
      <w:r>
        <w:t>Деятельность организации "Инновации в Норвегии" направлена на обеспечение того, чтобы по мен</w:t>
      </w:r>
      <w:r>
        <w:t>ь</w:t>
      </w:r>
      <w:r>
        <w:t>шей мере 25</w:t>
      </w:r>
      <w:r>
        <w:rPr>
          <w:lang w:val="en-US"/>
        </w:rPr>
        <w:t> </w:t>
      </w:r>
      <w:r>
        <w:t>процентов всех субсидий, предоставляемых компаниям (всеми министерствами), выделялись на создание ориентированных на женщин предприятий или проектов. В 2003 году на проекты, рассчитанные на женщин, было выделено 15 процентов всех ассигнований (ссуд, гарантий и субсидий). В 2004 и 2005 годах этот показатель составил, соответственно, 18 и 19 процентов. В 2005 году 24</w:t>
      </w:r>
      <w:r>
        <w:rPr>
          <w:lang w:val="en-US"/>
        </w:rPr>
        <w:t> </w:t>
      </w:r>
      <w:r>
        <w:t>процента субсидий на инновации были выделены на деятельность, ориентированную на женщин.</w:t>
      </w:r>
    </w:p>
    <w:p w:rsidR="003E3ADF" w:rsidRDefault="003E3ADF">
      <w:pPr>
        <w:ind w:left="709"/>
      </w:pPr>
      <w:r>
        <w:t>Кроме того, организация "Инновации в Норвегии" осуществляет специальный проект под названием "Вн</w:t>
      </w:r>
      <w:r>
        <w:t>и</w:t>
      </w:r>
      <w:r>
        <w:t>мание к женщинам", который включает такие программы, как "Кандидаты в члены советов", "Обучение навыкам руководящей работы", " Маяк", "Учебное предприятие" и "Женщины-новаторы". В 2004 году эта организация также руководила осуществлением проекта ЕС, связанного с изучением вопроса о том, как женщины приходят в предпринимательство. В своем письме в адрес организации "Инновации в Норвегии" о выделении субсидий на 2006 год Министерство торговли и промышленности уведомило ее, что оно выделяет 10 млн. норвежских крон на новую программу, направленную на развитие новаторства и предпринимательс</w:t>
      </w:r>
      <w:r>
        <w:t>т</w:t>
      </w:r>
      <w:r>
        <w:t>ва среди женщин. Министерство также попросило организацию "Инновации в Норвегии" провести обзор используемых ею в настоящее время схем и попытаться выявить возможности совершенствования способов поощрения новаторс</w:t>
      </w:r>
      <w:r>
        <w:t>т</w:t>
      </w:r>
      <w:r>
        <w:t>ва и предпринимательства среди женщин. К концу 2006 года министерство предполагает завершить осуществление Плана действий по увеличению числа женщин-предпринимателей.</w:t>
      </w:r>
    </w:p>
    <w:p w:rsidR="003E3ADF" w:rsidRDefault="003E3ADF">
      <w:pPr>
        <w:ind w:left="709"/>
      </w:pPr>
      <w:r>
        <w:t>Женщины являются важными участниками проводимых правительством мероприятий по прекращ</w:t>
      </w:r>
      <w:r>
        <w:t>е</w:t>
      </w:r>
      <w:r>
        <w:t>нию оттока населения из отдаленных регионов страны. Женщины представляют собой одну из приорите</w:t>
      </w:r>
      <w:r>
        <w:t>т</w:t>
      </w:r>
      <w:r>
        <w:t>ных целевых групп Министерства по вопросам местного самоуправления и регионального развития и включены в програм</w:t>
      </w:r>
      <w:r>
        <w:t>м</w:t>
      </w:r>
      <w:r>
        <w:t>ную категорию 13.50, озаглавленную "Региональная политика и политика округов". Женщины также являются важным ресурсом в плане создания рабочих мест. Министерство старается поощрять женщин к самостоятельному созданию рабочих мест. В связи с этим оно приступило к проведению специальной кампании, направленной на создание "бизнес-парков", которые представляют собой центры, содействующие открытию новых предприятий. На трехлетний период (2006–2008 годы) на поддержку женщин-предпринимателей в "бизнес-парках" выделено 9 млн. норвежских крон. Этот проект особо рассчитан на женщин, работающих в сфере услуг. Выделенные средства направляются через Корпорацию промышленного развития Норвегии (</w:t>
      </w:r>
      <w:r>
        <w:rPr>
          <w:lang w:val="en-US"/>
        </w:rPr>
        <w:t>SIVA</w:t>
      </w:r>
      <w:r>
        <w:t>), которая действует в тесном сотрудничестве с организацией "Инновации в Норвегии". Доля женщин, участвующих в работе этих "бизнес-парков", составляет в настоящее время 38 процентов.</w:t>
      </w:r>
    </w:p>
    <w:p w:rsidR="003E3ADF" w:rsidRDefault="003E3ADF">
      <w:pPr>
        <w:ind w:left="709"/>
        <w:rPr>
          <w:b/>
          <w:bCs/>
        </w:rPr>
      </w:pPr>
      <w:r>
        <w:rPr>
          <w:b/>
          <w:bCs/>
        </w:rPr>
        <w:t>Иммигранты и занятость</w:t>
      </w:r>
    </w:p>
    <w:p w:rsidR="003E3ADF" w:rsidRDefault="003E3ADF">
      <w:pPr>
        <w:ind w:left="709"/>
      </w:pPr>
      <w:r>
        <w:t>В Норвегии иммигранты-женщины отличаются меньшей экономической активностью по сравнению с имм</w:t>
      </w:r>
      <w:r>
        <w:t>и</w:t>
      </w:r>
      <w:r>
        <w:t>грантами-мужчинами.</w:t>
      </w:r>
    </w:p>
    <w:p w:rsidR="003E3ADF" w:rsidRDefault="003E3ADF">
      <w:pPr>
        <w:pStyle w:val="H23"/>
        <w:keepLines w:val="0"/>
        <w:suppressAutoHyphens w:val="0"/>
        <w:spacing w:line="240" w:lineRule="auto"/>
        <w:ind w:left="709"/>
        <w:jc w:val="left"/>
        <w:outlineLvl w:val="9"/>
        <w:rPr>
          <w:spacing w:val="0"/>
          <w:w w:val="100"/>
        </w:rPr>
      </w:pPr>
      <w:r>
        <w:rPr>
          <w:spacing w:val="0"/>
          <w:w w:val="100"/>
        </w:rPr>
        <w:t xml:space="preserve">Экономическая активность иммигрантов и населения в целом в разбивке по полу, </w:t>
      </w:r>
      <w:r>
        <w:rPr>
          <w:spacing w:val="0"/>
          <w:w w:val="100"/>
        </w:rPr>
        <w:br/>
        <w:t>четвертый квартал 2004 года</w:t>
      </w:r>
    </w:p>
    <w:tbl>
      <w:tblPr>
        <w:tblW w:w="9129" w:type="dxa"/>
        <w:tblInd w:w="822" w:type="dxa"/>
        <w:tblLook w:val="01E0" w:firstRow="1" w:lastRow="1" w:firstColumn="1" w:lastColumn="1" w:noHBand="0" w:noVBand="0"/>
      </w:tblPr>
      <w:tblGrid>
        <w:gridCol w:w="1574"/>
        <w:gridCol w:w="1263"/>
        <w:gridCol w:w="1315"/>
        <w:gridCol w:w="1248"/>
        <w:gridCol w:w="1314"/>
        <w:gridCol w:w="1189"/>
        <w:gridCol w:w="1226"/>
      </w:tblGrid>
      <w:tr w:rsidR="003E3ADF">
        <w:tc>
          <w:tcPr>
            <w:tcW w:w="1688" w:type="dxa"/>
            <w:tcBorders>
              <w:top w:val="single" w:sz="4" w:space="0" w:color="auto"/>
              <w:bottom w:val="single" w:sz="12" w:space="0" w:color="auto"/>
            </w:tcBorders>
          </w:tcPr>
          <w:p w:rsidR="003E3ADF" w:rsidRDefault="003E3ADF">
            <w:pPr>
              <w:spacing w:before="20" w:after="20"/>
              <w:rPr>
                <w:sz w:val="18"/>
              </w:rPr>
            </w:pP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 xml:space="preserve">Население </w:t>
            </w:r>
            <w:r>
              <w:rPr>
                <w:b/>
                <w:bCs/>
                <w:i/>
                <w:iCs/>
                <w:sz w:val="18"/>
              </w:rPr>
              <w:br/>
              <w:t>в целом</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Иммигранты</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Западная Европа</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Южная и Централ</w:t>
            </w:r>
            <w:r>
              <w:rPr>
                <w:b/>
                <w:bCs/>
                <w:i/>
                <w:iCs/>
                <w:sz w:val="18"/>
              </w:rPr>
              <w:t>ь</w:t>
            </w:r>
            <w:r>
              <w:rPr>
                <w:b/>
                <w:bCs/>
                <w:i/>
                <w:iCs/>
                <w:sz w:val="18"/>
              </w:rPr>
              <w:t>ная Америка</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Азия</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Африка</w:t>
            </w:r>
          </w:p>
        </w:tc>
      </w:tr>
      <w:tr w:rsidR="003E3ADF">
        <w:tc>
          <w:tcPr>
            <w:tcW w:w="1688" w:type="dxa"/>
            <w:tcBorders>
              <w:top w:val="single" w:sz="12" w:space="0" w:color="auto"/>
            </w:tcBorders>
          </w:tcPr>
          <w:p w:rsidR="003E3ADF" w:rsidRDefault="003E3ADF">
            <w:pPr>
              <w:spacing w:before="20" w:after="20"/>
              <w:rPr>
                <w:sz w:val="18"/>
              </w:rPr>
            </w:pPr>
            <w:r>
              <w:rPr>
                <w:sz w:val="18"/>
              </w:rPr>
              <w:t>Женщины</w:t>
            </w:r>
          </w:p>
        </w:tc>
        <w:tc>
          <w:tcPr>
            <w:tcW w:w="1304" w:type="dxa"/>
            <w:tcBorders>
              <w:top w:val="single" w:sz="12" w:space="0" w:color="auto"/>
            </w:tcBorders>
          </w:tcPr>
          <w:p w:rsidR="003E3ADF" w:rsidRDefault="003E3ADF">
            <w:pPr>
              <w:spacing w:before="20" w:after="20"/>
              <w:jc w:val="center"/>
              <w:rPr>
                <w:sz w:val="18"/>
              </w:rPr>
            </w:pPr>
            <w:r>
              <w:rPr>
                <w:sz w:val="18"/>
              </w:rPr>
              <w:t>66%</w:t>
            </w:r>
          </w:p>
        </w:tc>
        <w:tc>
          <w:tcPr>
            <w:tcW w:w="1304" w:type="dxa"/>
            <w:tcBorders>
              <w:top w:val="single" w:sz="12" w:space="0" w:color="auto"/>
            </w:tcBorders>
          </w:tcPr>
          <w:p w:rsidR="003E3ADF" w:rsidRDefault="003E3ADF">
            <w:pPr>
              <w:spacing w:before="20" w:after="20"/>
              <w:jc w:val="center"/>
              <w:rPr>
                <w:sz w:val="18"/>
              </w:rPr>
            </w:pPr>
            <w:r>
              <w:rPr>
                <w:sz w:val="18"/>
              </w:rPr>
              <w:t>52%</w:t>
            </w:r>
          </w:p>
        </w:tc>
        <w:tc>
          <w:tcPr>
            <w:tcW w:w="1304" w:type="dxa"/>
            <w:tcBorders>
              <w:top w:val="single" w:sz="12" w:space="0" w:color="auto"/>
            </w:tcBorders>
          </w:tcPr>
          <w:p w:rsidR="003E3ADF" w:rsidRDefault="003E3ADF">
            <w:pPr>
              <w:spacing w:before="20" w:after="20"/>
              <w:jc w:val="center"/>
              <w:rPr>
                <w:sz w:val="18"/>
              </w:rPr>
            </w:pPr>
            <w:r>
              <w:rPr>
                <w:sz w:val="18"/>
              </w:rPr>
              <w:t>61%</w:t>
            </w:r>
          </w:p>
        </w:tc>
        <w:tc>
          <w:tcPr>
            <w:tcW w:w="1304" w:type="dxa"/>
            <w:tcBorders>
              <w:top w:val="single" w:sz="12" w:space="0" w:color="auto"/>
            </w:tcBorders>
          </w:tcPr>
          <w:p w:rsidR="003E3ADF" w:rsidRDefault="003E3ADF">
            <w:pPr>
              <w:spacing w:before="20" w:after="20"/>
              <w:jc w:val="center"/>
              <w:rPr>
                <w:sz w:val="18"/>
              </w:rPr>
            </w:pPr>
            <w:r>
              <w:rPr>
                <w:sz w:val="18"/>
              </w:rPr>
              <w:t>54%</w:t>
            </w:r>
          </w:p>
        </w:tc>
        <w:tc>
          <w:tcPr>
            <w:tcW w:w="1304" w:type="dxa"/>
            <w:tcBorders>
              <w:top w:val="single" w:sz="12" w:space="0" w:color="auto"/>
            </w:tcBorders>
          </w:tcPr>
          <w:p w:rsidR="003E3ADF" w:rsidRDefault="003E3ADF">
            <w:pPr>
              <w:spacing w:before="20" w:after="20"/>
              <w:jc w:val="center"/>
              <w:rPr>
                <w:sz w:val="18"/>
              </w:rPr>
            </w:pPr>
            <w:r>
              <w:rPr>
                <w:sz w:val="18"/>
              </w:rPr>
              <w:t>44%</w:t>
            </w:r>
          </w:p>
        </w:tc>
        <w:tc>
          <w:tcPr>
            <w:tcW w:w="1304" w:type="dxa"/>
            <w:tcBorders>
              <w:top w:val="single" w:sz="12" w:space="0" w:color="auto"/>
            </w:tcBorders>
          </w:tcPr>
          <w:p w:rsidR="003E3ADF" w:rsidRDefault="003E3ADF">
            <w:pPr>
              <w:spacing w:before="20" w:after="20"/>
              <w:jc w:val="center"/>
              <w:rPr>
                <w:sz w:val="18"/>
              </w:rPr>
            </w:pPr>
            <w:r>
              <w:rPr>
                <w:sz w:val="18"/>
              </w:rPr>
              <w:t>36%</w:t>
            </w:r>
          </w:p>
        </w:tc>
      </w:tr>
      <w:tr w:rsidR="003E3ADF">
        <w:tc>
          <w:tcPr>
            <w:tcW w:w="1688" w:type="dxa"/>
            <w:tcBorders>
              <w:bottom w:val="single" w:sz="12" w:space="0" w:color="auto"/>
            </w:tcBorders>
          </w:tcPr>
          <w:p w:rsidR="003E3ADF" w:rsidRDefault="003E3ADF">
            <w:pPr>
              <w:spacing w:before="20" w:after="20"/>
              <w:rPr>
                <w:sz w:val="18"/>
              </w:rPr>
            </w:pPr>
            <w:r>
              <w:rPr>
                <w:sz w:val="18"/>
              </w:rPr>
              <w:t>Мужчины</w:t>
            </w:r>
          </w:p>
        </w:tc>
        <w:tc>
          <w:tcPr>
            <w:tcW w:w="1304" w:type="dxa"/>
            <w:tcBorders>
              <w:bottom w:val="single" w:sz="12" w:space="0" w:color="auto"/>
            </w:tcBorders>
          </w:tcPr>
          <w:p w:rsidR="003E3ADF" w:rsidRDefault="003E3ADF">
            <w:pPr>
              <w:spacing w:before="20" w:after="20"/>
              <w:jc w:val="center"/>
              <w:rPr>
                <w:sz w:val="18"/>
              </w:rPr>
            </w:pPr>
            <w:r>
              <w:rPr>
                <w:sz w:val="18"/>
              </w:rPr>
              <w:t>73%</w:t>
            </w:r>
          </w:p>
        </w:tc>
        <w:tc>
          <w:tcPr>
            <w:tcW w:w="1304" w:type="dxa"/>
            <w:tcBorders>
              <w:bottom w:val="single" w:sz="12" w:space="0" w:color="auto"/>
            </w:tcBorders>
          </w:tcPr>
          <w:p w:rsidR="003E3ADF" w:rsidRDefault="003E3ADF">
            <w:pPr>
              <w:spacing w:before="20" w:after="20"/>
              <w:jc w:val="center"/>
              <w:rPr>
                <w:sz w:val="18"/>
              </w:rPr>
            </w:pPr>
            <w:r>
              <w:rPr>
                <w:sz w:val="18"/>
              </w:rPr>
              <w:t>61%</w:t>
            </w:r>
          </w:p>
        </w:tc>
        <w:tc>
          <w:tcPr>
            <w:tcW w:w="1304" w:type="dxa"/>
            <w:tcBorders>
              <w:bottom w:val="single" w:sz="12" w:space="0" w:color="auto"/>
            </w:tcBorders>
          </w:tcPr>
          <w:p w:rsidR="003E3ADF" w:rsidRDefault="003E3ADF">
            <w:pPr>
              <w:spacing w:before="20" w:after="20"/>
              <w:jc w:val="center"/>
              <w:rPr>
                <w:sz w:val="18"/>
              </w:rPr>
            </w:pPr>
            <w:r>
              <w:rPr>
                <w:sz w:val="18"/>
              </w:rPr>
              <w:t>73%</w:t>
            </w:r>
          </w:p>
        </w:tc>
        <w:tc>
          <w:tcPr>
            <w:tcW w:w="1304" w:type="dxa"/>
            <w:tcBorders>
              <w:bottom w:val="single" w:sz="12" w:space="0" w:color="auto"/>
            </w:tcBorders>
          </w:tcPr>
          <w:p w:rsidR="003E3ADF" w:rsidRDefault="003E3ADF">
            <w:pPr>
              <w:spacing w:before="20" w:after="20"/>
              <w:jc w:val="center"/>
              <w:rPr>
                <w:sz w:val="18"/>
              </w:rPr>
            </w:pPr>
            <w:r>
              <w:rPr>
                <w:sz w:val="18"/>
              </w:rPr>
              <w:t>64%</w:t>
            </w:r>
          </w:p>
        </w:tc>
        <w:tc>
          <w:tcPr>
            <w:tcW w:w="1304" w:type="dxa"/>
            <w:tcBorders>
              <w:bottom w:val="single" w:sz="12" w:space="0" w:color="auto"/>
            </w:tcBorders>
          </w:tcPr>
          <w:p w:rsidR="003E3ADF" w:rsidRDefault="003E3ADF">
            <w:pPr>
              <w:spacing w:before="20" w:after="20"/>
              <w:jc w:val="center"/>
              <w:rPr>
                <w:sz w:val="18"/>
              </w:rPr>
            </w:pPr>
            <w:r>
              <w:rPr>
                <w:sz w:val="18"/>
              </w:rPr>
              <w:t>56%</w:t>
            </w:r>
          </w:p>
        </w:tc>
        <w:tc>
          <w:tcPr>
            <w:tcW w:w="1304" w:type="dxa"/>
            <w:tcBorders>
              <w:bottom w:val="single" w:sz="12" w:space="0" w:color="auto"/>
            </w:tcBorders>
          </w:tcPr>
          <w:p w:rsidR="003E3ADF" w:rsidRDefault="003E3ADF">
            <w:pPr>
              <w:spacing w:before="20" w:after="20"/>
              <w:jc w:val="center"/>
              <w:rPr>
                <w:sz w:val="18"/>
              </w:rPr>
            </w:pPr>
            <w:r>
              <w:rPr>
                <w:sz w:val="18"/>
              </w:rPr>
              <w:t>46%</w:t>
            </w:r>
          </w:p>
        </w:tc>
      </w:tr>
    </w:tbl>
    <w:p w:rsidR="003E3ADF" w:rsidRDefault="003E3ADF">
      <w:pPr>
        <w:spacing w:after="120"/>
        <w:ind w:left="709"/>
      </w:pPr>
    </w:p>
    <w:p w:rsidR="003E3ADF" w:rsidRDefault="003E3ADF">
      <w:pPr>
        <w:ind w:left="709"/>
      </w:pPr>
      <w:r>
        <w:t>Из таблицы видно, что показатель занятости среди иммигрантов-мужчин составлял 61 процент, а среди и</w:t>
      </w:r>
      <w:r>
        <w:t>м</w:t>
      </w:r>
      <w:r>
        <w:t>мигрантов-женщин – 52 процента. Среди населения в целом показатель занятости мужчин равнялся 73 процентам, а показатель занятости женщин – 66 процентам. Эти статистические данные также свидетельств</w:t>
      </w:r>
      <w:r>
        <w:t>у</w:t>
      </w:r>
      <w:r>
        <w:t>ют о том, что степень экономической активности и гендерные различия в экономич</w:t>
      </w:r>
      <w:r>
        <w:t>е</w:t>
      </w:r>
      <w:r>
        <w:t>ской активности варьируются в зависимости от страны происхождения иммигранта. Среди иммигрантов из Западной Европы доля занятых составляла 73 процента для мужчин и 61 процент для женщин. Среди иммигрантов из Южной и Центральной Америки соответствующий показатель равнялся 64 процентам для мужчин и 54 процентам для женщин. Среди иммигрантов из Азии доля занятых составляла 56 процентов для мужчин и 44 процента для женщин. Среди иммигрантов из Африки соответствующий показатель равнялся 46 процентам для мужчин и 36 процентам для женщин.</w:t>
      </w:r>
    </w:p>
    <w:p w:rsidR="003E3ADF" w:rsidRDefault="003E3ADF">
      <w:pPr>
        <w:ind w:left="709"/>
        <w:rPr>
          <w:b/>
          <w:sz w:val="20"/>
        </w:rPr>
      </w:pPr>
      <w:r>
        <w:rPr>
          <w:b/>
          <w:sz w:val="20"/>
        </w:rPr>
        <w:t>Уровень безработицы среди иммигрантов и населения в целом (третий квартал 2005 года)</w:t>
      </w:r>
    </w:p>
    <w:tbl>
      <w:tblPr>
        <w:tblW w:w="9129" w:type="dxa"/>
        <w:tblInd w:w="822" w:type="dxa"/>
        <w:tblLook w:val="01E0" w:firstRow="1" w:lastRow="1" w:firstColumn="1" w:lastColumn="1" w:noHBand="0" w:noVBand="0"/>
      </w:tblPr>
      <w:tblGrid>
        <w:gridCol w:w="1615"/>
        <w:gridCol w:w="1243"/>
        <w:gridCol w:w="1315"/>
        <w:gridCol w:w="1243"/>
        <w:gridCol w:w="1314"/>
        <w:gridCol w:w="1179"/>
        <w:gridCol w:w="1220"/>
      </w:tblGrid>
      <w:tr w:rsidR="003E3ADF">
        <w:tc>
          <w:tcPr>
            <w:tcW w:w="1747" w:type="dxa"/>
            <w:tcBorders>
              <w:top w:val="single" w:sz="4" w:space="0" w:color="auto"/>
              <w:bottom w:val="single" w:sz="12" w:space="0" w:color="auto"/>
            </w:tcBorders>
          </w:tcPr>
          <w:p w:rsidR="003E3ADF" w:rsidRDefault="003E3ADF">
            <w:pPr>
              <w:spacing w:before="20" w:after="20"/>
              <w:rPr>
                <w:sz w:val="18"/>
              </w:rPr>
            </w:pP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По Норвегии в целом</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Иммигранты</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Западная Европа</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Южная и Централ</w:t>
            </w:r>
            <w:r>
              <w:rPr>
                <w:b/>
                <w:bCs/>
                <w:i/>
                <w:iCs/>
                <w:sz w:val="18"/>
              </w:rPr>
              <w:t>ь</w:t>
            </w:r>
            <w:r>
              <w:rPr>
                <w:b/>
                <w:bCs/>
                <w:i/>
                <w:iCs/>
                <w:sz w:val="18"/>
              </w:rPr>
              <w:t>ная Америка</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Азия</w:t>
            </w:r>
          </w:p>
        </w:tc>
        <w:tc>
          <w:tcPr>
            <w:tcW w:w="1304" w:type="dxa"/>
            <w:tcBorders>
              <w:top w:val="single" w:sz="4" w:space="0" w:color="auto"/>
              <w:bottom w:val="single" w:sz="12" w:space="0" w:color="auto"/>
            </w:tcBorders>
            <w:vAlign w:val="bottom"/>
          </w:tcPr>
          <w:p w:rsidR="003E3ADF" w:rsidRDefault="003E3ADF">
            <w:pPr>
              <w:spacing w:before="20" w:after="20"/>
              <w:jc w:val="center"/>
              <w:rPr>
                <w:b/>
                <w:bCs/>
                <w:i/>
                <w:iCs/>
                <w:sz w:val="18"/>
              </w:rPr>
            </w:pPr>
            <w:r>
              <w:rPr>
                <w:b/>
                <w:bCs/>
                <w:i/>
                <w:iCs/>
                <w:sz w:val="18"/>
              </w:rPr>
              <w:t>Африка</w:t>
            </w:r>
          </w:p>
        </w:tc>
      </w:tr>
      <w:tr w:rsidR="003E3ADF">
        <w:tc>
          <w:tcPr>
            <w:tcW w:w="1747" w:type="dxa"/>
            <w:tcBorders>
              <w:top w:val="single" w:sz="12" w:space="0" w:color="auto"/>
            </w:tcBorders>
          </w:tcPr>
          <w:p w:rsidR="003E3ADF" w:rsidRDefault="003E3ADF">
            <w:pPr>
              <w:spacing w:before="20" w:after="20"/>
              <w:rPr>
                <w:b/>
                <w:bCs/>
                <w:sz w:val="18"/>
              </w:rPr>
            </w:pPr>
            <w:r>
              <w:rPr>
                <w:b/>
                <w:bCs/>
                <w:sz w:val="18"/>
              </w:rPr>
              <w:t>Всего</w:t>
            </w:r>
          </w:p>
        </w:tc>
        <w:tc>
          <w:tcPr>
            <w:tcW w:w="1304" w:type="dxa"/>
            <w:tcBorders>
              <w:top w:val="single" w:sz="12" w:space="0" w:color="auto"/>
            </w:tcBorders>
          </w:tcPr>
          <w:p w:rsidR="003E3ADF" w:rsidRDefault="003E3ADF">
            <w:pPr>
              <w:spacing w:before="20" w:after="20"/>
              <w:jc w:val="center"/>
              <w:rPr>
                <w:bCs/>
                <w:sz w:val="18"/>
              </w:rPr>
            </w:pPr>
            <w:r>
              <w:rPr>
                <w:bCs/>
                <w:sz w:val="18"/>
              </w:rPr>
              <w:t>3,7%</w:t>
            </w:r>
          </w:p>
        </w:tc>
        <w:tc>
          <w:tcPr>
            <w:tcW w:w="1304" w:type="dxa"/>
            <w:tcBorders>
              <w:top w:val="single" w:sz="12" w:space="0" w:color="auto"/>
            </w:tcBorders>
          </w:tcPr>
          <w:p w:rsidR="003E3ADF" w:rsidRDefault="003E3ADF">
            <w:pPr>
              <w:spacing w:before="20" w:after="20"/>
              <w:jc w:val="center"/>
              <w:rPr>
                <w:bCs/>
                <w:sz w:val="18"/>
              </w:rPr>
            </w:pPr>
            <w:r>
              <w:rPr>
                <w:bCs/>
                <w:sz w:val="18"/>
              </w:rPr>
              <w:t>9,9%</w:t>
            </w:r>
          </w:p>
        </w:tc>
        <w:tc>
          <w:tcPr>
            <w:tcW w:w="1304" w:type="dxa"/>
            <w:tcBorders>
              <w:top w:val="single" w:sz="12" w:space="0" w:color="auto"/>
            </w:tcBorders>
          </w:tcPr>
          <w:p w:rsidR="003E3ADF" w:rsidRDefault="003E3ADF">
            <w:pPr>
              <w:spacing w:before="20" w:after="20"/>
              <w:jc w:val="center"/>
              <w:rPr>
                <w:bCs/>
                <w:sz w:val="18"/>
              </w:rPr>
            </w:pPr>
          </w:p>
        </w:tc>
        <w:tc>
          <w:tcPr>
            <w:tcW w:w="1304" w:type="dxa"/>
            <w:tcBorders>
              <w:top w:val="single" w:sz="12" w:space="0" w:color="auto"/>
            </w:tcBorders>
          </w:tcPr>
          <w:p w:rsidR="003E3ADF" w:rsidRDefault="003E3ADF">
            <w:pPr>
              <w:spacing w:before="20" w:after="20"/>
              <w:jc w:val="center"/>
              <w:rPr>
                <w:bCs/>
                <w:sz w:val="18"/>
              </w:rPr>
            </w:pPr>
          </w:p>
        </w:tc>
        <w:tc>
          <w:tcPr>
            <w:tcW w:w="1304" w:type="dxa"/>
            <w:tcBorders>
              <w:top w:val="single" w:sz="12" w:space="0" w:color="auto"/>
            </w:tcBorders>
          </w:tcPr>
          <w:p w:rsidR="003E3ADF" w:rsidRDefault="003E3ADF">
            <w:pPr>
              <w:spacing w:before="20" w:after="20"/>
              <w:jc w:val="center"/>
              <w:rPr>
                <w:bCs/>
                <w:sz w:val="18"/>
              </w:rPr>
            </w:pPr>
          </w:p>
        </w:tc>
        <w:tc>
          <w:tcPr>
            <w:tcW w:w="1304" w:type="dxa"/>
            <w:tcBorders>
              <w:top w:val="single" w:sz="12" w:space="0" w:color="auto"/>
            </w:tcBorders>
          </w:tcPr>
          <w:p w:rsidR="003E3ADF" w:rsidRDefault="003E3ADF">
            <w:pPr>
              <w:spacing w:before="20" w:after="20"/>
              <w:jc w:val="center"/>
              <w:rPr>
                <w:bCs/>
                <w:sz w:val="18"/>
              </w:rPr>
            </w:pPr>
          </w:p>
        </w:tc>
      </w:tr>
      <w:tr w:rsidR="003E3ADF">
        <w:tc>
          <w:tcPr>
            <w:tcW w:w="1747" w:type="dxa"/>
          </w:tcPr>
          <w:p w:rsidR="003E3ADF" w:rsidRDefault="003E3ADF">
            <w:pPr>
              <w:spacing w:before="20" w:after="20"/>
              <w:rPr>
                <w:sz w:val="18"/>
              </w:rPr>
            </w:pPr>
            <w:r>
              <w:rPr>
                <w:sz w:val="18"/>
              </w:rPr>
              <w:t>Женщины</w:t>
            </w:r>
          </w:p>
        </w:tc>
        <w:tc>
          <w:tcPr>
            <w:tcW w:w="1304" w:type="dxa"/>
          </w:tcPr>
          <w:p w:rsidR="003E3ADF" w:rsidRDefault="003E3ADF">
            <w:pPr>
              <w:spacing w:before="20" w:after="20"/>
              <w:jc w:val="center"/>
              <w:rPr>
                <w:bCs/>
                <w:sz w:val="18"/>
              </w:rPr>
            </w:pPr>
            <w:r>
              <w:rPr>
                <w:bCs/>
                <w:sz w:val="18"/>
              </w:rPr>
              <w:t>3,8%</w:t>
            </w:r>
          </w:p>
        </w:tc>
        <w:tc>
          <w:tcPr>
            <w:tcW w:w="1304" w:type="dxa"/>
          </w:tcPr>
          <w:p w:rsidR="003E3ADF" w:rsidRDefault="003E3ADF">
            <w:pPr>
              <w:spacing w:before="20" w:after="20"/>
              <w:jc w:val="center"/>
              <w:rPr>
                <w:bCs/>
                <w:sz w:val="18"/>
              </w:rPr>
            </w:pPr>
            <w:r>
              <w:rPr>
                <w:bCs/>
                <w:sz w:val="18"/>
              </w:rPr>
              <w:t>9,9%</w:t>
            </w:r>
          </w:p>
        </w:tc>
        <w:tc>
          <w:tcPr>
            <w:tcW w:w="1304" w:type="dxa"/>
          </w:tcPr>
          <w:p w:rsidR="003E3ADF" w:rsidRDefault="003E3ADF">
            <w:pPr>
              <w:spacing w:before="20" w:after="20"/>
              <w:jc w:val="center"/>
              <w:rPr>
                <w:bCs/>
                <w:sz w:val="18"/>
              </w:rPr>
            </w:pPr>
          </w:p>
        </w:tc>
        <w:tc>
          <w:tcPr>
            <w:tcW w:w="1304" w:type="dxa"/>
          </w:tcPr>
          <w:p w:rsidR="003E3ADF" w:rsidRDefault="003E3ADF">
            <w:pPr>
              <w:spacing w:before="20" w:after="20"/>
              <w:jc w:val="center"/>
              <w:rPr>
                <w:bCs/>
                <w:sz w:val="18"/>
              </w:rPr>
            </w:pPr>
          </w:p>
        </w:tc>
        <w:tc>
          <w:tcPr>
            <w:tcW w:w="1304" w:type="dxa"/>
          </w:tcPr>
          <w:p w:rsidR="003E3ADF" w:rsidRDefault="003E3ADF">
            <w:pPr>
              <w:spacing w:before="20" w:after="20"/>
              <w:jc w:val="center"/>
              <w:rPr>
                <w:bCs/>
                <w:sz w:val="18"/>
              </w:rPr>
            </w:pPr>
            <w:r>
              <w:rPr>
                <w:bCs/>
                <w:sz w:val="18"/>
              </w:rPr>
              <w:t>14%</w:t>
            </w:r>
          </w:p>
        </w:tc>
        <w:tc>
          <w:tcPr>
            <w:tcW w:w="1304" w:type="dxa"/>
          </w:tcPr>
          <w:p w:rsidR="003E3ADF" w:rsidRDefault="003E3ADF">
            <w:pPr>
              <w:spacing w:before="20" w:after="20"/>
              <w:jc w:val="center"/>
              <w:rPr>
                <w:bCs/>
                <w:sz w:val="18"/>
              </w:rPr>
            </w:pPr>
            <w:r>
              <w:rPr>
                <w:bCs/>
                <w:sz w:val="18"/>
              </w:rPr>
              <w:t>17%</w:t>
            </w:r>
          </w:p>
        </w:tc>
      </w:tr>
      <w:tr w:rsidR="003E3ADF">
        <w:tc>
          <w:tcPr>
            <w:tcW w:w="1747" w:type="dxa"/>
            <w:tcBorders>
              <w:bottom w:val="single" w:sz="12" w:space="0" w:color="auto"/>
            </w:tcBorders>
          </w:tcPr>
          <w:p w:rsidR="003E3ADF" w:rsidRDefault="003E3ADF">
            <w:pPr>
              <w:spacing w:before="20" w:after="20"/>
              <w:rPr>
                <w:sz w:val="18"/>
              </w:rPr>
            </w:pPr>
            <w:r>
              <w:rPr>
                <w:sz w:val="18"/>
              </w:rPr>
              <w:t>Мужчины</w:t>
            </w:r>
          </w:p>
        </w:tc>
        <w:tc>
          <w:tcPr>
            <w:tcW w:w="1304" w:type="dxa"/>
            <w:tcBorders>
              <w:bottom w:val="single" w:sz="12" w:space="0" w:color="auto"/>
            </w:tcBorders>
          </w:tcPr>
          <w:p w:rsidR="003E3ADF" w:rsidRDefault="003E3ADF">
            <w:pPr>
              <w:spacing w:before="20" w:after="20"/>
              <w:jc w:val="center"/>
              <w:rPr>
                <w:bCs/>
                <w:sz w:val="18"/>
              </w:rPr>
            </w:pPr>
            <w:r>
              <w:rPr>
                <w:bCs/>
                <w:sz w:val="18"/>
              </w:rPr>
              <w:t>3,6%</w:t>
            </w:r>
          </w:p>
        </w:tc>
        <w:tc>
          <w:tcPr>
            <w:tcW w:w="1304" w:type="dxa"/>
            <w:tcBorders>
              <w:bottom w:val="single" w:sz="12" w:space="0" w:color="auto"/>
            </w:tcBorders>
          </w:tcPr>
          <w:p w:rsidR="003E3ADF" w:rsidRDefault="003E3ADF">
            <w:pPr>
              <w:spacing w:before="20" w:after="20"/>
              <w:jc w:val="center"/>
              <w:rPr>
                <w:bCs/>
                <w:sz w:val="18"/>
              </w:rPr>
            </w:pPr>
            <w:r>
              <w:rPr>
                <w:bCs/>
                <w:sz w:val="18"/>
              </w:rPr>
              <w:t>9,8%</w:t>
            </w:r>
          </w:p>
        </w:tc>
        <w:tc>
          <w:tcPr>
            <w:tcW w:w="1304" w:type="dxa"/>
            <w:tcBorders>
              <w:bottom w:val="single" w:sz="12" w:space="0" w:color="auto"/>
            </w:tcBorders>
          </w:tcPr>
          <w:p w:rsidR="003E3ADF" w:rsidRDefault="003E3ADF">
            <w:pPr>
              <w:spacing w:before="20" w:after="20"/>
              <w:jc w:val="center"/>
              <w:rPr>
                <w:bCs/>
                <w:sz w:val="18"/>
              </w:rPr>
            </w:pPr>
          </w:p>
        </w:tc>
        <w:tc>
          <w:tcPr>
            <w:tcW w:w="1304" w:type="dxa"/>
            <w:tcBorders>
              <w:bottom w:val="single" w:sz="12" w:space="0" w:color="auto"/>
            </w:tcBorders>
          </w:tcPr>
          <w:p w:rsidR="003E3ADF" w:rsidRDefault="003E3ADF">
            <w:pPr>
              <w:spacing w:before="20" w:after="20"/>
              <w:jc w:val="center"/>
              <w:rPr>
                <w:bCs/>
                <w:sz w:val="18"/>
              </w:rPr>
            </w:pPr>
          </w:p>
        </w:tc>
        <w:tc>
          <w:tcPr>
            <w:tcW w:w="1304" w:type="dxa"/>
            <w:tcBorders>
              <w:bottom w:val="single" w:sz="12" w:space="0" w:color="auto"/>
            </w:tcBorders>
          </w:tcPr>
          <w:p w:rsidR="003E3ADF" w:rsidRDefault="003E3ADF">
            <w:pPr>
              <w:spacing w:before="20" w:after="20"/>
              <w:jc w:val="center"/>
              <w:rPr>
                <w:bCs/>
                <w:sz w:val="18"/>
              </w:rPr>
            </w:pPr>
          </w:p>
        </w:tc>
        <w:tc>
          <w:tcPr>
            <w:tcW w:w="1304" w:type="dxa"/>
            <w:tcBorders>
              <w:bottom w:val="single" w:sz="12" w:space="0" w:color="auto"/>
            </w:tcBorders>
          </w:tcPr>
          <w:p w:rsidR="003E3ADF" w:rsidRDefault="003E3ADF">
            <w:pPr>
              <w:spacing w:before="20" w:after="20"/>
              <w:jc w:val="center"/>
              <w:rPr>
                <w:bCs/>
                <w:sz w:val="18"/>
              </w:rPr>
            </w:pPr>
          </w:p>
        </w:tc>
      </w:tr>
    </w:tbl>
    <w:p w:rsidR="003E3ADF" w:rsidRDefault="003E3ADF">
      <w:pPr>
        <w:pStyle w:val="H56"/>
        <w:keepNext w:val="0"/>
        <w:keepLines w:val="0"/>
        <w:tabs>
          <w:tab w:val="clear" w:pos="360"/>
        </w:tabs>
        <w:suppressAutoHyphens w:val="0"/>
        <w:spacing w:after="120" w:line="240" w:lineRule="auto"/>
        <w:outlineLvl w:val="9"/>
        <w:rPr>
          <w:spacing w:val="0"/>
          <w:w w:val="100"/>
        </w:rPr>
      </w:pPr>
    </w:p>
    <w:p w:rsidR="003E3ADF" w:rsidRDefault="003E3ADF">
      <w:pPr>
        <w:ind w:left="709"/>
      </w:pPr>
      <w:r>
        <w:t>Уровень зарегистрированной безработицы среди иммигрантов снизился на один процент с 9,4 процента в четвертом квартале 2004 года до 8,4 процента в четвертом квартале 2005 года. Среди остальной части населения уровень безработицы снизился с 3,1 процента до 2,6 процента. В качестве безработных были зарегистрированы 14 200 иммигрантов, что означает, что каждый пятый безработный является иммигрантом. Среди иммигрантов-мужчин уровень безработицы за период с четвертого квартала 2004 года по четвертый квартал 2005 года снизился на 1,4 процента. Среди женщин этот показатель снизился лишь на 0,4 процента. Эта тенденция помогла в большей или меньшей степени устранить разницу в показателях занятости между иммигрантами-мужчинами и иммигра</w:t>
      </w:r>
      <w:r>
        <w:t>н</w:t>
      </w:r>
      <w:r>
        <w:t>тами-женщинами (соответственно, 8,4 и 8,3 процента). Среди иммигрантов-мужчин традиционно наблюдался более высокий уровень зарегистрированной безработицы, чем среди иммигрантов-женщин. Среди остального населения уровень безработицы среди мужчин составлял 2,7 процента, а среди женщин – 2,6 процента. И в данном конкретном случае снижение безработицы среди мужчин оказалось несколько бóльшим, чем среди женщин (0,6 процента по сравнению с 0,3 процента).</w:t>
      </w:r>
    </w:p>
    <w:p w:rsidR="003E3ADF" w:rsidRDefault="003E3ADF">
      <w:pPr>
        <w:ind w:left="709"/>
      </w:pPr>
      <w:r>
        <w:t>В 2004 году Министерство труда и социальной интеграции (бывшее Министерство по вопросам м</w:t>
      </w:r>
      <w:r>
        <w:t>е</w:t>
      </w:r>
      <w:r>
        <w:t xml:space="preserve">стного самоуправления и регионального развития) организовало пилотный проект для изучения того, насколько жители Норвегии, особенно женщины из числа иммигрантов из </w:t>
      </w:r>
      <w:r>
        <w:br/>
        <w:t>незападных стран, осведомл</w:t>
      </w:r>
      <w:r>
        <w:t>е</w:t>
      </w:r>
      <w:r>
        <w:t>ны о препятствиях на пути приобретения специальности и трудоустройства. Осенью 2004 года был завершен доклад, составленный преимущественно на основе имеющейся литературы. В докладе отмечается, что почти не проводилось исследов</w:t>
      </w:r>
      <w:r>
        <w:t>а</w:t>
      </w:r>
      <w:r>
        <w:t>ний, конкретно посвященных вопросам участия женщин из числа иммигрантов в системе приобретения специальности или в трудовой жизни, и что по данной теме необходимо иметь больший объем информации. В докладе содержится рекомендация относительно того, чтобы в будущем исследовании больше внимания было уделено вопросам равенства женщин и мужчин в финансовом отношении и факторам, вынужда</w:t>
      </w:r>
      <w:r>
        <w:t>ю</w:t>
      </w:r>
      <w:r>
        <w:t>щим женщин занимать низкое положение в сфере труда. Доклад подкрепляет предположение о том, что женщины-иммигранты сталкиваются с особенно серьезными препятствиями в своей трудовой деятельности.</w:t>
      </w:r>
    </w:p>
    <w:p w:rsidR="003E3ADF" w:rsidRDefault="003E3ADF">
      <w:pPr>
        <w:ind w:left="709"/>
      </w:pPr>
      <w:r>
        <w:t>Иммигранты второго поколения представляют собой группу молодых людей, многие из которых в н</w:t>
      </w:r>
      <w:r>
        <w:t>а</w:t>
      </w:r>
      <w:r>
        <w:t>стоящее время посещают учебные заведения и еще не вышли на рынок труда. Показатели занятости по состоянию на конец четвертого квартала 2004 года свидетельствуют о том, что приблизительно 66 процентов иммигрантов второго поколения в возрастной группе 20–24 года имели работу по сравнению с 50 процентами иммигрантов первого поколения. Среди остального населения уровень занятости в данной возрастной группе составлял 71,6</w:t>
      </w:r>
      <w:r>
        <w:rPr>
          <w:lang w:val="en-US"/>
        </w:rPr>
        <w:t> </w:t>
      </w:r>
      <w:r>
        <w:t>процента. Один из аспектов ситуации с занятостью среди иммигрантов второго поколения, являющихся выходцами из незападных стран, – высокая доля работающих молодых женщин. Именно их вкладом можно объяснить более высокий уровень занятости среди иммигрантов второго поколения по сравнению с иммигрантами первого поколения. К числу необычных выводов относится то, что среди иммигрантов второго поколения – выходцев из незападных стран в возрастной группе 20–24 года уровень занятости женщин (67 процентов) выше, чем уровень занятости мужчин (65 процентов). Среди иммигрантов первого поколения уровень занятости мужчин был на 8 процентов выше уровня занятости женщин (54 и 46 процента), а среди граждан, не являющихся иммигрантами, уровень занятости мужчин и женщин был более или менее одинаковым (приблизительно 71,5 процента).</w:t>
      </w:r>
    </w:p>
    <w:p w:rsidR="003E3ADF" w:rsidRDefault="003E3ADF">
      <w:pPr>
        <w:ind w:left="709"/>
      </w:pPr>
      <w:r>
        <w:t>В 2004 году Министерство по делам местного самоуправления и регионального развития поддержало проект под названием "Ведущая десятка женщин из других стран". Цель проекта состоит в том, чтобы повысить информированность населения Норвегии о компетентности и трудовых навыках женщин-иммигрантов, особенно тех из них, которые являются выходцами из незападных стран, и содействовать их признанию в сфере труда. Эта задача решается путем поиска положительных примеров женщин, добившихся успехов в трудовой сфере, и описания используемых ими способов преодоления препятствий. Это может помочь другим женщинам понять себя и дать им идеи о том, как лучше преодолеть те препятствия, с которыми они сталкиваются. Средства массовой информации проявили интерес к данному проекту и помогли повысить степень информированности участников.</w:t>
      </w:r>
    </w:p>
    <w:p w:rsidR="003E3ADF" w:rsidRDefault="003E3ADF">
      <w:pPr>
        <w:keepNext/>
        <w:tabs>
          <w:tab w:val="clear" w:pos="1361"/>
          <w:tab w:val="right" w:pos="567"/>
          <w:tab w:val="left" w:pos="680"/>
          <w:tab w:val="left" w:pos="1247"/>
        </w:tabs>
        <w:ind w:left="709" w:hanging="709"/>
      </w:pPr>
      <w:r>
        <w:tab/>
        <w:t>2.5.2</w:t>
      </w:r>
      <w:r>
        <w:tab/>
        <w:t>Статья 11.1</w:t>
      </w:r>
      <w:r>
        <w:rPr>
          <w:lang w:val="en-US"/>
        </w:rPr>
        <w:t>b</w:t>
      </w:r>
      <w:r>
        <w:t>.  Равные возможности в сфере труда</w:t>
      </w:r>
    </w:p>
    <w:p w:rsidR="003E3ADF" w:rsidRDefault="003E3ADF">
      <w:pPr>
        <w:ind w:left="709"/>
      </w:pPr>
      <w:r>
        <w:t>Рынок труда является важной областью для приложения усилий, направленных на поощрение гендерн</w:t>
      </w:r>
      <w:r>
        <w:t>о</w:t>
      </w:r>
      <w:r>
        <w:t xml:space="preserve">го равенства и улучшение положения женщин в целом. В трудовом законодательстве Норвегии содержатся жесткие требования, касающиеся условий труда, и гарантируется, что как трудящиеся-женщины, так и трудящиеся-мужчины имеют надлежащие права в связи с беременностью, рождением детей и уходом за детьми. </w:t>
      </w:r>
    </w:p>
    <w:p w:rsidR="003E3ADF" w:rsidRDefault="003E3ADF">
      <w:pPr>
        <w:ind w:left="709"/>
        <w:rPr>
          <w:i/>
        </w:rPr>
      </w:pPr>
      <w:r>
        <w:rPr>
          <w:i/>
        </w:rPr>
        <w:t>Законодательные поправки и меры</w:t>
      </w:r>
    </w:p>
    <w:p w:rsidR="003E3ADF" w:rsidRDefault="003E3ADF">
      <w:pPr>
        <w:ind w:left="709"/>
      </w:pPr>
      <w:r>
        <w:t>В Закон об условиях труда был включен ряд новых правил, которые могут помочь укрепить положение же</w:t>
      </w:r>
      <w:r>
        <w:t>н</w:t>
      </w:r>
      <w:r>
        <w:t>щин на рынке труда. Одна из целей состоит в том, чтобы сократить уровень неполной занятости среди частично занятых лиц. Для большинства людей неполная занятость – это относительно кратковр</w:t>
      </w:r>
      <w:r>
        <w:t>е</w:t>
      </w:r>
      <w:r>
        <w:t>менное явление. Однако 15 процентов трудящихся остаются неполностью занятыми по истечении 9 месяцев или более длительного периода времени. В качестве одного из способов сокращения неполной занятости лицам, работающим неполный рабочий день или неполную неделю, в настоящее время предоставлено законное право на увеличение количества рабочих часов до приема администрацией на работу новых сотрудников. Новая Служба по вопросам труда и социального обеспечения (</w:t>
      </w:r>
      <w:r>
        <w:rPr>
          <w:lang w:val="en-US"/>
        </w:rPr>
        <w:t>NAV</w:t>
      </w:r>
      <w:r>
        <w:t>), которая отвечает за работу официал</w:t>
      </w:r>
      <w:r>
        <w:t>ь</w:t>
      </w:r>
      <w:r>
        <w:t>ных агентств по трудоустройству, также должна оказывать таким частично безработным лицам помощь наравне с полностью безработными. Лица, работающие неполный рабочий день или неделю, которые желают работать более продолжительное время и которые зарегистрированы в Службе по вопросам труда и социального обеспечения как частично безработные, имеют доступ к услугам этой службы. Те лица, которые имеют право на ежедневное пособие по безработице, получают такое пособие.</w:t>
      </w:r>
    </w:p>
    <w:p w:rsidR="003E3ADF" w:rsidRDefault="003E3ADF">
      <w:pPr>
        <w:ind w:left="709"/>
      </w:pPr>
      <w:r>
        <w:t>В Закон об условиях труда также включена новая глава, касающаяся равного обращения в сфере труда. О</w:t>
      </w:r>
      <w:r>
        <w:t>с</w:t>
      </w:r>
      <w:r>
        <w:t>новным положением данной главы является положение, запрещающее дискриминацию по признаку пола и другим признакам. В Законе содержится специальная ссылка на Закон о гендерном равенстве; это позволит лучше продемонстрировать, что положения Закона о гендерном равенстве, касающиеся запрета дискримин</w:t>
      </w:r>
      <w:r>
        <w:t>а</w:t>
      </w:r>
      <w:r>
        <w:t>ции, также относятся к сфере действия Закона об условиях труда. Еще одно новое положение Закона об условиях труда предусматривает право на гибкий график работы при условии, что такой график не будет наносить существенного ущерба работе соответствующего предприятия. "Гибкий график работы" подраз</w:t>
      </w:r>
      <w:r>
        <w:t>у</w:t>
      </w:r>
      <w:r>
        <w:t>мевает, что работник может в определенных пределах самосто</w:t>
      </w:r>
      <w:r>
        <w:t>я</w:t>
      </w:r>
      <w:r>
        <w:t>тельно выбирать время своей работы. Это позволяет обеспечить большую гибкость в повседневной жизни и представляет особую важность для родителей, имеющих малолетних детей, или других лиц, выполня</w:t>
      </w:r>
      <w:r>
        <w:t>ю</w:t>
      </w:r>
      <w:r>
        <w:t>щих обязанности по уходу. В Законе об условиях труда предусматривается, что лица, работающие посменно или на основе ротации, имеют право на укороченную рабочую неделю. Некоторые люди придерживаются мнения, что метод сравнения продолж</w:t>
      </w:r>
      <w:r>
        <w:t>и</w:t>
      </w:r>
      <w:r>
        <w:t>тельности рабочего дня при ротационной и сменной системах ставит в невыгодное положение лиц, работающих в условиях ротационной системы. Такая система главным образом применяется в профессиях, в которых обычно доминируют женщины, как, например, медици</w:t>
      </w:r>
      <w:r>
        <w:t>н</w:t>
      </w:r>
      <w:r>
        <w:t>ские сестры. Правительство приступило к созданию рабочей группы в составе представителей социальных партнеров, которой поручено выработать согласованное определение критериев, необходимых для того, чтобы привести трехступенчатую ротацио</w:t>
      </w:r>
      <w:r>
        <w:t>н</w:t>
      </w:r>
      <w:r>
        <w:t>ную систему в соответствие с непрерывной сменной системой. Рабочая группа планирует завершить свою работу летом 2006 года.</w:t>
      </w:r>
    </w:p>
    <w:p w:rsidR="003E3ADF" w:rsidRDefault="003E3ADF">
      <w:pPr>
        <w:ind w:left="709"/>
        <w:rPr>
          <w:i/>
        </w:rPr>
      </w:pPr>
      <w:r>
        <w:rPr>
          <w:i/>
        </w:rPr>
        <w:t>Нежелательная частичная занятость</w:t>
      </w:r>
    </w:p>
    <w:p w:rsidR="003E3ADF" w:rsidRDefault="003E3ADF">
      <w:pPr>
        <w:ind w:left="709"/>
      </w:pPr>
      <w:r>
        <w:t>Нежелательная частичная занятость характерна для лиц, которые имеют работу, но хотели бы раб</w:t>
      </w:r>
      <w:r>
        <w:t>о</w:t>
      </w:r>
      <w:r>
        <w:t>тать более длительное время, однако в силу различных причин лишены такой возможности. Нежелател</w:t>
      </w:r>
      <w:r>
        <w:t>ь</w:t>
      </w:r>
      <w:r>
        <w:t>ная частичная занятость является одним из видов неполной занятости или частичной безработицы среди некоторых групп трудящихся. Эти группы обычно занимаются розничной торговлей, однако данная проблема также касается женщин, работающих в секторе здравоохранения и социальных услуг, а также некоторых женщин, работающих в сфере образования и технических подразделениях муниципального сектора. В секторе здравоохранения и социальных услуг они представляют собой резерв рабочей силы, однако их численность ниже той, которая предполагалась ранее. Нежелательная частичная занятость также имеет место в некоторых областях, в которых наблюдаются пики трудовой нагрузки в течение дня или недели, таких как центры присмотра за детьми школьного возраста в дневное время. Норвежская ассоциация местных и региональных органов власти прилагает активные усилия для того, чтобы обеспечить лиц, работающих неполный рабочий день или неполную неделю, большим объемом работы. Эти усилия имеют важное значение для сокращения нежелательной частичной занятости и для удовлетворения растущей потребности в рабочей силе. Женщины, работающие на основе ротации, часто останавл</w:t>
      </w:r>
      <w:r>
        <w:t>и</w:t>
      </w:r>
      <w:r>
        <w:t>вают свой выбор на частичной занятости, с тем чтобы избежать работы в неудобное для них время. Многие муниципалитеты ввели гибкий график работы, который часто именуют "желательной ротацией", когда работники сами принимают участие в составлении графика ротации, обеспечивая тем самым, чтобы время, отводимое на отдых и на труд, лучше соответствовало потребностям работников.</w:t>
      </w:r>
    </w:p>
    <w:p w:rsidR="003E3ADF" w:rsidRDefault="003E3ADF">
      <w:pPr>
        <w:ind w:left="709"/>
      </w:pPr>
      <w:r>
        <w:t>Социальные партнеры участвовали в осуществлении проекта НИОКР (2004–2005 годы), направле</w:t>
      </w:r>
      <w:r>
        <w:t>н</w:t>
      </w:r>
      <w:r>
        <w:t>ного на сокращение нежелательной частичной занятости. Данный проект финансировался заинтересова</w:t>
      </w:r>
      <w:r>
        <w:t>н</w:t>
      </w:r>
      <w:r>
        <w:t>ными сторонами, и в нем принимали участие 16 муниципалитетов. Для участия в данном проекте были отобраны муниципалитеты, которые отличались особым интересом к данному вопросу и/или которые уже участвовали в мероприятиях по сокращению нежелательной частичной занятости. По результатам осуществления указанного проекта был опубликован справочник под названием "Думай, желай, делай – способы сокращения нежелательной частичной занятости". В этом справочнике рассказывается о возможных перспективных процессах и новых идеях, которые помогли сократить нежелательную частичную занятость в пилотных муниципалитетах.</w:t>
      </w:r>
    </w:p>
    <w:p w:rsidR="003E3ADF" w:rsidRDefault="003E3ADF">
      <w:pPr>
        <w:ind w:left="709"/>
        <w:rPr>
          <w:i/>
        </w:rPr>
      </w:pPr>
      <w:r>
        <w:rPr>
          <w:i/>
        </w:rPr>
        <w:t>Женщины с ограниченными физическими возможностями</w:t>
      </w:r>
    </w:p>
    <w:p w:rsidR="003E3ADF" w:rsidRDefault="003E3ADF">
      <w:pPr>
        <w:ind w:left="709"/>
      </w:pPr>
      <w:r>
        <w:t>Гендерный фактор является одним из нескольких важнейших факторов, влияющих на повседневную жизнь людей с ограниченными физическими возможностями. В Норвегии и странах Северной Европы гендерный фактор редко учитывается в научных исследованиях, посвященных вопросам инвалидности. Инвалидов часто рассматр</w:t>
      </w:r>
      <w:r>
        <w:t>и</w:t>
      </w:r>
      <w:r>
        <w:t>вают как отдельную группу, и между женщинами и мужчинами, между девочками и мальчиками почти не проводится никаких различий.</w:t>
      </w:r>
    </w:p>
    <w:p w:rsidR="003E3ADF" w:rsidRDefault="003E3ADF">
      <w:pPr>
        <w:ind w:left="709"/>
      </w:pPr>
      <w:r>
        <w:t>Хотя женщинам и мужчинам с ограниченными физическими возможностями и присущи многие общие че</w:t>
      </w:r>
      <w:r>
        <w:t>р</w:t>
      </w:r>
      <w:r>
        <w:t>ты, женщины во многих случаях сталкиваются с двойной дискриминацией. Иногда они оказыв</w:t>
      </w:r>
      <w:r>
        <w:t>а</w:t>
      </w:r>
      <w:r>
        <w:t>ются в более уязвимом положении, чем мужчины в аналогичной ситуации. Социальная изоляция, с которой сталкиваются женщины с ограниченными физическими возможностями, нельзя объяснить одной лишь инвалидностью; при этом необходимо также учитывать гендерный фактор.</w:t>
      </w:r>
    </w:p>
    <w:p w:rsidR="003E3ADF" w:rsidRDefault="003E3ADF">
      <w:pPr>
        <w:ind w:left="709"/>
      </w:pPr>
      <w:r>
        <w:t>Лица с ограниченными физическими возможностями имеют более низкий уровень образования, чем остал</w:t>
      </w:r>
      <w:r>
        <w:t>ь</w:t>
      </w:r>
      <w:r>
        <w:t>ное население. Наиболее заметно это отличие проявляется на уровне колледжей и университетов. Полное среднее образование является высшим уровнем образования для 40,7 процента лиц с ограниче</w:t>
      </w:r>
      <w:r>
        <w:t>н</w:t>
      </w:r>
      <w:r>
        <w:t>ными физическими возможностями, тогда как соответствующий показатель для обычных людей равен 43,1 процента. Колледж или университет является высшей ступенью образования для 38,5 процента лиц с ограниченными физическими возможностями и для 46,3 процента обычных людей. Уровень образования женщин с ограниченными физическ</w:t>
      </w:r>
      <w:r>
        <w:t>и</w:t>
      </w:r>
      <w:r>
        <w:t>ми возможностями чуть выше, чем уровень образования мужчин.</w:t>
      </w:r>
    </w:p>
    <w:p w:rsidR="003E3ADF" w:rsidRDefault="003E3ADF">
      <w:pPr>
        <w:ind w:left="709"/>
      </w:pPr>
      <w:r>
        <w:t>Лица, утратившие профессиональную трудоспособность, представляют собой отдельную целевую группу в политике, проводимой на рынке труда. Это означает, что в рамках трудовых инициатив лицам с ограниченными физическими возможностями отдается приоритет и что особый упор делается на контроль за ними. Разрабатыв</w:t>
      </w:r>
      <w:r>
        <w:t>а</w:t>
      </w:r>
      <w:r>
        <w:t>ются индивидуальные планы контроля, касающиеся найма, профессиональной подготовки и повышения компетентности таких лиц. Эти меры одинаковы для мужчин и женщин. Перед новым омбудсменом по вопросам равенства и запрета дискриминации также стоит задача усилить антидискриминационные положения, содерж</w:t>
      </w:r>
      <w:r>
        <w:t>а</w:t>
      </w:r>
      <w:r>
        <w:t>щиеся в Законе об условиях труда. Эти положения запрещают дискриминацию на рынке труда по таким признакам, как пол и этническое происхождение, а также по признаку инвалидн</w:t>
      </w:r>
      <w:r>
        <w:t>о</w:t>
      </w:r>
      <w:r>
        <w:t>сти. Власти связывают большие надежды с новым антидискриминационным механизмом, призванным обеспечить широкий и комплексный подход к дискриминации и обладающим потенциалом для борьбы со всеми видами дискриминации, включая сложные случаи множественной дискриминации.</w:t>
      </w:r>
    </w:p>
    <w:p w:rsidR="003E3ADF" w:rsidRDefault="003E3ADF">
      <w:pPr>
        <w:ind w:left="709"/>
      </w:pPr>
      <w:r>
        <w:t>Суть инициативы под названием "Всеобъемлющая трудовая жизнь" состоит в том, чтобы руководство и р</w:t>
      </w:r>
      <w:r>
        <w:t>а</w:t>
      </w:r>
      <w:r>
        <w:t>ботники сообща стремились создать рабочую среду, благоприятную для здоровья. Надежный контроль за состоянием здоровья людей, которые находятся в отпуске по болезни, и лиц с ограниченными физическими возможностями поможет уменьшить число пропускаемых по болезни рабочих дней и помешать исключению людей из трудовой жизни из-за проблем со здоровьем. В рамках этих усилий в 2002 году был организован научно-исследовательский проект для выяснения того, эффективна ли проводимая работодателями политика на практике, и создан ряд сетей, таких как сети по повышению эффективности и программа "Добро людям", для содействия развитию сотрудничества между муницип</w:t>
      </w:r>
      <w:r>
        <w:t>а</w:t>
      </w:r>
      <w:r>
        <w:t>литетами.</w:t>
      </w:r>
    </w:p>
    <w:p w:rsidR="003E3ADF" w:rsidRDefault="003E3ADF">
      <w:pPr>
        <w:ind w:left="709"/>
      </w:pPr>
      <w:r>
        <w:t>Результаты "Обследования трудовых ресурсов", которое было проведено во втором квартале 2005</w:t>
      </w:r>
      <w:r>
        <w:rPr>
          <w:lang w:val="en-US"/>
        </w:rPr>
        <w:t> </w:t>
      </w:r>
      <w:r>
        <w:t>года, св</w:t>
      </w:r>
      <w:r>
        <w:t>и</w:t>
      </w:r>
      <w:r>
        <w:t>детельствуют о том, что 47 процентов норвежских мужчин с ограниченными физическими возможност</w:t>
      </w:r>
      <w:r>
        <w:t>я</w:t>
      </w:r>
      <w:r>
        <w:t>ми имеют работу по сравнению с 42 процентами женщин. В составе рабочей силы доля частично занятых была гораздо выше среди лиц с ограниченными физическими возможностями, чем среди работников в целом (42</w:t>
      </w:r>
      <w:r>
        <w:rPr>
          <w:lang w:val="en-US"/>
        </w:rPr>
        <w:t> </w:t>
      </w:r>
      <w:r>
        <w:t>процента по сравнению с 26 процентами). Работающие женщины с ограниченными физическими возможностями составляли наибольшую долю среди частично занятых лиц: 60 процентов по сравнению с 43 процентами для работающих женщин в целом. Среди мужчин соответс</w:t>
      </w:r>
      <w:r>
        <w:t>т</w:t>
      </w:r>
      <w:r>
        <w:t>вующие показатели составляли 23 процента и 12 процентов.</w:t>
      </w:r>
    </w:p>
    <w:p w:rsidR="003E3ADF" w:rsidRDefault="003E3ADF">
      <w:pPr>
        <w:ind w:left="709"/>
      </w:pPr>
      <w:r>
        <w:t>Представленные ниже цифры взяты из Обследования трудовых ресурсов, проведенного Статистич</w:t>
      </w:r>
      <w:r>
        <w:t>е</w:t>
      </w:r>
      <w:r>
        <w:t>ским управлением Норвегии, и отражают число работающих в различных секторах лиц, которые, по их словам, обладают теми или иными физическими недостатками или ограниченными возможностями.</w:t>
      </w:r>
    </w:p>
    <w:p w:rsidR="003E3ADF" w:rsidRDefault="003E3ADF">
      <w:pPr>
        <w:ind w:left="709"/>
        <w:rPr>
          <w:b/>
          <w:sz w:val="20"/>
        </w:rPr>
      </w:pPr>
      <w:r>
        <w:rPr>
          <w:b/>
          <w:sz w:val="20"/>
        </w:rPr>
        <w:t>Доля работников с ограниченными физическими возможностями</w:t>
      </w:r>
    </w:p>
    <w:tbl>
      <w:tblPr>
        <w:tblW w:w="9129" w:type="dxa"/>
        <w:tblInd w:w="822" w:type="dxa"/>
        <w:tblLook w:val="01E0" w:firstRow="1" w:lastRow="1" w:firstColumn="1" w:lastColumn="1" w:noHBand="0" w:noVBand="0"/>
      </w:tblPr>
      <w:tblGrid>
        <w:gridCol w:w="5599"/>
        <w:gridCol w:w="3530"/>
      </w:tblGrid>
      <w:tr w:rsidR="003E3ADF">
        <w:tc>
          <w:tcPr>
            <w:tcW w:w="5920" w:type="dxa"/>
            <w:tcBorders>
              <w:top w:val="single" w:sz="4" w:space="0" w:color="auto"/>
              <w:bottom w:val="single" w:sz="12" w:space="0" w:color="auto"/>
            </w:tcBorders>
            <w:vAlign w:val="bottom"/>
          </w:tcPr>
          <w:p w:rsidR="003E3ADF" w:rsidRDefault="003E3ADF">
            <w:pPr>
              <w:pStyle w:val="Heading1"/>
              <w:spacing w:before="20" w:after="20"/>
              <w:ind w:left="0" w:firstLine="0"/>
              <w:rPr>
                <w:i/>
                <w:iCs/>
                <w:sz w:val="18"/>
              </w:rPr>
            </w:pPr>
            <w:r>
              <w:rPr>
                <w:i/>
                <w:iCs/>
                <w:sz w:val="18"/>
              </w:rPr>
              <w:t>Отрасль промышленности</w:t>
            </w:r>
          </w:p>
        </w:tc>
        <w:tc>
          <w:tcPr>
            <w:tcW w:w="3651" w:type="dxa"/>
            <w:tcBorders>
              <w:top w:val="single" w:sz="4" w:space="0" w:color="auto"/>
              <w:bottom w:val="single" w:sz="12" w:space="0" w:color="auto"/>
            </w:tcBorders>
          </w:tcPr>
          <w:p w:rsidR="003E3ADF" w:rsidRDefault="003E3ADF">
            <w:pPr>
              <w:spacing w:before="20" w:after="20"/>
              <w:jc w:val="center"/>
              <w:rPr>
                <w:i/>
                <w:iCs/>
                <w:sz w:val="18"/>
              </w:rPr>
            </w:pPr>
            <w:r>
              <w:rPr>
                <w:b/>
                <w:i/>
                <w:iCs/>
                <w:sz w:val="18"/>
              </w:rPr>
              <w:t>Доля работников с ограниченными физич</w:t>
            </w:r>
            <w:r>
              <w:rPr>
                <w:b/>
                <w:i/>
                <w:iCs/>
                <w:sz w:val="18"/>
              </w:rPr>
              <w:t>е</w:t>
            </w:r>
            <w:r>
              <w:rPr>
                <w:b/>
                <w:i/>
                <w:iCs/>
                <w:sz w:val="18"/>
              </w:rPr>
              <w:t xml:space="preserve">скими возможностями </w:t>
            </w:r>
            <w:r>
              <w:rPr>
                <w:b/>
                <w:i/>
                <w:iCs/>
                <w:sz w:val="18"/>
              </w:rPr>
              <w:br/>
              <w:t>(в процентах)</w:t>
            </w:r>
          </w:p>
        </w:tc>
      </w:tr>
      <w:tr w:rsidR="003E3ADF">
        <w:tc>
          <w:tcPr>
            <w:tcW w:w="5920" w:type="dxa"/>
            <w:tcBorders>
              <w:top w:val="single" w:sz="12" w:space="0" w:color="auto"/>
            </w:tcBorders>
          </w:tcPr>
          <w:p w:rsidR="003E3ADF" w:rsidRDefault="003E3ADF">
            <w:pPr>
              <w:spacing w:before="20" w:after="20"/>
              <w:jc w:val="left"/>
              <w:rPr>
                <w:sz w:val="18"/>
              </w:rPr>
            </w:pPr>
            <w:r>
              <w:rPr>
                <w:sz w:val="18"/>
              </w:rPr>
              <w:t>Сельское хозяйство, лесоводство, рыболо</w:t>
            </w:r>
            <w:r>
              <w:rPr>
                <w:sz w:val="18"/>
              </w:rPr>
              <w:t>в</w:t>
            </w:r>
            <w:r>
              <w:rPr>
                <w:sz w:val="18"/>
              </w:rPr>
              <w:t>ство</w:t>
            </w:r>
          </w:p>
        </w:tc>
        <w:tc>
          <w:tcPr>
            <w:tcW w:w="3651" w:type="dxa"/>
            <w:tcBorders>
              <w:top w:val="single" w:sz="12" w:space="0" w:color="auto"/>
            </w:tcBorders>
          </w:tcPr>
          <w:p w:rsidR="003E3ADF" w:rsidRDefault="003E3ADF">
            <w:pPr>
              <w:spacing w:before="20" w:after="20"/>
              <w:ind w:right="1531"/>
              <w:jc w:val="right"/>
              <w:rPr>
                <w:sz w:val="18"/>
              </w:rPr>
            </w:pPr>
            <w:r>
              <w:rPr>
                <w:sz w:val="18"/>
              </w:rPr>
              <w:t>15,0</w:t>
            </w:r>
          </w:p>
        </w:tc>
      </w:tr>
      <w:tr w:rsidR="003E3ADF">
        <w:tc>
          <w:tcPr>
            <w:tcW w:w="5920" w:type="dxa"/>
          </w:tcPr>
          <w:p w:rsidR="003E3ADF" w:rsidRDefault="003E3ADF">
            <w:pPr>
              <w:spacing w:before="20" w:after="20"/>
              <w:jc w:val="left"/>
              <w:rPr>
                <w:sz w:val="18"/>
              </w:rPr>
            </w:pPr>
            <w:r>
              <w:rPr>
                <w:sz w:val="18"/>
              </w:rPr>
              <w:t>Здравоохранение и социальные услуги</w:t>
            </w:r>
          </w:p>
        </w:tc>
        <w:tc>
          <w:tcPr>
            <w:tcW w:w="3651" w:type="dxa"/>
          </w:tcPr>
          <w:p w:rsidR="003E3ADF" w:rsidRDefault="003E3ADF">
            <w:pPr>
              <w:spacing w:before="20" w:after="20"/>
              <w:ind w:right="1531"/>
              <w:jc w:val="right"/>
              <w:rPr>
                <w:sz w:val="18"/>
              </w:rPr>
            </w:pPr>
            <w:r>
              <w:rPr>
                <w:sz w:val="18"/>
              </w:rPr>
              <w:t>11,1</w:t>
            </w:r>
          </w:p>
        </w:tc>
      </w:tr>
      <w:tr w:rsidR="003E3ADF">
        <w:tc>
          <w:tcPr>
            <w:tcW w:w="5920" w:type="dxa"/>
          </w:tcPr>
          <w:p w:rsidR="003E3ADF" w:rsidRDefault="003E3ADF">
            <w:pPr>
              <w:spacing w:before="20" w:after="20"/>
              <w:jc w:val="left"/>
              <w:rPr>
                <w:sz w:val="18"/>
              </w:rPr>
            </w:pPr>
            <w:r>
              <w:rPr>
                <w:sz w:val="18"/>
              </w:rPr>
              <w:t>Образование</w:t>
            </w:r>
          </w:p>
        </w:tc>
        <w:tc>
          <w:tcPr>
            <w:tcW w:w="3651" w:type="dxa"/>
          </w:tcPr>
          <w:p w:rsidR="003E3ADF" w:rsidRDefault="003E3ADF">
            <w:pPr>
              <w:spacing w:before="20" w:after="20"/>
              <w:ind w:right="1531"/>
              <w:jc w:val="right"/>
              <w:rPr>
                <w:sz w:val="18"/>
              </w:rPr>
            </w:pPr>
            <w:r>
              <w:rPr>
                <w:sz w:val="18"/>
              </w:rPr>
              <w:t>9,9</w:t>
            </w:r>
          </w:p>
        </w:tc>
      </w:tr>
      <w:tr w:rsidR="003E3ADF">
        <w:tc>
          <w:tcPr>
            <w:tcW w:w="5920" w:type="dxa"/>
          </w:tcPr>
          <w:p w:rsidR="003E3ADF" w:rsidRDefault="003E3ADF">
            <w:pPr>
              <w:spacing w:before="20" w:after="20"/>
              <w:jc w:val="left"/>
              <w:rPr>
                <w:sz w:val="18"/>
              </w:rPr>
            </w:pPr>
            <w:r>
              <w:rPr>
                <w:sz w:val="18"/>
              </w:rPr>
              <w:t>Электроэнергетика и водоснабжение</w:t>
            </w:r>
          </w:p>
        </w:tc>
        <w:tc>
          <w:tcPr>
            <w:tcW w:w="3651" w:type="dxa"/>
          </w:tcPr>
          <w:p w:rsidR="003E3ADF" w:rsidRDefault="003E3ADF">
            <w:pPr>
              <w:spacing w:before="20" w:after="20"/>
              <w:ind w:right="1531"/>
              <w:jc w:val="right"/>
              <w:rPr>
                <w:sz w:val="18"/>
              </w:rPr>
            </w:pPr>
            <w:r>
              <w:rPr>
                <w:sz w:val="18"/>
              </w:rPr>
              <w:t>9,0</w:t>
            </w:r>
          </w:p>
        </w:tc>
      </w:tr>
      <w:tr w:rsidR="003E3ADF">
        <w:tc>
          <w:tcPr>
            <w:tcW w:w="5920" w:type="dxa"/>
          </w:tcPr>
          <w:p w:rsidR="003E3ADF" w:rsidRDefault="003E3ADF">
            <w:pPr>
              <w:spacing w:before="20" w:after="20"/>
              <w:jc w:val="left"/>
              <w:rPr>
                <w:sz w:val="18"/>
              </w:rPr>
            </w:pPr>
            <w:r>
              <w:rPr>
                <w:sz w:val="18"/>
              </w:rPr>
              <w:t>Транспорт, связь</w:t>
            </w:r>
          </w:p>
        </w:tc>
        <w:tc>
          <w:tcPr>
            <w:tcW w:w="3651" w:type="dxa"/>
          </w:tcPr>
          <w:p w:rsidR="003E3ADF" w:rsidRDefault="003E3ADF">
            <w:pPr>
              <w:spacing w:before="20" w:after="20"/>
              <w:ind w:right="1531"/>
              <w:jc w:val="right"/>
              <w:rPr>
                <w:sz w:val="18"/>
              </w:rPr>
            </w:pPr>
            <w:r>
              <w:rPr>
                <w:sz w:val="18"/>
              </w:rPr>
              <w:t>8,9</w:t>
            </w:r>
          </w:p>
        </w:tc>
      </w:tr>
      <w:tr w:rsidR="003E3ADF">
        <w:tc>
          <w:tcPr>
            <w:tcW w:w="5920" w:type="dxa"/>
          </w:tcPr>
          <w:p w:rsidR="003E3ADF" w:rsidRDefault="003E3ADF">
            <w:pPr>
              <w:spacing w:before="20" w:after="20"/>
              <w:jc w:val="left"/>
              <w:rPr>
                <w:sz w:val="18"/>
              </w:rPr>
            </w:pPr>
            <w:r>
              <w:rPr>
                <w:sz w:val="18"/>
              </w:rPr>
              <w:t>Строительство зданий и сооружений</w:t>
            </w:r>
          </w:p>
        </w:tc>
        <w:tc>
          <w:tcPr>
            <w:tcW w:w="3651" w:type="dxa"/>
          </w:tcPr>
          <w:p w:rsidR="003E3ADF" w:rsidRDefault="003E3ADF">
            <w:pPr>
              <w:spacing w:before="20" w:after="20"/>
              <w:ind w:right="1531"/>
              <w:jc w:val="right"/>
              <w:rPr>
                <w:sz w:val="18"/>
              </w:rPr>
            </w:pPr>
            <w:r>
              <w:rPr>
                <w:sz w:val="18"/>
              </w:rPr>
              <w:t>8,9</w:t>
            </w:r>
          </w:p>
        </w:tc>
      </w:tr>
      <w:tr w:rsidR="003E3ADF">
        <w:tc>
          <w:tcPr>
            <w:tcW w:w="5920" w:type="dxa"/>
          </w:tcPr>
          <w:p w:rsidR="003E3ADF" w:rsidRDefault="003E3ADF">
            <w:pPr>
              <w:spacing w:before="20" w:after="20"/>
              <w:jc w:val="left"/>
              <w:rPr>
                <w:sz w:val="18"/>
              </w:rPr>
            </w:pPr>
            <w:r>
              <w:rPr>
                <w:sz w:val="18"/>
              </w:rPr>
              <w:t>Розничная торговля, гостинично-ресторанное обслуживание</w:t>
            </w:r>
          </w:p>
        </w:tc>
        <w:tc>
          <w:tcPr>
            <w:tcW w:w="3651" w:type="dxa"/>
          </w:tcPr>
          <w:p w:rsidR="003E3ADF" w:rsidRDefault="003E3ADF">
            <w:pPr>
              <w:spacing w:before="20" w:after="20"/>
              <w:ind w:right="1531"/>
              <w:jc w:val="right"/>
              <w:rPr>
                <w:sz w:val="18"/>
              </w:rPr>
            </w:pPr>
            <w:r>
              <w:rPr>
                <w:sz w:val="18"/>
              </w:rPr>
              <w:t>8,6</w:t>
            </w:r>
          </w:p>
        </w:tc>
      </w:tr>
      <w:tr w:rsidR="003E3ADF">
        <w:tc>
          <w:tcPr>
            <w:tcW w:w="5920" w:type="dxa"/>
          </w:tcPr>
          <w:p w:rsidR="003E3ADF" w:rsidRDefault="003E3ADF">
            <w:pPr>
              <w:spacing w:before="20" w:after="20"/>
              <w:jc w:val="left"/>
              <w:rPr>
                <w:sz w:val="18"/>
              </w:rPr>
            </w:pPr>
            <w:r>
              <w:rPr>
                <w:sz w:val="18"/>
              </w:rPr>
              <w:t>Государственное управление и оборона</w:t>
            </w:r>
          </w:p>
        </w:tc>
        <w:tc>
          <w:tcPr>
            <w:tcW w:w="3651" w:type="dxa"/>
          </w:tcPr>
          <w:p w:rsidR="003E3ADF" w:rsidRDefault="003E3ADF">
            <w:pPr>
              <w:spacing w:before="20" w:after="20"/>
              <w:ind w:right="1531"/>
              <w:jc w:val="right"/>
              <w:rPr>
                <w:sz w:val="18"/>
              </w:rPr>
            </w:pPr>
            <w:r>
              <w:rPr>
                <w:sz w:val="18"/>
              </w:rPr>
              <w:t>8,3</w:t>
            </w:r>
          </w:p>
        </w:tc>
      </w:tr>
      <w:tr w:rsidR="003E3ADF">
        <w:tc>
          <w:tcPr>
            <w:tcW w:w="5920" w:type="dxa"/>
          </w:tcPr>
          <w:p w:rsidR="003E3ADF" w:rsidRDefault="003E3ADF">
            <w:pPr>
              <w:spacing w:before="20" w:after="20"/>
              <w:jc w:val="left"/>
              <w:rPr>
                <w:sz w:val="18"/>
              </w:rPr>
            </w:pPr>
            <w:r>
              <w:rPr>
                <w:sz w:val="18"/>
              </w:rPr>
              <w:t>Коммерческие услуги</w:t>
            </w:r>
          </w:p>
        </w:tc>
        <w:tc>
          <w:tcPr>
            <w:tcW w:w="3651" w:type="dxa"/>
          </w:tcPr>
          <w:p w:rsidR="003E3ADF" w:rsidRDefault="003E3ADF">
            <w:pPr>
              <w:spacing w:before="20" w:after="20"/>
              <w:ind w:right="1531"/>
              <w:jc w:val="right"/>
              <w:rPr>
                <w:sz w:val="18"/>
              </w:rPr>
            </w:pPr>
            <w:r>
              <w:rPr>
                <w:sz w:val="18"/>
              </w:rPr>
              <w:t>6,8</w:t>
            </w:r>
          </w:p>
        </w:tc>
      </w:tr>
      <w:tr w:rsidR="003E3ADF">
        <w:tc>
          <w:tcPr>
            <w:tcW w:w="5920" w:type="dxa"/>
          </w:tcPr>
          <w:p w:rsidR="003E3ADF" w:rsidRDefault="003E3ADF">
            <w:pPr>
              <w:spacing w:before="20" w:after="20"/>
              <w:jc w:val="left"/>
              <w:rPr>
                <w:sz w:val="18"/>
              </w:rPr>
            </w:pPr>
            <w:r>
              <w:rPr>
                <w:sz w:val="18"/>
              </w:rPr>
              <w:t>Финансовые услуги</w:t>
            </w:r>
          </w:p>
        </w:tc>
        <w:tc>
          <w:tcPr>
            <w:tcW w:w="3651" w:type="dxa"/>
          </w:tcPr>
          <w:p w:rsidR="003E3ADF" w:rsidRDefault="003E3ADF">
            <w:pPr>
              <w:spacing w:before="20" w:after="20"/>
              <w:ind w:right="1531"/>
              <w:jc w:val="right"/>
              <w:rPr>
                <w:sz w:val="18"/>
              </w:rPr>
            </w:pPr>
            <w:r>
              <w:rPr>
                <w:sz w:val="18"/>
              </w:rPr>
              <w:t>6,7</w:t>
            </w:r>
          </w:p>
        </w:tc>
      </w:tr>
      <w:tr w:rsidR="003E3ADF">
        <w:tc>
          <w:tcPr>
            <w:tcW w:w="5920" w:type="dxa"/>
          </w:tcPr>
          <w:p w:rsidR="003E3ADF" w:rsidRDefault="003E3ADF">
            <w:pPr>
              <w:spacing w:before="20" w:after="20"/>
              <w:jc w:val="left"/>
              <w:rPr>
                <w:sz w:val="18"/>
              </w:rPr>
            </w:pPr>
            <w:r>
              <w:rPr>
                <w:sz w:val="18"/>
              </w:rPr>
              <w:t>Производство нефти и природного газа</w:t>
            </w:r>
          </w:p>
        </w:tc>
        <w:tc>
          <w:tcPr>
            <w:tcW w:w="3651" w:type="dxa"/>
          </w:tcPr>
          <w:p w:rsidR="003E3ADF" w:rsidRDefault="003E3ADF">
            <w:pPr>
              <w:spacing w:before="20" w:after="20"/>
              <w:ind w:right="1531"/>
              <w:jc w:val="right"/>
              <w:rPr>
                <w:sz w:val="18"/>
              </w:rPr>
            </w:pPr>
            <w:r>
              <w:rPr>
                <w:sz w:val="18"/>
              </w:rPr>
              <w:t>6,0</w:t>
            </w:r>
          </w:p>
        </w:tc>
      </w:tr>
      <w:tr w:rsidR="003E3ADF">
        <w:tc>
          <w:tcPr>
            <w:tcW w:w="5920" w:type="dxa"/>
            <w:tcBorders>
              <w:bottom w:val="single" w:sz="12" w:space="0" w:color="auto"/>
            </w:tcBorders>
          </w:tcPr>
          <w:p w:rsidR="003E3ADF" w:rsidRDefault="003E3ADF">
            <w:pPr>
              <w:spacing w:before="20" w:after="20"/>
              <w:jc w:val="left"/>
              <w:rPr>
                <w:b/>
                <w:bCs/>
                <w:sz w:val="18"/>
              </w:rPr>
            </w:pPr>
            <w:r>
              <w:rPr>
                <w:b/>
                <w:bCs/>
                <w:sz w:val="18"/>
              </w:rPr>
              <w:t>Итого</w:t>
            </w:r>
          </w:p>
        </w:tc>
        <w:tc>
          <w:tcPr>
            <w:tcW w:w="3651" w:type="dxa"/>
            <w:tcBorders>
              <w:bottom w:val="single" w:sz="12" w:space="0" w:color="auto"/>
            </w:tcBorders>
          </w:tcPr>
          <w:p w:rsidR="003E3ADF" w:rsidRDefault="003E3ADF">
            <w:pPr>
              <w:spacing w:before="20" w:after="20"/>
              <w:ind w:right="1531"/>
              <w:jc w:val="right"/>
              <w:rPr>
                <w:sz w:val="18"/>
              </w:rPr>
            </w:pPr>
            <w:r>
              <w:rPr>
                <w:sz w:val="18"/>
              </w:rPr>
              <w:t>9,2</w:t>
            </w:r>
          </w:p>
        </w:tc>
      </w:tr>
    </w:tbl>
    <w:p w:rsidR="003E3ADF" w:rsidRDefault="003E3ADF">
      <w:pPr>
        <w:spacing w:before="120"/>
        <w:ind w:left="709"/>
        <w:rPr>
          <w:sz w:val="18"/>
        </w:rPr>
      </w:pPr>
      <w:r>
        <w:rPr>
          <w:i/>
          <w:iCs/>
          <w:sz w:val="18"/>
        </w:rPr>
        <w:t>Источник:</w:t>
      </w:r>
      <w:r>
        <w:rPr>
          <w:sz w:val="18"/>
        </w:rPr>
        <w:t xml:space="preserve">  Статистическое управление Норвегии, Обследование трудовых ресурсов.</w:t>
      </w:r>
    </w:p>
    <w:p w:rsidR="003E3ADF" w:rsidRDefault="003E3ADF">
      <w:pPr>
        <w:ind w:left="709"/>
      </w:pPr>
      <w:r>
        <w:t>В муниципальном секторе 75 процентов составляют женщины. Средний возраст работников муниципальн</w:t>
      </w:r>
      <w:r>
        <w:t>о</w:t>
      </w:r>
      <w:r>
        <w:t>го сектора составляет 44,7 года, а средний возраст выхода на пенсию – 57,5 лет (</w:t>
      </w:r>
      <w:r>
        <w:rPr>
          <w:lang w:val="en-US"/>
        </w:rPr>
        <w:t>KLP</w:t>
      </w:r>
      <w:r>
        <w:t xml:space="preserve"> – муниц</w:t>
      </w:r>
      <w:r>
        <w:t>и</w:t>
      </w:r>
      <w:r>
        <w:t>пальный пенсионный фонд) и 58,2 лет (</w:t>
      </w:r>
      <w:r>
        <w:rPr>
          <w:lang w:val="en-US"/>
        </w:rPr>
        <w:t>SPK</w:t>
      </w:r>
      <w:r>
        <w:t xml:space="preserve"> – государственный пенсионный фонд). Таким образом, в муниц</w:t>
      </w:r>
      <w:r>
        <w:t>и</w:t>
      </w:r>
      <w:r>
        <w:t>пальном секторе занято большое число пожилых женщин, многие из которых работают на основе ротации и занимают должности, требующие наличия достаточно высоких физических и умственных способностей. Поэтому здесь крайне важно принимать меры для предупреждения отсутствия людей на работе по болезни и их исключения из трудовой жизни.</w:t>
      </w:r>
    </w:p>
    <w:p w:rsidR="003E3ADF" w:rsidRDefault="003E3ADF">
      <w:pPr>
        <w:ind w:left="709"/>
      </w:pPr>
      <w:r>
        <w:t>Во втором квартале 2005 года 64 процента всех лиц с ограниченными физическими возможностями получ</w:t>
      </w:r>
      <w:r>
        <w:t>а</w:t>
      </w:r>
      <w:r>
        <w:t>ли одно или несколько пособий в связи с ограниченной трудоспособностью. Пособия также получал 41 процент работающих лиц с ограниченными физическими возможностями. Из них 58 процентов получали пенсии по инвалидности по сравнению с 69 процентами всех получателей пенсии по инвалидности. Пособия чаще получают женщины, чем мужчины. Из общего числа инвалидов пособия получали 69 процентов женщин и 59</w:t>
      </w:r>
      <w:r>
        <w:rPr>
          <w:lang w:val="en-US"/>
        </w:rPr>
        <w:t> </w:t>
      </w:r>
      <w:r>
        <w:t>процентов мужчин, то есть разница между ними составляла 10 процентов. Среди работающих инвалидов пособия получали 49 процентов женщин и 33 процента мужчин, и разница в этом случае составляла уже 16 процентов.</w:t>
      </w:r>
    </w:p>
    <w:p w:rsidR="003E3ADF" w:rsidRDefault="003E3ADF">
      <w:pPr>
        <w:ind w:left="709"/>
      </w:pPr>
      <w:r>
        <w:t>В феврале 2006 года Управление здравоохранения и социальных дел провело однодневный семинар по пр</w:t>
      </w:r>
      <w:r>
        <w:t>о</w:t>
      </w:r>
      <w:r>
        <w:t>блеме ограниченных физических возможностей и гендерному фактору. В этой области необходимо приобрести большой опыт и активизировать научно-исследовательскую деятельность.</w:t>
      </w:r>
    </w:p>
    <w:p w:rsidR="003E3ADF" w:rsidRDefault="003E3ADF">
      <w:pPr>
        <w:ind w:left="709"/>
        <w:rPr>
          <w:b/>
          <w:bCs/>
        </w:rPr>
      </w:pPr>
      <w:r>
        <w:rPr>
          <w:b/>
          <w:bCs/>
        </w:rPr>
        <w:t>Женщины на руководящих должностях</w:t>
      </w:r>
    </w:p>
    <w:p w:rsidR="003E3ADF" w:rsidRDefault="003E3ADF">
      <w:pPr>
        <w:ind w:left="709"/>
      </w:pPr>
      <w:r>
        <w:t>Несмотря на то, что женщины в настоящее время составляют 47 процентов от общей численности эконом</w:t>
      </w:r>
      <w:r>
        <w:t>и</w:t>
      </w:r>
      <w:r>
        <w:t>чески активного населения, они по-прежнему находятся в явном меньшинстве на руководящих должностях. В 2004</w:t>
      </w:r>
      <w:r>
        <w:rPr>
          <w:lang w:val="en-US"/>
        </w:rPr>
        <w:t> </w:t>
      </w:r>
      <w:r>
        <w:t>году 29 процентов всех руководителей были женщинами, что является повышением по сравнению с 26 процентами в 2001 году.</w:t>
      </w:r>
    </w:p>
    <w:p w:rsidR="003E3ADF" w:rsidRDefault="003E3ADF">
      <w:pPr>
        <w:ind w:left="709"/>
        <w:rPr>
          <w:i/>
        </w:rPr>
      </w:pPr>
      <w:r>
        <w:rPr>
          <w:i/>
        </w:rPr>
        <w:t>Частный сектор</w:t>
      </w:r>
    </w:p>
    <w:p w:rsidR="003E3ADF" w:rsidRDefault="003E3ADF">
      <w:pPr>
        <w:ind w:left="709"/>
      </w:pPr>
      <w:r>
        <w:t>В частном секторе в целом доля женщин на старших руководящих должностях в 2005 году равнялась 22 процентам. Это на 1 процент меньше по сравнению с предшествующим годом. Доля женщин среди руководит</w:t>
      </w:r>
      <w:r>
        <w:t>е</w:t>
      </w:r>
      <w:r>
        <w:t>лей среднего звена составляет 27 процентов, оставаясь на уровне предыдущих двух лет. В распределении руководит</w:t>
      </w:r>
      <w:r>
        <w:t>е</w:t>
      </w:r>
      <w:r>
        <w:t>лей-женщин и руководителей-мужчин по различным секторам наблюдаются относительно большие различия. Значительная доля руководителей-женщин работает в секторе гостини</w:t>
      </w:r>
      <w:r>
        <w:t>ч</w:t>
      </w:r>
      <w:r>
        <w:t>но-ресторанного обслуживания и в розничной торговле. Большое число руководителей-женщин также работает в службах социального и индивид</w:t>
      </w:r>
      <w:r>
        <w:t>у</w:t>
      </w:r>
      <w:r>
        <w:t>ально-бытового обслуживания. Данные Статистического управления Норвегии также свидетельствуют о наблюдаемой среди руководителей-женщин тенденции к работе большей частью в более мелких компаниях, отличающихся малочисленностью персонала и низкой текучестью кадров.</w:t>
      </w:r>
    </w:p>
    <w:p w:rsidR="003E3ADF" w:rsidRDefault="003E3ADF">
      <w:pPr>
        <w:keepNext/>
        <w:ind w:left="709"/>
        <w:rPr>
          <w:b/>
          <w:sz w:val="20"/>
        </w:rPr>
      </w:pPr>
      <w:r>
        <w:rPr>
          <w:b/>
          <w:sz w:val="20"/>
        </w:rPr>
        <w:t>Доля женщин на руководящих должностях в частном секторе, 2004–2005 годы</w:t>
      </w:r>
    </w:p>
    <w:tbl>
      <w:tblPr>
        <w:tblW w:w="9129" w:type="dxa"/>
        <w:tblInd w:w="822" w:type="dxa"/>
        <w:tblLook w:val="01E0" w:firstRow="1" w:lastRow="1" w:firstColumn="1" w:lastColumn="1" w:noHBand="0" w:noVBand="0"/>
      </w:tblPr>
      <w:tblGrid>
        <w:gridCol w:w="4319"/>
        <w:gridCol w:w="2405"/>
        <w:gridCol w:w="2405"/>
      </w:tblGrid>
      <w:tr w:rsidR="003E3ADF">
        <w:tc>
          <w:tcPr>
            <w:tcW w:w="4074" w:type="dxa"/>
            <w:tcBorders>
              <w:top w:val="single" w:sz="4" w:space="0" w:color="auto"/>
              <w:bottom w:val="single" w:sz="12" w:space="0" w:color="auto"/>
            </w:tcBorders>
          </w:tcPr>
          <w:p w:rsidR="003E3ADF" w:rsidRDefault="003E3ADF">
            <w:pPr>
              <w:spacing w:before="20" w:after="20"/>
              <w:jc w:val="left"/>
              <w:rPr>
                <w:b/>
                <w:i/>
                <w:iCs/>
                <w:sz w:val="18"/>
              </w:rPr>
            </w:pPr>
            <w:r>
              <w:rPr>
                <w:b/>
                <w:i/>
                <w:iCs/>
                <w:sz w:val="18"/>
              </w:rPr>
              <w:t>Доля женщин (в проце</w:t>
            </w:r>
            <w:r>
              <w:rPr>
                <w:b/>
                <w:i/>
                <w:iCs/>
                <w:sz w:val="18"/>
              </w:rPr>
              <w:t>н</w:t>
            </w:r>
            <w:r>
              <w:rPr>
                <w:b/>
                <w:i/>
                <w:iCs/>
                <w:sz w:val="18"/>
              </w:rPr>
              <w:t>тах)</w:t>
            </w:r>
          </w:p>
        </w:tc>
        <w:tc>
          <w:tcPr>
            <w:tcW w:w="2268" w:type="dxa"/>
            <w:tcBorders>
              <w:top w:val="single" w:sz="4" w:space="0" w:color="auto"/>
              <w:bottom w:val="single" w:sz="12" w:space="0" w:color="auto"/>
            </w:tcBorders>
          </w:tcPr>
          <w:p w:rsidR="003E3ADF" w:rsidRDefault="003E3ADF">
            <w:pPr>
              <w:spacing w:before="20" w:after="20"/>
              <w:jc w:val="center"/>
              <w:rPr>
                <w:b/>
                <w:i/>
                <w:iCs/>
                <w:sz w:val="18"/>
              </w:rPr>
            </w:pPr>
            <w:r>
              <w:rPr>
                <w:b/>
                <w:i/>
                <w:iCs/>
                <w:sz w:val="18"/>
              </w:rPr>
              <w:t>2004 год</w:t>
            </w:r>
          </w:p>
        </w:tc>
        <w:tc>
          <w:tcPr>
            <w:tcW w:w="2268" w:type="dxa"/>
            <w:tcBorders>
              <w:top w:val="single" w:sz="4" w:space="0" w:color="auto"/>
              <w:bottom w:val="single" w:sz="12" w:space="0" w:color="auto"/>
            </w:tcBorders>
          </w:tcPr>
          <w:p w:rsidR="003E3ADF" w:rsidRDefault="003E3ADF">
            <w:pPr>
              <w:spacing w:before="20" w:after="20"/>
              <w:jc w:val="center"/>
              <w:rPr>
                <w:b/>
                <w:i/>
                <w:iCs/>
                <w:sz w:val="18"/>
              </w:rPr>
            </w:pPr>
            <w:r>
              <w:rPr>
                <w:b/>
                <w:i/>
                <w:iCs/>
                <w:sz w:val="18"/>
              </w:rPr>
              <w:t>2005 год</w:t>
            </w:r>
          </w:p>
        </w:tc>
      </w:tr>
      <w:tr w:rsidR="003E3ADF">
        <w:tc>
          <w:tcPr>
            <w:tcW w:w="4074" w:type="dxa"/>
            <w:tcBorders>
              <w:top w:val="single" w:sz="12" w:space="0" w:color="auto"/>
            </w:tcBorders>
          </w:tcPr>
          <w:p w:rsidR="003E3ADF" w:rsidRDefault="003E3ADF">
            <w:pPr>
              <w:spacing w:before="20" w:after="20"/>
              <w:jc w:val="left"/>
              <w:rPr>
                <w:sz w:val="18"/>
              </w:rPr>
            </w:pPr>
            <w:r>
              <w:rPr>
                <w:sz w:val="18"/>
              </w:rPr>
              <w:t>Руководители старшего звена в частном секторе</w:t>
            </w:r>
          </w:p>
        </w:tc>
        <w:tc>
          <w:tcPr>
            <w:tcW w:w="2268" w:type="dxa"/>
            <w:tcBorders>
              <w:top w:val="single" w:sz="12" w:space="0" w:color="auto"/>
            </w:tcBorders>
          </w:tcPr>
          <w:p w:rsidR="003E3ADF" w:rsidRDefault="003E3ADF">
            <w:pPr>
              <w:spacing w:before="20" w:after="20"/>
              <w:jc w:val="center"/>
              <w:rPr>
                <w:sz w:val="18"/>
              </w:rPr>
            </w:pPr>
            <w:r>
              <w:rPr>
                <w:sz w:val="18"/>
              </w:rPr>
              <w:t>23</w:t>
            </w:r>
          </w:p>
        </w:tc>
        <w:tc>
          <w:tcPr>
            <w:tcW w:w="2268" w:type="dxa"/>
            <w:tcBorders>
              <w:top w:val="single" w:sz="12" w:space="0" w:color="auto"/>
            </w:tcBorders>
          </w:tcPr>
          <w:p w:rsidR="003E3ADF" w:rsidRDefault="003E3ADF">
            <w:pPr>
              <w:spacing w:before="20" w:after="20"/>
              <w:jc w:val="center"/>
              <w:rPr>
                <w:sz w:val="18"/>
              </w:rPr>
            </w:pPr>
            <w:r>
              <w:rPr>
                <w:sz w:val="18"/>
              </w:rPr>
              <w:t>22</w:t>
            </w:r>
          </w:p>
        </w:tc>
      </w:tr>
      <w:tr w:rsidR="003E3ADF">
        <w:tc>
          <w:tcPr>
            <w:tcW w:w="4074" w:type="dxa"/>
          </w:tcPr>
          <w:p w:rsidR="003E3ADF" w:rsidRDefault="003E3ADF">
            <w:pPr>
              <w:spacing w:before="20" w:after="20"/>
              <w:jc w:val="left"/>
              <w:rPr>
                <w:sz w:val="18"/>
              </w:rPr>
            </w:pPr>
            <w:r>
              <w:rPr>
                <w:sz w:val="18"/>
              </w:rPr>
              <w:t>Руководители среднего звена в частном секторе</w:t>
            </w:r>
          </w:p>
        </w:tc>
        <w:tc>
          <w:tcPr>
            <w:tcW w:w="2268" w:type="dxa"/>
          </w:tcPr>
          <w:p w:rsidR="003E3ADF" w:rsidRDefault="003E3ADF">
            <w:pPr>
              <w:spacing w:before="20" w:after="20"/>
              <w:jc w:val="center"/>
              <w:rPr>
                <w:sz w:val="18"/>
              </w:rPr>
            </w:pPr>
            <w:r>
              <w:rPr>
                <w:sz w:val="18"/>
              </w:rPr>
              <w:t>27</w:t>
            </w:r>
          </w:p>
        </w:tc>
        <w:tc>
          <w:tcPr>
            <w:tcW w:w="2268" w:type="dxa"/>
          </w:tcPr>
          <w:p w:rsidR="003E3ADF" w:rsidRDefault="003E3ADF">
            <w:pPr>
              <w:spacing w:before="20" w:after="20"/>
              <w:jc w:val="center"/>
              <w:rPr>
                <w:sz w:val="18"/>
              </w:rPr>
            </w:pPr>
            <w:r>
              <w:rPr>
                <w:sz w:val="18"/>
              </w:rPr>
              <w:t>27</w:t>
            </w:r>
          </w:p>
        </w:tc>
      </w:tr>
      <w:tr w:rsidR="003E3ADF">
        <w:tc>
          <w:tcPr>
            <w:tcW w:w="4074" w:type="dxa"/>
          </w:tcPr>
          <w:p w:rsidR="003E3ADF" w:rsidRDefault="003E3ADF">
            <w:pPr>
              <w:spacing w:before="20" w:after="20"/>
              <w:jc w:val="left"/>
              <w:rPr>
                <w:sz w:val="18"/>
              </w:rPr>
            </w:pPr>
            <w:r>
              <w:rPr>
                <w:sz w:val="18"/>
              </w:rPr>
              <w:t xml:space="preserve">Члены советов директоров открытых компаний </w:t>
            </w:r>
            <w:r>
              <w:rPr>
                <w:sz w:val="18"/>
              </w:rPr>
              <w:br/>
              <w:t>с огран</w:t>
            </w:r>
            <w:r>
              <w:rPr>
                <w:sz w:val="18"/>
              </w:rPr>
              <w:t>и</w:t>
            </w:r>
            <w:r>
              <w:rPr>
                <w:sz w:val="18"/>
              </w:rPr>
              <w:t>ченной ответственностью</w:t>
            </w:r>
          </w:p>
        </w:tc>
        <w:tc>
          <w:tcPr>
            <w:tcW w:w="2268" w:type="dxa"/>
          </w:tcPr>
          <w:p w:rsidR="003E3ADF" w:rsidRDefault="003E3ADF">
            <w:pPr>
              <w:spacing w:before="20" w:after="20"/>
              <w:jc w:val="center"/>
              <w:rPr>
                <w:sz w:val="18"/>
              </w:rPr>
            </w:pPr>
          </w:p>
        </w:tc>
        <w:tc>
          <w:tcPr>
            <w:tcW w:w="2268" w:type="dxa"/>
          </w:tcPr>
          <w:p w:rsidR="003E3ADF" w:rsidRDefault="003E3ADF">
            <w:pPr>
              <w:spacing w:before="20" w:after="20"/>
              <w:jc w:val="center"/>
              <w:rPr>
                <w:sz w:val="18"/>
              </w:rPr>
            </w:pPr>
            <w:r>
              <w:rPr>
                <w:sz w:val="18"/>
              </w:rPr>
              <w:t>17</w:t>
            </w:r>
          </w:p>
        </w:tc>
      </w:tr>
      <w:tr w:rsidR="003E3ADF">
        <w:tc>
          <w:tcPr>
            <w:tcW w:w="4074" w:type="dxa"/>
          </w:tcPr>
          <w:p w:rsidR="003E3ADF" w:rsidRDefault="003E3ADF">
            <w:pPr>
              <w:spacing w:before="20" w:after="20"/>
              <w:jc w:val="left"/>
              <w:rPr>
                <w:sz w:val="18"/>
              </w:rPr>
            </w:pPr>
            <w:r>
              <w:rPr>
                <w:sz w:val="18"/>
              </w:rPr>
              <w:t>Главные административные сотрудники всех предпр</w:t>
            </w:r>
            <w:r>
              <w:rPr>
                <w:sz w:val="18"/>
              </w:rPr>
              <w:t>и</w:t>
            </w:r>
            <w:r>
              <w:rPr>
                <w:sz w:val="18"/>
              </w:rPr>
              <w:t>ятий</w:t>
            </w:r>
          </w:p>
        </w:tc>
        <w:tc>
          <w:tcPr>
            <w:tcW w:w="2268" w:type="dxa"/>
          </w:tcPr>
          <w:p w:rsidR="003E3ADF" w:rsidRDefault="003E3ADF">
            <w:pPr>
              <w:spacing w:before="20" w:after="20"/>
              <w:jc w:val="center"/>
              <w:rPr>
                <w:sz w:val="18"/>
              </w:rPr>
            </w:pPr>
            <w:r>
              <w:rPr>
                <w:sz w:val="18"/>
              </w:rPr>
              <w:t>16</w:t>
            </w:r>
          </w:p>
        </w:tc>
        <w:tc>
          <w:tcPr>
            <w:tcW w:w="2268" w:type="dxa"/>
          </w:tcPr>
          <w:p w:rsidR="003E3ADF" w:rsidRDefault="003E3ADF">
            <w:pPr>
              <w:spacing w:before="20" w:after="20"/>
              <w:jc w:val="center"/>
              <w:rPr>
                <w:sz w:val="18"/>
              </w:rPr>
            </w:pPr>
            <w:r>
              <w:rPr>
                <w:sz w:val="18"/>
              </w:rPr>
              <w:t>17</w:t>
            </w:r>
          </w:p>
        </w:tc>
      </w:tr>
      <w:tr w:rsidR="003E3ADF">
        <w:tc>
          <w:tcPr>
            <w:tcW w:w="4074" w:type="dxa"/>
            <w:tcBorders>
              <w:bottom w:val="single" w:sz="12" w:space="0" w:color="auto"/>
            </w:tcBorders>
          </w:tcPr>
          <w:p w:rsidR="003E3ADF" w:rsidRDefault="003E3ADF">
            <w:pPr>
              <w:spacing w:before="20" w:after="20"/>
              <w:jc w:val="left"/>
              <w:rPr>
                <w:sz w:val="18"/>
              </w:rPr>
            </w:pPr>
            <w:r>
              <w:rPr>
                <w:sz w:val="18"/>
              </w:rPr>
              <w:t>Председатели советов дире</w:t>
            </w:r>
            <w:r>
              <w:rPr>
                <w:sz w:val="18"/>
              </w:rPr>
              <w:t>к</w:t>
            </w:r>
            <w:r>
              <w:rPr>
                <w:sz w:val="18"/>
              </w:rPr>
              <w:t>торов всех предприятий</w:t>
            </w:r>
          </w:p>
        </w:tc>
        <w:tc>
          <w:tcPr>
            <w:tcW w:w="2268" w:type="dxa"/>
            <w:tcBorders>
              <w:bottom w:val="single" w:sz="12" w:space="0" w:color="auto"/>
            </w:tcBorders>
          </w:tcPr>
          <w:p w:rsidR="003E3ADF" w:rsidRDefault="003E3ADF">
            <w:pPr>
              <w:spacing w:before="20" w:after="20"/>
              <w:jc w:val="center"/>
              <w:rPr>
                <w:sz w:val="18"/>
              </w:rPr>
            </w:pPr>
            <w:r>
              <w:rPr>
                <w:sz w:val="18"/>
              </w:rPr>
              <w:t>12</w:t>
            </w:r>
          </w:p>
        </w:tc>
        <w:tc>
          <w:tcPr>
            <w:tcW w:w="2268" w:type="dxa"/>
            <w:tcBorders>
              <w:bottom w:val="single" w:sz="12" w:space="0" w:color="auto"/>
            </w:tcBorders>
          </w:tcPr>
          <w:p w:rsidR="003E3ADF" w:rsidRDefault="003E3ADF">
            <w:pPr>
              <w:spacing w:before="20" w:after="20"/>
              <w:jc w:val="center"/>
              <w:rPr>
                <w:sz w:val="18"/>
              </w:rPr>
            </w:pPr>
            <w:r>
              <w:rPr>
                <w:sz w:val="18"/>
              </w:rPr>
              <w:t>14</w:t>
            </w:r>
          </w:p>
        </w:tc>
      </w:tr>
    </w:tbl>
    <w:p w:rsidR="003E3ADF" w:rsidRDefault="003E3ADF"/>
    <w:p w:rsidR="003E3ADF" w:rsidRDefault="003E3ADF">
      <w:pPr>
        <w:ind w:left="709"/>
      </w:pPr>
      <w:r>
        <w:t>Конфедерация норвежских деловых кругов и промышленных предприятий (</w:t>
      </w:r>
      <w:r>
        <w:rPr>
          <w:lang w:val="en-US"/>
        </w:rPr>
        <w:t>NHO</w:t>
      </w:r>
      <w:r>
        <w:t>) уделяет повыше</w:t>
      </w:r>
      <w:r>
        <w:t>н</w:t>
      </w:r>
      <w:r>
        <w:t>ное вн</w:t>
      </w:r>
      <w:r>
        <w:t>и</w:t>
      </w:r>
      <w:r>
        <w:t>мание вопросам разнообразия и увеличения числа женщин на руководящих должностях. Конфедерация выделяет значительные средства на обеспечение назначения большего числа женщин на руководящие должности и в советы директоров частных компаний, с тем чтобы фирмы и предприятия были более привлекательны для женщин, а также на выявление и устранение препятствий, мешающих женщинам брать на себя большую долю администр</w:t>
      </w:r>
      <w:r>
        <w:t>а</w:t>
      </w:r>
      <w:r>
        <w:t xml:space="preserve">тивной ответственности. Эти меры и мероприятия осуществляются в рамках широкого проекта под названием "Будущее женщин", который был начат в 2003 году. Более подробную информацию см. на веб-сайте </w:t>
      </w:r>
      <w:hyperlink r:id="rId17" w:history="1">
        <w:r>
          <w:rPr>
            <w:rStyle w:val="Hyperlink"/>
            <w:color w:val="auto"/>
            <w:lang w:val="en-US"/>
          </w:rPr>
          <w:t>www</w:t>
        </w:r>
        <w:r>
          <w:rPr>
            <w:rStyle w:val="Hyperlink"/>
            <w:color w:val="auto"/>
          </w:rPr>
          <w:t>.</w:t>
        </w:r>
        <w:r>
          <w:rPr>
            <w:rStyle w:val="Hyperlink"/>
            <w:color w:val="auto"/>
            <w:lang w:val="en-US"/>
          </w:rPr>
          <w:t>nho</w:t>
        </w:r>
        <w:r>
          <w:rPr>
            <w:rStyle w:val="Hyperlink"/>
            <w:color w:val="auto"/>
          </w:rPr>
          <w:t>.</w:t>
        </w:r>
        <w:r>
          <w:rPr>
            <w:rStyle w:val="Hyperlink"/>
            <w:color w:val="auto"/>
            <w:lang w:val="en-US"/>
          </w:rPr>
          <w:t>no</w:t>
        </w:r>
        <w:r>
          <w:rPr>
            <w:rStyle w:val="Hyperlink"/>
            <w:color w:val="auto"/>
          </w:rPr>
          <w:t>/</w:t>
        </w:r>
        <w:r>
          <w:rPr>
            <w:rStyle w:val="Hyperlink"/>
            <w:color w:val="auto"/>
            <w:lang w:val="en-US"/>
          </w:rPr>
          <w:t>ff</w:t>
        </w:r>
      </w:hyperlink>
      <w:r>
        <w:t xml:space="preserve">. </w:t>
      </w:r>
    </w:p>
    <w:p w:rsidR="003E3ADF" w:rsidRDefault="003E3ADF">
      <w:pPr>
        <w:ind w:left="709"/>
      </w:pPr>
      <w:r>
        <w:t>Проект "Будущее женщин" представляет собой программу развития и сеть, объединяющую талан</w:t>
      </w:r>
      <w:r>
        <w:t>т</w:t>
      </w:r>
      <w:r>
        <w:t>ливых женщин. Талантливые женщины отбираются руководителями старшего звена тех компаний, в которых они работают. Цель данного проекта состоит в том, чтобы вовлечь в эту деятельность руков</w:t>
      </w:r>
      <w:r>
        <w:t>о</w:t>
      </w:r>
      <w:r>
        <w:t xml:space="preserve">дство компаний, изменить отношение к женщинам и стимулировать главных административных сотрудников к тому, чтобы они были движущей силой в предпринимаемых действиях по увеличению числа женщин в руководстве и советах директоров компаний, в которых они работают. Компании берут на себя обязательство в этой связи, о котором они объявляют в письме о намерениях, и устанавливают собственные целевые показатели, касающиеся продвижения женщин внутри этих компаний. Большинство компаний наметили себе цель, состоящую в том, чтобы через два года в руководстве и совете директоров каждой компании работало по меньшей мере по одной женщине. </w:t>
      </w:r>
      <w:r>
        <w:rPr>
          <w:lang w:val="en-US"/>
        </w:rPr>
        <w:t>NHO</w:t>
      </w:r>
      <w:r>
        <w:t xml:space="preserve"> оказывает поддержку компаниям в этих усилиях и руководит программой "Будущее женщин".</w:t>
      </w:r>
    </w:p>
    <w:p w:rsidR="003E3ADF" w:rsidRDefault="003E3ADF">
      <w:pPr>
        <w:ind w:left="709"/>
      </w:pPr>
      <w:r>
        <w:t>Компаниям, участвующим в проекте "Будущее женщин", предлагается мобилизовать талантливых же</w:t>
      </w:r>
      <w:r>
        <w:t>н</w:t>
      </w:r>
      <w:r>
        <w:t>щин, работающих в штате компании, и выявлять женщин, которые, по их мнению, имеют все возможности для того, чтобы стать хорошими руководителями, которые могут оказаться подходящими кандидатурами на должности в совете директоров и которые обладают достаточными амбициями. Отобранные женщины участвуют в программе развития, учитывающей их потребности. Программа способствует повышению уровня их знаний и навыков, необходимых для работы в советах директоров и в руководстве, причем талантливые женщины самостоятельно определяют содержание такого обучения и решают, хотят ли они пройти курс формального обучения по вопросам управления и работы в советах. С ними также проводятся занятия по таким темам, как ораторское мастерство, подготовка по вопросам работы со средствами массовой информации, создание сетей, развитие личности, финансы и т. п.</w:t>
      </w:r>
    </w:p>
    <w:p w:rsidR="003E3ADF" w:rsidRDefault="003E3ADF">
      <w:pPr>
        <w:ind w:left="709"/>
      </w:pPr>
      <w:r>
        <w:t>Женщины, которые принимают участие в программе "Будущее женщин", становятся объектами вним</w:t>
      </w:r>
      <w:r>
        <w:t>а</w:t>
      </w:r>
      <w:r>
        <w:t>ния средств массовой информации, которые информируют о них компании. Их приглашают вступать в уже созданные сети, участвовать в конференциях и других мероприятиях. Их обучают вопросам профессионал</w:t>
      </w:r>
      <w:r>
        <w:t>ь</w:t>
      </w:r>
      <w:r>
        <w:t xml:space="preserve">ного создания сетей и включают в базу данных </w:t>
      </w:r>
      <w:r>
        <w:rPr>
          <w:lang w:val="en-US"/>
        </w:rPr>
        <w:t>NHO</w:t>
      </w:r>
      <w:r>
        <w:t>, в которой содержится список кандидатов на должности в советах директоров и которая доступна через интернет.</w:t>
      </w:r>
    </w:p>
    <w:p w:rsidR="003E3ADF" w:rsidRDefault="003E3ADF">
      <w:pPr>
        <w:ind w:left="709"/>
      </w:pPr>
      <w:r>
        <w:t>С 2003 года в программе "Будущее женщин" приняли участие 480 женщин, которые являются потенциал</w:t>
      </w:r>
      <w:r>
        <w:t>ь</w:t>
      </w:r>
      <w:r>
        <w:t>ными кандидатами на должности в советах директоров. Специальные проекты организуются для открытых компаний с ограниченной ответственностью, осуществляются региональные проекты. Согласно результатам оценки, 36 процентов участниц национального проекта получили приглашения на должности в советах директоров в период участия в программе или после ее завершения. Что касается региональных проектов, то приглашения войти в состав советов директоров получили 50 процентов участниц. Один из положительных побочных эффектов этой программы состоит в том, что малые предприятия стали брать женщин в советы директоров для повышения профессионализма своей работы.</w:t>
      </w:r>
    </w:p>
    <w:p w:rsidR="003E3ADF" w:rsidRDefault="003E3ADF">
      <w:pPr>
        <w:ind w:left="709"/>
      </w:pPr>
      <w:r>
        <w:t>С осени 2006 года Конфедерация норвежских деловых кругов и промышленных предприятий приступ</w:t>
      </w:r>
      <w:r>
        <w:t>и</w:t>
      </w:r>
      <w:r>
        <w:t>ла к расширению программы "Будущее женщин" и осуществлению региональных проектов в десяти округах. Во главе этих проектов стоят региональные руководители проектов и собственные руководящие комитеты. Общий объем выделяемых на проведение указанных мероприятий ассигнований в течение двух лет составит 16 млн. норве</w:t>
      </w:r>
      <w:r>
        <w:t>ж</w:t>
      </w:r>
      <w:r>
        <w:t xml:space="preserve">ских крон. Программа финансируется окружными властями и организацией "Инновации в Норвегии", а также </w:t>
      </w:r>
      <w:r>
        <w:rPr>
          <w:lang w:val="en-US"/>
        </w:rPr>
        <w:t>NHO</w:t>
      </w:r>
      <w:r>
        <w:t>.</w:t>
      </w:r>
    </w:p>
    <w:p w:rsidR="003E3ADF" w:rsidRDefault="003E3ADF">
      <w:pPr>
        <w:ind w:left="709"/>
        <w:rPr>
          <w:i/>
        </w:rPr>
      </w:pPr>
      <w:r>
        <w:rPr>
          <w:i/>
        </w:rPr>
        <w:t>Государственный сектор</w:t>
      </w:r>
    </w:p>
    <w:p w:rsidR="003E3ADF" w:rsidRDefault="003E3ADF">
      <w:pPr>
        <w:ind w:left="709"/>
      </w:pPr>
      <w:r>
        <w:t>В отношении государственного сектора различные правительства считали сложившуюся в нем с</w:t>
      </w:r>
      <w:r>
        <w:t>и</w:t>
      </w:r>
      <w:r>
        <w:t>туацию неудовлетворительной с той точки зрения, что доля женщин на руководящих должностях в этом секторе была слишком мала. В связи с тем, что в 1997 году доля женщин на руководящих должностях составляла всего лишь 22 процента, был организован рассчитанный на 4 года проект под названием "Женщины, качество и компетен</w:t>
      </w:r>
      <w:r>
        <w:t>т</w:t>
      </w:r>
      <w:r>
        <w:t>ность в государственном секторе". Его цель заключалась в том, чтобы к концу 2001 года увеличить долю женщин на руководящих должностях в государственном секторе до 30 процентов. По завершении данного проекта доля женщин на руководящих должностях в государстве</w:t>
      </w:r>
      <w:r>
        <w:t>н</w:t>
      </w:r>
      <w:r>
        <w:t>ном секторе составляла почти 28 процентов. В 2002 году правительство приняло постановление, согласно которому представители каждого пола к 1 июля 2006 года должны занимать не менее 40 процентов всех руководящих должностей. По состоянию на конец 2004 года 35 процентов из 9 тыс. руководителей в государственном секторе были женщинами. Гендерный состав руковод</w:t>
      </w:r>
      <w:r>
        <w:t>и</w:t>
      </w:r>
      <w:r>
        <w:t>телей старшего звена является менее удовлетвор</w:t>
      </w:r>
      <w:r>
        <w:t>и</w:t>
      </w:r>
      <w:r>
        <w:t>тельным. По состоянию на конец 2004</w:t>
      </w:r>
      <w:r>
        <w:rPr>
          <w:lang w:val="en-US"/>
        </w:rPr>
        <w:t> </w:t>
      </w:r>
      <w:r>
        <w:t>года лишь 23 процента из 300</w:t>
      </w:r>
      <w:r>
        <w:rPr>
          <w:lang w:val="en-US"/>
        </w:rPr>
        <w:t> </w:t>
      </w:r>
      <w:r>
        <w:t>руководителей старшего звена были женщинами. В связи с этим усилия в последние годы были конкретно направлены на увеличение доли женщин на этих важнейших должностях.</w:t>
      </w:r>
    </w:p>
    <w:tbl>
      <w:tblPr>
        <w:tblW w:w="9129" w:type="dxa"/>
        <w:tblInd w:w="822" w:type="dxa"/>
        <w:tblLook w:val="01E0" w:firstRow="1" w:lastRow="1" w:firstColumn="1" w:lastColumn="1" w:noHBand="0" w:noVBand="0"/>
      </w:tblPr>
      <w:tblGrid>
        <w:gridCol w:w="3822"/>
        <w:gridCol w:w="1697"/>
        <w:gridCol w:w="1805"/>
        <w:gridCol w:w="1805"/>
      </w:tblGrid>
      <w:tr w:rsidR="003E3ADF">
        <w:tc>
          <w:tcPr>
            <w:tcW w:w="3822" w:type="dxa"/>
            <w:tcBorders>
              <w:top w:val="single" w:sz="4" w:space="0" w:color="auto"/>
              <w:bottom w:val="single" w:sz="12" w:space="0" w:color="auto"/>
            </w:tcBorders>
          </w:tcPr>
          <w:p w:rsidR="003E3ADF" w:rsidRDefault="003E3ADF">
            <w:pPr>
              <w:suppressAutoHyphens/>
              <w:spacing w:before="20" w:after="20"/>
              <w:jc w:val="left"/>
              <w:rPr>
                <w:b/>
                <w:bCs/>
                <w:i/>
                <w:iCs/>
                <w:sz w:val="18"/>
              </w:rPr>
            </w:pPr>
            <w:r>
              <w:rPr>
                <w:b/>
                <w:bCs/>
                <w:i/>
                <w:iCs/>
                <w:sz w:val="18"/>
              </w:rPr>
              <w:t>Категория руководит</w:t>
            </w:r>
            <w:r>
              <w:rPr>
                <w:b/>
                <w:bCs/>
                <w:i/>
                <w:iCs/>
                <w:sz w:val="18"/>
              </w:rPr>
              <w:t>е</w:t>
            </w:r>
            <w:r>
              <w:rPr>
                <w:b/>
                <w:bCs/>
                <w:i/>
                <w:iCs/>
                <w:sz w:val="18"/>
              </w:rPr>
              <w:t>лей</w:t>
            </w:r>
          </w:p>
        </w:tc>
        <w:tc>
          <w:tcPr>
            <w:tcW w:w="1697" w:type="dxa"/>
            <w:tcBorders>
              <w:top w:val="single" w:sz="4" w:space="0" w:color="auto"/>
              <w:bottom w:val="single" w:sz="12" w:space="0" w:color="auto"/>
            </w:tcBorders>
          </w:tcPr>
          <w:p w:rsidR="003E3ADF" w:rsidRDefault="003E3ADF">
            <w:pPr>
              <w:spacing w:before="20" w:after="20"/>
              <w:jc w:val="center"/>
              <w:rPr>
                <w:b/>
                <w:bCs/>
                <w:i/>
                <w:iCs/>
                <w:sz w:val="18"/>
              </w:rPr>
            </w:pPr>
            <w:r>
              <w:rPr>
                <w:b/>
                <w:bCs/>
                <w:i/>
                <w:iCs/>
                <w:sz w:val="18"/>
              </w:rPr>
              <w:t>2002 год</w:t>
            </w:r>
          </w:p>
        </w:tc>
        <w:tc>
          <w:tcPr>
            <w:tcW w:w="1805" w:type="dxa"/>
            <w:tcBorders>
              <w:top w:val="single" w:sz="4" w:space="0" w:color="auto"/>
              <w:bottom w:val="single" w:sz="12" w:space="0" w:color="auto"/>
            </w:tcBorders>
          </w:tcPr>
          <w:p w:rsidR="003E3ADF" w:rsidRDefault="003E3ADF">
            <w:pPr>
              <w:spacing w:before="20" w:after="20"/>
              <w:jc w:val="center"/>
              <w:rPr>
                <w:b/>
                <w:bCs/>
                <w:i/>
                <w:iCs/>
                <w:sz w:val="18"/>
              </w:rPr>
            </w:pPr>
            <w:r>
              <w:rPr>
                <w:b/>
                <w:bCs/>
                <w:i/>
                <w:iCs/>
                <w:sz w:val="18"/>
              </w:rPr>
              <w:t>2004 год</w:t>
            </w:r>
          </w:p>
        </w:tc>
        <w:tc>
          <w:tcPr>
            <w:tcW w:w="1805" w:type="dxa"/>
            <w:tcBorders>
              <w:top w:val="single" w:sz="4" w:space="0" w:color="auto"/>
              <w:bottom w:val="single" w:sz="12" w:space="0" w:color="auto"/>
            </w:tcBorders>
          </w:tcPr>
          <w:p w:rsidR="003E3ADF" w:rsidRDefault="003E3ADF">
            <w:pPr>
              <w:spacing w:before="20" w:after="20"/>
              <w:jc w:val="center"/>
              <w:rPr>
                <w:b/>
                <w:bCs/>
                <w:i/>
                <w:iCs/>
                <w:sz w:val="18"/>
              </w:rPr>
            </w:pPr>
            <w:r>
              <w:rPr>
                <w:b/>
                <w:bCs/>
                <w:i/>
                <w:iCs/>
                <w:sz w:val="18"/>
              </w:rPr>
              <w:t>2005 год</w:t>
            </w:r>
          </w:p>
        </w:tc>
      </w:tr>
      <w:tr w:rsidR="003E3ADF">
        <w:tc>
          <w:tcPr>
            <w:tcW w:w="3822" w:type="dxa"/>
            <w:tcBorders>
              <w:top w:val="single" w:sz="12" w:space="0" w:color="auto"/>
            </w:tcBorders>
          </w:tcPr>
          <w:p w:rsidR="003E3ADF" w:rsidRDefault="003E3ADF">
            <w:pPr>
              <w:suppressAutoHyphens/>
              <w:spacing w:before="20" w:after="20"/>
              <w:jc w:val="left"/>
              <w:rPr>
                <w:sz w:val="18"/>
              </w:rPr>
            </w:pPr>
            <w:r>
              <w:rPr>
                <w:sz w:val="18"/>
              </w:rPr>
              <w:t>Все руководители в государстве</w:t>
            </w:r>
            <w:r>
              <w:rPr>
                <w:sz w:val="18"/>
              </w:rPr>
              <w:t>н</w:t>
            </w:r>
            <w:r>
              <w:rPr>
                <w:sz w:val="18"/>
              </w:rPr>
              <w:t>ном секторе</w:t>
            </w:r>
          </w:p>
        </w:tc>
        <w:tc>
          <w:tcPr>
            <w:tcW w:w="1697" w:type="dxa"/>
            <w:tcBorders>
              <w:top w:val="single" w:sz="12" w:space="0" w:color="auto"/>
            </w:tcBorders>
          </w:tcPr>
          <w:p w:rsidR="003E3ADF" w:rsidRDefault="003E3ADF">
            <w:pPr>
              <w:spacing w:before="20" w:after="20"/>
              <w:jc w:val="center"/>
              <w:rPr>
                <w:sz w:val="18"/>
              </w:rPr>
            </w:pPr>
            <w:r>
              <w:rPr>
                <w:sz w:val="18"/>
              </w:rPr>
              <w:t>28</w:t>
            </w:r>
          </w:p>
        </w:tc>
        <w:tc>
          <w:tcPr>
            <w:tcW w:w="1805" w:type="dxa"/>
            <w:tcBorders>
              <w:top w:val="single" w:sz="12" w:space="0" w:color="auto"/>
            </w:tcBorders>
          </w:tcPr>
          <w:p w:rsidR="003E3ADF" w:rsidRDefault="003E3ADF">
            <w:pPr>
              <w:spacing w:before="20" w:after="20"/>
              <w:jc w:val="center"/>
              <w:rPr>
                <w:sz w:val="18"/>
              </w:rPr>
            </w:pPr>
            <w:r>
              <w:rPr>
                <w:sz w:val="18"/>
              </w:rPr>
              <w:t>34</w:t>
            </w:r>
          </w:p>
        </w:tc>
        <w:tc>
          <w:tcPr>
            <w:tcW w:w="1805" w:type="dxa"/>
            <w:tcBorders>
              <w:top w:val="single" w:sz="12" w:space="0" w:color="auto"/>
            </w:tcBorders>
          </w:tcPr>
          <w:p w:rsidR="003E3ADF" w:rsidRDefault="003E3ADF">
            <w:pPr>
              <w:spacing w:before="20" w:after="20"/>
              <w:jc w:val="center"/>
              <w:rPr>
                <w:sz w:val="18"/>
              </w:rPr>
            </w:pPr>
            <w:r>
              <w:rPr>
                <w:sz w:val="18"/>
              </w:rPr>
              <w:t>35</w:t>
            </w:r>
          </w:p>
        </w:tc>
      </w:tr>
      <w:tr w:rsidR="003E3ADF">
        <w:tc>
          <w:tcPr>
            <w:tcW w:w="3822" w:type="dxa"/>
            <w:tcBorders>
              <w:bottom w:val="single" w:sz="12" w:space="0" w:color="auto"/>
            </w:tcBorders>
          </w:tcPr>
          <w:p w:rsidR="003E3ADF" w:rsidRDefault="003E3ADF">
            <w:pPr>
              <w:suppressAutoHyphens/>
              <w:spacing w:before="20" w:after="20"/>
              <w:jc w:val="left"/>
              <w:rPr>
                <w:sz w:val="18"/>
              </w:rPr>
            </w:pPr>
            <w:r>
              <w:rPr>
                <w:sz w:val="18"/>
              </w:rPr>
              <w:t>Руководители ста</w:t>
            </w:r>
            <w:r>
              <w:rPr>
                <w:sz w:val="18"/>
              </w:rPr>
              <w:t>р</w:t>
            </w:r>
            <w:r>
              <w:rPr>
                <w:sz w:val="18"/>
              </w:rPr>
              <w:t>шего звена</w:t>
            </w:r>
          </w:p>
        </w:tc>
        <w:tc>
          <w:tcPr>
            <w:tcW w:w="1697" w:type="dxa"/>
            <w:tcBorders>
              <w:bottom w:val="single" w:sz="12" w:space="0" w:color="auto"/>
            </w:tcBorders>
          </w:tcPr>
          <w:p w:rsidR="003E3ADF" w:rsidRDefault="003E3ADF">
            <w:pPr>
              <w:spacing w:before="20" w:after="20"/>
              <w:jc w:val="center"/>
              <w:rPr>
                <w:sz w:val="18"/>
              </w:rPr>
            </w:pPr>
            <w:r>
              <w:rPr>
                <w:sz w:val="18"/>
              </w:rPr>
              <w:t>21</w:t>
            </w:r>
          </w:p>
        </w:tc>
        <w:tc>
          <w:tcPr>
            <w:tcW w:w="1805" w:type="dxa"/>
            <w:tcBorders>
              <w:bottom w:val="single" w:sz="12" w:space="0" w:color="auto"/>
            </w:tcBorders>
          </w:tcPr>
          <w:p w:rsidR="003E3ADF" w:rsidRDefault="003E3ADF">
            <w:pPr>
              <w:spacing w:before="20" w:after="20"/>
              <w:jc w:val="center"/>
              <w:rPr>
                <w:sz w:val="18"/>
              </w:rPr>
            </w:pPr>
            <w:r>
              <w:rPr>
                <w:sz w:val="18"/>
              </w:rPr>
              <w:t>23</w:t>
            </w:r>
          </w:p>
        </w:tc>
        <w:tc>
          <w:tcPr>
            <w:tcW w:w="1805" w:type="dxa"/>
            <w:tcBorders>
              <w:bottom w:val="single" w:sz="12" w:space="0" w:color="auto"/>
            </w:tcBorders>
          </w:tcPr>
          <w:p w:rsidR="003E3ADF" w:rsidRDefault="003E3ADF">
            <w:pPr>
              <w:spacing w:before="20" w:after="20"/>
              <w:jc w:val="center"/>
              <w:rPr>
                <w:sz w:val="18"/>
              </w:rPr>
            </w:pPr>
            <w:r>
              <w:rPr>
                <w:sz w:val="18"/>
              </w:rPr>
              <w:t>23</w:t>
            </w:r>
          </w:p>
        </w:tc>
      </w:tr>
    </w:tbl>
    <w:p w:rsidR="003E3ADF" w:rsidRDefault="003E3ADF">
      <w:pPr>
        <w:spacing w:after="120"/>
        <w:ind w:left="709"/>
      </w:pPr>
    </w:p>
    <w:p w:rsidR="003E3ADF" w:rsidRDefault="003E3ADF">
      <w:pPr>
        <w:ind w:left="709"/>
      </w:pPr>
      <w:r>
        <w:t>Для увеличения доли женщин на руководящих должностях принимаются различные централизова</w:t>
      </w:r>
      <w:r>
        <w:t>н</w:t>
      </w:r>
      <w:r>
        <w:t>ные меры. С 1999 года программу наставничества для руководителей-женщин в государственном секторе возглавляет государственный советник. Результаты проведенного обследования свидетельствуют о том, что наставничество повышает степень мотивации участников к продвижению по службе в аппарате управления. Кроме того, для женщин – руководителей среднего звена различных министерств была создана сеть и клуб для общения. Разработаны также новые процедуры для набора руководителей старшего звена. В связи с назначением каждого руководителя старшего звена, по возможности, должны рассматриваться как минимум три кандидата, по меньшей мере один из которых является женщиной. В случае привлечения внешних консультантов к процессу набора персонала заключаемый с ним договор должен предусматривать пункт о том, что предложенный ими окончател</w:t>
      </w:r>
      <w:r>
        <w:t>ь</w:t>
      </w:r>
      <w:r>
        <w:t>ный список кандидатов должен включать представителей обоих полов. В 2004 году был организован двухгоди</w:t>
      </w:r>
      <w:r>
        <w:t>ч</w:t>
      </w:r>
      <w:r>
        <w:t>ный экспериментальный проект, направленный на поощрение мобильности руководителей государственной админис</w:t>
      </w:r>
      <w:r>
        <w:t>т</w:t>
      </w:r>
      <w:r>
        <w:t>рации. Особый упор сделан на обеспечение участия женщин в указанном проекте.</w:t>
      </w:r>
    </w:p>
    <w:p w:rsidR="003E3ADF" w:rsidRDefault="003E3ADF">
      <w:pPr>
        <w:ind w:left="709"/>
      </w:pPr>
      <w:r>
        <w:t>Весной 2005 года было проведено обследование 1 тыс. руководителей, работающих в государственном се</w:t>
      </w:r>
      <w:r>
        <w:t>к</w:t>
      </w:r>
      <w:r>
        <w:t>торе, для выяснения степени их мотивации к продвижению по службе в государственном секторе и опыта их участия в конкурсах на соискание вакантных руководящих должностей. Результаты данного обследования показали, что женщины хотят быть руководителями старшего звена в той же степени, что и мужчины. Так, 40 процентов женщин и 43 процента мужчин заявили, что они хотели бы сейчас или позднее стать руководител</w:t>
      </w:r>
      <w:r>
        <w:t>я</w:t>
      </w:r>
      <w:r>
        <w:t>ми старшего звена в государственном секторе.</w:t>
      </w:r>
    </w:p>
    <w:p w:rsidR="003E3ADF" w:rsidRDefault="003E3ADF">
      <w:pPr>
        <w:ind w:left="709"/>
      </w:pPr>
      <w:r>
        <w:t>Женщины работают столь же усердно, как и мужчины, и обладают такой же уверенностью в собс</w:t>
      </w:r>
      <w:r>
        <w:t>т</w:t>
      </w:r>
      <w:r>
        <w:t xml:space="preserve">венных силах. Среди заявивших о своем нежелании становиться руководителем старшего звена доли мужчин и женщин, объяснивших это желанием уделять больше времени своей семье, распределились приблизительно поровну. Результаты обследования показали, что более чем двум третям руководителей однажды или неоднократно предлагалось занять более высокую руководящую должность, причем женщинам предложение занять должность более высокого уровня делалось так же часто, как и мужчинам. Вместе с тем обследование также показало наличие существенного различия между путями карьерного роста мужчин и женщин. </w:t>
      </w:r>
      <w:r>
        <w:rPr>
          <w:i/>
        </w:rPr>
        <w:t>Женщины гораздо реже, чем мужчины, подают заявления на руководящие должности, если их об этом настоятельно не попросят</w:t>
      </w:r>
      <w:r>
        <w:t>. 32 процента женщин никогда не подали бы заявления на замещение руковод</w:t>
      </w:r>
      <w:r>
        <w:t>я</w:t>
      </w:r>
      <w:r>
        <w:t xml:space="preserve">щей должности, если бы их об этом настоятельно не просили, по сравнению с 24 процентами мужчин. </w:t>
      </w:r>
      <w:r>
        <w:rPr>
          <w:i/>
        </w:rPr>
        <w:t>Кроме того, мужчины в целом претендуют на занятие большего числа должностей, чем их коллеги-женщины</w:t>
      </w:r>
      <w:r>
        <w:t>. 63 процента мужчин по сравнению с 52 процентами женщин заявили, что в период работы они претендовали более чем на три руководящие должн</w:t>
      </w:r>
      <w:r>
        <w:t>о</w:t>
      </w:r>
      <w:r>
        <w:t xml:space="preserve">сти. </w:t>
      </w:r>
    </w:p>
    <w:p w:rsidR="003E3ADF" w:rsidRDefault="003E3ADF">
      <w:pPr>
        <w:ind w:left="709"/>
      </w:pPr>
      <w:r>
        <w:t>Недостаточное число женщин-руководителей часто объясняют факторами, связанными с самими женщин</w:t>
      </w:r>
      <w:r>
        <w:t>а</w:t>
      </w:r>
      <w:r>
        <w:t>ми, например тем, что меньшее число женщин, чем мужчин, желают становиться руководител</w:t>
      </w:r>
      <w:r>
        <w:t>я</w:t>
      </w:r>
      <w:r>
        <w:t>ми, что они менее амбициозны, обладают меньшей уверенностью в собственных силах, меньше работают и что им труднее совмещать работу и семейные обязанности. Согласно результатам обследования, это не относится к руководит</w:t>
      </w:r>
      <w:r>
        <w:t>е</w:t>
      </w:r>
      <w:r>
        <w:t>лям мужского и женского пола, работающим в государственном секторе. Сходство приоритетов между руководител</w:t>
      </w:r>
      <w:r>
        <w:t>я</w:t>
      </w:r>
      <w:r>
        <w:t>ми-мужчинами и руководителями-женщинами поразительно. Результаты обследования также показывают, что работодатели не проводят никакой дискриминации в отношении женщин в связи с назначениями на руководящие должности.</w:t>
      </w:r>
    </w:p>
    <w:p w:rsidR="003E3ADF" w:rsidRDefault="003E3ADF">
      <w:pPr>
        <w:ind w:left="709"/>
      </w:pPr>
      <w:r>
        <w:t>Основываясь на выводах данного обследования, министерство организовало проект, в рамках которого же</w:t>
      </w:r>
      <w:r>
        <w:t>н</w:t>
      </w:r>
      <w:r>
        <w:t>щины – руководители среднего звена, желающие занять более высокие руководящие должности, проходят инструктаж и консультирование по вопросам службы. Процесс обучения длится не более 11 месяцев. В настоящее время участие в данном проекте принимают 20 женщин, работающих на должностях руководителей департаме</w:t>
      </w:r>
      <w:r>
        <w:t>н</w:t>
      </w:r>
      <w:r>
        <w:t>тов.</w:t>
      </w:r>
    </w:p>
    <w:p w:rsidR="003E3ADF" w:rsidRDefault="003E3ADF">
      <w:pPr>
        <w:keepNext/>
        <w:ind w:left="709"/>
        <w:rPr>
          <w:i/>
        </w:rPr>
      </w:pPr>
      <w:r>
        <w:rPr>
          <w:i/>
        </w:rPr>
        <w:t>Сектор обороны</w:t>
      </w:r>
    </w:p>
    <w:p w:rsidR="003E3ADF" w:rsidRDefault="003E3ADF">
      <w:pPr>
        <w:ind w:left="709"/>
      </w:pPr>
      <w:r>
        <w:t>В соответствии с разделом 3 Закона об обязательной воинской службе норвежские мужчины должны прох</w:t>
      </w:r>
      <w:r>
        <w:t>о</w:t>
      </w:r>
      <w:r>
        <w:t>дить обязательную воинскую службу. Женщины этого делать не обязаны. Доминирующие позиции в секторе обороны занимают мужчины, и Министерство обороны и вооруженные силы ставят перед собой цель содейств</w:t>
      </w:r>
      <w:r>
        <w:t>о</w:t>
      </w:r>
      <w:r>
        <w:t>вать набору большего числа женщин на службу в вооруженных силах и на работу в Министерство обороны, причем как на обычные, так и на руководящие должности. Они также планируют принять меры к тому, чтобы женщины, принятые на службу, оставались служить в вооруженных силах и чтобы у них имелись равные с мужчинами возможности для карьерного роста. Что касается военносл</w:t>
      </w:r>
      <w:r>
        <w:t>у</w:t>
      </w:r>
      <w:r>
        <w:t>жащих вооруженных сил (и сотрудников Министерства обороны), то здесь первоначальная цель – добиться представительства женщин на уровне 7 процентов. Для этого принимаются самые различные меры, включая введение добровольной базовой подготовки для женщин, и шаги, направленные на улучшение планирования карьерного роста (что крайне важно для того, чтобы военнослужащие могли совмещать службу с выполнением семейных обязанностей). В 2004</w:t>
      </w:r>
      <w:r>
        <w:rPr>
          <w:lang w:val="en-US"/>
        </w:rPr>
        <w:t> </w:t>
      </w:r>
      <w:r>
        <w:t>году доля женщин в вооруженных силах составляла 5,05 процента. В Министерстве обороны женщины составляли 29 процентов персонала. Неравный гендерный состав сотрудников министе</w:t>
      </w:r>
      <w:r>
        <w:t>р</w:t>
      </w:r>
      <w:r>
        <w:t>ства также отчетливо проявляется на уровне руковод</w:t>
      </w:r>
      <w:r>
        <w:t>и</w:t>
      </w:r>
      <w:r>
        <w:t>телей старшего звена, где доля женщин равняется 13 процентам, что на 2</w:t>
      </w:r>
      <w:r>
        <w:rPr>
          <w:lang w:val="en-US"/>
        </w:rPr>
        <w:t> </w:t>
      </w:r>
      <w:r>
        <w:t>процента ниже, чем в 2002 и 2003 годах.</w:t>
      </w:r>
    </w:p>
    <w:p w:rsidR="003E3ADF" w:rsidRDefault="003E3ADF">
      <w:pPr>
        <w:ind w:left="709"/>
      </w:pPr>
      <w:r>
        <w:t>В руководящих принципах кадровой политики упор делается на обеспечении гендерного равенства. Мин</w:t>
      </w:r>
      <w:r>
        <w:t>и</w:t>
      </w:r>
      <w:r>
        <w:t>стерство приглашает женщин на собеседования в связи с новыми назначениями. В 2003–2004 годах доля женщин среди кандидатов на должности, принявших участие в таких собеседованиях, составила 43 процента, и женщины получили три из семи новых назначений. Цифры за 2004–2005 годы показывают, что среди участников собесед</w:t>
      </w:r>
      <w:r>
        <w:t>о</w:t>
      </w:r>
      <w:r>
        <w:t>ваний доля женщин составила 70 процентов, и женщины получили пять из шести новых назначений в Министе</w:t>
      </w:r>
      <w:r>
        <w:t>р</w:t>
      </w:r>
      <w:r>
        <w:t xml:space="preserve">стве обороны. </w:t>
      </w:r>
    </w:p>
    <w:p w:rsidR="003E3ADF" w:rsidRDefault="003E3ADF">
      <w:pPr>
        <w:keepNext/>
        <w:ind w:left="709"/>
        <w:rPr>
          <w:i/>
        </w:rPr>
      </w:pPr>
      <w:r>
        <w:rPr>
          <w:i/>
        </w:rPr>
        <w:t>Увеличение числа главных административных сотрудников-женщин в муниципальных органах</w:t>
      </w:r>
    </w:p>
    <w:p w:rsidR="003E3ADF" w:rsidRDefault="003E3ADF">
      <w:pPr>
        <w:keepNext/>
        <w:ind w:left="709"/>
      </w:pPr>
      <w:r>
        <w:t>В 2003 году на долю женщин приходилось лишь 12 процентов всех должностей категории главных админ</w:t>
      </w:r>
      <w:r>
        <w:t>и</w:t>
      </w:r>
      <w:r>
        <w:t>стративных сотрудников. В рамках научно-исследовательского проекта под названием "Прорыв – увеличение числа женщин на старших руководящих должностях в муниципалитетах", осуществляемого под эгидой Норве</w:t>
      </w:r>
      <w:r>
        <w:t>ж</w:t>
      </w:r>
      <w:r>
        <w:t>ской ассоциации местных и региональных органов власти, были предприняты шаги по увеличению доли женщин на старших руководящих должностях в муниципальных органах. В 2005 году доля женщин возросла до 14 процентов. Цель данного проекта состояла в том, чтобы привлечь новых кандидатов-женщин на старшие руководящие должности, а также способствовать распространению новой информации и повышению осведомле</w:t>
      </w:r>
      <w:r>
        <w:t>н</w:t>
      </w:r>
      <w:r>
        <w:t>ности о представительстве мужчин и женщин на старших руководящих должностях в муниципальном секторе. Этот проект был направлен на решение основопол</w:t>
      </w:r>
      <w:r>
        <w:t>а</w:t>
      </w:r>
      <w:r>
        <w:t>гающей задачи повышения эффективности управления в муниципальном секторе с использованием опыта и ресурсов как мужчин, так и женщин.</w:t>
      </w:r>
    </w:p>
    <w:p w:rsidR="003E3ADF" w:rsidRDefault="003E3ADF">
      <w:pPr>
        <w:ind w:left="709"/>
        <w:rPr>
          <w:i/>
        </w:rPr>
      </w:pPr>
      <w:r>
        <w:rPr>
          <w:i/>
        </w:rPr>
        <w:t>Женщины в составе советов директоров</w:t>
      </w:r>
    </w:p>
    <w:p w:rsidR="003E3ADF" w:rsidRDefault="003E3ADF">
      <w:pPr>
        <w:ind w:left="709"/>
      </w:pPr>
      <w:r>
        <w:t>В последнее время повышенное внимание уделяется увеличению числа женщин в составе советов директ</w:t>
      </w:r>
      <w:r>
        <w:t>о</w:t>
      </w:r>
      <w:r>
        <w:t>ров. В декабре 2003 года стортинг принял предложение (см. Предложение № 97 (2002–2003 годы), представленное одельстингу) о введении правил для открытых компаний с ограниченной ответственностью, принадлежащих частным собстве</w:t>
      </w:r>
      <w:r>
        <w:t>н</w:t>
      </w:r>
      <w:r>
        <w:t>никам, согласно которым доля представителей каждого пола в совете директоров должна составлять не менее 40 процентов. Правила, касающиеся гендерного представительства в советах директ</w:t>
      </w:r>
      <w:r>
        <w:t>о</w:t>
      </w:r>
      <w:r>
        <w:t>ров открытых компаний с ограниченной ответственностью, вступили в силу 1 января 2006 года. Зарегистр</w:t>
      </w:r>
      <w:r>
        <w:t>и</w:t>
      </w:r>
      <w:r>
        <w:t>рованным до утверждения указанных правил открытым компаниям с ограниченной ответс</w:t>
      </w:r>
      <w:r>
        <w:t>т</w:t>
      </w:r>
      <w:r>
        <w:t xml:space="preserve">венностью дается два года на выполнение требования, касающегося гендерного представительства. Для получения регистрации открытые новые компании с ограниченной ответственностью должны соблюдать требование, касающееся гендерного представительства. </w:t>
      </w:r>
    </w:p>
    <w:p w:rsidR="003E3ADF" w:rsidRDefault="003E3ADF">
      <w:pPr>
        <w:ind w:left="709"/>
      </w:pPr>
      <w:r>
        <w:t>По данным Статистического управления Норвегии, на 1 января 2006 года 19 процентов членов советов д</w:t>
      </w:r>
      <w:r>
        <w:t>и</w:t>
      </w:r>
      <w:r>
        <w:t>ректоров открытых компаний с ограниченной ответственностью (включая заместителей-членов) были женщин</w:t>
      </w:r>
      <w:r>
        <w:t>а</w:t>
      </w:r>
      <w:r>
        <w:t xml:space="preserve">ми. Статистика говорит о том, что в наиболее крупных компаниях, то есть в компаниях, в которых насчитывается свыше 100 сотрудников, доля женщин является наибольшей. Статистические данные, полученные от </w:t>
      </w:r>
      <w:r>
        <w:rPr>
          <w:lang w:val="en-US"/>
        </w:rPr>
        <w:t>Lindorff</w:t>
      </w:r>
      <w:r>
        <w:t xml:space="preserve"> </w:t>
      </w:r>
      <w:r>
        <w:rPr>
          <w:lang w:val="en-US"/>
        </w:rPr>
        <w:t>Decision</w:t>
      </w:r>
      <w:r>
        <w:t>, свидетельствуют о том, что весной 2005 года доля женщин в советах директоров открытых компаний с ограниченной ответственностью значительно возросла.</w:t>
      </w:r>
    </w:p>
    <w:p w:rsidR="003E3ADF" w:rsidRDefault="003E3ADF">
      <w:pPr>
        <w:ind w:left="709"/>
      </w:pPr>
      <w:r>
        <w:t>В целях содействия набору женщин в состав советов директоров ряд министерств создали базу да</w:t>
      </w:r>
      <w:r>
        <w:t>н</w:t>
      </w:r>
      <w:r>
        <w:t>ных, в которой могут зарегистрироваться женщины, желающие стать членами таких советов. По состоянию на август 2006 года в этой базе данных были зарегистрированы 4200 женщин; эта база данных помогает сосредоточить внимание на уровне компетентности женщин: 63 процента зарегистрировавшихся женщин обладают опытом работы в таких советах, а 80 процентов имеют опыт работы на руководящих должностях. Базы данных были также созданы Конфедерацией норвежских деловых кругов и промышленных предпр</w:t>
      </w:r>
      <w:r>
        <w:t>и</w:t>
      </w:r>
      <w:r>
        <w:t>ятий (</w:t>
      </w:r>
      <w:r>
        <w:rPr>
          <w:lang w:val="en-US"/>
        </w:rPr>
        <w:t>NHO</w:t>
      </w:r>
      <w:r>
        <w:t xml:space="preserve">), организацией "Инновации в Норвегии" и Ассоциацией норвежских юристов. Министерство торговли и промышленности тесно взаимодействует с </w:t>
      </w:r>
      <w:r>
        <w:rPr>
          <w:lang w:val="en-US"/>
        </w:rPr>
        <w:t>NHO</w:t>
      </w:r>
      <w:r>
        <w:t xml:space="preserve"> в рамках своих усилий по привлечению внимания к женщинам-кандидатам в члены советов через проект "Будущее женщин"; была оказана помощь в разработке и реализации проекта "Форум для кандидатов в члены советов и руководит</w:t>
      </w:r>
      <w:r>
        <w:t>е</w:t>
      </w:r>
      <w:r>
        <w:t>лей предприятий". В сотрудничестве с Норвежской школой управления организация "Инновации в Норвегии" осуществляет программу "Кандидаты в состав советов" для повышения уровня компетентности и информированности как кандидатов-мужчин, так и кандидатов-женщин. Министерство торговли и промышленности также финанс</w:t>
      </w:r>
      <w:r>
        <w:t>и</w:t>
      </w:r>
      <w:r>
        <w:t>рует проведение ежегодных обследований для контроля за ситуацией с представительством женщин в советах директоров открытых компаний с ограниченной ответственностью.</w:t>
      </w:r>
    </w:p>
    <w:p w:rsidR="003E3ADF" w:rsidRDefault="003E3ADF">
      <w:pPr>
        <w:ind w:left="709"/>
      </w:pPr>
      <w:r>
        <w:t>Статистическое управление Норвегии также публикует статистические данные о числе женщин в сост</w:t>
      </w:r>
      <w:r>
        <w:t>а</w:t>
      </w:r>
      <w:r>
        <w:t>ве советов директоров компаний, которые полностью или частично находятся в собственности государства. В сентябре 2005 года доля женщин-акционеров, избранных в состав советов компаний, полностью принадл</w:t>
      </w:r>
      <w:r>
        <w:t>е</w:t>
      </w:r>
      <w:r>
        <w:t>жащих государству, составила 47,2 процента, а компаний, частично находящихся в государственной собственности, – 38,8 процента.</w:t>
      </w:r>
    </w:p>
    <w:p w:rsidR="003E3ADF" w:rsidRDefault="003E3ADF">
      <w:pPr>
        <w:keepNext/>
        <w:tabs>
          <w:tab w:val="clear" w:pos="1361"/>
          <w:tab w:val="right" w:pos="567"/>
          <w:tab w:val="left" w:pos="680"/>
          <w:tab w:val="left" w:pos="1247"/>
        </w:tabs>
        <w:ind w:left="709" w:hanging="709"/>
      </w:pPr>
      <w:r>
        <w:tab/>
        <w:t>2.5.3</w:t>
      </w:r>
      <w:r>
        <w:tab/>
        <w:t>Статья 11.1</w:t>
      </w:r>
      <w:r>
        <w:rPr>
          <w:lang w:val="en-US"/>
        </w:rPr>
        <w:t>c</w:t>
      </w:r>
      <w:r>
        <w:t>.  Образование</w:t>
      </w:r>
    </w:p>
    <w:p w:rsidR="003E3ADF" w:rsidRDefault="003E3ADF">
      <w:pPr>
        <w:ind w:left="709"/>
      </w:pPr>
      <w:r>
        <w:t>Практически вся информация по этой теме представлена в статье 10.</w:t>
      </w:r>
    </w:p>
    <w:p w:rsidR="003E3ADF" w:rsidRDefault="003E3ADF">
      <w:pPr>
        <w:keepNext/>
        <w:tabs>
          <w:tab w:val="clear" w:pos="1361"/>
          <w:tab w:val="right" w:pos="567"/>
          <w:tab w:val="left" w:pos="680"/>
          <w:tab w:val="left" w:pos="1247"/>
        </w:tabs>
        <w:ind w:left="709" w:hanging="709"/>
      </w:pPr>
      <w:r>
        <w:tab/>
        <w:t>2.5.4</w:t>
      </w:r>
      <w:r>
        <w:tab/>
        <w:t>Статья 11.1</w:t>
      </w:r>
      <w:r>
        <w:rPr>
          <w:lang w:val="en-US"/>
        </w:rPr>
        <w:t>d</w:t>
      </w:r>
      <w:r>
        <w:t>.  Равная оплата труда</w:t>
      </w:r>
    </w:p>
    <w:p w:rsidR="003E3ADF" w:rsidRDefault="003E3ADF">
      <w:pPr>
        <w:ind w:left="709"/>
      </w:pPr>
      <w:r>
        <w:t>В 2005 году размер среднемесячной заработной платы женщин составлял 84,5 процента от зарабо</w:t>
      </w:r>
      <w:r>
        <w:t>т</w:t>
      </w:r>
      <w:r>
        <w:t>ной платы мужчин (включая лиц, работающих неполный рабочий день или неполную неделю). Главная причина столь значительной разницы в оплате труда мужчин и женщин состоит в том, что мужчины и женщины работают в разных сегментах рынка труда и имеют разные профессии. Норвежский рынок труда резко разделен по признаку пола. В секторах и профессиях, в которых доминируют мужчины, уровень оплаты труда выше, чем в секторах и профессиях, в которых преобладают женщины. Это в некоторой степени можно объяснить тем фактом, что механизмы ведения переговоров в отношении уровня оплаты труда и возможн</w:t>
      </w:r>
      <w:r>
        <w:t>о</w:t>
      </w:r>
      <w:r>
        <w:t>сти вести такие переговоры в каждом секторе и в каждой профессии являются разными. В частности, норвежская модель ведения переговоров по вопросам размера оплаты труда строится на той предпосылке, что рост заработной платы должен быть увязан с конкурентоспособностью сектора. Использование модели так называемой ведущей профессии способствует надлежащему экономическому росту и низкому уровню безработицы, что, возможно, также объясняет, почему одни группы имеют более широкие возможности для ведения переговоров об уровне заработной платы, чем другие. Помочь объяснить эту разницу могут также и другие глубинные факторы. Отчасти разрыв в оплате труда связан с тем, что мужчины и женщины имеют неодинаковый доступ к должностям и что женщины часто работают на менее высоко оплачиваемых должностях, чем мужчины. Может также иметь место и разное вознагра</w:t>
      </w:r>
      <w:r>
        <w:t>ж</w:t>
      </w:r>
      <w:r>
        <w:t>дение за равный труд. В среднем разница в оплате труда женщин и мужчин составляет около 16 процентов в час. Эта разница усугубляется тем, что мужчины чаще, чем женщины, получают различные надбавки и премии. С точки зрения предусмо</w:t>
      </w:r>
      <w:r>
        <w:t>т</w:t>
      </w:r>
      <w:r>
        <w:t>ренной трудовым соглашением оплаты труда или базового оклада размер заработной платы женщин составляет 85,9 процента от размера оплаты труда мужчин. Если учесть периодически выплачиваемые надбавки и премии, то этот показатель снизится до 84,7 процента, а если включить еще и плату за свер</w:t>
      </w:r>
      <w:r>
        <w:t>х</w:t>
      </w:r>
      <w:r>
        <w:t>урочную работу, то эта цифра снизится еще больше и составит 82,8 процента.</w:t>
      </w:r>
    </w:p>
    <w:p w:rsidR="003E3ADF" w:rsidRDefault="003E3ADF">
      <w:pPr>
        <w:ind w:left="709"/>
      </w:pPr>
      <w:r>
        <w:t>Относительная разница в размере оплаты труда женщин и мужчин в частном секторе наиболее вел</w:t>
      </w:r>
      <w:r>
        <w:t>и</w:t>
      </w:r>
      <w:r>
        <w:t>ка в пр</w:t>
      </w:r>
      <w:r>
        <w:t>о</w:t>
      </w:r>
      <w:r>
        <w:t>фессиях с наивысшим уровнем оплаты труда, таких как руководители, профессора и преподав</w:t>
      </w:r>
      <w:r>
        <w:t>а</w:t>
      </w:r>
      <w:r>
        <w:t>тели колледжей. На руководящих должностях заработок женщин в среднем составляет лишь 81 процент от ежемеся</w:t>
      </w:r>
      <w:r>
        <w:t>ч</w:t>
      </w:r>
      <w:r>
        <w:t>ного заработка мужчин. Одна из причин такого различия заключается в том, что мужчины-руководители стоят на более высоких ступенях иерархической лестницы, то есть занимают большее число старших руководящих должностей, чем женщины. На руководящем уровне существенные различия также наблюдаются между отраслями; примером отрасли, в которой отмечаются относительно большие различия в размере ежемесячной оплаты труда руководит</w:t>
      </w:r>
      <w:r>
        <w:t>е</w:t>
      </w:r>
      <w:r>
        <w:t>лей мужского и женского пола, как в денежном выражении, так и в процентном отношении, является область финансов. Разница в оплате труда мужчин и женщин увеличивается с возрастом. Отчасти причина данного явления кроется в различном выборе карьеры и сферы образования, который в свое время сделали мужчины и женщины.</w:t>
      </w:r>
    </w:p>
    <w:p w:rsidR="003E3ADF" w:rsidRDefault="003E3ADF">
      <w:pPr>
        <w:ind w:left="709"/>
      </w:pPr>
      <w:r>
        <w:t>Если сравнить ситуацию в Норвегии с ситуацией в других европейских странах, используя данные 2003 года, то можно увидеть, что разница в оплате труда женщин и мужчин в Норвегии приблизительно такая же, как в среднем в 15 государствах – членах ЕС до вступления в Союз новых членов в 2004 году. Если учесть новые государства-члены, то разница в оплате труда в ЕС будет примерно на 1 процент ниже, чем в Норвегии. При сравнении ситуации в Норвегии с ситуацией в соседних странах видно, что в Швеции и Норвегии она примерно одинаковая, а в Дании разница в оплате труда женщин и мужчин приблизительно на 2 процента больше, чем в Норвегии.</w:t>
      </w:r>
    </w:p>
    <w:p w:rsidR="003E3ADF" w:rsidRDefault="003E3ADF">
      <w:pPr>
        <w:ind w:left="709"/>
      </w:pPr>
      <w:r>
        <w:t>Информацию о финансовом положении женщин и мужчин можно найти в докладе Технического ком</w:t>
      </w:r>
      <w:r>
        <w:t>и</w:t>
      </w:r>
      <w:r>
        <w:t>тета по представлению доклада о расчете доходов. В состав этого комитета входят представители социал</w:t>
      </w:r>
      <w:r>
        <w:t>ь</w:t>
      </w:r>
      <w:r>
        <w:t>ных партнеров, и его задача состоит в подготовке базового материала для использования на переговорах по вопросам размера заработной платы. Этот материал также содержит ежегодно обновля</w:t>
      </w:r>
      <w:r>
        <w:t>е</w:t>
      </w:r>
      <w:r>
        <w:t>мые сведения о различиях в уровне заработной платы женщин и мужчин. Различия в заработной плате представляются с указанием основных областей, охватываемых коллективным договором, отрасли, возраста и уровня образования. В этом докладе также приводятся результаты исследований по данному вопросу.</w:t>
      </w:r>
    </w:p>
    <w:p w:rsidR="003E3ADF" w:rsidRDefault="003E3ADF">
      <w:pPr>
        <w:ind w:left="709"/>
      </w:pPr>
      <w:r>
        <w:t>В докладе указывается, что в период 1998–2005 годов оплата труда женщин и мужчин стала более одинак</w:t>
      </w:r>
      <w:r>
        <w:t>о</w:t>
      </w:r>
      <w:r>
        <w:t xml:space="preserve">вой </w:t>
      </w:r>
      <w:r>
        <w:rPr>
          <w:i/>
        </w:rPr>
        <w:t>во всех областях, в которых велись переговоры</w:t>
      </w:r>
      <w:r>
        <w:t>, за исключением исполнительных руководителей промышле</w:t>
      </w:r>
      <w:r>
        <w:t>н</w:t>
      </w:r>
      <w:r>
        <w:t xml:space="preserve">ных предприятий, входящих в состав компаний </w:t>
      </w:r>
      <w:r>
        <w:rPr>
          <w:lang w:val="en-US"/>
        </w:rPr>
        <w:t>NHO</w:t>
      </w:r>
      <w:r>
        <w:t>, а также работников больниц, находящихся в ведении центрального правительства.</w:t>
      </w:r>
    </w:p>
    <w:p w:rsidR="003E3ADF" w:rsidRDefault="003E3ADF">
      <w:pPr>
        <w:ind w:left="709"/>
      </w:pPr>
      <w:r>
        <w:t xml:space="preserve">В докладе также показан разрыв в оплате труда в разбивке по </w:t>
      </w:r>
      <w:r>
        <w:rPr>
          <w:i/>
        </w:rPr>
        <w:t>отраслям</w:t>
      </w:r>
      <w:r>
        <w:t>. Тенденции, наблюдавшиеся в ра</w:t>
      </w:r>
      <w:r>
        <w:t>з</w:t>
      </w:r>
      <w:r>
        <w:t>личных отраслях в период 2004–2005 годов, свидетельствуют о том, что оплата труда женщин и мужчин стала более одинаковой для таких категорий, как работники больниц, находящихся в ведении центрального правительс</w:t>
      </w:r>
      <w:r>
        <w:t>т</w:t>
      </w:r>
      <w:r>
        <w:t>ва, работники сектора строительства зданий и сооружений, сферы предприн</w:t>
      </w:r>
      <w:r>
        <w:t>и</w:t>
      </w:r>
      <w:r>
        <w:t>мательских услуг и образования, а также сотрудники центрального правительства. В сфере розничной торговли, гостинично-ресторанного обслуж</w:t>
      </w:r>
      <w:r>
        <w:t>и</w:t>
      </w:r>
      <w:r>
        <w:t>вания, финансового посредничества и в муниципальном секторе разница в оплате труда возросла.</w:t>
      </w:r>
    </w:p>
    <w:p w:rsidR="003E3ADF" w:rsidRDefault="003E3ADF">
      <w:pPr>
        <w:ind w:left="709"/>
        <w:rPr>
          <w:b/>
          <w:bCs/>
          <w:sz w:val="20"/>
        </w:rPr>
      </w:pPr>
      <w:r>
        <w:rPr>
          <w:b/>
          <w:bCs/>
          <w:sz w:val="20"/>
        </w:rPr>
        <w:t>Средний размер заработной платы женщин по сравнению с мужчинами, работающими в том же секторе (полная занятость), в процентах</w:t>
      </w:r>
    </w:p>
    <w:tbl>
      <w:tblPr>
        <w:tblW w:w="9129" w:type="dxa"/>
        <w:tblInd w:w="822" w:type="dxa"/>
        <w:tblLook w:val="01E0" w:firstRow="1" w:lastRow="1" w:firstColumn="1" w:lastColumn="1" w:noHBand="0" w:noVBand="0"/>
      </w:tblPr>
      <w:tblGrid>
        <w:gridCol w:w="4870"/>
        <w:gridCol w:w="2136"/>
        <w:gridCol w:w="2123"/>
      </w:tblGrid>
      <w:tr w:rsidR="003E3ADF">
        <w:tc>
          <w:tcPr>
            <w:tcW w:w="4920" w:type="dxa"/>
            <w:tcBorders>
              <w:top w:val="single" w:sz="4" w:space="0" w:color="auto"/>
              <w:bottom w:val="single" w:sz="12" w:space="0" w:color="auto"/>
            </w:tcBorders>
          </w:tcPr>
          <w:p w:rsidR="003E3ADF" w:rsidRDefault="003E3ADF">
            <w:pPr>
              <w:spacing w:before="20" w:after="20"/>
              <w:rPr>
                <w:b/>
                <w:bCs/>
                <w:i/>
                <w:iCs/>
                <w:sz w:val="18"/>
              </w:rPr>
            </w:pPr>
            <w:r>
              <w:rPr>
                <w:b/>
                <w:bCs/>
                <w:i/>
                <w:iCs/>
                <w:sz w:val="18"/>
              </w:rPr>
              <w:t>Сектор</w:t>
            </w:r>
          </w:p>
        </w:tc>
        <w:tc>
          <w:tcPr>
            <w:tcW w:w="2147" w:type="dxa"/>
            <w:tcBorders>
              <w:top w:val="single" w:sz="4" w:space="0" w:color="auto"/>
              <w:bottom w:val="single" w:sz="12" w:space="0" w:color="auto"/>
            </w:tcBorders>
          </w:tcPr>
          <w:p w:rsidR="003E3ADF" w:rsidRDefault="003E3ADF">
            <w:pPr>
              <w:spacing w:before="20" w:after="20"/>
              <w:jc w:val="center"/>
              <w:rPr>
                <w:b/>
                <w:bCs/>
                <w:i/>
                <w:iCs/>
                <w:sz w:val="18"/>
              </w:rPr>
            </w:pPr>
            <w:r>
              <w:rPr>
                <w:b/>
                <w:bCs/>
                <w:i/>
                <w:iCs/>
                <w:sz w:val="18"/>
              </w:rPr>
              <w:t>2004 год</w:t>
            </w:r>
          </w:p>
        </w:tc>
        <w:tc>
          <w:tcPr>
            <w:tcW w:w="2147" w:type="dxa"/>
            <w:tcBorders>
              <w:top w:val="single" w:sz="4" w:space="0" w:color="auto"/>
              <w:bottom w:val="single" w:sz="12" w:space="0" w:color="auto"/>
            </w:tcBorders>
          </w:tcPr>
          <w:p w:rsidR="003E3ADF" w:rsidRDefault="003E3ADF">
            <w:pPr>
              <w:spacing w:before="20" w:after="20"/>
              <w:jc w:val="center"/>
              <w:rPr>
                <w:b/>
                <w:bCs/>
                <w:i/>
                <w:iCs/>
                <w:sz w:val="18"/>
              </w:rPr>
            </w:pPr>
            <w:r>
              <w:rPr>
                <w:b/>
                <w:bCs/>
                <w:i/>
                <w:iCs/>
                <w:sz w:val="18"/>
              </w:rPr>
              <w:t>2005 год</w:t>
            </w:r>
          </w:p>
        </w:tc>
      </w:tr>
      <w:tr w:rsidR="003E3ADF">
        <w:tc>
          <w:tcPr>
            <w:tcW w:w="4920" w:type="dxa"/>
            <w:tcBorders>
              <w:top w:val="single" w:sz="12" w:space="0" w:color="auto"/>
            </w:tcBorders>
          </w:tcPr>
          <w:p w:rsidR="003E3ADF" w:rsidRDefault="003E3ADF">
            <w:pPr>
              <w:spacing w:before="20" w:after="20"/>
              <w:rPr>
                <w:sz w:val="18"/>
              </w:rPr>
            </w:pPr>
            <w:r>
              <w:rPr>
                <w:sz w:val="18"/>
              </w:rPr>
              <w:t>Промышленность в целом</w:t>
            </w:r>
          </w:p>
        </w:tc>
        <w:tc>
          <w:tcPr>
            <w:tcW w:w="2147" w:type="dxa"/>
            <w:tcBorders>
              <w:top w:val="single" w:sz="12" w:space="0" w:color="auto"/>
            </w:tcBorders>
          </w:tcPr>
          <w:p w:rsidR="003E3ADF" w:rsidRDefault="003E3ADF">
            <w:pPr>
              <w:spacing w:before="20" w:after="20"/>
              <w:ind w:right="851"/>
              <w:jc w:val="right"/>
              <w:rPr>
                <w:sz w:val="18"/>
              </w:rPr>
            </w:pPr>
            <w:r>
              <w:rPr>
                <w:sz w:val="18"/>
              </w:rPr>
              <w:t>86,6</w:t>
            </w:r>
          </w:p>
        </w:tc>
        <w:tc>
          <w:tcPr>
            <w:tcW w:w="2147" w:type="dxa"/>
            <w:tcBorders>
              <w:top w:val="single" w:sz="12" w:space="0" w:color="auto"/>
            </w:tcBorders>
          </w:tcPr>
          <w:p w:rsidR="003E3ADF" w:rsidRDefault="003E3ADF">
            <w:pPr>
              <w:spacing w:before="20" w:after="20"/>
              <w:ind w:right="851"/>
              <w:jc w:val="right"/>
              <w:rPr>
                <w:sz w:val="18"/>
              </w:rPr>
            </w:pPr>
          </w:p>
        </w:tc>
      </w:tr>
      <w:tr w:rsidR="003E3ADF">
        <w:tc>
          <w:tcPr>
            <w:tcW w:w="4920" w:type="dxa"/>
          </w:tcPr>
          <w:p w:rsidR="003E3ADF" w:rsidRDefault="003E3ADF">
            <w:pPr>
              <w:spacing w:before="20" w:after="20"/>
              <w:rPr>
                <w:sz w:val="18"/>
              </w:rPr>
            </w:pPr>
            <w:r>
              <w:rPr>
                <w:sz w:val="18"/>
              </w:rPr>
              <w:t>Государственный сектор</w:t>
            </w:r>
          </w:p>
        </w:tc>
        <w:tc>
          <w:tcPr>
            <w:tcW w:w="2147" w:type="dxa"/>
          </w:tcPr>
          <w:p w:rsidR="003E3ADF" w:rsidRDefault="003E3ADF">
            <w:pPr>
              <w:spacing w:before="20" w:after="20"/>
              <w:ind w:right="851"/>
              <w:jc w:val="right"/>
              <w:rPr>
                <w:sz w:val="18"/>
              </w:rPr>
            </w:pPr>
            <w:r>
              <w:rPr>
                <w:sz w:val="18"/>
              </w:rPr>
              <w:t>90,3</w:t>
            </w:r>
          </w:p>
        </w:tc>
        <w:tc>
          <w:tcPr>
            <w:tcW w:w="2147" w:type="dxa"/>
          </w:tcPr>
          <w:p w:rsidR="003E3ADF" w:rsidRDefault="003E3ADF">
            <w:pPr>
              <w:spacing w:before="20" w:after="20"/>
              <w:jc w:val="center"/>
              <w:rPr>
                <w:sz w:val="18"/>
              </w:rPr>
            </w:pPr>
            <w:r>
              <w:rPr>
                <w:sz w:val="18"/>
              </w:rPr>
              <w:t>90,8</w:t>
            </w:r>
          </w:p>
        </w:tc>
      </w:tr>
      <w:tr w:rsidR="003E3ADF">
        <w:tc>
          <w:tcPr>
            <w:tcW w:w="4920" w:type="dxa"/>
          </w:tcPr>
          <w:p w:rsidR="003E3ADF" w:rsidRDefault="003E3ADF">
            <w:pPr>
              <w:spacing w:before="20" w:after="20"/>
              <w:rPr>
                <w:sz w:val="18"/>
              </w:rPr>
            </w:pPr>
            <w:r>
              <w:rPr>
                <w:sz w:val="18"/>
              </w:rPr>
              <w:t>Образование</w:t>
            </w:r>
          </w:p>
        </w:tc>
        <w:tc>
          <w:tcPr>
            <w:tcW w:w="2147" w:type="dxa"/>
          </w:tcPr>
          <w:p w:rsidR="003E3ADF" w:rsidRDefault="003E3ADF">
            <w:pPr>
              <w:spacing w:before="20" w:after="20"/>
              <w:ind w:right="851"/>
              <w:jc w:val="right"/>
              <w:rPr>
                <w:sz w:val="18"/>
              </w:rPr>
            </w:pPr>
            <w:r>
              <w:rPr>
                <w:sz w:val="18"/>
              </w:rPr>
              <w:t>96,4</w:t>
            </w:r>
          </w:p>
        </w:tc>
        <w:tc>
          <w:tcPr>
            <w:tcW w:w="2147" w:type="dxa"/>
          </w:tcPr>
          <w:p w:rsidR="003E3ADF" w:rsidRDefault="003E3ADF">
            <w:pPr>
              <w:tabs>
                <w:tab w:val="clear" w:pos="709"/>
              </w:tabs>
              <w:spacing w:before="20" w:after="20"/>
              <w:ind w:left="677" w:firstLine="8"/>
              <w:jc w:val="left"/>
              <w:rPr>
                <w:sz w:val="18"/>
              </w:rPr>
            </w:pPr>
            <w:r>
              <w:rPr>
                <w:sz w:val="18"/>
              </w:rPr>
              <w:t xml:space="preserve">   97</w:t>
            </w:r>
          </w:p>
        </w:tc>
      </w:tr>
      <w:tr w:rsidR="003E3ADF">
        <w:tc>
          <w:tcPr>
            <w:tcW w:w="4920" w:type="dxa"/>
          </w:tcPr>
          <w:p w:rsidR="003E3ADF" w:rsidRDefault="003E3ADF">
            <w:pPr>
              <w:spacing w:before="20" w:after="20"/>
              <w:rPr>
                <w:sz w:val="18"/>
              </w:rPr>
            </w:pPr>
            <w:r>
              <w:rPr>
                <w:sz w:val="18"/>
              </w:rPr>
              <w:t>Муниципальный сектор</w:t>
            </w:r>
          </w:p>
        </w:tc>
        <w:tc>
          <w:tcPr>
            <w:tcW w:w="2147" w:type="dxa"/>
          </w:tcPr>
          <w:p w:rsidR="003E3ADF" w:rsidRDefault="003E3ADF">
            <w:pPr>
              <w:spacing w:before="20" w:after="20"/>
              <w:ind w:right="851"/>
              <w:jc w:val="right"/>
              <w:rPr>
                <w:sz w:val="18"/>
              </w:rPr>
            </w:pPr>
            <w:r>
              <w:rPr>
                <w:sz w:val="18"/>
              </w:rPr>
              <w:t>92,3</w:t>
            </w:r>
          </w:p>
        </w:tc>
        <w:tc>
          <w:tcPr>
            <w:tcW w:w="2147" w:type="dxa"/>
          </w:tcPr>
          <w:p w:rsidR="003E3ADF" w:rsidRDefault="003E3ADF">
            <w:pPr>
              <w:spacing w:before="20" w:after="20"/>
              <w:jc w:val="center"/>
              <w:rPr>
                <w:sz w:val="18"/>
              </w:rPr>
            </w:pPr>
            <w:r>
              <w:rPr>
                <w:sz w:val="18"/>
              </w:rPr>
              <w:t>91,9</w:t>
            </w:r>
          </w:p>
        </w:tc>
      </w:tr>
      <w:tr w:rsidR="003E3ADF">
        <w:tc>
          <w:tcPr>
            <w:tcW w:w="4920" w:type="dxa"/>
          </w:tcPr>
          <w:p w:rsidR="003E3ADF" w:rsidRDefault="003E3ADF">
            <w:pPr>
              <w:spacing w:before="20" w:after="20"/>
              <w:rPr>
                <w:sz w:val="18"/>
              </w:rPr>
            </w:pPr>
            <w:r>
              <w:rPr>
                <w:sz w:val="18"/>
              </w:rPr>
              <w:t>– обслуживание клиентов</w:t>
            </w:r>
          </w:p>
        </w:tc>
        <w:tc>
          <w:tcPr>
            <w:tcW w:w="2147" w:type="dxa"/>
          </w:tcPr>
          <w:p w:rsidR="003E3ADF" w:rsidRDefault="003E3ADF">
            <w:pPr>
              <w:spacing w:before="20" w:after="20"/>
              <w:ind w:right="851"/>
              <w:jc w:val="right"/>
              <w:rPr>
                <w:sz w:val="18"/>
              </w:rPr>
            </w:pPr>
            <w:r>
              <w:rPr>
                <w:sz w:val="18"/>
              </w:rPr>
              <w:t>95,6</w:t>
            </w:r>
          </w:p>
        </w:tc>
        <w:tc>
          <w:tcPr>
            <w:tcW w:w="2147" w:type="dxa"/>
          </w:tcPr>
          <w:p w:rsidR="003E3ADF" w:rsidRDefault="003E3ADF">
            <w:pPr>
              <w:spacing w:before="20" w:after="20"/>
              <w:jc w:val="center"/>
              <w:rPr>
                <w:sz w:val="18"/>
              </w:rPr>
            </w:pPr>
            <w:r>
              <w:rPr>
                <w:sz w:val="18"/>
              </w:rPr>
              <w:t>95,9</w:t>
            </w:r>
          </w:p>
        </w:tc>
      </w:tr>
      <w:tr w:rsidR="003E3ADF">
        <w:tc>
          <w:tcPr>
            <w:tcW w:w="4920" w:type="dxa"/>
          </w:tcPr>
          <w:p w:rsidR="003E3ADF" w:rsidRDefault="003E3ADF">
            <w:pPr>
              <w:spacing w:before="20" w:after="20"/>
              <w:rPr>
                <w:sz w:val="18"/>
              </w:rPr>
            </w:pPr>
            <w:r>
              <w:rPr>
                <w:sz w:val="18"/>
              </w:rPr>
              <w:t>– управление</w:t>
            </w:r>
          </w:p>
        </w:tc>
        <w:tc>
          <w:tcPr>
            <w:tcW w:w="2147" w:type="dxa"/>
          </w:tcPr>
          <w:p w:rsidR="003E3ADF" w:rsidRDefault="003E3ADF">
            <w:pPr>
              <w:spacing w:before="20" w:after="20"/>
              <w:ind w:right="851"/>
              <w:jc w:val="right"/>
              <w:rPr>
                <w:sz w:val="18"/>
              </w:rPr>
            </w:pPr>
            <w:r>
              <w:rPr>
                <w:sz w:val="18"/>
              </w:rPr>
              <w:t>94,2</w:t>
            </w:r>
          </w:p>
        </w:tc>
        <w:tc>
          <w:tcPr>
            <w:tcW w:w="2147" w:type="dxa"/>
          </w:tcPr>
          <w:p w:rsidR="003E3ADF" w:rsidRDefault="003E3ADF">
            <w:pPr>
              <w:spacing w:before="20" w:after="20"/>
              <w:jc w:val="center"/>
              <w:rPr>
                <w:sz w:val="18"/>
              </w:rPr>
            </w:pPr>
            <w:r>
              <w:rPr>
                <w:sz w:val="18"/>
              </w:rPr>
              <w:t>94,8</w:t>
            </w:r>
          </w:p>
        </w:tc>
      </w:tr>
      <w:tr w:rsidR="003E3ADF">
        <w:tc>
          <w:tcPr>
            <w:tcW w:w="4920" w:type="dxa"/>
          </w:tcPr>
          <w:p w:rsidR="003E3ADF" w:rsidRDefault="003E3ADF">
            <w:pPr>
              <w:spacing w:before="20" w:after="20"/>
              <w:rPr>
                <w:sz w:val="18"/>
              </w:rPr>
            </w:pPr>
            <w:r>
              <w:rPr>
                <w:sz w:val="18"/>
              </w:rPr>
              <w:t>Розничная торговля</w:t>
            </w:r>
          </w:p>
        </w:tc>
        <w:tc>
          <w:tcPr>
            <w:tcW w:w="2147" w:type="dxa"/>
          </w:tcPr>
          <w:p w:rsidR="003E3ADF" w:rsidRDefault="003E3ADF">
            <w:pPr>
              <w:spacing w:before="20" w:after="20"/>
              <w:ind w:right="851"/>
              <w:jc w:val="right"/>
              <w:rPr>
                <w:sz w:val="18"/>
              </w:rPr>
            </w:pPr>
            <w:r>
              <w:rPr>
                <w:sz w:val="18"/>
              </w:rPr>
              <w:t>85,1</w:t>
            </w:r>
          </w:p>
        </w:tc>
        <w:tc>
          <w:tcPr>
            <w:tcW w:w="2147" w:type="dxa"/>
          </w:tcPr>
          <w:p w:rsidR="003E3ADF" w:rsidRDefault="003E3ADF">
            <w:pPr>
              <w:spacing w:before="20" w:after="20"/>
              <w:jc w:val="center"/>
              <w:rPr>
                <w:sz w:val="18"/>
              </w:rPr>
            </w:pPr>
            <w:r>
              <w:rPr>
                <w:sz w:val="18"/>
              </w:rPr>
              <w:t>84,2</w:t>
            </w:r>
          </w:p>
        </w:tc>
      </w:tr>
      <w:tr w:rsidR="003E3ADF">
        <w:tc>
          <w:tcPr>
            <w:tcW w:w="4920" w:type="dxa"/>
          </w:tcPr>
          <w:p w:rsidR="003E3ADF" w:rsidRDefault="003E3ADF">
            <w:pPr>
              <w:spacing w:before="20" w:after="20"/>
              <w:rPr>
                <w:sz w:val="18"/>
              </w:rPr>
            </w:pPr>
            <w:r>
              <w:rPr>
                <w:sz w:val="18"/>
              </w:rPr>
              <w:t>Гостинично-ресторанное обслуживание</w:t>
            </w:r>
          </w:p>
        </w:tc>
        <w:tc>
          <w:tcPr>
            <w:tcW w:w="2147" w:type="dxa"/>
          </w:tcPr>
          <w:p w:rsidR="003E3ADF" w:rsidRDefault="003E3ADF">
            <w:pPr>
              <w:spacing w:before="20" w:after="20"/>
              <w:ind w:right="851"/>
              <w:jc w:val="right"/>
              <w:rPr>
                <w:sz w:val="18"/>
              </w:rPr>
            </w:pPr>
            <w:r>
              <w:rPr>
                <w:sz w:val="18"/>
              </w:rPr>
              <w:t>89,9</w:t>
            </w:r>
          </w:p>
        </w:tc>
        <w:tc>
          <w:tcPr>
            <w:tcW w:w="2147" w:type="dxa"/>
          </w:tcPr>
          <w:p w:rsidR="003E3ADF" w:rsidRDefault="003E3ADF">
            <w:pPr>
              <w:spacing w:before="20" w:after="20"/>
              <w:jc w:val="center"/>
              <w:rPr>
                <w:sz w:val="18"/>
              </w:rPr>
            </w:pPr>
            <w:r>
              <w:rPr>
                <w:sz w:val="18"/>
              </w:rPr>
              <w:t>89,1</w:t>
            </w:r>
          </w:p>
        </w:tc>
      </w:tr>
      <w:tr w:rsidR="003E3ADF">
        <w:tc>
          <w:tcPr>
            <w:tcW w:w="4920" w:type="dxa"/>
            <w:tcBorders>
              <w:bottom w:val="single" w:sz="12" w:space="0" w:color="auto"/>
            </w:tcBorders>
          </w:tcPr>
          <w:p w:rsidR="003E3ADF" w:rsidRDefault="003E3ADF">
            <w:pPr>
              <w:spacing w:before="20" w:after="20"/>
              <w:rPr>
                <w:sz w:val="18"/>
              </w:rPr>
            </w:pPr>
            <w:r>
              <w:rPr>
                <w:sz w:val="18"/>
              </w:rPr>
              <w:t>Финансовое посредничес</w:t>
            </w:r>
            <w:r>
              <w:rPr>
                <w:sz w:val="18"/>
              </w:rPr>
              <w:t>т</w:t>
            </w:r>
            <w:r>
              <w:rPr>
                <w:sz w:val="18"/>
              </w:rPr>
              <w:t>во</w:t>
            </w:r>
          </w:p>
        </w:tc>
        <w:tc>
          <w:tcPr>
            <w:tcW w:w="2147" w:type="dxa"/>
            <w:tcBorders>
              <w:bottom w:val="single" w:sz="12" w:space="0" w:color="auto"/>
            </w:tcBorders>
          </w:tcPr>
          <w:p w:rsidR="003E3ADF" w:rsidRDefault="003E3ADF">
            <w:pPr>
              <w:spacing w:before="20" w:after="20"/>
              <w:ind w:right="851"/>
              <w:jc w:val="right"/>
              <w:rPr>
                <w:sz w:val="18"/>
              </w:rPr>
            </w:pPr>
            <w:r>
              <w:rPr>
                <w:sz w:val="18"/>
              </w:rPr>
              <w:t>73,3</w:t>
            </w:r>
          </w:p>
        </w:tc>
        <w:tc>
          <w:tcPr>
            <w:tcW w:w="2147" w:type="dxa"/>
            <w:tcBorders>
              <w:bottom w:val="single" w:sz="12" w:space="0" w:color="auto"/>
            </w:tcBorders>
          </w:tcPr>
          <w:p w:rsidR="003E3ADF" w:rsidRDefault="003E3ADF">
            <w:pPr>
              <w:spacing w:before="20" w:after="20"/>
              <w:jc w:val="center"/>
              <w:rPr>
                <w:sz w:val="18"/>
              </w:rPr>
            </w:pPr>
            <w:r>
              <w:rPr>
                <w:sz w:val="18"/>
              </w:rPr>
              <w:t>71,9</w:t>
            </w:r>
          </w:p>
        </w:tc>
      </w:tr>
    </w:tbl>
    <w:p w:rsidR="003E3ADF" w:rsidRDefault="003E3ADF">
      <w:pPr>
        <w:pStyle w:val="Header"/>
        <w:spacing w:after="240"/>
        <w:jc w:val="both"/>
      </w:pPr>
    </w:p>
    <w:p w:rsidR="003E3ADF" w:rsidRDefault="003E3ADF">
      <w:pPr>
        <w:ind w:left="709"/>
      </w:pPr>
      <w:r>
        <w:t>В 2005 году на предприятиях, имеющих более 25 сотрудников/наемных рабочих, приблизительно 13 процентов всех руководителей старшего звена были женщинами, и их средний заработок составлял примерно 66 процентов от заработка старших руководителей-мужчин.</w:t>
      </w:r>
    </w:p>
    <w:p w:rsidR="003E3ADF" w:rsidRDefault="003E3ADF">
      <w:pPr>
        <w:ind w:left="709"/>
      </w:pPr>
      <w:r>
        <w:t>В частном секторе наблюдается более высокая разница в оплате труда женщин и мужчин, чем в государс</w:t>
      </w:r>
      <w:r>
        <w:t>т</w:t>
      </w:r>
      <w:r>
        <w:t>венном. Размер оплаты труда в частном секторе в целом выше, чем в государственном. В рамках государственного сектора разница в оплате труда женщин и мужчин менее заметна в муниципальном секторе по сравнению с провинциальным сектором. В муниципальном секторе работает большой процент женщин, и многие из сотрудн</w:t>
      </w:r>
      <w:r>
        <w:t>и</w:t>
      </w:r>
      <w:r>
        <w:t>ков этого сектора работают неполный рабочий день или неполную неделю.</w:t>
      </w:r>
    </w:p>
    <w:p w:rsidR="003E3ADF" w:rsidRDefault="003E3ADF">
      <w:pPr>
        <w:ind w:left="709"/>
      </w:pPr>
      <w:r>
        <w:t>В приложении к государственному бюджету на 2006 год, посвященном обеспечению равенства и озаглавле</w:t>
      </w:r>
      <w:r>
        <w:t>н</w:t>
      </w:r>
      <w:r>
        <w:t>ном "Распределение финансовых ресурсов между женщинами и мужчинами – доход, занятость и использование времени", также содержится информация о финансовом положении женщин и мужчин. В докладе приводятся данные о распределении финансовых ресурсов между женщинами и мужчинами в течение относительно длительного периода с учетом того количества времени, которое они тратят на выполнение оплачиваемой и неоплачиваемой работы. В докладе дается широкая разбивка различных видов доходов мужчин и женщин. Имеющиеся данные указывают на относительно четкую тенденцию повышения степени равенства мужчин и женщин в плане использования времени, занятости и доходов в последние 20–30 лет.</w:t>
      </w:r>
    </w:p>
    <w:p w:rsidR="003E3ADF" w:rsidRDefault="003E3ADF">
      <w:pPr>
        <w:pStyle w:val="H1"/>
        <w:ind w:left="709"/>
        <w:rPr>
          <w:spacing w:val="0"/>
          <w:w w:val="100"/>
          <w:sz w:val="22"/>
        </w:rPr>
      </w:pPr>
      <w:r>
        <w:rPr>
          <w:spacing w:val="0"/>
          <w:w w:val="100"/>
          <w:sz w:val="22"/>
        </w:rPr>
        <w:t>Меры по сокращению различий в оплате труда женщин и мужчин</w:t>
      </w:r>
    </w:p>
    <w:p w:rsidR="003E3ADF" w:rsidRDefault="003E3ADF">
      <w:pPr>
        <w:ind w:left="709"/>
      </w:pPr>
      <w:r>
        <w:t>Норвегия славится давними традициями полезного сотрудничества между социальными партнерами и вл</w:t>
      </w:r>
      <w:r>
        <w:t>а</w:t>
      </w:r>
      <w:r>
        <w:t>стями, которые лежат в основе эффективного функционирования рынка труда. Социальные партнеры отвечают за реализацию результатов переговоров по вопросам размера заработной платы. Пока именно социальным партнерам приходится находить решения, способствующие уменьшению гендерных различий в оплате труда. Вопросы гендерного равенства регулярно поднимаются в связи с переговорами по вопросам размера заработной платы, и о них сообщается в ежегодных докладах Технического комитета по представл</w:t>
      </w:r>
      <w:r>
        <w:t>е</w:t>
      </w:r>
      <w:r>
        <w:t>нию докладов о расчете доходов на основе данных о размере оплаты труда за месяц или за год. Хотя главную ответственность за ведение переговоров по вопросам размера заработной платы несут социальные партнеры, необходимо также рассматривать другие меры и проводить их оценку.</w:t>
      </w:r>
    </w:p>
    <w:p w:rsidR="003E3ADF" w:rsidRDefault="003E3ADF">
      <w:pPr>
        <w:ind w:left="709"/>
      </w:pPr>
      <w:r>
        <w:t>В разделе 5 Закона о гендерном равенстве предусматривается, что работодатели должны обеспечивать ра</w:t>
      </w:r>
      <w:r>
        <w:t>в</w:t>
      </w:r>
      <w:r>
        <w:t>ную оплату труда женщин и мужчин независимо от пола. Действие права на равное вознагражд</w:t>
      </w:r>
      <w:r>
        <w:t>е</w:t>
      </w:r>
      <w:r>
        <w:t>ние за равный труд или труд равной ценности распространяется на все предприятия и не зависит от того, осущест</w:t>
      </w:r>
      <w:r>
        <w:t>в</w:t>
      </w:r>
      <w:r>
        <w:t>ляется ли трудовая деятельность в разных профессиональных областях или регулируются ли вопросы оплаты труда разными коллективными договорами. В политической платформе правительства говорится о том, что весной 2006 года будет создана Комиссия по вопросам равной оплаты труда как элемент политики, касающейся рынка труда, которая включает вопросы обеспечения гендерного равенства, равной оплаты труда, равных возможностей для развития и доступа к программам развития людских ресурсов.</w:t>
      </w:r>
    </w:p>
    <w:p w:rsidR="003E3ADF" w:rsidRDefault="003E3ADF">
      <w:pPr>
        <w:ind w:left="709"/>
      </w:pPr>
      <w:r>
        <w:t>Комиссия по вопросам равной оплаты труда, состоящая из экспертов, будет предоставлять информ</w:t>
      </w:r>
      <w:r>
        <w:t>а</w:t>
      </w:r>
      <w:r>
        <w:t>цию о различиях в оплате труда женщин и мужчин, выявлять те области, в которых подобная информация отсутствует, обсуждать причины различий в оплате труда и рассматривать меры, которые могут помочь устранить эти различия. Комиссия будет также рассматривать вопрос о полной/частичной занятости в качестве одного из факторов неравной оплаты труда. Работа Комиссии по вопросам равной оплаты труда будет направлена на достижение цели политики в области гендерного равенства, касающейся обеспечения того, чтобы труд женщин и мужчин оплачивался одинаково независимо от пола.</w:t>
      </w:r>
    </w:p>
    <w:p w:rsidR="003E3ADF" w:rsidRDefault="003E3ADF">
      <w:pPr>
        <w:ind w:left="709"/>
      </w:pPr>
      <w:r>
        <w:t>Министерство по делам детей и равенства также финансировало трехгодичный проект (в настоящее время уже завершенный), связанный с изучением вопроса об оценке труда в качестве одного из средств обеспечения равной оплаты труда. Цель заключалась в том, чтобы осуществить экспериментальный проект, связанный с проведением оценки труда непосредственно на рабочем месте для выяснения того, можно ли ее использовать в качестве инструмента обеспечения равной оплаты труда. Данный проект осуществлялся силами консалтинговой фирмы "Хартмак консалтинг", которая разработала инструмент, получивший название "ФАКИС", который позволяет определять ценность и содержание работы нейтрал</w:t>
      </w:r>
      <w:r>
        <w:t>ь</w:t>
      </w:r>
      <w:r>
        <w:t>ным с гендерной точки зрении образом. Оценка результатов проекта была проведена фирмой "ЭКОН эналайз", которая несла основную ответственность за подготовку заключительного доклада.</w:t>
      </w:r>
    </w:p>
    <w:p w:rsidR="003E3ADF" w:rsidRDefault="003E3ADF">
      <w:pPr>
        <w:ind w:left="709"/>
      </w:pPr>
      <w:r>
        <w:t>Экспериментальный проект опирался на опыт 15 предприятий, действующих в государственном и час</w:t>
      </w:r>
      <w:r>
        <w:t>т</w:t>
      </w:r>
      <w:r>
        <w:t>ном секторах. Результаты данного проекта показали, что оценка труда может служить полезным инструме</w:t>
      </w:r>
      <w:r>
        <w:t>н</w:t>
      </w:r>
      <w:r>
        <w:t>том для выявления различий в оплате труда женщин и мужчин как на каком-либо одном предприятии, так и между предприятиями, относящимися к разным секторам. Они продемонстрировали, что уровень труда играет важную роль в разнице в оплате труда женщин и мужчин по той причине, что число мужчин, выполняющих работу высокой ценности, намного превосходит число женщин, выполня</w:t>
      </w:r>
      <w:r>
        <w:t>ю</w:t>
      </w:r>
      <w:r>
        <w:t>щих такую же работу. Хотя результаты проекта свидетельствуют о том, что между мужчинами и женщинами, выполняющ</w:t>
      </w:r>
      <w:r>
        <w:t>и</w:t>
      </w:r>
      <w:r>
        <w:t>ми работу одинаковой ценности, системные различия в оплате труда невелики, на некоторых работах на 14 из 15 предприятий различия в оплате были весьма существенными.</w:t>
      </w:r>
    </w:p>
    <w:p w:rsidR="003E3ADF" w:rsidRDefault="003E3ADF">
      <w:pPr>
        <w:ind w:left="709"/>
      </w:pPr>
      <w:r>
        <w:t>В связи с этим экспериментальным проектом бывшему омбудсмену по вопросам гендерного равенс</w:t>
      </w:r>
      <w:r>
        <w:t>т</w:t>
      </w:r>
      <w:r>
        <w:t>ва было разрешено воспользоваться данным инструментом для обеспечения соблюдения положения Закона о гендерном равенстве, касающегося равной оплаты труда. Новый омбудсмен по вопросам равенства и запрета дискриминации также пользуется этим инструментом. Муниципальным властям разрешено пользоваться инструментом ФАКИС для оценки труда только в ограниченных случаях.</w:t>
      </w:r>
    </w:p>
    <w:p w:rsidR="003E3ADF" w:rsidRDefault="003E3ADF">
      <w:pPr>
        <w:ind w:left="709"/>
      </w:pPr>
      <w:r>
        <w:t>Инструменты оценки труда – это лишь одна из целого комплекса мер, направленных на обеспечение равной оплаты труда. В 2002 году положение о равной оплате труда, содержащееся в Законе о гендерном равенстве, было усилено, в результате чего был начат подробно описанный выше проект. Обязанность принимать меры по поощрению гендерного равенства и представлять доклады об этих мерах также была расширена, и теперь компании должны сообщать о фактической ситуации с обеспечением гендерного равенства, в том числе гендерного равенства в вопросах оплаты труда. В Закон включено конкретное положение, требующее "активных действий". Под "активными действиями" подразумевается, что работод</w:t>
      </w:r>
      <w:r>
        <w:t>а</w:t>
      </w:r>
      <w:r>
        <w:t>тели не только должны избегать дискриминации, но и обязаны принимать меры по поощрению гендерного равенства. Работодатель обязан выявлять и устранять нежелательные гендерные различия, существующие на рабочем месте.</w:t>
      </w:r>
    </w:p>
    <w:p w:rsidR="003E3ADF" w:rsidRDefault="003E3ADF">
      <w:pPr>
        <w:keepNext/>
        <w:tabs>
          <w:tab w:val="clear" w:pos="1361"/>
          <w:tab w:val="right" w:pos="567"/>
          <w:tab w:val="left" w:pos="680"/>
          <w:tab w:val="left" w:pos="1247"/>
        </w:tabs>
        <w:ind w:left="709" w:hanging="709"/>
      </w:pPr>
      <w:r>
        <w:tab/>
        <w:t>2.5.5</w:t>
      </w:r>
      <w:r>
        <w:tab/>
        <w:t>Статья 11.1</w:t>
      </w:r>
      <w:r>
        <w:rPr>
          <w:lang w:val="en-US"/>
        </w:rPr>
        <w:t>e</w:t>
      </w:r>
      <w:r>
        <w:t>.  Социальное и пенсионное обеспечение</w:t>
      </w:r>
    </w:p>
    <w:p w:rsidR="003E3ADF" w:rsidRDefault="003E3ADF">
      <w:pPr>
        <w:ind w:left="709"/>
      </w:pPr>
      <w:r>
        <w:t>Описание норвежской национальной системы страхования и пенсий, выплачиваемых в рамках этой системы, было представлено в пятом периодическом докладе Норвегии. Национальная система страхов</w:t>
      </w:r>
      <w:r>
        <w:t>а</w:t>
      </w:r>
      <w:r>
        <w:t>ния, которая охватывает все население страны, обеспечивает выплату минимальной пенсии всем гражданам, а также прибавку к пенсии, рассчитываемую с учетом дохода от занятости. Данная система имеет распредел</w:t>
      </w:r>
      <w:r>
        <w:t>и</w:t>
      </w:r>
      <w:r>
        <w:t>тельный характер, что до некоторой степени выравнивает различия в размерах доходов. Национальная система страхования была введена в 1967 году, а полная пенсия с надбавкой выплачивается после 40 лет работы. Это означает, что данная система начнет функционир</w:t>
      </w:r>
      <w:r>
        <w:t>о</w:t>
      </w:r>
      <w:r>
        <w:t>вать в полном объеме начиная с 2007 года. В 2001 году была сформирована Пенсионная комиссия с целью рассмотрения основополагающих изменений, которые необходимо внести в систему пенсионн</w:t>
      </w:r>
      <w:r>
        <w:t>о</w:t>
      </w:r>
      <w:r>
        <w:t>го обеспечения. Одна из причин этого шага, в частности, заключалась в том, что, согласно прогнозам, имелись некоторые основания для беспокойства в отношении финансовой стабильности национальной системы страхов</w:t>
      </w:r>
      <w:r>
        <w:t>а</w:t>
      </w:r>
      <w:r>
        <w:t>ния примерно через 30–50 лет. Другая причина состояла в том, что национальная система страхования стала ориентироваться на более единообразную распределительную модель, чем это предполагалось вначале, и создание большого числа дополнительных пенсионных систем, связанных со стажем работы, и индивидуальных пенсио</w:t>
      </w:r>
      <w:r>
        <w:t>н</w:t>
      </w:r>
      <w:r>
        <w:t>ных систем обусловило необходимость пересмотра всей системы.</w:t>
      </w:r>
    </w:p>
    <w:p w:rsidR="003E3ADF" w:rsidRDefault="003E3ADF">
      <w:pPr>
        <w:ind w:left="709"/>
      </w:pPr>
      <w:r>
        <w:t>Комиссия представила свой доклад в 2004 году, и этот доклад вызвал большие дебаты, касающиеся вопросов занятости и распределения финансовых средств между представителями разных поколений. Одна из главных тем этих дебатов – обеспечение гендерного равенства с особым упором на различия в размерах пенсий мужчин и женщин. В 2005 году крупнейшие политические партии, представленные в стортинге, согласовали ряд важных руководящих принципов для дальнейшей работы по внесению изменений в систему пенсионного обеспечения, которые вступят в силу с 2010 года. Достигнутая ими договоренность была основана на том, что новая пенсионная система должна вознаграждать людей за их трудовой вклад в большем объеме, чем это делается в рамках действующей в настоящее время системы. Работа по дому и уходу за малолетними детьми должна вознаграждат</w:t>
      </w:r>
      <w:r>
        <w:t>ь</w:t>
      </w:r>
      <w:r>
        <w:t>ся в большем объеме, чем при нынешней системе. Вместе с тем важно отметить, что в отношении большинс</w:t>
      </w:r>
      <w:r>
        <w:t>т</w:t>
      </w:r>
      <w:r>
        <w:t>ва других тем, связанных с обеспечением гендерного равенства, по многим вопросам договоренности достичь так и не удалось.</w:t>
      </w:r>
    </w:p>
    <w:p w:rsidR="003E3ADF" w:rsidRDefault="003E3ADF">
      <w:pPr>
        <w:ind w:left="709"/>
      </w:pPr>
      <w:r>
        <w:t>С 2007 года работодатели обязаны создавать для своих работников дополнительные системы пенс</w:t>
      </w:r>
      <w:r>
        <w:t>и</w:t>
      </w:r>
      <w:r>
        <w:t>онного обеспечения. Действие таких систем до некоторой степени регулируется законом. Как указывалось в шестом периодическом докладе, вопрос о придании пособиям и/или отчислениям в пенсионные фонды нейтрального с гендерной точки зрения характера поднимался в связи с подобными системами неоднокра</w:t>
      </w:r>
      <w:r>
        <w:t>т</w:t>
      </w:r>
      <w:r>
        <w:t>но. 31 марта 2006 года Министерство финансов выступило с предложением разрешить рассчитывать взносы в отдельные пенсионные системы в частном секторе без учета критериев пола и возраста. Данное предложение опирается на систему расчета размера взносов, которая уже была утверждена для муниципальных пенсионных систем. Суть предлож</w:t>
      </w:r>
      <w:r>
        <w:t>е</w:t>
      </w:r>
      <w:r>
        <w:t>ния сводится к усредненному расчету размера взноса по нескольким пенсионным системам. Предлагаемые правила предоставляют пенсионным фондам и предприятиям право самим решать, будут ли они пользоваться данной системой расчета размера взносов.</w:t>
      </w:r>
    </w:p>
    <w:p w:rsidR="003E3ADF" w:rsidRDefault="003E3ADF">
      <w:pPr>
        <w:tabs>
          <w:tab w:val="clear" w:pos="1361"/>
          <w:tab w:val="right" w:pos="567"/>
          <w:tab w:val="left" w:pos="680"/>
          <w:tab w:val="left" w:pos="1247"/>
        </w:tabs>
        <w:ind w:left="709" w:hanging="709"/>
      </w:pPr>
      <w:r>
        <w:tab/>
        <w:t>2.5.6</w:t>
      </w:r>
      <w:r>
        <w:tab/>
        <w:t>Статья 11.2</w:t>
      </w:r>
      <w:r>
        <w:rPr>
          <w:lang w:val="en-US"/>
        </w:rPr>
        <w:t>a</w:t>
      </w:r>
      <w:r>
        <w:t>.  Дискриминация по причине семейного положения и беременности</w:t>
      </w:r>
    </w:p>
    <w:p w:rsidR="003E3ADF" w:rsidRDefault="003E3ADF">
      <w:pPr>
        <w:ind w:left="709"/>
      </w:pPr>
      <w:r>
        <w:t>Соответствующие правила разъяснены в предыдущих докладах. Следует также обратиться к статье 4.2 н</w:t>
      </w:r>
      <w:r>
        <w:t>а</w:t>
      </w:r>
      <w:r>
        <w:t>стоящего доклада. Закон об условиях труда запрещает увольнять работников по причине беременности или работников, находящихся в отпуске в течение первого года после рождения или усыновления ребенка. Родителей, которые берут отпуск по уходу за ребенком сроком более одного года, также запрещено увольнять с работы, однако этот запрет менее строгий. В подпункте 1 пункта 2 раздела 3 Закона о гендерном равенстве содержится конкретное положение, запрещающее переводить женщину на менее высокооплачиваемую работу по причине беременности или родов. В последние два года бывшим омбудсменом по вопросам гендерного равенства было отмечено явное увеличение числа случаев, когда женщины подвергаются дискриминации по причине беременн</w:t>
      </w:r>
      <w:r>
        <w:t>о</w:t>
      </w:r>
      <w:r>
        <w:t>сти. В 2003 году омбудсмен рассмотрел 74 подобных случая, а год спустя их число возросло до 113. Женщины подвергаются различным формам дискриминации в связи с беременностью, и в ходе собеседований при приеме на работу многим женщ</w:t>
      </w:r>
      <w:r>
        <w:t>и</w:t>
      </w:r>
      <w:r>
        <w:t>нам задается вопрос, не беременны ли они и не планируют ли они забеременеть в ближайшие несколько лет. Сегодня Закон о гендерном равенстве толкуется так, что спрашивать работницу, не беременна или она и не собирается ли она родить ребенка в ближайшем будущем, незаконно.</w:t>
      </w:r>
    </w:p>
    <w:p w:rsidR="003E3ADF" w:rsidRDefault="003E3ADF">
      <w:pPr>
        <w:ind w:left="709"/>
      </w:pPr>
      <w:r>
        <w:t>Цель Закона об условиях труда состоит в создании благоприятных условий труда для работников, и работод</w:t>
      </w:r>
      <w:r>
        <w:t>а</w:t>
      </w:r>
      <w:r>
        <w:t>тель обязан изменять профиль труда беременной женщины или переводить ее на более легкую работу, если она не может продолжать выполнять свою обычную работу по состоянию здоровья. Это же касается и здоровых беременных женщин, выполняющих работу, которая может таить в себе угрозу для развития плода. В соответс</w:t>
      </w:r>
      <w:r>
        <w:t>т</w:t>
      </w:r>
      <w:r>
        <w:t>вии с Законом об условиях труда были приняты общие правила, регулиру</w:t>
      </w:r>
      <w:r>
        <w:t>ю</w:t>
      </w:r>
      <w:r>
        <w:t>щие вопросы, связанные с родовыми травмами и условиями труда (1995 год). Эти правила предусматр</w:t>
      </w:r>
      <w:r>
        <w:t>и</w:t>
      </w:r>
      <w:r>
        <w:t>вают, что основанием для перевода на другую работу служат все факторы, связанные с условиями труда, которые могут представлять угрозу для здоровья плода. В соответствии с Законом об условиях труда были также введены правила, касающиеся работы с ионизирующим излучением, цистостатикой и газами, применяемыми для наркоза. Введены также особые правила, касающиеся женщин, работающих на морских и воздушных судах, а также в нефтеперерабатывающей промышленности.</w:t>
      </w:r>
    </w:p>
    <w:p w:rsidR="003E3ADF" w:rsidRDefault="003E3ADF">
      <w:pPr>
        <w:tabs>
          <w:tab w:val="clear" w:pos="1361"/>
          <w:tab w:val="right" w:pos="567"/>
          <w:tab w:val="left" w:pos="680"/>
          <w:tab w:val="left" w:pos="1247"/>
        </w:tabs>
        <w:ind w:left="709" w:hanging="709"/>
      </w:pPr>
      <w:r>
        <w:tab/>
        <w:t>2.5.7</w:t>
      </w:r>
      <w:r>
        <w:tab/>
        <w:t>Статья 11.2</w:t>
      </w:r>
      <w:r>
        <w:rPr>
          <w:lang w:val="en-US"/>
        </w:rPr>
        <w:t>b</w:t>
      </w:r>
      <w:r>
        <w:t>.  Отпуск в связи с беременностью и родами</w:t>
      </w:r>
    </w:p>
    <w:p w:rsidR="003E3ADF" w:rsidRDefault="003E3ADF">
      <w:pPr>
        <w:ind w:left="709"/>
      </w:pPr>
      <w:r>
        <w:t>В 2001 году в Норвегии родился 56 951 ребенок, и показатель фертильности составил 1,83. В 2005 году пок</w:t>
      </w:r>
      <w:r>
        <w:t>а</w:t>
      </w:r>
      <w:r>
        <w:t>затель фертильности равнялся 1,84. 75 процентов женщин, имеющих детей в возрасте 1–2 лет, работали, причем 41 процент из них работали неполный рабочий день или неполную неделю. Право на отпуск и право на оплач</w:t>
      </w:r>
      <w:r>
        <w:t>и</w:t>
      </w:r>
      <w:r>
        <w:t>ваемый отпуск (в связи с рождением и усыновлением ребенка) имеют большое значение, для того чтобы родители могли совмещать работу с выполнением обязанностей по уходу за малолетними детьми.</w:t>
      </w:r>
    </w:p>
    <w:p w:rsidR="003E3ADF" w:rsidRDefault="003E3ADF">
      <w:pPr>
        <w:ind w:left="709"/>
      </w:pPr>
      <w:r>
        <w:t>В соответствии с Законом об условиях труда оба родители имеют одинаковое право на отпуск сроком до одного года в связи с рождением или усыновлением ребенка. Каждый из родителей также имеет право брать отпуск еще на год для ухода за каждым ребенком до достижения им 3 лет. С 1 июля 2005 года период, в течение которого выплачивается пособие по беременности и родам/уходу за ребенком, составляет 43 недели с полным сохранением содержания или 53 недели с сохранением 80 процентов содержания. Период, в течение которого выплачивается пособие по беременности и родам/уходу за ребенком, начинается за три недели до родов. В случае усыновления период получения пособия с полным и неполным сохранением содержания составляет, соответстве</w:t>
      </w:r>
      <w:r>
        <w:t>н</w:t>
      </w:r>
      <w:r>
        <w:t>но, 40 и 50 недель. Пособия по беременн</w:t>
      </w:r>
      <w:r>
        <w:t>о</w:t>
      </w:r>
      <w:r>
        <w:t>сти и родам/уходу за ребенком или в связи с усыновлением выплачив</w:t>
      </w:r>
      <w:r>
        <w:t>а</w:t>
      </w:r>
      <w:r>
        <w:t>ются при доходах, превышающих базовую величину не более чем в 6 раз (в 2005 году эта сумма составляла 364 тыс. норвежских крон). Для того чтобы иметь право на получение пособия по беременности и родам/уходу за ребенком или в связи с усыновлением, человек должен проработать не менее шести из последних десяти месяцев до начала периода выплаты пособия. Женщинам, которые не имеют права на получение пособия в связи с беременностью и род</w:t>
      </w:r>
      <w:r>
        <w:t>а</w:t>
      </w:r>
      <w:r>
        <w:t>ми/усыновлением, выплачивается единовременное пособие. Приблизительно 78 процентов беременных женщин имеют право на получение пособий по беременности и родам (2004 год). В рамках периода выплаты пособия три недели до и первые шесть недель после родов резервируются для матери по медицинским соображениям. Пять недель в рамках периода выплаты пособия резервируются за отцом (отцовская квота). С 1 июля 2006 года этот период был увеличен до шести недель. Если отец не воспол</w:t>
      </w:r>
      <w:r>
        <w:t>ь</w:t>
      </w:r>
      <w:r>
        <w:t>зуется своим правом, эти недели, как правило, пропадают. При определенных условиях родители могут поделить оставшиеся недели между собой.</w:t>
      </w:r>
    </w:p>
    <w:p w:rsidR="003E3ADF" w:rsidRDefault="003E3ADF">
      <w:pPr>
        <w:ind w:left="709"/>
      </w:pPr>
      <w:r>
        <w:t>В последние годы в порядке предоставления пособий в связи с беременностью и родами/уходом за ребенком или усыновлением произошли многочисленные изменения, направленные на обеспечение большего гендерного равенства между матерью и отцом. Так называемая отцовская квота, которая была введена в 1993 году, оказалась весьма эффективным средством, стимулирующим отцов шире пользоваться предоста</w:t>
      </w:r>
      <w:r>
        <w:t>в</w:t>
      </w:r>
      <w:r>
        <w:t>ленным им правом на получение пособия по уходу за детьми. В 2004 году этим пособием воспользовались почти 90 процентов всех отцов, имевших право на получение "отцовской квоты". После представления шестого периодического доклада Норвегии продолжительность "отцовской квоты" с 1 июля 2005 года была увеличена с четырех до пяти недель, и было принято постановление, касающееся повышении продолжител</w:t>
      </w:r>
      <w:r>
        <w:t>ь</w:t>
      </w:r>
      <w:r>
        <w:t>ности этой квоты с 1 июля 2006 года с пяти до шести недель. Это изменение будет обеспечено за счет увеличения общей продолжительности периода предоставления пособия, которая с 1 июля 2006 года будет составлять 54/44 недели. В 2005 году права отцов по "отцовской квоте" были усилены в том смысле, что размер компенсации доходов отца уже не уменьшается в том случае, если мать до рождения ребенка работала неполный рабочий день (с долей занятости в 50–75 процентов). Ранее компенсация, выплачиваемая отцам в таких случаях, исчислялась из расчета доли занятости матери.</w:t>
      </w:r>
    </w:p>
    <w:p w:rsidR="003E3ADF" w:rsidRDefault="003E3ADF">
      <w:pPr>
        <w:ind w:left="709"/>
      </w:pPr>
      <w:r>
        <w:t>После представления предыдущего доклада доля отцов, которые берут отпуск, продолжительность которого превышает "отцовскую квоту", увеличилась. В 2004 году этот показатель равнялся 16–17 процентам по сравнению с 6,7 процента в 2000 году. Расширение использования отцами "отцовской квоты" по прежнему остается одной из важных целей, и системы пособий, выплачиваемых в связи с беременностью и родами/уходом за ребенком или усыновлением, обладают значительным потенциалом для улучшения в плане обеспечения более справедливых правил для отцов и матерей.</w:t>
      </w:r>
    </w:p>
    <w:p w:rsidR="003E3ADF" w:rsidRDefault="003E3ADF">
      <w:pPr>
        <w:ind w:left="709"/>
      </w:pPr>
      <w:r>
        <w:t>В 2005 году было представлено предложение по упрощению правил, касающихся выплаты пособий в связи с беременностью, родами и усыновлением. Цель состоит в том, чтобы сделать эти правила более простыми и гибкими. Данное предложение направлено на то, чтобы улучшить положение родителей, которые хотят совмещать получение частичных пособий по беременности и родам/уходу за ребенком с частичной занятостью, сократить возможности уклонения отцов от использования "отцовской квоты" и ввести более гибкие правила использования "отцовской квоты". Предлагается также переименовать пособие по береме</w:t>
      </w:r>
      <w:r>
        <w:t>н</w:t>
      </w:r>
      <w:r>
        <w:t>ности и родам/уходу за ребенком или в связи с усыновлением в "родительское пособие", чтобы, в частности, подчеркнуть, что данная система предназн</w:t>
      </w:r>
      <w:r>
        <w:t>а</w:t>
      </w:r>
      <w:r>
        <w:t>чена как для матерей, так и для отцов. Эти предложения были приняты и вступят в силу с 1 января 2007 года.</w:t>
      </w:r>
    </w:p>
    <w:p w:rsidR="003E3ADF" w:rsidRPr="007E58C1" w:rsidRDefault="003E3ADF">
      <w:pPr>
        <w:ind w:left="709"/>
      </w:pPr>
      <w:r>
        <w:t>Министерство по делам детей и равенства в сотрудничестве с рядом других министерств работает над укре</w:t>
      </w:r>
      <w:r>
        <w:t>п</w:t>
      </w:r>
      <w:r>
        <w:t>лением прав самозанятых лиц, с тем чтобы данная группа лиц обладала такими же правами, как и наемные работники. В настоящее время самозанятые лица имеют право на компенсацию доходов лишь в размере 65 процентов и должны иметь дополнительную страховку для того, чтобы компенсация выплач</w:t>
      </w:r>
      <w:r>
        <w:t>и</w:t>
      </w:r>
      <w:r>
        <w:t>валась им в полном объеме. Цель состоит в том, чтобы самозанятые лица имели право на получение компенс</w:t>
      </w:r>
      <w:r>
        <w:t>а</w:t>
      </w:r>
      <w:r>
        <w:t>ции доходов в размере 100 процентов независимо от того, имеют ли они дополнительную страховку или нет. Укрепление прав самозанятых лиц будет способствовать расширению возможностей совмещения самозан</w:t>
      </w:r>
      <w:r>
        <w:t>я</w:t>
      </w:r>
      <w:r>
        <w:t>тыми женщинами и мужчинами трудовой деятельности с обязанностями по уходу за детьми.</w:t>
      </w:r>
    </w:p>
    <w:p w:rsidR="003E3ADF" w:rsidRDefault="003E3ADF">
      <w:pPr>
        <w:keepNext/>
        <w:tabs>
          <w:tab w:val="clear" w:pos="1361"/>
          <w:tab w:val="right" w:pos="567"/>
          <w:tab w:val="left" w:pos="680"/>
          <w:tab w:val="left" w:pos="1247"/>
        </w:tabs>
        <w:ind w:left="709" w:hanging="709"/>
      </w:pPr>
      <w:r>
        <w:tab/>
        <w:t>2.5.8</w:t>
      </w:r>
      <w:r>
        <w:tab/>
        <w:t>Статья 11.2</w:t>
      </w:r>
      <w:r>
        <w:rPr>
          <w:lang w:val="en-US"/>
        </w:rPr>
        <w:t>c</w:t>
      </w:r>
      <w:r>
        <w:t>  Сеть учреждений по уходу за детьми</w:t>
      </w:r>
    </w:p>
    <w:p w:rsidR="003E3ADF" w:rsidRDefault="003E3ADF">
      <w:pPr>
        <w:keepNext/>
        <w:ind w:left="709"/>
        <w:rPr>
          <w:i/>
          <w:iCs/>
        </w:rPr>
      </w:pPr>
      <w:r>
        <w:rPr>
          <w:i/>
          <w:iCs/>
        </w:rPr>
        <w:t>Детские дошкольные учреждения</w:t>
      </w:r>
    </w:p>
    <w:p w:rsidR="003E3ADF" w:rsidRDefault="003E3ADF">
      <w:pPr>
        <w:ind w:left="709"/>
      </w:pPr>
      <w:r>
        <w:t>Обеспечение достаточного количества мест для всех тех, кто желает поместить своих детей в детские дошкольные учреждения, является одним из важных инструментов для достижения всесторонней реализации принципа равенства женщин и мужчин. Наличие центров дневного ухода и других дошкольных детских учреждений крайне необходимо для того, чтобы родители могли совмещать воспитание детей с трудовой деятельностью после выхода из отпуска. Столь же важное значение для работающих родителей, имеющих малолетних детей, имеет гибкий или сокращенный график работы, а также возможность брать оплачиваемый отпуск в случае болезни ребенка.</w:t>
      </w:r>
    </w:p>
    <w:p w:rsidR="003E3ADF" w:rsidRDefault="003E3ADF">
      <w:pPr>
        <w:ind w:left="709"/>
      </w:pPr>
      <w:r>
        <w:t>Детские дошкольные учреждения обеспечивают родителям возможность сочетать выполнение семейных обязанностей с участием в трудовой деятельности. В Норвегии дошкольные учреждения являются учебными заведениями, действующими в интересах развития ребенка, которые играют важную роль в процессе обучения. За последние 25 лет сектор дошкольных учреждений Норвегии существенно расширился, однако полностью удовлетворить спрос пока не удалось. Рынок платных услуг по уходу за детьми на дому в Норвегии невелик и его масштабы с каждым годом сокращаются.</w:t>
      </w:r>
    </w:p>
    <w:p w:rsidR="003E3ADF" w:rsidRDefault="003E3ADF">
      <w:pPr>
        <w:ind w:left="709"/>
      </w:pPr>
      <w:r>
        <w:t>В 2002 году дошкольные учреждения посещали 198 262 ребенка, что составляет 66 процентов от общего числа детей в возрасте от 1 до 5 лет (в Норвегии дети начинают посещать школу с шести лет). С 2002 по 2004 год число детей в дошкольных учреждениях увеличилось на 14 680 человек, и по состоянию на конец 2004 года уровень охвата составил 72 процента. В возрастной группе от 3 до 5 лет показатель охвата составил 88 процентов. Правомерно предположить, что большинство родителей, имеющих ребенка старше трех лет, могут воспользоваться услугами дошкольных учреждений. Что касается родителей детей в возрасте до 3 лет, во многих регионах страны им приходится ждать, пока появится место для их ребенка. Приблизительно 65 процентов детей проводят в дошкольных учреждениях полный день (41 или более часов в неделю), однако есть возможность записать ребенка на сокращенный день. По состоянию на конец 2004 года 52 процента всех дошкольных учреждений являлись частными заведениями. Доля частных детских учреждений в последние годы существенно увеличилась.</w:t>
      </w:r>
    </w:p>
    <w:p w:rsidR="003E3ADF" w:rsidRDefault="003E3ADF">
      <w:pPr>
        <w:ind w:left="709"/>
      </w:pPr>
      <w:r>
        <w:t>Дошкольные учреждения финансируются из бюджета центрального правительства, а также за счет средств муниципальных властей и родителей. В 2004 году в Норвегии был установлен верхний предел платежей, которые разрешено взимать с родителей. С 1 января 2005 года максимальный размер этой суммы не должен превышать 2250 норвежских крон в месяц. Семьи, имеющие нескольких детей в муниципальных дошкольных учреждениях, имеют право на скидку. Кроме того, муниципалитеты должны вводить системы скидок для малообеспеченных семей, которые не в состоянии оплачивать услуги в полном объеме. В 2004 году взимаемые с родителей средства покрывали 20 процентов издержек муниципальных учреждений и 31 процент расходов частных дошкольных.</w:t>
      </w:r>
    </w:p>
    <w:p w:rsidR="003E3ADF" w:rsidRDefault="003E3ADF">
      <w:pPr>
        <w:ind w:left="709"/>
      </w:pPr>
      <w:r>
        <w:t>В 2003 году было принято общее стратегическое решение, которое определило будущие рамочные условия развития для системы дошкольного воспитания. Главные цели принятия этого решения заключались в снижении размера платы за услуги, взимаемой с родителей, и дальнейшее развитие этого сектора. Задача правительства состоит в том, чтобы обеспечить 100</w:t>
      </w:r>
      <w:r>
        <w:noBreakHyphen/>
        <w:t xml:space="preserve">процентный охват населения услугами по дошкольному воспитанию детей, отличающимися высоким качеством и низкой стоимостью. Когда задача по обеспечению полного охвата будет решена, правительство официальным актом установит право на обеспечение всех детей местами в детских дошкольных учреждениях. </w:t>
      </w:r>
    </w:p>
    <w:p w:rsidR="003E3ADF" w:rsidRDefault="003E3ADF">
      <w:pPr>
        <w:ind w:left="709"/>
      </w:pPr>
      <w:r>
        <w:t xml:space="preserve">Расходы на воспитание детей младше 12 лет вычитаются из облагаемой налогом базы дохода родителей (родительский вычет). Таким образом, за счет уменьшения налога снижается плата, взимаемая с родителей. В 2005 году был увеличен размер налоговых вычетов для родителей, имеющих двух и более детей. Одинокие родители, доход которых не превышает определенный минимальный предел, помимо прочего, имеют право на получение пособия по уходу за детьми. Власти таким образом до определенного предела покрывают часть сумм, выплачиваемых родителями (66 процентов). Для одиноких родителей это является весьма ощутимым подспорьем. </w:t>
      </w:r>
    </w:p>
    <w:p w:rsidR="003E3ADF" w:rsidRDefault="003E3ADF">
      <w:pPr>
        <w:ind w:left="709"/>
        <w:rPr>
          <w:i/>
        </w:rPr>
      </w:pPr>
      <w:r>
        <w:rPr>
          <w:i/>
        </w:rPr>
        <w:t>Гибкий график работы и льготы по уходу за ребенком</w:t>
      </w:r>
    </w:p>
    <w:p w:rsidR="003E3ADF" w:rsidRDefault="003E3ADF">
      <w:pPr>
        <w:ind w:left="709"/>
      </w:pPr>
      <w:r>
        <w:t xml:space="preserve">В соответствии с Законом об условиях труда правом на сокращенный график работы и освобождение от сверхурочной работы обладают и мать, и отец. Закон об условиях труда в новой редакции также предусматривает право на гибкий график работы. </w:t>
      </w:r>
    </w:p>
    <w:p w:rsidR="003E3ADF" w:rsidRDefault="003E3ADF">
      <w:pPr>
        <w:ind w:left="709"/>
      </w:pPr>
      <w:r>
        <w:t xml:space="preserve">Право на оплачиваемый отпуск по уходу за заболевшим ребенком или ребенком-инвалидом имеет весьма важное значение для работающих родителей. Работающие родители, воспитывающие детей в возрасте до 12 лет, имеют право ежегодно брать </w:t>
      </w:r>
      <w:r>
        <w:rPr>
          <w:i/>
        </w:rPr>
        <w:t>отпуск по уходу</w:t>
      </w:r>
      <w:r>
        <w:t xml:space="preserve"> продолжительностью 10 дней в случае болезни ребенка или лица, присматривающего за ребенком. Работники, которые воспитывают двух детей или более, которые являются одинокими родителями или дети которых страдают хроническим заболеванием либо являются инвалидами, обладают дополнительными правами. С 1 июля 2005 года права родителей, которые имеют более одного ребенка с хроническим заболеванием или с ограниченными возможностями, были существенно расширены. Отпуск по уходу за детьми оплачивается работодателем. Отпуск по уходу продолжительностью более десяти дней покрывается за счет национальной системы страхования. Национальная система страхования обеспечивает предоставление пособия для оплаты услуг по уходу за детьми в возрасте до 12 лет, которые помещаются или были помещены в медицинские учреждения, если период необходимого ухода за ними превышает 7 дней. Родители ребенка с хроническим заболеванием или ребенка-инвалида имеют право получать пособие до тех пор, пока ребенку не исполнится 18 лет. Кроме того, пособие для оплаты услуг по уходу за ребенком младше 18 лет предоставляется с первого дня болезни, если заболевание носит крайне серьезный характер или угрожает его жизни. Если ребенок с психическими расстройствами страдает крайне серьезным или угрожающим его жизни заболеванием, пособие для оплаты услуг по уходу предоставляется независимо от возраста ребенка. Если ребенок страдает крайне серьезным заболеванием, пособие для оплаты услуг по уходу могут одновременно получать оба родителя. С 1 января 2006 года дифференцированные пособия для оплаты услуг по уходу могут предоставляться с первого дня болезни ребенка.</w:t>
      </w:r>
    </w:p>
    <w:p w:rsidR="003E3ADF" w:rsidRDefault="003E3ADF">
      <w:pPr>
        <w:ind w:left="709"/>
        <w:rPr>
          <w:i/>
        </w:rPr>
      </w:pPr>
      <w:r>
        <w:rPr>
          <w:i/>
        </w:rPr>
        <w:t>Денежные пособия</w:t>
      </w:r>
    </w:p>
    <w:p w:rsidR="003E3ADF" w:rsidRDefault="003E3ADF">
      <w:pPr>
        <w:ind w:left="709"/>
      </w:pPr>
      <w:r>
        <w:t>Наряду с услугами дошкольных учреждений и в дополнение к ним существует система денежных пособий. Денежные пособия выплачиваются на детей, которые вообще не посещают детские сады и ясли или записаны на сокращенный день в дошкольном учреждении, получающем государственные дотации. Пособие начисляется со следующего месяца после того, как ребенку исполнится 1 год, и выплачивается до того, как ребенку исполнится 3 года.</w:t>
      </w:r>
    </w:p>
    <w:p w:rsidR="003E3ADF" w:rsidRDefault="003E3ADF">
      <w:pPr>
        <w:ind w:left="709"/>
      </w:pPr>
      <w:r>
        <w:t>После введения системы денежных пособий в 1998 году был осуществлен целый ряд проектов для изучения последствий таких выплат, в том числе с точки зрения обеспечения гендерного равенства.</w:t>
      </w:r>
    </w:p>
    <w:p w:rsidR="003E3ADF" w:rsidRDefault="003E3ADF">
      <w:pPr>
        <w:ind w:left="709"/>
      </w:pPr>
      <w:r>
        <w:t xml:space="preserve">Как говорилось в шестом периодическом докладе Норвегии, вопрос о том, как родители детей дошкольного возраста организуют свою повседневную жизнь, стал предметом многочисленных исследований. Результаты более ранних обследований показали, что в краткосрочной перспективе (до 1999 года) изменения в показателях занятости матерей в сторону сокращения были незначительными. В докладе </w:t>
      </w:r>
      <w:r>
        <w:rPr>
          <w:i/>
          <w:lang w:val="en-GB"/>
        </w:rPr>
        <w:t>Kontantst</w:t>
      </w:r>
      <w:r>
        <w:rPr>
          <w:i/>
        </w:rPr>
        <w:t>ø</w:t>
      </w:r>
      <w:r>
        <w:rPr>
          <w:i/>
          <w:lang w:val="en-GB"/>
        </w:rPr>
        <w:t>ttens</w:t>
      </w:r>
      <w:r>
        <w:rPr>
          <w:i/>
        </w:rPr>
        <w:t xml:space="preserve"> </w:t>
      </w:r>
      <w:r>
        <w:rPr>
          <w:i/>
          <w:lang w:val="en-GB"/>
        </w:rPr>
        <w:t>langsiktige</w:t>
      </w:r>
      <w:r>
        <w:rPr>
          <w:i/>
        </w:rPr>
        <w:t xml:space="preserve"> </w:t>
      </w:r>
      <w:r>
        <w:rPr>
          <w:i/>
          <w:lang w:val="en-GB"/>
        </w:rPr>
        <w:t>effekter</w:t>
      </w:r>
      <w:r>
        <w:rPr>
          <w:i/>
        </w:rPr>
        <w:t xml:space="preserve"> </w:t>
      </w:r>
      <w:r>
        <w:rPr>
          <w:i/>
          <w:lang w:val="en-GB"/>
        </w:rPr>
        <w:t>p</w:t>
      </w:r>
      <w:r>
        <w:rPr>
          <w:i/>
        </w:rPr>
        <w:t xml:space="preserve">å </w:t>
      </w:r>
      <w:r>
        <w:rPr>
          <w:i/>
          <w:lang w:val="en-GB"/>
        </w:rPr>
        <w:t>m</w:t>
      </w:r>
      <w:r>
        <w:rPr>
          <w:i/>
        </w:rPr>
        <w:t>ø</w:t>
      </w:r>
      <w:r>
        <w:rPr>
          <w:i/>
          <w:lang w:val="en-GB"/>
        </w:rPr>
        <w:t>dres</w:t>
      </w:r>
      <w:r>
        <w:rPr>
          <w:i/>
        </w:rPr>
        <w:t xml:space="preserve"> </w:t>
      </w:r>
      <w:r>
        <w:rPr>
          <w:i/>
          <w:lang w:val="en-GB"/>
        </w:rPr>
        <w:t>og</w:t>
      </w:r>
      <w:r>
        <w:rPr>
          <w:i/>
        </w:rPr>
        <w:t xml:space="preserve"> </w:t>
      </w:r>
      <w:r>
        <w:rPr>
          <w:i/>
          <w:lang w:val="en-GB"/>
        </w:rPr>
        <w:t>fedres</w:t>
      </w:r>
      <w:r>
        <w:rPr>
          <w:i/>
        </w:rPr>
        <w:t xml:space="preserve"> </w:t>
      </w:r>
      <w:r>
        <w:rPr>
          <w:i/>
          <w:lang w:val="en-GB"/>
        </w:rPr>
        <w:t>arbeidstilbud</w:t>
      </w:r>
      <w:r>
        <w:t xml:space="preserve"> ("Долгосрочное влияние денежных пособий на занятость матерей и отцов"), выпущенном Статистическим управлением Норвегии в 2005 году, показано, что в более длительный период времени (до 2002 года) воздействие системы денежных пособий на уровень занятости матерей оказалось довольно ощутимым. За период с 1998 года вероятность того, что мать выйдет на работу, и вероятность того, что она будет трудоустроена, при условии что ранее она активно участвовала в трудовой деятельности, резко снизилась. В целом за период с 1998 по 2002 год средняя продолжительность рабочей недели матерей сократилась на 3¾ часа. Вероятность того, что матери выйдут на работу в первые три года после рождения ребенка, после введения системы денежных выплат снизилась. По-видимому, это также отразилось и на долгосрочной динамике занятости отцов. Продолжительность рабочей недели отцов сократилась на 1,2 часа. Хотя сокращение произошло главным образом за счет сокращения рабочего времени работников, отцы также стали намного чаще брать отпуск, чем раньше. Таким образом, матери стали значительно меньше, чем отцы, проводить времени на работе. Это может иметь отрицательные последствия для гендерного равенства и способствовать сохранению традиционной модели распределения ролей между мужчинами и женщинами.</w:t>
      </w:r>
    </w:p>
    <w:p w:rsidR="003E3ADF" w:rsidRDefault="003E3ADF">
      <w:pPr>
        <w:ind w:left="709"/>
      </w:pPr>
      <w:r>
        <w:t>Правительство считает важным обеспечить полный охват населения услугами дошкольных учреждений. Когда эта задача будет решена (предположительно, не ранее 2008 года), в систему денежных пособий будут внесены коррективы. На оставшийся период правительство планирует с определенными ограничениями сохранить систему выплаты денежных пособий.</w:t>
      </w:r>
    </w:p>
    <w:p w:rsidR="003E3ADF" w:rsidRDefault="003E3ADF">
      <w:pPr>
        <w:ind w:left="709"/>
      </w:pPr>
      <w:r>
        <w:t>В ходе консультаций была высказана просьба представить информацию о получателях денежных пособий. Достаточных статистических данных в этой области нет, а имеющаяся информация вряд ли позволит со всей определенностью сделать вывод о том, кто сознательно делает выбор в пользу денежных пособий, по крайней мере до тех пор, пока не будет обеспечен полный охват населения услугами дошкольных учреждений.</w:t>
      </w:r>
    </w:p>
    <w:p w:rsidR="003E3ADF" w:rsidRDefault="003E3ADF">
      <w:pPr>
        <w:ind w:left="709"/>
      </w:pPr>
      <w:r>
        <w:t>С другой стороны, мы можем проанализировать тенденцию, которая наблюдалась до того, как были введены денежные пособия, например с точки зрения участия женщин в трудовой деятельности. В этой связи следует обратиться к шестому периодическому докладу Норвегии и представленному выше объяснению.</w:t>
      </w:r>
    </w:p>
    <w:p w:rsidR="003E3ADF" w:rsidRDefault="003E3ADF">
      <w:pPr>
        <w:ind w:left="709"/>
      </w:pPr>
      <w:r>
        <w:t>Было бы также интересно взглянуть на отдельные категории получателей денежных пособий. В августе 2006 года Статистическое управление Норвегии опубликовало доклад об использовании денежных пособий родителями детей-иммигрантов не из западных стран. В докладе показано, что денежные пособия на воспитание детей выплачиваются чаще родителям – выходцам не из западных стран, чем остальной частью населения: на 1 сентября 2004 года эти показатели равнялись, соответственно, 78 и 62 процентам. В период 1999–2004 годов количество денежных пособий, выплачиваемых на детей в возрасте 1–2 лет, уменьшилось. Одновременно количество денежных пособий, получаемых на детей-иммигрантов не из западных стран, за тот же период незначительно возросло. Отсюда можно сделать вывод, что расширение охвата населения услугами детских дошкольных учреждений, по всей видимости, оказывает влияния на динамику получения денежных пособий представителями этой группы.</w:t>
      </w:r>
    </w:p>
    <w:p w:rsidR="003E3ADF" w:rsidRDefault="003E3ADF">
      <w:pPr>
        <w:ind w:left="709"/>
      </w:pPr>
      <w:r>
        <w:t>Денежные пособия почти в 95 процентах случаев выплачиваются женщинам.</w:t>
      </w:r>
    </w:p>
    <w:p w:rsidR="003E3ADF" w:rsidRDefault="003E3ADF">
      <w:pPr>
        <w:tabs>
          <w:tab w:val="clear" w:pos="1361"/>
          <w:tab w:val="right" w:pos="567"/>
          <w:tab w:val="left" w:pos="680"/>
          <w:tab w:val="left" w:pos="1247"/>
        </w:tabs>
        <w:ind w:left="709" w:hanging="709"/>
      </w:pPr>
      <w:r>
        <w:tab/>
        <w:t>2.5.9</w:t>
      </w:r>
      <w:r>
        <w:tab/>
        <w:t>Статья 11.2</w:t>
      </w:r>
      <w:r>
        <w:rPr>
          <w:lang w:val="en-US"/>
        </w:rPr>
        <w:t>d</w:t>
      </w:r>
      <w:r>
        <w:t>  Права в период беременности</w:t>
      </w:r>
    </w:p>
    <w:p w:rsidR="003E3ADF" w:rsidRDefault="003E3ADF">
      <w:pPr>
        <w:ind w:left="709"/>
      </w:pPr>
      <w:r>
        <w:t>Беременная женщина, которая вынуждена уйти с работы по состоянию здоровья, имеет право на получение пособия по болезни или беременности. Беременная женщина, которая стала полностью или частично нетрудоспособной по причине заболевания, может претендовать на получение пособия по болезни на основании Закона о национальной системе страхования. В течение первых 16 дней пособие по болезни выплачивается работодателем (покрытие за счет работодателя). Между тем в 2002 году было введено правило, предусматривающее право работодателей на получение из Фонда национального страхования компенсации, покрывающей их расходы на выплаты пособия по болезни в течение соответствующего периода. Цель данного правила состоит в том, чтобы оказать помощь беременным женщинам, которые, находясь в отпуске по болезни, могут потерять работу в условиях обостряющейся конкуренции на рынке труда.</w:t>
      </w:r>
    </w:p>
    <w:p w:rsidR="003E3ADF" w:rsidRDefault="003E3ADF">
      <w:pPr>
        <w:ind w:left="709"/>
      </w:pPr>
      <w:r>
        <w:t>Беременная женщина, не испытывающая проблем со здоровьем, которая вынуждена уйти с работы из-за угрозы неправильного развития плода, имеет право на получение пособия по беременности. Для этого ей необходимо получить заключение врача, предписывающее прекращение работы, а также документ о том, что перевод на другую работу или изменение круга ее обязанностей не представляется возможным (см. статью 11.1</w:t>
      </w:r>
      <w:r>
        <w:rPr>
          <w:lang w:val="en-US"/>
        </w:rPr>
        <w:t>f</w:t>
      </w:r>
      <w:r>
        <w:t>). В 2004 году пособие по беременности получали 1593 женщины. Как указывается в шестом периодическом докладе Норвегии, право на получение пособия по беременности раньше предоставлялось только работающим женщинам. В 2003 году это право было также предоставлено самозанятым женщинам, и женщинам, работающим без контракта. В настоящее время предпринимаются шаги в целях дальнейшего расширения прав самозанятых женщин путем обеспечения их 100</w:t>
      </w:r>
      <w:r>
        <w:noBreakHyphen/>
        <w:t>процентного охвата пособиями по беременности независимо от того, имеют они дополнительную страховку или нет (см. комментарии к статье 11.2</w:t>
      </w:r>
      <w:r>
        <w:rPr>
          <w:lang w:val="en-US"/>
        </w:rPr>
        <w:t>b</w:t>
      </w:r>
      <w:r>
        <w:t xml:space="preserve"> настоящего доклада). В 2005 году был разработан законопроект о праве на получение отпускного вознаграждения на базе пособия по беременности. В результате не имеющие прав на получение отпускного вознаграждения получатели пособия по беременности несут финансовые убытки, в частности по сравнению с беременными женщинами, которые работают или получают пособия по болезни.</w:t>
      </w:r>
    </w:p>
    <w:p w:rsidR="003E3ADF" w:rsidRDefault="003E3ADF">
      <w:pPr>
        <w:tabs>
          <w:tab w:val="clear" w:pos="1361"/>
          <w:tab w:val="right" w:pos="567"/>
          <w:tab w:val="left" w:pos="1247"/>
        </w:tabs>
        <w:ind w:left="709" w:hanging="709"/>
        <w:rPr>
          <w:b/>
        </w:rPr>
      </w:pPr>
      <w:r>
        <w:rPr>
          <w:b/>
        </w:rPr>
        <w:tab/>
        <w:t>2.6</w:t>
      </w:r>
      <w:r>
        <w:rPr>
          <w:b/>
        </w:rPr>
        <w:tab/>
        <w:t>Статья 12.  Здравоохранение</w:t>
      </w:r>
    </w:p>
    <w:p w:rsidR="003E3ADF" w:rsidRDefault="003E3ADF">
      <w:pPr>
        <w:ind w:left="709"/>
      </w:pPr>
      <w:r>
        <w:t>Средняя продолжительность жизни в Норвегии составляет 82 года у женщин и 77,1 лет у мужчин. Женщины получают пенсии по инвалидности чаще, чем мужчины. В 2004 году пенсии по инвалидности получали в общей сложности 310 900 человек – 178 700 женщин и 132 229 мужчин. Число женщин, получающих пенсию по инвалидности, существенно увеличилось, и это увеличение необходимо рассматривать в контексте быстрого роста экономической активности среди женщин за рассматриваемый период.</w:t>
      </w:r>
    </w:p>
    <w:p w:rsidR="003E3ADF" w:rsidRDefault="003E3ADF">
      <w:pPr>
        <w:ind w:left="709"/>
      </w:pPr>
      <w:r>
        <w:t xml:space="preserve">Министерство здравоохранения и медицинского обслуживания включило задачу охраны здоровья женщин в число приоритетных направлений своей работы. В представленном стортингу докладе № 16 и озаглавленном </w:t>
      </w:r>
      <w:r>
        <w:rPr>
          <w:i/>
          <w:iCs/>
        </w:rPr>
        <w:t>Рецепт здоровой Норвегии: Политика в области здравоохранения (2002–2003 годы)</w:t>
      </w:r>
      <w:r>
        <w:t xml:space="preserve"> была изложена Стратегия по охране здоровья женщин. Эта Стратегия в основном опирается на 13-й Официальный доклад Норвегии 1999 года под названием </w:t>
      </w:r>
      <w:r>
        <w:rPr>
          <w:i/>
          <w:iCs/>
        </w:rPr>
        <w:t>Состояние здоровья женщин в Норвегии</w:t>
      </w:r>
      <w:r>
        <w:t xml:space="preserve"> (о котором рассказывается на стр. 43 шестого периодического доклада Норвегии). Данная Стратегия предусматривает приоритетный учет гендерного фактора в секторе здравоохранения и социального обслуживания, в научно-исследовательской деятельности, при разработке политики, а также в области осуществления профилактических мер и оказания медицинской помощи. Стратегия по охране здоровья женщин рассчитана на десятилетний период (2003–2013 годы). Цель разработки специальной стратегии в области охраны здоровья женщин состоит в том, чтобы создать более справедливые условия для женщин по сравнению с теми, которые существовали до сих пор. В 13-м официальном докладе Норвегии 1999 года говорилось об общем отсутствии знаний в области гендерной тематики у работников здравоохранения, а также гендерного подхода в организации медицинского обслуживания. Гендерный подход к вопросам лечения, профилактики и оказания услуг может оказаться весьма полезным для борьбы с нежелательными проявлениями неравенства между мужчинами и женщинами в этой области.</w:t>
      </w:r>
    </w:p>
    <w:p w:rsidR="003E3ADF" w:rsidRDefault="003E3ADF">
      <w:pPr>
        <w:ind w:left="709"/>
      </w:pPr>
      <w:r>
        <w:t>На сегодняшний день в Стратегии по охране здоровья женщин не предусмотрено осуществления никаких специальных мер в интересах женщин с ограниченными физическими возможностями. В секторе здравоохранения лицам с ограниченными физическими возможностями предлагаются одинаковые медицинские услуги и предоставляется одинаковое право на получение медицинской помощи независимо от пола пациента. В соответствии с программой социального обеспечения Исследовательскому совету Норвегии на пятилетний период была выделена сумма в размере 50 млн. норвежских крон для проведения исследований по проблеме инвалидности и изучения факторов, ведущих к снижению функциональных способностей людей. Министерство здравоохранения и медицинского обслуживания просило Исследовательский совет принять меры к тому, чтобы в рамках проводимых им научных исследований был обеспечен учет гендерного фактора.</w:t>
      </w:r>
    </w:p>
    <w:p w:rsidR="003E3ADF" w:rsidRDefault="003E3ADF">
      <w:pPr>
        <w:keepNext/>
        <w:tabs>
          <w:tab w:val="clear" w:pos="1361"/>
          <w:tab w:val="left" w:pos="1247"/>
        </w:tabs>
        <w:ind w:left="1418" w:hanging="709"/>
        <w:rPr>
          <w:i/>
        </w:rPr>
      </w:pPr>
      <w:r>
        <w:rPr>
          <w:i/>
        </w:rPr>
        <w:t>Инициативы</w:t>
      </w:r>
    </w:p>
    <w:p w:rsidR="003E3ADF" w:rsidRDefault="003E3ADF">
      <w:pPr>
        <w:ind w:left="709"/>
      </w:pPr>
      <w:r>
        <w:t>Министерство здравоохранения и медицинского обслуживания приняло ряд мер в развитие Стратегии по охране здоровья женщин.</w:t>
      </w:r>
    </w:p>
    <w:p w:rsidR="003E3ADF" w:rsidRDefault="003E3ADF">
      <w:pPr>
        <w:ind w:left="709"/>
      </w:pPr>
      <w:r>
        <w:t>Больницам, финансируемым из государственного бюджета, было предложено сосредоточить свое внимание на обеспечении того, чтобы гендерный фактор учитывался в процессе планирования медицинских услуг и чтобы для решения особых задач, касающихся охраны здоровья мужчин и женщин, привлекались квалифицированные специалисты и выделялись необходимые ресурсы. Министерство настоятельно призвало государственные лечебные учреждения и Исследовательский совет Норвегии уделять должное внимание гендерной тематике, повышать осведомленность персонала в отношении гендерных различий при проведении клинических исследований и включать эти вопросы в новые планы и программы, разрабатываемые Советом.</w:t>
      </w:r>
    </w:p>
    <w:p w:rsidR="003E3ADF" w:rsidRDefault="003E3ADF">
      <w:pPr>
        <w:ind w:left="709"/>
      </w:pPr>
      <w:r>
        <w:t>В 2005 году вниманию общественности была предложена Программа действий по предупреждению и лечению переломов, вызванных остеопорозом, для осуществления которой планируется разработать руководящие принципы. Государственные больницы регионального подчинения  и Управление по вопросам медицинского и социального обслуживания рассмотрели вопрос об организации в Норвегии службы диагностики и лечения заболеваний раком молочной железы. В контексте развития системы выбора постоянного врача общей практики (ВОП) Национальной страховой компании было предложено включать переменные, обеспечивающие учет гендерного фактора, в свою статистику, а Исследовательскому совету Норвегии было рекомендовано по мере возможности применять гендерный подход при анализе эффективности системы выбора постоянного врача общей практики.</w:t>
      </w:r>
    </w:p>
    <w:p w:rsidR="003E3ADF" w:rsidRDefault="003E3ADF">
      <w:pPr>
        <w:ind w:left="709"/>
      </w:pPr>
      <w:r>
        <w:t>Норвежский центр охраны здоровья меньшинств, открытый при больнице Уллевольского университета, занимается полидисциплинарными и междисциплинарными вопросами и проблемами межкультурного общения. Одна из основных задач НАКМИ состоит в улучшении профессиональной подготовки медицинских работников и совершенствовании методов управления медицинским персоналом в целях повышения качества обслуживания женщин из этнических меньшинств. В 2004 году при больнице Уллевольского университета был также открыт Норвежский научно-исследовательский центр по проблемам насилия и травматического стресса. В его задачи входит предупреждение насилия, в том числе сексуального насилия, в отношении женщин, а также обеспечение женщинам, ставшим жертвами насилия, качественной помощи.</w:t>
      </w:r>
    </w:p>
    <w:p w:rsidR="003E3ADF" w:rsidRDefault="003E3ADF">
      <w:pPr>
        <w:ind w:left="709"/>
      </w:pPr>
      <w:r>
        <w:t>Министерство планирует сосредоточить усилия на сборе информации о количестве случаев, факторах риска, динамике и лечении синдрома фибромиалгии. Повышенное внимание гендерному фактору уделяется в последующих действиях и стратегических планах, таких как Стратегический план по профилактике ВИЧ и заболеваний, передаваемых половым путем (2002 год), План действий по предупреждению нежелательной беременности и абортов (2004–2008 годы), План действий по развитию физической активности (2005–2009 годы) и План действий по борьбе с насилием в семье (2004–2007 годы). Некоторые из указанных планов были разработаны совместными усилиями нескольких министерств. Были проведены все мероприятия, предусмотренные в Стратегическом плане по борьбе с расстройствами пищевого поведения; в 2005 году планируется осуществить обзор Плана на предмет его продления и включения в него новых проектов и программ. Одним из приоритетных направлений является лечение заболеваний, связанных с расстройством пищевого поведения, а также просветительская деятельность в этой области. Правительство выделило 10 млн. норвежских крон новому Центру по охране здоровья женщин. С 1 января 2002 года женщины в возрастной группе 16–19 лет получили доступ к гормональным противозачаточным средствам. В том же году медицинским сестрам и акушеркам было предоставлено право назначать противозачаточные препараты лицам этой возрастной группы для предупреждения нежелательной беременности и абортов среди подростков. Правила, касающиеся организации работы по популяризации здорового образа жизни и профилактики болезней в учреждениях здравоохранения и школьных медпунктах на муниципальном уровне (2003 год), и руководство по выполнению этих правил (2004 год) включают компонент по охране здоровья женщин, особенно в части предоставления медицинских услуг беременным женщинам. В 2005 году Управление по вопросам медицинского и социального обслуживания также издало руководство по вопросам оказания помощи беременным женщинам.</w:t>
      </w:r>
    </w:p>
    <w:p w:rsidR="003E3ADF" w:rsidRDefault="003E3ADF">
      <w:pPr>
        <w:ind w:left="709"/>
      </w:pPr>
      <w:r>
        <w:t>В марте 2005 года Норвежский совет по вопросам здравоохранения опубликовал доклад о медицинских услугах на муниципальном уровне, оказываемых лицам, прибывающим в страну в поисках убежища, беженцам, а также лицам, прибывшим в Норвегию для воссоединения со своими семьями из стран, в которых широко распространен туберкулез. В докладе указывается, что в целом ряде областей многие муниципальные органы власти недостаточно эффективно осуществляют необходимые меры контроля за недавно прибывшими в страну иммигрантами. Эта проблема будет затронута в циркулярном письме, которое ежегодно рассылается муниципалитетам. В докладе ничего не говорится о гендерных различиях, за исключением упоминания о том, что большинство беженцев и лиц, прибывающих в страну в поисках убежища, составляют мужчины. Норвежский центр охраны здоровья меньшинств был создан при больнице Уллевольского университета по инициативе Министерства. Цель создания Центра состоит в том, чтобы обеспечить одинаковые условия медицинского обслуживания для всего населения. Работа НАКМИ сфокусирована на мультидисциплинарных и междисциплинарных вопросах, а также проблемах межкультурного общения.</w:t>
      </w:r>
    </w:p>
    <w:p w:rsidR="003E3ADF" w:rsidRDefault="003E3ADF">
      <w:pPr>
        <w:ind w:left="709"/>
      </w:pPr>
      <w:r>
        <w:t>Осенью 2006 года правительство представит стортингу доклад, главной темой которого будут являться будущие виды помощи и ухода за пожилыми людьми, лицами с физическими недостатками и другими нуждающимися в таких услугах лицами. Муниципальные службы здравоохранения и социального обслуживания сталкиваются с серьезными трудностями в связи с увеличением численности пожилых людей, а также с быстро растущим спросом на услуги со стороны более молодых пользователей. Доклад направлен на то, чтобы выработать долгосрочные стратегии в целях решения будущих проблем, с которыми может столкнуться сектор медицинского обслуживания. Большинство получателей таких услуг составляют женщины. В этих условиях проблемы старения следует рассматривать с позиции и с учетом интересов женщин. Крайне важное значение в связи с этим приобретает задача ликвидации социального неравенства и меры по улучшению повседневной жизни пожилых женщин. Это серьезная проблема, которую предстоит решить медицинским учреждениям и специализированным службам, занимающимся вопросами охраны здоровья.</w:t>
      </w:r>
    </w:p>
    <w:p w:rsidR="003E3ADF" w:rsidRDefault="003E3ADF">
      <w:pPr>
        <w:keepNext/>
        <w:ind w:left="709"/>
        <w:rPr>
          <w:b/>
        </w:rPr>
      </w:pPr>
      <w:r>
        <w:rPr>
          <w:b/>
        </w:rPr>
        <w:t>Калечащие операции на женских половых органах</w:t>
      </w:r>
    </w:p>
    <w:p w:rsidR="003E3ADF" w:rsidRDefault="003E3ADF">
      <w:pPr>
        <w:ind w:left="709"/>
      </w:pPr>
      <w:r>
        <w:t>В Закон о запрете калечащих операций на женских половых органах было включено новое положение, обязывающее некоторые профессиональные группы и сотрудников некоторых учреждений принимать меры для предупреждения причинения увечий женским половым органам. Данное положение вступило в силу 1 сентября 2004 года. Цель этого положения состоит в том, чтобы обеспечить более эффективную защиту девушек, рискующих стать жертвами этой практики.</w:t>
      </w:r>
    </w:p>
    <w:p w:rsidR="003E3ADF" w:rsidRDefault="003E3ADF">
      <w:pPr>
        <w:ind w:left="709"/>
      </w:pPr>
      <w:r>
        <w:t>Обязанность принимать меры для предупреждения калечащих операций на женских половых органах распространяется на работников и служащих детских дошкольных учреждений, служб социального обеспечения детей, медицинских и социальных служб, школ, групп продленного дня для учащихся школ, а также на лиц, входящих в религиозные общины, и их руководителей. Эти люди находятся в контакте с девочками по роду своей работы либо общаются с ними в ходе выполнения своих профессиональных обязанностей, и учреждения, в которых они работают, непосредственно занимаются вопросами, касающимися детей и родителей.</w:t>
      </w:r>
    </w:p>
    <w:p w:rsidR="003E3ADF" w:rsidRDefault="003E3ADF">
      <w:pPr>
        <w:ind w:left="709"/>
      </w:pPr>
      <w:r>
        <w:t>Правительство также утвердило поправки к Закону № 4 о запрете калечащих операций на женских половых органах от 15 декабря 1995 года (см. пункт 3 </w:t>
      </w:r>
      <w:r>
        <w:rPr>
          <w:lang w:val="en-US"/>
        </w:rPr>
        <w:t>h</w:t>
      </w:r>
      <w:r>
        <w:t>) раздела 12 Уголовного кодекса). Причинение увечий женским половым органам квалифицируется как уголовное преступление, даже если такая операция производится за границей гражданином Норвегии или лицом, постоянно проживающим в Норвегии. Если какая-либо профессиональная группа, будучи осведомлена о готовящейся операции, не принимает мер для того, чтобы не допустить нанесения увечий половым органам той или иной девушки, то виновные в таком бездействии караются лишением свободы сроком до одного года.</w:t>
      </w:r>
    </w:p>
    <w:p w:rsidR="003E3ADF" w:rsidRDefault="003E3ADF">
      <w:pPr>
        <w:ind w:left="709"/>
      </w:pPr>
      <w:r>
        <w:t>План действий по активизации борьбы с калечащими операциями на женских половых органах начал осуществлялся в 2002 году и завершился в конце 2004 года. В этой связи с одобрения правительства было запланировано проведение 33 отдельных мероприятий, часть которых осуществлялась в рамках "Проекта ОК" ("Помощь и знания в борьбе с обрезанием женщин"). Одна из первоочередных задач заключалась в том, чтобы разработать методы и инструменты для охвата тех групп, в которых применяется данная практика, и привлечь к работе в этой области компетентные официальные ведомства. В рамках "Проекта ОК" была подготовлена информация для молодых девушек, которые могут стать жертвой калечащих операций на женских половых органах, и женщин, которые уже стали жертвами этой практики, и подготовлен информационный материал для групп меньшинств, культура которых включает эту традицию. Были предприняты шаги для распространения информации по различным каналам, включая показ фильмов, публикацию брошюр, организацию театрализованных представлений с применением стихотворных и музыкальных форм.</w:t>
      </w:r>
    </w:p>
    <w:p w:rsidR="003E3ADF" w:rsidRDefault="003E3ADF">
      <w:pPr>
        <w:ind w:left="709"/>
      </w:pPr>
      <w:r>
        <w:t>В целях активизации борьбы с практикой калечащих операций на женских половых органах и выполнения решения стортинга парламента № 385 (2004–2005 годы) началась работа по изучению последствий введения практики клинических обследований половых органов всех детей в ходе обычных медицинских осмотров и оценок возможной сферы охвата детей такими осмотрами, а также рассмотрению вопроса о том, следует ли сделать такую процедуру обязательной.</w:t>
      </w:r>
    </w:p>
    <w:p w:rsidR="003E3ADF" w:rsidRDefault="003E3ADF">
      <w:pPr>
        <w:ind w:left="709"/>
      </w:pPr>
      <w:r>
        <w:t>Кроме того, Министерство по вопросам местного самоуправления и регионального развития в сотрудничестве с Министерством юстиции и Министерством здравоохранения и медицинского обслуживания координирует проект, в рамках которого с декабря 2004 года просители убежища во время собеседования ставятся в известность о том, что практика принудительных браков и калечащих операций на женских половых органах в Норвегии запрещена. Они обязаны подписать документ, в котором говорится, что они получили и приняли к сведению эту информацию. В 2006 году в качестве экспериментального проекта в трех центральных полицейских округах такая процедура будет осуществляться в отношении беженцев – вынужденных переселенцев и лиц, прибывших из различных стран для воссоединения с семьей. Министерство по вопросам местного самоуправления и регионального развития определило круг полномочий рабочей группы, которой поручено подготовить доклад о результатах экспериментального проекта. Рабочая группа, руководство которой осуществляет Иммиграционное управление/Управление по интеграции и многообразию, представит доклад о практическом осуществлении данного проекта к 15 февраля 2006 года.</w:t>
      </w:r>
    </w:p>
    <w:p w:rsidR="003E3ADF" w:rsidRDefault="003E3ADF">
      <w:pPr>
        <w:ind w:left="709"/>
      </w:pPr>
      <w:r>
        <w:t xml:space="preserve">Вся информация размещена на сайте проекта по адресу: </w:t>
      </w:r>
      <w:hyperlink r:id="rId18" w:history="1">
        <w:r>
          <w:rPr>
            <w:rStyle w:val="Hyperlink"/>
            <w:color w:val="auto"/>
            <w:lang w:val="en-US"/>
          </w:rPr>
          <w:t>www</w:t>
        </w:r>
        <w:r>
          <w:rPr>
            <w:rStyle w:val="Hyperlink"/>
            <w:color w:val="auto"/>
          </w:rPr>
          <w:t>.</w:t>
        </w:r>
        <w:r>
          <w:rPr>
            <w:rStyle w:val="Hyperlink"/>
            <w:color w:val="auto"/>
            <w:lang w:val="en-US"/>
          </w:rPr>
          <w:t>okprosjekt</w:t>
        </w:r>
        <w:r>
          <w:rPr>
            <w:rStyle w:val="Hyperlink"/>
            <w:color w:val="auto"/>
          </w:rPr>
          <w:t>.</w:t>
        </w:r>
        <w:r>
          <w:rPr>
            <w:rStyle w:val="Hyperlink"/>
            <w:color w:val="auto"/>
            <w:lang w:val="en-US"/>
          </w:rPr>
          <w:t>no</w:t>
        </w:r>
      </w:hyperlink>
      <w:r>
        <w:t xml:space="preserve"> на трех языках. "Проект ОК" завершился 31 декабря 2004 года. После окончания проекта все сведения, связанные с его осуществлением, были переданы Норвежскому центру охраны здоровья меньшинств – государственному учреждению, созданному бывшим Министерством здравоохранения при больнице Уллевольского университета. Цель состоит в том, чтобы свести воедино полученную в ходе осуществления "Проекта ОК" информацию и обобщить приобретенный опыт, с тем чтобы обеспечить доступ к созданной базе, которая будет регулярно пополняться новыми данными. Помимо этого, каждое министерство должно вести борьбу с практикой калечащих операций на женских половых органах в пределах собственной компетенции. Министерство по делам детей и вопросам равноправия отвечает за принятие мер и координацию действий на национальном уровне.</w:t>
      </w:r>
    </w:p>
    <w:p w:rsidR="003E3ADF" w:rsidRDefault="003E3ADF">
      <w:pPr>
        <w:keepNext/>
        <w:tabs>
          <w:tab w:val="clear" w:pos="1361"/>
          <w:tab w:val="right" w:pos="567"/>
          <w:tab w:val="left" w:pos="1247"/>
        </w:tabs>
        <w:ind w:left="709" w:hanging="709"/>
        <w:rPr>
          <w:b/>
        </w:rPr>
      </w:pPr>
      <w:r>
        <w:rPr>
          <w:b/>
          <w:lang/>
        </w:rPr>
        <w:tab/>
      </w:r>
      <w:r>
        <w:rPr>
          <w:b/>
        </w:rPr>
        <w:t>2.7</w:t>
      </w:r>
      <w:r>
        <w:rPr>
          <w:b/>
        </w:rPr>
        <w:tab/>
        <w:t>Статья 13</w:t>
      </w:r>
    </w:p>
    <w:p w:rsidR="003E3ADF" w:rsidRDefault="003E3ADF">
      <w:pPr>
        <w:keepNext/>
        <w:tabs>
          <w:tab w:val="clear" w:pos="1361"/>
          <w:tab w:val="right" w:pos="567"/>
          <w:tab w:val="left" w:pos="680"/>
          <w:tab w:val="left" w:pos="1247"/>
        </w:tabs>
        <w:ind w:left="709" w:hanging="709"/>
      </w:pPr>
      <w:r>
        <w:rPr>
          <w:bCs/>
        </w:rPr>
        <w:tab/>
        <w:t>2.7.1</w:t>
      </w:r>
      <w:r>
        <w:rPr>
          <w:bCs/>
        </w:rPr>
        <w:tab/>
      </w:r>
      <w:r>
        <w:t>Статья 13</w:t>
      </w:r>
      <w:r>
        <w:rPr>
          <w:lang w:val="en-US"/>
        </w:rPr>
        <w:t>a</w:t>
      </w:r>
      <w:r>
        <w:t>.  Право на семейные пособия</w:t>
      </w:r>
    </w:p>
    <w:p w:rsidR="003E3ADF" w:rsidRDefault="003E3ADF">
      <w:pPr>
        <w:tabs>
          <w:tab w:val="clear" w:pos="1361"/>
          <w:tab w:val="left" w:pos="1247"/>
        </w:tabs>
        <w:ind w:left="709" w:hanging="709"/>
      </w:pPr>
      <w:r>
        <w:rPr>
          <w:lang/>
        </w:rPr>
        <w:tab/>
      </w:r>
      <w:r>
        <w:t>Соответствующая информация содержится в предыдущих докладах Норвегии.</w:t>
      </w:r>
    </w:p>
    <w:p w:rsidR="003E3ADF" w:rsidRDefault="003E3ADF">
      <w:pPr>
        <w:keepNext/>
        <w:tabs>
          <w:tab w:val="clear" w:pos="1361"/>
          <w:tab w:val="right" w:pos="567"/>
          <w:tab w:val="left" w:pos="1247"/>
        </w:tabs>
        <w:ind w:left="709" w:hanging="709"/>
      </w:pPr>
      <w:r>
        <w:rPr>
          <w:bCs/>
        </w:rPr>
        <w:tab/>
        <w:t>2.7.2</w:t>
      </w:r>
      <w:r>
        <w:rPr>
          <w:bCs/>
        </w:rPr>
        <w:tab/>
      </w:r>
      <w:r>
        <w:t>Статья 13</w:t>
      </w:r>
      <w:r>
        <w:rPr>
          <w:lang w:val="en-US"/>
        </w:rPr>
        <w:t>b</w:t>
      </w:r>
      <w:r>
        <w:t>.  Экономические права</w:t>
      </w:r>
    </w:p>
    <w:p w:rsidR="003E3ADF" w:rsidRDefault="003E3ADF">
      <w:pPr>
        <w:tabs>
          <w:tab w:val="clear" w:pos="1361"/>
          <w:tab w:val="left" w:pos="1247"/>
        </w:tabs>
        <w:ind w:left="709" w:hanging="709"/>
      </w:pPr>
      <w:r>
        <w:rPr>
          <w:lang/>
        </w:rPr>
        <w:tab/>
      </w:r>
      <w:r>
        <w:t>Соответствующая информация содержится в предыдущих докладах Норвегии.</w:t>
      </w:r>
    </w:p>
    <w:p w:rsidR="003E3ADF" w:rsidRDefault="003E3ADF">
      <w:pPr>
        <w:keepNext/>
        <w:tabs>
          <w:tab w:val="clear" w:pos="1361"/>
          <w:tab w:val="right" w:pos="567"/>
          <w:tab w:val="left" w:pos="1247"/>
        </w:tabs>
        <w:ind w:left="709" w:hanging="709"/>
      </w:pPr>
      <w:r>
        <w:rPr>
          <w:bCs/>
        </w:rPr>
        <w:tab/>
        <w:t>2.7.3</w:t>
      </w:r>
      <w:r>
        <w:rPr>
          <w:bCs/>
        </w:rPr>
        <w:tab/>
      </w:r>
      <w:r>
        <w:t>Статья 13</w:t>
      </w:r>
      <w:r>
        <w:rPr>
          <w:lang w:val="en-US"/>
        </w:rPr>
        <w:t>c</w:t>
      </w:r>
      <w:r>
        <w:t>.  Право участвовать в мероприятиях, связанных с отдыхом, в занятиях спортом и во всех областях культурной жизни</w:t>
      </w:r>
    </w:p>
    <w:p w:rsidR="003E3ADF" w:rsidRDefault="003E3ADF">
      <w:pPr>
        <w:ind w:left="709"/>
      </w:pPr>
      <w:r>
        <w:t>Вопросы отношений между полами и их освещение в средствах массовой информации занимают важное место в политике обеспечения равенства, поскольку средства массовой информации оказывают существенное влияния на наше понимание этой проблематики. Принадлежность к тому или иному полу и отношение СМИ во многом определяют возможности мужчин и женщин влиять на развитие общества. Если оценивать уровень представленности мужчин и женщин в средствах массовой информации, то нельзя не отметить значительное численное превосходство мужчин на руководящих должностях. Хотя число редакторов и комментаторов женского пола в последние годы увеличилось, низкая доля женщин, тем не менее, является проблемой в плане обеспечения гендерного равенства. Весной 2005 года доля женщин среди членов Норвежской ассоциации редакторов составляла 18 процентов, среди главных редакторов – 17 процентов, а мужчин, соответственно, 83 процента. Результаты общенациональных обследований свидетельствуют о системных различиях в подходе СМИ к использованию мужчин и женщин в качестве источника информации. По данным одного обследования, в одну из недель 2004 года три четверти лиц, о которых сообщалось в крупнейших норвежских газетах и чьи фотографии публиковались на их страницах, были мужчинами и лишь около одной четверти – женщинами.</w:t>
      </w:r>
    </w:p>
    <w:p w:rsidR="003E3ADF" w:rsidRDefault="003E3ADF">
      <w:pPr>
        <w:ind w:left="709"/>
      </w:pPr>
      <w:r>
        <w:t xml:space="preserve">Независимость прессы является одним из важнейших принципов, на которых строится вся работа средств массовой информации Норвегии. Отсюда следует, что власти не правомочны контролировать содержание материалов, публикуемых в норвежских СМИ. Министерство согласно с тем, что средства массовой информации играют главную роль в формировании общественного мнения, и важно, чтобы сами СМИ осознали меру своей ответственности. В последние месяцы и годы общество проявляет все больший интерес к вопросам, касающимся гендерного равенства в области кинематографии. Это особенно отчетливо проявилось в ходе обследования под названием </w:t>
      </w:r>
      <w:r>
        <w:rPr>
          <w:i/>
          <w:iCs/>
          <w:lang w:val="en-US"/>
        </w:rPr>
        <w:t>Tallenes</w:t>
      </w:r>
      <w:r>
        <w:rPr>
          <w:i/>
          <w:iCs/>
        </w:rPr>
        <w:t xml:space="preserve"> </w:t>
      </w:r>
      <w:r>
        <w:rPr>
          <w:i/>
          <w:iCs/>
          <w:lang w:val="en-US"/>
        </w:rPr>
        <w:t>tale</w:t>
      </w:r>
      <w:r>
        <w:t xml:space="preserve"> ("Цифры говорят сами за себя"), касающегося представительства женщин на ключевых должностях в области кинематографии. Данное обследование было проведено по инициативе самого сектора, и его результаты показали наличие гендерных диспропорций среди ведущих творческих работников (таких, как режиссеры, сценаристы и продюсеры), а также явные перекосы при распределении финансов. Министерство культуры и по делам церкви подготовит доклад о киноиндустрии, который будет представлен стортингу зимой 2007 года. Одна из его тем будет касаться задачи обеспечения гендерного равенства в области кинематографии. Перед утверждением окончательного текста доклада Союз норвежских кинематографистов проведет семинар, на котором деятели кинематографии смогут обсудить различные меры и проанализировать усилия правительства, направленные на достижение гендерного равенства. </w:t>
      </w:r>
    </w:p>
    <w:p w:rsidR="003E3ADF" w:rsidRDefault="003E3ADF">
      <w:pPr>
        <w:ind w:left="709"/>
      </w:pPr>
      <w:r>
        <w:t>Вопрос об обеспечении гендерного равенства конкретно упоминается в Письме о выделении средств Фонду норвежских кинематографистов, и Министерство культуры и по делам церкви стремится определить конкретные цели, которыми Фонд норвежских кинематографистов будет руководствоваться в своей деятельности по достижению гендерного равенства и повышению уровня представительства женщин в киноиндустрии. В целях активного привлечения женщин к работе в норвежской киноиндустрии и увеличения числа женщин на руководящих должностях Фонд норвежских кинематографистов выделяет специальные средства для поддержки кинопродукции, в производстве которой женщины принимают самое активное участие. На реализацию данного проекта, который получил название "</w:t>
      </w:r>
      <w:r>
        <w:rPr>
          <w:lang w:val="en-US"/>
        </w:rPr>
        <w:t>Signatur</w:t>
      </w:r>
      <w:r>
        <w:t xml:space="preserve"> </w:t>
      </w:r>
      <w:r>
        <w:rPr>
          <w:lang w:val="en-US"/>
        </w:rPr>
        <w:t>K</w:t>
      </w:r>
      <w:r>
        <w:t>", в 2006 году было выделено 2 млн. норвежских крон. В следующем году планируется выделить аналогичную сумму. Для того чтобы получить финансирование в рамках данного проекта, в съемочной группе необходимо иметь по меньшей мере двух женщин на ведущих должностях, и одна из главных ролей в таком фильме также должна быть отдана женщине.</w:t>
      </w:r>
    </w:p>
    <w:p w:rsidR="003E3ADF" w:rsidRDefault="003E3ADF">
      <w:pPr>
        <w:ind w:left="709"/>
      </w:pPr>
      <w:r>
        <w:t>Министерство культуры и по делам церкви провозгласило своей целью обеспечение гендерного равенства в области культуры. В интересах достижения этой цели Министерство выступило с инициативой проанализировать гендерные аспекты в деятельности учреждений культуры и с учетом гендерного фактора оценить структуру распределения субсидий и другие системы поддержки.</w:t>
      </w:r>
    </w:p>
    <w:p w:rsidR="003E3ADF" w:rsidRDefault="003E3ADF">
      <w:pPr>
        <w:ind w:left="709"/>
      </w:pPr>
      <w:r>
        <w:t>Самозанятые творческие работники не всегда обладают таким же правом на пособия и социальное обеспечение, в частности пособие по беременности/уходу за ребенком или пособие в связи с усыновлением ребенка, какими обладает остальное экономически активное население. Правомерно предположить, что в этой ситуации особые трудности могут испытывать женщины. В докладе о деятелях искусства, который планируется представить в ближайшем будущем, будет подробно рассмотрен вопрос о том, каким образом осуществляется охват программами национального страхования и социального обеспечения деятелей культуры и искусства, которые являются самозанятыми или внештатными работниками, и какие меры необходимо принять в данной сфере.</w:t>
      </w:r>
    </w:p>
    <w:p w:rsidR="003E3ADF" w:rsidRDefault="003E3ADF">
      <w:pPr>
        <w:ind w:left="709"/>
      </w:pPr>
      <w:r>
        <w:t xml:space="preserve">В 2006 году Министерство организовало семинар по случаю Женского дня 8 марта, на который были приглашены известные женщины – деятели культуры и искусства, для того чтобы обсудить с министром культуры вопросы, касающиеся гендерного равенства, и возможные меры, способные улучшить ситуацию в сфере культуры. Подобный семинар планируется организовать и в 2007 году. В связи с этим Министерство рассматривает ряд проектов, которые можно осуществить в целях содействия гендерному равенству в культурной сфере, в частности программу обучения женщин навыкам управления учреждениями культуры. </w:t>
      </w:r>
    </w:p>
    <w:p w:rsidR="003E3ADF" w:rsidRDefault="003E3ADF">
      <w:pPr>
        <w:ind w:left="709"/>
      </w:pPr>
      <w:r>
        <w:t>Одна из целей политики, проводимой правительством в области спорта, состоит в том, чтобы предоставить женщинам одинаковые с мужчинами возможности для участия в занятиях спортом. При распределении государственных субсидий Норвежскому олимпийскому комитету и Федерации спорта рекомендуется в приоритетном порядке направлять средства на проекты, направленные на достижение гендерного равенства в области спорта. В частности, предусматривается, что пожелания и потребности женщин должны учитываться при планировании и строительстве спортивных сооружений и развитии спортивной инфраструктуры. Федерация активно работает над этим вопросом и осуществляет конкретные проекты, направленные на расширение возможностей женщин и улучшение их результатов как в спорте высоких достижений, так и в роли руководителей спортивных мероприятий. Статистические данные о членстве в НИФ за 2005 год свидетельствуют о том, что спортивное движение, в котором участвуют более 2 млн. человек, является наиболее массовым движением в Норвегии, в рамках которого доля женщин составляет примерно 40 процентов. Это говорит о том, что в области спорта женщины представлены достаточно широко.</w:t>
      </w:r>
    </w:p>
    <w:p w:rsidR="003E3ADF" w:rsidRDefault="003E3ADF">
      <w:pPr>
        <w:ind w:left="709"/>
      </w:pPr>
      <w:r>
        <w:t>В соответствии с Постановлением о финансировании детских и молодежных организаций от 16 декабря 2002 года с поправками, внесенными 24 июня 2005 года, детским и молодежным организациям оказывается помощь. Процедура рассмотрения жалоб, разработанная Министерством по делам детей и равноправия, предусматривает право Министерства не принимать к рассмотрению заявки на финансирование, поступающие от организаций, в которых женщины не могут быть избраны в руководящие органы.</w:t>
      </w:r>
    </w:p>
    <w:p w:rsidR="003E3ADF" w:rsidRDefault="003E3ADF">
      <w:pPr>
        <w:tabs>
          <w:tab w:val="clear" w:pos="1361"/>
          <w:tab w:val="right" w:pos="567"/>
          <w:tab w:val="left" w:pos="1247"/>
        </w:tabs>
        <w:ind w:left="709" w:hanging="709"/>
        <w:rPr>
          <w:b/>
        </w:rPr>
      </w:pPr>
      <w:r>
        <w:rPr>
          <w:b/>
        </w:rPr>
        <w:tab/>
        <w:t>2.8</w:t>
      </w:r>
      <w:r>
        <w:rPr>
          <w:b/>
        </w:rPr>
        <w:tab/>
        <w:t>Статья 14.  Женщины в сельских районах</w:t>
      </w:r>
    </w:p>
    <w:p w:rsidR="003E3ADF" w:rsidRDefault="003E3ADF">
      <w:pPr>
        <w:ind w:left="709"/>
        <w:rPr>
          <w:b/>
        </w:rPr>
      </w:pPr>
      <w:r>
        <w:rPr>
          <w:b/>
        </w:rPr>
        <w:t>Сельскохозяйственное производство</w:t>
      </w:r>
    </w:p>
    <w:p w:rsidR="003E3ADF" w:rsidRDefault="003E3ADF">
      <w:pPr>
        <w:ind w:left="709"/>
      </w:pPr>
      <w:r>
        <w:t>В 2000 году был разработан специальный план по увеличению числа женщин на руководящих должностях в Министерстве сельского хозяйства и продовольствия и в системе управления сельским хозяйством. Министерство, в частности, разработало специальную программу инструктажа для сотрудников самого Министерства и подчиненных ему ведомств. Эти усилия принесли положительные результаты, и по состоянию на 31 декабря 2004 года доля женщин на руководящих должностях Министерства достигла уровня 44 процентов по сравнению с 22 процентами в 2000 году. При этом увеличилось и число женщин-руководителей в подчиненных учреждениях – с 23 процентов в 2000 году до 35 процентов в 2004 году.</w:t>
      </w:r>
    </w:p>
    <w:p w:rsidR="003E3ADF" w:rsidRDefault="003E3ADF">
      <w:pPr>
        <w:ind w:left="709"/>
      </w:pPr>
      <w:r>
        <w:t>Цель правительства состоит в том, чтобы обеспечить женщинам и мужчинам равные возможности для участия в экономической деятельности в сельском хозяйстве и связанных с ним областях. Для того чтобы добиться ощутимого прогресса в сфере развития предпринимательства, рационального использования ресурсов и увеличения численности населения в сельской местности, необходимо улучшить положение в плане повышения профессионализма, приобретения навыков и знаний и развития людских ресурсов. Сельскохозяйственная и продовольственная политика должна быть направлена на то, чтобы обеспечить гендерное равенство в этой области в русле общей политики по обеспечению равенства между мужчинами и женщинами.</w:t>
      </w:r>
    </w:p>
    <w:p w:rsidR="003E3ADF" w:rsidRDefault="003E3ADF">
      <w:pPr>
        <w:ind w:left="709"/>
      </w:pPr>
      <w:r>
        <w:t>Аллодиальный закон предусматривает равное отношение к мужчинам и женщинам, однако это положение не распространяется на лиц, родившихся или усыновленных до 1965 года. Созданному в 2001 году комитету было поручено рассмотреть вопрос о влиянии Аллодиального закона на положение женщин в области сельского хозяйства. В докладе, опубликованном в 2003 году, комитет пришел к выводу о том, что аллодиальные права играют важную роль в увеличении доли женщин в сельском хозяйстве, и рекомендовал установить полное равенство между мужчинами и женщинами.</w:t>
      </w:r>
    </w:p>
    <w:p w:rsidR="003E3ADF" w:rsidRDefault="003E3ADF">
      <w:pPr>
        <w:ind w:left="709"/>
      </w:pPr>
      <w:r>
        <w:t>В 2006 году Министерство сельского хозяйства и продовольствия создало рабочую группу для рассмотрения вопроса о гендерном равенстве в данной отрасли и связанных с нею областях. Рабочая группа рассмотрит задачи по достижению равенства в сельском хозяйстве и связанных с ним областях, представит конкретные предложения по выработке стратегий, направленных на обеспечение гендерного равенства, и определит соответствующие показатели, с помощью которых можно будет оценивать прогресс в деле обеспечения равенства в сельском хозяйстве и связанных с ним областях. Деятельность данной рабочей группы планируется завершить в 2007 году.</w:t>
      </w:r>
    </w:p>
    <w:p w:rsidR="003E3ADF" w:rsidRDefault="003E3ADF">
      <w:pPr>
        <w:ind w:left="709"/>
      </w:pPr>
      <w:r>
        <w:t>За период 2003–2005 годов доля женщин среди лиц, получивших в собственность наделы сельскохозяйственных земель, составила 35 процентов. Мужчины по-прежнему преобладают среди владельцев сельскохозяйственных земель, однако в процентном отношении доля женщин, которые приобретают сельскохозяйственное имущество, по сравнению с предыдущими периодами увеличилась. Женщины составляют примерно 25 процентов от общей численности работников сельскохозяйственного сектора. С учетом новых программ, осуществляемых в данном секторе, доля женщин намного выше. Например, женщины составляют около двух третей участников экологической программы "Иппа тунет" (</w:t>
      </w:r>
      <w:r>
        <w:rPr>
          <w:i/>
          <w:iCs/>
          <w:lang w:val="en-US"/>
        </w:rPr>
        <w:t>Innpa</w:t>
      </w:r>
      <w:r>
        <w:rPr>
          <w:i/>
          <w:iCs/>
        </w:rPr>
        <w:t xml:space="preserve"> </w:t>
      </w:r>
      <w:r>
        <w:rPr>
          <w:i/>
          <w:iCs/>
          <w:lang w:val="en-US"/>
        </w:rPr>
        <w:t>tunet</w:t>
      </w:r>
      <w:r>
        <w:t>). В правлениях сельскохозяйственных кооперативов доля женщин благодаря политике по достижению 40</w:t>
      </w:r>
      <w:r>
        <w:noBreakHyphen/>
        <w:t>процентного представительства увеличилась с 16 до 25 процентов. В 2004 году в рамках подхода по обеспечению гендерного равенства был проведен анализ ценностных аспектов программ в области производства продовольствия и оленеводства. Результаты этой оценки оказались весьма благоприятными, причем в одном из заключительных замечаний отмечалось, что необходимо конкретно договаривать задачу по обеспечению гендерного равенства и расширению возможностей женщин в соответствующих мандатах и регламентах. Министерство сельского хозяйства и продовольствия следит за выполнением рекомендаций, высказанных в ходе данной оценки.</w:t>
      </w:r>
    </w:p>
    <w:p w:rsidR="003E3ADF" w:rsidRDefault="003E3ADF">
      <w:pPr>
        <w:keepNext/>
        <w:ind w:left="709"/>
        <w:rPr>
          <w:b/>
        </w:rPr>
      </w:pPr>
      <w:r>
        <w:rPr>
          <w:b/>
        </w:rPr>
        <w:t>Оленеводство</w:t>
      </w:r>
    </w:p>
    <w:p w:rsidR="003E3ADF" w:rsidRDefault="003E3ADF">
      <w:pPr>
        <w:ind w:left="709"/>
      </w:pPr>
      <w:r>
        <w:t>Министерство сельского хозяйства и продовольствия разработало финансовые механизмы, позволяющие повысить роль женщин и семьи в области оленеводства. Кроме того, Министерство активизировало свои усилия по осуществлению политики гендерного равенства в этом секторе. В контексте этих усилий Министерство в 2004 году создало рабочую группу, которой было поручено выявить и изучить наиболее серьезные препятствия, мешающие участию женщин в деятельности по разведению оленей, и разработать краткосрочные и долгосрочные меры, которые следует принять в данной области. Как указывается в докладе, женщин в данном секторе, как и в других отраслях экономики, нельзя рассматривать как однородную группу. В связи с этим меры должны разрабатываться с учетом различных потребностей целевой группы. Эти меры весьма разнообразны, и в докладе предлагается осуществлять их в самом секторе, в Министерстве и органах управления.</w:t>
      </w:r>
    </w:p>
    <w:p w:rsidR="003E3ADF" w:rsidRDefault="003E3ADF">
      <w:pPr>
        <w:ind w:left="709"/>
      </w:pPr>
      <w:r>
        <w:t>В ближайшей перспективе и на будущее предполагается уделять приоритетное внимание выполнению изложенных в этом докладе рекомендаций. Будут сформулированы положения, позволяющие оказывать влияние на отношение людей, разработаны меры, касающиеся Закона об оленеводстве, и меры, связанные с финансовыми механизмами, предусмотренными в Соглашении об оленеводстве. Закон об оленеводстве в настоящее время пересматривается. В этом контексте, наряду с прочим, уделяется внимание вопросам обеспечения гендерного равенства. В соответствии с Соглашением об оленеводстве на 2005–2006 годы стороны договорились увеличить размер субсидий тем хозяйствам, в которых женщины являются единственными владельцами. Стороны также заявили о том, что на предстоящих переговорах о заключении нового Соглашения об оленеводстве особое внимание будет уделено вопросам обеспечения гендерного равенства.</w:t>
      </w:r>
    </w:p>
    <w:p w:rsidR="003E3ADF" w:rsidRDefault="003E3ADF">
      <w:pPr>
        <w:keepNext/>
        <w:ind w:left="709"/>
        <w:rPr>
          <w:b/>
        </w:rPr>
      </w:pPr>
      <w:r>
        <w:rPr>
          <w:b/>
        </w:rPr>
        <w:t>Рыболовство и аквакультура</w:t>
      </w:r>
    </w:p>
    <w:p w:rsidR="003E3ADF" w:rsidRDefault="003E3ADF">
      <w:pPr>
        <w:ind w:left="709"/>
      </w:pPr>
      <w:r>
        <w:t>Сектор рыболовства и аквакультуры является одной из крупнейших экспортных отраслей Норвегии, и ожидается, что в ближайшие годы данная отрасль будет играть еще большую роль в норвежской экономике. В целом доля женщин, работающих в секторе рыболовства и аквакультуры, весьма незначительна. Женщины составляют лишь 2,2 процента среди лиц, непосредственно занимающихся выловом рыбы, в то время как в секторе аквакультуры их доля приближается к 10 процентам. При этом важно, чтобы в отрасли рыболовства и аквакультуры были предприняты осознанные усилия для увеличения численности женщин, что позволит данной отрасли в полной мере воспользоваться знаниями и опытом, которыми обладают женщины. Необходимо понять, что именно заставляет все большее число женщин искать работу в секторе рыболовства и аквакультуры, а отрасли следует принять целенаправленные меры, чтобы устранить препятствия, мешающие участию женщин.</w:t>
      </w:r>
    </w:p>
    <w:p w:rsidR="003E3ADF" w:rsidRDefault="003E3ADF">
      <w:pPr>
        <w:ind w:left="709"/>
      </w:pPr>
      <w:r>
        <w:t>Летом 2005 года была сформирована рабочая группа, в состав которой вошли представители Министерства рыболовства и по делам прибрежных районов, Министерства по вопросам детей и равноправия, а также действующих в данной отрасли организаций, которой было поручено разработать план действий для увеличения представительства женщин в морском секторе. План действий будет охватывать все аспекты, связанные с рыболовством и аквакультурой и включать предложения об увеличении доли женщин среди работников данной отрасли в целом, среди членов правительственных ведомств, советов и комитетов, а также в правлениях рыболовецких кооперативов.</w:t>
      </w:r>
    </w:p>
    <w:p w:rsidR="003E3ADF" w:rsidRDefault="003E3ADF">
      <w:pPr>
        <w:keepNext/>
        <w:ind w:left="709"/>
        <w:rPr>
          <w:b/>
        </w:rPr>
      </w:pPr>
      <w:r>
        <w:rPr>
          <w:b/>
        </w:rPr>
        <w:t>Нефтяная промышленность и энергетика</w:t>
      </w:r>
    </w:p>
    <w:p w:rsidR="003E3ADF" w:rsidRDefault="003E3ADF">
      <w:pPr>
        <w:ind w:left="709"/>
      </w:pPr>
      <w:r>
        <w:t>Министерство нефтяной промышленности и энергетики разработало проект для изучения вопроса о представительстве и роли женщин и мужчин в нефтяной промышленности и энергетике. Работа по его осуществлению началась в конце 2005 года.</w:t>
      </w:r>
    </w:p>
    <w:p w:rsidR="003E3ADF" w:rsidRDefault="003E3ADF">
      <w:pPr>
        <w:keepNext/>
        <w:tabs>
          <w:tab w:val="clear" w:pos="1361"/>
          <w:tab w:val="right" w:pos="567"/>
          <w:tab w:val="left" w:pos="680"/>
          <w:tab w:val="left" w:pos="1247"/>
        </w:tabs>
        <w:ind w:left="709" w:hanging="709"/>
        <w:rPr>
          <w:b/>
        </w:rPr>
      </w:pPr>
      <w:r w:rsidRPr="007E58C1">
        <w:rPr>
          <w:b/>
        </w:rPr>
        <w:tab/>
      </w:r>
      <w:r>
        <w:rPr>
          <w:b/>
        </w:rPr>
        <w:t>2.9</w:t>
      </w:r>
      <w:r>
        <w:rPr>
          <w:b/>
        </w:rPr>
        <w:tab/>
        <w:t>Статья 15.  Гендерное равенство в рамках правовой системы</w:t>
      </w:r>
    </w:p>
    <w:p w:rsidR="003E3ADF" w:rsidRDefault="003E3ADF">
      <w:pPr>
        <w:ind w:left="709"/>
      </w:pPr>
      <w:r>
        <w:t>Соответствующая информация содержится в предыдущих докладах Норвегии.</w:t>
      </w:r>
    </w:p>
    <w:p w:rsidR="003E3ADF" w:rsidRDefault="003E3ADF">
      <w:pPr>
        <w:keepNext/>
        <w:tabs>
          <w:tab w:val="clear" w:pos="1361"/>
          <w:tab w:val="right" w:pos="567"/>
          <w:tab w:val="left" w:pos="680"/>
          <w:tab w:val="left" w:pos="1247"/>
        </w:tabs>
        <w:ind w:left="709" w:hanging="709"/>
        <w:rPr>
          <w:b/>
        </w:rPr>
      </w:pPr>
      <w:r>
        <w:rPr>
          <w:b/>
          <w:lang/>
        </w:rPr>
        <w:tab/>
      </w:r>
      <w:r>
        <w:rPr>
          <w:b/>
        </w:rPr>
        <w:t>2.10</w:t>
      </w:r>
      <w:r>
        <w:rPr>
          <w:b/>
        </w:rPr>
        <w:tab/>
        <w:t>Статья 16.  Ликвидация дискриминации в отношении женщин во всех вопросах, касающихся брака и семейной жизни</w:t>
      </w:r>
    </w:p>
    <w:p w:rsidR="003E3ADF" w:rsidRDefault="003E3ADF">
      <w:pPr>
        <w:keepNext/>
        <w:tabs>
          <w:tab w:val="clear" w:pos="1361"/>
          <w:tab w:val="right" w:pos="567"/>
          <w:tab w:val="left" w:pos="680"/>
          <w:tab w:val="left" w:pos="1247"/>
        </w:tabs>
        <w:ind w:left="709" w:hanging="709"/>
      </w:pPr>
      <w:r w:rsidRPr="007E58C1">
        <w:tab/>
      </w:r>
      <w:r>
        <w:t>2.10.1</w:t>
      </w:r>
      <w:r>
        <w:tab/>
        <w:t>Статья 16</w:t>
      </w:r>
      <w:r>
        <w:rPr>
          <w:lang w:val="en-US"/>
        </w:rPr>
        <w:t>b</w:t>
      </w:r>
    </w:p>
    <w:p w:rsidR="003E3ADF" w:rsidRDefault="003E3ADF">
      <w:pPr>
        <w:ind w:left="709"/>
      </w:pPr>
      <w:r>
        <w:t>Норвегия разработала целый комплекс мер по борьбе с принудительными браками. В 1998 году правительство обнародовало трехлетний План действий по борьбе с принудительными браками, который предусматривал проведение 40 мероприятий, охватывающих самые различные области, такие как информация, диалог и сотрудничество, кризисные ситуации, профессиональная подготовка и развитие людских ресурсов, внесение поправок в законы и нормативные акты, исследования и работа с документами. В 2002 году правительство представило план 30 новых мероприятий по борьбе с принудительными браками. На этот раз они были сфокусированы на вопросах, касающихся оказания молодым людям помощи в кризисных ситуациях, просветительской работы, повышения уровня компетентности и совершенствования нормативных положений. К середине 2004 года был достигнут существенный прогресс. Тема принудительных браков широко обсуждается в обществе, уровень компетентности руководства и служб поддержки значительно повысился, и теперь оказавшиеся в сложной ситуации молодые люди могут получить действенную помощь. Ряд весьма авторитетных НПО сыграли самую активную роль в этих усилиях.</w:t>
      </w:r>
    </w:p>
    <w:p w:rsidR="003E3ADF" w:rsidRDefault="003E3ADF">
      <w:pPr>
        <w:keepNext/>
        <w:ind w:left="709"/>
        <w:rPr>
          <w:i/>
        </w:rPr>
      </w:pPr>
      <w:r>
        <w:rPr>
          <w:i/>
        </w:rPr>
        <w:t>Законодательные поправки</w:t>
      </w:r>
    </w:p>
    <w:p w:rsidR="003E3ADF" w:rsidRDefault="003E3ADF">
      <w:pPr>
        <w:ind w:left="709"/>
      </w:pPr>
      <w:r>
        <w:t xml:space="preserve">Для борьбы с принудительными браками потребовалось принять несколько законодательных поправок. В 2003 году в раздел 222 Уголовного кодекса был добавлен второй пункт, предусматривающий запрет на принуждение любого лица к вступлению в брак. Виновные в принуждении к вступлению в брак караются лишением свободы на срок до 6 лет, и такое же наказание выносится всем соучастникам. Необходимо отметить, что принуждение к вступлению в брак по норвежскому законодательству считалось уголовно-наказуемым деянием и до принятия второго пункта раздела 222 Уголовного кодекса, которое рассматривалось как обычное принуждение в соответствии с </w:t>
      </w:r>
      <w:r>
        <w:rPr>
          <w:i/>
        </w:rPr>
        <w:t>первым пунктом</w:t>
      </w:r>
      <w:r>
        <w:t xml:space="preserve"> раздела 222.</w:t>
      </w:r>
    </w:p>
    <w:p w:rsidR="003E3ADF" w:rsidRDefault="003E3ADF">
      <w:pPr>
        <w:ind w:left="709"/>
      </w:pPr>
      <w:r>
        <w:t>Правила, касающиеся преследования виновных в принуждении посредством угрозы, фигурирующие в разделах 222 и 227 Уголовного кодекса, также были изменены, в результате чего виновные без каких бы то ни было условий подлежат привлечению к уголовной ответственности. В 2005 году по обвинению в нарушении пункта 2 раздела 222 были осуждены отец и брат потерпевшей, которые принудили свою дочь/сестру вступить в брак вопреки ее желанию. Апелляционный суд вынес отцу наказание в виде лишения свободы на срок в 1 год и 9 месяцев, а брату – на срок в 1 год и 5 месяцев. Это решение было обжаловано в Верховный суд, который ужесточил наказание, увеличив сроки тюремного заключения до 2 лет и 6 месяцев отцу и до 2 лет брату. В раздел 220 Уголовного кодекса также была внесена поправка, в соответствии с которой вступление в брак с лицом, не достигшим 16-летнего возраста, было признано наказуемым правонарушением. За нарушение раздела 220 Уголовного кодекса выносится наказание в виде лишения свободы на срок до 4 лет. Согласно разделу 1 Закона о браке № 47 от 1 июля 1991 года, одним из условий, необходимых для заключения брака, является факт достижения соответствующим лицом 18-летнего возраста. Тем не менее губернатор области в исключительных обстоятельствах может разрешить брак с лицом, не достигшим установленного законом возраста.</w:t>
      </w:r>
    </w:p>
    <w:p w:rsidR="003E3ADF" w:rsidRDefault="003E3ADF">
      <w:pPr>
        <w:ind w:left="709"/>
      </w:pPr>
      <w:r>
        <w:t>Новое положение, включенное в статью 30 Закона о детях, четко оговаривает, что родители или иные лица не имеют права заключать юридически обязательный брачный договор от имени ребенка. Поправки были также внесены в Закон о браке. С 1 марта 2004 года губернатор области имеет право возбудить разбирательство для выяснения того, следует ли считать тот или иной брак действительным или нет. Это положение, в частности, может быть использовано для возбуждения разбирательства, когда есть все основания полагать, что брак был заключен под принуждением. Право на возбуждение разбирательства призвано оказать помощь одному или обоим супругам, которым по тем или иным причинам сложно инициировать такое разбирательство самостоятельно. Ответственность за проверку соблюдения требований, предъявляемых к процедуре заключения брака, была возложена на государственный орган под названием Национальная служба регистрации населения для обеспечения как можно более тщательного и продуманного рассмотрения подобных дел.</w:t>
      </w:r>
    </w:p>
    <w:p w:rsidR="003E3ADF" w:rsidRDefault="003E3ADF">
      <w:pPr>
        <w:ind w:left="709"/>
      </w:pPr>
      <w:r>
        <w:t>Если Национальная служба регистрации населения отказывается выдать свидетельство, подтверждающее действительность брака, такой брак считается недействительным. Новое положение, включенное в раздел 1</w:t>
      </w:r>
      <w:r>
        <w:rPr>
          <w:lang w:val="en-US"/>
        </w:rPr>
        <w:t>a</w:t>
      </w:r>
      <w:r>
        <w:t>) Закона о браке предусматривает, что одним из условий вступления в брак является добровольное согласие. Внесенная поправка должна помочь прояснить ситуацию, сложившуюся в законодательстве в связи с Законом о браке и обязательствами, принятыми Норвегией согласно статье 16 Конвенции Организации Объединенных Наций о ликвидации всех форм дискриминации в отношении женщин. Кроме того, это условие четко оговаривается в новом положении, включенном в раздел 7 Закона о браке, которое, в частности ,предусматривает, что лица, вступающие в брак, должны заявить о том, что брак был заключен в результате их свободного волеизъявления. Поправка к Закону об иммиграции от 6 января 2006 года предусматривает возможность отказа в виде на жительство, если соответствующее лицо, дающее рекомендацию, выразит несогласие с тем, чтобы заявителю был предоставлен вид на жительство, или если существует вероятность, что брак был заключен против воли одной из сторон. Цель данной поправки состоит в том, чтобы брак, заключенный вопреки воле одной из сторон, не мог служить основанием для получения вида на жительство. По той же причине в качестве главного правила было предусмотрено, что лицо, которое заключило брак за границей с лицом, постоянно проживающим в Норвегии, не может получить разрешение на работу или вид на жительство до тех пор, пока его супруг или супруга не вернется в Норвегию и не пройдет собеседование с иммиграционными властями. Это положение прежде всего направлено на то, чтобы помешать принуждению того или иного лица к вступлению в брак вопреки его/ее воле во время отдыха за границей или во время поездки за границу с другими целями. Положение о проведении такого собеседования пока еще не вступило в силу.</w:t>
      </w:r>
    </w:p>
    <w:p w:rsidR="003E3ADF" w:rsidRDefault="003E3ADF">
      <w:pPr>
        <w:ind w:left="709"/>
      </w:pPr>
      <w:r>
        <w:t>В ноябре 2003 года Положения об иммиграции, касающиеся требования о вспомоществовании предъявляемого в рамках воссоединения семьи с супругом или партнером, были изменены. С 1 мая 2005 года сумма вспомоществования в тех случаях, когда возраст одной из сторон не достигает 23 лет, равняется 178,1 тыс. норвежских крон. Требование о вспомоществовании должно выполняться лицом, проживающим в Норвегии. Кроме того, в таких случаях третья сторона уже не сможет гарантировать выполнение требования о вспомоществовании. Эти поправки не распространяются на членов семьи, воссоединяющихся с лицами, которым было предоставлено убежище, или на переселяющихся беженцев – вынужденных переселенцев, которые поучили разрешение на работу или вид на жительство на основании пункта 4 раздела 22 Закона об иммиграции, при условии что стороны уже состояли в браке до того, как глава семьи прибыл в страну. Данные поправки также не касаются порядка воссоединения членов семьи с лицами, на которых распространяется действие режима коллективной защиты (см. пункт 5 раздела 25). Между тем возможность получить разрешение, отменяющее требование о вспомоществовании в связи с особо серьезными гуманитарными причинами (см. пункт 3 раздела 25), по-прежнему сохраняется.</w:t>
      </w:r>
    </w:p>
    <w:p w:rsidR="003E3ADF" w:rsidRDefault="003E3ADF">
      <w:pPr>
        <w:ind w:left="709"/>
        <w:rPr>
          <w:i/>
        </w:rPr>
      </w:pPr>
      <w:r>
        <w:rPr>
          <w:i/>
        </w:rPr>
        <w:t>Бесплатная юридическая помощь</w:t>
      </w:r>
    </w:p>
    <w:p w:rsidR="003E3ADF" w:rsidRDefault="003E3ADF">
      <w:pPr>
        <w:ind w:left="709"/>
      </w:pPr>
      <w:r>
        <w:t xml:space="preserve">Жертвы принудительных браков имеют право получить правовую помощь на основании соглашения </w:t>
      </w:r>
      <w:r>
        <w:rPr>
          <w:i/>
          <w:iCs/>
          <w:lang w:val="en-US"/>
        </w:rPr>
        <w:t>bistandsadvokat</w:t>
      </w:r>
      <w:r>
        <w:t>, в рамках которого пострадавшему лицу предоставляются услуги адвоката либо на основании Закона о бесплатной правовой помощи. В соответствии с разделом 107</w:t>
      </w:r>
      <w:r>
        <w:rPr>
          <w:lang w:val="en-US"/>
        </w:rPr>
        <w:t>a</w:t>
      </w:r>
      <w:r>
        <w:t>) о Уголовно-процессуальном кодексе жертва принудительного брака имеет право пользоваться услугами адвоката для защиты своих интересов с того момента, когда о факте заключения такого брака будет сообщено в полицию. Если заявления о таком факте не поступает, то согласно Уголовно-процессуальному кодексу соответствующее лицо не вправе рассчитывать на услуги адвоката для защиты своих интересов. Таким образом система предоставления адвоката для защиты интересов пострадавшего лица дополняется системой бесплатной правовой помощи. Порой человеку сложно сообщать о фактах нарушения положений Уголовного кодекса, касающихся принудительных браков, в частности, когда нарушителями являются родители или другие близкие родственники. Человек может также испытывать особую потребность в практической и юридической помощи, для того чтобы избежать брака по принуждению. В соответствии с пунктом 2 раздела 6 Закона о бесплатной правовой помощи для этих целей была образована специальная служба по оказанию юридической помощи, в которую могут обращаться лица, ставшие жертвами принудительных браков. Лицо, вступившее в брак по принуждению, имеет право воспользоваться бесплатной юридической помощью, не подвергаясь при этом так называемой проверке нуждаемости и не будучи обязанным оплачивать часть связанных с этим расходов.</w:t>
      </w:r>
    </w:p>
    <w:p w:rsidR="003E3ADF" w:rsidRDefault="003E3ADF">
      <w:pPr>
        <w:ind w:left="709"/>
      </w:pPr>
      <w:r>
        <w:t xml:space="preserve">В рамках осуществления плана действий под названием </w:t>
      </w:r>
      <w:r>
        <w:rPr>
          <w:i/>
          <w:iCs/>
        </w:rPr>
        <w:t>Активизация усилий по борьбе с принудительными браками</w:t>
      </w:r>
      <w:r>
        <w:t xml:space="preserve"> и в развитие представленной стортингу Рекомендации № 103 (2002–2003 годы) о внесении поправок в Закон № 47 от 4 июля 1991 года, касающийся вопросов брачных отношений (Закон о браке), и после проведения соответствующих консультаций 30 июня в стортинг были внесены предложения о внесении изменений в Закон о браке и Уголовно-процессуальный кодекс [Рекомендация одельстингу № 100 (2005–2006 годы) о внесении изменений в Закон о браке и Уголовно-процессуальный кодекс (меры по предупреждению принудительных браков и т. п.)].</w:t>
      </w:r>
    </w:p>
    <w:p w:rsidR="003E3ADF" w:rsidRDefault="003E3ADF">
      <w:pPr>
        <w:ind w:left="709"/>
      </w:pPr>
      <w:r>
        <w:t>Согласно норвежскому законодательству обе стороны, вступающие в брак, должны достичь, по меньшей мере, возраста 18 лет, и присутствовать на церемонии заключения брака. В Рекомендации одельстингу предлагается предусмотреть, чтобы любой брак, заключенный за границей до того, как обоим лицам или одному из вступающих в брак, исполнилось 18 лет, либо в отсутствие одной из сторон, считался в Норвегии недействительным, если хотя бы одно лицо имеет гражданство Норвегии или постоянно проживает в этой стране. Цель такой меры состоит в том, чтобы предотвратить браки с детьми, снизить риск принудительных браков и не допустить нарушения действующих правил. Предлагается также, чтобы возраст 16 лет являлся абсолютным возрастным минимумом, при котором губернатор округа вправе своим решением отменить требование о достижении 18-летнего возраста, предусмотренного в Законе о браке. Для того чтобы сгладить довольно серьезные последствия признания того или иного брака недействительным, предлагается не исключать возможности последующего признания брака действительным при наличии серьезных оснований, таких как независящие от сторон обстоятельства и соображения гуманитарного характера.</w:t>
      </w:r>
    </w:p>
    <w:p w:rsidR="003E3ADF" w:rsidRDefault="003E3ADF">
      <w:pPr>
        <w:ind w:left="709"/>
      </w:pPr>
      <w:r>
        <w:t>Лицо, пострадавшее от принудительного брака, имеет право на признание его недействительным по решению суда. Вместе с тем для некоторых людей расторжение брака путем развода выглядит более предпочтительным вариантом. В связи с этим предлагается, чтобы одна из сторон (или обе стороны), которые стали жертвами принудительного брака, имели возможность сразу получить развод, если они того пожелают. Благодаря этому такая сторона или стороны смогут избежать длительного периода раздельного ходатайства перед расторжением брака. Предлагается также внести изменения в Уголовно-процессуальный кодекс для того, чтобы расширить возможности рассмотрения гражданских исков в уголовных делах.</w:t>
      </w:r>
    </w:p>
    <w:p w:rsidR="003E3ADF" w:rsidRDefault="003E3ADF">
      <w:pPr>
        <w:ind w:left="709"/>
      </w:pPr>
      <w:r>
        <w:t>Согласно действующему в Норвегии нестатутному частному международному праву, брак, заключенный за границей, может быть признан действительным при условии, что он в законном порядке был зарегистрирован в стране, где он был заключен. Для обеспечения более согласованных и более понятных законодательных процедур предлагается, чтобы это главное правило, предусмотренное норвежской правовой системой, также было включено в Закон о браке.</w:t>
      </w:r>
    </w:p>
    <w:p w:rsidR="003E3ADF" w:rsidRDefault="003E3ADF">
      <w:pPr>
        <w:keepNext/>
        <w:ind w:left="709"/>
        <w:rPr>
          <w:i/>
        </w:rPr>
      </w:pPr>
      <w:r>
        <w:rPr>
          <w:i/>
        </w:rPr>
        <w:t>Соглашение с Пакистаном</w:t>
      </w:r>
    </w:p>
    <w:p w:rsidR="003E3ADF" w:rsidRDefault="003E3ADF">
      <w:pPr>
        <w:ind w:left="709"/>
      </w:pPr>
      <w:r>
        <w:t>Одна из трудностей, возникающих в процессе рассмотрения дел, связанных с принудительными браками, состоит в том, что этот процесс зачастую затрагивает другие страны. При рассмотрении таких случаев норвежские власти часто нуждаются в сотрудничестве и помощи со стороны властей других государств. Одна из задач заключается в том, чтобы наладить контакты с соответствующими органами в тех странах, где могут заключаться принудительные браки, для того чтобы иметь возможность оперативно и эффективно рассматривать конкретные случаи. С 1 мая 2006 года вступило в силу двустороннее соглашение между Норвегией и Пакистаном. Согласно соглашению планируется учредить консультативный комитет, в состав которого войдут официальные представители Норвегии и Пакистана. Наряду с прочим, Комитет ставит задачу содействовать обеспечению того, чтобы мужчины и женщины могли вступать в брак только с их свободного и полного согласия. Министерство намерено внимательно следить за осуществлением указанного соглашения и с этой целью организовывать регулярные совещания.</w:t>
      </w:r>
    </w:p>
    <w:p w:rsidR="003E3ADF" w:rsidRDefault="003E3ADF">
      <w:pPr>
        <w:keepNext/>
        <w:ind w:left="709"/>
        <w:rPr>
          <w:i/>
        </w:rPr>
      </w:pPr>
      <w:r>
        <w:rPr>
          <w:i/>
        </w:rPr>
        <w:t>Исследования/обследования и регистрация</w:t>
      </w:r>
    </w:p>
    <w:p w:rsidR="003E3ADF" w:rsidRDefault="003E3ADF">
      <w:pPr>
        <w:ind w:left="709"/>
      </w:pPr>
      <w:r>
        <w:t>Действующий при Университете Осло Центр по изучению проблем женщин и гендерным исследованиям по просьбе властей приступил к обзору дел, связанных с принуждением к вступлению в брак и находящихся на рассмотрении службы поддержки. Результаты данного обследования, которые должны быть подготовлены к 31 декабря 2006 года, в дальнейшем будут использованы для разработки эффективных профилактических мер в данной области.</w:t>
      </w:r>
    </w:p>
    <w:p w:rsidR="003E3ADF" w:rsidRDefault="003E3ADF">
      <w:pPr>
        <w:ind w:left="709"/>
      </w:pPr>
      <w:r>
        <w:t>Браки между двоюродными братьями и сестрами, связанные в иммигрантских общинах с принудительными браками, представляют немалую опасность для здоровья лиц, вступающих в брак. Министерство здравоохранения и медицинского обслуживания, Министерство труда и социальной интеграции, а также Министерство по делам детей и вопросам равноправия предложили Норвежскому институту общественного здоровья изучить случаи заключения браков между двоюродными братьями и сестрами и представить доклад о последствиях таких браков на состояние здоровья вступающих в брак лиц. Первоначальные результаты данного исследования будут обнародованы к 1 декабря 2006 года. После публикации полученных данных Министерство в сотрудничестве с другими министерствами рассмотрит вопрос о том, какие меры, если они необходимы, следует принять в данной области.</w:t>
      </w:r>
    </w:p>
    <w:p w:rsidR="003E3ADF" w:rsidRDefault="003E3ADF">
      <w:pPr>
        <w:keepNext/>
        <w:ind w:left="709"/>
        <w:rPr>
          <w:i/>
        </w:rPr>
      </w:pPr>
      <w:r>
        <w:rPr>
          <w:i/>
        </w:rPr>
        <w:t>Другие меры</w:t>
      </w:r>
    </w:p>
    <w:p w:rsidR="003E3ADF" w:rsidRDefault="003E3ADF">
      <w:pPr>
        <w:ind w:left="709"/>
      </w:pPr>
      <w:r>
        <w:t>Осенью 2004 года для борьбы с практикой принудительных браков была создана группа экспертов. В ее состав входят эксперты из норвежского Красного Креста, органов полиции, Иммиграционного управления и норвежского Управления по делам детей, молодежи и семьи. Помимо ее постоянных членов в состав группы по мере необходимости привлекаются и другие частные и должностные лица. Эксперты оказывают помощь в конкретных случаях и дают инструкции и общие рекомендации службам, работающим непосредственно с населением.</w:t>
      </w:r>
    </w:p>
    <w:p w:rsidR="003E3ADF" w:rsidRDefault="003E3ADF">
      <w:pPr>
        <w:ind w:left="709"/>
      </w:pPr>
      <w:r>
        <w:t>Кроме того, были проведены соответствующие информационные мероприятия и организованы службы по оказанию помощи. Горячая линия, открытая для жертв принудительных браков, охватывает всю территорию страны и находится в ведении расположенного в Осло Международного центра Красного Креста. Основное внимание уделяется рассмотрению конкретных случаев, и поступающая информация регулярно передается детским социальным учреждениям, центрам по приему просителей убежища, медицинским сестрам, работающим в поликлиниках и школах, органам полиции и другим соответствующим службам. Организация "Самопомощь в интересах иммигрантов и беженцев" также получает поддержку от властей, что позволяет ей на индивидуальной основе оказывать помощь молодым людям, которым может угрожать опасность вступления в брак по принуждению. Указанная организация тесно сотрудничает с государственными службами поддержки, и ее работа во многом способствовала повышению качества предоставляемых услуг в данном секторе. Созданный при содействии Норвежского государственного жилищного банка механизм по предоставлению жилья в экстренных случаях также помог разрядить ситуацию, поскольку он позволяет молодым людям быстро переехать в безопасное жилье, если в этом возникает необходимость. Еще одним приоритетным направлением является обучение государственных служащих, работающих в службах поддержки крупных городов, методам работы и рассмотрения дел, связанных с принудительными браками. Правительство также выделяет средства на проведение исследований, касающихся распространенности принудительных браков в Норвегии.</w:t>
      </w:r>
    </w:p>
    <w:p w:rsidR="003E3ADF" w:rsidRDefault="003E3ADF">
      <w:pPr>
        <w:ind w:left="709"/>
      </w:pPr>
      <w:r>
        <w:t>Несмотря на целый ряд принятых мер, сделать предстоит еще немало. Самая серьезная задача состоит в том, чтобы изменить отношение старшего поколения. Кроме того, крайне важно продолжать в отношении существующих правил информировать недавно прибывших в страну иммигрантов об имеющихся у них правах.</w:t>
      </w:r>
    </w:p>
    <w:p w:rsidR="003E3ADF" w:rsidRDefault="003E3ADF">
      <w:pPr>
        <w:tabs>
          <w:tab w:val="clear" w:pos="1361"/>
          <w:tab w:val="right" w:pos="567"/>
          <w:tab w:val="left" w:pos="680"/>
          <w:tab w:val="left" w:pos="1247"/>
        </w:tabs>
        <w:ind w:left="709" w:hanging="709"/>
      </w:pPr>
      <w:r>
        <w:tab/>
        <w:t>2.10.2</w:t>
      </w:r>
      <w:r>
        <w:tab/>
        <w:t xml:space="preserve">Статьи 16 </w:t>
      </w:r>
      <w:r>
        <w:rPr>
          <w:lang w:val="en-US"/>
        </w:rPr>
        <w:t>d</w:t>
      </w:r>
      <w:r>
        <w:t xml:space="preserve"> и </w:t>
      </w:r>
      <w:r>
        <w:rPr>
          <w:lang w:val="en-US"/>
        </w:rPr>
        <w:t>f</w:t>
      </w:r>
    </w:p>
    <w:p w:rsidR="003E3ADF" w:rsidRDefault="003E3ADF">
      <w:pPr>
        <w:ind w:left="709"/>
        <w:rPr>
          <w:i/>
        </w:rPr>
      </w:pPr>
      <w:r>
        <w:rPr>
          <w:i/>
        </w:rPr>
        <w:t>Отцовство</w:t>
      </w:r>
    </w:p>
    <w:p w:rsidR="003E3ADF" w:rsidRDefault="003E3ADF">
      <w:pPr>
        <w:ind w:left="709"/>
      </w:pPr>
      <w:r>
        <w:t>С 1 апреля 2003 года был упрощен порядок подачи исков по пересмотру принятых ранее решений, касающихся отцовства. Все заинтересованные стороны могут возбудить дело, с тем чтобы установить, кто на самом деле является биологическим отцом ребенка. Условия и сроки возбуждения дел по пересмотру решений, касающихся отцовства, также были изменены. Кроме того, сейчас можно вновь открывать ранее рассмотренные дела, решение по которым принималось в отсутствие анализа ДНК.</w:t>
      </w:r>
    </w:p>
    <w:p w:rsidR="003E3ADF" w:rsidRDefault="003E3ADF">
      <w:pPr>
        <w:ind w:left="709"/>
      </w:pPr>
      <w:r>
        <w:t>Поправки к правилам, касающимся признания отцовства, вступили в силу 1 января 2006 года. В соответствии с новыми правилами отцу, совместно проживающему с матерью, уже не требуется ее согласия для признания его отцовства в отношении их общих детей. В тех случаях, когда мать считает, что отцом ребенка является не ее сожитель, а другое лицо, государственные власти должны принять активное участие в процессе установления личности действительного отца ребенка.</w:t>
      </w:r>
    </w:p>
    <w:p w:rsidR="003E3ADF" w:rsidRDefault="003E3ADF">
      <w:pPr>
        <w:tabs>
          <w:tab w:val="clear" w:pos="1361"/>
          <w:tab w:val="left" w:pos="1247"/>
        </w:tabs>
        <w:ind w:left="1247" w:hanging="538"/>
        <w:rPr>
          <w:i/>
        </w:rPr>
      </w:pPr>
      <w:r>
        <w:rPr>
          <w:i/>
        </w:rPr>
        <w:t>Выплаты на содержание ребенка</w:t>
      </w:r>
    </w:p>
    <w:p w:rsidR="003E3ADF" w:rsidRDefault="003E3ADF">
      <w:pPr>
        <w:ind w:left="709"/>
      </w:pPr>
      <w:r>
        <w:t>В шестом периодическом докладе Норвегии отмечалось, что в июне 2001 года стортинг утвердил новое положение о порядке уплаты алиментов на ребенка, которое, предположительно, должно было вступить в силу осенью 2003 года. Новые правила начали действовать с 1 октября 2003 года.</w:t>
      </w:r>
    </w:p>
    <w:p w:rsidR="003E3ADF" w:rsidRDefault="003E3ADF">
      <w:pPr>
        <w:ind w:left="709"/>
      </w:pPr>
      <w:r>
        <w:t>Реформа имеет широкую направленность и затрагивает интересы свыше 400 тыс. детей, матерей и отцов. В процессе дискуссии власти обещали, что ход реформы будет непрерывно анализироваться, и в настоящее время министерство занимается подготовкой доклада, обобщающего накопленный опыт, который будет завершен и представлен стортингу в 2006 году. Согласно новым положениям оба родителя наделяются равными правами. Вопрос об алиментах на ребенка, в основном, регулируется положениями частного права. Однако в 90 процентах случаев размер выплат на содержание ребенка был установлен государственными органами до начала реформы. Одна из целей новых положений состояла в том, чтобы побудить как можно больше родителей заключить частные соглашения о выплате алиментов на содержание ребенка. До настоящего времени эти усилия были весьма успешными, и власти продолжают работать в этом направлении, пытаясь убедить еще больше людей в целесообразности заключения таких соглашений.</w:t>
      </w:r>
    </w:p>
    <w:p w:rsidR="003E3ADF" w:rsidRDefault="003E3ADF">
      <w:pPr>
        <w:ind w:left="709"/>
      </w:pPr>
      <w:r>
        <w:t>В соответствии с новыми правилами размер выплат на содержания ребенка должен быть уменьшен согласно условиям письменного соглашения о порядке посещения ребенка. Оказалось, однако, что на практике сделать это весьма сложно. В результате принятия новых правил в отношении содержания ребенка возник ряд проблем, касающихся посещения детей, причем это относится как к тем, кто получает алименты, так и к тем, кто их выплачивает. Планируется провести оценку для того, чтобы выяснить насколько удалось добиться той цели, которой были призваны служить реформы.</w:t>
      </w:r>
    </w:p>
    <w:p w:rsidR="003E3ADF" w:rsidRDefault="003E3ADF">
      <w:pPr>
        <w:keepNext/>
        <w:ind w:left="709"/>
        <w:rPr>
          <w:i/>
        </w:rPr>
      </w:pPr>
      <w:r>
        <w:rPr>
          <w:i/>
        </w:rPr>
        <w:t>Новые процедурные правила</w:t>
      </w:r>
    </w:p>
    <w:p w:rsidR="003E3ADF" w:rsidRDefault="003E3ADF">
      <w:pPr>
        <w:ind w:left="709"/>
      </w:pPr>
      <w:r>
        <w:t>В июне 2003 года были приняты новые правила, касающиеся порядка рассмотрения в судах дел об определении меры ответственности родителей, постоянного места жительства ребенка и порядка посещения ребенка, которые вступили в силу 1 апреля 2004 года. Наиболее важное изменение в положениях Закона о детях, касающихся опеки над детьми, состоит в том, что в процессе рассмотрения дела и принятия окончательного решения суд должен в первую очередь исходить из наилучших интересов ребенка. Эти законодательные поправки также нацелены на то, чтобы ускорить процесс и сделать его менее конфликтным. Кроме того, согласно закону адвокаты и судьи обязаны учитывать возможность урегулирования спора по согласию сторон и активно этому способствовать. На начальной стадии рассмотрения дела судья может привлечь квалифицированных специалистов по работе с детьми в целях содействия соглашению. В исключительных случаях суд может назначить ребенку адвоката (или какого-либо другого представителя), который будет защищать права ребенка в особо сложных ситуациях. Порядок рассмотрения дел, связанных с опекой над детьми и другими вопросами, был упрощен в том, что касается процедуры возбуждения дела в отсутствие адвоката (упрощенная процедура) и вынесения решения без основного слушания дела. В соответствии с этими поправками минимальный возраст, начиная с которого ребенок может быть заслушан в суде, был снижен с 12 до 7 лет.</w:t>
      </w:r>
    </w:p>
    <w:p w:rsidR="003E3ADF" w:rsidRDefault="003E3ADF">
      <w:pPr>
        <w:ind w:left="709"/>
        <w:rPr>
          <w:i/>
        </w:rPr>
      </w:pPr>
      <w:r>
        <w:rPr>
          <w:i/>
        </w:rPr>
        <w:t>Общая родительская ответственность совместно проживающих родителей в отношении детей</w:t>
      </w:r>
    </w:p>
    <w:p w:rsidR="003E3ADF" w:rsidRDefault="003E3ADF">
      <w:pPr>
        <w:ind w:left="709"/>
      </w:pPr>
      <w:r>
        <w:t>8 июня 2005 года стортинг принял поправки к Закону о детях, касающиеся общей родительской ответственности совместно проживающих родителей в отношении детей. Эти поправки вступили в силу с 1 января 2006 года. Они автоматически налагают на совместно проживающих родителей ответственность в отношении их общих детей. Совместно проживающие родители определяются как родители, которые зарегистрированы по одному и тому же адресу в Национальной службе регистрации населения или которые направили в Национальную службу регистрации населения уведомление о том, что они совместно проживают. Принятые законодательные поправки касаются детей, родившихся после 1 января 2006 года. Совместно проживающие родители, которые имеют детей, родившихся до указанной даты, и которые раньше не решили вопрос об общей родительской ответственности, автоматически не наделяются общей родительской ответственностью согласно данной поправке. Тем не менее в соответствии с новым правилом они могут направить в Национальную службу регистрации населения уведомление о том, что они совместно проживают, и получить общую родительскую ответственность в отношении детей, родившихся до 1 января 2006 года. Родители, не проживающие совместно, могут согласиться принять общую родительскую ответственность и уведомить об этом национальную Службу регистрации населения. Это правило также распространяется на родителей, которые не имели права на общую родительскую ответственность согласно предыдущим положениям.</w:t>
      </w:r>
    </w:p>
    <w:p w:rsidR="003E3ADF" w:rsidRDefault="003E3ADF">
      <w:pPr>
        <w:ind w:left="709"/>
      </w:pPr>
      <w:r>
        <w:t>Родители, которые зарегистрированы по одному и тому же адресу в Национальной службе регистрации населения (в случае, если отцовство определяется автоматически), обладают общей родительской ответственностью в отношении детей, родившихся после 1 января 2006 года. Родители, которые считают себя совместно проживающими лицами, но не зарегистрированы по одному и тому же адресу в Национальной службе регистрации населения (либо не знают точно, зарегистрированы они или нет), могут указать, что они проживают совместно в документе о признании факта отцовства. Они также могут позднее направить уведомление в Национальную службу регистрации населения о том, что они проживают совместно.</w:t>
      </w:r>
    </w:p>
    <w:p w:rsidR="003E3ADF" w:rsidRDefault="003E3ADF">
      <w:pPr>
        <w:ind w:left="709"/>
      </w:pPr>
      <w:r>
        <w:t>Никаких изменений в правилах, касающихся родителей, которые не проживают совместно, не произошло. В случае раздельного проживания родительской ответственностью обладает только мать ребенка. Родители могут договориться о том, чтобы совместно нести родительскую ответственность. Эта договоренность может быть зафиксирована в документе о признании отцовства. Если родители хотят решить вопрос об общей родительской ответственности позднее, они могут направить письменное уведомление на этот счет в Национальную службу населения.</w:t>
      </w:r>
    </w:p>
    <w:p w:rsidR="003E3ADF" w:rsidRDefault="003E3ADF">
      <w:pPr>
        <w:ind w:left="709"/>
      </w:pPr>
      <w:r>
        <w:t>Родители, которые родили детей, когда они проживали отдельно друг от друга, но впоследствии стали жить вместе, не получают общую родительскую ответственность в отношении детей автоматически на основании простого уведомления об изменении адреса. Они должны сообщить в Национальную службу регистрации населения о своем желании получить общую родительскую ответственность либо написать специальное заявление о том, что они проживают совместно. Отец, проживающий вместе с ребенком может иметь самостоятельную родительскую ответственность. В этом случае родители должны сообщить о достигнутой договоренности в Национальную службу регистрации населения.</w:t>
      </w:r>
    </w:p>
    <w:p w:rsidR="003E3ADF" w:rsidRDefault="003E3ADF">
      <w:pPr>
        <w:keepNext/>
        <w:ind w:left="709"/>
        <w:rPr>
          <w:i/>
        </w:rPr>
      </w:pPr>
      <w:r>
        <w:rPr>
          <w:i/>
        </w:rPr>
        <w:t>Порядок, действующий в отношении лесбиянок и гомосексуалистов</w:t>
      </w:r>
    </w:p>
    <w:p w:rsidR="003E3ADF" w:rsidRDefault="003E3ADF">
      <w:pPr>
        <w:ind w:left="709"/>
      </w:pPr>
      <w:r>
        <w:t>Правительство намеревается укрепить права лесбиянок и гомосексуалистов, помочь им жить открыто и активно бороться с дискриминацией.</w:t>
      </w:r>
    </w:p>
    <w:p w:rsidR="003E3ADF" w:rsidRDefault="003E3ADF">
      <w:pPr>
        <w:ind w:left="709"/>
      </w:pPr>
      <w:r>
        <w:t>Министерство по делам детей и вопросам равноправия приступило к работе над общим Законом о браке, который будет распространяться на лиц как традиционной, так и нетрадиционной ориентации. Вместе с тем члены правительства пока не пришли к единому мнению по данному вопросу, а Партия центр заняла в этой связи самостоятельную позицию.</w:t>
      </w:r>
    </w:p>
    <w:p w:rsidR="003E3ADF" w:rsidRDefault="003E3ADF">
      <w:pPr>
        <w:ind w:left="709"/>
      </w:pPr>
      <w:r>
        <w:t>Норвежская национальная ассоциация лесбиянок и гомосексуалистов (ЛЛХ) получает крупные субсидии, которые, наряду с прочим, используются в целях повышения потенциала организации, обеспечения поддержки местных ассоциаций и выполнения поставленных ассоциацией задач по защите интересов своих членов. В целях содействия реализации различных мероприятий, направленных на защиту прав лесбиянок и гомосексуалистов, были выделены средства на осуществления целого комплекса программ и проектов. Кроме того, предоставляются субсидии на издание журнала "</w:t>
      </w:r>
      <w:r>
        <w:rPr>
          <w:lang w:val="en-US"/>
        </w:rPr>
        <w:t>Blikk</w:t>
      </w:r>
      <w:r>
        <w:t>", единственной публикации для проживающих в стране лесбиянок и гомосексуалистов.</w:t>
      </w:r>
    </w:p>
    <w:p w:rsidR="003E3ADF" w:rsidRDefault="003E3ADF">
      <w:pPr>
        <w:pBdr>
          <w:bottom w:val="single" w:sz="6" w:space="1" w:color="auto"/>
        </w:pBdr>
        <w:tabs>
          <w:tab w:val="left" w:pos="-720"/>
        </w:tabs>
        <w:suppressAutoHyphens/>
        <w:spacing w:before="360"/>
        <w:ind w:left="4139" w:right="4139"/>
      </w:pPr>
    </w:p>
    <w:sectPr w:rsidR="003E3ADF">
      <w:footerReference w:type="even" r:id="rId19"/>
      <w:footerReference w:type="default" r:id="rId20"/>
      <w:endnotePr>
        <w:numFmt w:val="decimal"/>
      </w:endnotePr>
      <w:pgSz w:w="12242" w:h="15842" w:code="1"/>
      <w:pgMar w:top="1814" w:right="1191" w:bottom="1928" w:left="1191" w:header="1247" w:footer="1247"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6-26T11:42:00Z" w:initials="Start">
    <w:p w:rsidR="00551BCE" w:rsidRPr="00551BCE" w:rsidRDefault="00551BCE">
      <w:pPr>
        <w:pStyle w:val="CommentText"/>
        <w:rPr>
          <w:lang w:val="en-US"/>
        </w:rPr>
      </w:pPr>
      <w:r>
        <w:fldChar w:fldCharType="begin"/>
      </w:r>
      <w:r w:rsidRPr="00551BCE">
        <w:rPr>
          <w:rStyle w:val="CommentReference"/>
          <w:lang w:val="en-US"/>
        </w:rPr>
        <w:instrText xml:space="preserve"> </w:instrText>
      </w:r>
      <w:r w:rsidRPr="00551BCE">
        <w:rPr>
          <w:lang w:val="en-US"/>
        </w:rPr>
        <w:instrText>PAGE \# "'Page: '#'</w:instrText>
      </w:r>
      <w:r w:rsidRPr="00551BCE">
        <w:rPr>
          <w:lang w:val="en-US"/>
        </w:rPr>
        <w:br/>
        <w:instrText>'"</w:instrText>
      </w:r>
      <w:r w:rsidRPr="00551BCE">
        <w:rPr>
          <w:rStyle w:val="CommentReference"/>
          <w:lang w:val="en-US"/>
        </w:rPr>
        <w:instrText xml:space="preserve"> </w:instrText>
      </w:r>
      <w:r>
        <w:fldChar w:fldCharType="end"/>
      </w:r>
      <w:r>
        <w:rPr>
          <w:rStyle w:val="CommentReference"/>
        </w:rPr>
        <w:annotationRef/>
      </w:r>
      <w:r w:rsidRPr="00551BCE">
        <w:rPr>
          <w:lang w:val="en-US"/>
        </w:rPr>
        <w:t>&lt;&lt;ODS JOB NO&gt;&gt;N0728618R&lt;&lt;ODS JOB NO&gt;&gt;</w:t>
      </w:r>
    </w:p>
    <w:p w:rsidR="00551BCE" w:rsidRPr="00551BCE" w:rsidRDefault="00551BCE">
      <w:pPr>
        <w:pStyle w:val="CommentText"/>
        <w:rPr>
          <w:lang w:val="en-US"/>
        </w:rPr>
      </w:pPr>
      <w:r w:rsidRPr="00551BCE">
        <w:rPr>
          <w:lang w:val="en-US"/>
        </w:rPr>
        <w:t>&lt;&lt;ODS DOC SYMBOL1&gt;&gt;CEDAW/C/NOR/7&lt;&lt;ODS DOC SYMBOL1&gt;&gt;</w:t>
      </w:r>
    </w:p>
    <w:p w:rsidR="00551BCE" w:rsidRPr="00551BCE" w:rsidRDefault="00551BCE">
      <w:pPr>
        <w:pStyle w:val="CommentText"/>
        <w:rPr>
          <w:lang w:val="en-US"/>
        </w:rPr>
      </w:pPr>
      <w:r w:rsidRPr="00551BC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14E" w:rsidRDefault="0021014E">
      <w:r>
        <w:separator/>
      </w:r>
    </w:p>
  </w:endnote>
  <w:endnote w:type="continuationSeparator" w:id="0">
    <w:p w:rsidR="0021014E" w:rsidRDefault="00210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TimesNewRomanPSMT+1">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ADF" w:rsidRDefault="003E3ADF">
    <w:pPr>
      <w:pStyle w:val="Footer"/>
      <w:jc w:val="right"/>
      <w:rPr>
        <w:b w:val="0"/>
        <w:bCs/>
        <w:sz w:val="22"/>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ADF" w:rsidRDefault="003E3ADF">
    <w:pPr>
      <w:pStyle w:val="Footer"/>
      <w:tabs>
        <w:tab w:val="clear" w:pos="4320"/>
        <w:tab w:val="clear" w:pos="8640"/>
        <w:tab w:val="right" w:pos="9781"/>
      </w:tabs>
      <w:rPr>
        <w:lang w:val="en-US"/>
      </w:rPr>
    </w:pPr>
    <w:r>
      <w:rPr>
        <w:rStyle w:val="PageNumber"/>
      </w:rPr>
      <w:fldChar w:fldCharType="begin"/>
    </w:r>
    <w:r>
      <w:rPr>
        <w:rStyle w:val="PageNumber"/>
      </w:rPr>
      <w:instrText xml:space="preserve"> PAGE </w:instrText>
    </w:r>
    <w:r>
      <w:rPr>
        <w:rStyle w:val="PageNumber"/>
      </w:rPr>
      <w:fldChar w:fldCharType="separate"/>
    </w:r>
    <w:r w:rsidR="00A54157">
      <w:rPr>
        <w:rStyle w:val="PageNumber"/>
      </w:rPr>
      <w:t>2</w:t>
    </w:r>
    <w:r>
      <w:rPr>
        <w:rStyle w:val="PageNumber"/>
      </w:rPr>
      <w:fldChar w:fldCharType="end"/>
    </w:r>
    <w:r>
      <w:rPr>
        <w:rStyle w:val="PageNumber"/>
        <w:lang w:val="en-US"/>
      </w:rPr>
      <w:tab/>
    </w:r>
    <w:r>
      <w:rPr>
        <w:rStyle w:val="PageNumber"/>
        <w:b w:val="0"/>
        <w:bCs/>
        <w:sz w:val="14"/>
        <w:lang w:val="en-US"/>
      </w:rPr>
      <w:t>07-28618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ADF" w:rsidRDefault="003E3ADF">
    <w:pPr>
      <w:pStyle w:val="Footer"/>
      <w:tabs>
        <w:tab w:val="clear" w:pos="4320"/>
        <w:tab w:val="clear" w:pos="8640"/>
        <w:tab w:val="right" w:pos="9781"/>
      </w:tabs>
      <w:rPr>
        <w:b w:val="0"/>
        <w:bCs/>
        <w:sz w:val="22"/>
      </w:rPr>
    </w:pPr>
    <w:r>
      <w:rPr>
        <w:rStyle w:val="PageNumber"/>
        <w:b w:val="0"/>
        <w:bCs/>
        <w:sz w:val="14"/>
        <w:lang w:val="en-US"/>
      </w:rPr>
      <w:t>07-28616</w:t>
    </w:r>
    <w:r>
      <w:rPr>
        <w:rStyle w:val="PageNumber"/>
        <w:lang w:val="en-US"/>
      </w:rPr>
      <w:tab/>
    </w:r>
    <w:r>
      <w:rPr>
        <w:rStyle w:val="PageNumber"/>
      </w:rPr>
      <w:fldChar w:fldCharType="begin"/>
    </w:r>
    <w:r>
      <w:rPr>
        <w:rStyle w:val="PageNumber"/>
      </w:rPr>
      <w:instrText xml:space="preserve"> PAGE </w:instrText>
    </w:r>
    <w:r>
      <w:rPr>
        <w:rStyle w:val="PageNumber"/>
      </w:rPr>
      <w:fldChar w:fldCharType="separate"/>
    </w:r>
    <w:r w:rsidR="00283794">
      <w:rPr>
        <w:rStyle w:val="PageNumber"/>
      </w:rPr>
      <w:t>117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14E" w:rsidRDefault="0021014E">
      <w:pPr>
        <w:tabs>
          <w:tab w:val="clear" w:pos="1361"/>
          <w:tab w:val="clear" w:pos="2041"/>
          <w:tab w:val="left" w:leader="underscore" w:pos="2608"/>
        </w:tabs>
        <w:spacing w:after="80"/>
        <w:rPr>
          <w:lang w:val="en-US"/>
        </w:rPr>
      </w:pPr>
      <w:r>
        <w:rPr>
          <w:lang w:val="en-US"/>
        </w:rPr>
        <w:tab/>
      </w:r>
    </w:p>
  </w:footnote>
  <w:footnote w:type="continuationSeparator" w:id="0">
    <w:p w:rsidR="0021014E" w:rsidRDefault="0021014E">
      <w:r>
        <w:continuationSeparator/>
      </w:r>
    </w:p>
  </w:footnote>
  <w:footnote w:id="1">
    <w:p w:rsidR="003E3ADF" w:rsidRDefault="003E3ADF">
      <w:pPr>
        <w:keepNext/>
        <w:keepLines/>
        <w:tabs>
          <w:tab w:val="clear" w:pos="1361"/>
          <w:tab w:val="left" w:pos="-720"/>
          <w:tab w:val="left" w:pos="1"/>
          <w:tab w:val="left" w:pos="1152"/>
          <w:tab w:val="left" w:pos="1728"/>
          <w:tab w:val="left" w:pos="6480"/>
        </w:tabs>
        <w:suppressAutoHyphens/>
        <w:spacing w:after="100"/>
        <w:ind w:left="1247" w:right="504" w:hanging="113"/>
        <w:jc w:val="left"/>
        <w:outlineLvl w:val="0"/>
        <w:rPr>
          <w:sz w:val="18"/>
          <w:szCs w:val="22"/>
        </w:rPr>
      </w:pPr>
      <w:r>
        <w:rPr>
          <w:rStyle w:val="FootnoteReference"/>
          <w:kern w:val="0"/>
          <w:sz w:val="18"/>
          <w:vertAlign w:val="baseline"/>
        </w:rPr>
        <w:t>*</w:t>
      </w:r>
      <w:r>
        <w:rPr>
          <w:kern w:val="0"/>
        </w:rPr>
        <w:tab/>
      </w:r>
      <w:r>
        <w:rPr>
          <w:sz w:val="18"/>
        </w:rPr>
        <w:t>Настоящий доклад издается без официального редактирования</w:t>
      </w:r>
      <w:r>
        <w:rPr>
          <w:bCs/>
          <w:sz w:val="18"/>
          <w:szCs w:val="24"/>
        </w:rPr>
        <w:t>.</w:t>
      </w:r>
    </w:p>
    <w:p w:rsidR="003E3ADF" w:rsidRDefault="003E3ADF">
      <w:pPr>
        <w:keepNext/>
        <w:keepLines/>
        <w:tabs>
          <w:tab w:val="left" w:pos="-720"/>
          <w:tab w:val="left" w:pos="1"/>
          <w:tab w:val="left" w:pos="576"/>
          <w:tab w:val="left" w:pos="1152"/>
          <w:tab w:val="left" w:pos="1728"/>
          <w:tab w:val="left" w:pos="6480"/>
        </w:tabs>
        <w:suppressAutoHyphens/>
        <w:spacing w:after="100"/>
        <w:ind w:left="1247" w:right="504"/>
        <w:jc w:val="left"/>
        <w:outlineLvl w:val="0"/>
        <w:rPr>
          <w:kern w:val="0"/>
          <w:sz w:val="18"/>
          <w:lang/>
        </w:rPr>
      </w:pPr>
      <w:r>
        <w:rPr>
          <w:spacing w:val="-3"/>
          <w:sz w:val="18"/>
          <w:szCs w:val="28"/>
        </w:rPr>
        <w:t>Первоначальный доклад, представленный правительством Норвегии, см. в документе CEDAW/C/5/Add.7, рассмотренном Комитетом на его третьей сессии. Второй периодический доклад, представленный правительством Норвегии, см. в документе CEDAW/C/13/Add.15, рассмотренном Комитетом на его десятой сессии. Третий периодический доклад, представленный правительством Норвегии, см. в документе CEDAW/C/NOR/3, рассмотренном Ком</w:t>
      </w:r>
      <w:r>
        <w:rPr>
          <w:spacing w:val="-3"/>
          <w:sz w:val="18"/>
          <w:szCs w:val="28"/>
        </w:rPr>
        <w:t>и</w:t>
      </w:r>
      <w:r>
        <w:rPr>
          <w:spacing w:val="-3"/>
          <w:sz w:val="18"/>
          <w:szCs w:val="28"/>
        </w:rPr>
        <w:t>тетом на его четырнадцатой сессии. Четвертый периодический доклад, представленный правительством Норвегии, см. в документе CEDAW/C/NOR/4, рассмотренном Комитетом на его четырнадцатой сессии. Пятый периодический доклад, представленный прав</w:t>
      </w:r>
      <w:r>
        <w:rPr>
          <w:spacing w:val="-3"/>
          <w:sz w:val="18"/>
          <w:szCs w:val="28"/>
        </w:rPr>
        <w:t>и</w:t>
      </w:r>
      <w:r>
        <w:rPr>
          <w:spacing w:val="-3"/>
          <w:sz w:val="18"/>
          <w:szCs w:val="28"/>
        </w:rPr>
        <w:t>тельством Норвегии, см. в документе CEDAW/C/NOR/5, рассмотренном Комитетом на его двадцать восьмой сессии. Шестой периодический доклад, представленный прав</w:t>
      </w:r>
      <w:r>
        <w:rPr>
          <w:spacing w:val="-3"/>
          <w:sz w:val="18"/>
          <w:szCs w:val="28"/>
        </w:rPr>
        <w:t>и</w:t>
      </w:r>
      <w:r>
        <w:rPr>
          <w:spacing w:val="-3"/>
          <w:sz w:val="18"/>
          <w:szCs w:val="28"/>
        </w:rPr>
        <w:t>тельством Норвегии, см. в документе CEDAW/C/NOR/6, рассмотренном Комитетом на его двадцать восьмой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ADF" w:rsidRDefault="003E3ADF">
    <w:pPr>
      <w:pStyle w:val="Header"/>
      <w:pBdr>
        <w:bottom w:val="single" w:sz="4" w:space="2" w:color="auto"/>
      </w:pBdr>
      <w:rPr>
        <w:b/>
        <w:bCs/>
        <w:lang w:val="en-US"/>
      </w:rPr>
    </w:pPr>
    <w:r>
      <w:rPr>
        <w:b/>
        <w:bCs/>
        <w:lang w:val="en-US"/>
      </w:rPr>
      <w:t>CEDAW/C/NOR/7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ADF" w:rsidRDefault="003E3ADF">
    <w:pPr>
      <w:pStyle w:val="Header"/>
      <w:pBdr>
        <w:bottom w:val="single" w:sz="4" w:space="2" w:color="auto"/>
      </w:pBdr>
      <w:jc w:val="right"/>
      <w:rPr>
        <w:lang w:val="en-US"/>
      </w:rPr>
    </w:pPr>
    <w:r>
      <w:rPr>
        <w:b/>
        <w:bCs/>
        <w:lang w:val="en-US"/>
      </w:rPr>
      <w:t>CEDAW/C/NOR/7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E434171"/>
    <w:multiLevelType w:val="hybridMultilevel"/>
    <w:tmpl w:val="7B5E3E2E"/>
    <w:lvl w:ilvl="0" w:tplc="FFFFFFFF">
      <w:start w:val="1"/>
      <w:numFmt w:val="bullet"/>
      <w:pStyle w:val="HeadingChapter"/>
      <w:lvlText w:val=""/>
      <w:lvlJc w:val="left"/>
      <w:pPr>
        <w:tabs>
          <w:tab w:val="num" w:pos="1040"/>
        </w:tabs>
        <w:ind w:left="360" w:firstLine="320"/>
      </w:pPr>
      <w:rPr>
        <w:rFonts w:ascii="Symbol" w:hAnsi="Symbol" w:cs="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3E8D68AE"/>
    <w:multiLevelType w:val="singleLevel"/>
    <w:tmpl w:val="C6CAC236"/>
    <w:lvl w:ilvl="0">
      <w:start w:val="1"/>
      <w:numFmt w:val="decimal"/>
      <w:pStyle w:val="1"/>
      <w:lvlText w:val="%1."/>
      <w:lvlJc w:val="left"/>
      <w:pPr>
        <w:tabs>
          <w:tab w:val="num" w:pos="360"/>
        </w:tabs>
        <w:ind w:left="360" w:hanging="360"/>
      </w:pPr>
      <w:rPr>
        <w:rFonts w:hint="default"/>
      </w:rPr>
    </w:lvl>
  </w:abstractNum>
  <w:abstractNum w:abstractNumId="8">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6"/>
  </w:num>
  <w:num w:numId="2">
    <w:abstractNumId w:val="4"/>
  </w:num>
  <w:num w:numId="3">
    <w:abstractNumId w:val="3"/>
  </w:num>
  <w:num w:numId="4">
    <w:abstractNumId w:val="3"/>
  </w:num>
  <w:num w:numId="5">
    <w:abstractNumId w:val="2"/>
  </w:num>
  <w:num w:numId="6">
    <w:abstractNumId w:val="1"/>
  </w:num>
  <w:num w:numId="7">
    <w:abstractNumId w:val="0"/>
  </w:num>
  <w:num w:numId="8">
    <w:abstractNumId w:val="8"/>
  </w:num>
  <w:num w:numId="9">
    <w:abstractNumId w:val="5"/>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3E3ADF"/>
    <w:rsid w:val="0021014E"/>
    <w:rsid w:val="00283794"/>
    <w:rsid w:val="00305A34"/>
    <w:rsid w:val="003E3ADF"/>
    <w:rsid w:val="004266AD"/>
    <w:rsid w:val="00551BCE"/>
    <w:rsid w:val="006E001A"/>
    <w:rsid w:val="007E58C1"/>
    <w:rsid w:val="00A41705"/>
    <w:rsid w:val="00A54157"/>
    <w:rsid w:val="00A733F8"/>
    <w:rsid w:val="00C6547A"/>
    <w:rsid w:val="00CC2A43"/>
    <w:rsid w:val="00D630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regrouptable v:ext="edit">
        <o:entry new="1" old="0"/>
        <o:entry new="2" old="0"/>
        <o:entry new="3" old="0"/>
        <o:entry new="4" old="0"/>
        <o:entry new="5" old="0"/>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709"/>
        <w:tab w:val="left" w:pos="1361"/>
        <w:tab w:val="left" w:pos="2041"/>
      </w:tabs>
      <w:spacing w:after="240"/>
      <w:jc w:val="both"/>
    </w:pPr>
    <w:rPr>
      <w:kern w:val="14"/>
      <w:sz w:val="22"/>
      <w:lang w:val="ru-RU" w:eastAsia="ru-RU"/>
    </w:rPr>
  </w:style>
  <w:style w:type="paragraph" w:styleId="Heading1">
    <w:name w:val="heading 1"/>
    <w:basedOn w:val="Normal"/>
    <w:next w:val="Normal"/>
    <w:qFormat/>
    <w:pPr>
      <w:keepNext/>
      <w:tabs>
        <w:tab w:val="clear" w:pos="2041"/>
        <w:tab w:val="left" w:pos="1843"/>
      </w:tabs>
      <w:ind w:left="1843" w:hanging="1843"/>
      <w:jc w:val="left"/>
      <w:outlineLvl w:val="0"/>
    </w:pPr>
    <w:rPr>
      <w:b/>
      <w:bCs/>
      <w:kern w:val="0"/>
      <w:szCs w:val="24"/>
      <w:lang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aliases w:val="chart title"/>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1361"/>
        <w:tab w:val="clear" w:pos="2041"/>
        <w:tab w:val="left" w:pos="-720"/>
        <w:tab w:val="left" w:pos="1"/>
        <w:tab w:val="left" w:pos="576"/>
        <w:tab w:val="left" w:pos="1152"/>
        <w:tab w:val="left" w:pos="1728"/>
        <w:tab w:val="left" w:pos="6480"/>
      </w:tabs>
      <w:spacing w:after="0" w:line="240" w:lineRule="exact"/>
      <w:jc w:val="center"/>
      <w:outlineLvl w:val="4"/>
    </w:pPr>
    <w:rPr>
      <w:rFonts w:ascii="Courier 12cpi" w:hAnsi="Courier 12cpi"/>
      <w:kern w:val="0"/>
      <w:sz w:val="24"/>
      <w:lang w:eastAsia="en-U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8"/>
      </w:numPr>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clear" w:pos="1361"/>
        <w:tab w:val="clear" w:pos="2041"/>
        <w:tab w:val="left" w:pos="340"/>
      </w:tabs>
      <w:suppressAutoHyphens/>
      <w:spacing w:after="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4"/>
      </w:numPr>
      <w:tabs>
        <w:tab w:val="clear" w:pos="643"/>
        <w:tab w:val="num" w:pos="792"/>
      </w:tabs>
      <w:ind w:left="792" w:hanging="317"/>
    </w:pPr>
  </w:style>
  <w:style w:type="paragraph" w:styleId="ListNumber3">
    <w:name w:val="List Number 3"/>
    <w:basedOn w:val="H23"/>
    <w:next w:val="Normal"/>
    <w:pPr>
      <w:numPr>
        <w:numId w:val="5"/>
      </w:numPr>
      <w:tabs>
        <w:tab w:val="clear" w:pos="926"/>
        <w:tab w:val="num" w:pos="792"/>
      </w:tabs>
      <w:ind w:left="792" w:hanging="317"/>
    </w:pPr>
  </w:style>
  <w:style w:type="paragraph" w:styleId="ListNumber4">
    <w:name w:val="List Number 4"/>
    <w:basedOn w:val="H4"/>
    <w:next w:val="Normal"/>
    <w:pPr>
      <w:numPr>
        <w:numId w:val="6"/>
      </w:numPr>
      <w:tabs>
        <w:tab w:val="clear" w:pos="1209"/>
        <w:tab w:val="num" w:pos="792"/>
      </w:tabs>
      <w:ind w:left="792" w:hanging="317"/>
    </w:pPr>
  </w:style>
  <w:style w:type="paragraph" w:styleId="ListNumber5">
    <w:name w:val="List Number 5"/>
    <w:basedOn w:val="Normal"/>
    <w:next w:val="Normal"/>
    <w:pPr>
      <w:numPr>
        <w:numId w:val="7"/>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paragraph" w:styleId="PlainText">
    <w:name w:val="Plain Text"/>
    <w:basedOn w:val="Normal"/>
    <w:pPr>
      <w:tabs>
        <w:tab w:val="clear" w:pos="1361"/>
        <w:tab w:val="clear" w:pos="2041"/>
      </w:tabs>
      <w:spacing w:after="0"/>
      <w:jc w:val="left"/>
    </w:pPr>
    <w:rPr>
      <w:rFonts w:ascii="Courier New" w:hAnsi="Courier New"/>
      <w:kern w:val="0"/>
      <w:sz w:val="20"/>
      <w:lang w:val="en-GB" w:eastAsia="en-US"/>
    </w:rPr>
  </w:style>
  <w:style w:type="paragraph" w:styleId="TOC1">
    <w:name w:val="toc 1"/>
    <w:basedOn w:val="Normal"/>
    <w:next w:val="Normal"/>
    <w:autoRedefine/>
    <w:semiHidden/>
    <w:pPr>
      <w:tabs>
        <w:tab w:val="clear" w:pos="1361"/>
        <w:tab w:val="clear" w:pos="2041"/>
        <w:tab w:val="decimal" w:pos="875"/>
      </w:tabs>
      <w:spacing w:after="120"/>
      <w:jc w:val="left"/>
    </w:pPr>
    <w:rPr>
      <w:sz w:val="20"/>
    </w:rPr>
  </w:style>
  <w:style w:type="paragraph" w:styleId="TOC2">
    <w:name w:val="toc 2"/>
    <w:basedOn w:val="Normal"/>
    <w:next w:val="Normal"/>
    <w:autoRedefine/>
    <w:semiHidden/>
    <w:pPr>
      <w:tabs>
        <w:tab w:val="clear" w:pos="1361"/>
        <w:tab w:val="clear" w:pos="2041"/>
      </w:tabs>
      <w:spacing w:after="0"/>
      <w:ind w:left="200"/>
      <w:jc w:val="left"/>
    </w:pPr>
    <w:rPr>
      <w:kern w:val="0"/>
      <w:sz w:val="20"/>
      <w:lang w:val="en-AU" w:eastAsia="en-US"/>
    </w:rPr>
  </w:style>
  <w:style w:type="paragraph" w:customStyle="1" w:styleId="Num-DocParagraph">
    <w:name w:val="Num-Doc Paragraph"/>
    <w:basedOn w:val="BodyText"/>
    <w:pPr>
      <w:tabs>
        <w:tab w:val="clear" w:pos="1361"/>
        <w:tab w:val="clear" w:pos="2041"/>
        <w:tab w:val="left" w:pos="851"/>
        <w:tab w:val="left" w:pos="1191"/>
        <w:tab w:val="left" w:pos="1531"/>
      </w:tabs>
    </w:pPr>
    <w:rPr>
      <w:rFonts w:ascii="Times" w:hAnsi="Times"/>
      <w:sz w:val="22"/>
      <w:szCs w:val="20"/>
      <w:lang w:val="en-GB" w:eastAsia="en-US"/>
    </w:rPr>
  </w:style>
  <w:style w:type="paragraph" w:styleId="ListBullet">
    <w:name w:val="List Bullet"/>
    <w:basedOn w:val="Normal"/>
    <w:autoRedefine/>
    <w:pPr>
      <w:numPr>
        <w:ilvl w:val="1"/>
        <w:numId w:val="3"/>
      </w:numPr>
      <w:tabs>
        <w:tab w:val="clear" w:pos="1361"/>
        <w:tab w:val="clear" w:pos="2041"/>
      </w:tabs>
      <w:spacing w:after="0"/>
      <w:ind w:left="0" w:firstLine="0"/>
    </w:pPr>
    <w:rPr>
      <w:rFonts w:ascii="Times" w:hAnsi="Times"/>
      <w:kern w:val="0"/>
      <w:sz w:val="24"/>
      <w:lang w:eastAsia="en-US"/>
    </w:rPr>
  </w:style>
  <w:style w:type="paragraph" w:styleId="BodyTextIndent3">
    <w:name w:val="Body Text Indent 3"/>
    <w:basedOn w:val="Normal"/>
    <w:pPr>
      <w:tabs>
        <w:tab w:val="left" w:pos="340"/>
      </w:tabs>
      <w:ind w:left="680" w:hanging="680"/>
    </w:pPr>
    <w:rPr>
      <w:szCs w:val="24"/>
    </w:rPr>
  </w:style>
  <w:style w:type="paragraph" w:styleId="DocumentMap">
    <w:name w:val="Document Map"/>
    <w:basedOn w:val="Normal"/>
    <w:semiHidden/>
    <w:pPr>
      <w:shd w:val="clear" w:color="auto" w:fill="000080"/>
    </w:pPr>
    <w:rPr>
      <w:rFonts w:ascii="Tahoma" w:hAnsi="Tahoma" w:cs="Tahoma"/>
    </w:rPr>
  </w:style>
  <w:style w:type="paragraph" w:styleId="Caption">
    <w:name w:val="caption"/>
    <w:basedOn w:val="Normal"/>
    <w:next w:val="Normal"/>
    <w:qFormat/>
    <w:pPr>
      <w:tabs>
        <w:tab w:val="clear" w:pos="1361"/>
        <w:tab w:val="clear" w:pos="2041"/>
      </w:tabs>
      <w:spacing w:after="0" w:line="360" w:lineRule="auto"/>
      <w:jc w:val="left"/>
    </w:pPr>
    <w:rPr>
      <w:rFonts w:ascii="Tahoma" w:hAnsi="Tahoma" w:cs="Tahoma"/>
      <w:b/>
      <w:bCs/>
      <w:kern w:val="0"/>
      <w:sz w:val="24"/>
      <w:szCs w:val="24"/>
      <w:lang w:val="en-US" w:eastAsia="en-US"/>
    </w:rPr>
  </w:style>
  <w:style w:type="paragraph" w:customStyle="1" w:styleId="CHAPTER">
    <w:name w:val="CHAPTER"/>
    <w:basedOn w:val="Normal"/>
    <w:pPr>
      <w:jc w:val="left"/>
    </w:pPr>
    <w:rPr>
      <w:b/>
      <w:caps/>
    </w:rPr>
  </w:style>
  <w:style w:type="paragraph" w:customStyle="1" w:styleId="10">
    <w:name w:val="Стиль1"/>
    <w:basedOn w:val="Normal"/>
    <w:pPr>
      <w:ind w:left="1360" w:hanging="680"/>
    </w:pPr>
    <w:rPr>
      <w:bCs/>
      <w:kern w:val="0"/>
      <w:szCs w:val="24"/>
    </w:rPr>
  </w:style>
  <w:style w:type="paragraph" w:customStyle="1" w:styleId="a0">
    <w:name w:val="Втяжка"/>
    <w:basedOn w:val="Normal"/>
    <w:pPr>
      <w:ind w:left="1020" w:hanging="340"/>
    </w:pPr>
    <w:rPr>
      <w:bCs/>
      <w:szCs w:val="24"/>
    </w:rPr>
  </w:style>
  <w:style w:type="paragraph" w:styleId="BlockText">
    <w:name w:val="Block Text"/>
    <w:basedOn w:val="Normal"/>
    <w:pPr>
      <w:tabs>
        <w:tab w:val="clear" w:pos="2041"/>
        <w:tab w:val="left" w:pos="680"/>
        <w:tab w:val="left" w:pos="1361"/>
        <w:tab w:val="left" w:leader="dot" w:pos="8505"/>
        <w:tab w:val="right" w:pos="9356"/>
      </w:tabs>
      <w:spacing w:after="120"/>
      <w:ind w:left="1361" w:right="902" w:hanging="1361"/>
      <w:jc w:val="left"/>
    </w:pPr>
    <w:rPr>
      <w:b/>
    </w:rPr>
  </w:style>
  <w:style w:type="paragraph" w:customStyle="1" w:styleId="visualclear">
    <w:name w:val="visualclear"/>
    <w:basedOn w:val="Normal"/>
    <w:pPr>
      <w:tabs>
        <w:tab w:val="clear" w:pos="1361"/>
        <w:tab w:val="clear" w:pos="2041"/>
      </w:tabs>
      <w:spacing w:after="0"/>
      <w:jc w:val="left"/>
    </w:pPr>
    <w:rPr>
      <w:kern w:val="0"/>
      <w:sz w:val="24"/>
      <w:szCs w:val="24"/>
      <w:lang w:val="en-US" w:eastAsia="en-US"/>
    </w:rPr>
  </w:style>
  <w:style w:type="paragraph" w:customStyle="1" w:styleId="error">
    <w:name w:val="error"/>
    <w:basedOn w:val="Normal"/>
    <w:pPr>
      <w:tabs>
        <w:tab w:val="clear" w:pos="1361"/>
        <w:tab w:val="clear" w:pos="2041"/>
      </w:tabs>
      <w:spacing w:before="100" w:beforeAutospacing="1" w:after="100" w:afterAutospacing="1"/>
      <w:jc w:val="left"/>
    </w:pPr>
    <w:rPr>
      <w:b/>
      <w:bCs/>
      <w:kern w:val="0"/>
      <w:sz w:val="24"/>
      <w:szCs w:val="24"/>
      <w:lang w:val="en-US" w:eastAsia="en-US"/>
    </w:rPr>
  </w:style>
  <w:style w:type="paragraph" w:customStyle="1" w:styleId="hstyle0">
    <w:name w:val="hstyle0"/>
    <w:basedOn w:val="Normal"/>
    <w:pPr>
      <w:tabs>
        <w:tab w:val="clear" w:pos="2041"/>
      </w:tabs>
      <w:spacing w:after="0"/>
    </w:pPr>
    <w:rPr>
      <w:rFonts w:ascii="Batang" w:eastAsia="Batang" w:hAnsi="Batang"/>
      <w:color w:val="000000"/>
      <w:kern w:val="0"/>
      <w:sz w:val="20"/>
      <w:lang w:val="en-US" w:eastAsia="ko-KR"/>
    </w:rPr>
  </w:style>
  <w:style w:type="paragraph" w:customStyle="1" w:styleId="Style">
    <w:name w:val="Style"/>
    <w:basedOn w:val="Normal"/>
    <w:next w:val="NormalWeb"/>
    <w:pPr>
      <w:tabs>
        <w:tab w:val="clear" w:pos="1361"/>
        <w:tab w:val="clear" w:pos="2041"/>
      </w:tabs>
      <w:spacing w:before="100" w:beforeAutospacing="1" w:after="100" w:afterAutospacing="1"/>
      <w:jc w:val="left"/>
    </w:pPr>
    <w:rPr>
      <w:rFonts w:ascii="Gulim" w:eastAsia="Gulim" w:hAnsi="Gulim"/>
      <w:kern w:val="0"/>
      <w:sz w:val="24"/>
      <w:szCs w:val="24"/>
      <w:lang w:val="en-US" w:eastAsia="ko-KR"/>
    </w:rPr>
  </w:style>
  <w:style w:type="character" w:styleId="FollowedHyperlink">
    <w:name w:val="FollowedHyperlink"/>
    <w:rPr>
      <w:color w:val="0000FF"/>
      <w:u w:val="none"/>
    </w:rPr>
  </w:style>
  <w:style w:type="character" w:customStyle="1" w:styleId="txt">
    <w:name w:val="txt"/>
    <w:basedOn w:val="DefaultParagraphFont"/>
  </w:style>
  <w:style w:type="character" w:customStyle="1" w:styleId="titleblue">
    <w:name w:val="titleblue"/>
    <w:basedOn w:val="DefaultParagraphFont"/>
  </w:style>
  <w:style w:type="paragraph" w:customStyle="1" w:styleId="11">
    <w:name w:val="îãëàâëåíèå 1"/>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before="480" w:after="0" w:line="240" w:lineRule="exact"/>
      <w:ind w:left="720" w:right="720" w:hanging="720"/>
    </w:pPr>
    <w:rPr>
      <w:spacing w:val="4"/>
      <w:w w:val="103"/>
      <w:sz w:val="20"/>
      <w:lang w:val="en-US"/>
    </w:rPr>
  </w:style>
  <w:style w:type="paragraph" w:customStyle="1" w:styleId="2">
    <w:name w:val="îãëàâëåíèå 2"/>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1440" w:right="720" w:hanging="720"/>
    </w:pPr>
    <w:rPr>
      <w:spacing w:val="4"/>
      <w:w w:val="103"/>
      <w:sz w:val="20"/>
      <w:lang w:val="en-US"/>
    </w:rPr>
  </w:style>
  <w:style w:type="paragraph" w:customStyle="1" w:styleId="3">
    <w:name w:val="îãëàâëåíèå 3"/>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2160" w:right="720" w:hanging="720"/>
    </w:pPr>
    <w:rPr>
      <w:spacing w:val="4"/>
      <w:w w:val="103"/>
      <w:sz w:val="20"/>
      <w:lang w:val="en-US"/>
    </w:rPr>
  </w:style>
  <w:style w:type="paragraph" w:customStyle="1" w:styleId="4">
    <w:name w:val="îãëàâëåíèå 4"/>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2880" w:right="720" w:hanging="720"/>
    </w:pPr>
    <w:rPr>
      <w:spacing w:val="4"/>
      <w:w w:val="103"/>
      <w:sz w:val="20"/>
      <w:lang w:val="en-US"/>
    </w:rPr>
  </w:style>
  <w:style w:type="paragraph" w:customStyle="1" w:styleId="5">
    <w:name w:val="îãëàâëåíèå 5"/>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3600" w:right="720" w:hanging="720"/>
    </w:pPr>
    <w:rPr>
      <w:spacing w:val="4"/>
      <w:w w:val="103"/>
      <w:sz w:val="20"/>
      <w:lang w:val="en-US"/>
    </w:rPr>
  </w:style>
  <w:style w:type="paragraph" w:customStyle="1" w:styleId="6">
    <w:name w:val="îãëàâëåíèå 6"/>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spacing w:after="0" w:line="240" w:lineRule="exact"/>
      <w:ind w:left="720" w:hanging="720"/>
    </w:pPr>
    <w:rPr>
      <w:spacing w:val="4"/>
      <w:w w:val="103"/>
      <w:sz w:val="20"/>
      <w:lang w:val="en-US"/>
    </w:rPr>
  </w:style>
  <w:style w:type="paragraph" w:customStyle="1" w:styleId="7">
    <w:name w:val="îãëàâëåíèå 7"/>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after="0" w:line="240" w:lineRule="exact"/>
      <w:ind w:left="720" w:hanging="720"/>
    </w:pPr>
    <w:rPr>
      <w:spacing w:val="4"/>
      <w:w w:val="103"/>
      <w:sz w:val="20"/>
      <w:lang w:val="en-US"/>
    </w:rPr>
  </w:style>
  <w:style w:type="paragraph" w:customStyle="1" w:styleId="8">
    <w:name w:val="îãëàâëåíèå 8"/>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spacing w:after="0" w:line="240" w:lineRule="exact"/>
      <w:ind w:left="720" w:hanging="720"/>
    </w:pPr>
    <w:rPr>
      <w:spacing w:val="4"/>
      <w:w w:val="103"/>
      <w:sz w:val="20"/>
      <w:lang w:val="en-US"/>
    </w:rPr>
  </w:style>
  <w:style w:type="paragraph" w:customStyle="1" w:styleId="9">
    <w:name w:val="îãëàâëåíèå 9"/>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720" w:hanging="720"/>
    </w:pPr>
    <w:rPr>
      <w:spacing w:val="4"/>
      <w:w w:val="103"/>
      <w:sz w:val="20"/>
      <w:lang w:val="en-US"/>
    </w:rPr>
  </w:style>
  <w:style w:type="paragraph" w:customStyle="1" w:styleId="12">
    <w:name w:val="óêàçàòåëü 1"/>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1440" w:right="720" w:hanging="1440"/>
    </w:pPr>
    <w:rPr>
      <w:spacing w:val="4"/>
      <w:w w:val="103"/>
      <w:sz w:val="20"/>
      <w:lang w:val="en-US"/>
    </w:rPr>
  </w:style>
  <w:style w:type="paragraph" w:customStyle="1" w:styleId="20">
    <w:name w:val="óêàçàòåëü 2"/>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leader="dot" w:pos="9000"/>
        <w:tab w:val="right" w:pos="9360"/>
      </w:tabs>
      <w:suppressAutoHyphens/>
      <w:spacing w:after="0" w:line="240" w:lineRule="exact"/>
      <w:ind w:left="1440" w:right="720" w:hanging="720"/>
    </w:pPr>
    <w:rPr>
      <w:spacing w:val="4"/>
      <w:w w:val="103"/>
      <w:sz w:val="20"/>
      <w:lang w:val="en-US"/>
    </w:rPr>
  </w:style>
  <w:style w:type="paragraph" w:customStyle="1" w:styleId="a1">
    <w:name w:val="Новый"/>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spacing w:after="0" w:line="240" w:lineRule="exact"/>
      <w:ind w:firstLine="482"/>
    </w:pPr>
    <w:rPr>
      <w:spacing w:val="4"/>
      <w:w w:val="103"/>
      <w:sz w:val="20"/>
      <w:lang w:val="en-US"/>
    </w:rPr>
  </w:style>
  <w:style w:type="paragraph" w:customStyle="1" w:styleId="a2">
    <w:name w:val="íàçâàíèå"/>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exact"/>
      <w:ind w:firstLine="482"/>
    </w:pPr>
    <w:rPr>
      <w:spacing w:val="4"/>
      <w:w w:val="103"/>
      <w:sz w:val="20"/>
    </w:rPr>
  </w:style>
  <w:style w:type="paragraph" w:customStyle="1" w:styleId="BodyText21">
    <w:name w:val="Body Text 21"/>
    <w:basedOn w:val="Normal"/>
    <w:pPr>
      <w:tabs>
        <w:tab w:val="clear" w:pos="1361"/>
        <w:tab w:val="clear" w:pos="2041"/>
        <w:tab w:val="left" w:pos="-72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after="0" w:line="240" w:lineRule="exact"/>
      <w:ind w:firstLine="482"/>
    </w:pPr>
    <w:rPr>
      <w:spacing w:val="-3"/>
      <w:w w:val="103"/>
      <w:sz w:val="20"/>
    </w:rPr>
  </w:style>
  <w:style w:type="paragraph" w:customStyle="1" w:styleId="50">
    <w:name w:val="5"/>
    <w:basedOn w:val="DualTxt"/>
    <w:pPr>
      <w:tabs>
        <w:tab w:val="clear" w:pos="1361"/>
        <w:tab w:val="clear" w:pos="2041"/>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auto"/>
      <w:ind w:firstLine="482"/>
    </w:pPr>
    <w:rPr>
      <w:spacing w:val="-3"/>
      <w:sz w:val="10"/>
    </w:rPr>
  </w:style>
  <w:style w:type="paragraph" w:customStyle="1" w:styleId="cherta">
    <w:name w:val="cherta"/>
    <w:basedOn w:val="Normal"/>
    <w:pPr>
      <w:numPr>
        <w:numId w:val="9"/>
      </w:numPr>
      <w:tabs>
        <w:tab w:val="clear" w:pos="1040"/>
        <w:tab w:val="clear" w:pos="1361"/>
        <w:tab w:val="clear" w:pos="2041"/>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spacing w:after="0" w:line="240" w:lineRule="exact"/>
      <w:ind w:left="993" w:hanging="511"/>
    </w:pPr>
    <w:rPr>
      <w:spacing w:val="4"/>
      <w:w w:val="103"/>
      <w:sz w:val="20"/>
    </w:rPr>
  </w:style>
  <w:style w:type="paragraph" w:customStyle="1" w:styleId="Draft">
    <w:name w:val="Draft"/>
    <w:basedOn w:val="BodyText3"/>
    <w:pPr>
      <w:tabs>
        <w:tab w:val="clear" w:pos="1361"/>
        <w:tab w:val="clear" w:pos="2041"/>
        <w:tab w:val="left" w:pos="317"/>
        <w:tab w:val="left" w:pos="476"/>
        <w:tab w:val="left" w:pos="792"/>
        <w:tab w:val="right" w:pos="1021"/>
        <w:tab w:val="left" w:pos="1267"/>
        <w:tab w:val="left" w:pos="1321"/>
        <w:tab w:val="left" w:pos="1742"/>
        <w:tab w:val="left" w:pos="2218"/>
        <w:tab w:val="left" w:pos="2693"/>
        <w:tab w:val="left" w:pos="3168"/>
        <w:tab w:val="left" w:pos="3643"/>
        <w:tab w:val="left" w:pos="4118"/>
        <w:tab w:val="left" w:pos="4594"/>
        <w:tab w:val="left" w:pos="4621"/>
        <w:tab w:val="left" w:pos="5069"/>
        <w:tab w:val="left" w:pos="5097"/>
        <w:tab w:val="left" w:pos="5544"/>
        <w:tab w:val="left" w:pos="5574"/>
        <w:tab w:val="left" w:pos="6019"/>
        <w:tab w:val="left" w:pos="6050"/>
      </w:tabs>
      <w:spacing w:after="0" w:line="720" w:lineRule="auto"/>
      <w:ind w:firstLine="482"/>
      <w:jc w:val="left"/>
    </w:pPr>
    <w:rPr>
      <w:rFonts w:ascii="Courier New" w:hAnsi="Courier New"/>
      <w:b w:val="0"/>
      <w:bCs w:val="0"/>
      <w:i/>
      <w:spacing w:val="4"/>
      <w:w w:val="103"/>
      <w:kern w:val="14"/>
      <w:sz w:val="20"/>
      <w:szCs w:val="20"/>
      <w:lang w:val="es-ES" w:eastAsia="ru-RU"/>
    </w:rPr>
  </w:style>
  <w:style w:type="paragraph" w:customStyle="1" w:styleId="HeadingChapter">
    <w:name w:val="Heading Chapter"/>
    <w:basedOn w:val="Heading1"/>
    <w:pPr>
      <w:keepLines/>
      <w:suppressLineNumbers/>
      <w:tabs>
        <w:tab w:val="clear" w:pos="1361"/>
        <w:tab w:val="clear" w:pos="1843"/>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300" w:after="120" w:line="300" w:lineRule="exact"/>
      <w:ind w:left="480" w:hanging="480"/>
    </w:pPr>
    <w:rPr>
      <w:b w:val="0"/>
      <w:bCs w:val="0"/>
      <w:snapToGrid w:val="0"/>
      <w:spacing w:val="-2"/>
      <w:w w:val="103"/>
      <w:kern w:val="14"/>
      <w:sz w:val="28"/>
      <w:szCs w:val="20"/>
      <w:lang w:val="en-US" w:eastAsia="en-US"/>
    </w:rPr>
  </w:style>
  <w:style w:type="paragraph" w:customStyle="1" w:styleId="HeadingMajor">
    <w:name w:val="Heading Major"/>
    <w:basedOn w:val="HeadingChapter"/>
    <w:pPr>
      <w:tabs>
        <w:tab w:val="clear" w:pos="360"/>
      </w:tabs>
      <w:spacing w:before="360" w:line="360" w:lineRule="exact"/>
      <w:ind w:left="0" w:firstLine="0"/>
    </w:pPr>
    <w:rPr>
      <w:spacing w:val="-3"/>
      <w:w w:val="99"/>
      <w:sz w:val="34"/>
    </w:rPr>
  </w:style>
  <w:style w:type="paragraph" w:customStyle="1" w:styleId="HeadingXLarge">
    <w:name w:val="Heading XLarge"/>
    <w:basedOn w:val="HeadingMajor"/>
    <w:autoRedefine/>
    <w:pPr>
      <w:spacing w:before="390" w:line="390" w:lineRule="exact"/>
    </w:pPr>
    <w:rPr>
      <w:spacing w:val="-4"/>
      <w:w w:val="98"/>
      <w:sz w:val="40"/>
    </w:rPr>
  </w:style>
  <w:style w:type="paragraph" w:customStyle="1" w:styleId="HeadingxLarge0">
    <w:name w:val="Heading xLarge"/>
    <w:basedOn w:val="HeadingMajor"/>
    <w:autoRedefine/>
    <w:pPr>
      <w:spacing w:before="120" w:line="390" w:lineRule="exact"/>
    </w:pPr>
    <w:rPr>
      <w:spacing w:val="-4"/>
      <w:w w:val="98"/>
      <w:sz w:val="40"/>
    </w:rPr>
  </w:style>
  <w:style w:type="paragraph" w:customStyle="1" w:styleId="HeadingxxLarge">
    <w:name w:val="Heading xxLarge"/>
    <w:basedOn w:val="HeadingxLarge0"/>
    <w:pPr>
      <w:spacing w:line="540" w:lineRule="exact"/>
    </w:pPr>
    <w:rPr>
      <w:spacing w:val="-8"/>
      <w:w w:val="96"/>
      <w:sz w:val="57"/>
    </w:rPr>
  </w:style>
  <w:style w:type="paragraph" w:customStyle="1" w:styleId="NormalTabbed">
    <w:name w:val="Normal Tabbed"/>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exact"/>
      <w:ind w:firstLine="482"/>
    </w:pPr>
    <w:rPr>
      <w:spacing w:val="4"/>
      <w:w w:val="103"/>
      <w:sz w:val="20"/>
      <w:lang w:val="es-ES"/>
    </w:rPr>
  </w:style>
  <w:style w:type="paragraph" w:customStyle="1" w:styleId="num">
    <w:name w:val="num"/>
    <w:basedOn w:val="Normal"/>
    <w:pPr>
      <w:numPr>
        <w:numId w:val="10"/>
      </w:numPr>
      <w:tabs>
        <w:tab w:val="clear" w:pos="360"/>
        <w:tab w:val="clear" w:pos="1361"/>
        <w:tab w:val="clear" w:pos="2041"/>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exact"/>
      <w:ind w:left="992" w:hanging="510"/>
    </w:pPr>
    <w:rPr>
      <w:spacing w:val="4"/>
      <w:w w:val="103"/>
      <w:sz w:val="20"/>
    </w:rPr>
  </w:style>
  <w:style w:type="paragraph" w:customStyle="1" w:styleId="tab">
    <w:name w:val="tab"/>
    <w:basedOn w:val="Normal"/>
    <w:pPr>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exact"/>
      <w:ind w:left="993" w:hanging="511"/>
    </w:pPr>
    <w:rPr>
      <w:spacing w:val="4"/>
      <w:w w:val="103"/>
      <w:sz w:val="20"/>
    </w:rPr>
  </w:style>
  <w:style w:type="paragraph" w:customStyle="1" w:styleId="1">
    <w:name w:val="заголовок 1"/>
    <w:basedOn w:val="Normal"/>
    <w:next w:val="Normal"/>
    <w:pPr>
      <w:keepNext/>
      <w:tabs>
        <w:tab w:val="clear" w:pos="1361"/>
        <w:tab w:val="clear" w:pos="2041"/>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360" w:lineRule="auto"/>
      <w:ind w:firstLine="482"/>
    </w:pPr>
    <w:rPr>
      <w:spacing w:val="4"/>
      <w:w w:val="103"/>
      <w:sz w:val="20"/>
      <w:szCs w:val="24"/>
    </w:rPr>
  </w:style>
  <w:style w:type="paragraph" w:styleId="TOC3">
    <w:name w:val="toc 3"/>
    <w:basedOn w:val="Normal"/>
    <w:next w:val="Normal"/>
    <w:autoRedefine/>
    <w:semiHidden/>
    <w:pPr>
      <w:tabs>
        <w:tab w:val="clear" w:pos="1361"/>
        <w:tab w:val="clear" w:pos="2041"/>
      </w:tabs>
      <w:spacing w:after="0" w:line="240" w:lineRule="exact"/>
      <w:ind w:left="400" w:firstLine="482"/>
    </w:pPr>
    <w:rPr>
      <w:spacing w:val="4"/>
      <w:w w:val="103"/>
      <w:sz w:val="20"/>
    </w:rPr>
  </w:style>
  <w:style w:type="paragraph" w:styleId="TOC4">
    <w:name w:val="toc 4"/>
    <w:basedOn w:val="Normal"/>
    <w:next w:val="Normal"/>
    <w:autoRedefine/>
    <w:semiHidden/>
    <w:pPr>
      <w:tabs>
        <w:tab w:val="clear" w:pos="1361"/>
        <w:tab w:val="clear" w:pos="2041"/>
      </w:tabs>
      <w:spacing w:after="0" w:line="240" w:lineRule="exact"/>
      <w:ind w:left="600" w:firstLine="482"/>
    </w:pPr>
    <w:rPr>
      <w:spacing w:val="4"/>
      <w:w w:val="103"/>
      <w:sz w:val="20"/>
    </w:rPr>
  </w:style>
  <w:style w:type="paragraph" w:styleId="TOC5">
    <w:name w:val="toc 5"/>
    <w:basedOn w:val="Normal"/>
    <w:next w:val="Normal"/>
    <w:autoRedefine/>
    <w:semiHidden/>
    <w:pPr>
      <w:tabs>
        <w:tab w:val="clear" w:pos="1361"/>
        <w:tab w:val="clear" w:pos="2041"/>
      </w:tabs>
      <w:spacing w:after="0" w:line="240" w:lineRule="exact"/>
      <w:ind w:left="800" w:firstLine="482"/>
    </w:pPr>
    <w:rPr>
      <w:spacing w:val="4"/>
      <w:w w:val="103"/>
      <w:sz w:val="20"/>
    </w:rPr>
  </w:style>
  <w:style w:type="paragraph" w:styleId="TOC6">
    <w:name w:val="toc 6"/>
    <w:basedOn w:val="Normal"/>
    <w:next w:val="Normal"/>
    <w:autoRedefine/>
    <w:semiHidden/>
    <w:pPr>
      <w:tabs>
        <w:tab w:val="clear" w:pos="1361"/>
        <w:tab w:val="clear" w:pos="2041"/>
      </w:tabs>
      <w:spacing w:after="0" w:line="240" w:lineRule="exact"/>
      <w:ind w:left="1000" w:firstLine="482"/>
    </w:pPr>
    <w:rPr>
      <w:spacing w:val="4"/>
      <w:w w:val="103"/>
      <w:sz w:val="20"/>
    </w:rPr>
  </w:style>
  <w:style w:type="paragraph" w:styleId="TOC7">
    <w:name w:val="toc 7"/>
    <w:basedOn w:val="Normal"/>
    <w:next w:val="Normal"/>
    <w:autoRedefine/>
    <w:semiHidden/>
    <w:pPr>
      <w:tabs>
        <w:tab w:val="clear" w:pos="1361"/>
        <w:tab w:val="clear" w:pos="2041"/>
      </w:tabs>
      <w:spacing w:after="0" w:line="240" w:lineRule="exact"/>
      <w:ind w:left="1200" w:firstLine="482"/>
    </w:pPr>
    <w:rPr>
      <w:spacing w:val="4"/>
      <w:w w:val="103"/>
      <w:sz w:val="20"/>
    </w:rPr>
  </w:style>
  <w:style w:type="paragraph" w:styleId="TOC8">
    <w:name w:val="toc 8"/>
    <w:basedOn w:val="Normal"/>
    <w:next w:val="Normal"/>
    <w:autoRedefine/>
    <w:semiHidden/>
    <w:pPr>
      <w:tabs>
        <w:tab w:val="clear" w:pos="1361"/>
        <w:tab w:val="clear" w:pos="2041"/>
      </w:tabs>
      <w:spacing w:after="0" w:line="240" w:lineRule="exact"/>
      <w:ind w:left="1400" w:firstLine="482"/>
    </w:pPr>
    <w:rPr>
      <w:spacing w:val="4"/>
      <w:w w:val="103"/>
      <w:sz w:val="20"/>
    </w:rPr>
  </w:style>
  <w:style w:type="paragraph" w:styleId="TOC9">
    <w:name w:val="toc 9"/>
    <w:basedOn w:val="Normal"/>
    <w:next w:val="Normal"/>
    <w:autoRedefine/>
    <w:semiHidden/>
    <w:pPr>
      <w:tabs>
        <w:tab w:val="clear" w:pos="1361"/>
        <w:tab w:val="clear" w:pos="2041"/>
      </w:tabs>
      <w:spacing w:after="0" w:line="240" w:lineRule="exact"/>
      <w:ind w:left="1600" w:firstLine="482"/>
    </w:pPr>
    <w:rPr>
      <w:spacing w:val="4"/>
      <w:w w:val="103"/>
      <w:sz w:val="20"/>
    </w:rPr>
  </w:style>
  <w:style w:type="character" w:customStyle="1" w:styleId="EquationCaption">
    <w:name w:val="_Equation Caption"/>
  </w:style>
  <w:style w:type="character" w:customStyle="1" w:styleId="TTable3E">
    <w:name w:val="_TTable3(E)"/>
    <w:rPr>
      <w:rFonts w:ascii="Times New Roman" w:hAnsi="Times New Roman"/>
      <w:sz w:val="20"/>
    </w:rPr>
  </w:style>
  <w:style w:type="paragraph" w:styleId="CommentSubject">
    <w:name w:val="annotation subject"/>
    <w:basedOn w:val="CommentText"/>
    <w:next w:val="CommentText"/>
    <w:semiHidden/>
    <w:rsid w:val="00551BCE"/>
    <w:rPr>
      <w:b/>
      <w:bCs/>
      <w:sz w:val="20"/>
    </w:rPr>
  </w:style>
  <w:style w:type="paragraph" w:styleId="BalloonText">
    <w:name w:val="Balloon Text"/>
    <w:basedOn w:val="Normal"/>
    <w:semiHidden/>
    <w:rsid w:val="00C654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mittvalg.net" TargetMode="External"/><Relationship Id="rId18" Type="http://schemas.openxmlformats.org/officeDocument/2006/relationships/hyperlink" Target="http://www.okprosjekt.n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yperlink" Target="http://www.likestillingsaktiviteter.no" TargetMode="External"/><Relationship Id="rId17" Type="http://schemas.openxmlformats.org/officeDocument/2006/relationships/hyperlink" Target="http://www.nho.no/ff" TargetMode="External"/><Relationship Id="rId2" Type="http://schemas.openxmlformats.org/officeDocument/2006/relationships/styles" Target="styles.xml"/><Relationship Id="rId16" Type="http://schemas.openxmlformats.org/officeDocument/2006/relationships/hyperlink" Target="http://kilden.forskningsradet.no/"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menniskolen.no" TargetMode="External"/><Relationship Id="rId10" Type="http://schemas.openxmlformats.org/officeDocument/2006/relationships/header" Target="header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sexhandel.n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4</Pages>
  <Words>55055</Words>
  <Characters>313814</Characters>
  <Application>Microsoft Office Word</Application>
  <DocSecurity>4</DocSecurity>
  <Lines>2615</Lines>
  <Paragraphs>736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368133</CharactersWithSpaces>
  <SharedDoc>false</SharedDoc>
  <HLinks>
    <vt:vector size="42" baseType="variant">
      <vt:variant>
        <vt:i4>1769541</vt:i4>
      </vt:variant>
      <vt:variant>
        <vt:i4>18</vt:i4>
      </vt:variant>
      <vt:variant>
        <vt:i4>0</vt:i4>
      </vt:variant>
      <vt:variant>
        <vt:i4>5</vt:i4>
      </vt:variant>
      <vt:variant>
        <vt:lpwstr>http://www.okprosjekt.no/</vt:lpwstr>
      </vt:variant>
      <vt:variant>
        <vt:lpwstr/>
      </vt:variant>
      <vt:variant>
        <vt:i4>851999</vt:i4>
      </vt:variant>
      <vt:variant>
        <vt:i4>15</vt:i4>
      </vt:variant>
      <vt:variant>
        <vt:i4>0</vt:i4>
      </vt:variant>
      <vt:variant>
        <vt:i4>5</vt:i4>
      </vt:variant>
      <vt:variant>
        <vt:lpwstr>http://www.nho.no/ff</vt:lpwstr>
      </vt:variant>
      <vt:variant>
        <vt:lpwstr/>
      </vt:variant>
      <vt:variant>
        <vt:i4>5046295</vt:i4>
      </vt:variant>
      <vt:variant>
        <vt:i4>12</vt:i4>
      </vt:variant>
      <vt:variant>
        <vt:i4>0</vt:i4>
      </vt:variant>
      <vt:variant>
        <vt:i4>5</vt:i4>
      </vt:variant>
      <vt:variant>
        <vt:lpwstr>http://kilden.forskningsradet.no/</vt:lpwstr>
      </vt:variant>
      <vt:variant>
        <vt:lpwstr/>
      </vt:variant>
      <vt:variant>
        <vt:i4>6881379</vt:i4>
      </vt:variant>
      <vt:variant>
        <vt:i4>9</vt:i4>
      </vt:variant>
      <vt:variant>
        <vt:i4>0</vt:i4>
      </vt:variant>
      <vt:variant>
        <vt:i4>5</vt:i4>
      </vt:variant>
      <vt:variant>
        <vt:lpwstr>http://www.menniskolen.no/</vt:lpwstr>
      </vt:variant>
      <vt:variant>
        <vt:lpwstr/>
      </vt:variant>
      <vt:variant>
        <vt:i4>524311</vt:i4>
      </vt:variant>
      <vt:variant>
        <vt:i4>6</vt:i4>
      </vt:variant>
      <vt:variant>
        <vt:i4>0</vt:i4>
      </vt:variant>
      <vt:variant>
        <vt:i4>5</vt:i4>
      </vt:variant>
      <vt:variant>
        <vt:lpwstr>http://www.sexhandel.no/</vt:lpwstr>
      </vt:variant>
      <vt:variant>
        <vt:lpwstr/>
      </vt:variant>
      <vt:variant>
        <vt:i4>4980817</vt:i4>
      </vt:variant>
      <vt:variant>
        <vt:i4>3</vt:i4>
      </vt:variant>
      <vt:variant>
        <vt:i4>0</vt:i4>
      </vt:variant>
      <vt:variant>
        <vt:i4>5</vt:i4>
      </vt:variant>
      <vt:variant>
        <vt:lpwstr>http://www.mittvalg.net/</vt:lpwstr>
      </vt:variant>
      <vt:variant>
        <vt:lpwstr/>
      </vt:variant>
      <vt:variant>
        <vt:i4>7143477</vt:i4>
      </vt:variant>
      <vt:variant>
        <vt:i4>0</vt:i4>
      </vt:variant>
      <vt:variant>
        <vt:i4>0</vt:i4>
      </vt:variant>
      <vt:variant>
        <vt:i4>5</vt:i4>
      </vt:variant>
      <vt:variant>
        <vt:lpwstr>http://www.likestillingsaktiviteter.no/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11</cp:revision>
  <cp:lastPrinted>2007-06-26T11:47:00Z</cp:lastPrinted>
  <dcterms:created xsi:type="dcterms:W3CDTF">2007-06-26T09:34:00Z</dcterms:created>
  <dcterms:modified xsi:type="dcterms:W3CDTF">2007-06-26T12:00:00Z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117</vt:lpwstr>
  </property>
  <property fmtid="{D5CDD505-2E9C-101B-9397-08002B2CF9AE}" pid="8" name="Operator">
    <vt:lpwstr>Panichkina</vt:lpwstr>
  </property>
</Properties>
</file>