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465A8047" w14:textId="77777777" w:rsidTr="00912700">
        <w:trPr>
          <w:trHeight w:hRule="exact" w:val="851"/>
        </w:trPr>
        <w:tc>
          <w:tcPr>
            <w:tcW w:w="1274" w:type="dxa"/>
            <w:tcBorders>
              <w:bottom w:val="single" w:sz="4" w:space="0" w:color="auto"/>
            </w:tcBorders>
          </w:tcPr>
          <w:p w14:paraId="0BAE2582" w14:textId="77777777" w:rsidR="006B3E27" w:rsidRPr="005445EF" w:rsidRDefault="006B3E27" w:rsidP="00ED7860">
            <w:pPr>
              <w:kinsoku w:val="0"/>
              <w:overflowPunct w:val="0"/>
              <w:autoSpaceDE w:val="0"/>
              <w:autoSpaceDN w:val="0"/>
              <w:adjustRightInd w:val="0"/>
              <w:snapToGrid w:val="0"/>
              <w:spacing w:after="80" w:line="480" w:lineRule="exact"/>
              <w:jc w:val="left"/>
              <w:rPr>
                <w:szCs w:val="40"/>
                <w:rtl/>
              </w:rPr>
            </w:pPr>
          </w:p>
        </w:tc>
        <w:tc>
          <w:tcPr>
            <w:tcW w:w="4679" w:type="dxa"/>
            <w:tcBorders>
              <w:bottom w:val="single" w:sz="4" w:space="0" w:color="auto"/>
            </w:tcBorders>
            <w:vAlign w:val="bottom"/>
          </w:tcPr>
          <w:p w14:paraId="32E1997C"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13C9F8CD" w14:textId="6D3B2A11" w:rsidR="006B3E27" w:rsidRPr="003364DF" w:rsidRDefault="003364DF" w:rsidP="003364DF">
            <w:pPr>
              <w:bidi w:val="0"/>
              <w:jc w:val="left"/>
            </w:pPr>
            <w:r w:rsidRPr="00F64CA3">
              <w:rPr>
                <w:sz w:val="40"/>
              </w:rPr>
              <w:t>CERD</w:t>
            </w:r>
            <w:r w:rsidRPr="00F64CA3">
              <w:t>/C/MAR/Q/</w:t>
            </w:r>
            <w:r w:rsidRPr="0080642F">
              <w:t>19</w:t>
            </w:r>
            <w:r w:rsidRPr="00F64CA3">
              <w:t>-</w:t>
            </w:r>
            <w:r w:rsidRPr="0080642F">
              <w:t>21</w:t>
            </w:r>
          </w:p>
        </w:tc>
      </w:tr>
      <w:tr w:rsidR="006B3E27" w:rsidRPr="005445EF" w14:paraId="76679413" w14:textId="77777777" w:rsidTr="00912700">
        <w:trPr>
          <w:trHeight w:hRule="exact" w:val="2835"/>
        </w:trPr>
        <w:tc>
          <w:tcPr>
            <w:tcW w:w="1274" w:type="dxa"/>
            <w:tcBorders>
              <w:top w:val="single" w:sz="4" w:space="0" w:color="auto"/>
              <w:bottom w:val="single" w:sz="12" w:space="0" w:color="auto"/>
            </w:tcBorders>
          </w:tcPr>
          <w:p w14:paraId="18F7F94A" w14:textId="77777777" w:rsidR="006B3E27" w:rsidRPr="005445EF" w:rsidRDefault="0059622A" w:rsidP="00912700">
            <w:pPr>
              <w:jc w:val="center"/>
              <w:rPr>
                <w:rtl/>
              </w:rPr>
            </w:pPr>
            <w:r w:rsidRPr="005445EF">
              <w:rPr>
                <w:noProof/>
              </w:rPr>
              <w:drawing>
                <wp:inline distT="0" distB="0" distL="0" distR="0" wp14:anchorId="266EDD3F" wp14:editId="062A7E2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C234905" w14:textId="77777777" w:rsidR="006B3E27" w:rsidRPr="0080642F" w:rsidRDefault="001E1CAD" w:rsidP="00F83E84">
            <w:pPr>
              <w:spacing w:before="120" w:after="40" w:line="640" w:lineRule="exact"/>
              <w:ind w:left="57"/>
              <w:jc w:val="left"/>
              <w:rPr>
                <w:b/>
                <w:bCs/>
                <w:sz w:val="46"/>
                <w:szCs w:val="46"/>
                <w:rtl/>
              </w:rPr>
            </w:pPr>
            <w:r w:rsidRPr="0080642F">
              <w:rPr>
                <w:rFonts w:hint="cs"/>
                <w:b/>
                <w:bCs/>
                <w:sz w:val="46"/>
                <w:szCs w:val="46"/>
                <w:rtl/>
              </w:rPr>
              <w:t>ا</w:t>
            </w:r>
            <w:r w:rsidR="00523BAE" w:rsidRPr="0080642F">
              <w:rPr>
                <w:rFonts w:hint="cs"/>
                <w:b/>
                <w:bCs/>
                <w:sz w:val="46"/>
                <w:szCs w:val="46"/>
                <w:rtl/>
              </w:rPr>
              <w:t>لا</w:t>
            </w:r>
            <w:r w:rsidR="004A14A6" w:rsidRPr="0080642F">
              <w:rPr>
                <w:rFonts w:hint="cs"/>
                <w:b/>
                <w:bCs/>
                <w:sz w:val="46"/>
                <w:szCs w:val="46"/>
                <w:rtl/>
              </w:rPr>
              <w:t>تفاقي</w:t>
            </w:r>
            <w:r w:rsidR="00523BAE" w:rsidRPr="0080642F">
              <w:rPr>
                <w:rFonts w:hint="cs"/>
                <w:b/>
                <w:bCs/>
                <w:sz w:val="46"/>
                <w:szCs w:val="46"/>
                <w:rtl/>
              </w:rPr>
              <w:t>ـ</w:t>
            </w:r>
            <w:r w:rsidR="004A14A6" w:rsidRPr="0080642F">
              <w:rPr>
                <w:rFonts w:hint="cs"/>
                <w:b/>
                <w:bCs/>
                <w:sz w:val="46"/>
                <w:szCs w:val="46"/>
                <w:rtl/>
              </w:rPr>
              <w:t xml:space="preserve">ة </w:t>
            </w:r>
            <w:r w:rsidR="00523BAE" w:rsidRPr="0080642F">
              <w:rPr>
                <w:rFonts w:hint="cs"/>
                <w:b/>
                <w:bCs/>
                <w:sz w:val="46"/>
                <w:szCs w:val="46"/>
                <w:rtl/>
              </w:rPr>
              <w:t>الدوليـة ل</w:t>
            </w:r>
            <w:r w:rsidR="004A14A6" w:rsidRPr="0080642F">
              <w:rPr>
                <w:rFonts w:hint="cs"/>
                <w:b/>
                <w:bCs/>
                <w:sz w:val="46"/>
                <w:szCs w:val="46"/>
                <w:rtl/>
              </w:rPr>
              <w:t>لقض</w:t>
            </w:r>
            <w:r w:rsidR="00523BAE" w:rsidRPr="0080642F">
              <w:rPr>
                <w:rFonts w:hint="cs"/>
                <w:b/>
                <w:bCs/>
                <w:sz w:val="46"/>
                <w:szCs w:val="46"/>
                <w:rtl/>
              </w:rPr>
              <w:t>ــ</w:t>
            </w:r>
            <w:r w:rsidR="004A14A6" w:rsidRPr="0080642F">
              <w:rPr>
                <w:rFonts w:hint="cs"/>
                <w:b/>
                <w:bCs/>
                <w:sz w:val="46"/>
                <w:szCs w:val="46"/>
                <w:rtl/>
              </w:rPr>
              <w:t>اء عل</w:t>
            </w:r>
            <w:r w:rsidR="00523BAE" w:rsidRPr="0080642F">
              <w:rPr>
                <w:rFonts w:hint="cs"/>
                <w:b/>
                <w:bCs/>
                <w:sz w:val="46"/>
                <w:szCs w:val="46"/>
                <w:rtl/>
              </w:rPr>
              <w:t>ـ</w:t>
            </w:r>
            <w:r w:rsidR="004A14A6" w:rsidRPr="0080642F">
              <w:rPr>
                <w:rFonts w:hint="cs"/>
                <w:b/>
                <w:bCs/>
                <w:sz w:val="46"/>
                <w:szCs w:val="46"/>
                <w:rtl/>
              </w:rPr>
              <w:t xml:space="preserve">ى جميع أشكال التمييز </w:t>
            </w:r>
            <w:r w:rsidR="00523BAE" w:rsidRPr="0080642F">
              <w:rPr>
                <w:rFonts w:hint="cs"/>
                <w:b/>
                <w:bCs/>
                <w:sz w:val="46"/>
                <w:szCs w:val="46"/>
                <w:rtl/>
              </w:rPr>
              <w:t>العنصري</w:t>
            </w:r>
          </w:p>
        </w:tc>
        <w:tc>
          <w:tcPr>
            <w:tcW w:w="3686" w:type="dxa"/>
            <w:tcBorders>
              <w:top w:val="single" w:sz="4" w:space="0" w:color="auto"/>
              <w:bottom w:val="single" w:sz="12" w:space="0" w:color="auto"/>
            </w:tcBorders>
          </w:tcPr>
          <w:p w14:paraId="32D9247B" w14:textId="4756A554" w:rsidR="006B3E27" w:rsidRDefault="003364DF" w:rsidP="002E002F">
            <w:pPr>
              <w:bidi w:val="0"/>
              <w:spacing w:before="240"/>
              <w:jc w:val="left"/>
            </w:pPr>
            <w:r>
              <w:t>Dist</w:t>
            </w:r>
            <w:r w:rsidR="00F64CA3" w:rsidRPr="00F64CA3">
              <w:t>r.:</w:t>
            </w:r>
            <w:r>
              <w:t xml:space="preserve"> General</w:t>
            </w:r>
          </w:p>
          <w:p w14:paraId="0D96D230" w14:textId="33165D66" w:rsidR="003364DF" w:rsidRDefault="00B802A0" w:rsidP="003364DF">
            <w:pPr>
              <w:bidi w:val="0"/>
              <w:spacing w:line="240" w:lineRule="exact"/>
              <w:jc w:val="left"/>
            </w:pPr>
            <w:r w:rsidRPr="0080642F">
              <w:t>3</w:t>
            </w:r>
            <w:r>
              <w:t xml:space="preserve"> October </w:t>
            </w:r>
            <w:r w:rsidR="003364DF" w:rsidRPr="0080642F">
              <w:t>2023</w:t>
            </w:r>
          </w:p>
          <w:p w14:paraId="2D73DA41" w14:textId="77777777" w:rsidR="003364DF" w:rsidRDefault="003364DF" w:rsidP="003364DF">
            <w:pPr>
              <w:bidi w:val="0"/>
              <w:spacing w:line="240" w:lineRule="exact"/>
              <w:jc w:val="left"/>
            </w:pPr>
            <w:r>
              <w:t>Arabic</w:t>
            </w:r>
          </w:p>
          <w:p w14:paraId="0564CDC5" w14:textId="639A4286" w:rsidR="00B802A0" w:rsidRPr="009B67F6" w:rsidRDefault="00B802A0" w:rsidP="00B802A0">
            <w:pPr>
              <w:bidi w:val="0"/>
            </w:pPr>
            <w:r>
              <w:t>Origina</w:t>
            </w:r>
            <w:r w:rsidR="00F64CA3" w:rsidRPr="00F64CA3">
              <w:t xml:space="preserve">l: </w:t>
            </w:r>
            <w:r>
              <w:t>French</w:t>
            </w:r>
          </w:p>
          <w:p w14:paraId="70B54D68" w14:textId="26C65B53" w:rsidR="003364DF" w:rsidRPr="003364DF" w:rsidRDefault="00B802A0" w:rsidP="00B802A0">
            <w:pPr>
              <w:bidi w:val="0"/>
              <w:spacing w:line="240" w:lineRule="exact"/>
              <w:jc w:val="left"/>
            </w:pPr>
            <w:r>
              <w:t>Arabi</w:t>
            </w:r>
            <w:r w:rsidR="00F64CA3" w:rsidRPr="00F64CA3">
              <w:t xml:space="preserve">c, </w:t>
            </w:r>
            <w:r>
              <w:t>Englis</w:t>
            </w:r>
            <w:r w:rsidR="00F64CA3" w:rsidRPr="00F64CA3">
              <w:t xml:space="preserve">h, </w:t>
            </w:r>
            <w:r>
              <w:t xml:space="preserve">French and </w:t>
            </w:r>
            <w:r>
              <w:br/>
              <w:t>Spanish only</w:t>
            </w:r>
          </w:p>
        </w:tc>
      </w:tr>
    </w:tbl>
    <w:p w14:paraId="1D716D8D" w14:textId="4B230C90" w:rsidR="00B802A0" w:rsidRPr="0080642F" w:rsidRDefault="00B802A0" w:rsidP="00F64CA3">
      <w:pPr>
        <w:spacing w:before="120" w:line="360" w:lineRule="exact"/>
        <w:textDirection w:val="tbRlV"/>
        <w:rPr>
          <w:rFonts w:eastAsiaTheme="minorEastAsia"/>
          <w:b/>
          <w:sz w:val="26"/>
          <w:szCs w:val="26"/>
          <w:lang w:val="ar-SA" w:eastAsia="zh-TW" w:bidi="en-GB"/>
        </w:rPr>
      </w:pPr>
      <w:r w:rsidRPr="0080642F">
        <w:rPr>
          <w:rFonts w:eastAsiaTheme="minorEastAsia"/>
          <w:bCs/>
          <w:sz w:val="26"/>
          <w:szCs w:val="26"/>
          <w:rtl/>
        </w:rPr>
        <w:t>لجنة القضاء على التمييز العنصري</w:t>
      </w:r>
    </w:p>
    <w:p w14:paraId="238476B1" w14:textId="77777777" w:rsidR="00B802A0" w:rsidRPr="0080642F" w:rsidRDefault="00B802A0" w:rsidP="00B802A0">
      <w:pPr>
        <w:spacing w:line="360" w:lineRule="exact"/>
        <w:textDirection w:val="tbRlV"/>
        <w:rPr>
          <w:rFonts w:eastAsiaTheme="minorEastAsia"/>
          <w:b/>
          <w:sz w:val="22"/>
          <w:lang w:val="en-GB" w:eastAsia="zh-TW" w:bidi="en-GB"/>
        </w:rPr>
      </w:pPr>
      <w:r w:rsidRPr="0080642F">
        <w:rPr>
          <w:rFonts w:eastAsiaTheme="minorEastAsia"/>
          <w:b/>
          <w:bCs/>
          <w:sz w:val="22"/>
          <w:rtl/>
        </w:rPr>
        <w:t>الدورة 111</w:t>
      </w:r>
    </w:p>
    <w:p w14:paraId="2BCA2E2E" w14:textId="77777777" w:rsidR="00B802A0" w:rsidRPr="00B802A0" w:rsidRDefault="00B802A0" w:rsidP="00B802A0">
      <w:pPr>
        <w:spacing w:line="360" w:lineRule="exact"/>
        <w:textDirection w:val="tbRlV"/>
        <w:rPr>
          <w:rFonts w:eastAsiaTheme="minorEastAsia"/>
          <w:sz w:val="22"/>
          <w:lang w:val="ar-SA" w:eastAsia="zh-TW" w:bidi="en-GB"/>
        </w:rPr>
      </w:pPr>
      <w:r w:rsidRPr="0080642F">
        <w:rPr>
          <w:rFonts w:eastAsiaTheme="minorEastAsia"/>
          <w:sz w:val="22"/>
          <w:rtl/>
        </w:rPr>
        <w:t>20</w:t>
      </w:r>
      <w:r w:rsidRPr="00B802A0">
        <w:rPr>
          <w:rFonts w:eastAsiaTheme="minorEastAsia"/>
          <w:sz w:val="22"/>
          <w:rtl/>
        </w:rPr>
        <w:t xml:space="preserve"> تشرين الثاني/نوفمبر - </w:t>
      </w:r>
      <w:r w:rsidRPr="0080642F">
        <w:rPr>
          <w:rFonts w:eastAsiaTheme="minorEastAsia"/>
          <w:sz w:val="22"/>
          <w:rtl/>
        </w:rPr>
        <w:t>8</w:t>
      </w:r>
      <w:r w:rsidRPr="00B802A0">
        <w:rPr>
          <w:rFonts w:eastAsiaTheme="minorEastAsia"/>
          <w:sz w:val="22"/>
          <w:rtl/>
        </w:rPr>
        <w:t xml:space="preserve"> كانون الأول/ديسمبر </w:t>
      </w:r>
      <w:r w:rsidRPr="0080642F">
        <w:rPr>
          <w:rFonts w:eastAsiaTheme="minorEastAsia"/>
          <w:sz w:val="22"/>
          <w:rtl/>
        </w:rPr>
        <w:t>2023</w:t>
      </w:r>
    </w:p>
    <w:p w14:paraId="065A784D" w14:textId="77777777" w:rsidR="00B802A0" w:rsidRPr="0080642F" w:rsidRDefault="00B802A0" w:rsidP="007904C5">
      <w:pPr>
        <w:spacing w:line="360" w:lineRule="exact"/>
        <w:ind w:right="6096"/>
        <w:textDirection w:val="tbRlV"/>
        <w:rPr>
          <w:rFonts w:eastAsiaTheme="minorEastAsia" w:hAnsi="Times"/>
          <w:b/>
          <w:bCs/>
          <w:color w:val="000000"/>
          <w:sz w:val="22"/>
          <w:lang w:val="ar-SA" w:eastAsia="zh-TW" w:bidi="en-GB"/>
        </w:rPr>
      </w:pPr>
      <w:r w:rsidRPr="0080642F">
        <w:rPr>
          <w:rFonts w:eastAsiaTheme="minorEastAsia"/>
          <w:b/>
          <w:bCs/>
          <w:sz w:val="22"/>
          <w:rtl/>
        </w:rPr>
        <w:t>النظر في التقارير والتعليقات والمعلومات المقدمة من الدول الأطراف بموجب المادة 9 من الاتفاقية</w:t>
      </w:r>
    </w:p>
    <w:p w14:paraId="57C5D06D" w14:textId="1C90D786" w:rsidR="00B802A0" w:rsidRPr="0080642F" w:rsidRDefault="00B802A0" w:rsidP="00B802A0">
      <w:pPr>
        <w:pStyle w:val="HChGA"/>
        <w:rPr>
          <w:vertAlign w:val="superscript"/>
          <w:lang w:val="en-US" w:eastAsia="zh-TW" w:bidi="en-GB"/>
        </w:rPr>
      </w:pPr>
      <w:r w:rsidRPr="0080642F">
        <w:rPr>
          <w:sz w:val="22"/>
          <w:szCs w:val="22"/>
          <w:rtl/>
        </w:rPr>
        <w:tab/>
      </w:r>
      <w:r w:rsidRPr="0080642F">
        <w:rPr>
          <w:sz w:val="22"/>
          <w:szCs w:val="22"/>
          <w:rtl/>
        </w:rPr>
        <w:tab/>
      </w:r>
      <w:r w:rsidRPr="0080642F">
        <w:rPr>
          <w:rtl/>
        </w:rPr>
        <w:t>قائمة المواضيع المتصلة بالتقرير الجامع للتقارير الدورية من التاسع عشر إلى الحادي والعشرين للمغرب</w:t>
      </w:r>
    </w:p>
    <w:p w14:paraId="5AD9D71D" w14:textId="77777777" w:rsidR="00B802A0" w:rsidRPr="0080642F" w:rsidRDefault="00B802A0" w:rsidP="00B802A0">
      <w:pPr>
        <w:pStyle w:val="H1GA"/>
        <w:rPr>
          <w:lang w:eastAsia="zh-TW" w:bidi="en-GB"/>
        </w:rPr>
      </w:pPr>
      <w:r w:rsidRPr="0080642F">
        <w:rPr>
          <w:rtl/>
        </w:rPr>
        <w:tab/>
      </w:r>
      <w:r w:rsidRPr="0080642F">
        <w:rPr>
          <w:rtl/>
        </w:rPr>
        <w:tab/>
        <w:t>مذكرة من المقرِّر القُطري</w:t>
      </w:r>
    </w:p>
    <w:p w14:paraId="721E547D" w14:textId="2FF74539" w:rsidR="00B802A0" w:rsidRPr="00B802A0" w:rsidRDefault="00B802A0" w:rsidP="00B802A0">
      <w:pPr>
        <w:pStyle w:val="SingleTxtGA"/>
        <w:rPr>
          <w:rFonts w:eastAsiaTheme="minorEastAsia"/>
          <w:lang w:val="ar-SA" w:eastAsia="zh-TW" w:bidi="en-GB"/>
        </w:rPr>
      </w:pPr>
      <w:r w:rsidRPr="0080642F">
        <w:rPr>
          <w:rFonts w:eastAsiaTheme="minorEastAsia"/>
          <w:rtl/>
        </w:rPr>
        <w:t>1</w:t>
      </w:r>
      <w:r w:rsidRPr="00B802A0">
        <w:rPr>
          <w:rFonts w:eastAsiaTheme="minorEastAsia"/>
          <w:rtl/>
        </w:rPr>
        <w:t>-</w:t>
      </w:r>
      <w:r w:rsidRPr="00B802A0">
        <w:rPr>
          <w:rFonts w:eastAsiaTheme="minorEastAsia"/>
          <w:rtl/>
        </w:rPr>
        <w:tab/>
        <w:t>قررت لجنة القضاء على التمييز العنصري في دورتها السادسة والسبعين أن يُرسل المقرِّر القُطري إلى الدولة الطرف المعنية قائمة قصيرة من المواضيع بهدف توجيه الحوار وتركيزه بين وفد الدولة الطرف واللجنة أثناء النظر في تقرير الدولة الطرف</w:t>
      </w:r>
      <w:r w:rsidR="00F64CA3" w:rsidRPr="00B50E01">
        <w:rPr>
          <w:rStyle w:val="FootnoteReference"/>
          <w:sz w:val="22"/>
          <w:rtl/>
        </w:rPr>
        <w:t>(</w:t>
      </w:r>
      <w:r w:rsidR="00F64CA3" w:rsidRPr="0080642F">
        <w:rPr>
          <w:rStyle w:val="FootnoteReference"/>
          <w:sz w:val="22"/>
          <w:lang w:val="en-AU"/>
        </w:rPr>
        <w:footnoteReference w:id="1"/>
      </w:r>
      <w:r w:rsidR="00F64CA3" w:rsidRPr="00F64CA3">
        <w:rPr>
          <w:rStyle w:val="FootnoteReference"/>
          <w:sz w:val="22"/>
          <w:rtl/>
        </w:rPr>
        <w:t>)</w:t>
      </w:r>
      <w:r w:rsidR="00F64CA3" w:rsidRPr="00F64CA3">
        <w:rPr>
          <w:rFonts w:eastAsiaTheme="minorEastAsia"/>
          <w:rtl/>
        </w:rPr>
        <w:t xml:space="preserve">. </w:t>
      </w:r>
      <w:r w:rsidRPr="00B802A0">
        <w:rPr>
          <w:rFonts w:eastAsiaTheme="minorEastAsia"/>
          <w:rtl/>
        </w:rPr>
        <w:t>ويرد أدناه قائمة مواضيع غير شاملة ومسائل أخرى قد تكون محل نقاش أثناء الحوار. ولا تستوجب هذه القائمة تقديم ردود كتابية.</w:t>
      </w:r>
    </w:p>
    <w:p w14:paraId="109C4144" w14:textId="4C78525F" w:rsidR="00B802A0" w:rsidRPr="0080642F" w:rsidRDefault="00B802A0" w:rsidP="00B802A0">
      <w:pPr>
        <w:pStyle w:val="H23GA"/>
        <w:rPr>
          <w:lang w:val="en-US" w:eastAsia="zh-TW" w:bidi="en-GB"/>
        </w:rPr>
      </w:pPr>
      <w:r w:rsidRPr="0080642F">
        <w:rPr>
          <w:rtl/>
        </w:rPr>
        <w:tab/>
      </w:r>
      <w:r w:rsidRPr="0080642F">
        <w:rPr>
          <w:rtl/>
        </w:rPr>
        <w:tab/>
        <w:t>الاتفاقية في القانون الداخلي والإطار المؤسسي والسياساتي لتنفيذها (المواد 1 و2 و4 و</w:t>
      </w:r>
      <w:r w:rsidR="00F64CA3" w:rsidRPr="0080642F">
        <w:rPr>
          <w:rtl/>
        </w:rPr>
        <w:t xml:space="preserve">6) </w:t>
      </w:r>
    </w:p>
    <w:p w14:paraId="558078F0" w14:textId="4BDA4AE5" w:rsidR="00B802A0" w:rsidRPr="00B802A0" w:rsidRDefault="00B802A0" w:rsidP="00B802A0">
      <w:pPr>
        <w:pStyle w:val="SingleTxtGA"/>
        <w:rPr>
          <w:rFonts w:eastAsiaTheme="minorEastAsia"/>
          <w:lang w:eastAsia="zh-TW" w:bidi="en-GB"/>
        </w:rPr>
      </w:pPr>
      <w:r w:rsidRPr="0080642F">
        <w:rPr>
          <w:rFonts w:eastAsiaTheme="minorEastAsia"/>
          <w:rtl/>
        </w:rPr>
        <w:t>2</w:t>
      </w:r>
      <w:r w:rsidRPr="00B802A0">
        <w:rPr>
          <w:rFonts w:eastAsiaTheme="minorEastAsia"/>
          <w:rtl/>
        </w:rPr>
        <w:t>-</w:t>
      </w:r>
      <w:r w:rsidRPr="00B802A0">
        <w:rPr>
          <w:rFonts w:eastAsiaTheme="minorEastAsia"/>
          <w:rtl/>
        </w:rPr>
        <w:tab/>
        <w:t>التركيبة السكانية لسكان الدولة الطرف ومؤشرات الحالة الاجتماعية الاقتصادية لمختلف الجماعات الإثنية، ولا سيما الأقليات وغير المواطنين، بمن فيهم المهاجرون واللاجئون وملتمسو اللجوء وعديمو الجنسية. والتدابير المتخذة لتعزيز نظام جمع البيانات، بما فيها التدابير الرامية إلى إدراج المتغيرات المتعلقة بالأصل الإثني، والأدوات البديلة المستحدثة أو المتوخاة، التي تمكن، من جهة، من الحصول على معلومات أكثر تفصيل</w:t>
      </w:r>
      <w:r w:rsidR="00D16342">
        <w:rPr>
          <w:rFonts w:eastAsiaTheme="minorEastAsia"/>
          <w:rtl/>
        </w:rPr>
        <w:t xml:space="preserve">اً </w:t>
      </w:r>
      <w:r w:rsidRPr="00B802A0">
        <w:rPr>
          <w:rFonts w:eastAsiaTheme="minorEastAsia"/>
          <w:rtl/>
        </w:rPr>
        <w:t>عن التحديات المحددة التي تواجهها فئات معينة، ولا سيما فيما</w:t>
      </w:r>
      <w:r w:rsidR="00D16342">
        <w:rPr>
          <w:rFonts w:eastAsiaTheme="minorEastAsia" w:hint="cs"/>
          <w:rtl/>
        </w:rPr>
        <w:t> </w:t>
      </w:r>
      <w:r w:rsidRPr="00B802A0">
        <w:rPr>
          <w:rFonts w:eastAsiaTheme="minorEastAsia"/>
          <w:rtl/>
        </w:rPr>
        <w:t>يتعلق بالتمييز العنصري، ومن ناحية أخرى تقييم تنفيذ الاتفاقية</w:t>
      </w:r>
      <w:r w:rsidR="00F64CA3" w:rsidRPr="00B50E01">
        <w:rPr>
          <w:rStyle w:val="FootnoteReference"/>
          <w:sz w:val="22"/>
          <w:rtl/>
        </w:rPr>
        <w:t>(</w:t>
      </w:r>
      <w:r w:rsidR="00F64CA3" w:rsidRPr="0080642F">
        <w:rPr>
          <w:rStyle w:val="FootnoteReference"/>
          <w:sz w:val="22"/>
          <w:lang w:val="en-AU"/>
        </w:rPr>
        <w:footnoteReference w:id="2"/>
      </w:r>
      <w:r w:rsidR="00F64CA3" w:rsidRPr="00F64CA3">
        <w:rPr>
          <w:rStyle w:val="FootnoteReference"/>
          <w:sz w:val="22"/>
          <w:rtl/>
        </w:rPr>
        <w:t>)</w:t>
      </w:r>
      <w:r w:rsidR="00F64CA3" w:rsidRPr="00F64CA3">
        <w:rPr>
          <w:rFonts w:eastAsiaTheme="minorEastAsia"/>
          <w:rtl/>
        </w:rPr>
        <w:t xml:space="preserve">. </w:t>
      </w:r>
    </w:p>
    <w:p w14:paraId="3CAC619C" w14:textId="5BEFE06A" w:rsidR="00B802A0" w:rsidRPr="00B802A0" w:rsidRDefault="00B802A0" w:rsidP="00B802A0">
      <w:pPr>
        <w:pStyle w:val="SingleTxtGA"/>
        <w:rPr>
          <w:rFonts w:eastAsiaTheme="minorEastAsia"/>
          <w:lang w:val="ar-SA" w:eastAsia="zh-TW" w:bidi="en-GB"/>
        </w:rPr>
      </w:pPr>
      <w:r w:rsidRPr="0080642F">
        <w:rPr>
          <w:rFonts w:eastAsiaTheme="minorEastAsia"/>
          <w:rtl/>
        </w:rPr>
        <w:t>3</w:t>
      </w:r>
      <w:r w:rsidRPr="00B802A0">
        <w:rPr>
          <w:rFonts w:eastAsiaTheme="minorEastAsia"/>
          <w:rtl/>
        </w:rPr>
        <w:t>-</w:t>
      </w:r>
      <w:r w:rsidRPr="00B802A0">
        <w:rPr>
          <w:rFonts w:eastAsiaTheme="minorEastAsia"/>
          <w:rtl/>
        </w:rPr>
        <w:tab/>
        <w:t>أمثلة على الحالات التي احتجت فيها المحاكم الوطنية بأحكام الاتفاقية وطبقتها مباشرة؛ ومعلومات مفصلة عن التدابير المتخذة للتوعية بالاتفاقية في صفوف القضاة وقضاة الصلح وموظفي إنفاذ القانون والمحامين، وكذلك بين السكان، وعن آثار هذه التدابير</w:t>
      </w:r>
      <w:r w:rsidR="00F64CA3" w:rsidRPr="00B50E01">
        <w:rPr>
          <w:rStyle w:val="FootnoteReference"/>
          <w:sz w:val="22"/>
          <w:rtl/>
        </w:rPr>
        <w:t>(</w:t>
      </w:r>
      <w:r w:rsidR="00F64CA3" w:rsidRPr="0080642F">
        <w:rPr>
          <w:rStyle w:val="FootnoteReference"/>
          <w:sz w:val="22"/>
          <w:lang w:val="en-AU"/>
        </w:rPr>
        <w:footnoteReference w:id="3"/>
      </w:r>
      <w:r w:rsidR="00F64CA3" w:rsidRPr="00F64CA3">
        <w:rPr>
          <w:rStyle w:val="FootnoteReference"/>
          <w:sz w:val="22"/>
          <w:rtl/>
        </w:rPr>
        <w:t>)</w:t>
      </w:r>
      <w:r w:rsidR="00F64CA3" w:rsidRPr="00F64CA3">
        <w:rPr>
          <w:rFonts w:eastAsiaTheme="minorEastAsia"/>
          <w:rtl/>
        </w:rPr>
        <w:t xml:space="preserve">. </w:t>
      </w:r>
    </w:p>
    <w:p w14:paraId="3C297005" w14:textId="3352BF2C" w:rsidR="00B802A0" w:rsidRPr="00B802A0" w:rsidRDefault="00B802A0" w:rsidP="00B802A0">
      <w:pPr>
        <w:pStyle w:val="SingleTxtGA"/>
        <w:rPr>
          <w:rFonts w:eastAsiaTheme="minorEastAsia"/>
          <w:lang w:eastAsia="zh-TW" w:bidi="en-GB"/>
        </w:rPr>
      </w:pPr>
      <w:r w:rsidRPr="0080642F">
        <w:rPr>
          <w:rFonts w:eastAsiaTheme="minorEastAsia"/>
          <w:rtl/>
        </w:rPr>
        <w:lastRenderedPageBreak/>
        <w:t>4</w:t>
      </w:r>
      <w:r w:rsidRPr="00B802A0">
        <w:rPr>
          <w:rFonts w:eastAsiaTheme="minorEastAsia"/>
          <w:rtl/>
        </w:rPr>
        <w:t>-</w:t>
      </w:r>
      <w:r w:rsidRPr="00B802A0">
        <w:rPr>
          <w:rFonts w:eastAsiaTheme="minorEastAsia"/>
          <w:rtl/>
        </w:rPr>
        <w:tab/>
        <w:t>التدابير المتخذة لتعديل الإطار القانوني أو لاعتماد تشريعات تتناول تحديد</w:t>
      </w:r>
      <w:r w:rsidR="00D16342">
        <w:rPr>
          <w:rFonts w:eastAsiaTheme="minorEastAsia"/>
          <w:rtl/>
        </w:rPr>
        <w:t xml:space="preserve">اً </w:t>
      </w:r>
      <w:r w:rsidRPr="00B802A0">
        <w:rPr>
          <w:rFonts w:eastAsiaTheme="minorEastAsia"/>
          <w:rtl/>
        </w:rPr>
        <w:t>حظر التمييز العنصري، بما فيه أشكاله المباشرة وغير المباشرة، وتغطي جميع مجالات القانون والحياة العامة، وفق</w:t>
      </w:r>
      <w:r w:rsidR="00D16342">
        <w:rPr>
          <w:rFonts w:eastAsiaTheme="minorEastAsia"/>
          <w:rtl/>
        </w:rPr>
        <w:t xml:space="preserve">اً </w:t>
      </w:r>
      <w:r w:rsidRPr="00B802A0">
        <w:rPr>
          <w:rFonts w:eastAsiaTheme="minorEastAsia"/>
          <w:rtl/>
        </w:rPr>
        <w:t xml:space="preserve">للفقرة </w:t>
      </w:r>
      <w:r w:rsidRPr="0080642F">
        <w:rPr>
          <w:rFonts w:eastAsiaTheme="minorEastAsia"/>
          <w:rtl/>
        </w:rPr>
        <w:t>1</w:t>
      </w:r>
      <w:r w:rsidRPr="00B802A0">
        <w:rPr>
          <w:rFonts w:eastAsiaTheme="minorEastAsia"/>
          <w:rtl/>
        </w:rPr>
        <w:t xml:space="preserve"> من المادة </w:t>
      </w:r>
      <w:r w:rsidRPr="0080642F">
        <w:rPr>
          <w:rFonts w:eastAsiaTheme="minorEastAsia"/>
          <w:rtl/>
        </w:rPr>
        <w:t>1</w:t>
      </w:r>
      <w:r w:rsidRPr="00B802A0">
        <w:rPr>
          <w:rFonts w:eastAsiaTheme="minorEastAsia"/>
          <w:rtl/>
        </w:rPr>
        <w:t xml:space="preserve"> من الاتفاقية</w:t>
      </w:r>
      <w:r w:rsidR="00F64CA3" w:rsidRPr="00B50E01">
        <w:rPr>
          <w:rStyle w:val="FootnoteReference"/>
          <w:sz w:val="22"/>
          <w:rtl/>
        </w:rPr>
        <w:t>(</w:t>
      </w:r>
      <w:r w:rsidR="00F64CA3" w:rsidRPr="0080642F">
        <w:rPr>
          <w:rStyle w:val="FootnoteReference"/>
          <w:sz w:val="22"/>
          <w:lang w:val="en-AU"/>
        </w:rPr>
        <w:footnoteReference w:id="4"/>
      </w:r>
      <w:r w:rsidR="00F64CA3" w:rsidRPr="00F64CA3">
        <w:rPr>
          <w:rStyle w:val="FootnoteReference"/>
          <w:sz w:val="22"/>
          <w:rtl/>
        </w:rPr>
        <w:t>)</w:t>
      </w:r>
      <w:r w:rsidR="00F64CA3" w:rsidRPr="00F64CA3">
        <w:rPr>
          <w:rFonts w:eastAsiaTheme="minorEastAsia"/>
          <w:rtl/>
        </w:rPr>
        <w:t xml:space="preserve">. </w:t>
      </w:r>
    </w:p>
    <w:p w14:paraId="1CBB3B32" w14:textId="3B4AEDBB" w:rsidR="00B802A0" w:rsidRPr="00B802A0" w:rsidRDefault="00B802A0" w:rsidP="00B802A0">
      <w:pPr>
        <w:pStyle w:val="SingleTxtGA"/>
        <w:rPr>
          <w:rFonts w:eastAsiaTheme="minorEastAsia"/>
          <w:lang w:eastAsia="zh-TW"/>
        </w:rPr>
      </w:pPr>
      <w:r w:rsidRPr="0080642F">
        <w:rPr>
          <w:rFonts w:eastAsiaTheme="minorEastAsia"/>
          <w:rtl/>
        </w:rPr>
        <w:t>5</w:t>
      </w:r>
      <w:r w:rsidRPr="00B802A0">
        <w:rPr>
          <w:rFonts w:eastAsiaTheme="minorEastAsia"/>
          <w:rtl/>
        </w:rPr>
        <w:t>-</w:t>
      </w:r>
      <w:r w:rsidRPr="00B802A0">
        <w:rPr>
          <w:rFonts w:eastAsiaTheme="minorEastAsia"/>
          <w:rtl/>
        </w:rPr>
        <w:tab/>
        <w:t>التدابير المتخذة لتجريم أفعال التمييز العنصري، وفق</w:t>
      </w:r>
      <w:r w:rsidR="00D16342">
        <w:rPr>
          <w:rFonts w:eastAsiaTheme="minorEastAsia"/>
          <w:rtl/>
        </w:rPr>
        <w:t xml:space="preserve">اً </w:t>
      </w:r>
      <w:r w:rsidRPr="00B802A0">
        <w:rPr>
          <w:rFonts w:eastAsiaTheme="minorEastAsia"/>
          <w:rtl/>
        </w:rPr>
        <w:t xml:space="preserve">لأحكام المادة </w:t>
      </w:r>
      <w:r w:rsidRPr="0080642F">
        <w:rPr>
          <w:rFonts w:eastAsiaTheme="minorEastAsia"/>
          <w:rtl/>
        </w:rPr>
        <w:t>4</w:t>
      </w:r>
      <w:r w:rsidRPr="00B802A0">
        <w:rPr>
          <w:rFonts w:eastAsiaTheme="minorEastAsia"/>
          <w:rtl/>
        </w:rPr>
        <w:t xml:space="preserve"> من الاتفاقية ولجعل الدوافع العنصرية ظرف</w:t>
      </w:r>
      <w:r w:rsidR="00D16342">
        <w:rPr>
          <w:rFonts w:eastAsiaTheme="minorEastAsia"/>
          <w:rtl/>
        </w:rPr>
        <w:t xml:space="preserve">اً </w:t>
      </w:r>
      <w:r w:rsidRPr="00B802A0">
        <w:rPr>
          <w:rFonts w:eastAsiaTheme="minorEastAsia"/>
          <w:rtl/>
        </w:rPr>
        <w:t>مشدد</w:t>
      </w:r>
      <w:r w:rsidR="00D16342">
        <w:rPr>
          <w:rFonts w:eastAsiaTheme="minorEastAsia"/>
          <w:rtl/>
        </w:rPr>
        <w:t xml:space="preserve">اً </w:t>
      </w:r>
      <w:r w:rsidRPr="00B802A0">
        <w:rPr>
          <w:rFonts w:eastAsiaTheme="minorEastAsia"/>
          <w:rtl/>
        </w:rPr>
        <w:t>للجرائم المنصوص عليها في القانون الجنائي</w:t>
      </w:r>
      <w:r w:rsidR="00F64CA3" w:rsidRPr="00B50E01">
        <w:rPr>
          <w:rStyle w:val="FootnoteReference"/>
          <w:sz w:val="22"/>
          <w:rtl/>
        </w:rPr>
        <w:t>(</w:t>
      </w:r>
      <w:r w:rsidR="00F64CA3" w:rsidRPr="0080642F">
        <w:rPr>
          <w:rStyle w:val="FootnoteReference"/>
          <w:sz w:val="22"/>
          <w:lang w:val="en-AU"/>
        </w:rPr>
        <w:footnoteReference w:id="5"/>
      </w:r>
      <w:r w:rsidR="00F64CA3" w:rsidRPr="00F64CA3">
        <w:rPr>
          <w:rStyle w:val="FootnoteReference"/>
          <w:sz w:val="22"/>
          <w:rtl/>
        </w:rPr>
        <w:t>)</w:t>
      </w:r>
      <w:r w:rsidR="00F64CA3" w:rsidRPr="00F64CA3">
        <w:rPr>
          <w:rFonts w:eastAsiaTheme="minorEastAsia"/>
          <w:rtl/>
        </w:rPr>
        <w:t xml:space="preserve">. </w:t>
      </w:r>
    </w:p>
    <w:p w14:paraId="0C867AC2" w14:textId="0C4B2FC6" w:rsidR="00F64CA3" w:rsidRPr="00F64CA3" w:rsidRDefault="00B802A0" w:rsidP="00B802A0">
      <w:pPr>
        <w:pStyle w:val="SingleTxtGA"/>
        <w:rPr>
          <w:rFonts w:eastAsiaTheme="minorEastAsia"/>
          <w:lang w:val="ar-SA" w:eastAsia="zh-TW" w:bidi="en-GB"/>
        </w:rPr>
      </w:pPr>
      <w:r w:rsidRPr="0080642F">
        <w:rPr>
          <w:rFonts w:eastAsiaTheme="minorEastAsia"/>
          <w:rtl/>
        </w:rPr>
        <w:t>6</w:t>
      </w:r>
      <w:r w:rsidRPr="00B802A0">
        <w:rPr>
          <w:rFonts w:eastAsiaTheme="minorEastAsia"/>
          <w:rtl/>
        </w:rPr>
        <w:t>-</w:t>
      </w:r>
      <w:r w:rsidRPr="00B802A0">
        <w:rPr>
          <w:rFonts w:eastAsiaTheme="minorEastAsia"/>
          <w:rtl/>
        </w:rPr>
        <w:tab/>
        <w:t>التدابير المتخذة لمنع ومكافحة خطاب الكراهية بدوافع عنصرية وجرائم الكراهية والتحريض على</w:t>
      </w:r>
      <w:r w:rsidR="00F64CA3">
        <w:rPr>
          <w:rFonts w:eastAsiaTheme="minorEastAsia" w:hint="cs"/>
          <w:rtl/>
        </w:rPr>
        <w:t> </w:t>
      </w:r>
      <w:r w:rsidRPr="00B802A0">
        <w:rPr>
          <w:rFonts w:eastAsiaTheme="minorEastAsia"/>
          <w:rtl/>
        </w:rPr>
        <w:t>الكراهية العنصرية وكره الأجانب، بما في ذلك في وسائط الإعلام وعلى الإنترنت، لا سيما ضد المهاجرين واللاجئين وملتمسي اللجوء، بمن فيهم القادمون من بلدان أفريقيا جنوب الصحراء الكبرى، وتحديد أثر هذه</w:t>
      </w:r>
      <w:r w:rsidR="00F64CA3">
        <w:rPr>
          <w:rFonts w:eastAsiaTheme="minorEastAsia" w:hint="cs"/>
          <w:rtl/>
        </w:rPr>
        <w:t> </w:t>
      </w:r>
      <w:r w:rsidRPr="00B802A0">
        <w:rPr>
          <w:rFonts w:eastAsiaTheme="minorEastAsia"/>
          <w:rtl/>
        </w:rPr>
        <w:t>التدابير</w:t>
      </w:r>
      <w:r w:rsidR="00F64CA3" w:rsidRPr="00B50E01">
        <w:rPr>
          <w:rStyle w:val="FootnoteReference"/>
          <w:sz w:val="22"/>
          <w:rtl/>
        </w:rPr>
        <w:t>(</w:t>
      </w:r>
      <w:r w:rsidR="00F64CA3" w:rsidRPr="0080642F">
        <w:rPr>
          <w:rStyle w:val="FootnoteReference"/>
          <w:sz w:val="22"/>
          <w:lang w:val="en-AU"/>
        </w:rPr>
        <w:footnoteReference w:id="6"/>
      </w:r>
      <w:r w:rsidR="00F64CA3" w:rsidRPr="00F64CA3">
        <w:rPr>
          <w:rStyle w:val="FootnoteReference"/>
          <w:sz w:val="22"/>
          <w:rtl/>
        </w:rPr>
        <w:t>)</w:t>
      </w:r>
      <w:r w:rsidR="00F64CA3" w:rsidRPr="00F64CA3">
        <w:rPr>
          <w:rFonts w:eastAsiaTheme="minorEastAsia"/>
          <w:rtl/>
        </w:rPr>
        <w:t>.</w:t>
      </w:r>
    </w:p>
    <w:p w14:paraId="4D369D38" w14:textId="5DC12A77" w:rsidR="00F64CA3" w:rsidRPr="00F64CA3" w:rsidRDefault="00B802A0" w:rsidP="00B802A0">
      <w:pPr>
        <w:pStyle w:val="SingleTxtGA"/>
        <w:rPr>
          <w:rFonts w:eastAsiaTheme="minorEastAsia"/>
          <w:lang w:eastAsia="zh-TW" w:bidi="en-GB"/>
        </w:rPr>
      </w:pPr>
      <w:r w:rsidRPr="0080642F">
        <w:rPr>
          <w:rFonts w:eastAsiaTheme="minorEastAsia"/>
          <w:rtl/>
        </w:rPr>
        <w:t>7</w:t>
      </w:r>
      <w:r w:rsidRPr="00B802A0">
        <w:rPr>
          <w:rFonts w:eastAsiaTheme="minorEastAsia"/>
          <w:rtl/>
        </w:rPr>
        <w:t>-</w:t>
      </w:r>
      <w:r w:rsidRPr="00B802A0">
        <w:rPr>
          <w:rFonts w:eastAsiaTheme="minorEastAsia"/>
          <w:rtl/>
        </w:rPr>
        <w:tab/>
        <w:t>أمثلة على الشكاوى التي رفعت والتحقيقات التي أجريت ضد أفراد أو جماعات يزعم أنها حرضت على التمييز العنصري وخطاب الكراهية العنصرية، بما في ذلك في وسائط الإعلام، أو شجعت عليهما في هذا الإطار، بما في ذلك على الإنترنت، والعقوبات المطبقة. والتدابير المتخذة لتحسين الإبلاغ عن جرائم الكراهية العنصرية وخطاب الكراهية العنصرية ورصدهما، بما في ذلك إنشاء نظام لتسجيل البيانات المتعلقة بهذا الموضوع وجمعها</w:t>
      </w:r>
      <w:r w:rsidR="00F64CA3" w:rsidRPr="00B50E01">
        <w:rPr>
          <w:rStyle w:val="FootnoteReference"/>
          <w:sz w:val="22"/>
          <w:rtl/>
        </w:rPr>
        <w:t>(</w:t>
      </w:r>
      <w:r w:rsidR="00F64CA3" w:rsidRPr="0080642F">
        <w:rPr>
          <w:rStyle w:val="FootnoteReference"/>
          <w:sz w:val="22"/>
          <w:lang w:val="en-AU"/>
        </w:rPr>
        <w:footnoteReference w:id="7"/>
      </w:r>
      <w:r w:rsidR="00F64CA3" w:rsidRPr="00F64CA3">
        <w:rPr>
          <w:rStyle w:val="FootnoteReference"/>
          <w:sz w:val="22"/>
          <w:rtl/>
        </w:rPr>
        <w:t>)</w:t>
      </w:r>
      <w:r w:rsidR="00F64CA3" w:rsidRPr="00F64CA3">
        <w:rPr>
          <w:rFonts w:eastAsiaTheme="minorEastAsia"/>
          <w:rtl/>
        </w:rPr>
        <w:t>.</w:t>
      </w:r>
    </w:p>
    <w:p w14:paraId="505074BF" w14:textId="3A8EC540" w:rsidR="00B802A0" w:rsidRPr="00B802A0" w:rsidRDefault="00B802A0" w:rsidP="00B802A0">
      <w:pPr>
        <w:pStyle w:val="SingleTxtGA"/>
        <w:rPr>
          <w:rFonts w:eastAsiaTheme="minorEastAsia"/>
          <w:lang w:val="ar-SA" w:eastAsia="zh-TW" w:bidi="en-GB"/>
        </w:rPr>
      </w:pPr>
      <w:r w:rsidRPr="0080642F">
        <w:rPr>
          <w:rFonts w:eastAsiaTheme="minorEastAsia"/>
          <w:rtl/>
        </w:rPr>
        <w:t>8</w:t>
      </w:r>
      <w:r w:rsidRPr="00B802A0">
        <w:rPr>
          <w:rFonts w:eastAsiaTheme="minorEastAsia"/>
          <w:rtl/>
        </w:rPr>
        <w:t>-</w:t>
      </w:r>
      <w:r w:rsidRPr="00B802A0">
        <w:rPr>
          <w:rFonts w:eastAsiaTheme="minorEastAsia"/>
          <w:rtl/>
        </w:rPr>
        <w:tab/>
        <w:t>معلومات عن التدابير المتخذة أو المتوخاة لضمان إدماج منع التمييز العنصري ومكافحته في أعمال وولايات الهيئات المسؤولة عن تعزيز حقوق الإنسان والمساواة وعدم التمييز، بما في ذلك المجلس الوطني لحقوق الإنسان ومؤسسة وسيط المملكة وهيئة المناصفة ومكافحة كل أشكال التمييز. وتوضيح ما</w:t>
      </w:r>
      <w:r w:rsidR="00D16342">
        <w:rPr>
          <w:rFonts w:eastAsiaTheme="minorEastAsia" w:hint="cs"/>
          <w:rtl/>
        </w:rPr>
        <w:t> </w:t>
      </w:r>
      <w:r w:rsidRPr="00B802A0">
        <w:rPr>
          <w:rFonts w:eastAsiaTheme="minorEastAsia"/>
          <w:rtl/>
        </w:rPr>
        <w:t>إذا كانت هذه المؤسسات مكلفة بتلقي الشكاوى المتصلة بحالات التمييز العنصري ومعالجتها؛ وإذا كان الأمر كذلك، تقديم أمثلة ملموسة على الشكاوى الواردة والمتابعة في هذا الصدد</w:t>
      </w:r>
      <w:r w:rsidR="00F64CA3" w:rsidRPr="00B50E01">
        <w:rPr>
          <w:rStyle w:val="FootnoteReference"/>
          <w:sz w:val="22"/>
          <w:rtl/>
        </w:rPr>
        <w:t>(</w:t>
      </w:r>
      <w:r w:rsidR="00F64CA3" w:rsidRPr="0080642F">
        <w:rPr>
          <w:rStyle w:val="FootnoteReference"/>
          <w:sz w:val="22"/>
          <w:lang w:val="en-AU"/>
        </w:rPr>
        <w:footnoteReference w:id="8"/>
      </w:r>
      <w:r w:rsidR="00F64CA3" w:rsidRPr="00F64CA3">
        <w:rPr>
          <w:rStyle w:val="FootnoteReference"/>
          <w:sz w:val="22"/>
          <w:rtl/>
        </w:rPr>
        <w:t>)</w:t>
      </w:r>
      <w:r w:rsidR="00F64CA3" w:rsidRPr="00F64CA3">
        <w:rPr>
          <w:rFonts w:eastAsiaTheme="minorEastAsia"/>
          <w:rtl/>
        </w:rPr>
        <w:t xml:space="preserve">. </w:t>
      </w:r>
    </w:p>
    <w:p w14:paraId="399BAAA3" w14:textId="19B9D402" w:rsidR="00B802A0" w:rsidRPr="00B802A0" w:rsidRDefault="00B802A0" w:rsidP="00B802A0">
      <w:pPr>
        <w:pStyle w:val="SingleTxtGA"/>
        <w:rPr>
          <w:rFonts w:eastAsiaTheme="minorEastAsia"/>
          <w:lang w:val="ar-SA" w:eastAsia="zh-TW" w:bidi="en-GB"/>
        </w:rPr>
      </w:pPr>
      <w:r w:rsidRPr="0080642F">
        <w:rPr>
          <w:rFonts w:eastAsiaTheme="minorEastAsia"/>
          <w:rtl/>
        </w:rPr>
        <w:t>9</w:t>
      </w:r>
      <w:r w:rsidRPr="00F64CA3">
        <w:rPr>
          <w:rFonts w:eastAsiaTheme="minorEastAsia"/>
          <w:spacing w:val="-6"/>
          <w:rtl/>
        </w:rPr>
        <w:t>-</w:t>
      </w:r>
      <w:r w:rsidRPr="00F64CA3">
        <w:rPr>
          <w:rFonts w:eastAsiaTheme="minorEastAsia"/>
          <w:spacing w:val="-6"/>
          <w:rtl/>
        </w:rPr>
        <w:tab/>
        <w:t xml:space="preserve">معلومات عن تنفيذ خطة العمل الوطنية في مجال الديمقراطية وحقوق الإنسان للفترة </w:t>
      </w:r>
      <w:r w:rsidRPr="0080642F">
        <w:rPr>
          <w:rFonts w:eastAsiaTheme="minorEastAsia"/>
          <w:spacing w:val="-6"/>
          <w:rtl/>
        </w:rPr>
        <w:t>2018</w:t>
      </w:r>
      <w:r w:rsidRPr="00F64CA3">
        <w:rPr>
          <w:rFonts w:eastAsiaTheme="minorEastAsia"/>
          <w:spacing w:val="-6"/>
          <w:rtl/>
        </w:rPr>
        <w:t>-</w:t>
      </w:r>
      <w:r w:rsidRPr="0080642F">
        <w:rPr>
          <w:rFonts w:eastAsiaTheme="minorEastAsia"/>
          <w:spacing w:val="-6"/>
          <w:rtl/>
        </w:rPr>
        <w:t>2021</w:t>
      </w:r>
      <w:r w:rsidRPr="00B802A0">
        <w:rPr>
          <w:rFonts w:eastAsiaTheme="minorEastAsia"/>
          <w:rtl/>
        </w:rPr>
        <w:t xml:space="preserve"> ونتائجها وتقييمها، ولا سيما فيما يتعلق بمنع التمييز العنصري ومكافحته، وعن التدابير الرامية إلى اعتماد خطة جديدة. ومعلومات عن التدابير المتخذة أو المتوخاة من أجل اعتماد خطة عمل وطنية ترمي إلى مكافحة العنصرية والتمييز العنصري وكره الأجانب وما يتصل بذلك من تعصب</w:t>
      </w:r>
      <w:r w:rsidR="00F64CA3" w:rsidRPr="00B50E01">
        <w:rPr>
          <w:rStyle w:val="FootnoteReference"/>
          <w:sz w:val="22"/>
          <w:rtl/>
        </w:rPr>
        <w:t>(</w:t>
      </w:r>
      <w:r w:rsidR="00F64CA3" w:rsidRPr="0080642F">
        <w:rPr>
          <w:rStyle w:val="FootnoteReference"/>
          <w:sz w:val="22"/>
          <w:lang w:val="en-AU"/>
        </w:rPr>
        <w:footnoteReference w:id="9"/>
      </w:r>
      <w:r w:rsidR="00F64CA3" w:rsidRPr="00F64CA3">
        <w:rPr>
          <w:rStyle w:val="FootnoteReference"/>
          <w:sz w:val="22"/>
          <w:rtl/>
        </w:rPr>
        <w:t>)</w:t>
      </w:r>
      <w:r w:rsidR="00F64CA3" w:rsidRPr="00F64CA3">
        <w:rPr>
          <w:rFonts w:eastAsiaTheme="minorEastAsia"/>
          <w:rtl/>
        </w:rPr>
        <w:t xml:space="preserve">. </w:t>
      </w:r>
      <w:r w:rsidRPr="00B802A0">
        <w:rPr>
          <w:rFonts w:eastAsiaTheme="minorEastAsia"/>
          <w:rtl/>
        </w:rPr>
        <w:t>ومعلومات عن التدابير المعتمدة وعن برنامج الأنشطة التي نظمت في البلد بمناسبة العقد الدولي للمنحدرين من أصل</w:t>
      </w:r>
      <w:r>
        <w:rPr>
          <w:rFonts w:eastAsiaTheme="minorEastAsia" w:hint="eastAsia"/>
          <w:rtl/>
        </w:rPr>
        <w:t> </w:t>
      </w:r>
      <w:r w:rsidRPr="00B802A0">
        <w:rPr>
          <w:rFonts w:eastAsiaTheme="minorEastAsia"/>
          <w:rtl/>
        </w:rPr>
        <w:t xml:space="preserve">أفريقي. </w:t>
      </w:r>
    </w:p>
    <w:p w14:paraId="7AA5455F" w14:textId="0F8BA171" w:rsidR="00F64CA3" w:rsidRPr="0080642F" w:rsidRDefault="00B802A0" w:rsidP="00B802A0">
      <w:pPr>
        <w:pStyle w:val="H23GA"/>
        <w:rPr>
          <w:lang w:eastAsia="zh-TW" w:bidi="en-GB"/>
        </w:rPr>
      </w:pPr>
      <w:r w:rsidRPr="0080642F">
        <w:rPr>
          <w:rtl/>
        </w:rPr>
        <w:tab/>
      </w:r>
      <w:r w:rsidRPr="0080642F">
        <w:rPr>
          <w:rtl/>
        </w:rPr>
        <w:tab/>
        <w:t xml:space="preserve">حالة الأقليات (المادة </w:t>
      </w:r>
      <w:r w:rsidR="00F64CA3" w:rsidRPr="0080642F">
        <w:rPr>
          <w:rtl/>
        </w:rPr>
        <w:t>5)</w:t>
      </w:r>
    </w:p>
    <w:p w14:paraId="7F98DBD7" w14:textId="3163428D" w:rsidR="00B802A0" w:rsidRPr="00B802A0" w:rsidRDefault="00B802A0" w:rsidP="00B802A0">
      <w:pPr>
        <w:pStyle w:val="SingleTxtGA"/>
        <w:rPr>
          <w:rFonts w:eastAsiaTheme="minorEastAsia"/>
          <w:lang w:eastAsia="zh-TW" w:bidi="en-GB"/>
        </w:rPr>
      </w:pPr>
      <w:r w:rsidRPr="0080642F">
        <w:rPr>
          <w:rFonts w:eastAsiaTheme="minorEastAsia"/>
          <w:rtl/>
        </w:rPr>
        <w:t>10</w:t>
      </w:r>
      <w:r w:rsidRPr="00B802A0">
        <w:rPr>
          <w:rFonts w:eastAsiaTheme="minorEastAsia"/>
          <w:rtl/>
        </w:rPr>
        <w:t>-</w:t>
      </w:r>
      <w:r w:rsidRPr="00B802A0">
        <w:rPr>
          <w:rFonts w:eastAsiaTheme="minorEastAsia"/>
          <w:rtl/>
        </w:rPr>
        <w:tab/>
        <w:t xml:space="preserve">التدابير المتخذة، بما فيها تدابير العمل الخاص أو الإيجابي، لمكافحة التمييز المتعدد الأشكال في حق الأقليات، ولا سيما الأمازيغ والصحراويين والمواطنين المغاربة السود وغير المواطنين، بمن فيهم </w:t>
      </w:r>
      <w:r w:rsidRPr="00B802A0">
        <w:rPr>
          <w:rFonts w:eastAsiaTheme="minorEastAsia"/>
          <w:rtl/>
        </w:rPr>
        <w:lastRenderedPageBreak/>
        <w:t>المهاجرون وملتمسو اللجوء واللاجئون من بلدان أفريقيا جنوب الصحراء الكبرى، وضمان تمتعهم الفعلي بحقوقهم. وعند الاقتضاء، تقديم توضيحات بشأن النتائج الملموسة لتنفيذ هذه التدابير ومشاركة أفراد هذه الفئات في تصميم هذه التدابير وتنفيذها وتقييمها.</w:t>
      </w:r>
    </w:p>
    <w:p w14:paraId="2636B208" w14:textId="78A80CA0" w:rsidR="00B802A0" w:rsidRPr="00B802A0" w:rsidRDefault="00B802A0" w:rsidP="00B802A0">
      <w:pPr>
        <w:pStyle w:val="SingleTxtGA"/>
        <w:rPr>
          <w:rFonts w:eastAsiaTheme="minorEastAsia"/>
          <w:lang w:eastAsia="zh-TW" w:bidi="en-GB"/>
        </w:rPr>
      </w:pPr>
      <w:r w:rsidRPr="0080642F">
        <w:rPr>
          <w:rFonts w:eastAsiaTheme="minorEastAsia"/>
          <w:rtl/>
        </w:rPr>
        <w:t>11</w:t>
      </w:r>
      <w:r w:rsidRPr="00B802A0">
        <w:rPr>
          <w:rFonts w:eastAsiaTheme="minorEastAsia"/>
          <w:rtl/>
        </w:rPr>
        <w:t>-</w:t>
      </w:r>
      <w:r w:rsidRPr="00B802A0">
        <w:rPr>
          <w:rFonts w:eastAsiaTheme="minorEastAsia"/>
          <w:rtl/>
        </w:rPr>
        <w:tab/>
        <w:t>التدابير المتخذة لزيادة مشاركة الأمازيغ والصحراويين والمواطنين المغاربة السود، لا سيما نساء هذه الفئات، في الحياة السياسية والشؤون العامة على جميع مستويات الإدارة، وضمان تمثيلهم تمثيل</w:t>
      </w:r>
      <w:r w:rsidR="00D16342">
        <w:rPr>
          <w:rFonts w:eastAsiaTheme="minorEastAsia"/>
          <w:rtl/>
        </w:rPr>
        <w:t xml:space="preserve">اً </w:t>
      </w:r>
      <w:r w:rsidRPr="00B802A0">
        <w:rPr>
          <w:rFonts w:eastAsiaTheme="minorEastAsia"/>
          <w:rtl/>
        </w:rPr>
        <w:t>أفضل على مستوى صنع القرار في القطاعين العام والخاص على السواء</w:t>
      </w:r>
      <w:r w:rsidR="00F64CA3" w:rsidRPr="00B50E01">
        <w:rPr>
          <w:rStyle w:val="FootnoteReference"/>
          <w:sz w:val="22"/>
          <w:rtl/>
        </w:rPr>
        <w:t>(</w:t>
      </w:r>
      <w:r w:rsidR="00F64CA3" w:rsidRPr="0080642F">
        <w:rPr>
          <w:rStyle w:val="FootnoteReference"/>
          <w:sz w:val="22"/>
          <w:lang w:val="en-AU"/>
        </w:rPr>
        <w:footnoteReference w:id="10"/>
      </w:r>
      <w:r w:rsidR="00F64CA3" w:rsidRPr="00F64CA3">
        <w:rPr>
          <w:rStyle w:val="FootnoteReference"/>
          <w:sz w:val="22"/>
          <w:rtl/>
        </w:rPr>
        <w:t>)</w:t>
      </w:r>
      <w:r w:rsidR="00F64CA3" w:rsidRPr="00F64CA3">
        <w:rPr>
          <w:rFonts w:eastAsiaTheme="minorEastAsia"/>
          <w:rtl/>
        </w:rPr>
        <w:t xml:space="preserve">. </w:t>
      </w:r>
      <w:r w:rsidRPr="00B802A0">
        <w:rPr>
          <w:rFonts w:eastAsiaTheme="minorEastAsia"/>
          <w:rtl/>
        </w:rPr>
        <w:t>والتدابير المعتمدة أو</w:t>
      </w:r>
      <w:r w:rsidR="00D16342">
        <w:rPr>
          <w:rFonts w:eastAsiaTheme="minorEastAsia" w:hint="cs"/>
          <w:rtl/>
        </w:rPr>
        <w:t> </w:t>
      </w:r>
      <w:r w:rsidRPr="00B802A0">
        <w:rPr>
          <w:rFonts w:eastAsiaTheme="minorEastAsia"/>
          <w:rtl/>
        </w:rPr>
        <w:t>المتوخاة لضمان ممارسة أفراد هذه الفئات حقوقهم المدنية والسياسية، بما فيها الحق في حرية الرأي والتعبير والتجمع السلمي وتكوين الجمعيات</w:t>
      </w:r>
      <w:r w:rsidR="00F64CA3" w:rsidRPr="00B50E01">
        <w:rPr>
          <w:rStyle w:val="FootnoteReference"/>
          <w:sz w:val="22"/>
          <w:rtl/>
        </w:rPr>
        <w:t>(</w:t>
      </w:r>
      <w:r w:rsidR="00F64CA3" w:rsidRPr="0080642F">
        <w:rPr>
          <w:rStyle w:val="FootnoteReference"/>
          <w:sz w:val="22"/>
          <w:lang w:val="en-AU"/>
        </w:rPr>
        <w:footnoteReference w:id="11"/>
      </w:r>
      <w:r w:rsidR="00F64CA3" w:rsidRPr="00F64CA3">
        <w:rPr>
          <w:rStyle w:val="FootnoteReference"/>
          <w:sz w:val="22"/>
          <w:rtl/>
        </w:rPr>
        <w:t>)</w:t>
      </w:r>
      <w:r w:rsidR="00F64CA3" w:rsidRPr="00F64CA3">
        <w:rPr>
          <w:rFonts w:eastAsiaTheme="minorEastAsia"/>
          <w:rtl/>
        </w:rPr>
        <w:t xml:space="preserve">. </w:t>
      </w:r>
      <w:r w:rsidRPr="00B802A0">
        <w:rPr>
          <w:rFonts w:eastAsiaTheme="minorEastAsia"/>
          <w:rtl/>
        </w:rPr>
        <w:t>ومعلومات محدثة عن التدابير المتخذة لضمان تسجيل الأسماء الأمازيغية في الممارسة العملية</w:t>
      </w:r>
      <w:r w:rsidR="00F64CA3" w:rsidRPr="00B50E01">
        <w:rPr>
          <w:rStyle w:val="FootnoteReference"/>
          <w:sz w:val="22"/>
          <w:rtl/>
        </w:rPr>
        <w:t>(</w:t>
      </w:r>
      <w:r w:rsidR="00F64CA3" w:rsidRPr="0080642F">
        <w:rPr>
          <w:rStyle w:val="FootnoteReference"/>
          <w:sz w:val="22"/>
          <w:lang w:val="en-AU"/>
        </w:rPr>
        <w:footnoteReference w:id="12"/>
      </w:r>
      <w:r w:rsidR="00F64CA3" w:rsidRPr="00F64CA3">
        <w:rPr>
          <w:rStyle w:val="FootnoteReference"/>
          <w:sz w:val="22"/>
          <w:rtl/>
        </w:rPr>
        <w:t>)</w:t>
      </w:r>
      <w:r w:rsidR="00F64CA3" w:rsidRPr="00F64CA3">
        <w:rPr>
          <w:rFonts w:eastAsiaTheme="minorEastAsia"/>
          <w:rtl/>
        </w:rPr>
        <w:t xml:space="preserve">. </w:t>
      </w:r>
    </w:p>
    <w:p w14:paraId="1B58982D" w14:textId="3706F3F4" w:rsidR="00B802A0" w:rsidRPr="00B802A0" w:rsidRDefault="00B802A0" w:rsidP="00B802A0">
      <w:pPr>
        <w:pStyle w:val="SingleTxtGA"/>
        <w:rPr>
          <w:rFonts w:eastAsiaTheme="minorEastAsia"/>
          <w:lang w:eastAsia="zh-TW" w:bidi="en-GB"/>
        </w:rPr>
      </w:pPr>
      <w:r w:rsidRPr="0080642F">
        <w:rPr>
          <w:rFonts w:eastAsiaTheme="minorEastAsia"/>
          <w:rtl/>
        </w:rPr>
        <w:t>12</w:t>
      </w:r>
      <w:r w:rsidRPr="00B802A0">
        <w:rPr>
          <w:rFonts w:eastAsiaTheme="minorEastAsia"/>
          <w:rtl/>
        </w:rPr>
        <w:t>-</w:t>
      </w:r>
      <w:r w:rsidRPr="00B802A0">
        <w:rPr>
          <w:rFonts w:eastAsiaTheme="minorEastAsia"/>
          <w:rtl/>
        </w:rPr>
        <w:tab/>
        <w:t>معلومات محدثة عن التدابير المتخذة للحد من مستوى الفقر بين الأمازيغ والصحراويين، وكذلك المهاجرين وملتمسي اللجوء واللاجئين. والتدابير الرامية إلى ضمان حصول هؤلاء الأشخاص فعلي</w:t>
      </w:r>
      <w:r w:rsidR="00D16342">
        <w:rPr>
          <w:rFonts w:eastAsiaTheme="minorEastAsia"/>
          <w:rtl/>
        </w:rPr>
        <w:t xml:space="preserve">اً </w:t>
      </w:r>
      <w:r w:rsidRPr="00B802A0">
        <w:rPr>
          <w:rFonts w:eastAsiaTheme="minorEastAsia"/>
          <w:rtl/>
        </w:rPr>
        <w:t>على السكن والتعليم والعمل والخدمات الصحية، وعند الاقتضاء تحقيق نتائج ملموسة لتنفيذ هذه التدابير. والتدابير المتخذة لتأمين حقوق الأمازيغ في الأراضي والمعلومات المتعلقة بادعاءات نزوح الأمازيغ القسري المتصل بمشاريع التنمية</w:t>
      </w:r>
      <w:r w:rsidR="00F64CA3" w:rsidRPr="00B50E01">
        <w:rPr>
          <w:rStyle w:val="FootnoteReference"/>
          <w:sz w:val="22"/>
          <w:rtl/>
        </w:rPr>
        <w:t>(</w:t>
      </w:r>
      <w:r w:rsidR="00F64CA3" w:rsidRPr="0080642F">
        <w:rPr>
          <w:rStyle w:val="FootnoteReference"/>
          <w:sz w:val="22"/>
          <w:lang w:val="en-AU"/>
        </w:rPr>
        <w:footnoteReference w:id="13"/>
      </w:r>
      <w:r w:rsidR="00F64CA3" w:rsidRPr="00F64CA3">
        <w:rPr>
          <w:rStyle w:val="FootnoteReference"/>
          <w:sz w:val="22"/>
          <w:rtl/>
        </w:rPr>
        <w:t>)</w:t>
      </w:r>
      <w:r w:rsidR="00F64CA3" w:rsidRPr="00F64CA3">
        <w:rPr>
          <w:rFonts w:eastAsiaTheme="minorEastAsia"/>
          <w:rtl/>
        </w:rPr>
        <w:t xml:space="preserve">. </w:t>
      </w:r>
    </w:p>
    <w:p w14:paraId="30D2C3D3" w14:textId="2E14AB3B" w:rsidR="00B802A0" w:rsidRPr="00B802A0" w:rsidRDefault="00B802A0" w:rsidP="00B802A0">
      <w:pPr>
        <w:pStyle w:val="SingleTxtGA"/>
        <w:rPr>
          <w:rFonts w:eastAsiaTheme="minorEastAsia"/>
          <w:lang w:val="ar-SA" w:eastAsia="zh-TW" w:bidi="en-GB"/>
        </w:rPr>
      </w:pPr>
      <w:r w:rsidRPr="0080642F">
        <w:rPr>
          <w:rFonts w:eastAsiaTheme="minorEastAsia"/>
          <w:rtl/>
        </w:rPr>
        <w:t>13</w:t>
      </w:r>
      <w:r w:rsidRPr="00B802A0">
        <w:rPr>
          <w:rFonts w:eastAsiaTheme="minorEastAsia"/>
          <w:rtl/>
        </w:rPr>
        <w:t>-</w:t>
      </w:r>
      <w:r w:rsidRPr="00B802A0">
        <w:rPr>
          <w:rFonts w:eastAsiaTheme="minorEastAsia"/>
          <w:rtl/>
        </w:rPr>
        <w:tab/>
        <w:t xml:space="preserve">معلومات محدثة عن التدابير المتخذة للنهوض باللغة والثقافة الأمازيغيتين، بما في ذلك معلومات عن تنفيذ القانون التنظيمي رقم </w:t>
      </w:r>
      <w:r w:rsidRPr="0080642F">
        <w:rPr>
          <w:rFonts w:eastAsiaTheme="minorEastAsia"/>
          <w:rtl/>
        </w:rPr>
        <w:t>26</w:t>
      </w:r>
      <w:r w:rsidRPr="00B802A0">
        <w:rPr>
          <w:rFonts w:eastAsiaTheme="minorEastAsia"/>
          <w:rtl/>
        </w:rPr>
        <w:t>-</w:t>
      </w:r>
      <w:r w:rsidRPr="0080642F">
        <w:rPr>
          <w:rFonts w:eastAsiaTheme="minorEastAsia"/>
          <w:rtl/>
        </w:rPr>
        <w:t>16</w:t>
      </w:r>
      <w:r w:rsidRPr="00B802A0">
        <w:rPr>
          <w:rFonts w:eastAsiaTheme="minorEastAsia"/>
          <w:rtl/>
        </w:rPr>
        <w:t xml:space="preserve"> المؤرخ </w:t>
      </w:r>
      <w:r w:rsidRPr="0080642F">
        <w:rPr>
          <w:rFonts w:eastAsiaTheme="minorEastAsia"/>
          <w:rtl/>
        </w:rPr>
        <w:t>12</w:t>
      </w:r>
      <w:r w:rsidRPr="00B802A0">
        <w:rPr>
          <w:rFonts w:eastAsiaTheme="minorEastAsia"/>
          <w:rtl/>
        </w:rPr>
        <w:t xml:space="preserve"> أيلول/سبتمبر </w:t>
      </w:r>
      <w:r w:rsidRPr="0080642F">
        <w:rPr>
          <w:rFonts w:eastAsiaTheme="minorEastAsia"/>
          <w:rtl/>
        </w:rPr>
        <w:t>2019</w:t>
      </w:r>
      <w:r w:rsidRPr="00B802A0">
        <w:rPr>
          <w:rFonts w:eastAsiaTheme="minorEastAsia"/>
          <w:rtl/>
        </w:rPr>
        <w:t xml:space="preserve"> وإنشاء المجلس الوطني للغات والثقافة المغربية، الذي استوعب المعهد الملكي للثقافة الأمازيغية، وعند الاقتضاء عن النتائج الملموسة لهذه التدابير. ومعلومات عن التدابير المتخذة لتعزيز تعليم اللغة الأمازيغية، بما في ذلك زيادة عدد معلمي اللغة الأمازيغية في جميع مستويات التعليم، ولزيادة عدد البرامج باللغة الأمازيغية في وسائط الإعلام السمعية البصرية. وتوضيح حول إدراج اللغة والأبجدية الأمازيغيتين في التطورات التشريعية المتعلقة ببطاقة التعريف الوطنية الإلكترونية</w:t>
      </w:r>
      <w:r w:rsidR="00F64CA3" w:rsidRPr="00B50E01">
        <w:rPr>
          <w:rStyle w:val="FootnoteReference"/>
          <w:sz w:val="22"/>
          <w:rtl/>
        </w:rPr>
        <w:t>(</w:t>
      </w:r>
      <w:r w:rsidR="00F64CA3" w:rsidRPr="0080642F">
        <w:rPr>
          <w:rStyle w:val="FootnoteReference"/>
          <w:sz w:val="22"/>
          <w:lang w:val="en-AU"/>
        </w:rPr>
        <w:footnoteReference w:id="14"/>
      </w:r>
      <w:r w:rsidR="00F64CA3" w:rsidRPr="00F64CA3">
        <w:rPr>
          <w:rStyle w:val="FootnoteReference"/>
          <w:sz w:val="22"/>
          <w:rtl/>
        </w:rPr>
        <w:t>)</w:t>
      </w:r>
      <w:r w:rsidR="00F64CA3" w:rsidRPr="00F64CA3">
        <w:rPr>
          <w:rFonts w:eastAsiaTheme="minorEastAsia"/>
          <w:rtl/>
        </w:rPr>
        <w:t xml:space="preserve">. </w:t>
      </w:r>
    </w:p>
    <w:p w14:paraId="4C2DB7B2" w14:textId="76FD1A6D" w:rsidR="00F64CA3" w:rsidRPr="0080642F" w:rsidRDefault="00B802A0" w:rsidP="00B802A0">
      <w:pPr>
        <w:pStyle w:val="H23GA"/>
        <w:rPr>
          <w:rtl/>
          <w:lang w:val="ar-SA" w:eastAsia="zh-TW" w:bidi="en-GB"/>
        </w:rPr>
      </w:pPr>
      <w:r w:rsidRPr="0080642F">
        <w:rPr>
          <w:rtl/>
        </w:rPr>
        <w:tab/>
      </w:r>
      <w:r w:rsidRPr="0080642F">
        <w:rPr>
          <w:rtl/>
        </w:rPr>
        <w:tab/>
        <w:t>حالة غير المواطنين، بمن فيهم المهاجرون واللاجئون وملت</w:t>
      </w:r>
      <w:r w:rsidR="003B1B0B" w:rsidRPr="0080642F">
        <w:rPr>
          <w:rFonts w:hint="cs"/>
          <w:rtl/>
        </w:rPr>
        <w:t>مسو</w:t>
      </w:r>
      <w:r w:rsidRPr="0080642F">
        <w:rPr>
          <w:rtl/>
        </w:rPr>
        <w:t xml:space="preserve"> اللجوء وعديمو الجنسية (المادة </w:t>
      </w:r>
      <w:r w:rsidR="00F64CA3" w:rsidRPr="0080642F">
        <w:rPr>
          <w:rtl/>
        </w:rPr>
        <w:t>5)</w:t>
      </w:r>
    </w:p>
    <w:p w14:paraId="0130A665" w14:textId="21F235D1" w:rsidR="00F64CA3" w:rsidRPr="00F64CA3" w:rsidRDefault="00B802A0" w:rsidP="00B802A0">
      <w:pPr>
        <w:pStyle w:val="SingleTxtGA"/>
        <w:rPr>
          <w:rFonts w:eastAsiaTheme="minorEastAsia"/>
          <w:lang w:eastAsia="zh-TW" w:bidi="en-GB"/>
        </w:rPr>
      </w:pPr>
      <w:r w:rsidRPr="0080642F">
        <w:rPr>
          <w:rFonts w:eastAsiaTheme="minorEastAsia"/>
          <w:rtl/>
        </w:rPr>
        <w:t>14</w:t>
      </w:r>
      <w:r w:rsidRPr="00B802A0">
        <w:rPr>
          <w:rFonts w:eastAsiaTheme="minorEastAsia"/>
          <w:rtl/>
        </w:rPr>
        <w:t>-</w:t>
      </w:r>
      <w:r w:rsidRPr="00B802A0">
        <w:rPr>
          <w:rFonts w:eastAsiaTheme="minorEastAsia"/>
          <w:rtl/>
        </w:rPr>
        <w:tab/>
        <w:t xml:space="preserve">التدابير المتخذة لمواءمة القانون رقم </w:t>
      </w:r>
      <w:r w:rsidRPr="0080642F">
        <w:rPr>
          <w:rFonts w:eastAsiaTheme="minorEastAsia"/>
          <w:rtl/>
        </w:rPr>
        <w:t>02</w:t>
      </w:r>
      <w:r w:rsidRPr="00B802A0">
        <w:rPr>
          <w:rFonts w:eastAsiaTheme="minorEastAsia"/>
          <w:rtl/>
        </w:rPr>
        <w:t>-</w:t>
      </w:r>
      <w:r w:rsidRPr="0080642F">
        <w:rPr>
          <w:rFonts w:eastAsiaTheme="minorEastAsia"/>
          <w:rtl/>
        </w:rPr>
        <w:t>03</w:t>
      </w:r>
      <w:r w:rsidRPr="00B802A0">
        <w:rPr>
          <w:rFonts w:eastAsiaTheme="minorEastAsia"/>
          <w:rtl/>
        </w:rPr>
        <w:t xml:space="preserve"> المؤرخ </w:t>
      </w:r>
      <w:r w:rsidRPr="0080642F">
        <w:rPr>
          <w:rFonts w:eastAsiaTheme="minorEastAsia"/>
          <w:rtl/>
        </w:rPr>
        <w:t>11</w:t>
      </w:r>
      <w:r w:rsidRPr="00B802A0">
        <w:rPr>
          <w:rFonts w:eastAsiaTheme="minorEastAsia"/>
          <w:rtl/>
        </w:rPr>
        <w:t xml:space="preserve"> تشرين الثاني/نوفمبر </w:t>
      </w:r>
      <w:r w:rsidRPr="0080642F">
        <w:rPr>
          <w:rFonts w:eastAsiaTheme="minorEastAsia"/>
          <w:rtl/>
        </w:rPr>
        <w:t>2003</w:t>
      </w:r>
      <w:r w:rsidRPr="00B802A0">
        <w:rPr>
          <w:rFonts w:eastAsiaTheme="minorEastAsia"/>
          <w:rtl/>
        </w:rPr>
        <w:t xml:space="preserve"> المتعلق بدخول وإقامة الأجانب بالمملكة المغربية وبالهجرة غير المشروعة مع الالتزامات الدولية في هذا المجال، ولا سيما الأحكام التي تجرم الهجرة غير النظامية. وتأثير الاستراتيجية الوطنية للهجرة واللجوء لعام </w:t>
      </w:r>
      <w:r w:rsidRPr="0080642F">
        <w:rPr>
          <w:rFonts w:eastAsiaTheme="minorEastAsia"/>
          <w:rtl/>
        </w:rPr>
        <w:t>2014</w:t>
      </w:r>
      <w:r w:rsidRPr="00B802A0">
        <w:rPr>
          <w:rFonts w:eastAsiaTheme="minorEastAsia"/>
          <w:rtl/>
        </w:rPr>
        <w:t xml:space="preserve"> على ضمان احترام حقوق غير المواطنين الأساسية، بما فيها الحصول على السكن والعمل والخدمات الصحية والتعليمية دون تمييز، والمعلومات عن تطور الموارد البشرية والتقنية والمالية المخصصة لتنفيذها. </w:t>
      </w:r>
      <w:r w:rsidRPr="00B802A0">
        <w:rPr>
          <w:rFonts w:eastAsiaTheme="minorEastAsia"/>
          <w:rtl/>
        </w:rPr>
        <w:lastRenderedPageBreak/>
        <w:t>ومعلومات عن المؤسسات المسؤولة عن إدماج غير المواطنين ومكافحة التمييز العنصري والعنصرية وكره الأجانب في حق هذه الفئات</w:t>
      </w:r>
      <w:r w:rsidR="00F64CA3" w:rsidRPr="00B50E01">
        <w:rPr>
          <w:rStyle w:val="FootnoteReference"/>
          <w:sz w:val="22"/>
          <w:rtl/>
        </w:rPr>
        <w:t>(</w:t>
      </w:r>
      <w:r w:rsidR="00F64CA3" w:rsidRPr="0080642F">
        <w:rPr>
          <w:rStyle w:val="FootnoteReference"/>
          <w:sz w:val="22"/>
          <w:lang w:val="en-AU"/>
        </w:rPr>
        <w:footnoteReference w:id="15"/>
      </w:r>
      <w:r w:rsidR="00F64CA3" w:rsidRPr="00F64CA3">
        <w:rPr>
          <w:rStyle w:val="FootnoteReference"/>
          <w:sz w:val="22"/>
          <w:rtl/>
        </w:rPr>
        <w:t>)</w:t>
      </w:r>
      <w:r w:rsidR="00F64CA3" w:rsidRPr="00F64CA3">
        <w:rPr>
          <w:rFonts w:eastAsiaTheme="minorEastAsia"/>
          <w:rtl/>
        </w:rPr>
        <w:t>.</w:t>
      </w:r>
    </w:p>
    <w:p w14:paraId="34511B15" w14:textId="77B21B8F" w:rsidR="00B802A0" w:rsidRPr="00B802A0" w:rsidRDefault="00B802A0" w:rsidP="00B802A0">
      <w:pPr>
        <w:pStyle w:val="SingleTxtGA"/>
        <w:rPr>
          <w:rFonts w:eastAsiaTheme="minorEastAsia"/>
          <w:lang w:eastAsia="zh-TW" w:bidi="en-GB"/>
        </w:rPr>
      </w:pPr>
      <w:r w:rsidRPr="0080642F">
        <w:rPr>
          <w:rFonts w:eastAsiaTheme="minorEastAsia"/>
          <w:rtl/>
        </w:rPr>
        <w:t>15</w:t>
      </w:r>
      <w:r w:rsidRPr="00B802A0">
        <w:rPr>
          <w:rFonts w:eastAsiaTheme="minorEastAsia"/>
          <w:rtl/>
        </w:rPr>
        <w:t>-</w:t>
      </w:r>
      <w:r w:rsidRPr="00B802A0">
        <w:rPr>
          <w:rFonts w:eastAsiaTheme="minorEastAsia"/>
          <w:rtl/>
        </w:rPr>
        <w:tab/>
        <w:t>التدابير المعتمدة لضمان تطبيق مبدأ عدم الإعادة القسرية دون تمييز ولوضع حد للتصنيف العرقي، وعمليات إعادة التوطين القسري، والاعتقال والاحتجاز التعسفيين، وإفراط موظفي إنفاذ القانون في استخدام القوة، والإعادة القسرية لغير المواطنين، بمن فيهم المهاجرون من بلدان أفريقيا جنوب الصحراء الكبرى</w:t>
      </w:r>
      <w:r w:rsidR="00F64CA3" w:rsidRPr="00B50E01">
        <w:rPr>
          <w:rStyle w:val="FootnoteReference"/>
          <w:sz w:val="22"/>
          <w:rtl/>
        </w:rPr>
        <w:t>(</w:t>
      </w:r>
      <w:r w:rsidR="00F64CA3" w:rsidRPr="0080642F">
        <w:rPr>
          <w:rStyle w:val="FootnoteReference"/>
          <w:sz w:val="22"/>
          <w:lang w:val="en-AU"/>
        </w:rPr>
        <w:footnoteReference w:id="16"/>
      </w:r>
      <w:r w:rsidR="00F64CA3" w:rsidRPr="00F64CA3">
        <w:rPr>
          <w:rStyle w:val="FootnoteReference"/>
          <w:sz w:val="22"/>
          <w:rtl/>
        </w:rPr>
        <w:t>)</w:t>
      </w:r>
      <w:r w:rsidR="00F64CA3" w:rsidRPr="00F64CA3">
        <w:rPr>
          <w:rFonts w:eastAsiaTheme="minorEastAsia"/>
          <w:rtl/>
        </w:rPr>
        <w:t xml:space="preserve">. </w:t>
      </w:r>
      <w:r w:rsidRPr="00B802A0">
        <w:rPr>
          <w:rFonts w:eastAsiaTheme="minorEastAsia"/>
          <w:rtl/>
        </w:rPr>
        <w:t xml:space="preserve">ومعلومات عن التحقيقات والملاحقات القضائية والعقوبات والتعويضات المقدمة لضحايا هذه الممارسات، بما في ذلك نتائج التحقيقات في الإجراءات التي اتخذتها سلطات إنفاذ القانون التابعة للدولة الطرف في </w:t>
      </w:r>
      <w:r w:rsidRPr="0080642F">
        <w:rPr>
          <w:rFonts w:eastAsiaTheme="minorEastAsia"/>
          <w:rtl/>
        </w:rPr>
        <w:t>24</w:t>
      </w:r>
      <w:r w:rsidRPr="00B802A0">
        <w:rPr>
          <w:rFonts w:eastAsiaTheme="minorEastAsia"/>
          <w:rtl/>
        </w:rPr>
        <w:t xml:space="preserve"> حزيران/</w:t>
      </w:r>
      <w:proofErr w:type="gramStart"/>
      <w:r w:rsidRPr="00B802A0">
        <w:rPr>
          <w:rFonts w:eastAsiaTheme="minorEastAsia"/>
          <w:rtl/>
        </w:rPr>
        <w:t>يونيه</w:t>
      </w:r>
      <w:proofErr w:type="gramEnd"/>
      <w:r w:rsidRPr="00B802A0">
        <w:rPr>
          <w:rFonts w:eastAsiaTheme="minorEastAsia"/>
          <w:rtl/>
        </w:rPr>
        <w:t xml:space="preserve"> </w:t>
      </w:r>
      <w:r w:rsidRPr="0080642F">
        <w:rPr>
          <w:rFonts w:eastAsiaTheme="minorEastAsia"/>
          <w:rtl/>
        </w:rPr>
        <w:t>2022</w:t>
      </w:r>
      <w:r w:rsidRPr="00B802A0">
        <w:rPr>
          <w:rFonts w:eastAsiaTheme="minorEastAsia"/>
          <w:rtl/>
        </w:rPr>
        <w:t xml:space="preserve"> ضد المهاجرين عند معبر الناظور - مليلية البري</w:t>
      </w:r>
      <w:r w:rsidR="00F64CA3" w:rsidRPr="00B50E01">
        <w:rPr>
          <w:rStyle w:val="FootnoteReference"/>
          <w:sz w:val="22"/>
          <w:rtl/>
        </w:rPr>
        <w:t>(</w:t>
      </w:r>
      <w:r w:rsidR="00F64CA3" w:rsidRPr="0080642F">
        <w:rPr>
          <w:rStyle w:val="FootnoteReference"/>
          <w:sz w:val="22"/>
          <w:lang w:val="en-AU"/>
        </w:rPr>
        <w:footnoteReference w:id="17"/>
      </w:r>
      <w:r w:rsidR="00F64CA3" w:rsidRPr="00F64CA3">
        <w:rPr>
          <w:rStyle w:val="FootnoteReference"/>
          <w:sz w:val="22"/>
          <w:rtl/>
        </w:rPr>
        <w:t>)</w:t>
      </w:r>
      <w:r w:rsidR="00F64CA3" w:rsidRPr="00F64CA3">
        <w:rPr>
          <w:rFonts w:eastAsiaTheme="minorEastAsia"/>
          <w:rtl/>
        </w:rPr>
        <w:t xml:space="preserve">. </w:t>
      </w:r>
    </w:p>
    <w:p w14:paraId="2688C614" w14:textId="5B5EEE66" w:rsidR="00B802A0" w:rsidRPr="00B802A0" w:rsidRDefault="00B802A0" w:rsidP="00B802A0">
      <w:pPr>
        <w:pStyle w:val="SingleTxtGA"/>
        <w:rPr>
          <w:rFonts w:eastAsiaTheme="minorEastAsia"/>
          <w:spacing w:val="-1"/>
          <w:lang w:eastAsia="zh-TW" w:bidi="en-GB"/>
        </w:rPr>
      </w:pPr>
      <w:r w:rsidRPr="0080642F">
        <w:rPr>
          <w:rFonts w:eastAsiaTheme="minorEastAsia"/>
          <w:rtl/>
        </w:rPr>
        <w:t>16</w:t>
      </w:r>
      <w:r w:rsidRPr="00B802A0">
        <w:rPr>
          <w:rFonts w:eastAsiaTheme="minorEastAsia"/>
          <w:rtl/>
        </w:rPr>
        <w:t>-</w:t>
      </w:r>
      <w:r w:rsidRPr="00B802A0">
        <w:rPr>
          <w:rFonts w:eastAsiaTheme="minorEastAsia"/>
          <w:rtl/>
        </w:rPr>
        <w:tab/>
        <w:t>الخطوات المتخذة من أجل ما يلي: (أ) اعتماد إطار تشريعي لحماية اللاجئين وملتمسي اللجوء يتماشى مع المعايير الدولية ويتضمن مبدأي عدم الإعادة القسرية وعدم التمييز وينص على إجراء لإقرار صفة اللاجئ؛ و(ب) ضمان الوصول الفعال إلى إجراءات اللجوء في جميع مَداخل البلد من أجل توفير حماية فعالة من الإعادة القسرية؛ و(ج) تيسير إصدار وتجديد تصاريح الإقامة لغير المواطنين، بمن فيهم المهاجرون وملتمسو اللجوء واللاجئون</w:t>
      </w:r>
      <w:r w:rsidR="00F64CA3" w:rsidRPr="00B50E01">
        <w:rPr>
          <w:rStyle w:val="FootnoteReference"/>
          <w:sz w:val="22"/>
          <w:rtl/>
        </w:rPr>
        <w:t>(</w:t>
      </w:r>
      <w:r w:rsidR="00F64CA3" w:rsidRPr="0080642F">
        <w:rPr>
          <w:rStyle w:val="FootnoteReference"/>
          <w:sz w:val="22"/>
          <w:lang w:val="en-AU"/>
        </w:rPr>
        <w:footnoteReference w:id="18"/>
      </w:r>
      <w:r w:rsidR="00F64CA3" w:rsidRPr="00F64CA3">
        <w:rPr>
          <w:rStyle w:val="FootnoteReference"/>
          <w:sz w:val="22"/>
          <w:rtl/>
        </w:rPr>
        <w:t>)</w:t>
      </w:r>
      <w:r w:rsidR="00F64CA3" w:rsidRPr="00F64CA3">
        <w:rPr>
          <w:rFonts w:eastAsiaTheme="minorEastAsia"/>
          <w:rtl/>
        </w:rPr>
        <w:t xml:space="preserve">. </w:t>
      </w:r>
    </w:p>
    <w:p w14:paraId="6823B1BF" w14:textId="03FB5A10" w:rsidR="00B802A0" w:rsidRPr="00B802A0" w:rsidRDefault="00B802A0" w:rsidP="00B802A0">
      <w:pPr>
        <w:pStyle w:val="SingleTxtGA"/>
        <w:rPr>
          <w:rFonts w:eastAsiaTheme="minorEastAsia"/>
          <w:spacing w:val="-1"/>
          <w:lang w:val="ar-SA" w:eastAsia="zh-TW" w:bidi="en-GB"/>
        </w:rPr>
      </w:pPr>
      <w:r w:rsidRPr="0080642F">
        <w:rPr>
          <w:rFonts w:eastAsiaTheme="minorEastAsia"/>
          <w:rtl/>
        </w:rPr>
        <w:t>17</w:t>
      </w:r>
      <w:r w:rsidRPr="00B802A0">
        <w:rPr>
          <w:rFonts w:eastAsiaTheme="minorEastAsia"/>
          <w:rtl/>
        </w:rPr>
        <w:t>-</w:t>
      </w:r>
      <w:r w:rsidRPr="00B802A0">
        <w:rPr>
          <w:rFonts w:eastAsiaTheme="minorEastAsia"/>
          <w:rtl/>
        </w:rPr>
        <w:tab/>
        <w:t xml:space="preserve">التدابير المعتمدة أو المتوخاة لإنشاء إطار قانوني وطني لحماية عديمي الجنسية، ومنع حالات انعدام الجنسية والحد منها، </w:t>
      </w:r>
      <w:r>
        <w:rPr>
          <w:rFonts w:eastAsiaTheme="minorEastAsia"/>
          <w:rtl/>
        </w:rPr>
        <w:t>لا سيما</w:t>
      </w:r>
      <w:r w:rsidRPr="00B802A0">
        <w:rPr>
          <w:rFonts w:eastAsiaTheme="minorEastAsia"/>
          <w:rtl/>
        </w:rPr>
        <w:t xml:space="preserve"> الأطفال المولودين في الدولة الطرف والذين لولا ذلك لكانوا عديمي</w:t>
      </w:r>
      <w:r>
        <w:rPr>
          <w:rFonts w:eastAsiaTheme="minorEastAsia" w:hint="cs"/>
          <w:rtl/>
        </w:rPr>
        <w:t> </w:t>
      </w:r>
      <w:r w:rsidRPr="00B802A0">
        <w:rPr>
          <w:rFonts w:eastAsiaTheme="minorEastAsia"/>
          <w:rtl/>
        </w:rPr>
        <w:t>الجنسية.</w:t>
      </w:r>
    </w:p>
    <w:p w14:paraId="3C66ED57" w14:textId="6493E827" w:rsidR="00B802A0" w:rsidRPr="0080642F" w:rsidRDefault="00B802A0" w:rsidP="00B802A0">
      <w:pPr>
        <w:pStyle w:val="H23GA"/>
        <w:rPr>
          <w:lang w:eastAsia="zh-TW" w:bidi="en-GB"/>
        </w:rPr>
      </w:pPr>
      <w:r w:rsidRPr="0080642F">
        <w:rPr>
          <w:rtl/>
        </w:rPr>
        <w:tab/>
      </w:r>
      <w:r w:rsidRPr="0080642F">
        <w:rPr>
          <w:rtl/>
        </w:rPr>
        <w:tab/>
        <w:t>إمكانية اللجوء إلى العدالة (المادتان 5 و</w:t>
      </w:r>
      <w:r w:rsidR="00F64CA3" w:rsidRPr="0080642F">
        <w:rPr>
          <w:rtl/>
        </w:rPr>
        <w:t xml:space="preserve">6) </w:t>
      </w:r>
    </w:p>
    <w:p w14:paraId="6F7F2AF4" w14:textId="511FA8E6" w:rsidR="00F64CA3" w:rsidRPr="00F64CA3" w:rsidRDefault="00B802A0" w:rsidP="00B802A0">
      <w:pPr>
        <w:pStyle w:val="SingleTxtGA"/>
        <w:rPr>
          <w:rFonts w:eastAsiaTheme="minorEastAsia"/>
          <w:lang w:val="en-US" w:eastAsia="zh-TW" w:bidi="en-GB"/>
        </w:rPr>
      </w:pPr>
      <w:r w:rsidRPr="0080642F">
        <w:rPr>
          <w:rFonts w:eastAsiaTheme="minorEastAsia"/>
          <w:rtl/>
        </w:rPr>
        <w:t>18</w:t>
      </w:r>
      <w:r w:rsidRPr="00B802A0">
        <w:rPr>
          <w:rFonts w:eastAsiaTheme="minorEastAsia"/>
          <w:rtl/>
        </w:rPr>
        <w:t>-</w:t>
      </w:r>
      <w:r w:rsidRPr="00B802A0">
        <w:rPr>
          <w:rFonts w:eastAsiaTheme="minorEastAsia"/>
          <w:rtl/>
        </w:rPr>
        <w:tab/>
        <w:t>معلومات عن الشكاوى المتعلقة بأفعال التمييز العنصري والجرائم ذات الصلة المقدمة إلى السلطات القضائية أو أي مؤسسة وطنية أخرى، بما فيها المجلس الوطني لحقوق الإنسان ومؤسسة وسيط المملكة، وعن نتائج التحقيقات التي أجريت والعقوبات التي فرضت والتعويضات التي منحت للضحايا. ومعلومات عن التدابير المتخذة لتيسير تقديم الشكاوى في حالات التمييز العنصري، بما في ذلك تحويل عبء الإثبات لصالح الضحايا</w:t>
      </w:r>
      <w:r w:rsidR="00F64CA3" w:rsidRPr="00B50E01">
        <w:rPr>
          <w:rStyle w:val="FootnoteReference"/>
          <w:sz w:val="22"/>
          <w:rtl/>
        </w:rPr>
        <w:t>(</w:t>
      </w:r>
      <w:r w:rsidR="00F64CA3" w:rsidRPr="0080642F">
        <w:rPr>
          <w:rStyle w:val="FootnoteReference"/>
          <w:sz w:val="22"/>
          <w:lang w:val="en-AU"/>
        </w:rPr>
        <w:footnoteReference w:id="19"/>
      </w:r>
      <w:r w:rsidR="00F64CA3" w:rsidRPr="00F64CA3">
        <w:rPr>
          <w:rStyle w:val="FootnoteReference"/>
          <w:sz w:val="22"/>
          <w:rtl/>
        </w:rPr>
        <w:t>)</w:t>
      </w:r>
      <w:r w:rsidR="00F64CA3" w:rsidRPr="00F64CA3">
        <w:rPr>
          <w:rFonts w:eastAsiaTheme="minorEastAsia"/>
          <w:rtl/>
        </w:rPr>
        <w:t>.</w:t>
      </w:r>
    </w:p>
    <w:p w14:paraId="70DAB773" w14:textId="4631D0A3" w:rsidR="00F64CA3" w:rsidRPr="00F64CA3" w:rsidRDefault="00B802A0" w:rsidP="00B802A0">
      <w:pPr>
        <w:pStyle w:val="SingleTxtGA"/>
        <w:rPr>
          <w:rFonts w:eastAsiaTheme="minorEastAsia"/>
          <w:lang w:eastAsia="zh-TW" w:bidi="en-GB"/>
        </w:rPr>
      </w:pPr>
      <w:r w:rsidRPr="0080642F">
        <w:rPr>
          <w:rFonts w:eastAsiaTheme="minorEastAsia"/>
          <w:rtl/>
        </w:rPr>
        <w:t>19</w:t>
      </w:r>
      <w:r w:rsidRPr="00B802A0">
        <w:rPr>
          <w:rFonts w:eastAsiaTheme="minorEastAsia"/>
          <w:rtl/>
        </w:rPr>
        <w:t>-</w:t>
      </w:r>
      <w:r w:rsidRPr="00B802A0">
        <w:rPr>
          <w:rFonts w:eastAsiaTheme="minorEastAsia"/>
          <w:rtl/>
        </w:rPr>
        <w:tab/>
        <w:t xml:space="preserve">معلومات إضافية عن التدابير الملموسة التي اعتمدت لتعزيز إمكانية اللجوء إلى العدالة لفائدة الأمازيغ والصحراويين والمواطنين المغاربة السود وغير المواطنين، بمن فيهم المهاجرون وملتمسو اللجوء واللاجئون من بلدان أفريقيا جنوب الصحراء الكبرى والأقليات الأخرى، ولا سيما التدابير الرامية إلى إزالة </w:t>
      </w:r>
      <w:r w:rsidRPr="00B802A0">
        <w:rPr>
          <w:rFonts w:eastAsiaTheme="minorEastAsia"/>
          <w:rtl/>
        </w:rPr>
        <w:lastRenderedPageBreak/>
        <w:t>العقبات في نظام القضاء التي تعقد لجوء الضحايا إلى العدالة، وتشمل هذه التحديات تعقيد الإجراءات وعدم وجود تدابير محددة لتوفير معلومات عن سبل الانتصاف والحواجز اللغوية لغير الناطقين باللغة</w:t>
      </w:r>
      <w:r>
        <w:rPr>
          <w:rFonts w:eastAsiaTheme="minorEastAsia" w:hint="cs"/>
          <w:rtl/>
        </w:rPr>
        <w:t> </w:t>
      </w:r>
      <w:r w:rsidRPr="00B802A0">
        <w:rPr>
          <w:rFonts w:eastAsiaTheme="minorEastAsia"/>
          <w:rtl/>
        </w:rPr>
        <w:t>العربية</w:t>
      </w:r>
      <w:r w:rsidR="00F64CA3" w:rsidRPr="00B50E01">
        <w:rPr>
          <w:rStyle w:val="FootnoteReference"/>
          <w:sz w:val="22"/>
          <w:rtl/>
        </w:rPr>
        <w:t>(</w:t>
      </w:r>
      <w:r w:rsidR="00F64CA3" w:rsidRPr="0080642F">
        <w:rPr>
          <w:rStyle w:val="FootnoteReference"/>
          <w:sz w:val="22"/>
          <w:lang w:val="en-AU"/>
        </w:rPr>
        <w:footnoteReference w:id="20"/>
      </w:r>
      <w:r w:rsidR="00F64CA3" w:rsidRPr="00F64CA3">
        <w:rPr>
          <w:rStyle w:val="FootnoteReference"/>
          <w:sz w:val="22"/>
          <w:rtl/>
        </w:rPr>
        <w:t>)</w:t>
      </w:r>
      <w:r w:rsidR="00F64CA3" w:rsidRPr="00F64CA3">
        <w:rPr>
          <w:rFonts w:eastAsiaTheme="minorEastAsia"/>
          <w:rtl/>
        </w:rPr>
        <w:t>.</w:t>
      </w:r>
    </w:p>
    <w:p w14:paraId="2275F494" w14:textId="11BCAF44" w:rsidR="00B802A0" w:rsidRPr="00B802A0" w:rsidRDefault="00B802A0" w:rsidP="00B802A0">
      <w:pPr>
        <w:pStyle w:val="SingleTxtGA"/>
        <w:rPr>
          <w:rFonts w:eastAsiaTheme="minorEastAsia"/>
          <w:lang w:eastAsia="zh-TW" w:bidi="en-GB"/>
        </w:rPr>
      </w:pPr>
      <w:r w:rsidRPr="0080642F">
        <w:rPr>
          <w:rFonts w:eastAsiaTheme="minorEastAsia"/>
          <w:rtl/>
        </w:rPr>
        <w:t>20</w:t>
      </w:r>
      <w:r w:rsidRPr="00B802A0">
        <w:rPr>
          <w:rFonts w:eastAsiaTheme="minorEastAsia"/>
          <w:rtl/>
        </w:rPr>
        <w:t>-</w:t>
      </w:r>
      <w:r w:rsidRPr="00B802A0">
        <w:rPr>
          <w:rFonts w:eastAsiaTheme="minorEastAsia"/>
          <w:rtl/>
        </w:rPr>
        <w:tab/>
        <w:t xml:space="preserve">التدابير المتخذة والمتوخاة، بما في ذلك في المجال التشريعي، لمنع التصنيف العرقي على يد موظفي إنفاذ القانون ومكافحته وحظره صراحة. والتدابير التأديبية والإصلاحية المحددة للتحقيق في حالات التصنيف العرقي والمعاقبة عليها في الممارسة العملية. وتدابير منع إفراط موظفي إنفاذ القانون في استخدام القوة، وإساءة المعاملة وإساءة استعمال السلطة ضد أفراد الأقليات الإثنية، ولا سيما الأمازيغ والصحراويين وغير المواطنين، بمن فيهم المهاجرون وملتمسو اللجوء واللاجئون من بلدان أفريقيا جنوب الصحراء الكبرى. والتدابير الرامية إلى ضمان التحقيق في هذه الحالات بسرعة وفعالية ونزاهة؛ ومعلومات عن التحقيقات والملاحقات القضائية والعقوبات والتعويضات المقدمة إلى الضحايا. </w:t>
      </w:r>
    </w:p>
    <w:p w14:paraId="55A52F0E" w14:textId="50F841CF" w:rsidR="00F64CA3" w:rsidRPr="0080642F" w:rsidRDefault="00B802A0" w:rsidP="00B802A0">
      <w:pPr>
        <w:pStyle w:val="H23GA"/>
        <w:rPr>
          <w:rtl/>
          <w:lang w:val="ar-SA" w:eastAsia="zh-TW" w:bidi="en-GB"/>
        </w:rPr>
      </w:pPr>
      <w:r w:rsidRPr="0080642F">
        <w:rPr>
          <w:rtl/>
        </w:rPr>
        <w:tab/>
      </w:r>
      <w:r w:rsidRPr="0080642F">
        <w:rPr>
          <w:rtl/>
        </w:rPr>
        <w:tab/>
        <w:t xml:space="preserve">التثقيف لمكافحة التحيز والتعصب (المادة </w:t>
      </w:r>
      <w:r w:rsidR="00F64CA3" w:rsidRPr="0080642F">
        <w:rPr>
          <w:rtl/>
        </w:rPr>
        <w:t>7)</w:t>
      </w:r>
    </w:p>
    <w:p w14:paraId="4AFA86D9" w14:textId="7BB673BD" w:rsidR="00F64CA3" w:rsidRPr="00F64CA3" w:rsidRDefault="00B802A0" w:rsidP="00B802A0">
      <w:pPr>
        <w:pStyle w:val="SingleTxtGA"/>
        <w:rPr>
          <w:rFonts w:eastAsiaTheme="minorEastAsia"/>
          <w:lang w:eastAsia="zh-TW" w:bidi="en-GB"/>
        </w:rPr>
      </w:pPr>
      <w:r w:rsidRPr="0080642F">
        <w:rPr>
          <w:rFonts w:eastAsiaTheme="minorEastAsia"/>
          <w:rtl/>
        </w:rPr>
        <w:t>21</w:t>
      </w:r>
      <w:r w:rsidRPr="00B802A0">
        <w:rPr>
          <w:rFonts w:eastAsiaTheme="minorEastAsia"/>
          <w:rtl/>
        </w:rPr>
        <w:t>-</w:t>
      </w:r>
      <w:r w:rsidRPr="00B802A0">
        <w:rPr>
          <w:rFonts w:eastAsiaTheme="minorEastAsia"/>
          <w:rtl/>
        </w:rPr>
        <w:tab/>
        <w:t>معلومات إضافية ومفصلة عن التدابير المتخذة لتعزيز التثقيف في مجال حقوق الإنسان، ولا</w:t>
      </w:r>
      <w:r w:rsidR="003B1B0B">
        <w:rPr>
          <w:rFonts w:eastAsiaTheme="minorEastAsia" w:hint="cs"/>
          <w:rtl/>
        </w:rPr>
        <w:t> </w:t>
      </w:r>
      <w:r w:rsidRPr="00B802A0">
        <w:rPr>
          <w:rFonts w:eastAsiaTheme="minorEastAsia"/>
          <w:rtl/>
        </w:rPr>
        <w:t>سيما بشأن الاتفاقية ومكافحة التمييز العنصري والعنصرية وكره الأجانب، في المناهج الدراسية وبرامج التدريب المهني، ومعلومات عن أثر هذه التدابير. ومعلومات عن تمثيل الأمازيغ والصحراويين والمواطنين المغاربة السود والمهاجرين وغيرهم من الأقليات في الكتب المدرسية والمناهج الدراسية على جميع المستويات، وكذلك عن مساهمة هذه الفئات في تنمية الدولة الطرف وتاريخها الوطني</w:t>
      </w:r>
      <w:r w:rsidR="00F64CA3" w:rsidRPr="00B50E01">
        <w:rPr>
          <w:rStyle w:val="FootnoteReference"/>
          <w:sz w:val="22"/>
          <w:rtl/>
        </w:rPr>
        <w:t>(</w:t>
      </w:r>
      <w:r w:rsidR="00F64CA3" w:rsidRPr="0080642F">
        <w:rPr>
          <w:rStyle w:val="FootnoteReference"/>
          <w:sz w:val="22"/>
          <w:lang w:val="en-AU"/>
        </w:rPr>
        <w:footnoteReference w:id="21"/>
      </w:r>
      <w:r w:rsidR="00F64CA3" w:rsidRPr="00F64CA3">
        <w:rPr>
          <w:rStyle w:val="FootnoteReference"/>
          <w:sz w:val="22"/>
          <w:rtl/>
        </w:rPr>
        <w:t>)</w:t>
      </w:r>
      <w:r w:rsidR="00F64CA3" w:rsidRPr="00F64CA3">
        <w:rPr>
          <w:rFonts w:eastAsiaTheme="minorEastAsia"/>
          <w:rtl/>
        </w:rPr>
        <w:t>.</w:t>
      </w:r>
    </w:p>
    <w:p w14:paraId="69A963A2" w14:textId="01B297CE" w:rsidR="00F64CA3" w:rsidRPr="00AF4187" w:rsidRDefault="00B802A0" w:rsidP="00B802A0">
      <w:pPr>
        <w:pStyle w:val="SingleTxtGA"/>
        <w:rPr>
          <w:rFonts w:eastAsiaTheme="minorEastAsia"/>
          <w:szCs w:val="20"/>
          <w:lang w:val="en-US" w:eastAsia="zh-TW" w:bidi="en-GB"/>
        </w:rPr>
      </w:pPr>
      <w:r w:rsidRPr="0080642F">
        <w:rPr>
          <w:rFonts w:eastAsiaTheme="minorEastAsia"/>
          <w:rtl/>
        </w:rPr>
        <w:t>22</w:t>
      </w:r>
      <w:r w:rsidRPr="00B802A0">
        <w:rPr>
          <w:rFonts w:eastAsiaTheme="minorEastAsia"/>
          <w:rtl/>
        </w:rPr>
        <w:t>-</w:t>
      </w:r>
      <w:r w:rsidRPr="00B802A0">
        <w:rPr>
          <w:rFonts w:eastAsiaTheme="minorEastAsia"/>
          <w:rtl/>
        </w:rPr>
        <w:tab/>
        <w:t>التدابير الملموسة المتخذة لمنع ومكافحة نشر القوالب النمطية والتحيزات العنصرية والقائمة على كره الأجانب التي تؤدي إلى التمييز العنصري في حق الأقليات، لا سيما الأمازيغ والصحراويين والمغاربة السود وغير المواطنين، بمن فيهم المهاجرون وملتمسو اللجوء واللاجئون من بلدان أفريقيا جنوب الصحراء الكبرى وغيرهم من الأقليات، بما في ذلك في وسائط الإعلام ووسائل التواصل الاجتماعي، وكذلك في كرة القدم والرياضات الأخرى. والتدابير المتخذة لتوعية الجمهور والموظفين العموميين وموظفي إنفاذ القانون بأهمية التنوع الثقافي والتسامح والتفاهم بين الإثنيات</w:t>
      </w:r>
      <w:r w:rsidR="00F64CA3" w:rsidRPr="00B50E01">
        <w:rPr>
          <w:rStyle w:val="FootnoteReference"/>
          <w:sz w:val="22"/>
          <w:rtl/>
        </w:rPr>
        <w:t>(</w:t>
      </w:r>
      <w:r w:rsidR="00F64CA3" w:rsidRPr="0080642F">
        <w:rPr>
          <w:rStyle w:val="FootnoteReference"/>
          <w:sz w:val="22"/>
          <w:lang w:val="en-AU"/>
        </w:rPr>
        <w:footnoteReference w:id="22"/>
      </w:r>
      <w:r w:rsidR="00F64CA3" w:rsidRPr="00F64CA3">
        <w:rPr>
          <w:rStyle w:val="FootnoteReference"/>
          <w:sz w:val="22"/>
          <w:rtl/>
        </w:rPr>
        <w:t>)</w:t>
      </w:r>
      <w:r w:rsidR="00AF4187">
        <w:rPr>
          <w:rFonts w:eastAsiaTheme="minorEastAsia" w:hint="cs"/>
          <w:rtl/>
        </w:rPr>
        <w:t>.</w:t>
      </w:r>
    </w:p>
    <w:p w14:paraId="52E7F550" w14:textId="2260348A" w:rsidR="00B802A0" w:rsidRPr="00B802A0" w:rsidRDefault="00B802A0" w:rsidP="00B802A0">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B802A0" w:rsidRPr="00B802A0" w:rsidSect="003364D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40B39" w14:textId="77777777" w:rsidR="008475C7" w:rsidRPr="002901D9" w:rsidRDefault="008475C7" w:rsidP="007E37DC">
      <w:pPr>
        <w:spacing w:after="60" w:line="240" w:lineRule="auto"/>
        <w:ind w:left="57"/>
        <w:rPr>
          <w:i/>
          <w:iCs/>
        </w:rPr>
      </w:pPr>
      <w:r>
        <w:rPr>
          <w:rFonts w:hint="cs"/>
          <w:i/>
          <w:iCs/>
          <w:rtl/>
        </w:rPr>
        <w:t>الحواشي</w:t>
      </w:r>
    </w:p>
  </w:endnote>
  <w:endnote w:type="continuationSeparator" w:id="0">
    <w:p w14:paraId="22A891B4" w14:textId="77777777" w:rsidR="008475C7" w:rsidRDefault="008475C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w:altName w:val="Sylfae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77F35" w14:textId="2EB93A47" w:rsidR="00ED7860" w:rsidRPr="00ED7860" w:rsidRDefault="00ED7860" w:rsidP="00ED7860">
    <w:pPr>
      <w:pStyle w:val="Footer"/>
      <w:tabs>
        <w:tab w:val="right" w:pos="9638"/>
      </w:tabs>
      <w:rPr>
        <w:b/>
        <w:sz w:val="18"/>
        <w:lang w:val="en-US"/>
      </w:rPr>
    </w:pPr>
    <w:r>
      <w:rPr>
        <w:lang w:val="en-US"/>
      </w:rPr>
      <w:t>GE.23-18409</w:t>
    </w:r>
    <w:r>
      <w:rPr>
        <w:lang w:val="en-US"/>
      </w:rPr>
      <w:tab/>
    </w:r>
    <w:r w:rsidRPr="00ED7860">
      <w:rPr>
        <w:b/>
        <w:sz w:val="18"/>
        <w:lang w:val="en-US"/>
      </w:rPr>
      <w:fldChar w:fldCharType="begin"/>
    </w:r>
    <w:r w:rsidRPr="00ED7860">
      <w:rPr>
        <w:b/>
        <w:sz w:val="18"/>
        <w:lang w:val="en-US"/>
      </w:rPr>
      <w:instrText xml:space="preserve"> PAGE  \* MERGEFORMAT </w:instrText>
    </w:r>
    <w:r w:rsidRPr="00ED7860">
      <w:rPr>
        <w:b/>
        <w:sz w:val="18"/>
        <w:lang w:val="en-US"/>
      </w:rPr>
      <w:fldChar w:fldCharType="separate"/>
    </w:r>
    <w:r w:rsidRPr="00ED7860">
      <w:rPr>
        <w:b/>
        <w:noProof/>
        <w:sz w:val="18"/>
        <w:lang w:val="en-US"/>
      </w:rPr>
      <w:t>2</w:t>
    </w:r>
    <w:r w:rsidRPr="00ED786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7B4F3" w14:textId="4AD63171" w:rsidR="006959B0" w:rsidRPr="00ED7860" w:rsidRDefault="00ED7860" w:rsidP="00ED786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GE.23-18409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A004" w14:textId="25F44E1F" w:rsidR="00156D54" w:rsidRPr="00ED7860" w:rsidRDefault="00ED7860" w:rsidP="00ED7860">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501609A5" wp14:editId="1A51D64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23-18409 (A)</w:t>
    </w:r>
    <w:r>
      <w:rPr>
        <w:noProof/>
        <w:sz w:val="20"/>
        <w:lang w:val="en-US"/>
      </w:rPr>
      <w:drawing>
        <wp:anchor distT="0" distB="0" distL="114300" distR="114300" simplePos="0" relativeHeight="251659264" behindDoc="0" locked="0" layoutInCell="1" allowOverlap="1" wp14:anchorId="44B87095" wp14:editId="6A4F83A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63D7D" w14:textId="77777777" w:rsidR="008475C7" w:rsidRPr="00F46702" w:rsidRDefault="008475C7"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CDF33D5" w14:textId="77777777" w:rsidR="008475C7" w:rsidRDefault="008475C7" w:rsidP="00656392">
      <w:pPr>
        <w:spacing w:line="240" w:lineRule="auto"/>
      </w:pPr>
      <w:r>
        <w:continuationSeparator/>
      </w:r>
    </w:p>
  </w:footnote>
  <w:footnote w:id="1">
    <w:p w14:paraId="3C2763A4"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 w:history="1">
        <w:r w:rsidRPr="00F64CA3">
          <w:rPr>
            <w:rStyle w:val="Hyperlink"/>
          </w:rPr>
          <w:t>A/</w:t>
        </w:r>
        <w:r w:rsidRPr="0080642F">
          <w:rPr>
            <w:rStyle w:val="Hyperlink"/>
          </w:rPr>
          <w:t>65</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85</w:t>
      </w:r>
      <w:r w:rsidRPr="00F64CA3">
        <w:rPr>
          <w:rFonts w:eastAsiaTheme="minorEastAsia"/>
          <w:rtl/>
        </w:rPr>
        <w:t xml:space="preserve">. </w:t>
      </w:r>
    </w:p>
  </w:footnote>
  <w:footnote w:id="2">
    <w:p w14:paraId="14D09545"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2"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7</w:t>
      </w:r>
      <w:r w:rsidRPr="00B802A0">
        <w:rPr>
          <w:rFonts w:eastAsiaTheme="minorEastAsia"/>
          <w:rtl/>
        </w:rPr>
        <w:t>؛ و</w:t>
      </w:r>
      <w:hyperlink r:id="rId3"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10</w:t>
      </w:r>
      <w:r w:rsidRPr="00B802A0">
        <w:rPr>
          <w:rFonts w:eastAsiaTheme="minorEastAsia"/>
          <w:rtl/>
        </w:rPr>
        <w:t xml:space="preserve"> إلى </w:t>
      </w:r>
      <w:r w:rsidRPr="0080642F">
        <w:rPr>
          <w:rFonts w:eastAsiaTheme="minorEastAsia"/>
          <w:rtl/>
        </w:rPr>
        <w:t>17</w:t>
      </w:r>
      <w:r w:rsidRPr="00F64CA3">
        <w:rPr>
          <w:rFonts w:eastAsiaTheme="minorEastAsia"/>
          <w:rtl/>
        </w:rPr>
        <w:t xml:space="preserve">. </w:t>
      </w:r>
    </w:p>
  </w:footnote>
  <w:footnote w:id="3">
    <w:p w14:paraId="1C81330D"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4"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8</w:t>
      </w:r>
      <w:r w:rsidRPr="00B802A0">
        <w:rPr>
          <w:rFonts w:eastAsiaTheme="minorEastAsia"/>
          <w:rtl/>
        </w:rPr>
        <w:t>؛ و</w:t>
      </w:r>
      <w:hyperlink r:id="rId5"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24</w:t>
      </w:r>
      <w:r w:rsidRPr="00B802A0">
        <w:rPr>
          <w:rFonts w:eastAsiaTheme="minorEastAsia"/>
          <w:rtl/>
        </w:rPr>
        <w:t xml:space="preserve"> و</w:t>
      </w:r>
      <w:r w:rsidRPr="0080642F">
        <w:rPr>
          <w:rFonts w:eastAsiaTheme="minorEastAsia"/>
          <w:rtl/>
        </w:rPr>
        <w:t>54</w:t>
      </w:r>
      <w:r w:rsidRPr="00B802A0">
        <w:rPr>
          <w:rFonts w:eastAsiaTheme="minorEastAsia"/>
          <w:rtl/>
        </w:rPr>
        <w:t xml:space="preserve"> ومن </w:t>
      </w:r>
      <w:r w:rsidRPr="0080642F">
        <w:rPr>
          <w:rFonts w:eastAsiaTheme="minorEastAsia"/>
          <w:rtl/>
        </w:rPr>
        <w:t>201</w:t>
      </w:r>
      <w:r w:rsidRPr="00B802A0">
        <w:rPr>
          <w:rFonts w:eastAsiaTheme="minorEastAsia"/>
          <w:rtl/>
        </w:rPr>
        <w:t xml:space="preserve"> إلى </w:t>
      </w:r>
      <w:r w:rsidRPr="0080642F">
        <w:rPr>
          <w:rFonts w:eastAsiaTheme="minorEastAsia"/>
          <w:rtl/>
        </w:rPr>
        <w:t>205</w:t>
      </w:r>
      <w:r w:rsidRPr="00F64CA3">
        <w:rPr>
          <w:rFonts w:eastAsiaTheme="minorEastAsia"/>
          <w:rtl/>
        </w:rPr>
        <w:t xml:space="preserve">. </w:t>
      </w:r>
    </w:p>
  </w:footnote>
  <w:footnote w:id="4">
    <w:p w14:paraId="50A0F39C"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6"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9</w:t>
      </w:r>
      <w:r w:rsidRPr="00B802A0">
        <w:rPr>
          <w:rFonts w:eastAsiaTheme="minorEastAsia"/>
          <w:rtl/>
        </w:rPr>
        <w:t>؛ و</w:t>
      </w:r>
      <w:hyperlink r:id="rId7"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24</w:t>
      </w:r>
      <w:r w:rsidRPr="00B802A0">
        <w:rPr>
          <w:rFonts w:eastAsiaTheme="minorEastAsia"/>
          <w:rtl/>
        </w:rPr>
        <w:t xml:space="preserve"> و</w:t>
      </w:r>
      <w:r w:rsidRPr="0080642F">
        <w:rPr>
          <w:rFonts w:eastAsiaTheme="minorEastAsia"/>
          <w:rtl/>
        </w:rPr>
        <w:t>54</w:t>
      </w:r>
      <w:r w:rsidRPr="00B802A0">
        <w:rPr>
          <w:rFonts w:eastAsiaTheme="minorEastAsia"/>
          <w:rtl/>
        </w:rPr>
        <w:t xml:space="preserve"> و</w:t>
      </w:r>
      <w:r w:rsidRPr="0080642F">
        <w:rPr>
          <w:rFonts w:eastAsiaTheme="minorEastAsia"/>
          <w:rtl/>
        </w:rPr>
        <w:t>56</w:t>
      </w:r>
      <w:r w:rsidRPr="00B802A0">
        <w:rPr>
          <w:rFonts w:eastAsiaTheme="minorEastAsia"/>
          <w:rtl/>
        </w:rPr>
        <w:t xml:space="preserve"> و</w:t>
      </w:r>
      <w:r w:rsidRPr="0080642F">
        <w:rPr>
          <w:rFonts w:eastAsiaTheme="minorEastAsia"/>
          <w:rtl/>
        </w:rPr>
        <w:t>73</w:t>
      </w:r>
      <w:r w:rsidRPr="00B802A0">
        <w:rPr>
          <w:rFonts w:eastAsiaTheme="minorEastAsia"/>
          <w:rtl/>
        </w:rPr>
        <w:t xml:space="preserve"> و</w:t>
      </w:r>
      <w:r w:rsidRPr="0080642F">
        <w:rPr>
          <w:rFonts w:eastAsiaTheme="minorEastAsia"/>
          <w:rtl/>
        </w:rPr>
        <w:t>74</w:t>
      </w:r>
      <w:r w:rsidRPr="00B802A0">
        <w:rPr>
          <w:rFonts w:eastAsiaTheme="minorEastAsia"/>
          <w:rtl/>
        </w:rPr>
        <w:t xml:space="preserve"> و</w:t>
      </w:r>
      <w:r w:rsidRPr="0080642F">
        <w:rPr>
          <w:rFonts w:eastAsiaTheme="minorEastAsia"/>
          <w:rtl/>
        </w:rPr>
        <w:t>81</w:t>
      </w:r>
      <w:r w:rsidRPr="00B802A0">
        <w:rPr>
          <w:rFonts w:eastAsiaTheme="minorEastAsia"/>
          <w:rtl/>
        </w:rPr>
        <w:t xml:space="preserve"> و</w:t>
      </w:r>
      <w:r w:rsidRPr="0080642F">
        <w:rPr>
          <w:rFonts w:eastAsiaTheme="minorEastAsia"/>
          <w:rtl/>
        </w:rPr>
        <w:t>213</w:t>
      </w:r>
      <w:r w:rsidRPr="00F64CA3">
        <w:rPr>
          <w:rFonts w:eastAsiaTheme="minorEastAsia"/>
          <w:rtl/>
        </w:rPr>
        <w:t xml:space="preserve">. </w:t>
      </w:r>
    </w:p>
  </w:footnote>
  <w:footnote w:id="5">
    <w:p w14:paraId="0F653B39"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8"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10</w:t>
      </w:r>
      <w:r w:rsidRPr="00B802A0">
        <w:rPr>
          <w:rFonts w:eastAsiaTheme="minorEastAsia"/>
          <w:rtl/>
        </w:rPr>
        <w:t>؛ و</w:t>
      </w:r>
      <w:hyperlink r:id="rId9"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76</w:t>
      </w:r>
      <w:r w:rsidRPr="00B802A0">
        <w:rPr>
          <w:rFonts w:eastAsiaTheme="minorEastAsia"/>
          <w:rtl/>
        </w:rPr>
        <w:t xml:space="preserve"> و</w:t>
      </w:r>
      <w:r w:rsidRPr="0080642F">
        <w:rPr>
          <w:rFonts w:eastAsiaTheme="minorEastAsia"/>
          <w:rtl/>
        </w:rPr>
        <w:t>89</w:t>
      </w:r>
      <w:r w:rsidRPr="00B802A0">
        <w:rPr>
          <w:rFonts w:eastAsiaTheme="minorEastAsia"/>
          <w:rtl/>
        </w:rPr>
        <w:t xml:space="preserve"> و</w:t>
      </w:r>
      <w:r w:rsidRPr="0080642F">
        <w:rPr>
          <w:rFonts w:eastAsiaTheme="minorEastAsia"/>
          <w:rtl/>
        </w:rPr>
        <w:t>90</w:t>
      </w:r>
      <w:r w:rsidRPr="00B802A0">
        <w:rPr>
          <w:rFonts w:eastAsiaTheme="minorEastAsia"/>
          <w:rtl/>
        </w:rPr>
        <w:t xml:space="preserve"> و</w:t>
      </w:r>
      <w:r w:rsidRPr="0080642F">
        <w:rPr>
          <w:rFonts w:eastAsiaTheme="minorEastAsia"/>
          <w:rtl/>
        </w:rPr>
        <w:t>191</w:t>
      </w:r>
      <w:r w:rsidRPr="00F64CA3">
        <w:rPr>
          <w:rFonts w:eastAsiaTheme="minorEastAsia"/>
          <w:rtl/>
        </w:rPr>
        <w:t xml:space="preserve">. </w:t>
      </w:r>
    </w:p>
  </w:footnote>
  <w:footnote w:id="6">
    <w:p w14:paraId="3CAC870B"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0"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14</w:t>
      </w:r>
      <w:r w:rsidRPr="00B802A0">
        <w:rPr>
          <w:rFonts w:eastAsiaTheme="minorEastAsia"/>
          <w:rtl/>
        </w:rPr>
        <w:t>؛ و</w:t>
      </w:r>
      <w:hyperlink r:id="rId11"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76</w:t>
      </w:r>
      <w:r w:rsidRPr="00B802A0">
        <w:rPr>
          <w:rFonts w:eastAsiaTheme="minorEastAsia"/>
          <w:rtl/>
        </w:rPr>
        <w:t xml:space="preserve"> ومن </w:t>
      </w:r>
      <w:r w:rsidRPr="0080642F">
        <w:rPr>
          <w:rFonts w:eastAsiaTheme="minorEastAsia"/>
          <w:rtl/>
        </w:rPr>
        <w:t>89</w:t>
      </w:r>
      <w:r w:rsidRPr="00B802A0">
        <w:rPr>
          <w:rFonts w:eastAsiaTheme="minorEastAsia"/>
          <w:rtl/>
        </w:rPr>
        <w:t xml:space="preserve"> إلى </w:t>
      </w:r>
      <w:r w:rsidRPr="0080642F">
        <w:rPr>
          <w:rFonts w:eastAsiaTheme="minorEastAsia"/>
          <w:rtl/>
        </w:rPr>
        <w:t>93</w:t>
      </w:r>
      <w:r w:rsidRPr="00B802A0">
        <w:rPr>
          <w:rFonts w:eastAsiaTheme="minorEastAsia"/>
          <w:rtl/>
        </w:rPr>
        <w:t xml:space="preserve"> و</w:t>
      </w:r>
      <w:r w:rsidRPr="0080642F">
        <w:rPr>
          <w:rFonts w:eastAsiaTheme="minorEastAsia"/>
          <w:rtl/>
        </w:rPr>
        <w:t>191</w:t>
      </w:r>
      <w:r w:rsidRPr="00B802A0">
        <w:rPr>
          <w:rFonts w:eastAsiaTheme="minorEastAsia"/>
          <w:rtl/>
        </w:rPr>
        <w:t xml:space="preserve"> و</w:t>
      </w:r>
      <w:r w:rsidRPr="0080642F">
        <w:rPr>
          <w:rFonts w:eastAsiaTheme="minorEastAsia"/>
          <w:rtl/>
        </w:rPr>
        <w:t>215</w:t>
      </w:r>
      <w:r w:rsidRPr="00B802A0">
        <w:rPr>
          <w:rFonts w:eastAsiaTheme="minorEastAsia"/>
          <w:rtl/>
        </w:rPr>
        <w:t xml:space="preserve"> والمرفق </w:t>
      </w:r>
      <w:r w:rsidRPr="0080642F">
        <w:rPr>
          <w:rFonts w:eastAsiaTheme="minorEastAsia"/>
          <w:rtl/>
        </w:rPr>
        <w:t>2</w:t>
      </w:r>
      <w:r w:rsidRPr="00B802A0">
        <w:rPr>
          <w:rFonts w:eastAsiaTheme="minorEastAsia"/>
          <w:rtl/>
        </w:rPr>
        <w:t xml:space="preserve">، الفقرة </w:t>
      </w:r>
      <w:r w:rsidRPr="0080642F">
        <w:rPr>
          <w:rFonts w:eastAsiaTheme="minorEastAsia"/>
          <w:rtl/>
        </w:rPr>
        <w:t>44</w:t>
      </w:r>
      <w:r w:rsidRPr="00F64CA3">
        <w:rPr>
          <w:rFonts w:eastAsiaTheme="minorEastAsia"/>
          <w:rtl/>
        </w:rPr>
        <w:t xml:space="preserve">. </w:t>
      </w:r>
    </w:p>
  </w:footnote>
  <w:footnote w:id="7">
    <w:p w14:paraId="568712A3"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2"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الفقرتان </w:t>
      </w:r>
      <w:r w:rsidRPr="0080642F">
        <w:rPr>
          <w:rFonts w:eastAsiaTheme="minorEastAsia"/>
          <w:rtl/>
        </w:rPr>
        <w:t>10</w:t>
      </w:r>
      <w:r w:rsidRPr="00B802A0">
        <w:rPr>
          <w:rFonts w:eastAsiaTheme="minorEastAsia"/>
          <w:rtl/>
        </w:rPr>
        <w:t xml:space="preserve"> و</w:t>
      </w:r>
      <w:r w:rsidRPr="0080642F">
        <w:rPr>
          <w:rFonts w:eastAsiaTheme="minorEastAsia"/>
          <w:rtl/>
        </w:rPr>
        <w:t>14</w:t>
      </w:r>
      <w:r w:rsidRPr="00B802A0">
        <w:rPr>
          <w:rFonts w:eastAsiaTheme="minorEastAsia"/>
          <w:rtl/>
        </w:rPr>
        <w:t>؛ و</w:t>
      </w:r>
      <w:hyperlink r:id="rId13"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76</w:t>
      </w:r>
      <w:r w:rsidRPr="00B802A0">
        <w:rPr>
          <w:rFonts w:eastAsiaTheme="minorEastAsia"/>
          <w:rtl/>
        </w:rPr>
        <w:t xml:space="preserve"> ومن </w:t>
      </w:r>
      <w:r w:rsidRPr="0080642F">
        <w:rPr>
          <w:rFonts w:eastAsiaTheme="minorEastAsia"/>
          <w:rtl/>
        </w:rPr>
        <w:t>89</w:t>
      </w:r>
      <w:r w:rsidRPr="00B802A0">
        <w:rPr>
          <w:rFonts w:eastAsiaTheme="minorEastAsia"/>
          <w:rtl/>
        </w:rPr>
        <w:t xml:space="preserve"> إلى </w:t>
      </w:r>
      <w:r w:rsidRPr="0080642F">
        <w:rPr>
          <w:rFonts w:eastAsiaTheme="minorEastAsia"/>
          <w:rtl/>
        </w:rPr>
        <w:t>93</w:t>
      </w:r>
      <w:r w:rsidRPr="00B802A0">
        <w:rPr>
          <w:rFonts w:eastAsiaTheme="minorEastAsia"/>
          <w:rtl/>
        </w:rPr>
        <w:t xml:space="preserve"> و</w:t>
      </w:r>
      <w:r w:rsidRPr="0080642F">
        <w:rPr>
          <w:rFonts w:eastAsiaTheme="minorEastAsia"/>
          <w:rtl/>
        </w:rPr>
        <w:t>191</w:t>
      </w:r>
      <w:r w:rsidRPr="00B802A0">
        <w:rPr>
          <w:rFonts w:eastAsiaTheme="minorEastAsia"/>
          <w:rtl/>
        </w:rPr>
        <w:t xml:space="preserve"> و</w:t>
      </w:r>
      <w:r w:rsidRPr="0080642F">
        <w:rPr>
          <w:rFonts w:eastAsiaTheme="minorEastAsia"/>
          <w:rtl/>
        </w:rPr>
        <w:t>215</w:t>
      </w:r>
      <w:r w:rsidRPr="00B802A0">
        <w:rPr>
          <w:rFonts w:eastAsiaTheme="minorEastAsia"/>
          <w:rtl/>
        </w:rPr>
        <w:t xml:space="preserve"> والمرفق </w:t>
      </w:r>
      <w:r w:rsidRPr="0080642F">
        <w:rPr>
          <w:rFonts w:eastAsiaTheme="minorEastAsia"/>
          <w:rtl/>
        </w:rPr>
        <w:t>2</w:t>
      </w:r>
      <w:r w:rsidRPr="00B802A0">
        <w:rPr>
          <w:rFonts w:eastAsiaTheme="minorEastAsia"/>
          <w:rtl/>
        </w:rPr>
        <w:t xml:space="preserve">، الفقرة </w:t>
      </w:r>
      <w:r w:rsidRPr="0080642F">
        <w:rPr>
          <w:rFonts w:eastAsiaTheme="minorEastAsia"/>
          <w:rtl/>
        </w:rPr>
        <w:t>44</w:t>
      </w:r>
      <w:r w:rsidRPr="00F64CA3">
        <w:rPr>
          <w:rFonts w:eastAsiaTheme="minorEastAsia"/>
          <w:rtl/>
        </w:rPr>
        <w:t xml:space="preserve">. </w:t>
      </w:r>
    </w:p>
  </w:footnote>
  <w:footnote w:id="8">
    <w:p w14:paraId="5DD51F6E"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4"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25</w:t>
      </w:r>
      <w:r w:rsidRPr="00B802A0">
        <w:rPr>
          <w:rFonts w:eastAsiaTheme="minorEastAsia"/>
          <w:rtl/>
        </w:rPr>
        <w:t xml:space="preserve"> و</w:t>
      </w:r>
      <w:r w:rsidRPr="0080642F">
        <w:rPr>
          <w:rFonts w:eastAsiaTheme="minorEastAsia"/>
          <w:rtl/>
        </w:rPr>
        <w:t>34</w:t>
      </w:r>
      <w:r w:rsidRPr="00B802A0">
        <w:rPr>
          <w:rFonts w:eastAsiaTheme="minorEastAsia"/>
          <w:rtl/>
        </w:rPr>
        <w:t xml:space="preserve"> ومن </w:t>
      </w:r>
      <w:r w:rsidRPr="0080642F">
        <w:rPr>
          <w:rFonts w:eastAsiaTheme="minorEastAsia"/>
          <w:rtl/>
        </w:rPr>
        <w:t>38</w:t>
      </w:r>
      <w:r w:rsidRPr="00B802A0">
        <w:rPr>
          <w:rFonts w:eastAsiaTheme="minorEastAsia"/>
          <w:rtl/>
        </w:rPr>
        <w:t xml:space="preserve"> إلى </w:t>
      </w:r>
      <w:r w:rsidRPr="0080642F">
        <w:rPr>
          <w:rFonts w:eastAsiaTheme="minorEastAsia"/>
          <w:rtl/>
        </w:rPr>
        <w:t>42</w:t>
      </w:r>
      <w:r w:rsidRPr="00B802A0">
        <w:rPr>
          <w:rFonts w:eastAsiaTheme="minorEastAsia"/>
          <w:rtl/>
        </w:rPr>
        <w:t xml:space="preserve"> و</w:t>
      </w:r>
      <w:r w:rsidRPr="0080642F">
        <w:rPr>
          <w:rFonts w:eastAsiaTheme="minorEastAsia"/>
          <w:rtl/>
        </w:rPr>
        <w:t>191</w:t>
      </w:r>
      <w:r w:rsidRPr="00B802A0">
        <w:rPr>
          <w:rFonts w:eastAsiaTheme="minorEastAsia"/>
          <w:rtl/>
        </w:rPr>
        <w:t xml:space="preserve"> و</w:t>
      </w:r>
      <w:r w:rsidRPr="0080642F">
        <w:rPr>
          <w:rFonts w:eastAsiaTheme="minorEastAsia"/>
          <w:rtl/>
        </w:rPr>
        <w:t>192</w:t>
      </w:r>
      <w:r w:rsidRPr="00B802A0">
        <w:rPr>
          <w:rFonts w:eastAsiaTheme="minorEastAsia"/>
          <w:rtl/>
        </w:rPr>
        <w:t xml:space="preserve"> والمرفق </w:t>
      </w:r>
      <w:r w:rsidRPr="0080642F">
        <w:rPr>
          <w:rFonts w:eastAsiaTheme="minorEastAsia"/>
          <w:rtl/>
        </w:rPr>
        <w:t>2</w:t>
      </w:r>
      <w:r w:rsidRPr="00B802A0">
        <w:rPr>
          <w:rFonts w:eastAsiaTheme="minorEastAsia"/>
          <w:rtl/>
        </w:rPr>
        <w:t xml:space="preserve">، الفقرة </w:t>
      </w:r>
      <w:r w:rsidRPr="0080642F">
        <w:rPr>
          <w:rFonts w:eastAsiaTheme="minorEastAsia"/>
          <w:rtl/>
        </w:rPr>
        <w:t>3</w:t>
      </w:r>
      <w:r w:rsidRPr="00F64CA3">
        <w:rPr>
          <w:rFonts w:eastAsiaTheme="minorEastAsia"/>
          <w:rtl/>
        </w:rPr>
        <w:t xml:space="preserve">. </w:t>
      </w:r>
    </w:p>
  </w:footnote>
  <w:footnote w:id="9">
    <w:p w14:paraId="09071105" w14:textId="77777777" w:rsidR="00F64CA3" w:rsidRPr="00B802A0" w:rsidRDefault="00F64CA3" w:rsidP="00B802A0">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t xml:space="preserve">المرجع نفسه، الفقرة </w:t>
      </w:r>
      <w:r w:rsidRPr="0080642F">
        <w:rPr>
          <w:rFonts w:eastAsiaTheme="minorEastAsia"/>
          <w:rtl/>
        </w:rPr>
        <w:t>119</w:t>
      </w:r>
      <w:r w:rsidRPr="00B802A0">
        <w:rPr>
          <w:rFonts w:eastAsiaTheme="minorEastAsia"/>
          <w:rtl/>
        </w:rPr>
        <w:t xml:space="preserve">، والمرفق </w:t>
      </w:r>
      <w:r w:rsidRPr="0080642F">
        <w:rPr>
          <w:rFonts w:eastAsiaTheme="minorEastAsia"/>
          <w:rtl/>
        </w:rPr>
        <w:t>2</w:t>
      </w:r>
      <w:r w:rsidRPr="00B802A0">
        <w:rPr>
          <w:rFonts w:eastAsiaTheme="minorEastAsia"/>
          <w:rtl/>
        </w:rPr>
        <w:t xml:space="preserve">، الفقرات من </w:t>
      </w:r>
      <w:r w:rsidRPr="0080642F">
        <w:rPr>
          <w:rFonts w:eastAsiaTheme="minorEastAsia"/>
          <w:rtl/>
        </w:rPr>
        <w:t>24</w:t>
      </w:r>
      <w:r w:rsidRPr="00B802A0">
        <w:rPr>
          <w:rFonts w:eastAsiaTheme="minorEastAsia"/>
          <w:rtl/>
        </w:rPr>
        <w:t xml:space="preserve"> إلى </w:t>
      </w:r>
      <w:r w:rsidRPr="0080642F">
        <w:rPr>
          <w:rFonts w:eastAsiaTheme="minorEastAsia"/>
          <w:rtl/>
        </w:rPr>
        <w:t>26</w:t>
      </w:r>
      <w:r w:rsidRPr="00F64CA3">
        <w:rPr>
          <w:rFonts w:eastAsiaTheme="minorEastAsia"/>
          <w:rtl/>
        </w:rPr>
        <w:t xml:space="preserve">. </w:t>
      </w:r>
    </w:p>
  </w:footnote>
  <w:footnote w:id="10">
    <w:p w14:paraId="7717AA82" w14:textId="77777777" w:rsidR="00F64CA3" w:rsidRPr="00B802A0" w:rsidRDefault="00F64CA3" w:rsidP="00B802A0">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t xml:space="preserve">المرجع نفسه، الفقرات من </w:t>
      </w:r>
      <w:r w:rsidRPr="0080642F">
        <w:rPr>
          <w:rFonts w:eastAsiaTheme="minorEastAsia"/>
          <w:rtl/>
        </w:rPr>
        <w:t>120</w:t>
      </w:r>
      <w:r w:rsidRPr="00B802A0">
        <w:rPr>
          <w:rFonts w:eastAsiaTheme="minorEastAsia"/>
          <w:rtl/>
        </w:rPr>
        <w:t xml:space="preserve"> إلى </w:t>
      </w:r>
      <w:r w:rsidRPr="0080642F">
        <w:rPr>
          <w:rFonts w:eastAsiaTheme="minorEastAsia"/>
          <w:rtl/>
        </w:rPr>
        <w:t>135</w:t>
      </w:r>
      <w:r w:rsidRPr="00F64CA3">
        <w:rPr>
          <w:rFonts w:eastAsiaTheme="minorEastAsia"/>
          <w:rtl/>
        </w:rPr>
        <w:t xml:space="preserve">. </w:t>
      </w:r>
    </w:p>
  </w:footnote>
  <w:footnote w:id="11">
    <w:p w14:paraId="1E6BB4C8" w14:textId="77777777" w:rsidR="00F64CA3" w:rsidRPr="00B802A0" w:rsidRDefault="00F64CA3" w:rsidP="00B802A0">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t xml:space="preserve">المرجع نفسه، الفقرات </w:t>
      </w:r>
      <w:r w:rsidRPr="0080642F">
        <w:rPr>
          <w:rFonts w:eastAsiaTheme="minorEastAsia"/>
          <w:rtl/>
        </w:rPr>
        <w:t>24</w:t>
      </w:r>
      <w:r w:rsidRPr="00B802A0">
        <w:rPr>
          <w:rFonts w:eastAsiaTheme="minorEastAsia"/>
          <w:rtl/>
        </w:rPr>
        <w:t xml:space="preserve"> و</w:t>
      </w:r>
      <w:r w:rsidRPr="0080642F">
        <w:rPr>
          <w:rFonts w:eastAsiaTheme="minorEastAsia"/>
          <w:rtl/>
        </w:rPr>
        <w:t>73</w:t>
      </w:r>
      <w:r w:rsidRPr="00B802A0">
        <w:rPr>
          <w:rFonts w:eastAsiaTheme="minorEastAsia"/>
          <w:rtl/>
        </w:rPr>
        <w:t xml:space="preserve"> و</w:t>
      </w:r>
      <w:r w:rsidRPr="0080642F">
        <w:rPr>
          <w:rFonts w:eastAsiaTheme="minorEastAsia"/>
          <w:rtl/>
        </w:rPr>
        <w:t>81</w:t>
      </w:r>
      <w:r w:rsidRPr="00B802A0">
        <w:rPr>
          <w:rFonts w:eastAsiaTheme="minorEastAsia"/>
          <w:rtl/>
        </w:rPr>
        <w:t xml:space="preserve"> و</w:t>
      </w:r>
      <w:r w:rsidRPr="0080642F">
        <w:rPr>
          <w:rFonts w:eastAsiaTheme="minorEastAsia"/>
          <w:rtl/>
        </w:rPr>
        <w:t>89</w:t>
      </w:r>
      <w:r w:rsidRPr="00B802A0">
        <w:rPr>
          <w:rFonts w:eastAsiaTheme="minorEastAsia"/>
          <w:rtl/>
        </w:rPr>
        <w:t xml:space="preserve"> و</w:t>
      </w:r>
      <w:r w:rsidRPr="0080642F">
        <w:rPr>
          <w:rFonts w:eastAsiaTheme="minorEastAsia"/>
          <w:rtl/>
        </w:rPr>
        <w:t>97</w:t>
      </w:r>
      <w:r w:rsidRPr="00B802A0">
        <w:rPr>
          <w:rFonts w:eastAsiaTheme="minorEastAsia"/>
          <w:rtl/>
        </w:rPr>
        <w:t xml:space="preserve"> و</w:t>
      </w:r>
      <w:r w:rsidRPr="0080642F">
        <w:rPr>
          <w:rFonts w:eastAsiaTheme="minorEastAsia"/>
          <w:rtl/>
        </w:rPr>
        <w:t>116</w:t>
      </w:r>
      <w:r w:rsidRPr="00F64CA3">
        <w:rPr>
          <w:rFonts w:eastAsiaTheme="minorEastAsia"/>
          <w:rtl/>
        </w:rPr>
        <w:t xml:space="preserve">. </w:t>
      </w:r>
    </w:p>
  </w:footnote>
  <w:footnote w:id="12">
    <w:p w14:paraId="72446658"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5"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12</w:t>
      </w:r>
      <w:r w:rsidRPr="00B802A0">
        <w:rPr>
          <w:rFonts w:eastAsiaTheme="minorEastAsia"/>
          <w:rtl/>
        </w:rPr>
        <w:t>؛ و</w:t>
      </w:r>
      <w:hyperlink r:id="rId16"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136</w:t>
      </w:r>
      <w:r w:rsidRPr="00B802A0">
        <w:rPr>
          <w:rFonts w:eastAsiaTheme="minorEastAsia"/>
          <w:rtl/>
        </w:rPr>
        <w:t xml:space="preserve"> إلى </w:t>
      </w:r>
      <w:r w:rsidRPr="0080642F">
        <w:rPr>
          <w:rFonts w:eastAsiaTheme="minorEastAsia"/>
          <w:rtl/>
        </w:rPr>
        <w:t>143</w:t>
      </w:r>
      <w:r w:rsidRPr="00F64CA3">
        <w:rPr>
          <w:rFonts w:eastAsiaTheme="minorEastAsia"/>
          <w:rtl/>
        </w:rPr>
        <w:t xml:space="preserve">. </w:t>
      </w:r>
    </w:p>
  </w:footnote>
  <w:footnote w:id="13">
    <w:p w14:paraId="3561935F" w14:textId="45BCAFA2"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17"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11</w:t>
      </w:r>
      <w:r w:rsidRPr="00B802A0">
        <w:rPr>
          <w:rFonts w:eastAsiaTheme="minorEastAsia"/>
          <w:rtl/>
        </w:rPr>
        <w:t>؛ و</w:t>
      </w:r>
      <w:hyperlink r:id="rId18" w:history="1">
        <w:r w:rsidRPr="00F64CA3">
          <w:rPr>
            <w:rStyle w:val="Hyperlink"/>
          </w:rPr>
          <w:t>CERD/C/MAR/CO/</w:t>
        </w:r>
        <w:r w:rsidRPr="0080642F">
          <w:rPr>
            <w:rStyle w:val="Hyperlink"/>
          </w:rPr>
          <w:t>17</w:t>
        </w:r>
        <w:r w:rsidRPr="00F64CA3">
          <w:rPr>
            <w:rStyle w:val="Hyperlink"/>
          </w:rPr>
          <w:t>-</w:t>
        </w:r>
        <w:r w:rsidRPr="0080642F">
          <w:rPr>
            <w:rStyle w:val="Hyperlink"/>
          </w:rPr>
          <w:t>18</w:t>
        </w:r>
        <w:r w:rsidRPr="00F64CA3">
          <w:rPr>
            <w:rStyle w:val="Hyperlink"/>
          </w:rPr>
          <w:t>/Add.</w:t>
        </w:r>
        <w:r w:rsidRPr="0080642F">
          <w:rPr>
            <w:rStyle w:val="Hyperlink"/>
          </w:rPr>
          <w:t>1</w:t>
        </w:r>
      </w:hyperlink>
      <w:r w:rsidRPr="00B802A0">
        <w:rPr>
          <w:rFonts w:eastAsiaTheme="minorEastAsia"/>
          <w:rtl/>
        </w:rPr>
        <w:t xml:space="preserve">، الفقرات من </w:t>
      </w:r>
      <w:r w:rsidRPr="0080642F">
        <w:rPr>
          <w:rFonts w:eastAsiaTheme="minorEastAsia"/>
          <w:rtl/>
        </w:rPr>
        <w:t>2</w:t>
      </w:r>
      <w:r w:rsidRPr="00B802A0">
        <w:rPr>
          <w:rFonts w:eastAsiaTheme="minorEastAsia"/>
          <w:rtl/>
        </w:rPr>
        <w:t xml:space="preserve"> إلى </w:t>
      </w:r>
      <w:r w:rsidRPr="0080642F">
        <w:rPr>
          <w:rFonts w:eastAsiaTheme="minorEastAsia"/>
          <w:rtl/>
        </w:rPr>
        <w:t>6</w:t>
      </w:r>
      <w:r w:rsidRPr="00B802A0">
        <w:rPr>
          <w:rFonts w:eastAsiaTheme="minorEastAsia"/>
          <w:rtl/>
        </w:rPr>
        <w:t xml:space="preserve">؛ ورسالة المتابعة الموجهة من اللجنة إلى الدولة الطرف في </w:t>
      </w:r>
      <w:r w:rsidRPr="0080642F">
        <w:rPr>
          <w:rFonts w:eastAsiaTheme="minorEastAsia"/>
          <w:rtl/>
        </w:rPr>
        <w:t>31</w:t>
      </w:r>
      <w:r w:rsidRPr="00B802A0">
        <w:rPr>
          <w:rFonts w:eastAsiaTheme="minorEastAsia"/>
          <w:rtl/>
        </w:rPr>
        <w:t xml:space="preserve"> آب/أغسطس </w:t>
      </w:r>
      <w:r w:rsidRPr="0080642F">
        <w:rPr>
          <w:rFonts w:eastAsiaTheme="minorEastAsia"/>
          <w:rtl/>
        </w:rPr>
        <w:t>2012</w:t>
      </w:r>
      <w:r w:rsidRPr="00B802A0">
        <w:rPr>
          <w:rFonts w:eastAsiaTheme="minorEastAsia"/>
          <w:rtl/>
        </w:rPr>
        <w:t xml:space="preserve"> (متاحة على </w:t>
      </w:r>
      <w:r w:rsidRPr="0001076A">
        <w:rPr>
          <w:rFonts w:ascii="Simplified Arabic" w:eastAsiaTheme="minorEastAsia" w:hAnsi="Simplified Arabic"/>
          <w:rtl/>
        </w:rPr>
        <w:t>الرابط التالي</w:t>
      </w:r>
      <w:r w:rsidRPr="0001076A">
        <w:rPr>
          <w:rFonts w:ascii="Simplified Arabic" w:eastAsiaTheme="minorEastAsia" w:hAnsi="Simplified Arabic"/>
        </w:rPr>
        <w:t>:</w:t>
      </w:r>
      <w:r w:rsidRPr="00B802A0">
        <w:rPr>
          <w:rFonts w:eastAsiaTheme="minorEastAsia"/>
          <w:rtl/>
        </w:rPr>
        <w:t xml:space="preserve"> </w:t>
      </w:r>
      <w:hyperlink r:id="rId19" w:history="1">
        <w:r w:rsidRPr="0001076A">
          <w:rPr>
            <w:rStyle w:val="Hyperlink"/>
            <w:rFonts w:eastAsiaTheme="minorEastAsia"/>
          </w:rPr>
          <w:t>tbinternet.ohchr.org/_layouts/</w:t>
        </w:r>
        <w:r w:rsidRPr="0080642F">
          <w:rPr>
            <w:rStyle w:val="Hyperlink"/>
            <w:rFonts w:eastAsiaTheme="minorEastAsia"/>
          </w:rPr>
          <w:t>15</w:t>
        </w:r>
        <w:r w:rsidRPr="0001076A">
          <w:rPr>
            <w:rStyle w:val="Hyperlink"/>
            <w:rFonts w:eastAsiaTheme="minorEastAsia"/>
          </w:rPr>
          <w:t>/treatybodyexternal/Download.aspx?symbolno=INT%</w:t>
        </w:r>
        <w:r w:rsidRPr="0080642F">
          <w:rPr>
            <w:rStyle w:val="Hyperlink"/>
            <w:rFonts w:eastAsiaTheme="minorEastAsia"/>
          </w:rPr>
          <w:t>2</w:t>
        </w:r>
        <w:r w:rsidRPr="0001076A">
          <w:rPr>
            <w:rStyle w:val="Hyperlink"/>
            <w:rFonts w:eastAsiaTheme="minorEastAsia"/>
          </w:rPr>
          <w:t>FCERD%</w:t>
        </w:r>
        <w:r w:rsidRPr="0080642F">
          <w:rPr>
            <w:rStyle w:val="Hyperlink"/>
            <w:rFonts w:eastAsiaTheme="minorEastAsia"/>
          </w:rPr>
          <w:t>2</w:t>
        </w:r>
        <w:r w:rsidRPr="0001076A">
          <w:rPr>
            <w:rStyle w:val="Hyperlink"/>
            <w:rFonts w:eastAsiaTheme="minorEastAsia"/>
          </w:rPr>
          <w:t>FFUL%</w:t>
        </w:r>
        <w:r w:rsidRPr="0080642F">
          <w:rPr>
            <w:rStyle w:val="Hyperlink"/>
            <w:rFonts w:eastAsiaTheme="minorEastAsia"/>
          </w:rPr>
          <w:t>2</w:t>
        </w:r>
        <w:r w:rsidRPr="0001076A">
          <w:rPr>
            <w:rStyle w:val="Hyperlink"/>
            <w:rFonts w:eastAsiaTheme="minorEastAsia"/>
          </w:rPr>
          <w:t>FMAR%</w:t>
        </w:r>
        <w:r w:rsidRPr="0080642F">
          <w:rPr>
            <w:rStyle w:val="Hyperlink"/>
            <w:rFonts w:eastAsiaTheme="minorEastAsia"/>
          </w:rPr>
          <w:t>2</w:t>
        </w:r>
        <w:r w:rsidRPr="0001076A">
          <w:rPr>
            <w:rStyle w:val="Hyperlink"/>
            <w:rFonts w:eastAsiaTheme="minorEastAsia"/>
          </w:rPr>
          <w:t>F</w:t>
        </w:r>
        <w:r w:rsidRPr="0080642F">
          <w:rPr>
            <w:rStyle w:val="Hyperlink"/>
            <w:rFonts w:eastAsiaTheme="minorEastAsia"/>
          </w:rPr>
          <w:t>12164</w:t>
        </w:r>
        <w:r w:rsidRPr="0001076A">
          <w:rPr>
            <w:rStyle w:val="Hyperlink"/>
            <w:rFonts w:eastAsiaTheme="minorEastAsia"/>
          </w:rPr>
          <w:t xml:space="preserve">&amp;Lang=en), p. </w:t>
        </w:r>
        <w:r w:rsidRPr="0080642F">
          <w:rPr>
            <w:rStyle w:val="Hyperlink"/>
            <w:rFonts w:eastAsiaTheme="minorEastAsia"/>
          </w:rPr>
          <w:t>2</w:t>
        </w:r>
      </w:hyperlink>
      <w:r w:rsidRPr="00B802A0">
        <w:rPr>
          <w:rFonts w:eastAsiaTheme="minorEastAsia"/>
          <w:rtl/>
        </w:rPr>
        <w:t>؛ و</w:t>
      </w:r>
      <w:hyperlink r:id="rId20"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68</w:t>
      </w:r>
      <w:r w:rsidRPr="00B802A0">
        <w:rPr>
          <w:rFonts w:eastAsiaTheme="minorEastAsia"/>
          <w:rtl/>
        </w:rPr>
        <w:t xml:space="preserve"> إلى </w:t>
      </w:r>
      <w:r w:rsidRPr="0080642F">
        <w:rPr>
          <w:rFonts w:eastAsiaTheme="minorEastAsia"/>
          <w:rtl/>
        </w:rPr>
        <w:t>72</w:t>
      </w:r>
      <w:r w:rsidRPr="00B802A0">
        <w:rPr>
          <w:rFonts w:eastAsiaTheme="minorEastAsia"/>
          <w:rtl/>
        </w:rPr>
        <w:t xml:space="preserve"> ومن </w:t>
      </w:r>
      <w:r w:rsidRPr="0080642F">
        <w:rPr>
          <w:rFonts w:eastAsiaTheme="minorEastAsia"/>
          <w:rtl/>
        </w:rPr>
        <w:t>144</w:t>
      </w:r>
      <w:r w:rsidRPr="00B802A0">
        <w:rPr>
          <w:rFonts w:eastAsiaTheme="minorEastAsia"/>
          <w:rtl/>
        </w:rPr>
        <w:t xml:space="preserve"> إلى </w:t>
      </w:r>
      <w:r w:rsidRPr="0080642F">
        <w:rPr>
          <w:rFonts w:eastAsiaTheme="minorEastAsia"/>
          <w:rtl/>
        </w:rPr>
        <w:t>182</w:t>
      </w:r>
      <w:r w:rsidRPr="00F64CA3">
        <w:rPr>
          <w:rFonts w:eastAsiaTheme="minorEastAsia"/>
          <w:rtl/>
        </w:rPr>
        <w:t xml:space="preserve">. </w:t>
      </w:r>
    </w:p>
  </w:footnote>
  <w:footnote w:id="14">
    <w:p w14:paraId="69F9CBC6"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21"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11</w:t>
      </w:r>
      <w:r w:rsidRPr="00B802A0">
        <w:rPr>
          <w:rFonts w:eastAsiaTheme="minorEastAsia"/>
          <w:rtl/>
        </w:rPr>
        <w:t>؛ و</w:t>
      </w:r>
      <w:hyperlink r:id="rId22" w:history="1">
        <w:r w:rsidRPr="00F64CA3">
          <w:rPr>
            <w:rStyle w:val="Hyperlink"/>
          </w:rPr>
          <w:t>CERD/C/MAR/CO/</w:t>
        </w:r>
        <w:r w:rsidRPr="0080642F">
          <w:rPr>
            <w:rStyle w:val="Hyperlink"/>
          </w:rPr>
          <w:t>17</w:t>
        </w:r>
        <w:r w:rsidRPr="00F64CA3">
          <w:rPr>
            <w:rStyle w:val="Hyperlink"/>
          </w:rPr>
          <w:t>-</w:t>
        </w:r>
        <w:r w:rsidRPr="0080642F">
          <w:rPr>
            <w:rStyle w:val="Hyperlink"/>
          </w:rPr>
          <w:t>18</w:t>
        </w:r>
        <w:r w:rsidRPr="00F64CA3">
          <w:rPr>
            <w:rStyle w:val="Hyperlink"/>
          </w:rPr>
          <w:t>/Add.</w:t>
        </w:r>
        <w:r w:rsidRPr="0080642F">
          <w:rPr>
            <w:rStyle w:val="Hyperlink"/>
          </w:rPr>
          <w:t>1</w:t>
        </w:r>
      </w:hyperlink>
      <w:r w:rsidRPr="00B802A0">
        <w:rPr>
          <w:rFonts w:eastAsiaTheme="minorEastAsia"/>
          <w:rtl/>
        </w:rPr>
        <w:t xml:space="preserve">، الفقرات من </w:t>
      </w:r>
      <w:r w:rsidRPr="0080642F">
        <w:rPr>
          <w:rFonts w:eastAsiaTheme="minorEastAsia"/>
          <w:rtl/>
        </w:rPr>
        <w:t>2</w:t>
      </w:r>
      <w:r w:rsidRPr="00B802A0">
        <w:rPr>
          <w:rFonts w:eastAsiaTheme="minorEastAsia"/>
          <w:rtl/>
        </w:rPr>
        <w:t xml:space="preserve"> إلى </w:t>
      </w:r>
      <w:r w:rsidRPr="0080642F">
        <w:rPr>
          <w:rFonts w:eastAsiaTheme="minorEastAsia"/>
          <w:rtl/>
        </w:rPr>
        <w:t>6</w:t>
      </w:r>
      <w:r w:rsidRPr="00B802A0">
        <w:rPr>
          <w:rFonts w:eastAsiaTheme="minorEastAsia"/>
          <w:rtl/>
        </w:rPr>
        <w:t xml:space="preserve">؛ ورسالة المتابعة الموجهة من اللجنة إلى الدولة الطرف في </w:t>
      </w:r>
      <w:r w:rsidRPr="0080642F">
        <w:rPr>
          <w:rFonts w:eastAsiaTheme="minorEastAsia"/>
          <w:rtl/>
        </w:rPr>
        <w:t>31</w:t>
      </w:r>
      <w:r w:rsidRPr="00B802A0">
        <w:rPr>
          <w:rFonts w:eastAsiaTheme="minorEastAsia"/>
          <w:rtl/>
        </w:rPr>
        <w:t xml:space="preserve"> آب/أغسطس </w:t>
      </w:r>
      <w:r w:rsidRPr="0080642F">
        <w:rPr>
          <w:rFonts w:eastAsiaTheme="minorEastAsia"/>
          <w:rtl/>
        </w:rPr>
        <w:t>2012</w:t>
      </w:r>
      <w:r w:rsidRPr="00B802A0">
        <w:rPr>
          <w:rFonts w:eastAsiaTheme="minorEastAsia"/>
          <w:rtl/>
        </w:rPr>
        <w:t xml:space="preserve">، ص </w:t>
      </w:r>
      <w:r w:rsidRPr="0080642F">
        <w:rPr>
          <w:rFonts w:eastAsiaTheme="minorEastAsia"/>
          <w:rtl/>
        </w:rPr>
        <w:t>2</w:t>
      </w:r>
      <w:r w:rsidRPr="00B802A0">
        <w:rPr>
          <w:rFonts w:eastAsiaTheme="minorEastAsia"/>
          <w:rtl/>
        </w:rPr>
        <w:t>؛ و</w:t>
      </w:r>
      <w:hyperlink r:id="rId23"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20</w:t>
      </w:r>
      <w:r w:rsidRPr="00B802A0">
        <w:rPr>
          <w:rFonts w:eastAsiaTheme="minorEastAsia"/>
          <w:rtl/>
        </w:rPr>
        <w:t xml:space="preserve"> ومن </w:t>
      </w:r>
      <w:r w:rsidRPr="0080642F">
        <w:rPr>
          <w:rFonts w:eastAsiaTheme="minorEastAsia"/>
          <w:rtl/>
        </w:rPr>
        <w:t>57</w:t>
      </w:r>
      <w:r w:rsidRPr="00B802A0">
        <w:rPr>
          <w:rFonts w:eastAsiaTheme="minorEastAsia"/>
          <w:rtl/>
        </w:rPr>
        <w:t xml:space="preserve"> إلى </w:t>
      </w:r>
      <w:r w:rsidRPr="0080642F">
        <w:rPr>
          <w:rFonts w:eastAsiaTheme="minorEastAsia"/>
          <w:rtl/>
        </w:rPr>
        <w:t>67</w:t>
      </w:r>
      <w:r w:rsidRPr="00B802A0">
        <w:rPr>
          <w:rFonts w:eastAsiaTheme="minorEastAsia"/>
          <w:rtl/>
        </w:rPr>
        <w:t xml:space="preserve"> و</w:t>
      </w:r>
      <w:r w:rsidRPr="0080642F">
        <w:rPr>
          <w:rFonts w:eastAsiaTheme="minorEastAsia"/>
          <w:rtl/>
        </w:rPr>
        <w:t>175</w:t>
      </w:r>
      <w:r w:rsidRPr="00F64CA3">
        <w:rPr>
          <w:rFonts w:eastAsiaTheme="minorEastAsia"/>
          <w:rtl/>
        </w:rPr>
        <w:t xml:space="preserve">. </w:t>
      </w:r>
    </w:p>
  </w:footnote>
  <w:footnote w:id="15">
    <w:p w14:paraId="640755C3"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24"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13</w:t>
      </w:r>
      <w:r w:rsidRPr="00B802A0">
        <w:rPr>
          <w:rFonts w:eastAsiaTheme="minorEastAsia"/>
          <w:rtl/>
        </w:rPr>
        <w:t>؛ و</w:t>
      </w:r>
      <w:hyperlink r:id="rId25" w:history="1">
        <w:r w:rsidRPr="00F64CA3">
          <w:rPr>
            <w:rStyle w:val="Hyperlink"/>
          </w:rPr>
          <w:t>CERD/C/MAR/CO/</w:t>
        </w:r>
        <w:r w:rsidRPr="0080642F">
          <w:rPr>
            <w:rStyle w:val="Hyperlink"/>
          </w:rPr>
          <w:t>17</w:t>
        </w:r>
        <w:r w:rsidRPr="00F64CA3">
          <w:rPr>
            <w:rStyle w:val="Hyperlink"/>
          </w:rPr>
          <w:t>-</w:t>
        </w:r>
        <w:r w:rsidRPr="0080642F">
          <w:rPr>
            <w:rStyle w:val="Hyperlink"/>
          </w:rPr>
          <w:t>18</w:t>
        </w:r>
        <w:r w:rsidRPr="00F64CA3">
          <w:rPr>
            <w:rStyle w:val="Hyperlink"/>
          </w:rPr>
          <w:t>/Add.</w:t>
        </w:r>
        <w:r w:rsidRPr="0080642F">
          <w:rPr>
            <w:rStyle w:val="Hyperlink"/>
          </w:rPr>
          <w:t>1</w:t>
        </w:r>
      </w:hyperlink>
      <w:r w:rsidRPr="00B802A0">
        <w:rPr>
          <w:rFonts w:eastAsiaTheme="minorEastAsia"/>
          <w:rtl/>
        </w:rPr>
        <w:t xml:space="preserve">، الفقرات من </w:t>
      </w:r>
      <w:r w:rsidRPr="0080642F">
        <w:rPr>
          <w:rFonts w:eastAsiaTheme="minorEastAsia"/>
          <w:rtl/>
        </w:rPr>
        <w:t>8</w:t>
      </w:r>
      <w:r w:rsidRPr="00B802A0">
        <w:rPr>
          <w:rFonts w:eastAsiaTheme="minorEastAsia"/>
          <w:rtl/>
        </w:rPr>
        <w:t xml:space="preserve"> إلى </w:t>
      </w:r>
      <w:r w:rsidRPr="0080642F">
        <w:rPr>
          <w:rFonts w:eastAsiaTheme="minorEastAsia"/>
          <w:rtl/>
        </w:rPr>
        <w:t>15</w:t>
      </w:r>
      <w:r w:rsidRPr="00B802A0">
        <w:rPr>
          <w:rFonts w:eastAsiaTheme="minorEastAsia"/>
          <w:rtl/>
        </w:rPr>
        <w:t xml:space="preserve">؛ ورسالة المتابعة الموجهة من اللجنة إلى الدولة الطرف في </w:t>
      </w:r>
      <w:r w:rsidRPr="0080642F">
        <w:rPr>
          <w:rFonts w:eastAsiaTheme="minorEastAsia"/>
          <w:rtl/>
        </w:rPr>
        <w:t>31</w:t>
      </w:r>
      <w:r w:rsidRPr="00B802A0">
        <w:rPr>
          <w:rFonts w:eastAsiaTheme="minorEastAsia"/>
          <w:rtl/>
        </w:rPr>
        <w:t xml:space="preserve"> آب/أغسطس </w:t>
      </w:r>
      <w:r w:rsidRPr="0080642F">
        <w:rPr>
          <w:rFonts w:eastAsiaTheme="minorEastAsia"/>
          <w:rtl/>
        </w:rPr>
        <w:t>2012</w:t>
      </w:r>
      <w:r w:rsidRPr="00B802A0">
        <w:rPr>
          <w:rFonts w:eastAsiaTheme="minorEastAsia"/>
          <w:rtl/>
        </w:rPr>
        <w:t xml:space="preserve">، ص </w:t>
      </w:r>
      <w:r w:rsidRPr="0080642F">
        <w:rPr>
          <w:rFonts w:eastAsiaTheme="minorEastAsia"/>
          <w:rtl/>
        </w:rPr>
        <w:t>2</w:t>
      </w:r>
      <w:r w:rsidRPr="00B802A0">
        <w:rPr>
          <w:rFonts w:eastAsiaTheme="minorEastAsia"/>
          <w:rtl/>
        </w:rPr>
        <w:t>؛ و</w:t>
      </w:r>
      <w:hyperlink r:id="rId26"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13</w:t>
      </w:r>
      <w:r w:rsidRPr="00B802A0">
        <w:rPr>
          <w:rFonts w:eastAsiaTheme="minorEastAsia"/>
          <w:rtl/>
        </w:rPr>
        <w:t xml:space="preserve"> إلى </w:t>
      </w:r>
      <w:r w:rsidRPr="0080642F">
        <w:rPr>
          <w:rFonts w:eastAsiaTheme="minorEastAsia"/>
          <w:rtl/>
        </w:rPr>
        <w:t>16</w:t>
      </w:r>
      <w:r w:rsidRPr="00B802A0">
        <w:rPr>
          <w:rFonts w:eastAsiaTheme="minorEastAsia"/>
          <w:rtl/>
        </w:rPr>
        <w:t xml:space="preserve"> و</w:t>
      </w:r>
      <w:r w:rsidRPr="0080642F">
        <w:rPr>
          <w:rFonts w:eastAsiaTheme="minorEastAsia"/>
          <w:rtl/>
        </w:rPr>
        <w:t>24</w:t>
      </w:r>
      <w:r w:rsidRPr="00B802A0">
        <w:rPr>
          <w:rFonts w:eastAsiaTheme="minorEastAsia"/>
          <w:rtl/>
        </w:rPr>
        <w:t xml:space="preserve"> و</w:t>
      </w:r>
      <w:r w:rsidRPr="0080642F">
        <w:rPr>
          <w:rFonts w:eastAsiaTheme="minorEastAsia"/>
          <w:rtl/>
        </w:rPr>
        <w:t>43</w:t>
      </w:r>
      <w:r w:rsidRPr="00B802A0">
        <w:rPr>
          <w:rFonts w:eastAsiaTheme="minorEastAsia"/>
          <w:rtl/>
        </w:rPr>
        <w:t xml:space="preserve"> و</w:t>
      </w:r>
      <w:r w:rsidRPr="0080642F">
        <w:rPr>
          <w:rFonts w:eastAsiaTheme="minorEastAsia"/>
          <w:rtl/>
        </w:rPr>
        <w:t>45</w:t>
      </w:r>
      <w:r w:rsidRPr="00B802A0">
        <w:rPr>
          <w:rFonts w:eastAsiaTheme="minorEastAsia"/>
          <w:rtl/>
        </w:rPr>
        <w:t xml:space="preserve"> و</w:t>
      </w:r>
      <w:r w:rsidRPr="0080642F">
        <w:rPr>
          <w:rFonts w:eastAsiaTheme="minorEastAsia"/>
          <w:rtl/>
        </w:rPr>
        <w:t>55</w:t>
      </w:r>
      <w:r w:rsidRPr="00B802A0">
        <w:rPr>
          <w:rFonts w:eastAsiaTheme="minorEastAsia"/>
          <w:rtl/>
        </w:rPr>
        <w:t xml:space="preserve"> ومن </w:t>
      </w:r>
      <w:r w:rsidRPr="0080642F">
        <w:rPr>
          <w:rFonts w:eastAsiaTheme="minorEastAsia"/>
          <w:rtl/>
        </w:rPr>
        <w:t>167</w:t>
      </w:r>
      <w:r w:rsidRPr="00B802A0">
        <w:rPr>
          <w:rFonts w:eastAsiaTheme="minorEastAsia"/>
          <w:rtl/>
        </w:rPr>
        <w:t xml:space="preserve"> إلى </w:t>
      </w:r>
      <w:r w:rsidRPr="0080642F">
        <w:rPr>
          <w:rFonts w:eastAsiaTheme="minorEastAsia"/>
          <w:rtl/>
        </w:rPr>
        <w:t>172</w:t>
      </w:r>
      <w:r w:rsidRPr="00B802A0">
        <w:rPr>
          <w:rFonts w:eastAsiaTheme="minorEastAsia"/>
          <w:rtl/>
        </w:rPr>
        <w:t xml:space="preserve"> و</w:t>
      </w:r>
      <w:r w:rsidRPr="0080642F">
        <w:rPr>
          <w:rFonts w:eastAsiaTheme="minorEastAsia"/>
          <w:rtl/>
        </w:rPr>
        <w:t>178</w:t>
      </w:r>
      <w:r w:rsidRPr="00F64CA3">
        <w:rPr>
          <w:rFonts w:eastAsiaTheme="minorEastAsia"/>
          <w:rtl/>
        </w:rPr>
        <w:t xml:space="preserve">. </w:t>
      </w:r>
    </w:p>
  </w:footnote>
  <w:footnote w:id="16">
    <w:p w14:paraId="1B503618"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27"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14</w:t>
      </w:r>
      <w:r w:rsidRPr="00B802A0">
        <w:rPr>
          <w:rFonts w:eastAsiaTheme="minorEastAsia"/>
          <w:rtl/>
        </w:rPr>
        <w:t>؛ و</w:t>
      </w:r>
      <w:hyperlink r:id="rId28" w:history="1">
        <w:r w:rsidRPr="00F64CA3">
          <w:rPr>
            <w:rStyle w:val="Hyperlink"/>
          </w:rPr>
          <w:t>CERD/C/MAR/CO/</w:t>
        </w:r>
        <w:r w:rsidRPr="0080642F">
          <w:rPr>
            <w:rStyle w:val="Hyperlink"/>
          </w:rPr>
          <w:t>17</w:t>
        </w:r>
        <w:r w:rsidRPr="00F64CA3">
          <w:rPr>
            <w:rStyle w:val="Hyperlink"/>
          </w:rPr>
          <w:t>-</w:t>
        </w:r>
        <w:r w:rsidRPr="0080642F">
          <w:rPr>
            <w:rStyle w:val="Hyperlink"/>
          </w:rPr>
          <w:t>18</w:t>
        </w:r>
        <w:r w:rsidRPr="00F64CA3">
          <w:rPr>
            <w:rStyle w:val="Hyperlink"/>
          </w:rPr>
          <w:t>/Add.</w:t>
        </w:r>
        <w:r w:rsidRPr="0080642F">
          <w:rPr>
            <w:rStyle w:val="Hyperlink"/>
          </w:rPr>
          <w:t>1</w:t>
        </w:r>
      </w:hyperlink>
      <w:r w:rsidRPr="00B802A0">
        <w:rPr>
          <w:rFonts w:eastAsiaTheme="minorEastAsia"/>
          <w:rtl/>
        </w:rPr>
        <w:t xml:space="preserve">، الفقرات من </w:t>
      </w:r>
      <w:r w:rsidRPr="0080642F">
        <w:rPr>
          <w:rFonts w:eastAsiaTheme="minorEastAsia"/>
          <w:rtl/>
        </w:rPr>
        <w:t>16</w:t>
      </w:r>
      <w:r w:rsidRPr="00B802A0">
        <w:rPr>
          <w:rFonts w:eastAsiaTheme="minorEastAsia"/>
          <w:rtl/>
        </w:rPr>
        <w:t xml:space="preserve"> إلى </w:t>
      </w:r>
      <w:r w:rsidRPr="0080642F">
        <w:rPr>
          <w:rFonts w:eastAsiaTheme="minorEastAsia"/>
          <w:rtl/>
        </w:rPr>
        <w:t>18</w:t>
      </w:r>
      <w:r w:rsidRPr="00B802A0">
        <w:rPr>
          <w:rFonts w:eastAsiaTheme="minorEastAsia"/>
          <w:rtl/>
        </w:rPr>
        <w:t xml:space="preserve">؛ ورسالة المتابعة الموجهة من اللجنة إلى الدولة الطرف في </w:t>
      </w:r>
      <w:r w:rsidRPr="0080642F">
        <w:rPr>
          <w:rFonts w:eastAsiaTheme="minorEastAsia"/>
          <w:rtl/>
        </w:rPr>
        <w:t>31</w:t>
      </w:r>
      <w:r w:rsidRPr="00B802A0">
        <w:rPr>
          <w:rFonts w:eastAsiaTheme="minorEastAsia"/>
          <w:rtl/>
        </w:rPr>
        <w:t xml:space="preserve"> آب/أغسطس </w:t>
      </w:r>
      <w:r w:rsidRPr="0080642F">
        <w:rPr>
          <w:rFonts w:eastAsiaTheme="minorEastAsia"/>
          <w:rtl/>
        </w:rPr>
        <w:t>2012</w:t>
      </w:r>
      <w:r w:rsidRPr="00B802A0">
        <w:rPr>
          <w:rFonts w:eastAsiaTheme="minorEastAsia"/>
          <w:rtl/>
        </w:rPr>
        <w:t xml:space="preserve">، ص </w:t>
      </w:r>
      <w:r w:rsidRPr="0080642F">
        <w:rPr>
          <w:rFonts w:eastAsiaTheme="minorEastAsia"/>
          <w:rtl/>
        </w:rPr>
        <w:t>2</w:t>
      </w:r>
      <w:r w:rsidRPr="00B802A0">
        <w:rPr>
          <w:rFonts w:eastAsiaTheme="minorEastAsia"/>
          <w:rtl/>
        </w:rPr>
        <w:t>؛ و</w:t>
      </w:r>
      <w:hyperlink r:id="rId29"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85</w:t>
      </w:r>
      <w:r w:rsidRPr="00B802A0">
        <w:rPr>
          <w:rFonts w:eastAsiaTheme="minorEastAsia"/>
          <w:rtl/>
        </w:rPr>
        <w:t xml:space="preserve"> إلى </w:t>
      </w:r>
      <w:r w:rsidRPr="0080642F">
        <w:rPr>
          <w:rFonts w:eastAsiaTheme="minorEastAsia"/>
          <w:rtl/>
        </w:rPr>
        <w:t>88</w:t>
      </w:r>
      <w:r w:rsidRPr="00B802A0">
        <w:rPr>
          <w:rFonts w:eastAsiaTheme="minorEastAsia"/>
          <w:rtl/>
        </w:rPr>
        <w:t xml:space="preserve"> و</w:t>
      </w:r>
      <w:r w:rsidRPr="0080642F">
        <w:rPr>
          <w:rFonts w:eastAsiaTheme="minorEastAsia"/>
          <w:rtl/>
        </w:rPr>
        <w:t>214</w:t>
      </w:r>
      <w:r w:rsidRPr="00B802A0">
        <w:rPr>
          <w:rFonts w:eastAsiaTheme="minorEastAsia"/>
          <w:rtl/>
        </w:rPr>
        <w:t xml:space="preserve"> و</w:t>
      </w:r>
      <w:r w:rsidRPr="0080642F">
        <w:rPr>
          <w:rFonts w:eastAsiaTheme="minorEastAsia"/>
          <w:rtl/>
        </w:rPr>
        <w:t>217</w:t>
      </w:r>
      <w:r w:rsidRPr="00F64CA3">
        <w:rPr>
          <w:rFonts w:eastAsiaTheme="minorEastAsia"/>
          <w:rtl/>
        </w:rPr>
        <w:t xml:space="preserve">. </w:t>
      </w:r>
    </w:p>
  </w:footnote>
  <w:footnote w:id="17">
    <w:p w14:paraId="06D83A75"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t xml:space="preserve">انظر بيان اللجنة حول الأحداث المأساوية على الحدود المغربية الإسبانية، </w:t>
      </w:r>
      <w:r w:rsidRPr="0080642F">
        <w:rPr>
          <w:rFonts w:eastAsiaTheme="minorEastAsia"/>
          <w:rtl/>
        </w:rPr>
        <w:t>11</w:t>
      </w:r>
      <w:r w:rsidRPr="00B802A0">
        <w:rPr>
          <w:rFonts w:eastAsiaTheme="minorEastAsia"/>
          <w:rtl/>
        </w:rPr>
        <w:t xml:space="preserve"> آب/أغسطس </w:t>
      </w:r>
      <w:r w:rsidRPr="0080642F">
        <w:rPr>
          <w:rFonts w:eastAsiaTheme="minorEastAsia"/>
          <w:rtl/>
        </w:rPr>
        <w:t>2022</w:t>
      </w:r>
      <w:r w:rsidRPr="00B802A0">
        <w:rPr>
          <w:rFonts w:eastAsiaTheme="minorEastAsia"/>
          <w:rtl/>
        </w:rPr>
        <w:t xml:space="preserve">، متاح على </w:t>
      </w:r>
      <w:r w:rsidRPr="003B1B0B">
        <w:rPr>
          <w:rFonts w:ascii="Simplified Arabic" w:eastAsiaTheme="minorEastAsia" w:hAnsi="Simplified Arabic"/>
          <w:rtl/>
        </w:rPr>
        <w:t>الرابط التالي</w:t>
      </w:r>
      <w:r w:rsidRPr="003B1B0B">
        <w:rPr>
          <w:rFonts w:ascii="Simplified Arabic" w:eastAsiaTheme="minorEastAsia" w:hAnsi="Simplified Arabic"/>
        </w:rPr>
        <w:t>:</w:t>
      </w:r>
      <w:r w:rsidRPr="00B802A0">
        <w:rPr>
          <w:rFonts w:eastAsiaTheme="minorEastAsia"/>
          <w:rtl/>
        </w:rPr>
        <w:t xml:space="preserve"> </w:t>
      </w:r>
      <w:hyperlink r:id="rId30" w:history="1">
        <w:r w:rsidRPr="00F64CA3">
          <w:rPr>
            <w:rStyle w:val="Hyperlink"/>
          </w:rPr>
          <w:t>https://tbinternet.ohchr.org/_layouts/</w:t>
        </w:r>
        <w:r w:rsidRPr="0080642F">
          <w:rPr>
            <w:rStyle w:val="Hyperlink"/>
          </w:rPr>
          <w:t>15</w:t>
        </w:r>
        <w:r w:rsidRPr="00F64CA3">
          <w:rPr>
            <w:rStyle w:val="Hyperlink"/>
          </w:rPr>
          <w:t>/treatybodyexternal/Download.aspx?symbolno=INT%</w:t>
        </w:r>
        <w:r w:rsidRPr="0080642F">
          <w:rPr>
            <w:rStyle w:val="Hyperlink"/>
          </w:rPr>
          <w:t>2</w:t>
        </w:r>
        <w:r w:rsidRPr="00F64CA3">
          <w:rPr>
            <w:rStyle w:val="Hyperlink"/>
          </w:rPr>
          <w:t>FCERD%</w:t>
        </w:r>
        <w:r w:rsidRPr="0080642F">
          <w:rPr>
            <w:rStyle w:val="Hyperlink"/>
          </w:rPr>
          <w:t>2</w:t>
        </w:r>
        <w:r w:rsidRPr="00F64CA3">
          <w:rPr>
            <w:rStyle w:val="Hyperlink"/>
          </w:rPr>
          <w:t>FSWA%</w:t>
        </w:r>
        <w:r w:rsidRPr="0080642F">
          <w:rPr>
            <w:rStyle w:val="Hyperlink"/>
          </w:rPr>
          <w:t>2</w:t>
        </w:r>
        <w:r w:rsidRPr="00F64CA3">
          <w:rPr>
            <w:rStyle w:val="Hyperlink"/>
          </w:rPr>
          <w:t>F</w:t>
        </w:r>
        <w:r w:rsidRPr="0080642F">
          <w:rPr>
            <w:rStyle w:val="Hyperlink"/>
          </w:rPr>
          <w:t>9583</w:t>
        </w:r>
        <w:r w:rsidRPr="00F64CA3">
          <w:rPr>
            <w:rStyle w:val="Hyperlink"/>
          </w:rPr>
          <w:t>&amp;Lang=en</w:t>
        </w:r>
      </w:hyperlink>
      <w:r w:rsidRPr="00F64CA3">
        <w:rPr>
          <w:rFonts w:eastAsiaTheme="minorEastAsia"/>
          <w:rtl/>
        </w:rPr>
        <w:t xml:space="preserve">. </w:t>
      </w:r>
    </w:p>
  </w:footnote>
  <w:footnote w:id="18">
    <w:p w14:paraId="63ECA987" w14:textId="77777777" w:rsidR="00F64CA3" w:rsidRPr="00B802A0" w:rsidRDefault="00F64CA3" w:rsidP="00F64CA3">
      <w:pPr>
        <w:pStyle w:val="FootnoteText1"/>
        <w:textDirection w:val="tbRlV"/>
        <w:rPr>
          <w:rFonts w:eastAsiaTheme="minorEastAsia"/>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31"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13</w:t>
      </w:r>
      <w:r w:rsidRPr="00B802A0">
        <w:rPr>
          <w:rFonts w:eastAsiaTheme="minorEastAsia"/>
          <w:rtl/>
        </w:rPr>
        <w:t>؛ و</w:t>
      </w:r>
      <w:hyperlink r:id="rId32" w:history="1">
        <w:r w:rsidRPr="00F64CA3">
          <w:rPr>
            <w:rStyle w:val="Hyperlink"/>
          </w:rPr>
          <w:t>CERD/C/MAR/CO/</w:t>
        </w:r>
        <w:r w:rsidRPr="0080642F">
          <w:rPr>
            <w:rStyle w:val="Hyperlink"/>
          </w:rPr>
          <w:t>17</w:t>
        </w:r>
        <w:r w:rsidRPr="00F64CA3">
          <w:rPr>
            <w:rStyle w:val="Hyperlink"/>
          </w:rPr>
          <w:t>-</w:t>
        </w:r>
        <w:r w:rsidRPr="0080642F">
          <w:rPr>
            <w:rStyle w:val="Hyperlink"/>
          </w:rPr>
          <w:t>18</w:t>
        </w:r>
        <w:r w:rsidRPr="00F64CA3">
          <w:rPr>
            <w:rStyle w:val="Hyperlink"/>
          </w:rPr>
          <w:t>/Add.</w:t>
        </w:r>
        <w:r w:rsidRPr="0080642F">
          <w:rPr>
            <w:rStyle w:val="Hyperlink"/>
          </w:rPr>
          <w:t>1</w:t>
        </w:r>
      </w:hyperlink>
      <w:r w:rsidRPr="00B802A0">
        <w:rPr>
          <w:rFonts w:eastAsiaTheme="minorEastAsia"/>
          <w:rtl/>
        </w:rPr>
        <w:t xml:space="preserve">، الفقرات من </w:t>
      </w:r>
      <w:r w:rsidRPr="0080642F">
        <w:rPr>
          <w:rFonts w:eastAsiaTheme="minorEastAsia"/>
          <w:rtl/>
        </w:rPr>
        <w:t>8</w:t>
      </w:r>
      <w:r w:rsidRPr="00B802A0">
        <w:rPr>
          <w:rFonts w:eastAsiaTheme="minorEastAsia"/>
          <w:rtl/>
        </w:rPr>
        <w:t xml:space="preserve"> إلى </w:t>
      </w:r>
      <w:r w:rsidRPr="0080642F">
        <w:rPr>
          <w:rFonts w:eastAsiaTheme="minorEastAsia"/>
          <w:rtl/>
        </w:rPr>
        <w:t>15</w:t>
      </w:r>
      <w:r w:rsidRPr="00B802A0">
        <w:rPr>
          <w:rFonts w:eastAsiaTheme="minorEastAsia"/>
          <w:rtl/>
        </w:rPr>
        <w:t xml:space="preserve">؛ ورسالة المتابعة الموجهة من اللجنة إلى الدولة الطرف في </w:t>
      </w:r>
      <w:r w:rsidRPr="0080642F">
        <w:rPr>
          <w:rFonts w:eastAsiaTheme="minorEastAsia"/>
          <w:rtl/>
        </w:rPr>
        <w:t>31</w:t>
      </w:r>
      <w:r w:rsidRPr="00B802A0">
        <w:rPr>
          <w:rFonts w:eastAsiaTheme="minorEastAsia"/>
          <w:rtl/>
        </w:rPr>
        <w:t xml:space="preserve"> آب/أغسطس </w:t>
      </w:r>
      <w:r w:rsidRPr="0080642F">
        <w:rPr>
          <w:rFonts w:eastAsiaTheme="minorEastAsia"/>
          <w:rtl/>
        </w:rPr>
        <w:t>2012</w:t>
      </w:r>
      <w:r w:rsidRPr="00B802A0">
        <w:rPr>
          <w:rFonts w:eastAsiaTheme="minorEastAsia"/>
          <w:rtl/>
        </w:rPr>
        <w:t xml:space="preserve">، ص </w:t>
      </w:r>
      <w:r w:rsidRPr="0080642F">
        <w:rPr>
          <w:rFonts w:eastAsiaTheme="minorEastAsia"/>
          <w:rtl/>
        </w:rPr>
        <w:t>2</w:t>
      </w:r>
      <w:r w:rsidRPr="00B802A0">
        <w:rPr>
          <w:rFonts w:eastAsiaTheme="minorEastAsia"/>
          <w:rtl/>
        </w:rPr>
        <w:t>؛ و</w:t>
      </w:r>
      <w:hyperlink r:id="rId33"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17</w:t>
      </w:r>
      <w:r w:rsidRPr="00B802A0">
        <w:rPr>
          <w:rFonts w:eastAsiaTheme="minorEastAsia"/>
          <w:rtl/>
        </w:rPr>
        <w:t xml:space="preserve"> و</w:t>
      </w:r>
      <w:r w:rsidRPr="0080642F">
        <w:rPr>
          <w:rFonts w:eastAsiaTheme="minorEastAsia"/>
          <w:rtl/>
        </w:rPr>
        <w:t>78</w:t>
      </w:r>
      <w:r w:rsidRPr="00B802A0">
        <w:rPr>
          <w:rFonts w:eastAsiaTheme="minorEastAsia"/>
          <w:rtl/>
        </w:rPr>
        <w:t xml:space="preserve"> و</w:t>
      </w:r>
      <w:r w:rsidRPr="0080642F">
        <w:rPr>
          <w:rFonts w:eastAsiaTheme="minorEastAsia"/>
          <w:rtl/>
        </w:rPr>
        <w:t>79</w:t>
      </w:r>
      <w:r w:rsidRPr="00F64CA3">
        <w:rPr>
          <w:rFonts w:eastAsiaTheme="minorEastAsia"/>
          <w:rtl/>
        </w:rPr>
        <w:t xml:space="preserve">. </w:t>
      </w:r>
    </w:p>
  </w:footnote>
  <w:footnote w:id="19">
    <w:p w14:paraId="469F5832"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34"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18</w:t>
      </w:r>
      <w:r w:rsidRPr="00B802A0">
        <w:rPr>
          <w:rFonts w:eastAsiaTheme="minorEastAsia"/>
          <w:rtl/>
        </w:rPr>
        <w:t>؛ و</w:t>
      </w:r>
      <w:hyperlink r:id="rId35"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الفقرتان </w:t>
      </w:r>
      <w:r w:rsidRPr="0080642F">
        <w:rPr>
          <w:rFonts w:eastAsiaTheme="minorEastAsia"/>
          <w:rtl/>
        </w:rPr>
        <w:t>191</w:t>
      </w:r>
      <w:r w:rsidRPr="00B802A0">
        <w:rPr>
          <w:rFonts w:eastAsiaTheme="minorEastAsia"/>
          <w:rtl/>
        </w:rPr>
        <w:t xml:space="preserve"> و</w:t>
      </w:r>
      <w:r w:rsidRPr="0080642F">
        <w:rPr>
          <w:rFonts w:eastAsiaTheme="minorEastAsia"/>
          <w:rtl/>
        </w:rPr>
        <w:t>192</w:t>
      </w:r>
      <w:r w:rsidRPr="00F64CA3">
        <w:rPr>
          <w:rFonts w:eastAsiaTheme="minorEastAsia"/>
          <w:rtl/>
        </w:rPr>
        <w:t xml:space="preserve">. </w:t>
      </w:r>
    </w:p>
  </w:footnote>
  <w:footnote w:id="20">
    <w:p w14:paraId="001DDEED" w14:textId="77777777" w:rsidR="00F64CA3" w:rsidRPr="003B1B0B" w:rsidRDefault="00F64CA3" w:rsidP="00F64CA3">
      <w:pPr>
        <w:pStyle w:val="FootnoteText1"/>
        <w:textDirection w:val="tbRlV"/>
        <w:rPr>
          <w:rFonts w:eastAsiaTheme="minorEastAsia"/>
          <w:lang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36"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19</w:t>
      </w:r>
      <w:r w:rsidRPr="00B802A0">
        <w:rPr>
          <w:rFonts w:eastAsiaTheme="minorEastAsia"/>
          <w:rtl/>
        </w:rPr>
        <w:t>؛ و</w:t>
      </w:r>
      <w:hyperlink r:id="rId37"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من </w:t>
      </w:r>
      <w:r w:rsidRPr="0080642F">
        <w:rPr>
          <w:rFonts w:eastAsiaTheme="minorEastAsia"/>
          <w:rtl/>
        </w:rPr>
        <w:t>193</w:t>
      </w:r>
      <w:r w:rsidRPr="00B802A0">
        <w:rPr>
          <w:rFonts w:eastAsiaTheme="minorEastAsia"/>
          <w:rtl/>
        </w:rPr>
        <w:t xml:space="preserve"> إلى </w:t>
      </w:r>
      <w:r w:rsidRPr="0080642F">
        <w:rPr>
          <w:rFonts w:eastAsiaTheme="minorEastAsia"/>
          <w:rtl/>
        </w:rPr>
        <w:t>198</w:t>
      </w:r>
      <w:r w:rsidRPr="00F64CA3">
        <w:rPr>
          <w:rFonts w:eastAsiaTheme="minorEastAsia"/>
          <w:rtl/>
        </w:rPr>
        <w:t xml:space="preserve">. </w:t>
      </w:r>
    </w:p>
  </w:footnote>
  <w:footnote w:id="21">
    <w:p w14:paraId="77FA7588" w14:textId="77777777" w:rsidR="00F64CA3" w:rsidRPr="003B1B0B" w:rsidRDefault="00F64CA3" w:rsidP="00F64CA3">
      <w:pPr>
        <w:pStyle w:val="FootnoteText1"/>
        <w:textDirection w:val="tbRlV"/>
        <w:rPr>
          <w:rFonts w:eastAsiaTheme="minorEastAsia"/>
          <w:spacing w:val="-4"/>
          <w:lang w:val="en-GB"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38" w:history="1">
        <w:r w:rsidRPr="003B1B0B">
          <w:rPr>
            <w:rStyle w:val="Hyperlink"/>
            <w:spacing w:val="-4"/>
          </w:rPr>
          <w:t>CERD/C/MAR/CO/</w:t>
        </w:r>
        <w:r w:rsidRPr="0080642F">
          <w:rPr>
            <w:rStyle w:val="Hyperlink"/>
            <w:spacing w:val="-4"/>
          </w:rPr>
          <w:t>17</w:t>
        </w:r>
        <w:r w:rsidRPr="003B1B0B">
          <w:rPr>
            <w:rStyle w:val="Hyperlink"/>
            <w:spacing w:val="-4"/>
          </w:rPr>
          <w:t>-</w:t>
        </w:r>
        <w:r w:rsidRPr="0080642F">
          <w:rPr>
            <w:rStyle w:val="Hyperlink"/>
            <w:spacing w:val="-4"/>
          </w:rPr>
          <w:t>18</w:t>
        </w:r>
      </w:hyperlink>
      <w:r w:rsidRPr="003B1B0B">
        <w:rPr>
          <w:rFonts w:eastAsiaTheme="minorEastAsia"/>
          <w:spacing w:val="-4"/>
          <w:rtl/>
        </w:rPr>
        <w:t xml:space="preserve">، الفقرة </w:t>
      </w:r>
      <w:r w:rsidRPr="0080642F">
        <w:rPr>
          <w:rFonts w:eastAsiaTheme="minorEastAsia"/>
          <w:spacing w:val="-4"/>
          <w:rtl/>
        </w:rPr>
        <w:t>20</w:t>
      </w:r>
      <w:r w:rsidRPr="003B1B0B">
        <w:rPr>
          <w:rFonts w:eastAsiaTheme="minorEastAsia"/>
          <w:spacing w:val="-4"/>
          <w:rtl/>
        </w:rPr>
        <w:t>؛ و</w:t>
      </w:r>
      <w:hyperlink r:id="rId39" w:history="1">
        <w:r w:rsidRPr="003B1B0B">
          <w:rPr>
            <w:rStyle w:val="Hyperlink"/>
            <w:spacing w:val="-4"/>
          </w:rPr>
          <w:t>CERD/C/MAR/</w:t>
        </w:r>
        <w:r w:rsidRPr="0080642F">
          <w:rPr>
            <w:rStyle w:val="Hyperlink"/>
            <w:spacing w:val="-4"/>
          </w:rPr>
          <w:t>19</w:t>
        </w:r>
        <w:r w:rsidRPr="003B1B0B">
          <w:rPr>
            <w:rStyle w:val="Hyperlink"/>
            <w:spacing w:val="-4"/>
          </w:rPr>
          <w:t>-</w:t>
        </w:r>
        <w:r w:rsidRPr="0080642F">
          <w:rPr>
            <w:rStyle w:val="Hyperlink"/>
            <w:spacing w:val="-4"/>
          </w:rPr>
          <w:t>21</w:t>
        </w:r>
      </w:hyperlink>
      <w:r w:rsidRPr="003B1B0B">
        <w:rPr>
          <w:rFonts w:eastAsiaTheme="minorEastAsia"/>
          <w:spacing w:val="-4"/>
          <w:rtl/>
        </w:rPr>
        <w:t xml:space="preserve">، الفقرات </w:t>
      </w:r>
      <w:r w:rsidRPr="0080642F">
        <w:rPr>
          <w:rFonts w:eastAsiaTheme="minorEastAsia"/>
          <w:spacing w:val="-4"/>
          <w:rtl/>
        </w:rPr>
        <w:t>21</w:t>
      </w:r>
      <w:r w:rsidRPr="003B1B0B">
        <w:rPr>
          <w:rFonts w:eastAsiaTheme="minorEastAsia"/>
          <w:spacing w:val="-4"/>
          <w:rtl/>
        </w:rPr>
        <w:t xml:space="preserve"> و</w:t>
      </w:r>
      <w:r w:rsidRPr="0080642F">
        <w:rPr>
          <w:rFonts w:eastAsiaTheme="minorEastAsia"/>
          <w:spacing w:val="-4"/>
          <w:rtl/>
        </w:rPr>
        <w:t>176</w:t>
      </w:r>
      <w:r w:rsidRPr="003B1B0B">
        <w:rPr>
          <w:rFonts w:eastAsiaTheme="minorEastAsia"/>
          <w:spacing w:val="-4"/>
          <w:rtl/>
        </w:rPr>
        <w:t xml:space="preserve"> و</w:t>
      </w:r>
      <w:r w:rsidRPr="0080642F">
        <w:rPr>
          <w:rFonts w:eastAsiaTheme="minorEastAsia"/>
          <w:spacing w:val="-4"/>
          <w:rtl/>
        </w:rPr>
        <w:t>182</w:t>
      </w:r>
      <w:r w:rsidRPr="003B1B0B">
        <w:rPr>
          <w:rFonts w:eastAsiaTheme="minorEastAsia"/>
          <w:spacing w:val="-4"/>
          <w:rtl/>
        </w:rPr>
        <w:t xml:space="preserve"> و</w:t>
      </w:r>
      <w:r w:rsidRPr="0080642F">
        <w:rPr>
          <w:rFonts w:eastAsiaTheme="minorEastAsia"/>
          <w:spacing w:val="-4"/>
          <w:rtl/>
        </w:rPr>
        <w:t>199</w:t>
      </w:r>
      <w:r w:rsidRPr="003B1B0B">
        <w:rPr>
          <w:rFonts w:eastAsiaTheme="minorEastAsia"/>
          <w:spacing w:val="-4"/>
          <w:rtl/>
        </w:rPr>
        <w:t xml:space="preserve"> ومن </w:t>
      </w:r>
      <w:r w:rsidRPr="0080642F">
        <w:rPr>
          <w:rFonts w:eastAsiaTheme="minorEastAsia"/>
          <w:spacing w:val="-4"/>
          <w:rtl/>
        </w:rPr>
        <w:t>200</w:t>
      </w:r>
      <w:r w:rsidRPr="003B1B0B">
        <w:rPr>
          <w:rFonts w:eastAsiaTheme="minorEastAsia"/>
          <w:spacing w:val="-4"/>
          <w:rtl/>
        </w:rPr>
        <w:t xml:space="preserve"> إلى </w:t>
      </w:r>
      <w:r w:rsidRPr="0080642F">
        <w:rPr>
          <w:rFonts w:eastAsiaTheme="minorEastAsia"/>
          <w:spacing w:val="-4"/>
          <w:rtl/>
        </w:rPr>
        <w:t>217</w:t>
      </w:r>
      <w:r w:rsidRPr="003B1B0B">
        <w:rPr>
          <w:rFonts w:eastAsiaTheme="minorEastAsia"/>
          <w:spacing w:val="-4"/>
          <w:rtl/>
        </w:rPr>
        <w:t xml:space="preserve">. </w:t>
      </w:r>
    </w:p>
  </w:footnote>
  <w:footnote w:id="22">
    <w:p w14:paraId="63C60193" w14:textId="77777777" w:rsidR="00F64CA3" w:rsidRPr="00B802A0" w:rsidRDefault="00F64CA3" w:rsidP="00F64CA3">
      <w:pPr>
        <w:pStyle w:val="FootnoteText1"/>
        <w:textDirection w:val="tbRlV"/>
        <w:rPr>
          <w:rFonts w:eastAsiaTheme="minorEastAsia"/>
          <w:lang w:val="ar-SA" w:eastAsia="zh-TW" w:bidi="en-GB"/>
        </w:rPr>
      </w:pPr>
      <w:r w:rsidRPr="00B802A0">
        <w:rPr>
          <w:rtl/>
        </w:rPr>
        <w:t>(</w:t>
      </w:r>
      <w:r w:rsidRPr="0080642F">
        <w:rPr>
          <w:rStyle w:val="FootnoteReference"/>
          <w:vertAlign w:val="baseline"/>
          <w:lang w:val="en-AU"/>
        </w:rPr>
        <w:footnoteRef/>
      </w:r>
      <w:r w:rsidRPr="00B802A0">
        <w:rPr>
          <w:rStyle w:val="FootnoteReference"/>
          <w:vertAlign w:val="baseline"/>
          <w:rtl/>
        </w:rPr>
        <w:t>)</w:t>
      </w:r>
      <w:r w:rsidRPr="00B802A0">
        <w:rPr>
          <w:rFonts w:eastAsiaTheme="minorEastAsia"/>
          <w:rtl/>
        </w:rPr>
        <w:tab/>
      </w:r>
      <w:hyperlink r:id="rId40" w:history="1">
        <w:r w:rsidRPr="00F64CA3">
          <w:rPr>
            <w:rStyle w:val="Hyperlink"/>
          </w:rPr>
          <w:t>CERD/C/MAR/CO/</w:t>
        </w:r>
        <w:r w:rsidRPr="0080642F">
          <w:rPr>
            <w:rStyle w:val="Hyperlink"/>
          </w:rPr>
          <w:t>17</w:t>
        </w:r>
        <w:r w:rsidRPr="00F64CA3">
          <w:rPr>
            <w:rStyle w:val="Hyperlink"/>
          </w:rPr>
          <w:t>-</w:t>
        </w:r>
        <w:r w:rsidRPr="0080642F">
          <w:rPr>
            <w:rStyle w:val="Hyperlink"/>
          </w:rPr>
          <w:t>18</w:t>
        </w:r>
      </w:hyperlink>
      <w:r w:rsidRPr="00B802A0">
        <w:rPr>
          <w:rFonts w:eastAsiaTheme="minorEastAsia"/>
          <w:rtl/>
        </w:rPr>
        <w:t xml:space="preserve">، الفقرة </w:t>
      </w:r>
      <w:r w:rsidRPr="0080642F">
        <w:rPr>
          <w:rFonts w:eastAsiaTheme="minorEastAsia"/>
          <w:rtl/>
        </w:rPr>
        <w:t>20</w:t>
      </w:r>
      <w:r w:rsidRPr="00B802A0">
        <w:rPr>
          <w:rFonts w:eastAsiaTheme="minorEastAsia"/>
          <w:rtl/>
        </w:rPr>
        <w:t>؛ و</w:t>
      </w:r>
      <w:hyperlink r:id="rId41" w:history="1">
        <w:r w:rsidRPr="00F64CA3">
          <w:rPr>
            <w:rStyle w:val="Hyperlink"/>
          </w:rPr>
          <w:t>CERD/C/MAR/</w:t>
        </w:r>
        <w:r w:rsidRPr="0080642F">
          <w:rPr>
            <w:rStyle w:val="Hyperlink"/>
          </w:rPr>
          <w:t>19</w:t>
        </w:r>
        <w:r w:rsidRPr="00F64CA3">
          <w:rPr>
            <w:rStyle w:val="Hyperlink"/>
          </w:rPr>
          <w:t>-</w:t>
        </w:r>
        <w:r w:rsidRPr="0080642F">
          <w:rPr>
            <w:rStyle w:val="Hyperlink"/>
          </w:rPr>
          <w:t>21</w:t>
        </w:r>
      </w:hyperlink>
      <w:r w:rsidRPr="00B802A0">
        <w:rPr>
          <w:rFonts w:eastAsiaTheme="minorEastAsia"/>
          <w:rtl/>
        </w:rPr>
        <w:t xml:space="preserve">، الفقرات </w:t>
      </w:r>
      <w:r w:rsidRPr="0080642F">
        <w:rPr>
          <w:rFonts w:eastAsiaTheme="minorEastAsia"/>
          <w:rtl/>
        </w:rPr>
        <w:t>21</w:t>
      </w:r>
      <w:r w:rsidRPr="00B802A0">
        <w:rPr>
          <w:rFonts w:eastAsiaTheme="minorEastAsia"/>
          <w:rtl/>
        </w:rPr>
        <w:t xml:space="preserve"> و</w:t>
      </w:r>
      <w:r w:rsidRPr="0080642F">
        <w:rPr>
          <w:rFonts w:eastAsiaTheme="minorEastAsia"/>
          <w:rtl/>
        </w:rPr>
        <w:t>89</w:t>
      </w:r>
      <w:r w:rsidRPr="00B802A0">
        <w:rPr>
          <w:rFonts w:eastAsiaTheme="minorEastAsia"/>
          <w:rtl/>
        </w:rPr>
        <w:t xml:space="preserve"> ومن </w:t>
      </w:r>
      <w:r w:rsidRPr="0080642F">
        <w:rPr>
          <w:rFonts w:eastAsiaTheme="minorEastAsia"/>
          <w:rtl/>
        </w:rPr>
        <w:t>91</w:t>
      </w:r>
      <w:r w:rsidRPr="00B802A0">
        <w:rPr>
          <w:rFonts w:eastAsiaTheme="minorEastAsia"/>
          <w:rtl/>
        </w:rPr>
        <w:t xml:space="preserve"> إلى </w:t>
      </w:r>
      <w:r w:rsidRPr="0080642F">
        <w:rPr>
          <w:rFonts w:eastAsiaTheme="minorEastAsia"/>
          <w:rtl/>
        </w:rPr>
        <w:t>93</w:t>
      </w:r>
      <w:r w:rsidRPr="00B802A0">
        <w:rPr>
          <w:rFonts w:eastAsiaTheme="minorEastAsia"/>
          <w:rtl/>
        </w:rPr>
        <w:t xml:space="preserve"> و</w:t>
      </w:r>
      <w:r w:rsidRPr="0080642F">
        <w:rPr>
          <w:rFonts w:eastAsiaTheme="minorEastAsia"/>
          <w:rtl/>
        </w:rPr>
        <w:t>182</w:t>
      </w:r>
      <w:r w:rsidRPr="00B802A0">
        <w:rPr>
          <w:rFonts w:eastAsiaTheme="minorEastAsia"/>
          <w:rtl/>
        </w:rPr>
        <w:t xml:space="preserve"> و</w:t>
      </w:r>
      <w:r w:rsidRPr="0080642F">
        <w:rPr>
          <w:rFonts w:eastAsiaTheme="minorEastAsia"/>
          <w:rtl/>
        </w:rPr>
        <w:t>191</w:t>
      </w:r>
      <w:r w:rsidRPr="00B802A0">
        <w:rPr>
          <w:rFonts w:eastAsiaTheme="minorEastAsia"/>
          <w:rtl/>
        </w:rPr>
        <w:t xml:space="preserve"> و</w:t>
      </w:r>
      <w:r w:rsidRPr="0080642F">
        <w:rPr>
          <w:rFonts w:eastAsiaTheme="minorEastAsia"/>
          <w:rtl/>
        </w:rPr>
        <w:t>199</w:t>
      </w:r>
      <w:r w:rsidRPr="00B802A0">
        <w:rPr>
          <w:rFonts w:eastAsiaTheme="minorEastAsia"/>
          <w:rtl/>
        </w:rPr>
        <w:t xml:space="preserve"> ومن </w:t>
      </w:r>
      <w:r w:rsidRPr="0080642F">
        <w:rPr>
          <w:rFonts w:eastAsiaTheme="minorEastAsia"/>
          <w:rtl/>
        </w:rPr>
        <w:t>201</w:t>
      </w:r>
      <w:r w:rsidRPr="00B802A0">
        <w:rPr>
          <w:rFonts w:eastAsiaTheme="minorEastAsia"/>
          <w:rtl/>
        </w:rPr>
        <w:t xml:space="preserve"> إلى </w:t>
      </w:r>
      <w:r w:rsidRPr="0080642F">
        <w:rPr>
          <w:rFonts w:eastAsiaTheme="minorEastAsia"/>
          <w:rtl/>
        </w:rPr>
        <w:t>218</w:t>
      </w:r>
      <w:r w:rsidRPr="00F64CA3">
        <w:rPr>
          <w:rFonts w:eastAsiaTheme="minorEastAsia"/>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ADA1C" w14:textId="5D921C89" w:rsidR="00ED7860" w:rsidRPr="00ED7860" w:rsidRDefault="00ED7860" w:rsidP="00ED786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03CDC">
      <w:t>CERD/C/MAR/Q/19-21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F291F" w14:textId="267E5ACB" w:rsidR="00ED7860" w:rsidRPr="00ED7860" w:rsidRDefault="00ED7860" w:rsidP="00ED786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03CDC">
      <w:t>CERD/C/MAR/Q/19-21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283997425">
    <w:abstractNumId w:val="15"/>
  </w:num>
  <w:num w:numId="2" w16cid:durableId="508373887">
    <w:abstractNumId w:val="12"/>
  </w:num>
  <w:num w:numId="3" w16cid:durableId="1854875842">
    <w:abstractNumId w:val="2"/>
  </w:num>
  <w:num w:numId="4" w16cid:durableId="910971034">
    <w:abstractNumId w:val="11"/>
  </w:num>
  <w:num w:numId="5" w16cid:durableId="391851458">
    <w:abstractNumId w:val="8"/>
  </w:num>
  <w:num w:numId="6" w16cid:durableId="1604070306">
    <w:abstractNumId w:val="5"/>
  </w:num>
  <w:num w:numId="7" w16cid:durableId="1151097955">
    <w:abstractNumId w:val="17"/>
  </w:num>
  <w:num w:numId="8" w16cid:durableId="1695378353">
    <w:abstractNumId w:val="2"/>
  </w:num>
  <w:num w:numId="9" w16cid:durableId="1781409770">
    <w:abstractNumId w:val="11"/>
  </w:num>
  <w:num w:numId="10" w16cid:durableId="256518781">
    <w:abstractNumId w:val="5"/>
  </w:num>
  <w:num w:numId="11" w16cid:durableId="655840094">
    <w:abstractNumId w:val="17"/>
  </w:num>
  <w:num w:numId="12" w16cid:durableId="2095126798">
    <w:abstractNumId w:val="4"/>
  </w:num>
  <w:num w:numId="13" w16cid:durableId="1736974161">
    <w:abstractNumId w:val="3"/>
  </w:num>
  <w:num w:numId="14" w16cid:durableId="1877737976">
    <w:abstractNumId w:val="16"/>
  </w:num>
  <w:num w:numId="15" w16cid:durableId="135997787">
    <w:abstractNumId w:val="13"/>
  </w:num>
  <w:num w:numId="16" w16cid:durableId="1807889910">
    <w:abstractNumId w:val="1"/>
  </w:num>
  <w:num w:numId="17" w16cid:durableId="538783622">
    <w:abstractNumId w:val="14"/>
  </w:num>
  <w:num w:numId="18" w16cid:durableId="1538159574">
    <w:abstractNumId w:val="0"/>
  </w:num>
  <w:num w:numId="19" w16cid:durableId="75589348">
    <w:abstractNumId w:val="9"/>
  </w:num>
  <w:num w:numId="20" w16cid:durableId="146469611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487450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193770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2025144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760628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15771311">
    <w:abstractNumId w:val="7"/>
  </w:num>
  <w:num w:numId="26" w16cid:durableId="14063422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6933336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5C7"/>
    <w:rsid w:val="000076D5"/>
    <w:rsid w:val="0001076A"/>
    <w:rsid w:val="00043663"/>
    <w:rsid w:val="000505CF"/>
    <w:rsid w:val="00061207"/>
    <w:rsid w:val="000A3229"/>
    <w:rsid w:val="000D5F55"/>
    <w:rsid w:val="000D701C"/>
    <w:rsid w:val="000E2A71"/>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3110CF"/>
    <w:rsid w:val="003260FF"/>
    <w:rsid w:val="00326A5E"/>
    <w:rsid w:val="003364DF"/>
    <w:rsid w:val="00343D95"/>
    <w:rsid w:val="00374341"/>
    <w:rsid w:val="0039392F"/>
    <w:rsid w:val="003A0060"/>
    <w:rsid w:val="003B1799"/>
    <w:rsid w:val="003B1B0B"/>
    <w:rsid w:val="003C67DF"/>
    <w:rsid w:val="003D1062"/>
    <w:rsid w:val="003E0437"/>
    <w:rsid w:val="004024CE"/>
    <w:rsid w:val="00420D7B"/>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904C5"/>
    <w:rsid w:val="007E37DC"/>
    <w:rsid w:val="007E5F40"/>
    <w:rsid w:val="0080642F"/>
    <w:rsid w:val="008315F0"/>
    <w:rsid w:val="008357B8"/>
    <w:rsid w:val="008475C7"/>
    <w:rsid w:val="00852A9A"/>
    <w:rsid w:val="008B0BF2"/>
    <w:rsid w:val="008C452B"/>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B6758"/>
    <w:rsid w:val="00AC17CB"/>
    <w:rsid w:val="00AD677C"/>
    <w:rsid w:val="00AF4187"/>
    <w:rsid w:val="00B03CDC"/>
    <w:rsid w:val="00B13763"/>
    <w:rsid w:val="00B14382"/>
    <w:rsid w:val="00B176FF"/>
    <w:rsid w:val="00B351BF"/>
    <w:rsid w:val="00B44E12"/>
    <w:rsid w:val="00B455EE"/>
    <w:rsid w:val="00B477A4"/>
    <w:rsid w:val="00B50E01"/>
    <w:rsid w:val="00B54045"/>
    <w:rsid w:val="00B802A0"/>
    <w:rsid w:val="00BA2567"/>
    <w:rsid w:val="00C438D7"/>
    <w:rsid w:val="00C47A45"/>
    <w:rsid w:val="00C81B50"/>
    <w:rsid w:val="00CB28F9"/>
    <w:rsid w:val="00CD1801"/>
    <w:rsid w:val="00CF2B82"/>
    <w:rsid w:val="00D10EF1"/>
    <w:rsid w:val="00D16342"/>
    <w:rsid w:val="00D36601"/>
    <w:rsid w:val="00D42810"/>
    <w:rsid w:val="00D81286"/>
    <w:rsid w:val="00D914A7"/>
    <w:rsid w:val="00D952E6"/>
    <w:rsid w:val="00DB79BF"/>
    <w:rsid w:val="00DD0800"/>
    <w:rsid w:val="00DD13C3"/>
    <w:rsid w:val="00DD596E"/>
    <w:rsid w:val="00DD621E"/>
    <w:rsid w:val="00DF0575"/>
    <w:rsid w:val="00E70E04"/>
    <w:rsid w:val="00E76499"/>
    <w:rsid w:val="00EC05A7"/>
    <w:rsid w:val="00EC4B6B"/>
    <w:rsid w:val="00ED7860"/>
    <w:rsid w:val="00EF1EE5"/>
    <w:rsid w:val="00F33749"/>
    <w:rsid w:val="00F4361D"/>
    <w:rsid w:val="00F46702"/>
    <w:rsid w:val="00F64CA3"/>
    <w:rsid w:val="00F763B4"/>
    <w:rsid w:val="00F83E84"/>
    <w:rsid w:val="00F900C3"/>
    <w:rsid w:val="00FA7FFE"/>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7B3453"/>
  <w15:docId w15:val="{337622EA-BE1E-47B5-9D66-8F2A638D3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link w:val="HChGChar"/>
    <w:qFormat/>
    <w:rsid w:val="00B802A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B802A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link w:val="H23GChar"/>
    <w:qFormat/>
    <w:rsid w:val="00B802A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b/>
      <w:szCs w:val="30"/>
      <w:lang w:val="fr-CH" w:eastAsia="zh-CN"/>
    </w:rPr>
  </w:style>
  <w:style w:type="paragraph" w:customStyle="1" w:styleId="SingleTxtG">
    <w:name w:val="_ Single Txt_G"/>
    <w:basedOn w:val="Normal"/>
    <w:link w:val="SingleTxtGChar"/>
    <w:qFormat/>
    <w:rsid w:val="00B802A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character" w:styleId="FootnoteReference">
    <w:name w:val="footnote reference"/>
    <w:aliases w:val="4_G"/>
    <w:basedOn w:val="DefaultParagraphFont"/>
    <w:qFormat/>
    <w:rsid w:val="00B802A0"/>
    <w:rPr>
      <w:rFonts w:ascii="Times New Roman" w:hAnsi="Times New Roman"/>
      <w:sz w:val="18"/>
      <w:vertAlign w:val="superscript"/>
    </w:rPr>
  </w:style>
  <w:style w:type="paragraph" w:styleId="FootnoteText">
    <w:name w:val="footnote text"/>
    <w:aliases w:val="5_G"/>
    <w:basedOn w:val="Normal"/>
    <w:link w:val="FootnoteTextChar"/>
    <w:qFormat/>
    <w:rsid w:val="00B802A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B802A0"/>
    <w:rPr>
      <w:rFonts w:ascii="Times New Roman" w:cs="Simplified Arabic"/>
      <w:sz w:val="18"/>
      <w:szCs w:val="30"/>
      <w:lang w:val="fr-CH" w:eastAsia="zh-CN"/>
    </w:rPr>
  </w:style>
  <w:style w:type="character" w:customStyle="1" w:styleId="HChGChar">
    <w:name w:val="_ H _Ch_G Char"/>
    <w:link w:val="HChG"/>
    <w:rsid w:val="00B802A0"/>
    <w:rPr>
      <w:rFonts w:ascii="Times New Roman" w:cs="Simplified Arabic"/>
      <w:b/>
      <w:sz w:val="28"/>
      <w:szCs w:val="30"/>
      <w:lang w:val="fr-CH" w:eastAsia="zh-CN"/>
    </w:rPr>
  </w:style>
  <w:style w:type="character" w:customStyle="1" w:styleId="SingleTxtGChar">
    <w:name w:val="_ Single Txt_G Char"/>
    <w:link w:val="SingleTxtG"/>
    <w:locked/>
    <w:rsid w:val="00B802A0"/>
    <w:rPr>
      <w:rFonts w:ascii="Times New Roman" w:cs="Simplified Arabic"/>
      <w:sz w:val="20"/>
      <w:szCs w:val="30"/>
      <w:lang w:val="fr-CH" w:eastAsia="zh-CN"/>
    </w:rPr>
  </w:style>
  <w:style w:type="character" w:customStyle="1" w:styleId="H1GChar">
    <w:name w:val="_ H_1_G Char"/>
    <w:link w:val="H1G"/>
    <w:locked/>
    <w:rsid w:val="00B802A0"/>
    <w:rPr>
      <w:rFonts w:ascii="Times New Roman" w:cs="Simplified Arabic"/>
      <w:b/>
      <w:sz w:val="24"/>
      <w:szCs w:val="30"/>
      <w:lang w:val="fr-CH" w:eastAsia="zh-CN"/>
    </w:rPr>
  </w:style>
  <w:style w:type="character" w:customStyle="1" w:styleId="H23GChar">
    <w:name w:val="_ H_2/3_G Char"/>
    <w:link w:val="H23G"/>
    <w:locked/>
    <w:rsid w:val="00B802A0"/>
    <w:rPr>
      <w:rFonts w:ascii="Times New Roman" w:cs="Simplified Arabic"/>
      <w:b/>
      <w:sz w:val="20"/>
      <w:szCs w:val="30"/>
      <w:lang w:val="fr-CH" w:eastAsia="zh-CN"/>
    </w:rPr>
  </w:style>
  <w:style w:type="character" w:styleId="UnresolvedMention">
    <w:name w:val="Unresolved Mention"/>
    <w:basedOn w:val="DefaultParagraphFont"/>
    <w:uiPriority w:val="99"/>
    <w:semiHidden/>
    <w:unhideWhenUsed/>
    <w:rsid w:val="00F64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MAR/CO/17-18" TargetMode="External"/><Relationship Id="rId13" Type="http://schemas.openxmlformats.org/officeDocument/2006/relationships/hyperlink" Target="https://undocs.org/ar/CERD/C/MAR/19-21" TargetMode="External"/><Relationship Id="rId18" Type="http://schemas.openxmlformats.org/officeDocument/2006/relationships/hyperlink" Target="https://undocs.org/ar/CERD/C/MAR/CO/17-18/Add.1" TargetMode="External"/><Relationship Id="rId26" Type="http://schemas.openxmlformats.org/officeDocument/2006/relationships/hyperlink" Target="https://undocs.org/ar/CERD/C/MAR/19-21" TargetMode="External"/><Relationship Id="rId39" Type="http://schemas.openxmlformats.org/officeDocument/2006/relationships/hyperlink" Target="https://undocs.org/ar/CERD/C/MAR/19-21" TargetMode="External"/><Relationship Id="rId3" Type="http://schemas.openxmlformats.org/officeDocument/2006/relationships/hyperlink" Target="https://undocs.org/ar/CERD/C/MAR/19-21" TargetMode="External"/><Relationship Id="rId21" Type="http://schemas.openxmlformats.org/officeDocument/2006/relationships/hyperlink" Target="https://undocs.org/ar/CERD/C/MAR/CO/17-18" TargetMode="External"/><Relationship Id="rId34" Type="http://schemas.openxmlformats.org/officeDocument/2006/relationships/hyperlink" Target="https://undocs.org/ar/CERD/C/MAR/CO/17-18" TargetMode="External"/><Relationship Id="rId7" Type="http://schemas.openxmlformats.org/officeDocument/2006/relationships/hyperlink" Target="https://undocs.org/ar/CERD/C/MAR/19-21" TargetMode="External"/><Relationship Id="rId12" Type="http://schemas.openxmlformats.org/officeDocument/2006/relationships/hyperlink" Target="https://undocs.org/ar/CERD/C/MAR/CO/17-18" TargetMode="External"/><Relationship Id="rId17" Type="http://schemas.openxmlformats.org/officeDocument/2006/relationships/hyperlink" Target="https://undocs.org/ar/CERD/C/MAR/CO/17-18" TargetMode="External"/><Relationship Id="rId25" Type="http://schemas.openxmlformats.org/officeDocument/2006/relationships/hyperlink" Target="https://undocs.org/ar/CERD/C/MAR/CO/17-18/Add.1" TargetMode="External"/><Relationship Id="rId33" Type="http://schemas.openxmlformats.org/officeDocument/2006/relationships/hyperlink" Target="https://undocs.org/ar/CERD/C/MAR/19-21" TargetMode="External"/><Relationship Id="rId38" Type="http://schemas.openxmlformats.org/officeDocument/2006/relationships/hyperlink" Target="https://undocs.org/ar/CERD/C/MAR/CO/17-18" TargetMode="External"/><Relationship Id="rId2" Type="http://schemas.openxmlformats.org/officeDocument/2006/relationships/hyperlink" Target="https://undocs.org/ar/CERD/C/MAR/CO/17-18" TargetMode="External"/><Relationship Id="rId16" Type="http://schemas.openxmlformats.org/officeDocument/2006/relationships/hyperlink" Target="https://undocs.org/ar/CERD/C/MAR/19-21" TargetMode="External"/><Relationship Id="rId20" Type="http://schemas.openxmlformats.org/officeDocument/2006/relationships/hyperlink" Target="https://undocs.org/ar/CERD/C/MAR/19-21" TargetMode="External"/><Relationship Id="rId29" Type="http://schemas.openxmlformats.org/officeDocument/2006/relationships/hyperlink" Target="https://undocs.org/ar/CERD/C/MAR/19-21" TargetMode="External"/><Relationship Id="rId41" Type="http://schemas.openxmlformats.org/officeDocument/2006/relationships/hyperlink" Target="https://undocs.org/ar/CERD/C/MAR/19-21" TargetMode="External"/><Relationship Id="rId1" Type="http://schemas.openxmlformats.org/officeDocument/2006/relationships/hyperlink" Target="https://undocs.org/ar/A/65/18" TargetMode="External"/><Relationship Id="rId6" Type="http://schemas.openxmlformats.org/officeDocument/2006/relationships/hyperlink" Target="https://undocs.org/ar/CERD/C/MAR/CO/17-18" TargetMode="External"/><Relationship Id="rId11" Type="http://schemas.openxmlformats.org/officeDocument/2006/relationships/hyperlink" Target="https://undocs.org/ar/CERD/C/MAR/19-21" TargetMode="External"/><Relationship Id="rId24" Type="http://schemas.openxmlformats.org/officeDocument/2006/relationships/hyperlink" Target="https://undocs.org/ar/CERD/C/MAR/CO/17-18" TargetMode="External"/><Relationship Id="rId32" Type="http://schemas.openxmlformats.org/officeDocument/2006/relationships/hyperlink" Target="https://undocs.org/ar/CERD/C/MAR/CO/17-18/Add.1" TargetMode="External"/><Relationship Id="rId37" Type="http://schemas.openxmlformats.org/officeDocument/2006/relationships/hyperlink" Target="https://undocs.org/ar/CERD/C/MAR/19-21" TargetMode="External"/><Relationship Id="rId40" Type="http://schemas.openxmlformats.org/officeDocument/2006/relationships/hyperlink" Target="https://undocs.org/ar/CERD/C/MAR/CO/17-18" TargetMode="External"/><Relationship Id="rId5" Type="http://schemas.openxmlformats.org/officeDocument/2006/relationships/hyperlink" Target="https://undocs.org/ar/CERD/C/MAR/19-21" TargetMode="External"/><Relationship Id="rId15" Type="http://schemas.openxmlformats.org/officeDocument/2006/relationships/hyperlink" Target="https://undocs.org/ar/CERD/C/MAR/CO/17-18" TargetMode="External"/><Relationship Id="rId23" Type="http://schemas.openxmlformats.org/officeDocument/2006/relationships/hyperlink" Target="https://undocs.org/ar/CERD/C/MAR/19-21" TargetMode="External"/><Relationship Id="rId28" Type="http://schemas.openxmlformats.org/officeDocument/2006/relationships/hyperlink" Target="https://undocs.org/ar/CERD/C/MAR/CO/17-18/Add.1" TargetMode="External"/><Relationship Id="rId36" Type="http://schemas.openxmlformats.org/officeDocument/2006/relationships/hyperlink" Target="https://undocs.org/ar/CERD/C/MAR/CO/17-18" TargetMode="External"/><Relationship Id="rId10" Type="http://schemas.openxmlformats.org/officeDocument/2006/relationships/hyperlink" Target="https://undocs.org/ar/CERD/C/MAR/CO/17-18" TargetMode="External"/><Relationship Id="rId19" Type="http://schemas.openxmlformats.org/officeDocument/2006/relationships/hyperlink" Target="file:///\\conf-share1\LS\ARA\COMMON\FINAL\tbinternet.ohchr.org\_layouts\15\treatybodyexternal\Download.aspx%3fsymbolno=INT\CERD\FUL\MAR\12164&amp;Lang=en),%20p.%202" TargetMode="External"/><Relationship Id="rId31" Type="http://schemas.openxmlformats.org/officeDocument/2006/relationships/hyperlink" Target="https://undocs.org/ar/CERD/C/MAR/CO/17-18" TargetMode="External"/><Relationship Id="rId4" Type="http://schemas.openxmlformats.org/officeDocument/2006/relationships/hyperlink" Target="https://undocs.org/ar/CERD/C/MAR/CO/17-18" TargetMode="External"/><Relationship Id="rId9" Type="http://schemas.openxmlformats.org/officeDocument/2006/relationships/hyperlink" Target="https://undocs.org/ar/CERD/C/MAR/19-21" TargetMode="External"/><Relationship Id="rId14" Type="http://schemas.openxmlformats.org/officeDocument/2006/relationships/hyperlink" Target="https://undocs.org/ar/CERD/C/MAR/19-21" TargetMode="External"/><Relationship Id="rId22" Type="http://schemas.openxmlformats.org/officeDocument/2006/relationships/hyperlink" Target="https://undocs.org/ar/CERD/C/MAR/CO/17-18/Add.1" TargetMode="External"/><Relationship Id="rId27" Type="http://schemas.openxmlformats.org/officeDocument/2006/relationships/hyperlink" Target="https://undocs.org/ar/CERD/C/MAR/CO/17-18" TargetMode="External"/><Relationship Id="rId30" Type="http://schemas.openxmlformats.org/officeDocument/2006/relationships/hyperlink" Target="https://tbinternet.ohchr.org/_layouts/15/treatybodyexternal/Download.aspx?symbolno=INT%2FCERD%2FSWA%2F9583&amp;Lang=en" TargetMode="External"/><Relationship Id="rId35" Type="http://schemas.openxmlformats.org/officeDocument/2006/relationships/hyperlink" Target="https://undocs.org/ar/CERD/C/MAR/19-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1563</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CERD/C/MAR/Q/19-21</vt:lpstr>
    </vt:vector>
  </TitlesOfParts>
  <Company>DCM</Company>
  <LinksUpToDate>false</LinksUpToDate>
  <CharactersWithSpaces>10142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CERD/C/MAR/Q/19-21</dc:title>
  <dc:subject>GE.2318409(A)</dc:subject>
  <dc:creator>Muntaha BUHNAM -  Mounir BOUKADIDA </dc:creator>
  <cp:keywords>GE. 2319528(A)</cp:keywords>
  <dc:description>Distr.: General
3 October 2023
Arabic
Original: French
Arabic, English, French and Spanish only</dc:description>
  <cp:lastModifiedBy>Jamila Chedad</cp:lastModifiedBy>
  <cp:revision>3</cp:revision>
  <cp:lastPrinted>2023-10-30T11:11:00Z</cp:lastPrinted>
  <dcterms:created xsi:type="dcterms:W3CDTF">2023-10-30T11:11:00Z</dcterms:created>
  <dcterms:modified xsi:type="dcterms:W3CDTF">2023-10-30T11:12:00Z</dcterms:modified>
  <cp:category>Final</cp:category>
</cp:coreProperties>
</file>