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C04" w:rsidRDefault="00F55EE7" w:rsidP="00B37C04">
      <w:pPr>
        <w:spacing w:line="240" w:lineRule="auto"/>
        <w:rPr>
          <w:sz w:val="2"/>
        </w:rPr>
        <w:sectPr w:rsidR="00B37C04" w:rsidSect="00B37C04">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95.5pt;margin-top:776.75pt;width:55pt;height:63.1pt;z-index:1;mso-position-horizontal-relative:page;mso-position-vertical-relative:page" o:preferrelative="f">
            <v:imagedata r:id="rId13" o:title="1-2&amp;Size =1&amp;Lang = S"/>
            <w10:wrap anchorx="page" anchory="page"/>
          </v:shape>
        </w:pict>
      </w:r>
      <w:r w:rsidR="00B37C04">
        <w:rPr>
          <w:rStyle w:val="CommentReference"/>
        </w:rPr>
        <w:commentReference w:id="0"/>
      </w:r>
    </w:p>
    <w:p w:rsidR="00D21EFD" w:rsidRPr="00D21EFD" w:rsidRDefault="00D21EFD" w:rsidP="00D21EF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21EFD">
        <w:rPr>
          <w:lang w:val="fr-FR"/>
        </w:rPr>
        <w:t>Comité pour l’élimination de la discrimination</w:t>
      </w:r>
    </w:p>
    <w:p w:rsidR="00D21EFD" w:rsidRPr="00D21EFD" w:rsidRDefault="00D21EFD" w:rsidP="00D21EF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21EFD">
        <w:rPr>
          <w:lang w:val="fr-FR"/>
        </w:rPr>
        <w:t>à l’égard des femmes</w:t>
      </w:r>
    </w:p>
    <w:p w:rsidR="00D21EFD" w:rsidRPr="00D21EFD" w:rsidRDefault="00D21EFD" w:rsidP="00D21EFD">
      <w:pPr>
        <w:spacing w:line="120" w:lineRule="exact"/>
        <w:rPr>
          <w:sz w:val="10"/>
          <w:lang w:val="fr-FR"/>
        </w:rPr>
      </w:pPr>
    </w:p>
    <w:p w:rsidR="00D21EFD" w:rsidRPr="00D21EFD" w:rsidRDefault="00D21EFD" w:rsidP="00D21EFD">
      <w:pPr>
        <w:spacing w:line="120" w:lineRule="exact"/>
        <w:rPr>
          <w:sz w:val="10"/>
          <w:lang w:val="fr-FR"/>
        </w:rPr>
      </w:pPr>
    </w:p>
    <w:p w:rsidR="00D21EFD" w:rsidRPr="00D21EFD" w:rsidRDefault="00D21EFD" w:rsidP="00D21EFD">
      <w:pPr>
        <w:spacing w:line="120" w:lineRule="exact"/>
        <w:rPr>
          <w:sz w:val="10"/>
          <w:lang w:val="fr-FR"/>
        </w:rPr>
      </w:pPr>
    </w:p>
    <w:p w:rsidR="00D21EFD" w:rsidRDefault="00D21EFD" w:rsidP="00D21EFD">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points et questions soulevés par le rapport </w:t>
      </w:r>
      <w:r>
        <w:br/>
        <w:t xml:space="preserve">unique du Brunéi Darussalam valant rapport initial </w:t>
      </w:r>
      <w:r>
        <w:br/>
        <w:t>et deuxième rapport périodique</w:t>
      </w:r>
      <w:r w:rsidRPr="008B0FA6">
        <w:rPr>
          <w:sz w:val="20"/>
        </w:rPr>
        <w:t>*</w:t>
      </w:r>
    </w:p>
    <w:p w:rsidR="00D21EFD" w:rsidRPr="00D21EFD" w:rsidRDefault="00D21EFD" w:rsidP="00D21EFD">
      <w:pPr>
        <w:pStyle w:val="SingleTxt"/>
        <w:spacing w:after="0" w:line="120" w:lineRule="exact"/>
        <w:rPr>
          <w:sz w:val="10"/>
          <w:lang w:val="fr-FR"/>
        </w:rPr>
      </w:pPr>
    </w:p>
    <w:p w:rsidR="00D21EFD" w:rsidRPr="00D21EFD" w:rsidRDefault="00D21EFD" w:rsidP="00D21EFD">
      <w:pPr>
        <w:pStyle w:val="SingleTxt"/>
        <w:spacing w:after="0" w:line="120" w:lineRule="exact"/>
        <w:rPr>
          <w:sz w:val="10"/>
          <w:lang w:val="fr-FR"/>
        </w:rPr>
      </w:pPr>
    </w:p>
    <w:p w:rsidR="00D21EFD" w:rsidRPr="00D21EFD" w:rsidRDefault="00D21EFD" w:rsidP="00D21EFD">
      <w:pPr>
        <w:pStyle w:val="SingleTxt"/>
        <w:spacing w:after="0" w:line="120" w:lineRule="exact"/>
        <w:rPr>
          <w:sz w:val="10"/>
          <w:lang w:val="fr-FR"/>
        </w:rPr>
      </w:pPr>
    </w:p>
    <w:p w:rsidR="00D21EFD" w:rsidRDefault="00D21EFD" w:rsidP="00D21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Généralités</w:t>
      </w:r>
    </w:p>
    <w:p w:rsidR="00D21EFD" w:rsidRDefault="00D21EFD" w:rsidP="00D21EFD">
      <w:pPr>
        <w:pStyle w:val="SingleTxt"/>
        <w:spacing w:after="0" w:line="120" w:lineRule="exact"/>
        <w:rPr>
          <w:sz w:val="10"/>
        </w:rPr>
      </w:pP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Il est indiqué dans le rapport (CEDAW/C/BRN/1-2, par. 3.3.1 et 3.3.2)</w:t>
      </w:r>
      <w:r w:rsidRPr="00D21EFD">
        <w:rPr>
          <w:rStyle w:val="FootnoteReference"/>
          <w:color w:val="auto"/>
        </w:rPr>
        <w:footnoteReference w:id="1"/>
      </w:r>
      <w:r w:rsidRPr="00D21EFD">
        <w:rPr>
          <w:lang w:val="fr-FR"/>
        </w:rPr>
        <w:t xml:space="preserve"> que l’État partie collabore étroitement avec les organisations non gouvernementales sur les questions touchant les droits des femmes. Indiquer si des organisations non gouvernementales, notamment des associations de femmes ont été consultées et ont participé à l’élaboration du rapport et, le cas échéant, dans quelle mesure. Fournir également des informations sur les lois régissant l’enregistrement des organisations non gouvernementales et expliquer s’il y a un environnement propice à ces dernières dans l’État partie.</w:t>
      </w:r>
    </w:p>
    <w:p w:rsidR="00D21EFD" w:rsidRPr="00D21EFD" w:rsidRDefault="00D21EFD" w:rsidP="00D21EFD">
      <w:pPr>
        <w:pStyle w:val="SingleTxt"/>
        <w:spacing w:after="0" w:line="120" w:lineRule="exact"/>
        <w:rPr>
          <w:sz w:val="10"/>
          <w:lang w:val="fr-FR"/>
        </w:rPr>
      </w:pPr>
    </w:p>
    <w:p w:rsid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 xml:space="preserve">Déclaration et réserves </w:t>
      </w: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Fournir des informations actualisées sur les efforts entrepris par l’État partie pour réexaminer la déclaration et les réserves émises à l’égard de la Convention, en vue de les retirer ou d’en restreindre la portée. Indiquer également si l’État partie a consulté d’autres pays dotés de systèmes sociaux, culturels et juridiques similaires, qui sont parvenus à retirer ou à restreindre considérablement les réserves émises à l’égard de la Convention.</w:t>
      </w:r>
    </w:p>
    <w:p w:rsidR="00D21EFD" w:rsidRPr="00D21EFD" w:rsidRDefault="00D21EFD" w:rsidP="00D21EFD">
      <w:pPr>
        <w:pStyle w:val="SingleTxt"/>
        <w:spacing w:after="0" w:line="120" w:lineRule="exact"/>
        <w:rPr>
          <w:sz w:val="10"/>
          <w:lang w:val="fr-FR"/>
        </w:rPr>
      </w:pPr>
    </w:p>
    <w:p w:rsid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Cadre constitutionnel, législatif et institutionnel</w:t>
      </w: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Il est indiqué que l’État partie reconnaît l’importance de la promotion et de la protection des droits des femmes (Première partie, par.</w:t>
      </w:r>
      <w:r w:rsidR="00321D27">
        <w:rPr>
          <w:lang w:val="fr-FR"/>
        </w:rPr>
        <w:t> </w:t>
      </w:r>
      <w:r w:rsidRPr="00D21EFD">
        <w:rPr>
          <w:lang w:val="fr-FR"/>
        </w:rPr>
        <w:t xml:space="preserve">3.1.2). Cependant, en octobre 2013, le Gouvernement du Brunéi Darussalam a adopté une ordonnance relative au Code pénal islamique contenant des dispositions discriminatoires à l’égard des femmes. Indiquer si un processus de révision de l’ordonnance de 2013 relative au </w:t>
      </w:r>
      <w:r w:rsidR="008B0FA6">
        <w:rPr>
          <w:lang w:val="fr-FR"/>
        </w:rPr>
        <w:t>C</w:t>
      </w:r>
      <w:r w:rsidRPr="00D21EFD">
        <w:rPr>
          <w:lang w:val="fr-FR"/>
        </w:rPr>
        <w:t xml:space="preserve">ode pénal islamique est envisagé en vue de supprimer toutes les dispositions discriminatoires. Fournir également des informations sur les mesures prises pour mettre le système juridique de l’État partie en conformité avec les normes internationales en matière de droits de l’homme et, notamment, avec les dispositions de la Convention. </w:t>
      </w:r>
    </w:p>
    <w:p w:rsidR="00D21EFD" w:rsidRPr="00D21EFD" w:rsidRDefault="00D21EFD" w:rsidP="00D21EFD">
      <w:pPr>
        <w:pStyle w:val="SingleTxt"/>
        <w:spacing w:after="0" w:line="120" w:lineRule="exact"/>
        <w:rPr>
          <w:sz w:val="10"/>
          <w:lang w:val="fr-FR"/>
        </w:rPr>
      </w:pPr>
    </w:p>
    <w:p w:rsidR="00D21EFD" w:rsidRP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1EFD">
        <w:rPr>
          <w:lang w:val="fr-FR"/>
        </w:rPr>
        <w:tab/>
      </w:r>
      <w:r w:rsidRPr="00D21EFD">
        <w:rPr>
          <w:lang w:val="fr-FR"/>
        </w:rPr>
        <w:tab/>
        <w:t>Place de la Convention dans le droit interne</w:t>
      </w:r>
    </w:p>
    <w:p w:rsidR="00D21EFD" w:rsidRPr="00D21EFD" w:rsidRDefault="00D21EFD" w:rsidP="00D21EFD">
      <w:pPr>
        <w:pStyle w:val="SingleTxt"/>
        <w:spacing w:after="0" w:line="120" w:lineRule="exact"/>
        <w:rPr>
          <w:sz w:val="10"/>
          <w:lang w:val="fr-FR"/>
        </w:rPr>
      </w:pPr>
    </w:p>
    <w:p w:rsidR="00D21EFD" w:rsidRPr="00D21EFD" w:rsidRDefault="00D21EFD" w:rsidP="00D21EFD">
      <w:pPr>
        <w:pStyle w:val="SingleTxt"/>
        <w:numPr>
          <w:ilvl w:val="0"/>
          <w:numId w:val="3"/>
        </w:numPr>
        <w:tabs>
          <w:tab w:val="left" w:pos="1742"/>
        </w:tabs>
        <w:rPr>
          <w:lang w:val="fr-FR"/>
        </w:rPr>
      </w:pPr>
      <w:r w:rsidRPr="00D21EFD">
        <w:rPr>
          <w:lang w:val="fr-FR"/>
        </w:rPr>
        <w:t xml:space="preserve">Fournir des informations sur la place de la Convention dans l’ordre juridique interne et indiquer notamment si les dispositions de la Convention l’emportent sur les dispositions constitutionnelles et autres dispositions juridiques. Indiquer si la Convention est directement applicable dans l’État partie et s’il y a des affaires dans lesquelles elle a été invoquée ou directement appliquée par les tribunaux. Fournir également des informations sur les mesures prises pour diffuser la Convention et lui donner de la visibilité. </w:t>
      </w:r>
    </w:p>
    <w:p w:rsidR="00D21EFD" w:rsidRPr="00D21EFD" w:rsidRDefault="00D21EFD" w:rsidP="00D21EFD">
      <w:pPr>
        <w:pStyle w:val="SingleTxt"/>
        <w:spacing w:after="0" w:line="120" w:lineRule="exact"/>
        <w:rPr>
          <w:sz w:val="10"/>
          <w:lang w:val="fr-FR"/>
        </w:rPr>
      </w:pPr>
    </w:p>
    <w:p w:rsid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 xml:space="preserve">Définition de la discrimination </w:t>
      </w: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 xml:space="preserve">Il est indiqué dans le rapport (Deuxième partie, par. 1) qu’il n’existe aucune définition claire de l’expression « discrimination à l’égard des femmes ». Indiquer si l’État partie envisage d’adopter une loi qui définit et interdit la discrimination à l’égard des femmes, conformément à l’article 1 de la Convention. </w:t>
      </w:r>
    </w:p>
    <w:p w:rsidR="00D21EFD" w:rsidRPr="00D21EFD" w:rsidRDefault="00D21EFD" w:rsidP="00D21EFD">
      <w:pPr>
        <w:pStyle w:val="SingleTxt"/>
        <w:spacing w:after="0" w:line="120" w:lineRule="exact"/>
        <w:rPr>
          <w:sz w:val="10"/>
          <w:lang w:val="fr-FR"/>
        </w:rPr>
      </w:pPr>
    </w:p>
    <w:p w:rsid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 xml:space="preserve">Mesures spéciales temporaires </w:t>
      </w: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Il est indiqué dans le rapport que, dans l’État partie, les femmes ont toujours bénéficié et continueront de bénéficier de l’égalité des chances dans tous les aspects de la vie, y compris l’éducation, l’emploi et les affaires (Deuxième partie, par. 1). Il n’est pas fait mention de mesures temporaires spéciales. Fournir des informations sur l’utilisation et l’adoption par l’État partie de mesures temporaires spéciales, conformément à l’article 4 1) de la Convention et de la recommandation générale n</w:t>
      </w:r>
      <w:r w:rsidRPr="00D21EFD">
        <w:rPr>
          <w:vertAlign w:val="superscript"/>
          <w:lang w:val="fr-FR"/>
        </w:rPr>
        <w:t>o</w:t>
      </w:r>
      <w:r w:rsidRPr="00D21EFD">
        <w:rPr>
          <w:lang w:val="fr-FR"/>
        </w:rPr>
        <w:t> 25 du Comité, afin de promouvoir et d’accélérer la réalisation de l’égalité réelle entre hommes et femmes.</w:t>
      </w:r>
    </w:p>
    <w:p w:rsidR="00D21EFD" w:rsidRPr="00D21EFD" w:rsidRDefault="00D21EFD" w:rsidP="00D21EFD">
      <w:pPr>
        <w:pStyle w:val="SingleTxt"/>
        <w:spacing w:after="0" w:line="120" w:lineRule="exact"/>
        <w:rPr>
          <w:sz w:val="10"/>
          <w:lang w:val="fr-FR"/>
        </w:rPr>
      </w:pPr>
    </w:p>
    <w:p w:rsid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 xml:space="preserve">Stéréotypes et pratiques préjudiciables </w:t>
      </w: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 xml:space="preserve">La persistance de stéréotypes sexistes dans le pays est reconnue dans le rapport (Deuxième partie, par. 1.1). Cependant, peu d’informations sont fournies quant à la prévalence et l’incidence de ces stéréotypes négatifs, et les mesures prises par l’État partie pour éliminer les stéréotypes qui encouragent les comportements traditionnels relevant du patriarcat et renforcent la subordination des femmes dans la société. Fournir des informations sur les efforts entrepris, par le biais de campagnes de sensibilisation et d’éducation destinées aux chefs religieux, aux dirigeants communautaires, aux parents et aux professeurs, pour contrer les comportements stéréotypés à l’égard des femmes et des filles, notamment à l’égard de celles qui sont victimes de plusieurs formes de discrimination sur la base de leur âge, leur handicap, leur origine ethnique ou d’autres caractéristiques. </w:t>
      </w:r>
    </w:p>
    <w:p w:rsidR="00D21EFD" w:rsidRPr="00D21EFD" w:rsidRDefault="00D21EFD" w:rsidP="00D21EFD">
      <w:pPr>
        <w:pStyle w:val="SingleTxt"/>
        <w:spacing w:after="0" w:line="120" w:lineRule="exact"/>
        <w:rPr>
          <w:sz w:val="10"/>
          <w:lang w:val="fr-FR"/>
        </w:rPr>
      </w:pPr>
    </w:p>
    <w:p w:rsid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 xml:space="preserve">Violence à l’égard des femmes </w:t>
      </w: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 xml:space="preserve">Plusieurs lois et ordonnances qui s’attaquent à la violence à l’égard des femmes (l’ordonnance de 2000 relative au droit islamique de la famille, la loi relative à la femme mariée et la loi relative à la protection des femmes et des filles, etc.), sont mentionnées dans le rapport. Cependant, il n’est pas précisé si l’État partie envisage d’adopter une loi visant à incriminer spécifiquement toutes les formes de violence à l’égard des femmes. Fournir des informations sur toute mesure concrète prise pour adopter une telle loi. </w:t>
      </w:r>
    </w:p>
    <w:p w:rsidR="00D21EFD" w:rsidRPr="00D21EFD" w:rsidRDefault="00D21EFD" w:rsidP="00D21EFD">
      <w:pPr>
        <w:pStyle w:val="SingleTxt"/>
        <w:numPr>
          <w:ilvl w:val="0"/>
          <w:numId w:val="3"/>
        </w:numPr>
        <w:tabs>
          <w:tab w:val="left" w:pos="1742"/>
        </w:tabs>
        <w:rPr>
          <w:lang w:val="fr-FR"/>
        </w:rPr>
      </w:pPr>
      <w:r w:rsidRPr="00D21EFD">
        <w:rPr>
          <w:lang w:val="fr-FR"/>
        </w:rPr>
        <w:t>Conformément à l’exception prévue à l’article 375 du Code pénal, “un homme qui a un rapport sexuel avec sa propre femme, si celle-ci n’est pas âgée de moins de 13 ans, ne commet pas un viol”. Expliquer cette exception qui est incompatible avec la Convention et indiquer si la suppression de l’article 375, qui permettrait de criminaliser tous les viols sans exception, indépendamment de la situation matrimoniale et de l’âge de la victime, est envisagée. Fournir également des informations sur les mesures prises pour éliminer les obstacles au signalement des cas de violence à l’encontre des femmes (Deuxième partie, par. 3.7.6).</w:t>
      </w:r>
    </w:p>
    <w:p w:rsidR="00D21EFD" w:rsidRPr="00D21EFD" w:rsidRDefault="00D21EFD" w:rsidP="00D21EFD">
      <w:pPr>
        <w:pStyle w:val="SingleTxt"/>
        <w:spacing w:after="0" w:line="120" w:lineRule="exact"/>
        <w:rPr>
          <w:sz w:val="10"/>
          <w:lang w:val="fr-FR"/>
        </w:rPr>
      </w:pPr>
    </w:p>
    <w:p w:rsidR="00D21EFD" w:rsidRP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1EFD">
        <w:rPr>
          <w:lang w:val="fr-FR"/>
        </w:rPr>
        <w:tab/>
      </w:r>
      <w:r w:rsidRPr="00D21EFD">
        <w:rPr>
          <w:lang w:val="fr-FR"/>
        </w:rPr>
        <w:tab/>
        <w:t xml:space="preserve">Traite des femmes et exploitation de la prostitution </w:t>
      </w:r>
    </w:p>
    <w:p w:rsidR="00D21EFD" w:rsidRPr="00D21EFD" w:rsidRDefault="00D21EFD" w:rsidP="00D21EFD">
      <w:pPr>
        <w:pStyle w:val="SingleTxt"/>
        <w:spacing w:after="0" w:line="120" w:lineRule="exact"/>
        <w:rPr>
          <w:sz w:val="10"/>
          <w:lang w:val="fr-FR"/>
        </w:rPr>
      </w:pPr>
    </w:p>
    <w:p w:rsidR="00D21EFD" w:rsidRPr="00D21EFD" w:rsidRDefault="00D21EFD" w:rsidP="00D21EFD">
      <w:pPr>
        <w:pStyle w:val="SingleTxt"/>
        <w:numPr>
          <w:ilvl w:val="0"/>
          <w:numId w:val="3"/>
        </w:numPr>
        <w:tabs>
          <w:tab w:val="left" w:pos="1742"/>
        </w:tabs>
        <w:rPr>
          <w:lang w:val="fr-FR"/>
        </w:rPr>
      </w:pPr>
      <w:r w:rsidRPr="00D21EFD">
        <w:rPr>
          <w:lang w:val="fr-FR"/>
        </w:rPr>
        <w:t xml:space="preserve">Il est indiqué dans le rapport que la question de la traite et de l’exploitation de la prostitution des femmes et des filles est réglementée par trois lois différentes (Deuxième partie, par. 6.1.1). Fournir des informations détaillées sur les différences concernant l’application et la mise en œuvre des lois relatives à la traite et l’exploitation de la prostitution des femmes et des filles, ainsi que des données statistiques détaillées sur le nombre de plaintes reçues et sur les enquêtes, les poursuites engagées et les peines infligées aux auteurs de ces crimes. Indiquer si l’État partie envisage de créer des procédures pour l’identification et la protection des victimes. </w:t>
      </w:r>
    </w:p>
    <w:p w:rsidR="00D21EFD" w:rsidRPr="00D21EFD" w:rsidRDefault="00D21EFD" w:rsidP="00D21EFD">
      <w:pPr>
        <w:pStyle w:val="SingleTxt"/>
        <w:spacing w:after="0" w:line="120" w:lineRule="exact"/>
        <w:rPr>
          <w:sz w:val="10"/>
          <w:lang w:val="fr-FR"/>
        </w:rPr>
      </w:pPr>
    </w:p>
    <w:p w:rsidR="00D21EFD" w:rsidRP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1EFD">
        <w:rPr>
          <w:lang w:val="fr-FR"/>
        </w:rPr>
        <w:tab/>
      </w:r>
      <w:r w:rsidRPr="00D21EFD">
        <w:rPr>
          <w:lang w:val="fr-FR"/>
        </w:rPr>
        <w:tab/>
        <w:t xml:space="preserve">Participation à la vie publique et politique au niveau national </w:t>
      </w:r>
      <w:r w:rsidRPr="00D21EFD">
        <w:rPr>
          <w:lang w:val="fr-FR"/>
        </w:rPr>
        <w:br/>
        <w:t xml:space="preserve">et international </w:t>
      </w:r>
    </w:p>
    <w:p w:rsidR="00D21EFD" w:rsidRPr="00D21EFD" w:rsidRDefault="00D21EFD" w:rsidP="00D21EFD">
      <w:pPr>
        <w:pStyle w:val="SingleTxt"/>
        <w:spacing w:after="0" w:line="120" w:lineRule="exact"/>
        <w:rPr>
          <w:sz w:val="10"/>
          <w:lang w:val="fr-FR"/>
        </w:rPr>
      </w:pPr>
    </w:p>
    <w:p w:rsidR="00D21EFD" w:rsidRPr="00D21EFD" w:rsidRDefault="00D21EFD" w:rsidP="00D21EFD">
      <w:pPr>
        <w:pStyle w:val="SingleTxt"/>
        <w:numPr>
          <w:ilvl w:val="0"/>
          <w:numId w:val="3"/>
        </w:numPr>
        <w:tabs>
          <w:tab w:val="left" w:pos="1742"/>
        </w:tabs>
        <w:rPr>
          <w:lang w:val="fr-FR"/>
        </w:rPr>
      </w:pPr>
      <w:r w:rsidRPr="00D21EFD">
        <w:rPr>
          <w:lang w:val="fr-FR"/>
        </w:rPr>
        <w:t>Il est indiqué dans le rapport (Deuxième partie, par. 7.6) que, dans l’État partie, les femmes ont le droit de voter lors de l’élection des chefs de village et de participer à l’édification des institutions nationales, sur un même pied d’égalité que les hommes. Indiquer si les femmes ont le droit de voter et de se porter candidates à toutes les élections dans l’État partie, au même titre que les hommes. Fournir des données ventilées par sexe actualisées sur le pourcentage de femmes élues ou nommées au Conseil législatif de l’État et de femmes ministres. Fournir également des informations sur les mesures précises, y compris les mesures temporaires spéciales, prises par l’État partie pour promouvoir la participation des femmes à la vie publique et politique à tous les niveaux, notamment au sein de l’appareil judiciaire, dans les fonctions de direction et aux Affaires étrangères, y compris comme ambassadeurs et chefs de mission à l’étranger.</w:t>
      </w:r>
    </w:p>
    <w:p w:rsidR="00D21EFD" w:rsidRPr="00D21EFD" w:rsidRDefault="00D21EFD" w:rsidP="00D21EFD">
      <w:pPr>
        <w:pStyle w:val="SingleTxt"/>
        <w:spacing w:after="0" w:line="120" w:lineRule="exact"/>
        <w:rPr>
          <w:sz w:val="10"/>
          <w:lang w:val="fr-FR"/>
        </w:rPr>
      </w:pPr>
    </w:p>
    <w:p w:rsid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 xml:space="preserve">Nationalité </w:t>
      </w: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 xml:space="preserve">En vertu de la loi du Brunéi sur la nationalité, contrairement aux Brunéiens mariés à des ressortissantes étrangères, les Brunéiennes ne peuvent transmettre leur nationalité à leur mari et enfants étrangers. Dans le cadre de la loi sur la nationalité, indiquer dans quelles conditions les enfants de mère brunéienne mariée à un ressortissant étranger, peuvent obtenir la citoyenneté brunéienne. Fournir des informations sur les mesures que l’État partie a prises ou qu’il envisage de prendre pour modifier la loi sur la nationalité afin que les femmes aient les mêmes droits que les hommes concernant la nationalité et pour retirer la réserve à l’article 9 2). Indiquer également si l’État partie consulte d’autres pays dotés de systèmes sociaux, culturels et juridiques similaires qui ont réussi à mettre leur législation relative à la nationalité en conformité avec la Convention. </w:t>
      </w:r>
    </w:p>
    <w:p w:rsidR="00D21EFD" w:rsidRPr="00D21EFD" w:rsidRDefault="00D21EFD" w:rsidP="00D21EFD">
      <w:pPr>
        <w:pStyle w:val="SingleTxt"/>
        <w:spacing w:after="0" w:line="120" w:lineRule="exact"/>
        <w:rPr>
          <w:sz w:val="10"/>
          <w:lang w:val="fr-FR"/>
        </w:rPr>
      </w:pPr>
    </w:p>
    <w:p w:rsid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 xml:space="preserve">Éducation </w:t>
      </w: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 xml:space="preserve">Le rapport reste silencieux sur la situation et le nombre de filles déscolarisées. Fournir des informations actualisées sur le taux de déscolarisation des filles en raison des mariages et des grossesses précoces. Indiquer également si l’État partie dispense une formation aux enseignants afin de leur faire prendre conscience du fait que leurs attitudes et leurs comportements, ainsi que les stéréotypes discriminatoires utilisés dans les matériaux pédagogiques, entretiennent les valeurs patriarcales traditionnelles et ont une incidence négative sur les femmes et les filles, et le plein exercice de leurs droits. </w:t>
      </w:r>
    </w:p>
    <w:p w:rsidR="00D21EFD" w:rsidRPr="00D21EFD" w:rsidRDefault="00D21EFD" w:rsidP="00D21EFD">
      <w:pPr>
        <w:pStyle w:val="SingleTxt"/>
        <w:spacing w:after="0" w:line="120" w:lineRule="exact"/>
        <w:rPr>
          <w:sz w:val="10"/>
          <w:lang w:val="fr-FR"/>
        </w:rPr>
      </w:pPr>
    </w:p>
    <w:p w:rsid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 xml:space="preserve">Santé </w:t>
      </w: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Le rapport ne fournit aucune information sur l’accès à un avortement sans danger et à des méthodes de contraception modernes pour les femmes. Il est indiqué (Deuxième partie, par. 12.12.1) que le service de santé maternelle et infantile fournit des services de dépistage médical pour les femmes âgées de 38 à 65 ans. Indiquer si l’avortement est criminalisé dans l’État partie et dans quelles circonstances les femmes ont accès à un avortement sans danger. Indiquer également si les femmes ont accès aux services de santé, au même titre que les hommes, et si elles ont besoin de l’autorisation de leur mari ou de leur tuteur légal, en droit ou en pratique, pour bénéficier des services de santé, y compris du planning familial et des autres services de santé reproductive.</w:t>
      </w:r>
    </w:p>
    <w:p w:rsidR="00D21EFD" w:rsidRPr="00D21EFD" w:rsidRDefault="00D21EFD" w:rsidP="00D21EFD">
      <w:pPr>
        <w:pStyle w:val="SingleTxt"/>
        <w:spacing w:after="0" w:line="120" w:lineRule="exact"/>
        <w:rPr>
          <w:sz w:val="10"/>
          <w:lang w:val="fr-FR"/>
        </w:rPr>
      </w:pPr>
    </w:p>
    <w:p w:rsid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 xml:space="preserve">Groupes de femmes défavorisées </w:t>
      </w: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 xml:space="preserve">Il est indiqué dans le rapport (Deuxième partie), par. 18.1.1.iv) qu’au moment de l’élaboration de ce dernier l’État partie examinait un projet d’ordonnance sur l’invalidité. Fournir des informations sur l’état actuel de l’ordonnance sur l’invalidité et indiquer si elle tient compte de la question des genres, et décrire la situation des femmes souffrant de handicap, notamment dans les zones rurales, en particulier l’accès aux services de santé, à l’éducation et à la protection sociale pour ces femmes. </w:t>
      </w:r>
    </w:p>
    <w:p w:rsidR="00D21EFD" w:rsidRPr="00D21EFD" w:rsidRDefault="00D21EFD" w:rsidP="00D21EFD">
      <w:pPr>
        <w:pStyle w:val="SingleTxt"/>
        <w:numPr>
          <w:ilvl w:val="0"/>
          <w:numId w:val="3"/>
        </w:numPr>
        <w:tabs>
          <w:tab w:val="left" w:pos="1742"/>
        </w:tabs>
        <w:rPr>
          <w:lang w:val="fr-FR"/>
        </w:rPr>
      </w:pPr>
      <w:r w:rsidRPr="00D21EFD">
        <w:rPr>
          <w:lang w:val="fr-FR"/>
        </w:rPr>
        <w:t xml:space="preserve">Le rapport passe sous silence les travailleuses migrantes. Fournir des informations sur les conditions de travail et la protection juridique des travailleuses migrantes, y compris des travailleuses domestiques, ainsi que sur leur accès à la justice, à la santé et à la protection sociale. Conformément à l’article 111 de l’ordonnance de 2009 relative à l’emploi, qui confère au ministre des pouvoirs discrétionnaires, fournir des informations sur les réglementations spécifiques mises en place par le ministre au bénéfice des travailleuses domestiques et fournir des détails sur les dispositions de l’ordonnance qui s’appliquent à ces dernières. </w:t>
      </w:r>
    </w:p>
    <w:p w:rsidR="00D21EFD" w:rsidRPr="00D21EFD" w:rsidRDefault="00D21EFD" w:rsidP="00D21EFD">
      <w:pPr>
        <w:pStyle w:val="SingleTxt"/>
        <w:spacing w:after="0" w:line="120" w:lineRule="exact"/>
        <w:rPr>
          <w:sz w:val="10"/>
          <w:lang w:val="fr-FR"/>
        </w:rPr>
      </w:pPr>
    </w:p>
    <w:p w:rsid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EFD">
        <w:rPr>
          <w:lang w:val="fr-FR"/>
        </w:rPr>
        <w:tab/>
      </w:r>
      <w:r w:rsidRPr="00D21EFD">
        <w:rPr>
          <w:lang w:val="fr-FR"/>
        </w:rPr>
        <w:tab/>
      </w:r>
      <w:r>
        <w:t xml:space="preserve">Mariage et relations familiales </w:t>
      </w:r>
    </w:p>
    <w:p w:rsidR="00D21EFD" w:rsidRDefault="00D21EFD" w:rsidP="00D21EFD">
      <w:pPr>
        <w:pStyle w:val="SingleTxt"/>
        <w:spacing w:after="0" w:line="120" w:lineRule="exact"/>
        <w:rPr>
          <w:sz w:val="10"/>
        </w:rPr>
      </w:pPr>
    </w:p>
    <w:p w:rsidR="00D21EFD" w:rsidRPr="00D21EFD" w:rsidRDefault="00D21EFD" w:rsidP="00D21EFD">
      <w:pPr>
        <w:pStyle w:val="SingleTxt"/>
        <w:numPr>
          <w:ilvl w:val="0"/>
          <w:numId w:val="3"/>
        </w:numPr>
        <w:tabs>
          <w:tab w:val="left" w:pos="1742"/>
        </w:tabs>
        <w:rPr>
          <w:lang w:val="fr-FR"/>
        </w:rPr>
      </w:pPr>
      <w:r w:rsidRPr="00D21EFD">
        <w:rPr>
          <w:lang w:val="fr-FR"/>
        </w:rPr>
        <w:t>Il est indiqué dans le rapport (Deuxième partie, par. 16.2.3) que l’ordonnance de 2000 relative au droit islamique de la famille autorise une femme musulmane à dissoudre son mariage en invoquant les conflits entre les époux, et qu’une femme a droit à sa part de la propriété matrimoniale au moment du divorce ou du décès de son mari. Indiquer si les femmes peuvent divorcer au même titre que les hommes et si les dispositions régissant la division des biens lors de la dissolution du mariage sont conformes à l’article 16 1) de la Convention et à la recommandation générale n</w:t>
      </w:r>
      <w:r w:rsidRPr="00D21EFD">
        <w:rPr>
          <w:vertAlign w:val="superscript"/>
          <w:lang w:val="fr-FR"/>
        </w:rPr>
        <w:t>o</w:t>
      </w:r>
      <w:r w:rsidRPr="00D21EFD">
        <w:rPr>
          <w:lang w:val="fr-FR"/>
        </w:rPr>
        <w:t xml:space="preserve"> 29 du Comité (2013). Il est également indiqué dans le rapport (Deuxième partie, par 16.2.4) que l’ordonnance accorde la priorité aux mères pour la garde des enfants si elles remplissent les conditions et les qualifications requises dans l’ordonnance. Indiquer quelles sont les conditions et les qualifications requises pour que la garde soit accordée à la mère. </w:t>
      </w:r>
    </w:p>
    <w:p w:rsidR="00D21EFD" w:rsidRPr="00D21EFD" w:rsidRDefault="00D21EFD" w:rsidP="00D21EFD">
      <w:pPr>
        <w:pStyle w:val="SingleTxt"/>
        <w:numPr>
          <w:ilvl w:val="0"/>
          <w:numId w:val="3"/>
        </w:numPr>
        <w:tabs>
          <w:tab w:val="left" w:pos="1742"/>
        </w:tabs>
        <w:rPr>
          <w:lang w:val="fr-FR"/>
        </w:rPr>
      </w:pPr>
      <w:r w:rsidRPr="00D21EFD">
        <w:rPr>
          <w:lang w:val="fr-FR"/>
        </w:rPr>
        <w:t>Il est indiqué dans le rapport (Deuxième partie, par. 16.1.2) que l’âge minimum requis pour le mariage n’est pas le même selon le groupe d’appartenance des filles (musulmanes, hindoues, bouddhistes, dayaks et chinoises) et que, dans tous les cas, l’âge minimum est inférieur à 18 ans, contrairement à l’article 16 2) de la Convention et la recommandation générale n</w:t>
      </w:r>
      <w:r w:rsidRPr="00D21EFD">
        <w:rPr>
          <w:vertAlign w:val="superscript"/>
          <w:lang w:val="fr-FR"/>
        </w:rPr>
        <w:t>o</w:t>
      </w:r>
      <w:r w:rsidRPr="00D21EFD">
        <w:rPr>
          <w:lang w:val="fr-FR"/>
        </w:rPr>
        <w:t xml:space="preserve"> 21 du Comité (1994), et à la Convention relative aux droits de l’enfant. Fournir des informations sur les mesures prises pour que l’âge minimum du mariage passe à 18 ans chez les femmes et les hommes, pour harmoniser les différentes lois sur le mariage et la famille à la Convention, et pour supprimer les mariages des mineurs et les mariages forcés. </w:t>
      </w:r>
    </w:p>
    <w:p w:rsidR="00D21EFD" w:rsidRPr="00D21EFD" w:rsidRDefault="00D21EFD" w:rsidP="00D21EFD">
      <w:pPr>
        <w:pStyle w:val="SingleTxt"/>
        <w:numPr>
          <w:ilvl w:val="0"/>
          <w:numId w:val="3"/>
        </w:numPr>
        <w:tabs>
          <w:tab w:val="left" w:pos="1742"/>
        </w:tabs>
        <w:rPr>
          <w:lang w:val="fr-FR"/>
        </w:rPr>
      </w:pPr>
      <w:r w:rsidRPr="00D21EFD">
        <w:rPr>
          <w:lang w:val="fr-FR"/>
        </w:rPr>
        <w:t>Le rapport passe sous silence la question de la polygamie dans l’État partie. Indiquer si la polygamie est autorisée, dans le droit ou la pratique, et fournir des informations et des données sur la prévalence de la polygamie dans l’État partie.</w:t>
      </w:r>
    </w:p>
    <w:p w:rsidR="00D21EFD" w:rsidRPr="00D21EFD" w:rsidRDefault="00D21EFD" w:rsidP="00D21EFD">
      <w:pPr>
        <w:pStyle w:val="SingleTxt"/>
        <w:spacing w:after="0" w:line="120" w:lineRule="exact"/>
        <w:rPr>
          <w:sz w:val="10"/>
          <w:lang w:val="fr-FR"/>
        </w:rPr>
      </w:pPr>
    </w:p>
    <w:p w:rsidR="00D21EFD" w:rsidRPr="00D21EFD" w:rsidRDefault="00D21EFD" w:rsidP="00D21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21EFD">
        <w:rPr>
          <w:lang w:val="fr-FR"/>
        </w:rPr>
        <w:tab/>
      </w:r>
      <w:r w:rsidRPr="00D21EFD">
        <w:rPr>
          <w:lang w:val="fr-FR"/>
        </w:rPr>
        <w:tab/>
        <w:t xml:space="preserve">Protocole facultatif et amendement à l’article 20 1) </w:t>
      </w:r>
    </w:p>
    <w:p w:rsidR="00D21EFD" w:rsidRPr="00D21EFD" w:rsidRDefault="00D21EFD" w:rsidP="00D21EFD">
      <w:pPr>
        <w:pStyle w:val="SingleTxt"/>
        <w:spacing w:after="0" w:line="120" w:lineRule="exact"/>
        <w:rPr>
          <w:sz w:val="10"/>
          <w:lang w:val="fr-FR"/>
        </w:rPr>
      </w:pPr>
    </w:p>
    <w:p w:rsidR="00D21EFD" w:rsidRPr="00D21EFD" w:rsidRDefault="00D21EFD" w:rsidP="00D21EFD">
      <w:pPr>
        <w:pStyle w:val="SingleTxt"/>
        <w:numPr>
          <w:ilvl w:val="0"/>
          <w:numId w:val="3"/>
        </w:numPr>
        <w:tabs>
          <w:tab w:val="left" w:pos="1742"/>
        </w:tabs>
        <w:rPr>
          <w:lang w:val="fr-FR"/>
        </w:rPr>
      </w:pPr>
      <w:r w:rsidRPr="00D21EFD">
        <w:rPr>
          <w:lang w:val="fr-FR"/>
        </w:rPr>
        <w:t>Indiquer si des progrès ont été réalisés concernant l’adhésion au protocole facultatif à la Convention. Indiquer également les progrès qui ont été réalisés concernant l’acceptation de l’amendement à l’article 20 1) de la Convention, qui porte sur le temps de réunion du Comité.</w:t>
      </w:r>
    </w:p>
    <w:p w:rsidR="00D21EFD" w:rsidRPr="00D21EFD" w:rsidRDefault="00D21EFD" w:rsidP="00D21EFD">
      <w:pPr>
        <w:pStyle w:val="SingleTxt"/>
        <w:spacing w:after="0" w:line="240" w:lineRule="auto"/>
        <w:rPr>
          <w:lang w:val="fr-FR"/>
        </w:rPr>
      </w:pPr>
    </w:p>
    <w:sectPr w:rsidR="00D21EFD" w:rsidRPr="00D21EFD" w:rsidSect="00B37C04">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4T09:44:00Z" w:initials="Start">
    <w:p w:rsidR="00F55EE7" w:rsidRDefault="00B37C0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F55EE7">
        <w:t>&lt;&lt;ODS JOB NO&gt;&gt;N1425863F&lt;&lt;ODS JOB NO&gt;&gt;</w:t>
      </w:r>
    </w:p>
    <w:p w:rsidR="00F55EE7" w:rsidRDefault="00F55EE7">
      <w:pPr>
        <w:pStyle w:val="CommentText"/>
      </w:pPr>
      <w:r>
        <w:t>&lt;&lt;ODS DOC SYMBOL1&gt;&gt;CEDAW/C/BRN/Q/1-2&lt;&lt;ODS DOC SYMBOL1&gt;&gt;</w:t>
      </w:r>
    </w:p>
    <w:p w:rsidR="00B37C04" w:rsidRDefault="00F55EE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949" w:rsidRDefault="00BB0949" w:rsidP="00F3330B">
      <w:pPr>
        <w:spacing w:line="240" w:lineRule="auto"/>
      </w:pPr>
      <w:r>
        <w:separator/>
      </w:r>
    </w:p>
  </w:endnote>
  <w:endnote w:type="continuationSeparator" w:id="0">
    <w:p w:rsidR="00BB0949" w:rsidRDefault="00BB0949"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37C04" w:rsidRPr="004F1538" w:rsidTr="00B37C04">
      <w:tblPrEx>
        <w:tblCellMar>
          <w:top w:w="0" w:type="dxa"/>
          <w:bottom w:w="0" w:type="dxa"/>
        </w:tblCellMar>
      </w:tblPrEx>
      <w:tc>
        <w:tcPr>
          <w:tcW w:w="5033" w:type="dxa"/>
          <w:shd w:val="clear" w:color="auto" w:fill="auto"/>
        </w:tcPr>
        <w:p w:rsidR="00B37C04" w:rsidRPr="00361168" w:rsidRDefault="00B37C04" w:rsidP="00B37C04">
          <w:pPr>
            <w:pStyle w:val="Footer"/>
            <w:jc w:val="right"/>
            <w:rPr>
              <w:b w:val="0"/>
              <w:w w:val="103"/>
              <w:sz w:val="14"/>
              <w:szCs w:val="22"/>
            </w:rPr>
          </w:pPr>
          <w:fldSimple w:instr=" DOCVARIABLE &quot;FooterJN&quot; \* MERGEFORMAT ">
            <w:r w:rsidR="008B0FA6" w:rsidRPr="00361168">
              <w:rPr>
                <w:b w:val="0"/>
                <w:w w:val="103"/>
                <w:sz w:val="14"/>
                <w:szCs w:val="22"/>
              </w:rPr>
              <w:t>14-25863 (F)</w:t>
            </w:r>
          </w:fldSimple>
        </w:p>
      </w:tc>
      <w:tc>
        <w:tcPr>
          <w:tcW w:w="5033" w:type="dxa"/>
          <w:shd w:val="clear" w:color="auto" w:fill="auto"/>
        </w:tcPr>
        <w:p w:rsidR="00B37C04" w:rsidRPr="00361168" w:rsidRDefault="00B37C04" w:rsidP="00B37C04">
          <w:pPr>
            <w:pStyle w:val="Footer"/>
            <w:rPr>
              <w:w w:val="103"/>
              <w:szCs w:val="22"/>
            </w:rPr>
          </w:pPr>
          <w:r w:rsidRPr="00361168">
            <w:rPr>
              <w:w w:val="103"/>
              <w:szCs w:val="22"/>
            </w:rPr>
            <w:fldChar w:fldCharType="begin"/>
          </w:r>
          <w:r w:rsidRPr="00361168">
            <w:rPr>
              <w:w w:val="103"/>
              <w:szCs w:val="22"/>
            </w:rPr>
            <w:instrText xml:space="preserve"> PAGE  \* Arabic  \* MERGEFORMAT </w:instrText>
          </w:r>
          <w:r w:rsidRPr="00361168">
            <w:rPr>
              <w:w w:val="103"/>
              <w:szCs w:val="22"/>
            </w:rPr>
            <w:fldChar w:fldCharType="separate"/>
          </w:r>
          <w:r w:rsidR="00F55EE7" w:rsidRPr="00361168">
            <w:rPr>
              <w:noProof/>
              <w:w w:val="103"/>
              <w:szCs w:val="22"/>
            </w:rPr>
            <w:t>4</w:t>
          </w:r>
          <w:r w:rsidRPr="00361168">
            <w:rPr>
              <w:w w:val="103"/>
              <w:szCs w:val="22"/>
            </w:rPr>
            <w:fldChar w:fldCharType="end"/>
          </w:r>
          <w:r w:rsidRPr="00361168">
            <w:rPr>
              <w:w w:val="103"/>
              <w:szCs w:val="22"/>
            </w:rPr>
            <w:t>/</w:t>
          </w:r>
          <w:fldSimple w:instr=" NUMPAGES  \* Arabic  \* MERGEFORMAT ">
            <w:r w:rsidR="00D10E8F" w:rsidRPr="00361168">
              <w:rPr>
                <w:noProof/>
                <w:w w:val="103"/>
                <w:szCs w:val="22"/>
              </w:rPr>
              <w:t>5</w:t>
            </w:r>
          </w:fldSimple>
        </w:p>
      </w:tc>
    </w:tr>
  </w:tbl>
  <w:p w:rsidR="00B37C04" w:rsidRPr="00B37C04" w:rsidRDefault="00B37C04" w:rsidP="00B37C0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37C04" w:rsidRPr="004F1538" w:rsidTr="00B37C04">
      <w:tblPrEx>
        <w:tblCellMar>
          <w:top w:w="0" w:type="dxa"/>
          <w:bottom w:w="0" w:type="dxa"/>
        </w:tblCellMar>
      </w:tblPrEx>
      <w:tc>
        <w:tcPr>
          <w:tcW w:w="5033" w:type="dxa"/>
          <w:shd w:val="clear" w:color="auto" w:fill="auto"/>
        </w:tcPr>
        <w:p w:rsidR="00B37C04" w:rsidRPr="00361168" w:rsidRDefault="00B37C04" w:rsidP="00B37C04">
          <w:pPr>
            <w:pStyle w:val="Footer"/>
            <w:jc w:val="right"/>
            <w:rPr>
              <w:w w:val="103"/>
              <w:szCs w:val="22"/>
            </w:rPr>
          </w:pPr>
          <w:r w:rsidRPr="00361168">
            <w:rPr>
              <w:w w:val="103"/>
              <w:szCs w:val="22"/>
            </w:rPr>
            <w:fldChar w:fldCharType="begin"/>
          </w:r>
          <w:r w:rsidRPr="00361168">
            <w:rPr>
              <w:w w:val="103"/>
              <w:szCs w:val="22"/>
            </w:rPr>
            <w:instrText xml:space="preserve"> PAGE  \* Arabic  \* MERGEFORMAT </w:instrText>
          </w:r>
          <w:r w:rsidRPr="00361168">
            <w:rPr>
              <w:w w:val="103"/>
              <w:szCs w:val="22"/>
            </w:rPr>
            <w:fldChar w:fldCharType="separate"/>
          </w:r>
          <w:r w:rsidR="00F55EE7" w:rsidRPr="00361168">
            <w:rPr>
              <w:noProof/>
              <w:w w:val="103"/>
              <w:szCs w:val="22"/>
            </w:rPr>
            <w:t>5</w:t>
          </w:r>
          <w:r w:rsidRPr="00361168">
            <w:rPr>
              <w:w w:val="103"/>
              <w:szCs w:val="22"/>
            </w:rPr>
            <w:fldChar w:fldCharType="end"/>
          </w:r>
          <w:r w:rsidRPr="00361168">
            <w:rPr>
              <w:w w:val="103"/>
              <w:szCs w:val="22"/>
            </w:rPr>
            <w:t>/</w:t>
          </w:r>
          <w:fldSimple w:instr=" NUMPAGES  \* Arabic  \* MERGEFORMAT ">
            <w:r w:rsidR="00D10E8F" w:rsidRPr="00361168">
              <w:rPr>
                <w:noProof/>
                <w:w w:val="103"/>
                <w:szCs w:val="22"/>
              </w:rPr>
              <w:t>5</w:t>
            </w:r>
          </w:fldSimple>
        </w:p>
      </w:tc>
      <w:tc>
        <w:tcPr>
          <w:tcW w:w="5033" w:type="dxa"/>
          <w:shd w:val="clear" w:color="auto" w:fill="auto"/>
        </w:tcPr>
        <w:p w:rsidR="00B37C04" w:rsidRPr="00361168" w:rsidRDefault="00B37C04" w:rsidP="00B37C04">
          <w:pPr>
            <w:pStyle w:val="Footer"/>
            <w:rPr>
              <w:b w:val="0"/>
              <w:w w:val="103"/>
              <w:sz w:val="14"/>
              <w:szCs w:val="22"/>
            </w:rPr>
          </w:pPr>
          <w:fldSimple w:instr=" DOCVARIABLE &quot;FooterJN&quot; \* MERGEFORMAT ">
            <w:r w:rsidR="008B0FA6" w:rsidRPr="00361168">
              <w:rPr>
                <w:b w:val="0"/>
                <w:w w:val="103"/>
                <w:sz w:val="14"/>
                <w:szCs w:val="22"/>
              </w:rPr>
              <w:t>14-25863 (F)</w:t>
            </w:r>
          </w:fldSimple>
        </w:p>
      </w:tc>
    </w:tr>
  </w:tbl>
  <w:p w:rsidR="00B37C04" w:rsidRPr="00B37C04" w:rsidRDefault="00B37C04" w:rsidP="00B37C0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04" w:rsidRDefault="00B37C04">
    <w:pPr>
      <w:pStyle w:val="Footer"/>
    </w:pPr>
  </w:p>
  <w:tbl>
    <w:tblPr>
      <w:tblW w:w="0" w:type="auto"/>
      <w:tblLayout w:type="fixed"/>
      <w:tblLook w:val="0000"/>
    </w:tblPr>
    <w:tblGrid>
      <w:gridCol w:w="5033"/>
      <w:gridCol w:w="3686"/>
    </w:tblGrid>
    <w:tr w:rsidR="00B37C04" w:rsidRPr="004F1538" w:rsidTr="00B37C04">
      <w:tblPrEx>
        <w:tblCellMar>
          <w:top w:w="0" w:type="dxa"/>
          <w:bottom w:w="0" w:type="dxa"/>
        </w:tblCellMar>
      </w:tblPrEx>
      <w:tc>
        <w:tcPr>
          <w:tcW w:w="5033" w:type="dxa"/>
        </w:tcPr>
        <w:p w:rsidR="00B37C04" w:rsidRPr="00361168" w:rsidRDefault="00D21EFD" w:rsidP="00B37C04">
          <w:pPr>
            <w:pStyle w:val="Footer"/>
            <w:rPr>
              <w:b w:val="0"/>
              <w:sz w:val="20"/>
              <w:szCs w:val="22"/>
            </w:rPr>
          </w:pPr>
          <w:r w:rsidRPr="00361168">
            <w:rPr>
              <w:b w:val="0"/>
              <w:sz w:val="20"/>
              <w:szCs w:val="22"/>
            </w:rPr>
            <w:t>14-25863X (F)</w:t>
          </w:r>
          <w:r w:rsidR="00B37C04" w:rsidRPr="00361168">
            <w:rPr>
              <w:b w:val="0"/>
              <w:sz w:val="20"/>
              <w:szCs w:val="22"/>
            </w:rPr>
            <w:t xml:space="preserve"> </w:t>
          </w:r>
        </w:p>
        <w:p w:rsidR="00B37C04" w:rsidRPr="00361168" w:rsidRDefault="00B37C04" w:rsidP="00B37C04">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8B0FA6" w:rsidRPr="00361168">
              <w:rPr>
                <w:rFonts w:ascii="Barcode 3 of 9 by request" w:hAnsi="Barcode 3 of 9 by request"/>
                <w:b w:val="0"/>
                <w:spacing w:val="0"/>
                <w:w w:val="100"/>
                <w:sz w:val="24"/>
                <w:szCs w:val="22"/>
              </w:rPr>
              <w:t>*1425863*</w:t>
            </w:r>
          </w:fldSimple>
        </w:p>
      </w:tc>
      <w:tc>
        <w:tcPr>
          <w:tcW w:w="3686" w:type="dxa"/>
        </w:tcPr>
        <w:p w:rsidR="00B37C04" w:rsidRPr="00361168" w:rsidRDefault="00B37C04" w:rsidP="00B37C04">
          <w:pPr>
            <w:pStyle w:val="Footer"/>
            <w:spacing w:line="240" w:lineRule="atLeast"/>
            <w:jc w:val="right"/>
            <w:rPr>
              <w:b w:val="0"/>
              <w:sz w:val="20"/>
              <w:szCs w:val="22"/>
            </w:rPr>
          </w:pPr>
          <w:r w:rsidRPr="00361168">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B37C04" w:rsidRPr="00B37C04" w:rsidRDefault="00B37C04" w:rsidP="00B37C04">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949" w:rsidRPr="00D21EFD" w:rsidRDefault="00BB0949" w:rsidP="00D21EFD">
      <w:pPr>
        <w:pStyle w:val="Footer"/>
        <w:spacing w:after="80"/>
        <w:ind w:left="792"/>
        <w:rPr>
          <w:sz w:val="16"/>
        </w:rPr>
      </w:pPr>
      <w:r w:rsidRPr="00D21EFD">
        <w:rPr>
          <w:sz w:val="16"/>
        </w:rPr>
        <w:t>__________________</w:t>
      </w:r>
    </w:p>
  </w:footnote>
  <w:footnote w:type="continuationSeparator" w:id="0">
    <w:p w:rsidR="00BB0949" w:rsidRPr="00D21EFD" w:rsidRDefault="00BB0949" w:rsidP="00D21EFD">
      <w:pPr>
        <w:pStyle w:val="Footer"/>
        <w:spacing w:after="80"/>
        <w:ind w:left="792"/>
        <w:rPr>
          <w:sz w:val="16"/>
        </w:rPr>
      </w:pPr>
      <w:r w:rsidRPr="00D21EFD">
        <w:rPr>
          <w:sz w:val="16"/>
        </w:rPr>
        <w:t>__________________</w:t>
      </w:r>
    </w:p>
  </w:footnote>
  <w:footnote w:id="1">
    <w:p w:rsidR="00D21EFD" w:rsidRPr="00D21EFD" w:rsidRDefault="00D21EFD" w:rsidP="00D21EFD">
      <w:pPr>
        <w:pStyle w:val="FootnoteText"/>
        <w:tabs>
          <w:tab w:val="right" w:pos="1195"/>
          <w:tab w:val="left" w:pos="1267"/>
          <w:tab w:val="left" w:pos="1742"/>
          <w:tab w:val="left" w:pos="2218"/>
          <w:tab w:val="left" w:pos="2693"/>
        </w:tabs>
        <w:ind w:left="1267" w:right="1260" w:hanging="432"/>
        <w:rPr>
          <w:lang w:val="fr-FR"/>
        </w:rPr>
      </w:pPr>
      <w:r>
        <w:tab/>
      </w:r>
      <w:r w:rsidRPr="00D21EFD">
        <w:rPr>
          <w:lang w:val="fr-FR"/>
        </w:rPr>
        <w:t>*</w:t>
      </w:r>
      <w:r w:rsidRPr="00D21EFD">
        <w:rPr>
          <w:lang w:val="fr-FR"/>
        </w:rPr>
        <w:tab/>
        <w:t>Adoptée par le groupe de travail d’avant-session pour la cinquante-neuvième session, qui s’est tenue du 3 au 7 mars 2014.</w:t>
      </w:r>
    </w:p>
    <w:p w:rsidR="00D21EFD" w:rsidRPr="00D21EFD" w:rsidRDefault="00D21EFD" w:rsidP="00D21EFD">
      <w:pPr>
        <w:pStyle w:val="FootnoteText"/>
        <w:tabs>
          <w:tab w:val="right" w:pos="1195"/>
          <w:tab w:val="left" w:pos="1267"/>
          <w:tab w:val="left" w:pos="1742"/>
          <w:tab w:val="left" w:pos="2218"/>
          <w:tab w:val="left" w:pos="2693"/>
        </w:tabs>
        <w:ind w:left="1267" w:right="1260" w:hanging="432"/>
        <w:rPr>
          <w:lang w:val="fr-FR"/>
        </w:rPr>
      </w:pPr>
      <w:r w:rsidRPr="00D21EFD">
        <w:rPr>
          <w:lang w:val="fr-FR"/>
        </w:rPr>
        <w:tab/>
      </w:r>
      <w:r w:rsidRPr="00D21EFD">
        <w:rPr>
          <w:rStyle w:val="FootnoteReference"/>
          <w:color w:val="auto"/>
        </w:rPr>
        <w:footnoteRef/>
      </w:r>
      <w:r w:rsidRPr="00D21EFD">
        <w:rPr>
          <w:lang w:val="fr-FR"/>
        </w:rPr>
        <w:t xml:space="preserve"> </w:t>
      </w:r>
      <w:r w:rsidRPr="00D21EFD">
        <w:rPr>
          <w:lang w:val="fr-FR"/>
        </w:rPr>
        <w:tab/>
        <w:t>Sauf indication contraire, les numéros de paragraphe se rapportent au rapport unique de l’État partie valant rapport initial et deuxième rapport périodique.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F55EE7" w:rsidTr="00F55EE7">
      <w:tblPrEx>
        <w:tblCellMar>
          <w:top w:w="0" w:type="dxa"/>
          <w:bottom w:w="0" w:type="dxa"/>
        </w:tblCellMar>
      </w:tblPrEx>
      <w:trPr>
        <w:trHeight w:hRule="exact" w:val="864"/>
      </w:trPr>
      <w:tc>
        <w:tcPr>
          <w:tcW w:w="4838" w:type="dxa"/>
          <w:shd w:val="clear" w:color="auto" w:fill="auto"/>
          <w:vAlign w:val="bottom"/>
        </w:tcPr>
        <w:p w:rsidR="00F55EE7" w:rsidRPr="00361168" w:rsidRDefault="00F55EE7" w:rsidP="00F55EE7">
          <w:pPr>
            <w:pStyle w:val="Header"/>
            <w:spacing w:after="80"/>
            <w:rPr>
              <w:b/>
              <w:szCs w:val="22"/>
            </w:rPr>
          </w:pPr>
          <w:fldSimple w:instr=" DOCVARIABLE &quot;sss1&quot; \* MERGEFORMAT ">
            <w:r w:rsidRPr="00361168">
              <w:rPr>
                <w:b/>
                <w:szCs w:val="22"/>
              </w:rPr>
              <w:t>CEDAW/C/BRN/Q/1-2</w:t>
            </w:r>
          </w:fldSimple>
        </w:p>
      </w:tc>
      <w:tc>
        <w:tcPr>
          <w:tcW w:w="4995" w:type="dxa"/>
          <w:shd w:val="clear" w:color="auto" w:fill="auto"/>
          <w:vAlign w:val="bottom"/>
        </w:tcPr>
        <w:p w:rsidR="00F55EE7" w:rsidRPr="00361168" w:rsidRDefault="00F55EE7" w:rsidP="00F55EE7">
          <w:pPr>
            <w:pStyle w:val="Header"/>
            <w:rPr>
              <w:szCs w:val="22"/>
            </w:rPr>
          </w:pPr>
        </w:p>
      </w:tc>
    </w:tr>
  </w:tbl>
  <w:p w:rsidR="00B37C04" w:rsidRPr="00F55EE7" w:rsidRDefault="00B37C04" w:rsidP="00F55EE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F55EE7" w:rsidTr="00F55EE7">
      <w:tblPrEx>
        <w:tblCellMar>
          <w:top w:w="0" w:type="dxa"/>
          <w:bottom w:w="0" w:type="dxa"/>
        </w:tblCellMar>
      </w:tblPrEx>
      <w:trPr>
        <w:trHeight w:hRule="exact" w:val="864"/>
      </w:trPr>
      <w:tc>
        <w:tcPr>
          <w:tcW w:w="4838" w:type="dxa"/>
          <w:shd w:val="clear" w:color="auto" w:fill="auto"/>
          <w:vAlign w:val="bottom"/>
        </w:tcPr>
        <w:p w:rsidR="00F55EE7" w:rsidRPr="00361168" w:rsidRDefault="00F55EE7" w:rsidP="00F55EE7">
          <w:pPr>
            <w:pStyle w:val="Header"/>
            <w:rPr>
              <w:szCs w:val="22"/>
            </w:rPr>
          </w:pPr>
        </w:p>
      </w:tc>
      <w:tc>
        <w:tcPr>
          <w:tcW w:w="4995" w:type="dxa"/>
          <w:shd w:val="clear" w:color="auto" w:fill="auto"/>
          <w:vAlign w:val="bottom"/>
        </w:tcPr>
        <w:p w:rsidR="00F55EE7" w:rsidRPr="00361168" w:rsidRDefault="00F55EE7" w:rsidP="00F55EE7">
          <w:pPr>
            <w:pStyle w:val="Header"/>
            <w:spacing w:after="80"/>
            <w:jc w:val="right"/>
            <w:rPr>
              <w:b/>
              <w:szCs w:val="22"/>
            </w:rPr>
          </w:pPr>
          <w:fldSimple w:instr=" DOCVARIABLE &quot;sss1&quot; \* MERGEFORMAT ">
            <w:r w:rsidRPr="00361168">
              <w:rPr>
                <w:b/>
                <w:szCs w:val="22"/>
              </w:rPr>
              <w:t>CEDAW/C/BRN/Q/1-2</w:t>
            </w:r>
          </w:fldSimple>
        </w:p>
      </w:tc>
    </w:tr>
  </w:tbl>
  <w:p w:rsidR="00B37C04" w:rsidRPr="00F55EE7" w:rsidRDefault="00B37C04" w:rsidP="00F55EE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37C04" w:rsidRPr="004F1538" w:rsidTr="00B37C0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37C04" w:rsidRPr="00361168" w:rsidRDefault="00B37C04" w:rsidP="00B37C04">
          <w:pPr>
            <w:pStyle w:val="Header"/>
            <w:spacing w:after="120"/>
            <w:rPr>
              <w:szCs w:val="22"/>
            </w:rPr>
          </w:pPr>
        </w:p>
      </w:tc>
      <w:tc>
        <w:tcPr>
          <w:tcW w:w="2059" w:type="dxa"/>
          <w:tcBorders>
            <w:bottom w:val="single" w:sz="4" w:space="0" w:color="auto"/>
          </w:tcBorders>
          <w:shd w:val="clear" w:color="auto" w:fill="auto"/>
          <w:vAlign w:val="bottom"/>
        </w:tcPr>
        <w:p w:rsidR="00B37C04" w:rsidRPr="004F1538" w:rsidRDefault="00B37C04" w:rsidP="00B37C04">
          <w:pPr>
            <w:pStyle w:val="HCH"/>
            <w:spacing w:after="80"/>
            <w:rPr>
              <w:b w:val="0"/>
              <w:color w:val="010000"/>
              <w:spacing w:val="2"/>
              <w:w w:val="96"/>
            </w:rPr>
          </w:pPr>
          <w:r w:rsidRPr="004F1538">
            <w:rPr>
              <w:b w:val="0"/>
              <w:color w:val="010000"/>
              <w:spacing w:val="2"/>
              <w:w w:val="96"/>
            </w:rPr>
            <w:t>Nations Unies</w:t>
          </w:r>
        </w:p>
      </w:tc>
      <w:tc>
        <w:tcPr>
          <w:tcW w:w="58" w:type="dxa"/>
          <w:tcBorders>
            <w:bottom w:val="single" w:sz="4" w:space="0" w:color="auto"/>
          </w:tcBorders>
          <w:shd w:val="clear" w:color="auto" w:fill="auto"/>
          <w:vAlign w:val="bottom"/>
        </w:tcPr>
        <w:p w:rsidR="00B37C04" w:rsidRPr="00361168" w:rsidRDefault="00B37C04" w:rsidP="00B37C04">
          <w:pPr>
            <w:pStyle w:val="Header"/>
            <w:spacing w:after="120"/>
            <w:rPr>
              <w:szCs w:val="22"/>
            </w:rPr>
          </w:pPr>
        </w:p>
      </w:tc>
      <w:tc>
        <w:tcPr>
          <w:tcW w:w="6523" w:type="dxa"/>
          <w:gridSpan w:val="3"/>
          <w:tcBorders>
            <w:bottom w:val="single" w:sz="4" w:space="0" w:color="auto"/>
          </w:tcBorders>
          <w:shd w:val="clear" w:color="auto" w:fill="auto"/>
          <w:vAlign w:val="bottom"/>
        </w:tcPr>
        <w:p w:rsidR="00B37C04" w:rsidRPr="00F55EE7" w:rsidRDefault="00F55EE7" w:rsidP="00F55EE7">
          <w:pPr>
            <w:spacing w:after="80" w:line="240" w:lineRule="auto"/>
            <w:jc w:val="right"/>
            <w:rPr>
              <w:position w:val="-4"/>
            </w:rPr>
          </w:pPr>
          <w:r>
            <w:rPr>
              <w:position w:val="-4"/>
              <w:sz w:val="40"/>
            </w:rPr>
            <w:t>CEDAW</w:t>
          </w:r>
          <w:r>
            <w:rPr>
              <w:position w:val="-4"/>
            </w:rPr>
            <w:t>/C/BRN/Q/1-2</w:t>
          </w:r>
        </w:p>
      </w:tc>
    </w:tr>
    <w:tr w:rsidR="00B37C04" w:rsidRPr="004F1538" w:rsidTr="00B37C0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37C04" w:rsidRPr="00361168" w:rsidRDefault="00B37C04" w:rsidP="00B37C04">
          <w:pPr>
            <w:pStyle w:val="Header"/>
            <w:spacing w:before="880"/>
            <w:ind w:left="-72"/>
            <w:rPr>
              <w:szCs w:val="22"/>
            </w:rPr>
          </w:pPr>
          <w:r w:rsidRPr="00361168">
            <w:rPr>
              <w:szCs w:val="22"/>
            </w:rPr>
            <w:t xml:space="preserve">  </w:t>
          </w:r>
          <w:r w:rsidRPr="00361168">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37C04" w:rsidRPr="00361168" w:rsidRDefault="00B37C04" w:rsidP="00B37C04">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B37C04" w:rsidRPr="004F1538" w:rsidRDefault="00B37C04" w:rsidP="00B37C04">
          <w:pPr>
            <w:pStyle w:val="XLarge"/>
            <w:spacing w:before="109" w:line="330" w:lineRule="exact"/>
            <w:rPr>
              <w:sz w:val="34"/>
              <w:lang w:val="fr-FR"/>
            </w:rPr>
          </w:pPr>
          <w:r w:rsidRPr="004F1538">
            <w:rPr>
              <w:sz w:val="34"/>
              <w:lang w:val="fr-FR"/>
            </w:rPr>
            <w:t>Convention sur l’élimination</w:t>
          </w:r>
          <w:r w:rsidRPr="004F1538">
            <w:rPr>
              <w:sz w:val="34"/>
              <w:lang w:val="fr-FR"/>
            </w:rPr>
            <w:br/>
            <w:t>de toutes les formes</w:t>
          </w:r>
          <w:r w:rsidRPr="004F1538">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B37C04" w:rsidRPr="00361168" w:rsidRDefault="00B37C04" w:rsidP="00B37C04">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B37C04" w:rsidRPr="004F1538" w:rsidRDefault="00B37C04" w:rsidP="00B37C04">
          <w:pPr>
            <w:pStyle w:val="Distribution"/>
            <w:rPr>
              <w:color w:val="000000"/>
              <w:lang w:val="fr-FR"/>
            </w:rPr>
          </w:pPr>
          <w:r w:rsidRPr="004F1538">
            <w:rPr>
              <w:color w:val="000000"/>
              <w:lang w:val="fr-FR"/>
            </w:rPr>
            <w:t>Distr. générale</w:t>
          </w:r>
        </w:p>
        <w:p w:rsidR="00B37C04" w:rsidRPr="004F1538" w:rsidRDefault="00B37C04" w:rsidP="00B37C04">
          <w:pPr>
            <w:pStyle w:val="Publication"/>
            <w:rPr>
              <w:color w:val="000000"/>
              <w:lang w:val="fr-FR"/>
            </w:rPr>
          </w:pPr>
          <w:r w:rsidRPr="004F1538">
            <w:rPr>
              <w:color w:val="000000"/>
              <w:lang w:val="fr-FR"/>
            </w:rPr>
            <w:t>10 mars 2014</w:t>
          </w:r>
        </w:p>
        <w:p w:rsidR="00B37C04" w:rsidRPr="004F1538" w:rsidRDefault="00B37C04" w:rsidP="00B37C04">
          <w:pPr>
            <w:rPr>
              <w:lang w:val="fr-FR"/>
            </w:rPr>
          </w:pPr>
          <w:r w:rsidRPr="004F1538">
            <w:rPr>
              <w:lang w:val="fr-FR"/>
            </w:rPr>
            <w:t>Français</w:t>
          </w:r>
        </w:p>
        <w:p w:rsidR="00B37C04" w:rsidRPr="004F1538" w:rsidRDefault="00B37C04" w:rsidP="00B37C04">
          <w:pPr>
            <w:pStyle w:val="Original"/>
            <w:rPr>
              <w:color w:val="000000"/>
              <w:lang w:val="fr-FR"/>
            </w:rPr>
          </w:pPr>
          <w:r w:rsidRPr="004F1538">
            <w:rPr>
              <w:color w:val="000000"/>
              <w:lang w:val="fr-FR"/>
            </w:rPr>
            <w:t>Original : anglais</w:t>
          </w:r>
        </w:p>
      </w:tc>
    </w:tr>
  </w:tbl>
  <w:p w:rsidR="00B37C04" w:rsidRPr="00D21EFD" w:rsidRDefault="00B37C04" w:rsidP="00B37C04">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6C746F3F"/>
    <w:multiLevelType w:val="singleLevel"/>
    <w:tmpl w:val="5AC24A74"/>
    <w:lvl w:ilvl="0">
      <w:start w:val="1"/>
      <w:numFmt w:val="decimal"/>
      <w:lvlText w:val="%1."/>
      <w:lvlJc w:val="left"/>
      <w:pPr>
        <w:tabs>
          <w:tab w:val="num" w:pos="1742"/>
        </w:tabs>
        <w:ind w:left="1267" w:firstLine="0"/>
      </w:pPr>
      <w:rPr>
        <w:w w:val="100"/>
      </w:rPr>
    </w:lvl>
  </w:abstractNum>
  <w:num w:numId="1">
    <w:abstractNumId w:val="1"/>
  </w:num>
  <w:num w:numId="2">
    <w:abstractNumId w:val="0"/>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grammar="clean"/>
  <w:doNotTrackMoves/>
  <w:defaultTabStop w:val="720"/>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63*"/>
    <w:docVar w:name="CreationDt" w:val="03/04/2014 12:05:42"/>
    <w:docVar w:name="DocCategory" w:val="Doc"/>
    <w:docVar w:name="DocType" w:val="Final"/>
    <w:docVar w:name="FooterJN" w:val="14-25863 (F)"/>
    <w:docVar w:name="jobn" w:val="14-25863 (F)"/>
    <w:docVar w:name="jobnDT" w:val="14-25863 (F)   030414"/>
    <w:docVar w:name="jobnDTDT" w:val="14-25863 (F)   030414   030414"/>
    <w:docVar w:name="JobNo" w:val="1425863F"/>
    <w:docVar w:name="OandT" w:val="BHE"/>
    <w:docVar w:name="sss1" w:val="CEDAW/C/BRN/Q/1-2"/>
    <w:docVar w:name="sss2" w:val="-"/>
    <w:docVar w:name="Symbol1" w:val="CEDAW/C/BRN/Q/1-2"/>
    <w:docVar w:name="Symbol2" w:val="-"/>
  </w:docVars>
  <w:rsids>
    <w:rsidRoot w:val="00503629"/>
    <w:rsid w:val="000015B8"/>
    <w:rsid w:val="000046A5"/>
    <w:rsid w:val="000055FB"/>
    <w:rsid w:val="000249FF"/>
    <w:rsid w:val="00025DE5"/>
    <w:rsid w:val="000274C2"/>
    <w:rsid w:val="000378DE"/>
    <w:rsid w:val="00040497"/>
    <w:rsid w:val="00041B15"/>
    <w:rsid w:val="00054482"/>
    <w:rsid w:val="000571B5"/>
    <w:rsid w:val="000616D7"/>
    <w:rsid w:val="000636D2"/>
    <w:rsid w:val="000643C1"/>
    <w:rsid w:val="000675CF"/>
    <w:rsid w:val="0007246F"/>
    <w:rsid w:val="0008708F"/>
    <w:rsid w:val="00091BC1"/>
    <w:rsid w:val="000A2612"/>
    <w:rsid w:val="000B0E9A"/>
    <w:rsid w:val="000B5AF0"/>
    <w:rsid w:val="000B6B84"/>
    <w:rsid w:val="000C349B"/>
    <w:rsid w:val="000C683C"/>
    <w:rsid w:val="000F04A8"/>
    <w:rsid w:val="000F1B8A"/>
    <w:rsid w:val="000F299A"/>
    <w:rsid w:val="000F36A0"/>
    <w:rsid w:val="0010575E"/>
    <w:rsid w:val="0011255C"/>
    <w:rsid w:val="00116149"/>
    <w:rsid w:val="00126FB2"/>
    <w:rsid w:val="00132A45"/>
    <w:rsid w:val="0014233F"/>
    <w:rsid w:val="00144DE1"/>
    <w:rsid w:val="00145A1F"/>
    <w:rsid w:val="001466A3"/>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6425"/>
    <w:rsid w:val="00252402"/>
    <w:rsid w:val="00254656"/>
    <w:rsid w:val="0025545A"/>
    <w:rsid w:val="0026332C"/>
    <w:rsid w:val="002730C7"/>
    <w:rsid w:val="00280143"/>
    <w:rsid w:val="00286531"/>
    <w:rsid w:val="002A07EF"/>
    <w:rsid w:val="002A27E5"/>
    <w:rsid w:val="002B1D15"/>
    <w:rsid w:val="002B4A7F"/>
    <w:rsid w:val="002B5928"/>
    <w:rsid w:val="002C3640"/>
    <w:rsid w:val="002C3FD3"/>
    <w:rsid w:val="002C77CF"/>
    <w:rsid w:val="002E11E9"/>
    <w:rsid w:val="002E3856"/>
    <w:rsid w:val="002E79AF"/>
    <w:rsid w:val="002F048A"/>
    <w:rsid w:val="002F0E01"/>
    <w:rsid w:val="002F1E33"/>
    <w:rsid w:val="002F5972"/>
    <w:rsid w:val="00303A3C"/>
    <w:rsid w:val="00303D82"/>
    <w:rsid w:val="00303E4E"/>
    <w:rsid w:val="0030788D"/>
    <w:rsid w:val="00316628"/>
    <w:rsid w:val="00321D27"/>
    <w:rsid w:val="003235C7"/>
    <w:rsid w:val="00326270"/>
    <w:rsid w:val="00332A87"/>
    <w:rsid w:val="003342DF"/>
    <w:rsid w:val="00337015"/>
    <w:rsid w:val="00340736"/>
    <w:rsid w:val="003559A7"/>
    <w:rsid w:val="00361168"/>
    <w:rsid w:val="00362737"/>
    <w:rsid w:val="00362F57"/>
    <w:rsid w:val="00385D78"/>
    <w:rsid w:val="00386953"/>
    <w:rsid w:val="003909DD"/>
    <w:rsid w:val="00391342"/>
    <w:rsid w:val="00393A67"/>
    <w:rsid w:val="00393C9F"/>
    <w:rsid w:val="003942F1"/>
    <w:rsid w:val="00395031"/>
    <w:rsid w:val="00397343"/>
    <w:rsid w:val="003A56DC"/>
    <w:rsid w:val="003B411E"/>
    <w:rsid w:val="003B60DA"/>
    <w:rsid w:val="003B668A"/>
    <w:rsid w:val="003C222D"/>
    <w:rsid w:val="003C6DDA"/>
    <w:rsid w:val="003E1642"/>
    <w:rsid w:val="003E3E2D"/>
    <w:rsid w:val="003E4E03"/>
    <w:rsid w:val="004065B7"/>
    <w:rsid w:val="004066EB"/>
    <w:rsid w:val="00406E1E"/>
    <w:rsid w:val="00432662"/>
    <w:rsid w:val="004342B2"/>
    <w:rsid w:val="00441593"/>
    <w:rsid w:val="004448E6"/>
    <w:rsid w:val="00450D24"/>
    <w:rsid w:val="004548AC"/>
    <w:rsid w:val="00455E42"/>
    <w:rsid w:val="00457D04"/>
    <w:rsid w:val="004627F7"/>
    <w:rsid w:val="004638A8"/>
    <w:rsid w:val="00472E14"/>
    <w:rsid w:val="00476698"/>
    <w:rsid w:val="00481634"/>
    <w:rsid w:val="00487428"/>
    <w:rsid w:val="00492DC3"/>
    <w:rsid w:val="004A2319"/>
    <w:rsid w:val="004A2455"/>
    <w:rsid w:val="004C304C"/>
    <w:rsid w:val="004D5D20"/>
    <w:rsid w:val="004E0FB8"/>
    <w:rsid w:val="004E272F"/>
    <w:rsid w:val="004E4258"/>
    <w:rsid w:val="004F1538"/>
    <w:rsid w:val="004F2765"/>
    <w:rsid w:val="004F69D3"/>
    <w:rsid w:val="00503629"/>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90A88"/>
    <w:rsid w:val="00591AA0"/>
    <w:rsid w:val="005A1E12"/>
    <w:rsid w:val="005A7976"/>
    <w:rsid w:val="005B33A4"/>
    <w:rsid w:val="005B5D99"/>
    <w:rsid w:val="005B74B8"/>
    <w:rsid w:val="005C3A63"/>
    <w:rsid w:val="005F12E0"/>
    <w:rsid w:val="005F2A30"/>
    <w:rsid w:val="005F35C5"/>
    <w:rsid w:val="005F6A9F"/>
    <w:rsid w:val="005F6E3F"/>
    <w:rsid w:val="0060033F"/>
    <w:rsid w:val="00603211"/>
    <w:rsid w:val="0060792E"/>
    <w:rsid w:val="00612407"/>
    <w:rsid w:val="006125AC"/>
    <w:rsid w:val="00617EBE"/>
    <w:rsid w:val="00622055"/>
    <w:rsid w:val="0063657E"/>
    <w:rsid w:val="0064534C"/>
    <w:rsid w:val="0064762B"/>
    <w:rsid w:val="00650623"/>
    <w:rsid w:val="00656E62"/>
    <w:rsid w:val="00662686"/>
    <w:rsid w:val="00665692"/>
    <w:rsid w:val="00675A53"/>
    <w:rsid w:val="006866E8"/>
    <w:rsid w:val="00687FB1"/>
    <w:rsid w:val="0069608C"/>
    <w:rsid w:val="006A5910"/>
    <w:rsid w:val="006B1ABC"/>
    <w:rsid w:val="006B64BE"/>
    <w:rsid w:val="006C449D"/>
    <w:rsid w:val="006D5832"/>
    <w:rsid w:val="006E215F"/>
    <w:rsid w:val="006E3D5C"/>
    <w:rsid w:val="006E4E12"/>
    <w:rsid w:val="006E5649"/>
    <w:rsid w:val="006F5A33"/>
    <w:rsid w:val="006F6787"/>
    <w:rsid w:val="006F6EDD"/>
    <w:rsid w:val="00704AF5"/>
    <w:rsid w:val="00735F3A"/>
    <w:rsid w:val="00735FB1"/>
    <w:rsid w:val="007367E1"/>
    <w:rsid w:val="00743131"/>
    <w:rsid w:val="00745376"/>
    <w:rsid w:val="00750C8F"/>
    <w:rsid w:val="007531C9"/>
    <w:rsid w:val="00754913"/>
    <w:rsid w:val="00765152"/>
    <w:rsid w:val="00770DEF"/>
    <w:rsid w:val="0077589C"/>
    <w:rsid w:val="00775BFD"/>
    <w:rsid w:val="00780058"/>
    <w:rsid w:val="007804F4"/>
    <w:rsid w:val="0078267A"/>
    <w:rsid w:val="0079302E"/>
    <w:rsid w:val="0079379B"/>
    <w:rsid w:val="0079452A"/>
    <w:rsid w:val="00794FED"/>
    <w:rsid w:val="007B1E17"/>
    <w:rsid w:val="007C0C1F"/>
    <w:rsid w:val="007C206E"/>
    <w:rsid w:val="007E2FEB"/>
    <w:rsid w:val="007E74E9"/>
    <w:rsid w:val="007F3DCC"/>
    <w:rsid w:val="007F77CB"/>
    <w:rsid w:val="00800903"/>
    <w:rsid w:val="00804131"/>
    <w:rsid w:val="00804565"/>
    <w:rsid w:val="00806A3B"/>
    <w:rsid w:val="00807CA4"/>
    <w:rsid w:val="008173CF"/>
    <w:rsid w:val="00833A79"/>
    <w:rsid w:val="00837284"/>
    <w:rsid w:val="00844B5C"/>
    <w:rsid w:val="008555BA"/>
    <w:rsid w:val="00856155"/>
    <w:rsid w:val="008579A6"/>
    <w:rsid w:val="00861D7A"/>
    <w:rsid w:val="00863E44"/>
    <w:rsid w:val="008703DB"/>
    <w:rsid w:val="008710A1"/>
    <w:rsid w:val="0088158E"/>
    <w:rsid w:val="008829F3"/>
    <w:rsid w:val="00891ADA"/>
    <w:rsid w:val="008962D4"/>
    <w:rsid w:val="008B0FA6"/>
    <w:rsid w:val="008C5E6B"/>
    <w:rsid w:val="008D2DCF"/>
    <w:rsid w:val="008D3043"/>
    <w:rsid w:val="008D3318"/>
    <w:rsid w:val="008D4C00"/>
    <w:rsid w:val="008D613D"/>
    <w:rsid w:val="008E5CC1"/>
    <w:rsid w:val="008E6532"/>
    <w:rsid w:val="008E7FF5"/>
    <w:rsid w:val="008F125F"/>
    <w:rsid w:val="0090311E"/>
    <w:rsid w:val="0090438E"/>
    <w:rsid w:val="009133F5"/>
    <w:rsid w:val="00915680"/>
    <w:rsid w:val="0091610E"/>
    <w:rsid w:val="00916373"/>
    <w:rsid w:val="00931752"/>
    <w:rsid w:val="00940B65"/>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E06DE"/>
    <w:rsid w:val="009E246F"/>
    <w:rsid w:val="009E76A1"/>
    <w:rsid w:val="009F235E"/>
    <w:rsid w:val="009F3C78"/>
    <w:rsid w:val="009F5ACE"/>
    <w:rsid w:val="009F7FE9"/>
    <w:rsid w:val="00A02426"/>
    <w:rsid w:val="00A150A7"/>
    <w:rsid w:val="00A210DD"/>
    <w:rsid w:val="00A21443"/>
    <w:rsid w:val="00A22ED0"/>
    <w:rsid w:val="00A24099"/>
    <w:rsid w:val="00A264B0"/>
    <w:rsid w:val="00A33E3C"/>
    <w:rsid w:val="00A3426E"/>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DB5"/>
    <w:rsid w:val="00AD3D04"/>
    <w:rsid w:val="00AE0DF0"/>
    <w:rsid w:val="00AE164F"/>
    <w:rsid w:val="00AE73A1"/>
    <w:rsid w:val="00AF6B78"/>
    <w:rsid w:val="00B017DD"/>
    <w:rsid w:val="00B01D80"/>
    <w:rsid w:val="00B05198"/>
    <w:rsid w:val="00B10BF5"/>
    <w:rsid w:val="00B145B5"/>
    <w:rsid w:val="00B152AC"/>
    <w:rsid w:val="00B16C8B"/>
    <w:rsid w:val="00B22BE8"/>
    <w:rsid w:val="00B26B93"/>
    <w:rsid w:val="00B27126"/>
    <w:rsid w:val="00B362BE"/>
    <w:rsid w:val="00B37C04"/>
    <w:rsid w:val="00B52A47"/>
    <w:rsid w:val="00B541C6"/>
    <w:rsid w:val="00B556DD"/>
    <w:rsid w:val="00B66644"/>
    <w:rsid w:val="00B67756"/>
    <w:rsid w:val="00B712B0"/>
    <w:rsid w:val="00B77EB8"/>
    <w:rsid w:val="00B84109"/>
    <w:rsid w:val="00B85BDA"/>
    <w:rsid w:val="00B870D6"/>
    <w:rsid w:val="00B93B31"/>
    <w:rsid w:val="00BA3125"/>
    <w:rsid w:val="00BB0949"/>
    <w:rsid w:val="00BC43E2"/>
    <w:rsid w:val="00BD45A0"/>
    <w:rsid w:val="00BE2F51"/>
    <w:rsid w:val="00BE62DB"/>
    <w:rsid w:val="00BE7E1A"/>
    <w:rsid w:val="00BF055A"/>
    <w:rsid w:val="00BF0B13"/>
    <w:rsid w:val="00BF651C"/>
    <w:rsid w:val="00BF7BD3"/>
    <w:rsid w:val="00C01B04"/>
    <w:rsid w:val="00C13C81"/>
    <w:rsid w:val="00C14A5C"/>
    <w:rsid w:val="00C14B0A"/>
    <w:rsid w:val="00C26CD3"/>
    <w:rsid w:val="00C3047B"/>
    <w:rsid w:val="00C35E4D"/>
    <w:rsid w:val="00C45692"/>
    <w:rsid w:val="00C60C0B"/>
    <w:rsid w:val="00C67F09"/>
    <w:rsid w:val="00C72788"/>
    <w:rsid w:val="00C76A5E"/>
    <w:rsid w:val="00C90C2B"/>
    <w:rsid w:val="00C9582B"/>
    <w:rsid w:val="00CA13F9"/>
    <w:rsid w:val="00CA2B14"/>
    <w:rsid w:val="00CA2D2A"/>
    <w:rsid w:val="00CA40E0"/>
    <w:rsid w:val="00CB0CBE"/>
    <w:rsid w:val="00CB1C6D"/>
    <w:rsid w:val="00CB5956"/>
    <w:rsid w:val="00CD12A5"/>
    <w:rsid w:val="00CD4A8B"/>
    <w:rsid w:val="00CE3799"/>
    <w:rsid w:val="00CE4AA9"/>
    <w:rsid w:val="00CE7ADD"/>
    <w:rsid w:val="00CF5E7B"/>
    <w:rsid w:val="00CF7A75"/>
    <w:rsid w:val="00D00362"/>
    <w:rsid w:val="00D026B6"/>
    <w:rsid w:val="00D03953"/>
    <w:rsid w:val="00D10E8F"/>
    <w:rsid w:val="00D15BBA"/>
    <w:rsid w:val="00D16F48"/>
    <w:rsid w:val="00D21EFD"/>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335C"/>
    <w:rsid w:val="00D92B16"/>
    <w:rsid w:val="00D93CC2"/>
    <w:rsid w:val="00DA2106"/>
    <w:rsid w:val="00DA23EB"/>
    <w:rsid w:val="00DB66E6"/>
    <w:rsid w:val="00DC23FE"/>
    <w:rsid w:val="00DC5B37"/>
    <w:rsid w:val="00DE01B6"/>
    <w:rsid w:val="00DE1304"/>
    <w:rsid w:val="00E11B5C"/>
    <w:rsid w:val="00E22DB7"/>
    <w:rsid w:val="00E345BF"/>
    <w:rsid w:val="00E51F8B"/>
    <w:rsid w:val="00E529D4"/>
    <w:rsid w:val="00E56D2F"/>
    <w:rsid w:val="00E635B9"/>
    <w:rsid w:val="00E6363C"/>
    <w:rsid w:val="00E71BAD"/>
    <w:rsid w:val="00E74106"/>
    <w:rsid w:val="00E74864"/>
    <w:rsid w:val="00E83E70"/>
    <w:rsid w:val="00E86286"/>
    <w:rsid w:val="00E952EF"/>
    <w:rsid w:val="00E968A0"/>
    <w:rsid w:val="00E97145"/>
    <w:rsid w:val="00EA4196"/>
    <w:rsid w:val="00EB1632"/>
    <w:rsid w:val="00EB535D"/>
    <w:rsid w:val="00EC34E0"/>
    <w:rsid w:val="00EC5430"/>
    <w:rsid w:val="00EC6373"/>
    <w:rsid w:val="00ED047D"/>
    <w:rsid w:val="00ED297E"/>
    <w:rsid w:val="00ED4626"/>
    <w:rsid w:val="00ED732D"/>
    <w:rsid w:val="00EF11F2"/>
    <w:rsid w:val="00EF236F"/>
    <w:rsid w:val="00F03AFB"/>
    <w:rsid w:val="00F14729"/>
    <w:rsid w:val="00F17670"/>
    <w:rsid w:val="00F17A90"/>
    <w:rsid w:val="00F2031D"/>
    <w:rsid w:val="00F26369"/>
    <w:rsid w:val="00F3330B"/>
    <w:rsid w:val="00F357CB"/>
    <w:rsid w:val="00F35CA0"/>
    <w:rsid w:val="00F44706"/>
    <w:rsid w:val="00F45420"/>
    <w:rsid w:val="00F51EF7"/>
    <w:rsid w:val="00F52A72"/>
    <w:rsid w:val="00F54C59"/>
    <w:rsid w:val="00F55EE7"/>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semiHidden/>
    <w:unhideWhenUsed/>
    <w:rsid w:val="00D8335C"/>
    <w:pPr>
      <w:spacing w:line="210" w:lineRule="exact"/>
    </w:pPr>
    <w:rPr>
      <w:spacing w:val="5"/>
      <w:w w:val="104"/>
      <w:sz w:val="17"/>
      <w:szCs w:val="20"/>
      <w:lang/>
    </w:rPr>
  </w:style>
  <w:style w:type="character" w:customStyle="1" w:styleId="FootnoteTextChar">
    <w:name w:val="Footnote Text Char"/>
    <w:aliases w:val="5_G Char"/>
    <w:link w:val="FootnoteText"/>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60792E"/>
    <w:rPr>
      <w:rFonts w:ascii="Times New Roman" w:hAnsi="Times New Roman"/>
      <w:spacing w:val="-3"/>
      <w:w w:val="99"/>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B37C04"/>
    <w:rPr>
      <w:sz w:val="16"/>
      <w:szCs w:val="16"/>
    </w:rPr>
  </w:style>
  <w:style w:type="paragraph" w:styleId="CommentText">
    <w:name w:val="annotation text"/>
    <w:basedOn w:val="Normal"/>
    <w:link w:val="CommentTextChar"/>
    <w:uiPriority w:val="99"/>
    <w:semiHidden/>
    <w:unhideWhenUsed/>
    <w:rsid w:val="00B37C04"/>
    <w:rPr>
      <w:szCs w:val="20"/>
      <w:lang/>
    </w:rPr>
  </w:style>
  <w:style w:type="character" w:customStyle="1" w:styleId="CommentTextChar">
    <w:name w:val="Comment Text Char"/>
    <w:link w:val="CommentText"/>
    <w:uiPriority w:val="99"/>
    <w:semiHidden/>
    <w:rsid w:val="00B37C04"/>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B37C04"/>
    <w:rPr>
      <w:b/>
      <w:bCs/>
    </w:rPr>
  </w:style>
  <w:style w:type="character" w:customStyle="1" w:styleId="CommentSubjectChar">
    <w:name w:val="Comment Subject Char"/>
    <w:link w:val="CommentSubject"/>
    <w:uiPriority w:val="99"/>
    <w:semiHidden/>
    <w:rsid w:val="00B37C04"/>
    <w:rPr>
      <w:rFonts w:ascii="Times New Roman" w:hAnsi="Times New Roman"/>
      <w:b/>
      <w:bCs/>
      <w:spacing w:val="4"/>
      <w:w w:val="103"/>
      <w:kern w:val="14"/>
    </w:rPr>
  </w:style>
  <w:style w:type="paragraph" w:customStyle="1" w:styleId="HCh0">
    <w:name w:val="_ H _Ch"/>
    <w:basedOn w:val="H1"/>
    <w:next w:val="SingleTxt"/>
    <w:rsid w:val="00D21EFD"/>
    <w:pPr>
      <w:spacing w:line="300" w:lineRule="exact"/>
    </w:pPr>
    <w:rPr>
      <w:rFonts w:eastAsia="SimSun"/>
      <w:spacing w:val="-2"/>
      <w:sz w:val="28"/>
      <w:szCs w:val="20"/>
      <w:lang w:val="fr-CA" w:eastAsia="zh-CN"/>
    </w:rPr>
  </w:style>
  <w:style w:type="character" w:styleId="FootnoteReference">
    <w:name w:val="footnote reference"/>
    <w:aliases w:val="4_G,Rimando notaOreste,Rimando notaOreste1,Rimando notaOreste2,nota a piè di pagina"/>
    <w:semiHidden/>
    <w:unhideWhenUsed/>
    <w:rsid w:val="00D21EFD"/>
    <w:rPr>
      <w:rFonts w:ascii="Times New Roman" w:hAnsi="Times New Roman" w:cs="Times New Roman" w:hint="default"/>
      <w:strike w:val="0"/>
      <w:dstrike w:val="0"/>
      <w:color w:val="FF0000"/>
      <w:spacing w:val="-5"/>
      <w:w w:val="130"/>
      <w:position w:val="-4"/>
      <w:sz w:val="20"/>
      <w:u w:val="none"/>
      <w:effect w:val="none"/>
      <w:vertAlign w:val="superscript"/>
    </w:rPr>
  </w:style>
</w:styles>
</file>

<file path=word/webSettings.xml><?xml version="1.0" encoding="utf-8"?>
<w:webSettings xmlns:r="http://schemas.openxmlformats.org/officeDocument/2006/relationships" xmlns:w="http://schemas.openxmlformats.org/wordprocessingml/2006/main">
  <w:divs>
    <w:div w:id="392198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5</Pages>
  <Words>2057</Words>
  <Characters>11319</Characters>
  <Application>Microsoft Office Outlook</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FTPU User</cp:lastModifiedBy>
  <cp:revision>10</cp:revision>
  <cp:lastPrinted>2014-04-03T10:14:00Z</cp:lastPrinted>
  <dcterms:created xsi:type="dcterms:W3CDTF">2014-04-03T10:03:00Z</dcterms:created>
  <dcterms:modified xsi:type="dcterms:W3CDTF">2014-04-04T07:44:00Z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1425863</vt:lpwstr>
  </property>
  <property fmtid="{D5CDD505-2E9C-101B-9397-08002B2CF9AE}" pid="3" name="Symbol2">
    <vt:lpwstr/>
  </property>
  <property fmtid="{D5CDD505-2E9C-101B-9397-08002B2CF9AE}" pid="4" name="Translator">
    <vt:lpwstr/>
  </property>
  <property fmtid="{D5CDD505-2E9C-101B-9397-08002B2CF9AE}" pid="5" name="Distribution">
    <vt:lpwstr>générale</vt:lpwstr>
  </property>
  <property fmtid="{D5CDD505-2E9C-101B-9397-08002B2CF9AE}" pid="6" name="Publication Date">
    <vt:lpwstr>10 mars 2014</vt:lpwstr>
  </property>
  <property fmtid="{D5CDD505-2E9C-101B-9397-08002B2CF9AE}" pid="7" name="Original">
    <vt:lpwstr>anglais</vt:lpwstr>
  </property>
  <property fmtid="{D5CDD505-2E9C-101B-9397-08002B2CF9AE}" pid="8" name="Release Date">
    <vt:lpwstr>030414</vt:lpwstr>
  </property>
  <property fmtid="{D5CDD505-2E9C-101B-9397-08002B2CF9AE}" pid="9" name="Comment">
    <vt:lpwstr/>
  </property>
  <property fmtid="{D5CDD505-2E9C-101B-9397-08002B2CF9AE}" pid="10" name="DraftPages">
    <vt:lpwstr> </vt:lpwstr>
  </property>
  <property fmtid="{D5CDD505-2E9C-101B-9397-08002B2CF9AE}" pid="11" name="Operator">
    <vt:lpwstr>BHE</vt:lpwstr>
  </property>
  <property fmtid="{D5CDD505-2E9C-101B-9397-08002B2CF9AE}" pid="12" name="Symbol1">
    <vt:lpwstr>CEDAW/C/BRN/Q/1-2</vt:lpwstr>
  </property>
</Properties>
</file>