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14193" w14:textId="77777777" w:rsidR="00F50665" w:rsidRDefault="00F50665" w:rsidP="00F50665">
      <w:pPr>
        <w:spacing w:line="60" w:lineRule="exact"/>
        <w:rPr>
          <w:sz w:val="2"/>
        </w:rPr>
        <w:sectPr w:rsidR="00F50665" w:rsidSect="007A52C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6E78F1FC"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eastAsia="黑体"/>
          <w:sz w:val="24"/>
        </w:rPr>
      </w:pPr>
      <w:r w:rsidRPr="007A52CB">
        <w:rPr>
          <w:rFonts w:eastAsia="黑体" w:hint="eastAsia"/>
          <w:sz w:val="24"/>
        </w:rPr>
        <w:t>消除对妇女歧视委员会</w:t>
      </w:r>
    </w:p>
    <w:p w14:paraId="30E8541F" w14:textId="77777777" w:rsidR="007A52CB" w:rsidRPr="007A52CB" w:rsidRDefault="007A52CB" w:rsidP="00F2587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7A52CB">
        <w:rPr>
          <w:rFonts w:hint="eastAsia"/>
        </w:rPr>
        <w:tab/>
      </w:r>
      <w:r w:rsidRPr="007A52CB">
        <w:rPr>
          <w:rFonts w:hint="eastAsia"/>
        </w:rPr>
        <w:tab/>
      </w:r>
      <w:r w:rsidRPr="007A52CB">
        <w:rPr>
          <w:rFonts w:hint="eastAsia"/>
        </w:rPr>
        <w:t>关于印度尼西亚第八次定期报告的结论性意见</w:t>
      </w:r>
      <w:r w:rsidRPr="007A52CB">
        <w:rPr>
          <w:rFonts w:hint="eastAsia"/>
          <w:vertAlign w:val="superscript"/>
        </w:rPr>
        <w:t>*</w:t>
      </w:r>
      <w:bookmarkStart w:id="1" w:name="_GoBack"/>
      <w:bookmarkEnd w:id="1"/>
    </w:p>
    <w:p w14:paraId="5BF0019A" w14:textId="6EB73DFB"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w:t>
      </w:r>
      <w:r w:rsidRPr="007A52CB">
        <w:rPr>
          <w:rFonts w:hint="eastAsia"/>
        </w:rPr>
        <w:tab/>
      </w:r>
      <w:r w:rsidRPr="007A52CB">
        <w:rPr>
          <w:rFonts w:hint="eastAsia"/>
        </w:rPr>
        <w:t>委员会在</w:t>
      </w:r>
      <w:r w:rsidRPr="007A52CB">
        <w:rPr>
          <w:rFonts w:hint="eastAsia"/>
        </w:rPr>
        <w:t>2021</w:t>
      </w:r>
      <w:r w:rsidRPr="007A52CB">
        <w:rPr>
          <w:rFonts w:hint="eastAsia"/>
        </w:rPr>
        <w:t>年</w:t>
      </w:r>
      <w:r w:rsidRPr="007A52CB">
        <w:rPr>
          <w:rFonts w:hint="eastAsia"/>
        </w:rPr>
        <w:t>10</w:t>
      </w:r>
      <w:r w:rsidRPr="007A52CB">
        <w:rPr>
          <w:rFonts w:hint="eastAsia"/>
        </w:rPr>
        <w:t>月</w:t>
      </w:r>
      <w:r w:rsidRPr="007A52CB">
        <w:rPr>
          <w:rFonts w:hint="eastAsia"/>
        </w:rPr>
        <w:t>28</w:t>
      </w:r>
      <w:r w:rsidRPr="007A52CB">
        <w:rPr>
          <w:rFonts w:hint="eastAsia"/>
        </w:rPr>
        <w:t>日至</w:t>
      </w:r>
      <w:r w:rsidRPr="007A52CB">
        <w:rPr>
          <w:rFonts w:hint="eastAsia"/>
        </w:rPr>
        <w:t>29</w:t>
      </w:r>
      <w:r w:rsidRPr="007A52CB">
        <w:rPr>
          <w:rFonts w:hint="eastAsia"/>
        </w:rPr>
        <w:t>日举行的第</w:t>
      </w:r>
      <w:r w:rsidRPr="007A52CB">
        <w:rPr>
          <w:rFonts w:hint="eastAsia"/>
        </w:rPr>
        <w:t>1827</w:t>
      </w:r>
      <w:r w:rsidRPr="007A52CB">
        <w:rPr>
          <w:rFonts w:hint="eastAsia"/>
        </w:rPr>
        <w:t>和</w:t>
      </w:r>
      <w:r w:rsidRPr="007A52CB">
        <w:rPr>
          <w:rFonts w:hint="eastAsia"/>
        </w:rPr>
        <w:t>1829</w:t>
      </w:r>
      <w:r w:rsidRPr="007A52CB">
        <w:rPr>
          <w:rFonts w:hint="eastAsia"/>
        </w:rPr>
        <w:t>次会议</w:t>
      </w:r>
      <w:r w:rsidRPr="007A52CB">
        <w:rPr>
          <w:rFonts w:hint="eastAsia"/>
        </w:rPr>
        <w:t>(</w:t>
      </w:r>
      <w:r w:rsidRPr="007A52CB">
        <w:rPr>
          <w:rFonts w:hint="eastAsia"/>
        </w:rPr>
        <w:t>见</w:t>
      </w:r>
      <w:hyperlink r:id="rId17" w:history="1">
        <w:r w:rsidRPr="007A52CB">
          <w:rPr>
            <w:rFonts w:hint="eastAsia"/>
            <w:color w:val="0000FF"/>
            <w:spacing w:val="-4"/>
          </w:rPr>
          <w:t>CEDAW/C/SR.1827</w:t>
        </w:r>
      </w:hyperlink>
      <w:r w:rsidRPr="007A52CB">
        <w:rPr>
          <w:rFonts w:hint="eastAsia"/>
          <w:spacing w:val="-4"/>
        </w:rPr>
        <w:t>和</w:t>
      </w:r>
      <w:hyperlink r:id="rId18" w:history="1">
        <w:r w:rsidRPr="007A52CB">
          <w:rPr>
            <w:rFonts w:hint="eastAsia"/>
            <w:color w:val="0000FF"/>
            <w:spacing w:val="-4"/>
          </w:rPr>
          <w:t>CEDAW/C/SR.1829</w:t>
        </w:r>
      </w:hyperlink>
      <w:r w:rsidRPr="007A52CB">
        <w:rPr>
          <w:rFonts w:hint="eastAsia"/>
          <w:spacing w:val="-4"/>
        </w:rPr>
        <w:t>)</w:t>
      </w:r>
      <w:r w:rsidRPr="007A52CB">
        <w:rPr>
          <w:rFonts w:hint="eastAsia"/>
          <w:spacing w:val="-4"/>
        </w:rPr>
        <w:t>上审议了印度尼西亚的第八次定期报告</w:t>
      </w:r>
      <w:r w:rsidRPr="007A52CB">
        <w:rPr>
          <w:rFonts w:hint="eastAsia"/>
          <w:spacing w:val="-4"/>
        </w:rPr>
        <w:t>(</w:t>
      </w:r>
      <w:hyperlink r:id="rId19" w:history="1">
        <w:r w:rsidRPr="007A52CB">
          <w:rPr>
            <w:rFonts w:hint="eastAsia"/>
            <w:color w:val="0000FF"/>
            <w:spacing w:val="-4"/>
          </w:rPr>
          <w:t>CEDAW/C/IDN/8</w:t>
        </w:r>
      </w:hyperlink>
      <w:r w:rsidRPr="007A52CB">
        <w:rPr>
          <w:rFonts w:hint="eastAsia"/>
          <w:spacing w:val="-4"/>
        </w:rPr>
        <w:t>)</w:t>
      </w:r>
      <w:r w:rsidRPr="007A52CB">
        <w:rPr>
          <w:rFonts w:hint="eastAsia"/>
          <w:spacing w:val="-4"/>
        </w:rPr>
        <w:t>。</w:t>
      </w:r>
      <w:r w:rsidRPr="007A52CB">
        <w:rPr>
          <w:rFonts w:hint="eastAsia"/>
        </w:rPr>
        <w:t>会前工作组提出的议题和问题清单载于</w:t>
      </w:r>
      <w:hyperlink r:id="rId20" w:history="1">
        <w:r w:rsidRPr="007A52CB">
          <w:rPr>
            <w:rFonts w:hint="eastAsia"/>
            <w:color w:val="0000FF"/>
            <w:spacing w:val="-4"/>
          </w:rPr>
          <w:t>CEDAW/C/IDN/Q/8</w:t>
        </w:r>
      </w:hyperlink>
      <w:r w:rsidRPr="007A52CB">
        <w:rPr>
          <w:rFonts w:hint="eastAsia"/>
          <w:spacing w:val="-4"/>
        </w:rPr>
        <w:t>，</w:t>
      </w:r>
      <w:r w:rsidRPr="007A52CB">
        <w:rPr>
          <w:rFonts w:hint="eastAsia"/>
        </w:rPr>
        <w:t>印度尼西亚的答复载于</w:t>
      </w:r>
      <w:hyperlink r:id="rId21" w:history="1">
        <w:r w:rsidRPr="007A52CB">
          <w:rPr>
            <w:rFonts w:hint="eastAsia"/>
            <w:color w:val="0000FF"/>
          </w:rPr>
          <w:t>CEDAW/C/IDN/RQ/8</w:t>
        </w:r>
      </w:hyperlink>
      <w:r w:rsidRPr="007A52CB">
        <w:rPr>
          <w:rFonts w:hint="eastAsia"/>
        </w:rPr>
        <w:t>。</w:t>
      </w:r>
    </w:p>
    <w:p w14:paraId="217A50B5"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7A52CB">
        <w:rPr>
          <w:rFonts w:eastAsia="黑体"/>
          <w:sz w:val="24"/>
        </w:rPr>
        <w:tab/>
      </w:r>
      <w:r w:rsidRPr="007A52CB">
        <w:rPr>
          <w:rFonts w:eastAsia="黑体" w:hint="eastAsia"/>
          <w:sz w:val="24"/>
        </w:rPr>
        <w:t>A.</w:t>
      </w:r>
      <w:r w:rsidRPr="007A52CB">
        <w:rPr>
          <w:rFonts w:eastAsia="黑体" w:hint="eastAsia"/>
          <w:sz w:val="24"/>
        </w:rPr>
        <w:tab/>
      </w:r>
      <w:r w:rsidRPr="007A52CB">
        <w:rPr>
          <w:rFonts w:eastAsia="黑体" w:hint="eastAsia"/>
          <w:sz w:val="24"/>
        </w:rPr>
        <w:t>导言</w:t>
      </w:r>
    </w:p>
    <w:p w14:paraId="6C76E87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w:t>
      </w:r>
      <w:r w:rsidRPr="007A52CB">
        <w:rPr>
          <w:rFonts w:hint="eastAsia"/>
        </w:rPr>
        <w:tab/>
      </w:r>
      <w:r w:rsidRPr="007A52CB">
        <w:rPr>
          <w:rFonts w:hint="eastAsia"/>
        </w:rPr>
        <w:t>委员会赞赏缔约国提交第八次定期报告。委员会还感谢缔约国对会前工作组提出的议题和问题清单作出书面答复。委员会欢迎该代表团口头的陈述以及对委员会在对话期间口头提出的问题所作的进一步说明。</w:t>
      </w:r>
    </w:p>
    <w:p w14:paraId="28C1570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w:t>
      </w:r>
      <w:r w:rsidRPr="007A52CB">
        <w:rPr>
          <w:rFonts w:hint="eastAsia"/>
        </w:rPr>
        <w:tab/>
      </w:r>
      <w:r w:rsidRPr="007A52CB">
        <w:rPr>
          <w:rFonts w:hint="eastAsia"/>
        </w:rPr>
        <w:t>委员会赞扬缔约国派出高级别代表团，由印度尼西亚增强妇女权能和儿童保护部长</w:t>
      </w:r>
      <w:r w:rsidRPr="007A52CB">
        <w:rPr>
          <w:rFonts w:hint="eastAsia"/>
        </w:rPr>
        <w:t>I Gusti Ayu Bintang Darmawati</w:t>
      </w:r>
      <w:r w:rsidRPr="007A52CB">
        <w:rPr>
          <w:rFonts w:hint="eastAsia"/>
        </w:rPr>
        <w:t>率领，成员包括以下部门的代表：增强妇女权能和儿童保护部；人类发展和文化事务部；教育、文化、研究和技术部；法治和人权部；内政部；国家发展规划部；外交部；财政部；社会事务部；卫生部；劳动部；国家统计局；宗教部；通信和信息技术部；政治、法律和安全事务协调部；人类发展和文化事务统筹部；国家人口和计划生育局；印度尼西亚国家武装部队；印度尼西亚国家警察；国家冠状病毒病</w:t>
      </w:r>
      <w:r w:rsidRPr="007A52CB">
        <w:rPr>
          <w:rFonts w:hint="eastAsia"/>
        </w:rPr>
        <w:t>(COVID-19)</w:t>
      </w:r>
      <w:r w:rsidRPr="007A52CB">
        <w:rPr>
          <w:rFonts w:hint="eastAsia"/>
        </w:rPr>
        <w:t>防控工作队；最高法院；巴布亚省政府；西巴布亚省政府；亚齐省政府；印度尼西亚常驻联合国日内瓦办事处和日内瓦其他国际组织代表团。</w:t>
      </w:r>
    </w:p>
    <w:p w14:paraId="1C35798C"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7A52CB">
        <w:rPr>
          <w:rFonts w:eastAsia="黑体"/>
          <w:sz w:val="24"/>
        </w:rPr>
        <w:tab/>
      </w:r>
      <w:r w:rsidRPr="007A52CB">
        <w:rPr>
          <w:rFonts w:eastAsia="黑体" w:hint="eastAsia"/>
          <w:sz w:val="24"/>
        </w:rPr>
        <w:t>B.</w:t>
      </w:r>
      <w:r w:rsidRPr="007A52CB">
        <w:rPr>
          <w:rFonts w:eastAsia="黑体" w:hint="eastAsia"/>
          <w:sz w:val="24"/>
        </w:rPr>
        <w:tab/>
      </w:r>
      <w:r w:rsidRPr="007A52CB">
        <w:rPr>
          <w:rFonts w:eastAsia="黑体" w:hint="eastAsia"/>
          <w:sz w:val="24"/>
        </w:rPr>
        <w:t>积极方面</w:t>
      </w:r>
    </w:p>
    <w:p w14:paraId="4A84B1F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w:t>
      </w:r>
      <w:r w:rsidRPr="007A52CB">
        <w:rPr>
          <w:rFonts w:hint="eastAsia"/>
        </w:rPr>
        <w:tab/>
      </w:r>
      <w:r w:rsidRPr="007A52CB">
        <w:rPr>
          <w:rFonts w:hint="eastAsia"/>
        </w:rPr>
        <w:t>委员会欢迎自</w:t>
      </w:r>
      <w:r w:rsidRPr="007A52CB">
        <w:rPr>
          <w:rFonts w:hint="eastAsia"/>
        </w:rPr>
        <w:t>2012</w:t>
      </w:r>
      <w:r w:rsidRPr="007A52CB">
        <w:rPr>
          <w:rFonts w:hint="eastAsia"/>
        </w:rPr>
        <w:t>年审议缔约国前几次报告以来在开展立法改革方面取得的进展，特别是通过了以下法律：</w:t>
      </w:r>
    </w:p>
    <w:p w14:paraId="5FAB72B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关于残疾人的第</w:t>
      </w:r>
      <w:r w:rsidRPr="007A52CB">
        <w:rPr>
          <w:rFonts w:hint="eastAsia"/>
        </w:rPr>
        <w:t>8/2016</w:t>
      </w:r>
      <w:r w:rsidRPr="007A52CB">
        <w:rPr>
          <w:rFonts w:hint="eastAsia"/>
        </w:rPr>
        <w:t>号法律，该法律保护残疾人，包括妇女和儿童；</w:t>
      </w:r>
    </w:p>
    <w:p w14:paraId="4F5BF213" w14:textId="77777777" w:rsidR="007A52CB" w:rsidRPr="007A52CB" w:rsidRDefault="007A52CB" w:rsidP="007A52CB">
      <w:pPr>
        <w:framePr w:w="9792" w:h="432" w:hSpace="180" w:wrap="around" w:vAnchor="page" w:hAnchor="page" w:x="1206" w:y="141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A52CB">
        <w:rPr>
          <w:noProof/>
        </w:rPr>
        <mc:AlternateContent>
          <mc:Choice Requires="wps">
            <w:drawing>
              <wp:anchor distT="0" distB="0" distL="114300" distR="114300" simplePos="0" relativeHeight="251659264" behindDoc="0" locked="0" layoutInCell="1" allowOverlap="1" wp14:anchorId="3B2F2A4D" wp14:editId="1B76A0CB">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E82B415"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" strokecolor="#010000" strokeweight=".25pt"/>
            </w:pict>
          </mc:Fallback>
        </mc:AlternateContent>
      </w:r>
      <w:r w:rsidRPr="007A52CB">
        <w:rPr>
          <w:sz w:val="18"/>
        </w:rPr>
        <w:tab/>
      </w:r>
      <w:r w:rsidRPr="007A52CB">
        <w:rPr>
          <w:rFonts w:hint="eastAsia"/>
          <w:sz w:val="18"/>
          <w:vertAlign w:val="superscript"/>
        </w:rPr>
        <w:t>*</w:t>
      </w:r>
      <w:r w:rsidRPr="007A52CB">
        <w:rPr>
          <w:sz w:val="18"/>
        </w:rPr>
        <w:tab/>
      </w:r>
      <w:r w:rsidRPr="007A52CB">
        <w:rPr>
          <w:rFonts w:hint="eastAsia"/>
          <w:sz w:val="18"/>
        </w:rPr>
        <w:t>委员会第八十届会议</w:t>
      </w:r>
      <w:r w:rsidRPr="007A52CB">
        <w:rPr>
          <w:rFonts w:hint="eastAsia"/>
          <w:sz w:val="18"/>
        </w:rPr>
        <w:t>(2021</w:t>
      </w:r>
      <w:r w:rsidRPr="007A52CB">
        <w:rPr>
          <w:rFonts w:hint="eastAsia"/>
          <w:sz w:val="18"/>
        </w:rPr>
        <w:t>年</w:t>
      </w:r>
      <w:r w:rsidRPr="007A52CB">
        <w:rPr>
          <w:rFonts w:hint="eastAsia"/>
          <w:sz w:val="18"/>
        </w:rPr>
        <w:t>10</w:t>
      </w:r>
      <w:r w:rsidRPr="007A52CB">
        <w:rPr>
          <w:rFonts w:hint="eastAsia"/>
          <w:sz w:val="18"/>
        </w:rPr>
        <w:t>月</w:t>
      </w:r>
      <w:r w:rsidRPr="007A52CB">
        <w:rPr>
          <w:rFonts w:hint="eastAsia"/>
          <w:sz w:val="18"/>
        </w:rPr>
        <w:t>18</w:t>
      </w:r>
      <w:r w:rsidRPr="007A52CB">
        <w:rPr>
          <w:rFonts w:hint="eastAsia"/>
          <w:sz w:val="18"/>
        </w:rPr>
        <w:t>日至</w:t>
      </w:r>
      <w:r w:rsidRPr="007A52CB">
        <w:rPr>
          <w:rFonts w:hint="eastAsia"/>
          <w:sz w:val="18"/>
        </w:rPr>
        <w:t>11</w:t>
      </w:r>
      <w:r w:rsidRPr="007A52CB">
        <w:rPr>
          <w:rFonts w:hint="eastAsia"/>
          <w:sz w:val="18"/>
        </w:rPr>
        <w:t>月</w:t>
      </w:r>
      <w:r w:rsidRPr="007A52CB">
        <w:rPr>
          <w:rFonts w:hint="eastAsia"/>
          <w:sz w:val="18"/>
        </w:rPr>
        <w:t>12</w:t>
      </w:r>
      <w:r w:rsidRPr="007A52CB">
        <w:rPr>
          <w:rFonts w:hint="eastAsia"/>
          <w:sz w:val="18"/>
        </w:rPr>
        <w:t>日</w:t>
      </w:r>
      <w:r w:rsidRPr="007A52CB">
        <w:rPr>
          <w:rFonts w:hint="eastAsia"/>
          <w:sz w:val="18"/>
        </w:rPr>
        <w:t>)</w:t>
      </w:r>
      <w:r w:rsidRPr="007A52CB">
        <w:rPr>
          <w:rFonts w:hint="eastAsia"/>
          <w:sz w:val="18"/>
        </w:rPr>
        <w:t>通过。</w:t>
      </w:r>
    </w:p>
    <w:p w14:paraId="1562B3D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关于民政管理的第</w:t>
      </w:r>
      <w:r w:rsidRPr="007A52CB">
        <w:rPr>
          <w:rFonts w:hint="eastAsia"/>
        </w:rPr>
        <w:t>24/2013</w:t>
      </w:r>
      <w:r w:rsidRPr="007A52CB">
        <w:rPr>
          <w:rFonts w:hint="eastAsia"/>
        </w:rPr>
        <w:t>号法律，根据该法律，可以免费获得出生证和结婚证等民事证件。</w:t>
      </w:r>
    </w:p>
    <w:p w14:paraId="06994ED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sz w:val="20"/>
        </w:rPr>
        <w:lastRenderedPageBreak/>
        <w:t>5</w:t>
      </w:r>
      <w:r w:rsidRPr="007A52CB">
        <w:rPr>
          <w:rFonts w:hint="eastAsia"/>
        </w:rPr>
        <w:t>.</w:t>
      </w:r>
      <w:r w:rsidRPr="007A52CB">
        <w:rPr>
          <w:rFonts w:hint="eastAsia"/>
        </w:rPr>
        <w:tab/>
      </w:r>
      <w:r w:rsidRPr="007A52CB">
        <w:rPr>
          <w:rFonts w:hint="eastAsia"/>
        </w:rPr>
        <w:t>委员会欢迎缔约国努力改进体制和政策框架，以加快消除对妇女的歧视，促进性别平等，为此作出的努力包括：</w:t>
      </w:r>
    </w:p>
    <w:p w14:paraId="42734A6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t>2020</w:t>
      </w:r>
      <w:r w:rsidRPr="007A52CB">
        <w:rPr>
          <w:rFonts w:hint="eastAsia"/>
        </w:rPr>
        <w:t>年制定</w:t>
      </w:r>
      <w:r w:rsidRPr="007A52CB">
        <w:rPr>
          <w:rFonts w:hint="eastAsia"/>
        </w:rPr>
        <w:t>2020-2030</w:t>
      </w:r>
      <w:r w:rsidRPr="007A52CB">
        <w:rPr>
          <w:rFonts w:hint="eastAsia"/>
        </w:rPr>
        <w:t>年期间增加妇女在立法议会中代表人数的宏伟计划；</w:t>
      </w:r>
    </w:p>
    <w:p w14:paraId="5BF939C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t>2015</w:t>
      </w:r>
      <w:r w:rsidRPr="007A52CB">
        <w:rPr>
          <w:rFonts w:hint="eastAsia"/>
        </w:rPr>
        <w:t>年至</w:t>
      </w:r>
      <w:r w:rsidRPr="007A52CB">
        <w:rPr>
          <w:rFonts w:hint="eastAsia"/>
        </w:rPr>
        <w:t>2018</w:t>
      </w:r>
      <w:r w:rsidRPr="007A52CB">
        <w:rPr>
          <w:rFonts w:hint="eastAsia"/>
        </w:rPr>
        <w:t>年，通过</w:t>
      </w:r>
      <w:r w:rsidRPr="007A52CB">
        <w:rPr>
          <w:rFonts w:hint="eastAsia"/>
        </w:rPr>
        <w:t>Serempak(</w:t>
      </w:r>
      <w:r w:rsidRPr="007A52CB">
        <w:rPr>
          <w:rFonts w:hint="eastAsia"/>
        </w:rPr>
        <w:t>一个传播增强妇女权能信息的社区互动数字方案</w:t>
      </w:r>
      <w:r w:rsidRPr="007A52CB">
        <w:rPr>
          <w:rFonts w:hint="eastAsia"/>
        </w:rPr>
        <w:t>)</w:t>
      </w:r>
      <w:r w:rsidRPr="007A52CB">
        <w:rPr>
          <w:rFonts w:hint="eastAsia"/>
        </w:rPr>
        <w:t>和</w:t>
      </w:r>
      <w:r w:rsidRPr="007A52CB">
        <w:rPr>
          <w:rFonts w:hint="eastAsia"/>
        </w:rPr>
        <w:t>Setara(</w:t>
      </w:r>
      <w:r w:rsidRPr="007A52CB">
        <w:rPr>
          <w:rFonts w:hint="eastAsia"/>
        </w:rPr>
        <w:t>一个旨在提高社区对增强妇女权能认识的社会运动方案</w:t>
      </w:r>
      <w:r w:rsidRPr="007A52CB">
        <w:rPr>
          <w:rFonts w:hint="eastAsia"/>
        </w:rPr>
        <w:t>)</w:t>
      </w:r>
      <w:r w:rsidRPr="007A52CB">
        <w:rPr>
          <w:rFonts w:hint="eastAsia"/>
        </w:rPr>
        <w:t>实施性别平等主流化认识方案；</w:t>
      </w:r>
    </w:p>
    <w:p w14:paraId="0329D57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t>2016</w:t>
      </w:r>
      <w:r w:rsidRPr="007A52CB">
        <w:rPr>
          <w:rFonts w:hint="eastAsia"/>
        </w:rPr>
        <w:t>年启动旗舰“三结束”方案，旨在结束基于性别的暴力侵害妇女和儿童行为、人口贩运和阻碍妇女实现经济正义的障碍。</w:t>
      </w:r>
    </w:p>
    <w:p w14:paraId="76EF181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6.</w:t>
      </w:r>
      <w:r w:rsidRPr="007A52CB">
        <w:rPr>
          <w:rFonts w:hint="eastAsia"/>
        </w:rPr>
        <w:tab/>
      </w:r>
      <w:r w:rsidRPr="007A52CB">
        <w:rPr>
          <w:rFonts w:hint="eastAsia"/>
          <w:spacing w:val="-4"/>
        </w:rPr>
        <w:t>委员会欣见自审议上次报告以来，缔约国已批准并加入了下列国际和区域文书：</w:t>
      </w:r>
    </w:p>
    <w:p w14:paraId="4D7BE66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《东盟打击贩运人口特别是妇女和儿童公约》</w:t>
      </w:r>
      <w:r w:rsidRPr="007A52CB">
        <w:rPr>
          <w:rFonts w:hint="eastAsia"/>
        </w:rPr>
        <w:t>(2017</w:t>
      </w:r>
      <w:r w:rsidRPr="007A52CB">
        <w:rPr>
          <w:rFonts w:hint="eastAsia"/>
        </w:rPr>
        <w:t>年</w:t>
      </w:r>
      <w:r w:rsidRPr="007A52CB">
        <w:rPr>
          <w:rFonts w:hint="eastAsia"/>
        </w:rPr>
        <w:t>)</w:t>
      </w:r>
      <w:r w:rsidRPr="007A52CB">
        <w:rPr>
          <w:rFonts w:hint="eastAsia"/>
        </w:rPr>
        <w:t>；</w:t>
      </w:r>
    </w:p>
    <w:p w14:paraId="2541CE5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《儿童权利公约关于儿童卷入武装冲突的任择议定书》</w:t>
      </w:r>
      <w:r w:rsidRPr="007A52CB">
        <w:rPr>
          <w:rFonts w:hint="eastAsia"/>
        </w:rPr>
        <w:t>(2012</w:t>
      </w:r>
      <w:r w:rsidRPr="007A52CB">
        <w:rPr>
          <w:rFonts w:hint="eastAsia"/>
        </w:rPr>
        <w:t>年</w:t>
      </w:r>
      <w:r w:rsidRPr="007A52CB">
        <w:rPr>
          <w:rFonts w:hint="eastAsia"/>
        </w:rPr>
        <w:t>)</w:t>
      </w:r>
      <w:r w:rsidRPr="007A52CB">
        <w:rPr>
          <w:rFonts w:hint="eastAsia"/>
        </w:rPr>
        <w:t>；</w:t>
      </w:r>
    </w:p>
    <w:p w14:paraId="689499F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tab/>
      </w:r>
      <w:r w:rsidRPr="007A52CB">
        <w:rPr>
          <w:rFonts w:hint="eastAsia"/>
        </w:rPr>
        <w:t>《儿童权利公约关于买卖儿童、儿童卖淫和儿童色情制品问题的任择议定书》</w:t>
      </w:r>
      <w:r w:rsidRPr="007A52CB">
        <w:rPr>
          <w:rFonts w:hint="eastAsia"/>
        </w:rPr>
        <w:t>(201</w:t>
      </w:r>
      <w:r w:rsidRPr="007A52CB">
        <w:t>2</w:t>
      </w:r>
      <w:r w:rsidRPr="007A52CB">
        <w:rPr>
          <w:rFonts w:hint="eastAsia"/>
        </w:rPr>
        <w:t>年</w:t>
      </w:r>
      <w:r w:rsidRPr="007A52CB">
        <w:rPr>
          <w:rFonts w:hint="eastAsia"/>
        </w:rPr>
        <w:t>)</w:t>
      </w:r>
      <w:r w:rsidRPr="007A52CB">
        <w:rPr>
          <w:rFonts w:hint="eastAsia"/>
        </w:rPr>
        <w:t>。</w:t>
      </w:r>
    </w:p>
    <w:p w14:paraId="27E2AC50"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7A52CB">
        <w:rPr>
          <w:rFonts w:eastAsia="黑体"/>
          <w:sz w:val="24"/>
        </w:rPr>
        <w:tab/>
      </w:r>
      <w:r w:rsidRPr="007A52CB">
        <w:rPr>
          <w:rFonts w:eastAsia="黑体" w:hint="eastAsia"/>
          <w:sz w:val="24"/>
        </w:rPr>
        <w:t>C.</w:t>
      </w:r>
      <w:r w:rsidRPr="007A52CB">
        <w:rPr>
          <w:rFonts w:eastAsia="黑体" w:hint="eastAsia"/>
          <w:sz w:val="24"/>
        </w:rPr>
        <w:tab/>
      </w:r>
      <w:r w:rsidRPr="007A52CB">
        <w:rPr>
          <w:rFonts w:eastAsia="黑体" w:hint="eastAsia"/>
          <w:sz w:val="24"/>
        </w:rPr>
        <w:t>可持续发展目标</w:t>
      </w:r>
    </w:p>
    <w:p w14:paraId="3DF932E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7.</w:t>
      </w:r>
      <w:r w:rsidRPr="007A52CB">
        <w:rPr>
          <w:rFonts w:hint="eastAsia"/>
        </w:rPr>
        <w:tab/>
      </w:r>
      <w:r w:rsidRPr="007A52CB">
        <w:rPr>
          <w:rFonts w:eastAsia="黑体" w:hint="eastAsia"/>
        </w:rPr>
        <w:t>委员会欣见国际社会对可持续发展目标的支持，呼吁在执行《</w:t>
      </w:r>
      <w:r w:rsidRPr="007A52CB">
        <w:rPr>
          <w:rFonts w:eastAsia="黑体" w:hint="eastAsia"/>
        </w:rPr>
        <w:t>2030</w:t>
      </w:r>
      <w:r w:rsidRPr="007A52CB">
        <w:rPr>
          <w:rFonts w:eastAsia="黑体" w:hint="eastAsia"/>
        </w:rPr>
        <w:t>年可持续发展议程》的整个过程中，根据《公约》规定实现法律上和事实上</w:t>
      </w:r>
      <w:r w:rsidRPr="007A52CB">
        <w:rPr>
          <w:rFonts w:eastAsia="黑体" w:hint="eastAsia"/>
        </w:rPr>
        <w:t>(</w:t>
      </w:r>
      <w:r w:rsidRPr="007A52CB">
        <w:rPr>
          <w:rFonts w:eastAsia="黑体" w:hint="eastAsia"/>
        </w:rPr>
        <w:t>实质性</w:t>
      </w:r>
      <w:r w:rsidRPr="007A52CB">
        <w:rPr>
          <w:rFonts w:eastAsia="黑体" w:hint="eastAsia"/>
        </w:rPr>
        <w:t>)</w:t>
      </w:r>
      <w:r w:rsidRPr="007A52CB">
        <w:rPr>
          <w:rFonts w:eastAsia="黑体" w:hint="eastAsia"/>
        </w:rPr>
        <w:t>的性别平等。委员会回顾目标</w:t>
      </w:r>
      <w:r w:rsidRPr="007A52CB">
        <w:rPr>
          <w:rFonts w:eastAsia="黑体" w:hint="eastAsia"/>
        </w:rPr>
        <w:t>5</w:t>
      </w:r>
      <w:r w:rsidRPr="007A52CB">
        <w:rPr>
          <w:rFonts w:eastAsia="黑体" w:hint="eastAsia"/>
        </w:rPr>
        <w:t>以及将平等和不歧视原则纳入所有</w:t>
      </w:r>
      <w:r w:rsidRPr="007A52CB">
        <w:rPr>
          <w:rFonts w:eastAsia="黑体" w:hint="eastAsia"/>
        </w:rPr>
        <w:t>17</w:t>
      </w:r>
      <w:r w:rsidRPr="007A52CB">
        <w:rPr>
          <w:rFonts w:eastAsia="黑体" w:hint="eastAsia"/>
        </w:rPr>
        <w:t>项目标主流的重要性。委员会敦促缔约国承认妇女是缔约国可持续发展的推动力，并为此采取相关政策和战略</w:t>
      </w:r>
      <w:r w:rsidRPr="007A52CB">
        <w:rPr>
          <w:rFonts w:hint="eastAsia"/>
        </w:rPr>
        <w:t>。</w:t>
      </w:r>
    </w:p>
    <w:p w14:paraId="1C22D0D1"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7A52CB">
        <w:rPr>
          <w:rFonts w:eastAsia="黑体"/>
          <w:sz w:val="24"/>
        </w:rPr>
        <w:tab/>
      </w:r>
      <w:r w:rsidRPr="007A52CB">
        <w:rPr>
          <w:rFonts w:eastAsia="黑体" w:hint="eastAsia"/>
          <w:sz w:val="24"/>
        </w:rPr>
        <w:t>D.</w:t>
      </w:r>
      <w:r w:rsidRPr="007A52CB">
        <w:rPr>
          <w:rFonts w:eastAsia="黑体" w:hint="eastAsia"/>
          <w:sz w:val="24"/>
        </w:rPr>
        <w:tab/>
      </w:r>
      <w:r w:rsidRPr="007A52CB">
        <w:rPr>
          <w:rFonts w:eastAsia="黑体" w:hint="eastAsia"/>
          <w:sz w:val="24"/>
        </w:rPr>
        <w:t>议会</w:t>
      </w:r>
    </w:p>
    <w:p w14:paraId="7EB18FEE" w14:textId="06D1B0A9"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8.</w:t>
      </w:r>
      <w:r w:rsidRPr="007A52CB">
        <w:rPr>
          <w:rFonts w:hint="eastAsia"/>
        </w:rPr>
        <w:tab/>
      </w:r>
      <w:r w:rsidRPr="007A52CB">
        <w:rPr>
          <w:rFonts w:eastAsia="黑体" w:hint="eastAsia"/>
        </w:rPr>
        <w:t>委员会强调立法权在确保充分执行《公约》方面的关键作用</w:t>
      </w:r>
      <w:r w:rsidRPr="007A52CB">
        <w:rPr>
          <w:rFonts w:eastAsia="黑体" w:hint="eastAsia"/>
        </w:rPr>
        <w:t>(</w:t>
      </w:r>
      <w:r w:rsidRPr="007A52CB">
        <w:rPr>
          <w:rFonts w:eastAsia="黑体" w:hint="eastAsia"/>
        </w:rPr>
        <w:t>见</w:t>
      </w:r>
      <w:hyperlink r:id="rId22" w:history="1">
        <w:r w:rsidRPr="007A52CB">
          <w:rPr>
            <w:rFonts w:eastAsia="黑体" w:hint="eastAsia"/>
            <w:color w:val="0000FF"/>
          </w:rPr>
          <w:t>A/65/38</w:t>
        </w:r>
      </w:hyperlink>
      <w:r w:rsidRPr="007A52CB">
        <w:rPr>
          <w:rFonts w:eastAsia="黑体" w:hint="eastAsia"/>
        </w:rPr>
        <w:t>，第二部分，附件六</w:t>
      </w:r>
      <w:r w:rsidRPr="007A52CB">
        <w:rPr>
          <w:rFonts w:eastAsia="黑体" w:hint="eastAsia"/>
        </w:rPr>
        <w:t>)</w:t>
      </w:r>
      <w:r w:rsidRPr="007A52CB">
        <w:rPr>
          <w:rFonts w:eastAsia="黑体" w:hint="eastAsia"/>
        </w:rPr>
        <w:t>。委员会请人民协商会议根据其任务授权，在从现在起到根据《公约》提交下一次定期报告期间，采取必要措施，落实本结论性意见</w:t>
      </w:r>
      <w:r w:rsidRPr="007A52CB">
        <w:rPr>
          <w:rFonts w:hint="eastAsia"/>
        </w:rPr>
        <w:t>。</w:t>
      </w:r>
    </w:p>
    <w:p w14:paraId="7CEB8B87" w14:textId="77777777" w:rsidR="007A52CB" w:rsidRPr="007A52CB" w:rsidRDefault="007A52CB" w:rsidP="007A52C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7A52CB">
        <w:rPr>
          <w:rFonts w:eastAsia="黑体"/>
          <w:sz w:val="24"/>
        </w:rPr>
        <w:tab/>
      </w:r>
      <w:r w:rsidRPr="007A52CB">
        <w:rPr>
          <w:rFonts w:eastAsia="黑体" w:hint="eastAsia"/>
          <w:sz w:val="24"/>
        </w:rPr>
        <w:t>E.</w:t>
      </w:r>
      <w:r w:rsidRPr="007A52CB">
        <w:rPr>
          <w:rFonts w:eastAsia="黑体" w:hint="eastAsia"/>
          <w:sz w:val="24"/>
        </w:rPr>
        <w:tab/>
      </w:r>
      <w:r w:rsidRPr="007A52CB">
        <w:rPr>
          <w:rFonts w:eastAsia="黑体" w:hint="eastAsia"/>
          <w:sz w:val="24"/>
        </w:rPr>
        <w:t>主要关切领域和建议</w:t>
      </w:r>
    </w:p>
    <w:p w14:paraId="7354B3CC"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总体背景</w:t>
      </w:r>
    </w:p>
    <w:p w14:paraId="13829FC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9.</w:t>
      </w:r>
      <w:r w:rsidRPr="007A52CB">
        <w:rPr>
          <w:rFonts w:hint="eastAsia"/>
        </w:rPr>
        <w:tab/>
      </w:r>
      <w:r w:rsidRPr="007A52CB">
        <w:rPr>
          <w:rFonts w:hint="eastAsia"/>
        </w:rPr>
        <w:t>委员会赞扬缔约国努力减轻</w:t>
      </w:r>
      <w:r w:rsidRPr="007A52CB">
        <w:rPr>
          <w:rFonts w:hint="eastAsia"/>
        </w:rPr>
        <w:t>COVID-19</w:t>
      </w:r>
      <w:r w:rsidRPr="007A52CB">
        <w:rPr>
          <w:rFonts w:hint="eastAsia"/>
        </w:rPr>
        <w:t>大流行对妇女的影响，包括制定家庭希望方案和主食方案。然而，委员会关切地注意到，这些方案尚未涵盖许多需要帮助的妇女。委员会关切的是，在持续的疫情下，妇女和女童面临更严重的性别暴力风险以及复杂、交叉形式的歧视，特别是对缔约国各地，包括对巴布亚省和西巴布亚省的弱势和边缘化妇女群体而言。委员会还关切的是，关于妇女在制定</w:t>
      </w:r>
      <w:r w:rsidRPr="007A52CB">
        <w:rPr>
          <w:rFonts w:hint="eastAsia"/>
        </w:rPr>
        <w:t>COVID-19</w:t>
      </w:r>
      <w:r w:rsidRPr="007A52CB">
        <w:rPr>
          <w:rFonts w:hint="eastAsia"/>
        </w:rPr>
        <w:t>应对和疫后恢复战略方面的平等代表性、有意义的参与和领导作用的数据有限。</w:t>
      </w:r>
    </w:p>
    <w:p w14:paraId="153798B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10.</w:t>
      </w:r>
      <w:r w:rsidRPr="007A52CB">
        <w:rPr>
          <w:rFonts w:hint="eastAsia"/>
        </w:rPr>
        <w:tab/>
      </w:r>
      <w:r w:rsidRPr="007A52CB">
        <w:rPr>
          <w:rFonts w:eastAsia="黑体" w:hint="eastAsia"/>
        </w:rPr>
        <w:t>依照</w:t>
      </w:r>
      <w:r w:rsidRPr="007A52CB">
        <w:rPr>
          <w:rFonts w:eastAsia="黑体" w:hint="eastAsia"/>
        </w:rPr>
        <w:t>2020</w:t>
      </w:r>
      <w:r w:rsidRPr="007A52CB">
        <w:rPr>
          <w:rFonts w:eastAsia="黑体" w:hint="eastAsia"/>
        </w:rPr>
        <w:t>年</w:t>
      </w:r>
      <w:r w:rsidRPr="007A52CB">
        <w:rPr>
          <w:rFonts w:eastAsia="黑体" w:hint="eastAsia"/>
        </w:rPr>
        <w:t>4</w:t>
      </w:r>
      <w:r w:rsidRPr="007A52CB">
        <w:rPr>
          <w:rFonts w:eastAsia="黑体" w:hint="eastAsia"/>
        </w:rPr>
        <w:t>月</w:t>
      </w:r>
      <w:r w:rsidRPr="007A52CB">
        <w:rPr>
          <w:rFonts w:eastAsia="黑体" w:hint="eastAsia"/>
        </w:rPr>
        <w:t>22</w:t>
      </w:r>
      <w:r w:rsidRPr="007A52CB">
        <w:rPr>
          <w:rFonts w:eastAsia="黑体" w:hint="eastAsia"/>
        </w:rPr>
        <w:t>日发布的关于《公约》缔约国在</w:t>
      </w:r>
      <w:r w:rsidRPr="007A52CB">
        <w:rPr>
          <w:rFonts w:eastAsia="黑体" w:hint="eastAsia"/>
        </w:rPr>
        <w:t>COVID-19</w:t>
      </w:r>
      <w:r w:rsidRPr="007A52CB">
        <w:rPr>
          <w:rFonts w:eastAsia="黑体" w:hint="eastAsia"/>
        </w:rPr>
        <w:t>大流行背景下的义务的指导说明，委员会建议缔约国：</w:t>
      </w:r>
    </w:p>
    <w:p w14:paraId="10E96F2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纠正长期存在的男女不平等现象，根据《</w:t>
      </w:r>
      <w:r w:rsidRPr="007A52CB">
        <w:rPr>
          <w:rFonts w:eastAsia="黑体" w:hint="eastAsia"/>
        </w:rPr>
        <w:t>2030</w:t>
      </w:r>
      <w:r w:rsidRPr="007A52CB">
        <w:rPr>
          <w:rFonts w:eastAsia="黑体" w:hint="eastAsia"/>
        </w:rPr>
        <w:t>年可持续发展议程》，将妇女和女童置于</w:t>
      </w:r>
      <w:r w:rsidRPr="007A52CB">
        <w:rPr>
          <w:rFonts w:eastAsia="黑体" w:hint="eastAsia"/>
        </w:rPr>
        <w:t>COVID-19</w:t>
      </w:r>
      <w:r w:rsidRPr="007A52CB">
        <w:rPr>
          <w:rFonts w:eastAsia="黑体" w:hint="eastAsia"/>
        </w:rPr>
        <w:t>大流行疫后恢复战略的中心，特别关注属于弱势和边缘化群体的妇女和女童；</w:t>
      </w:r>
    </w:p>
    <w:p w14:paraId="665A157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审查其战略，确保所有</w:t>
      </w:r>
      <w:r w:rsidRPr="007A52CB">
        <w:rPr>
          <w:rFonts w:eastAsia="黑体" w:hint="eastAsia"/>
        </w:rPr>
        <w:t>COVID-19</w:t>
      </w:r>
      <w:r w:rsidRPr="007A52CB">
        <w:rPr>
          <w:rFonts w:eastAsia="黑体" w:hint="eastAsia"/>
        </w:rPr>
        <w:t>危机应对和恢复努力，包括缔约国的紧急措施，均旨在有效防止针对妇女和女童的性别暴力与歧视；保证妇女和女童平等参与政治和公共生活，并参与关于恢复努力、增强经济权能和提供服务的决策；确保妇女和女童平等受益于一揽子刺激计划，包括对无偿照护人员的财政补助，以减轻大流行的社会经济影响；</w:t>
      </w:r>
    </w:p>
    <w:p w14:paraId="28F752F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确保大流行防控措施不限制妇女和女童，包括处境不利和边缘群体的妇女和女童获得司法救助、获得保护免受性别暴力和歧视、获得提供教育和就业以及包括性和生殖保健在内的保健服务的机会。</w:t>
      </w:r>
    </w:p>
    <w:p w14:paraId="3335F564"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《公约》及其《任择议定书》和委员会一般性建议的知名度</w:t>
      </w:r>
    </w:p>
    <w:p w14:paraId="3813D14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11.</w:t>
      </w:r>
      <w:r w:rsidRPr="007A52CB">
        <w:rPr>
          <w:rFonts w:hint="eastAsia"/>
        </w:rPr>
        <w:tab/>
      </w:r>
      <w:r w:rsidRPr="007A52CB">
        <w:rPr>
          <w:rFonts w:hint="eastAsia"/>
        </w:rPr>
        <w:t>委员会赞赏缔约国在国家和地方两级为提高公众对妇女权利的认识所作的努力。然而，委员会仍然感到关切的是，法官、检察官和律师的能力建设没有具体侧重于《公约》规定的妇女权利、《公约》的适用或根据《公约》解释国家立法。委员会还注意到，缺乏关于妇女通过援引《公约》条款或相关国家立法主张其权利的数据，这表明缔约国妇女对《公约》规定的自身权利缺乏认识。</w:t>
      </w:r>
    </w:p>
    <w:p w14:paraId="6B4F4882" w14:textId="3572FB38"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12.</w:t>
      </w:r>
      <w:r w:rsidRPr="007A52CB">
        <w:rPr>
          <w:rFonts w:hint="eastAsia"/>
        </w:rPr>
        <w:tab/>
      </w:r>
      <w:r w:rsidRPr="007A52CB">
        <w:rPr>
          <w:rFonts w:eastAsia="黑体" w:hint="eastAsia"/>
          <w:spacing w:val="-4"/>
        </w:rPr>
        <w:t>委员会重申其先前的建议</w:t>
      </w:r>
      <w:r w:rsidRPr="007A52CB">
        <w:rPr>
          <w:rFonts w:eastAsia="黑体" w:hint="eastAsia"/>
          <w:spacing w:val="-4"/>
        </w:rPr>
        <w:t>(</w:t>
      </w:r>
      <w:r w:rsidRPr="007A52CB">
        <w:rPr>
          <w:rFonts w:eastAsia="黑体" w:hint="eastAsia"/>
          <w:spacing w:val="-4"/>
        </w:rPr>
        <w:t>见</w:t>
      </w:r>
      <w:hyperlink r:id="rId23" w:history="1">
        <w:r w:rsidRPr="007A52CB">
          <w:rPr>
            <w:rFonts w:eastAsia="黑体" w:hint="eastAsia"/>
            <w:color w:val="0000FF"/>
            <w:spacing w:val="-4"/>
          </w:rPr>
          <w:t>CEDAW/C/IDN/CO/6-7</w:t>
        </w:r>
      </w:hyperlink>
      <w:r w:rsidRPr="007A52CB">
        <w:rPr>
          <w:rFonts w:eastAsia="黑体" w:hint="eastAsia"/>
          <w:spacing w:val="-4"/>
        </w:rPr>
        <w:t>，第</w:t>
      </w:r>
      <w:r w:rsidRPr="007A52CB">
        <w:rPr>
          <w:rFonts w:eastAsia="黑体" w:hint="eastAsia"/>
          <w:spacing w:val="-4"/>
        </w:rPr>
        <w:t>12</w:t>
      </w:r>
      <w:r w:rsidRPr="007A52CB">
        <w:rPr>
          <w:rFonts w:eastAsia="黑体" w:hint="eastAsia"/>
          <w:spacing w:val="-4"/>
        </w:rPr>
        <w:t>段</w:t>
      </w:r>
      <w:r w:rsidRPr="007A52CB">
        <w:rPr>
          <w:rFonts w:eastAsia="黑体" w:hint="eastAsia"/>
          <w:spacing w:val="-4"/>
        </w:rPr>
        <w:t>)</w:t>
      </w:r>
      <w:r w:rsidRPr="007A52CB">
        <w:rPr>
          <w:rFonts w:eastAsia="黑体" w:hint="eastAsia"/>
          <w:spacing w:val="-4"/>
        </w:rPr>
        <w:t>，即缔约国应：</w:t>
      </w:r>
    </w:p>
    <w:p w14:paraId="5B9D8F4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与民间团体合作加强针对法官、检察官、律师和其他法律专业人员的法律培训和能力建设方案，并确保把《公约》作为其专业培训的有机组成部分，以使其能够直接适用《公约》的规定，或根据《公约》对国内立法作出解释；</w:t>
      </w:r>
    </w:p>
    <w:p w14:paraId="468E479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以缔约国的正式语文，包括以无障碍方式，进一步提升公众关于《公约》和委员会一般性建议的认识。</w:t>
      </w:r>
    </w:p>
    <w:p w14:paraId="5B5C8F65"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宪法和立法框架</w:t>
      </w:r>
    </w:p>
    <w:p w14:paraId="08F5E9F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13.</w:t>
      </w:r>
      <w:r w:rsidRPr="007A52CB">
        <w:rPr>
          <w:rFonts w:hint="eastAsia"/>
        </w:rPr>
        <w:tab/>
      </w:r>
      <w:r w:rsidRPr="007A52CB">
        <w:rPr>
          <w:rFonts w:hint="eastAsia"/>
        </w:rPr>
        <w:t>委员会赞扬缔约国在编写关于性别平等和正义的法律草案时与各利益攸关方开展协商。委员会还注意到，关于地方政府的第</w:t>
      </w:r>
      <w:r w:rsidRPr="007A52CB">
        <w:rPr>
          <w:rFonts w:hint="eastAsia"/>
        </w:rPr>
        <w:t>23/2014</w:t>
      </w:r>
      <w:r w:rsidRPr="007A52CB">
        <w:rPr>
          <w:rFonts w:hint="eastAsia"/>
        </w:rPr>
        <w:t>号法律规定了一个机制，根据相关国家法律和国际人权义务审查所有地方法规和法规草案。然而，委员会仍感到关切的是：</w:t>
      </w:r>
    </w:p>
    <w:p w14:paraId="5D1E4FA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在通过关于性别平等和正义的法律草案方面严重拖延，缔约国立法中仍然没有根据《公约》第一条对歧视妇女作出定义；</w:t>
      </w:r>
    </w:p>
    <w:p w14:paraId="6EE26AB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存在</w:t>
      </w:r>
      <w:r w:rsidRPr="007A52CB">
        <w:rPr>
          <w:rFonts w:hint="eastAsia"/>
        </w:rPr>
        <w:t>421</w:t>
      </w:r>
      <w:r w:rsidRPr="007A52CB">
        <w:rPr>
          <w:rFonts w:hint="eastAsia"/>
        </w:rPr>
        <w:t>项歧视妇女的地区法律和政策，包括强制性的穆斯林服装条例；</w:t>
      </w:r>
    </w:p>
    <w:p w14:paraId="7F25FA4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《刑法》草案试图将可能影响女同性恋、双性恋和女跨性别者的婚外性行为定为刑事犯罪，限制了妇女的性健康和生殖健康权利，并授权地方政府根据“活法”颁布载有对性行为刑事处罚的地方法规。</w:t>
      </w:r>
    </w:p>
    <w:p w14:paraId="6EFE5392" w14:textId="171C532F"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14.</w:t>
      </w:r>
      <w:r w:rsidRPr="007A52CB">
        <w:rPr>
          <w:rFonts w:hint="eastAsia"/>
        </w:rPr>
        <w:tab/>
      </w:r>
      <w:r w:rsidRPr="007A52CB">
        <w:rPr>
          <w:rFonts w:eastAsia="黑体" w:hint="eastAsia"/>
        </w:rPr>
        <w:t>委员会回顾其以往建议</w:t>
      </w:r>
      <w:r w:rsidRPr="007A52CB">
        <w:rPr>
          <w:rFonts w:eastAsia="黑体" w:hint="eastAsia"/>
        </w:rPr>
        <w:t>(</w:t>
      </w:r>
      <w:hyperlink r:id="rId24" w:history="1">
        <w:r w:rsidRPr="007A52CB">
          <w:rPr>
            <w:rFonts w:eastAsia="黑体" w:hint="eastAsia"/>
            <w:color w:val="0000FF"/>
          </w:rPr>
          <w:t>CEDAW/C/IDN/CO/6-7</w:t>
        </w:r>
      </w:hyperlink>
      <w:r w:rsidRPr="007A52CB">
        <w:rPr>
          <w:rFonts w:eastAsia="黑体" w:hint="eastAsia"/>
        </w:rPr>
        <w:t>，第</w:t>
      </w:r>
      <w:r w:rsidRPr="007A52CB">
        <w:rPr>
          <w:rFonts w:eastAsia="黑体" w:hint="eastAsia"/>
        </w:rPr>
        <w:t>18</w:t>
      </w:r>
      <w:r w:rsidRPr="007A52CB">
        <w:rPr>
          <w:rFonts w:eastAsia="黑体" w:hint="eastAsia"/>
        </w:rPr>
        <w:t>段</w:t>
      </w:r>
      <w:r w:rsidRPr="007A52CB">
        <w:rPr>
          <w:rFonts w:eastAsia="黑体" w:hint="eastAsia"/>
        </w:rPr>
        <w:t>)</w:t>
      </w:r>
      <w:r w:rsidRPr="007A52CB">
        <w:rPr>
          <w:rFonts w:eastAsia="黑体" w:hint="eastAsia"/>
        </w:rPr>
        <w:t>以及关于缔约国在《公约》第二条之下核心义务的第</w:t>
      </w:r>
      <w:r w:rsidRPr="007A52CB">
        <w:rPr>
          <w:rFonts w:eastAsia="黑体" w:hint="eastAsia"/>
        </w:rPr>
        <w:t>28</w:t>
      </w:r>
      <w:r w:rsidRPr="007A52CB">
        <w:rPr>
          <w:rFonts w:eastAsia="黑体" w:hint="eastAsia"/>
        </w:rPr>
        <w:t>号一般性建议</w:t>
      </w:r>
      <w:r w:rsidRPr="007A52CB">
        <w:rPr>
          <w:rFonts w:eastAsia="黑体" w:hint="eastAsia"/>
        </w:rPr>
        <w:t>(2010</w:t>
      </w:r>
      <w:r w:rsidRPr="007A52CB">
        <w:rPr>
          <w:rFonts w:eastAsia="黑体" w:hint="eastAsia"/>
        </w:rPr>
        <w:t>年</w:t>
      </w:r>
      <w:r w:rsidRPr="007A52CB">
        <w:rPr>
          <w:rFonts w:eastAsia="黑体" w:hint="eastAsia"/>
        </w:rPr>
        <w:t>)</w:t>
      </w:r>
      <w:r w:rsidRPr="007A52CB">
        <w:rPr>
          <w:rFonts w:eastAsia="黑体" w:hint="eastAsia"/>
        </w:rPr>
        <w:t>，建议缔约国：</w:t>
      </w:r>
    </w:p>
    <w:p w14:paraId="2DD8FEA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制定一个具体时限，依据《公约》第一条和可持续发展目标具体目标</w:t>
      </w:r>
      <w:r w:rsidRPr="007A52CB">
        <w:rPr>
          <w:rFonts w:eastAsia="黑体" w:hint="eastAsia"/>
        </w:rPr>
        <w:t>5.1</w:t>
      </w:r>
      <w:r w:rsidRPr="007A52CB">
        <w:rPr>
          <w:rFonts w:eastAsia="黑体" w:hint="eastAsia"/>
        </w:rPr>
        <w:t>通过关于性别平等和正义的法律草案，界定并禁止对妇女一切形式的歧视，包括公共和私人领域的直接和间接歧视以及交叉形式的歧视妇女的行为；</w:t>
      </w:r>
    </w:p>
    <w:p w14:paraId="78AE14D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在明确的时限内修订或废除所有歧视性地方法规和政策，包括载有穆斯林服装强制性规定的条款；</w:t>
      </w:r>
    </w:p>
    <w:p w14:paraId="4961B96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确保《刑法》草案不歧视妇女或限制她们的性健康和生殖健康权利，并确保起草过程充分包容和保证妇女的参与度。</w:t>
      </w:r>
    </w:p>
    <w:p w14:paraId="451324E6"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妇女诉诸司法的机会</w:t>
      </w:r>
    </w:p>
    <w:p w14:paraId="0A7B5C0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15.</w:t>
      </w:r>
      <w:r w:rsidRPr="007A52CB">
        <w:rPr>
          <w:rFonts w:hint="eastAsia"/>
        </w:rPr>
        <w:tab/>
      </w:r>
      <w:r w:rsidRPr="007A52CB">
        <w:rPr>
          <w:rFonts w:hint="eastAsia"/>
        </w:rPr>
        <w:t>委员会赞赏缔约国通过了保护妇女儿童信息系统，使妇女和女童能够在遭受暴力时提出申诉。然而，委员会对以下情况感到关切：</w:t>
      </w:r>
    </w:p>
    <w:p w14:paraId="3986558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持续存在障碍，包括污名化、害怕报复和根深蒂固的歧视性性别成见，阻碍妇女和女童就性别歧视和暴力提出申诉；司法和执法人员对处理性别暴力案件的、对性别问题有敏感认识规程以及受害者保护和支助服务的重要性缺乏认识；</w:t>
      </w:r>
    </w:p>
    <w:p w14:paraId="718C05D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关于保护妇女儿童信息系统在消除歧视性性别成见和司法工作中对妇女的性别歧视方面的影响的信息不足。</w:t>
      </w:r>
    </w:p>
    <w:p w14:paraId="23C8F53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16.</w:t>
      </w:r>
      <w:r w:rsidRPr="007A52CB">
        <w:rPr>
          <w:rFonts w:hint="eastAsia"/>
        </w:rPr>
        <w:tab/>
      </w:r>
      <w:r w:rsidRPr="007A52CB">
        <w:rPr>
          <w:rFonts w:eastAsia="黑体" w:hint="eastAsia"/>
        </w:rPr>
        <w:t>委员会建议缔约国：</w:t>
      </w:r>
    </w:p>
    <w:p w14:paraId="6F74901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确保妇女能够有效诉诸司法，措施包括分配充足的人力、技术和财政资源提高妇女的法律知识，为司法和执法人员提供强制性能力建设，使其了解处理侵害妇女和女童的性别暴力案件的、对性别问题有敏感认识的规程，以及受害者保护和支助服务的重要性；</w:t>
      </w:r>
    </w:p>
    <w:p w14:paraId="65C9341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确保遭受性别歧视和性别暴力的妇女能够提出申诉，而不必担心报复或污名化，并能够获得有效的补救和受害者支助，如医疗和心理援助以及庇护所；</w:t>
      </w:r>
    </w:p>
    <w:p w14:paraId="72DF95D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监测和评估改善诉诸司法机会的努力对妇女的影响，包括保护妇女儿童信息系统的有效性。</w:t>
      </w:r>
    </w:p>
    <w:p w14:paraId="06844A40"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提高妇女地位国家机构</w:t>
      </w:r>
    </w:p>
    <w:p w14:paraId="1C21378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17.</w:t>
      </w:r>
      <w:r w:rsidRPr="007A52CB">
        <w:rPr>
          <w:rFonts w:hint="eastAsia"/>
        </w:rPr>
        <w:tab/>
      </w:r>
      <w:r w:rsidRPr="007A52CB">
        <w:rPr>
          <w:rFonts w:hint="eastAsia"/>
        </w:rPr>
        <w:t>委员会欢迎</w:t>
      </w:r>
      <w:r w:rsidRPr="007A52CB">
        <w:rPr>
          <w:rFonts w:hint="eastAsia"/>
        </w:rPr>
        <w:t>2014</w:t>
      </w:r>
      <w:r w:rsidRPr="007A52CB">
        <w:rPr>
          <w:rFonts w:hint="eastAsia"/>
        </w:rPr>
        <w:t>年至</w:t>
      </w:r>
      <w:r w:rsidRPr="007A52CB">
        <w:rPr>
          <w:rFonts w:hint="eastAsia"/>
        </w:rPr>
        <w:t>2018</w:t>
      </w:r>
      <w:r w:rsidRPr="007A52CB">
        <w:rPr>
          <w:rFonts w:hint="eastAsia"/>
        </w:rPr>
        <w:t>年分配给增强妇女权能和儿童保护部的预算和人力资源增加了一倍多。然而，委员会仍然感到关切的是，缺乏一个专门负责协调关于妇女权利、性别平等和增强妇女权能的政策的常设政府机构。委员会还感到遗憾的是，缺乏国家性别政策和明确的基准，用以评估和监测保护及增强妇女和女童权能的立法和政策的执行情况。</w:t>
      </w:r>
    </w:p>
    <w:p w14:paraId="415B9A9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18.</w:t>
      </w:r>
      <w:r w:rsidRPr="007A52CB">
        <w:rPr>
          <w:rFonts w:hint="eastAsia"/>
        </w:rPr>
        <w:tab/>
      </w:r>
      <w:r w:rsidRPr="007A52CB">
        <w:rPr>
          <w:rFonts w:eastAsia="黑体" w:hint="eastAsia"/>
        </w:rPr>
        <w:t>委员会建议缔约国：</w:t>
      </w:r>
    </w:p>
    <w:p w14:paraId="72478D2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创建常设机制，监测《公约》的执行情况；</w:t>
      </w:r>
    </w:p>
    <w:p w14:paraId="3DFF886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制定国家性别政策和明确的基准，以评估和监测保护及增强妇女和女童权能的立法和政策的执行情况</w:t>
      </w:r>
      <w:r w:rsidRPr="007A52CB">
        <w:rPr>
          <w:rFonts w:hint="eastAsia"/>
        </w:rPr>
        <w:t>。</w:t>
      </w:r>
    </w:p>
    <w:p w14:paraId="0F21CDB0"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暂行特别措施</w:t>
      </w:r>
    </w:p>
    <w:p w14:paraId="1EDC97B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19.</w:t>
      </w:r>
      <w:r w:rsidRPr="007A52CB">
        <w:rPr>
          <w:rFonts w:hint="eastAsia"/>
        </w:rPr>
        <w:tab/>
      </w:r>
      <w:r w:rsidRPr="007A52CB">
        <w:rPr>
          <w:rFonts w:hint="eastAsia"/>
        </w:rPr>
        <w:t>委员会感到遗憾的是，没有资料说明如何利用暂行特别措施在《公约》规定的所有领域加速实现男女实质性平等。</w:t>
      </w:r>
    </w:p>
    <w:p w14:paraId="0FB59CA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20.</w:t>
      </w:r>
      <w:r w:rsidRPr="007A52CB">
        <w:rPr>
          <w:rFonts w:hint="eastAsia"/>
        </w:rPr>
        <w:tab/>
      </w:r>
      <w:r w:rsidRPr="007A52CB">
        <w:rPr>
          <w:rFonts w:eastAsia="黑体" w:hint="eastAsia"/>
        </w:rPr>
        <w:t>根据《公约》第四条第</w:t>
      </w:r>
      <w:r w:rsidRPr="007A52CB">
        <w:rPr>
          <w:rFonts w:eastAsia="黑体" w:hint="eastAsia"/>
        </w:rPr>
        <w:t>1</w:t>
      </w:r>
      <w:r w:rsidRPr="007A52CB">
        <w:rPr>
          <w:rFonts w:eastAsia="黑体" w:hint="eastAsia"/>
        </w:rPr>
        <w:t>款及委员会关于暂行特别措施的第</w:t>
      </w:r>
      <w:r w:rsidRPr="007A52CB">
        <w:rPr>
          <w:rFonts w:eastAsia="黑体" w:hint="eastAsia"/>
        </w:rPr>
        <w:t>25</w:t>
      </w:r>
      <w:r w:rsidRPr="007A52CB">
        <w:rPr>
          <w:rFonts w:eastAsia="黑体" w:hint="eastAsia"/>
        </w:rPr>
        <w:t>号一般性建议</w:t>
      </w:r>
      <w:r w:rsidRPr="007A52CB">
        <w:rPr>
          <w:rFonts w:eastAsia="黑体" w:hint="eastAsia"/>
        </w:rPr>
        <w:t>(2004</w:t>
      </w:r>
      <w:r w:rsidRPr="007A52CB">
        <w:rPr>
          <w:rFonts w:eastAsia="黑体" w:hint="eastAsia"/>
        </w:rPr>
        <w:t>年</w:t>
      </w:r>
      <w:r w:rsidRPr="007A52CB">
        <w:rPr>
          <w:rFonts w:eastAsia="黑体" w:hint="eastAsia"/>
        </w:rPr>
        <w:t>)</w:t>
      </w:r>
      <w:r w:rsidRPr="007A52CB">
        <w:rPr>
          <w:rFonts w:eastAsia="黑体" w:hint="eastAsia"/>
        </w:rPr>
        <w:t>，委员会建议缔约国：</w:t>
      </w:r>
    </w:p>
    <w:p w14:paraId="4547839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使所有相关官员和决策者熟悉暂行特别措施的概念，包括有时限的目标和配额概念，通过并实施此类措施，以在妇女代表性不足或处于不利地位的所有领域实现男女事实上或实质性的平等；</w:t>
      </w:r>
      <w:r w:rsidRPr="007A52CB">
        <w:rPr>
          <w:rFonts w:eastAsia="黑体" w:hint="eastAsia"/>
        </w:rPr>
        <w:t xml:space="preserve"> </w:t>
      </w:r>
    </w:p>
    <w:p w14:paraId="6390184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在其立法中列入一项条款，鼓励在公共和私营部门使用暂行特别措施。</w:t>
      </w:r>
    </w:p>
    <w:p w14:paraId="2A009FF5"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歧视性成见和有害习俗</w:t>
      </w:r>
    </w:p>
    <w:p w14:paraId="7505420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21.</w:t>
      </w:r>
      <w:r w:rsidRPr="007A52CB">
        <w:rPr>
          <w:rFonts w:hint="eastAsia"/>
        </w:rPr>
        <w:tab/>
      </w:r>
      <w:r w:rsidRPr="007A52CB">
        <w:rPr>
          <w:rFonts w:hint="eastAsia"/>
        </w:rPr>
        <w:t>委员会仍然深为关切的是，关于妇女作用和责任的根深蒂固的重男轻女态度和成见持续存在，歧视妇女并使她们在家庭和社会中长期处于从属地位。委员会还关切地注意到，印度尼西亚海军和空军没有明确终止招募年轻妇女时所谓的“童贞测试”，这侵犯了她们的隐私权和身心完整权。</w:t>
      </w:r>
    </w:p>
    <w:p w14:paraId="65C235E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22.</w:t>
      </w:r>
      <w:r w:rsidRPr="007A52CB">
        <w:rPr>
          <w:rFonts w:hint="eastAsia"/>
        </w:rPr>
        <w:tab/>
      </w:r>
      <w:r w:rsidRPr="007A52CB">
        <w:rPr>
          <w:rFonts w:eastAsia="黑体" w:hint="eastAsia"/>
        </w:rPr>
        <w:t>委员会建议缔约国：</w:t>
      </w:r>
    </w:p>
    <w:p w14:paraId="669B677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通过一项适用于全社会各个阶层男女包括宗教领袖的全面战略</w:t>
      </w:r>
      <w:r w:rsidRPr="007A52CB">
        <w:rPr>
          <w:rFonts w:eastAsia="黑体" w:hint="eastAsia"/>
        </w:rPr>
        <w:t>(</w:t>
      </w:r>
      <w:r w:rsidRPr="007A52CB">
        <w:rPr>
          <w:rFonts w:eastAsia="黑体" w:hint="eastAsia"/>
        </w:rPr>
        <w:t>包含积极和持续的措施</w:t>
      </w:r>
      <w:r w:rsidRPr="007A52CB">
        <w:rPr>
          <w:rFonts w:eastAsia="黑体" w:hint="eastAsia"/>
        </w:rPr>
        <w:t>)</w:t>
      </w:r>
      <w:r w:rsidRPr="007A52CB">
        <w:rPr>
          <w:rFonts w:eastAsia="黑体" w:hint="eastAsia"/>
        </w:rPr>
        <w:t>，消除男女在家庭和社会中的角色和责任方面的歧视性成见和重男轻女态度；</w:t>
      </w:r>
    </w:p>
    <w:p w14:paraId="72DE0E8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通过立法禁止所谓的童贞测试，并为印度尼西亚海军和空军人员开展全面的认识提升方案，强调童贞测试的负面影响，并力求挑战和改变这种有害做法的根源，即歧视性定型观念和重男轻女态度。</w:t>
      </w:r>
    </w:p>
    <w:p w14:paraId="4BE17038"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残割女性生殖器官</w:t>
      </w:r>
    </w:p>
    <w:p w14:paraId="229B005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23.</w:t>
      </w:r>
      <w:r w:rsidRPr="007A52CB">
        <w:rPr>
          <w:rFonts w:hint="eastAsia"/>
        </w:rPr>
        <w:tab/>
      </w:r>
      <w:r w:rsidRPr="007A52CB">
        <w:rPr>
          <w:rFonts w:hint="eastAsia"/>
        </w:rPr>
        <w:t>委员会注意到，卫生部第</w:t>
      </w:r>
      <w:r w:rsidRPr="007A52CB">
        <w:rPr>
          <w:rFonts w:hint="eastAsia"/>
        </w:rPr>
        <w:t>1636/2010</w:t>
      </w:r>
      <w:r w:rsidRPr="007A52CB">
        <w:rPr>
          <w:rFonts w:hint="eastAsia"/>
        </w:rPr>
        <w:t>号条例已被第</w:t>
      </w:r>
      <w:r w:rsidRPr="007A52CB">
        <w:rPr>
          <w:rFonts w:hint="eastAsia"/>
        </w:rPr>
        <w:t>6/2014</w:t>
      </w:r>
      <w:r w:rsidRPr="007A52CB">
        <w:rPr>
          <w:rFonts w:hint="eastAsia"/>
        </w:rPr>
        <w:t>号条例取代，其中明确规定残割女性生殖器和割礼不是医疗手段。然而，委员会关切地注意到，卫生部第</w:t>
      </w:r>
      <w:r w:rsidRPr="007A52CB">
        <w:rPr>
          <w:rFonts w:hint="eastAsia"/>
        </w:rPr>
        <w:t>6/2014</w:t>
      </w:r>
      <w:r w:rsidRPr="007A52CB">
        <w:rPr>
          <w:rFonts w:hint="eastAsia"/>
        </w:rPr>
        <w:t>号条例没有禁止残割女性生殖器，也没有对残割女性生殖器的人实施制裁。</w:t>
      </w:r>
    </w:p>
    <w:p w14:paraId="2F67F37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24.</w:t>
      </w:r>
      <w:r w:rsidRPr="007A52CB">
        <w:rPr>
          <w:rFonts w:hint="eastAsia"/>
        </w:rPr>
        <w:tab/>
      </w:r>
      <w:r w:rsidRPr="007A52CB">
        <w:rPr>
          <w:rFonts w:ascii="黑体" w:eastAsia="黑体" w:hAnsi="黑体" w:hint="eastAsia"/>
        </w:rPr>
        <w:t>委员会强调，残割女性生殖器、女性割礼或割除女性外阴不能以宗教为理由，属于有害习俗，控制妇女和女童的身体和性行为是违反《公约》的，无论这些是在医疗机构之内还是之外进行。因此，委员会建议缔约国</w:t>
      </w:r>
      <w:r w:rsidRPr="007A52CB">
        <w:rPr>
          <w:rFonts w:hint="eastAsia"/>
        </w:rPr>
        <w:t>：</w:t>
      </w:r>
    </w:p>
    <w:p w14:paraId="41F35C5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tab/>
      </w:r>
      <w:r w:rsidRPr="007A52CB">
        <w:rPr>
          <w:rFonts w:hint="eastAsia"/>
        </w:rPr>
        <w:t>(a)</w:t>
      </w:r>
      <w:r w:rsidRPr="007A52CB">
        <w:rPr>
          <w:rFonts w:hint="eastAsia"/>
        </w:rPr>
        <w:tab/>
      </w:r>
      <w:r w:rsidRPr="007A52CB">
        <w:rPr>
          <w:rFonts w:eastAsia="黑体" w:hint="eastAsia"/>
        </w:rPr>
        <w:t>根据关于有害做法的消除对妇女歧视委员会第</w:t>
      </w:r>
      <w:r w:rsidRPr="007A52CB">
        <w:rPr>
          <w:rFonts w:eastAsia="黑体" w:hint="eastAsia"/>
        </w:rPr>
        <w:t>31</w:t>
      </w:r>
      <w:r w:rsidRPr="007A52CB">
        <w:rPr>
          <w:rFonts w:eastAsia="黑体" w:hint="eastAsia"/>
        </w:rPr>
        <w:t>号和儿童权利委员会第</w:t>
      </w:r>
      <w:r w:rsidRPr="007A52CB">
        <w:rPr>
          <w:rFonts w:eastAsia="黑体" w:hint="eastAsia"/>
        </w:rPr>
        <w:t>18</w:t>
      </w:r>
      <w:r w:rsidRPr="007A52CB">
        <w:rPr>
          <w:rFonts w:eastAsia="黑体" w:hint="eastAsia"/>
        </w:rPr>
        <w:t>号联合一般性建议</w:t>
      </w:r>
      <w:r w:rsidRPr="007A52CB">
        <w:rPr>
          <w:rFonts w:eastAsia="黑体" w:hint="eastAsia"/>
        </w:rPr>
        <w:t>/</w:t>
      </w:r>
      <w:r w:rsidRPr="007A52CB">
        <w:rPr>
          <w:rFonts w:eastAsia="黑体" w:hint="eastAsia"/>
        </w:rPr>
        <w:t>意见</w:t>
      </w:r>
      <w:r w:rsidRPr="007A52CB">
        <w:rPr>
          <w:rFonts w:eastAsia="黑体" w:hint="eastAsia"/>
        </w:rPr>
        <w:t>(2019</w:t>
      </w:r>
      <w:r w:rsidRPr="007A52CB">
        <w:rPr>
          <w:rFonts w:eastAsia="黑体" w:hint="eastAsia"/>
        </w:rPr>
        <w:t>年</w:t>
      </w:r>
      <w:r w:rsidRPr="007A52CB">
        <w:rPr>
          <w:rFonts w:eastAsia="黑体" w:hint="eastAsia"/>
        </w:rPr>
        <w:t>)</w:t>
      </w:r>
      <w:r w:rsidRPr="007A52CB">
        <w:rPr>
          <w:rFonts w:eastAsia="黑体" w:hint="eastAsia"/>
        </w:rPr>
        <w:t>和可持续发展目标具体目标</w:t>
      </w:r>
      <w:r w:rsidRPr="007A52CB">
        <w:rPr>
          <w:rFonts w:eastAsia="黑体" w:hint="eastAsia"/>
        </w:rPr>
        <w:t>5.3</w:t>
      </w:r>
      <w:r w:rsidRPr="007A52CB">
        <w:rPr>
          <w:rFonts w:eastAsia="黑体" w:hint="eastAsia"/>
        </w:rPr>
        <w:t>，将一切形式的残割女性生殖器做法定为刑事犯罪，确保宗教或神职当局发布的法特瓦或其他裁决不能推翻这种刑事定罪；</w:t>
      </w:r>
    </w:p>
    <w:p w14:paraId="30296B9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开展提高认识和教育运动，特别是在医务人员、家长、社区领袖、宗教学者以及男子和男童中开展，以促使人们认识到残割女性生殖器的犯罪性质和消除这种习俗的必要性。</w:t>
      </w:r>
    </w:p>
    <w:p w14:paraId="4011435E"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对妇女的性别暴力</w:t>
      </w:r>
    </w:p>
    <w:p w14:paraId="715239D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25.</w:t>
      </w:r>
      <w:r w:rsidRPr="007A52CB">
        <w:rPr>
          <w:rFonts w:hint="eastAsia"/>
        </w:rPr>
        <w:tab/>
      </w:r>
      <w:r w:rsidRPr="007A52CB">
        <w:rPr>
          <w:rFonts w:hint="eastAsia"/>
        </w:rPr>
        <w:t>委员会欢迎缔约国采取措施加强对妇女的保护，使她们免遭性别暴力，包括设立增强妇女和儿童权能综合服务中心。但是，委员会关切地注意到：</w:t>
      </w:r>
    </w:p>
    <w:p w14:paraId="7A83203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网上和网下针对妇女和女童，特别是属于弱势和边缘化群体的妇女和女童的性别暴力行为增加，特别是在</w:t>
      </w:r>
      <w:r w:rsidRPr="007A52CB">
        <w:rPr>
          <w:rFonts w:hint="eastAsia"/>
        </w:rPr>
        <w:t>COVID-19</w:t>
      </w:r>
      <w:r w:rsidRPr="007A52CB">
        <w:rPr>
          <w:rFonts w:hint="eastAsia"/>
        </w:rPr>
        <w:t>大流行期间；</w:t>
      </w:r>
    </w:p>
    <w:p w14:paraId="1377AFB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强奸的定义基于阴茎插入，《刑法》没有将婚内强奸定为犯罪，关于家庭暴力的第</w:t>
      </w:r>
      <w:r w:rsidRPr="007A52CB">
        <w:rPr>
          <w:rFonts w:hint="eastAsia"/>
        </w:rPr>
        <w:t>23/2004</w:t>
      </w:r>
      <w:r w:rsidRPr="007A52CB">
        <w:rPr>
          <w:rFonts w:hint="eastAsia"/>
        </w:rPr>
        <w:t>号法律没有任何地方提到强奸或婚内强奸；</w:t>
      </w:r>
    </w:p>
    <w:p w14:paraId="719D530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网上性别暴力受害者可根据关于电子信息和交易的第</w:t>
      </w:r>
      <w:r w:rsidRPr="007A52CB">
        <w:rPr>
          <w:rFonts w:hint="eastAsia"/>
        </w:rPr>
        <w:t>11/2008</w:t>
      </w:r>
      <w:r w:rsidRPr="007A52CB">
        <w:rPr>
          <w:rFonts w:hint="eastAsia"/>
        </w:rPr>
        <w:t>号法第</w:t>
      </w:r>
      <w:r w:rsidRPr="007A52CB">
        <w:rPr>
          <w:rFonts w:hint="eastAsia"/>
        </w:rPr>
        <w:t>27(1)</w:t>
      </w:r>
      <w:r w:rsidRPr="007A52CB">
        <w:rPr>
          <w:rFonts w:hint="eastAsia"/>
        </w:rPr>
        <w:t>条和关于色情制品的第</w:t>
      </w:r>
      <w:r w:rsidRPr="007A52CB">
        <w:rPr>
          <w:rFonts w:hint="eastAsia"/>
        </w:rPr>
        <w:t>44/2008</w:t>
      </w:r>
      <w:r w:rsidRPr="007A52CB">
        <w:rPr>
          <w:rFonts w:hint="eastAsia"/>
        </w:rPr>
        <w:t>号法第</w:t>
      </w:r>
      <w:r w:rsidRPr="007A52CB">
        <w:rPr>
          <w:rFonts w:hint="eastAsia"/>
        </w:rPr>
        <w:t>4</w:t>
      </w:r>
      <w:r w:rsidRPr="007A52CB">
        <w:rPr>
          <w:rFonts w:hint="eastAsia"/>
        </w:rPr>
        <w:t>条受到起诉，尽管他们并未同意传播亲密内容；</w:t>
      </w:r>
    </w:p>
    <w:p w14:paraId="3B861E7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性暴力法案迟迟未获通过；</w:t>
      </w:r>
    </w:p>
    <w:p w14:paraId="234A76D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(e)</w:t>
      </w:r>
      <w:r w:rsidRPr="007A52CB">
        <w:rPr>
          <w:rFonts w:hint="eastAsia"/>
        </w:rPr>
        <w:tab/>
      </w:r>
      <w:r w:rsidRPr="007A52CB">
        <w:rPr>
          <w:rFonts w:hint="eastAsia"/>
        </w:rPr>
        <w:t>持续实行所谓的转换疗法，以改变女同性恋、双性恋和女跨性别者的性取向或性别认同；</w:t>
      </w:r>
    </w:p>
    <w:p w14:paraId="7ABE133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(f)</w:t>
      </w:r>
      <w:r w:rsidRPr="007A52CB">
        <w:rPr>
          <w:rFonts w:hint="eastAsia"/>
        </w:rPr>
        <w:tab/>
      </w:r>
      <w:r w:rsidRPr="007A52CB">
        <w:rPr>
          <w:rFonts w:hint="eastAsia"/>
        </w:rPr>
        <w:t>对性别暴力受害者的保护有限，包括分配给增强妇女和儿童权能综合服务中心的人力和财政资源不足，特别是在农村地区。</w:t>
      </w:r>
    </w:p>
    <w:p w14:paraId="68F4CBA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26.</w:t>
      </w:r>
      <w:r w:rsidRPr="007A52CB">
        <w:rPr>
          <w:rFonts w:hint="eastAsia"/>
        </w:rPr>
        <w:tab/>
      </w:r>
      <w:r w:rsidRPr="007A52CB">
        <w:rPr>
          <w:rFonts w:eastAsia="黑体" w:hint="eastAsia"/>
        </w:rPr>
        <w:t>委员会回顾其关于基于性别的暴力侵害妇女行为的第</w:t>
      </w:r>
      <w:r w:rsidRPr="007A52CB">
        <w:rPr>
          <w:rFonts w:eastAsia="黑体" w:hint="eastAsia"/>
        </w:rPr>
        <w:t>35</w:t>
      </w:r>
      <w:r w:rsidRPr="007A52CB">
        <w:rPr>
          <w:rFonts w:eastAsia="黑体" w:hint="eastAsia"/>
        </w:rPr>
        <w:t>号一般性建议</w:t>
      </w:r>
      <w:r w:rsidRPr="007A52CB">
        <w:rPr>
          <w:rFonts w:eastAsia="黑体" w:hint="eastAsia"/>
        </w:rPr>
        <w:t>(2017</w:t>
      </w:r>
      <w:r w:rsidRPr="007A52CB">
        <w:rPr>
          <w:rFonts w:eastAsia="黑体" w:hint="eastAsia"/>
        </w:rPr>
        <w:t>年，更新第</w:t>
      </w:r>
      <w:r w:rsidRPr="007A52CB">
        <w:rPr>
          <w:rFonts w:eastAsia="黑体" w:hint="eastAsia"/>
        </w:rPr>
        <w:t>19</w:t>
      </w:r>
      <w:r w:rsidRPr="007A52CB">
        <w:rPr>
          <w:rFonts w:eastAsia="黑体" w:hint="eastAsia"/>
        </w:rPr>
        <w:t>号一般性建议</w:t>
      </w:r>
      <w:r w:rsidRPr="007A52CB">
        <w:rPr>
          <w:rFonts w:eastAsia="黑体" w:hint="eastAsia"/>
        </w:rPr>
        <w:t>)</w:t>
      </w:r>
      <w:r w:rsidRPr="007A52CB">
        <w:rPr>
          <w:rFonts w:eastAsia="黑体" w:hint="eastAsia"/>
        </w:rPr>
        <w:t>，建议缔约国：</w:t>
      </w:r>
    </w:p>
    <w:p w14:paraId="12366E7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确保对妇女实施性别暴力行为的所有肇事者都受到主管法院的起诉和适当惩罚，确保受害者和证人得到保护，受害者得到充分赔偿；</w:t>
      </w:r>
    </w:p>
    <w:p w14:paraId="4D386AB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修订《刑法》、关于家庭暴力的第</w:t>
      </w:r>
      <w:r w:rsidRPr="007A52CB">
        <w:rPr>
          <w:rFonts w:eastAsia="黑体" w:hint="eastAsia"/>
        </w:rPr>
        <w:t>23/2004</w:t>
      </w:r>
      <w:r w:rsidRPr="007A52CB">
        <w:rPr>
          <w:rFonts w:eastAsia="黑体" w:hint="eastAsia"/>
        </w:rPr>
        <w:t>号法律和其他相关立法，，将一切形式针对妇女的身心、经济和性方面的暴力，包括婚内强奸定为犯罪，并以未经同意、而不是进入体内或使用武力为依据界定强奸的定义；</w:t>
      </w:r>
    </w:p>
    <w:p w14:paraId="086239F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修订关于电子信息和交易的第</w:t>
      </w:r>
      <w:r w:rsidRPr="007A52CB">
        <w:rPr>
          <w:rFonts w:eastAsia="黑体" w:hint="eastAsia"/>
        </w:rPr>
        <w:t>11/2008</w:t>
      </w:r>
      <w:r w:rsidRPr="007A52CB">
        <w:rPr>
          <w:rFonts w:eastAsia="黑体" w:hint="eastAsia"/>
        </w:rPr>
        <w:t>号法律和关于色情制品的第</w:t>
      </w:r>
      <w:r w:rsidRPr="007A52CB">
        <w:rPr>
          <w:rFonts w:eastAsia="黑体" w:hint="eastAsia"/>
        </w:rPr>
        <w:t>44/2008</w:t>
      </w:r>
      <w:r w:rsidRPr="007A52CB">
        <w:rPr>
          <w:rFonts w:eastAsia="黑体" w:hint="eastAsia"/>
        </w:rPr>
        <w:t>号法律，以确保在未经同意的情况下传播其亲密图像的网上性别暴力受害者不会受到起诉；</w:t>
      </w:r>
    </w:p>
    <w:p w14:paraId="3B56392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作为优先事项，在明确的时限内加快通过性暴力法案，并确保妇女有效参与这一进程的所有阶段；</w:t>
      </w:r>
    </w:p>
    <w:p w14:paraId="75DC76F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(e)</w:t>
      </w:r>
      <w:r w:rsidRPr="007A52CB">
        <w:rPr>
          <w:rFonts w:eastAsia="黑体" w:hint="eastAsia"/>
        </w:rPr>
        <w:tab/>
      </w:r>
      <w:r w:rsidRPr="007A52CB">
        <w:rPr>
          <w:rFonts w:eastAsia="黑体" w:hint="eastAsia"/>
          <w:spacing w:val="2"/>
        </w:rPr>
        <w:t>禁止对女同性恋、双性恋和女跨性别者进行所谓的转换治疗和其他</w:t>
      </w:r>
      <w:r w:rsidRPr="007A52CB">
        <w:rPr>
          <w:rFonts w:eastAsia="黑体" w:hint="eastAsia"/>
        </w:rPr>
        <w:t>强迫、非自愿或其他方式的胁迫或虐待；</w:t>
      </w:r>
    </w:p>
    <w:p w14:paraId="25CDF3F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(f)</w:t>
      </w:r>
      <w:r w:rsidRPr="007A52CB">
        <w:rPr>
          <w:rFonts w:eastAsia="黑体" w:hint="eastAsia"/>
        </w:rPr>
        <w:tab/>
      </w:r>
      <w:r w:rsidRPr="007A52CB">
        <w:rPr>
          <w:rFonts w:eastAsia="黑体" w:hint="eastAsia"/>
        </w:rPr>
        <w:t>划拨适当的人力、技术和财政资源，确保性别暴力受害妇女庇护所在缔约国各地全面运作，包括有效落实增强妇女和儿童权能综合服务中心，特别是在农村地区，并确保遭受性别暴力的妇女能够有效获得医疗、心理咨询、法律援助和保护令。</w:t>
      </w:r>
    </w:p>
    <w:p w14:paraId="6914668D"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妇女与和平与安全</w:t>
      </w:r>
    </w:p>
    <w:p w14:paraId="4EAF0EA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27.</w:t>
      </w:r>
      <w:r w:rsidRPr="007A52CB">
        <w:rPr>
          <w:rFonts w:hint="eastAsia"/>
        </w:rPr>
        <w:tab/>
      </w:r>
      <w:r w:rsidRPr="007A52CB">
        <w:rPr>
          <w:rFonts w:hint="eastAsia"/>
        </w:rPr>
        <w:t>委员会赞扬</w:t>
      </w:r>
      <w:r w:rsidRPr="007A52CB">
        <w:rPr>
          <w:rFonts w:hint="eastAsia"/>
        </w:rPr>
        <w:t>2016</w:t>
      </w:r>
      <w:r w:rsidRPr="007A52CB">
        <w:rPr>
          <w:rFonts w:hint="eastAsia"/>
        </w:rPr>
        <w:t>年在亚齐设立了一个地方信任与和解常设委员会。委员会还注意到通过了《社会冲突中增强妇女权能和保护儿童国家行动计划》，其重点是在社会冲突中预防、宣传、提高认识和增强妇女的权能。然而，委员会关切地注意到：</w:t>
      </w:r>
    </w:p>
    <w:p w14:paraId="2CD312C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持续的不安全气氛以及据指控居住在东爪哇和巴布亚省等受冲突影响地区的妇女遭到性别暴力侵害；</w:t>
      </w:r>
    </w:p>
    <w:p w14:paraId="3884803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缔约国，包括总检察长办公室，几乎没有努力起诉和惩罚应对冲突期间侵犯妇女人权行为负责的人；</w:t>
      </w:r>
    </w:p>
    <w:p w14:paraId="4E38681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在针对这些侵犯人权行为为性暴力受害妇女提供正义、真相、赔偿和康复方面缺乏进展。</w:t>
      </w:r>
    </w:p>
    <w:p w14:paraId="64FF3D6F" w14:textId="34B002A0"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28.</w:t>
      </w:r>
      <w:r w:rsidRPr="007A52CB">
        <w:rPr>
          <w:rFonts w:hint="eastAsia"/>
        </w:rPr>
        <w:tab/>
      </w:r>
      <w:r w:rsidRPr="007A52CB">
        <w:rPr>
          <w:rFonts w:eastAsia="黑体" w:hint="eastAsia"/>
        </w:rPr>
        <w:t>根据《公约》和委员会关于妇女在预防冲突、冲突及冲突后局势中的作用的第</w:t>
      </w:r>
      <w:r w:rsidRPr="007A52CB">
        <w:rPr>
          <w:rFonts w:eastAsia="黑体" w:hint="eastAsia"/>
        </w:rPr>
        <w:t>30</w:t>
      </w:r>
      <w:r w:rsidRPr="007A52CB">
        <w:rPr>
          <w:rFonts w:eastAsia="黑体" w:hint="eastAsia"/>
        </w:rPr>
        <w:t>号一般性建议</w:t>
      </w:r>
      <w:r w:rsidRPr="007A52CB">
        <w:rPr>
          <w:rFonts w:eastAsia="黑体" w:hint="eastAsia"/>
        </w:rPr>
        <w:t>(2013</w:t>
      </w:r>
      <w:r w:rsidRPr="007A52CB">
        <w:rPr>
          <w:rFonts w:eastAsia="黑体" w:hint="eastAsia"/>
        </w:rPr>
        <w:t>年</w:t>
      </w:r>
      <w:r w:rsidRPr="007A52CB">
        <w:rPr>
          <w:rFonts w:eastAsia="黑体" w:hint="eastAsia"/>
        </w:rPr>
        <w:t>)</w:t>
      </w:r>
      <w:r w:rsidRPr="007A52CB">
        <w:rPr>
          <w:rFonts w:eastAsia="黑体" w:hint="eastAsia"/>
        </w:rPr>
        <w:t>，以及安全理事会第</w:t>
      </w:r>
      <w:hyperlink r:id="rId25" w:history="1">
        <w:r w:rsidRPr="007A52CB">
          <w:rPr>
            <w:rFonts w:eastAsia="黑体" w:hint="eastAsia"/>
            <w:color w:val="0000FF"/>
          </w:rPr>
          <w:t>1325(2000)</w:t>
        </w:r>
      </w:hyperlink>
      <w:r w:rsidRPr="007A52CB">
        <w:rPr>
          <w:rFonts w:eastAsia="黑体" w:hint="eastAsia"/>
        </w:rPr>
        <w:t>号决议和其后关于妇女与和平与安全的各项决议，委员会建议缔约国：</w:t>
      </w:r>
    </w:p>
    <w:p w14:paraId="2EE4B2C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将通过以下方式有效打击有罪不罚现象作为优先事项：迅速和彻底调查冲突地区侵犯妇女权利的行为，特别是性暴力和性别暴力；起诉并适当惩罚行凶者，包括武装部队成员；</w:t>
      </w:r>
    </w:p>
    <w:p w14:paraId="16AC366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根据国际法，确保受害者获得赔偿的权利，包括了解侵权行为真相和获得保障，杜绝此类侵权行为再犯的权利；</w:t>
      </w:r>
    </w:p>
    <w:p w14:paraId="67AF84F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加紧努力，通过关于设立全国真相与和解委员会的新法律草案，赋予该委员会受理申诉和调查严重侵犯人权行为的广泛权力；</w:t>
      </w:r>
    </w:p>
    <w:p w14:paraId="538C4A5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批准《国际刑事法院罗马规约》。</w:t>
      </w:r>
    </w:p>
    <w:p w14:paraId="480C2925"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贩运人口和利用卖淫营利</w:t>
      </w:r>
    </w:p>
    <w:p w14:paraId="159345D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29.</w:t>
      </w:r>
      <w:r w:rsidRPr="007A52CB">
        <w:rPr>
          <w:rFonts w:hint="eastAsia"/>
        </w:rPr>
        <w:tab/>
      </w:r>
      <w:r w:rsidRPr="007A52CB">
        <w:rPr>
          <w:rFonts w:hint="eastAsia"/>
        </w:rPr>
        <w:t>委员会赞扬缔约国努力加强其打击贩运妇女和女童的法律和政策框架，包括设立一个人口贩运问题工作队。然而，委员会感到遗憾的是，缺乏关于执行消除贩运人口罪的第</w:t>
      </w:r>
      <w:r w:rsidRPr="007A52CB">
        <w:rPr>
          <w:rFonts w:hint="eastAsia"/>
        </w:rPr>
        <w:t>21/2007</w:t>
      </w:r>
      <w:r w:rsidRPr="007A52CB">
        <w:rPr>
          <w:rFonts w:hint="eastAsia"/>
        </w:rPr>
        <w:t>号法律和《防止贩运人口国家行动计划》情况的资料，包括关于分配给该计划的预算有否增加的资料。委员会还感到关切的是，缺乏标准化的早期识别和转介系统、对贩运受害者的补救以及重返社会援助，并且警察和其他执法人员对处理贩运受害者的、对性别问题有敏感认识的程序缺乏了解。委员会还关切地注意到，没有资料说明关于消除贩运人口罪的第</w:t>
      </w:r>
      <w:r w:rsidRPr="007A52CB">
        <w:rPr>
          <w:rFonts w:hint="eastAsia"/>
        </w:rPr>
        <w:t>21/2007</w:t>
      </w:r>
      <w:r w:rsidRPr="007A52CB">
        <w:rPr>
          <w:rFonts w:hint="eastAsia"/>
        </w:rPr>
        <w:t>号法律是否将一切形式的儿童贩运，包括契约婚姻和儿童色情旅游业定为刑事犯罪。</w:t>
      </w:r>
    </w:p>
    <w:p w14:paraId="4DEBE57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30.</w:t>
      </w:r>
      <w:r w:rsidRPr="007A52CB">
        <w:rPr>
          <w:rFonts w:hint="eastAsia"/>
        </w:rPr>
        <w:tab/>
      </w:r>
      <w:r w:rsidRPr="007A52CB">
        <w:rPr>
          <w:rFonts w:eastAsia="黑体" w:hint="eastAsia"/>
        </w:rPr>
        <w:t>委员会建议缔约国根据《公约》第六条和可持续发展目标具体目标</w:t>
      </w:r>
      <w:r w:rsidRPr="007A52CB">
        <w:rPr>
          <w:rFonts w:eastAsia="黑体" w:hint="eastAsia"/>
        </w:rPr>
        <w:t>5.2</w:t>
      </w:r>
      <w:r w:rsidRPr="007A52CB">
        <w:rPr>
          <w:rFonts w:eastAsia="黑体" w:hint="eastAsia"/>
        </w:rPr>
        <w:t>：</w:t>
      </w:r>
    </w:p>
    <w:p w14:paraId="6DCE9FD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系统地收集按性别、年龄、残疾、族裔、地区和社会经济背景分列的数据，说明贩运人口的情况、通过监察查明的案件数量、对犯罪者起诉和定罪的数量、判刑情况以及向贩运受害者提供赔偿的情况；</w:t>
      </w:r>
    </w:p>
    <w:p w14:paraId="2AD7730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为</w:t>
      </w:r>
      <w:r w:rsidRPr="007A52CB">
        <w:rPr>
          <w:rFonts w:eastAsia="黑体" w:hint="eastAsia"/>
          <w:spacing w:val="-4"/>
        </w:rPr>
        <w:t>执行《预防贩运人口国家行动计划》划拨充足的人力、技术和财政资源；</w:t>
      </w:r>
    </w:p>
    <w:p w14:paraId="266548C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确保及早识别贩运活动受害妇女和女童并将其转介到适当的服务机构，包括为相关执法人员提供关于有效执行受害者识别准则和对性别问题有敏感认识的审讯方法的系统培训；</w:t>
      </w:r>
    </w:p>
    <w:p w14:paraId="16A60E0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加强对贩运受害者的支持，确保她们得到保护，并充分获得咨询和康复服务、赔偿和补偿；</w:t>
      </w:r>
    </w:p>
    <w:p w14:paraId="7B75EA0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(e)</w:t>
      </w:r>
      <w:r w:rsidRPr="007A52CB">
        <w:rPr>
          <w:rFonts w:eastAsia="黑体" w:hint="eastAsia"/>
        </w:rPr>
        <w:tab/>
      </w:r>
      <w:r w:rsidRPr="007A52CB">
        <w:rPr>
          <w:rFonts w:eastAsia="黑体" w:hint="eastAsia"/>
          <w:spacing w:val="-4"/>
        </w:rPr>
        <w:t>将一切形式的贩运儿童行为，包括契约婚姻和儿童色情旅游业定为刑事犯罪，并提高公众，特别是女童及其家人对贩运妇女和女童的犯罪性质和风险的认识。</w:t>
      </w:r>
    </w:p>
    <w:p w14:paraId="75A0F30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31.</w:t>
      </w:r>
      <w:r w:rsidRPr="007A52CB">
        <w:rPr>
          <w:rFonts w:hint="eastAsia"/>
        </w:rPr>
        <w:tab/>
      </w:r>
      <w:r w:rsidRPr="007A52CB">
        <w:rPr>
          <w:rFonts w:hint="eastAsia"/>
        </w:rPr>
        <w:t>委员会关切地注意到：</w:t>
      </w:r>
    </w:p>
    <w:p w14:paraId="3A991D2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缔约国境内存在利用妇女和女童卖淫营利现象，包括在</w:t>
      </w:r>
      <w:r w:rsidRPr="007A52CB">
        <w:rPr>
          <w:rFonts w:hint="eastAsia"/>
        </w:rPr>
        <w:t>COVID-19</w:t>
      </w:r>
      <w:r w:rsidRPr="007A52CB">
        <w:rPr>
          <w:rFonts w:hint="eastAsia"/>
        </w:rPr>
        <w:t>大流行期间；</w:t>
      </w:r>
    </w:p>
    <w:p w14:paraId="1F003C8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卖淫妇女包括女跨性别者受到社会的侮辱和普遍歧视以及暴力；</w:t>
      </w:r>
    </w:p>
    <w:p w14:paraId="671E0AC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缔约国若干地区没有采取措施将受剥削卖淫的妇女非刑罪化。</w:t>
      </w:r>
    </w:p>
    <w:p w14:paraId="0691A14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32.</w:t>
      </w:r>
      <w:r w:rsidRPr="007A52CB">
        <w:rPr>
          <w:rFonts w:hint="eastAsia"/>
        </w:rPr>
        <w:tab/>
      </w:r>
      <w:r w:rsidRPr="007A52CB">
        <w:rPr>
          <w:rFonts w:eastAsia="黑体" w:hint="eastAsia"/>
        </w:rPr>
        <w:t>委员会建议缔约国：</w:t>
      </w:r>
    </w:p>
    <w:p w14:paraId="1BE436B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解决卖淫的根源问题，例如贫困、结构性性别不平等、对卖淫的需求等。采取有针对性的措施，包括为希望摆脱卖淫的妇女提供退出方案和其他获得收入的机会，避免处境脆弱的妇女被利用卖淫；</w:t>
      </w:r>
    </w:p>
    <w:p w14:paraId="1D131CB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调查和起诉针对卖淫妇女的性别暴力和歧视案件，将施害者绳之以法，并通过为司法机构、警察和普通公众提供对性别问题具有敏感认识的的培训，鼓励受害者举报虐待行为，使卖淫妇女和女童不再蒙受耻辱；</w:t>
      </w:r>
    </w:p>
    <w:p w14:paraId="014147F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废除歧视性的地方法规，以期使妇女卖淫非刑罪化。</w:t>
      </w:r>
    </w:p>
    <w:p w14:paraId="40736E88"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妇女人权维护者</w:t>
      </w:r>
    </w:p>
    <w:p w14:paraId="2764250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33.</w:t>
      </w:r>
      <w:r w:rsidRPr="007A52CB">
        <w:rPr>
          <w:rFonts w:hint="eastAsia"/>
        </w:rPr>
        <w:tab/>
      </w:r>
      <w:r w:rsidRPr="007A52CB">
        <w:rPr>
          <w:rFonts w:hint="eastAsia"/>
        </w:rPr>
        <w:t>委员会关切地注意到，缔约国的妇女人权维护者，特别是那些倡导土地权和环境保护的维护者，经常受到恐吓、骚扰和威胁。</w:t>
      </w:r>
    </w:p>
    <w:p w14:paraId="47ED901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34.</w:t>
      </w:r>
      <w:r w:rsidRPr="007A52CB">
        <w:rPr>
          <w:rFonts w:hint="eastAsia"/>
        </w:rPr>
        <w:tab/>
      </w:r>
      <w:r w:rsidRPr="007A52CB">
        <w:rPr>
          <w:rFonts w:eastAsia="黑体" w:hint="eastAsia"/>
        </w:rPr>
        <w:t>委员会回顾关于妇女获得司法救助的第</w:t>
      </w:r>
      <w:r w:rsidRPr="007A52CB">
        <w:rPr>
          <w:rFonts w:eastAsia="黑体" w:hint="eastAsia"/>
        </w:rPr>
        <w:t>33</w:t>
      </w:r>
      <w:r w:rsidRPr="007A52CB">
        <w:rPr>
          <w:rFonts w:eastAsia="黑体" w:hint="eastAsia"/>
        </w:rPr>
        <w:t>号一般性建议</w:t>
      </w:r>
      <w:r w:rsidRPr="007A52CB">
        <w:rPr>
          <w:rFonts w:eastAsia="黑体" w:hint="eastAsia"/>
        </w:rPr>
        <w:t>(2015</w:t>
      </w:r>
      <w:r w:rsidRPr="007A52CB">
        <w:rPr>
          <w:rFonts w:eastAsia="黑体" w:hint="eastAsia"/>
        </w:rPr>
        <w:t>年</w:t>
      </w:r>
      <w:r w:rsidRPr="007A52CB">
        <w:rPr>
          <w:rFonts w:eastAsia="黑体" w:hint="eastAsia"/>
        </w:rPr>
        <w:t>)</w:t>
      </w:r>
      <w:r w:rsidRPr="007A52CB">
        <w:rPr>
          <w:rFonts w:eastAsia="黑体" w:hint="eastAsia"/>
        </w:rPr>
        <w:t>，建议缔约国</w:t>
      </w:r>
      <w:r w:rsidRPr="007A52CB">
        <w:rPr>
          <w:rFonts w:hint="eastAsia"/>
        </w:rPr>
        <w:t>：</w:t>
      </w:r>
    </w:p>
    <w:p w14:paraId="7FBE1A5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采取有效措施保护妇女人权维护者，与他们协商，使他们能够自由从事重要工作，不用害怕遭到恐吓、骚扰或暴力袭击，也不会受到这样的威胁；</w:t>
      </w:r>
    </w:p>
    <w:p w14:paraId="3B06A20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有效调查、起诉和适当惩罚所有骚扰、暴力侵犯和恐吓妇女人权维护者的肇事者，向受害者提供有效补救。</w:t>
      </w:r>
    </w:p>
    <w:p w14:paraId="0883AA29"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平等参与政治事务和公共生活</w:t>
      </w:r>
    </w:p>
    <w:p w14:paraId="3E23ADC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35.</w:t>
      </w:r>
      <w:r w:rsidRPr="007A52CB">
        <w:rPr>
          <w:rFonts w:hint="eastAsia"/>
        </w:rPr>
        <w:tab/>
      </w:r>
      <w:r w:rsidRPr="007A52CB">
        <w:rPr>
          <w:rFonts w:hint="eastAsia"/>
        </w:rPr>
        <w:t>委员会赞扬缔约国为提高妇女在决策中的地位而采取的措施，例如通过了关于选举的第</w:t>
      </w:r>
      <w:r w:rsidRPr="007A52CB">
        <w:rPr>
          <w:rFonts w:hint="eastAsia"/>
        </w:rPr>
        <w:t>7/2017</w:t>
      </w:r>
      <w:r w:rsidRPr="007A52CB">
        <w:rPr>
          <w:rFonts w:hint="eastAsia"/>
        </w:rPr>
        <w:t>号法律和关于村庄的第</w:t>
      </w:r>
      <w:r w:rsidRPr="007A52CB">
        <w:rPr>
          <w:rFonts w:hint="eastAsia"/>
        </w:rPr>
        <w:t>6/2014</w:t>
      </w:r>
      <w:r w:rsidRPr="007A52CB">
        <w:rPr>
          <w:rFonts w:hint="eastAsia"/>
        </w:rPr>
        <w:t>号法律。此外，委员会也欢迎在</w:t>
      </w:r>
      <w:r w:rsidRPr="007A52CB">
        <w:rPr>
          <w:rFonts w:hint="eastAsia"/>
        </w:rPr>
        <w:t>2020-2030</w:t>
      </w:r>
      <w:r w:rsidRPr="007A52CB">
        <w:rPr>
          <w:rFonts w:hint="eastAsia"/>
        </w:rPr>
        <w:t>年期间增加妇女在立法会议中的代表性的宏大计划。然而，委员会仍然感到关切的是，妇女参与政治和公共生活的比例很低，特别是在农村地区，在</w:t>
      </w:r>
      <w:r w:rsidRPr="007A52CB">
        <w:rPr>
          <w:rFonts w:hint="eastAsia"/>
        </w:rPr>
        <w:t>78 000</w:t>
      </w:r>
      <w:r w:rsidRPr="007A52CB">
        <w:rPr>
          <w:rFonts w:hint="eastAsia"/>
        </w:rPr>
        <w:t>个村庄中，女村长只占</w:t>
      </w:r>
      <w:r w:rsidRPr="007A52CB">
        <w:rPr>
          <w:rFonts w:hint="eastAsia"/>
        </w:rPr>
        <w:t>7%</w:t>
      </w:r>
      <w:r w:rsidRPr="007A52CB">
        <w:rPr>
          <w:rFonts w:hint="eastAsia"/>
        </w:rPr>
        <w:t>。委员会还注意到，缺乏关于任命和招聘妇女担任政府高级职位和其他公共服务职位的性别均等制度的信息。</w:t>
      </w:r>
    </w:p>
    <w:p w14:paraId="79CE7EA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36.</w:t>
      </w:r>
      <w:r w:rsidRPr="007A52CB">
        <w:rPr>
          <w:rFonts w:hint="eastAsia"/>
        </w:rPr>
        <w:tab/>
      </w:r>
      <w:r w:rsidRPr="007A52CB">
        <w:rPr>
          <w:rFonts w:eastAsia="黑体" w:hint="eastAsia"/>
        </w:rPr>
        <w:t>委员会建议缔约国：</w:t>
      </w:r>
    </w:p>
    <w:p w14:paraId="01DF062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采取措施，提高妇女在各级政治和公共生活中的参与度，包括根据《公约》第四条第</w:t>
      </w:r>
      <w:r w:rsidRPr="007A52CB">
        <w:rPr>
          <w:rFonts w:eastAsia="黑体" w:hint="eastAsia"/>
        </w:rPr>
        <w:t>1</w:t>
      </w:r>
      <w:r w:rsidRPr="007A52CB">
        <w:rPr>
          <w:rFonts w:eastAsia="黑体" w:hint="eastAsia"/>
        </w:rPr>
        <w:t>款和委员会第</w:t>
      </w:r>
      <w:r w:rsidRPr="007A52CB">
        <w:rPr>
          <w:rFonts w:eastAsia="黑体" w:hint="eastAsia"/>
        </w:rPr>
        <w:t>25</w:t>
      </w:r>
      <w:r w:rsidRPr="007A52CB">
        <w:rPr>
          <w:rFonts w:eastAsia="黑体" w:hint="eastAsia"/>
        </w:rPr>
        <w:t>号一般性建议实行暂行特别措施；</w:t>
      </w:r>
    </w:p>
    <w:p w14:paraId="63FB9BF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提供政治领导技能方面的能力建设，加强宣传运动，以提高对以下事实的认识：妇女在与男子平等的基础上充分、平等、自由和民主地参与政治和公共生活是充分执行《公约》的必要条件；</w:t>
      </w:r>
    </w:p>
    <w:p w14:paraId="469B73D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系统地收集数据，以监测妇女在政治和公共生活特别是决策层面代表性方面的进展情况。</w:t>
      </w:r>
    </w:p>
    <w:p w14:paraId="54B76AB9"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国籍</w:t>
      </w:r>
    </w:p>
    <w:p w14:paraId="1B862BD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37.</w:t>
      </w:r>
      <w:r w:rsidRPr="007A52CB">
        <w:rPr>
          <w:rFonts w:hint="eastAsia"/>
        </w:rPr>
        <w:tab/>
      </w:r>
      <w:r w:rsidRPr="007A52CB">
        <w:rPr>
          <w:rFonts w:hint="eastAsia"/>
        </w:rPr>
        <w:t>委员会欢迎根据关于民政管理的第</w:t>
      </w:r>
      <w:r w:rsidRPr="007A52CB">
        <w:rPr>
          <w:rFonts w:hint="eastAsia"/>
        </w:rPr>
        <w:t>24/2013</w:t>
      </w:r>
      <w:r w:rsidRPr="007A52CB">
        <w:rPr>
          <w:rFonts w:hint="eastAsia"/>
        </w:rPr>
        <w:t>号法律免费发放出生证明，这使持有出生证明的儿童数量比例从</w:t>
      </w:r>
      <w:r w:rsidRPr="007A52CB">
        <w:rPr>
          <w:rFonts w:hint="eastAsia"/>
        </w:rPr>
        <w:t>2014</w:t>
      </w:r>
      <w:r w:rsidRPr="007A52CB">
        <w:rPr>
          <w:rFonts w:hint="eastAsia"/>
        </w:rPr>
        <w:t>年的</w:t>
      </w:r>
      <w:r w:rsidRPr="007A52CB">
        <w:rPr>
          <w:rFonts w:hint="eastAsia"/>
        </w:rPr>
        <w:t>32.25%</w:t>
      </w:r>
      <w:r w:rsidRPr="007A52CB">
        <w:rPr>
          <w:rFonts w:hint="eastAsia"/>
        </w:rPr>
        <w:t>增加到了</w:t>
      </w:r>
      <w:r w:rsidRPr="007A52CB">
        <w:rPr>
          <w:rFonts w:hint="eastAsia"/>
        </w:rPr>
        <w:t>2019</w:t>
      </w:r>
      <w:r w:rsidRPr="007A52CB">
        <w:rPr>
          <w:rFonts w:hint="eastAsia"/>
        </w:rPr>
        <w:t>年的</w:t>
      </w:r>
      <w:r w:rsidRPr="007A52CB">
        <w:rPr>
          <w:rFonts w:hint="eastAsia"/>
        </w:rPr>
        <w:t>90.56%</w:t>
      </w:r>
      <w:r w:rsidRPr="007A52CB">
        <w:rPr>
          <w:rFonts w:hint="eastAsia"/>
        </w:rPr>
        <w:t>。然而，委员会仍然感到关切的是，根据有关印度尼西亚共和国公民身份的第</w:t>
      </w:r>
      <w:r w:rsidRPr="007A52CB">
        <w:rPr>
          <w:rFonts w:hint="eastAsia"/>
        </w:rPr>
        <w:t>12/2006</w:t>
      </w:r>
      <w:r w:rsidRPr="007A52CB">
        <w:rPr>
          <w:rFonts w:hint="eastAsia"/>
        </w:rPr>
        <w:t>号法律第</w:t>
      </w:r>
      <w:r w:rsidRPr="007A52CB">
        <w:rPr>
          <w:rFonts w:hint="eastAsia"/>
        </w:rPr>
        <w:t>41</w:t>
      </w:r>
      <w:r w:rsidRPr="007A52CB">
        <w:rPr>
          <w:rFonts w:hint="eastAsia"/>
        </w:rPr>
        <w:t>条，</w:t>
      </w:r>
      <w:r w:rsidRPr="007A52CB">
        <w:rPr>
          <w:rFonts w:hint="eastAsia"/>
        </w:rPr>
        <w:t>2006</w:t>
      </w:r>
      <w:r w:rsidRPr="007A52CB">
        <w:rPr>
          <w:rFonts w:hint="eastAsia"/>
        </w:rPr>
        <w:t>年前出生的、父母一方为印度尼西亚人，另一方为非印度尼西亚人的子女无法获得印度尼西亚国籍。</w:t>
      </w:r>
    </w:p>
    <w:p w14:paraId="054C17B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38.</w:t>
      </w:r>
      <w:r w:rsidRPr="007A52CB">
        <w:rPr>
          <w:rFonts w:hint="eastAsia"/>
        </w:rPr>
        <w:tab/>
      </w:r>
      <w:r w:rsidRPr="007A52CB">
        <w:rPr>
          <w:rFonts w:eastAsia="黑体" w:hint="eastAsia"/>
        </w:rPr>
        <w:t>委员会建议缔约国确保将国籍授予</w:t>
      </w:r>
      <w:r w:rsidRPr="007A52CB">
        <w:rPr>
          <w:rFonts w:eastAsia="黑体" w:hint="eastAsia"/>
        </w:rPr>
        <w:t>2006</w:t>
      </w:r>
      <w:r w:rsidRPr="007A52CB">
        <w:rPr>
          <w:rFonts w:eastAsia="黑体" w:hint="eastAsia"/>
        </w:rPr>
        <w:t>年前出生的、父母一方为印度尼西亚人，另一方为非印度尼西亚人的子女，以防止无国籍状态</w:t>
      </w:r>
      <w:r w:rsidRPr="007A52CB">
        <w:rPr>
          <w:rFonts w:hint="eastAsia"/>
        </w:rPr>
        <w:t>。</w:t>
      </w:r>
    </w:p>
    <w:p w14:paraId="5336AE0E"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教育</w:t>
      </w:r>
    </w:p>
    <w:p w14:paraId="73C0427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39.</w:t>
      </w:r>
      <w:r w:rsidRPr="007A52CB">
        <w:rPr>
          <w:rFonts w:hint="eastAsia"/>
        </w:rPr>
        <w:tab/>
      </w:r>
      <w:r w:rsidRPr="007A52CB">
        <w:rPr>
          <w:rFonts w:hint="eastAsia"/>
        </w:rPr>
        <w:t>委员会赞赏地注意到，缔约国根据关于残疾人的第</w:t>
      </w:r>
      <w:r w:rsidRPr="007A52CB">
        <w:rPr>
          <w:rFonts w:hint="eastAsia"/>
        </w:rPr>
        <w:t>8/2016</w:t>
      </w:r>
      <w:r w:rsidRPr="007A52CB">
        <w:rPr>
          <w:rFonts w:hint="eastAsia"/>
        </w:rPr>
        <w:t>号法律和教育和文化部关于包容性教育的第</w:t>
      </w:r>
      <w:r w:rsidRPr="007A52CB">
        <w:rPr>
          <w:rFonts w:hint="eastAsia"/>
        </w:rPr>
        <w:t>70/2009</w:t>
      </w:r>
      <w:r w:rsidRPr="007A52CB">
        <w:rPr>
          <w:rFonts w:hint="eastAsia"/>
        </w:rPr>
        <w:t>号条例，努力增加包括残疾学生在内的受教育机会。委员会还欢迎缔约国通过建立在线举报系统，努力收集关于教育机构中针对妇女和女童的性别暴力的数据。尽管如此，委员会仍感关切的是：</w:t>
      </w:r>
    </w:p>
    <w:p w14:paraId="31C311A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缺乏按性别、年龄、残疾、所在地和社会经济地位分列的数据来评估这些措施的影响；</w:t>
      </w:r>
    </w:p>
    <w:p w14:paraId="2389B4C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属于弱势群体和边缘群体的妇女和女童在接受教育方面存在差距，特别是在</w:t>
      </w:r>
      <w:r w:rsidRPr="007A52CB">
        <w:rPr>
          <w:rFonts w:hint="eastAsia"/>
        </w:rPr>
        <w:t>2019</w:t>
      </w:r>
      <w:r w:rsidRPr="007A52CB">
        <w:rPr>
          <w:rFonts w:hint="eastAsia"/>
        </w:rPr>
        <w:t>冠状病毒病</w:t>
      </w:r>
      <w:r w:rsidRPr="007A52CB">
        <w:rPr>
          <w:rFonts w:hint="eastAsia"/>
        </w:rPr>
        <w:t>(COVID-19)</w:t>
      </w:r>
      <w:r w:rsidRPr="007A52CB">
        <w:rPr>
          <w:rFonts w:hint="eastAsia"/>
        </w:rPr>
        <w:t>大流行期间；</w:t>
      </w:r>
    </w:p>
    <w:p w14:paraId="74E7E53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妇女和女童在非传统学科和职业道路上的参与率较低，特别是在科学、技术、工程和数学以及信息和通信技术领域；</w:t>
      </w:r>
    </w:p>
    <w:p w14:paraId="7F525DE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妇女和女童——特别是那些属于弱势群体和边缘群体的妇女和女童，在学校中受骚扰和霸凌，关于此类案件投诉和调查数量及所实施处罚的资料有限。</w:t>
      </w:r>
    </w:p>
    <w:p w14:paraId="15E953C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40.</w:t>
      </w:r>
      <w:r w:rsidRPr="007A52CB">
        <w:rPr>
          <w:rFonts w:hint="eastAsia"/>
        </w:rPr>
        <w:tab/>
      </w:r>
      <w:r w:rsidRPr="007A52CB">
        <w:rPr>
          <w:rFonts w:eastAsia="黑体" w:hint="eastAsia"/>
        </w:rPr>
        <w:t>委员会建议缔约国提高对女童各级教育重要性的认识，了解女童的各级教育是增强其权能的基础，并：</w:t>
      </w:r>
    </w:p>
    <w:p w14:paraId="3340436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系统收集按年龄、残疾、所在地和社会经济地位分列的，关于缔约国努力增加女童和妇女受教育机会的数据；</w:t>
      </w:r>
    </w:p>
    <w:p w14:paraId="43658F4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协助弱势群体和边缘化群体中的妇女和女童接受教育，包括提供财政支持和加强教育工作者能力建设，为她们创造更安全、更包容的学习环境；</w:t>
      </w:r>
    </w:p>
    <w:p w14:paraId="2A370CC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加紧努力，促进妇女和女童进入非传统学科和职业道路，特别是科学、技术、工程、数学以及信息和通信技术领域；</w:t>
      </w:r>
    </w:p>
    <w:p w14:paraId="1CF23B0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对学校中针对妇女和女童的性暴力和骚扰采取零容忍政策，在教育机构中采取适当措施提高认识，以防止针对学生的一切形式的骚扰和性别暴力，确保施害者受到起诉和适当惩罚，并向受害者提供心理、医疗和法律援助。</w:t>
      </w:r>
    </w:p>
    <w:p w14:paraId="13CE9A37"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就业</w:t>
      </w:r>
    </w:p>
    <w:p w14:paraId="77FEE55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41.</w:t>
      </w:r>
      <w:r w:rsidRPr="007A52CB">
        <w:rPr>
          <w:rFonts w:hint="eastAsia"/>
        </w:rPr>
        <w:tab/>
      </w:r>
      <w:r w:rsidRPr="007A52CB">
        <w:rPr>
          <w:rFonts w:hint="eastAsia"/>
        </w:rPr>
        <w:t>委员会对关于保护移民工人的第</w:t>
      </w:r>
      <w:r w:rsidRPr="007A52CB">
        <w:rPr>
          <w:rFonts w:hint="eastAsia"/>
        </w:rPr>
        <w:t>18/2017</w:t>
      </w:r>
      <w:r w:rsidRPr="007A52CB">
        <w:rPr>
          <w:rFonts w:hint="eastAsia"/>
        </w:rPr>
        <w:t>号法律的通过表示欢迎，其中规定了为移民工人及其家属增强权能并提供保护的机制。委员会还注意到，关于创造就业机会的第</w:t>
      </w:r>
      <w:r w:rsidRPr="007A52CB">
        <w:rPr>
          <w:rFonts w:hint="eastAsia"/>
        </w:rPr>
        <w:t>11/2020</w:t>
      </w:r>
      <w:r w:rsidRPr="007A52CB">
        <w:rPr>
          <w:rFonts w:hint="eastAsia"/>
        </w:rPr>
        <w:t>号法律并未改变或撤销第</w:t>
      </w:r>
      <w:r w:rsidRPr="007A52CB">
        <w:rPr>
          <w:rFonts w:hint="eastAsia"/>
        </w:rPr>
        <w:t>13/2003</w:t>
      </w:r>
      <w:r w:rsidRPr="007A52CB">
        <w:rPr>
          <w:rFonts w:hint="eastAsia"/>
        </w:rPr>
        <w:t>号法律所规定的妇女工人的权利。但是，委员会关切地注意到：</w:t>
      </w:r>
    </w:p>
    <w:p w14:paraId="08B0ADF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妇女大量集中在非正规经济、低薪工作以及临时和兼职工作中，包括棕榈油种植园的工作，这些地方工作条件不利，妇女没有得到避免剥削的适当保护；</w:t>
      </w:r>
    </w:p>
    <w:p w14:paraId="7D0DDC1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没有一部全面的法律来界定并有效禁止性别暴力和骚扰，包括工作场所的性骚扰；</w:t>
      </w:r>
    </w:p>
    <w:p w14:paraId="17C0C9D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缔约国长期存在性别工资差距以及缺乏保障同工同酬原则的立法；</w:t>
      </w:r>
    </w:p>
    <w:p w14:paraId="5A0B867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将妇女排除在关于渔民、养鱼户和盐农保护和增强权能的第</w:t>
      </w:r>
      <w:r w:rsidRPr="007A52CB">
        <w:rPr>
          <w:rFonts w:hint="eastAsia"/>
        </w:rPr>
        <w:t>7/2016</w:t>
      </w:r>
      <w:r w:rsidRPr="007A52CB">
        <w:rPr>
          <w:rFonts w:hint="eastAsia"/>
        </w:rPr>
        <w:t>号法律、关于农民保护和增强权能的第</w:t>
      </w:r>
      <w:r w:rsidRPr="007A52CB">
        <w:rPr>
          <w:rFonts w:hint="eastAsia"/>
        </w:rPr>
        <w:t>19/2013</w:t>
      </w:r>
      <w:r w:rsidRPr="007A52CB">
        <w:rPr>
          <w:rFonts w:hint="eastAsia"/>
        </w:rPr>
        <w:t>号法律以及关于食品的第</w:t>
      </w:r>
      <w:r w:rsidRPr="007A52CB">
        <w:rPr>
          <w:rFonts w:hint="eastAsia"/>
        </w:rPr>
        <w:t>18/2012</w:t>
      </w:r>
      <w:r w:rsidRPr="007A52CB">
        <w:rPr>
          <w:rFonts w:hint="eastAsia"/>
        </w:rPr>
        <w:t>号法律的范围之外，使其无法享有相关权利；</w:t>
      </w:r>
    </w:p>
    <w:p w14:paraId="07330CE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(e)</w:t>
      </w:r>
      <w:r w:rsidRPr="007A52CB">
        <w:rPr>
          <w:rFonts w:hint="eastAsia"/>
        </w:rPr>
        <w:tab/>
      </w:r>
      <w:r w:rsidRPr="007A52CB">
        <w:rPr>
          <w:rFonts w:hint="eastAsia"/>
        </w:rPr>
        <w:t>包括移民女工在内的家政女工，特别是冲突中的妇女，面临更多的性别暴力和歧视的风险；有关保护家政工人的立法，包括关于家政工人的法律草案和国际劳工组织《</w:t>
      </w:r>
      <w:r w:rsidRPr="007A52CB">
        <w:rPr>
          <w:rFonts w:hint="eastAsia"/>
        </w:rPr>
        <w:t>2011</w:t>
      </w:r>
      <w:r w:rsidRPr="007A52CB">
        <w:rPr>
          <w:rFonts w:hint="eastAsia"/>
        </w:rPr>
        <w:t>年家庭工人公约》</w:t>
      </w:r>
      <w:r w:rsidRPr="007A52CB">
        <w:rPr>
          <w:rFonts w:hint="eastAsia"/>
        </w:rPr>
        <w:t>(</w:t>
      </w:r>
      <w:r w:rsidRPr="007A52CB">
        <w:rPr>
          <w:rFonts w:hint="eastAsia"/>
        </w:rPr>
        <w:t>第</w:t>
      </w:r>
      <w:r w:rsidRPr="007A52CB">
        <w:rPr>
          <w:rFonts w:hint="eastAsia"/>
        </w:rPr>
        <w:t>189</w:t>
      </w:r>
      <w:r w:rsidRPr="007A52CB">
        <w:rPr>
          <w:rFonts w:hint="eastAsia"/>
        </w:rPr>
        <w:t>号</w:t>
      </w:r>
      <w:r w:rsidRPr="007A52CB">
        <w:rPr>
          <w:rFonts w:hint="eastAsia"/>
        </w:rPr>
        <w:t>)</w:t>
      </w:r>
      <w:r w:rsidRPr="007A52CB">
        <w:rPr>
          <w:rFonts w:hint="eastAsia"/>
        </w:rPr>
        <w:t>迟迟未通过；关于保护移民工人的第</w:t>
      </w:r>
      <w:r w:rsidRPr="007A52CB">
        <w:rPr>
          <w:rFonts w:hint="eastAsia"/>
        </w:rPr>
        <w:t>18/2017</w:t>
      </w:r>
      <w:r w:rsidRPr="007A52CB">
        <w:rPr>
          <w:rFonts w:hint="eastAsia"/>
        </w:rPr>
        <w:t>号法律执行不到位；</w:t>
      </w:r>
    </w:p>
    <w:p w14:paraId="4C83BDA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(f)</w:t>
      </w:r>
      <w:r w:rsidRPr="007A52CB">
        <w:rPr>
          <w:rFonts w:hint="eastAsia"/>
        </w:rPr>
        <w:tab/>
      </w:r>
      <w:r w:rsidRPr="007A52CB">
        <w:rPr>
          <w:rFonts w:hint="eastAsia"/>
          <w:spacing w:val="2"/>
        </w:rPr>
        <w:t>缺乏关于劳动队伍中残疾妇女的最新明确信息，残疾妇女面临重大挑</w:t>
      </w:r>
      <w:r w:rsidRPr="007A52CB">
        <w:rPr>
          <w:rFonts w:hint="eastAsia"/>
        </w:rPr>
        <w:t>战，麻风病妇女在获得有意义和可持续的就业机会方面面临特殊问题；</w:t>
      </w:r>
    </w:p>
    <w:p w14:paraId="7510B76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(g)</w:t>
      </w:r>
      <w:r w:rsidRPr="007A52CB">
        <w:rPr>
          <w:rFonts w:hint="eastAsia"/>
        </w:rPr>
        <w:tab/>
      </w:r>
      <w:r w:rsidRPr="007A52CB">
        <w:rPr>
          <w:rFonts w:hint="eastAsia"/>
        </w:rPr>
        <w:t>关于创造就业的第</w:t>
      </w:r>
      <w:r w:rsidRPr="007A52CB">
        <w:rPr>
          <w:rFonts w:hint="eastAsia"/>
        </w:rPr>
        <w:t>11/2020</w:t>
      </w:r>
      <w:r w:rsidRPr="007A52CB">
        <w:rPr>
          <w:rFonts w:hint="eastAsia"/>
        </w:rPr>
        <w:t>号法律产生了各种严重的后果，可能不过多地影响到妇女的生计和工作，包括影响带薪加班保护、不被终止雇用的保护以及妇女因新工资法而享有带薪休假的权利。</w:t>
      </w:r>
    </w:p>
    <w:p w14:paraId="1D5868D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42.</w:t>
      </w:r>
      <w:r w:rsidRPr="007A52CB">
        <w:rPr>
          <w:rFonts w:hint="eastAsia"/>
        </w:rPr>
        <w:tab/>
      </w:r>
      <w:r w:rsidRPr="007A52CB">
        <w:rPr>
          <w:rFonts w:eastAsia="黑体" w:hint="eastAsia"/>
        </w:rPr>
        <w:t>委员会建议缔约国：</w:t>
      </w:r>
    </w:p>
    <w:p w14:paraId="63BB078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加强相关措施，消除横向和纵向的职业隔离，增加妇女进入正规就业市场的机会，鼓励妇女和女童选择非传统职业道路，并优先考虑让妇女从兼职工作过渡到全职工作，辅之以适当的无障碍托儿设施；</w:t>
      </w:r>
    </w:p>
    <w:p w14:paraId="191B9BF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制定并执行公共政策，将社会保障的覆盖范围扩大到冲突局势中的妇女和非正规就业部门的妇女，特别是那些从事低薪、临时和兼职工作的妇女；</w:t>
      </w:r>
    </w:p>
    <w:p w14:paraId="533AD36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制定和执行全面的法律，以防止和应对工作场所包括性骚扰在内的性别暴力和骚扰；建立独立投诉机制，确保受害者能够切实获得补救，追究施害者的责任，包括起诉和惩罚施害者；确保包括移民女工在内的妇女获得医疗保健和基本服务，让她们不必担心被逮捕或驱逐出境；</w:t>
      </w:r>
    </w:p>
    <w:p w14:paraId="12CD089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定期审查所有部门的工资情况，采用注意性别平等问题的分析性工作分类和评价方法，定期开展劳动监察，并定期开展工资调查，从而有效贯彻同工同酬原则，进而缩小并最终消除性别工资差异；</w:t>
      </w:r>
    </w:p>
    <w:p w14:paraId="5ED01B9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(e)</w:t>
      </w:r>
      <w:r w:rsidRPr="007A52CB">
        <w:rPr>
          <w:rFonts w:eastAsia="黑体" w:hint="eastAsia"/>
        </w:rPr>
        <w:tab/>
      </w:r>
      <w:r w:rsidRPr="007A52CB">
        <w:rPr>
          <w:rFonts w:eastAsia="黑体" w:hint="eastAsia"/>
        </w:rPr>
        <w:t>根据关于渔民、养鱼户和盐农保护和增强权能的第</w:t>
      </w:r>
      <w:r w:rsidRPr="007A52CB">
        <w:rPr>
          <w:rFonts w:eastAsia="黑体" w:hint="eastAsia"/>
        </w:rPr>
        <w:t>7/201</w:t>
      </w:r>
      <w:r w:rsidRPr="007A52CB">
        <w:rPr>
          <w:rFonts w:eastAsia="黑体" w:hint="eastAsia"/>
        </w:rPr>
        <w:t>号法律、关于农民保护和增强权能的第</w:t>
      </w:r>
      <w:r w:rsidRPr="007A52CB">
        <w:rPr>
          <w:rFonts w:eastAsia="黑体" w:hint="eastAsia"/>
        </w:rPr>
        <w:t>19/2013</w:t>
      </w:r>
      <w:r w:rsidRPr="007A52CB">
        <w:rPr>
          <w:rFonts w:eastAsia="黑体" w:hint="eastAsia"/>
        </w:rPr>
        <w:t>号法律和关于食品的第</w:t>
      </w:r>
      <w:r w:rsidRPr="007A52CB">
        <w:rPr>
          <w:rFonts w:eastAsia="黑体" w:hint="eastAsia"/>
        </w:rPr>
        <w:t>18/2012</w:t>
      </w:r>
      <w:r w:rsidRPr="007A52CB">
        <w:rPr>
          <w:rFonts w:eastAsia="黑体" w:hint="eastAsia"/>
        </w:rPr>
        <w:t>号法律，保障妇女与男性切实平等享有权利；</w:t>
      </w:r>
    </w:p>
    <w:p w14:paraId="70C0592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(f)</w:t>
      </w:r>
      <w:r w:rsidRPr="007A52CB">
        <w:rPr>
          <w:rFonts w:eastAsia="黑体" w:hint="eastAsia"/>
        </w:rPr>
        <w:tab/>
      </w:r>
      <w:r w:rsidRPr="007A52CB">
        <w:rPr>
          <w:rFonts w:eastAsia="黑体" w:hint="eastAsia"/>
        </w:rPr>
        <w:t>毫不拖延地：㈠</w:t>
      </w:r>
      <w:r w:rsidRPr="007A52CB">
        <w:rPr>
          <w:rFonts w:eastAsia="黑体" w:hint="eastAsia"/>
        </w:rPr>
        <w:t xml:space="preserve"> </w:t>
      </w:r>
      <w:r w:rsidRPr="007A52CB">
        <w:rPr>
          <w:rFonts w:eastAsia="黑体" w:hint="eastAsia"/>
        </w:rPr>
        <w:t>通过关于家政工人的法律草案，该草案提供与第</w:t>
      </w:r>
      <w:r w:rsidRPr="007A52CB">
        <w:rPr>
          <w:rFonts w:eastAsia="黑体" w:hint="eastAsia"/>
        </w:rPr>
        <w:t>13/2003</w:t>
      </w:r>
      <w:r w:rsidRPr="007A52CB">
        <w:rPr>
          <w:rFonts w:eastAsia="黑体" w:hint="eastAsia"/>
        </w:rPr>
        <w:t>号人力法律规定的同等工作条件；㈡</w:t>
      </w:r>
      <w:r w:rsidRPr="007A52CB">
        <w:rPr>
          <w:rFonts w:eastAsia="黑体" w:hint="eastAsia"/>
        </w:rPr>
        <w:t xml:space="preserve"> </w:t>
      </w:r>
      <w:r w:rsidRPr="007A52CB">
        <w:rPr>
          <w:rFonts w:eastAsia="黑体" w:hint="eastAsia"/>
        </w:rPr>
        <w:t>批准劳工组织《</w:t>
      </w:r>
      <w:r w:rsidRPr="007A52CB">
        <w:rPr>
          <w:rFonts w:eastAsia="黑体" w:hint="eastAsia"/>
        </w:rPr>
        <w:t>2011</w:t>
      </w:r>
      <w:r w:rsidRPr="007A52CB">
        <w:rPr>
          <w:rFonts w:eastAsia="黑体" w:hint="eastAsia"/>
        </w:rPr>
        <w:t>年家庭工人公约》</w:t>
      </w:r>
      <w:r w:rsidRPr="007A52CB">
        <w:rPr>
          <w:rFonts w:eastAsia="黑体" w:hint="eastAsia"/>
        </w:rPr>
        <w:t>(</w:t>
      </w:r>
      <w:r w:rsidRPr="007A52CB">
        <w:rPr>
          <w:rFonts w:eastAsia="黑体" w:hint="eastAsia"/>
        </w:rPr>
        <w:t>第</w:t>
      </w:r>
      <w:r w:rsidRPr="007A52CB">
        <w:rPr>
          <w:rFonts w:eastAsia="黑体" w:hint="eastAsia"/>
        </w:rPr>
        <w:t>189</w:t>
      </w:r>
      <w:r w:rsidRPr="007A52CB">
        <w:rPr>
          <w:rFonts w:eastAsia="黑体" w:hint="eastAsia"/>
        </w:rPr>
        <w:t>号</w:t>
      </w:r>
      <w:r w:rsidRPr="007A52CB">
        <w:rPr>
          <w:rFonts w:eastAsia="黑体" w:hint="eastAsia"/>
        </w:rPr>
        <w:t>)</w:t>
      </w:r>
      <w:r w:rsidRPr="007A52CB">
        <w:rPr>
          <w:rFonts w:eastAsia="黑体" w:hint="eastAsia"/>
        </w:rPr>
        <w:t>；㈢</w:t>
      </w:r>
      <w:r w:rsidRPr="007A52CB">
        <w:rPr>
          <w:rFonts w:eastAsia="黑体" w:hint="eastAsia"/>
        </w:rPr>
        <w:t xml:space="preserve"> </w:t>
      </w:r>
      <w:r w:rsidRPr="007A52CB">
        <w:rPr>
          <w:rFonts w:eastAsia="黑体" w:hint="eastAsia"/>
        </w:rPr>
        <w:t>执行关于保护移民工人的第</w:t>
      </w:r>
      <w:r w:rsidRPr="007A52CB">
        <w:rPr>
          <w:rFonts w:eastAsia="黑体" w:hint="eastAsia"/>
        </w:rPr>
        <w:t>18/2017</w:t>
      </w:r>
      <w:r w:rsidRPr="007A52CB">
        <w:rPr>
          <w:rFonts w:eastAsia="黑体" w:hint="eastAsia"/>
        </w:rPr>
        <w:t>号法律；</w:t>
      </w:r>
    </w:p>
    <w:p w14:paraId="1E294EC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(g)</w:t>
      </w:r>
      <w:r w:rsidRPr="007A52CB">
        <w:rPr>
          <w:rFonts w:eastAsia="黑体" w:hint="eastAsia"/>
        </w:rPr>
        <w:tab/>
      </w:r>
      <w:r w:rsidRPr="007A52CB">
        <w:rPr>
          <w:rFonts w:eastAsia="黑体" w:hint="eastAsia"/>
        </w:rPr>
        <w:t>在公共和私营部门举办关于残疾问题的提高认识活动和培训活动，增加支助机制，确保残疾妇女找到可持续和有意义的工作，并公布关于劳动队伍中残疾妇女的最新详细统计数据；</w:t>
      </w:r>
    </w:p>
    <w:p w14:paraId="31C06D9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(h)</w:t>
      </w:r>
      <w:r w:rsidRPr="007A52CB">
        <w:rPr>
          <w:rFonts w:eastAsia="黑体" w:hint="eastAsia"/>
        </w:rPr>
        <w:tab/>
      </w:r>
      <w:r w:rsidRPr="007A52CB">
        <w:rPr>
          <w:rFonts w:eastAsia="黑体" w:hint="eastAsia"/>
        </w:rPr>
        <w:t>保障带薪产假、月经假和哺乳假，确保妇女受到保护，不会在关于创造就业的第</w:t>
      </w:r>
      <w:r w:rsidRPr="007A52CB">
        <w:rPr>
          <w:rFonts w:eastAsia="黑体" w:hint="eastAsia"/>
        </w:rPr>
        <w:t>11/2020</w:t>
      </w:r>
      <w:r w:rsidRPr="007A52CB">
        <w:rPr>
          <w:rFonts w:eastAsia="黑体" w:hint="eastAsia"/>
        </w:rPr>
        <w:t>号法律修改了加班时间和工资法的情况下还是被迫无薪加班。</w:t>
      </w:r>
    </w:p>
    <w:p w14:paraId="3E38AA92"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医疗卫生</w:t>
      </w:r>
    </w:p>
    <w:p w14:paraId="1EF47AC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43.</w:t>
      </w:r>
      <w:r w:rsidRPr="007A52CB">
        <w:rPr>
          <w:rFonts w:hint="eastAsia"/>
        </w:rPr>
        <w:tab/>
      </w:r>
      <w:r w:rsidRPr="007A52CB">
        <w:rPr>
          <w:rFonts w:hint="eastAsia"/>
        </w:rPr>
        <w:t>委员会赞扬缔约国扩大农村地区获得性健康和生殖健康服务、降低孕产妇和婴儿死亡率的努力，其中包括委员会主席提出的“他为她”影响促进者倡议。但是，委员会关切地注意到：</w:t>
      </w:r>
    </w:p>
    <w:p w14:paraId="2417190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农村地区妇女、感染艾滋病毒</w:t>
      </w:r>
      <w:r w:rsidRPr="007A52CB">
        <w:rPr>
          <w:rFonts w:hint="eastAsia"/>
        </w:rPr>
        <w:t>/</w:t>
      </w:r>
      <w:r w:rsidRPr="007A52CB">
        <w:rPr>
          <w:rFonts w:hint="eastAsia"/>
        </w:rPr>
        <w:t>艾滋病的妇女、残疾妇女、监狱妇女和使用毒品的妇女利用医疗保健系统的机会有限，并且系统内存在歧视和性别暴力；</w:t>
      </w:r>
    </w:p>
    <w:p w14:paraId="2528219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缺乏全面的适龄性教育，妇女根据关于人口和家庭发展的第</w:t>
      </w:r>
      <w:r w:rsidRPr="007A52CB">
        <w:rPr>
          <w:rFonts w:hint="eastAsia"/>
        </w:rPr>
        <w:t>52/2009</w:t>
      </w:r>
      <w:r w:rsidRPr="007A52CB">
        <w:rPr>
          <w:rFonts w:hint="eastAsia"/>
        </w:rPr>
        <w:t>号法律和关于健康的第</w:t>
      </w:r>
      <w:r w:rsidRPr="007A52CB">
        <w:rPr>
          <w:rFonts w:hint="eastAsia"/>
        </w:rPr>
        <w:t>36/2009</w:t>
      </w:r>
      <w:r w:rsidRPr="007A52CB">
        <w:rPr>
          <w:rFonts w:hint="eastAsia"/>
        </w:rPr>
        <w:t>号法律获得避孕措施、性健康和生殖健康服务的机会有限；</w:t>
      </w:r>
    </w:p>
    <w:p w14:paraId="0F9DAE52"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产妇死亡率和营养不良率很高，特别是在农村地区，包括巴布亚省、苏拉威西省、马鲁古省和努沙登加拉省；</w:t>
      </w:r>
    </w:p>
    <w:p w14:paraId="2F353B0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根据关于健康的第</w:t>
      </w:r>
      <w:r w:rsidRPr="007A52CB">
        <w:rPr>
          <w:rFonts w:hint="eastAsia"/>
        </w:rPr>
        <w:t>36/2009</w:t>
      </w:r>
      <w:r w:rsidRPr="007A52CB">
        <w:rPr>
          <w:rFonts w:hint="eastAsia"/>
        </w:rPr>
        <w:t>号法律第</w:t>
      </w:r>
      <w:r w:rsidRPr="007A52CB">
        <w:rPr>
          <w:rFonts w:hint="eastAsia"/>
        </w:rPr>
        <w:t>75</w:t>
      </w:r>
      <w:r w:rsidRPr="007A52CB">
        <w:rPr>
          <w:rFonts w:hint="eastAsia"/>
        </w:rPr>
        <w:t>条，合法堕胎的最低期限是六周，仅在强奸或威胁孕妇或胎儿生命的情况下才能堕胎，且须征得丈夫的同意；在强奸的情况下，还须获得医生的信件和专家关于声称强奸的正式声明才能堕胎，这会导致妇女进行不安全的堕胎；</w:t>
      </w:r>
    </w:p>
    <w:p w14:paraId="28277BE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(e)</w:t>
      </w:r>
      <w:r w:rsidRPr="007A52CB">
        <w:rPr>
          <w:rFonts w:hint="eastAsia"/>
        </w:rPr>
        <w:tab/>
      </w:r>
      <w:r w:rsidRPr="007A52CB">
        <w:rPr>
          <w:rFonts w:hint="eastAsia"/>
        </w:rPr>
        <w:t>在未事先获得其自由知情同意的情况下，对包括妇女和女童在内的智力或社会心理残疾者戴上镣铐或拘留，或将其强行安置在精神病院，并强迫其体检、接受治疗和用药。</w:t>
      </w:r>
    </w:p>
    <w:p w14:paraId="0DCA05E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44.</w:t>
      </w:r>
      <w:r w:rsidRPr="007A52CB">
        <w:rPr>
          <w:rFonts w:hint="eastAsia"/>
        </w:rPr>
        <w:tab/>
      </w:r>
      <w:r w:rsidRPr="007A52CB">
        <w:rPr>
          <w:rFonts w:eastAsia="黑体" w:hint="eastAsia"/>
        </w:rPr>
        <w:t>委员会建议缔约国：</w:t>
      </w:r>
    </w:p>
    <w:p w14:paraId="1A50F10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消除针对农村妇女、感染艾滋病毒</w:t>
      </w:r>
      <w:r w:rsidRPr="007A52CB">
        <w:rPr>
          <w:rFonts w:eastAsia="黑体" w:hint="eastAsia"/>
        </w:rPr>
        <w:t>/</w:t>
      </w:r>
      <w:r w:rsidRPr="007A52CB">
        <w:rPr>
          <w:rFonts w:eastAsia="黑体" w:hint="eastAsia"/>
        </w:rPr>
        <w:t>艾滋病的妇女、残疾妇女、被拘留的妇女和使用毒品的妇女的歧视、暴力和污名，确保她们获得适足的医疗服务，包括性健康和生殖健康服务、艾滋病毒治疗和戒毒服务；</w:t>
      </w:r>
    </w:p>
    <w:p w14:paraId="2E3B039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确保妇女和女童有效获得性健康和生殖健康信息和服务，包括适龄的性教育和现代避孕方法，特别是要废除限制获得避孕措施的立法和条例；</w:t>
      </w:r>
    </w:p>
    <w:p w14:paraId="2905893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通过培训卫生专业人员</w:t>
      </w:r>
      <w:r w:rsidRPr="007A52CB">
        <w:rPr>
          <w:rFonts w:eastAsia="黑体" w:hint="eastAsia"/>
        </w:rPr>
        <w:t>(</w:t>
      </w:r>
      <w:r w:rsidRPr="007A52CB">
        <w:rPr>
          <w:rFonts w:eastAsia="黑体" w:hint="eastAsia"/>
        </w:rPr>
        <w:t>特别是在农村地区</w:t>
      </w:r>
      <w:r w:rsidRPr="007A52CB">
        <w:rPr>
          <w:rFonts w:eastAsia="黑体" w:hint="eastAsia"/>
        </w:rPr>
        <w:t>)</w:t>
      </w:r>
      <w:r w:rsidRPr="007A52CB">
        <w:rPr>
          <w:rFonts w:eastAsia="黑体" w:hint="eastAsia"/>
        </w:rPr>
        <w:t>，确保所有分娩都由熟练的卫生保健人员接生，并通过协调努力，以战略性、顾及性别问题和适合当地文化的方式解决营养不良问题，加紧努力降低产妇死亡率和营养不良的发生率，扩大其全境的医疗服务覆盖面和获得医疗服务的机会；</w:t>
      </w:r>
    </w:p>
    <w:p w14:paraId="546E59F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延长堕胎的期限，规定在强奸、乱伦、危及孕妇生命和胚胎严重受损的情况下堕胎合法，在其他情况下堕胎一律不构成犯罪，并提供安全堕胎和堕胎后服务；</w:t>
      </w:r>
    </w:p>
    <w:p w14:paraId="287D9DFD"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(e)</w:t>
      </w:r>
      <w:r w:rsidRPr="007A52CB">
        <w:rPr>
          <w:rFonts w:eastAsia="黑体" w:hint="eastAsia"/>
        </w:rPr>
        <w:tab/>
      </w:r>
      <w:r w:rsidRPr="007A52CB">
        <w:rPr>
          <w:rFonts w:eastAsia="黑体" w:hint="eastAsia"/>
        </w:rPr>
        <w:t>废除基于实际或认为的智力或心理社会损害而剥夺残疾妇女和女童自由的做法，以及未经其自由和知情同意进行任何检查或治疗的做法，并调查、起诉和处罚在私人住宅中使用镣铐拘禁和强迫安置在精神病院的案件。</w:t>
      </w:r>
    </w:p>
    <w:p w14:paraId="7622BD29"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农村土著妇女</w:t>
      </w:r>
    </w:p>
    <w:p w14:paraId="2DBFCE5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45.</w:t>
      </w:r>
      <w:r w:rsidRPr="007A52CB">
        <w:rPr>
          <w:rFonts w:hint="eastAsia"/>
        </w:rPr>
        <w:tab/>
      </w:r>
      <w:r w:rsidRPr="007A52CB">
        <w:rPr>
          <w:rFonts w:hint="eastAsia"/>
        </w:rPr>
        <w:t>委员会欢迎缔约国努力建立规范框架，承认</w:t>
      </w:r>
      <w:r w:rsidRPr="007A52CB">
        <w:rPr>
          <w:rFonts w:hint="eastAsia"/>
          <w:i/>
          <w:iCs/>
        </w:rPr>
        <w:t>masyarakat</w:t>
      </w:r>
      <w:r w:rsidRPr="007A52CB">
        <w:rPr>
          <w:i/>
          <w:iCs/>
        </w:rPr>
        <w:t xml:space="preserve"> </w:t>
      </w:r>
      <w:r w:rsidRPr="007A52CB">
        <w:rPr>
          <w:rFonts w:hint="eastAsia"/>
          <w:i/>
          <w:iCs/>
        </w:rPr>
        <w:t>hukum adat</w:t>
      </w:r>
      <w:r w:rsidRPr="007A52CB">
        <w:rPr>
          <w:rFonts w:hint="eastAsia"/>
        </w:rPr>
        <w:t>(</w:t>
      </w:r>
      <w:r w:rsidRPr="007A52CB">
        <w:rPr>
          <w:rFonts w:hint="eastAsia"/>
        </w:rPr>
        <w:t>习惯法社区</w:t>
      </w:r>
      <w:r w:rsidRPr="007A52CB">
        <w:rPr>
          <w:rFonts w:hint="eastAsia"/>
        </w:rPr>
        <w:t>)</w:t>
      </w:r>
      <w:r w:rsidRPr="007A52CB">
        <w:rPr>
          <w:rFonts w:hint="eastAsia"/>
        </w:rPr>
        <w:t>在一定程度上的土地权。但是，委员会关切地注意到：</w:t>
      </w:r>
    </w:p>
    <w:p w14:paraId="325B068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缔约国只承认了九个习惯法社区，且农村和土著妇女受到自然资源开发、砍伐森林和农业扩张等发展项目以及由此引起的土地冲突的影响格外严重；</w:t>
      </w:r>
    </w:p>
    <w:p w14:paraId="6915D0E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关于创造就业的第</w:t>
      </w:r>
      <w:r w:rsidRPr="007A52CB">
        <w:rPr>
          <w:rFonts w:hint="eastAsia"/>
        </w:rPr>
        <w:t>11/2020</w:t>
      </w:r>
      <w:r w:rsidRPr="007A52CB">
        <w:rPr>
          <w:rFonts w:hint="eastAsia"/>
        </w:rPr>
        <w:t>号法律取消了对环境许可证和环境影响评估的要求，破坏了环境保护，从而威胁到土著妇女获得土地的机会；</w:t>
      </w:r>
    </w:p>
    <w:p w14:paraId="04FC8E7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(e)</w:t>
      </w:r>
      <w:r w:rsidRPr="007A52CB">
        <w:rPr>
          <w:rFonts w:hint="eastAsia"/>
        </w:rPr>
        <w:tab/>
      </w:r>
      <w:r w:rsidRPr="007A52CB">
        <w:rPr>
          <w:rFonts w:hint="eastAsia"/>
        </w:rPr>
        <w:t>没有将性别观点纳入发展项目决策进程；妇女，特别是农村土著妇女参与此类决策和政策制定的程度有限；</w:t>
      </w:r>
    </w:p>
    <w:p w14:paraId="67F2C69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土著妇女获得土地所有权、安全饮用水和适当卫生设施的机会有限。</w:t>
      </w:r>
    </w:p>
    <w:p w14:paraId="67BA959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46.</w:t>
      </w:r>
      <w:r w:rsidRPr="007A52CB">
        <w:rPr>
          <w:rFonts w:hint="eastAsia"/>
        </w:rPr>
        <w:tab/>
      </w:r>
      <w:r w:rsidRPr="007A52CB">
        <w:rPr>
          <w:rFonts w:eastAsia="黑体" w:hint="eastAsia"/>
        </w:rPr>
        <w:t>委员会建议缔约国：</w:t>
      </w:r>
    </w:p>
    <w:p w14:paraId="7C0A3EF6"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通过扩大习惯法社区的范围，废除或以其他方式修订损害土著妇女土地使用权的立法，包括关于创造就业的第</w:t>
      </w:r>
      <w:r w:rsidRPr="007A52CB">
        <w:rPr>
          <w:rFonts w:eastAsia="黑体" w:hint="eastAsia"/>
        </w:rPr>
        <w:t>11/2020</w:t>
      </w:r>
      <w:r w:rsidRPr="007A52CB">
        <w:rPr>
          <w:rFonts w:eastAsia="黑体" w:hint="eastAsia"/>
        </w:rPr>
        <w:t>号法律，加快努力保护土著妇女的自然资源和土地使用权；</w:t>
      </w:r>
    </w:p>
    <w:p w14:paraId="301E5389"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在所有环境影响评估中进行性别评估，确保农村和土著妇女能够充分促进国家的发展，规定任何土著土地的开发项目均须获得她们的自由、事先和知情同意，同时制定适当的惠益分享协议，并根据劳工组织《</w:t>
      </w:r>
      <w:r w:rsidRPr="007A52CB">
        <w:rPr>
          <w:rFonts w:eastAsia="黑体" w:hint="eastAsia"/>
        </w:rPr>
        <w:t>1989</w:t>
      </w:r>
      <w:r w:rsidRPr="007A52CB">
        <w:rPr>
          <w:rFonts w:eastAsia="黑体" w:hint="eastAsia"/>
        </w:rPr>
        <w:t>年土著和部落人民公约》</w:t>
      </w:r>
      <w:r w:rsidRPr="007A52CB">
        <w:rPr>
          <w:rFonts w:eastAsia="黑体" w:hint="eastAsia"/>
        </w:rPr>
        <w:t>(</w:t>
      </w:r>
      <w:r w:rsidRPr="007A52CB">
        <w:rPr>
          <w:rFonts w:eastAsia="黑体" w:hint="eastAsia"/>
        </w:rPr>
        <w:t>第</w:t>
      </w:r>
      <w:r w:rsidRPr="007A52CB">
        <w:rPr>
          <w:rFonts w:eastAsia="黑体" w:hint="eastAsia"/>
        </w:rPr>
        <w:t>169</w:t>
      </w:r>
      <w:r w:rsidRPr="007A52CB">
        <w:rPr>
          <w:rFonts w:eastAsia="黑体" w:hint="eastAsia"/>
        </w:rPr>
        <w:t>号</w:t>
      </w:r>
      <w:r w:rsidRPr="007A52CB">
        <w:rPr>
          <w:rFonts w:eastAsia="黑体" w:hint="eastAsia"/>
        </w:rPr>
        <w:t>)</w:t>
      </w:r>
      <w:r w:rsidRPr="007A52CB">
        <w:rPr>
          <w:rFonts w:eastAsia="黑体" w:hint="eastAsia"/>
        </w:rPr>
        <w:t>，为受这些项目影响的土著妇女提供适当的替代生计；</w:t>
      </w:r>
    </w:p>
    <w:p w14:paraId="1677857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消除在土地所有权方面歧视土著妇女的习俗，确保土著妇女获得基本服务、安全饮用水和适当的卫生设施。</w:t>
      </w:r>
    </w:p>
    <w:p w14:paraId="0247DFC8"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女同性恋、女双性恋、女跨性别者和间性者</w:t>
      </w:r>
    </w:p>
    <w:p w14:paraId="1A609BF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47.</w:t>
      </w:r>
      <w:r w:rsidRPr="007A52CB">
        <w:rPr>
          <w:rFonts w:hint="eastAsia"/>
        </w:rPr>
        <w:tab/>
      </w:r>
      <w:r w:rsidRPr="007A52CB">
        <w:rPr>
          <w:rFonts w:hint="eastAsia"/>
        </w:rPr>
        <w:t>委</w:t>
      </w:r>
      <w:r w:rsidRPr="007A52CB">
        <w:rPr>
          <w:rFonts w:hint="eastAsia"/>
          <w:spacing w:val="2"/>
        </w:rPr>
        <w:t>员会对针对女同性恋、女双性恋和女跨性别者的歧视性立法和省市级法令</w:t>
      </w:r>
      <w:r w:rsidRPr="007A52CB">
        <w:rPr>
          <w:rFonts w:hint="eastAsia"/>
        </w:rPr>
        <w:t>，包括亚齐的《伊斯兰刑法》感到关切。委员会还关切地注意到，针对女同性恋、女双性恋、女跨性别者和间性者的歧视性做法普遍存在，如社会排斥、仇恨言论和虐待行为以及警察任意拘留。</w:t>
      </w:r>
    </w:p>
    <w:p w14:paraId="074B9E2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48.</w:t>
      </w:r>
      <w:r w:rsidRPr="007A52CB">
        <w:rPr>
          <w:rFonts w:hint="eastAsia"/>
        </w:rPr>
        <w:tab/>
      </w:r>
      <w:r w:rsidRPr="007A52CB">
        <w:rPr>
          <w:rFonts w:eastAsia="黑体" w:hint="eastAsia"/>
        </w:rPr>
        <w:t>委员会建议缔约国：</w:t>
      </w:r>
    </w:p>
    <w:p w14:paraId="7AFE5B8F"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采取立法和政策措施，打击针对女同性恋、女双性恋、女跨性别者和间性者的性别暴力和歧视，包括仇恨言论以及身体、语言和情感虐待；</w:t>
      </w:r>
    </w:p>
    <w:p w14:paraId="0B0B7BA8"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在《公约》涵盖的所有领域保护女同性恋、女双性恋、女跨性别者和间性者的人权，并开展活动提高认识，消除社会对她们的污名化。</w:t>
      </w:r>
    </w:p>
    <w:p w14:paraId="52939580"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难民妇女和寻求庇护的妇女</w:t>
      </w:r>
    </w:p>
    <w:p w14:paraId="02DB358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49.</w:t>
      </w:r>
      <w:r w:rsidRPr="007A52CB">
        <w:rPr>
          <w:rFonts w:hint="eastAsia"/>
        </w:rPr>
        <w:tab/>
      </w:r>
      <w:r w:rsidRPr="007A52CB">
        <w:rPr>
          <w:rFonts w:hint="eastAsia"/>
        </w:rPr>
        <w:t>委员会感到关切的是，有资料表明，现行难民和庇护规定既未赋予难民和寻求庇护者获得基本服务的机会，也未赋予她们获得工作的权利，使难民妇女和寻求庇护的妇女面临极高的受剥削风险。</w:t>
      </w:r>
    </w:p>
    <w:p w14:paraId="2EA24B3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50.</w:t>
      </w:r>
      <w:r w:rsidRPr="007A52CB">
        <w:rPr>
          <w:rFonts w:hint="eastAsia"/>
        </w:rPr>
        <w:tab/>
      </w:r>
      <w:r w:rsidRPr="007A52CB">
        <w:rPr>
          <w:rFonts w:ascii="黑体" w:eastAsia="黑体" w:hAnsi="黑体" w:hint="eastAsia"/>
        </w:rPr>
        <w:t>委员会建议缔约国修订难民和庇护立法，保障难民和寻求庇护者以及其他需要国际保护的人的基本社会经济权利，包括给予他们工作权</w:t>
      </w:r>
      <w:r w:rsidRPr="007A52CB">
        <w:rPr>
          <w:rFonts w:hint="eastAsia"/>
        </w:rPr>
        <w:t>。</w:t>
      </w:r>
    </w:p>
    <w:p w14:paraId="232BA95D"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婚姻和家庭关系</w:t>
      </w:r>
    </w:p>
    <w:p w14:paraId="5D0D2A5A" w14:textId="5F6171B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51.</w:t>
      </w:r>
      <w:r w:rsidRPr="007A52CB">
        <w:rPr>
          <w:rFonts w:hint="eastAsia"/>
        </w:rPr>
        <w:tab/>
      </w:r>
      <w:r w:rsidRPr="007A52CB">
        <w:rPr>
          <w:rFonts w:hint="eastAsia"/>
        </w:rPr>
        <w:t>委员会注意到缔约国开展了制止童婚的全国运动，包括在</w:t>
      </w:r>
      <w:r w:rsidRPr="007A52CB">
        <w:rPr>
          <w:rFonts w:hint="eastAsia"/>
        </w:rPr>
        <w:t>2020-2024</w:t>
      </w:r>
      <w:r w:rsidRPr="007A52CB">
        <w:rPr>
          <w:rFonts w:hint="eastAsia"/>
        </w:rPr>
        <w:t>年《国家中期发展计划》中设定减少童婚的目标。然而，委员会重申其先前的关切</w:t>
      </w:r>
      <w:r w:rsidRPr="007A52CB">
        <w:rPr>
          <w:rFonts w:hint="eastAsia"/>
        </w:rPr>
        <w:t>(</w:t>
      </w:r>
      <w:hyperlink r:id="rId26" w:history="1">
        <w:r w:rsidRPr="007A52CB">
          <w:rPr>
            <w:rFonts w:hint="eastAsia"/>
            <w:color w:val="0000FF"/>
          </w:rPr>
          <w:t>UNEP/C/IDN/CO/6-7</w:t>
        </w:r>
      </w:hyperlink>
      <w:r w:rsidRPr="007A52CB">
        <w:rPr>
          <w:rFonts w:hint="eastAsia"/>
        </w:rPr>
        <w:t>，第</w:t>
      </w:r>
      <w:r w:rsidRPr="007A52CB">
        <w:rPr>
          <w:rFonts w:hint="eastAsia"/>
        </w:rPr>
        <w:t>47</w:t>
      </w:r>
      <w:r w:rsidRPr="007A52CB">
        <w:rPr>
          <w:rFonts w:hint="eastAsia"/>
        </w:rPr>
        <w:t>段</w:t>
      </w:r>
      <w:r w:rsidRPr="007A52CB">
        <w:rPr>
          <w:rFonts w:hint="eastAsia"/>
        </w:rPr>
        <w:t>)</w:t>
      </w:r>
      <w:r w:rsidRPr="007A52CB">
        <w:rPr>
          <w:rFonts w:hint="eastAsia"/>
        </w:rPr>
        <w:t>，即没有制定一项具有明确优先事项和时间表的有效战略来消除婚姻和家庭关系中对妇女和女童的歧视。委员会特别关切：</w:t>
      </w:r>
    </w:p>
    <w:p w14:paraId="5D1EA92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(a)</w:t>
      </w:r>
      <w:r w:rsidRPr="007A52CB">
        <w:rPr>
          <w:rFonts w:hint="eastAsia"/>
        </w:rPr>
        <w:tab/>
      </w:r>
      <w:r w:rsidRPr="007A52CB">
        <w:rPr>
          <w:rFonts w:hint="eastAsia"/>
        </w:rPr>
        <w:t>关于婚姻的第</w:t>
      </w:r>
      <w:r w:rsidRPr="007A52CB">
        <w:rPr>
          <w:rFonts w:hint="eastAsia"/>
        </w:rPr>
        <w:t>16/2019</w:t>
      </w:r>
      <w:r w:rsidRPr="007A52CB">
        <w:rPr>
          <w:rFonts w:hint="eastAsia"/>
        </w:rPr>
        <w:t>号法律第</w:t>
      </w:r>
      <w:r w:rsidRPr="007A52CB">
        <w:rPr>
          <w:rFonts w:hint="eastAsia"/>
        </w:rPr>
        <w:t>7(2)</w:t>
      </w:r>
      <w:r w:rsidRPr="007A52CB">
        <w:rPr>
          <w:rFonts w:hint="eastAsia"/>
        </w:rPr>
        <w:t>条授权宗教法院豁免法定最低结婚年龄，这导致童婚持续存在，特别是在农村地区；</w:t>
      </w:r>
    </w:p>
    <w:p w14:paraId="7C4CB4B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(b)</w:t>
      </w:r>
      <w:r w:rsidRPr="007A52CB">
        <w:rPr>
          <w:rFonts w:hint="eastAsia"/>
        </w:rPr>
        <w:tab/>
      </w:r>
      <w:r w:rsidRPr="007A52CB">
        <w:rPr>
          <w:rFonts w:hint="eastAsia"/>
        </w:rPr>
        <w:t>迟迟没有撤销或修订关于婚姻的第</w:t>
      </w:r>
      <w:r w:rsidRPr="007A52CB">
        <w:rPr>
          <w:rFonts w:hint="eastAsia"/>
        </w:rPr>
        <w:t>16/2019</w:t>
      </w:r>
      <w:r w:rsidRPr="007A52CB">
        <w:rPr>
          <w:rFonts w:hint="eastAsia"/>
        </w:rPr>
        <w:t>号法律和《民法》中的歧视性条款以及其他歧视性条款，包括：㈠</w:t>
      </w:r>
      <w:r w:rsidRPr="007A52CB">
        <w:rPr>
          <w:rFonts w:hint="eastAsia"/>
        </w:rPr>
        <w:t xml:space="preserve"> </w:t>
      </w:r>
      <w:r w:rsidRPr="007A52CB">
        <w:rPr>
          <w:rFonts w:hint="eastAsia"/>
        </w:rPr>
        <w:t>准许一夫多妻制</w:t>
      </w:r>
      <w:r w:rsidRPr="007A52CB">
        <w:rPr>
          <w:rFonts w:hint="eastAsia"/>
        </w:rPr>
        <w:t>(</w:t>
      </w:r>
      <w:r w:rsidRPr="007A52CB">
        <w:rPr>
          <w:rFonts w:hint="eastAsia"/>
        </w:rPr>
        <w:t>关于婚姻的第</w:t>
      </w:r>
      <w:r w:rsidRPr="007A52CB">
        <w:rPr>
          <w:rFonts w:hint="eastAsia"/>
        </w:rPr>
        <w:t>16/2019</w:t>
      </w:r>
      <w:r w:rsidRPr="007A52CB">
        <w:rPr>
          <w:rFonts w:hint="eastAsia"/>
        </w:rPr>
        <w:t>号法律中第</w:t>
      </w:r>
      <w:r w:rsidRPr="007A52CB">
        <w:rPr>
          <w:rFonts w:hint="eastAsia"/>
        </w:rPr>
        <w:t>3</w:t>
      </w:r>
      <w:r w:rsidRPr="007A52CB">
        <w:rPr>
          <w:rFonts w:hint="eastAsia"/>
        </w:rPr>
        <w:t>、</w:t>
      </w:r>
      <w:r w:rsidRPr="007A52CB">
        <w:rPr>
          <w:rFonts w:hint="eastAsia"/>
        </w:rPr>
        <w:t>4.1</w:t>
      </w:r>
      <w:r w:rsidRPr="007A52CB">
        <w:rPr>
          <w:rFonts w:hint="eastAsia"/>
        </w:rPr>
        <w:t>和</w:t>
      </w:r>
      <w:r w:rsidRPr="007A52CB">
        <w:rPr>
          <w:rFonts w:hint="eastAsia"/>
        </w:rPr>
        <w:t>4.2</w:t>
      </w:r>
      <w:r w:rsidRPr="007A52CB">
        <w:rPr>
          <w:rFonts w:hint="eastAsia"/>
        </w:rPr>
        <w:t>号条</w:t>
      </w:r>
      <w:r w:rsidRPr="007A52CB">
        <w:rPr>
          <w:rFonts w:hint="eastAsia"/>
        </w:rPr>
        <w:t>)</w:t>
      </w:r>
      <w:r w:rsidRPr="007A52CB">
        <w:rPr>
          <w:rFonts w:hint="eastAsia"/>
        </w:rPr>
        <w:t>；㈡</w:t>
      </w:r>
      <w:r w:rsidRPr="007A52CB">
        <w:rPr>
          <w:rFonts w:hint="eastAsia"/>
        </w:rPr>
        <w:t xml:space="preserve"> </w:t>
      </w:r>
      <w:r w:rsidRPr="007A52CB">
        <w:rPr>
          <w:rFonts w:hint="eastAsia"/>
        </w:rPr>
        <w:t>规定男子为户主</w:t>
      </w:r>
      <w:r w:rsidRPr="007A52CB">
        <w:rPr>
          <w:rFonts w:hint="eastAsia"/>
        </w:rPr>
        <w:t>(</w:t>
      </w:r>
      <w:r w:rsidRPr="007A52CB">
        <w:rPr>
          <w:rFonts w:hint="eastAsia"/>
        </w:rPr>
        <w:t>关于婚姻的第</w:t>
      </w:r>
      <w:r w:rsidRPr="007A52CB">
        <w:rPr>
          <w:rFonts w:hint="eastAsia"/>
        </w:rPr>
        <w:t>16/2019</w:t>
      </w:r>
      <w:r w:rsidRPr="007A52CB">
        <w:rPr>
          <w:rFonts w:hint="eastAsia"/>
        </w:rPr>
        <w:t>号法律第</w:t>
      </w:r>
      <w:r w:rsidRPr="007A52CB">
        <w:rPr>
          <w:rFonts w:hint="eastAsia"/>
        </w:rPr>
        <w:t>31</w:t>
      </w:r>
      <w:r w:rsidRPr="007A52CB">
        <w:rPr>
          <w:rFonts w:hint="eastAsia"/>
        </w:rPr>
        <w:t>和</w:t>
      </w:r>
      <w:r w:rsidRPr="007A52CB">
        <w:rPr>
          <w:rFonts w:hint="eastAsia"/>
        </w:rPr>
        <w:t>34</w:t>
      </w:r>
      <w:r w:rsidRPr="007A52CB">
        <w:rPr>
          <w:rFonts w:hint="eastAsia"/>
        </w:rPr>
        <w:t>条以及《民法》第</w:t>
      </w:r>
      <w:r w:rsidRPr="007A52CB">
        <w:rPr>
          <w:rFonts w:hint="eastAsia"/>
        </w:rPr>
        <w:t>105</w:t>
      </w:r>
      <w:r w:rsidRPr="007A52CB">
        <w:rPr>
          <w:rFonts w:hint="eastAsia"/>
        </w:rPr>
        <w:t>和</w:t>
      </w:r>
      <w:r w:rsidRPr="007A52CB">
        <w:rPr>
          <w:rFonts w:hint="eastAsia"/>
        </w:rPr>
        <w:t>106</w:t>
      </w:r>
      <w:r w:rsidRPr="007A52CB">
        <w:rPr>
          <w:rFonts w:hint="eastAsia"/>
        </w:rPr>
        <w:t>条</w:t>
      </w:r>
      <w:r w:rsidRPr="007A52CB">
        <w:rPr>
          <w:rFonts w:hint="eastAsia"/>
        </w:rPr>
        <w:t>)</w:t>
      </w:r>
      <w:r w:rsidRPr="007A52CB">
        <w:rPr>
          <w:rFonts w:hint="eastAsia"/>
        </w:rPr>
        <w:t>；㈢</w:t>
      </w:r>
      <w:r w:rsidRPr="007A52CB">
        <w:rPr>
          <w:rFonts w:hint="eastAsia"/>
        </w:rPr>
        <w:t xml:space="preserve"> </w:t>
      </w:r>
      <w:r w:rsidRPr="007A52CB">
        <w:rPr>
          <w:rFonts w:hint="eastAsia"/>
        </w:rPr>
        <w:t>在继承权问题上歧视妇女；以及㈣</w:t>
      </w:r>
      <w:r w:rsidRPr="007A52CB">
        <w:rPr>
          <w:rFonts w:hint="eastAsia"/>
        </w:rPr>
        <w:t xml:space="preserve"> </w:t>
      </w:r>
      <w:r w:rsidRPr="007A52CB">
        <w:rPr>
          <w:rFonts w:hint="eastAsia"/>
        </w:rPr>
        <w:t>将穆斯林妇女排除在《民法》结婚和离婚之外；</w:t>
      </w:r>
    </w:p>
    <w:p w14:paraId="25BE492B"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(c)</w:t>
      </w:r>
      <w:r w:rsidRPr="007A52CB">
        <w:rPr>
          <w:rFonts w:hint="eastAsia"/>
        </w:rPr>
        <w:tab/>
      </w:r>
      <w:r w:rsidRPr="007A52CB">
        <w:rPr>
          <w:rFonts w:hint="eastAsia"/>
        </w:rPr>
        <w:t>未登记婚姻的数量很多，导致此类婚姻中的妇女得不到保护；</w:t>
      </w:r>
    </w:p>
    <w:p w14:paraId="1009CB5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tab/>
      </w:r>
      <w:r w:rsidRPr="007A52CB">
        <w:rPr>
          <w:rFonts w:hint="eastAsia"/>
        </w:rPr>
        <w:t>(d)</w:t>
      </w:r>
      <w:r w:rsidRPr="007A52CB">
        <w:rPr>
          <w:rFonts w:hint="eastAsia"/>
        </w:rPr>
        <w:tab/>
      </w:r>
      <w:r w:rsidRPr="007A52CB">
        <w:rPr>
          <w:rFonts w:hint="eastAsia"/>
        </w:rPr>
        <w:t>在包括松巴在内的几个地区，抢亲行为普遍存在，导致强迫婚姻。</w:t>
      </w:r>
    </w:p>
    <w:p w14:paraId="62CB9955" w14:textId="38545F29"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52.</w:t>
      </w:r>
      <w:r w:rsidRPr="007A52CB">
        <w:rPr>
          <w:rFonts w:hint="eastAsia"/>
        </w:rPr>
        <w:tab/>
      </w:r>
      <w:r w:rsidRPr="007A52CB">
        <w:rPr>
          <w:rFonts w:eastAsia="黑体" w:hint="eastAsia"/>
        </w:rPr>
        <w:t>委员会回顾其先前的结论性意见</w:t>
      </w:r>
      <w:r w:rsidRPr="007A52CB">
        <w:rPr>
          <w:rFonts w:eastAsia="黑体" w:hint="eastAsia"/>
        </w:rPr>
        <w:t>(</w:t>
      </w:r>
      <w:hyperlink r:id="rId27" w:history="1">
        <w:r w:rsidRPr="007A52CB">
          <w:rPr>
            <w:rFonts w:eastAsia="黑体" w:hint="eastAsia"/>
            <w:color w:val="0000FF"/>
          </w:rPr>
          <w:t>CEDAW/C/IDN/CO/6-7</w:t>
        </w:r>
      </w:hyperlink>
      <w:r w:rsidRPr="007A52CB">
        <w:rPr>
          <w:rFonts w:eastAsia="黑体" w:hint="eastAsia"/>
        </w:rPr>
        <w:t>，第</w:t>
      </w:r>
      <w:r w:rsidRPr="007A52CB">
        <w:rPr>
          <w:rFonts w:eastAsia="黑体" w:hint="eastAsia"/>
        </w:rPr>
        <w:t>48</w:t>
      </w:r>
      <w:r w:rsidRPr="007A52CB">
        <w:rPr>
          <w:rFonts w:eastAsia="黑体" w:hint="eastAsia"/>
        </w:rPr>
        <w:t>段</w:t>
      </w:r>
      <w:r w:rsidRPr="007A52CB">
        <w:rPr>
          <w:rFonts w:eastAsia="黑体" w:hint="eastAsia"/>
        </w:rPr>
        <w:t>)</w:t>
      </w:r>
      <w:r w:rsidRPr="007A52CB">
        <w:rPr>
          <w:rFonts w:eastAsia="黑体" w:hint="eastAsia"/>
        </w:rPr>
        <w:t>以及关于婚姻和家庭关系中的平等的第</w:t>
      </w:r>
      <w:r w:rsidRPr="007A52CB">
        <w:rPr>
          <w:rFonts w:eastAsia="黑体" w:hint="eastAsia"/>
        </w:rPr>
        <w:t>21</w:t>
      </w:r>
      <w:r w:rsidRPr="007A52CB">
        <w:rPr>
          <w:rFonts w:eastAsia="黑体" w:hint="eastAsia"/>
        </w:rPr>
        <w:t>号一般性建议</w:t>
      </w:r>
      <w:r w:rsidRPr="007A52CB">
        <w:rPr>
          <w:rFonts w:eastAsia="黑体" w:hint="eastAsia"/>
        </w:rPr>
        <w:t>(1994</w:t>
      </w:r>
      <w:r w:rsidRPr="007A52CB">
        <w:rPr>
          <w:rFonts w:eastAsia="黑体" w:hint="eastAsia"/>
        </w:rPr>
        <w:t>年</w:t>
      </w:r>
      <w:r w:rsidRPr="007A52CB">
        <w:rPr>
          <w:rFonts w:eastAsia="黑体" w:hint="eastAsia"/>
        </w:rPr>
        <w:t>)</w:t>
      </w:r>
      <w:r w:rsidRPr="007A52CB">
        <w:rPr>
          <w:rFonts w:eastAsia="黑体" w:hint="eastAsia"/>
        </w:rPr>
        <w:t>和关于婚姻、家庭关系及其解除的经济后果的第</w:t>
      </w:r>
      <w:r w:rsidRPr="007A52CB">
        <w:rPr>
          <w:rFonts w:eastAsia="黑体" w:hint="eastAsia"/>
        </w:rPr>
        <w:t>29</w:t>
      </w:r>
      <w:r w:rsidRPr="007A52CB">
        <w:rPr>
          <w:rFonts w:eastAsia="黑体" w:hint="eastAsia"/>
        </w:rPr>
        <w:t>号一般性建议</w:t>
      </w:r>
      <w:r w:rsidRPr="007A52CB">
        <w:rPr>
          <w:rFonts w:eastAsia="黑体" w:hint="eastAsia"/>
        </w:rPr>
        <w:t>(2013</w:t>
      </w:r>
      <w:r w:rsidRPr="007A52CB">
        <w:rPr>
          <w:rFonts w:eastAsia="黑体" w:hint="eastAsia"/>
        </w:rPr>
        <w:t>年</w:t>
      </w:r>
      <w:r w:rsidRPr="007A52CB">
        <w:rPr>
          <w:rFonts w:eastAsia="黑体" w:hint="eastAsia"/>
        </w:rPr>
        <w:t>)</w:t>
      </w:r>
      <w:r w:rsidRPr="007A52CB">
        <w:rPr>
          <w:rFonts w:eastAsia="黑体" w:hint="eastAsia"/>
        </w:rPr>
        <w:t>，并建议缔约国制定一项有明确优先事项和时间表的有效战略，以消除婚姻和家庭关系中对妇女的歧视。委员会建议缔约国：</w:t>
      </w:r>
    </w:p>
    <w:p w14:paraId="37C636F5"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(a)</w:t>
      </w:r>
      <w:r w:rsidRPr="007A52CB">
        <w:rPr>
          <w:rFonts w:eastAsia="黑体" w:hint="eastAsia"/>
        </w:rPr>
        <w:tab/>
      </w:r>
      <w:r w:rsidRPr="007A52CB">
        <w:rPr>
          <w:rFonts w:eastAsia="黑体" w:hint="eastAsia"/>
        </w:rPr>
        <w:t>废除对第</w:t>
      </w:r>
      <w:r w:rsidRPr="007A52CB">
        <w:rPr>
          <w:rFonts w:eastAsia="黑体" w:hint="eastAsia"/>
        </w:rPr>
        <w:t>16/2019</w:t>
      </w:r>
      <w:r w:rsidRPr="007A52CB">
        <w:rPr>
          <w:rFonts w:eastAsia="黑体" w:hint="eastAsia"/>
        </w:rPr>
        <w:t>号法律第</w:t>
      </w:r>
      <w:r w:rsidRPr="007A52CB">
        <w:rPr>
          <w:rFonts w:eastAsia="黑体" w:hint="eastAsia"/>
        </w:rPr>
        <w:t>7(2)</w:t>
      </w:r>
      <w:r w:rsidRPr="007A52CB">
        <w:rPr>
          <w:rFonts w:eastAsia="黑体" w:hint="eastAsia"/>
        </w:rPr>
        <w:t>条禁止</w:t>
      </w:r>
      <w:r w:rsidRPr="007A52CB">
        <w:rPr>
          <w:rFonts w:eastAsia="黑体" w:hint="eastAsia"/>
        </w:rPr>
        <w:t>18</w:t>
      </w:r>
      <w:r w:rsidRPr="007A52CB">
        <w:rPr>
          <w:rFonts w:eastAsia="黑体" w:hint="eastAsia"/>
        </w:rPr>
        <w:t>岁以下未成年人结婚的例外情况，包括禁止司法豁免结婚年龄；避免</w:t>
      </w:r>
      <w:r w:rsidRPr="007A52CB">
        <w:rPr>
          <w:rFonts w:eastAsia="黑体" w:hint="eastAsia"/>
        </w:rPr>
        <w:t>ijbar</w:t>
      </w:r>
      <w:r w:rsidRPr="007A52CB">
        <w:rPr>
          <w:rFonts w:eastAsia="黑体" w:hint="eastAsia"/>
        </w:rPr>
        <w:t>和</w:t>
      </w:r>
      <w:r w:rsidRPr="007A52CB">
        <w:rPr>
          <w:rFonts w:eastAsia="黑体" w:hint="eastAsia"/>
        </w:rPr>
        <w:t>muhrim</w:t>
      </w:r>
      <w:r w:rsidRPr="007A52CB">
        <w:rPr>
          <w:rFonts w:eastAsia="黑体" w:hint="eastAsia"/>
        </w:rPr>
        <w:t>等父权婚姻传统；并要求在所有婚姻中征得女性的完全同意；</w:t>
      </w:r>
    </w:p>
    <w:p w14:paraId="4A37301E"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(b)</w:t>
      </w:r>
      <w:r w:rsidRPr="007A52CB">
        <w:rPr>
          <w:rFonts w:eastAsia="黑体" w:hint="eastAsia"/>
        </w:rPr>
        <w:tab/>
      </w:r>
      <w:r w:rsidRPr="007A52CB">
        <w:rPr>
          <w:rFonts w:eastAsia="黑体" w:hint="eastAsia"/>
        </w:rPr>
        <w:t>采取措施，提高全国对童婚给女童造成有害影响的认识，并对司法人员进行系统培训，以确保他们认识到妇女和儿童的权利以及他们自己在保护童婚受害者方面的作用；</w:t>
      </w:r>
    </w:p>
    <w:p w14:paraId="423DC3F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(c)</w:t>
      </w:r>
      <w:r w:rsidRPr="007A52CB">
        <w:rPr>
          <w:rFonts w:eastAsia="黑体" w:hint="eastAsia"/>
        </w:rPr>
        <w:tab/>
      </w:r>
      <w:r w:rsidRPr="007A52CB">
        <w:rPr>
          <w:rFonts w:eastAsia="黑体" w:hint="eastAsia"/>
        </w:rPr>
        <w:t>毫不拖延地修改有关婚姻的第</w:t>
      </w:r>
      <w:r w:rsidRPr="007A52CB">
        <w:rPr>
          <w:rFonts w:eastAsia="黑体" w:hint="eastAsia"/>
        </w:rPr>
        <w:t>16/2019</w:t>
      </w:r>
      <w:r w:rsidRPr="007A52CB">
        <w:rPr>
          <w:rFonts w:eastAsia="黑体" w:hint="eastAsia"/>
        </w:rPr>
        <w:t>号法律和《民法》中的歧视性条款，以及任何其他歧视性规定，以期㈠</w:t>
      </w:r>
      <w:r w:rsidRPr="007A52CB">
        <w:rPr>
          <w:rFonts w:eastAsia="黑体" w:hint="eastAsia"/>
        </w:rPr>
        <w:t xml:space="preserve"> </w:t>
      </w:r>
      <w:r w:rsidRPr="007A52CB">
        <w:rPr>
          <w:rFonts w:eastAsia="黑体" w:hint="eastAsia"/>
        </w:rPr>
        <w:t>禁止一夫多妻制；㈡</w:t>
      </w:r>
      <w:r w:rsidRPr="007A52CB">
        <w:rPr>
          <w:rFonts w:eastAsia="黑体" w:hint="eastAsia"/>
        </w:rPr>
        <w:t xml:space="preserve"> </w:t>
      </w:r>
      <w:r w:rsidRPr="007A52CB">
        <w:rPr>
          <w:rFonts w:eastAsia="黑体" w:hint="eastAsia"/>
        </w:rPr>
        <w:t>确保男女享有平等继承权；㈢</w:t>
      </w:r>
      <w:r w:rsidRPr="007A52CB">
        <w:rPr>
          <w:rFonts w:eastAsia="黑体" w:hint="eastAsia"/>
        </w:rPr>
        <w:t xml:space="preserve"> </w:t>
      </w:r>
      <w:r w:rsidRPr="007A52CB">
        <w:rPr>
          <w:rFonts w:eastAsia="黑体" w:hint="eastAsia"/>
        </w:rPr>
        <w:t>使缔约国所有妇女都能办理公证结婚和离婚手续；</w:t>
      </w:r>
    </w:p>
    <w:p w14:paraId="5692D49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(d)</w:t>
      </w:r>
      <w:r w:rsidRPr="007A52CB">
        <w:rPr>
          <w:rFonts w:eastAsia="黑体" w:hint="eastAsia"/>
        </w:rPr>
        <w:tab/>
      </w:r>
      <w:r w:rsidRPr="007A52CB">
        <w:rPr>
          <w:rFonts w:eastAsia="黑体" w:hint="eastAsia"/>
        </w:rPr>
        <w:t>保护未登记婚姻中妇女的权利，并要求对所有婚姻进行民事登记，使其具有法律效力；</w:t>
      </w:r>
    </w:p>
    <w:p w14:paraId="59F33944"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eastAsia="黑体"/>
        </w:rPr>
        <w:tab/>
      </w:r>
      <w:r w:rsidRPr="007A52CB">
        <w:rPr>
          <w:rFonts w:eastAsia="黑体" w:hint="eastAsia"/>
        </w:rPr>
        <w:t>(e)</w:t>
      </w:r>
      <w:r w:rsidRPr="007A52CB">
        <w:rPr>
          <w:rFonts w:eastAsia="黑体" w:hint="eastAsia"/>
        </w:rPr>
        <w:tab/>
      </w:r>
      <w:r w:rsidRPr="007A52CB">
        <w:rPr>
          <w:rFonts w:eastAsia="黑体" w:hint="eastAsia"/>
        </w:rPr>
        <w:t>确保强迫婚姻案件得到有效调查，施害者受到起诉和适当惩罚，强迫婚姻中的妇女和女童能够获得保护，包括庇护所和受害者支助服务。</w:t>
      </w:r>
    </w:p>
    <w:p w14:paraId="62E8C250"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《公约任择议定书》和《公约》第二十条第</w:t>
      </w:r>
      <w:r w:rsidRPr="007A52CB">
        <w:rPr>
          <w:rFonts w:eastAsia="黑体" w:hint="eastAsia"/>
          <w:szCs w:val="21"/>
        </w:rPr>
        <w:t>1</w:t>
      </w:r>
      <w:r w:rsidRPr="007A52CB">
        <w:rPr>
          <w:rFonts w:eastAsia="黑体" w:hint="eastAsia"/>
          <w:szCs w:val="21"/>
        </w:rPr>
        <w:t>款修正案</w:t>
      </w:r>
    </w:p>
    <w:p w14:paraId="16736463"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53.</w:t>
      </w:r>
      <w:r w:rsidRPr="007A52CB">
        <w:rPr>
          <w:rFonts w:hint="eastAsia"/>
        </w:rPr>
        <w:tab/>
      </w:r>
      <w:r w:rsidRPr="007A52CB">
        <w:rPr>
          <w:rFonts w:eastAsia="黑体" w:hint="eastAsia"/>
        </w:rPr>
        <w:t>委员会鼓励缔约国批准《公约任择议定书》并尽快接受关于委员会会议时间的《公约》第二十条第</w:t>
      </w:r>
      <w:r w:rsidRPr="007A52CB">
        <w:rPr>
          <w:rFonts w:eastAsia="黑体" w:hint="eastAsia"/>
        </w:rPr>
        <w:t>1</w:t>
      </w:r>
      <w:r w:rsidRPr="007A52CB">
        <w:rPr>
          <w:rFonts w:eastAsia="黑体" w:hint="eastAsia"/>
        </w:rPr>
        <w:t>款修正案</w:t>
      </w:r>
      <w:r w:rsidRPr="007A52CB">
        <w:rPr>
          <w:rFonts w:hint="eastAsia"/>
        </w:rPr>
        <w:t>。</w:t>
      </w:r>
    </w:p>
    <w:p w14:paraId="63DEDDF7"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《北京宣言》和《行动纲要》</w:t>
      </w:r>
    </w:p>
    <w:p w14:paraId="77F628D0"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54.</w:t>
      </w:r>
      <w:r w:rsidRPr="007A52CB">
        <w:rPr>
          <w:rFonts w:hint="eastAsia"/>
        </w:rPr>
        <w:tab/>
      </w:r>
      <w:r w:rsidRPr="007A52CB">
        <w:rPr>
          <w:rFonts w:eastAsia="黑体" w:hint="eastAsia"/>
        </w:rPr>
        <w:t>委员会吁请缔约国利用《北京宣言》和《行动纲要》，并在对《宣言》和《纲要》实施情况进行</w:t>
      </w:r>
      <w:r w:rsidRPr="007A52CB">
        <w:rPr>
          <w:rFonts w:eastAsia="黑体" w:hint="eastAsia"/>
        </w:rPr>
        <w:t>25</w:t>
      </w:r>
      <w:r w:rsidRPr="007A52CB">
        <w:rPr>
          <w:rFonts w:eastAsia="黑体" w:hint="eastAsia"/>
        </w:rPr>
        <w:t>年审查的背景下，进一步评价《公约》所载各项权利的落实情况，以实现男女实质平等</w:t>
      </w:r>
      <w:r w:rsidRPr="007A52CB">
        <w:rPr>
          <w:rFonts w:hint="eastAsia"/>
        </w:rPr>
        <w:t>。</w:t>
      </w:r>
    </w:p>
    <w:p w14:paraId="3988BCD5"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p>
    <w:p w14:paraId="4DC1083A"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传播</w:t>
      </w:r>
    </w:p>
    <w:p w14:paraId="0165728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55.</w:t>
      </w:r>
      <w:r w:rsidRPr="007A52CB">
        <w:rPr>
          <w:rFonts w:hint="eastAsia"/>
        </w:rPr>
        <w:tab/>
      </w:r>
      <w:r w:rsidRPr="007A52CB">
        <w:rPr>
          <w:rFonts w:eastAsia="黑体" w:hint="eastAsia"/>
        </w:rPr>
        <w:t>委员会请缔约国确保以官方语言向</w:t>
      </w:r>
      <w:r w:rsidRPr="007A52CB">
        <w:rPr>
          <w:rFonts w:eastAsia="黑体" w:hint="eastAsia"/>
        </w:rPr>
        <w:t>(</w:t>
      </w:r>
      <w:r w:rsidRPr="007A52CB">
        <w:rPr>
          <w:rFonts w:eastAsia="黑体" w:hint="eastAsia"/>
        </w:rPr>
        <w:t>国家、地区和地方</w:t>
      </w:r>
      <w:r w:rsidRPr="007A52CB">
        <w:rPr>
          <w:rFonts w:eastAsia="黑体" w:hint="eastAsia"/>
        </w:rPr>
        <w:t>)</w:t>
      </w:r>
      <w:r w:rsidRPr="007A52CB">
        <w:rPr>
          <w:rFonts w:eastAsia="黑体" w:hint="eastAsia"/>
        </w:rPr>
        <w:t>各级相关国家机构，尤其是向政府、人民协商会议和司法部门及时传播本结论性意见，使之得到充分落实。</w:t>
      </w:r>
    </w:p>
    <w:p w14:paraId="2BE7C6F7"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技术援助</w:t>
      </w:r>
    </w:p>
    <w:p w14:paraId="75C8B95C"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56.</w:t>
      </w:r>
      <w:r w:rsidRPr="007A52CB">
        <w:rPr>
          <w:rFonts w:hint="eastAsia"/>
        </w:rPr>
        <w:tab/>
      </w:r>
      <w:r w:rsidRPr="007A52CB">
        <w:rPr>
          <w:rFonts w:eastAsia="黑体" w:hint="eastAsia"/>
        </w:rPr>
        <w:t>委员会建议缔约国将《公约》的执行工作与本国的发展努力联系起来，并利用这方面的区域或国际技术援助</w:t>
      </w:r>
      <w:r w:rsidRPr="007A52CB">
        <w:rPr>
          <w:rFonts w:hint="eastAsia"/>
        </w:rPr>
        <w:t>。</w:t>
      </w:r>
    </w:p>
    <w:p w14:paraId="307BFCA4"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批准其他条约</w:t>
      </w:r>
    </w:p>
    <w:p w14:paraId="1F97E557"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57.</w:t>
      </w:r>
      <w:r w:rsidRPr="007A52CB">
        <w:rPr>
          <w:rFonts w:hint="eastAsia"/>
        </w:rPr>
        <w:tab/>
      </w:r>
      <w:r w:rsidRPr="007A52CB">
        <w:rPr>
          <w:rFonts w:eastAsia="黑体" w:hint="eastAsia"/>
        </w:rPr>
        <w:t>委员会指出，缔约国如能加入九项主要国际人权文书，</w:t>
      </w:r>
      <w:r w:rsidRPr="007A52CB">
        <w:rPr>
          <w:rFonts w:eastAsia="黑体"/>
          <w:vertAlign w:val="superscript"/>
        </w:rPr>
        <w:footnoteReference w:id="1"/>
      </w:r>
      <w:r w:rsidRPr="007A52CB">
        <w:rPr>
          <w:rFonts w:eastAsia="黑体" w:hint="eastAsia"/>
        </w:rPr>
        <w:t xml:space="preserve"> </w:t>
      </w:r>
      <w:r w:rsidRPr="007A52CB">
        <w:rPr>
          <w:rFonts w:eastAsia="黑体" w:hint="eastAsia"/>
        </w:rPr>
        <w:t>将会促进妇女在生活各个方面享受人权和基本自由。因此，委员会鼓励缔约国批准其尚未加入的《保护所有人免遭强迫失踪国际公约》</w:t>
      </w:r>
      <w:r w:rsidRPr="007A52CB">
        <w:rPr>
          <w:rFonts w:hint="eastAsia"/>
        </w:rPr>
        <w:t>。</w:t>
      </w:r>
    </w:p>
    <w:p w14:paraId="2145F234"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后续落实结论性意见</w:t>
      </w:r>
    </w:p>
    <w:p w14:paraId="13698631"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rPr>
      </w:pPr>
      <w:r w:rsidRPr="007A52CB">
        <w:rPr>
          <w:rFonts w:hint="eastAsia"/>
        </w:rPr>
        <w:t>58.</w:t>
      </w:r>
      <w:r w:rsidRPr="007A52CB">
        <w:rPr>
          <w:rFonts w:hint="eastAsia"/>
        </w:rPr>
        <w:tab/>
      </w:r>
      <w:r w:rsidRPr="007A52CB">
        <w:rPr>
          <w:rFonts w:eastAsia="黑体" w:hint="eastAsia"/>
        </w:rPr>
        <w:t>令委员会感到遗憾的是，缔约国没有提交资料说明它采取了什么措施来执行委员会在上一份结论性意见中提出的应立即采取行动的那些具体建议。委员会请缔约国在两年内提供书面资料，说明为执行上文第</w:t>
      </w:r>
      <w:r w:rsidRPr="007A52CB">
        <w:rPr>
          <w:rFonts w:eastAsia="黑体" w:hint="eastAsia"/>
        </w:rPr>
        <w:t>14(a)</w:t>
      </w:r>
      <w:r w:rsidRPr="007A52CB">
        <w:rPr>
          <w:rFonts w:eastAsia="黑体" w:hint="eastAsia"/>
        </w:rPr>
        <w:t>、</w:t>
      </w:r>
      <w:r w:rsidRPr="007A52CB">
        <w:rPr>
          <w:rFonts w:eastAsia="黑体" w:hint="eastAsia"/>
        </w:rPr>
        <w:t>24(a)</w:t>
      </w:r>
      <w:r w:rsidRPr="007A52CB">
        <w:rPr>
          <w:rFonts w:eastAsia="黑体" w:hint="eastAsia"/>
        </w:rPr>
        <w:t>、</w:t>
      </w:r>
      <w:r w:rsidRPr="007A52CB">
        <w:rPr>
          <w:rFonts w:eastAsia="黑体" w:hint="eastAsia"/>
        </w:rPr>
        <w:t>26(d)</w:t>
      </w:r>
      <w:r w:rsidRPr="007A52CB">
        <w:rPr>
          <w:rFonts w:eastAsia="黑体" w:hint="eastAsia"/>
        </w:rPr>
        <w:t>和</w:t>
      </w:r>
      <w:r w:rsidRPr="007A52CB">
        <w:rPr>
          <w:rFonts w:eastAsia="黑体" w:hint="eastAsia"/>
        </w:rPr>
        <w:t>52(c)</w:t>
      </w:r>
      <w:r w:rsidRPr="007A52CB">
        <w:rPr>
          <w:rFonts w:eastAsia="黑体" w:hint="eastAsia"/>
        </w:rPr>
        <w:t>段所载建议而采取的步骤。</w:t>
      </w:r>
    </w:p>
    <w:p w14:paraId="524DBC59" w14:textId="77777777" w:rsidR="007A52CB" w:rsidRPr="007A52CB" w:rsidRDefault="007A52CB" w:rsidP="007A52CB">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7A52CB">
        <w:rPr>
          <w:rFonts w:eastAsia="黑体" w:hint="eastAsia"/>
          <w:szCs w:val="21"/>
        </w:rPr>
        <w:tab/>
      </w:r>
      <w:r w:rsidRPr="007A52CB">
        <w:rPr>
          <w:rFonts w:eastAsia="黑体" w:hint="eastAsia"/>
          <w:szCs w:val="21"/>
        </w:rPr>
        <w:tab/>
      </w:r>
      <w:r w:rsidRPr="007A52CB">
        <w:rPr>
          <w:rFonts w:eastAsia="黑体" w:hint="eastAsia"/>
          <w:szCs w:val="21"/>
        </w:rPr>
        <w:t>编写下次报告</w:t>
      </w:r>
    </w:p>
    <w:p w14:paraId="0B3F852A" w14:textId="77777777" w:rsidR="007A52CB" w:rsidRPr="007A52CB" w:rsidRDefault="007A52CB" w:rsidP="007A52C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7A52CB">
        <w:rPr>
          <w:rFonts w:hint="eastAsia"/>
        </w:rPr>
        <w:t>59.</w:t>
      </w:r>
      <w:r w:rsidRPr="007A52CB">
        <w:rPr>
          <w:rFonts w:hint="eastAsia"/>
        </w:rPr>
        <w:tab/>
      </w:r>
      <w:r w:rsidRPr="007A52CB">
        <w:rPr>
          <w:rFonts w:eastAsia="黑体" w:hint="eastAsia"/>
        </w:rPr>
        <w:t>委员会请缔约国于</w:t>
      </w:r>
      <w:r w:rsidRPr="007A52CB">
        <w:rPr>
          <w:rFonts w:eastAsia="黑体" w:hint="eastAsia"/>
        </w:rPr>
        <w:t>2025</w:t>
      </w:r>
      <w:r w:rsidRPr="007A52CB">
        <w:rPr>
          <w:rFonts w:eastAsia="黑体" w:hint="eastAsia"/>
        </w:rPr>
        <w:t>年</w:t>
      </w:r>
      <w:r w:rsidRPr="007A52CB">
        <w:rPr>
          <w:rFonts w:eastAsia="黑体" w:hint="eastAsia"/>
        </w:rPr>
        <w:t>11</w:t>
      </w:r>
      <w:r w:rsidRPr="007A52CB">
        <w:rPr>
          <w:rFonts w:eastAsia="黑体" w:hint="eastAsia"/>
        </w:rPr>
        <w:t>月提交其第九次定期报告。报告应按时提交并涵盖截至提交之时的整个时期</w:t>
      </w:r>
      <w:r w:rsidRPr="007A52CB">
        <w:rPr>
          <w:rFonts w:hint="eastAsia"/>
        </w:rPr>
        <w:t>。</w:t>
      </w:r>
    </w:p>
    <w:p w14:paraId="083514BB" w14:textId="35A2E2F0" w:rsidR="00B31E9D" w:rsidRDefault="007A52CB" w:rsidP="007A52CB">
      <w:pPr>
        <w:pStyle w:val="SingleTxt"/>
        <w:rPr>
          <w:rFonts w:eastAsia="黑体"/>
        </w:rPr>
      </w:pPr>
      <w:r w:rsidRPr="007A52CB">
        <w:rPr>
          <w:rFonts w:hint="eastAsia"/>
        </w:rPr>
        <w:t>60.</w:t>
      </w:r>
      <w:r w:rsidRPr="007A52CB">
        <w:rPr>
          <w:rFonts w:hint="eastAsia"/>
        </w:rPr>
        <w:tab/>
      </w:r>
      <w:r w:rsidRPr="007A52CB">
        <w:rPr>
          <w:rFonts w:eastAsia="黑体" w:hint="eastAsia"/>
        </w:rPr>
        <w:t>委员会请缔约国遵守《包括共同核心文件和条约专要文件准则在内的根据国际人权条约提交报告的协调准则》</w:t>
      </w:r>
      <w:r w:rsidRPr="007A52CB">
        <w:rPr>
          <w:rFonts w:eastAsia="黑体" w:hint="eastAsia"/>
        </w:rPr>
        <w:t>(</w:t>
      </w:r>
      <w:r w:rsidRPr="007A52CB">
        <w:rPr>
          <w:rFonts w:eastAsia="黑体" w:hint="eastAsia"/>
        </w:rPr>
        <w:t>见</w:t>
      </w:r>
      <w:hyperlink r:id="rId28" w:history="1">
        <w:r w:rsidRPr="007A52CB">
          <w:rPr>
            <w:rFonts w:eastAsia="黑体" w:hint="eastAsia"/>
            <w:color w:val="0000FF"/>
          </w:rPr>
          <w:t>HRI/GEN/2/Rev.6</w:t>
        </w:r>
      </w:hyperlink>
      <w:r w:rsidRPr="007A52CB">
        <w:rPr>
          <w:rFonts w:eastAsia="黑体" w:hint="eastAsia"/>
        </w:rPr>
        <w:t>，第一章</w:t>
      </w:r>
      <w:r w:rsidRPr="007A52CB">
        <w:rPr>
          <w:rFonts w:eastAsia="黑体" w:hint="eastAsia"/>
        </w:rPr>
        <w:t>)</w:t>
      </w:r>
      <w:r w:rsidRPr="007A52CB">
        <w:rPr>
          <w:rFonts w:eastAsia="黑体" w:hint="eastAsia"/>
        </w:rPr>
        <w:t>。</w:t>
      </w:r>
    </w:p>
    <w:p w14:paraId="1BC28DD7" w14:textId="4B0A01EE" w:rsidR="007A52CB" w:rsidRPr="007A52CB" w:rsidRDefault="007A52CB" w:rsidP="007A52CB">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59F8F7A1" wp14:editId="6D5514F1">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10C38F3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40B0F4AF" w14:textId="3E1207C1" w:rsidR="007A52CB" w:rsidRPr="007A52CB" w:rsidRDefault="007A52CB" w:rsidP="007A52CB">
      <w:pPr>
        <w:tabs>
          <w:tab w:val="left" w:pos="2126"/>
        </w:tabs>
      </w:pPr>
    </w:p>
    <w:sectPr w:rsidR="007A52CB" w:rsidRPr="007A52CB" w:rsidSect="007A52CB">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1-11T15:33:00Z" w:initials="Start">
    <w:p w14:paraId="0903D808" w14:textId="77777777" w:rsidR="00F50665" w:rsidRDefault="00F50665">
      <w:pPr>
        <w:pStyle w:val="a9"/>
      </w:pPr>
      <w:r>
        <w:rPr>
          <w:rStyle w:val="ad"/>
        </w:rPr>
        <w:annotationRef/>
      </w:r>
      <w:r>
        <w:t>&lt;&lt;ODS JOB NO&gt;&gt;N2135388C&lt;&lt;ODS JOB NO&gt;&gt;</w:t>
      </w:r>
    </w:p>
    <w:p w14:paraId="73835397" w14:textId="77777777" w:rsidR="00F50665" w:rsidRDefault="00F50665">
      <w:pPr>
        <w:pStyle w:val="a9"/>
      </w:pPr>
      <w:r>
        <w:t>&lt;&lt;ODS DOC SYMBOL1&gt;&gt;CEDAW/C/IDN/CO/8&lt;&lt;ODS DOC SYMBOL1&gt;&gt;</w:t>
      </w:r>
    </w:p>
    <w:p w14:paraId="102AB9E6" w14:textId="77777777" w:rsidR="00F50665" w:rsidRDefault="00F5066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2AB9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821B7" w16cex:dateUtc="2022-01-11T2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2AB9E6" w16cid:durableId="258821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26A55" w14:textId="77777777" w:rsidR="00F52E4D" w:rsidRDefault="00F52E4D">
      <w:r>
        <w:separator/>
      </w:r>
    </w:p>
  </w:endnote>
  <w:endnote w:type="continuationSeparator" w:id="0">
    <w:p w14:paraId="297FEFEB" w14:textId="77777777" w:rsidR="00F52E4D" w:rsidRDefault="00F52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0665" w14:paraId="0A003A81" w14:textId="77777777" w:rsidTr="00F50665">
      <w:tc>
        <w:tcPr>
          <w:tcW w:w="4920" w:type="dxa"/>
          <w:shd w:val="clear" w:color="auto" w:fill="auto"/>
        </w:tcPr>
        <w:p w14:paraId="381F3903" w14:textId="597AEB01" w:rsidR="00F50665" w:rsidRPr="00F50665" w:rsidRDefault="00F50665" w:rsidP="00F5066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2004">
            <w:rPr>
              <w:b w:val="0"/>
              <w:w w:val="103"/>
              <w:sz w:val="14"/>
            </w:rPr>
            <w:t>21-17276</w:t>
          </w:r>
          <w:r>
            <w:rPr>
              <w:b w:val="0"/>
              <w:w w:val="103"/>
              <w:sz w:val="14"/>
            </w:rPr>
            <w:fldChar w:fldCharType="end"/>
          </w:r>
        </w:p>
      </w:tc>
      <w:tc>
        <w:tcPr>
          <w:tcW w:w="4920" w:type="dxa"/>
          <w:shd w:val="clear" w:color="auto" w:fill="auto"/>
        </w:tcPr>
        <w:p w14:paraId="20DAEE99" w14:textId="77777777" w:rsidR="00F50665" w:rsidRPr="00F50665" w:rsidRDefault="00F50665" w:rsidP="00F5066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D10EF3" w14:textId="77777777" w:rsidR="00F50665" w:rsidRPr="00F50665" w:rsidRDefault="00F50665" w:rsidP="00F5066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0665" w14:paraId="7083FF05" w14:textId="77777777" w:rsidTr="00F50665">
      <w:tc>
        <w:tcPr>
          <w:tcW w:w="4920" w:type="dxa"/>
          <w:shd w:val="clear" w:color="auto" w:fill="auto"/>
        </w:tcPr>
        <w:p w14:paraId="678E96CD" w14:textId="77777777" w:rsidR="00F50665" w:rsidRPr="00F50665" w:rsidRDefault="00F50665" w:rsidP="00F50665">
          <w:pPr>
            <w:pStyle w:val="af2"/>
            <w:jc w:val="right"/>
          </w:pPr>
          <w:r>
            <w:fldChar w:fldCharType="begin"/>
          </w:r>
          <w:r>
            <w:instrText xml:space="preserve"> PAGE  \* Arabic  \* MERGEFORMAT </w:instrText>
          </w:r>
          <w:r>
            <w:fldChar w:fldCharType="separate"/>
          </w:r>
          <w:r>
            <w:t>2</w:t>
          </w:r>
          <w:r>
            <w:fldChar w:fldCharType="end"/>
          </w:r>
          <w:r>
            <w:t>/</w:t>
          </w:r>
          <w:r w:rsidR="00462004">
            <w:fldChar w:fldCharType="begin"/>
          </w:r>
          <w:r w:rsidR="00462004">
            <w:instrText xml:space="preserve"> NUMPAGES  \* Arabic  \* MERGEFORMAT </w:instrText>
          </w:r>
          <w:r w:rsidR="00462004">
            <w:fldChar w:fldCharType="separate"/>
          </w:r>
          <w:r>
            <w:t>3</w:t>
          </w:r>
          <w:r w:rsidR="00462004">
            <w:fldChar w:fldCharType="end"/>
          </w:r>
        </w:p>
      </w:tc>
      <w:tc>
        <w:tcPr>
          <w:tcW w:w="4920" w:type="dxa"/>
          <w:shd w:val="clear" w:color="auto" w:fill="auto"/>
        </w:tcPr>
        <w:p w14:paraId="643C187A" w14:textId="34982B00" w:rsidR="00F50665" w:rsidRPr="00F50665" w:rsidRDefault="00F50665" w:rsidP="00F5066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2004">
            <w:rPr>
              <w:b w:val="0"/>
              <w:w w:val="103"/>
              <w:sz w:val="14"/>
            </w:rPr>
            <w:t>21-17276</w:t>
          </w:r>
          <w:r>
            <w:rPr>
              <w:b w:val="0"/>
              <w:w w:val="103"/>
              <w:sz w:val="14"/>
            </w:rPr>
            <w:fldChar w:fldCharType="end"/>
          </w:r>
        </w:p>
      </w:tc>
    </w:tr>
  </w:tbl>
  <w:p w14:paraId="12DB68F1" w14:textId="77777777" w:rsidR="00F50665" w:rsidRPr="00F50665" w:rsidRDefault="00F50665" w:rsidP="00F5066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F50665" w14:paraId="6913F850" w14:textId="77777777" w:rsidTr="00F50665">
      <w:tc>
        <w:tcPr>
          <w:tcW w:w="3744" w:type="dxa"/>
          <w:shd w:val="clear" w:color="auto" w:fill="auto"/>
        </w:tcPr>
        <w:p w14:paraId="7B1E0350" w14:textId="0EBF87DC" w:rsidR="00F50665" w:rsidRDefault="00F50665" w:rsidP="00F50665">
          <w:pPr>
            <w:pStyle w:val="Release"/>
          </w:pPr>
          <w:r>
            <w:rPr>
              <w:noProof/>
            </w:rPr>
            <w:drawing>
              <wp:anchor distT="0" distB="0" distL="114300" distR="114300" simplePos="0" relativeHeight="251658240" behindDoc="0" locked="0" layoutInCell="1" allowOverlap="1" wp14:anchorId="15828D87" wp14:editId="4C7C250C">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62004">
            <w:fldChar w:fldCharType="begin"/>
          </w:r>
          <w:r w:rsidR="00462004">
            <w:instrText xml:space="preserve"> DOCVARIABLE "jobn" \* MERGEFORMAT </w:instrText>
          </w:r>
          <w:r w:rsidR="00462004">
            <w:fldChar w:fldCharType="separate"/>
          </w:r>
          <w:r w:rsidR="00462004">
            <w:t>21-17276 (C)</w:t>
          </w:r>
          <w:r w:rsidR="00462004">
            <w:fldChar w:fldCharType="end"/>
          </w:r>
          <w:r>
            <w:t xml:space="preserve">    </w:t>
          </w:r>
          <w:r w:rsidR="007A52CB">
            <w:t>07</w:t>
          </w:r>
          <w:r>
            <w:t>0122    110122</w:t>
          </w:r>
        </w:p>
        <w:p w14:paraId="49721786" w14:textId="77777777" w:rsidR="00F50665" w:rsidRPr="00F50665" w:rsidRDefault="00F50665" w:rsidP="00F50665">
          <w:pPr>
            <w:spacing w:before="80" w:line="210" w:lineRule="exact"/>
            <w:rPr>
              <w:rFonts w:ascii="Barcode 3 of 9 by request" w:hAnsi="Barcode 3 of 9 by request"/>
              <w:sz w:val="24"/>
            </w:rPr>
          </w:pPr>
          <w:r>
            <w:rPr>
              <w:rFonts w:ascii="Barcode 3 of 9 by request" w:hAnsi="Barcode 3 of 9 by request"/>
              <w:b/>
              <w:sz w:val="24"/>
            </w:rPr>
            <w:t>*2117276*</w:t>
          </w:r>
        </w:p>
      </w:tc>
      <w:tc>
        <w:tcPr>
          <w:tcW w:w="4920" w:type="dxa"/>
          <w:shd w:val="clear" w:color="auto" w:fill="auto"/>
        </w:tcPr>
        <w:p w14:paraId="38FD50DD" w14:textId="77777777" w:rsidR="00F50665" w:rsidRDefault="00F50665" w:rsidP="00F50665">
          <w:pPr>
            <w:pStyle w:val="af2"/>
            <w:jc w:val="right"/>
            <w:rPr>
              <w:b w:val="0"/>
              <w:sz w:val="21"/>
            </w:rPr>
          </w:pPr>
          <w:r>
            <w:rPr>
              <w:b w:val="0"/>
              <w:sz w:val="21"/>
            </w:rPr>
            <w:drawing>
              <wp:inline distT="0" distB="0" distL="0" distR="0" wp14:anchorId="51A60F41" wp14:editId="6AA41EE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E2A0096" w14:textId="77777777" w:rsidR="00F50665" w:rsidRPr="00F50665" w:rsidRDefault="00F50665" w:rsidP="00F5066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9460F" w14:textId="5A8C7319" w:rsidR="00F52E4D" w:rsidRPr="007A52CB" w:rsidRDefault="007A52CB" w:rsidP="007A52CB">
      <w:pPr>
        <w:pStyle w:val="af2"/>
        <w:spacing w:after="80"/>
        <w:ind w:left="792"/>
        <w:rPr>
          <w:sz w:val="16"/>
        </w:rPr>
      </w:pPr>
      <w:r w:rsidRPr="007A52CB">
        <w:rPr>
          <w:sz w:val="16"/>
        </w:rPr>
        <w:t>__________________</w:t>
      </w:r>
    </w:p>
  </w:footnote>
  <w:footnote w:type="continuationSeparator" w:id="0">
    <w:p w14:paraId="1CF94B9D" w14:textId="0122024D" w:rsidR="00F52E4D" w:rsidRPr="007A52CB" w:rsidRDefault="007A52CB" w:rsidP="007A52CB">
      <w:pPr>
        <w:pStyle w:val="af2"/>
        <w:spacing w:after="80"/>
        <w:ind w:left="792"/>
        <w:rPr>
          <w:sz w:val="16"/>
        </w:rPr>
      </w:pPr>
      <w:r w:rsidRPr="007A52CB">
        <w:rPr>
          <w:sz w:val="16"/>
        </w:rPr>
        <w:t>__________________</w:t>
      </w:r>
    </w:p>
  </w:footnote>
  <w:footnote w:id="1">
    <w:p w14:paraId="310356E7" w14:textId="77777777" w:rsidR="007A52CB" w:rsidRPr="00A0097B" w:rsidRDefault="007A52CB" w:rsidP="007A52CB">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0097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50665" w14:paraId="708CC374" w14:textId="77777777" w:rsidTr="00F50665">
      <w:trPr>
        <w:trHeight w:hRule="exact" w:val="864"/>
      </w:trPr>
      <w:tc>
        <w:tcPr>
          <w:tcW w:w="4925" w:type="dxa"/>
          <w:shd w:val="clear" w:color="auto" w:fill="auto"/>
          <w:vAlign w:val="bottom"/>
        </w:tcPr>
        <w:p w14:paraId="72CC78C7" w14:textId="786AA0C6" w:rsidR="00F50665" w:rsidRPr="00F50665" w:rsidRDefault="00F50665" w:rsidP="00F5066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62004">
            <w:rPr>
              <w:b/>
              <w:sz w:val="17"/>
            </w:rPr>
            <w:t>CEDAW/C/IDN/CO/8</w:t>
          </w:r>
          <w:r>
            <w:rPr>
              <w:b/>
              <w:sz w:val="17"/>
            </w:rPr>
            <w:fldChar w:fldCharType="end"/>
          </w:r>
        </w:p>
      </w:tc>
      <w:tc>
        <w:tcPr>
          <w:tcW w:w="4920" w:type="dxa"/>
          <w:shd w:val="clear" w:color="auto" w:fill="auto"/>
          <w:vAlign w:val="bottom"/>
        </w:tcPr>
        <w:p w14:paraId="29425392" w14:textId="77777777" w:rsidR="00F50665" w:rsidRDefault="00F50665" w:rsidP="00F50665">
          <w:pPr>
            <w:pStyle w:val="af0"/>
          </w:pPr>
        </w:p>
      </w:tc>
    </w:tr>
  </w:tbl>
  <w:p w14:paraId="63333AEA" w14:textId="77777777" w:rsidR="00F50665" w:rsidRPr="00F50665" w:rsidRDefault="00F50665" w:rsidP="00F5066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50665" w14:paraId="5B6A324A" w14:textId="77777777" w:rsidTr="00F50665">
      <w:trPr>
        <w:trHeight w:hRule="exact" w:val="864"/>
      </w:trPr>
      <w:tc>
        <w:tcPr>
          <w:tcW w:w="4925" w:type="dxa"/>
          <w:shd w:val="clear" w:color="auto" w:fill="auto"/>
          <w:vAlign w:val="bottom"/>
        </w:tcPr>
        <w:p w14:paraId="16D13AAD" w14:textId="77777777" w:rsidR="00F50665" w:rsidRDefault="00F50665" w:rsidP="00F50665">
          <w:pPr>
            <w:pStyle w:val="af0"/>
          </w:pPr>
        </w:p>
      </w:tc>
      <w:tc>
        <w:tcPr>
          <w:tcW w:w="4920" w:type="dxa"/>
          <w:shd w:val="clear" w:color="auto" w:fill="auto"/>
          <w:vAlign w:val="bottom"/>
        </w:tcPr>
        <w:p w14:paraId="73C4AE93" w14:textId="728A8AC0" w:rsidR="00F50665" w:rsidRPr="00F50665" w:rsidRDefault="00F50665" w:rsidP="00F5066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62004">
            <w:rPr>
              <w:b/>
              <w:sz w:val="17"/>
            </w:rPr>
            <w:t>CEDAW/C/IDN/CO/8</w:t>
          </w:r>
          <w:r>
            <w:rPr>
              <w:b/>
              <w:sz w:val="17"/>
            </w:rPr>
            <w:fldChar w:fldCharType="end"/>
          </w:r>
        </w:p>
      </w:tc>
    </w:tr>
  </w:tbl>
  <w:p w14:paraId="14182883" w14:textId="77777777" w:rsidR="00F50665" w:rsidRPr="00F50665" w:rsidRDefault="00F50665" w:rsidP="00F5066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50665" w14:paraId="3D8095C0" w14:textId="77777777" w:rsidTr="00F50665">
      <w:trPr>
        <w:trHeight w:hRule="exact" w:val="864"/>
      </w:trPr>
      <w:tc>
        <w:tcPr>
          <w:tcW w:w="1267" w:type="dxa"/>
          <w:tcBorders>
            <w:bottom w:val="single" w:sz="4" w:space="0" w:color="auto"/>
          </w:tcBorders>
          <w:shd w:val="clear" w:color="auto" w:fill="auto"/>
          <w:vAlign w:val="bottom"/>
        </w:tcPr>
        <w:p w14:paraId="1DAB69E8" w14:textId="77777777" w:rsidR="00F50665" w:rsidRDefault="00F50665" w:rsidP="00F50665">
          <w:pPr>
            <w:pStyle w:val="af0"/>
            <w:spacing w:after="120"/>
          </w:pPr>
        </w:p>
      </w:tc>
      <w:tc>
        <w:tcPr>
          <w:tcW w:w="1872" w:type="dxa"/>
          <w:tcBorders>
            <w:bottom w:val="single" w:sz="4" w:space="0" w:color="auto"/>
          </w:tcBorders>
          <w:shd w:val="clear" w:color="auto" w:fill="auto"/>
          <w:vAlign w:val="bottom"/>
        </w:tcPr>
        <w:p w14:paraId="540AA67F" w14:textId="77777777" w:rsidR="00F50665" w:rsidRPr="00F50665" w:rsidRDefault="00F50665" w:rsidP="00F5066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7A23F56" w14:textId="77777777" w:rsidR="00F50665" w:rsidRDefault="00F50665" w:rsidP="00F50665">
          <w:pPr>
            <w:pStyle w:val="af0"/>
            <w:spacing w:after="120"/>
          </w:pPr>
        </w:p>
      </w:tc>
      <w:tc>
        <w:tcPr>
          <w:tcW w:w="6437" w:type="dxa"/>
          <w:gridSpan w:val="3"/>
          <w:tcBorders>
            <w:bottom w:val="single" w:sz="4" w:space="0" w:color="auto"/>
          </w:tcBorders>
          <w:shd w:val="clear" w:color="auto" w:fill="auto"/>
          <w:vAlign w:val="bottom"/>
        </w:tcPr>
        <w:p w14:paraId="6664A0FA" w14:textId="77777777" w:rsidR="00F50665" w:rsidRPr="00F50665" w:rsidRDefault="00F50665" w:rsidP="00F50665">
          <w:pPr>
            <w:spacing w:after="80" w:line="240" w:lineRule="auto"/>
            <w:jc w:val="right"/>
            <w:rPr>
              <w:position w:val="-4"/>
            </w:rPr>
          </w:pPr>
          <w:r>
            <w:rPr>
              <w:position w:val="-4"/>
              <w:sz w:val="40"/>
            </w:rPr>
            <w:t>CEDAW</w:t>
          </w:r>
          <w:r>
            <w:rPr>
              <w:position w:val="-4"/>
            </w:rPr>
            <w:t>/C/IDN/CO/8</w:t>
          </w:r>
        </w:p>
      </w:tc>
    </w:tr>
    <w:tr w:rsidR="00F50665" w:rsidRPr="00F50665" w14:paraId="45BD0E86" w14:textId="77777777" w:rsidTr="00F50665">
      <w:trPr>
        <w:trHeight w:hRule="exact" w:val="2880"/>
      </w:trPr>
      <w:tc>
        <w:tcPr>
          <w:tcW w:w="1267" w:type="dxa"/>
          <w:tcBorders>
            <w:top w:val="single" w:sz="4" w:space="0" w:color="auto"/>
            <w:bottom w:val="single" w:sz="12" w:space="0" w:color="auto"/>
          </w:tcBorders>
          <w:shd w:val="clear" w:color="auto" w:fill="auto"/>
        </w:tcPr>
        <w:p w14:paraId="08FDB50E" w14:textId="77777777" w:rsidR="00F50665" w:rsidRPr="00F50665" w:rsidRDefault="00F50665" w:rsidP="00F50665">
          <w:pPr>
            <w:pStyle w:val="af0"/>
            <w:spacing w:before="109"/>
            <w:ind w:left="-72"/>
          </w:pPr>
          <w:r>
            <w:t xml:space="preserve"> </w:t>
          </w:r>
          <w:r>
            <w:drawing>
              <wp:inline distT="0" distB="0" distL="0" distR="0" wp14:anchorId="3C24C0CF" wp14:editId="6905906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178672" w14:textId="77777777" w:rsidR="00F50665" w:rsidRPr="00F50665" w:rsidRDefault="00F50665" w:rsidP="00F5066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98D8B46" w14:textId="77777777" w:rsidR="00F50665" w:rsidRPr="00F50665" w:rsidRDefault="00F50665" w:rsidP="00F50665">
          <w:pPr>
            <w:pStyle w:val="af0"/>
            <w:spacing w:before="109"/>
          </w:pPr>
        </w:p>
      </w:tc>
      <w:tc>
        <w:tcPr>
          <w:tcW w:w="3080" w:type="dxa"/>
          <w:tcBorders>
            <w:top w:val="single" w:sz="4" w:space="0" w:color="auto"/>
            <w:bottom w:val="single" w:sz="12" w:space="0" w:color="auto"/>
          </w:tcBorders>
          <w:shd w:val="clear" w:color="auto" w:fill="auto"/>
        </w:tcPr>
        <w:p w14:paraId="1624B754" w14:textId="77777777" w:rsidR="00F50665" w:rsidRDefault="00F50665" w:rsidP="00F50665">
          <w:pPr>
            <w:pStyle w:val="Distr"/>
          </w:pPr>
          <w:r>
            <w:t>Distr.: General</w:t>
          </w:r>
        </w:p>
        <w:p w14:paraId="1999BC27" w14:textId="77777777" w:rsidR="00F50665" w:rsidRDefault="00F50665" w:rsidP="00F50665">
          <w:pPr>
            <w:pStyle w:val="Publication"/>
          </w:pPr>
          <w:r>
            <w:t>24 December 2021</w:t>
          </w:r>
        </w:p>
        <w:p w14:paraId="39D3E535" w14:textId="77777777" w:rsidR="00F50665" w:rsidRDefault="00F50665" w:rsidP="00F50665">
          <w:pPr>
            <w:spacing w:line="240" w:lineRule="exact"/>
          </w:pPr>
          <w:r>
            <w:t>Chinese</w:t>
          </w:r>
        </w:p>
        <w:p w14:paraId="110CEF35" w14:textId="77777777" w:rsidR="00F50665" w:rsidRDefault="00F50665" w:rsidP="00F50665">
          <w:pPr>
            <w:pStyle w:val="Original"/>
          </w:pPr>
          <w:r>
            <w:t>Original: English</w:t>
          </w:r>
        </w:p>
        <w:p w14:paraId="38418CA3" w14:textId="77777777" w:rsidR="00F50665" w:rsidRPr="00F50665" w:rsidRDefault="00F50665" w:rsidP="00F50665"/>
      </w:tc>
    </w:tr>
  </w:tbl>
  <w:p w14:paraId="00E30532" w14:textId="77777777" w:rsidR="00F50665" w:rsidRPr="00F50665" w:rsidRDefault="00F50665" w:rsidP="00F5066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6*"/>
    <w:docVar w:name="CreationDt" w:val="11/01/2022 15:33:07"/>
    <w:docVar w:name="DocCategory" w:val="Doc"/>
    <w:docVar w:name="DocType" w:val="Final"/>
    <w:docVar w:name="DutyStation" w:val="New York"/>
    <w:docVar w:name="FooterJN" w:val="21-17276"/>
    <w:docVar w:name="jobn" w:val="21-17276 (C)"/>
    <w:docVar w:name="jobnDT" w:val="21-17276 (C)   110122"/>
    <w:docVar w:name="jobnDTDT" w:val="21-17276 (C)   110122   110122"/>
    <w:docVar w:name="JobNo" w:val="2117276C"/>
    <w:docVar w:name="LocalDrive" w:val="-1"/>
    <w:docVar w:name="OandT" w:val="jiajp"/>
    <w:docVar w:name="sss1" w:val="CEDAW/C/IDN/CO/8"/>
    <w:docVar w:name="sss2" w:val="-"/>
    <w:docVar w:name="Symbol1" w:val="CEDAW/C/IDN/CO/8"/>
    <w:docVar w:name="Symbol2" w:val="-"/>
  </w:docVars>
  <w:rsids>
    <w:rsidRoot w:val="00F52E4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D7748"/>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06B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04"/>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5AEB"/>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C1"/>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52CB"/>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1FFD"/>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3DA1"/>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21F3"/>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76030"/>
    <w:rsid w:val="00D82311"/>
    <w:rsid w:val="00D83D1B"/>
    <w:rsid w:val="00D86A32"/>
    <w:rsid w:val="00D874E1"/>
    <w:rsid w:val="00D90662"/>
    <w:rsid w:val="00D925C7"/>
    <w:rsid w:val="00D92B5D"/>
    <w:rsid w:val="00D935C0"/>
    <w:rsid w:val="00D94DA7"/>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0CEE"/>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775B"/>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23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6064"/>
    <w:rsid w:val="00F13305"/>
    <w:rsid w:val="00F1516C"/>
    <w:rsid w:val="00F170F1"/>
    <w:rsid w:val="00F2587F"/>
    <w:rsid w:val="00F26864"/>
    <w:rsid w:val="00F26F00"/>
    <w:rsid w:val="00F27454"/>
    <w:rsid w:val="00F32339"/>
    <w:rsid w:val="00F3596A"/>
    <w:rsid w:val="00F36446"/>
    <w:rsid w:val="00F40463"/>
    <w:rsid w:val="00F44A01"/>
    <w:rsid w:val="00F50336"/>
    <w:rsid w:val="00F50665"/>
    <w:rsid w:val="00F50D76"/>
    <w:rsid w:val="00F52E4D"/>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429282"/>
  <w15:chartTrackingRefBased/>
  <w15:docId w15:val="{F27A9978-44F0-48FE-9444-813A4A89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545AE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29" TargetMode="External"/><Relationship Id="rId26" Type="http://schemas.openxmlformats.org/officeDocument/2006/relationships/hyperlink" Target="https://undocs.org/zh/CEDAW/C/IDN/CO/6-7" TargetMode="External"/><Relationship Id="rId3" Type="http://schemas.openxmlformats.org/officeDocument/2006/relationships/styles" Target="styles.xml"/><Relationship Id="rId21" Type="http://schemas.openxmlformats.org/officeDocument/2006/relationships/hyperlink" Target="https://undocs.org/ch/CEDAW/C/IDN/RQ/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27" TargetMode="External"/><Relationship Id="rId25" Type="http://schemas.openxmlformats.org/officeDocument/2006/relationships/hyperlink" Target="https://undocs.org/ch/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IDN/Q/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IDN/CO/6-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IDN/CO/6-7" TargetMode="External"/><Relationship Id="rId28"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IDN/8"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CEDAW/C/IDN/CO/6-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13E0D-904B-4478-9A21-9DA223B56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2255</Words>
  <Characters>12860</Characters>
  <Application>Microsoft Office Word</Application>
  <DocSecurity>0</DocSecurity>
  <Lines>107</Lines>
  <Paragraphs>30</Paragraphs>
  <ScaleCrop>false</ScaleCrop>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Chinese Text Processing</cp:lastModifiedBy>
  <cp:revision>3</cp:revision>
  <cp:lastPrinted>2022-01-11T20:51:00Z</cp:lastPrinted>
  <dcterms:created xsi:type="dcterms:W3CDTF">2022-01-11T20:51:00Z</dcterms:created>
  <dcterms:modified xsi:type="dcterms:W3CDTF">2022-01-11T20:51:00Z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vt:lpwstr>
  </property>
  <property fmtid="{D5CDD505-2E9C-101B-9397-08002B2CF9AE}" pid="3" name="ODSRefJobNo">
    <vt:lpwstr>2135388C</vt:lpwstr>
  </property>
  <property fmtid="{D5CDD505-2E9C-101B-9397-08002B2CF9AE}" pid="4" name="Symbol1">
    <vt:lpwstr>CEDAW/C/IDN/CO/8</vt:lpwstr>
  </property>
  <property fmtid="{D5CDD505-2E9C-101B-9397-08002B2CF9AE}" pid="5" name="Symbol2">
    <vt:lpwstr/>
  </property>
  <property fmtid="{D5CDD505-2E9C-101B-9397-08002B2CF9AE}" pid="6" name="Translator">
    <vt:lpwstr/>
  </property>
  <property fmtid="{D5CDD505-2E9C-101B-9397-08002B2CF9AE}" pid="7" name="Operator">
    <vt:lpwstr>jiajp</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24 December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关于印度尼西亚第八次定期报告的结论性意见*_x000d_</vt:lpwstr>
  </property>
</Properties>
</file>