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C17C0" w:rsidRDefault="003C17C0" w:rsidP="003C17C0">
      <w:pPr>
        <w:spacing w:line="60" w:lineRule="exact"/>
        <w:rPr>
          <w:sz w:val="6"/>
        </w:rPr>
        <w:sectPr w:rsidR="003C17C0" w:rsidSect="003C17C0">
          <w:headerReference w:type="even" r:id="rId6"/>
          <w:headerReference w:type="default" r:id="rId7"/>
          <w:footerReference w:type="even" r:id="rId8"/>
          <w:footerReference w:type="default" r:id="rId9"/>
          <w:headerReference w:type="first" r:id="rId10"/>
          <w:footerReference w:type="first" r:id="rId11"/>
          <w:type w:val="continuous"/>
          <w:pgSz w:w="12240" w:h="15840" w:code="1"/>
          <w:pgMar w:top="1742" w:right="1195" w:bottom="1898" w:left="1195" w:header="576" w:footer="1030" w:gutter="0"/>
          <w:pgNumType w:start="1"/>
          <w:cols w:space="425"/>
          <w:titlePg/>
          <w:docGrid w:linePitch="312"/>
        </w:sectPr>
      </w:pPr>
      <w:r>
        <w:rPr>
          <w:rStyle w:val="CommentReference"/>
        </w:rPr>
        <w:commentReference w:id="0"/>
      </w:r>
    </w:p>
    <w:p w:rsidR="003C17C0" w:rsidRDefault="003C17C0" w:rsidP="003C17C0">
      <w:pPr>
        <w:spacing w:line="60" w:lineRule="exact"/>
        <w:rPr>
          <w:sz w:val="6"/>
        </w:rPr>
      </w:pPr>
    </w:p>
    <w:p w:rsidR="0049192B" w:rsidRDefault="0049192B" w:rsidP="008D1126">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60"/>
        <w:ind w:left="1267" w:right="1260" w:hanging="1267"/>
        <w:rPr>
          <w:rFonts w:hint="eastAsia"/>
        </w:rPr>
      </w:pPr>
      <w:r>
        <w:rPr>
          <w:rFonts w:hint="eastAsia"/>
        </w:rPr>
        <w:t>消除对妇女歧视委员会</w:t>
      </w:r>
    </w:p>
    <w:p w:rsidR="0049192B" w:rsidRPr="00182502" w:rsidRDefault="0049192B" w:rsidP="008D1126">
      <w:pPr>
        <w:pStyle w:val="SingleTxt"/>
        <w:spacing w:after="60"/>
        <w:ind w:left="0"/>
        <w:rPr>
          <w:rFonts w:ascii="SimHei" w:eastAsia="SimHei" w:hint="eastAsia"/>
          <w:color w:val="FF0000"/>
        </w:rPr>
      </w:pPr>
      <w:r w:rsidRPr="00182502">
        <w:rPr>
          <w:rFonts w:ascii="SimHei" w:eastAsia="SimHei" w:hint="eastAsia"/>
          <w:color w:val="FF0000"/>
        </w:rPr>
        <w:t>第三十八届会议</w:t>
      </w:r>
    </w:p>
    <w:p w:rsidR="0049192B" w:rsidRDefault="0049192B" w:rsidP="0049192B">
      <w:pPr>
        <w:pStyle w:val="SingleTxt"/>
        <w:spacing w:after="80"/>
        <w:ind w:left="0"/>
        <w:rPr>
          <w:rFonts w:hint="eastAsia"/>
        </w:rPr>
      </w:pPr>
      <w:r>
        <w:rPr>
          <w:rFonts w:hint="eastAsia"/>
        </w:rPr>
        <w:t>2007年5月14日至6月1日</w:t>
      </w:r>
    </w:p>
    <w:p w:rsidR="0049192B" w:rsidRPr="00556619" w:rsidRDefault="0049192B" w:rsidP="0049192B">
      <w:pPr>
        <w:pStyle w:val="SingleTxt"/>
        <w:spacing w:after="0" w:line="120" w:lineRule="exact"/>
        <w:rPr>
          <w:rFonts w:hint="eastAsia"/>
          <w:sz w:val="10"/>
        </w:rPr>
      </w:pPr>
    </w:p>
    <w:p w:rsidR="0049192B" w:rsidRPr="00556619" w:rsidRDefault="0049192B" w:rsidP="0049192B">
      <w:pPr>
        <w:pStyle w:val="SingleTxt"/>
        <w:spacing w:after="0" w:line="120" w:lineRule="exact"/>
        <w:rPr>
          <w:rFonts w:hint="eastAsia"/>
          <w:sz w:val="10"/>
        </w:rPr>
      </w:pPr>
    </w:p>
    <w:p w:rsidR="0049192B" w:rsidRDefault="0049192B" w:rsidP="008D1126">
      <w:pPr>
        <w:pStyle w:val="HCh"/>
        <w:tabs>
          <w:tab w:val="clear" w:pos="57"/>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440" w:lineRule="exact"/>
        <w:ind w:left="1264" w:right="1259" w:hanging="1264"/>
        <w:rPr>
          <w:rFonts w:hint="eastAsia"/>
        </w:rPr>
      </w:pPr>
      <w:r>
        <w:tab/>
      </w:r>
      <w:r>
        <w:tab/>
      </w:r>
      <w:r>
        <w:rPr>
          <w:rFonts w:hint="eastAsia"/>
        </w:rPr>
        <w:t>消除对妇女歧视委员会的结论性意见：尼日尔</w:t>
      </w:r>
    </w:p>
    <w:p w:rsidR="0049192B" w:rsidRPr="00556619" w:rsidRDefault="0049192B" w:rsidP="0049192B">
      <w:pPr>
        <w:pStyle w:val="SingleTxt"/>
        <w:spacing w:after="0" w:line="120" w:lineRule="exact"/>
        <w:rPr>
          <w:rFonts w:hint="eastAsia"/>
          <w:sz w:val="10"/>
        </w:rPr>
      </w:pPr>
    </w:p>
    <w:p w:rsidR="0049192B" w:rsidRPr="00556619" w:rsidRDefault="0049192B" w:rsidP="0049192B">
      <w:pPr>
        <w:pStyle w:val="SingleTxt"/>
        <w:spacing w:after="0" w:line="120" w:lineRule="exact"/>
        <w:rPr>
          <w:rFonts w:hint="eastAsia"/>
          <w:sz w:val="10"/>
        </w:rPr>
      </w:pPr>
    </w:p>
    <w:p w:rsidR="0049192B" w:rsidRPr="00980379" w:rsidRDefault="0049192B" w:rsidP="0049192B">
      <w:pPr>
        <w:pStyle w:val="SingleTxt"/>
        <w:spacing w:line="324" w:lineRule="exact"/>
        <w:rPr>
          <w:rFonts w:hint="eastAsia"/>
          <w:spacing w:val="-2"/>
        </w:rPr>
      </w:pPr>
      <w:r w:rsidRPr="00980379">
        <w:rPr>
          <w:rFonts w:hint="eastAsia"/>
          <w:spacing w:val="-2"/>
        </w:rPr>
        <w:t>1.</w:t>
      </w:r>
      <w:r w:rsidRPr="00980379">
        <w:rPr>
          <w:rFonts w:hint="eastAsia"/>
          <w:spacing w:val="-2"/>
        </w:rPr>
        <w:tab/>
        <w:t>2007年5月29日，委员会在第790和第791次会议上审议了尼日尔的初次和第二次合并定期报告（CEDAW/C/NER/12）（见CEDAW/C/SR.790和791）。委员会的议题和问题清单见CEDAW/C/NER/Q/2，尼日尔的答复见CEDAW/C/NER/Q/2/Add.1。</w:t>
      </w:r>
    </w:p>
    <w:p w:rsidR="0049192B" w:rsidRDefault="0049192B" w:rsidP="0049192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40" w:line="324" w:lineRule="exact"/>
        <w:ind w:left="1267" w:right="1260" w:hanging="1267"/>
        <w:rPr>
          <w:rFonts w:hint="eastAsia"/>
        </w:rPr>
      </w:pPr>
      <w:r>
        <w:tab/>
      </w:r>
      <w:r>
        <w:tab/>
      </w:r>
      <w:r>
        <w:rPr>
          <w:rFonts w:hint="eastAsia"/>
        </w:rPr>
        <w:t>导言</w:t>
      </w:r>
    </w:p>
    <w:p w:rsidR="0049192B" w:rsidRDefault="0049192B" w:rsidP="0049192B">
      <w:pPr>
        <w:pStyle w:val="SingleTxt"/>
        <w:spacing w:line="324" w:lineRule="exact"/>
        <w:rPr>
          <w:rFonts w:hint="eastAsia"/>
        </w:rPr>
      </w:pPr>
      <w:r>
        <w:rPr>
          <w:rFonts w:hint="eastAsia"/>
        </w:rPr>
        <w:t>2.</w:t>
      </w:r>
      <w:r>
        <w:rPr>
          <w:rFonts w:hint="eastAsia"/>
        </w:rPr>
        <w:tab/>
        <w:t>委员会赞扬缔约国加入《消除对妇女一切形式歧视公约》。委员会对缔约国的初次和第二次合并定期报告表示赞赏。该报告遵照了委员会关于编写报告的指导方针，但对报告逾期表示遗憾。委员会注意到报告的质量，其中坦率地概述了妇女的境况以及在实现男女平等方面遇到的障碍。委员会赞扬缔约国对会前工作组提出的议题和问题清单作出了书面答复，赞扬该国作了口头介绍，其中阐述了尼日尔实施《公约》的最新发展情况，还赞扬该国答复委员会口头提出的问题。</w:t>
      </w:r>
    </w:p>
    <w:p w:rsidR="0049192B" w:rsidRDefault="0049192B" w:rsidP="0049192B">
      <w:pPr>
        <w:pStyle w:val="SingleTxt"/>
        <w:spacing w:line="324" w:lineRule="exact"/>
        <w:rPr>
          <w:rFonts w:hint="eastAsia"/>
        </w:rPr>
      </w:pPr>
      <w:r>
        <w:rPr>
          <w:rFonts w:hint="eastAsia"/>
        </w:rPr>
        <w:t>3.</w:t>
      </w:r>
      <w:r>
        <w:rPr>
          <w:rFonts w:hint="eastAsia"/>
        </w:rPr>
        <w:tab/>
        <w:t>委员会赞扬缔约国派出由提高妇女地位和保护儿童事务部长率领的高级代表团，其中包括政府不同部门和办公室的代表、国民议会一名成员、尼亚美上诉法院一名检察官及国家人权与基本自由委员会一名代表。委员会赞赏代表团与委员会成员进行了建设性对话。</w:t>
      </w:r>
    </w:p>
    <w:p w:rsidR="0049192B" w:rsidRDefault="0049192B" w:rsidP="0049192B">
      <w:pPr>
        <w:pStyle w:val="SingleTxt"/>
        <w:spacing w:line="324" w:lineRule="exact"/>
        <w:rPr>
          <w:rFonts w:hint="eastAsia"/>
        </w:rPr>
      </w:pPr>
      <w:r>
        <w:rPr>
          <w:rFonts w:hint="eastAsia"/>
        </w:rPr>
        <w:t>4.</w:t>
      </w:r>
      <w:r>
        <w:rPr>
          <w:rFonts w:hint="eastAsia"/>
        </w:rPr>
        <w:tab/>
        <w:t>委员会注意到缔约国对《公约》第二条(d)款和(f)款、第五条(a)款、第十五条第(4)款和第十六条第(1)款(c)项、(e)项和(g)项作出了保留。</w:t>
      </w:r>
    </w:p>
    <w:p w:rsidR="0049192B" w:rsidRDefault="0049192B" w:rsidP="0049192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40" w:line="324" w:lineRule="exact"/>
        <w:ind w:left="1264" w:right="1259" w:hanging="1264"/>
        <w:rPr>
          <w:rFonts w:hint="eastAsia"/>
        </w:rPr>
      </w:pPr>
      <w:r>
        <w:rPr>
          <w:rFonts w:ascii="Times New Roman"/>
        </w:rPr>
        <w:tab/>
      </w:r>
      <w:r>
        <w:rPr>
          <w:rFonts w:ascii="Times New Roman"/>
        </w:rPr>
        <w:tab/>
      </w:r>
      <w:r>
        <w:rPr>
          <w:rFonts w:hint="eastAsia"/>
        </w:rPr>
        <w:t>积极方面</w:t>
      </w:r>
    </w:p>
    <w:p w:rsidR="0049192B" w:rsidRDefault="0049192B" w:rsidP="0049192B">
      <w:pPr>
        <w:pStyle w:val="SingleTxt"/>
        <w:spacing w:line="324" w:lineRule="exact"/>
        <w:rPr>
          <w:rFonts w:hint="eastAsia"/>
        </w:rPr>
      </w:pPr>
      <w:r>
        <w:rPr>
          <w:rFonts w:hint="eastAsia"/>
        </w:rPr>
        <w:t>5.</w:t>
      </w:r>
      <w:r>
        <w:rPr>
          <w:rFonts w:hint="eastAsia"/>
        </w:rPr>
        <w:tab/>
        <w:t>委员会赞扬缔约国表达了消除对妇女歧视的承诺和政治意愿。委员会欣见旨在消除对妇女的歧视及促进男女平等的各项法律改革和政策。委员会特别欢迎第2000</w:t>
      </w:r>
      <w:r>
        <w:t>-</w:t>
      </w:r>
      <w:r>
        <w:rPr>
          <w:rFonts w:hint="eastAsia"/>
        </w:rPr>
        <w:t>008号法，其中对决策机关中为妇女预留的职位实行了名额制度；2004年改革《刑法》，其中包括制定禁止切割女性生殖器和奴役的条款；通过国家提高妇女地位政策，解决社会、经济、政治、法律和文化问题；2006年通过《生殖健康法》；代表团宣布正在最后确定国家男女平等政策。</w:t>
      </w:r>
    </w:p>
    <w:p w:rsidR="0049192B" w:rsidRDefault="0049192B" w:rsidP="0049192B">
      <w:pPr>
        <w:pStyle w:val="SingleTxt"/>
        <w:rPr>
          <w:rFonts w:hint="eastAsia"/>
        </w:rPr>
      </w:pPr>
      <w:r>
        <w:rPr>
          <w:rFonts w:hint="eastAsia"/>
        </w:rPr>
        <w:t>6.</w:t>
      </w:r>
      <w:r>
        <w:rPr>
          <w:rFonts w:hint="eastAsia"/>
        </w:rPr>
        <w:tab/>
        <w:t>委员会欢迎缔约国为更好地实施《公约》而作出的体制安排，包括成立提高妇女地位和保护儿童事务部；指定共和国总统和总理关于两性平等与发展问题的顾问；设立国家提高妇女地位监测研究所，并设立8个区级和36个省级提高妇女地位监测研究所。</w:t>
      </w:r>
    </w:p>
    <w:p w:rsidR="0049192B" w:rsidRDefault="0049192B" w:rsidP="0049192B">
      <w:pPr>
        <w:pStyle w:val="SingleTxt"/>
        <w:rPr>
          <w:rFonts w:hint="eastAsia"/>
        </w:rPr>
      </w:pPr>
      <w:r>
        <w:rPr>
          <w:rFonts w:hint="eastAsia"/>
        </w:rPr>
        <w:t>7.</w:t>
      </w:r>
      <w:r>
        <w:rPr>
          <w:rFonts w:hint="eastAsia"/>
        </w:rPr>
        <w:tab/>
        <w:t>委员会祝贺缔约国于2004年加入《公约》任择议定书，于2002年5月接受关于委员会开会时间的《公约》第二十条第(1)款修正案。</w:t>
      </w:r>
    </w:p>
    <w:p w:rsidR="0049192B" w:rsidRDefault="0049192B" w:rsidP="0049192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40"/>
        <w:ind w:left="1264" w:right="1259" w:hanging="1264"/>
        <w:rPr>
          <w:rFonts w:hint="eastAsia"/>
        </w:rPr>
      </w:pPr>
      <w:r>
        <w:rPr>
          <w:rFonts w:ascii="Times New Roman"/>
        </w:rPr>
        <w:tab/>
      </w:r>
      <w:r>
        <w:rPr>
          <w:rFonts w:ascii="Times New Roman"/>
        </w:rPr>
        <w:tab/>
      </w:r>
      <w:r>
        <w:rPr>
          <w:rFonts w:hint="eastAsia"/>
        </w:rPr>
        <w:t>主要关切领域和建议</w:t>
      </w:r>
    </w:p>
    <w:p w:rsidR="0049192B" w:rsidRPr="0049192B" w:rsidRDefault="0049192B" w:rsidP="0049192B">
      <w:pPr>
        <w:pStyle w:val="SingleTxt"/>
        <w:rPr>
          <w:rFonts w:ascii="SimHei" w:eastAsia="SimHei" w:hint="eastAsia"/>
          <w:color w:val="FF0000"/>
          <w:spacing w:val="2"/>
        </w:rPr>
      </w:pPr>
      <w:r w:rsidRPr="0049192B">
        <w:rPr>
          <w:rFonts w:hint="eastAsia"/>
          <w:spacing w:val="2"/>
        </w:rPr>
        <w:t>8.</w:t>
      </w:r>
      <w:r w:rsidRPr="0049192B">
        <w:rPr>
          <w:rFonts w:hint="eastAsia"/>
          <w:spacing w:val="2"/>
        </w:rPr>
        <w:tab/>
      </w:r>
      <w:r w:rsidRPr="0049192B">
        <w:rPr>
          <w:rFonts w:ascii="SimHei" w:eastAsia="SimHei" w:hint="eastAsia"/>
          <w:color w:val="FF0000"/>
          <w:spacing w:val="2"/>
        </w:rPr>
        <w:t>委员会记得，缔约国有义务系统、持续地实施《公约》的所有规定，认为缔约国从现在到提交下一次定期报告期间必须优先关注本结论性意见所查明的各项关切和建议。因此，委员会呼吁缔约国在实施活动中把那些领域作为重点，并在下一次定期报告中报告所采取的行动和取得的成果。委员会还呼吁缔约国将本结论性意见提交给所有相关政府部门及议会，以确保各项意见得到充分落实。</w:t>
      </w:r>
    </w:p>
    <w:p w:rsidR="0049192B" w:rsidRDefault="0049192B" w:rsidP="0049192B">
      <w:pPr>
        <w:pStyle w:val="SingleTxt"/>
        <w:rPr>
          <w:rFonts w:hint="eastAsia"/>
        </w:rPr>
      </w:pPr>
      <w:r>
        <w:rPr>
          <w:rFonts w:hint="eastAsia"/>
        </w:rPr>
        <w:t>9.</w:t>
      </w:r>
      <w:r>
        <w:rPr>
          <w:rFonts w:hint="eastAsia"/>
        </w:rPr>
        <w:tab/>
        <w:t>委员会赞赏缔约国努力实施《公约》各项规定，欢迎缔约国坚称正在审查对《公约》的保留，以便撤回这些保留，但委员会对缔约国维持这些保留感到关切，其中包括对第二条(d)款和(f)款、第五条(a)款、第十五条第(4)款和第十六条第(1)款(c)项、(e)项和(g)项的保留。委员会请缔约国注意，对第二条和第十六条的保留违背《公约》的目标和宗旨，并注意到缔约国没有对其它人权条约作出保留，而这些条约中都载有男女平等和禁止基于性别的歧视等原则。</w:t>
      </w:r>
    </w:p>
    <w:p w:rsidR="0049192B" w:rsidRPr="00556619" w:rsidRDefault="0049192B" w:rsidP="0049192B">
      <w:pPr>
        <w:pStyle w:val="SingleTxt"/>
        <w:rPr>
          <w:rFonts w:ascii="SimHei" w:eastAsia="SimHei" w:hint="eastAsia"/>
          <w:color w:val="FF0000"/>
        </w:rPr>
      </w:pPr>
      <w:r>
        <w:rPr>
          <w:rFonts w:hint="eastAsia"/>
        </w:rPr>
        <w:t>10.</w:t>
      </w:r>
      <w:r>
        <w:rPr>
          <w:rFonts w:hint="eastAsia"/>
        </w:rPr>
        <w:tab/>
      </w:r>
      <w:r w:rsidRPr="00556619">
        <w:rPr>
          <w:rFonts w:ascii="SimHei" w:eastAsia="SimHei" w:hint="eastAsia"/>
          <w:color w:val="FF0000"/>
        </w:rPr>
        <w:t>委员会敦促缔约国加紧努力，在具体时限内撤回对第二条(d)款和(f)款、第五条(a)款、第十五条第(4)款和第十六条第(1)款(c)项、(e)项和(g)项的保留。</w:t>
      </w:r>
    </w:p>
    <w:p w:rsidR="0049192B" w:rsidRDefault="0049192B" w:rsidP="0049192B">
      <w:pPr>
        <w:pStyle w:val="SingleTxt"/>
        <w:rPr>
          <w:rFonts w:hint="eastAsia"/>
        </w:rPr>
      </w:pPr>
      <w:r>
        <w:rPr>
          <w:rFonts w:hint="eastAsia"/>
        </w:rPr>
        <w:t>11.</w:t>
      </w:r>
      <w:r>
        <w:rPr>
          <w:rFonts w:hint="eastAsia"/>
        </w:rPr>
        <w:tab/>
        <w:t>委员会关切的是，尽管《尼日尔宪法》宣称公民不分种族、性别、宗教一律平等，但缔约国立法中没有根据禁止直接和间接歧视的《公约》第一条，明确规定针对妇女的歧视的定义。委员会对《非洲人权和人民权利宪章关于非洲妇女权利的议定书》批准过程出现延误感到关切。</w:t>
      </w:r>
    </w:p>
    <w:p w:rsidR="0049192B" w:rsidRPr="00556619" w:rsidRDefault="0049192B" w:rsidP="0049192B">
      <w:pPr>
        <w:pStyle w:val="SingleTxt"/>
        <w:rPr>
          <w:rFonts w:ascii="SimHei" w:eastAsia="SimHei" w:hint="eastAsia"/>
          <w:color w:val="FF0000"/>
        </w:rPr>
      </w:pPr>
      <w:r>
        <w:rPr>
          <w:rFonts w:hint="eastAsia"/>
        </w:rPr>
        <w:t>12.</w:t>
      </w:r>
      <w:r>
        <w:rPr>
          <w:rFonts w:hint="eastAsia"/>
        </w:rPr>
        <w:tab/>
      </w:r>
      <w:r w:rsidRPr="00556619">
        <w:rPr>
          <w:rFonts w:ascii="SimHei" w:eastAsia="SimHei" w:hint="eastAsia"/>
          <w:color w:val="FF0000"/>
        </w:rPr>
        <w:t>委员会鼓励缔约国在《宪法》或其它适当法律中根据《公约》第一条载入针对妇女的歧视的定义，其中包括直接和间接歧视，并根据《公约》第二条</w:t>
      </w:r>
      <w:r w:rsidRPr="00556619">
        <w:rPr>
          <w:rFonts w:ascii="SimHei" w:eastAsia="SimHei"/>
          <w:color w:val="FF0000"/>
        </w:rPr>
        <w:t>(</w:t>
      </w:r>
      <w:r w:rsidRPr="00556619">
        <w:rPr>
          <w:rFonts w:ascii="SimHei" w:eastAsia="SimHei" w:hint="eastAsia"/>
          <w:color w:val="FF0000"/>
        </w:rPr>
        <w:t>a</w:t>
      </w:r>
      <w:r w:rsidRPr="00556619">
        <w:rPr>
          <w:rFonts w:ascii="SimHei" w:eastAsia="SimHei"/>
          <w:color w:val="FF0000"/>
        </w:rPr>
        <w:t>)</w:t>
      </w:r>
      <w:r w:rsidRPr="00556619">
        <w:rPr>
          <w:rFonts w:ascii="SimHei" w:eastAsia="SimHei" w:hint="eastAsia"/>
          <w:color w:val="FF0000"/>
        </w:rPr>
        <w:t>项载入男女平等条款。委员会敦促缔约国加快《非洲人权和人民权利宪章关于非洲妇女权利的议定书》的批准过程。</w:t>
      </w:r>
    </w:p>
    <w:p w:rsidR="0049192B" w:rsidRDefault="0049192B" w:rsidP="0049192B">
      <w:pPr>
        <w:pStyle w:val="SingleTxt"/>
        <w:rPr>
          <w:rFonts w:hint="eastAsia"/>
        </w:rPr>
      </w:pPr>
      <w:r>
        <w:rPr>
          <w:rFonts w:hint="eastAsia"/>
        </w:rPr>
        <w:t>13.</w:t>
      </w:r>
      <w:r>
        <w:rPr>
          <w:rFonts w:hint="eastAsia"/>
        </w:rPr>
        <w:tab/>
        <w:t>委员会关切的是，包括法官、律师和检察官以及妇女自己在内的尼日尔人民，对《公约》各项规定和委员会的一般性建议以及《公约任择议定书》的了解不够，妇女在国内诉讼中尚未援引过《公约》，司法机关尚未采用过《公约》。委员会关切的问题还有，妇女将歧视案件提交法院的能力受到各种因素的限制，如贫穷、文盲、缺乏对自身权利的了解以及在行使权利过程中缺乏帮助等。</w:t>
      </w:r>
    </w:p>
    <w:p w:rsidR="0049192B" w:rsidRPr="00556619" w:rsidRDefault="0049192B" w:rsidP="0049192B">
      <w:pPr>
        <w:pStyle w:val="SingleTxt"/>
        <w:spacing w:line="332" w:lineRule="exact"/>
        <w:rPr>
          <w:rFonts w:ascii="SimHei" w:eastAsia="SimHei" w:hint="eastAsia"/>
          <w:color w:val="FF0000"/>
        </w:rPr>
      </w:pPr>
      <w:r>
        <w:rPr>
          <w:rFonts w:hint="eastAsia"/>
        </w:rPr>
        <w:t>14.</w:t>
      </w:r>
      <w:r>
        <w:rPr>
          <w:rFonts w:hint="eastAsia"/>
        </w:rPr>
        <w:tab/>
      </w:r>
      <w:r w:rsidRPr="00556619">
        <w:rPr>
          <w:rFonts w:ascii="SimHei" w:eastAsia="SimHei" w:hint="eastAsia"/>
          <w:color w:val="FF0000"/>
        </w:rPr>
        <w:t>委员会呼吁缔约国加紧努力，提高本国人民对《公约》和委员会的一般性建议以及《公约任择议定书》的认识，并为检察官、法官和律师举办涉及《公约》和《任择议定书》所有相关方面的培训方案，以便在国内牢固建立有助于男女平等和不歧视的法律文化。委员会敦促缔约国提供法律援助服务，并建议针对妇女（包括农村妇女）和处理妇女问题的非政府组织开展持久的提高认识和普法运动，以鼓励妇女在《公约》规定的权利受到侵犯时利用现有的程序和补救措施，并增强她们这方面的能力。委员会请缔约国消除妇女（包括农村妇女）在获得司法服务过程中可能遇到的阻碍，并鼓励缔约国从国际社会寻求帮助，以便采取措施，在实践中加强妇女获得司法服务能力。</w:t>
      </w:r>
    </w:p>
    <w:p w:rsidR="0049192B" w:rsidRDefault="0049192B" w:rsidP="0049192B">
      <w:pPr>
        <w:pStyle w:val="SingleTxt"/>
        <w:spacing w:line="332" w:lineRule="exact"/>
        <w:rPr>
          <w:rFonts w:hint="eastAsia"/>
        </w:rPr>
      </w:pPr>
      <w:r>
        <w:rPr>
          <w:rFonts w:hint="eastAsia"/>
        </w:rPr>
        <w:t>15.</w:t>
      </w:r>
      <w:r>
        <w:rPr>
          <w:rFonts w:hint="eastAsia"/>
        </w:rPr>
        <w:tab/>
        <w:t>委员会赞赏缔约国已经进行的各种法律改革，其中包括修订《刑法》，但委员会关切的是，依然有歧视妇女的法律规定和条例。例如国籍法，其中规定与外国人结婚的尼日尔妇女不得将尼日尔国籍传给配偶；关于政府官员薪酬和各种福利的第60-S/MFP/T号法令；不准妇女进入某些机关的《公务员制度总条例》。委员会关切的是，1976年开始的《家庭法》起草工作至今尚未完成。委员会还关切的是，尽管已经修正以惯例法规则为基础的关于个人和家庭法各个方面的第62-11号法，但在离婚、监护权和遗产继承等领域内继续对妇女实施歧视性惯例法和做法。委员会还对适用三种不同法律（即成文法、惯例法和宗教法）给妇女带来的消极影响感到关切。</w:t>
      </w:r>
    </w:p>
    <w:p w:rsidR="0049192B" w:rsidRPr="0015637F" w:rsidRDefault="0049192B" w:rsidP="0049192B">
      <w:pPr>
        <w:pStyle w:val="SingleTxt"/>
        <w:spacing w:line="332" w:lineRule="exact"/>
        <w:rPr>
          <w:rFonts w:ascii="SimHei" w:eastAsia="SimHei" w:hint="eastAsia"/>
          <w:color w:val="FF0000"/>
        </w:rPr>
      </w:pPr>
      <w:r w:rsidRPr="00B9289E">
        <w:rPr>
          <w:rFonts w:hint="eastAsia"/>
        </w:rPr>
        <w:t>1</w:t>
      </w:r>
      <w:r>
        <w:t>6</w:t>
      </w:r>
      <w:r w:rsidRPr="00B9289E">
        <w:rPr>
          <w:rFonts w:hint="eastAsia"/>
        </w:rPr>
        <w:t>.</w:t>
      </w:r>
      <w:r w:rsidRPr="0015637F">
        <w:rPr>
          <w:rFonts w:ascii="SimHei" w:eastAsia="SimHei" w:hint="eastAsia"/>
          <w:color w:val="FF0000"/>
        </w:rPr>
        <w:tab/>
        <w:t>委员会呼吁缔约国高度重视法律改革进程，毫不拖延地在明确时限内修改歧视性法律和条例，</w:t>
      </w:r>
      <w:r>
        <w:rPr>
          <w:rFonts w:ascii="SimHei" w:eastAsia="SimHei" w:hint="eastAsia"/>
          <w:color w:val="FF0000"/>
        </w:rPr>
        <w:t>并</w:t>
      </w:r>
      <w:r w:rsidRPr="0015637F">
        <w:rPr>
          <w:rFonts w:ascii="SimHei" w:eastAsia="SimHei" w:hint="eastAsia"/>
          <w:color w:val="FF0000"/>
        </w:rPr>
        <w:t>使其和《公约》相一致。它呼吁缔约国加紧努力，提高政府官员、国民议会和公众舆论对法律改革重要性的认识，以便妇女实现法律上的平等。委员会鼓励缔约国通过与民间社会、妇女组织及社区和宗教领袖建立伙伴关系并进行协作，加大对法律改革的支助。它敦促缔约国使成文法、习惯法和宗教法与《公约》的规定接轨。委员会吁请缔约国研究经修订的第62-11号法的执行所产生的影响并进一步做必要的修订，以确保废止有害于并歧视妇女的习惯法和文化与习俗。它敦促迅速制定和通过《家庭法典》草案或与《公约》相吻合的类似的立法。</w:t>
      </w:r>
    </w:p>
    <w:p w:rsidR="0049192B" w:rsidRDefault="0049192B" w:rsidP="0049192B">
      <w:pPr>
        <w:pStyle w:val="SingleTxt"/>
        <w:spacing w:line="332" w:lineRule="exact"/>
        <w:rPr>
          <w:rFonts w:hint="eastAsia"/>
        </w:rPr>
      </w:pPr>
      <w:r>
        <w:rPr>
          <w:rFonts w:hint="eastAsia"/>
        </w:rPr>
        <w:t>1</w:t>
      </w:r>
      <w:r>
        <w:t>7</w:t>
      </w:r>
      <w:r>
        <w:rPr>
          <w:rFonts w:hint="eastAsia"/>
        </w:rPr>
        <w:t>.</w:t>
      </w:r>
      <w:r>
        <w:rPr>
          <w:rFonts w:hint="eastAsia"/>
        </w:rPr>
        <w:tab/>
        <w:t>委员会关切地注意到关于妇女和男子在家庭和社会中的作用和责任的陈旧的重男轻女思想根深蒂固，盛行不衰。它还关切地注意到包括逼婚早婚、切割女性生殖器和抛弃在内的根深蒂固的不良文化准则、习惯和传统的长久存在，这些准则、习惯和传统对妇女构成歧视，使对妇女的暴行得以长期存在，严重阻碍妇女享受人权。</w:t>
      </w:r>
    </w:p>
    <w:p w:rsidR="0049192B" w:rsidRPr="0049192B" w:rsidRDefault="0049192B" w:rsidP="0049192B">
      <w:pPr>
        <w:pStyle w:val="SingleTxt"/>
        <w:spacing w:line="324" w:lineRule="exact"/>
        <w:rPr>
          <w:rFonts w:ascii="SimHei" w:eastAsia="SimHei" w:hint="eastAsia"/>
          <w:color w:val="FF0000"/>
          <w:spacing w:val="2"/>
        </w:rPr>
      </w:pPr>
      <w:r w:rsidRPr="0049192B">
        <w:rPr>
          <w:rFonts w:hint="eastAsia"/>
          <w:spacing w:val="2"/>
        </w:rPr>
        <w:t>1</w:t>
      </w:r>
      <w:r w:rsidRPr="0049192B">
        <w:rPr>
          <w:spacing w:val="2"/>
        </w:rPr>
        <w:t>8</w:t>
      </w:r>
      <w:r w:rsidRPr="0049192B">
        <w:rPr>
          <w:rFonts w:hint="eastAsia"/>
          <w:spacing w:val="2"/>
        </w:rPr>
        <w:t>.</w:t>
      </w:r>
      <w:r w:rsidRPr="0049192B">
        <w:rPr>
          <w:rFonts w:ascii="SimHei" w:eastAsia="SimHei" w:hint="eastAsia"/>
          <w:color w:val="FF0000"/>
          <w:spacing w:val="2"/>
        </w:rPr>
        <w:tab/>
        <w:t>委员会敦促该缔约国将文化视为该国生活和社会结构的一个动态方面，随着时间推移受到许多影响而不断变化。委员会促请缔约国立即制订一项综合战略，包括明确的目标和时间表，修改或消除有害和歧视妇女的不良文化做法和陈规定型看法，并促进妇女充分享受人权。它还促请缔约国建立监测机制，定期评估既定目标的进展情况。委员会要求缔约国与民间社会、妇女组织及社区和宗教领袖协作开展这种努力，并在下一次定期报告中报告所采取的措施和取得的成果情况。</w:t>
      </w:r>
    </w:p>
    <w:p w:rsidR="0049192B" w:rsidRDefault="0049192B" w:rsidP="0049192B">
      <w:pPr>
        <w:pStyle w:val="SingleTxt"/>
        <w:spacing w:line="324" w:lineRule="exact"/>
        <w:rPr>
          <w:rFonts w:hint="eastAsia"/>
        </w:rPr>
      </w:pPr>
      <w:r>
        <w:t>19</w:t>
      </w:r>
      <w:r>
        <w:rPr>
          <w:rFonts w:hint="eastAsia"/>
        </w:rPr>
        <w:t>.</w:t>
      </w:r>
      <w:r>
        <w:rPr>
          <w:rFonts w:hint="eastAsia"/>
        </w:rPr>
        <w:tab/>
        <w:t>委员会欣见提高妇女地位的国家机制即提高妇女地位和保护儿童部的成立，但感到关切的是这一国家机制可能没有有效完成工作所需的足够财政和人力资源。委员会关切地注意到提高妇女地位和保护儿童部与包括国家提高妇女地位监测中心及其区域和司级中心、共和国总统和总理的性别平等和发展问题顾问在内的其他机制之间的协调与合作不够，而且其各自任务规定不明。</w:t>
      </w:r>
    </w:p>
    <w:p w:rsidR="0049192B" w:rsidRPr="0015637F" w:rsidRDefault="0049192B" w:rsidP="0049192B">
      <w:pPr>
        <w:pStyle w:val="SingleTxt"/>
        <w:spacing w:line="324" w:lineRule="exact"/>
        <w:rPr>
          <w:rFonts w:ascii="SimHei" w:eastAsia="SimHei" w:hint="eastAsia"/>
          <w:color w:val="FF0000"/>
        </w:rPr>
      </w:pPr>
      <w:r w:rsidRPr="00B9289E">
        <w:rPr>
          <w:rFonts w:hint="eastAsia"/>
        </w:rPr>
        <w:t>2</w:t>
      </w:r>
      <w:r>
        <w:t>0</w:t>
      </w:r>
      <w:r w:rsidRPr="00B9289E">
        <w:rPr>
          <w:rFonts w:hint="eastAsia"/>
        </w:rPr>
        <w:t>.</w:t>
      </w:r>
      <w:r w:rsidRPr="0015637F">
        <w:rPr>
          <w:rFonts w:ascii="SimHei" w:eastAsia="SimHei" w:hint="eastAsia"/>
          <w:color w:val="FF0000"/>
        </w:rPr>
        <w:tab/>
        <w:t>委员会建议缔约国明确界定负责促进男女平等的不同机制的任务和职责，确保它们之间的协调与合作，并确保它们掌握有效促进男女平等和妇女享受人权所需的足够财政和人力资源。</w:t>
      </w:r>
    </w:p>
    <w:p w:rsidR="0049192B" w:rsidRDefault="0049192B" w:rsidP="0049192B">
      <w:pPr>
        <w:pStyle w:val="SingleTxt"/>
        <w:spacing w:line="324" w:lineRule="exact"/>
        <w:rPr>
          <w:rFonts w:hint="eastAsia"/>
        </w:rPr>
      </w:pPr>
      <w:r>
        <w:rPr>
          <w:rFonts w:hint="eastAsia"/>
        </w:rPr>
        <w:t>2</w:t>
      </w:r>
      <w:r>
        <w:t>1</w:t>
      </w:r>
      <w:r>
        <w:rPr>
          <w:rFonts w:hint="eastAsia"/>
        </w:rPr>
        <w:t>.</w:t>
      </w:r>
      <w:r>
        <w:rPr>
          <w:rFonts w:hint="eastAsia"/>
        </w:rPr>
        <w:tab/>
        <w:t>委员会欣见实施在决策机构中给妇女预留职位的配额制度的第2000-008号法令，但关切地注意到缔约国可能未恰当理解《公约》第四条第1款所要求的暂行特别措施的目的。</w:t>
      </w:r>
    </w:p>
    <w:p w:rsidR="0049192B" w:rsidRPr="0015637F" w:rsidRDefault="0049192B" w:rsidP="0049192B">
      <w:pPr>
        <w:pStyle w:val="SingleTxt"/>
        <w:spacing w:line="324" w:lineRule="exact"/>
        <w:rPr>
          <w:rFonts w:ascii="SimHei" w:eastAsia="SimHei" w:hint="eastAsia"/>
          <w:color w:val="FF0000"/>
        </w:rPr>
      </w:pPr>
      <w:r w:rsidRPr="00B9289E">
        <w:rPr>
          <w:rFonts w:hint="eastAsia"/>
        </w:rPr>
        <w:t>2</w:t>
      </w:r>
      <w:r>
        <w:t>2</w:t>
      </w:r>
      <w:r w:rsidRPr="00B9289E">
        <w:rPr>
          <w:rFonts w:hint="eastAsia"/>
        </w:rPr>
        <w:t>.</w:t>
      </w:r>
      <w:r w:rsidRPr="0015637F">
        <w:rPr>
          <w:rFonts w:ascii="SimHei" w:eastAsia="SimHei" w:hint="eastAsia"/>
          <w:color w:val="FF0000"/>
        </w:rPr>
        <w:tab/>
        <w:t>委员会建议缔约国在其政策和方案中对以下两者加以明确区分：为执行《公约》所采取的一般社会经济政策和方案以及《公约》第四条第1款规定的暂行特别措施。委员会一般性建议25指出，暂行特别措施旨在加速实现妇女的实际平等。它鼓励缔约国更多地采用暂行特别措施，加速实现各部门中男女实际平等。</w:t>
      </w:r>
    </w:p>
    <w:p w:rsidR="0049192B" w:rsidRDefault="0049192B" w:rsidP="0049192B">
      <w:pPr>
        <w:pStyle w:val="SingleTxt"/>
        <w:spacing w:line="324" w:lineRule="exact"/>
        <w:rPr>
          <w:rFonts w:hint="eastAsia"/>
        </w:rPr>
      </w:pPr>
      <w:r>
        <w:rPr>
          <w:rFonts w:hint="eastAsia"/>
        </w:rPr>
        <w:t>2</w:t>
      </w:r>
      <w:r>
        <w:t>3</w:t>
      </w:r>
      <w:r>
        <w:rPr>
          <w:rFonts w:hint="eastAsia"/>
        </w:rPr>
        <w:t>.</w:t>
      </w:r>
      <w:r>
        <w:rPr>
          <w:rFonts w:hint="eastAsia"/>
        </w:rPr>
        <w:tab/>
        <w:t>委员会赞赏对《刑法》的修订，包括规定禁止切割女性生殖器，但对尼日尔普遍存在的家庭暴力、逼婚和早婚、对妇女的性虐待以及切割女性生殖器等危害妇女的暴力行为表示关切。它对缺乏有关对妇女的一切形式暴力行为的数据感到关切。它还对缺乏一项打击危害妇女的一切形式暴力的全面战略感到关切。</w:t>
      </w:r>
    </w:p>
    <w:p w:rsidR="0049192B" w:rsidRPr="0015637F" w:rsidRDefault="0049192B" w:rsidP="0049192B">
      <w:pPr>
        <w:pStyle w:val="SingleTxt"/>
        <w:spacing w:line="324" w:lineRule="exact"/>
        <w:rPr>
          <w:rFonts w:ascii="SimHei" w:eastAsia="SimHei" w:hint="eastAsia"/>
          <w:color w:val="FF0000"/>
        </w:rPr>
      </w:pPr>
      <w:r w:rsidRPr="00B9289E">
        <w:rPr>
          <w:rFonts w:hint="eastAsia"/>
        </w:rPr>
        <w:t>2</w:t>
      </w:r>
      <w:r>
        <w:t>4</w:t>
      </w:r>
      <w:r w:rsidRPr="00B9289E">
        <w:rPr>
          <w:rFonts w:hint="eastAsia"/>
        </w:rPr>
        <w:t>.</w:t>
      </w:r>
      <w:r w:rsidRPr="0015637F">
        <w:rPr>
          <w:rFonts w:ascii="SimHei" w:eastAsia="SimHei" w:hint="eastAsia"/>
          <w:color w:val="FF0000"/>
        </w:rPr>
        <w:tab/>
        <w:t>委员会敦促缔约国最优先重视实施一种综合办法来消除对妇女的一切形式暴力行为。它敦促缔约国在这一努力中充分利用委员会一般性建议19。这种综合办法应包括预防努力，旨在加强政府官员尤其是执法人员、司法、保健工作者以及社会工作者以对性别问题敏感的方式消除危害妇女的暴力行为的能力的培训措施，并采取措施确保以有效和对性别问题敏感的方式为受害者提供支助。委员会促请缔约国通过媒体和教育方案提高大众意识，使大众认识到一切形式的对妇女的暴力，包括家庭暴力，都是不可接受的。它敦促缔约国确保对</w:t>
      </w:r>
      <w:r>
        <w:rPr>
          <w:rFonts w:ascii="SimHei" w:eastAsia="SimHei" w:hint="eastAsia"/>
          <w:color w:val="FF0000"/>
        </w:rPr>
        <w:t>那些以</w:t>
      </w:r>
      <w:r w:rsidRPr="0015637F">
        <w:rPr>
          <w:rFonts w:ascii="SimHei" w:eastAsia="SimHei" w:hint="eastAsia"/>
          <w:color w:val="FF0000"/>
        </w:rPr>
        <w:t>暴力侵害妇女</w:t>
      </w:r>
      <w:r>
        <w:rPr>
          <w:rFonts w:ascii="SimHei" w:eastAsia="SimHei" w:hint="eastAsia"/>
          <w:color w:val="FF0000"/>
        </w:rPr>
        <w:t>的人</w:t>
      </w:r>
      <w:r w:rsidRPr="0015637F">
        <w:rPr>
          <w:rFonts w:ascii="SimHei" w:eastAsia="SimHei" w:hint="eastAsia"/>
          <w:color w:val="FF0000"/>
        </w:rPr>
        <w:t>从严、从速予以起诉和处罚，并确保受害者获得补救和保护、安全的庇护所以及法律、医疗和心理支助。委员会要求缔约国在其下次报告中提供关于为消除对妇女的一切形式暴力行为所确立的法律、政策和方案的信息，并提供关于这些措施的影响的信息以及统计数字和这种暴力行为泛滥的趋势。</w:t>
      </w:r>
    </w:p>
    <w:p w:rsidR="0049192B" w:rsidRDefault="0049192B" w:rsidP="0049192B">
      <w:pPr>
        <w:pStyle w:val="SingleTxt"/>
        <w:spacing w:line="324" w:lineRule="exact"/>
        <w:rPr>
          <w:rFonts w:hint="eastAsia"/>
        </w:rPr>
      </w:pPr>
      <w:r>
        <w:rPr>
          <w:rFonts w:hint="eastAsia"/>
        </w:rPr>
        <w:t>2</w:t>
      </w:r>
      <w:r>
        <w:t>5</w:t>
      </w:r>
      <w:r>
        <w:rPr>
          <w:rFonts w:hint="eastAsia"/>
        </w:rPr>
        <w:t>.</w:t>
      </w:r>
      <w:r>
        <w:rPr>
          <w:rFonts w:hint="eastAsia"/>
        </w:rPr>
        <w:tab/>
        <w:t>委员会赞赏缔约国打击贩运妇女和女童现象的努力，包括成立了一个部际委员会，负责制定打击贩运妇女儿童的国家行动计划，但关切地注意到缔约国报告中提到的假借结婚而贩运人口、贩卖平民妇女和奴役行为的出现。委员会对缺乏有关贩运妇女和女童现象的程度的信息感到关切。</w:t>
      </w:r>
    </w:p>
    <w:p w:rsidR="0049192B" w:rsidRPr="0015637F" w:rsidRDefault="0049192B" w:rsidP="0049192B">
      <w:pPr>
        <w:pStyle w:val="SingleTxt"/>
        <w:spacing w:line="324" w:lineRule="exact"/>
        <w:rPr>
          <w:rFonts w:ascii="SimHei" w:eastAsia="SimHei" w:hint="eastAsia"/>
          <w:color w:val="FF0000"/>
        </w:rPr>
      </w:pPr>
      <w:r w:rsidRPr="00B9289E">
        <w:rPr>
          <w:rFonts w:hint="eastAsia"/>
        </w:rPr>
        <w:t>2</w:t>
      </w:r>
      <w:r>
        <w:t>6</w:t>
      </w:r>
      <w:r w:rsidRPr="00B9289E">
        <w:rPr>
          <w:rFonts w:hint="eastAsia"/>
        </w:rPr>
        <w:t>.</w:t>
      </w:r>
      <w:r w:rsidRPr="0015637F">
        <w:rPr>
          <w:rFonts w:ascii="SimHei" w:eastAsia="SimHei" w:hint="eastAsia"/>
          <w:color w:val="FF0000"/>
        </w:rPr>
        <w:tab/>
        <w:t>委员会敦促缔约国加紧努力，打击对妇女和女童的贩运、强迫劳动和性剥削活动。它敦促缔约国通过必要的立法和行动计划并制订一项全面的打击贩运活动战略。这项举措应包括收集和分析数据，起诉和惩罚贩运者，并采取措施使成为贩运活动受害者的妇女和女童得到恢复和重返社会。委员会建议缔约国加紧预防努力，通过包括对性别问题敏感的减贫战略和提高意识运动在内的方法而消除贩运活动的根源。委员</w:t>
      </w:r>
      <w:r>
        <w:rPr>
          <w:rFonts w:ascii="SimHei" w:eastAsia="SimHei" w:hint="eastAsia"/>
          <w:color w:val="FF0000"/>
        </w:rPr>
        <w:t>会要求缔约国在其下次报告中提供关于尼日尔境内贩运妇女和女童活动、对妇女和女童的</w:t>
      </w:r>
      <w:r w:rsidRPr="0015637F">
        <w:rPr>
          <w:rFonts w:ascii="SimHei" w:eastAsia="SimHei" w:hint="eastAsia"/>
          <w:color w:val="FF0000"/>
        </w:rPr>
        <w:t>奴役</w:t>
      </w:r>
      <w:r>
        <w:rPr>
          <w:rFonts w:ascii="SimHei" w:eastAsia="SimHei" w:hint="eastAsia"/>
          <w:color w:val="FF0000"/>
        </w:rPr>
        <w:t>及一切形式的类似奴役的</w:t>
      </w:r>
      <w:r w:rsidRPr="0015637F">
        <w:rPr>
          <w:rFonts w:ascii="SimHei" w:eastAsia="SimHei" w:hint="eastAsia"/>
          <w:color w:val="FF0000"/>
        </w:rPr>
        <w:t>行为持续存在</w:t>
      </w:r>
      <w:r>
        <w:rPr>
          <w:rFonts w:ascii="SimHei" w:eastAsia="SimHei" w:hint="eastAsia"/>
          <w:color w:val="FF0000"/>
        </w:rPr>
        <w:t>以及</w:t>
      </w:r>
      <w:r w:rsidRPr="0015637F">
        <w:rPr>
          <w:rFonts w:ascii="SimHei" w:eastAsia="SimHei" w:hint="eastAsia"/>
          <w:color w:val="FF0000"/>
        </w:rPr>
        <w:t>为防止和打击这种活动及其影响所采取的措施的</w:t>
      </w:r>
      <w:r>
        <w:rPr>
          <w:rFonts w:ascii="SimHei" w:eastAsia="SimHei" w:hint="eastAsia"/>
          <w:color w:val="FF0000"/>
        </w:rPr>
        <w:t>综合</w:t>
      </w:r>
      <w:r w:rsidRPr="0015637F">
        <w:rPr>
          <w:rFonts w:ascii="SimHei" w:eastAsia="SimHei" w:hint="eastAsia"/>
          <w:color w:val="FF0000"/>
        </w:rPr>
        <w:t>资料和数据。</w:t>
      </w:r>
    </w:p>
    <w:p w:rsidR="0049192B" w:rsidRDefault="0049192B" w:rsidP="0049192B">
      <w:pPr>
        <w:pStyle w:val="SingleTxt"/>
        <w:spacing w:line="324" w:lineRule="exact"/>
        <w:rPr>
          <w:rFonts w:hint="eastAsia"/>
        </w:rPr>
      </w:pPr>
      <w:r>
        <w:rPr>
          <w:rFonts w:hint="eastAsia"/>
        </w:rPr>
        <w:t>2</w:t>
      </w:r>
      <w:r>
        <w:t>7</w:t>
      </w:r>
      <w:r>
        <w:rPr>
          <w:rFonts w:hint="eastAsia"/>
        </w:rPr>
        <w:t>.</w:t>
      </w:r>
      <w:r>
        <w:rPr>
          <w:rFonts w:hint="eastAsia"/>
        </w:rPr>
        <w:tab/>
        <w:t>委员会赞赏实施在决策机构中给妇女预留职位的配额制度的第2000-008号法令，并注意到妇女在国民议会和高级政府职位中人数的增加，但关切地注意到妇女在公共和政治生活和决策职位中，包括在国民议会、政府、外交部门和地方机构中仍然人数不多。</w:t>
      </w:r>
    </w:p>
    <w:p w:rsidR="0049192B" w:rsidRPr="0049192B" w:rsidRDefault="0049192B" w:rsidP="0049192B">
      <w:pPr>
        <w:pStyle w:val="SingleTxt"/>
        <w:spacing w:line="324" w:lineRule="exact"/>
        <w:rPr>
          <w:rFonts w:ascii="SimHei" w:eastAsia="SimHei" w:hint="eastAsia"/>
          <w:color w:val="FF0000"/>
          <w:spacing w:val="2"/>
        </w:rPr>
      </w:pPr>
      <w:r w:rsidRPr="0049192B">
        <w:rPr>
          <w:rFonts w:hint="eastAsia"/>
          <w:spacing w:val="2"/>
        </w:rPr>
        <w:t>2</w:t>
      </w:r>
      <w:r w:rsidRPr="0049192B">
        <w:rPr>
          <w:spacing w:val="2"/>
        </w:rPr>
        <w:t>8</w:t>
      </w:r>
      <w:r w:rsidRPr="0049192B">
        <w:rPr>
          <w:rFonts w:hint="eastAsia"/>
          <w:spacing w:val="2"/>
        </w:rPr>
        <w:t>.</w:t>
      </w:r>
      <w:r w:rsidRPr="0049192B">
        <w:rPr>
          <w:rFonts w:ascii="SimHei" w:eastAsia="SimHei" w:hint="eastAsia"/>
          <w:color w:val="FF0000"/>
          <w:spacing w:val="2"/>
        </w:rPr>
        <w:tab/>
        <w:t>委员会鼓励缔约国采取持久措施，加速使妇女充分和平等地进入经选举和任命产生的机构。委员会敦促缔约国考虑扩大第2000-008号法令目前所规定的10％的配额。它建议缔约国确定具体的目标和时间表，实施提高意识的方案，包括与世袭酋长共襄此举，鼓励妇女参加公共生活。委员会呼吁缔约国向整个社会着重宣传妇女充分和平等地进入各级决策的领导职位对国家发展的重要性。</w:t>
      </w:r>
    </w:p>
    <w:p w:rsidR="0049192B" w:rsidRDefault="0049192B" w:rsidP="0049192B">
      <w:pPr>
        <w:pStyle w:val="SingleTxt"/>
        <w:spacing w:line="324" w:lineRule="exact"/>
      </w:pPr>
      <w:r>
        <w:t>29</w:t>
      </w:r>
      <w:r>
        <w:rPr>
          <w:rFonts w:hint="eastAsia"/>
        </w:rPr>
        <w:t>.</w:t>
      </w:r>
      <w:r>
        <w:rPr>
          <w:rFonts w:hint="eastAsia"/>
        </w:rPr>
        <w:tab/>
        <w:t>委员会注意到缔约</w:t>
      </w:r>
      <w:r w:rsidR="006C64D4">
        <w:rPr>
          <w:rFonts w:hint="eastAsia"/>
        </w:rPr>
        <w:t>国扩大女童入学率的努力，但关切地注意到女童的入学率仍然偏低，女</w:t>
      </w:r>
      <w:r>
        <w:rPr>
          <w:rFonts w:hint="eastAsia"/>
        </w:rPr>
        <w:t>童在高等教育中的入学率更低。它对妇女高文盲比率感到关切。委员会还对学校课程和教科书中持续存在的定型观念感到关切。</w:t>
      </w:r>
    </w:p>
    <w:p w:rsidR="0049192B" w:rsidRDefault="0049192B" w:rsidP="0049192B">
      <w:pPr>
        <w:pStyle w:val="SingleTxt"/>
        <w:spacing w:line="324" w:lineRule="exact"/>
        <w:rPr>
          <w:rFonts w:hint="eastAsia"/>
        </w:rPr>
      </w:pPr>
      <w:r>
        <w:rPr>
          <w:rFonts w:hint="eastAsia"/>
        </w:rPr>
        <w:t>3</w:t>
      </w:r>
      <w:r>
        <w:t>0</w:t>
      </w:r>
      <w:r>
        <w:rPr>
          <w:rFonts w:hint="eastAsia"/>
        </w:rPr>
        <w:t>.</w:t>
      </w:r>
      <w:r>
        <w:rPr>
          <w:rFonts w:hint="eastAsia"/>
        </w:rPr>
        <w:tab/>
      </w:r>
      <w:r w:rsidRPr="003F4D83">
        <w:rPr>
          <w:rFonts w:ascii="SimHei" w:eastAsia="SimHei" w:hint="eastAsia"/>
          <w:color w:val="FF0000"/>
        </w:rPr>
        <w:t>委员会敦促缔约国大力宣传教育作为一项人权和增强妇女权能的基础的重要性，并采取步骤，以克服使《公约》第十条的规定长期得不到遵守的传统态度和陈规定型观念。委员会建议缔约国采取措施，确保女童和妇女拥有接受各级教育的平等机会并确保女童留在学校上学，包括为此根据《公约》第四条第1款以及委员会一般性建议25采取暂行特别措施。委员会吁请缔约国尽一切努力，通过采用正规和非正规教育的全面方案以及开展成人教育和培训，提高女童和妇女、包括农村地区的女童和妇女的识字率。委员会敦促缔约国有效处理妨碍女童入学和完成教育的各种障碍，例如早婚和逼婚。委员会请缔约国修订教育课程和教科书，以消除关于社会性别的陈规定型观念。委员会鼓励缔约国加强与民间社会的协作，并寻求国际社会和捐助组织的更多支助，以加快遵行《公约》第十条的工作。</w:t>
      </w:r>
    </w:p>
    <w:p w:rsidR="0049192B" w:rsidRDefault="0049192B" w:rsidP="0049192B">
      <w:pPr>
        <w:pStyle w:val="SingleTxt"/>
        <w:rPr>
          <w:rFonts w:hint="eastAsia"/>
        </w:rPr>
      </w:pPr>
      <w:r>
        <w:rPr>
          <w:rFonts w:hint="eastAsia"/>
        </w:rPr>
        <w:t>3</w:t>
      </w:r>
      <w:r>
        <w:t>1</w:t>
      </w:r>
      <w:r>
        <w:rPr>
          <w:rFonts w:hint="eastAsia"/>
        </w:rPr>
        <w:t>.</w:t>
      </w:r>
      <w:r>
        <w:rPr>
          <w:rFonts w:hint="eastAsia"/>
        </w:rPr>
        <w:tab/>
        <w:t>委员会注意到尼日尔宪法中关于工作权利的规定以及国际劳工组织的某些公约和《劳动法》等其他法律获得批准的情况，该法禁止在就业领域歧视妇女。但委员会感到关切的是，这些规定的执行情况欠佳，并缺少高效的监测机制。委员会关切的是，缺少关于妇女加入劳动力队伍和参与非正规部门的数据，特别是缺少关于其实际境况的数据。具体而言，委员会无法清楚了解妇女加入城市和农村地区劳动力队伍的情况、其失业率和工资、纵向和横向的劳动力队伍分隔以及妇女从新经济机会受益的能力等情况。委员会感到关切的是，缔约国的一些劳动法过于保护身为人母的妇女并限制妇女参与若干领域的工作，这可能给妇女参与劳工市场造成阻碍，致使关于性别角色的陈规定型观念长期存在。</w:t>
      </w:r>
    </w:p>
    <w:p w:rsidR="0049192B" w:rsidRPr="003F4D83" w:rsidRDefault="0049192B" w:rsidP="0049192B">
      <w:pPr>
        <w:pStyle w:val="SingleTxt"/>
        <w:spacing w:line="324" w:lineRule="exact"/>
        <w:rPr>
          <w:rFonts w:ascii="SimHei" w:eastAsia="SimHei" w:hint="eastAsia"/>
          <w:color w:val="FF0000"/>
        </w:rPr>
      </w:pPr>
      <w:r>
        <w:rPr>
          <w:rFonts w:hint="eastAsia"/>
        </w:rPr>
        <w:t>3</w:t>
      </w:r>
      <w:r>
        <w:t>2</w:t>
      </w:r>
      <w:r>
        <w:rPr>
          <w:rFonts w:hint="eastAsia"/>
        </w:rPr>
        <w:t>.</w:t>
      </w:r>
      <w:r>
        <w:rPr>
          <w:rFonts w:hint="eastAsia"/>
        </w:rPr>
        <w:tab/>
      </w:r>
      <w:r w:rsidRPr="003F4D83">
        <w:rPr>
          <w:rFonts w:ascii="SimHei" w:eastAsia="SimHei" w:hint="eastAsia"/>
          <w:color w:val="FF0000"/>
        </w:rPr>
        <w:t>委员会敦促缔约国根据《公约》第十一条的规定确保妇女和男子在劳工市场上享有平等机会和平等待遇，特别是加强其劳动监察。委员会敦促缔约国加紧努力，确保所有创造就业的方案对性别问题有敏感认识，并确保妇女能从这些方案中充分受益。委员会吁请缔约国在其下次报告中提供详细资料，包括按性别分列的数据，并提供分析，说明妇女在包括正规和非正规部门在内的就业领域中的境况和长期趋势，以及所采取的措施及其对实现妇女在工作场所享有平等机会的影响。委员会建议缔约国根据《公约》第十一条第3款对法律进行定期审查，以期减少妇女在劳工市场面临的</w:t>
      </w:r>
      <w:r>
        <w:rPr>
          <w:rFonts w:ascii="SimHei" w:eastAsia="SimHei" w:hint="eastAsia"/>
          <w:color w:val="FF0000"/>
        </w:rPr>
        <w:t>一切障碍</w:t>
      </w:r>
      <w:r w:rsidRPr="003F4D83">
        <w:rPr>
          <w:rFonts w:ascii="SimHei" w:eastAsia="SimHei" w:hint="eastAsia"/>
          <w:color w:val="FF0000"/>
        </w:rPr>
        <w:t>。</w:t>
      </w:r>
    </w:p>
    <w:p w:rsidR="0049192B" w:rsidRDefault="0049192B" w:rsidP="0049192B">
      <w:pPr>
        <w:pStyle w:val="SingleTxt"/>
        <w:rPr>
          <w:rFonts w:hint="eastAsia"/>
        </w:rPr>
      </w:pPr>
      <w:r>
        <w:rPr>
          <w:rFonts w:hint="eastAsia"/>
        </w:rPr>
        <w:t>3</w:t>
      </w:r>
      <w:r>
        <w:t>3</w:t>
      </w:r>
      <w:r>
        <w:rPr>
          <w:rFonts w:hint="eastAsia"/>
        </w:rPr>
        <w:t>.</w:t>
      </w:r>
      <w:r>
        <w:rPr>
          <w:rFonts w:hint="eastAsia"/>
        </w:rPr>
        <w:tab/>
        <w:t>委员会注意到缔约国为改善妇女健康作出努力，包括在2006年通过《生殖健康法》。但委员会表示关切的是，妇女健康的状况岌岌可危，包括妇女和女童、特别是农村地区的妇女和女童没有机会获得包括计划生育在内的足够保健服务，少女怀孕率很高和瘘管病问题；产妇和婴儿死亡率很高；避孕药使用率很低；有害的传统做法，例如切割女性生殖器，这些做法可能导致死亡。</w:t>
      </w:r>
    </w:p>
    <w:p w:rsidR="0049192B" w:rsidRPr="0049192B" w:rsidRDefault="0049192B" w:rsidP="0049192B">
      <w:pPr>
        <w:pStyle w:val="SingleTxt"/>
        <w:spacing w:line="324" w:lineRule="exact"/>
        <w:rPr>
          <w:rFonts w:ascii="SimHei" w:eastAsia="SimHei" w:hint="eastAsia"/>
          <w:color w:val="FF0000"/>
          <w:spacing w:val="-2"/>
        </w:rPr>
      </w:pPr>
      <w:r w:rsidRPr="0049192B">
        <w:rPr>
          <w:rFonts w:hint="eastAsia"/>
          <w:spacing w:val="-2"/>
        </w:rPr>
        <w:t>3</w:t>
      </w:r>
      <w:r w:rsidRPr="0049192B">
        <w:rPr>
          <w:spacing w:val="-2"/>
        </w:rPr>
        <w:t>4</w:t>
      </w:r>
      <w:r w:rsidRPr="0049192B">
        <w:rPr>
          <w:rFonts w:hint="eastAsia"/>
          <w:spacing w:val="-2"/>
        </w:rPr>
        <w:t>.</w:t>
      </w:r>
      <w:r w:rsidRPr="0049192B">
        <w:rPr>
          <w:rFonts w:hint="eastAsia"/>
          <w:spacing w:val="-2"/>
        </w:rPr>
        <w:tab/>
      </w:r>
      <w:r w:rsidRPr="0049192B">
        <w:rPr>
          <w:rFonts w:ascii="SimHei" w:eastAsia="SimHei" w:hint="eastAsia"/>
          <w:color w:val="FF0000"/>
          <w:spacing w:val="-2"/>
        </w:rPr>
        <w:t>委员会建议缔约国采取所有必要措施，改进妇女、包括农村地区的妇女获得保健和与健康有关的服务和信息的机会。委员会吁请缔约国提供更多性健康服务和包括计划生育在内的生殖健康服务。委员会还建议采取各种方案和政策，增加对负担得起的避孕方法的了解和利用，以便妇女和男子能够在知情情况下作出关于生育数量和生育间隔的选择。委员会还建议实施全面的降低产妇和婴儿死亡率方案，并订立有时限的目标和列入增加产科服务覆盖面的措施。委员会还建议针对女童和男童广泛推广性教育，特别注意防止早孕。委员会敦促缔约国提高人们对禁止切割女性生殖器的法律的认识，并确保该法得到执行。委员会敦促缔约国加强针对男子和妇女的宣传和教育工作，以消除切割女性生殖器的做法及其风俗上的深层缘由。委员会还鼓励缔约国制定方案，为以切割女性生殖器为谋生之业的人提供其他收入来源。委员会请缔约国采取措施，减少膀胱阴道瘘的发生率，并向受该病影响的人提供医疗帮助。委员会吁请缔约国建立数据收集制度，以便加强知识基础，用以有效制定和执行关于妇女健康所有方面的政策，包括监测其影响。</w:t>
      </w:r>
    </w:p>
    <w:p w:rsidR="0049192B" w:rsidRDefault="0049192B" w:rsidP="0049192B">
      <w:pPr>
        <w:pStyle w:val="SingleTxt"/>
        <w:spacing w:line="324" w:lineRule="exact"/>
        <w:rPr>
          <w:rFonts w:hint="eastAsia"/>
        </w:rPr>
      </w:pPr>
      <w:r>
        <w:rPr>
          <w:rFonts w:hint="eastAsia"/>
        </w:rPr>
        <w:t>3</w:t>
      </w:r>
      <w:r>
        <w:t>5</w:t>
      </w:r>
      <w:r>
        <w:rPr>
          <w:rFonts w:hint="eastAsia"/>
        </w:rPr>
        <w:t>.</w:t>
      </w:r>
      <w:r>
        <w:rPr>
          <w:rFonts w:hint="eastAsia"/>
        </w:rPr>
        <w:tab/>
        <w:t>委员会对妇女中的普遍贫穷现象感到关切。委员会特别感到关切的是农村妇女的境况、她们缺乏信息而且没有参与决策过程以及缺少获得保健、社会保障服务、教育、司法救助、洁净水、电、土地和信贷的机会等情况。委员会对农业贸易自由化对妇女可能造成的不利影响以及妇女在贸易谈判中的参与程度较低感到关切。</w:t>
      </w:r>
    </w:p>
    <w:p w:rsidR="0049192B" w:rsidRPr="003F4D83" w:rsidRDefault="0049192B" w:rsidP="0049192B">
      <w:pPr>
        <w:pStyle w:val="SingleTxt"/>
        <w:spacing w:line="324" w:lineRule="exact"/>
        <w:rPr>
          <w:rFonts w:ascii="SimHei" w:eastAsia="SimHei" w:hint="eastAsia"/>
          <w:color w:val="FF0000"/>
        </w:rPr>
      </w:pPr>
      <w:r>
        <w:rPr>
          <w:rFonts w:hint="eastAsia"/>
        </w:rPr>
        <w:t>3</w:t>
      </w:r>
      <w:r>
        <w:t>6</w:t>
      </w:r>
      <w:r>
        <w:rPr>
          <w:rFonts w:hint="eastAsia"/>
        </w:rPr>
        <w:t>.</w:t>
      </w:r>
      <w:r>
        <w:rPr>
          <w:rFonts w:hint="eastAsia"/>
        </w:rPr>
        <w:tab/>
      </w:r>
      <w:r w:rsidRPr="003F4D83">
        <w:rPr>
          <w:rFonts w:ascii="SimHei" w:eastAsia="SimHei" w:hint="eastAsia"/>
          <w:color w:val="FF0000"/>
        </w:rPr>
        <w:t>委员会敦促缔约国特别重视农村妇女的需要。委员会敦促缔约国确保农村妇女可以获得保健、教育、司法救助、足够住房、洁净水、电、土地和创收项目的帮助。委员会吁请缔约国确保在所有减贫计划和战略中纳入性别观点。委员会还建议缔约国开展研究，确定农业贸易自由化协定对妇女的社会经济条件的影响，并确保妇女获得信息和参与贸易决策。委员会建议缔约国收集关于农村妇女境况的数据，并将这些数据和分析列入其下次定期报告。</w:t>
      </w:r>
    </w:p>
    <w:p w:rsidR="0049192B" w:rsidRDefault="0049192B" w:rsidP="0049192B">
      <w:pPr>
        <w:pStyle w:val="SingleTxt"/>
        <w:spacing w:line="324" w:lineRule="exact"/>
        <w:rPr>
          <w:rFonts w:hint="eastAsia"/>
        </w:rPr>
      </w:pPr>
      <w:r>
        <w:rPr>
          <w:rFonts w:hint="eastAsia"/>
        </w:rPr>
        <w:t>3</w:t>
      </w:r>
      <w:r>
        <w:t>7</w:t>
      </w:r>
      <w:r>
        <w:rPr>
          <w:rFonts w:hint="eastAsia"/>
        </w:rPr>
        <w:t>.</w:t>
      </w:r>
      <w:r>
        <w:rPr>
          <w:rFonts w:hint="eastAsia"/>
        </w:rPr>
        <w:tab/>
        <w:t>委员会感到遗憾的是，报告没有提供按性别和族裔分列的足够统计数据，用以说明男女平等原则在《公约》涵盖的所有领域中的实际实现情况。委员会还感到遗憾的是，报告没有提供足够信息，说明所采取的法律和政策措施取得的影响和成果。</w:t>
      </w:r>
    </w:p>
    <w:p w:rsidR="0049192B" w:rsidRPr="003F4D83" w:rsidRDefault="0049192B" w:rsidP="0049192B">
      <w:pPr>
        <w:pStyle w:val="SingleTxt"/>
        <w:spacing w:line="324" w:lineRule="exact"/>
        <w:rPr>
          <w:rFonts w:ascii="SimHei" w:eastAsia="SimHei" w:hint="eastAsia"/>
          <w:color w:val="FF0000"/>
        </w:rPr>
      </w:pPr>
      <w:r>
        <w:rPr>
          <w:rFonts w:hint="eastAsia"/>
        </w:rPr>
        <w:t>3</w:t>
      </w:r>
      <w:r>
        <w:t>8</w:t>
      </w:r>
      <w:r>
        <w:rPr>
          <w:rFonts w:hint="eastAsia"/>
        </w:rPr>
        <w:t>.</w:t>
      </w:r>
      <w:r>
        <w:rPr>
          <w:rFonts w:hint="eastAsia"/>
        </w:rPr>
        <w:tab/>
      </w:r>
      <w:r w:rsidRPr="003F4D83">
        <w:rPr>
          <w:rFonts w:ascii="SimHei" w:eastAsia="SimHei" w:hint="eastAsia"/>
          <w:color w:val="FF0000"/>
        </w:rPr>
        <w:t>委员会请缔约国在其下次报告中列入按性别</w:t>
      </w:r>
      <w:r>
        <w:rPr>
          <w:rFonts w:ascii="SimHei" w:eastAsia="SimHei" w:hint="eastAsia"/>
          <w:color w:val="FF0000"/>
        </w:rPr>
        <w:t>和</w:t>
      </w:r>
      <w:r w:rsidRPr="003F4D83">
        <w:rPr>
          <w:rFonts w:ascii="SimHei" w:eastAsia="SimHei" w:hint="eastAsia"/>
          <w:color w:val="FF0000"/>
        </w:rPr>
        <w:t>族裔分列的足够统计数据和分析</w:t>
      </w:r>
      <w:r>
        <w:rPr>
          <w:rFonts w:ascii="SimHei" w:eastAsia="SimHei" w:hint="eastAsia"/>
          <w:color w:val="FF0000"/>
        </w:rPr>
        <w:t>，并提供关于残疾妇女状况的资料</w:t>
      </w:r>
      <w:r w:rsidRPr="003F4D83">
        <w:rPr>
          <w:rFonts w:ascii="SimHei" w:eastAsia="SimHei" w:hint="eastAsia"/>
          <w:color w:val="FF0000"/>
        </w:rPr>
        <w:t>，以便全面说明为所有妇女执行《公约》全部规定的情况。委员会还建议缔约国定期对其法律改革、政策和方案进行影响评估，以确保所采取的措施能够实现预想的目标，并在其下次报告中向委员会说明这些评估的结果。</w:t>
      </w:r>
    </w:p>
    <w:p w:rsidR="0049192B" w:rsidRPr="003F4D83" w:rsidRDefault="0049192B" w:rsidP="0049192B">
      <w:pPr>
        <w:pStyle w:val="SingleTxt"/>
        <w:spacing w:line="324" w:lineRule="exact"/>
        <w:rPr>
          <w:rFonts w:ascii="SimHei" w:eastAsia="SimHei" w:hint="eastAsia"/>
          <w:color w:val="FF0000"/>
        </w:rPr>
      </w:pPr>
      <w:r>
        <w:t>39</w:t>
      </w:r>
      <w:r>
        <w:rPr>
          <w:rFonts w:hint="eastAsia"/>
        </w:rPr>
        <w:t>.</w:t>
      </w:r>
      <w:r>
        <w:rPr>
          <w:rFonts w:hint="eastAsia"/>
        </w:rPr>
        <w:tab/>
      </w:r>
      <w:r w:rsidRPr="003F4D83">
        <w:rPr>
          <w:rFonts w:ascii="SimHei" w:eastAsia="SimHei" w:hint="eastAsia"/>
          <w:color w:val="FF0000"/>
        </w:rPr>
        <w:t>委员会敦促缔约国在履行《公约》规定的义务时充分利用加强《公约》各项规定的《北京宣言》和《行动纲要》，并请缔约国在其下次定期报告中列入这方面的资料。</w:t>
      </w:r>
    </w:p>
    <w:p w:rsidR="0049192B" w:rsidRPr="003F4D83" w:rsidRDefault="0049192B" w:rsidP="0049192B">
      <w:pPr>
        <w:pStyle w:val="SingleTxt"/>
        <w:spacing w:line="324" w:lineRule="exact"/>
        <w:rPr>
          <w:rFonts w:ascii="SimHei" w:eastAsia="SimHei" w:hint="eastAsia"/>
          <w:color w:val="FF0000"/>
        </w:rPr>
      </w:pPr>
      <w:r>
        <w:rPr>
          <w:rFonts w:hint="eastAsia"/>
        </w:rPr>
        <w:t>4</w:t>
      </w:r>
      <w:r>
        <w:t>0</w:t>
      </w:r>
      <w:r>
        <w:rPr>
          <w:rFonts w:hint="eastAsia"/>
        </w:rPr>
        <w:t>.</w:t>
      </w:r>
      <w:r>
        <w:rPr>
          <w:rFonts w:hint="eastAsia"/>
        </w:rPr>
        <w:tab/>
      </w:r>
      <w:r w:rsidRPr="003F4D83">
        <w:rPr>
          <w:rFonts w:ascii="SimHei" w:eastAsia="SimHei" w:hint="eastAsia"/>
          <w:color w:val="FF0000"/>
        </w:rPr>
        <w:t>委员会还强调指出，《公约》的充分、有效执行对于实现千年发展目标必不可少。委员会呼吁在实现千年发展目标的所有努力中纳入性别观点和明确反映《公约》的规定，并请缔约国在其下次定期报告中列入这方面的资料。</w:t>
      </w:r>
    </w:p>
    <w:p w:rsidR="0049192B" w:rsidRPr="003F4D83" w:rsidRDefault="0049192B" w:rsidP="0049192B">
      <w:pPr>
        <w:pStyle w:val="SingleTxt"/>
        <w:spacing w:line="324" w:lineRule="exact"/>
        <w:rPr>
          <w:rFonts w:ascii="SimHei" w:eastAsia="SimHei" w:hint="eastAsia"/>
          <w:color w:val="FF0000"/>
        </w:rPr>
      </w:pPr>
      <w:r>
        <w:rPr>
          <w:rFonts w:hint="eastAsia"/>
        </w:rPr>
        <w:t>4</w:t>
      </w:r>
      <w:r>
        <w:t>1</w:t>
      </w:r>
      <w:r>
        <w:rPr>
          <w:rFonts w:hint="eastAsia"/>
        </w:rPr>
        <w:t>.</w:t>
      </w:r>
      <w:r>
        <w:rPr>
          <w:rFonts w:hint="eastAsia"/>
        </w:rPr>
        <w:tab/>
      </w:r>
      <w:r w:rsidRPr="003F4D83">
        <w:rPr>
          <w:rFonts w:ascii="SimHei" w:eastAsia="SimHei" w:hint="eastAsia"/>
          <w:color w:val="FF0000"/>
        </w:rPr>
        <w:t>委员会指出，各国加入七项主要国际人权文书，</w:t>
      </w:r>
      <w:r w:rsidRPr="008D1126">
        <w:rPr>
          <w:rStyle w:val="FootnoteReference"/>
        </w:rPr>
        <w:footnoteReference w:id="1"/>
      </w:r>
      <w:r>
        <w:rPr>
          <w:rFonts w:hint="eastAsia"/>
        </w:rPr>
        <w:t xml:space="preserve"> </w:t>
      </w:r>
      <w:r w:rsidRPr="003F4D83">
        <w:rPr>
          <w:rFonts w:ascii="SimHei" w:eastAsia="SimHei" w:hint="eastAsia"/>
          <w:color w:val="FF0000"/>
        </w:rPr>
        <w:t>会增进妇女在生活所有方面享有人权和基本自由。因此，委员会鼓励尼日尔政府考虑批准其尚未加入的条约，即《保护所有移徙工人及其家庭成员权利国际公约》。</w:t>
      </w:r>
    </w:p>
    <w:p w:rsidR="0049192B" w:rsidRPr="003F4D83" w:rsidRDefault="0049192B" w:rsidP="0049192B">
      <w:pPr>
        <w:pStyle w:val="SingleTxt"/>
        <w:rPr>
          <w:rFonts w:ascii="SimHei" w:eastAsia="SimHei" w:hint="eastAsia"/>
          <w:color w:val="FF0000"/>
        </w:rPr>
      </w:pPr>
      <w:r>
        <w:rPr>
          <w:rFonts w:hint="eastAsia"/>
        </w:rPr>
        <w:t>4</w:t>
      </w:r>
      <w:r>
        <w:t>2</w:t>
      </w:r>
      <w:r>
        <w:rPr>
          <w:rFonts w:hint="eastAsia"/>
        </w:rPr>
        <w:t>.</w:t>
      </w:r>
      <w:r>
        <w:rPr>
          <w:rFonts w:hint="eastAsia"/>
        </w:rPr>
        <w:tab/>
      </w:r>
      <w:r w:rsidRPr="003F4D83">
        <w:rPr>
          <w:rFonts w:ascii="SimHei" w:eastAsia="SimHei" w:hint="eastAsia"/>
          <w:color w:val="FF0000"/>
        </w:rPr>
        <w:t>委员会请尼日尔在国内广泛宣传本结论意见，以便使其民众，包括政府官员、政界人物、议员以及妇女和人权组织，都能了解为确保妇女法律上和事实上的平等而已经采取的步骤以及这方面需要采取的进一步步骤。委员会请缔约国继续向各界，特别是妇女和人权组织广泛宣传《公约》、其《任择议定书》、委员会的一般性建议、《北京宣言》和《行动纲要》，以及题为“2000年妇女：二十一世纪两性平等、发展与和平”的大会第二十三届特别会议成果文件。</w:t>
      </w:r>
    </w:p>
    <w:p w:rsidR="0049192B" w:rsidRPr="003F4D83" w:rsidRDefault="0049192B" w:rsidP="0049192B">
      <w:pPr>
        <w:pStyle w:val="SingleTxt"/>
        <w:rPr>
          <w:rFonts w:ascii="SimHei" w:eastAsia="SimHei" w:hint="eastAsia"/>
          <w:color w:val="FF0000"/>
        </w:rPr>
      </w:pPr>
      <w:r>
        <w:rPr>
          <w:rFonts w:hint="eastAsia"/>
        </w:rPr>
        <w:t>4</w:t>
      </w:r>
      <w:r>
        <w:t>3</w:t>
      </w:r>
      <w:r>
        <w:rPr>
          <w:rFonts w:hint="eastAsia"/>
        </w:rPr>
        <w:t>.</w:t>
      </w:r>
      <w:r>
        <w:rPr>
          <w:rFonts w:hint="eastAsia"/>
        </w:rPr>
        <w:tab/>
      </w:r>
      <w:r w:rsidRPr="003F4D83">
        <w:rPr>
          <w:rFonts w:ascii="SimHei" w:eastAsia="SimHei" w:hint="eastAsia"/>
          <w:color w:val="FF0000"/>
        </w:rPr>
        <w:t>委员会请缔约国在其依照《公约》第十八条提交的下次定期报告中对本结论意见表示的关切作出答复。委员会邀请缔约国于2012年以合并报告的方式提交应于2008年11月提交的第三次定期报告和应于2012年11月提交的第四次定期报告。</w:t>
      </w:r>
    </w:p>
    <w:p w:rsidR="00EA31C3" w:rsidRPr="003C17C0" w:rsidRDefault="0049192B" w:rsidP="0049192B">
      <w:pPr>
        <w:pStyle w:val="SingleTxt"/>
        <w:spacing w:after="0" w:line="240" w:lineRule="auto"/>
      </w:pPr>
      <w:r>
        <w:rPr>
          <w:noProof/>
          <w:sz w:val="20"/>
        </w:rPr>
        <w:pict>
          <v:line id="_x0000_s1026" style="position:absolute;left:0;text-align:left;z-index:1;mso-position-horizontal:center" from="0,30pt" to="1in,30pt" strokeweight=".25pt"/>
        </w:pict>
      </w:r>
    </w:p>
    <w:sectPr w:rsidR="00EA31C3" w:rsidRPr="003C17C0" w:rsidSect="003C17C0">
      <w:type w:val="continuous"/>
      <w:pgSz w:w="12240" w:h="15840" w:code="1"/>
      <w:pgMar w:top="1742" w:right="1195" w:bottom="1898" w:left="1195" w:header="576" w:footer="1030" w:gutter="0"/>
      <w:pgNumType w:start="1"/>
      <w:cols w:space="425"/>
      <w:noEndnote/>
      <w:docGrid w:linePitch="312"/>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7-06-19T10:37:00Z" w:initials="Start">
    <w:p w:rsidR="006C23B8" w:rsidRDefault="006C23B8">
      <w:pPr>
        <w:pStyle w:val="CommentText"/>
      </w:pPr>
      <w:r>
        <w:fldChar w:fldCharType="begin"/>
      </w:r>
      <w:r>
        <w:rPr>
          <w:rStyle w:val="CommentReference"/>
        </w:rPr>
        <w:instrText xml:space="preserve"> </w:instrText>
      </w:r>
      <w:r>
        <w:instrText>PAGE</w:instrText>
      </w:r>
      <w:r>
        <w:rPr>
          <w:rFonts w:hint="eastAsia"/>
        </w:rPr>
        <w:instrText xml:space="preserve"> \# "'页: '#'</w:instrText>
      </w:r>
      <w:r>
        <w:rPr>
          <w:rFonts w:hint="eastAsia"/>
        </w:rPr>
        <w:br/>
        <w:instrText>'"</w:instrText>
      </w:r>
      <w:r>
        <w:rPr>
          <w:rStyle w:val="CommentReference"/>
        </w:rPr>
        <w:instrText xml:space="preserve"> </w:instrText>
      </w:r>
      <w:r>
        <w:fldChar w:fldCharType="separate"/>
      </w:r>
      <w:r>
        <w:rPr>
          <w:rFonts w:hint="eastAsia"/>
          <w:noProof/>
        </w:rPr>
        <w:t xml:space="preserve">页: </w:t>
      </w:r>
      <w:r>
        <w:rPr>
          <w:noProof/>
        </w:rPr>
        <w:t>1</w:t>
      </w:r>
      <w:r>
        <w:rPr>
          <w:rFonts w:hint="eastAsia"/>
          <w:noProof/>
        </w:rPr>
        <w:br/>
      </w:r>
      <w:r>
        <w:fldChar w:fldCharType="end"/>
      </w:r>
      <w:r>
        <w:rPr>
          <w:rStyle w:val="CommentReference"/>
        </w:rPr>
        <w:annotationRef/>
      </w:r>
      <w:r>
        <w:t>&lt;&lt;ODS JOB NO&gt;&gt;N0737601C&lt;&lt;ODS JOB NO&gt;&gt;</w:t>
      </w:r>
    </w:p>
    <w:p w:rsidR="006C23B8" w:rsidRDefault="006C23B8">
      <w:pPr>
        <w:pStyle w:val="CommentText"/>
      </w:pPr>
      <w:r>
        <w:t>&lt;&lt;ODS DOC SYMBOL1&gt;&gt;CEDAW/C/NER/CO/2&lt;&lt;ODS DOC SYMBOL1&gt;&gt;</w:t>
      </w:r>
    </w:p>
    <w:p w:rsidR="006C23B8" w:rsidRDefault="006C23B8">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E08F3" w:rsidRDefault="00AE08F3" w:rsidP="003C17C0">
      <w:pPr>
        <w:pStyle w:val="Header"/>
      </w:pPr>
      <w:r>
        <w:separator/>
      </w:r>
    </w:p>
  </w:endnote>
  <w:endnote w:type="continuationSeparator" w:id="0">
    <w:p w:rsidR="00AE08F3" w:rsidRDefault="00AE08F3" w:rsidP="003C17C0">
      <w:pPr>
        <w:pStyle w:val="Heade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imHei">
    <w:altName w:val="黑体"/>
    <w:panose1 w:val="02010609060101010101"/>
    <w:charset w:val="86"/>
    <w:family w:val="modern"/>
    <w:pitch w:val="fixed"/>
    <w:sig w:usb0="800002BF" w:usb1="38CF7CFA" w:usb2="00000016" w:usb3="00000000" w:csb0="00040001" w:csb1="00000000"/>
  </w:font>
  <w:font w:name="KaiTi_GB2312">
    <w:altName w:val="楷体_GB2312"/>
    <w:panose1 w:val="02010609060101010101"/>
    <w:charset w:val="86"/>
    <w:family w:val="modern"/>
    <w:pitch w:val="fixed"/>
    <w:sig w:usb0="00000001" w:usb1="080E0000" w:usb2="00000010" w:usb3="00000000" w:csb0="00040000"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Look w:val="0000" w:firstRow="0" w:lastRow="0" w:firstColumn="0" w:lastColumn="0" w:noHBand="0" w:noVBand="0"/>
    </w:tblPr>
    <w:tblGrid>
      <w:gridCol w:w="5033"/>
      <w:gridCol w:w="5033"/>
    </w:tblGrid>
    <w:tr w:rsidR="006C23B8" w:rsidTr="003C17C0">
      <w:tblPrEx>
        <w:tblCellMar>
          <w:top w:w="0" w:type="dxa"/>
          <w:bottom w:w="0" w:type="dxa"/>
        </w:tblCellMar>
      </w:tblPrEx>
      <w:tc>
        <w:tcPr>
          <w:tcW w:w="5033" w:type="dxa"/>
          <w:shd w:val="clear" w:color="auto" w:fill="auto"/>
          <w:vAlign w:val="bottom"/>
        </w:tcPr>
        <w:p w:rsidR="006C23B8" w:rsidRPr="003C17C0" w:rsidRDefault="006C23B8" w:rsidP="003C17C0">
          <w:pPr>
            <w:pStyle w:val="Footer"/>
            <w:jc w:val="left"/>
          </w:pPr>
          <w:r>
            <w:fldChar w:fldCharType="begin"/>
          </w:r>
          <w:r>
            <w:instrText xml:space="preserve"> PAGE  \* MERGEFORMAT </w:instrText>
          </w:r>
          <w:r>
            <w:fldChar w:fldCharType="separate"/>
          </w:r>
          <w:r>
            <w:t>8</w:t>
          </w:r>
          <w:r>
            <w:fldChar w:fldCharType="end"/>
          </w:r>
        </w:p>
      </w:tc>
      <w:tc>
        <w:tcPr>
          <w:tcW w:w="5033" w:type="dxa"/>
          <w:shd w:val="clear" w:color="auto" w:fill="auto"/>
          <w:vAlign w:val="bottom"/>
        </w:tcPr>
        <w:p w:rsidR="006C23B8" w:rsidRPr="003C17C0" w:rsidRDefault="006C23B8" w:rsidP="003C17C0">
          <w:pPr>
            <w:pStyle w:val="Footer"/>
            <w:jc w:val="right"/>
            <w:rPr>
              <w:b w:val="0"/>
              <w:sz w:val="14"/>
            </w:rPr>
          </w:pPr>
          <w:r>
            <w:rPr>
              <w:b w:val="0"/>
              <w:sz w:val="14"/>
            </w:rPr>
            <w:fldChar w:fldCharType="begin"/>
          </w:r>
          <w:r>
            <w:rPr>
              <w:b w:val="0"/>
              <w:sz w:val="14"/>
            </w:rPr>
            <w:instrText xml:space="preserve"> DOCVARIABLE "FooterJN" \* MERGEFORMAT </w:instrText>
          </w:r>
          <w:r>
            <w:rPr>
              <w:b w:val="0"/>
              <w:sz w:val="14"/>
            </w:rPr>
            <w:fldChar w:fldCharType="separate"/>
          </w:r>
          <w:r>
            <w:rPr>
              <w:b w:val="0"/>
              <w:sz w:val="14"/>
            </w:rPr>
            <w:t>07-37601</w:t>
          </w:r>
          <w:r>
            <w:rPr>
              <w:b w:val="0"/>
              <w:sz w:val="14"/>
            </w:rPr>
            <w:fldChar w:fldCharType="end"/>
          </w:r>
        </w:p>
      </w:tc>
    </w:tr>
  </w:tbl>
  <w:p w:rsidR="006C23B8" w:rsidRPr="003C17C0" w:rsidRDefault="006C23B8" w:rsidP="003C17C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Look w:val="0000" w:firstRow="0" w:lastRow="0" w:firstColumn="0" w:lastColumn="0" w:noHBand="0" w:noVBand="0"/>
    </w:tblPr>
    <w:tblGrid>
      <w:gridCol w:w="5033"/>
      <w:gridCol w:w="5033"/>
    </w:tblGrid>
    <w:tr w:rsidR="006C23B8" w:rsidTr="003C17C0">
      <w:tblPrEx>
        <w:tblCellMar>
          <w:top w:w="0" w:type="dxa"/>
          <w:bottom w:w="0" w:type="dxa"/>
        </w:tblCellMar>
      </w:tblPrEx>
      <w:tc>
        <w:tcPr>
          <w:tcW w:w="5033" w:type="dxa"/>
          <w:shd w:val="clear" w:color="auto" w:fill="auto"/>
          <w:vAlign w:val="bottom"/>
        </w:tcPr>
        <w:p w:rsidR="006C23B8" w:rsidRPr="003C17C0" w:rsidRDefault="006C23B8" w:rsidP="003C17C0">
          <w:pPr>
            <w:pStyle w:val="Footer"/>
            <w:jc w:val="left"/>
            <w:rPr>
              <w:b w:val="0"/>
              <w:sz w:val="14"/>
            </w:rPr>
          </w:pPr>
          <w:r>
            <w:rPr>
              <w:b w:val="0"/>
              <w:sz w:val="14"/>
            </w:rPr>
            <w:fldChar w:fldCharType="begin"/>
          </w:r>
          <w:r>
            <w:rPr>
              <w:b w:val="0"/>
              <w:sz w:val="14"/>
            </w:rPr>
            <w:instrText xml:space="preserve"> DOCVARIABLE "FooterJN" \* MERGEFORMAT </w:instrText>
          </w:r>
          <w:r>
            <w:rPr>
              <w:b w:val="0"/>
              <w:sz w:val="14"/>
            </w:rPr>
            <w:fldChar w:fldCharType="separate"/>
          </w:r>
          <w:r>
            <w:rPr>
              <w:b w:val="0"/>
              <w:sz w:val="14"/>
            </w:rPr>
            <w:t>07-37601</w:t>
          </w:r>
          <w:r>
            <w:rPr>
              <w:b w:val="0"/>
              <w:sz w:val="14"/>
            </w:rPr>
            <w:fldChar w:fldCharType="end"/>
          </w:r>
        </w:p>
      </w:tc>
      <w:tc>
        <w:tcPr>
          <w:tcW w:w="5033" w:type="dxa"/>
          <w:shd w:val="clear" w:color="auto" w:fill="auto"/>
          <w:vAlign w:val="bottom"/>
        </w:tcPr>
        <w:p w:rsidR="006C23B8" w:rsidRPr="003C17C0" w:rsidRDefault="006C23B8" w:rsidP="003C17C0">
          <w:pPr>
            <w:pStyle w:val="Footer"/>
            <w:jc w:val="right"/>
          </w:pPr>
          <w:r>
            <w:fldChar w:fldCharType="begin"/>
          </w:r>
          <w:r>
            <w:instrText xml:space="preserve"> PAGE  \* MERGEFORMAT </w:instrText>
          </w:r>
          <w:r>
            <w:fldChar w:fldCharType="separate"/>
          </w:r>
          <w:r>
            <w:t>5</w:t>
          </w:r>
          <w:r>
            <w:fldChar w:fldCharType="end"/>
          </w:r>
        </w:p>
      </w:tc>
    </w:tr>
  </w:tbl>
  <w:p w:rsidR="006C23B8" w:rsidRPr="003C17C0" w:rsidRDefault="006C23B8" w:rsidP="003C17C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C23B8" w:rsidRDefault="006C23B8" w:rsidP="003C17C0">
    <w:pPr>
      <w:pStyle w:val="Footer"/>
      <w:rPr>
        <w:b w:val="0"/>
        <w:sz w:val="21"/>
      </w:rPr>
    </w:pPr>
    <w:r>
      <w:rPr>
        <w:b w:val="0"/>
        <w:sz w:val="21"/>
      </w:rPr>
      <w:fldChar w:fldCharType="begin"/>
    </w:r>
    <w:r>
      <w:rPr>
        <w:b w:val="0"/>
        <w:sz w:val="21"/>
      </w:rPr>
      <w:instrText xml:space="preserve"> DOCVARIABLE "jobn" \* MERGEFORMAT </w:instrText>
    </w:r>
    <w:r>
      <w:rPr>
        <w:b w:val="0"/>
        <w:sz w:val="21"/>
      </w:rPr>
      <w:fldChar w:fldCharType="separate"/>
    </w:r>
    <w:r>
      <w:rPr>
        <w:b w:val="0"/>
        <w:sz w:val="21"/>
      </w:rPr>
      <w:t>07-37601 (C)</w:t>
    </w:r>
    <w:r>
      <w:rPr>
        <w:b w:val="0"/>
        <w:sz w:val="21"/>
      </w:rPr>
      <w:fldChar w:fldCharType="end"/>
    </w:r>
    <w:r>
      <w:rPr>
        <w:b w:val="0"/>
        <w:sz w:val="21"/>
      </w:rPr>
      <w:t xml:space="preserve">    180607    190607</w:t>
    </w:r>
  </w:p>
  <w:p w:rsidR="006C23B8" w:rsidRPr="003C17C0" w:rsidRDefault="006C23B8" w:rsidP="003C17C0">
    <w:pPr>
      <w:spacing w:before="80" w:line="210" w:lineRule="exact"/>
      <w:rPr>
        <w:rFonts w:ascii="Barcode 3 of 9 by request" w:hAnsi="Barcode 3 of 9 by request"/>
        <w:sz w:val="24"/>
      </w:rPr>
    </w:pPr>
    <w:r>
      <w:rPr>
        <w:rFonts w:ascii="Barcode 3 of 9 by request" w:hAnsi="Barcode 3 of 9 by request"/>
        <w:sz w:val="24"/>
      </w:rPr>
      <w:fldChar w:fldCharType="begin"/>
    </w:r>
    <w:r>
      <w:rPr>
        <w:rFonts w:ascii="Barcode 3 of 9 by request" w:hAnsi="Barcode 3 of 9 by request"/>
        <w:sz w:val="24"/>
      </w:rPr>
      <w:instrText xml:space="preserve"> DOCVARIABLE "Barcode" \* MERGEFORMAT </w:instrText>
    </w:r>
    <w:r>
      <w:rPr>
        <w:rFonts w:ascii="Barcode 3 of 9 by request" w:hAnsi="Barcode 3 of 9 by request"/>
        <w:sz w:val="24"/>
      </w:rPr>
      <w:fldChar w:fldCharType="separate"/>
    </w:r>
    <w:r>
      <w:rPr>
        <w:rFonts w:ascii="Barcode 3 of 9 by request" w:hAnsi="Barcode 3 of 9 by request"/>
        <w:sz w:val="24"/>
      </w:rPr>
      <w:t>*0737601*</w:t>
    </w:r>
    <w:r>
      <w:rPr>
        <w:rFonts w:ascii="Barcode 3 of 9 by request" w:hAnsi="Barcode 3 of 9 by request"/>
        <w:sz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E08F3" w:rsidRPr="008D1126" w:rsidRDefault="00AE08F3" w:rsidP="008D1126">
      <w:pPr>
        <w:pStyle w:val="Footer"/>
        <w:spacing w:after="80"/>
        <w:ind w:left="792"/>
        <w:rPr>
          <w:sz w:val="16"/>
        </w:rPr>
      </w:pPr>
      <w:r w:rsidRPr="008D1126">
        <w:rPr>
          <w:sz w:val="16"/>
        </w:rPr>
        <w:t>__________________</w:t>
      </w:r>
    </w:p>
  </w:footnote>
  <w:footnote w:type="continuationSeparator" w:id="0">
    <w:p w:rsidR="00AE08F3" w:rsidRPr="008D1126" w:rsidRDefault="00AE08F3" w:rsidP="008D1126">
      <w:pPr>
        <w:pStyle w:val="Footer"/>
        <w:spacing w:after="80"/>
        <w:ind w:left="792"/>
        <w:rPr>
          <w:sz w:val="16"/>
        </w:rPr>
      </w:pPr>
      <w:r w:rsidRPr="008D1126">
        <w:rPr>
          <w:sz w:val="16"/>
        </w:rPr>
        <w:t>__________________</w:t>
      </w:r>
    </w:p>
  </w:footnote>
  <w:footnote w:id="1">
    <w:p w:rsidR="006C23B8" w:rsidRDefault="006C23B8" w:rsidP="008D1126">
      <w:pPr>
        <w:pStyle w:val="FootnoteText"/>
        <w:tabs>
          <w:tab w:val="clear" w:pos="418"/>
          <w:tab w:val="right" w:pos="1195"/>
          <w:tab w:val="left" w:pos="1264"/>
          <w:tab w:val="left" w:pos="1695"/>
          <w:tab w:val="left" w:pos="2126"/>
          <w:tab w:val="left" w:pos="2557"/>
        </w:tabs>
        <w:spacing w:line="256" w:lineRule="exact"/>
        <w:ind w:left="1264" w:right="1264" w:hanging="431"/>
        <w:rPr>
          <w:rFonts w:hint="eastAsia"/>
        </w:rPr>
      </w:pPr>
      <w:r>
        <w:tab/>
      </w:r>
      <w:r>
        <w:rPr>
          <w:rStyle w:val="FootnoteReference"/>
        </w:rPr>
        <w:footnoteRef/>
      </w:r>
      <w:r>
        <w:tab/>
        <w:t>《经济、社会、文化权利国际公约》、《公民及政治权利国际公约》、《消除一切形式种族歧视国际公约》、《消除对妇女一切形式歧视公约》、《禁止酷刑和其他残忍、不人道或有辱人格的待遇或处罚公约》、《儿童权利公约》以及《保护所有移徙工人及其家庭成员权利国际公约》。</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6C23B8" w:rsidTr="003C17C0">
      <w:tblPrEx>
        <w:tblCellMar>
          <w:top w:w="0" w:type="dxa"/>
          <w:bottom w:w="0" w:type="dxa"/>
        </w:tblCellMar>
      </w:tblPrEx>
      <w:trPr>
        <w:trHeight w:hRule="exact" w:val="864"/>
      </w:trPr>
      <w:tc>
        <w:tcPr>
          <w:tcW w:w="4838" w:type="dxa"/>
          <w:shd w:val="clear" w:color="auto" w:fill="auto"/>
          <w:vAlign w:val="bottom"/>
        </w:tcPr>
        <w:p w:rsidR="006C23B8" w:rsidRPr="003C17C0" w:rsidRDefault="006C23B8" w:rsidP="003C17C0">
          <w:pPr>
            <w:pStyle w:val="Header"/>
            <w:spacing w:after="80"/>
            <w:jc w:val="left"/>
            <w:rPr>
              <w:b/>
              <w:sz w:val="17"/>
            </w:rPr>
          </w:pPr>
          <w:r>
            <w:rPr>
              <w:b/>
              <w:sz w:val="17"/>
            </w:rPr>
            <w:fldChar w:fldCharType="begin"/>
          </w:r>
          <w:r>
            <w:rPr>
              <w:b/>
              <w:sz w:val="17"/>
            </w:rPr>
            <w:instrText xml:space="preserve"> DOCVARIABLE "sss1" \* MERGEFORMAT </w:instrText>
          </w:r>
          <w:r>
            <w:rPr>
              <w:b/>
              <w:sz w:val="17"/>
            </w:rPr>
            <w:fldChar w:fldCharType="separate"/>
          </w:r>
          <w:r>
            <w:rPr>
              <w:b/>
              <w:sz w:val="17"/>
            </w:rPr>
            <w:t>CEDAW/C/NER/CO/2</w:t>
          </w:r>
          <w:r>
            <w:rPr>
              <w:b/>
              <w:sz w:val="17"/>
            </w:rPr>
            <w:fldChar w:fldCharType="end"/>
          </w:r>
        </w:p>
      </w:tc>
      <w:tc>
        <w:tcPr>
          <w:tcW w:w="5033" w:type="dxa"/>
          <w:shd w:val="clear" w:color="auto" w:fill="auto"/>
          <w:vAlign w:val="bottom"/>
        </w:tcPr>
        <w:p w:rsidR="006C23B8" w:rsidRDefault="006C23B8" w:rsidP="003C17C0">
          <w:pPr>
            <w:pStyle w:val="Header"/>
          </w:pPr>
        </w:p>
      </w:tc>
    </w:tr>
  </w:tbl>
  <w:p w:rsidR="006C23B8" w:rsidRPr="003C17C0" w:rsidRDefault="006C23B8" w:rsidP="003C17C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6C23B8" w:rsidTr="003C17C0">
      <w:tblPrEx>
        <w:tblCellMar>
          <w:top w:w="0" w:type="dxa"/>
          <w:bottom w:w="0" w:type="dxa"/>
        </w:tblCellMar>
      </w:tblPrEx>
      <w:trPr>
        <w:trHeight w:hRule="exact" w:val="864"/>
      </w:trPr>
      <w:tc>
        <w:tcPr>
          <w:tcW w:w="4838" w:type="dxa"/>
          <w:shd w:val="clear" w:color="auto" w:fill="auto"/>
          <w:vAlign w:val="bottom"/>
        </w:tcPr>
        <w:p w:rsidR="006C23B8" w:rsidRDefault="006C23B8" w:rsidP="003C17C0">
          <w:pPr>
            <w:pStyle w:val="Header"/>
          </w:pPr>
        </w:p>
      </w:tc>
      <w:tc>
        <w:tcPr>
          <w:tcW w:w="5033" w:type="dxa"/>
          <w:shd w:val="clear" w:color="auto" w:fill="auto"/>
          <w:vAlign w:val="bottom"/>
        </w:tcPr>
        <w:p w:rsidR="006C23B8" w:rsidRPr="003C17C0" w:rsidRDefault="006C23B8" w:rsidP="003C17C0">
          <w:pPr>
            <w:pStyle w:val="Header"/>
            <w:spacing w:after="80"/>
            <w:jc w:val="right"/>
            <w:rPr>
              <w:b/>
              <w:sz w:val="17"/>
            </w:rPr>
          </w:pPr>
          <w:r>
            <w:rPr>
              <w:b/>
              <w:sz w:val="17"/>
            </w:rPr>
            <w:fldChar w:fldCharType="begin"/>
          </w:r>
          <w:r>
            <w:rPr>
              <w:b/>
              <w:sz w:val="17"/>
            </w:rPr>
            <w:instrText xml:space="preserve"> DOCVARIABLE "sss1" \* MERGEFORMAT </w:instrText>
          </w:r>
          <w:r>
            <w:rPr>
              <w:b/>
              <w:sz w:val="17"/>
            </w:rPr>
            <w:fldChar w:fldCharType="separate"/>
          </w:r>
          <w:r>
            <w:rPr>
              <w:b/>
              <w:sz w:val="17"/>
            </w:rPr>
            <w:t>CEDAW/C/NER/CO/2</w:t>
          </w:r>
          <w:r>
            <w:rPr>
              <w:b/>
              <w:sz w:val="17"/>
            </w:rPr>
            <w:fldChar w:fldCharType="end"/>
          </w:r>
        </w:p>
      </w:tc>
    </w:tr>
  </w:tbl>
  <w:p w:rsidR="006C23B8" w:rsidRPr="003C17C0" w:rsidRDefault="006C23B8" w:rsidP="003C17C0">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168"/>
      <w:gridCol w:w="12"/>
    </w:tblGrid>
    <w:tr w:rsidR="006C23B8" w:rsidTr="003C17C0">
      <w:tblPrEx>
        <w:tblCellMar>
          <w:top w:w="0" w:type="dxa"/>
          <w:bottom w:w="0" w:type="dxa"/>
        </w:tblCellMar>
      </w:tblPrEx>
      <w:trPr>
        <w:gridAfter w:val="1"/>
        <w:wAfter w:w="12" w:type="dxa"/>
        <w:trHeight w:hRule="exact" w:val="864"/>
      </w:trPr>
      <w:tc>
        <w:tcPr>
          <w:tcW w:w="1267" w:type="dxa"/>
          <w:tcBorders>
            <w:bottom w:val="single" w:sz="4" w:space="0" w:color="auto"/>
          </w:tcBorders>
          <w:shd w:val="clear" w:color="auto" w:fill="auto"/>
          <w:vAlign w:val="bottom"/>
        </w:tcPr>
        <w:p w:rsidR="006C23B8" w:rsidRDefault="006C23B8" w:rsidP="003C17C0">
          <w:pPr>
            <w:pStyle w:val="Header"/>
            <w:spacing w:after="120"/>
          </w:pPr>
        </w:p>
      </w:tc>
      <w:tc>
        <w:tcPr>
          <w:tcW w:w="1872" w:type="dxa"/>
          <w:tcBorders>
            <w:bottom w:val="single" w:sz="4" w:space="0" w:color="auto"/>
          </w:tcBorders>
          <w:shd w:val="clear" w:color="auto" w:fill="auto"/>
          <w:vAlign w:val="bottom"/>
        </w:tcPr>
        <w:p w:rsidR="006C23B8" w:rsidRPr="003C17C0" w:rsidRDefault="006C23B8" w:rsidP="003C17C0">
          <w:pPr>
            <w:pStyle w:val="HCh"/>
            <w:spacing w:after="80"/>
            <w:rPr>
              <w:rFonts w:eastAsia="SimSun"/>
              <w:spacing w:val="40"/>
              <w:w w:val="96"/>
            </w:rPr>
          </w:pPr>
          <w:r>
            <w:rPr>
              <w:rFonts w:eastAsia="SimSun" w:hint="eastAsia"/>
              <w:spacing w:val="40"/>
              <w:w w:val="96"/>
            </w:rPr>
            <w:t>联合国</w:t>
          </w:r>
        </w:p>
      </w:tc>
      <w:tc>
        <w:tcPr>
          <w:tcW w:w="245" w:type="dxa"/>
          <w:tcBorders>
            <w:bottom w:val="single" w:sz="4" w:space="0" w:color="auto"/>
          </w:tcBorders>
          <w:shd w:val="clear" w:color="auto" w:fill="auto"/>
          <w:vAlign w:val="bottom"/>
        </w:tcPr>
        <w:p w:rsidR="006C23B8" w:rsidRDefault="006C23B8" w:rsidP="003C17C0">
          <w:pPr>
            <w:pStyle w:val="Header"/>
            <w:spacing w:after="120"/>
          </w:pPr>
        </w:p>
      </w:tc>
      <w:tc>
        <w:tcPr>
          <w:tcW w:w="6523" w:type="dxa"/>
          <w:gridSpan w:val="3"/>
          <w:tcBorders>
            <w:bottom w:val="single" w:sz="4" w:space="0" w:color="auto"/>
          </w:tcBorders>
          <w:shd w:val="clear" w:color="auto" w:fill="auto"/>
          <w:vAlign w:val="bottom"/>
        </w:tcPr>
        <w:p w:rsidR="006C23B8" w:rsidRPr="003C17C0" w:rsidRDefault="006C23B8" w:rsidP="003C17C0">
          <w:pPr>
            <w:spacing w:after="80" w:line="240" w:lineRule="auto"/>
            <w:jc w:val="right"/>
            <w:rPr>
              <w:rFonts w:ascii="Times New Roman"/>
              <w:position w:val="-4"/>
              <w:sz w:val="20"/>
            </w:rPr>
          </w:pPr>
          <w:r>
            <w:rPr>
              <w:rFonts w:ascii="Times New Roman"/>
              <w:position w:val="-4"/>
              <w:sz w:val="40"/>
            </w:rPr>
            <w:t>CEDAW</w:t>
          </w:r>
          <w:r>
            <w:rPr>
              <w:rFonts w:ascii="Times New Roman"/>
              <w:position w:val="-4"/>
              <w:sz w:val="20"/>
            </w:rPr>
            <w:t>/C/NER/CO/2</w:t>
          </w:r>
        </w:p>
      </w:tc>
    </w:tr>
    <w:tr w:rsidR="006C23B8" w:rsidRPr="003C17C0" w:rsidTr="003C17C0">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rsidR="006C23B8" w:rsidRDefault="006C23B8" w:rsidP="003C17C0">
          <w:pPr>
            <w:pStyle w:val="Header"/>
            <w:spacing w:before="109"/>
            <w:ind w:left="-72"/>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6C23B8" w:rsidRPr="003C17C0" w:rsidRDefault="006C23B8" w:rsidP="003C17C0">
          <w:pPr>
            <w:pStyle w:val="Header"/>
            <w:spacing w:before="109"/>
            <w:ind w:left="-72"/>
          </w:pPr>
        </w:p>
      </w:tc>
      <w:tc>
        <w:tcPr>
          <w:tcW w:w="5227" w:type="dxa"/>
          <w:gridSpan w:val="3"/>
          <w:tcBorders>
            <w:top w:val="single" w:sz="4" w:space="0" w:color="auto"/>
            <w:bottom w:val="single" w:sz="12" w:space="0" w:color="auto"/>
          </w:tcBorders>
          <w:shd w:val="clear" w:color="auto" w:fill="auto"/>
        </w:tcPr>
        <w:p w:rsidR="006C23B8" w:rsidRPr="003C17C0" w:rsidRDefault="006C23B8" w:rsidP="003C17C0">
          <w:pPr>
            <w:pStyle w:val="XLarge"/>
            <w:spacing w:before="109" w:after="140" w:line="400" w:lineRule="exact"/>
            <w:rPr>
              <w:sz w:val="34"/>
            </w:rPr>
          </w:pPr>
          <w:r>
            <w:rPr>
              <w:rFonts w:hint="eastAsia"/>
              <w:sz w:val="34"/>
            </w:rPr>
            <w:t>消除对妇女一切形式歧视公约</w:t>
          </w:r>
        </w:p>
      </w:tc>
      <w:tc>
        <w:tcPr>
          <w:tcW w:w="245" w:type="dxa"/>
          <w:tcBorders>
            <w:top w:val="single" w:sz="4" w:space="0" w:color="auto"/>
            <w:bottom w:val="single" w:sz="12" w:space="0" w:color="auto"/>
          </w:tcBorders>
          <w:shd w:val="clear" w:color="auto" w:fill="auto"/>
        </w:tcPr>
        <w:p w:rsidR="006C23B8" w:rsidRPr="003C17C0" w:rsidRDefault="006C23B8" w:rsidP="003C17C0">
          <w:pPr>
            <w:pStyle w:val="Header"/>
            <w:spacing w:before="109"/>
          </w:pPr>
        </w:p>
      </w:tc>
      <w:tc>
        <w:tcPr>
          <w:tcW w:w="3180" w:type="dxa"/>
          <w:gridSpan w:val="2"/>
          <w:tcBorders>
            <w:top w:val="single" w:sz="4" w:space="0" w:color="auto"/>
            <w:bottom w:val="single" w:sz="12" w:space="0" w:color="auto"/>
          </w:tcBorders>
          <w:shd w:val="clear" w:color="auto" w:fill="auto"/>
        </w:tcPr>
        <w:p w:rsidR="006C23B8" w:rsidRDefault="006C23B8" w:rsidP="003C17C0">
          <w:pPr>
            <w:spacing w:before="240" w:line="240" w:lineRule="exact"/>
            <w:rPr>
              <w:rFonts w:ascii="Times New Roman"/>
            </w:rPr>
          </w:pPr>
        </w:p>
        <w:p w:rsidR="006C23B8" w:rsidRDefault="006C23B8" w:rsidP="003C17C0">
          <w:pPr>
            <w:spacing w:line="240" w:lineRule="exact"/>
            <w:rPr>
              <w:rFonts w:ascii="Times New Roman"/>
            </w:rPr>
          </w:pPr>
          <w:r>
            <w:rPr>
              <w:rFonts w:ascii="Times New Roman"/>
            </w:rPr>
            <w:t>11 June 2007</w:t>
          </w:r>
        </w:p>
        <w:p w:rsidR="006C23B8" w:rsidRDefault="006C23B8" w:rsidP="003C17C0">
          <w:pPr>
            <w:spacing w:line="240" w:lineRule="exact"/>
            <w:rPr>
              <w:rFonts w:ascii="Times New Roman"/>
            </w:rPr>
          </w:pPr>
          <w:r>
            <w:rPr>
              <w:rFonts w:ascii="Times New Roman"/>
            </w:rPr>
            <w:t>Chinese</w:t>
          </w:r>
        </w:p>
        <w:p w:rsidR="006C23B8" w:rsidRPr="003C17C0" w:rsidRDefault="006C23B8" w:rsidP="003C17C0">
          <w:pPr>
            <w:spacing w:line="240" w:lineRule="exact"/>
            <w:rPr>
              <w:rFonts w:ascii="Times New Roman"/>
            </w:rPr>
          </w:pPr>
          <w:r>
            <w:rPr>
              <w:rFonts w:ascii="Times New Roman"/>
            </w:rPr>
            <w:t>Original: English</w:t>
          </w:r>
        </w:p>
      </w:tc>
    </w:tr>
  </w:tbl>
  <w:p w:rsidR="006C23B8" w:rsidRPr="003C17C0" w:rsidRDefault="006C23B8" w:rsidP="003C17C0">
    <w:pPr>
      <w:pStyle w:val="Header"/>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431"/>
  <w:evenAndOddHeaders/>
  <w:drawingGridHorizontalSpacing w:val="105"/>
  <w:drawingGridVerticalSpacing w:val="156"/>
  <w:displayHorizontalDrawingGridEvery w:val="0"/>
  <w:displayVerticalDrawingGridEvery w:val="2"/>
  <w:characterSpacingControl w:val="compressPunctuation"/>
  <w:noLineBreaksAfter w:lang="zh-CN" w:val="$([{·‘“〈《「『【〔〖（．［｛￡￥"/>
  <w:noLineBreaksBefore w:lang="zh-CN" w:val="!%),-./:;?]}¨·ˇˉ―‖’”…∶、。〃々〉》」』】〕〗！＂＇），．：；？］｀｜｝～￠"/>
  <w:footnotePr>
    <w:footnote w:id="-1"/>
    <w:footnote w:id="0"/>
  </w:footnotePr>
  <w:endnotePr>
    <w:endnote w:id="-1"/>
    <w:endnote w:id="0"/>
  </w:endnotePr>
  <w:compat>
    <w:spaceForUL/>
    <w:balanceSingleByteDoubleByteWidth/>
    <w:doNotExpandShiftReturn/>
    <w:printColBlack/>
    <w:adjustLineHeightInTable/>
    <w:layoutRawTableWidth/>
    <w:doNotBreakWrappedTables/>
    <w:doNotSnapToGridInCell/>
    <w:selectFldWithFirstOrLastChar/>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737601*"/>
    <w:docVar w:name="CreationDt" w:val="19/06/2007 10:12:35"/>
    <w:docVar w:name="DocCategory" w:val="Doc"/>
    <w:docVar w:name="DocType" w:val="Final"/>
    <w:docVar w:name="FooterJN" w:val="07-37601"/>
    <w:docVar w:name="jobn" w:val="07-37601 (C)"/>
    <w:docVar w:name="jobnDT" w:val="07-37601 (C)   190607"/>
    <w:docVar w:name="jobnDTDT" w:val="07-37601 (C)   190607   190607"/>
    <w:docVar w:name="JobNo" w:val="0737601C"/>
    <w:docVar w:name="OandT" w:val="du"/>
    <w:docVar w:name="sss1" w:val="CEDAW/C/NER/CO/2"/>
    <w:docVar w:name="sss2" w:val="-"/>
    <w:docVar w:name="Symbol1" w:val="CEDAW/C/NER/CO/2"/>
    <w:docVar w:name="Symbol2" w:val="-"/>
  </w:docVars>
  <w:rsids>
    <w:rsidRoot w:val="00AD6B3C"/>
    <w:rsid w:val="000125BC"/>
    <w:rsid w:val="00021A2B"/>
    <w:rsid w:val="00037B39"/>
    <w:rsid w:val="00044CA4"/>
    <w:rsid w:val="00045EFE"/>
    <w:rsid w:val="0007337D"/>
    <w:rsid w:val="000758DF"/>
    <w:rsid w:val="00076EB8"/>
    <w:rsid w:val="00095C67"/>
    <w:rsid w:val="000A31F9"/>
    <w:rsid w:val="000C1786"/>
    <w:rsid w:val="000D3882"/>
    <w:rsid w:val="000E240F"/>
    <w:rsid w:val="000F1058"/>
    <w:rsid w:val="001113F8"/>
    <w:rsid w:val="001212F9"/>
    <w:rsid w:val="00121328"/>
    <w:rsid w:val="0012708E"/>
    <w:rsid w:val="00141322"/>
    <w:rsid w:val="0015066B"/>
    <w:rsid w:val="00150D3A"/>
    <w:rsid w:val="00153D29"/>
    <w:rsid w:val="00161E69"/>
    <w:rsid w:val="00161F54"/>
    <w:rsid w:val="00170FBE"/>
    <w:rsid w:val="0017506F"/>
    <w:rsid w:val="001B2814"/>
    <w:rsid w:val="001B4F95"/>
    <w:rsid w:val="001C3F7F"/>
    <w:rsid w:val="001E20EC"/>
    <w:rsid w:val="001E5A51"/>
    <w:rsid w:val="00247382"/>
    <w:rsid w:val="00252E35"/>
    <w:rsid w:val="00257053"/>
    <w:rsid w:val="00266257"/>
    <w:rsid w:val="00271BE6"/>
    <w:rsid w:val="0027454D"/>
    <w:rsid w:val="00280671"/>
    <w:rsid w:val="002814F9"/>
    <w:rsid w:val="00282D17"/>
    <w:rsid w:val="002A4AEF"/>
    <w:rsid w:val="002B305F"/>
    <w:rsid w:val="002B564F"/>
    <w:rsid w:val="002C2254"/>
    <w:rsid w:val="002C3BC9"/>
    <w:rsid w:val="002C54DB"/>
    <w:rsid w:val="002D0694"/>
    <w:rsid w:val="002D5503"/>
    <w:rsid w:val="002E66D5"/>
    <w:rsid w:val="002F41E2"/>
    <w:rsid w:val="00320C99"/>
    <w:rsid w:val="003274A9"/>
    <w:rsid w:val="00331221"/>
    <w:rsid w:val="00347342"/>
    <w:rsid w:val="003649EE"/>
    <w:rsid w:val="00371BC6"/>
    <w:rsid w:val="00373A15"/>
    <w:rsid w:val="00394A02"/>
    <w:rsid w:val="003C17C0"/>
    <w:rsid w:val="003C7B20"/>
    <w:rsid w:val="003E4565"/>
    <w:rsid w:val="003E748F"/>
    <w:rsid w:val="003E7612"/>
    <w:rsid w:val="00414423"/>
    <w:rsid w:val="004411AD"/>
    <w:rsid w:val="004424EF"/>
    <w:rsid w:val="00453BB0"/>
    <w:rsid w:val="00460162"/>
    <w:rsid w:val="004620A8"/>
    <w:rsid w:val="00466029"/>
    <w:rsid w:val="0049192B"/>
    <w:rsid w:val="004A06D1"/>
    <w:rsid w:val="004A11FC"/>
    <w:rsid w:val="004C0224"/>
    <w:rsid w:val="004C3255"/>
    <w:rsid w:val="004C5681"/>
    <w:rsid w:val="004D07E1"/>
    <w:rsid w:val="004D1C19"/>
    <w:rsid w:val="004F29B8"/>
    <w:rsid w:val="0050413E"/>
    <w:rsid w:val="00515657"/>
    <w:rsid w:val="00521275"/>
    <w:rsid w:val="0052216F"/>
    <w:rsid w:val="005232CA"/>
    <w:rsid w:val="00523636"/>
    <w:rsid w:val="005335B9"/>
    <w:rsid w:val="00536CCE"/>
    <w:rsid w:val="005541E4"/>
    <w:rsid w:val="0058302A"/>
    <w:rsid w:val="005B7338"/>
    <w:rsid w:val="005C02AB"/>
    <w:rsid w:val="005D0F04"/>
    <w:rsid w:val="005F3273"/>
    <w:rsid w:val="005F34A3"/>
    <w:rsid w:val="00610CF2"/>
    <w:rsid w:val="006479F1"/>
    <w:rsid w:val="00650BEE"/>
    <w:rsid w:val="006520FA"/>
    <w:rsid w:val="0065377D"/>
    <w:rsid w:val="00666F57"/>
    <w:rsid w:val="006740A7"/>
    <w:rsid w:val="00691524"/>
    <w:rsid w:val="006A3F48"/>
    <w:rsid w:val="006A654B"/>
    <w:rsid w:val="006C23B8"/>
    <w:rsid w:val="006C64D4"/>
    <w:rsid w:val="006E2924"/>
    <w:rsid w:val="006E7A26"/>
    <w:rsid w:val="006F2B3D"/>
    <w:rsid w:val="007319E0"/>
    <w:rsid w:val="00737B00"/>
    <w:rsid w:val="0075155C"/>
    <w:rsid w:val="00753A05"/>
    <w:rsid w:val="00761190"/>
    <w:rsid w:val="00776537"/>
    <w:rsid w:val="00783A25"/>
    <w:rsid w:val="007E1B5E"/>
    <w:rsid w:val="007F2278"/>
    <w:rsid w:val="00805783"/>
    <w:rsid w:val="00806F57"/>
    <w:rsid w:val="00806F90"/>
    <w:rsid w:val="00824C19"/>
    <w:rsid w:val="008378D1"/>
    <w:rsid w:val="00846462"/>
    <w:rsid w:val="0086691F"/>
    <w:rsid w:val="00884C8F"/>
    <w:rsid w:val="008C3296"/>
    <w:rsid w:val="008D1126"/>
    <w:rsid w:val="008F2BB5"/>
    <w:rsid w:val="008F425D"/>
    <w:rsid w:val="008F5472"/>
    <w:rsid w:val="008F5D0F"/>
    <w:rsid w:val="009122E0"/>
    <w:rsid w:val="00913351"/>
    <w:rsid w:val="0096193C"/>
    <w:rsid w:val="009769E1"/>
    <w:rsid w:val="00977E0D"/>
    <w:rsid w:val="00986C04"/>
    <w:rsid w:val="009A2F76"/>
    <w:rsid w:val="009D2AC2"/>
    <w:rsid w:val="009E1774"/>
    <w:rsid w:val="009E2668"/>
    <w:rsid w:val="009E40A3"/>
    <w:rsid w:val="009E5C8C"/>
    <w:rsid w:val="009F10B1"/>
    <w:rsid w:val="009F47E3"/>
    <w:rsid w:val="009F6938"/>
    <w:rsid w:val="00A0537D"/>
    <w:rsid w:val="00A069AD"/>
    <w:rsid w:val="00A17A85"/>
    <w:rsid w:val="00A20856"/>
    <w:rsid w:val="00A24CA5"/>
    <w:rsid w:val="00A33D6D"/>
    <w:rsid w:val="00A5206D"/>
    <w:rsid w:val="00A72E47"/>
    <w:rsid w:val="00A95404"/>
    <w:rsid w:val="00A968C5"/>
    <w:rsid w:val="00AA3C28"/>
    <w:rsid w:val="00AB2786"/>
    <w:rsid w:val="00AD4308"/>
    <w:rsid w:val="00AD6B3C"/>
    <w:rsid w:val="00AE08F3"/>
    <w:rsid w:val="00AF2A33"/>
    <w:rsid w:val="00B309DD"/>
    <w:rsid w:val="00B36621"/>
    <w:rsid w:val="00B36D64"/>
    <w:rsid w:val="00B41B48"/>
    <w:rsid w:val="00B56194"/>
    <w:rsid w:val="00B61A34"/>
    <w:rsid w:val="00B64E8E"/>
    <w:rsid w:val="00B65E8B"/>
    <w:rsid w:val="00B8025A"/>
    <w:rsid w:val="00B827B1"/>
    <w:rsid w:val="00BB23A4"/>
    <w:rsid w:val="00BC2276"/>
    <w:rsid w:val="00BC71A9"/>
    <w:rsid w:val="00BD2150"/>
    <w:rsid w:val="00BE365A"/>
    <w:rsid w:val="00BE47C4"/>
    <w:rsid w:val="00C052A2"/>
    <w:rsid w:val="00C06A4A"/>
    <w:rsid w:val="00C1391A"/>
    <w:rsid w:val="00C14CE6"/>
    <w:rsid w:val="00C15218"/>
    <w:rsid w:val="00C2725D"/>
    <w:rsid w:val="00C42033"/>
    <w:rsid w:val="00C76854"/>
    <w:rsid w:val="00CB2B1E"/>
    <w:rsid w:val="00CC3E8B"/>
    <w:rsid w:val="00CC4E84"/>
    <w:rsid w:val="00CD5641"/>
    <w:rsid w:val="00CE64AC"/>
    <w:rsid w:val="00CF7718"/>
    <w:rsid w:val="00D177F1"/>
    <w:rsid w:val="00D323B5"/>
    <w:rsid w:val="00D42ACC"/>
    <w:rsid w:val="00D51DC5"/>
    <w:rsid w:val="00D676D7"/>
    <w:rsid w:val="00D71517"/>
    <w:rsid w:val="00D874E1"/>
    <w:rsid w:val="00D9586D"/>
    <w:rsid w:val="00DC2506"/>
    <w:rsid w:val="00DC49FA"/>
    <w:rsid w:val="00DD3D6B"/>
    <w:rsid w:val="00DD4467"/>
    <w:rsid w:val="00DD61C8"/>
    <w:rsid w:val="00DD772B"/>
    <w:rsid w:val="00E25442"/>
    <w:rsid w:val="00E37EEB"/>
    <w:rsid w:val="00E710FB"/>
    <w:rsid w:val="00E806D9"/>
    <w:rsid w:val="00E82CA2"/>
    <w:rsid w:val="00E95594"/>
    <w:rsid w:val="00EA31C3"/>
    <w:rsid w:val="00EB525D"/>
    <w:rsid w:val="00EC6F21"/>
    <w:rsid w:val="00EE0913"/>
    <w:rsid w:val="00F01440"/>
    <w:rsid w:val="00F13305"/>
    <w:rsid w:val="00F40463"/>
    <w:rsid w:val="00F50336"/>
    <w:rsid w:val="00F62E3F"/>
    <w:rsid w:val="00F67F90"/>
    <w:rsid w:val="00F77B3E"/>
    <w:rsid w:val="00F833CB"/>
    <w:rsid w:val="00F87754"/>
    <w:rsid w:val="00F90A4B"/>
    <w:rsid w:val="00FC1CE4"/>
    <w:rsid w:val="00FD594E"/>
    <w:rsid w:val="00FD75B9"/>
    <w:rsid w:val="00FE5FE8"/>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1E5A51"/>
    <w:pPr>
      <w:spacing w:line="320" w:lineRule="exact"/>
      <w:jc w:val="both"/>
    </w:pPr>
    <w:rPr>
      <w:rFonts w:ascii="SimSun"/>
      <w:kern w:val="14"/>
      <w:sz w:val="21"/>
      <w:lang w:val="en-US" w:eastAsia="zh-CN"/>
    </w:rPr>
  </w:style>
  <w:style w:type="character" w:default="1" w:styleId="DefaultParagraphFont">
    <w:name w:val="Default Paragraph Font"/>
    <w:semiHidden/>
    <w:rsid w:val="001E5A51"/>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1E5A51"/>
  </w:style>
  <w:style w:type="paragraph" w:customStyle="1" w:styleId="H1">
    <w:name w:val="_ H_1"/>
    <w:basedOn w:val="Normal"/>
    <w:next w:val="Normal"/>
    <w:rsid w:val="001E5A51"/>
    <w:pPr>
      <w:keepNext/>
      <w:keepLines/>
      <w:suppressAutoHyphens/>
      <w:outlineLvl w:val="0"/>
    </w:pPr>
    <w:rPr>
      <w:rFonts w:ascii="SimHei" w:eastAsia="SimHei"/>
      <w:color w:val="FF0000"/>
      <w:sz w:val="24"/>
    </w:rPr>
  </w:style>
  <w:style w:type="paragraph" w:customStyle="1" w:styleId="HCh">
    <w:name w:val="_ H _Ch"/>
    <w:basedOn w:val="H1"/>
    <w:next w:val="Normal"/>
    <w:rsid w:val="001E5A51"/>
    <w:pPr>
      <w:tabs>
        <w:tab w:val="left" w:pos="57"/>
      </w:tabs>
      <w:spacing w:line="400" w:lineRule="exact"/>
    </w:pPr>
    <w:rPr>
      <w:sz w:val="28"/>
    </w:rPr>
  </w:style>
  <w:style w:type="paragraph" w:customStyle="1" w:styleId="HM">
    <w:name w:val="_ H __M"/>
    <w:basedOn w:val="HCh"/>
    <w:next w:val="Normal"/>
    <w:rsid w:val="001E5A51"/>
    <w:rPr>
      <w:sz w:val="34"/>
    </w:rPr>
  </w:style>
  <w:style w:type="paragraph" w:customStyle="1" w:styleId="H23">
    <w:name w:val="_ H_2/3"/>
    <w:basedOn w:val="Normal"/>
    <w:next w:val="SingleTxt"/>
    <w:rsid w:val="001E5A51"/>
    <w:pPr>
      <w:outlineLvl w:val="1"/>
    </w:pPr>
    <w:rPr>
      <w:rFonts w:ascii="SimHei" w:eastAsia="SimHei"/>
      <w:color w:val="FF0000"/>
      <w:spacing w:val="2"/>
    </w:rPr>
  </w:style>
  <w:style w:type="paragraph" w:customStyle="1" w:styleId="H4">
    <w:name w:val="_ H_4"/>
    <w:basedOn w:val="Normal"/>
    <w:next w:val="Normal"/>
    <w:rsid w:val="001E5A51"/>
    <w:pPr>
      <w:keepNext/>
      <w:keepLines/>
      <w:tabs>
        <w:tab w:val="left" w:pos="431"/>
      </w:tabs>
      <w:suppressAutoHyphens/>
      <w:outlineLvl w:val="3"/>
    </w:pPr>
    <w:rPr>
      <w:rFonts w:ascii="KaiTi_GB2312" w:eastAsia="KaiTi_GB2312"/>
      <w:noProof/>
      <w:color w:val="0000FF"/>
      <w:spacing w:val="3"/>
      <w:w w:val="103"/>
    </w:rPr>
  </w:style>
  <w:style w:type="paragraph" w:customStyle="1" w:styleId="H56">
    <w:name w:val="_ H_5/6"/>
    <w:basedOn w:val="Normal"/>
    <w:next w:val="Normal"/>
    <w:rsid w:val="001E5A51"/>
    <w:pPr>
      <w:keepNext/>
      <w:keepLines/>
      <w:tabs>
        <w:tab w:val="right" w:pos="360"/>
      </w:tabs>
      <w:suppressAutoHyphens/>
      <w:outlineLvl w:val="4"/>
    </w:pPr>
    <w:rPr>
      <w:noProof/>
      <w:spacing w:val="4"/>
      <w:w w:val="103"/>
    </w:rPr>
  </w:style>
  <w:style w:type="paragraph" w:customStyle="1" w:styleId="DualTxt">
    <w:name w:val="__Dual Txt"/>
    <w:basedOn w:val="Normal"/>
    <w:rsid w:val="001E5A51"/>
    <w:pPr>
      <w:tabs>
        <w:tab w:val="left" w:pos="432"/>
        <w:tab w:val="left" w:pos="864"/>
        <w:tab w:val="left" w:pos="1293"/>
        <w:tab w:val="left" w:pos="1724"/>
        <w:tab w:val="left" w:pos="2155"/>
        <w:tab w:val="left" w:pos="2586"/>
      </w:tabs>
      <w:spacing w:after="140"/>
    </w:pPr>
  </w:style>
  <w:style w:type="paragraph" w:customStyle="1" w:styleId="SM">
    <w:name w:val="__S_M"/>
    <w:basedOn w:val="Normal"/>
    <w:next w:val="Normal"/>
    <w:rsid w:val="001E5A51"/>
    <w:pPr>
      <w:keepNext/>
      <w:keepLines/>
      <w:tabs>
        <w:tab w:val="right" w:leader="dot" w:pos="360"/>
      </w:tabs>
      <w:suppressAutoHyphens/>
      <w:spacing w:line="500" w:lineRule="exact"/>
      <w:ind w:left="1264" w:right="1264"/>
      <w:outlineLvl w:val="0"/>
    </w:pPr>
    <w:rPr>
      <w:rFonts w:ascii="SimHei" w:eastAsia="SimHei"/>
      <w:noProof/>
      <w:color w:val="FF0000"/>
      <w:spacing w:val="-4"/>
      <w:w w:val="98"/>
      <w:sz w:val="40"/>
    </w:rPr>
  </w:style>
  <w:style w:type="paragraph" w:customStyle="1" w:styleId="SL">
    <w:name w:val="__S_L"/>
    <w:basedOn w:val="SM"/>
    <w:next w:val="Normal"/>
    <w:rsid w:val="001E5A51"/>
    <w:pPr>
      <w:spacing w:line="640" w:lineRule="exact"/>
    </w:pPr>
    <w:rPr>
      <w:spacing w:val="-8"/>
      <w:w w:val="96"/>
      <w:sz w:val="57"/>
    </w:rPr>
  </w:style>
  <w:style w:type="paragraph" w:customStyle="1" w:styleId="SS">
    <w:name w:val="__S_S"/>
    <w:basedOn w:val="HCh"/>
    <w:next w:val="Normal"/>
    <w:rsid w:val="001E5A51"/>
    <w:pPr>
      <w:ind w:left="1264" w:right="1264"/>
    </w:pPr>
  </w:style>
  <w:style w:type="paragraph" w:customStyle="1" w:styleId="SingleTxt">
    <w:name w:val="__Single Txt"/>
    <w:basedOn w:val="Normal"/>
    <w:rsid w:val="001E5A51"/>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pPr>
  </w:style>
  <w:style w:type="paragraph" w:customStyle="1" w:styleId="Small">
    <w:name w:val="Small"/>
    <w:basedOn w:val="Normal"/>
    <w:next w:val="Normal"/>
    <w:rsid w:val="001E5A51"/>
    <w:pPr>
      <w:tabs>
        <w:tab w:val="right" w:pos="9965"/>
      </w:tabs>
      <w:spacing w:line="210" w:lineRule="exact"/>
    </w:pPr>
    <w:rPr>
      <w:noProof/>
      <w:spacing w:val="5"/>
      <w:w w:val="104"/>
      <w:sz w:val="17"/>
    </w:rPr>
  </w:style>
  <w:style w:type="paragraph" w:customStyle="1" w:styleId="SmallX">
    <w:name w:val="SmallX"/>
    <w:basedOn w:val="Small"/>
    <w:next w:val="Normal"/>
    <w:rsid w:val="001E5A51"/>
    <w:pPr>
      <w:spacing w:line="180" w:lineRule="exact"/>
      <w:jc w:val="right"/>
    </w:pPr>
    <w:rPr>
      <w:spacing w:val="6"/>
      <w:w w:val="106"/>
      <w:sz w:val="14"/>
    </w:rPr>
  </w:style>
  <w:style w:type="paragraph" w:customStyle="1" w:styleId="XLarge">
    <w:name w:val="XLarge"/>
    <w:basedOn w:val="HM"/>
    <w:rsid w:val="001E5A51"/>
    <w:pPr>
      <w:tabs>
        <w:tab w:val="right" w:leader="dot" w:pos="360"/>
      </w:tabs>
      <w:spacing w:line="390" w:lineRule="exact"/>
    </w:pPr>
    <w:rPr>
      <w:sz w:val="40"/>
    </w:rPr>
  </w:style>
  <w:style w:type="character" w:styleId="FootnoteReference">
    <w:name w:val="footnote reference"/>
    <w:semiHidden/>
    <w:rsid w:val="001E5A51"/>
    <w:rPr>
      <w:color w:val="FF00FF"/>
      <w:spacing w:val="0"/>
      <w:w w:val="150"/>
      <w:position w:val="0"/>
      <w:vertAlign w:val="superscript"/>
    </w:rPr>
  </w:style>
  <w:style w:type="character" w:styleId="EndnoteReference">
    <w:name w:val="endnote reference"/>
    <w:basedOn w:val="FootnoteReference"/>
    <w:semiHidden/>
    <w:rsid w:val="001E5A51"/>
    <w:rPr>
      <w:color w:val="FF00FF"/>
      <w:spacing w:val="0"/>
      <w:w w:val="150"/>
      <w:position w:val="0"/>
      <w:vertAlign w:val="superscript"/>
    </w:rPr>
  </w:style>
  <w:style w:type="paragraph" w:styleId="FootnoteText">
    <w:name w:val="footnote text"/>
    <w:basedOn w:val="Normal"/>
    <w:semiHidden/>
    <w:rsid w:val="001E5A51"/>
    <w:pPr>
      <w:tabs>
        <w:tab w:val="right" w:pos="418"/>
      </w:tabs>
      <w:spacing w:after="120" w:line="240" w:lineRule="exact"/>
      <w:ind w:left="170" w:hanging="170"/>
    </w:pPr>
    <w:rPr>
      <w:noProof/>
      <w:sz w:val="18"/>
    </w:rPr>
  </w:style>
  <w:style w:type="paragraph" w:styleId="EndnoteText">
    <w:name w:val="endnote text"/>
    <w:basedOn w:val="FootnoteText"/>
    <w:semiHidden/>
    <w:rsid w:val="001E5A51"/>
  </w:style>
  <w:style w:type="paragraph" w:styleId="CommentText">
    <w:name w:val="annotation text"/>
    <w:basedOn w:val="Normal"/>
    <w:semiHidden/>
    <w:rsid w:val="001E5A51"/>
  </w:style>
  <w:style w:type="paragraph" w:styleId="CommentSubject">
    <w:name w:val="annotation subject"/>
    <w:basedOn w:val="CommentText"/>
    <w:next w:val="CommentText"/>
    <w:semiHidden/>
    <w:rsid w:val="001E5A51"/>
    <w:rPr>
      <w:b/>
      <w:bCs/>
    </w:rPr>
  </w:style>
  <w:style w:type="character" w:styleId="CommentReference">
    <w:name w:val="annotation reference"/>
    <w:semiHidden/>
    <w:rsid w:val="001E5A51"/>
    <w:rPr>
      <w:sz w:val="21"/>
      <w:szCs w:val="21"/>
    </w:rPr>
  </w:style>
  <w:style w:type="paragraph" w:styleId="BalloonText">
    <w:name w:val="Balloon Text"/>
    <w:basedOn w:val="Normal"/>
    <w:semiHidden/>
    <w:rsid w:val="001E5A51"/>
    <w:rPr>
      <w:sz w:val="18"/>
      <w:szCs w:val="18"/>
    </w:rPr>
  </w:style>
  <w:style w:type="paragraph" w:customStyle="1" w:styleId="1211022234">
    <w:name w:val="样式 尾注文本 + 左侧:  1.21 厘米 悬挂缩进: 1.02 厘米 右侧:  2.23 厘米 段后: 4 磅"/>
    <w:basedOn w:val="EndnoteText"/>
    <w:rsid w:val="001E5A51"/>
    <w:pPr>
      <w:ind w:left="1264" w:right="1264" w:hanging="578"/>
    </w:pPr>
    <w:rPr>
      <w:rFonts w:cs="SimSun"/>
    </w:rPr>
  </w:style>
  <w:style w:type="paragraph" w:customStyle="1" w:styleId="12110222341">
    <w:name w:val="样式 尾注文本 + 左侧:  1.21 厘米 悬挂缩进: 1.02 厘米 右侧:  2.23 厘米 段后: 4 磅1"/>
    <w:basedOn w:val="EndnoteText"/>
    <w:rsid w:val="001E5A51"/>
    <w:pPr>
      <w:ind w:left="1264" w:right="1264" w:hanging="578"/>
    </w:pPr>
    <w:rPr>
      <w:rFonts w:cs="SimSun"/>
    </w:rPr>
  </w:style>
  <w:style w:type="paragraph" w:styleId="Header">
    <w:name w:val="header"/>
    <w:rsid w:val="001E5A51"/>
    <w:pPr>
      <w:tabs>
        <w:tab w:val="center" w:pos="4320"/>
        <w:tab w:val="right" w:pos="8640"/>
      </w:tabs>
      <w:jc w:val="both"/>
    </w:pPr>
    <w:rPr>
      <w:noProof/>
      <w:sz w:val="18"/>
      <w:lang w:val="en-US" w:eastAsia="zh-CN"/>
    </w:rPr>
  </w:style>
  <w:style w:type="paragraph" w:styleId="Footer">
    <w:name w:val="footer"/>
    <w:rsid w:val="001E5A51"/>
    <w:pPr>
      <w:tabs>
        <w:tab w:val="center" w:pos="4320"/>
        <w:tab w:val="right" w:pos="8640"/>
      </w:tabs>
      <w:jc w:val="both"/>
    </w:pPr>
    <w:rPr>
      <w:b/>
      <w:noProof/>
      <w:sz w:val="18"/>
      <w:szCs w:val="18"/>
      <w:lang w:val="en-US"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gb2312"/>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35</TotalTime>
  <Pages>1</Pages>
  <Words>1162</Words>
  <Characters>6629</Characters>
  <Application>Microsoft Office Word</Application>
  <DocSecurity>4</DocSecurity>
  <Lines>55</Lines>
  <Paragraphs>15</Paragraphs>
  <ScaleCrop>false</ScaleCrop>
  <Company>United Nations</Company>
  <LinksUpToDate>false</LinksUpToDate>
  <CharactersWithSpaces>7776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Ctpu</dc:title>
  <dc:subject/>
  <dc:creator>chengzhi du</dc:creator>
  <cp:keywords/>
  <dc:description/>
  <cp:lastModifiedBy>chengzhi du</cp:lastModifiedBy>
  <cp:revision>12</cp:revision>
  <cp:lastPrinted>2007-06-19T10:52:00Z</cp:lastPrinted>
  <dcterms:created xsi:type="dcterms:W3CDTF">2007-06-19T09:11:00Z</dcterms:created>
  <dcterms:modified xsi:type="dcterms:W3CDTF">2007-06-19T10:54:00Z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0737601</vt:lpwstr>
  </property>
  <property fmtid="{D5CDD505-2E9C-101B-9397-08002B2CF9AE}" pid="3" name="Symbol1">
    <vt:lpwstr>CEDAW/C/NER/CO/2</vt:lpwstr>
  </property>
  <property fmtid="{D5CDD505-2E9C-101B-9397-08002B2CF9AE}" pid="4" name="Symbol2">
    <vt:lpwstr/>
  </property>
  <property fmtid="{D5CDD505-2E9C-101B-9397-08002B2CF9AE}" pid="5" name="Translator">
    <vt:lpwstr/>
  </property>
  <property fmtid="{D5CDD505-2E9C-101B-9397-08002B2CF9AE}" pid="6" name="Operator">
    <vt:lpwstr>du</vt:lpwstr>
  </property>
  <property fmtid="{D5CDD505-2E9C-101B-9397-08002B2CF9AE}" pid="7" name="DraftPages">
    <vt:lpwstr> </vt:lpwstr>
  </property>
  <property fmtid="{D5CDD505-2E9C-101B-9397-08002B2CF9AE}" pid="8" name="Comment">
    <vt:lpwstr/>
  </property>
</Properties>
</file>