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320"/>
        <w:textAlignment w:val="center"/>
        <w:rPr>
          <w:rFonts w:hint="eastAsia"/>
        </w:rPr>
      </w:pPr>
      <w:r>
        <w:rPr>
          <w:rFonts w:hint="eastAsia"/>
        </w:rPr>
        <w:t>经济、社会、文化权利委员会</w:t>
      </w:r>
    </w:p>
    <w:p w:rsidR="00000000" w:rsidRDefault="00000000">
      <w:pPr>
        <w:textAlignment w:val="center"/>
      </w:pPr>
    </w:p>
    <w:p w:rsidR="00000000" w:rsidRDefault="00000000">
      <w:pPr>
        <w:pStyle w:val="Heading2"/>
      </w:pPr>
      <w:r>
        <w:rPr>
          <w:rFonts w:hint="eastAsia"/>
        </w:rPr>
        <w:t>审议缔约国根据《公约》第</w:t>
      </w:r>
      <w:r>
        <w:t>16</w:t>
      </w:r>
      <w:r>
        <w:rPr>
          <w:rFonts w:hint="eastAsia"/>
        </w:rPr>
        <w:t>和</w:t>
      </w:r>
      <w:r>
        <w:t>17</w:t>
      </w:r>
      <w:r>
        <w:rPr>
          <w:rFonts w:hint="eastAsia"/>
        </w:rPr>
        <w:t>条提交的报告</w:t>
      </w:r>
    </w:p>
    <w:p w:rsidR="00000000" w:rsidRDefault="00000000">
      <w:pPr>
        <w:pStyle w:val="Heading3"/>
      </w:pPr>
      <w:r>
        <w:rPr>
          <w:rFonts w:hint="eastAsia"/>
        </w:rPr>
        <w:t>经济、社会、文化权利委员会的结论性意见</w:t>
      </w:r>
    </w:p>
    <w:p w:rsidR="00000000" w:rsidRDefault="00000000">
      <w:pPr>
        <w:pStyle w:val="Heading2"/>
        <w:rPr>
          <w:u w:val="single"/>
        </w:rPr>
      </w:pPr>
      <w:r>
        <w:rPr>
          <w:rFonts w:hint="eastAsia"/>
          <w:u w:val="single"/>
        </w:rPr>
        <w:t>约</w:t>
      </w:r>
      <w:r>
        <w:rPr>
          <w:u w:val="single"/>
        </w:rPr>
        <w:t xml:space="preserve">  </w:t>
      </w:r>
      <w:r>
        <w:rPr>
          <w:rFonts w:hint="eastAsia"/>
          <w:u w:val="single"/>
        </w:rPr>
        <w:t>旦</w:t>
      </w:r>
    </w:p>
    <w:p w:rsidR="00000000" w:rsidRDefault="00000000">
      <w:pPr>
        <w:spacing w:after="320"/>
        <w:textAlignment w:val="center"/>
      </w:pPr>
      <w:r>
        <w:tab/>
        <w:t xml:space="preserve">1.  </w:t>
      </w:r>
      <w:r>
        <w:rPr>
          <w:rFonts w:hint="eastAsia"/>
        </w:rPr>
        <w:t>委员会在</w:t>
      </w:r>
      <w:r>
        <w:rPr>
          <w:rFonts w:hint="eastAsia"/>
        </w:rPr>
        <w:t>2000</w:t>
      </w:r>
      <w:r>
        <w:rPr>
          <w:rFonts w:hint="eastAsia"/>
        </w:rPr>
        <w:t>年</w:t>
      </w:r>
      <w:r>
        <w:rPr>
          <w:rFonts w:hint="eastAsia"/>
        </w:rPr>
        <w:t>8</w:t>
      </w:r>
      <w:r>
        <w:rPr>
          <w:rFonts w:hint="eastAsia"/>
        </w:rPr>
        <w:t>月</w:t>
      </w:r>
      <w:r>
        <w:rPr>
          <w:rFonts w:hint="eastAsia"/>
        </w:rPr>
        <w:t>15</w:t>
      </w:r>
      <w:r>
        <w:rPr>
          <w:rFonts w:hint="eastAsia"/>
        </w:rPr>
        <w:t>日和</w:t>
      </w:r>
      <w:r>
        <w:rPr>
          <w:rFonts w:hint="eastAsia"/>
        </w:rPr>
        <w:t>16</w:t>
      </w:r>
      <w:r>
        <w:rPr>
          <w:rFonts w:hint="eastAsia"/>
        </w:rPr>
        <w:t>日举行的第</w:t>
      </w:r>
      <w:r>
        <w:rPr>
          <w:rFonts w:hint="eastAsia"/>
        </w:rPr>
        <w:t>30</w:t>
      </w:r>
      <w:r>
        <w:rPr>
          <w:rFonts w:hint="eastAsia"/>
        </w:rPr>
        <w:t>次、第</w:t>
      </w:r>
      <w:r>
        <w:rPr>
          <w:rFonts w:hint="eastAsia"/>
        </w:rPr>
        <w:t>31</w:t>
      </w:r>
      <w:r>
        <w:rPr>
          <w:rFonts w:hint="eastAsia"/>
        </w:rPr>
        <w:t>次、第</w:t>
      </w:r>
      <w:r>
        <w:rPr>
          <w:rFonts w:hint="eastAsia"/>
        </w:rPr>
        <w:t>32</w:t>
      </w:r>
      <w:r>
        <w:rPr>
          <w:rFonts w:hint="eastAsia"/>
        </w:rPr>
        <w:t>次和第</w:t>
      </w:r>
      <w:r>
        <w:rPr>
          <w:rFonts w:hint="eastAsia"/>
        </w:rPr>
        <w:t>33</w:t>
      </w:r>
      <w:r>
        <w:rPr>
          <w:rFonts w:hint="eastAsia"/>
        </w:rPr>
        <w:t>次会议上审议了约旦执行《经济、社会、文化权利国际公约》情况的第二次定期报告</w:t>
      </w:r>
      <w:r>
        <w:t>(E/1990/6/Add.17)</w:t>
      </w:r>
      <w:r>
        <w:rPr>
          <w:rFonts w:hint="eastAsia"/>
        </w:rPr>
        <w:t>，并在</w:t>
      </w:r>
      <w:r>
        <w:t>2000</w:t>
      </w:r>
      <w:r>
        <w:rPr>
          <w:rFonts w:hint="eastAsia"/>
        </w:rPr>
        <w:t>年</w:t>
      </w:r>
      <w:r>
        <w:t>8</w:t>
      </w:r>
      <w:r>
        <w:rPr>
          <w:rFonts w:hint="eastAsia"/>
        </w:rPr>
        <w:t>月</w:t>
      </w:r>
      <w:r>
        <w:t>29</w:t>
      </w:r>
      <w:r>
        <w:rPr>
          <w:rFonts w:hint="eastAsia"/>
        </w:rPr>
        <w:t>日举行的第</w:t>
      </w:r>
      <w:r>
        <w:t>51</w:t>
      </w:r>
      <w:r>
        <w:rPr>
          <w:rFonts w:hint="eastAsia"/>
        </w:rPr>
        <w:t>次会议上通过了下列结论性意见。</w:t>
      </w:r>
    </w:p>
    <w:p w:rsidR="00000000" w:rsidRDefault="00000000">
      <w:pPr>
        <w:pStyle w:val="Heading3"/>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pPr>
        <w:spacing w:after="320"/>
        <w:rPr>
          <w:rFonts w:hint="eastAsia"/>
        </w:rPr>
      </w:pPr>
      <w:r>
        <w:rPr>
          <w:rFonts w:hint="eastAsia"/>
        </w:rPr>
        <w:tab/>
        <w:t xml:space="preserve">2.  </w:t>
      </w:r>
      <w:r>
        <w:rPr>
          <w:rFonts w:hint="eastAsia"/>
        </w:rPr>
        <w:t>委员会欢迎该缔约国提交报告以及对一系列问题</w:t>
      </w:r>
      <w:r>
        <w:rPr>
          <w:rFonts w:hint="eastAsia"/>
        </w:rPr>
        <w:t>(E/C.12/Q/JOR/1)</w:t>
      </w:r>
      <w:r>
        <w:rPr>
          <w:rFonts w:hint="eastAsia"/>
        </w:rPr>
        <w:t>作的书面答复。委员会虽然赞赏该国代表团在阐述问题时所作的努力，但仍感到遗憾的是，有些问题没有得到令人满意的答复。</w:t>
      </w:r>
    </w:p>
    <w:p w:rsidR="00000000" w:rsidRDefault="00000000">
      <w:pPr>
        <w:pStyle w:val="Heading3"/>
        <w:rPr>
          <w:rFonts w:hint="eastAsia"/>
        </w:rPr>
      </w:pPr>
      <w:r>
        <w:rPr>
          <w:rFonts w:hint="eastAsia"/>
          <w:u w:val="none"/>
        </w:rPr>
        <w:t xml:space="preserve">B.  </w:t>
      </w:r>
      <w:r>
        <w:rPr>
          <w:rFonts w:hint="eastAsia"/>
        </w:rPr>
        <w:t>积极的方面</w:t>
      </w:r>
    </w:p>
    <w:p w:rsidR="00000000" w:rsidRDefault="00000000">
      <w:pPr>
        <w:rPr>
          <w:rFonts w:hint="eastAsia"/>
        </w:rPr>
      </w:pPr>
      <w:r>
        <w:rPr>
          <w:rFonts w:hint="eastAsia"/>
        </w:rPr>
        <w:tab/>
        <w:t xml:space="preserve">3.  </w:t>
      </w:r>
      <w:r>
        <w:rPr>
          <w:rFonts w:hint="eastAsia"/>
        </w:rPr>
        <w:t>委员会满意地注意该缔约国持续努力，改善约旦的经济实绩和使政治和社会结构现代化，在努力过程中考虑到根据《公约》承担的义务。</w:t>
      </w:r>
    </w:p>
    <w:p w:rsidR="00000000" w:rsidRDefault="00000000">
      <w:pPr>
        <w:rPr>
          <w:rFonts w:hint="eastAsia"/>
        </w:rPr>
      </w:pPr>
      <w:r>
        <w:rPr>
          <w:rFonts w:hint="eastAsia"/>
        </w:rPr>
        <w:tab/>
        <w:t xml:space="preserve">4.  </w:t>
      </w:r>
      <w:r>
        <w:rPr>
          <w:rFonts w:hint="eastAsia"/>
        </w:rPr>
        <w:t>委员会欢迎该缔约国批准主要国际人权条约并注意到它在人权领域采取的各种主动行动，包括制定全国人权行动计划，这一切体现了约旦为进一步促进其人民的人权的决心。</w:t>
      </w:r>
    </w:p>
    <w:p w:rsidR="00000000" w:rsidRDefault="00000000">
      <w:pPr>
        <w:rPr>
          <w:rFonts w:hint="eastAsia"/>
        </w:rPr>
      </w:pPr>
      <w:r>
        <w:rPr>
          <w:rFonts w:hint="eastAsia"/>
        </w:rPr>
        <w:tab/>
        <w:t xml:space="preserve">5.  </w:t>
      </w:r>
      <w:r>
        <w:rPr>
          <w:rFonts w:hint="eastAsia"/>
        </w:rPr>
        <w:t>委员会满意地注意到，相对而言该缔约国接纳了大量难民并具有尊重和履行这方面的国际承诺的良好记录。</w:t>
      </w:r>
    </w:p>
    <w:p w:rsidR="00000000" w:rsidRDefault="00000000">
      <w:pPr>
        <w:rPr>
          <w:rFonts w:hint="eastAsia"/>
        </w:rPr>
      </w:pPr>
      <w:r>
        <w:rPr>
          <w:rFonts w:hint="eastAsia"/>
        </w:rPr>
        <w:tab/>
        <w:t xml:space="preserve">6.  </w:t>
      </w:r>
      <w:r>
        <w:rPr>
          <w:rFonts w:hint="eastAsia"/>
        </w:rPr>
        <w:t>委员会欢迎</w:t>
      </w:r>
      <w:r>
        <w:rPr>
          <w:rFonts w:hint="eastAsia"/>
        </w:rPr>
        <w:t>2000</w:t>
      </w:r>
      <w:r>
        <w:rPr>
          <w:rFonts w:hint="eastAsia"/>
        </w:rPr>
        <w:t>年</w:t>
      </w:r>
      <w:r>
        <w:rPr>
          <w:rFonts w:hint="eastAsia"/>
        </w:rPr>
        <w:t>3</w:t>
      </w:r>
      <w:r>
        <w:rPr>
          <w:rFonts w:hint="eastAsia"/>
        </w:rPr>
        <w:t>月成立全国人权委员会的法令。</w:t>
      </w:r>
    </w:p>
    <w:p w:rsidR="00000000" w:rsidRDefault="00000000">
      <w:pPr>
        <w:rPr>
          <w:rFonts w:hint="eastAsia"/>
        </w:rPr>
      </w:pPr>
      <w:r>
        <w:rPr>
          <w:rFonts w:hint="eastAsia"/>
        </w:rPr>
        <w:tab/>
        <w:t xml:space="preserve">7.  </w:t>
      </w:r>
      <w:r>
        <w:rPr>
          <w:rFonts w:hint="eastAsia"/>
        </w:rPr>
        <w:t>委员会欢迎该缔约国在尽管面临经济问题的情况下仍在保健领域取得重大成就。具体而言，委员会注意到该缔约国在实现</w:t>
      </w:r>
      <w:r>
        <w:rPr>
          <w:rFonts w:hint="eastAsia"/>
        </w:rPr>
        <w:t>1990</w:t>
      </w:r>
      <w:r>
        <w:rPr>
          <w:rFonts w:hint="eastAsia"/>
        </w:rPr>
        <w:t>年代执行《儿童生存、保护和发展世界宣言》行动计划规定的许多目标方面取得的进展。</w:t>
      </w:r>
    </w:p>
    <w:p w:rsidR="00000000" w:rsidRDefault="00000000">
      <w:pPr>
        <w:spacing w:after="320"/>
        <w:rPr>
          <w:rFonts w:hint="eastAsia"/>
        </w:rPr>
      </w:pPr>
      <w:r>
        <w:rPr>
          <w:rFonts w:hint="eastAsia"/>
        </w:rPr>
        <w:tab/>
        <w:t xml:space="preserve">8.  </w:t>
      </w:r>
      <w:r>
        <w:rPr>
          <w:rFonts w:hint="eastAsia"/>
        </w:rPr>
        <w:t>委员会进一步欢迎该缔约国承诺改善得到教育，特别是女子得到教育的机会。</w:t>
      </w:r>
    </w:p>
    <w:p w:rsidR="00000000" w:rsidRDefault="00000000">
      <w:pPr>
        <w:pStyle w:val="Heading3"/>
        <w:rPr>
          <w:rFonts w:hint="eastAsia"/>
        </w:rPr>
      </w:pPr>
      <w:r>
        <w:rPr>
          <w:rFonts w:hint="eastAsia"/>
          <w:u w:val="none"/>
        </w:rPr>
        <w:t xml:space="preserve">C.  </w:t>
      </w:r>
      <w:r>
        <w:rPr>
          <w:rFonts w:hint="eastAsia"/>
        </w:rPr>
        <w:t>妨碍执行《公约》的因素和困难</w:t>
      </w:r>
    </w:p>
    <w:p w:rsidR="00000000" w:rsidRDefault="00000000">
      <w:pPr>
        <w:rPr>
          <w:rFonts w:hint="eastAsia"/>
        </w:rPr>
      </w:pPr>
      <w:r>
        <w:rPr>
          <w:rFonts w:hint="eastAsia"/>
        </w:rPr>
        <w:tab/>
        <w:t xml:space="preserve">9.  </w:t>
      </w:r>
      <w:r>
        <w:rPr>
          <w:rFonts w:hint="eastAsia"/>
        </w:rPr>
        <w:t>委员会注意到自</w:t>
      </w:r>
      <w:r>
        <w:rPr>
          <w:rFonts w:hint="eastAsia"/>
        </w:rPr>
        <w:t>1948</w:t>
      </w:r>
      <w:r>
        <w:rPr>
          <w:rFonts w:hint="eastAsia"/>
        </w:rPr>
        <w:t>年以来，相对而言大量难民住在该缔约国境内和该地区持久不息的冲突对该国促进其经济和文化发展的能力的影响。</w:t>
      </w:r>
    </w:p>
    <w:p w:rsidR="00000000" w:rsidRDefault="00000000">
      <w:pPr>
        <w:spacing w:after="320"/>
        <w:rPr>
          <w:rFonts w:hint="eastAsia"/>
        </w:rPr>
      </w:pPr>
      <w:r>
        <w:rPr>
          <w:rFonts w:hint="eastAsia"/>
        </w:rPr>
        <w:tab/>
        <w:t xml:space="preserve">10.  </w:t>
      </w:r>
      <w:r>
        <w:rPr>
          <w:rFonts w:hint="eastAsia"/>
        </w:rPr>
        <w:t>委员会注意到约旦缺水，影响了它履行《公约》义务的能力。</w:t>
      </w:r>
    </w:p>
    <w:p w:rsidR="00000000" w:rsidRDefault="00000000">
      <w:pPr>
        <w:pStyle w:val="Heading3"/>
        <w:rPr>
          <w:rFonts w:hint="eastAsia"/>
        </w:rPr>
      </w:pPr>
      <w:r>
        <w:rPr>
          <w:rFonts w:hint="eastAsia"/>
          <w:u w:val="none"/>
        </w:rPr>
        <w:t xml:space="preserve">D.  </w:t>
      </w:r>
      <w:r>
        <w:rPr>
          <w:rFonts w:hint="eastAsia"/>
        </w:rPr>
        <w:t>令人关注的主要问题</w:t>
      </w:r>
    </w:p>
    <w:p w:rsidR="00000000" w:rsidRDefault="00000000">
      <w:pPr>
        <w:rPr>
          <w:rFonts w:hint="eastAsia"/>
        </w:rPr>
      </w:pPr>
      <w:r>
        <w:rPr>
          <w:rFonts w:hint="eastAsia"/>
        </w:rPr>
        <w:tab/>
        <w:t xml:space="preserve">11.  </w:t>
      </w:r>
      <w:r>
        <w:rPr>
          <w:rFonts w:hint="eastAsia"/>
        </w:rPr>
        <w:t>尽管据称《公约》具有法律效力并除了宪法外优先于所有其他立法，但委员会注意到，自批准以来</w:t>
      </w:r>
      <w:r>
        <w:rPr>
          <w:rFonts w:hint="eastAsia"/>
        </w:rPr>
        <w:t>25</w:t>
      </w:r>
      <w:r>
        <w:rPr>
          <w:rFonts w:hint="eastAsia"/>
        </w:rPr>
        <w:t>年已经过去，而《公约》仍有待在官方公报中发表。</w:t>
      </w:r>
    </w:p>
    <w:p w:rsidR="00000000" w:rsidRDefault="00000000">
      <w:pPr>
        <w:rPr>
          <w:rFonts w:hint="eastAsia"/>
        </w:rPr>
      </w:pPr>
      <w:r>
        <w:rPr>
          <w:rFonts w:hint="eastAsia"/>
        </w:rPr>
        <w:tab/>
        <w:t xml:space="preserve">12.  </w:t>
      </w:r>
      <w:r>
        <w:rPr>
          <w:rFonts w:hint="eastAsia"/>
        </w:rPr>
        <w:t>令委员会关切地是该缔约国对于将《公约》的有关条款列入其立法的问题不甚重视。</w:t>
      </w:r>
    </w:p>
    <w:p w:rsidR="00000000" w:rsidRDefault="00000000">
      <w:pPr>
        <w:rPr>
          <w:rFonts w:hint="eastAsia"/>
        </w:rPr>
      </w:pPr>
      <w:r>
        <w:rPr>
          <w:rFonts w:hint="eastAsia"/>
        </w:rPr>
        <w:tab/>
        <w:t xml:space="preserve">13.  </w:t>
      </w:r>
      <w:r>
        <w:rPr>
          <w:rFonts w:hint="eastAsia"/>
        </w:rPr>
        <w:t>委员会注意到报告详细介绍了与执行《公约》有关的宪法和立法规定，但令委员会遗憾的是，报告没有充分提供有关这些措施的效率的资料。此外，报告没有提供有关侵犯这些权利的申诉的任何资料以及没有这方面的法律诉讼，这可能说明法官、律师和一般公众对《公约》认识不足。</w:t>
      </w:r>
    </w:p>
    <w:p w:rsidR="00000000" w:rsidRDefault="00000000">
      <w:pPr>
        <w:rPr>
          <w:rFonts w:hint="eastAsia"/>
        </w:rPr>
      </w:pPr>
      <w:r>
        <w:rPr>
          <w:rFonts w:hint="eastAsia"/>
        </w:rPr>
        <w:tab/>
        <w:t xml:space="preserve">14.  </w:t>
      </w:r>
      <w:r>
        <w:rPr>
          <w:rFonts w:hint="eastAsia"/>
        </w:rPr>
        <w:t>委员会关注约旦社会对男女的作用和责任所持的传统态度和成见。</w:t>
      </w:r>
    </w:p>
    <w:p w:rsidR="00000000" w:rsidRDefault="00000000">
      <w:pPr>
        <w:rPr>
          <w:rFonts w:hint="eastAsia"/>
        </w:rPr>
      </w:pPr>
      <w:r>
        <w:rPr>
          <w:rFonts w:hint="eastAsia"/>
        </w:rPr>
        <w:tab/>
        <w:t xml:space="preserve">15.  </w:t>
      </w:r>
      <w:r>
        <w:rPr>
          <w:rFonts w:hint="eastAsia"/>
        </w:rPr>
        <w:t>委员会关注民法规定的歧视性待遇，如限制与外国男子结婚的约旦妇女将国籍传给其子女的权利。</w:t>
      </w:r>
    </w:p>
    <w:p w:rsidR="00000000" w:rsidRDefault="00000000">
      <w:pPr>
        <w:rPr>
          <w:rFonts w:hint="eastAsia"/>
        </w:rPr>
      </w:pPr>
      <w:r>
        <w:rPr>
          <w:rFonts w:hint="eastAsia"/>
        </w:rPr>
        <w:tab/>
        <w:t xml:space="preserve">16.  </w:t>
      </w:r>
      <w:r>
        <w:rPr>
          <w:rFonts w:hint="eastAsia"/>
        </w:rPr>
        <w:t>尽管为处理家庭暴力成立了家庭保护机构和进行了其他努力，但仍令委员会关注的是，侵害妇女的暴力仍然是约旦的一个严重问题。具体而言，委员会关切地注意到，配偶强奸不为罪。</w:t>
      </w:r>
    </w:p>
    <w:p w:rsidR="00000000" w:rsidRDefault="00000000">
      <w:pPr>
        <w:rPr>
          <w:rFonts w:hint="eastAsia"/>
        </w:rPr>
      </w:pPr>
      <w:r>
        <w:rPr>
          <w:rFonts w:hint="eastAsia"/>
        </w:rPr>
        <w:tab/>
        <w:t xml:space="preserve">17.  </w:t>
      </w:r>
      <w:r>
        <w:rPr>
          <w:rFonts w:hint="eastAsia"/>
        </w:rPr>
        <w:t>委员会关注的是，以荣誉为名对妇女犯下的罪行逍遥法外。</w:t>
      </w:r>
    </w:p>
    <w:p w:rsidR="00000000" w:rsidRDefault="00000000">
      <w:pPr>
        <w:rPr>
          <w:rFonts w:hint="eastAsia"/>
        </w:rPr>
      </w:pPr>
      <w:r>
        <w:rPr>
          <w:rFonts w:hint="eastAsia"/>
        </w:rPr>
        <w:tab/>
        <w:t xml:space="preserve">18.  </w:t>
      </w:r>
      <w:r>
        <w:rPr>
          <w:rFonts w:hint="eastAsia"/>
        </w:rPr>
        <w:t>委员会关切地注意到该国失业和贫困程度相对高的顽固现象。</w:t>
      </w:r>
    </w:p>
    <w:p w:rsidR="00000000" w:rsidRDefault="00000000">
      <w:pPr>
        <w:rPr>
          <w:rFonts w:hint="eastAsia"/>
        </w:rPr>
      </w:pPr>
      <w:r>
        <w:rPr>
          <w:rFonts w:hint="eastAsia"/>
        </w:rPr>
        <w:tab/>
        <w:t xml:space="preserve">19.  </w:t>
      </w:r>
      <w:r>
        <w:rPr>
          <w:rFonts w:hint="eastAsia"/>
        </w:rPr>
        <w:t>令委员会关注的是，最低工资条款不适用于非约旦工人、他们不能参加工会活动并被排斥在社会保障制度之外。</w:t>
      </w:r>
    </w:p>
    <w:p w:rsidR="00000000" w:rsidRDefault="00000000">
      <w:pPr>
        <w:rPr>
          <w:rFonts w:hint="eastAsia"/>
        </w:rPr>
      </w:pPr>
      <w:r>
        <w:rPr>
          <w:rFonts w:hint="eastAsia"/>
        </w:rPr>
        <w:tab/>
        <w:t xml:space="preserve">20.  </w:t>
      </w:r>
      <w:r>
        <w:rPr>
          <w:rFonts w:hint="eastAsia"/>
        </w:rPr>
        <w:t>令委员会关注的是，</w:t>
      </w:r>
      <w:r>
        <w:rPr>
          <w:rFonts w:hint="eastAsia"/>
        </w:rPr>
        <w:t>1996</w:t>
      </w:r>
      <w:r>
        <w:rPr>
          <w:rFonts w:hint="eastAsia"/>
        </w:rPr>
        <w:t>年劳工法没有为在家庭企业和农业企业中工作的人和家佣规定任何保护条款。而最需要制定保护条款的正是这些领域的工作，因为它常常涉及到有害工作条件和大量女工和童工。</w:t>
      </w:r>
    </w:p>
    <w:p w:rsidR="00000000" w:rsidRDefault="00000000">
      <w:pPr>
        <w:rPr>
          <w:rFonts w:hint="eastAsia"/>
        </w:rPr>
      </w:pPr>
      <w:r>
        <w:rPr>
          <w:rFonts w:hint="eastAsia"/>
        </w:rPr>
        <w:tab/>
        <w:t xml:space="preserve">21.  </w:t>
      </w:r>
      <w:r>
        <w:rPr>
          <w:rFonts w:hint="eastAsia"/>
        </w:rPr>
        <w:t>委员会对公共部门雇员，特别是在卫生和教育服务部门工作的人参加工会活动的权利受到限制表示关切。此外，令委员会关切的是劳工法第</w:t>
      </w:r>
      <w:r>
        <w:rPr>
          <w:rFonts w:hint="eastAsia"/>
        </w:rPr>
        <w:t>100</w:t>
      </w:r>
      <w:r>
        <w:rPr>
          <w:rFonts w:hint="eastAsia"/>
        </w:rPr>
        <w:t>条取消了工人罢工权利。</w:t>
      </w:r>
    </w:p>
    <w:p w:rsidR="00000000" w:rsidRDefault="00000000">
      <w:pPr>
        <w:spacing w:after="320"/>
        <w:rPr>
          <w:rFonts w:hint="eastAsia"/>
        </w:rPr>
      </w:pPr>
      <w:r>
        <w:rPr>
          <w:rFonts w:hint="eastAsia"/>
        </w:rPr>
        <w:tab/>
        <w:t xml:space="preserve">22.  </w:t>
      </w:r>
      <w:r>
        <w:rPr>
          <w:rFonts w:hint="eastAsia"/>
        </w:rPr>
        <w:t>委员会对有关强迫迁移事件，特别是该国主要城镇地区的强迫迁移事件表示关注。</w:t>
      </w:r>
    </w:p>
    <w:p w:rsidR="00000000" w:rsidRDefault="00000000">
      <w:pPr>
        <w:pStyle w:val="Heading3"/>
        <w:rPr>
          <w:rFonts w:hint="eastAsia"/>
        </w:rPr>
      </w:pPr>
      <w:r>
        <w:rPr>
          <w:rFonts w:hint="eastAsia"/>
          <w:u w:val="none"/>
        </w:rPr>
        <w:t xml:space="preserve">E.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23.  </w:t>
      </w:r>
      <w:r>
        <w:rPr>
          <w:rFonts w:hint="eastAsia"/>
        </w:rPr>
        <w:t>委员会建议该缔约国迅速在官方公报发表《公约》并采取必要行动使之可在法庭包括初审庭实施。</w:t>
      </w:r>
    </w:p>
    <w:p w:rsidR="00000000" w:rsidRDefault="00000000">
      <w:pPr>
        <w:rPr>
          <w:rFonts w:hint="eastAsia"/>
        </w:rPr>
      </w:pPr>
      <w:r>
        <w:rPr>
          <w:rFonts w:hint="eastAsia"/>
        </w:rPr>
        <w:tab/>
        <w:t xml:space="preserve">24.  </w:t>
      </w:r>
      <w:r>
        <w:rPr>
          <w:rFonts w:hint="eastAsia"/>
        </w:rPr>
        <w:t>委员会建议该缔约国监测并评估与人权有关的相关立法的执行情况。委员会请缔约国在随后的报告中列入有关下列问题的资料：受理申诉和进行调查与起诉的机制；和有关随后的裁决及其执行的统计数字。</w:t>
      </w:r>
    </w:p>
    <w:p w:rsidR="00000000" w:rsidRDefault="00000000">
      <w:pPr>
        <w:rPr>
          <w:rFonts w:hint="eastAsia"/>
        </w:rPr>
      </w:pPr>
      <w:r>
        <w:rPr>
          <w:rFonts w:hint="eastAsia"/>
        </w:rPr>
        <w:tab/>
        <w:t xml:space="preserve">25.  </w:t>
      </w:r>
      <w:r>
        <w:rPr>
          <w:rFonts w:hint="eastAsia"/>
        </w:rPr>
        <w:t>根据</w:t>
      </w:r>
      <w:r>
        <w:rPr>
          <w:rFonts w:hint="eastAsia"/>
        </w:rPr>
        <w:t>1993</w:t>
      </w:r>
      <w:r>
        <w:rPr>
          <w:rFonts w:hint="eastAsia"/>
        </w:rPr>
        <w:t>年《维也纳宣言和行动纲领》</w:t>
      </w:r>
      <w:r>
        <w:rPr>
          <w:rFonts w:hint="eastAsia"/>
        </w:rPr>
        <w:t>(</w:t>
      </w:r>
      <w:r>
        <w:rPr>
          <w:rFonts w:hint="eastAsia"/>
        </w:rPr>
        <w:t>第</w:t>
      </w:r>
      <w:r>
        <w:rPr>
          <w:rFonts w:hint="eastAsia"/>
        </w:rPr>
        <w:t>71</w:t>
      </w:r>
      <w:r>
        <w:rPr>
          <w:rFonts w:hint="eastAsia"/>
        </w:rPr>
        <w:t>段</w:t>
      </w:r>
      <w:r>
        <w:rPr>
          <w:rFonts w:hint="eastAsia"/>
        </w:rPr>
        <w:t>)</w:t>
      </w:r>
      <w:r>
        <w:rPr>
          <w:rFonts w:hint="eastAsia"/>
        </w:rPr>
        <w:t>，委员会建议该缔约国起草和拟订一项全面的国家行动计划，通过公开和协商进程履行该国根据国际人权义务包括《公约》承担的义务。委员会请该缔约国在第三次定期报告中列入全国人权行动计划副本及其执行情况的资料。</w:t>
      </w:r>
    </w:p>
    <w:p w:rsidR="00000000" w:rsidRDefault="00000000">
      <w:pPr>
        <w:rPr>
          <w:rFonts w:hint="eastAsia"/>
        </w:rPr>
      </w:pPr>
      <w:r>
        <w:rPr>
          <w:rFonts w:hint="eastAsia"/>
        </w:rPr>
        <w:tab/>
        <w:t xml:space="preserve">26.  </w:t>
      </w:r>
      <w:r>
        <w:rPr>
          <w:rFonts w:hint="eastAsia"/>
        </w:rPr>
        <w:t>委员会强调根据与增进和保护人权国家机制地位有关的巴黎原则成立机构至关重要</w:t>
      </w:r>
      <w:r>
        <w:rPr>
          <w:rFonts w:hint="eastAsia"/>
        </w:rPr>
        <w:t>(</w:t>
      </w:r>
      <w:r>
        <w:rPr>
          <w:rFonts w:hint="eastAsia"/>
        </w:rPr>
        <w:t>大会第</w:t>
      </w:r>
      <w:r>
        <w:rPr>
          <w:rFonts w:hint="eastAsia"/>
        </w:rPr>
        <w:t>48/134</w:t>
      </w:r>
      <w:r>
        <w:rPr>
          <w:rFonts w:hint="eastAsia"/>
        </w:rPr>
        <w:t>号决议，附件</w:t>
      </w:r>
      <w:r>
        <w:rPr>
          <w:rFonts w:hint="eastAsia"/>
        </w:rPr>
        <w:t>)</w:t>
      </w:r>
      <w:r>
        <w:rPr>
          <w:rFonts w:hint="eastAsia"/>
        </w:rPr>
        <w:t>。委员会请该缔约国在下次定期报告中提供有关这方面的进展情况。</w:t>
      </w:r>
    </w:p>
    <w:p w:rsidR="00000000" w:rsidRDefault="00000000">
      <w:pPr>
        <w:rPr>
          <w:rFonts w:hint="eastAsia"/>
        </w:rPr>
      </w:pPr>
      <w:r>
        <w:rPr>
          <w:rFonts w:hint="eastAsia"/>
        </w:rPr>
        <w:tab/>
        <w:t xml:space="preserve">27.  </w:t>
      </w:r>
      <w:r>
        <w:rPr>
          <w:rFonts w:hint="eastAsia"/>
        </w:rPr>
        <w:t>委员会承认约旦目前经济条件困难，但强调落实经济、社会和文化权利需要考虑一系列问题，包括公平分配现有资源。委员会强调该缔约国有责任确保最易受害群体得到资源并建议它确保在国家和地方各级适当分配资源。</w:t>
      </w:r>
    </w:p>
    <w:p w:rsidR="00000000" w:rsidRDefault="00000000">
      <w:pPr>
        <w:rPr>
          <w:rFonts w:hint="eastAsia"/>
        </w:rPr>
      </w:pPr>
      <w:r>
        <w:rPr>
          <w:rFonts w:hint="eastAsia"/>
        </w:rPr>
        <w:tab/>
        <w:t xml:space="preserve">28.  </w:t>
      </w:r>
      <w:r>
        <w:rPr>
          <w:rFonts w:hint="eastAsia"/>
        </w:rPr>
        <w:t>此外，委员会极力建议该缔约国在与国际金融机构的所有谈判中考虑根据《公约》承担的义务，保证经济、社会和文化权利，特别是最易受害群体的这些权利不受到损害。</w:t>
      </w:r>
    </w:p>
    <w:p w:rsidR="00000000" w:rsidRDefault="00000000">
      <w:pPr>
        <w:rPr>
          <w:rFonts w:hint="eastAsia"/>
        </w:rPr>
      </w:pPr>
      <w:r>
        <w:rPr>
          <w:rFonts w:hint="eastAsia"/>
        </w:rPr>
        <w:tab/>
        <w:t xml:space="preserve">29.  </w:t>
      </w:r>
      <w:r>
        <w:rPr>
          <w:rFonts w:hint="eastAsia"/>
        </w:rPr>
        <w:t>委员会建议该缔约国根据《公约》第</w:t>
      </w:r>
      <w:r>
        <w:rPr>
          <w:rFonts w:hint="eastAsia"/>
        </w:rPr>
        <w:t>2</w:t>
      </w:r>
      <w:r>
        <w:rPr>
          <w:rFonts w:hint="eastAsia"/>
        </w:rPr>
        <w:t>条第</w:t>
      </w:r>
      <w:r>
        <w:rPr>
          <w:rFonts w:hint="eastAsia"/>
        </w:rPr>
        <w:t>2</w:t>
      </w:r>
      <w:r>
        <w:rPr>
          <w:rFonts w:hint="eastAsia"/>
        </w:rPr>
        <w:t>款在其法律制度中列入应予禁止的歧视理由，即种族、肤色、性别、语言、宗教、政治或其他见解、国籍或社会出身、财产、出生或其他身份。</w:t>
      </w:r>
    </w:p>
    <w:p w:rsidR="00000000" w:rsidRDefault="00000000">
      <w:pPr>
        <w:rPr>
          <w:rFonts w:hint="eastAsia"/>
        </w:rPr>
      </w:pPr>
      <w:r>
        <w:rPr>
          <w:rFonts w:hint="eastAsia"/>
        </w:rPr>
        <w:tab/>
        <w:t xml:space="preserve">30.  </w:t>
      </w:r>
      <w:r>
        <w:rPr>
          <w:rFonts w:hint="eastAsia"/>
        </w:rPr>
        <w:t>委员会建议该缔约国采取一切有效法律措施，禁止在公民、政治、经济、社会和文化生活等一切领域基于性别的歧视。委员会建议该缔约国采取一切适当措施，如全面的公共教育运动，防止并打击这方面，特别是在家庭内的歧视待遇和消极社会态度。委员会建议该缔约国在随后的报告中提供有关就业程度的比较资料，包括妇女在各级行政部门和在诸如执法、法律专业和司法等部门所占比例，以表明报告期间这些方面的发展情况。</w:t>
      </w:r>
    </w:p>
    <w:p w:rsidR="00000000" w:rsidRDefault="00000000">
      <w:pPr>
        <w:rPr>
          <w:rFonts w:hint="eastAsia"/>
        </w:rPr>
      </w:pPr>
      <w:r>
        <w:rPr>
          <w:rFonts w:hint="eastAsia"/>
        </w:rPr>
        <w:tab/>
        <w:t xml:space="preserve">31.  </w:t>
      </w:r>
      <w:r>
        <w:rPr>
          <w:rFonts w:hint="eastAsia"/>
        </w:rPr>
        <w:t>委员会建议该缔约国对配偶强奸行为治罪并对肇事者给予适当处罚。此外，该缔约国需要建立适当程序和机制，受理各种申诉并监测、调查和起诉违法行为。注意力应该放在处理并消除影响受害者寻求帮助的社会和文化障碍方面。受害者再复原和再融合方案需要予以加强。</w:t>
      </w:r>
    </w:p>
    <w:p w:rsidR="00000000" w:rsidRDefault="00000000">
      <w:pPr>
        <w:rPr>
          <w:rFonts w:hint="eastAsia"/>
        </w:rPr>
      </w:pPr>
      <w:r>
        <w:rPr>
          <w:rFonts w:hint="eastAsia"/>
        </w:rPr>
        <w:tab/>
        <w:t xml:space="preserve">32.  </w:t>
      </w:r>
      <w:r>
        <w:rPr>
          <w:rFonts w:hint="eastAsia"/>
        </w:rPr>
        <w:t>委员会建议该缔约国保证家庭保护机构得到适足的资源、其能力得到加强以及其服务扩大到该国所有地区。委员会建议对执法官员、护理工作者、法官和保健专业人员进行辨别、报告和管理侵权案件等方面的培训。委员会建议该缔约国继续与民间团体合作并支持他们的倡议，包括热线联系、住处和咨询服务。</w:t>
      </w:r>
    </w:p>
    <w:p w:rsidR="00000000" w:rsidRDefault="00000000">
      <w:pPr>
        <w:rPr>
          <w:rFonts w:hint="eastAsia"/>
        </w:rPr>
      </w:pPr>
      <w:r>
        <w:rPr>
          <w:rFonts w:hint="eastAsia"/>
        </w:rPr>
        <w:tab/>
        <w:t xml:space="preserve">33.  </w:t>
      </w:r>
      <w:r>
        <w:rPr>
          <w:rFonts w:hint="eastAsia"/>
        </w:rPr>
        <w:t>委员会建议该缔约国继续努力，确保废除刑法第</w:t>
      </w:r>
      <w:r>
        <w:rPr>
          <w:rFonts w:hint="eastAsia"/>
        </w:rPr>
        <w:t>340</w:t>
      </w:r>
      <w:r>
        <w:rPr>
          <w:rFonts w:hint="eastAsia"/>
        </w:rPr>
        <w:t>条。</w:t>
      </w:r>
    </w:p>
    <w:p w:rsidR="00000000" w:rsidRDefault="00000000">
      <w:pPr>
        <w:rPr>
          <w:rFonts w:hint="eastAsia"/>
        </w:rPr>
      </w:pPr>
      <w:r>
        <w:rPr>
          <w:rFonts w:hint="eastAsia"/>
        </w:rPr>
        <w:tab/>
        <w:t xml:space="preserve">34.  </w:t>
      </w:r>
      <w:r>
        <w:rPr>
          <w:rFonts w:hint="eastAsia"/>
        </w:rPr>
        <w:t>委员会建议修改劳工法、确保家庭企业的工人、从事农业活动的工人和家佣得到有效保护以及检查活动扩大到这些领域。</w:t>
      </w:r>
    </w:p>
    <w:p w:rsidR="00000000" w:rsidRDefault="00000000">
      <w:pPr>
        <w:rPr>
          <w:rFonts w:hint="eastAsia"/>
        </w:rPr>
      </w:pPr>
      <w:r>
        <w:rPr>
          <w:rFonts w:hint="eastAsia"/>
        </w:rPr>
        <w:tab/>
        <w:t xml:space="preserve">35.  </w:t>
      </w:r>
      <w:r>
        <w:rPr>
          <w:rFonts w:hint="eastAsia"/>
        </w:rPr>
        <w:t>委员会强调工会有权自由地进行工作，不受“除法律所规定及在民主社会中为了国家安全或公共秩序的利益或为保护他人的权利和自由所需要的限制以外的任何限制”。委员会建议该缔约国保证劳工法所载限制完全符合《公约》第</w:t>
      </w:r>
      <w:r>
        <w:rPr>
          <w:rFonts w:hint="eastAsia"/>
        </w:rPr>
        <w:t>8</w:t>
      </w:r>
      <w:r>
        <w:rPr>
          <w:rFonts w:hint="eastAsia"/>
        </w:rPr>
        <w:t>条。</w:t>
      </w:r>
    </w:p>
    <w:p w:rsidR="00000000" w:rsidRDefault="00000000">
      <w:pPr>
        <w:rPr>
          <w:rFonts w:hint="eastAsia"/>
        </w:rPr>
      </w:pPr>
      <w:r>
        <w:rPr>
          <w:rFonts w:hint="eastAsia"/>
        </w:rPr>
        <w:tab/>
        <w:t xml:space="preserve">36.  </w:t>
      </w:r>
      <w:r>
        <w:rPr>
          <w:rFonts w:hint="eastAsia"/>
        </w:rPr>
        <w:t>为了让该缔约国能监测它对《公约》第</w:t>
      </w:r>
      <w:r>
        <w:rPr>
          <w:rFonts w:hint="eastAsia"/>
        </w:rPr>
        <w:t>11</w:t>
      </w:r>
      <w:r>
        <w:rPr>
          <w:rFonts w:hint="eastAsia"/>
        </w:rPr>
        <w:t>条，享有食物权，的执行情况，委员会建议它有系统地收集关于营养不良，特别是儿童营养不良的资料。委员会请该缔约国在第三次定期报告提供有关这方面的资料。</w:t>
      </w:r>
    </w:p>
    <w:p w:rsidR="00000000" w:rsidRDefault="00000000">
      <w:pPr>
        <w:rPr>
          <w:rFonts w:hint="eastAsia"/>
        </w:rPr>
      </w:pPr>
      <w:r>
        <w:rPr>
          <w:rFonts w:hint="eastAsia"/>
        </w:rPr>
        <w:tab/>
        <w:t xml:space="preserve">37.  </w:t>
      </w:r>
      <w:r>
        <w:rPr>
          <w:rFonts w:hint="eastAsia"/>
        </w:rPr>
        <w:t>根据《公约》第</w:t>
      </w:r>
      <w:r>
        <w:rPr>
          <w:rFonts w:hint="eastAsia"/>
        </w:rPr>
        <w:t>11</w:t>
      </w:r>
      <w:r>
        <w:rPr>
          <w:rFonts w:hint="eastAsia"/>
        </w:rPr>
        <w:t>条，委员会鼓励该缔约国防止发生任何强迫驱逐事件。委员会建议重新安置程序和方案包括登记手续、便利全面的家庭再复原和保证获得基本服务。委员会建议该缔约国适当注意委员会关于强迫驱逐和住房权的第</w:t>
      </w:r>
      <w:r>
        <w:rPr>
          <w:rFonts w:hint="eastAsia"/>
        </w:rPr>
        <w:t>7</w:t>
      </w:r>
      <w:r>
        <w:rPr>
          <w:rFonts w:hint="eastAsia"/>
        </w:rPr>
        <w:t>号和第</w:t>
      </w:r>
      <w:r>
        <w:rPr>
          <w:rFonts w:hint="eastAsia"/>
        </w:rPr>
        <w:t>4</w:t>
      </w:r>
      <w:r>
        <w:rPr>
          <w:rFonts w:hint="eastAsia"/>
        </w:rPr>
        <w:t>号一般评论。</w:t>
      </w:r>
    </w:p>
    <w:p w:rsidR="00000000" w:rsidRDefault="00000000">
      <w:pPr>
        <w:rPr>
          <w:rFonts w:hint="eastAsia"/>
        </w:rPr>
      </w:pPr>
      <w:r>
        <w:rPr>
          <w:rFonts w:hint="eastAsia"/>
        </w:rPr>
        <w:tab/>
        <w:t xml:space="preserve">38.  </w:t>
      </w:r>
      <w:r>
        <w:rPr>
          <w:rFonts w:hint="eastAsia"/>
        </w:rPr>
        <w:t>委员会建议该缔约国发展目前正在执行的在公众、民间团体以及行政机关各部门和各级宣传有关《公约》执行情况的方案。此外，委员会建议该缔约国加强努力，为专业团体，包括议员、法官、律师和地方政府官员发展有关《公约》条款的有系统和现行培训方案。</w:t>
      </w:r>
    </w:p>
    <w:p w:rsidR="00000000" w:rsidRDefault="00000000">
      <w:pPr>
        <w:rPr>
          <w:rFonts w:hint="eastAsia"/>
        </w:rPr>
      </w:pPr>
      <w:r>
        <w:rPr>
          <w:rFonts w:hint="eastAsia"/>
        </w:rPr>
        <w:tab/>
        <w:t xml:space="preserve">39.  </w:t>
      </w:r>
      <w:r>
        <w:rPr>
          <w:rFonts w:hint="eastAsia"/>
        </w:rPr>
        <w:t>最后，委员会请该缔约国确保在约旦广泛传播本结论性意见并在</w:t>
      </w:r>
      <w:r>
        <w:rPr>
          <w:rFonts w:hint="eastAsia"/>
        </w:rPr>
        <w:t>2003</w:t>
      </w:r>
      <w:r>
        <w:rPr>
          <w:rFonts w:hint="eastAsia"/>
        </w:rPr>
        <w:t>年</w:t>
      </w:r>
      <w:r>
        <w:rPr>
          <w:rFonts w:hint="eastAsia"/>
        </w:rPr>
        <w:t>6</w:t>
      </w:r>
      <w:r>
        <w:rPr>
          <w:rFonts w:hint="eastAsia"/>
        </w:rPr>
        <w:t>月</w:t>
      </w:r>
      <w:r>
        <w:rPr>
          <w:rFonts w:hint="eastAsia"/>
        </w:rPr>
        <w:t>30</w:t>
      </w:r>
      <w:r>
        <w:rPr>
          <w:rFonts w:hint="eastAsia"/>
        </w:rPr>
        <w:t>日提交的第三次定期报告中告知委员会它为执行这些建议采取的步骤。</w:t>
      </w:r>
    </w:p>
    <w:p w:rsidR="00000000" w:rsidRDefault="00000000">
      <w:pPr>
        <w:rPr>
          <w:rFonts w:hint="eastAsia"/>
        </w:rPr>
      </w:pPr>
    </w:p>
    <w:p w:rsidR="00000000" w:rsidRDefault="00000000">
      <w:pPr>
        <w:rPr>
          <w:rFonts w:hint="eastAsia"/>
        </w:rPr>
      </w:pPr>
    </w:p>
    <w:p w:rsidR="00000000" w:rsidRDefault="00000000">
      <w:pPr>
        <w:jc w:val="cente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588"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Univers Bold">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 00-44343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rFonts w:hint="eastAsia"/>
      </w:rPr>
    </w:pPr>
    <w:r>
      <w:t>E/C.</w:t>
    </w:r>
    <w:r>
      <w:rPr>
        <w:rFonts w:hint="eastAsia"/>
      </w:rPr>
      <w:t>12</w:t>
    </w:r>
    <w:r>
      <w:t>/</w:t>
    </w:r>
    <w:r>
      <w:rPr>
        <w:rFonts w:hint="eastAsia"/>
      </w:rPr>
      <w:t>1</w:t>
    </w:r>
    <w:r>
      <w:t>/</w:t>
    </w:r>
    <w:r>
      <w:rPr>
        <w:rFonts w:hint="eastAsia"/>
      </w:rPr>
      <w:t>Add</w:t>
    </w:r>
    <w:r>
      <w:t>.</w:t>
    </w:r>
    <w:r>
      <w:rPr>
        <w:rFonts w:hint="eastAsia"/>
      </w:rPr>
      <w:t>46</w:t>
    </w:r>
  </w:p>
  <w:p w:rsidR="00000000" w:rsidRDefault="00000000">
    <w:pPr>
      <w:pStyle w:val="1R2"/>
      <w:framePr w:w="0" w:hRule="auto" w:hSpace="0" w:wrap="auto" w:vAnchor="margin" w:hAnchor="text" w:xAlign="left" w:yAlign="inline"/>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R2"/>
      <w:framePr w:w="0" w:hRule="auto" w:hSpace="0" w:wrap="auto" w:vAnchor="margin" w:hAnchor="text" w:xAlign="left" w:yAlign="inline"/>
      <w:rPr>
        <w:rFonts w:hint="eastAsia"/>
      </w:rPr>
    </w:pPr>
    <w:r>
      <w:tab/>
    </w:r>
    <w:r>
      <w:tab/>
    </w:r>
    <w:r>
      <w:tab/>
    </w:r>
    <w:r>
      <w:tab/>
      <w:t>E/C.</w:t>
    </w:r>
    <w:r>
      <w:rPr>
        <w:rFonts w:hint="eastAsia"/>
      </w:rPr>
      <w:t>12</w:t>
    </w:r>
    <w:r>
      <w:t>/</w:t>
    </w:r>
    <w:r>
      <w:rPr>
        <w:rFonts w:hint="eastAsia"/>
      </w:rPr>
      <w:t>1</w:t>
    </w:r>
    <w:r>
      <w:t>/</w:t>
    </w:r>
    <w:r>
      <w:rPr>
        <w:rFonts w:hint="eastAsia"/>
      </w:rPr>
      <w:t>Add</w:t>
    </w:r>
    <w:r>
      <w:t>.</w:t>
    </w:r>
    <w:r>
      <w:rPr>
        <w:rFonts w:hint="eastAsia"/>
      </w:rPr>
      <w:t>46</w:t>
    </w:r>
  </w:p>
  <w:p w:rsidR="00000000" w:rsidRDefault="00000000">
    <w:pPr>
      <w:pStyle w:val="1R2"/>
      <w:framePr w:w="0" w:hRule="auto" w:hSpace="0" w:wrap="auto" w:vAnchor="margin" w:hAnchor="text" w:xAlign="left" w:yAlign="inline"/>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2"/>
    </w:pPr>
    <w:r>
      <w:rPr>
        <w:noProof/>
      </w:rPr>
      <w:pict>
        <v:rect id="_x0000_s1025" style="position:absolute;margin-left:541.05pt;margin-top:59.05pt;width:30.05pt;height:36pt;z-index:-5;mso-position-horizontal-relative:page;mso-position-vertical-relative:page" o:allowincell="f" filled="f" stroked="f" strokeweight="0">
          <v:textbox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a2"/>
      <w:spacing w:after="160"/>
    </w:pPr>
    <w:r>
      <w:fldChar w:fldCharType="begin"/>
    </w:r>
    <w:r>
      <w:instrText xml:space="preserve">PRIVATE </w:instrText>
    </w:r>
    <w:r>
      <w:fldChar w:fldCharType="end"/>
    </w:r>
  </w:p>
  <w:p w:rsidR="00000000" w:rsidRDefault="00000000">
    <w:pPr>
      <w:pStyle w:val="1L"/>
      <w:framePr w:w="1438" w:wrap="around"/>
    </w:pPr>
    <w:r>
      <w:rPr>
        <w:noProof/>
      </w:rPr>
      <w:pict>
        <v:rect id="_x0000_s1026" style="position:absolute;left:0;text-align:left;margin-left:-12pt;margin-top:95.45pt;width:492.05pt;height:.95pt;z-index:-4;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a2"/>
    </w:pPr>
    <w:r>
      <w:pict>
        <v:rect id="_x0000_s1029" style="position:absolute;margin-left:66.7pt;margin-top:110.5pt;width:66.05pt;height:56pt;z-index:-1;mso-position-horizontal-relative:page;mso-position-vertical-relative:page" o:allowincell="f" filled="f" stroked="f" strokeweight="0">
          <v:textbox inset="0,0,0,0">
            <w:txbxContent>
              <w:p w:rsidR="00000000" w:rsidRDefault="00000000">
                <w:pPr>
                  <w:pStyle w:val="UNLOGO"/>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56.25pt" fillcolor="window">
                      <v:imagedata r:id="rId1" o:title="" croptop="-107f" cropbottom="-92f" cropleft="-3348f" cropright="-3348f"/>
                    </v:shape>
                  </w:pict>
                </w:r>
              </w:p>
            </w:txbxContent>
          </v:textbox>
          <w10:wrap anchorx="page" anchory="page"/>
        </v:rect>
      </w:pict>
    </w:r>
  </w:p>
  <w:p w:rsidR="00000000" w:rsidRDefault="00000000">
    <w:pPr>
      <w:pStyle w:val="1R2"/>
      <w:framePr w:wrap="around"/>
    </w:pPr>
    <w:r>
      <w:t>Distr.</w:t>
    </w:r>
  </w:p>
  <w:p w:rsidR="00000000" w:rsidRDefault="00000000">
    <w:pPr>
      <w:pStyle w:val="1R2"/>
      <w:framePr w:wrap="around"/>
    </w:pPr>
    <w:r>
      <w:t>GENERAL</w:t>
    </w:r>
  </w:p>
  <w:p w:rsidR="00000000" w:rsidRDefault="00000000">
    <w:pPr>
      <w:pStyle w:val="1R2"/>
      <w:framePr w:wrap="around"/>
    </w:pPr>
  </w:p>
  <w:p w:rsidR="00000000" w:rsidRDefault="00000000">
    <w:pPr>
      <w:pStyle w:val="1R2"/>
      <w:framePr w:wrap="around"/>
      <w:rPr>
        <w:rFonts w:hint="eastAsia"/>
      </w:rPr>
    </w:pPr>
    <w:r>
      <w:t>E/C.</w:t>
    </w:r>
    <w:r>
      <w:rPr>
        <w:rFonts w:hint="eastAsia"/>
      </w:rPr>
      <w:t>12</w:t>
    </w:r>
    <w:r>
      <w:t>/</w:t>
    </w:r>
    <w:r>
      <w:rPr>
        <w:rFonts w:hint="eastAsia"/>
      </w:rPr>
      <w:t>1</w:t>
    </w:r>
    <w:r>
      <w:t>/</w:t>
    </w:r>
    <w:r>
      <w:rPr>
        <w:rFonts w:hint="eastAsia"/>
      </w:rPr>
      <w:t>Add</w:t>
    </w:r>
    <w:r>
      <w:t>.</w:t>
    </w:r>
    <w:r>
      <w:rPr>
        <w:rFonts w:hint="eastAsia"/>
      </w:rPr>
      <w:t>46</w:t>
    </w:r>
  </w:p>
  <w:p w:rsidR="00000000" w:rsidRDefault="00000000">
    <w:pPr>
      <w:pStyle w:val="1R2"/>
      <w:framePr w:wrap="around"/>
    </w:pPr>
    <w:r>
      <w:t>1 September 2000</w:t>
    </w:r>
  </w:p>
  <w:p w:rsidR="00000000" w:rsidRDefault="00000000">
    <w:pPr>
      <w:pStyle w:val="1R2"/>
      <w:framePr w:wrap="around"/>
    </w:pPr>
    <w:r>
      <w:t>CHINESE</w:t>
    </w:r>
  </w:p>
  <w:p w:rsidR="00000000" w:rsidRDefault="00000000">
    <w:pPr>
      <w:pStyle w:val="1R2"/>
      <w:framePr w:wrap="around"/>
    </w:pPr>
    <w:r>
      <w:t>Original:</w:t>
    </w:r>
    <w:r>
      <w:tab/>
      <w:t>ENGLISH</w:t>
    </w:r>
  </w:p>
  <w:p w:rsidR="00000000" w:rsidRDefault="00000000">
    <w:pPr>
      <w:pStyle w:val="a2"/>
    </w:pPr>
  </w:p>
  <w:p w:rsidR="00000000" w:rsidRDefault="00000000">
    <w:pPr>
      <w:pStyle w:val="a2"/>
    </w:pPr>
  </w:p>
  <w:p w:rsidR="00000000" w:rsidRDefault="00000000">
    <w:pPr>
      <w:pStyle w:val="a2"/>
    </w:pPr>
    <w:r>
      <w:pict>
        <v:rect id="_x0000_s1027" style="position:absolute;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a2"/>
    </w:pPr>
    <w:r>
      <w:pict>
        <v:rect id="_x0000_s1028" style="position:absolute;margin-left:-12pt;margin-top:235.85pt;width:492.05pt;height:.05pt;z-index:-2;mso-position-horizontal-relative:margin;mso-position-vertical-relative:page" o:allowincell="f" fillcolor="black" strokeweight="4pt">
          <v:fill color2="black"/>
          <w10:wrap anchorx="margin" anchory="page"/>
        </v:rect>
      </w:pict>
    </w:r>
  </w:p>
  <w:p w:rsidR="00000000" w:rsidRDefault="00000000">
    <w:pPr>
      <w:pStyle w:val="a2"/>
    </w:pPr>
  </w:p>
  <w:p w:rsidR="00000000" w:rsidRDefault="00000000">
    <w:pPr>
      <w:pStyle w:val="a2"/>
    </w:pPr>
  </w:p>
  <w:p w:rsidR="00000000" w:rsidRDefault="00000000">
    <w:pPr>
      <w:pStyle w:val="a2"/>
    </w:pPr>
    <w:r>
      <w:fldChar w:fldCharType="begin"/>
    </w:r>
    <w:r>
      <w:instrText>ADVANCE \Y 252.30</w:instrText>
    </w:r>
    <w:r>
      <w:fldChar w:fldCharType="end"/>
    </w:r>
  </w:p>
  <w:p w:rsidR="00000000" w:rsidRDefault="00000000">
    <w:pPr>
      <w:pStyle w:val="a2"/>
    </w:pPr>
  </w:p>
  <w:p w:rsidR="00000000" w:rsidRDefault="00000000">
    <w:pPr>
      <w:pStyle w:val="a2"/>
    </w:pPr>
  </w:p>
  <w:p w:rsidR="00000000" w:rsidRDefault="00000000">
    <w:pPr>
      <w:pStyle w:val="a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08A4E756"/>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684A63C8"/>
    <w:lvl w:ilvl="0" w:tplc="EAC4FBBC">
      <w:start w:val="1"/>
      <w:numFmt w:val="chineseCountingThousand"/>
      <w:pStyle w:val="a"/>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C92E6F64"/>
    <w:lvl w:ilvl="0">
      <w:start w:val="1"/>
      <w:numFmt w:val="lowerLetter"/>
      <w:lvlText w:val="(%1)"/>
      <w:legacy w:legacy="1" w:legacySpace="0" w:legacyIndent="425"/>
      <w:lvlJc w:val="left"/>
      <w:pPr>
        <w:ind w:left="1446" w:hanging="425"/>
      </w:pPr>
    </w:lvl>
  </w:abstractNum>
  <w:abstractNum w:abstractNumId="3">
    <w:nsid w:val="33BF5892"/>
    <w:multiLevelType w:val="singleLevel"/>
    <w:tmpl w:val="B2E22F84"/>
    <w:lvl w:ilvl="0">
      <w:start w:val="1"/>
      <w:numFmt w:val="chineseCountingThousand"/>
      <w:lvlText w:val="(%1)"/>
      <w:lvlJc w:val="left"/>
      <w:pPr>
        <w:tabs>
          <w:tab w:val="num" w:pos="1021"/>
        </w:tabs>
        <w:ind w:left="1021" w:hanging="511"/>
      </w:pPr>
      <w:rPr>
        <w:rFonts w:hint="eastAsia"/>
        <w:sz w:val="21"/>
      </w:rPr>
    </w:lvl>
  </w:abstractNum>
  <w:abstractNum w:abstractNumId="4">
    <w:nsid w:val="39D90235"/>
    <w:multiLevelType w:val="singleLevel"/>
    <w:tmpl w:val="BD760450"/>
    <w:lvl w:ilvl="0">
      <w:start w:val="1"/>
      <w:numFmt w:val="bullet"/>
      <w:pStyle w:val="a0"/>
      <w:lvlText w:val=""/>
      <w:lvlJc w:val="left"/>
      <w:pPr>
        <w:tabs>
          <w:tab w:val="num" w:pos="510"/>
        </w:tabs>
        <w:ind w:left="510" w:hanging="510"/>
      </w:pPr>
      <w:rPr>
        <w:rFonts w:ascii="Symbol" w:hAnsi="Symbol" w:hint="default"/>
      </w:rPr>
    </w:lvl>
  </w:abstractNum>
  <w:abstractNum w:abstractNumId="5">
    <w:nsid w:val="507317FD"/>
    <w:multiLevelType w:val="singleLevel"/>
    <w:tmpl w:val="7FBA7812"/>
    <w:lvl w:ilvl="0">
      <w:start w:val="1"/>
      <w:numFmt w:val="bullet"/>
      <w:pStyle w:val="a1"/>
      <w:lvlText w:val=""/>
      <w:lvlJc w:val="left"/>
      <w:pPr>
        <w:tabs>
          <w:tab w:val="num" w:pos="510"/>
        </w:tabs>
        <w:ind w:left="510" w:hanging="510"/>
      </w:pPr>
      <w:rPr>
        <w:rFonts w:ascii="Symbol" w:hAnsi="Symbol" w:hint="default"/>
        <w:sz w:val="16"/>
      </w:rPr>
    </w:lvl>
  </w:abstractNum>
  <w:abstractNum w:abstractNumId="6">
    <w:nsid w:val="77350EFD"/>
    <w:multiLevelType w:val="hybridMultilevel"/>
    <w:tmpl w:val="69E6189C"/>
    <w:lvl w:ilvl="0" w:tplc="6FC2CCC8">
      <w:start w:val="1"/>
      <w:numFmt w:val="decimal"/>
      <w:pStyle w:val="1"/>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4"/>
  </w:num>
  <w:num w:numId="4">
    <w:abstractNumId w:val="2"/>
  </w:num>
  <w:num w:numId="5">
    <w:abstractNumId w:val="3"/>
  </w:num>
  <w:num w:numId="6">
    <w:abstractNumId w:val="5"/>
  </w:num>
  <w:num w:numId="7">
    <w:abstractNumId w:val="4"/>
  </w:num>
  <w:num w:numId="8">
    <w:abstractNumId w:val="2"/>
  </w:num>
  <w:num w:numId="9">
    <w:abstractNumId w:val="3"/>
  </w:num>
  <w:num w:numId="10">
    <w:abstractNumId w:val="5"/>
  </w:num>
  <w:num w:numId="11">
    <w:abstractNumId w:val="4"/>
  </w:num>
  <w:num w:numId="12">
    <w:abstractNumId w:val="2"/>
  </w:num>
  <w:num w:numId="13">
    <w:abstractNumId w:val="3"/>
  </w:num>
  <w:num w:numId="14">
    <w:abstractNumId w:val="5"/>
  </w:num>
  <w:num w:numId="15">
    <w:abstractNumId w:val="4"/>
  </w:num>
  <w:num w:numId="16">
    <w:abstractNumId w:val="5"/>
  </w:num>
  <w:num w:numId="17">
    <w:abstractNumId w:val="4"/>
  </w:num>
  <w:num w:numId="18">
    <w:abstractNumId w:val="0"/>
  </w:num>
  <w:num w:numId="19">
    <w:abstractNumId w:val="5"/>
  </w:num>
  <w:num w:numId="20">
    <w:abstractNumId w:val="4"/>
  </w:num>
  <w:num w:numId="21">
    <w:abstractNumId w:val="6"/>
  </w:num>
  <w:num w:numId="22">
    <w:abstractNumId w:val="1"/>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napToGrid/>
      <w:spacing w:val="0"/>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character" w:styleId="PageNumber">
    <w:name w:val="page number"/>
    <w:semiHidden/>
    <w:rPr>
      <w:rFonts w:ascii="Courier New" w:eastAsia="SimSun" w:hAnsi="Courier New"/>
      <w:spacing w:val="0"/>
      <w:w w:val="100"/>
      <w:position w:val="0"/>
      <w:sz w:val="20"/>
    </w:rPr>
  </w:style>
  <w:style w:type="paragraph" w:styleId="FootnoteText">
    <w:name w:val="footnote text"/>
    <w:basedOn w:val="Normal"/>
    <w:semiHidden/>
    <w:pPr>
      <w:widowControl w:val="0"/>
      <w:spacing w:line="288" w:lineRule="auto"/>
      <w:ind w:firstLine="510"/>
    </w:pPr>
    <w:rPr>
      <w:rFonts w:eastAsia="KaiTi_GB2312"/>
      <w:snapToGrid/>
      <w:spacing w:val="0"/>
    </w:rPr>
  </w:style>
  <w:style w:type="character" w:styleId="FootnoteReference">
    <w:name w:val="footnote reference"/>
    <w:semiHidden/>
    <w:rPr>
      <w:rFonts w:ascii="Univers (WN)" w:eastAsia="KaiTi_GB2312" w:hAnsi="Univers (WN)"/>
      <w:color w:val="0000FF"/>
      <w:spacing w:val="0"/>
      <w:vertAlign w:val="superscript"/>
    </w:rPr>
  </w:style>
  <w:style w:type="paragraph" w:customStyle="1" w:styleId="a2">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
    <w:name w:val="悬挂(一)"/>
    <w:basedOn w:val="Normal"/>
    <w:pPr>
      <w:numPr>
        <w:numId w:val="23"/>
      </w:numPr>
      <w:textAlignment w:val="baseline"/>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style>
  <w:style w:type="paragraph" w:customStyle="1" w:styleId="a5">
    <w:name w:val="居中页眉"/>
    <w:basedOn w:val="Header"/>
    <w:pPr>
      <w:tabs>
        <w:tab w:val="left" w:pos="1202"/>
      </w:tabs>
      <w:snapToGrid/>
      <w:spacing w:line="288" w:lineRule="auto"/>
    </w:pPr>
  </w:style>
  <w:style w:type="paragraph" w:customStyle="1" w:styleId="a6">
    <w:name w:val="悬挂"/>
    <w:basedOn w:val="Normal"/>
    <w:pPr>
      <w:widowControl w:val="0"/>
      <w:ind w:left="1531" w:hanging="510"/>
    </w:pPr>
  </w:style>
  <w:style w:type="paragraph" w:customStyle="1" w:styleId="a1">
    <w:name w:val="悬挂符号－"/>
    <w:basedOn w:val="a6"/>
    <w:pPr>
      <w:numPr>
        <w:numId w:val="19"/>
      </w:numPr>
      <w:tabs>
        <w:tab w:val="clear" w:pos="510"/>
      </w:tabs>
    </w:pPr>
  </w:style>
  <w:style w:type="paragraph" w:customStyle="1" w:styleId="a7">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0">
    <w:name w:val="悬挂符号●"/>
    <w:basedOn w:val="Normal"/>
    <w:pPr>
      <w:widowControl w:val="0"/>
      <w:numPr>
        <w:numId w:val="20"/>
      </w:numPr>
      <w:tabs>
        <w:tab w:val="clear" w:pos="510"/>
      </w:tabs>
    </w:pPr>
  </w:style>
  <w:style w:type="paragraph" w:customStyle="1" w:styleId="x">
    <w:name w:val="悬挂[(x)"/>
    <w:basedOn w:val="Normal"/>
    <w:pPr>
      <w:widowControl w:val="0"/>
      <w:ind w:left="1531" w:hanging="595"/>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1">
    <w:name w:val="悬挂(1)"/>
    <w:basedOn w:val="Normal"/>
    <w:pPr>
      <w:numPr>
        <w:numId w:val="21"/>
      </w:numPr>
      <w:textAlignment w:val="baseline"/>
    </w:pPr>
    <w:rPr>
      <w:position w:val="2"/>
    </w:rPr>
  </w:style>
  <w:style w:type="paragraph" w:customStyle="1" w:styleId="x0">
    <w:name w:val="悬挂“(x)"/>
    <w:basedOn w:val="Normal"/>
    <w:pPr>
      <w:widowControl w:val="0"/>
      <w:adjustRightInd/>
      <w:ind w:left="1531" w:hanging="794"/>
    </w:pPr>
  </w:style>
  <w:style w:type="character" w:styleId="EndnoteReference">
    <w:name w:val="endnote reference"/>
    <w:semiHidden/>
    <w:rPr>
      <w:rFonts w:ascii="Univers (WN)" w:eastAsia="KaiTi_GB2312" w:hAnsi="Univers (WN)"/>
      <w:color w:val="0000FF"/>
      <w:spacing w:val="0"/>
      <w:vertAlign w:val="superscript"/>
    </w:rPr>
  </w:style>
  <w:style w:type="paragraph" w:customStyle="1" w:styleId="a8">
    <w:name w:val="黑体标题"/>
    <w:next w:val="Normal"/>
    <w:pPr>
      <w:keepNext/>
      <w:keepLines/>
      <w:widowControl w:val="0"/>
      <w:adjustRightInd w:val="0"/>
      <w:spacing w:after="320" w:line="336" w:lineRule="auto"/>
      <w:jc w:val="center"/>
      <w:textAlignment w:val="baseline"/>
    </w:pPr>
    <w:rPr>
      <w:rFonts w:eastAsia="SimHei"/>
      <w:spacing w:val="10"/>
      <w:kern w:val="24"/>
      <w:sz w:val="24"/>
      <w:lang w:val="en-US" w:eastAsia="zh-CN"/>
    </w:rPr>
  </w:style>
  <w:style w:type="paragraph" w:customStyle="1" w:styleId="a9">
    <w:name w:val="黑体"/>
    <w:next w:val="Normal"/>
    <w:pPr>
      <w:widowControl w:val="0"/>
      <w:adjustRightInd w:val="0"/>
      <w:spacing w:line="336" w:lineRule="auto"/>
      <w:jc w:val="both"/>
      <w:textAlignment w:val="baseline"/>
    </w:pPr>
    <w:rPr>
      <w:rFonts w:eastAsia="SimHei"/>
      <w:sz w:val="24"/>
      <w:lang w:val="en-US" w:eastAsia="zh-CN"/>
    </w:rPr>
  </w:style>
  <w:style w:type="paragraph" w:customStyle="1" w:styleId="aa">
    <w:name w:val="楷体"/>
    <w:basedOn w:val="Normal"/>
    <w:pPr>
      <w:widowControl w:val="0"/>
    </w:pPr>
    <w:rPr>
      <w:rFonts w:eastAsia="KaiTi_GB2312"/>
      <w:snapToGrid/>
      <w:spacing w:val="0"/>
    </w:rPr>
  </w:style>
  <w:style w:type="paragraph" w:customStyle="1" w:styleId="ab">
    <w:name w:val="表中文字"/>
    <w:basedOn w:val="Normal"/>
    <w:pPr>
      <w:spacing w:line="320" w:lineRule="exact"/>
    </w:pPr>
    <w:rPr>
      <w:spacing w:val="0"/>
      <w:sz w:val="21"/>
    </w:rPr>
  </w:style>
  <w:style w:type="paragraph" w:customStyle="1" w:styleId="ac">
    <w:name w:val="横眉"/>
    <w:basedOn w:val="Header"/>
    <w:autoRedefine/>
    <w:pPr>
      <w:tabs>
        <w:tab w:val="left" w:pos="1202"/>
      </w:tabs>
      <w:snapToGrid/>
      <w:spacing w:line="160" w:lineRule="exact"/>
    </w:pPr>
  </w:style>
  <w:style w:type="paragraph" w:customStyle="1" w:styleId="ad">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styleId="BodyText">
    <w:name w:val="Body Text"/>
    <w:basedOn w:val="Normal"/>
    <w:semiHidden/>
    <w:pPr>
      <w:widowControl w:val="0"/>
    </w:pPr>
    <w:rPr>
      <w:snapToGrid/>
    </w:rPr>
  </w:style>
  <w:style w:type="paragraph" w:customStyle="1" w:styleId="cdL1">
    <w:name w:val="cdL1"/>
    <w:basedOn w:val="Normal"/>
    <w:pPr>
      <w:widowControl w:val="0"/>
      <w:tabs>
        <w:tab w:val="left" w:pos="510"/>
      </w:tabs>
    </w:pPr>
    <w:rPr>
      <w:snapToGrid/>
      <w:spacing w:val="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53</TotalTime>
  <Pages>1</Pages>
  <Words>485</Words>
  <Characters>2768</Characters>
  <Application>Microsoft Office Word</Application>
  <DocSecurity>4</DocSecurity>
  <Lines>23</Lines>
  <Paragraphs>5</Paragraphs>
  <ScaleCrop>false</ScaleCrop>
  <HeadingPairs>
    <vt:vector size="4" baseType="variant">
      <vt:variant>
        <vt:lpstr>题目</vt:lpstr>
      </vt:variant>
      <vt:variant>
        <vt:i4>1</vt:i4>
      </vt:variant>
      <vt:variant>
        <vt:lpstr>标题</vt:lpstr>
      </vt:variant>
      <vt:variant>
        <vt:i4>8</vt:i4>
      </vt:variant>
    </vt:vector>
  </HeadingPairs>
  <TitlesOfParts>
    <vt:vector size="9" baseType="lpstr">
      <vt:lpstr>E.dot</vt:lpstr>
      <vt:lpstr>    审议缔约国根据《公约》第16和17条提交的报告</vt:lpstr>
      <vt:lpstr>        经济、社会、文化权利委员会的结论性意见</vt:lpstr>
      <vt:lpstr>    约  旦</vt:lpstr>
      <vt:lpstr>        A.  导  言</vt:lpstr>
      <vt:lpstr>        B.  积极的方面</vt:lpstr>
      <vt:lpstr>        C.  妨碍执行《公约》的因素和困难</vt:lpstr>
      <vt:lpstr>        D.  令人关注的主要问题</vt:lpstr>
      <vt:lpstr>        E.  建  议</vt:lpstr>
    </vt:vector>
  </TitlesOfParts>
  <Company>ONU</Company>
  <LinksUpToDate>false</LinksUpToDate>
  <CharactersWithSpaces>3399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WUCC</dc:creator>
  <cp:keywords/>
  <cp:lastModifiedBy>TPS</cp:lastModifiedBy>
  <cp:revision>9</cp:revision>
  <cp:lastPrinted>2000-09-15T09:21:00Z</cp:lastPrinted>
  <dcterms:created xsi:type="dcterms:W3CDTF">2000-09-15T08:39:00Z</dcterms:created>
  <dcterms:modified xsi:type="dcterms:W3CDTF">2000-09-15T10:19:00Z</dcterms:modified>
</cp:coreProperties>
</file>