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27A1" w:rsidRDefault="003127A1" w:rsidP="003127A1">
      <w:pPr>
        <w:spacing w:line="60" w:lineRule="exact"/>
        <w:sectPr w:rsidR="003127A1" w:rsidSect="003127A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1-2 Size =1Lang = C"/>
            <w10:wrap anchorx="page" anchory="page"/>
          </v:shape>
        </w:pict>
      </w:r>
      <w:commentRangeEnd w:id="0"/>
      <w:r>
        <w:rPr>
          <w:rStyle w:val="CommentReference"/>
        </w:rPr>
        <w:commentReference w:id="0"/>
      </w:r>
    </w:p>
    <w:p w:rsidR="003127A1" w:rsidRDefault="003127A1" w:rsidP="003127A1">
      <w:pPr>
        <w:spacing w:line="60" w:lineRule="exact"/>
        <w:rPr>
          <w:rFonts w:hint="eastAsia"/>
        </w:rPr>
      </w:pPr>
    </w:p>
    <w:p w:rsidR="005E0E69" w:rsidRDefault="005E0E69" w:rsidP="005E0E6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5E0E69" w:rsidRPr="005E0E69" w:rsidRDefault="005E0E69" w:rsidP="005E0E6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E0E69" w:rsidRPr="005E0E69" w:rsidRDefault="005E0E69" w:rsidP="005E0E6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E0E69" w:rsidRPr="005E0E69" w:rsidRDefault="005E0E69" w:rsidP="005E0E6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E0E69" w:rsidRPr="005E0E69" w:rsidRDefault="005E0E69" w:rsidP="005E0E6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pacing w:val="-4"/>
        </w:rPr>
      </w:pPr>
      <w:r>
        <w:rPr>
          <w:rFonts w:hint="eastAsia"/>
        </w:rPr>
        <w:tab/>
      </w:r>
      <w:r>
        <w:rPr>
          <w:rFonts w:hint="eastAsia"/>
        </w:rPr>
        <w:tab/>
      </w:r>
      <w:r w:rsidRPr="005E0E69">
        <w:rPr>
          <w:rFonts w:hint="eastAsia"/>
          <w:spacing w:val="-4"/>
        </w:rPr>
        <w:t>斯威士兰第一次和第二次合并定期报告所涉议题和问题清单</w:t>
      </w:r>
      <w:r w:rsidRPr="005E0E69">
        <w:rPr>
          <w:rFonts w:ascii="Times New Roman"/>
          <w:spacing w:val="-4"/>
          <w:vertAlign w:val="superscript"/>
        </w:rPr>
        <w:t>*</w:t>
      </w:r>
    </w:p>
    <w:p w:rsidR="005E0E69" w:rsidRP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E0E69" w:rsidRP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《公约》的法律地位以及宪法和政策框架</w:t>
      </w:r>
    </w:p>
    <w:p w:rsidR="005E0E69" w:rsidRPr="005E0E69" w:rsidRDefault="005E0E69" w:rsidP="005E0E69">
      <w:pPr>
        <w:pStyle w:val="SingleTxt"/>
        <w:spacing w:after="0" w:line="120" w:lineRule="exact"/>
        <w:rPr>
          <w:rFonts w:hint="eastAsia"/>
          <w:sz w:val="10"/>
        </w:rPr>
      </w:pPr>
    </w:p>
    <w:p w:rsidR="005E0E69" w:rsidRPr="005E0E69" w:rsidRDefault="005E0E69" w:rsidP="005E0E69">
      <w:pPr>
        <w:pStyle w:val="SingleTxt"/>
        <w:spacing w:after="0" w:line="120" w:lineRule="exact"/>
        <w:rPr>
          <w:rFonts w:hint="eastAsia"/>
          <w:sz w:val="10"/>
        </w:rPr>
      </w:pPr>
    </w:p>
    <w:p w:rsidR="005E0E69" w:rsidRDefault="005E0E69" w:rsidP="005E0E69">
      <w:pPr>
        <w:pStyle w:val="SingleTxt"/>
        <w:rPr>
          <w:rFonts w:hint="eastAsia"/>
        </w:rPr>
      </w:pPr>
      <w:r>
        <w:rPr>
          <w:rFonts w:hint="eastAsia"/>
        </w:rPr>
        <w:t>1.</w:t>
      </w:r>
      <w:r>
        <w:rPr>
          <w:rFonts w:hint="eastAsia"/>
        </w:rPr>
        <w:tab/>
        <w:t>请说明《公约》及其他国际人权文书在国家法律制度中的地位。如果有国内法庭曾使用《公约》来解释缔约国本国的法律，请提供实例。采取了什么措施来消除成文法与歧视妇女和女孩的习惯法和做法之间的不一致？</w:t>
      </w:r>
    </w:p>
    <w:p w:rsidR="005E0E69" w:rsidRDefault="005E0E69" w:rsidP="005E0E69">
      <w:pPr>
        <w:pStyle w:val="SingleTxt"/>
        <w:rPr>
          <w:rFonts w:hint="eastAsia"/>
        </w:rPr>
      </w:pPr>
      <w:r>
        <w:rPr>
          <w:rFonts w:hint="eastAsia"/>
        </w:rPr>
        <w:t>2.</w:t>
      </w:r>
      <w:r>
        <w:rPr>
          <w:rFonts w:hint="eastAsia"/>
        </w:rPr>
        <w:tab/>
        <w:t>报告为《公约》第二十条所述歧视下了定义，并说明了禁止歧视的依据(第1.2.1和1.2.2段)。</w:t>
      </w:r>
      <w:r>
        <w:rPr>
          <w:rStyle w:val="FootnoteReference"/>
        </w:rPr>
        <w:footnoteReference w:id="1"/>
      </w:r>
      <w:r>
        <w:rPr>
          <w:rFonts w:hint="eastAsia"/>
        </w:rPr>
        <w:t xml:space="preserve"> 请解释为什么把歧视定义所列举的予以禁止的歧视理由作为全部理由，但其中不包括《公约》第一条所述性别和婚姻状况理由。请说明对歧视妇女的行为规定的处罚、处罚的性质和实施情况、由于歧视而权利受到侵犯的妇女可以得到哪些补救。请说明采取以下立法和政策措施方面的最新进展情况：婚姻法案、遗产法案的实施、契据登记方案、跨国犯罪法案、儿童司法法案、就业法案、性犯罪和家庭暴力法案(第1.6.2、2.5.1、6.8.1.2和11.7.4.7段)、国家性别平等政策草案和国家土地政策草案。</w:t>
      </w:r>
    </w:p>
    <w:p w:rsid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提高妇女地位的国家机制</w:t>
      </w:r>
    </w:p>
    <w:p w:rsidR="005E0E69" w:rsidRPr="005E0E69" w:rsidRDefault="005E0E69" w:rsidP="005E0E69">
      <w:pPr>
        <w:pStyle w:val="SingleTxt"/>
        <w:spacing w:after="0" w:line="120" w:lineRule="exact"/>
        <w:rPr>
          <w:rFonts w:hint="eastAsia"/>
          <w:sz w:val="10"/>
        </w:rPr>
      </w:pPr>
    </w:p>
    <w:p w:rsidR="005E0E69" w:rsidRDefault="005E0E69" w:rsidP="005E0E69">
      <w:pPr>
        <w:pStyle w:val="SingleTxt"/>
        <w:rPr>
          <w:rFonts w:hint="eastAsia"/>
        </w:rPr>
      </w:pPr>
      <w:r>
        <w:rPr>
          <w:rFonts w:hint="eastAsia"/>
        </w:rPr>
        <w:t>3.</w:t>
      </w:r>
      <w:r>
        <w:rPr>
          <w:rFonts w:hint="eastAsia"/>
        </w:rPr>
        <w:tab/>
        <w:t>性别平等协调组是负责提高妇女地位的国家机制，正如报告指出，该机构“人力资源和财政资源都极为不足”，而且“利用不同部门内的性别平等问题协调人的办法实行起来也有困难，因为被指派进行性别平等工作的官员已经有自己的职务和责任”，这些职务和责任优先于他们为性别平等协调组从事的工作(第一部分，第3.7.8和3.7.9段)。请说明：采取了哪些具体步骤来改进对性别平等协调组的预算和人力资源分配，并克服性别平等协调人引起的困难；在何种程度上把性别平等问题纳入了所有政府机构的主流；民间社会组织为在缔约国促进妇女权益所发挥的作用。请说明国家性别平等政策的起草工作在何种程度上考虑到性别平等协调组于2006年进行的情况分析，并说明这项政策在何种程度上把与公平原则相对的平等原则作为一个主要特征(第3.3.7段)。</w:t>
      </w:r>
    </w:p>
    <w:p w:rsid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司法救助</w:t>
      </w:r>
    </w:p>
    <w:p w:rsidR="005E0E69" w:rsidRPr="005E0E69" w:rsidRDefault="005E0E69" w:rsidP="005E0E69">
      <w:pPr>
        <w:pStyle w:val="SingleTxt"/>
        <w:spacing w:after="0" w:line="120" w:lineRule="exact"/>
        <w:rPr>
          <w:rFonts w:hint="eastAsia"/>
          <w:sz w:val="10"/>
        </w:rPr>
      </w:pPr>
    </w:p>
    <w:p w:rsidR="005E0E69" w:rsidRDefault="005E0E69" w:rsidP="005E0E69">
      <w:pPr>
        <w:pStyle w:val="SingleTxt"/>
        <w:rPr>
          <w:rFonts w:hint="eastAsia"/>
        </w:rPr>
      </w:pPr>
      <w:r>
        <w:rPr>
          <w:rFonts w:hint="eastAsia"/>
        </w:rPr>
        <w:t>4.</w:t>
      </w:r>
      <w:r>
        <w:rPr>
          <w:rFonts w:hint="eastAsia"/>
        </w:rPr>
        <w:tab/>
        <w:t xml:space="preserve">报告表示，“妇女普遍得不到司法救助”，缔约国没有全国法律援助系统，贫穷妇女付不起昂贵的私人法律代理(第15.5.5段)。请说明正在采取何种具体措施，以建立一个法律援助系统，来协助缔约国内的妇女获得司法救助。正在进行哪些努力来加强司法机关、教育部门、民间社会和公众与性别平等和妇女权利有关的能力和知识？ </w:t>
      </w:r>
    </w:p>
    <w:p w:rsid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临时特别措施</w:t>
      </w:r>
    </w:p>
    <w:p w:rsidR="005E0E69" w:rsidRPr="005E0E69" w:rsidRDefault="005E0E69" w:rsidP="005E0E69">
      <w:pPr>
        <w:pStyle w:val="SingleTxt"/>
        <w:spacing w:after="0" w:line="120" w:lineRule="exact"/>
        <w:rPr>
          <w:rFonts w:hint="eastAsia"/>
          <w:sz w:val="10"/>
        </w:rPr>
      </w:pPr>
    </w:p>
    <w:p w:rsidR="005E0E69" w:rsidRDefault="005E0E69" w:rsidP="005E0E69">
      <w:pPr>
        <w:pStyle w:val="SingleTxt"/>
        <w:rPr>
          <w:rFonts w:hint="eastAsia"/>
        </w:rPr>
      </w:pPr>
      <w:r>
        <w:rPr>
          <w:rFonts w:hint="eastAsia"/>
        </w:rPr>
        <w:t>5.</w:t>
      </w:r>
      <w:r>
        <w:rPr>
          <w:rFonts w:hint="eastAsia"/>
        </w:rPr>
        <w:tab/>
        <w:t>报告确认，缔约国尽管没有“一项旨在加快实现男女平等的具体和全面政策”，但有一些政策文件，例如国家发展战略和减贫战略及行动计划，已确认需要执行专门以妇女为对象的特别方案(第4.2和4.3段)。请说明所设想的临时特别措施的性质，并说明将在什么时候出台这些措施，用以补充《宪法》规定的与妇女在议会席位中所占比例有关的措施(第4.4段)。现有哪些措施用来使人们更为理解提高妇女地位的积极措施，并促进临时特别措施在缔约国内的实施？</w:t>
      </w:r>
    </w:p>
    <w:p w:rsid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定型观念和有害做法</w:t>
      </w:r>
    </w:p>
    <w:p w:rsidR="005E0E69" w:rsidRPr="005E0E69" w:rsidRDefault="005E0E69" w:rsidP="005E0E69">
      <w:pPr>
        <w:pStyle w:val="SingleTxt"/>
        <w:spacing w:after="0" w:line="120" w:lineRule="exact"/>
        <w:rPr>
          <w:rFonts w:hint="eastAsia"/>
          <w:sz w:val="10"/>
        </w:rPr>
      </w:pPr>
    </w:p>
    <w:p w:rsidR="005E0E69" w:rsidRDefault="005E0E69" w:rsidP="005E0E69">
      <w:pPr>
        <w:pStyle w:val="SingleTxt"/>
        <w:rPr>
          <w:rFonts w:hint="eastAsia"/>
        </w:rPr>
      </w:pPr>
      <w:r>
        <w:rPr>
          <w:rFonts w:hint="eastAsia"/>
        </w:rPr>
        <w:t>6.</w:t>
      </w:r>
      <w:r>
        <w:rPr>
          <w:rFonts w:hint="eastAsia"/>
        </w:rPr>
        <w:tab/>
        <w:t>请说明是否实行任何综合战略或举措，以消除普遍存在于社会和媒体当中的“定型的角色观念和不平等的性别关系”(第5.2.4段)。正在采取何种措施，消除把女孩宣传为以照顾他人为本分，并使其无论在婚姻中遇到何种问题，都接受家庭暴力和进行“忍耐”的定型观念(第5.2.3和5.2.6段)？ 请说明传统领袖和民间社会组织在消除缔约国内的传统定型观念和有害做法方面所发挥的作用(第3.5.3和3.5.4段)。</w:t>
      </w:r>
    </w:p>
    <w:p w:rsidR="005E0E69" w:rsidRDefault="005E0E69" w:rsidP="005E0E69">
      <w:pPr>
        <w:pStyle w:val="SingleTxt"/>
        <w:rPr>
          <w:rFonts w:hint="eastAsia"/>
        </w:rPr>
      </w:pPr>
      <w:r>
        <w:rPr>
          <w:rFonts w:hint="eastAsia"/>
        </w:rPr>
        <w:t>7.</w:t>
      </w:r>
      <w:r>
        <w:rPr>
          <w:rFonts w:hint="eastAsia"/>
        </w:rPr>
        <w:tab/>
        <w:t>请说明为杜绝不适用于男子的寡妇悼亡仪式这个传统做法所采取的措施(第5.3.6段)。请说明《宪法》中关于防止社会“强迫妇女忍受或维护她在良心上反对的任何习俗”的规定在何种程度上为妇女所援用，或得到传统领袖们的遵守(第5.5.8条)。</w:t>
      </w:r>
    </w:p>
    <w:p w:rsid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暴力侵害妇女</w:t>
      </w:r>
    </w:p>
    <w:p w:rsidR="005E0E69" w:rsidRPr="005E0E69" w:rsidRDefault="005E0E69" w:rsidP="005E0E69">
      <w:pPr>
        <w:pStyle w:val="SingleTxt"/>
        <w:spacing w:after="0" w:line="120" w:lineRule="exact"/>
        <w:rPr>
          <w:rFonts w:hint="eastAsia"/>
          <w:sz w:val="10"/>
        </w:rPr>
      </w:pPr>
    </w:p>
    <w:p w:rsidR="005E0E69" w:rsidRDefault="005E0E69" w:rsidP="005E0E69">
      <w:pPr>
        <w:pStyle w:val="SingleTxt"/>
        <w:rPr>
          <w:rFonts w:hint="eastAsia"/>
        </w:rPr>
      </w:pPr>
      <w:r>
        <w:rPr>
          <w:rFonts w:hint="eastAsia"/>
        </w:rPr>
        <w:t>8.</w:t>
      </w:r>
      <w:r>
        <w:rPr>
          <w:rFonts w:hint="eastAsia"/>
        </w:rPr>
        <w:tab/>
        <w:t>请说明暴力侵害妇女问题，包括家暴的严重程度。报告说，受害妇女关于家暴的投诉现在更为引人注意，而且缔约国提供庇护所、热线和提高认识的宣传材料(第5.5.7段)。请说明提供的庇护所、发出的保护令和开设的热线数目。这些服务是否经过协调，而且24小时提供？如果是，由谁负责？服务提供者是否定期接受关于性别暴力问题的培训？正在采取何种措施来把婚内强奸定为犯罪(第15.5.4段)以及处理严重的强奸儿童和乱伦问题？采取了什么措施来建立性暴力和家暴监测机构？关于性犯罪和家暴的法案是否把性骚扰包括在内？</w:t>
      </w:r>
    </w:p>
    <w:p w:rsid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贩运和剥削妓女</w:t>
      </w:r>
    </w:p>
    <w:p w:rsidR="005E0E69" w:rsidRPr="005E0E69" w:rsidRDefault="005E0E69" w:rsidP="005E0E69">
      <w:pPr>
        <w:pStyle w:val="SingleTxt"/>
        <w:spacing w:after="0" w:line="120" w:lineRule="exact"/>
        <w:rPr>
          <w:rFonts w:hint="eastAsia"/>
          <w:sz w:val="10"/>
        </w:rPr>
      </w:pPr>
    </w:p>
    <w:p w:rsidR="005E0E69" w:rsidRDefault="005E0E69" w:rsidP="005E0E69">
      <w:pPr>
        <w:pStyle w:val="SingleTxt"/>
        <w:rPr>
          <w:rFonts w:hint="eastAsia"/>
        </w:rPr>
      </w:pPr>
      <w:r>
        <w:rPr>
          <w:rFonts w:hint="eastAsia"/>
        </w:rPr>
        <w:t>9.</w:t>
      </w:r>
      <w:r>
        <w:rPr>
          <w:rFonts w:hint="eastAsia"/>
        </w:rPr>
        <w:tab/>
        <w:t>鉴于缔约国据报告是人口贩运的来源国、目的地国和过境国，请说明这种贩运的问题严重性。报告表示，对人口贩运问题的研究很少，也没有适当的报告办法(第6.2.1段)。请说明当前采取了什么措施来收集数据和统计数字，制定打击人口贩运，尤其是贩运妇女和女孩行径的方案，并建立相关体制，例如贩运受害者转介救助机制。采取了什么措施，不再以违反移民法的罪名起诉贩运受害者(第6.7.2</w:t>
      </w:r>
      <w:r w:rsidR="00437ACD">
        <w:rPr>
          <w:rFonts w:hint="eastAsia"/>
        </w:rPr>
        <w:t>段</w:t>
      </w:r>
      <w:r>
        <w:rPr>
          <w:rFonts w:hint="eastAsia"/>
        </w:rPr>
        <w:t>)？请提供关于采取措施，起草2009年《禁止人口贩运和人口走私法》修正案，以使外籍贩运受害者能够获得永久居留权的最新情况。此外，实行了什么措施来解决缔约国境内贩运人口，尤其是贩运妇女和女孩作为家奴的问题？</w:t>
      </w:r>
    </w:p>
    <w:p w:rsidR="005E0E69" w:rsidRDefault="005E0E69" w:rsidP="005E0E69">
      <w:pPr>
        <w:pStyle w:val="SingleTxt"/>
        <w:rPr>
          <w:rFonts w:hint="eastAsia"/>
        </w:rPr>
      </w:pPr>
      <w:r>
        <w:rPr>
          <w:rFonts w:hint="eastAsia"/>
        </w:rPr>
        <w:t>10.</w:t>
      </w:r>
      <w:r>
        <w:rPr>
          <w:rFonts w:hint="eastAsia"/>
        </w:rPr>
        <w:tab/>
        <w:t>报告表示，缔约国内的卖淫妇女遭受各种形式的暴力，使得她们更易于感染艾滋病毒和其他性病(第6.6.2和6.6.3段)。请说明为保护卖淫妇女，使其免遭暴力所采取的具体措施。正在根据《女孩和妇女保护法》采取哪些措施，使得妇女看来从事卖淫不再成为强奸案中可以认可的辩护理由？</w:t>
      </w:r>
    </w:p>
    <w:p w:rsid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参与政治和公共生活</w:t>
      </w:r>
    </w:p>
    <w:p w:rsidR="005E0E69" w:rsidRPr="005E0E69" w:rsidRDefault="005E0E69" w:rsidP="005E0E69">
      <w:pPr>
        <w:pStyle w:val="SingleTxt"/>
        <w:spacing w:after="0" w:line="120" w:lineRule="exact"/>
        <w:rPr>
          <w:rFonts w:hint="eastAsia"/>
          <w:sz w:val="10"/>
        </w:rPr>
      </w:pPr>
    </w:p>
    <w:p w:rsidR="005E0E69" w:rsidRDefault="005E0E69" w:rsidP="005E0E69">
      <w:pPr>
        <w:pStyle w:val="SingleTxt"/>
        <w:rPr>
          <w:rFonts w:hint="eastAsia"/>
        </w:rPr>
      </w:pPr>
      <w:r>
        <w:rPr>
          <w:rFonts w:hint="eastAsia"/>
        </w:rPr>
        <w:t>11.</w:t>
      </w:r>
      <w:r>
        <w:rPr>
          <w:rFonts w:hint="eastAsia"/>
        </w:rPr>
        <w:tab/>
        <w:t>报告表示，议会和代议机构中的妇女比例仍然很低(第7.4段)。请说明2013年9月选举期间当选和就任议会议员的妇女人数。请解释禁止政党参与的部落居住区选举制度如何影响妇女当选政治职务。此外，请说明当前为确保妇女在公共和私人生活领域决策机构中的参与，尤其是在公务员、国际组织、地方政府、司法机关和私人公司决策机构中的参与所采取的具体措施。</w:t>
      </w:r>
    </w:p>
    <w:p w:rsid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国民身份</w:t>
      </w:r>
    </w:p>
    <w:p w:rsidR="005E0E69" w:rsidRPr="005E0E69" w:rsidRDefault="005E0E69" w:rsidP="005E0E69">
      <w:pPr>
        <w:pStyle w:val="SingleTxt"/>
        <w:spacing w:after="0" w:line="120" w:lineRule="exact"/>
        <w:rPr>
          <w:rFonts w:hint="eastAsia"/>
          <w:sz w:val="10"/>
        </w:rPr>
      </w:pPr>
    </w:p>
    <w:p w:rsidR="005E0E69" w:rsidRDefault="005E0E69" w:rsidP="005E0E69">
      <w:pPr>
        <w:pStyle w:val="SingleTxt"/>
        <w:rPr>
          <w:rFonts w:hint="eastAsia"/>
        </w:rPr>
      </w:pPr>
      <w:r>
        <w:rPr>
          <w:rFonts w:hint="eastAsia"/>
        </w:rPr>
        <w:t>12.</w:t>
      </w:r>
      <w:r>
        <w:rPr>
          <w:rFonts w:hint="eastAsia"/>
        </w:rPr>
        <w:tab/>
        <w:t>请说明采取了什么措施来修订《宪法》和《公民法》，以修改限制斯威士兰妇女把公民身份传给父亲是外国人的子女的歧视性条款(第9.4.2和9.4.3段)。正在采取何种措施，以制定关于同斯威士兰妇女结婚的外籍男子获得公民身份的法律，从而使斯威士兰妇女可以平等享有和斯威士兰男子(同他们结婚的外籍妇女自动获得公民身份)一样的权利(第9.4.6和9.4.7段)？请说明为减轻得不到父亲承认的子女成为无国籍人的风险所采取的措施(第9.4.5段)。</w:t>
      </w:r>
    </w:p>
    <w:p w:rsid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教育</w:t>
      </w:r>
    </w:p>
    <w:p w:rsidR="005E0E69" w:rsidRPr="005E0E69" w:rsidRDefault="005E0E69" w:rsidP="005E0E69">
      <w:pPr>
        <w:pStyle w:val="SingleTxt"/>
        <w:spacing w:after="0" w:line="120" w:lineRule="exact"/>
        <w:rPr>
          <w:rFonts w:hint="eastAsia"/>
          <w:sz w:val="10"/>
        </w:rPr>
      </w:pPr>
    </w:p>
    <w:p w:rsidR="005E0E69" w:rsidRDefault="005E0E69" w:rsidP="005E0E69">
      <w:pPr>
        <w:pStyle w:val="SingleTxt"/>
        <w:rPr>
          <w:rFonts w:hint="eastAsia"/>
        </w:rPr>
      </w:pPr>
      <w:r>
        <w:rPr>
          <w:rFonts w:hint="eastAsia"/>
        </w:rPr>
        <w:t>13.</w:t>
      </w:r>
      <w:r>
        <w:rPr>
          <w:rFonts w:hint="eastAsia"/>
        </w:rPr>
        <w:tab/>
        <w:t xml:space="preserve">报告表示，性别平等与妇女问题委员会在1996年进行的一次评估揭示，女孩和男孩在中学科目选择上有所不同，女孩大多避免科学科目(第10.11.1段)。请说明当前为增加学习科学科目的女生人数所采取的措施。还请说明这些教育选择最终对妇女就业，尤其是在职业隔离方面造成的影响。正在采取何种措施，以增加教育部门行政管理职位上的妇女人数(第10.12.1段)？缔约国寻求解决教育环境中的性别定型观念和性别暴力问题的力度有多大？ </w:t>
      </w:r>
    </w:p>
    <w:p w:rsid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就业</w:t>
      </w:r>
    </w:p>
    <w:p w:rsidR="005E0E69" w:rsidRPr="005E0E69" w:rsidRDefault="005E0E69" w:rsidP="005E0E69">
      <w:pPr>
        <w:pStyle w:val="SingleTxt"/>
        <w:spacing w:after="0" w:line="120" w:lineRule="exact"/>
        <w:rPr>
          <w:rFonts w:hint="eastAsia"/>
          <w:sz w:val="10"/>
        </w:rPr>
      </w:pPr>
    </w:p>
    <w:p w:rsidR="005E0E69" w:rsidRDefault="005E0E69" w:rsidP="005E0E69">
      <w:pPr>
        <w:pStyle w:val="SingleTxt"/>
        <w:rPr>
          <w:rFonts w:hint="eastAsia"/>
        </w:rPr>
      </w:pPr>
      <w:r>
        <w:rPr>
          <w:rFonts w:hint="eastAsia"/>
        </w:rPr>
        <w:t>14.</w:t>
      </w:r>
      <w:r>
        <w:rPr>
          <w:rFonts w:hint="eastAsia"/>
        </w:rPr>
        <w:tab/>
        <w:t>报告显示，妇女和男子的工资收入存在性别差别，而且妇女在“农业、矿井和露天采矿以及建筑行业”就业过低(第11.5.1和11.6.1段)。报告说，“妇女集中在与社会服务、半熟练和非熟练工种相关的行业和技能水平”(第11.6.2段)。请说明为消除性别差距和男女职业隔离所采取的各种措施。采取了什么措施来增加妇女在非传统和收入较高的领域中的就业？此外，请说明采取了哪些措施来消除妇女在获得就业福利方面的障碍，例如要求根据习惯法结婚的妇女提供结婚证来证明已婚，以及在丈夫去世后被亲属抢走就业福利(第13.2.3段)。</w:t>
      </w:r>
    </w:p>
    <w:p w:rsidR="005E0E69" w:rsidRDefault="005E0E69" w:rsidP="005E0E69">
      <w:pPr>
        <w:pStyle w:val="SingleTxt"/>
        <w:rPr>
          <w:rFonts w:hint="eastAsia"/>
        </w:rPr>
      </w:pPr>
      <w:r>
        <w:rPr>
          <w:rFonts w:hint="eastAsia"/>
        </w:rPr>
        <w:t>15.</w:t>
      </w:r>
      <w:r>
        <w:rPr>
          <w:rFonts w:hint="eastAsia"/>
        </w:rPr>
        <w:tab/>
        <w:t>报告说，尽管1980年《就业法》规定了12个星期的产假，但政府和私营部门对法律的适用情况有所不同，后者仅给雇员2个星期的全薪产假(第11.7.4.5段)。报告还说，多数妇女就业于小企业和非正式部门，其劳工权利没有得到执行(第13.2.3段)。请说明当前正在采取什么措施，以强制执行劳工法，特别是有关产假的法律，确保在公共和私营部门就业的妇女享有同样的产妇福利。此外，请提供最新资料，说明是否已经建立根据就业法案拟议建立、旨在保证于产假期间足额支付福利金的失业保险基金(第11.7.4.7段)。</w:t>
      </w:r>
    </w:p>
    <w:p w:rsid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保健</w:t>
      </w:r>
    </w:p>
    <w:p w:rsidR="005E0E69" w:rsidRPr="005E0E69" w:rsidRDefault="005E0E69" w:rsidP="005E0E69">
      <w:pPr>
        <w:pStyle w:val="SingleTxt"/>
        <w:spacing w:after="0" w:line="120" w:lineRule="exact"/>
        <w:rPr>
          <w:rFonts w:hint="eastAsia"/>
          <w:sz w:val="10"/>
        </w:rPr>
      </w:pPr>
    </w:p>
    <w:p w:rsidR="005E0E69" w:rsidRDefault="005E0E69" w:rsidP="005E0E69">
      <w:pPr>
        <w:pStyle w:val="SingleTxt"/>
        <w:rPr>
          <w:rFonts w:hint="eastAsia"/>
        </w:rPr>
      </w:pPr>
      <w:r>
        <w:rPr>
          <w:rFonts w:hint="eastAsia"/>
        </w:rPr>
        <w:t>16.</w:t>
      </w:r>
      <w:r>
        <w:rPr>
          <w:rFonts w:hint="eastAsia"/>
        </w:rPr>
        <w:tab/>
        <w:t>请说明为降低孕产妇和婴儿高死亡率所实行的战略和方案(第12.4.1和12.6.1段)。请说明在2006</w:t>
      </w:r>
      <w:r w:rsidR="00437ACD">
        <w:t>-</w:t>
      </w:r>
      <w:r>
        <w:rPr>
          <w:rFonts w:hint="eastAsia"/>
        </w:rPr>
        <w:t>2007年进行研究之后为解决产前护理有限的问题所设计的具体干预措施，该次研究估计，在出现妊娠并发症迹象的妇女当中，仅有54%获悉自己患有并发症，其中仅有78%得到体检(第12.5.1段)。此外，请说明采取了什么措施来解决部分归因于向外移民的熟练保健人员缺乏问题(第12.1.3、12.5.2和12.9.1段)。</w:t>
      </w:r>
    </w:p>
    <w:p w:rsidR="005E0E69" w:rsidRDefault="005E0E69" w:rsidP="005E0E69">
      <w:pPr>
        <w:pStyle w:val="SingleTxt"/>
        <w:rPr>
          <w:rFonts w:hint="eastAsia"/>
        </w:rPr>
      </w:pPr>
      <w:r>
        <w:rPr>
          <w:rFonts w:hint="eastAsia"/>
        </w:rPr>
        <w:t>17.</w:t>
      </w:r>
      <w:r>
        <w:rPr>
          <w:rFonts w:hint="eastAsia"/>
        </w:rPr>
        <w:tab/>
        <w:t>请说明采取了什么措施来解决“育龄妇女艾滋病毒感染率上升”和孕妇得到抗逆转录病毒治疗的机会有限的问题(第12.5.2段)。还请说明为解决妇女不使用避孕药具的问题所实行的措施，造成这个问题的原因是盛行的社会和宗教规范以及导致易于感染的根源，例如污名和歧视(第12.3.2和12.3.4段)。</w:t>
      </w:r>
    </w:p>
    <w:p w:rsid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农村妇女</w:t>
      </w:r>
    </w:p>
    <w:p w:rsidR="005E0E69" w:rsidRPr="005E0E69" w:rsidRDefault="005E0E69" w:rsidP="005E0E69">
      <w:pPr>
        <w:pStyle w:val="SingleTxt"/>
        <w:spacing w:after="0" w:line="120" w:lineRule="exact"/>
        <w:rPr>
          <w:rFonts w:hint="eastAsia"/>
          <w:sz w:val="10"/>
        </w:rPr>
      </w:pPr>
    </w:p>
    <w:p w:rsidR="005E0E69" w:rsidRDefault="005E0E69" w:rsidP="005E0E69">
      <w:pPr>
        <w:pStyle w:val="SingleTxt"/>
        <w:rPr>
          <w:rFonts w:hint="eastAsia"/>
        </w:rPr>
      </w:pPr>
      <w:r>
        <w:rPr>
          <w:rFonts w:hint="eastAsia"/>
        </w:rPr>
        <w:t>18.</w:t>
      </w:r>
      <w:r>
        <w:rPr>
          <w:rFonts w:hint="eastAsia"/>
        </w:rPr>
        <w:tab/>
        <w:t>报告表示，在斯威士兰社会，男子是妇女与土地之间的纽带(第5.3.4段)。请说明如何采取措施来增加妇女获得土地的机会，并消除成为土地所有人方面的障碍，例如要求妇女在购买土地之前获得丈夫的同意(第3.1.5段)。采取了哪些措施来审查关于妇女获得土地的继承法(第5.5.5段)？还请说明为帮助获得农业投入以及气象和农业信息所举办的方案(第14.8.1段)。在实现最迟于2010年把得不到安全饮水的人口减少一半的目标，并确保最迟于2010年使人们可以得到适当环境卫生服务，最迟于2015年可以得到垃圾处置服务方面有哪些进展(第14.9.2段)？特别是农村地区有哪些进展？此外，正在采取什么措施来增进农村妇女利用医疗设施和得到医疗服务的机会(第12.2.2和14.3.2段)？</w:t>
      </w:r>
    </w:p>
    <w:p w:rsid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法律面前的平等地位和法律行为能力</w:t>
      </w:r>
    </w:p>
    <w:p w:rsidR="005E0E69" w:rsidRPr="005E0E69" w:rsidRDefault="005E0E69" w:rsidP="005E0E69">
      <w:pPr>
        <w:pStyle w:val="SingleTxt"/>
        <w:spacing w:after="0" w:line="120" w:lineRule="exact"/>
        <w:rPr>
          <w:rFonts w:hint="eastAsia"/>
          <w:sz w:val="10"/>
        </w:rPr>
      </w:pPr>
    </w:p>
    <w:p w:rsidR="005E0E69" w:rsidRDefault="005E0E69" w:rsidP="005E0E69">
      <w:pPr>
        <w:pStyle w:val="SingleTxt"/>
        <w:rPr>
          <w:rFonts w:hint="eastAsia"/>
        </w:rPr>
      </w:pPr>
      <w:r>
        <w:rPr>
          <w:rFonts w:hint="eastAsia"/>
        </w:rPr>
        <w:t>19.</w:t>
      </w:r>
      <w:r>
        <w:rPr>
          <w:rFonts w:hint="eastAsia"/>
        </w:rPr>
        <w:tab/>
        <w:t>请说明当前为修订法庭着装规范所采取的措施，当前的规范禁止妇女着裤装出庭，并强迫她们在法庭上随时把头发遮住(第15.5.3段)。此外，请说明正采取何种措施来修订不要求就性犯罪提供佐证的证据规则，报告承认，这项规则的依据是“认为妇女容易在性犯罪问题上撒谎的带有成见的前提”(第15.5.4段)。</w:t>
      </w:r>
    </w:p>
    <w:p w:rsidR="005E0E69" w:rsidRDefault="005E0E69" w:rsidP="005E0E69">
      <w:pPr>
        <w:pStyle w:val="SingleTxt"/>
        <w:rPr>
          <w:rFonts w:hint="eastAsia"/>
        </w:rPr>
      </w:pPr>
      <w:r>
        <w:rPr>
          <w:rFonts w:hint="eastAsia"/>
        </w:rPr>
        <w:t>20.</w:t>
      </w:r>
      <w:r>
        <w:rPr>
          <w:rFonts w:hint="eastAsia"/>
        </w:rPr>
        <w:tab/>
        <w:t>报告表示，“在不排除婚姻权力、财产并非共有的婚姻中”，丈夫成为夫妻共同财产和妻子自有财产的管理人(第15.2.1段)。报告还表示，这个做法赋予丈夫在妻子不知情或未经妻子同意的情况下就财产进行交涉和执行交易的权力。报</w:t>
      </w:r>
      <w:bookmarkStart w:id="1" w:name="TmpSave"/>
      <w:bookmarkEnd w:id="1"/>
      <w:r>
        <w:rPr>
          <w:rFonts w:hint="eastAsia"/>
        </w:rPr>
        <w:t>告又表示，妇女失去在民事诉讼当中的出庭资格，无法以自己的名义签订合同或登记不动产(第15.2.1和15.2.2段)。请说明当前如何采取措施来修正法律，以确保给予妇女与男子完全相同的法律行为能力，使其具有同样的机会来行使这一能力，并有同样的机会来签订合同和管理财产。还请说明，当前如何采取措施来废除在丈夫去世的时候剥夺妇女的土地的做法。</w:t>
      </w:r>
    </w:p>
    <w:p w:rsid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婚姻和家庭关系</w:t>
      </w:r>
    </w:p>
    <w:p w:rsidR="005E0E69" w:rsidRPr="005E0E69" w:rsidRDefault="005E0E69" w:rsidP="005E0E69">
      <w:pPr>
        <w:pStyle w:val="SingleTxt"/>
        <w:spacing w:after="0" w:line="120" w:lineRule="exact"/>
        <w:rPr>
          <w:rFonts w:hint="eastAsia"/>
          <w:sz w:val="10"/>
        </w:rPr>
      </w:pPr>
    </w:p>
    <w:p w:rsidR="005E0E69" w:rsidRDefault="005E0E69" w:rsidP="005E0E69">
      <w:pPr>
        <w:pStyle w:val="SingleTxt"/>
        <w:rPr>
          <w:rFonts w:hint="eastAsia"/>
        </w:rPr>
      </w:pPr>
      <w:r>
        <w:rPr>
          <w:rFonts w:hint="eastAsia"/>
        </w:rPr>
        <w:t>21.</w:t>
      </w:r>
      <w:r>
        <w:rPr>
          <w:rFonts w:hint="eastAsia"/>
        </w:rPr>
        <w:tab/>
        <w:t>请说明如果认定离婚时的过失方是妇女，离婚法中的“过失”原则对妇女和婚姻财产的分配所产生的影响(第16.4段)。《宪法》规定，“只有在双方希望结婚，自由地予以充分同意的情况下，才可结成婚姻”。采取了何种措施来杜绝强迫婚姻，以确保知情和自愿的同意？什么是习惯法所允许的结婚年龄？</w:t>
      </w:r>
    </w:p>
    <w:p w:rsidR="005E0E69" w:rsidRDefault="005E0E69" w:rsidP="005E0E6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修正《公约》第20条(1)款</w:t>
      </w:r>
    </w:p>
    <w:p w:rsidR="005E0E69" w:rsidRPr="005E0E69" w:rsidRDefault="005E0E69" w:rsidP="005E0E69">
      <w:pPr>
        <w:pStyle w:val="SingleTxt"/>
        <w:spacing w:after="0" w:line="120" w:lineRule="exact"/>
        <w:rPr>
          <w:rFonts w:hint="eastAsia"/>
          <w:sz w:val="10"/>
        </w:rPr>
      </w:pPr>
    </w:p>
    <w:p w:rsidR="00EA31C3" w:rsidRDefault="005E0E69" w:rsidP="005E0E69">
      <w:pPr>
        <w:pStyle w:val="SingleTxt"/>
        <w:rPr>
          <w:rFonts w:hint="eastAsia"/>
        </w:rPr>
      </w:pPr>
      <w:r>
        <w:rPr>
          <w:rFonts w:hint="eastAsia"/>
        </w:rPr>
        <w:t>22.</w:t>
      </w:r>
      <w:r>
        <w:rPr>
          <w:rFonts w:hint="eastAsia"/>
        </w:rPr>
        <w:tab/>
        <w:t>请说明在接受与委员会开会时间有关的《公约》第20条⑴款修正案方面取得的任何进展。</w:t>
      </w:r>
    </w:p>
    <w:p w:rsidR="005E0E69" w:rsidRPr="005E0E69" w:rsidRDefault="005E0E69" w:rsidP="005E0E69">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5E0E69" w:rsidRPr="005E0E69" w:rsidSect="003127A1">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1T23:04:00Z" w:initials="Start">
    <w:p w:rsidR="00E43458" w:rsidRDefault="00E4345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NO&gt;&gt;N1353316C&lt;&lt;ODS JOB NO&gt;&gt;</w:t>
      </w:r>
    </w:p>
    <w:p w:rsidR="00E43458" w:rsidRDefault="00E43458">
      <w:pPr>
        <w:pStyle w:val="CommentText"/>
      </w:pPr>
      <w:r>
        <w:t>&lt;&lt;ODS DOC SYMBOL1&gt;&gt;CEDAW/C/SWZ/Q/1-2&lt;&lt;ODS DOC SYMBOL1&gt;&gt;</w:t>
      </w:r>
    </w:p>
    <w:p w:rsidR="00E43458" w:rsidRDefault="00E4345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3458" w:rsidRDefault="00E43458">
      <w:r>
        <w:separator/>
      </w:r>
    </w:p>
  </w:endnote>
  <w:endnote w:type="continuationSeparator" w:id="0">
    <w:p w:rsidR="00E43458" w:rsidRDefault="00E434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43458" w:rsidTr="003127A1">
      <w:tblPrEx>
        <w:tblCellMar>
          <w:top w:w="0" w:type="dxa"/>
          <w:bottom w:w="0" w:type="dxa"/>
        </w:tblCellMar>
      </w:tblPrEx>
      <w:tc>
        <w:tcPr>
          <w:tcW w:w="5033" w:type="dxa"/>
          <w:shd w:val="clear" w:color="auto" w:fill="auto"/>
        </w:tcPr>
        <w:p w:rsidR="00E43458" w:rsidRPr="003127A1" w:rsidRDefault="00E43458" w:rsidP="003127A1">
          <w:pPr>
            <w:pStyle w:val="Footer"/>
            <w:jc w:val="right"/>
            <w:rPr>
              <w:b w:val="0"/>
              <w:w w:val="103"/>
              <w:sz w:val="14"/>
            </w:rPr>
          </w:pPr>
          <w:fldSimple w:instr=" DOCVARIABLE &quot;FooterJN&quot; \* MERGEFORMAT ">
            <w:r>
              <w:rPr>
                <w:b w:val="0"/>
                <w:w w:val="103"/>
                <w:sz w:val="14"/>
              </w:rPr>
              <w:t>13-53316 (C)</w:t>
            </w:r>
          </w:fldSimple>
        </w:p>
      </w:tc>
      <w:tc>
        <w:tcPr>
          <w:tcW w:w="5033" w:type="dxa"/>
          <w:shd w:val="clear" w:color="auto" w:fill="auto"/>
        </w:tcPr>
        <w:p w:rsidR="00E43458" w:rsidRPr="003127A1" w:rsidRDefault="00E43458" w:rsidP="003127A1">
          <w:pPr>
            <w:pStyle w:val="Footer"/>
            <w:jc w:val="left"/>
            <w:rPr>
              <w:w w:val="103"/>
            </w:rPr>
          </w:pPr>
          <w:r>
            <w:rPr>
              <w:w w:val="103"/>
            </w:rPr>
            <w:fldChar w:fldCharType="begin"/>
          </w:r>
          <w:r>
            <w:rPr>
              <w:w w:val="103"/>
            </w:rPr>
            <w:instrText xml:space="preserve"> PAGE  \* Arabic  \* MERGEFORMAT </w:instrText>
          </w:r>
          <w:r>
            <w:rPr>
              <w:w w:val="103"/>
            </w:rPr>
            <w:fldChar w:fldCharType="separate"/>
          </w:r>
          <w:r>
            <w:rPr>
              <w:w w:val="103"/>
            </w:rPr>
            <w:t>4</w:t>
          </w:r>
          <w:r>
            <w:rPr>
              <w:w w:val="103"/>
            </w:rPr>
            <w:fldChar w:fldCharType="end"/>
          </w:r>
          <w:r>
            <w:rPr>
              <w:w w:val="103"/>
            </w:rPr>
            <w:t>/</w:t>
          </w:r>
          <w:fldSimple w:instr=" NUMPAGES  \* Arabic  \* MERGEFORMAT ">
            <w:r>
              <w:rPr>
                <w:w w:val="103"/>
              </w:rPr>
              <w:t>5</w:t>
            </w:r>
          </w:fldSimple>
        </w:p>
      </w:tc>
    </w:tr>
  </w:tbl>
  <w:p w:rsidR="00E43458" w:rsidRPr="003127A1" w:rsidRDefault="00E43458" w:rsidP="003127A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43458" w:rsidTr="003127A1">
      <w:tblPrEx>
        <w:tblCellMar>
          <w:top w:w="0" w:type="dxa"/>
          <w:bottom w:w="0" w:type="dxa"/>
        </w:tblCellMar>
      </w:tblPrEx>
      <w:tc>
        <w:tcPr>
          <w:tcW w:w="5033" w:type="dxa"/>
          <w:shd w:val="clear" w:color="auto" w:fill="auto"/>
        </w:tcPr>
        <w:p w:rsidR="00E43458" w:rsidRPr="003127A1" w:rsidRDefault="00E43458" w:rsidP="003127A1">
          <w:pPr>
            <w:pStyle w:val="Footer"/>
            <w:jc w:val="right"/>
          </w:pPr>
          <w:fldSimple w:instr=" PAGE  \* Arabic  \* MERGEFORMAT ">
            <w:r>
              <w:t>5</w:t>
            </w:r>
          </w:fldSimple>
          <w:r>
            <w:t>/</w:t>
          </w:r>
          <w:fldSimple w:instr=" NUMPAGES  \* Arabic  \* MERGEFORMAT ">
            <w:r>
              <w:t>5</w:t>
            </w:r>
          </w:fldSimple>
        </w:p>
      </w:tc>
      <w:tc>
        <w:tcPr>
          <w:tcW w:w="5033" w:type="dxa"/>
          <w:shd w:val="clear" w:color="auto" w:fill="auto"/>
        </w:tcPr>
        <w:p w:rsidR="00E43458" w:rsidRPr="003127A1" w:rsidRDefault="00E43458" w:rsidP="003127A1">
          <w:pPr>
            <w:pStyle w:val="Footer"/>
            <w:jc w:val="left"/>
            <w:rPr>
              <w:b w:val="0"/>
              <w:w w:val="103"/>
              <w:sz w:val="14"/>
            </w:rPr>
          </w:pPr>
          <w:fldSimple w:instr=" DOCVARIABLE &quot;FooterJN&quot; \* MERGEFORMAT ">
            <w:r>
              <w:rPr>
                <w:b w:val="0"/>
                <w:w w:val="103"/>
                <w:sz w:val="14"/>
              </w:rPr>
              <w:t>13-53316 (C)</w:t>
            </w:r>
          </w:fldSimple>
        </w:p>
      </w:tc>
    </w:tr>
  </w:tbl>
  <w:p w:rsidR="00E43458" w:rsidRPr="003127A1" w:rsidRDefault="00E43458" w:rsidP="003127A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E43458" w:rsidTr="003127A1">
      <w:tblPrEx>
        <w:tblCellMar>
          <w:top w:w="0" w:type="dxa"/>
          <w:bottom w:w="0" w:type="dxa"/>
        </w:tblCellMar>
      </w:tblPrEx>
      <w:tc>
        <w:tcPr>
          <w:tcW w:w="5033" w:type="dxa"/>
        </w:tcPr>
        <w:p w:rsidR="00E43458" w:rsidRDefault="00E43458" w:rsidP="003127A1">
          <w:pPr>
            <w:pStyle w:val="Footer"/>
            <w:rPr>
              <w:b w:val="0"/>
              <w:sz w:val="21"/>
            </w:rPr>
          </w:pPr>
          <w:fldSimple w:instr=" DOCVARIABLE &quot;jobn&quot; \* MERGEFORMAT ">
            <w:r>
              <w:rPr>
                <w:b w:val="0"/>
                <w:sz w:val="21"/>
              </w:rPr>
              <w:t>13-53316 (C)</w:t>
            </w:r>
          </w:fldSimple>
          <w:r>
            <w:rPr>
              <w:b w:val="0"/>
              <w:sz w:val="21"/>
            </w:rPr>
            <w:t xml:space="preserve">   </w:t>
          </w:r>
          <w:r>
            <w:rPr>
              <w:rFonts w:hint="eastAsia"/>
              <w:b w:val="0"/>
              <w:sz w:val="21"/>
            </w:rPr>
            <w:t>08</w:t>
          </w:r>
          <w:r>
            <w:rPr>
              <w:b w:val="0"/>
              <w:sz w:val="21"/>
            </w:rPr>
            <w:t>1113    1</w:t>
          </w:r>
          <w:r>
            <w:rPr>
              <w:rFonts w:hint="eastAsia"/>
              <w:b w:val="0"/>
              <w:sz w:val="21"/>
            </w:rPr>
            <w:t>2</w:t>
          </w:r>
          <w:r>
            <w:rPr>
              <w:b w:val="0"/>
              <w:sz w:val="21"/>
            </w:rPr>
            <w:t>1113</w:t>
          </w:r>
        </w:p>
        <w:p w:rsidR="00E43458" w:rsidRPr="003127A1" w:rsidRDefault="00E43458" w:rsidP="003127A1">
          <w:pPr>
            <w:spacing w:before="80" w:line="210" w:lineRule="exact"/>
            <w:rPr>
              <w:rFonts w:ascii="Barcode 3 of 9 by request" w:hAnsi="Barcode 3 of 9 by request"/>
              <w:sz w:val="24"/>
            </w:rPr>
          </w:pPr>
          <w:r>
            <w:rPr>
              <w:rFonts w:ascii="Barcode 3 of 9 by request" w:hAnsi="Barcode 3 of 9 by request"/>
              <w:sz w:val="24"/>
            </w:rPr>
            <w:t>*1353316*</w:t>
          </w:r>
        </w:p>
      </w:tc>
      <w:tc>
        <w:tcPr>
          <w:tcW w:w="3686" w:type="dxa"/>
        </w:tcPr>
        <w:p w:rsidR="00E43458" w:rsidRDefault="00E43458" w:rsidP="003127A1">
          <w:pPr>
            <w:pStyle w:val="Footer"/>
            <w:jc w:val="right"/>
            <w:rPr>
              <w:b w:val="0"/>
              <w:sz w:val="21"/>
            </w:rPr>
          </w:pPr>
          <w:r w:rsidRPr="003127A1">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E43458" w:rsidRPr="003127A1" w:rsidRDefault="00E43458" w:rsidP="003127A1">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3458" w:rsidRPr="005E0E69" w:rsidRDefault="00E43458" w:rsidP="005E0E69">
      <w:pPr>
        <w:pStyle w:val="Footer"/>
        <w:spacing w:after="80"/>
        <w:ind w:left="792"/>
        <w:rPr>
          <w:sz w:val="16"/>
        </w:rPr>
      </w:pPr>
      <w:r w:rsidRPr="005E0E69">
        <w:rPr>
          <w:sz w:val="16"/>
        </w:rPr>
        <w:t>__________________</w:t>
      </w:r>
    </w:p>
  </w:footnote>
  <w:footnote w:type="continuationSeparator" w:id="0">
    <w:p w:rsidR="00E43458" w:rsidRPr="005E0E69" w:rsidRDefault="00E43458" w:rsidP="005E0E69">
      <w:pPr>
        <w:pStyle w:val="Footer"/>
        <w:spacing w:after="80"/>
        <w:ind w:left="792"/>
        <w:rPr>
          <w:sz w:val="16"/>
        </w:rPr>
      </w:pPr>
      <w:r w:rsidRPr="005E0E69">
        <w:rPr>
          <w:sz w:val="16"/>
        </w:rPr>
        <w:t>__________________</w:t>
      </w:r>
    </w:p>
  </w:footnote>
  <w:footnote w:id="1">
    <w:p w:rsidR="00E43458" w:rsidRDefault="00E43458" w:rsidP="005E0E69">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rPr>
          <w:rFonts w:hint="eastAsia"/>
        </w:rPr>
        <w:tab/>
      </w:r>
      <w:r w:rsidRPr="005E0E69">
        <w:rPr>
          <w:rFonts w:ascii="Times New Roman"/>
          <w:vertAlign w:val="superscript"/>
        </w:rPr>
        <w:t>*</w:t>
      </w:r>
      <w:r>
        <w:rPr>
          <w:rFonts w:hint="eastAsia"/>
        </w:rPr>
        <w:tab/>
        <w:t>会前工作组为2013年10月21至25日举行的第五十八届会议通过。</w:t>
      </w:r>
    </w:p>
    <w:p w:rsidR="00E43458" w:rsidRDefault="00E43458" w:rsidP="005E0E6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段落编号指的是缔约方第一次和第二次合并定期报告(CEDAW/C/SWZ/1-2)第二部分中的段落，除非另有注明。</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43458" w:rsidTr="003127A1">
      <w:tblPrEx>
        <w:tblCellMar>
          <w:top w:w="0" w:type="dxa"/>
          <w:bottom w:w="0" w:type="dxa"/>
        </w:tblCellMar>
      </w:tblPrEx>
      <w:trPr>
        <w:trHeight w:hRule="exact" w:val="864"/>
      </w:trPr>
      <w:tc>
        <w:tcPr>
          <w:tcW w:w="4838" w:type="dxa"/>
          <w:shd w:val="clear" w:color="auto" w:fill="auto"/>
          <w:vAlign w:val="bottom"/>
        </w:tcPr>
        <w:p w:rsidR="00E43458" w:rsidRPr="003127A1" w:rsidRDefault="00E43458" w:rsidP="003127A1">
          <w:pPr>
            <w:pStyle w:val="Header"/>
            <w:spacing w:after="80"/>
            <w:jc w:val="left"/>
            <w:rPr>
              <w:b/>
              <w:sz w:val="17"/>
            </w:rPr>
          </w:pPr>
          <w:fldSimple w:instr=" DOCVARIABLE &quot;sss1&quot; \* MERGEFORMAT ">
            <w:r>
              <w:rPr>
                <w:b/>
                <w:sz w:val="17"/>
              </w:rPr>
              <w:t xml:space="preserve">CEDAW/C/SWZ/Q/1-2 </w:t>
            </w:r>
          </w:fldSimple>
        </w:p>
      </w:tc>
      <w:tc>
        <w:tcPr>
          <w:tcW w:w="5033" w:type="dxa"/>
          <w:shd w:val="clear" w:color="auto" w:fill="auto"/>
          <w:vAlign w:val="bottom"/>
        </w:tcPr>
        <w:p w:rsidR="00E43458" w:rsidRDefault="00E43458" w:rsidP="003127A1">
          <w:pPr>
            <w:pStyle w:val="Header"/>
          </w:pPr>
        </w:p>
      </w:tc>
    </w:tr>
  </w:tbl>
  <w:p w:rsidR="00E43458" w:rsidRPr="003127A1" w:rsidRDefault="00E43458" w:rsidP="003127A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43458" w:rsidTr="003127A1">
      <w:tblPrEx>
        <w:tblCellMar>
          <w:top w:w="0" w:type="dxa"/>
          <w:bottom w:w="0" w:type="dxa"/>
        </w:tblCellMar>
      </w:tblPrEx>
      <w:trPr>
        <w:trHeight w:hRule="exact" w:val="864"/>
      </w:trPr>
      <w:tc>
        <w:tcPr>
          <w:tcW w:w="4838" w:type="dxa"/>
          <w:shd w:val="clear" w:color="auto" w:fill="auto"/>
          <w:vAlign w:val="bottom"/>
        </w:tcPr>
        <w:p w:rsidR="00E43458" w:rsidRDefault="00E43458" w:rsidP="003127A1">
          <w:pPr>
            <w:pStyle w:val="Header"/>
          </w:pPr>
        </w:p>
      </w:tc>
      <w:tc>
        <w:tcPr>
          <w:tcW w:w="5033" w:type="dxa"/>
          <w:shd w:val="clear" w:color="auto" w:fill="auto"/>
          <w:vAlign w:val="bottom"/>
        </w:tcPr>
        <w:p w:rsidR="00E43458" w:rsidRPr="003127A1" w:rsidRDefault="00E43458" w:rsidP="003127A1">
          <w:pPr>
            <w:pStyle w:val="Header"/>
            <w:spacing w:after="80"/>
            <w:jc w:val="right"/>
            <w:rPr>
              <w:b/>
              <w:sz w:val="17"/>
            </w:rPr>
          </w:pPr>
          <w:fldSimple w:instr=" DOCVARIABLE &quot;sss1&quot; \* MERGEFORMAT ">
            <w:r>
              <w:rPr>
                <w:b/>
                <w:sz w:val="17"/>
              </w:rPr>
              <w:t xml:space="preserve">CEDAW/C/SWZ/Q/1-2 </w:t>
            </w:r>
          </w:fldSimple>
        </w:p>
      </w:tc>
    </w:tr>
  </w:tbl>
  <w:p w:rsidR="00E43458" w:rsidRPr="003127A1" w:rsidRDefault="00E43458" w:rsidP="003127A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E43458" w:rsidTr="003127A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43458" w:rsidRDefault="00E43458" w:rsidP="003127A1">
          <w:pPr>
            <w:pStyle w:val="Header"/>
            <w:spacing w:after="120"/>
          </w:pPr>
        </w:p>
      </w:tc>
      <w:tc>
        <w:tcPr>
          <w:tcW w:w="1872" w:type="dxa"/>
          <w:tcBorders>
            <w:bottom w:val="single" w:sz="4" w:space="0" w:color="auto"/>
          </w:tcBorders>
          <w:shd w:val="clear" w:color="auto" w:fill="auto"/>
          <w:vAlign w:val="bottom"/>
        </w:tcPr>
        <w:p w:rsidR="00E43458" w:rsidRPr="003127A1" w:rsidRDefault="00E43458" w:rsidP="003127A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43458" w:rsidRDefault="00E43458" w:rsidP="003127A1">
          <w:pPr>
            <w:pStyle w:val="Header"/>
            <w:spacing w:after="120"/>
          </w:pPr>
        </w:p>
      </w:tc>
      <w:tc>
        <w:tcPr>
          <w:tcW w:w="6523" w:type="dxa"/>
          <w:gridSpan w:val="3"/>
          <w:tcBorders>
            <w:bottom w:val="single" w:sz="4" w:space="0" w:color="auto"/>
          </w:tcBorders>
          <w:shd w:val="clear" w:color="auto" w:fill="auto"/>
          <w:vAlign w:val="bottom"/>
        </w:tcPr>
        <w:p w:rsidR="00E43458" w:rsidRPr="003127A1" w:rsidRDefault="00E43458" w:rsidP="003127A1">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/C/SWZ/Q/1-2 </w:t>
          </w:r>
        </w:p>
      </w:tc>
    </w:tr>
    <w:tr w:rsidR="00E43458" w:rsidRPr="003127A1" w:rsidTr="003127A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43458" w:rsidRDefault="00E43458" w:rsidP="003127A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43458" w:rsidRPr="003127A1" w:rsidRDefault="00E43458" w:rsidP="003127A1">
          <w:pPr>
            <w:pStyle w:val="Header"/>
            <w:spacing w:before="109"/>
            <w:ind w:left="-72"/>
          </w:pPr>
        </w:p>
      </w:tc>
      <w:tc>
        <w:tcPr>
          <w:tcW w:w="5227" w:type="dxa"/>
          <w:gridSpan w:val="3"/>
          <w:tcBorders>
            <w:top w:val="single" w:sz="4" w:space="0" w:color="auto"/>
            <w:bottom w:val="single" w:sz="12" w:space="0" w:color="auto"/>
          </w:tcBorders>
          <w:shd w:val="clear" w:color="auto" w:fill="auto"/>
        </w:tcPr>
        <w:p w:rsidR="00E43458" w:rsidRPr="003127A1" w:rsidRDefault="00E43458" w:rsidP="003127A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43458" w:rsidRPr="003127A1" w:rsidRDefault="00E43458" w:rsidP="003127A1">
          <w:pPr>
            <w:pStyle w:val="Header"/>
            <w:spacing w:before="109"/>
          </w:pPr>
        </w:p>
      </w:tc>
      <w:tc>
        <w:tcPr>
          <w:tcW w:w="3180" w:type="dxa"/>
          <w:gridSpan w:val="2"/>
          <w:tcBorders>
            <w:top w:val="single" w:sz="4" w:space="0" w:color="auto"/>
            <w:bottom w:val="single" w:sz="12" w:space="0" w:color="auto"/>
          </w:tcBorders>
          <w:shd w:val="clear" w:color="auto" w:fill="auto"/>
        </w:tcPr>
        <w:p w:rsidR="00E43458" w:rsidRDefault="00E43458" w:rsidP="003127A1">
          <w:pPr>
            <w:spacing w:before="240" w:line="240" w:lineRule="exact"/>
            <w:rPr>
              <w:rFonts w:ascii="Times New Roman"/>
            </w:rPr>
          </w:pPr>
          <w:r>
            <w:rPr>
              <w:rFonts w:ascii="Times New Roman"/>
            </w:rPr>
            <w:t>Distr.: General</w:t>
          </w:r>
        </w:p>
        <w:p w:rsidR="00E43458" w:rsidRDefault="00E43458" w:rsidP="003127A1">
          <w:pPr>
            <w:spacing w:line="240" w:lineRule="exact"/>
            <w:rPr>
              <w:rFonts w:ascii="Times New Roman"/>
            </w:rPr>
          </w:pPr>
          <w:r>
            <w:rPr>
              <w:rFonts w:ascii="Times New Roman"/>
            </w:rPr>
            <w:t>28 October 2013</w:t>
          </w:r>
        </w:p>
        <w:p w:rsidR="00E43458" w:rsidRDefault="00E43458" w:rsidP="003127A1">
          <w:pPr>
            <w:spacing w:line="240" w:lineRule="exact"/>
            <w:rPr>
              <w:rFonts w:ascii="Times New Roman"/>
            </w:rPr>
          </w:pPr>
          <w:r>
            <w:rPr>
              <w:rFonts w:ascii="Times New Roman"/>
            </w:rPr>
            <w:t>Chinese</w:t>
          </w:r>
        </w:p>
        <w:p w:rsidR="00E43458" w:rsidRPr="003127A1" w:rsidRDefault="00E43458" w:rsidP="003127A1">
          <w:pPr>
            <w:spacing w:line="240" w:lineRule="exact"/>
            <w:rPr>
              <w:rFonts w:ascii="Times New Roman"/>
            </w:rPr>
          </w:pPr>
          <w:r>
            <w:rPr>
              <w:rFonts w:ascii="Times New Roman"/>
            </w:rPr>
            <w:t>Original: English</w:t>
          </w:r>
        </w:p>
      </w:tc>
    </w:tr>
  </w:tbl>
  <w:p w:rsidR="00E43458" w:rsidRPr="003127A1" w:rsidRDefault="00E43458" w:rsidP="003127A1">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16*"/>
    <w:docVar w:name="CreationDt" w:val="11/11/2013 23:04:06"/>
    <w:docVar w:name="DocCategory" w:val="Doc"/>
    <w:docVar w:name="DocType" w:val="Final"/>
    <w:docVar w:name="FooterJN" w:val="13-53316 (C)"/>
    <w:docVar w:name="jobn" w:val="13-53316 (C)"/>
    <w:docVar w:name="jobnDT" w:val="13-53316 (C)   111113"/>
    <w:docVar w:name="jobnDTDT" w:val="13-53316 (C)   111113   111113"/>
    <w:docVar w:name="JobNo" w:val="1353316C"/>
    <w:docVar w:name="OandT" w:val="yanghua"/>
    <w:docVar w:name="sss1" w:val="CEDAW/C/SWZ/Q/1-2 "/>
    <w:docVar w:name="sss2" w:val="-"/>
    <w:docVar w:name="Symbol1" w:val="CEDAW/C/SWZ/Q/1-2 "/>
    <w:docVar w:name="Symbol2" w:val="-"/>
  </w:docVars>
  <w:rsids>
    <w:rsidRoot w:val="001A1841"/>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A1841"/>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127A1"/>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37ACD"/>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E0E69"/>
    <w:rsid w:val="005F12F0"/>
    <w:rsid w:val="005F1AAD"/>
    <w:rsid w:val="005F3273"/>
    <w:rsid w:val="005F34A3"/>
    <w:rsid w:val="00610CF2"/>
    <w:rsid w:val="00617802"/>
    <w:rsid w:val="006328DE"/>
    <w:rsid w:val="006353DE"/>
    <w:rsid w:val="006432CB"/>
    <w:rsid w:val="006479F1"/>
    <w:rsid w:val="00650BEE"/>
    <w:rsid w:val="006520FA"/>
    <w:rsid w:val="0065377D"/>
    <w:rsid w:val="00662D96"/>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2A1D"/>
    <w:rsid w:val="00913351"/>
    <w:rsid w:val="009357AA"/>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3E34"/>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AF740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43458"/>
    <w:rsid w:val="00E5153D"/>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SingleTxt"/>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TotalTime>
  <Pages>5</Pages>
  <Words>711</Words>
  <Characters>4053</Characters>
  <Application>Microsoft Office Outlook</Application>
  <DocSecurity>4</DocSecurity>
  <Lines>33</Lines>
  <Paragraphs>9</Paragraphs>
  <ScaleCrop>false</ScaleCrop>
  <Company>United Nations</Company>
  <LinksUpToDate>false</LinksUpToDate>
  <CharactersWithSpaces>4755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13</cp:revision>
  <dcterms:created xsi:type="dcterms:W3CDTF">2013-11-11T22:03:00Z</dcterms:created>
  <dcterms:modified xsi:type="dcterms:W3CDTF">2013-11-12T12:40:00Z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1353316</vt:lpwstr>
  </property>
  <property fmtid="{D5CDD505-2E9C-101B-9397-08002B2CF9AE}" pid="3" name="Symbol1">
    <vt:lpwstr>CEDAW/C/SWZ/Q/1-2 </vt:lpwstr>
  </property>
  <property fmtid="{D5CDD505-2E9C-101B-9397-08002B2CF9AE}" pid="4" name="Symbol2">
    <vt:lpwstr/>
  </property>
  <property fmtid="{D5CDD505-2E9C-101B-9397-08002B2CF9AE}" pid="5" name="Translator">
    <vt:lpwstr/>
  </property>
  <property fmtid="{D5CDD505-2E9C-101B-9397-08002B2CF9AE}" pid="6" name="Operator">
    <vt:lpwstr>yanghua</vt:lpwstr>
  </property>
  <property fmtid="{D5CDD505-2E9C-101B-9397-08002B2CF9AE}" pid="7" name="DraftPages">
    <vt:lpwstr> </vt:lpwstr>
  </property>
  <property fmtid="{D5CDD505-2E9C-101B-9397-08002B2CF9AE}" pid="8" name="Comment">
    <vt:lpwstr/>
  </property>
</Properties>
</file>