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971DC" w14:textId="77777777" w:rsidR="00483E94" w:rsidRPr="00C2512C" w:rsidRDefault="00F30361" w:rsidP="00483E94">
      <w:pPr>
        <w:spacing w:after="360"/>
        <w:jc w:val="right"/>
        <w:outlineLvl w:val="0"/>
        <w:rPr>
          <w:bCs/>
          <w:lang w:val="fr-FR"/>
        </w:rPr>
      </w:pPr>
      <w:r>
        <w:rPr>
          <w:bCs/>
          <w:lang w:val="fr-FR"/>
        </w:rPr>
        <w:t>A/80/44</w:t>
      </w:r>
    </w:p>
    <w:p w14:paraId="3051E4E8" w14:textId="77777777" w:rsidR="00483E94" w:rsidRPr="00FA3966" w:rsidRDefault="001D12EC" w:rsidP="00483E94">
      <w:pPr>
        <w:ind w:left="1134"/>
        <w:rPr>
          <w:lang w:val="fr-FR"/>
        </w:rPr>
      </w:pPr>
      <w:r>
        <w:rPr>
          <w:noProof/>
          <w:lang w:eastAsia="fr-CH"/>
        </w:rPr>
        <w:drawing>
          <wp:inline distT="0" distB="0" distL="0" distR="0" wp14:anchorId="62696FA1" wp14:editId="01EC5247">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50C765E8" w14:textId="77777777" w:rsidR="00483E94" w:rsidRPr="00FA3966" w:rsidRDefault="00483E94" w:rsidP="00C2512C">
      <w:pPr>
        <w:pStyle w:val="XLargeG"/>
        <w:spacing w:after="800"/>
        <w:rPr>
          <w:lang w:val="fr-FR"/>
        </w:rPr>
      </w:pPr>
      <w:r w:rsidRPr="00FA3966">
        <w:rPr>
          <w:lang w:val="fr-FR"/>
        </w:rPr>
        <w:t>Nations Unies</w:t>
      </w:r>
    </w:p>
    <w:p w14:paraId="0C9D5604" w14:textId="50D44851" w:rsidR="00483E94" w:rsidRPr="00C66C3B" w:rsidRDefault="00483E94" w:rsidP="00D944F3">
      <w:pPr>
        <w:pStyle w:val="STitleLG"/>
      </w:pPr>
      <w:r w:rsidRPr="00C66C3B">
        <w:t xml:space="preserve">Rapport du </w:t>
      </w:r>
      <w:r w:rsidR="00F30361" w:rsidRPr="00F30361">
        <w:rPr>
          <w:lang w:val="fr-CH"/>
        </w:rPr>
        <w:t xml:space="preserve">Comité contre </w:t>
      </w:r>
      <w:r w:rsidR="00F30361">
        <w:rPr>
          <w:lang w:val="fr-CH"/>
        </w:rPr>
        <w:br/>
      </w:r>
      <w:r w:rsidR="00F30361" w:rsidRPr="00F30361">
        <w:rPr>
          <w:lang w:val="fr-CH"/>
        </w:rPr>
        <w:t>la torture</w:t>
      </w:r>
    </w:p>
    <w:p w14:paraId="0AF99E0A" w14:textId="059AE239" w:rsidR="00483E94" w:rsidRPr="00C66C3B" w:rsidRDefault="00F30361" w:rsidP="00D944F3">
      <w:pPr>
        <w:pStyle w:val="STitleMG"/>
      </w:pPr>
      <w:r w:rsidRPr="00F30361">
        <w:rPr>
          <w:bCs/>
          <w:lang w:val="fr-CH"/>
        </w:rPr>
        <w:t>Quatre-vingtième</w:t>
      </w:r>
      <w:r w:rsidRPr="00F30361">
        <w:rPr>
          <w:lang w:val="fr-CH"/>
        </w:rPr>
        <w:t xml:space="preserve"> session</w:t>
      </w:r>
    </w:p>
    <w:p w14:paraId="25309D28" w14:textId="75B07F6F" w:rsidR="00D944F3" w:rsidRDefault="00F30361" w:rsidP="00F30361">
      <w:pPr>
        <w:pStyle w:val="STitleMG"/>
        <w:spacing w:after="120"/>
        <w:rPr>
          <w:lang w:val="fr-CH"/>
        </w:rPr>
      </w:pPr>
      <w:r w:rsidRPr="00F30361">
        <w:rPr>
          <w:lang w:val="fr-CH"/>
        </w:rPr>
        <w:t>(8-26 juillet 2024)</w:t>
      </w:r>
    </w:p>
    <w:p w14:paraId="50FCE127" w14:textId="37928EA1" w:rsidR="00F30361" w:rsidRDefault="00F30361" w:rsidP="00D944F3">
      <w:pPr>
        <w:pStyle w:val="STitleMG"/>
        <w:rPr>
          <w:lang w:val="fr-CH"/>
        </w:rPr>
      </w:pPr>
      <w:r w:rsidRPr="00F30361">
        <w:rPr>
          <w:bCs/>
          <w:lang w:val="fr-CH"/>
        </w:rPr>
        <w:t>Quatre-vingt-unième</w:t>
      </w:r>
      <w:r w:rsidRPr="00F30361">
        <w:rPr>
          <w:lang w:val="fr-CH"/>
        </w:rPr>
        <w:t xml:space="preserve"> session</w:t>
      </w:r>
    </w:p>
    <w:p w14:paraId="3EC0CA0F" w14:textId="2A30A76F" w:rsidR="00F30361" w:rsidRDefault="00F30361" w:rsidP="00F30361">
      <w:pPr>
        <w:pStyle w:val="STitleMG"/>
        <w:spacing w:after="120"/>
        <w:rPr>
          <w:lang w:val="fr-CH"/>
        </w:rPr>
      </w:pPr>
      <w:r w:rsidRPr="00F30361">
        <w:rPr>
          <w:lang w:val="fr-CH"/>
        </w:rPr>
        <w:t>(28 octobre-22 novembre 2024)</w:t>
      </w:r>
    </w:p>
    <w:p w14:paraId="141D4834" w14:textId="71D9CBC9" w:rsidR="00F30361" w:rsidRDefault="00F30361" w:rsidP="00D944F3">
      <w:pPr>
        <w:pStyle w:val="STitleMG"/>
        <w:rPr>
          <w:lang w:val="fr-CH"/>
        </w:rPr>
      </w:pPr>
      <w:r w:rsidRPr="00F30361">
        <w:rPr>
          <w:lang w:val="fr-CH"/>
        </w:rPr>
        <w:t>Quatre-vingt-deuxième session</w:t>
      </w:r>
    </w:p>
    <w:p w14:paraId="1F3EE9D7" w14:textId="2A4356AD" w:rsidR="00F30361" w:rsidRPr="00C66C3B" w:rsidRDefault="00F30361" w:rsidP="00D944F3">
      <w:pPr>
        <w:pStyle w:val="STitleMG"/>
      </w:pPr>
      <w:r w:rsidRPr="00F30361">
        <w:rPr>
          <w:lang w:val="fr-CH"/>
        </w:rPr>
        <w:t>(7 avril-2 mai 2025)</w:t>
      </w:r>
    </w:p>
    <w:p w14:paraId="5509D1DC" w14:textId="77777777" w:rsidR="00483E94" w:rsidRPr="00FA3966" w:rsidRDefault="00483E94" w:rsidP="00FC4149">
      <w:pPr>
        <w:pStyle w:val="XLargeG"/>
        <w:spacing w:before="4000"/>
        <w:rPr>
          <w:lang w:val="fr-FR"/>
        </w:rPr>
      </w:pPr>
      <w:r w:rsidRPr="00FA3966">
        <w:rPr>
          <w:lang w:val="fr-FR"/>
        </w:rPr>
        <w:t>Assemblée générale</w:t>
      </w:r>
    </w:p>
    <w:p w14:paraId="74C4C5F3" w14:textId="4677A8B0" w:rsidR="003D346F" w:rsidRDefault="00483E94" w:rsidP="00FC4149">
      <w:pPr>
        <w:pStyle w:val="HChG"/>
        <w:tabs>
          <w:tab w:val="clear" w:pos="851"/>
        </w:tabs>
        <w:spacing w:before="0" w:after="0"/>
        <w:ind w:firstLine="0"/>
        <w:rPr>
          <w:lang w:val="fr-FR"/>
        </w:rPr>
      </w:pPr>
      <w:r w:rsidRPr="00FA3966">
        <w:rPr>
          <w:lang w:val="fr-FR"/>
        </w:rPr>
        <w:t>Documents officiels</w:t>
      </w:r>
      <w:r w:rsidR="00FC4149">
        <w:rPr>
          <w:lang w:val="fr-FR"/>
        </w:rPr>
        <w:br/>
      </w:r>
      <w:r w:rsidR="00F30361" w:rsidRPr="00F30361">
        <w:rPr>
          <w:bCs/>
        </w:rPr>
        <w:t>Quatre-vingtième</w:t>
      </w:r>
      <w:r w:rsidR="00F30361" w:rsidRPr="00F30361">
        <w:rPr>
          <w:lang w:val="fr-FR"/>
        </w:rPr>
        <w:t xml:space="preserve"> session</w:t>
      </w:r>
      <w:r w:rsidR="00F30361" w:rsidRPr="00F30361">
        <w:rPr>
          <w:lang w:val="fr-FR"/>
        </w:rPr>
        <w:br/>
        <w:t>Supplément n</w:t>
      </w:r>
      <w:r w:rsidR="00F30361" w:rsidRPr="00F30361">
        <w:rPr>
          <w:vertAlign w:val="superscript"/>
          <w:lang w:val="fr-FR"/>
        </w:rPr>
        <w:t>o</w:t>
      </w:r>
      <w:r w:rsidR="00F30361" w:rsidRPr="00F30361">
        <w:rPr>
          <w:lang w:val="fr-FR"/>
        </w:rPr>
        <w:t> 44</w:t>
      </w:r>
    </w:p>
    <w:p w14:paraId="3BEB0419"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420900A2" w14:textId="77777777" w:rsidR="00483E94" w:rsidRDefault="00483E94" w:rsidP="003D346F">
      <w:pPr>
        <w:rPr>
          <w:lang w:val="fr-FR"/>
        </w:rPr>
      </w:pPr>
    </w:p>
    <w:p w14:paraId="6E6A209D" w14:textId="77777777" w:rsidR="00483E94" w:rsidRDefault="00483E94" w:rsidP="00C451B9">
      <w:pPr>
        <w:sectPr w:rsidR="00483E94" w:rsidSect="00F30361">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458D70F3" w14:textId="77777777" w:rsidTr="00D944F3">
        <w:tc>
          <w:tcPr>
            <w:tcW w:w="4814" w:type="dxa"/>
          </w:tcPr>
          <w:p w14:paraId="78721819"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4C137B08" w14:textId="77777777" w:rsidR="00D944F3" w:rsidRPr="00FA3966" w:rsidRDefault="00D944F3" w:rsidP="00D944F3">
            <w:pPr>
              <w:rPr>
                <w:sz w:val="24"/>
                <w:szCs w:val="24"/>
                <w:lang w:val="fr-FR"/>
              </w:rPr>
            </w:pPr>
            <w:r w:rsidRPr="00FA3966">
              <w:rPr>
                <w:sz w:val="24"/>
                <w:szCs w:val="24"/>
                <w:lang w:val="fr-FR"/>
              </w:rPr>
              <w:t>Documents officiels</w:t>
            </w:r>
          </w:p>
          <w:p w14:paraId="2263B6CD" w14:textId="57D7C295" w:rsidR="00D944F3" w:rsidRPr="00FA3966" w:rsidRDefault="00F30361" w:rsidP="00D944F3">
            <w:pPr>
              <w:rPr>
                <w:sz w:val="24"/>
                <w:szCs w:val="24"/>
                <w:lang w:val="fr-FR"/>
              </w:rPr>
            </w:pPr>
            <w:r w:rsidRPr="00F30361">
              <w:rPr>
                <w:sz w:val="24"/>
                <w:szCs w:val="24"/>
              </w:rPr>
              <w:t>Quatre-vingtième</w:t>
            </w:r>
            <w:r w:rsidRPr="00F30361">
              <w:rPr>
                <w:sz w:val="24"/>
                <w:szCs w:val="24"/>
                <w:lang w:val="fr-FR"/>
              </w:rPr>
              <w:t xml:space="preserve"> session</w:t>
            </w:r>
          </w:p>
          <w:p w14:paraId="6668A898" w14:textId="0C493D73" w:rsidR="00D944F3" w:rsidRDefault="00F30361" w:rsidP="00D944F3">
            <w:pPr>
              <w:rPr>
                <w:lang w:val="fr-FR"/>
              </w:rPr>
            </w:pPr>
            <w:r w:rsidRPr="00F30361">
              <w:rPr>
                <w:sz w:val="24"/>
                <w:szCs w:val="24"/>
                <w:lang w:val="fr-FR"/>
              </w:rPr>
              <w:t>Supplément n</w:t>
            </w:r>
            <w:r w:rsidRPr="00F30361">
              <w:rPr>
                <w:sz w:val="24"/>
                <w:szCs w:val="24"/>
                <w:vertAlign w:val="superscript"/>
                <w:lang w:val="fr-FR"/>
              </w:rPr>
              <w:t>o</w:t>
            </w:r>
            <w:r w:rsidRPr="00F30361">
              <w:rPr>
                <w:sz w:val="24"/>
                <w:szCs w:val="24"/>
                <w:lang w:val="fr-FR"/>
              </w:rPr>
              <w:t> 44</w:t>
            </w:r>
          </w:p>
        </w:tc>
        <w:tc>
          <w:tcPr>
            <w:tcW w:w="4815" w:type="dxa"/>
          </w:tcPr>
          <w:p w14:paraId="5818AC0E" w14:textId="77777777" w:rsidR="00D944F3" w:rsidRDefault="00F30361" w:rsidP="00D944F3">
            <w:pPr>
              <w:jc w:val="right"/>
              <w:rPr>
                <w:lang w:val="fr-FR"/>
              </w:rPr>
            </w:pPr>
            <w:r>
              <w:rPr>
                <w:bCs/>
                <w:lang w:val="fr-FR"/>
              </w:rPr>
              <w:t>A/80/44</w:t>
            </w:r>
          </w:p>
        </w:tc>
      </w:tr>
    </w:tbl>
    <w:p w14:paraId="5E32E847" w14:textId="37C1C491" w:rsidR="00541BE4" w:rsidRPr="00FA3966" w:rsidRDefault="00541BE4" w:rsidP="00D944F3">
      <w:pPr>
        <w:pStyle w:val="SMG"/>
        <w:spacing w:before="1134" w:after="480"/>
        <w:rPr>
          <w:szCs w:val="40"/>
          <w:lang w:val="fr-FR"/>
        </w:rPr>
      </w:pPr>
      <w:r w:rsidRPr="00FA3966">
        <w:rPr>
          <w:lang w:val="fr-FR"/>
        </w:rPr>
        <w:t xml:space="preserve">Rapport du </w:t>
      </w:r>
      <w:r w:rsidR="00F30361" w:rsidRPr="00F30361">
        <w:t>Comité contre la torture</w:t>
      </w:r>
      <w:r w:rsidR="00F30361" w:rsidRPr="00F30361">
        <w:rPr>
          <w:lang w:val="fr-FR"/>
        </w:rPr>
        <w:t xml:space="preserve"> </w:t>
      </w:r>
    </w:p>
    <w:p w14:paraId="6205C901" w14:textId="010D7730" w:rsidR="000A097F" w:rsidRDefault="00F30361" w:rsidP="00FC4149">
      <w:pPr>
        <w:pStyle w:val="SSG"/>
        <w:rPr>
          <w:lang w:val="fr-FR"/>
        </w:rPr>
      </w:pPr>
      <w:r w:rsidRPr="00F30361">
        <w:rPr>
          <w:bCs/>
        </w:rPr>
        <w:t>Quatre-vingtième</w:t>
      </w:r>
      <w:r w:rsidRPr="00F30361">
        <w:t xml:space="preserve"> session</w:t>
      </w:r>
      <w:r w:rsidRPr="00F30361">
        <w:rPr>
          <w:lang w:val="fr-FR"/>
        </w:rPr>
        <w:t xml:space="preserve"> </w:t>
      </w:r>
    </w:p>
    <w:p w14:paraId="12FD03B5" w14:textId="2E57920C" w:rsidR="00541BE4" w:rsidRDefault="00F30361" w:rsidP="00F30361">
      <w:pPr>
        <w:pStyle w:val="SSG"/>
        <w:spacing w:after="120"/>
        <w:rPr>
          <w:lang w:val="fr-FR"/>
        </w:rPr>
      </w:pPr>
      <w:r w:rsidRPr="00F30361">
        <w:t>(8-26 juillet 2024)</w:t>
      </w:r>
    </w:p>
    <w:p w14:paraId="0EC81D8E" w14:textId="6CDE3085" w:rsidR="00F30361" w:rsidRDefault="00F30361" w:rsidP="00F30361">
      <w:pPr>
        <w:pStyle w:val="SSG"/>
      </w:pPr>
      <w:r w:rsidRPr="00F30361">
        <w:rPr>
          <w:bCs/>
        </w:rPr>
        <w:t>Quatre-vingt-unième</w:t>
      </w:r>
      <w:r w:rsidRPr="00F30361">
        <w:t xml:space="preserve"> session</w:t>
      </w:r>
    </w:p>
    <w:p w14:paraId="7AEB9BDE" w14:textId="544DBFD8" w:rsidR="00F30361" w:rsidRDefault="00F30361" w:rsidP="00F30361">
      <w:pPr>
        <w:pStyle w:val="SSG"/>
        <w:spacing w:after="120"/>
      </w:pPr>
      <w:r w:rsidRPr="00F30361">
        <w:t>(28 octobre-22 novembre 2024)</w:t>
      </w:r>
    </w:p>
    <w:p w14:paraId="0B6DB0F7" w14:textId="2FF320E7" w:rsidR="00F30361" w:rsidRDefault="00F30361" w:rsidP="00F30361">
      <w:pPr>
        <w:pStyle w:val="SSG"/>
      </w:pPr>
      <w:r w:rsidRPr="00F30361">
        <w:t>Quatre-vingt-deuxième session</w:t>
      </w:r>
    </w:p>
    <w:p w14:paraId="7EF5F40D" w14:textId="5416A103" w:rsidR="00F30361" w:rsidRPr="00F30361" w:rsidRDefault="00F30361" w:rsidP="00F30361">
      <w:pPr>
        <w:pStyle w:val="SSG"/>
        <w:rPr>
          <w:lang w:val="fr-FR"/>
        </w:rPr>
      </w:pPr>
      <w:r w:rsidRPr="00F30361">
        <w:t>(7 avril-2 mai 2025)</w:t>
      </w:r>
    </w:p>
    <w:p w14:paraId="0F83F027" w14:textId="77777777" w:rsidR="00DF4D0D" w:rsidRDefault="001D12EC" w:rsidP="00BF2362">
      <w:pPr>
        <w:spacing w:before="6400"/>
        <w:ind w:left="1134"/>
        <w:outlineLvl w:val="0"/>
      </w:pPr>
      <w:r>
        <w:rPr>
          <w:noProof/>
          <w:lang w:eastAsia="fr-CH"/>
        </w:rPr>
        <w:drawing>
          <wp:inline distT="0" distB="0" distL="0" distR="0" wp14:anchorId="4FF4384B" wp14:editId="67206FAF">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53A0C0E3" w14:textId="171DF0B5"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sidR="00F30361">
        <w:rPr>
          <w:bCs/>
          <w:sz w:val="28"/>
          <w:lang w:val="fr-FR"/>
        </w:rPr>
        <w:t>2025</w:t>
      </w:r>
    </w:p>
    <w:p w14:paraId="5914B18F" w14:textId="77777777" w:rsidR="007B0ECA" w:rsidRDefault="00541BE4" w:rsidP="00541BE4">
      <w:pPr>
        <w:spacing w:before="4800" w:after="120"/>
        <w:ind w:left="1134"/>
        <w:rPr>
          <w:lang w:val="fr-FR"/>
        </w:rPr>
      </w:pPr>
      <w:r w:rsidRPr="00FA3966">
        <w:rPr>
          <w:lang w:val="fr-FR"/>
        </w:rPr>
        <w:br w:type="page"/>
      </w:r>
    </w:p>
    <w:p w14:paraId="09ECA6C6" w14:textId="77777777" w:rsidR="007B0ECA" w:rsidRDefault="007B0ECA" w:rsidP="005813E3">
      <w:pPr>
        <w:tabs>
          <w:tab w:val="left" w:pos="2035"/>
        </w:tabs>
        <w:spacing w:before="4800" w:after="120"/>
        <w:ind w:left="1134" w:firstLine="567"/>
        <w:rPr>
          <w:lang w:val="fr-FR"/>
        </w:rPr>
      </w:pPr>
    </w:p>
    <w:p w14:paraId="56C6BC04" w14:textId="77777777" w:rsidR="00541BE4" w:rsidRPr="00FA3966" w:rsidRDefault="00541BE4" w:rsidP="007B0ECA">
      <w:pPr>
        <w:spacing w:before="1400" w:after="120"/>
        <w:ind w:left="1134"/>
        <w:rPr>
          <w:i/>
          <w:lang w:val="fr-FR"/>
        </w:rPr>
      </w:pPr>
      <w:r w:rsidRPr="00FA3966">
        <w:rPr>
          <w:i/>
          <w:lang w:val="fr-FR"/>
        </w:rPr>
        <w:t>Note</w:t>
      </w:r>
    </w:p>
    <w:p w14:paraId="2127C73D"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33AA736F" w14:textId="70787E2B" w:rsidR="00541BE4" w:rsidRDefault="00F30361" w:rsidP="00F30361">
      <w:pPr>
        <w:pStyle w:val="SingleTxtG"/>
        <w:suppressAutoHyphens w:val="0"/>
        <w:kinsoku/>
        <w:overflowPunct/>
        <w:autoSpaceDE/>
        <w:autoSpaceDN/>
        <w:adjustRightInd/>
        <w:snapToGrid/>
        <w:spacing w:before="10560"/>
      </w:pPr>
      <w:r>
        <w:rPr>
          <w:rFonts w:eastAsia="Calibri"/>
          <w:lang w:val="fr-FR" w:eastAsia="zh-CN"/>
        </w:rPr>
        <w:t>ISSN 1020</w:t>
      </w:r>
      <w:r w:rsidR="00C65C7E">
        <w:rPr>
          <w:rFonts w:eastAsia="Calibri"/>
          <w:lang w:val="fr-FR" w:eastAsia="zh-CN"/>
        </w:rPr>
        <w:t>-</w:t>
      </w:r>
      <w:r>
        <w:rPr>
          <w:rFonts w:eastAsia="Calibri"/>
          <w:lang w:val="fr-FR" w:eastAsia="zh-CN"/>
        </w:rPr>
        <w:t>17</w:t>
      </w:r>
      <w:r w:rsidR="00C65C7E">
        <w:rPr>
          <w:rFonts w:eastAsia="Calibri"/>
          <w:lang w:val="fr-FR" w:eastAsia="zh-CN"/>
        </w:rPr>
        <w:t>18</w:t>
      </w:r>
    </w:p>
    <w:p w14:paraId="06D317A1" w14:textId="77777777" w:rsidR="00F30361" w:rsidRDefault="00F30361" w:rsidP="00C451B9"/>
    <w:p w14:paraId="4985E375" w14:textId="77777777" w:rsidR="00F30361" w:rsidRDefault="00F30361" w:rsidP="00C451B9"/>
    <w:p w14:paraId="0E132436" w14:textId="77777777" w:rsidR="00F30361" w:rsidRDefault="00F30361" w:rsidP="00C451B9">
      <w:pPr>
        <w:sectPr w:rsidR="00F30361" w:rsidSect="00F30361">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jc w:val="center"/>
        <w:tblBorders>
          <w:insideH w:val="none" w:sz="0" w:space="0" w:color="auto"/>
        </w:tblBorders>
        <w:tblLook w:val="05E0" w:firstRow="1" w:lastRow="1" w:firstColumn="1" w:lastColumn="1" w:noHBand="0" w:noVBand="1"/>
      </w:tblPr>
      <w:tblGrid>
        <w:gridCol w:w="9629"/>
      </w:tblGrid>
      <w:tr w:rsidR="00F30361" w14:paraId="5F6020F4" w14:textId="77777777" w:rsidTr="00F30361">
        <w:trPr>
          <w:jc w:val="center"/>
        </w:trPr>
        <w:tc>
          <w:tcPr>
            <w:tcW w:w="9629" w:type="dxa"/>
          </w:tcPr>
          <w:p w14:paraId="5F1FBB45" w14:textId="77777777" w:rsidR="00F30361" w:rsidRDefault="00F30361">
            <w:pPr>
              <w:spacing w:before="240" w:after="120"/>
              <w:ind w:left="255"/>
              <w:rPr>
                <w:i/>
                <w:sz w:val="24"/>
              </w:rPr>
            </w:pPr>
            <w:r>
              <w:rPr>
                <w:i/>
                <w:sz w:val="24"/>
              </w:rPr>
              <w:lastRenderedPageBreak/>
              <w:t>Résumé</w:t>
            </w:r>
          </w:p>
        </w:tc>
      </w:tr>
      <w:tr w:rsidR="00F30361" w14:paraId="0DCDAC81" w14:textId="77777777" w:rsidTr="00F30361">
        <w:trPr>
          <w:jc w:val="center"/>
        </w:trPr>
        <w:tc>
          <w:tcPr>
            <w:tcW w:w="9629" w:type="dxa"/>
          </w:tcPr>
          <w:p w14:paraId="05DD1725" w14:textId="07FABAE0" w:rsidR="00F30361" w:rsidRDefault="00F30361" w:rsidP="00F30361">
            <w:pPr>
              <w:pStyle w:val="SingleTxtG"/>
              <w:ind w:firstLine="567"/>
            </w:pPr>
            <w:r w:rsidRPr="00F30361">
              <w:rPr>
                <w:lang w:val="fr-FR"/>
              </w:rPr>
              <w:t>Le présent rapport annuel porte sur la période allant du 11 mai 2024 au 2 mai 2025, pendant laquelle le Comité contre la torture a tenu ses quatre-vingtième, quatre-vingt-unième et quatre-vingt-deuxième sessions.</w:t>
            </w:r>
          </w:p>
        </w:tc>
      </w:tr>
      <w:tr w:rsidR="00F30361" w14:paraId="719D3B38" w14:textId="77777777" w:rsidTr="00F30361">
        <w:trPr>
          <w:jc w:val="center"/>
        </w:trPr>
        <w:tc>
          <w:tcPr>
            <w:tcW w:w="9629" w:type="dxa"/>
          </w:tcPr>
          <w:p w14:paraId="79EC198D" w14:textId="6B6DDC69" w:rsidR="00F30361" w:rsidRPr="00F30361" w:rsidRDefault="00F30361" w:rsidP="00F30361">
            <w:pPr>
              <w:pStyle w:val="SingleTxtG"/>
              <w:ind w:firstLine="567"/>
              <w:rPr>
                <w:lang w:val="fr-FR"/>
              </w:rPr>
            </w:pPr>
            <w:r w:rsidRPr="00F30361">
              <w:rPr>
                <w:lang w:val="fr-FR"/>
              </w:rPr>
              <w:t>Au 2 mai 2025, 175 États étaient parties à la Convention contre la torture et autres peines ou traitements cruels, inhumains ou dégradants.</w:t>
            </w:r>
          </w:p>
        </w:tc>
      </w:tr>
      <w:tr w:rsidR="00F30361" w14:paraId="7F579336" w14:textId="77777777" w:rsidTr="00F30361">
        <w:trPr>
          <w:jc w:val="center"/>
        </w:trPr>
        <w:tc>
          <w:tcPr>
            <w:tcW w:w="9629" w:type="dxa"/>
          </w:tcPr>
          <w:p w14:paraId="68EDA172" w14:textId="5F188C7C" w:rsidR="00F30361" w:rsidRPr="00F30361" w:rsidRDefault="00F30361" w:rsidP="00F30361">
            <w:pPr>
              <w:pStyle w:val="SingleTxtG"/>
              <w:ind w:firstLine="567"/>
              <w:rPr>
                <w:lang w:val="fr-FR"/>
              </w:rPr>
            </w:pPr>
            <w:r w:rsidRPr="00F30361">
              <w:rPr>
                <w:lang w:val="fr-FR"/>
              </w:rPr>
              <w:t>Pendant la période considérée, le Comité a examiné 16 rapports soumis en application de l’article 19 de la Convention et adopté des observations finales à leur sujet (voir chap. III). À sa quatre-vingtième session, il a examiné les rapports de la Côte d’Ivoire, de l’Équateur, de la République de Corée et de la Türkiye. À sa quatre-vingt-unième session, il a examiné les rapports du Cameroun, de la Jordanie, du Koweït, de la Mongolie, de la Namibie et de la Thaïlande. À sa quatre-vingt-deuxième session, il a examiné les rapports de l’Arménie, de la France, de Maurice, de Monaco, du Turkménistan et de l’Ukraine.</w:t>
            </w:r>
          </w:p>
        </w:tc>
      </w:tr>
      <w:tr w:rsidR="00F30361" w14:paraId="4DA5F0E0" w14:textId="77777777" w:rsidTr="00F30361">
        <w:trPr>
          <w:jc w:val="center"/>
        </w:trPr>
        <w:tc>
          <w:tcPr>
            <w:tcW w:w="9629" w:type="dxa"/>
          </w:tcPr>
          <w:p w14:paraId="462D29B5" w14:textId="32037C5C" w:rsidR="00F30361" w:rsidRPr="00F30361" w:rsidRDefault="00F30361" w:rsidP="00F30361">
            <w:pPr>
              <w:pStyle w:val="SingleTxtG"/>
              <w:ind w:firstLine="567"/>
              <w:rPr>
                <w:lang w:val="fr-FR"/>
              </w:rPr>
            </w:pPr>
            <w:r w:rsidRPr="00F30361">
              <w:rPr>
                <w:lang w:val="fr-FR"/>
              </w:rPr>
              <w:t>Le Comité regrette vivement que certains États Parties ne s’acquittent pas de leur obligation de soumettre des rapports en application de l’article 19 de la Convention. Au moment de l’établissement du présent document, les rapports initiaux de 26 États Parties et les rapports périodiques de 44 États Parties étaient en retard (voir chap. II).</w:t>
            </w:r>
          </w:p>
        </w:tc>
      </w:tr>
      <w:tr w:rsidR="00F30361" w14:paraId="3CE565EF" w14:textId="77777777" w:rsidTr="00F30361">
        <w:trPr>
          <w:jc w:val="center"/>
        </w:trPr>
        <w:tc>
          <w:tcPr>
            <w:tcW w:w="9629" w:type="dxa"/>
          </w:tcPr>
          <w:p w14:paraId="4C498E50" w14:textId="58883AFE" w:rsidR="00F30361" w:rsidRPr="00F30361" w:rsidRDefault="00F30361" w:rsidP="00F30361">
            <w:pPr>
              <w:pStyle w:val="SingleTxtG"/>
              <w:ind w:firstLine="567"/>
              <w:rPr>
                <w:lang w:val="fr-FR"/>
              </w:rPr>
            </w:pPr>
            <w:r w:rsidRPr="00F30361">
              <w:rPr>
                <w:lang w:val="fr-FR"/>
              </w:rPr>
              <w:t>Le Comité a continué d’appliquer sa procédure de suivi des observations finales au cours de la période considérée (voir chap. IV). Il remercie les États Parties qui ont communiqué des informations détaillées, dans les délais impartis, au Rapporteur chargé du suivi des observations finales.</w:t>
            </w:r>
          </w:p>
        </w:tc>
      </w:tr>
      <w:tr w:rsidR="00F30361" w14:paraId="401BDB17" w14:textId="77777777" w:rsidTr="00F30361">
        <w:trPr>
          <w:jc w:val="center"/>
        </w:trPr>
        <w:tc>
          <w:tcPr>
            <w:tcW w:w="9629" w:type="dxa"/>
          </w:tcPr>
          <w:p w14:paraId="650D08EA" w14:textId="0C9198C1" w:rsidR="00F30361" w:rsidRPr="00F30361" w:rsidRDefault="00F30361" w:rsidP="00F30361">
            <w:pPr>
              <w:pStyle w:val="SingleTxtG"/>
              <w:ind w:firstLine="567"/>
              <w:rPr>
                <w:lang w:val="fr-FR"/>
              </w:rPr>
            </w:pPr>
            <w:r w:rsidRPr="00F30361">
              <w:rPr>
                <w:lang w:val="fr-FR"/>
              </w:rPr>
              <w:t>Le Comité a poursuivi les activités qu’il mène au titre de l’article 20 de la Convention pendant la période considérée (voir chap.</w:t>
            </w:r>
            <w:r w:rsidR="00871033">
              <w:rPr>
                <w:lang w:val="fr-FR"/>
              </w:rPr>
              <w:t> </w:t>
            </w:r>
            <w:r w:rsidRPr="00F30361">
              <w:rPr>
                <w:lang w:val="fr-FR"/>
              </w:rPr>
              <w:t>V).</w:t>
            </w:r>
          </w:p>
        </w:tc>
      </w:tr>
      <w:tr w:rsidR="00F30361" w14:paraId="17BFA32F" w14:textId="77777777" w:rsidTr="00F30361">
        <w:trPr>
          <w:jc w:val="center"/>
        </w:trPr>
        <w:tc>
          <w:tcPr>
            <w:tcW w:w="9629" w:type="dxa"/>
          </w:tcPr>
          <w:p w14:paraId="330D13DC" w14:textId="42471DC9" w:rsidR="00F30361" w:rsidRPr="00F30361" w:rsidRDefault="00F30361" w:rsidP="00F30361">
            <w:pPr>
              <w:pStyle w:val="SingleTxtG"/>
              <w:ind w:firstLine="567"/>
              <w:rPr>
                <w:lang w:val="fr-FR"/>
              </w:rPr>
            </w:pPr>
            <w:r w:rsidRPr="00F30361">
              <w:rPr>
                <w:lang w:val="fr-FR"/>
              </w:rPr>
              <w:t>Au titre de l’article 22 de la Convention, pendant la période considérée, le Comité a adopté 28 décisions sur le fond, déclaré 7 communications irrecevables et mis fin à l’examen de 43 communications (voir chap. VI). Au total, 1 260 requêtes concernant 45 États Parties ont été enregistrées depuis l’entrée en vigueur de la Convention, dont 49 depuis l’établissement du précédent rapport.</w:t>
            </w:r>
          </w:p>
        </w:tc>
      </w:tr>
      <w:tr w:rsidR="00F30361" w14:paraId="6B227828" w14:textId="77777777" w:rsidTr="00F30361">
        <w:trPr>
          <w:jc w:val="center"/>
        </w:trPr>
        <w:tc>
          <w:tcPr>
            <w:tcW w:w="9629" w:type="dxa"/>
          </w:tcPr>
          <w:p w14:paraId="551A4052" w14:textId="2D9B4EEB" w:rsidR="00F30361" w:rsidRPr="00F30361" w:rsidRDefault="00F30361" w:rsidP="00F30361">
            <w:pPr>
              <w:pStyle w:val="SingleTxtG"/>
              <w:ind w:firstLine="567"/>
              <w:rPr>
                <w:lang w:val="fr-FR"/>
              </w:rPr>
            </w:pPr>
            <w:r w:rsidRPr="00F30361">
              <w:rPr>
                <w:lang w:val="fr-FR"/>
              </w:rPr>
              <w:t>La charge de travail qui incombe au Comité au titre de l’article 22 demeure importante, et certaines affaires restent en attente. Au 2 mai 2025, le Comité avait encore 135 requêtes à examiner (voir chap. VI).</w:t>
            </w:r>
          </w:p>
        </w:tc>
      </w:tr>
      <w:tr w:rsidR="00F30361" w14:paraId="0A193114" w14:textId="77777777" w:rsidTr="00F30361">
        <w:trPr>
          <w:jc w:val="center"/>
        </w:trPr>
        <w:tc>
          <w:tcPr>
            <w:tcW w:w="9629" w:type="dxa"/>
          </w:tcPr>
          <w:p w14:paraId="6A6A4656" w14:textId="168B8477" w:rsidR="00F30361" w:rsidRPr="00F30361" w:rsidRDefault="00F30361" w:rsidP="00F30361">
            <w:pPr>
              <w:pStyle w:val="SingleTxtG"/>
              <w:ind w:firstLine="567"/>
              <w:rPr>
                <w:lang w:val="fr-FR"/>
              </w:rPr>
            </w:pPr>
            <w:r w:rsidRPr="00F30361">
              <w:rPr>
                <w:lang w:val="fr-FR"/>
              </w:rPr>
              <w:t>Le Comité constate une fois de plus que certains États Parties n’ont pas donné suite aux décisions qu’il a adoptées au sujet de requêtes les concernant. Il a continué de s’efforcer d’obtenir l’application de ses décisions par l’intermédiaire de son Rapporteur chargé du suivi des décisions adoptées au titre de l’article 22 (voir chap. VI).</w:t>
            </w:r>
          </w:p>
        </w:tc>
      </w:tr>
      <w:tr w:rsidR="00F30361" w14:paraId="073A9307" w14:textId="77777777" w:rsidTr="00F30361">
        <w:trPr>
          <w:jc w:val="center"/>
        </w:trPr>
        <w:tc>
          <w:tcPr>
            <w:tcW w:w="9629" w:type="dxa"/>
          </w:tcPr>
          <w:p w14:paraId="1926F967" w14:textId="6D66EADE" w:rsidR="00F30361" w:rsidRPr="00F30361" w:rsidRDefault="00F30361" w:rsidP="00F30361">
            <w:pPr>
              <w:pStyle w:val="SingleTxtG"/>
              <w:ind w:firstLine="567"/>
              <w:rPr>
                <w:lang w:val="fr-FR"/>
              </w:rPr>
            </w:pPr>
            <w:r w:rsidRPr="00F30361">
              <w:rPr>
                <w:lang w:val="fr-FR"/>
              </w:rPr>
              <w:t>Le Comité a continué d’accorder une attention particulière à la question des représailles (voir chap.</w:t>
            </w:r>
            <w:r w:rsidR="00871033">
              <w:rPr>
                <w:lang w:val="fr-FR"/>
              </w:rPr>
              <w:t> </w:t>
            </w:r>
            <w:r w:rsidRPr="00F30361">
              <w:rPr>
                <w:lang w:val="fr-FR"/>
              </w:rPr>
              <w:t>I).</w:t>
            </w:r>
          </w:p>
        </w:tc>
      </w:tr>
      <w:tr w:rsidR="00F30361" w14:paraId="38707A45" w14:textId="77777777" w:rsidTr="00F30361">
        <w:trPr>
          <w:jc w:val="center"/>
        </w:trPr>
        <w:tc>
          <w:tcPr>
            <w:tcW w:w="9629" w:type="dxa"/>
          </w:tcPr>
          <w:p w14:paraId="265F7DF9" w14:textId="77777777" w:rsidR="00F30361" w:rsidRDefault="00F30361"/>
        </w:tc>
      </w:tr>
    </w:tbl>
    <w:p w14:paraId="79BABA6A" w14:textId="77777777" w:rsidR="00F30361" w:rsidRDefault="00F30361">
      <w:pPr>
        <w:suppressAutoHyphens w:val="0"/>
        <w:kinsoku/>
        <w:overflowPunct/>
        <w:autoSpaceDE/>
        <w:autoSpaceDN/>
        <w:adjustRightInd/>
        <w:snapToGrid/>
        <w:spacing w:line="240" w:lineRule="auto"/>
      </w:pPr>
      <w:r>
        <w:br w:type="page"/>
      </w:r>
    </w:p>
    <w:p w14:paraId="0F60F62D" w14:textId="0390E855" w:rsidR="00EF7D1D" w:rsidRPr="00BB0DAE" w:rsidRDefault="00C65C7E" w:rsidP="00C65C7E">
      <w:pPr>
        <w:pStyle w:val="SingleTxtG"/>
        <w:jc w:val="right"/>
      </w:pPr>
      <w:r>
        <w:lastRenderedPageBreak/>
        <w:t>[</w:t>
      </w:r>
      <w:r w:rsidR="00F30361" w:rsidRPr="00F30361">
        <w:t>2</w:t>
      </w:r>
      <w:r w:rsidR="00C938DC">
        <w:t>5</w:t>
      </w:r>
      <w:r w:rsidR="00F30361" w:rsidRPr="00F30361">
        <w:t> juin 2025</w:t>
      </w:r>
      <w:r>
        <w:t>]</w:t>
      </w:r>
    </w:p>
    <w:p w14:paraId="15D0C590" w14:textId="77777777" w:rsidR="00A669DA" w:rsidRDefault="00A669DA" w:rsidP="0060322E">
      <w:pPr>
        <w:spacing w:after="120"/>
        <w:rPr>
          <w:sz w:val="28"/>
        </w:rPr>
      </w:pPr>
      <w:r>
        <w:rPr>
          <w:sz w:val="28"/>
        </w:rPr>
        <w:t>Table des matières</w:t>
      </w:r>
    </w:p>
    <w:p w14:paraId="122A32D9" w14:textId="77777777" w:rsidR="00F30361" w:rsidRPr="00D833AB" w:rsidRDefault="00F30361" w:rsidP="00F30361">
      <w:pPr>
        <w:tabs>
          <w:tab w:val="right" w:pos="9638"/>
        </w:tabs>
        <w:spacing w:after="120"/>
        <w:ind w:left="283"/>
        <w:rPr>
          <w:i/>
          <w:sz w:val="18"/>
        </w:rPr>
      </w:pPr>
      <w:r w:rsidRPr="00D833AB">
        <w:rPr>
          <w:i/>
          <w:sz w:val="18"/>
        </w:rPr>
        <w:t>Chapitre</w:t>
      </w:r>
      <w:r w:rsidRPr="00D833AB">
        <w:rPr>
          <w:i/>
          <w:sz w:val="18"/>
        </w:rPr>
        <w:tab/>
        <w:t>Page</w:t>
      </w:r>
    </w:p>
    <w:p w14:paraId="68FCB8BF" w14:textId="77777777" w:rsidR="00C7510B" w:rsidRPr="00D833AB" w:rsidRDefault="00C7510B" w:rsidP="00C7510B">
      <w:pPr>
        <w:tabs>
          <w:tab w:val="right" w:pos="850"/>
          <w:tab w:val="right" w:leader="dot" w:pos="8787"/>
          <w:tab w:val="right" w:pos="9638"/>
        </w:tabs>
        <w:spacing w:after="120"/>
        <w:ind w:left="1134" w:hanging="1134"/>
      </w:pPr>
      <w:r w:rsidRPr="00D833AB">
        <w:tab/>
        <w:t>I.</w:t>
      </w:r>
      <w:r w:rsidRPr="00D833AB">
        <w:tab/>
      </w:r>
      <w:r w:rsidRPr="00D833AB">
        <w:rPr>
          <w:lang w:val="fr-FR"/>
        </w:rPr>
        <w:t>Questions d’organisation et questions diverses</w:t>
      </w:r>
      <w:r w:rsidRPr="00D833AB">
        <w:tab/>
      </w:r>
      <w:r w:rsidRPr="00D833AB">
        <w:tab/>
      </w:r>
      <w:r>
        <w:t>1</w:t>
      </w:r>
    </w:p>
    <w:p w14:paraId="42486083" w14:textId="77777777" w:rsidR="00C7510B" w:rsidRPr="00D833AB" w:rsidRDefault="00C7510B" w:rsidP="00C7510B">
      <w:pPr>
        <w:tabs>
          <w:tab w:val="right" w:leader="dot" w:pos="8787"/>
          <w:tab w:val="right" w:pos="9638"/>
        </w:tabs>
        <w:spacing w:after="120"/>
        <w:ind w:left="1559" w:hanging="425"/>
      </w:pPr>
      <w:r w:rsidRPr="00D833AB">
        <w:t>A.</w:t>
      </w:r>
      <w:r w:rsidRPr="00D833AB">
        <w:tab/>
      </w:r>
      <w:r w:rsidRPr="00D833AB">
        <w:rPr>
          <w:lang w:val="fr-FR"/>
        </w:rPr>
        <w:t xml:space="preserve">États </w:t>
      </w:r>
      <w:r>
        <w:rPr>
          <w:lang w:val="fr-FR"/>
        </w:rPr>
        <w:t>P</w:t>
      </w:r>
      <w:r w:rsidRPr="00D833AB">
        <w:rPr>
          <w:lang w:val="fr-FR"/>
        </w:rPr>
        <w:t>arties à la Convention</w:t>
      </w:r>
      <w:r w:rsidRPr="00D833AB">
        <w:tab/>
      </w:r>
      <w:r w:rsidRPr="00D833AB">
        <w:tab/>
      </w:r>
      <w:r>
        <w:t>1</w:t>
      </w:r>
    </w:p>
    <w:p w14:paraId="6DAB555B" w14:textId="77777777" w:rsidR="00C7510B" w:rsidRPr="00D833AB" w:rsidRDefault="00C7510B" w:rsidP="00C7510B">
      <w:pPr>
        <w:tabs>
          <w:tab w:val="right" w:leader="dot" w:pos="8787"/>
          <w:tab w:val="right" w:pos="9638"/>
        </w:tabs>
        <w:spacing w:after="120"/>
        <w:ind w:left="1559" w:hanging="425"/>
      </w:pPr>
      <w:r w:rsidRPr="00D833AB">
        <w:t>B.</w:t>
      </w:r>
      <w:r w:rsidRPr="00D833AB">
        <w:tab/>
      </w:r>
      <w:r w:rsidRPr="00D833AB">
        <w:rPr>
          <w:lang w:val="fr-FR"/>
        </w:rPr>
        <w:t>Sessions et ordres du jour du Comité</w:t>
      </w:r>
      <w:r w:rsidRPr="00D833AB">
        <w:tab/>
      </w:r>
      <w:r w:rsidRPr="00D833AB">
        <w:tab/>
      </w:r>
      <w:r>
        <w:t>1</w:t>
      </w:r>
    </w:p>
    <w:p w14:paraId="60F6871B" w14:textId="77777777" w:rsidR="00C7510B" w:rsidRPr="00D833AB" w:rsidRDefault="00C7510B" w:rsidP="00C7510B">
      <w:pPr>
        <w:tabs>
          <w:tab w:val="right" w:leader="dot" w:pos="8787"/>
          <w:tab w:val="right" w:pos="9638"/>
        </w:tabs>
        <w:spacing w:after="120"/>
        <w:ind w:left="1559" w:hanging="425"/>
      </w:pPr>
      <w:r w:rsidRPr="00D833AB">
        <w:t>C.</w:t>
      </w:r>
      <w:r w:rsidRPr="00D833AB">
        <w:tab/>
      </w:r>
      <w:r w:rsidRPr="00D833AB">
        <w:rPr>
          <w:lang w:val="fr-FR"/>
        </w:rPr>
        <w:t>Composition du Comité et du Bureau et mandats</w:t>
      </w:r>
      <w:r w:rsidRPr="00D833AB">
        <w:tab/>
      </w:r>
      <w:r w:rsidRPr="00D833AB">
        <w:tab/>
      </w:r>
      <w:r>
        <w:t>1</w:t>
      </w:r>
    </w:p>
    <w:p w14:paraId="6CAA0B2B" w14:textId="77777777" w:rsidR="00C7510B" w:rsidRPr="00D833AB" w:rsidRDefault="00C7510B" w:rsidP="00C7510B">
      <w:pPr>
        <w:tabs>
          <w:tab w:val="right" w:leader="dot" w:pos="8787"/>
          <w:tab w:val="right" w:pos="9638"/>
        </w:tabs>
        <w:spacing w:after="120"/>
        <w:ind w:left="1559" w:hanging="425"/>
      </w:pPr>
      <w:r w:rsidRPr="00D833AB">
        <w:t>D.</w:t>
      </w:r>
      <w:r w:rsidRPr="00D833AB">
        <w:tab/>
      </w:r>
      <w:r w:rsidRPr="00D833AB">
        <w:rPr>
          <w:lang w:val="fr-FR"/>
        </w:rPr>
        <w:t>Rapport oral du Président à l’Assemblée générale</w:t>
      </w:r>
      <w:r w:rsidRPr="00D833AB">
        <w:tab/>
      </w:r>
      <w:r w:rsidRPr="00D833AB">
        <w:tab/>
      </w:r>
      <w:r>
        <w:t>2</w:t>
      </w:r>
    </w:p>
    <w:p w14:paraId="527B7432" w14:textId="77777777" w:rsidR="00C7510B" w:rsidRPr="00D833AB" w:rsidRDefault="00C7510B" w:rsidP="00C7510B">
      <w:pPr>
        <w:tabs>
          <w:tab w:val="right" w:leader="dot" w:pos="8787"/>
          <w:tab w:val="right" w:pos="9638"/>
        </w:tabs>
        <w:spacing w:after="120"/>
        <w:ind w:left="1559" w:hanging="425"/>
      </w:pPr>
      <w:r w:rsidRPr="00D833AB">
        <w:t>E.</w:t>
      </w:r>
      <w:r w:rsidRPr="00D833AB">
        <w:tab/>
      </w:r>
      <w:r w:rsidRPr="00D833AB">
        <w:rPr>
          <w:lang w:val="fr-FR"/>
        </w:rPr>
        <w:t>Activités du Comité relatives au Protocole facultatif se rapportant à la Convention</w:t>
      </w:r>
      <w:r w:rsidRPr="00D833AB">
        <w:tab/>
      </w:r>
      <w:r w:rsidRPr="00D833AB">
        <w:tab/>
      </w:r>
      <w:r>
        <w:t>2</w:t>
      </w:r>
    </w:p>
    <w:p w14:paraId="65257A81" w14:textId="77777777" w:rsidR="00C7510B" w:rsidRPr="00D833AB" w:rsidRDefault="00C7510B" w:rsidP="00C7510B">
      <w:pPr>
        <w:tabs>
          <w:tab w:val="right" w:leader="dot" w:pos="8787"/>
          <w:tab w:val="right" w:pos="9638"/>
        </w:tabs>
        <w:spacing w:after="120"/>
        <w:ind w:left="1559" w:hanging="425"/>
      </w:pPr>
      <w:r w:rsidRPr="00D833AB">
        <w:t>F.</w:t>
      </w:r>
      <w:r w:rsidRPr="00D833AB">
        <w:tab/>
      </w:r>
      <w:r w:rsidRPr="00D833AB">
        <w:rPr>
          <w:lang w:val="fr-FR"/>
        </w:rPr>
        <w:t xml:space="preserve">Déclaration commune à l’occasion de la Journée internationale des Nations Unies </w:t>
      </w:r>
      <w:r w:rsidRPr="00D833AB">
        <w:rPr>
          <w:lang w:val="fr-FR"/>
        </w:rPr>
        <w:br/>
        <w:t>pour le soutien aux victimes de la torture</w:t>
      </w:r>
      <w:r w:rsidRPr="00D833AB">
        <w:tab/>
      </w:r>
      <w:r w:rsidRPr="00D833AB">
        <w:tab/>
      </w:r>
      <w:r>
        <w:t>2</w:t>
      </w:r>
    </w:p>
    <w:p w14:paraId="69D9869F" w14:textId="77777777" w:rsidR="00C7510B" w:rsidRPr="00D833AB" w:rsidRDefault="00C7510B" w:rsidP="00C7510B">
      <w:pPr>
        <w:tabs>
          <w:tab w:val="right" w:leader="dot" w:pos="8787"/>
          <w:tab w:val="right" w:pos="9638"/>
        </w:tabs>
        <w:spacing w:after="120"/>
        <w:ind w:left="1559" w:hanging="425"/>
      </w:pPr>
      <w:r w:rsidRPr="00D833AB">
        <w:t>G.</w:t>
      </w:r>
      <w:r w:rsidRPr="00D833AB">
        <w:tab/>
      </w:r>
      <w:r w:rsidRPr="00D833AB">
        <w:rPr>
          <w:lang w:val="fr-FR"/>
        </w:rPr>
        <w:t>Quarantième anniversaire de l’adoption de la Convention</w:t>
      </w:r>
      <w:r w:rsidRPr="00D833AB">
        <w:tab/>
      </w:r>
      <w:r w:rsidRPr="00D833AB">
        <w:tab/>
      </w:r>
      <w:r>
        <w:t>2</w:t>
      </w:r>
    </w:p>
    <w:p w14:paraId="590E60D8" w14:textId="77777777" w:rsidR="00C7510B" w:rsidRPr="00D833AB" w:rsidRDefault="00C7510B" w:rsidP="00C7510B">
      <w:pPr>
        <w:tabs>
          <w:tab w:val="right" w:leader="dot" w:pos="8787"/>
          <w:tab w:val="right" w:pos="9638"/>
        </w:tabs>
        <w:spacing w:after="120"/>
        <w:ind w:left="1559" w:hanging="425"/>
      </w:pPr>
      <w:r w:rsidRPr="00D833AB">
        <w:t>H.</w:t>
      </w:r>
      <w:r w:rsidRPr="00D833AB">
        <w:tab/>
      </w:r>
      <w:r w:rsidRPr="00D833AB">
        <w:rPr>
          <w:lang w:val="fr-FR"/>
        </w:rPr>
        <w:t xml:space="preserve">Participation des organisations non gouvernementales, des institutions nationales </w:t>
      </w:r>
      <w:r w:rsidRPr="00D833AB">
        <w:rPr>
          <w:lang w:val="fr-FR"/>
        </w:rPr>
        <w:br/>
        <w:t>des droits de l’homme et des mécanismes nationaux de prévention</w:t>
      </w:r>
      <w:r w:rsidRPr="00D833AB">
        <w:tab/>
      </w:r>
      <w:r w:rsidRPr="00D833AB">
        <w:tab/>
      </w:r>
      <w:r>
        <w:t>3</w:t>
      </w:r>
    </w:p>
    <w:p w14:paraId="17A62B91" w14:textId="77777777" w:rsidR="00C7510B" w:rsidRPr="00D833AB" w:rsidRDefault="00C7510B" w:rsidP="00C7510B">
      <w:pPr>
        <w:tabs>
          <w:tab w:val="right" w:leader="dot" w:pos="8787"/>
          <w:tab w:val="right" w:pos="9638"/>
        </w:tabs>
        <w:spacing w:after="120"/>
        <w:ind w:left="1559" w:hanging="425"/>
      </w:pPr>
      <w:r w:rsidRPr="00D833AB">
        <w:t>I.</w:t>
      </w:r>
      <w:r w:rsidRPr="00D833AB">
        <w:tab/>
      </w:r>
      <w:r w:rsidRPr="00D833AB">
        <w:rPr>
          <w:lang w:val="fr-FR"/>
        </w:rPr>
        <w:t>Rapporteur (Rapporteuse) chargé(e) de la question des représailles</w:t>
      </w:r>
      <w:r w:rsidRPr="00D833AB">
        <w:tab/>
      </w:r>
      <w:r w:rsidRPr="00D833AB">
        <w:tab/>
      </w:r>
      <w:r>
        <w:t>4</w:t>
      </w:r>
    </w:p>
    <w:p w14:paraId="5CE21F22" w14:textId="77777777" w:rsidR="00C7510B" w:rsidRPr="00D833AB" w:rsidRDefault="00C7510B" w:rsidP="00C7510B">
      <w:pPr>
        <w:tabs>
          <w:tab w:val="right" w:leader="dot" w:pos="8787"/>
          <w:tab w:val="right" w:pos="9638"/>
        </w:tabs>
        <w:spacing w:after="120"/>
        <w:ind w:left="1559" w:hanging="425"/>
      </w:pPr>
      <w:r w:rsidRPr="00D833AB">
        <w:t>J.</w:t>
      </w:r>
      <w:r w:rsidRPr="00D833AB">
        <w:tab/>
      </w:r>
      <w:r w:rsidRPr="00D833AB">
        <w:rPr>
          <w:lang w:val="fr-FR"/>
        </w:rPr>
        <w:t>Processus de renforcement des organes conventionnels</w:t>
      </w:r>
      <w:r w:rsidRPr="00D833AB">
        <w:tab/>
      </w:r>
      <w:r w:rsidRPr="00D833AB">
        <w:tab/>
      </w:r>
      <w:r>
        <w:t>4</w:t>
      </w:r>
    </w:p>
    <w:p w14:paraId="69D143CD" w14:textId="77777777" w:rsidR="00C7510B" w:rsidRPr="00D833AB" w:rsidRDefault="00C7510B" w:rsidP="00C7510B">
      <w:pPr>
        <w:tabs>
          <w:tab w:val="right" w:leader="dot" w:pos="8787"/>
          <w:tab w:val="right" w:pos="9638"/>
        </w:tabs>
        <w:spacing w:after="120"/>
        <w:ind w:left="1559" w:hanging="425"/>
      </w:pPr>
      <w:r w:rsidRPr="00D833AB">
        <w:t>K.</w:t>
      </w:r>
      <w:r w:rsidRPr="00D833AB">
        <w:tab/>
      </w:r>
      <w:r w:rsidRPr="00D833AB">
        <w:rPr>
          <w:lang w:val="fr-FR"/>
        </w:rPr>
        <w:t>Participation des membres du Comité à d’autres réunions</w:t>
      </w:r>
      <w:r w:rsidRPr="00D833AB">
        <w:tab/>
      </w:r>
      <w:r w:rsidRPr="00D833AB">
        <w:tab/>
      </w:r>
      <w:r>
        <w:t>4</w:t>
      </w:r>
    </w:p>
    <w:p w14:paraId="1C22F142" w14:textId="77777777" w:rsidR="00C7510B" w:rsidRPr="00D833AB" w:rsidRDefault="00C7510B" w:rsidP="00C7510B">
      <w:pPr>
        <w:tabs>
          <w:tab w:val="right" w:pos="850"/>
          <w:tab w:val="right" w:leader="dot" w:pos="8787"/>
          <w:tab w:val="right" w:pos="9638"/>
        </w:tabs>
        <w:spacing w:after="120"/>
        <w:ind w:left="1134" w:hanging="1134"/>
      </w:pPr>
      <w:r w:rsidRPr="00D833AB">
        <w:tab/>
        <w:t>II.</w:t>
      </w:r>
      <w:r w:rsidRPr="00D833AB">
        <w:tab/>
      </w:r>
      <w:r w:rsidRPr="00D833AB">
        <w:rPr>
          <w:lang w:val="fr-FR"/>
        </w:rPr>
        <w:t xml:space="preserve">Soumission de rapports par les États </w:t>
      </w:r>
      <w:r>
        <w:rPr>
          <w:lang w:val="fr-FR"/>
        </w:rPr>
        <w:t>P</w:t>
      </w:r>
      <w:r w:rsidRPr="00D833AB">
        <w:rPr>
          <w:lang w:val="fr-FR"/>
        </w:rPr>
        <w:t>arties en application de l’article</w:t>
      </w:r>
      <w:r>
        <w:rPr>
          <w:lang w:val="fr-FR"/>
        </w:rPr>
        <w:t> </w:t>
      </w:r>
      <w:r w:rsidRPr="00D833AB">
        <w:rPr>
          <w:lang w:val="fr-FR"/>
        </w:rPr>
        <w:t>19 de la Convention</w:t>
      </w:r>
      <w:r w:rsidRPr="00D833AB">
        <w:tab/>
      </w:r>
      <w:r w:rsidRPr="00D833AB">
        <w:tab/>
      </w:r>
      <w:r>
        <w:t>6</w:t>
      </w:r>
    </w:p>
    <w:p w14:paraId="038E2608" w14:textId="77777777" w:rsidR="00C7510B" w:rsidRPr="00D833AB" w:rsidRDefault="00C7510B" w:rsidP="00C7510B">
      <w:pPr>
        <w:tabs>
          <w:tab w:val="right" w:pos="850"/>
          <w:tab w:val="right" w:leader="dot" w:pos="8787"/>
          <w:tab w:val="right" w:pos="9638"/>
        </w:tabs>
        <w:spacing w:after="120"/>
        <w:ind w:left="1134" w:hanging="1134"/>
      </w:pPr>
      <w:r w:rsidRPr="00D833AB">
        <w:tab/>
        <w:t>III.</w:t>
      </w:r>
      <w:r w:rsidRPr="00D833AB">
        <w:tab/>
      </w:r>
      <w:r w:rsidRPr="00D833AB">
        <w:rPr>
          <w:lang w:val="fr-FR"/>
        </w:rPr>
        <w:t xml:space="preserve">Examen des rapports soumis par les États </w:t>
      </w:r>
      <w:r>
        <w:rPr>
          <w:lang w:val="fr-FR"/>
        </w:rPr>
        <w:t>P</w:t>
      </w:r>
      <w:r w:rsidRPr="00D833AB">
        <w:rPr>
          <w:lang w:val="fr-FR"/>
        </w:rPr>
        <w:t>arties en application de l’article</w:t>
      </w:r>
      <w:r>
        <w:rPr>
          <w:lang w:val="fr-FR"/>
        </w:rPr>
        <w:t> </w:t>
      </w:r>
      <w:r w:rsidRPr="00D833AB">
        <w:rPr>
          <w:lang w:val="fr-FR"/>
        </w:rPr>
        <w:t xml:space="preserve">19 </w:t>
      </w:r>
      <w:r w:rsidRPr="00D833AB">
        <w:rPr>
          <w:lang w:val="fr-FR"/>
        </w:rPr>
        <w:br/>
        <w:t>de la Convention</w:t>
      </w:r>
      <w:r w:rsidRPr="00D833AB">
        <w:tab/>
      </w:r>
      <w:r w:rsidRPr="00D833AB">
        <w:tab/>
      </w:r>
      <w:r>
        <w:t>7</w:t>
      </w:r>
    </w:p>
    <w:p w14:paraId="7F55A518" w14:textId="77777777" w:rsidR="00C7510B" w:rsidRPr="00D833AB" w:rsidRDefault="00C7510B" w:rsidP="00C7510B">
      <w:pPr>
        <w:tabs>
          <w:tab w:val="right" w:pos="850"/>
          <w:tab w:val="right" w:leader="dot" w:pos="8787"/>
          <w:tab w:val="right" w:pos="9638"/>
        </w:tabs>
        <w:spacing w:after="120"/>
        <w:ind w:left="1134" w:hanging="1134"/>
      </w:pPr>
      <w:r w:rsidRPr="00D833AB">
        <w:tab/>
        <w:t>IV.</w:t>
      </w:r>
      <w:r w:rsidRPr="00D833AB">
        <w:tab/>
      </w:r>
      <w:r w:rsidRPr="00D833AB">
        <w:rPr>
          <w:lang w:val="fr-FR"/>
        </w:rPr>
        <w:t xml:space="preserve">Suivi des observations finales relatives aux rapports des États </w:t>
      </w:r>
      <w:r>
        <w:rPr>
          <w:lang w:val="fr-FR"/>
        </w:rPr>
        <w:t>P</w:t>
      </w:r>
      <w:r w:rsidRPr="00D833AB">
        <w:rPr>
          <w:lang w:val="fr-FR"/>
        </w:rPr>
        <w:t>arties</w:t>
      </w:r>
      <w:r w:rsidRPr="00D833AB">
        <w:tab/>
      </w:r>
      <w:r w:rsidRPr="00D833AB">
        <w:tab/>
      </w:r>
      <w:r>
        <w:t>9</w:t>
      </w:r>
    </w:p>
    <w:p w14:paraId="13AB7FA9" w14:textId="77777777" w:rsidR="00C7510B" w:rsidRPr="00D833AB" w:rsidRDefault="00C7510B" w:rsidP="00C7510B">
      <w:pPr>
        <w:tabs>
          <w:tab w:val="right" w:pos="850"/>
          <w:tab w:val="right" w:leader="dot" w:pos="8787"/>
          <w:tab w:val="right" w:pos="9638"/>
        </w:tabs>
        <w:spacing w:after="120"/>
        <w:ind w:left="1134" w:hanging="1134"/>
      </w:pPr>
      <w:r w:rsidRPr="00D833AB">
        <w:tab/>
        <w:t>V.</w:t>
      </w:r>
      <w:r w:rsidRPr="00D833AB">
        <w:tab/>
      </w:r>
      <w:r w:rsidRPr="00D833AB">
        <w:rPr>
          <w:lang w:val="fr-FR"/>
        </w:rPr>
        <w:t>Activités menées par le Comité en application de l’article 20 de la Convention</w:t>
      </w:r>
      <w:r w:rsidRPr="00D833AB">
        <w:tab/>
      </w:r>
      <w:r w:rsidRPr="00D833AB">
        <w:tab/>
      </w:r>
      <w:r>
        <w:t>10</w:t>
      </w:r>
    </w:p>
    <w:p w14:paraId="354D2646" w14:textId="77777777" w:rsidR="00C7510B" w:rsidRPr="00D833AB" w:rsidRDefault="00C7510B" w:rsidP="00C7510B">
      <w:pPr>
        <w:tabs>
          <w:tab w:val="right" w:pos="850"/>
          <w:tab w:val="right" w:leader="dot" w:pos="8787"/>
          <w:tab w:val="right" w:pos="9638"/>
        </w:tabs>
        <w:spacing w:after="120"/>
        <w:ind w:left="1134" w:hanging="1134"/>
      </w:pPr>
      <w:r w:rsidRPr="00D833AB">
        <w:tab/>
        <w:t>VI.</w:t>
      </w:r>
      <w:r w:rsidRPr="00D833AB">
        <w:tab/>
      </w:r>
      <w:r w:rsidRPr="00D833AB">
        <w:rPr>
          <w:lang w:val="fr-FR"/>
        </w:rPr>
        <w:t>Examen des requêtes soumises au titre de l’article 22 de la Convention</w:t>
      </w:r>
      <w:r w:rsidRPr="00D833AB">
        <w:tab/>
      </w:r>
      <w:r w:rsidRPr="00D833AB">
        <w:tab/>
      </w:r>
      <w:r>
        <w:t>11</w:t>
      </w:r>
    </w:p>
    <w:p w14:paraId="6BC227E4" w14:textId="77777777" w:rsidR="00C7510B" w:rsidRPr="00D833AB" w:rsidRDefault="00C7510B" w:rsidP="00C7510B">
      <w:pPr>
        <w:tabs>
          <w:tab w:val="right" w:leader="dot" w:pos="8787"/>
          <w:tab w:val="right" w:pos="9638"/>
        </w:tabs>
        <w:spacing w:after="120"/>
        <w:ind w:left="1559" w:hanging="425"/>
      </w:pPr>
      <w:r w:rsidRPr="00D833AB">
        <w:t>A.</w:t>
      </w:r>
      <w:r w:rsidRPr="00D833AB">
        <w:tab/>
      </w:r>
      <w:r w:rsidRPr="00D833AB">
        <w:rPr>
          <w:lang w:val="fr-FR"/>
        </w:rPr>
        <w:t>Introduction</w:t>
      </w:r>
      <w:r w:rsidRPr="00D833AB">
        <w:tab/>
      </w:r>
      <w:r w:rsidRPr="00D833AB">
        <w:tab/>
      </w:r>
      <w:r>
        <w:t>11</w:t>
      </w:r>
    </w:p>
    <w:p w14:paraId="12813537" w14:textId="77777777" w:rsidR="00C7510B" w:rsidRPr="00D833AB" w:rsidRDefault="00C7510B" w:rsidP="00C7510B">
      <w:pPr>
        <w:tabs>
          <w:tab w:val="right" w:leader="dot" w:pos="8787"/>
          <w:tab w:val="right" w:pos="9638"/>
        </w:tabs>
        <w:spacing w:after="120"/>
        <w:ind w:left="1559" w:hanging="425"/>
      </w:pPr>
      <w:r w:rsidRPr="00D833AB">
        <w:t>B.</w:t>
      </w:r>
      <w:r w:rsidRPr="00D833AB">
        <w:tab/>
      </w:r>
      <w:r w:rsidRPr="00D833AB">
        <w:rPr>
          <w:lang w:val="fr-FR"/>
        </w:rPr>
        <w:t>Mesures provisoires de protection</w:t>
      </w:r>
      <w:r w:rsidRPr="00D833AB">
        <w:tab/>
      </w:r>
      <w:r w:rsidRPr="00D833AB">
        <w:tab/>
      </w:r>
      <w:r>
        <w:t>11</w:t>
      </w:r>
    </w:p>
    <w:p w14:paraId="01E33B4D" w14:textId="77777777" w:rsidR="00C7510B" w:rsidRPr="00D833AB" w:rsidRDefault="00C7510B" w:rsidP="00C7510B">
      <w:pPr>
        <w:tabs>
          <w:tab w:val="right" w:leader="dot" w:pos="8787"/>
          <w:tab w:val="right" w:pos="9638"/>
        </w:tabs>
        <w:spacing w:after="120"/>
        <w:ind w:left="1559" w:hanging="425"/>
      </w:pPr>
      <w:r w:rsidRPr="00D833AB">
        <w:t>C.</w:t>
      </w:r>
      <w:r w:rsidRPr="00D833AB">
        <w:tab/>
      </w:r>
      <w:r w:rsidRPr="00D833AB">
        <w:rPr>
          <w:lang w:val="fr-FR"/>
        </w:rPr>
        <w:t>État des travaux</w:t>
      </w:r>
      <w:r w:rsidRPr="00D833AB">
        <w:tab/>
      </w:r>
      <w:r w:rsidRPr="00D833AB">
        <w:tab/>
      </w:r>
      <w:r>
        <w:t>11</w:t>
      </w:r>
    </w:p>
    <w:p w14:paraId="0566B4EB" w14:textId="77777777" w:rsidR="00C7510B" w:rsidRPr="00D833AB" w:rsidRDefault="00C7510B" w:rsidP="00C7510B">
      <w:pPr>
        <w:tabs>
          <w:tab w:val="right" w:leader="dot" w:pos="8787"/>
          <w:tab w:val="right" w:pos="9638"/>
        </w:tabs>
        <w:spacing w:after="120"/>
        <w:ind w:left="1559" w:hanging="425"/>
      </w:pPr>
      <w:r w:rsidRPr="00D833AB">
        <w:t>D.</w:t>
      </w:r>
      <w:r w:rsidRPr="00D833AB">
        <w:tab/>
      </w:r>
      <w:r w:rsidRPr="00D833AB">
        <w:rPr>
          <w:lang w:val="fr-FR"/>
        </w:rPr>
        <w:t>Activités de suivi</w:t>
      </w:r>
      <w:r w:rsidRPr="00D833AB">
        <w:tab/>
      </w:r>
      <w:r w:rsidRPr="00D833AB">
        <w:tab/>
      </w:r>
      <w:r>
        <w:t>14</w:t>
      </w:r>
    </w:p>
    <w:p w14:paraId="50375AD6" w14:textId="77777777" w:rsidR="00C7510B" w:rsidRPr="00D833AB" w:rsidRDefault="00C7510B" w:rsidP="00C7510B">
      <w:pPr>
        <w:tabs>
          <w:tab w:val="right" w:pos="850"/>
          <w:tab w:val="right" w:leader="dot" w:pos="8787"/>
          <w:tab w:val="right" w:pos="9638"/>
        </w:tabs>
        <w:spacing w:after="120"/>
        <w:ind w:left="1134" w:hanging="1134"/>
      </w:pPr>
      <w:r w:rsidRPr="00D833AB">
        <w:tab/>
        <w:t>VII.</w:t>
      </w:r>
      <w:r w:rsidRPr="00D833AB">
        <w:tab/>
      </w:r>
      <w:r w:rsidRPr="00D833AB">
        <w:rPr>
          <w:lang w:val="fr-FR"/>
        </w:rPr>
        <w:t>Sessions du Comité en 2025</w:t>
      </w:r>
      <w:r w:rsidRPr="00D833AB">
        <w:tab/>
      </w:r>
      <w:r w:rsidRPr="00D833AB">
        <w:tab/>
      </w:r>
      <w:r>
        <w:t>15</w:t>
      </w:r>
    </w:p>
    <w:p w14:paraId="76A4AECD" w14:textId="77777777" w:rsidR="00C7510B" w:rsidRPr="00D833AB" w:rsidRDefault="00C7510B" w:rsidP="00C7510B">
      <w:pPr>
        <w:tabs>
          <w:tab w:val="right" w:pos="850"/>
          <w:tab w:val="right" w:leader="dot" w:pos="8787"/>
          <w:tab w:val="right" w:pos="9638"/>
        </w:tabs>
        <w:spacing w:after="120"/>
        <w:ind w:left="1134" w:hanging="1134"/>
      </w:pPr>
      <w:r w:rsidRPr="00D833AB">
        <w:tab/>
        <w:t>VIII.</w:t>
      </w:r>
      <w:r w:rsidRPr="00D833AB">
        <w:tab/>
      </w:r>
      <w:r w:rsidRPr="00D833AB">
        <w:rPr>
          <w:lang w:val="fr-FR"/>
        </w:rPr>
        <w:t>Adoption du rapport annuel sur les activités du Comité</w:t>
      </w:r>
      <w:r w:rsidRPr="00D833AB">
        <w:tab/>
      </w:r>
      <w:r w:rsidRPr="00D833AB">
        <w:tab/>
      </w:r>
      <w:r>
        <w:t>15</w:t>
      </w:r>
    </w:p>
    <w:p w14:paraId="26D2F50C" w14:textId="77777777" w:rsidR="00C7510B" w:rsidRPr="00D833AB" w:rsidRDefault="00C7510B" w:rsidP="00C7510B">
      <w:pPr>
        <w:tabs>
          <w:tab w:val="right" w:pos="850"/>
        </w:tabs>
        <w:spacing w:after="120"/>
      </w:pPr>
      <w:r w:rsidRPr="00D833AB">
        <w:tab/>
        <w:t>Annexe</w:t>
      </w:r>
    </w:p>
    <w:p w14:paraId="060F8988" w14:textId="77777777" w:rsidR="00C7510B" w:rsidRPr="00D833AB" w:rsidRDefault="00C7510B" w:rsidP="00C7510B">
      <w:pPr>
        <w:tabs>
          <w:tab w:val="right" w:pos="850"/>
          <w:tab w:val="right" w:leader="dot" w:pos="8787"/>
          <w:tab w:val="right" w:pos="9638"/>
        </w:tabs>
        <w:spacing w:after="120"/>
        <w:ind w:left="1134" w:hanging="1134"/>
      </w:pPr>
      <w:r w:rsidRPr="00D833AB">
        <w:tab/>
      </w:r>
      <w:r w:rsidRPr="00D833AB">
        <w:tab/>
      </w:r>
      <w:r w:rsidRPr="00D833AB">
        <w:rPr>
          <w:lang w:val="fr-FR"/>
        </w:rPr>
        <w:t>Composition du Comité et du Bureau et mandats</w:t>
      </w:r>
      <w:r w:rsidRPr="00D833AB">
        <w:tab/>
      </w:r>
      <w:r w:rsidRPr="00D833AB">
        <w:tab/>
      </w:r>
      <w:r>
        <w:t>16</w:t>
      </w:r>
    </w:p>
    <w:p w14:paraId="49F4D585" w14:textId="77777777" w:rsidR="00A669DA" w:rsidRDefault="00A669DA" w:rsidP="0060322E">
      <w:pPr>
        <w:tabs>
          <w:tab w:val="right" w:pos="850"/>
          <w:tab w:val="left" w:pos="1134"/>
          <w:tab w:val="left" w:pos="1559"/>
          <w:tab w:val="left" w:pos="1984"/>
          <w:tab w:val="left" w:leader="dot" w:pos="8929"/>
          <w:tab w:val="right" w:pos="9638"/>
        </w:tabs>
        <w:spacing w:after="120"/>
      </w:pPr>
    </w:p>
    <w:p w14:paraId="50B036F1" w14:textId="77777777" w:rsidR="00F30361" w:rsidRDefault="00F30361">
      <w:pPr>
        <w:suppressAutoHyphens w:val="0"/>
        <w:kinsoku/>
        <w:overflowPunct/>
        <w:autoSpaceDE/>
        <w:autoSpaceDN/>
        <w:adjustRightInd/>
        <w:snapToGrid/>
        <w:spacing w:line="240" w:lineRule="auto"/>
        <w:sectPr w:rsidR="00F30361" w:rsidSect="00F30361">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3C84D9F5" w14:textId="77777777" w:rsidR="00F30361" w:rsidRPr="00D833AB" w:rsidRDefault="00F30361" w:rsidP="00C65C7E">
      <w:pPr>
        <w:pStyle w:val="HChG"/>
      </w:pPr>
      <w:bookmarkStart w:id="0" w:name="_Toc485738185"/>
      <w:bookmarkStart w:id="1" w:name="_Toc517447856"/>
      <w:bookmarkStart w:id="2" w:name="_Toc517691051"/>
      <w:bookmarkStart w:id="3" w:name="_Toc3806601"/>
      <w:bookmarkStart w:id="4" w:name="_Toc14181219"/>
      <w:bookmarkStart w:id="5" w:name="_Toc37768158"/>
      <w:bookmarkStart w:id="6" w:name="_Toc43386545"/>
      <w:bookmarkStart w:id="7" w:name="_Hlk169787378"/>
      <w:r w:rsidRPr="00D833AB">
        <w:rPr>
          <w:lang w:val="fr-FR"/>
        </w:rPr>
        <w:lastRenderedPageBreak/>
        <w:tab/>
        <w:t>I.</w:t>
      </w:r>
      <w:r w:rsidRPr="00D833AB">
        <w:rPr>
          <w:lang w:val="fr-FR"/>
        </w:rPr>
        <w:tab/>
        <w:t>Questions d’organisation et questions diverses</w:t>
      </w:r>
      <w:bookmarkStart w:id="8" w:name="_Toc138756968"/>
      <w:bookmarkStart w:id="9" w:name="_Toc191367649"/>
      <w:bookmarkEnd w:id="0"/>
      <w:bookmarkEnd w:id="1"/>
      <w:bookmarkEnd w:id="2"/>
      <w:bookmarkEnd w:id="3"/>
      <w:bookmarkEnd w:id="4"/>
      <w:bookmarkEnd w:id="5"/>
      <w:bookmarkEnd w:id="6"/>
      <w:bookmarkEnd w:id="8"/>
      <w:bookmarkEnd w:id="9"/>
    </w:p>
    <w:p w14:paraId="4FAA5B5A" w14:textId="77777777" w:rsidR="00F30361" w:rsidRPr="00D833AB" w:rsidRDefault="00F30361" w:rsidP="00C65C7E">
      <w:pPr>
        <w:pStyle w:val="H1G"/>
      </w:pPr>
      <w:r w:rsidRPr="00D833AB">
        <w:rPr>
          <w:lang w:val="fr-FR"/>
        </w:rPr>
        <w:tab/>
        <w:t>A.</w:t>
      </w:r>
      <w:r w:rsidRPr="00D833AB">
        <w:rPr>
          <w:lang w:val="fr-FR"/>
        </w:rPr>
        <w:tab/>
        <w:t xml:space="preserve">États </w:t>
      </w:r>
      <w:r>
        <w:rPr>
          <w:lang w:val="fr-FR"/>
        </w:rPr>
        <w:t>P</w:t>
      </w:r>
      <w:r w:rsidRPr="00D833AB">
        <w:rPr>
          <w:lang w:val="fr-FR"/>
        </w:rPr>
        <w:t>arties à la Convention</w:t>
      </w:r>
      <w:bookmarkStart w:id="10" w:name="_Toc138756969"/>
      <w:bookmarkStart w:id="11" w:name="_Toc191367650"/>
      <w:bookmarkEnd w:id="10"/>
      <w:bookmarkEnd w:id="11"/>
    </w:p>
    <w:p w14:paraId="557F733F" w14:textId="77777777" w:rsidR="00F30361" w:rsidRPr="00D833AB" w:rsidRDefault="00F30361" w:rsidP="00F30361">
      <w:pPr>
        <w:pStyle w:val="SingleTxtG"/>
      </w:pPr>
      <w:r w:rsidRPr="00D833AB">
        <w:rPr>
          <w:lang w:val="fr-FR"/>
        </w:rPr>
        <w:t>1.</w:t>
      </w:r>
      <w:r w:rsidRPr="00D833AB">
        <w:rPr>
          <w:lang w:val="fr-FR"/>
        </w:rPr>
        <w:tab/>
        <w:t>Au 2</w:t>
      </w:r>
      <w:r>
        <w:rPr>
          <w:lang w:val="fr-FR"/>
        </w:rPr>
        <w:t> </w:t>
      </w:r>
      <w:r w:rsidRPr="00D833AB">
        <w:rPr>
          <w:lang w:val="fr-FR"/>
        </w:rPr>
        <w:t>mai 2025, date de clôture de la quatre-vingt-deuxième session du Comité contre la torture, 175</w:t>
      </w:r>
      <w:r>
        <w:rPr>
          <w:lang w:val="fr-FR"/>
        </w:rPr>
        <w:t> </w:t>
      </w:r>
      <w:r w:rsidRPr="00D833AB">
        <w:rPr>
          <w:lang w:val="fr-FR"/>
        </w:rPr>
        <w:t>États étaient parties à la Convention contre la torture et autres peines ou traitements cruels, inhumains ou dégradants</w:t>
      </w:r>
      <w:r w:rsidRPr="00C65C7E">
        <w:rPr>
          <w:rStyle w:val="Appelnotedebasdep"/>
        </w:rPr>
        <w:footnoteReference w:id="2"/>
      </w:r>
      <w:r w:rsidRPr="00D833AB">
        <w:rPr>
          <w:lang w:val="fr-FR"/>
        </w:rPr>
        <w:t xml:space="preserve">. </w:t>
      </w:r>
    </w:p>
    <w:p w14:paraId="157512C7" w14:textId="77777777" w:rsidR="00F30361" w:rsidRPr="00D833AB" w:rsidRDefault="00F30361" w:rsidP="00F30361">
      <w:pPr>
        <w:pStyle w:val="SingleTxtG"/>
      </w:pPr>
      <w:r w:rsidRPr="00D833AB">
        <w:rPr>
          <w:lang w:val="fr-FR"/>
        </w:rPr>
        <w:t>2.</w:t>
      </w:r>
      <w:r w:rsidRPr="00D833AB">
        <w:rPr>
          <w:lang w:val="fr-FR"/>
        </w:rPr>
        <w:tab/>
        <w:t>Depuis l’adoption du précédent rapport annuel du Comité (</w:t>
      </w:r>
      <w:hyperlink r:id="rId24" w:history="1">
        <w:r w:rsidRPr="009059DB">
          <w:rPr>
            <w:rStyle w:val="Lienhypertexte"/>
            <w:lang w:val="fr-FR"/>
          </w:rPr>
          <w:t>A/79/44</w:t>
        </w:r>
      </w:hyperlink>
      <w:r w:rsidRPr="00D833AB">
        <w:rPr>
          <w:lang w:val="fr-FR"/>
        </w:rPr>
        <w:t>), la Dominique a adhéré à la Convention, le 5</w:t>
      </w:r>
      <w:r>
        <w:rPr>
          <w:lang w:val="fr-FR"/>
        </w:rPr>
        <w:t> </w:t>
      </w:r>
      <w:r w:rsidRPr="00D833AB">
        <w:rPr>
          <w:lang w:val="fr-FR"/>
        </w:rPr>
        <w:t>décembre 2024. Le Comité invite tous les États qui ne l’ont pas encore fait à ratifier la Convention et engage les États déjà parties à accepter toutes les procédures prévues par cet instrument pour lui permettre de s’acquitter pleinement de son mandat.</w:t>
      </w:r>
    </w:p>
    <w:p w14:paraId="475E1C6E" w14:textId="77777777" w:rsidR="00F30361" w:rsidRPr="00D833AB" w:rsidRDefault="00F30361" w:rsidP="00F30361">
      <w:pPr>
        <w:pStyle w:val="SingleTxtG"/>
      </w:pPr>
      <w:r w:rsidRPr="00D833AB">
        <w:rPr>
          <w:lang w:val="fr-FR"/>
        </w:rPr>
        <w:t>3.</w:t>
      </w:r>
      <w:r w:rsidRPr="00D833AB">
        <w:rPr>
          <w:lang w:val="fr-FR"/>
        </w:rPr>
        <w:tab/>
        <w:t>On trouvera à l’adresse suivante toutes les informations concernant l’état de la Convention, y compris le texte des déclarations faites au titre des articles</w:t>
      </w:r>
      <w:r>
        <w:rPr>
          <w:lang w:val="fr-FR"/>
        </w:rPr>
        <w:t> </w:t>
      </w:r>
      <w:r w:rsidRPr="00D833AB">
        <w:rPr>
          <w:lang w:val="fr-FR"/>
        </w:rPr>
        <w:t xml:space="preserve">20, 21 et 22 et celui des réserves et objections formulées par les États </w:t>
      </w:r>
      <w:r>
        <w:rPr>
          <w:lang w:val="fr-FR"/>
        </w:rPr>
        <w:t>P</w:t>
      </w:r>
      <w:r w:rsidRPr="00D833AB">
        <w:rPr>
          <w:lang w:val="fr-FR"/>
        </w:rPr>
        <w:t>arties au sujet de la Convention</w:t>
      </w:r>
      <w:r>
        <w:rPr>
          <w:lang w:val="fr-FR"/>
        </w:rPr>
        <w:t> </w:t>
      </w:r>
      <w:r w:rsidRPr="00D833AB">
        <w:rPr>
          <w:lang w:val="fr-FR"/>
        </w:rPr>
        <w:t xml:space="preserve">: </w:t>
      </w:r>
      <w:hyperlink r:id="rId25" w:history="1">
        <w:r w:rsidRPr="00D833AB">
          <w:rPr>
            <w:rStyle w:val="Lienhypertexte"/>
            <w:lang w:val="fr-FR"/>
          </w:rPr>
          <w:t>https://treaties.un.org/Pages/Hom</w:t>
        </w:r>
        <w:r w:rsidRPr="00D833AB">
          <w:rPr>
            <w:rStyle w:val="Lienhypertexte"/>
            <w:lang w:val="fr-FR"/>
          </w:rPr>
          <w:t>e</w:t>
        </w:r>
        <w:r w:rsidRPr="00D833AB">
          <w:rPr>
            <w:rStyle w:val="Lienhypertexte"/>
            <w:lang w:val="fr-FR"/>
          </w:rPr>
          <w:t>.aspx?clang=_fr</w:t>
        </w:r>
      </w:hyperlink>
      <w:r w:rsidRPr="00D833AB">
        <w:rPr>
          <w:lang w:val="fr-FR"/>
        </w:rPr>
        <w:t>.</w:t>
      </w:r>
    </w:p>
    <w:p w14:paraId="00759463" w14:textId="77777777" w:rsidR="00F30361" w:rsidRPr="00D833AB" w:rsidRDefault="00F30361" w:rsidP="00F30361">
      <w:pPr>
        <w:pStyle w:val="H1G"/>
      </w:pPr>
      <w:r w:rsidRPr="00D833AB">
        <w:rPr>
          <w:lang w:val="fr-FR"/>
        </w:rPr>
        <w:tab/>
        <w:t>B.</w:t>
      </w:r>
      <w:r w:rsidRPr="00D833AB">
        <w:rPr>
          <w:lang w:val="fr-FR"/>
        </w:rPr>
        <w:tab/>
        <w:t>Sessions et ordres du jour du Comité</w:t>
      </w:r>
      <w:bookmarkStart w:id="12" w:name="_Toc138756970"/>
      <w:bookmarkStart w:id="13" w:name="_Toc191367651"/>
      <w:bookmarkEnd w:id="12"/>
      <w:bookmarkEnd w:id="13"/>
    </w:p>
    <w:p w14:paraId="39CA4713" w14:textId="77777777" w:rsidR="00F30361" w:rsidRPr="00D833AB" w:rsidRDefault="00F30361" w:rsidP="00F30361">
      <w:pPr>
        <w:pStyle w:val="SingleTxtG"/>
      </w:pPr>
      <w:r w:rsidRPr="00D833AB">
        <w:rPr>
          <w:lang w:val="fr-FR"/>
        </w:rPr>
        <w:t>4.</w:t>
      </w:r>
      <w:r w:rsidRPr="00D833AB">
        <w:rPr>
          <w:lang w:val="fr-FR"/>
        </w:rPr>
        <w:tab/>
        <w:t>Le Comité a tenu trois sessions depuis l’adoption de son précédent rapport annuel. La quatre-vingtième session (2109</w:t>
      </w:r>
      <w:r w:rsidRPr="00D833AB">
        <w:rPr>
          <w:vertAlign w:val="superscript"/>
          <w:lang w:val="fr-FR"/>
        </w:rPr>
        <w:t>e</w:t>
      </w:r>
      <w:r w:rsidRPr="00D833AB">
        <w:rPr>
          <w:lang w:val="fr-FR"/>
        </w:rPr>
        <w:t xml:space="preserve"> à 2135</w:t>
      </w:r>
      <w:r w:rsidRPr="00D833AB">
        <w:rPr>
          <w:vertAlign w:val="superscript"/>
          <w:lang w:val="fr-FR"/>
        </w:rPr>
        <w:t>e</w:t>
      </w:r>
      <w:r>
        <w:rPr>
          <w:lang w:val="fr-FR"/>
        </w:rPr>
        <w:t> </w:t>
      </w:r>
      <w:r w:rsidRPr="00D833AB">
        <w:rPr>
          <w:lang w:val="fr-FR"/>
        </w:rPr>
        <w:t>séances) s’est tenue du 8 au 26</w:t>
      </w:r>
      <w:r>
        <w:rPr>
          <w:lang w:val="fr-FR"/>
        </w:rPr>
        <w:t> </w:t>
      </w:r>
      <w:r w:rsidRPr="00D833AB">
        <w:rPr>
          <w:lang w:val="fr-FR"/>
        </w:rPr>
        <w:t>juillet 2024, la quatre-vingt-unième (2136</w:t>
      </w:r>
      <w:r w:rsidRPr="00D833AB">
        <w:rPr>
          <w:vertAlign w:val="superscript"/>
          <w:lang w:val="fr-FR"/>
        </w:rPr>
        <w:t>e</w:t>
      </w:r>
      <w:r w:rsidRPr="00D833AB">
        <w:rPr>
          <w:lang w:val="fr-FR"/>
        </w:rPr>
        <w:t xml:space="preserve"> à 2172</w:t>
      </w:r>
      <w:r w:rsidRPr="00D833AB">
        <w:rPr>
          <w:vertAlign w:val="superscript"/>
          <w:lang w:val="fr-FR"/>
        </w:rPr>
        <w:t>e</w:t>
      </w:r>
      <w:r>
        <w:rPr>
          <w:lang w:val="fr-FR"/>
        </w:rPr>
        <w:t> </w:t>
      </w:r>
      <w:r w:rsidRPr="00D833AB">
        <w:rPr>
          <w:lang w:val="fr-FR"/>
        </w:rPr>
        <w:t>séances) du 28</w:t>
      </w:r>
      <w:r>
        <w:rPr>
          <w:lang w:val="fr-FR"/>
        </w:rPr>
        <w:t> </w:t>
      </w:r>
      <w:r w:rsidRPr="00D833AB">
        <w:rPr>
          <w:lang w:val="fr-FR"/>
        </w:rPr>
        <w:t>octobre au 22</w:t>
      </w:r>
      <w:r>
        <w:rPr>
          <w:lang w:val="fr-FR"/>
        </w:rPr>
        <w:t> </w:t>
      </w:r>
      <w:r w:rsidRPr="00D833AB">
        <w:rPr>
          <w:lang w:val="fr-FR"/>
        </w:rPr>
        <w:t>novembre 2024 et la quatre</w:t>
      </w:r>
      <w:r w:rsidRPr="00D833AB">
        <w:rPr>
          <w:lang w:val="fr-FR"/>
        </w:rPr>
        <w:noBreakHyphen/>
        <w:t>vingt-deuxième session (2173</w:t>
      </w:r>
      <w:r w:rsidRPr="00D833AB">
        <w:rPr>
          <w:vertAlign w:val="superscript"/>
          <w:lang w:val="fr-FR"/>
        </w:rPr>
        <w:t>e</w:t>
      </w:r>
      <w:r w:rsidRPr="00D833AB">
        <w:rPr>
          <w:lang w:val="fr-FR"/>
        </w:rPr>
        <w:t xml:space="preserve"> à </w:t>
      </w:r>
      <w:r>
        <w:rPr>
          <w:lang w:val="fr-FR"/>
        </w:rPr>
        <w:t>2206</w:t>
      </w:r>
      <w:r w:rsidRPr="000E2E59">
        <w:rPr>
          <w:vertAlign w:val="superscript"/>
          <w:lang w:val="fr-FR"/>
        </w:rPr>
        <w:t>e</w:t>
      </w:r>
      <w:r>
        <w:rPr>
          <w:lang w:val="fr-FR"/>
        </w:rPr>
        <w:t> </w:t>
      </w:r>
      <w:r w:rsidRPr="00D833AB">
        <w:rPr>
          <w:lang w:val="fr-FR"/>
        </w:rPr>
        <w:t>séances) du 7</w:t>
      </w:r>
      <w:r>
        <w:rPr>
          <w:lang w:val="fr-FR"/>
        </w:rPr>
        <w:t> </w:t>
      </w:r>
      <w:r w:rsidRPr="00D833AB">
        <w:rPr>
          <w:lang w:val="fr-FR"/>
        </w:rPr>
        <w:t>avril au 2</w:t>
      </w:r>
      <w:r>
        <w:rPr>
          <w:lang w:val="fr-FR"/>
        </w:rPr>
        <w:t> </w:t>
      </w:r>
      <w:r w:rsidRPr="00D833AB">
        <w:rPr>
          <w:lang w:val="fr-FR"/>
        </w:rPr>
        <w:t>mai 2025. Les sessions ont toutes eu lieu à l’Office des Nations Unies à Genève.</w:t>
      </w:r>
    </w:p>
    <w:p w14:paraId="201564B8" w14:textId="77777777" w:rsidR="00F30361" w:rsidRPr="00D833AB" w:rsidRDefault="00F30361" w:rsidP="00F30361">
      <w:pPr>
        <w:pStyle w:val="SingleTxtG"/>
      </w:pPr>
      <w:r w:rsidRPr="00D833AB">
        <w:rPr>
          <w:lang w:val="fr-FR"/>
        </w:rPr>
        <w:t>5.</w:t>
      </w:r>
      <w:r w:rsidRPr="00D833AB">
        <w:rPr>
          <w:lang w:val="fr-FR"/>
        </w:rPr>
        <w:tab/>
        <w:t>À sa 2109</w:t>
      </w:r>
      <w:r w:rsidRPr="00D833AB">
        <w:rPr>
          <w:vertAlign w:val="superscript"/>
          <w:lang w:val="fr-FR"/>
        </w:rPr>
        <w:t>e</w:t>
      </w:r>
      <w:r>
        <w:rPr>
          <w:lang w:val="fr-FR"/>
        </w:rPr>
        <w:t> </w:t>
      </w:r>
      <w:r w:rsidRPr="00D833AB">
        <w:rPr>
          <w:lang w:val="fr-FR"/>
        </w:rPr>
        <w:t>séance, le 8</w:t>
      </w:r>
      <w:r>
        <w:rPr>
          <w:lang w:val="fr-FR"/>
        </w:rPr>
        <w:t> </w:t>
      </w:r>
      <w:r w:rsidRPr="00D833AB">
        <w:rPr>
          <w:lang w:val="fr-FR"/>
        </w:rPr>
        <w:t>juillet 2024, le Comité a adopté en tant qu’ordre du jour de sa quatre-vingtième session les points figurant dans l’ordre du jour provisoire soumis par le Secrétaire général (</w:t>
      </w:r>
      <w:hyperlink r:id="rId26" w:history="1">
        <w:r w:rsidRPr="009059DB">
          <w:rPr>
            <w:rStyle w:val="Lienhypertexte"/>
            <w:lang w:val="fr-FR"/>
          </w:rPr>
          <w:t>CAT/C/80/1/Rev.1</w:t>
        </w:r>
      </w:hyperlink>
      <w:r w:rsidRPr="00D833AB">
        <w:rPr>
          <w:lang w:val="fr-FR"/>
        </w:rPr>
        <w:t>).</w:t>
      </w:r>
    </w:p>
    <w:p w14:paraId="6FC5AA5A" w14:textId="77777777" w:rsidR="00F30361" w:rsidRPr="00D833AB" w:rsidRDefault="00F30361" w:rsidP="00F30361">
      <w:pPr>
        <w:pStyle w:val="SingleTxtG"/>
      </w:pPr>
      <w:r w:rsidRPr="00D833AB">
        <w:rPr>
          <w:lang w:val="fr-FR"/>
        </w:rPr>
        <w:t>6.</w:t>
      </w:r>
      <w:r w:rsidRPr="00D833AB">
        <w:rPr>
          <w:lang w:val="fr-FR"/>
        </w:rPr>
        <w:tab/>
        <w:t>À sa 2136</w:t>
      </w:r>
      <w:r w:rsidRPr="00D833AB">
        <w:rPr>
          <w:vertAlign w:val="superscript"/>
          <w:lang w:val="fr-FR"/>
        </w:rPr>
        <w:t>e</w:t>
      </w:r>
      <w:r>
        <w:rPr>
          <w:lang w:val="fr-FR"/>
        </w:rPr>
        <w:t> </w:t>
      </w:r>
      <w:r w:rsidRPr="00D833AB">
        <w:rPr>
          <w:lang w:val="fr-FR"/>
        </w:rPr>
        <w:t>séance, le 28</w:t>
      </w:r>
      <w:r>
        <w:rPr>
          <w:lang w:val="fr-FR"/>
        </w:rPr>
        <w:t> </w:t>
      </w:r>
      <w:r w:rsidRPr="00D833AB">
        <w:rPr>
          <w:lang w:val="fr-FR"/>
        </w:rPr>
        <w:t>octobre 2024, le Comité a adopté en tant qu’ordre du jour de sa quatre-vingt-unième session les points figurant dans l’ordre du jour provisoire soumis par le Secrétaire général (</w:t>
      </w:r>
      <w:hyperlink r:id="rId27" w:history="1">
        <w:r w:rsidRPr="009059DB">
          <w:rPr>
            <w:rStyle w:val="Lienhypertexte"/>
            <w:lang w:val="fr-FR"/>
          </w:rPr>
          <w:t>CAT/C/81/1</w:t>
        </w:r>
      </w:hyperlink>
      <w:r w:rsidRPr="00D833AB">
        <w:rPr>
          <w:lang w:val="fr-FR"/>
        </w:rPr>
        <w:t>).</w:t>
      </w:r>
    </w:p>
    <w:p w14:paraId="0D2531CA" w14:textId="77777777" w:rsidR="00F30361" w:rsidRPr="00D833AB" w:rsidRDefault="00F30361" w:rsidP="00F30361">
      <w:pPr>
        <w:pStyle w:val="SingleTxtG"/>
      </w:pPr>
      <w:r w:rsidRPr="00D833AB">
        <w:rPr>
          <w:lang w:val="fr-FR"/>
        </w:rPr>
        <w:t>7.</w:t>
      </w:r>
      <w:r w:rsidRPr="00D833AB">
        <w:rPr>
          <w:lang w:val="fr-FR"/>
        </w:rPr>
        <w:tab/>
        <w:t>À sa 2173</w:t>
      </w:r>
      <w:r w:rsidRPr="00D833AB">
        <w:rPr>
          <w:vertAlign w:val="superscript"/>
          <w:lang w:val="fr-FR"/>
        </w:rPr>
        <w:t>e</w:t>
      </w:r>
      <w:r>
        <w:rPr>
          <w:lang w:val="fr-FR"/>
        </w:rPr>
        <w:t> </w:t>
      </w:r>
      <w:r w:rsidRPr="00D833AB">
        <w:rPr>
          <w:lang w:val="fr-FR"/>
        </w:rPr>
        <w:t>séance, le 7</w:t>
      </w:r>
      <w:r>
        <w:rPr>
          <w:lang w:val="fr-FR"/>
        </w:rPr>
        <w:t> </w:t>
      </w:r>
      <w:r w:rsidRPr="00D833AB">
        <w:rPr>
          <w:lang w:val="fr-FR"/>
        </w:rPr>
        <w:t>avril 2025, le Comité a adopté en tant qu’ordre du jour de sa quatre-vingt-deuxième session les points figurant dans l’ordre du jour provisoire soumis par le Secrétaire général (</w:t>
      </w:r>
      <w:hyperlink r:id="rId28" w:history="1">
        <w:r w:rsidRPr="009059DB">
          <w:rPr>
            <w:rStyle w:val="Lienhypertexte"/>
            <w:lang w:val="fr-FR"/>
          </w:rPr>
          <w:t>CAT/C/82/1</w:t>
        </w:r>
      </w:hyperlink>
      <w:r w:rsidRPr="00D833AB">
        <w:rPr>
          <w:lang w:val="fr-FR"/>
        </w:rPr>
        <w:t>).</w:t>
      </w:r>
    </w:p>
    <w:p w14:paraId="66F3C5DB" w14:textId="542E0255" w:rsidR="00F30361" w:rsidRPr="00D833AB" w:rsidRDefault="00F30361" w:rsidP="00F30361">
      <w:pPr>
        <w:pStyle w:val="SingleTxtG"/>
        <w:rPr>
          <w:color w:val="000000" w:themeColor="text1"/>
        </w:rPr>
      </w:pPr>
      <w:r w:rsidRPr="00D833AB">
        <w:rPr>
          <w:lang w:val="fr-FR"/>
        </w:rPr>
        <w:t>8.</w:t>
      </w:r>
      <w:r w:rsidRPr="00D833AB">
        <w:rPr>
          <w:lang w:val="fr-FR"/>
        </w:rPr>
        <w:tab/>
        <w:t>Les délibérations tenues et les décisions prises par le Comité à ces trois sessions sont consignées dans les comptes rendus analytiques des séances correspondantes (</w:t>
      </w:r>
      <w:hyperlink r:id="rId29" w:history="1">
        <w:r w:rsidRPr="009059DB">
          <w:rPr>
            <w:rStyle w:val="Lienhypertexte"/>
            <w:lang w:val="fr-FR"/>
          </w:rPr>
          <w:t>CAT/C/SR.2109</w:t>
        </w:r>
      </w:hyperlink>
      <w:r w:rsidRPr="00D833AB">
        <w:rPr>
          <w:lang w:val="fr-FR"/>
        </w:rPr>
        <w:t>–</w:t>
      </w:r>
      <w:hyperlink r:id="rId30" w:history="1">
        <w:r w:rsidRPr="009059DB">
          <w:rPr>
            <w:rStyle w:val="Lienhypertexte"/>
            <w:lang w:val="fr-FR"/>
          </w:rPr>
          <w:t>CAT/C/SR.2206</w:t>
        </w:r>
      </w:hyperlink>
      <w:r w:rsidRPr="00D833AB">
        <w:rPr>
          <w:lang w:val="fr-FR"/>
        </w:rPr>
        <w:t>). Au cours de la période considérée, par manque de budget et de ressources, la Division de la gestion des conférences de l’Office des Nations</w:t>
      </w:r>
      <w:r w:rsidR="00AD26D6">
        <w:rPr>
          <w:lang w:val="fr-FR"/>
        </w:rPr>
        <w:t> </w:t>
      </w:r>
      <w:r w:rsidRPr="00D833AB">
        <w:rPr>
          <w:lang w:val="fr-FR"/>
        </w:rPr>
        <w:t xml:space="preserve">Unies à Genève n’a pu établir des comptes rendus analytiques que pour les séances consacrées à l’examen de la situation dans des </w:t>
      </w:r>
      <w:r w:rsidRPr="00092527">
        <w:rPr>
          <w:lang w:val="fr-FR"/>
        </w:rPr>
        <w:t xml:space="preserve">États </w:t>
      </w:r>
      <w:r w:rsidR="00AD26D6" w:rsidRPr="00092527">
        <w:rPr>
          <w:lang w:val="fr-FR"/>
        </w:rPr>
        <w:t>P</w:t>
      </w:r>
      <w:r w:rsidRPr="00092527">
        <w:rPr>
          <w:lang w:val="fr-FR"/>
        </w:rPr>
        <w:t>arties</w:t>
      </w:r>
      <w:r w:rsidRPr="00D833AB">
        <w:rPr>
          <w:lang w:val="fr-FR"/>
        </w:rPr>
        <w:t>, les réunions conjointes avec le Sous-Comité pour la prévention de la torture et autres peines ou traitements cruels, inhumains ou dégradants et les séances d’ouverture et de clôture des sessions. Les autres séances publiques et privées importantes n’ont donc pas fait l’objet d’un compte rendu.</w:t>
      </w:r>
    </w:p>
    <w:p w14:paraId="30FA5A98" w14:textId="77777777" w:rsidR="00F30361" w:rsidRPr="00D833AB" w:rsidRDefault="00F30361" w:rsidP="00F30361">
      <w:pPr>
        <w:pStyle w:val="H1G"/>
      </w:pPr>
      <w:r w:rsidRPr="00D833AB">
        <w:rPr>
          <w:lang w:val="fr-FR"/>
        </w:rPr>
        <w:tab/>
        <w:t>C.</w:t>
      </w:r>
      <w:r w:rsidRPr="00D833AB">
        <w:rPr>
          <w:lang w:val="fr-FR"/>
        </w:rPr>
        <w:tab/>
        <w:t>Composition du Comité et du Bureau et mandats</w:t>
      </w:r>
      <w:bookmarkStart w:id="14" w:name="_Toc138756971"/>
      <w:bookmarkStart w:id="15" w:name="_Toc191367652"/>
      <w:bookmarkEnd w:id="14"/>
      <w:bookmarkEnd w:id="15"/>
    </w:p>
    <w:p w14:paraId="0F72529D" w14:textId="77777777" w:rsidR="00F30361" w:rsidRPr="00D833AB" w:rsidRDefault="00F30361" w:rsidP="00F30361">
      <w:pPr>
        <w:pStyle w:val="SingleTxtG"/>
      </w:pPr>
      <w:r w:rsidRPr="00D833AB">
        <w:rPr>
          <w:lang w:val="fr-FR"/>
        </w:rPr>
        <w:t>9.</w:t>
      </w:r>
      <w:r w:rsidRPr="00D833AB">
        <w:rPr>
          <w:lang w:val="fr-FR"/>
        </w:rPr>
        <w:tab/>
        <w:t>On trouvera en annexe au présent rapport la liste des membres du Comité et du Bureau ainsi que des précisions sur leur mandat pour la période considérée.</w:t>
      </w:r>
    </w:p>
    <w:p w14:paraId="2FD7F8E6" w14:textId="77777777" w:rsidR="00F30361" w:rsidRPr="00D833AB" w:rsidRDefault="00F30361" w:rsidP="00F30361">
      <w:pPr>
        <w:pStyle w:val="H1G"/>
      </w:pPr>
      <w:r w:rsidRPr="00D833AB">
        <w:rPr>
          <w:lang w:val="fr-FR"/>
        </w:rPr>
        <w:lastRenderedPageBreak/>
        <w:tab/>
        <w:t>D.</w:t>
      </w:r>
      <w:r w:rsidRPr="00D833AB">
        <w:rPr>
          <w:lang w:val="fr-FR"/>
        </w:rPr>
        <w:tab/>
        <w:t>Rapport oral du Président à l’Assemblée générale</w:t>
      </w:r>
      <w:bookmarkStart w:id="16" w:name="_Toc138756972"/>
      <w:bookmarkStart w:id="17" w:name="_Toc191367653"/>
      <w:bookmarkEnd w:id="16"/>
      <w:bookmarkEnd w:id="17"/>
    </w:p>
    <w:p w14:paraId="0B745B50" w14:textId="77777777" w:rsidR="00F30361" w:rsidRPr="00D833AB" w:rsidRDefault="00F30361" w:rsidP="00F30361">
      <w:pPr>
        <w:pStyle w:val="SingleTxtG"/>
      </w:pPr>
      <w:r w:rsidRPr="00D833AB">
        <w:rPr>
          <w:lang w:val="fr-FR"/>
        </w:rPr>
        <w:t>10.</w:t>
      </w:r>
      <w:r w:rsidRPr="00D833AB">
        <w:rPr>
          <w:lang w:val="fr-FR"/>
        </w:rPr>
        <w:tab/>
        <w:t xml:space="preserve">Conformément à la résolution </w:t>
      </w:r>
      <w:hyperlink r:id="rId31" w:history="1">
        <w:r w:rsidRPr="009059DB">
          <w:rPr>
            <w:rStyle w:val="Lienhypertexte"/>
            <w:lang w:val="fr-FR"/>
          </w:rPr>
          <w:t>77/209</w:t>
        </w:r>
      </w:hyperlink>
      <w:r w:rsidRPr="00D833AB">
        <w:rPr>
          <w:lang w:val="fr-FR"/>
        </w:rPr>
        <w:t xml:space="preserve"> de l’Assemblée générale datée du 15 décembre 2022, le Président du Comité a présenté le rapport du Comité (</w:t>
      </w:r>
      <w:hyperlink r:id="rId32" w:history="1">
        <w:r w:rsidRPr="009059DB">
          <w:rPr>
            <w:rStyle w:val="Lienhypertexte"/>
            <w:lang w:val="fr-FR"/>
          </w:rPr>
          <w:t>A/79/44</w:t>
        </w:r>
      </w:hyperlink>
      <w:r w:rsidRPr="00D833AB">
        <w:rPr>
          <w:lang w:val="fr-FR"/>
        </w:rPr>
        <w:t>) à l’Assemblée générale à sa soixante-dix-neuvième session et a tenu un dialogue avec elle</w:t>
      </w:r>
      <w:r w:rsidRPr="00C65C7E">
        <w:rPr>
          <w:rStyle w:val="Appelnotedebasdep"/>
        </w:rPr>
        <w:footnoteReference w:id="3"/>
      </w:r>
      <w:r w:rsidRPr="00D833AB">
        <w:rPr>
          <w:lang w:val="fr-FR"/>
        </w:rPr>
        <w:t>.</w:t>
      </w:r>
    </w:p>
    <w:p w14:paraId="09DFB1AE" w14:textId="77777777" w:rsidR="00F30361" w:rsidRPr="00D833AB" w:rsidRDefault="00F30361" w:rsidP="00F30361">
      <w:pPr>
        <w:pStyle w:val="H1G"/>
      </w:pPr>
      <w:r w:rsidRPr="00D833AB">
        <w:rPr>
          <w:lang w:val="fr-FR"/>
        </w:rPr>
        <w:tab/>
        <w:t>E.</w:t>
      </w:r>
      <w:r w:rsidRPr="00D833AB">
        <w:rPr>
          <w:lang w:val="fr-FR"/>
        </w:rPr>
        <w:tab/>
        <w:t xml:space="preserve">Activités du Comité relatives au Protocole facultatif se rapportant </w:t>
      </w:r>
      <w:r w:rsidRPr="00D833AB">
        <w:rPr>
          <w:lang w:val="fr-FR"/>
        </w:rPr>
        <w:br/>
        <w:t>à la Convention</w:t>
      </w:r>
      <w:bookmarkStart w:id="18" w:name="_Toc138756973"/>
      <w:bookmarkStart w:id="19" w:name="_Toc191367654"/>
      <w:bookmarkEnd w:id="18"/>
      <w:bookmarkEnd w:id="19"/>
    </w:p>
    <w:p w14:paraId="65B01ABA" w14:textId="425C660F" w:rsidR="00F30361" w:rsidRPr="00D833AB" w:rsidRDefault="00F30361" w:rsidP="00F30361">
      <w:pPr>
        <w:pStyle w:val="SingleTxtG"/>
      </w:pPr>
      <w:bookmarkStart w:id="20" w:name="_Hlk168655322"/>
      <w:r w:rsidRPr="00D833AB">
        <w:rPr>
          <w:lang w:val="fr-FR"/>
        </w:rPr>
        <w:t>11.</w:t>
      </w:r>
      <w:r w:rsidRPr="00D833AB">
        <w:rPr>
          <w:lang w:val="fr-FR"/>
        </w:rPr>
        <w:tab/>
        <w:t>Au 2</w:t>
      </w:r>
      <w:r>
        <w:rPr>
          <w:lang w:val="fr-FR"/>
        </w:rPr>
        <w:t> </w:t>
      </w:r>
      <w:r w:rsidRPr="00D833AB">
        <w:rPr>
          <w:lang w:val="fr-FR"/>
        </w:rPr>
        <w:t>mai 2025, 94</w:t>
      </w:r>
      <w:r>
        <w:rPr>
          <w:lang w:val="fr-FR"/>
        </w:rPr>
        <w:t> </w:t>
      </w:r>
      <w:r w:rsidRPr="00D833AB">
        <w:rPr>
          <w:lang w:val="fr-FR"/>
        </w:rPr>
        <w:t>États étaient parties au Protocole facultatif se rapportant à la Convention</w:t>
      </w:r>
      <w:r w:rsidRPr="00C65C7E">
        <w:rPr>
          <w:rStyle w:val="Appelnotedebasdep"/>
        </w:rPr>
        <w:footnoteReference w:id="4"/>
      </w:r>
      <w:r w:rsidRPr="00D833AB">
        <w:rPr>
          <w:lang w:val="fr-FR"/>
        </w:rPr>
        <w:t>. Comme l’exige le Protocole facultatif, le Comité et le Sous-Comité pour la prévention de la torture et autres peines ou traitements cruels, inhumains ou dégradants ont tenu une réunion conjointe, le 11</w:t>
      </w:r>
      <w:r>
        <w:rPr>
          <w:lang w:val="fr-FR"/>
        </w:rPr>
        <w:t> </w:t>
      </w:r>
      <w:r w:rsidRPr="00D833AB">
        <w:rPr>
          <w:lang w:val="fr-FR"/>
        </w:rPr>
        <w:t xml:space="preserve">novembre 2024. La réunion a porté sur le renforcement de la collaboration entre les deux organes et sur la résolution des difficultés rencontrées dans l’application de la Convention et du Protocole facultatif s’y rapportant. Le </w:t>
      </w:r>
      <w:r>
        <w:rPr>
          <w:lang w:val="fr-FR"/>
        </w:rPr>
        <w:t>14 avril 2025</w:t>
      </w:r>
      <w:r w:rsidRPr="00D833AB">
        <w:rPr>
          <w:lang w:val="fr-FR"/>
        </w:rPr>
        <w:t>, la Présidente du Sous-Comité a présenté au Comité le dix-huitième rapport annuel du Sous</w:t>
      </w:r>
      <w:r w:rsidR="00873F1E">
        <w:rPr>
          <w:lang w:val="fr-FR"/>
        </w:rPr>
        <w:noBreakHyphen/>
      </w:r>
      <w:r w:rsidRPr="00D833AB">
        <w:rPr>
          <w:lang w:val="fr-FR"/>
        </w:rPr>
        <w:t>Comité (</w:t>
      </w:r>
      <w:hyperlink r:id="rId33" w:history="1">
        <w:r w:rsidRPr="009059DB">
          <w:rPr>
            <w:rStyle w:val="Lienhypertexte"/>
            <w:lang w:val="fr-FR"/>
          </w:rPr>
          <w:t>CAT/C/82/2</w:t>
        </w:r>
      </w:hyperlink>
      <w:r w:rsidRPr="00D833AB">
        <w:rPr>
          <w:lang w:val="fr-FR"/>
        </w:rPr>
        <w:t>), conformément à l’article 16 (par.</w:t>
      </w:r>
      <w:r w:rsidR="00873F1E">
        <w:rPr>
          <w:lang w:val="fr-FR"/>
        </w:rPr>
        <w:t> </w:t>
      </w:r>
      <w:r w:rsidRPr="00D833AB">
        <w:rPr>
          <w:lang w:val="fr-FR"/>
        </w:rPr>
        <w:t>3) du Protocole facultatif.</w:t>
      </w:r>
      <w:bookmarkEnd w:id="20"/>
    </w:p>
    <w:p w14:paraId="2FFE4C74" w14:textId="77777777" w:rsidR="00F30361" w:rsidRPr="00D833AB" w:rsidRDefault="00F30361" w:rsidP="00F30361">
      <w:pPr>
        <w:pStyle w:val="H1G"/>
      </w:pPr>
      <w:r w:rsidRPr="00D833AB">
        <w:rPr>
          <w:lang w:val="fr-FR"/>
        </w:rPr>
        <w:tab/>
        <w:t>F.</w:t>
      </w:r>
      <w:r w:rsidRPr="00D833AB">
        <w:rPr>
          <w:lang w:val="fr-FR"/>
        </w:rPr>
        <w:tab/>
        <w:t xml:space="preserve">Déclaration commune à l’occasion de la Journée internationale </w:t>
      </w:r>
      <w:r w:rsidRPr="00D833AB">
        <w:rPr>
          <w:lang w:val="fr-FR"/>
        </w:rPr>
        <w:br/>
        <w:t>des Nations Unies pour le soutien aux victimes de la torture</w:t>
      </w:r>
      <w:bookmarkStart w:id="21" w:name="_Toc138756974"/>
      <w:bookmarkStart w:id="22" w:name="_Toc191367655"/>
      <w:bookmarkEnd w:id="21"/>
      <w:bookmarkEnd w:id="22"/>
    </w:p>
    <w:p w14:paraId="49C7D3C9" w14:textId="77777777" w:rsidR="00F30361" w:rsidRPr="00D833AB" w:rsidRDefault="00F30361" w:rsidP="00F30361">
      <w:pPr>
        <w:pStyle w:val="SingleTxtG"/>
      </w:pPr>
      <w:r w:rsidRPr="00D833AB">
        <w:rPr>
          <w:lang w:val="fr-FR"/>
        </w:rPr>
        <w:t>12.</w:t>
      </w:r>
      <w:r w:rsidRPr="00D833AB">
        <w:rPr>
          <w:lang w:val="fr-FR"/>
        </w:rPr>
        <w:tab/>
        <w:t>Le Comité contre la torture, la Rapporteuse spéciale sur la torture et autres peines ou traitements cruels, inhumains ou dégradants, le Sous-Comité pour la prévention de la torture et autres peines ou traitements cruels, inhumains ou dégradants et le Conseil d’administration du Fonds de contributions volontaires des Nations Unies pour les victimes de la torture ont adopté une déclaration commune pour marquer la Journée internationale des Nations Unies pour le soutien aux victimes de la torture, qui est célébrée le 26</w:t>
      </w:r>
      <w:r>
        <w:rPr>
          <w:lang w:val="fr-FR"/>
        </w:rPr>
        <w:t> </w:t>
      </w:r>
      <w:r w:rsidRPr="00D833AB">
        <w:rPr>
          <w:lang w:val="fr-FR"/>
        </w:rPr>
        <w:t>juin. Dans cette déclaration, des spécialistes des droits de l’homme des quatre mécanismes des Nations Unies chargés de la lutte contre la torture ont demandé que les auteurs de crimes de torture soient amenés à répondre de leurs actes et que justice soit rendue aux victimes de torture</w:t>
      </w:r>
      <w:r w:rsidRPr="00C65C7E">
        <w:rPr>
          <w:rStyle w:val="Appelnotedebasdep"/>
        </w:rPr>
        <w:footnoteReference w:id="5"/>
      </w:r>
      <w:r w:rsidRPr="00D833AB">
        <w:rPr>
          <w:lang w:val="fr-FR"/>
        </w:rPr>
        <w:t>.</w:t>
      </w:r>
    </w:p>
    <w:p w14:paraId="1214911A" w14:textId="77777777" w:rsidR="00F30361" w:rsidRPr="00D833AB" w:rsidRDefault="00F30361" w:rsidP="00F30361">
      <w:pPr>
        <w:pStyle w:val="H1G"/>
      </w:pPr>
      <w:r w:rsidRPr="00D833AB">
        <w:rPr>
          <w:lang w:val="fr-FR"/>
        </w:rPr>
        <w:tab/>
        <w:t>G.</w:t>
      </w:r>
      <w:r w:rsidRPr="00D833AB">
        <w:rPr>
          <w:lang w:val="fr-FR"/>
        </w:rPr>
        <w:tab/>
        <w:t>Quarantième anniversaire de l’adoption de la Convention</w:t>
      </w:r>
      <w:bookmarkStart w:id="23" w:name="_Toc191367656"/>
      <w:bookmarkStart w:id="24" w:name="_Toc138756975"/>
      <w:bookmarkEnd w:id="23"/>
    </w:p>
    <w:p w14:paraId="3A0F4612" w14:textId="691C26E0" w:rsidR="00F30361" w:rsidRPr="00D833AB" w:rsidRDefault="00F30361" w:rsidP="00F30361">
      <w:pPr>
        <w:pStyle w:val="SingleTxtG"/>
      </w:pPr>
      <w:r w:rsidRPr="00D833AB">
        <w:rPr>
          <w:lang w:val="fr-FR"/>
        </w:rPr>
        <w:t>13.</w:t>
      </w:r>
      <w:r w:rsidRPr="00D833AB">
        <w:rPr>
          <w:lang w:val="fr-FR"/>
        </w:rPr>
        <w:tab/>
        <w:t>En 2024, pour marquer le quarantième anniversaire de l’adoption de la Convention, les mécanismes des Nations Unies chargés de la lutte contre la torture et leurs secrétariats respectifs, guidés par le Comité contre la torture et son secrétariat, ont lancé une campagne publique</w:t>
      </w:r>
      <w:r>
        <w:rPr>
          <w:lang w:val="fr-FR"/>
        </w:rPr>
        <w:t xml:space="preserve"> par laquelle ils ont</w:t>
      </w:r>
      <w:r w:rsidRPr="00D833AB">
        <w:rPr>
          <w:lang w:val="fr-FR"/>
        </w:rPr>
        <w:t xml:space="preserve"> mis en avant les résultats obtenus depuis l’adoption de la Convention et ouvert un espace de dialogue sur l’état actuel du mouvement </w:t>
      </w:r>
      <w:proofErr w:type="spellStart"/>
      <w:r w:rsidRPr="00092527">
        <w:rPr>
          <w:lang w:val="fr-FR"/>
        </w:rPr>
        <w:t>antitorture</w:t>
      </w:r>
      <w:proofErr w:type="spellEnd"/>
      <w:r w:rsidRPr="00D833AB">
        <w:rPr>
          <w:lang w:val="fr-FR"/>
        </w:rPr>
        <w:t xml:space="preserve">, </w:t>
      </w:r>
      <w:r>
        <w:rPr>
          <w:lang w:val="fr-FR"/>
        </w:rPr>
        <w:t>en accordant une</w:t>
      </w:r>
      <w:r w:rsidRPr="00D833AB">
        <w:rPr>
          <w:lang w:val="fr-FR"/>
        </w:rPr>
        <w:t xml:space="preserve"> attention particulière aux questions nouvelles. Une page Web spéciale contenant des informations sur toutes les activités liées à la campagne et d’autres contenus utiles a été créée et mise à jour tout au long de l’année afin que les renseignements sur les activités organisées, les ressources et les autres contenus, comme les récits de victimes de la torture, soient facilement accessibles</w:t>
      </w:r>
      <w:r w:rsidRPr="00C65C7E">
        <w:rPr>
          <w:rStyle w:val="Appelnotedebasdep"/>
        </w:rPr>
        <w:footnoteReference w:id="6"/>
      </w:r>
      <w:r w:rsidRPr="00D833AB">
        <w:rPr>
          <w:lang w:val="fr-FR"/>
        </w:rPr>
        <w:t>. Le 24</w:t>
      </w:r>
      <w:r>
        <w:rPr>
          <w:lang w:val="fr-FR"/>
        </w:rPr>
        <w:t> </w:t>
      </w:r>
      <w:r w:rsidRPr="00D833AB">
        <w:rPr>
          <w:lang w:val="fr-FR"/>
        </w:rPr>
        <w:t xml:space="preserve">juillet 2024, le Président du Comité a envoyé une lettre concernant les célébrations prévues à tous les États </w:t>
      </w:r>
      <w:r>
        <w:rPr>
          <w:lang w:val="fr-FR"/>
        </w:rPr>
        <w:t>P</w:t>
      </w:r>
      <w:r w:rsidRPr="00D833AB">
        <w:rPr>
          <w:lang w:val="fr-FR"/>
        </w:rPr>
        <w:t>arties à la Convention, qu’il a encouragés à prendre des mesures pour marquer l’occasion et à informer le Comité des manifestations et activités qu’ils aur</w:t>
      </w:r>
      <w:r>
        <w:rPr>
          <w:lang w:val="fr-FR"/>
        </w:rPr>
        <w:t>aie</w:t>
      </w:r>
      <w:r w:rsidRPr="00D833AB">
        <w:rPr>
          <w:lang w:val="fr-FR"/>
        </w:rPr>
        <w:t>nt organisées au niveau national.</w:t>
      </w:r>
      <w:r>
        <w:rPr>
          <w:lang w:val="fr-FR"/>
        </w:rPr>
        <w:t xml:space="preserve"> À cet égard, les </w:t>
      </w:r>
      <w:r w:rsidR="00873F1E" w:rsidRPr="00092527">
        <w:rPr>
          <w:lang w:val="fr-FR"/>
        </w:rPr>
        <w:t>M</w:t>
      </w:r>
      <w:r w:rsidRPr="00092527">
        <w:rPr>
          <w:lang w:val="fr-FR"/>
        </w:rPr>
        <w:t>issions</w:t>
      </w:r>
      <w:r>
        <w:rPr>
          <w:lang w:val="fr-FR"/>
        </w:rPr>
        <w:t xml:space="preserve"> permanentes du Brésil et de l’Ouzbékistan auprès de l’Office des Nations Unies et des organisations internationales à Genève ont fait parvenir au Comité des informations sur les activités commémoratives que ces deux États Parties avaient chacun organisées. De plus, </w:t>
      </w:r>
      <w:proofErr w:type="spellStart"/>
      <w:r>
        <w:rPr>
          <w:lang w:val="fr-FR"/>
        </w:rPr>
        <w:t>Bakhtiyar</w:t>
      </w:r>
      <w:proofErr w:type="spellEnd"/>
      <w:r w:rsidR="00873F1E">
        <w:rPr>
          <w:lang w:val="fr-FR"/>
        </w:rPr>
        <w:t> </w:t>
      </w:r>
      <w:proofErr w:type="spellStart"/>
      <w:r>
        <w:rPr>
          <w:lang w:val="fr-FR"/>
        </w:rPr>
        <w:t>Tuzmukhamedov</w:t>
      </w:r>
      <w:proofErr w:type="spellEnd"/>
      <w:r>
        <w:rPr>
          <w:lang w:val="fr-FR"/>
        </w:rPr>
        <w:t xml:space="preserve">, membre du Comité, a informé ce dernier des activités qui </w:t>
      </w:r>
      <w:r>
        <w:rPr>
          <w:lang w:val="fr-FR"/>
        </w:rPr>
        <w:lastRenderedPageBreak/>
        <w:t>avaient été menées dans son pays pour célébrer le quarantième anniversaire de l’adoption de la Convention</w:t>
      </w:r>
      <w:r w:rsidRPr="00C65C7E">
        <w:rPr>
          <w:rStyle w:val="Appelnotedebasdep"/>
        </w:rPr>
        <w:footnoteReference w:id="7"/>
      </w:r>
      <w:r>
        <w:rPr>
          <w:lang w:val="fr-FR"/>
        </w:rPr>
        <w:t>.</w:t>
      </w:r>
    </w:p>
    <w:p w14:paraId="77000025" w14:textId="7CAF94D1" w:rsidR="00F30361" w:rsidRPr="00D833AB" w:rsidRDefault="00F30361" w:rsidP="00F30361">
      <w:pPr>
        <w:pStyle w:val="SingleTxtG"/>
      </w:pPr>
      <w:r w:rsidRPr="00D833AB">
        <w:rPr>
          <w:lang w:val="fr-FR"/>
        </w:rPr>
        <w:t>14.</w:t>
      </w:r>
      <w:r w:rsidRPr="00D833AB">
        <w:rPr>
          <w:lang w:val="fr-FR"/>
        </w:rPr>
        <w:tab/>
        <w:t>Le 14</w:t>
      </w:r>
      <w:r>
        <w:rPr>
          <w:lang w:val="fr-FR"/>
        </w:rPr>
        <w:t> </w:t>
      </w:r>
      <w:r w:rsidRPr="00D833AB">
        <w:rPr>
          <w:lang w:val="fr-FR"/>
        </w:rPr>
        <w:t>novembre 2024, le Comité et les autres mécanismes des Nations Unies chargés de la lutte contre la torture ont organisé une manifestation de haut niveau à Genève pour commémorer le quarantième anniversaire de l’adoption de la Convention. Le Président du Comité a prononcé le discours d’ouverture, puis le Haut-Commissaire des Nations Unies aux droits de l’homme et la Représentante permanente du Chili auprès de l’Office des Nations Unies et des autres organisations internationales à Genève, Claudia</w:t>
      </w:r>
      <w:r w:rsidR="00873F1E">
        <w:rPr>
          <w:lang w:val="fr-FR"/>
        </w:rPr>
        <w:t> </w:t>
      </w:r>
      <w:r w:rsidRPr="00D833AB">
        <w:rPr>
          <w:lang w:val="fr-FR"/>
        </w:rPr>
        <w:t>Fuentes Julio, ont fait des déclarations liminaires. La Présidente du Sous-Comité pour la prévention de la torture et autres peines ou traitements cruels, inhumains ou dégradants, la Rapporteuse spéciale sur la torture et une membre du Conseil d’administration du Fonds de contributions volontaires des Nations Unies pour les victimes de la torture, Ambika</w:t>
      </w:r>
      <w:r w:rsidR="00873F1E">
        <w:rPr>
          <w:lang w:val="fr-FR"/>
        </w:rPr>
        <w:t> </w:t>
      </w:r>
      <w:proofErr w:type="spellStart"/>
      <w:r w:rsidRPr="00D833AB">
        <w:rPr>
          <w:lang w:val="fr-FR"/>
        </w:rPr>
        <w:t>Satkunanathan</w:t>
      </w:r>
      <w:proofErr w:type="spellEnd"/>
      <w:r w:rsidRPr="00D833AB">
        <w:rPr>
          <w:lang w:val="fr-FR"/>
        </w:rPr>
        <w:t>, ont également fait des déclarations. La deuxième partie de la manifestation a consisté en une réunion-débat, au cours de laquelle le guide de formation sur l’établissement de rapports au titre de la Convention, élaboré par le Haut-Commissariat des Nations Unies aux droits de l’homme (HCDH), a été présenté. La réunion-débat était animée par la coordonnatrice du programme de renforcement des capacités des organes conventionnels du HCDH. Les intervenants étaient la Représentante permanente des Bahamas auprès de l’Office des Nations</w:t>
      </w:r>
      <w:r w:rsidR="00873F1E">
        <w:rPr>
          <w:lang w:val="fr-FR"/>
        </w:rPr>
        <w:t> </w:t>
      </w:r>
      <w:r w:rsidRPr="00D833AB">
        <w:rPr>
          <w:lang w:val="fr-FR"/>
        </w:rPr>
        <w:t>Unies et des autres organisations internationales à Genève, Patricia</w:t>
      </w:r>
      <w:r w:rsidR="00873F1E">
        <w:rPr>
          <w:lang w:val="fr-FR"/>
        </w:rPr>
        <w:t> </w:t>
      </w:r>
      <w:r w:rsidRPr="00D833AB">
        <w:rPr>
          <w:lang w:val="fr-FR"/>
        </w:rPr>
        <w:t xml:space="preserve">Ann </w:t>
      </w:r>
      <w:proofErr w:type="spellStart"/>
      <w:r w:rsidRPr="00D833AB">
        <w:rPr>
          <w:lang w:val="fr-FR"/>
        </w:rPr>
        <w:t>Hermanns</w:t>
      </w:r>
      <w:proofErr w:type="spellEnd"/>
      <w:r w:rsidRPr="00D833AB">
        <w:rPr>
          <w:lang w:val="fr-FR"/>
        </w:rPr>
        <w:t xml:space="preserve">, la Chef du secrétariat de l’Initiative sur la Convention contre la torture, </w:t>
      </w:r>
      <w:proofErr w:type="spellStart"/>
      <w:r w:rsidRPr="00D833AB">
        <w:rPr>
          <w:lang w:val="fr-FR"/>
        </w:rPr>
        <w:t>Gayethri</w:t>
      </w:r>
      <w:proofErr w:type="spellEnd"/>
      <w:r w:rsidR="00873F1E">
        <w:rPr>
          <w:lang w:val="fr-FR"/>
        </w:rPr>
        <w:t> </w:t>
      </w:r>
      <w:proofErr w:type="spellStart"/>
      <w:r w:rsidRPr="00D833AB">
        <w:rPr>
          <w:lang w:val="fr-FR"/>
        </w:rPr>
        <w:t>Pillay</w:t>
      </w:r>
      <w:proofErr w:type="spellEnd"/>
      <w:r w:rsidRPr="00D833AB">
        <w:rPr>
          <w:lang w:val="fr-FR"/>
        </w:rPr>
        <w:t>, le Secrétaire général de l’Organisation mondiale contre la torture, Gerald</w:t>
      </w:r>
      <w:r w:rsidR="00873F1E">
        <w:rPr>
          <w:lang w:val="fr-FR"/>
        </w:rPr>
        <w:t> </w:t>
      </w:r>
      <w:proofErr w:type="spellStart"/>
      <w:r w:rsidRPr="00D833AB">
        <w:rPr>
          <w:lang w:val="fr-FR"/>
        </w:rPr>
        <w:t>Staberock</w:t>
      </w:r>
      <w:proofErr w:type="spellEnd"/>
      <w:r w:rsidRPr="00D833AB">
        <w:rPr>
          <w:lang w:val="fr-FR"/>
        </w:rPr>
        <w:t>, et la membre du Comité Ana</w:t>
      </w:r>
      <w:r w:rsidR="00873F1E">
        <w:rPr>
          <w:lang w:val="fr-FR"/>
        </w:rPr>
        <w:t> </w:t>
      </w:r>
      <w:proofErr w:type="spellStart"/>
      <w:r w:rsidRPr="00D833AB">
        <w:rPr>
          <w:lang w:val="fr-FR"/>
        </w:rPr>
        <w:t>Racu</w:t>
      </w:r>
      <w:proofErr w:type="spellEnd"/>
      <w:r w:rsidRPr="00D833AB">
        <w:rPr>
          <w:lang w:val="fr-FR"/>
        </w:rPr>
        <w:t xml:space="preserve">. Pour conclure, un podcast sur les bonnes pratiques en matière de poursuites devant permettre l’établissement des responsabilités, y compris dans le cadre de l’exercice de la compétence universelle, a été enregistré en direct. Il était animé par la chef du Groupe de l’édition de la Section de la communication du Service des relations extérieures et des partenariats du HCDH. Les intervenants étaient la Rapporteuse spéciale sur la torture, la Conseillère juridique principale de </w:t>
      </w:r>
      <w:proofErr w:type="spellStart"/>
      <w:r w:rsidRPr="00D833AB">
        <w:rPr>
          <w:lang w:val="fr-FR"/>
        </w:rPr>
        <w:t>Civitas</w:t>
      </w:r>
      <w:proofErr w:type="spellEnd"/>
      <w:r w:rsidRPr="00D833AB">
        <w:rPr>
          <w:lang w:val="fr-FR"/>
        </w:rPr>
        <w:t xml:space="preserve"> Maxima, Kristina</w:t>
      </w:r>
      <w:r w:rsidR="00873F1E">
        <w:rPr>
          <w:lang w:val="fr-FR"/>
        </w:rPr>
        <w:t> </w:t>
      </w:r>
      <w:r w:rsidRPr="00D833AB">
        <w:rPr>
          <w:lang w:val="fr-FR"/>
        </w:rPr>
        <w:t xml:space="preserve">Hon, et le Chef de </w:t>
      </w:r>
      <w:proofErr w:type="spellStart"/>
      <w:r w:rsidRPr="00D833AB">
        <w:rPr>
          <w:lang w:val="fr-FR"/>
        </w:rPr>
        <w:t>Survivors</w:t>
      </w:r>
      <w:proofErr w:type="spellEnd"/>
      <w:r w:rsidRPr="00D833AB">
        <w:rPr>
          <w:lang w:val="fr-FR"/>
        </w:rPr>
        <w:t xml:space="preserve"> </w:t>
      </w:r>
      <w:proofErr w:type="spellStart"/>
      <w:r w:rsidRPr="00D833AB">
        <w:rPr>
          <w:lang w:val="fr-FR"/>
        </w:rPr>
        <w:t>Speak</w:t>
      </w:r>
      <w:proofErr w:type="spellEnd"/>
      <w:r w:rsidRPr="00D833AB">
        <w:rPr>
          <w:lang w:val="fr-FR"/>
        </w:rPr>
        <w:t xml:space="preserve"> OUT, </w:t>
      </w:r>
      <w:proofErr w:type="spellStart"/>
      <w:r w:rsidRPr="00D833AB">
        <w:rPr>
          <w:lang w:val="fr-FR"/>
        </w:rPr>
        <w:t>Kolbassia</w:t>
      </w:r>
      <w:proofErr w:type="spellEnd"/>
      <w:r w:rsidR="00873F1E">
        <w:rPr>
          <w:lang w:val="fr-FR"/>
        </w:rPr>
        <w:t> </w:t>
      </w:r>
      <w:proofErr w:type="spellStart"/>
      <w:r w:rsidRPr="00D833AB">
        <w:rPr>
          <w:lang w:val="fr-FR"/>
        </w:rPr>
        <w:t>Haoussou</w:t>
      </w:r>
      <w:proofErr w:type="spellEnd"/>
      <w:r w:rsidRPr="00D833AB">
        <w:rPr>
          <w:lang w:val="fr-FR"/>
        </w:rPr>
        <w:t xml:space="preserve">. </w:t>
      </w:r>
    </w:p>
    <w:p w14:paraId="561282F3" w14:textId="77777777" w:rsidR="00F30361" w:rsidRPr="00D833AB" w:rsidRDefault="00F30361" w:rsidP="00F30361">
      <w:pPr>
        <w:pStyle w:val="H1G"/>
      </w:pPr>
      <w:r w:rsidRPr="00D833AB">
        <w:rPr>
          <w:lang w:val="fr-FR"/>
        </w:rPr>
        <w:tab/>
        <w:t>H.</w:t>
      </w:r>
      <w:r w:rsidRPr="00D833AB">
        <w:rPr>
          <w:lang w:val="fr-FR"/>
        </w:rPr>
        <w:tab/>
      </w:r>
      <w:r w:rsidRPr="00D833AB">
        <w:rPr>
          <w:lang w:val="fr-FR"/>
        </w:rPr>
        <w:tab/>
        <w:t xml:space="preserve">Participation des organisations non gouvernementales, des institutions nationales des droits de l’homme et des mécanismes nationaux </w:t>
      </w:r>
      <w:r w:rsidRPr="00D833AB">
        <w:rPr>
          <w:lang w:val="fr-FR"/>
        </w:rPr>
        <w:br/>
        <w:t>de prévention</w:t>
      </w:r>
      <w:bookmarkStart w:id="25" w:name="_Toc191367657"/>
      <w:bookmarkEnd w:id="24"/>
      <w:bookmarkEnd w:id="25"/>
    </w:p>
    <w:p w14:paraId="1F3699B1" w14:textId="77777777" w:rsidR="00F30361" w:rsidRPr="00D833AB" w:rsidRDefault="00F30361" w:rsidP="00F30361">
      <w:pPr>
        <w:pStyle w:val="SingleTxtG"/>
      </w:pPr>
      <w:r w:rsidRPr="00D833AB">
        <w:rPr>
          <w:lang w:val="fr-FR"/>
        </w:rPr>
        <w:t>15.</w:t>
      </w:r>
      <w:r w:rsidRPr="00D833AB">
        <w:rPr>
          <w:lang w:val="fr-FR"/>
        </w:rPr>
        <w:tab/>
        <w:t xml:space="preserve">Le Comité mesure depuis longtemps l’importance du travail des organisations non gouvernementales (ONG) et a pour pratique de rencontrer celles-ci en séance privée avant l’examen de chacun des rapports soumis par les États </w:t>
      </w:r>
      <w:r>
        <w:rPr>
          <w:lang w:val="fr-FR"/>
        </w:rPr>
        <w:t>P</w:t>
      </w:r>
      <w:r w:rsidRPr="00D833AB">
        <w:rPr>
          <w:lang w:val="fr-FR"/>
        </w:rPr>
        <w:t xml:space="preserve">arties au titre de l’article 19 de la Convention. Il sait gré aux ONG de leur participation à ces séances et salue tout particulièrement la contribution des ONG nationales, qui lui donnent, oralement et par écrit, des informations de première main sur les faits les plus récents. Il remercie en particulier l’Organisation mondiale contre la torture pour le rôle essentiel qu’elle joue, depuis la cinquante-deuxième session du Comité, dans la coordination des contributions des ONG à ses travaux. </w:t>
      </w:r>
    </w:p>
    <w:p w14:paraId="0CB2E6FB" w14:textId="77777777" w:rsidR="00F30361" w:rsidRPr="00D833AB" w:rsidRDefault="00F30361" w:rsidP="00F30361">
      <w:pPr>
        <w:pStyle w:val="SingleTxtG"/>
      </w:pPr>
      <w:r w:rsidRPr="00D833AB">
        <w:rPr>
          <w:lang w:val="fr-FR"/>
        </w:rPr>
        <w:t>16.</w:t>
      </w:r>
      <w:r w:rsidRPr="00D833AB">
        <w:rPr>
          <w:lang w:val="fr-FR"/>
        </w:rPr>
        <w:tab/>
        <w:t xml:space="preserve">De même, le Comité apprécie à leur juste valeur les travaux des institutions nationales des droits de l’homme et des mécanismes nationaux de prévention mis en place par les États </w:t>
      </w:r>
      <w:r>
        <w:rPr>
          <w:lang w:val="fr-FR"/>
        </w:rPr>
        <w:t>P</w:t>
      </w:r>
      <w:r w:rsidRPr="00D833AB">
        <w:rPr>
          <w:lang w:val="fr-FR"/>
        </w:rPr>
        <w:t xml:space="preserve">arties en application du Protocole facultatif. Depuis sa cinquante-cinquième session, il donne aux représentants de ces institutions et mécanismes la possibilité de le rencontrer en séance plénière privée. Il sait gré à ces institutions et mécanismes des renseignements qu’ils lui communiquent oralement et par écrit et espère continuer de tirer profit de ces sources d’information, ces renseignements lui permettant de mieux appréhender les questions dont il est saisi. À sa quatre-vingtième session, le Comité s’est ainsi entretenu avec les représentants des institutions et mécanismes de la Côte d’Ivoire, de l’Équateur, de la République de Corée et de la Türkiye ; à sa quatre-vingt-unième session, il a rencontré des représentants des institutions et mécanismes du Cameroun, de la Jordanie, de la Mongolie, de la Namibie et de </w:t>
      </w:r>
      <w:r w:rsidRPr="00D833AB">
        <w:rPr>
          <w:lang w:val="fr-FR"/>
        </w:rPr>
        <w:lastRenderedPageBreak/>
        <w:t xml:space="preserve">la Thaïlande ; à sa quatre-vingt-deuxième session, il s’est entretenu avec des représentants des institutions et mécanismes </w:t>
      </w:r>
      <w:r>
        <w:rPr>
          <w:lang w:val="fr-FR"/>
        </w:rPr>
        <w:t>de l’Arménie et de la France</w:t>
      </w:r>
      <w:r w:rsidRPr="00D833AB">
        <w:rPr>
          <w:lang w:val="fr-FR"/>
        </w:rPr>
        <w:t>.</w:t>
      </w:r>
    </w:p>
    <w:p w14:paraId="4653F031" w14:textId="77777777" w:rsidR="00F30361" w:rsidRPr="00D833AB" w:rsidRDefault="00F30361" w:rsidP="00F30361">
      <w:pPr>
        <w:pStyle w:val="SingleTxtG"/>
        <w:rPr>
          <w:i/>
          <w:iCs/>
        </w:rPr>
      </w:pPr>
      <w:r w:rsidRPr="00D833AB">
        <w:rPr>
          <w:lang w:val="fr-FR"/>
        </w:rPr>
        <w:t>17.</w:t>
      </w:r>
      <w:r w:rsidRPr="00D833AB">
        <w:rPr>
          <w:lang w:val="fr-FR"/>
        </w:rPr>
        <w:tab/>
        <w:t xml:space="preserve">L’arrêt des réunions hybrides à partir de janvier 2024 a continué d’avoir des conséquences négatives sur les travaux du Comité et sur la capacité des organisations de la société civile, des institutions nationales des droits de l’homme, des mécanismes nationaux de prévention de la torture, des entités des Nations Unies et des autres parties prenantes de participer à ces travaux. En raison des contraintes imposées, les programmes de travail des sessions du Comité ne comprenaient que des réunions en présentiel. Le Comité demande que soient maintenues toutes les réunions hybrides multilingues, éléments essentiels d’une session dotée de ressources adéquates, et invite les États </w:t>
      </w:r>
      <w:r>
        <w:rPr>
          <w:lang w:val="fr-FR"/>
        </w:rPr>
        <w:t>P</w:t>
      </w:r>
      <w:r w:rsidRPr="00D833AB">
        <w:rPr>
          <w:lang w:val="fr-FR"/>
        </w:rPr>
        <w:t>arties à appuyer cette demande.</w:t>
      </w:r>
      <w:bookmarkStart w:id="26" w:name="_Toc138756976"/>
    </w:p>
    <w:p w14:paraId="1D326CCE" w14:textId="77777777" w:rsidR="00F30361" w:rsidRPr="00D833AB" w:rsidRDefault="00F30361" w:rsidP="00F30361">
      <w:pPr>
        <w:pStyle w:val="H1G"/>
      </w:pPr>
      <w:r w:rsidRPr="00D833AB">
        <w:rPr>
          <w:lang w:val="fr-FR"/>
        </w:rPr>
        <w:tab/>
        <w:t>I.</w:t>
      </w:r>
      <w:r w:rsidRPr="00D833AB">
        <w:rPr>
          <w:lang w:val="fr-FR"/>
        </w:rPr>
        <w:tab/>
        <w:t>Rapporteur (Rapporteuse) chargé(e) de la question des représailles</w:t>
      </w:r>
      <w:bookmarkStart w:id="27" w:name="_Toc191367658"/>
      <w:bookmarkStart w:id="28" w:name="_Toc138756977"/>
      <w:bookmarkStart w:id="29" w:name="_Hlk157942188"/>
      <w:bookmarkEnd w:id="26"/>
      <w:bookmarkEnd w:id="27"/>
      <w:bookmarkEnd w:id="28"/>
    </w:p>
    <w:p w14:paraId="3284EEFB" w14:textId="77777777" w:rsidR="00F30361" w:rsidRPr="00D833AB" w:rsidRDefault="00F30361" w:rsidP="00F30361">
      <w:pPr>
        <w:pStyle w:val="SingleTxtG"/>
      </w:pPr>
      <w:r w:rsidRPr="00D833AB">
        <w:rPr>
          <w:lang w:val="fr-FR"/>
        </w:rPr>
        <w:t>18.</w:t>
      </w:r>
      <w:r w:rsidRPr="00D833AB">
        <w:rPr>
          <w:lang w:val="fr-FR"/>
        </w:rPr>
        <w:tab/>
        <w:t>Pendant la période considérée, M</w:t>
      </w:r>
      <w:r w:rsidRPr="00D833AB">
        <w:rPr>
          <w:vertAlign w:val="superscript"/>
          <w:lang w:val="fr-FR"/>
        </w:rPr>
        <w:t>me</w:t>
      </w:r>
      <w:r w:rsidRPr="00D833AB">
        <w:rPr>
          <w:lang w:val="fr-FR"/>
        </w:rPr>
        <w:t> </w:t>
      </w:r>
      <w:proofErr w:type="spellStart"/>
      <w:r w:rsidRPr="00D833AB">
        <w:rPr>
          <w:lang w:val="fr-FR"/>
        </w:rPr>
        <w:t>Racu</w:t>
      </w:r>
      <w:proofErr w:type="spellEnd"/>
      <w:r w:rsidRPr="00D833AB">
        <w:rPr>
          <w:lang w:val="fr-FR"/>
        </w:rPr>
        <w:t xml:space="preserve"> a continué d’exercer les fonctions de rapporteur chargé de la question des représailles au titre des articles 19, 20 et 22 (voir </w:t>
      </w:r>
      <w:hyperlink r:id="rId34" w:history="1">
        <w:r w:rsidRPr="009059DB">
          <w:rPr>
            <w:rStyle w:val="Lienhypertexte"/>
            <w:lang w:val="fr-FR"/>
          </w:rPr>
          <w:t>CAT/C/55/2</w:t>
        </w:r>
      </w:hyperlink>
      <w:r w:rsidRPr="00D833AB">
        <w:rPr>
          <w:lang w:val="fr-FR"/>
        </w:rPr>
        <w:t>). Des renseignements sur les activités menées au titre du mandat pendant la période considérée figurent sur la page Web consacrée à cette question</w:t>
      </w:r>
      <w:r w:rsidRPr="00C65C7E">
        <w:rPr>
          <w:rStyle w:val="Appelnotedebasdep"/>
        </w:rPr>
        <w:footnoteReference w:id="8"/>
      </w:r>
      <w:r w:rsidRPr="00D833AB">
        <w:rPr>
          <w:lang w:val="fr-FR"/>
        </w:rPr>
        <w:t xml:space="preserve">. Au cours de la période considérée, le Comité a continué de prendre les mesures de précaution nécessaires pour protéger toute personne coopérant avec lui, en particulier dans le cadre des examens de la situation dans les États </w:t>
      </w:r>
      <w:r>
        <w:rPr>
          <w:lang w:val="fr-FR"/>
        </w:rPr>
        <w:t>P</w:t>
      </w:r>
      <w:r w:rsidRPr="00D833AB">
        <w:rPr>
          <w:lang w:val="fr-FR"/>
        </w:rPr>
        <w:t>arties auxquels il procède au titre de l’article 19, contre des représailles ou tout autre acte d’intimidation, conformément à sa pratique habituelle. Les mesures prises par le Comité face aux allégations faisant état de tels faits ont été le résultat d’une appréciation et d’un examen diligents des circonstances propres à chaque cas et de délibérations sur celles-ci, conformément aux lignes directrices du Comité sur la réception et le traitement des allégations de représailles.</w:t>
      </w:r>
    </w:p>
    <w:bookmarkEnd w:id="29"/>
    <w:p w14:paraId="30D0EC59" w14:textId="77777777" w:rsidR="00F30361" w:rsidRPr="00D833AB" w:rsidRDefault="00F30361" w:rsidP="00F30361">
      <w:pPr>
        <w:pStyle w:val="H1G"/>
      </w:pPr>
      <w:r w:rsidRPr="00D833AB">
        <w:rPr>
          <w:lang w:val="fr-FR"/>
        </w:rPr>
        <w:tab/>
        <w:t>J.</w:t>
      </w:r>
      <w:r w:rsidRPr="00D833AB">
        <w:rPr>
          <w:lang w:val="fr-FR"/>
        </w:rPr>
        <w:tab/>
        <w:t>Processus de renforcement des organes conventionnels</w:t>
      </w:r>
      <w:bookmarkStart w:id="30" w:name="_Toc138756978"/>
      <w:bookmarkStart w:id="31" w:name="_Toc191367659"/>
      <w:bookmarkEnd w:id="30"/>
      <w:bookmarkEnd w:id="31"/>
    </w:p>
    <w:p w14:paraId="5A07F204" w14:textId="2121C073" w:rsidR="00F30361" w:rsidRPr="00D833AB" w:rsidRDefault="00F30361" w:rsidP="00F30361">
      <w:pPr>
        <w:pStyle w:val="SingleTxtG"/>
      </w:pPr>
      <w:r w:rsidRPr="00D833AB">
        <w:rPr>
          <w:lang w:val="fr-FR"/>
        </w:rPr>
        <w:t>19.</w:t>
      </w:r>
      <w:r w:rsidRPr="00D833AB">
        <w:rPr>
          <w:lang w:val="fr-FR"/>
        </w:rPr>
        <w:tab/>
        <w:t xml:space="preserve">Au cours de la période considérée, le Comité a continué de contribuer à l’action visant à renforcer le système des organes conventionnels. Ainsi, il a soumis à la trente-sixième réunion annuelle des présidentes et présidents des organes créés en vertu d’instruments internationaux relatifs aux droits de l’homme ses vues concernant la proposition de créer un mécanisme de coordination </w:t>
      </w:r>
      <w:proofErr w:type="spellStart"/>
      <w:r w:rsidRPr="00D833AB">
        <w:rPr>
          <w:lang w:val="fr-FR"/>
        </w:rPr>
        <w:t>intercomités</w:t>
      </w:r>
      <w:proofErr w:type="spellEnd"/>
      <w:r w:rsidRPr="00D833AB">
        <w:rPr>
          <w:lang w:val="fr-FR"/>
        </w:rPr>
        <w:t xml:space="preserve"> devant favoriser l’harmonisation des méthodes de travail et la concertation sur les questions de fond (</w:t>
      </w:r>
      <w:hyperlink r:id="rId35" w:history="1">
        <w:r w:rsidRPr="009059DB">
          <w:rPr>
            <w:rStyle w:val="Lienhypertexte"/>
            <w:lang w:val="fr-FR"/>
          </w:rPr>
          <w:t>A/78/354</w:t>
        </w:r>
      </w:hyperlink>
      <w:r w:rsidRPr="00D833AB">
        <w:rPr>
          <w:lang w:val="fr-FR"/>
        </w:rPr>
        <w:t>, par.</w:t>
      </w:r>
      <w:r w:rsidR="00DA7968">
        <w:rPr>
          <w:lang w:val="fr-FR"/>
        </w:rPr>
        <w:t> </w:t>
      </w:r>
      <w:r w:rsidRPr="00D833AB">
        <w:rPr>
          <w:lang w:val="fr-FR"/>
        </w:rPr>
        <w:t>11, 14, 41, 51, 73 et 74). Le Comité fait observer que le processus de renforcement a atteint une étape décisive avec l’adoption par l’Assemblée générale, en décembre 2024, de la résolution biennale sur les organes créés en vertu d’un instrument international relatif aux droits de l’homme (résolution </w:t>
      </w:r>
      <w:hyperlink r:id="rId36" w:history="1">
        <w:r w:rsidRPr="009059DB">
          <w:rPr>
            <w:rStyle w:val="Lienhypertexte"/>
            <w:lang w:val="fr-FR"/>
          </w:rPr>
          <w:t>79/165</w:t>
        </w:r>
      </w:hyperlink>
      <w:r w:rsidRPr="00D833AB">
        <w:rPr>
          <w:lang w:val="fr-FR"/>
        </w:rPr>
        <w:t xml:space="preserve">). Il constate que, bien qu’elle ait invité les organes conventionnels et le HCDH à continuer de s’employer à améliorer la coordination et le caractère prévisible du processus d’établissement de rapports en vue de parvenir à l’élaboration d’un calendrier régulier pour l’établissement des rapports des États </w:t>
      </w:r>
      <w:r>
        <w:rPr>
          <w:lang w:val="fr-FR"/>
        </w:rPr>
        <w:t>P</w:t>
      </w:r>
      <w:r w:rsidRPr="00D833AB">
        <w:rPr>
          <w:lang w:val="fr-FR"/>
        </w:rPr>
        <w:t xml:space="preserve">arties, et qu’elle ait invité les organes conventionnels à redoubler d’efforts pour promouvoir l’utilisation des technologies numériques, l’Assemblée générale n’a pas approuvé certaines propositions détaillées faites par les présidentes et présidents, notamment celle d’établir un cycle d’examen prévisible de huit ans (voir </w:t>
      </w:r>
      <w:hyperlink r:id="rId37" w:history="1">
        <w:r w:rsidRPr="009059DB">
          <w:rPr>
            <w:rStyle w:val="Lienhypertexte"/>
            <w:lang w:val="fr-FR"/>
          </w:rPr>
          <w:t>A/79/292</w:t>
        </w:r>
      </w:hyperlink>
      <w:r w:rsidRPr="00D833AB">
        <w:rPr>
          <w:lang w:val="fr-FR"/>
        </w:rPr>
        <w:t xml:space="preserve">), et n’a pas non plus approuvé l’allocation des ressources nécessaires à la concrétisation de ces propositions. </w:t>
      </w:r>
    </w:p>
    <w:p w14:paraId="7DDC5B91" w14:textId="77777777" w:rsidR="00F30361" w:rsidRPr="00D833AB" w:rsidRDefault="00F30361" w:rsidP="00F30361">
      <w:pPr>
        <w:pStyle w:val="H1G"/>
      </w:pPr>
      <w:r w:rsidRPr="00D833AB">
        <w:rPr>
          <w:lang w:val="fr-FR"/>
        </w:rPr>
        <w:tab/>
        <w:t>K.</w:t>
      </w:r>
      <w:r w:rsidRPr="00D833AB">
        <w:rPr>
          <w:lang w:val="fr-FR"/>
        </w:rPr>
        <w:tab/>
        <w:t>Participation des membres du Comité à d’autres réunions</w:t>
      </w:r>
      <w:bookmarkStart w:id="32" w:name="_Toc138756979"/>
      <w:bookmarkStart w:id="33" w:name="_Toc191367660"/>
      <w:bookmarkEnd w:id="32"/>
      <w:bookmarkEnd w:id="33"/>
    </w:p>
    <w:p w14:paraId="09B1BAE5" w14:textId="77777777" w:rsidR="00F30361" w:rsidRPr="00D833AB" w:rsidRDefault="00F30361" w:rsidP="00F30361">
      <w:pPr>
        <w:pStyle w:val="SingleTxtG"/>
        <w:keepNext/>
      </w:pPr>
      <w:bookmarkStart w:id="34" w:name="_Hlk165012035"/>
      <w:bookmarkStart w:id="35" w:name="_Hlk159235623"/>
      <w:r w:rsidRPr="00D833AB">
        <w:rPr>
          <w:lang w:val="fr-FR"/>
        </w:rPr>
        <w:t>20.</w:t>
      </w:r>
      <w:r w:rsidRPr="00D833AB">
        <w:rPr>
          <w:lang w:val="fr-FR"/>
        </w:rPr>
        <w:tab/>
        <w:t>Au cours de la période considérée, les membres du Comité ont participé à différentes activités :</w:t>
      </w:r>
    </w:p>
    <w:bookmarkEnd w:id="34"/>
    <w:bookmarkEnd w:id="35"/>
    <w:p w14:paraId="025BA85B" w14:textId="19EE85E5" w:rsidR="00F30361" w:rsidRPr="00D833AB" w:rsidRDefault="00F30361" w:rsidP="00F30361">
      <w:pPr>
        <w:pStyle w:val="SingleTxtG"/>
        <w:ind w:firstLine="567"/>
      </w:pPr>
      <w:r w:rsidRPr="00D833AB">
        <w:rPr>
          <w:lang w:val="fr-FR"/>
        </w:rPr>
        <w:t>a)</w:t>
      </w:r>
      <w:r w:rsidRPr="00D833AB">
        <w:rPr>
          <w:lang w:val="fr-FR"/>
        </w:rPr>
        <w:tab/>
        <w:t>Abderrazak</w:t>
      </w:r>
      <w:r w:rsidR="00DA7968">
        <w:rPr>
          <w:lang w:val="fr-FR"/>
        </w:rPr>
        <w:t> </w:t>
      </w:r>
      <w:proofErr w:type="spellStart"/>
      <w:r w:rsidRPr="00D833AB">
        <w:rPr>
          <w:lang w:val="fr-FR"/>
        </w:rPr>
        <w:t>Rouwane</w:t>
      </w:r>
      <w:proofErr w:type="spellEnd"/>
      <w:r w:rsidRPr="00D833AB">
        <w:rPr>
          <w:lang w:val="fr-FR"/>
        </w:rPr>
        <w:t xml:space="preserve"> a participé à une manifestation organisée par la Commission africaine des droits de l’homme et des peuples le 15</w:t>
      </w:r>
      <w:r>
        <w:rPr>
          <w:lang w:val="fr-FR"/>
        </w:rPr>
        <w:t> </w:t>
      </w:r>
      <w:r w:rsidRPr="00D833AB">
        <w:rPr>
          <w:lang w:val="fr-FR"/>
        </w:rPr>
        <w:t xml:space="preserve">mai 2024, à sa </w:t>
      </w:r>
      <w:r w:rsidRPr="00D833AB">
        <w:rPr>
          <w:lang w:val="fr-FR"/>
        </w:rPr>
        <w:lastRenderedPageBreak/>
        <w:t>soixante</w:t>
      </w:r>
      <w:r w:rsidRPr="00D833AB">
        <w:rPr>
          <w:lang w:val="fr-FR"/>
        </w:rPr>
        <w:noBreakHyphen/>
        <w:t>dix</w:t>
      </w:r>
      <w:r w:rsidRPr="00D833AB">
        <w:rPr>
          <w:lang w:val="fr-FR"/>
        </w:rPr>
        <w:noBreakHyphen/>
        <w:t>neuvième session ordinaire, pour commémorer le quarantième anniversaire de l’adoption de la Convention ;</w:t>
      </w:r>
    </w:p>
    <w:p w14:paraId="11565146" w14:textId="77777777" w:rsidR="00F30361" w:rsidRPr="00D833AB" w:rsidRDefault="00F30361" w:rsidP="00F30361">
      <w:pPr>
        <w:pStyle w:val="SingleTxtG"/>
        <w:ind w:firstLine="567"/>
      </w:pPr>
      <w:r w:rsidRPr="00D833AB">
        <w:rPr>
          <w:lang w:val="fr-FR"/>
        </w:rPr>
        <w:t>b)</w:t>
      </w:r>
      <w:r w:rsidRPr="00D833AB">
        <w:rPr>
          <w:lang w:val="fr-FR"/>
        </w:rPr>
        <w:tab/>
      </w:r>
      <w:r>
        <w:rPr>
          <w:lang w:val="fr-FR"/>
        </w:rPr>
        <w:t>Claude</w:t>
      </w:r>
      <w:r w:rsidRPr="00D833AB">
        <w:rPr>
          <w:lang w:val="fr-FR"/>
        </w:rPr>
        <w:t> Heller a participé à un webinaire visant à renforcer la collaboration des organisations de la société civile avec le Comité, organisé par le programme de renforcement des capacités des organes conventionnels du HCDH et l’Organisation mondiale contre la torture, qui s’est tenu le 27</w:t>
      </w:r>
      <w:r>
        <w:rPr>
          <w:lang w:val="fr-FR"/>
        </w:rPr>
        <w:t> </w:t>
      </w:r>
      <w:r w:rsidRPr="00D833AB">
        <w:rPr>
          <w:lang w:val="fr-FR"/>
        </w:rPr>
        <w:t>mai 2024 ;</w:t>
      </w:r>
      <w:bookmarkStart w:id="36" w:name="_Hlk191380424"/>
      <w:bookmarkEnd w:id="36"/>
    </w:p>
    <w:p w14:paraId="3778B656" w14:textId="77777777" w:rsidR="00F30361" w:rsidRPr="00D833AB" w:rsidRDefault="00F30361" w:rsidP="00F30361">
      <w:pPr>
        <w:pStyle w:val="SingleTxtG"/>
        <w:tabs>
          <w:tab w:val="clear" w:pos="1701"/>
          <w:tab w:val="clear" w:pos="2268"/>
          <w:tab w:val="clear" w:pos="2835"/>
        </w:tabs>
        <w:ind w:firstLine="567"/>
      </w:pPr>
      <w:r w:rsidRPr="00D833AB">
        <w:rPr>
          <w:lang w:val="fr-FR"/>
        </w:rPr>
        <w:t>c)</w:t>
      </w:r>
      <w:r w:rsidRPr="00D833AB">
        <w:rPr>
          <w:lang w:val="fr-FR"/>
        </w:rPr>
        <w:tab/>
        <w:t xml:space="preserve">Liu </w:t>
      </w:r>
      <w:proofErr w:type="spellStart"/>
      <w:r w:rsidRPr="00D833AB">
        <w:rPr>
          <w:lang w:val="fr-FR"/>
        </w:rPr>
        <w:t>Huawen</w:t>
      </w:r>
      <w:proofErr w:type="spellEnd"/>
      <w:r w:rsidRPr="00D833AB">
        <w:rPr>
          <w:lang w:val="fr-FR"/>
        </w:rPr>
        <w:t xml:space="preserve"> a fait une déclaration sur l’application de la Convention au Forum Chine-Asie centrale pour la promotion des droits de l’homme, qui s’est tenu les 28 et 29 mai 2024 à Astana ;</w:t>
      </w:r>
    </w:p>
    <w:p w14:paraId="2CF7CBCC" w14:textId="2444BE90" w:rsidR="00F30361" w:rsidRPr="00D833AB" w:rsidRDefault="00F30361" w:rsidP="00F30361">
      <w:pPr>
        <w:pStyle w:val="SingleTxtG"/>
        <w:keepNext/>
        <w:keepLines/>
        <w:ind w:firstLine="567"/>
      </w:pPr>
      <w:r w:rsidRPr="00D833AB">
        <w:rPr>
          <w:lang w:val="fr-FR"/>
        </w:rPr>
        <w:t>d)</w:t>
      </w:r>
      <w:r w:rsidRPr="00D833AB">
        <w:rPr>
          <w:lang w:val="fr-FR"/>
        </w:rPr>
        <w:tab/>
        <w:t xml:space="preserve">Jorge </w:t>
      </w:r>
      <w:proofErr w:type="spellStart"/>
      <w:r w:rsidRPr="00D833AB">
        <w:rPr>
          <w:lang w:val="fr-FR"/>
        </w:rPr>
        <w:t>Contesse</w:t>
      </w:r>
      <w:proofErr w:type="spellEnd"/>
      <w:r w:rsidRPr="00D833AB">
        <w:rPr>
          <w:lang w:val="fr-FR"/>
        </w:rPr>
        <w:t xml:space="preserve"> a participé à distance, au nom du Comité, aux réunions de la Plateforme d’experts indépendants sur les droits des réfugiés tenues le 4</w:t>
      </w:r>
      <w:r>
        <w:rPr>
          <w:lang w:val="fr-FR"/>
        </w:rPr>
        <w:t> </w:t>
      </w:r>
      <w:r w:rsidRPr="00D833AB">
        <w:rPr>
          <w:lang w:val="fr-FR"/>
        </w:rPr>
        <w:t>septembre 2024, le 19 décembre 2024 et le 31 janvier 2025, et Erdogan</w:t>
      </w:r>
      <w:r w:rsidR="00DA7968">
        <w:rPr>
          <w:lang w:val="fr-FR"/>
        </w:rPr>
        <w:t> </w:t>
      </w:r>
      <w:proofErr w:type="spellStart"/>
      <w:r w:rsidRPr="00D833AB">
        <w:rPr>
          <w:lang w:val="fr-FR"/>
        </w:rPr>
        <w:t>Iscan</w:t>
      </w:r>
      <w:proofErr w:type="spellEnd"/>
      <w:r w:rsidRPr="00D833AB">
        <w:rPr>
          <w:lang w:val="fr-FR"/>
        </w:rPr>
        <w:t xml:space="preserve"> a participé à distance à la réunion de la Plateforme tenue le 11 juin 2024 ;</w:t>
      </w:r>
    </w:p>
    <w:p w14:paraId="395220AF" w14:textId="77777777" w:rsidR="00F30361" w:rsidRPr="00D833AB" w:rsidRDefault="00F30361" w:rsidP="00F30361">
      <w:pPr>
        <w:pStyle w:val="SingleTxtG"/>
        <w:ind w:firstLine="567"/>
        <w:rPr>
          <w:lang w:val="fr-FR"/>
        </w:rPr>
      </w:pPr>
      <w:r w:rsidRPr="00D833AB">
        <w:rPr>
          <w:lang w:val="fr-FR"/>
        </w:rPr>
        <w:t>e)</w:t>
      </w:r>
      <w:r w:rsidRPr="00D833AB">
        <w:rPr>
          <w:lang w:val="fr-FR"/>
        </w:rPr>
        <w:tab/>
        <w:t xml:space="preserve">Todd </w:t>
      </w:r>
      <w:proofErr w:type="spellStart"/>
      <w:r w:rsidRPr="00D833AB">
        <w:rPr>
          <w:lang w:val="fr-FR"/>
        </w:rPr>
        <w:t>Buchwald</w:t>
      </w:r>
      <w:proofErr w:type="spellEnd"/>
      <w:r w:rsidRPr="00D833AB">
        <w:rPr>
          <w:lang w:val="fr-FR"/>
        </w:rPr>
        <w:t xml:space="preserve"> a participé à un séminaire-retraite sur les procédures de traitement des plaintes et requêtes présentées aux organes conventionnels par des particuliers, organisé par la Plateforme de Genève sur les droits </w:t>
      </w:r>
      <w:r w:rsidRPr="00716658">
        <w:rPr>
          <w:lang w:val="fr-FR"/>
        </w:rPr>
        <w:t>humains, le Centre de recherche sur l</w:t>
      </w:r>
      <w:r w:rsidRPr="00D833AB">
        <w:rPr>
          <w:lang w:val="fr-FR"/>
        </w:rPr>
        <w:t xml:space="preserve">es droits de l’homme et le droit humanitaire et le HCDH, avec le soutien de la Fondation Friedrich </w:t>
      </w:r>
      <w:proofErr w:type="spellStart"/>
      <w:r w:rsidRPr="00D833AB">
        <w:rPr>
          <w:lang w:val="fr-FR"/>
        </w:rPr>
        <w:t>Naumann</w:t>
      </w:r>
      <w:proofErr w:type="spellEnd"/>
      <w:r w:rsidRPr="00D833AB">
        <w:rPr>
          <w:lang w:val="fr-FR"/>
        </w:rPr>
        <w:t>, qui s’est tenu le 18</w:t>
      </w:r>
      <w:r>
        <w:rPr>
          <w:lang w:val="fr-FR"/>
        </w:rPr>
        <w:t> </w:t>
      </w:r>
      <w:r w:rsidRPr="00D833AB">
        <w:rPr>
          <w:lang w:val="fr-FR"/>
        </w:rPr>
        <w:t>juin 2024, à Genève ;</w:t>
      </w:r>
    </w:p>
    <w:p w14:paraId="1EBCAFAB" w14:textId="77777777" w:rsidR="00F30361" w:rsidRPr="00D833AB" w:rsidRDefault="00F30361" w:rsidP="00F30361">
      <w:pPr>
        <w:pStyle w:val="SingleTxtG"/>
        <w:ind w:firstLine="567"/>
      </w:pPr>
      <w:r w:rsidRPr="00D833AB">
        <w:rPr>
          <w:lang w:val="fr-FR"/>
        </w:rPr>
        <w:t>f)</w:t>
      </w:r>
      <w:r w:rsidRPr="00D833AB">
        <w:rPr>
          <w:lang w:val="fr-FR"/>
        </w:rPr>
        <w:tab/>
        <w:t>M. </w:t>
      </w:r>
      <w:proofErr w:type="spellStart"/>
      <w:r w:rsidRPr="00D833AB">
        <w:rPr>
          <w:lang w:val="fr-FR"/>
        </w:rPr>
        <w:t>Rouwane</w:t>
      </w:r>
      <w:proofErr w:type="spellEnd"/>
      <w:r w:rsidRPr="00D833AB">
        <w:rPr>
          <w:lang w:val="fr-FR"/>
        </w:rPr>
        <w:t xml:space="preserve"> a participé à une table ronde organisée le 25</w:t>
      </w:r>
      <w:r>
        <w:rPr>
          <w:lang w:val="fr-FR"/>
        </w:rPr>
        <w:t> </w:t>
      </w:r>
      <w:r w:rsidRPr="00D833AB">
        <w:rPr>
          <w:lang w:val="fr-FR"/>
        </w:rPr>
        <w:t>juin 2024, à Tunis, par le mécanisme national de prévention de la Tunisie, le HCDH, avec le soutien du Fonds de contributions volontaires des Nations Unies pour les victimes de la torture, et l’Alliance contre la torture afin de commémorer le quarantième anniversaire de l’adoption de la Convention et la Journée internationale des Nations Unies pour le soutien aux victimes de la torture ;</w:t>
      </w:r>
    </w:p>
    <w:p w14:paraId="47AC01A5" w14:textId="77777777" w:rsidR="00F30361" w:rsidRPr="00D833AB" w:rsidRDefault="00F30361" w:rsidP="00F30361">
      <w:pPr>
        <w:pStyle w:val="SingleTxtG"/>
        <w:ind w:firstLine="567"/>
      </w:pPr>
      <w:r w:rsidRPr="00D833AB">
        <w:rPr>
          <w:lang w:val="fr-FR"/>
        </w:rPr>
        <w:t>g)</w:t>
      </w:r>
      <w:r w:rsidRPr="00D833AB">
        <w:rPr>
          <w:lang w:val="fr-FR"/>
        </w:rPr>
        <w:tab/>
        <w:t>M. Heller a participé à la trente-sixième réunion annuelle des présidentes et présidents des organes créés en vertu d’instruments internationaux relatifs aux droits de l’homme, qui s’est tenue du 24 au 28</w:t>
      </w:r>
      <w:r>
        <w:rPr>
          <w:lang w:val="fr-FR"/>
        </w:rPr>
        <w:t> </w:t>
      </w:r>
      <w:r w:rsidRPr="00D833AB">
        <w:rPr>
          <w:lang w:val="fr-FR"/>
        </w:rPr>
        <w:t>juin 2024, à New York ;</w:t>
      </w:r>
    </w:p>
    <w:p w14:paraId="2CC7FE92" w14:textId="77777777" w:rsidR="00F30361" w:rsidRPr="00D833AB" w:rsidRDefault="00F30361" w:rsidP="00F30361">
      <w:pPr>
        <w:pStyle w:val="SingleTxtG"/>
        <w:ind w:firstLine="567"/>
      </w:pPr>
      <w:r w:rsidRPr="00D833AB">
        <w:rPr>
          <w:lang w:val="fr-FR"/>
        </w:rPr>
        <w:t>h)</w:t>
      </w:r>
      <w:r w:rsidRPr="00D833AB">
        <w:rPr>
          <w:lang w:val="fr-FR"/>
        </w:rPr>
        <w:tab/>
        <w:t>M. </w:t>
      </w:r>
      <w:proofErr w:type="spellStart"/>
      <w:r w:rsidRPr="00D833AB">
        <w:rPr>
          <w:lang w:val="fr-FR"/>
        </w:rPr>
        <w:t>Rouwane</w:t>
      </w:r>
      <w:proofErr w:type="spellEnd"/>
      <w:r w:rsidRPr="00D833AB">
        <w:rPr>
          <w:lang w:val="fr-FR"/>
        </w:rPr>
        <w:t xml:space="preserve"> a participé à distance à la deuxième conférence régionale des mécanismes nationaux de prévention en Afrique, organisée par la Commission sud-africaine des droits de l’homme, en partenariat avec le Conseil national des droits de l’homme du Maroc, qui s’est déroulée les 26 et 27</w:t>
      </w:r>
      <w:r>
        <w:rPr>
          <w:lang w:val="fr-FR"/>
        </w:rPr>
        <w:t> </w:t>
      </w:r>
      <w:r w:rsidRPr="00D833AB">
        <w:rPr>
          <w:lang w:val="fr-FR"/>
        </w:rPr>
        <w:t>juin 2024 au Cap (Afrique du Sud) ;</w:t>
      </w:r>
    </w:p>
    <w:p w14:paraId="0F7DE289" w14:textId="77777777" w:rsidR="00F30361" w:rsidRPr="00D833AB" w:rsidRDefault="00F30361" w:rsidP="00F30361">
      <w:pPr>
        <w:pStyle w:val="SingleTxtG"/>
        <w:ind w:firstLine="567"/>
      </w:pPr>
      <w:r w:rsidRPr="00D833AB">
        <w:rPr>
          <w:lang w:val="fr-FR"/>
        </w:rPr>
        <w:t>i)</w:t>
      </w:r>
      <w:r w:rsidRPr="00D833AB">
        <w:rPr>
          <w:lang w:val="fr-FR"/>
        </w:rPr>
        <w:tab/>
        <w:t xml:space="preserve">M. Heller a participé à distance à une conférence sur la Convention, organisée par le </w:t>
      </w:r>
      <w:proofErr w:type="spellStart"/>
      <w:r w:rsidRPr="00D833AB">
        <w:rPr>
          <w:lang w:val="fr-FR"/>
        </w:rPr>
        <w:t>Círculo</w:t>
      </w:r>
      <w:proofErr w:type="spellEnd"/>
      <w:r w:rsidRPr="00D833AB">
        <w:rPr>
          <w:lang w:val="fr-FR"/>
        </w:rPr>
        <w:t xml:space="preserve"> de </w:t>
      </w:r>
      <w:proofErr w:type="spellStart"/>
      <w:r w:rsidRPr="00D833AB">
        <w:rPr>
          <w:lang w:val="fr-FR"/>
        </w:rPr>
        <w:t>Estudios</w:t>
      </w:r>
      <w:proofErr w:type="spellEnd"/>
      <w:r w:rsidRPr="00D833AB">
        <w:rPr>
          <w:lang w:val="fr-FR"/>
        </w:rPr>
        <w:t xml:space="preserve"> de Derecho Internacional de los</w:t>
      </w:r>
      <w:r>
        <w:rPr>
          <w:lang w:val="fr-FR"/>
        </w:rPr>
        <w:t> </w:t>
      </w:r>
      <w:r w:rsidRPr="00D833AB">
        <w:rPr>
          <w:lang w:val="fr-FR"/>
        </w:rPr>
        <w:t>Derechos Humanos, qui s’est tenue le 5 août 2024 au Chili ;</w:t>
      </w:r>
    </w:p>
    <w:p w14:paraId="6B685DC9" w14:textId="77777777" w:rsidR="00F30361" w:rsidRPr="00D833AB" w:rsidRDefault="00F30361" w:rsidP="00F30361">
      <w:pPr>
        <w:pStyle w:val="SingleTxtG"/>
        <w:ind w:firstLine="567"/>
      </w:pPr>
      <w:r w:rsidRPr="00D833AB">
        <w:rPr>
          <w:lang w:val="fr-FR"/>
        </w:rPr>
        <w:t>j)</w:t>
      </w:r>
      <w:r w:rsidRPr="00D833AB">
        <w:rPr>
          <w:lang w:val="fr-FR"/>
        </w:rPr>
        <w:tab/>
        <w:t xml:space="preserve">Peter Vedel </w:t>
      </w:r>
      <w:proofErr w:type="spellStart"/>
      <w:r w:rsidRPr="00D833AB">
        <w:rPr>
          <w:lang w:val="fr-FR"/>
        </w:rPr>
        <w:t>Kessing</w:t>
      </w:r>
      <w:proofErr w:type="spellEnd"/>
      <w:r w:rsidRPr="00D833AB">
        <w:rPr>
          <w:lang w:val="fr-FR"/>
        </w:rPr>
        <w:t xml:space="preserve"> a participé à un webinaire sur la Convention organisé par le programme de renforcement des capacités des organes conventionnels du HCDH, à l’intention des institutions nationales des droits de l’homme, le 3</w:t>
      </w:r>
      <w:r>
        <w:rPr>
          <w:lang w:val="fr-FR"/>
        </w:rPr>
        <w:t> </w:t>
      </w:r>
      <w:r w:rsidRPr="00D833AB">
        <w:rPr>
          <w:lang w:val="fr-FR"/>
        </w:rPr>
        <w:t>septembre 2024 ;</w:t>
      </w:r>
      <w:bookmarkStart w:id="37" w:name="_Hlk191380449"/>
      <w:bookmarkEnd w:id="37"/>
    </w:p>
    <w:p w14:paraId="1DE2D4D1" w14:textId="77777777" w:rsidR="00F30361" w:rsidRPr="00D833AB" w:rsidRDefault="00F30361" w:rsidP="00F30361">
      <w:pPr>
        <w:pStyle w:val="SingleTxtG"/>
        <w:ind w:firstLine="567"/>
      </w:pPr>
      <w:r w:rsidRPr="00D833AB">
        <w:rPr>
          <w:lang w:val="fr-FR"/>
        </w:rPr>
        <w:t>k)</w:t>
      </w:r>
      <w:r w:rsidRPr="00D833AB">
        <w:rPr>
          <w:lang w:val="fr-FR"/>
        </w:rPr>
        <w:tab/>
        <w:t>M. </w:t>
      </w:r>
      <w:proofErr w:type="spellStart"/>
      <w:r w:rsidRPr="00D833AB">
        <w:rPr>
          <w:lang w:val="fr-FR"/>
        </w:rPr>
        <w:t>Rouwane</w:t>
      </w:r>
      <w:proofErr w:type="spellEnd"/>
      <w:r w:rsidRPr="00D833AB">
        <w:rPr>
          <w:lang w:val="fr-FR"/>
        </w:rPr>
        <w:t xml:space="preserve"> a participé à un séminaire organisé par le ministère public marocain pour lancer le programme de formation d’un an des juges, des procureurs, des policiers et du personnel pénitentiaire au Manuel pour enquêter efficacement sur la torture et autres peines ou traitements cruels, inhumains ou dégradants (Protocole d’Istanbul), tel que révisé, séminaire qui s’est tenu le 7</w:t>
      </w:r>
      <w:r>
        <w:rPr>
          <w:lang w:val="fr-FR"/>
        </w:rPr>
        <w:t> </w:t>
      </w:r>
      <w:r w:rsidRPr="00D833AB">
        <w:rPr>
          <w:lang w:val="fr-FR"/>
        </w:rPr>
        <w:t>octobre 2024, à Rabat ;</w:t>
      </w:r>
    </w:p>
    <w:p w14:paraId="220B25E0" w14:textId="77777777" w:rsidR="00F30361" w:rsidRPr="00D833AB" w:rsidRDefault="00F30361" w:rsidP="00F30361">
      <w:pPr>
        <w:pStyle w:val="SingleTxtG"/>
        <w:ind w:firstLine="567"/>
      </w:pPr>
      <w:r w:rsidRPr="00D833AB">
        <w:rPr>
          <w:lang w:val="fr-FR"/>
        </w:rPr>
        <w:t>l)</w:t>
      </w:r>
      <w:r w:rsidRPr="00D833AB">
        <w:rPr>
          <w:lang w:val="fr-FR"/>
        </w:rPr>
        <w:tab/>
        <w:t>Maeda Naoko a participé à une réunion-débat sur l’application de la Convention organisée le 16 octobre 2024 par la Commission nationale de lutte contre la violence à l’égard des femmes (</w:t>
      </w:r>
      <w:proofErr w:type="spellStart"/>
      <w:r w:rsidRPr="00D833AB">
        <w:rPr>
          <w:lang w:val="fr-FR"/>
        </w:rPr>
        <w:t>Komnas</w:t>
      </w:r>
      <w:proofErr w:type="spellEnd"/>
      <w:r w:rsidRPr="00D833AB">
        <w:rPr>
          <w:lang w:val="fr-FR"/>
        </w:rPr>
        <w:t xml:space="preserve"> </w:t>
      </w:r>
      <w:proofErr w:type="spellStart"/>
      <w:r w:rsidRPr="00D833AB">
        <w:rPr>
          <w:lang w:val="fr-FR"/>
        </w:rPr>
        <w:t>Perempuan</w:t>
      </w:r>
      <w:proofErr w:type="spellEnd"/>
      <w:r w:rsidRPr="00D833AB">
        <w:rPr>
          <w:lang w:val="fr-FR"/>
        </w:rPr>
        <w:t xml:space="preserve">), une institution publique indonésienne œuvrant en faveur des droits des femmes </w:t>
      </w:r>
      <w:r>
        <w:rPr>
          <w:lang w:val="fr-FR"/>
        </w:rPr>
        <w:t xml:space="preserve">qui est </w:t>
      </w:r>
      <w:r w:rsidRPr="00D833AB">
        <w:rPr>
          <w:lang w:val="fr-FR"/>
        </w:rPr>
        <w:t>membre du groupe de travail sur la prévention de la torture en Indonésie, à l’occasion du vingt-cinquième anniversaire de la ratification de la Convention par l’Indonésie ;</w:t>
      </w:r>
    </w:p>
    <w:p w14:paraId="20B8D4F3" w14:textId="77777777" w:rsidR="00F30361" w:rsidRPr="00D833AB" w:rsidRDefault="00F30361" w:rsidP="00F30361">
      <w:pPr>
        <w:pStyle w:val="SingleTxtG"/>
        <w:ind w:firstLine="567"/>
      </w:pPr>
      <w:r w:rsidRPr="00D833AB">
        <w:rPr>
          <w:lang w:val="fr-FR"/>
        </w:rPr>
        <w:t>m)</w:t>
      </w:r>
      <w:r w:rsidRPr="00D833AB">
        <w:rPr>
          <w:lang w:val="fr-FR"/>
        </w:rPr>
        <w:tab/>
      </w:r>
      <w:r w:rsidRPr="00716658">
        <w:rPr>
          <w:lang w:val="fr-FR"/>
        </w:rPr>
        <w:t>M. </w:t>
      </w:r>
      <w:proofErr w:type="spellStart"/>
      <w:r w:rsidRPr="00716658">
        <w:rPr>
          <w:lang w:val="fr-FR"/>
        </w:rPr>
        <w:t>Kessing</w:t>
      </w:r>
      <w:proofErr w:type="spellEnd"/>
      <w:r w:rsidRPr="00716658">
        <w:rPr>
          <w:lang w:val="fr-FR"/>
        </w:rPr>
        <w:t xml:space="preserve"> a participé à un</w:t>
      </w:r>
      <w:r w:rsidRPr="00D833AB">
        <w:rPr>
          <w:lang w:val="fr-FR"/>
        </w:rPr>
        <w:t xml:space="preserve"> webinaire sur les procédures d’enquête des organes conventionnels destiné aux organisations de la société civile, qui s’est tenu le 21 octobre 2024 ;</w:t>
      </w:r>
    </w:p>
    <w:p w14:paraId="6DCE2832" w14:textId="77777777" w:rsidR="00F30361" w:rsidRPr="00D833AB" w:rsidRDefault="00F30361" w:rsidP="00F30361">
      <w:pPr>
        <w:pStyle w:val="SingleTxtG"/>
        <w:ind w:firstLine="567"/>
      </w:pPr>
      <w:r w:rsidRPr="00D833AB">
        <w:rPr>
          <w:lang w:val="fr-FR"/>
        </w:rPr>
        <w:t>n)</w:t>
      </w:r>
      <w:r w:rsidRPr="00D833AB">
        <w:rPr>
          <w:lang w:val="fr-FR"/>
        </w:rPr>
        <w:tab/>
        <w:t>M</w:t>
      </w:r>
      <w:r w:rsidRPr="00D833AB">
        <w:rPr>
          <w:vertAlign w:val="superscript"/>
          <w:lang w:val="fr-FR"/>
        </w:rPr>
        <w:t>me</w:t>
      </w:r>
      <w:r w:rsidRPr="00D833AB">
        <w:rPr>
          <w:lang w:val="fr-FR"/>
        </w:rPr>
        <w:t> </w:t>
      </w:r>
      <w:proofErr w:type="spellStart"/>
      <w:r w:rsidRPr="00D833AB">
        <w:rPr>
          <w:lang w:val="fr-FR"/>
        </w:rPr>
        <w:t>Racu</w:t>
      </w:r>
      <w:proofErr w:type="spellEnd"/>
      <w:r w:rsidRPr="00D833AB">
        <w:rPr>
          <w:lang w:val="fr-FR"/>
        </w:rPr>
        <w:t xml:space="preserve"> a participé à la réunion régionale d’examen</w:t>
      </w:r>
      <w:r>
        <w:rPr>
          <w:lang w:val="fr-FR"/>
        </w:rPr>
        <w:t> </w:t>
      </w:r>
      <w:r w:rsidRPr="00D833AB">
        <w:rPr>
          <w:lang w:val="fr-FR"/>
        </w:rPr>
        <w:t xml:space="preserve">Beijing+30, organisée par la Commission économique pour l’Europe (CEE) et le Bureau régional pour l’Europe et </w:t>
      </w:r>
      <w:r w:rsidRPr="00D833AB">
        <w:rPr>
          <w:lang w:val="fr-FR"/>
        </w:rPr>
        <w:lastRenderedPageBreak/>
        <w:t>l’Asie centrale de l’Entité des Nations Unies pour l’égalité des sexes et l’autonomisation des femmes (ONU-Femmes) afin d’évaluer l’application de la Déclaration et du Programme d’action de Beijing dans la région de la CEE, qui s’est tenue les 21 et 22 octobre 2024, à Genève ;</w:t>
      </w:r>
    </w:p>
    <w:p w14:paraId="18E8EFAA" w14:textId="77777777" w:rsidR="00F30361" w:rsidRPr="00D833AB" w:rsidRDefault="00F30361" w:rsidP="00F30361">
      <w:pPr>
        <w:pStyle w:val="SingleTxtG"/>
        <w:ind w:firstLine="567"/>
      </w:pPr>
      <w:r w:rsidRPr="00D833AB">
        <w:rPr>
          <w:lang w:val="fr-FR"/>
        </w:rPr>
        <w:t>o)</w:t>
      </w:r>
      <w:r w:rsidRPr="00D833AB">
        <w:rPr>
          <w:lang w:val="fr-FR"/>
        </w:rPr>
        <w:tab/>
        <w:t>M</w:t>
      </w:r>
      <w:r w:rsidRPr="00D833AB">
        <w:rPr>
          <w:vertAlign w:val="superscript"/>
          <w:lang w:val="fr-FR"/>
        </w:rPr>
        <w:t>me</w:t>
      </w:r>
      <w:r w:rsidRPr="00D833AB">
        <w:rPr>
          <w:lang w:val="fr-FR"/>
        </w:rPr>
        <w:t> </w:t>
      </w:r>
      <w:proofErr w:type="spellStart"/>
      <w:r w:rsidRPr="00D833AB">
        <w:rPr>
          <w:lang w:val="fr-FR"/>
        </w:rPr>
        <w:t>Racu</w:t>
      </w:r>
      <w:proofErr w:type="spellEnd"/>
      <w:r w:rsidRPr="00D833AB">
        <w:rPr>
          <w:lang w:val="fr-FR"/>
        </w:rPr>
        <w:t xml:space="preserve"> a participé à distance à une table ronde sur les questions d’intersexualité et le droit de ne pas être soumis à la torture et à des mauvais traitements, en particulier à des opérations chirurgicales et d’autres traitements médicaux non nécessaires et irréversibles, organisée à Londres, le 24 octobre, par l’Organisation </w:t>
      </w:r>
      <w:proofErr w:type="spellStart"/>
      <w:r w:rsidRPr="00D833AB">
        <w:rPr>
          <w:lang w:val="fr-FR"/>
        </w:rPr>
        <w:t>Intersex</w:t>
      </w:r>
      <w:proofErr w:type="spellEnd"/>
      <w:r w:rsidRPr="00D833AB">
        <w:rPr>
          <w:lang w:val="fr-FR"/>
        </w:rPr>
        <w:t xml:space="preserve"> International Europe ;</w:t>
      </w:r>
    </w:p>
    <w:p w14:paraId="3B3F1D02" w14:textId="77777777" w:rsidR="00F30361" w:rsidRDefault="00F30361" w:rsidP="00F30361">
      <w:pPr>
        <w:pStyle w:val="SingleTxtG"/>
        <w:ind w:firstLine="567"/>
        <w:rPr>
          <w:lang w:val="fr-FR"/>
        </w:rPr>
      </w:pPr>
      <w:r w:rsidRPr="00D833AB">
        <w:rPr>
          <w:lang w:val="fr-FR"/>
        </w:rPr>
        <w:t>p)</w:t>
      </w:r>
      <w:r w:rsidRPr="00D833AB">
        <w:rPr>
          <w:lang w:val="fr-FR"/>
        </w:rPr>
        <w:tab/>
        <w:t>M. Heller a prononcé une déclaration liminaire au forum annuel de l’Initiative sur la Convention contre la torture, qui s’est tenu le 19 novembre 2024 ;</w:t>
      </w:r>
    </w:p>
    <w:p w14:paraId="7F489DCE" w14:textId="77777777" w:rsidR="00F30361" w:rsidRDefault="00F30361" w:rsidP="00F30361">
      <w:pPr>
        <w:pStyle w:val="SingleTxtG"/>
        <w:ind w:firstLine="567"/>
        <w:rPr>
          <w:lang w:val="fr-FR"/>
        </w:rPr>
      </w:pPr>
      <w:r w:rsidRPr="00F32CF8">
        <w:rPr>
          <w:lang w:val="fr-FR"/>
        </w:rPr>
        <w:t>q)</w:t>
      </w:r>
      <w:r w:rsidRPr="00F32CF8">
        <w:rPr>
          <w:lang w:val="fr-FR"/>
        </w:rPr>
        <w:tab/>
        <w:t>M.</w:t>
      </w:r>
      <w:r>
        <w:rPr>
          <w:lang w:val="fr-FR"/>
        </w:rPr>
        <w:t> </w:t>
      </w:r>
      <w:proofErr w:type="spellStart"/>
      <w:r w:rsidRPr="00F32CF8">
        <w:rPr>
          <w:lang w:val="fr-FR"/>
        </w:rPr>
        <w:t>Buchwald</w:t>
      </w:r>
      <w:proofErr w:type="spellEnd"/>
      <w:r w:rsidRPr="00F32CF8">
        <w:rPr>
          <w:lang w:val="fr-FR"/>
        </w:rPr>
        <w:t xml:space="preserve"> a f</w:t>
      </w:r>
      <w:r w:rsidRPr="000E2E59">
        <w:rPr>
          <w:lang w:val="fr-FR"/>
        </w:rPr>
        <w:t>ait un</w:t>
      </w:r>
      <w:r>
        <w:rPr>
          <w:lang w:val="fr-FR"/>
        </w:rPr>
        <w:t xml:space="preserve"> exposé en ligne à l’attention d’une délégation de la République-Unie de Tanzanie qui était en visite à Genève dans le cadre d’une visite d’étude organisée par l’Initiative sur la Convention contre la torture, le 29 novembre 2024, et a participé à un dialogue avec la délégation. Il a présenté la procédure d’établissement des rapports et décrit ses avantages ;</w:t>
      </w:r>
    </w:p>
    <w:p w14:paraId="1FDADE00" w14:textId="77777777" w:rsidR="00F30361" w:rsidRDefault="00F30361" w:rsidP="00F30361">
      <w:pPr>
        <w:pStyle w:val="SingleTxtG"/>
        <w:ind w:firstLine="567"/>
        <w:rPr>
          <w:lang w:val="fr-FR"/>
        </w:rPr>
      </w:pPr>
      <w:r w:rsidRPr="00812932">
        <w:rPr>
          <w:lang w:val="fr-FR"/>
        </w:rPr>
        <w:t>r)</w:t>
      </w:r>
      <w:r w:rsidRPr="00812932">
        <w:rPr>
          <w:lang w:val="fr-FR"/>
        </w:rPr>
        <w:tab/>
        <w:t>M.</w:t>
      </w:r>
      <w:r>
        <w:rPr>
          <w:lang w:val="fr-FR"/>
        </w:rPr>
        <w:t> </w:t>
      </w:r>
      <w:proofErr w:type="spellStart"/>
      <w:r w:rsidRPr="00812932">
        <w:rPr>
          <w:lang w:val="fr-FR"/>
        </w:rPr>
        <w:t>Buchwald</w:t>
      </w:r>
      <w:proofErr w:type="spellEnd"/>
      <w:r w:rsidRPr="00812932">
        <w:rPr>
          <w:lang w:val="fr-FR"/>
        </w:rPr>
        <w:t xml:space="preserve"> a p</w:t>
      </w:r>
      <w:r w:rsidRPr="000E2E59">
        <w:rPr>
          <w:lang w:val="fr-FR"/>
        </w:rPr>
        <w:t xml:space="preserve">articipé </w:t>
      </w:r>
      <w:r>
        <w:rPr>
          <w:lang w:val="fr-FR"/>
        </w:rPr>
        <w:t xml:space="preserve">aux consultations que la </w:t>
      </w:r>
      <w:r w:rsidRPr="00FA73FB">
        <w:rPr>
          <w:lang w:val="fr-FR"/>
        </w:rPr>
        <w:t>Rapporteuse spéciale sur la liberté de religion ou de conviction</w:t>
      </w:r>
      <w:r>
        <w:rPr>
          <w:lang w:val="fr-FR"/>
        </w:rPr>
        <w:t xml:space="preserve"> a organisées, le 4 décembre 2024, en vue d’établir son rapport au Conseil des droits de l’homme sur les liens entre le droit à la liberté de religion ou de conviction et l’interdiction de la torture et autres peines ou traitements cruels, inhumains ou dégradants. Le rapport de la Rapporteuse spéciale a été publié ultérieurement sous la cote </w:t>
      </w:r>
      <w:hyperlink r:id="rId38" w:history="1">
        <w:r w:rsidRPr="009059DB">
          <w:rPr>
            <w:rStyle w:val="Lienhypertexte"/>
            <w:lang w:val="fr-FR"/>
          </w:rPr>
          <w:t>A/HRC/58/49</w:t>
        </w:r>
      </w:hyperlink>
      <w:r>
        <w:rPr>
          <w:lang w:val="fr-FR"/>
        </w:rPr>
        <w:t> ;</w:t>
      </w:r>
    </w:p>
    <w:p w14:paraId="2A836AB6" w14:textId="77777777" w:rsidR="00F30361" w:rsidRPr="000E2E59" w:rsidRDefault="00F30361" w:rsidP="00F30361">
      <w:pPr>
        <w:pStyle w:val="SingleTxtG"/>
        <w:ind w:firstLine="567"/>
        <w:rPr>
          <w:lang w:val="fr-FR"/>
        </w:rPr>
      </w:pPr>
      <w:r w:rsidRPr="006E2BA9">
        <w:rPr>
          <w:lang w:val="fr-FR"/>
        </w:rPr>
        <w:t>s)</w:t>
      </w:r>
      <w:r w:rsidRPr="006E2BA9">
        <w:rPr>
          <w:lang w:val="fr-FR"/>
        </w:rPr>
        <w:tab/>
        <w:t>M.</w:t>
      </w:r>
      <w:r>
        <w:rPr>
          <w:lang w:val="fr-FR"/>
        </w:rPr>
        <w:t> </w:t>
      </w:r>
      <w:proofErr w:type="spellStart"/>
      <w:r w:rsidRPr="006E2BA9">
        <w:rPr>
          <w:lang w:val="fr-FR"/>
        </w:rPr>
        <w:t>Rouwane</w:t>
      </w:r>
      <w:proofErr w:type="spellEnd"/>
      <w:r w:rsidRPr="006E2BA9">
        <w:rPr>
          <w:lang w:val="fr-FR"/>
        </w:rPr>
        <w:t xml:space="preserve"> a f</w:t>
      </w:r>
      <w:r w:rsidRPr="000E2E59">
        <w:rPr>
          <w:lang w:val="fr-FR"/>
        </w:rPr>
        <w:t>ait un</w:t>
      </w:r>
      <w:r>
        <w:rPr>
          <w:lang w:val="fr-FR"/>
        </w:rPr>
        <w:t>e déclaration liminaire à une conférence organisée par le Ministère de la justice de la Fédération de Russie pour commémorer le quarantième anniversaire de l’adoption de la Convention, le 10 décembre 2024. La conférence était animée par M. </w:t>
      </w:r>
      <w:proofErr w:type="spellStart"/>
      <w:r>
        <w:rPr>
          <w:lang w:val="fr-FR"/>
        </w:rPr>
        <w:t>Tuzmukhamedov</w:t>
      </w:r>
      <w:proofErr w:type="spellEnd"/>
      <w:r>
        <w:rPr>
          <w:lang w:val="fr-FR"/>
        </w:rPr>
        <w:t> ;</w:t>
      </w:r>
    </w:p>
    <w:p w14:paraId="0EA19140" w14:textId="77777777" w:rsidR="00F30361" w:rsidRPr="00D833AB" w:rsidRDefault="00F30361" w:rsidP="00F30361">
      <w:pPr>
        <w:pStyle w:val="SingleTxtG"/>
        <w:ind w:firstLine="567"/>
      </w:pPr>
      <w:r>
        <w:rPr>
          <w:lang w:val="fr-FR"/>
        </w:rPr>
        <w:t>t</w:t>
      </w:r>
      <w:r w:rsidRPr="00D833AB">
        <w:rPr>
          <w:lang w:val="fr-FR"/>
        </w:rPr>
        <w:t>)</w:t>
      </w:r>
      <w:r w:rsidRPr="00D833AB">
        <w:rPr>
          <w:lang w:val="fr-FR"/>
        </w:rPr>
        <w:tab/>
        <w:t>M. </w:t>
      </w:r>
      <w:proofErr w:type="spellStart"/>
      <w:r w:rsidRPr="00D833AB">
        <w:rPr>
          <w:lang w:val="fr-FR"/>
        </w:rPr>
        <w:t>Kessing</w:t>
      </w:r>
      <w:proofErr w:type="spellEnd"/>
      <w:r w:rsidRPr="00D833AB">
        <w:rPr>
          <w:lang w:val="fr-FR"/>
        </w:rPr>
        <w:t xml:space="preserve"> a présenté la Convention et les travaux du Comité à la réunion annuelle du Réseau des droits fondamentaux de la Direction générale de l’élargissement et du voisinage oriental de la Commission européenne, qui s’est tenue à Bruxelles le 11 décembre 2024 ;</w:t>
      </w:r>
    </w:p>
    <w:p w14:paraId="674E0283" w14:textId="77777777" w:rsidR="00F30361" w:rsidRDefault="00F30361" w:rsidP="00F30361">
      <w:pPr>
        <w:pStyle w:val="SingleTxtG"/>
        <w:ind w:firstLine="567"/>
        <w:rPr>
          <w:lang w:val="fr-FR"/>
        </w:rPr>
      </w:pPr>
      <w:r w:rsidRPr="006E2E81">
        <w:rPr>
          <w:lang w:val="fr-FR"/>
        </w:rPr>
        <w:t>u)</w:t>
      </w:r>
      <w:r w:rsidRPr="006E2E81">
        <w:rPr>
          <w:lang w:val="fr-FR"/>
        </w:rPr>
        <w:tab/>
        <w:t>M.</w:t>
      </w:r>
      <w:r>
        <w:rPr>
          <w:lang w:val="fr-FR"/>
        </w:rPr>
        <w:t> </w:t>
      </w:r>
      <w:r w:rsidRPr="006E2E81">
        <w:rPr>
          <w:lang w:val="fr-FR"/>
        </w:rPr>
        <w:t>Heller a pa</w:t>
      </w:r>
      <w:r w:rsidRPr="000E2E59">
        <w:rPr>
          <w:lang w:val="fr-FR"/>
        </w:rPr>
        <w:t>rticipé à</w:t>
      </w:r>
      <w:r>
        <w:rPr>
          <w:lang w:val="fr-FR"/>
        </w:rPr>
        <w:t xml:space="preserve"> un webinaire organisé par l’Alliance mondiale des institutions nationales des droits de l’homme, le 13 décembre 2024, pour commémorer le quarantième anniversaire de la Convention ;</w:t>
      </w:r>
    </w:p>
    <w:p w14:paraId="36C3599F" w14:textId="77777777" w:rsidR="00F30361" w:rsidRDefault="00F30361" w:rsidP="00F30361">
      <w:pPr>
        <w:pStyle w:val="SingleTxtG"/>
        <w:ind w:firstLine="567"/>
        <w:rPr>
          <w:lang w:val="fr-FR"/>
        </w:rPr>
      </w:pPr>
      <w:r w:rsidRPr="007A0304">
        <w:rPr>
          <w:lang w:val="fr-FR"/>
        </w:rPr>
        <w:t>v)</w:t>
      </w:r>
      <w:r w:rsidRPr="007A0304">
        <w:rPr>
          <w:lang w:val="fr-FR"/>
        </w:rPr>
        <w:tab/>
        <w:t>M.</w:t>
      </w:r>
      <w:r>
        <w:rPr>
          <w:lang w:val="fr-FR"/>
        </w:rPr>
        <w:t> </w:t>
      </w:r>
      <w:proofErr w:type="spellStart"/>
      <w:r w:rsidRPr="007A0304">
        <w:rPr>
          <w:lang w:val="fr-FR"/>
        </w:rPr>
        <w:t>Buchwald</w:t>
      </w:r>
      <w:proofErr w:type="spellEnd"/>
      <w:r w:rsidRPr="007A0304">
        <w:rPr>
          <w:lang w:val="fr-FR"/>
        </w:rPr>
        <w:t>, M.</w:t>
      </w:r>
      <w:r>
        <w:rPr>
          <w:lang w:val="fr-FR"/>
        </w:rPr>
        <w:t> </w:t>
      </w:r>
      <w:r w:rsidRPr="007A0304">
        <w:rPr>
          <w:lang w:val="fr-FR"/>
        </w:rPr>
        <w:t>L</w:t>
      </w:r>
      <w:r w:rsidRPr="000E2E59">
        <w:rPr>
          <w:lang w:val="fr-FR"/>
        </w:rPr>
        <w:t>iu et M.</w:t>
      </w:r>
      <w:r>
        <w:rPr>
          <w:lang w:val="fr-FR"/>
        </w:rPr>
        <w:t> </w:t>
      </w:r>
      <w:proofErr w:type="spellStart"/>
      <w:r w:rsidRPr="000E2E59">
        <w:rPr>
          <w:lang w:val="fr-FR"/>
        </w:rPr>
        <w:t>T</w:t>
      </w:r>
      <w:r w:rsidRPr="007A0304">
        <w:rPr>
          <w:lang w:val="fr-FR"/>
        </w:rPr>
        <w:t>uzmukh</w:t>
      </w:r>
      <w:r w:rsidRPr="000E2E59">
        <w:rPr>
          <w:lang w:val="fr-FR"/>
        </w:rPr>
        <w:t>amedov</w:t>
      </w:r>
      <w:proofErr w:type="spellEnd"/>
      <w:r w:rsidRPr="000E2E59">
        <w:rPr>
          <w:lang w:val="fr-FR"/>
        </w:rPr>
        <w:t xml:space="preserve"> ont pa</w:t>
      </w:r>
      <w:r>
        <w:rPr>
          <w:lang w:val="fr-FR"/>
        </w:rPr>
        <w:t xml:space="preserve">rticipé à une réunion virtuelle organisée par le </w:t>
      </w:r>
      <w:r w:rsidRPr="00597661">
        <w:rPr>
          <w:lang w:val="fr-FR"/>
        </w:rPr>
        <w:t>bureau régional du HCDH pour l’Asie du Sud-Est</w:t>
      </w:r>
      <w:r>
        <w:rPr>
          <w:lang w:val="fr-FR"/>
        </w:rPr>
        <w:t xml:space="preserve"> et le </w:t>
      </w:r>
      <w:r w:rsidRPr="00FA2251">
        <w:rPr>
          <w:lang w:val="fr-FR"/>
        </w:rPr>
        <w:t xml:space="preserve">Département de la protection des droits et </w:t>
      </w:r>
      <w:r>
        <w:rPr>
          <w:lang w:val="fr-FR"/>
        </w:rPr>
        <w:t xml:space="preserve">des </w:t>
      </w:r>
      <w:r w:rsidRPr="00FA2251">
        <w:rPr>
          <w:lang w:val="fr-FR"/>
        </w:rPr>
        <w:t>libertés</w:t>
      </w:r>
      <w:r>
        <w:rPr>
          <w:lang w:val="fr-FR"/>
        </w:rPr>
        <w:t xml:space="preserve"> du Ministère thaïlandais de la justice, le 12 février 2025. La réunion visait à aider la Thaïlande à appliquer les recommandations formulées dans les observations finales concernant le deuxième rapport périodique de l’État Partie (</w:t>
      </w:r>
      <w:hyperlink r:id="rId39" w:history="1">
        <w:r w:rsidRPr="009059DB">
          <w:rPr>
            <w:rStyle w:val="Lienhypertexte"/>
            <w:lang w:val="fr-FR"/>
          </w:rPr>
          <w:t>CAT/C/THA/CO/2</w:t>
        </w:r>
      </w:hyperlink>
      <w:r>
        <w:rPr>
          <w:lang w:val="fr-FR"/>
        </w:rPr>
        <w:t>), que le Comité a adoptées à sa quatre-vingt-unième session ;</w:t>
      </w:r>
    </w:p>
    <w:p w14:paraId="7F51F02A" w14:textId="77777777" w:rsidR="00F30361" w:rsidRPr="000E2E59" w:rsidRDefault="00F30361" w:rsidP="00F30361">
      <w:pPr>
        <w:pStyle w:val="SingleTxtG"/>
        <w:ind w:firstLine="567"/>
        <w:rPr>
          <w:lang w:val="fr-FR"/>
        </w:rPr>
      </w:pPr>
      <w:r w:rsidRPr="00336F6A">
        <w:rPr>
          <w:lang w:val="fr-FR"/>
        </w:rPr>
        <w:t>w)</w:t>
      </w:r>
      <w:r w:rsidRPr="00336F6A">
        <w:rPr>
          <w:lang w:val="fr-FR"/>
        </w:rPr>
        <w:tab/>
        <w:t>M</w:t>
      </w:r>
      <w:r w:rsidRPr="000E2E59">
        <w:rPr>
          <w:vertAlign w:val="superscript"/>
          <w:lang w:val="fr-FR"/>
        </w:rPr>
        <w:t>me</w:t>
      </w:r>
      <w:r>
        <w:rPr>
          <w:lang w:val="fr-FR"/>
        </w:rPr>
        <w:t> </w:t>
      </w:r>
      <w:r w:rsidRPr="00336F6A">
        <w:rPr>
          <w:lang w:val="fr-FR"/>
        </w:rPr>
        <w:t>Maeda a participé e</w:t>
      </w:r>
      <w:r w:rsidRPr="000E2E59">
        <w:rPr>
          <w:lang w:val="fr-FR"/>
        </w:rPr>
        <w:t>n t</w:t>
      </w:r>
      <w:r w:rsidRPr="00336F6A">
        <w:rPr>
          <w:lang w:val="fr-FR"/>
        </w:rPr>
        <w:t>an</w:t>
      </w:r>
      <w:r w:rsidRPr="000E2E59">
        <w:rPr>
          <w:lang w:val="fr-FR"/>
        </w:rPr>
        <w:t>t q</w:t>
      </w:r>
      <w:r>
        <w:rPr>
          <w:lang w:val="fr-FR"/>
        </w:rPr>
        <w:t xml:space="preserve">ue juge au dernier round de la sélection nationale du Japon pour le </w:t>
      </w:r>
      <w:r w:rsidRPr="00FE6B09">
        <w:rPr>
          <w:lang w:val="fr-FR"/>
        </w:rPr>
        <w:t xml:space="preserve">Concours international de procès simulé Philip C. </w:t>
      </w:r>
      <w:proofErr w:type="spellStart"/>
      <w:r w:rsidRPr="00FE6B09">
        <w:rPr>
          <w:lang w:val="fr-FR"/>
        </w:rPr>
        <w:t>Jessup</w:t>
      </w:r>
      <w:proofErr w:type="spellEnd"/>
      <w:r>
        <w:rPr>
          <w:lang w:val="fr-FR"/>
        </w:rPr>
        <w:t>, le 16 février 2025.</w:t>
      </w:r>
    </w:p>
    <w:p w14:paraId="05777F6F" w14:textId="77777777" w:rsidR="00F30361" w:rsidRPr="00D833AB" w:rsidRDefault="00F30361" w:rsidP="00F30361">
      <w:pPr>
        <w:pStyle w:val="HChG"/>
      </w:pPr>
      <w:r w:rsidRPr="00336F6A">
        <w:rPr>
          <w:lang w:val="fr-FR"/>
        </w:rPr>
        <w:tab/>
      </w:r>
      <w:r w:rsidRPr="00D833AB">
        <w:rPr>
          <w:lang w:val="fr-FR"/>
        </w:rPr>
        <w:t>II.</w:t>
      </w:r>
      <w:r w:rsidRPr="00D833AB">
        <w:rPr>
          <w:lang w:val="fr-FR"/>
        </w:rPr>
        <w:tab/>
        <w:t xml:space="preserve">Soumission de rapports par les États </w:t>
      </w:r>
      <w:r>
        <w:rPr>
          <w:lang w:val="fr-FR"/>
        </w:rPr>
        <w:t>P</w:t>
      </w:r>
      <w:r w:rsidRPr="00D833AB">
        <w:rPr>
          <w:lang w:val="fr-FR"/>
        </w:rPr>
        <w:t>arties en application de l’article</w:t>
      </w:r>
      <w:r>
        <w:rPr>
          <w:lang w:val="fr-FR"/>
        </w:rPr>
        <w:t> </w:t>
      </w:r>
      <w:r w:rsidRPr="00D833AB">
        <w:rPr>
          <w:lang w:val="fr-FR"/>
        </w:rPr>
        <w:t>19 de la Convention</w:t>
      </w:r>
      <w:bookmarkStart w:id="38" w:name="_Toc138756980"/>
      <w:bookmarkStart w:id="39" w:name="_Toc191367661"/>
      <w:bookmarkEnd w:id="38"/>
      <w:bookmarkEnd w:id="39"/>
    </w:p>
    <w:p w14:paraId="546088AF" w14:textId="77777777" w:rsidR="00F30361" w:rsidRPr="00D833AB" w:rsidRDefault="00F30361" w:rsidP="00F30361">
      <w:pPr>
        <w:pStyle w:val="SingleTxtG"/>
      </w:pPr>
      <w:r w:rsidRPr="00D833AB">
        <w:rPr>
          <w:lang w:val="fr-FR"/>
        </w:rPr>
        <w:t>21.</w:t>
      </w:r>
      <w:r w:rsidRPr="00D833AB">
        <w:rPr>
          <w:lang w:val="fr-FR"/>
        </w:rPr>
        <w:tab/>
        <w:t>Entre le 11</w:t>
      </w:r>
      <w:r>
        <w:rPr>
          <w:lang w:val="fr-FR"/>
        </w:rPr>
        <w:t> </w:t>
      </w:r>
      <w:r w:rsidRPr="00D833AB">
        <w:rPr>
          <w:lang w:val="fr-FR"/>
        </w:rPr>
        <w:t>mai 2024 et le 2</w:t>
      </w:r>
      <w:r>
        <w:rPr>
          <w:lang w:val="fr-FR"/>
        </w:rPr>
        <w:t> </w:t>
      </w:r>
      <w:r w:rsidRPr="00D833AB">
        <w:rPr>
          <w:lang w:val="fr-FR"/>
        </w:rPr>
        <w:t xml:space="preserve">mai 2025, </w:t>
      </w:r>
      <w:r>
        <w:rPr>
          <w:lang w:val="fr-FR"/>
        </w:rPr>
        <w:t>11 </w:t>
      </w:r>
      <w:r w:rsidRPr="00D833AB">
        <w:rPr>
          <w:lang w:val="fr-FR"/>
        </w:rPr>
        <w:t xml:space="preserve">rapports d’États </w:t>
      </w:r>
      <w:r>
        <w:rPr>
          <w:lang w:val="fr-FR"/>
        </w:rPr>
        <w:t>P</w:t>
      </w:r>
      <w:r w:rsidRPr="00D833AB">
        <w:rPr>
          <w:lang w:val="fr-FR"/>
        </w:rPr>
        <w:t>arties ont été soumis au Secrétaire général en application de l’article</w:t>
      </w:r>
      <w:r>
        <w:rPr>
          <w:lang w:val="fr-FR"/>
        </w:rPr>
        <w:t> </w:t>
      </w:r>
      <w:r w:rsidRPr="00D833AB">
        <w:rPr>
          <w:lang w:val="fr-FR"/>
        </w:rPr>
        <w:t>19 de la Convention. L’Angola</w:t>
      </w:r>
      <w:r>
        <w:rPr>
          <w:lang w:val="fr-FR"/>
        </w:rPr>
        <w:t>, Oman et la République centrafricaine ont</w:t>
      </w:r>
      <w:r w:rsidRPr="00D833AB">
        <w:rPr>
          <w:lang w:val="fr-FR"/>
        </w:rPr>
        <w:t xml:space="preserve"> soumis </w:t>
      </w:r>
      <w:r>
        <w:rPr>
          <w:lang w:val="fr-FR"/>
        </w:rPr>
        <w:t>leur</w:t>
      </w:r>
      <w:r w:rsidRPr="00D833AB">
        <w:rPr>
          <w:lang w:val="fr-FR"/>
        </w:rPr>
        <w:t xml:space="preserve"> rapport initial. Le Belize </w:t>
      </w:r>
      <w:r>
        <w:rPr>
          <w:lang w:val="fr-FR"/>
        </w:rPr>
        <w:t>et le Niger ont</w:t>
      </w:r>
      <w:r w:rsidRPr="00D833AB">
        <w:rPr>
          <w:lang w:val="fr-FR"/>
        </w:rPr>
        <w:t xml:space="preserve"> soumis </w:t>
      </w:r>
      <w:r>
        <w:rPr>
          <w:lang w:val="fr-FR"/>
        </w:rPr>
        <w:t>leur</w:t>
      </w:r>
      <w:r w:rsidRPr="00D833AB">
        <w:rPr>
          <w:lang w:val="fr-FR"/>
        </w:rPr>
        <w:t xml:space="preserve"> deuxième rapport périodique. L’Arabie saoudite, le Burkina Faso et le Japon ont soumis leur troisième rapport périodique. </w:t>
      </w:r>
      <w:r>
        <w:rPr>
          <w:lang w:val="fr-FR"/>
        </w:rPr>
        <w:t xml:space="preserve">La Chine a soumis son sixième rapport périodique comprenant les rapports périodiques de Hong Kong (Chine) et de Macao (Chine). </w:t>
      </w:r>
      <w:r w:rsidRPr="00D833AB">
        <w:rPr>
          <w:lang w:val="fr-FR"/>
        </w:rPr>
        <w:t>L’Allemagne a soumis son septième rapport périodique. Le Paraguay a soumis son huitième rapport périodique.</w:t>
      </w:r>
    </w:p>
    <w:p w14:paraId="166886BB" w14:textId="77777777" w:rsidR="00F30361" w:rsidRPr="00D833AB" w:rsidRDefault="00F30361" w:rsidP="00F30361">
      <w:pPr>
        <w:pStyle w:val="SingleTxtG"/>
      </w:pPr>
      <w:bookmarkStart w:id="40" w:name="_Hlk168655211"/>
      <w:r w:rsidRPr="00D833AB">
        <w:rPr>
          <w:lang w:val="fr-FR"/>
        </w:rPr>
        <w:lastRenderedPageBreak/>
        <w:t>22.</w:t>
      </w:r>
      <w:r w:rsidRPr="00D833AB">
        <w:rPr>
          <w:lang w:val="fr-FR"/>
        </w:rPr>
        <w:tab/>
        <w:t>Au 2</w:t>
      </w:r>
      <w:r>
        <w:rPr>
          <w:lang w:val="fr-FR"/>
        </w:rPr>
        <w:t> </w:t>
      </w:r>
      <w:r w:rsidRPr="00D833AB">
        <w:rPr>
          <w:lang w:val="fr-FR"/>
        </w:rPr>
        <w:t>mai 202</w:t>
      </w:r>
      <w:r>
        <w:rPr>
          <w:lang w:val="fr-FR"/>
        </w:rPr>
        <w:t>5</w:t>
      </w:r>
      <w:r w:rsidRPr="00D833AB">
        <w:rPr>
          <w:lang w:val="fr-FR"/>
        </w:rPr>
        <w:t xml:space="preserve">, le Comité avait reçu un total de </w:t>
      </w:r>
      <w:r>
        <w:rPr>
          <w:lang w:val="fr-FR"/>
        </w:rPr>
        <w:t>536 </w:t>
      </w:r>
      <w:r w:rsidRPr="00D833AB">
        <w:rPr>
          <w:lang w:val="fr-FR"/>
        </w:rPr>
        <w:t xml:space="preserve">rapports et avait adopté des observations finales concernant </w:t>
      </w:r>
      <w:r>
        <w:rPr>
          <w:lang w:val="fr-FR"/>
        </w:rPr>
        <w:t xml:space="preserve">497 </w:t>
      </w:r>
      <w:r w:rsidRPr="00D833AB">
        <w:rPr>
          <w:lang w:val="fr-FR"/>
        </w:rPr>
        <w:t xml:space="preserve">d’entre eux ; les rapports initiaux de </w:t>
      </w:r>
      <w:r>
        <w:rPr>
          <w:lang w:val="fr-FR"/>
        </w:rPr>
        <w:t>26 </w:t>
      </w:r>
      <w:r w:rsidRPr="00D833AB">
        <w:rPr>
          <w:lang w:val="fr-FR"/>
        </w:rPr>
        <w:t xml:space="preserve">États </w:t>
      </w:r>
      <w:r>
        <w:rPr>
          <w:lang w:val="fr-FR"/>
        </w:rPr>
        <w:t>P</w:t>
      </w:r>
      <w:r w:rsidRPr="00D833AB">
        <w:rPr>
          <w:lang w:val="fr-FR"/>
        </w:rPr>
        <w:t xml:space="preserve">arties et les rapports périodiques de </w:t>
      </w:r>
      <w:r>
        <w:rPr>
          <w:lang w:val="fr-FR"/>
        </w:rPr>
        <w:t>44 </w:t>
      </w:r>
      <w:r w:rsidRPr="00D833AB">
        <w:rPr>
          <w:lang w:val="fr-FR"/>
        </w:rPr>
        <w:t xml:space="preserve">États </w:t>
      </w:r>
      <w:r>
        <w:rPr>
          <w:lang w:val="fr-FR"/>
        </w:rPr>
        <w:t>P</w:t>
      </w:r>
      <w:r w:rsidRPr="00D833AB">
        <w:rPr>
          <w:lang w:val="fr-FR"/>
        </w:rPr>
        <w:t>arties étaient en retard.</w:t>
      </w:r>
      <w:bookmarkEnd w:id="40"/>
    </w:p>
    <w:p w14:paraId="43056FA7" w14:textId="77777777" w:rsidR="00F30361" w:rsidRPr="00D833AB" w:rsidRDefault="00F30361" w:rsidP="00F30361">
      <w:pPr>
        <w:pStyle w:val="SingleTxtG"/>
      </w:pPr>
      <w:r w:rsidRPr="00D833AB">
        <w:rPr>
          <w:lang w:val="fr-FR"/>
        </w:rPr>
        <w:t>23.</w:t>
      </w:r>
      <w:r w:rsidRPr="00D833AB">
        <w:rPr>
          <w:lang w:val="fr-FR"/>
        </w:rPr>
        <w:tab/>
        <w:t>À sa quatre-vingt-deuxième session, le Comité a adopté des listes de points concernant le deuxième rapport périodique du Pakistan (</w:t>
      </w:r>
      <w:hyperlink r:id="rId40" w:history="1">
        <w:r w:rsidRPr="009059DB">
          <w:rPr>
            <w:rStyle w:val="Lienhypertexte"/>
            <w:lang w:val="fr-FR"/>
          </w:rPr>
          <w:t>CAT/C/PAK/Q/2</w:t>
        </w:r>
      </w:hyperlink>
      <w:r w:rsidRPr="00D833AB">
        <w:rPr>
          <w:lang w:val="fr-FR"/>
        </w:rPr>
        <w:t>) et le quatrième rapport périodique du Tadjikistan (</w:t>
      </w:r>
      <w:hyperlink r:id="rId41" w:history="1">
        <w:r w:rsidRPr="009059DB">
          <w:rPr>
            <w:rStyle w:val="Lienhypertexte"/>
            <w:lang w:val="fr-FR"/>
          </w:rPr>
          <w:t>CAT/C/TJK/Q/4</w:t>
        </w:r>
      </w:hyperlink>
      <w:r w:rsidRPr="00D833AB">
        <w:rPr>
          <w:lang w:val="fr-FR"/>
        </w:rPr>
        <w:t>).</w:t>
      </w:r>
    </w:p>
    <w:p w14:paraId="42992A97" w14:textId="51BB002C" w:rsidR="00F30361" w:rsidRPr="00D833AB" w:rsidRDefault="00F30361" w:rsidP="00F30361">
      <w:pPr>
        <w:pStyle w:val="SingleTxtG"/>
      </w:pPr>
      <w:r w:rsidRPr="00D833AB">
        <w:rPr>
          <w:lang w:val="fr-FR"/>
        </w:rPr>
        <w:t>24.</w:t>
      </w:r>
      <w:r w:rsidRPr="00D833AB">
        <w:rPr>
          <w:lang w:val="fr-FR"/>
        </w:rPr>
        <w:tab/>
        <w:t xml:space="preserve">Le Comité se félicite que de nombreux États </w:t>
      </w:r>
      <w:r w:rsidR="00C92534">
        <w:rPr>
          <w:lang w:val="fr-FR"/>
        </w:rPr>
        <w:t>P</w:t>
      </w:r>
      <w:r w:rsidRPr="00D833AB">
        <w:rPr>
          <w:lang w:val="fr-FR"/>
        </w:rPr>
        <w:t xml:space="preserve">arties aient accepté la procédure simplifiée d’établissement des rapports consistant à élaborer et à adopter une liste de points qui est transmise à l’État </w:t>
      </w:r>
      <w:r>
        <w:rPr>
          <w:lang w:val="fr-FR"/>
        </w:rPr>
        <w:t>P</w:t>
      </w:r>
      <w:r w:rsidRPr="00D833AB">
        <w:rPr>
          <w:lang w:val="fr-FR"/>
        </w:rPr>
        <w:t xml:space="preserve">artie concerné avant que celui-ci ne soumette son rapport périodique (« liste préalable de points à traiter »). Cette procédure vise à aider les États </w:t>
      </w:r>
      <w:r>
        <w:rPr>
          <w:lang w:val="fr-FR"/>
        </w:rPr>
        <w:t>P</w:t>
      </w:r>
      <w:r w:rsidRPr="00D833AB">
        <w:rPr>
          <w:lang w:val="fr-FR"/>
        </w:rPr>
        <w:t>arties à s’acquitter de leur obligation de soumettre des rapports en renforçant la collaboration entre eux et le Comité (</w:t>
      </w:r>
      <w:hyperlink r:id="rId42" w:history="1">
        <w:r w:rsidRPr="009059DB">
          <w:rPr>
            <w:rStyle w:val="Lienhypertexte"/>
            <w:lang w:val="fr-FR"/>
          </w:rPr>
          <w:t>A/66/44</w:t>
        </w:r>
      </w:hyperlink>
      <w:r w:rsidRPr="00D833AB">
        <w:rPr>
          <w:lang w:val="fr-FR"/>
        </w:rPr>
        <w:t>, par.</w:t>
      </w:r>
      <w:r w:rsidR="00C92534">
        <w:rPr>
          <w:lang w:val="fr-FR"/>
        </w:rPr>
        <w:t> </w:t>
      </w:r>
      <w:r w:rsidRPr="00D833AB">
        <w:rPr>
          <w:lang w:val="fr-FR"/>
        </w:rPr>
        <w:t xml:space="preserve">28 à 35). Le Comité tient à souligner que, si elle facilite l’établissement des rapports des États </w:t>
      </w:r>
      <w:r>
        <w:rPr>
          <w:lang w:val="fr-FR"/>
        </w:rPr>
        <w:t>P</w:t>
      </w:r>
      <w:r w:rsidRPr="00D833AB">
        <w:rPr>
          <w:lang w:val="fr-FR"/>
        </w:rPr>
        <w:t>arties depuis 2007, la procédure simplifiée a en revanche considérablement accru sa charge de travail car l’élaboration de listes préalables de points à traiter demande plus de travail que l’élaboration de listes de points après la soumission des rapports. Les conséquences sont d’autant plus lourdes que le Comité compte peu de membres.</w:t>
      </w:r>
    </w:p>
    <w:p w14:paraId="0903C34B" w14:textId="77777777" w:rsidR="00F30361" w:rsidRPr="00C92534" w:rsidRDefault="00F30361" w:rsidP="00F30361">
      <w:pPr>
        <w:pStyle w:val="SingleTxtG"/>
        <w:rPr>
          <w:b/>
          <w:bCs/>
          <w:spacing w:val="-2"/>
        </w:rPr>
      </w:pPr>
      <w:r w:rsidRPr="00C92534">
        <w:rPr>
          <w:spacing w:val="-2"/>
          <w:lang w:val="fr-FR"/>
        </w:rPr>
        <w:t>25.</w:t>
      </w:r>
      <w:r w:rsidRPr="00C92534">
        <w:rPr>
          <w:spacing w:val="-2"/>
          <w:lang w:val="fr-FR"/>
        </w:rPr>
        <w:tab/>
        <w:t>À sa quatre-vingt-unième session, le Comité a adopté des listes préalables de points à traiter pour les États Parties qui avaient accepté de soumettre leur prochain rapport, attendu en 2025 ou en 2026, selon cette procédure, à savoir le Kirghizistan (</w:t>
      </w:r>
      <w:hyperlink r:id="rId43" w:history="1">
        <w:r w:rsidRPr="00C92534">
          <w:rPr>
            <w:rStyle w:val="Lienhypertexte"/>
            <w:spacing w:val="-2"/>
            <w:lang w:val="fr-FR"/>
          </w:rPr>
          <w:t>CAT/C/KGZ/QPR/4</w:t>
        </w:r>
      </w:hyperlink>
      <w:r w:rsidRPr="00C92534">
        <w:rPr>
          <w:spacing w:val="-2"/>
          <w:lang w:val="fr-FR"/>
        </w:rPr>
        <w:t>), la Lituanie (</w:t>
      </w:r>
      <w:hyperlink r:id="rId44" w:history="1">
        <w:r w:rsidRPr="00C92534">
          <w:rPr>
            <w:rStyle w:val="Lienhypertexte"/>
            <w:spacing w:val="-2"/>
            <w:lang w:val="fr-FR"/>
          </w:rPr>
          <w:t>CAT/C/LTU/QPR/5</w:t>
        </w:r>
      </w:hyperlink>
      <w:r w:rsidRPr="00C92534">
        <w:rPr>
          <w:spacing w:val="-2"/>
          <w:lang w:val="fr-FR"/>
        </w:rPr>
        <w:t>), la Serbie (</w:t>
      </w:r>
      <w:hyperlink r:id="rId45" w:history="1">
        <w:r w:rsidRPr="00C92534">
          <w:rPr>
            <w:rStyle w:val="Lienhypertexte"/>
            <w:spacing w:val="-2"/>
            <w:lang w:val="fr-FR"/>
          </w:rPr>
          <w:t>CAT/C/SRB/QPR/4</w:t>
        </w:r>
      </w:hyperlink>
      <w:r w:rsidRPr="00C92534">
        <w:rPr>
          <w:spacing w:val="-2"/>
          <w:lang w:val="fr-FR"/>
        </w:rPr>
        <w:t>) et la Suède (</w:t>
      </w:r>
      <w:hyperlink r:id="rId46" w:history="1">
        <w:r w:rsidRPr="00C92534">
          <w:rPr>
            <w:rStyle w:val="Lienhypertexte"/>
            <w:spacing w:val="-2"/>
            <w:lang w:val="fr-FR"/>
          </w:rPr>
          <w:t>CAT/C/SWE/QPR/9</w:t>
        </w:r>
      </w:hyperlink>
      <w:r w:rsidRPr="00C92534">
        <w:rPr>
          <w:spacing w:val="-2"/>
          <w:lang w:val="fr-FR"/>
        </w:rPr>
        <w:t>). Il a également adopté une liste préalable de points à traiter pour Saint</w:t>
      </w:r>
      <w:r w:rsidRPr="00C92534">
        <w:rPr>
          <w:spacing w:val="-2"/>
          <w:lang w:val="fr-FR"/>
        </w:rPr>
        <w:noBreakHyphen/>
        <w:t>Marin (</w:t>
      </w:r>
      <w:hyperlink r:id="rId47" w:history="1">
        <w:r w:rsidRPr="00C92534">
          <w:rPr>
            <w:rStyle w:val="Lienhypertexte"/>
            <w:spacing w:val="-2"/>
            <w:lang w:val="fr-FR"/>
          </w:rPr>
          <w:t>CAT/C/SMR/QPR/1</w:t>
        </w:r>
      </w:hyperlink>
      <w:r w:rsidRPr="00C92534">
        <w:rPr>
          <w:spacing w:val="-2"/>
          <w:lang w:val="fr-FR"/>
        </w:rPr>
        <w:t>), qui avait accepté la procédure simplifiée le 3 mai 2024. À sa quatre-vingt-deuxième session, le Comité a adopté des listes préalables de points à traiter pour le Botswana (</w:t>
      </w:r>
      <w:hyperlink r:id="rId48" w:history="1">
        <w:r w:rsidRPr="00C92534">
          <w:rPr>
            <w:rStyle w:val="Lienhypertexte"/>
            <w:spacing w:val="-2"/>
            <w:lang w:val="fr-FR"/>
          </w:rPr>
          <w:t>CAT/C/BWA/QPR/2</w:t>
        </w:r>
      </w:hyperlink>
      <w:r w:rsidRPr="00C92534">
        <w:rPr>
          <w:spacing w:val="-2"/>
          <w:lang w:val="fr-FR"/>
        </w:rPr>
        <w:t>), l’État de Palestine (</w:t>
      </w:r>
      <w:hyperlink r:id="rId49" w:history="1">
        <w:r w:rsidRPr="00C92534">
          <w:rPr>
            <w:rStyle w:val="Lienhypertexte"/>
            <w:spacing w:val="-2"/>
            <w:lang w:val="fr-FR"/>
          </w:rPr>
          <w:t>CAT/C/PSE/QPR/2</w:t>
        </w:r>
      </w:hyperlink>
      <w:r w:rsidRPr="00C92534">
        <w:rPr>
          <w:spacing w:val="-2"/>
          <w:lang w:val="fr-FR"/>
        </w:rPr>
        <w:t>), l’Iraq (</w:t>
      </w:r>
      <w:hyperlink r:id="rId50" w:history="1">
        <w:r w:rsidRPr="00C92534">
          <w:rPr>
            <w:rStyle w:val="Lienhypertexte"/>
            <w:spacing w:val="-2"/>
          </w:rPr>
          <w:t>CAT/C/IRQ/QPR/3</w:t>
        </w:r>
      </w:hyperlink>
      <w:r w:rsidRPr="00C92534">
        <w:rPr>
          <w:spacing w:val="-2"/>
          <w:lang w:val="fr-FR"/>
        </w:rPr>
        <w:t>), l’Islande (</w:t>
      </w:r>
      <w:hyperlink r:id="rId51" w:history="1">
        <w:r w:rsidRPr="00C92534">
          <w:rPr>
            <w:rStyle w:val="Lienhypertexte"/>
            <w:spacing w:val="-2"/>
          </w:rPr>
          <w:t>CAT/C/ISL/QPR/5</w:t>
        </w:r>
      </w:hyperlink>
      <w:r w:rsidRPr="00C92534">
        <w:rPr>
          <w:spacing w:val="-2"/>
          <w:lang w:val="fr-FR"/>
        </w:rPr>
        <w:t>), le Kenya (</w:t>
      </w:r>
      <w:hyperlink r:id="rId52" w:history="1">
        <w:r w:rsidRPr="00C92534">
          <w:rPr>
            <w:rStyle w:val="Lienhypertexte"/>
            <w:spacing w:val="-2"/>
          </w:rPr>
          <w:t>CAT/C/KEN/QPR/4</w:t>
        </w:r>
      </w:hyperlink>
      <w:r w:rsidRPr="00C92534">
        <w:rPr>
          <w:spacing w:val="-2"/>
          <w:lang w:val="fr-FR"/>
        </w:rPr>
        <w:t>), le Monténégro (</w:t>
      </w:r>
      <w:hyperlink r:id="rId53" w:history="1">
        <w:r w:rsidRPr="00C92534">
          <w:rPr>
            <w:rStyle w:val="Lienhypertexte"/>
            <w:spacing w:val="-2"/>
          </w:rPr>
          <w:t>CAT/C/MNE/QPR/4</w:t>
        </w:r>
      </w:hyperlink>
      <w:r w:rsidRPr="00C92534">
        <w:rPr>
          <w:spacing w:val="-2"/>
          <w:lang w:val="fr-FR"/>
        </w:rPr>
        <w:t>) et l’Uruguay (</w:t>
      </w:r>
      <w:hyperlink r:id="rId54" w:history="1">
        <w:r w:rsidRPr="00C92534">
          <w:rPr>
            <w:rStyle w:val="Lienhypertexte"/>
            <w:spacing w:val="-2"/>
          </w:rPr>
          <w:t>CAT/C/URY/QPR/5</w:t>
        </w:r>
      </w:hyperlink>
      <w:r w:rsidRPr="00C92534">
        <w:rPr>
          <w:spacing w:val="-2"/>
          <w:lang w:val="fr-FR"/>
        </w:rPr>
        <w:t>). Il a également adopté une liste préalable de points à traiter pour Antigua-et-Barbuda (</w:t>
      </w:r>
      <w:hyperlink r:id="rId55" w:history="1">
        <w:r w:rsidRPr="00C92534">
          <w:rPr>
            <w:rStyle w:val="Lienhypertexte"/>
            <w:spacing w:val="-2"/>
          </w:rPr>
          <w:t>CAT/C/ATG/QPR/2</w:t>
        </w:r>
      </w:hyperlink>
      <w:r w:rsidRPr="00C92534">
        <w:rPr>
          <w:spacing w:val="-2"/>
          <w:lang w:val="fr-FR"/>
        </w:rPr>
        <w:t>), qui avait accepté la procédure simplifiée le 13 juin 2024. Toutes ces listes de points ont été transmises aux États Parties concernés.</w:t>
      </w:r>
    </w:p>
    <w:p w14:paraId="7067BEF4" w14:textId="77777777" w:rsidR="00F30361" w:rsidRPr="00D833AB" w:rsidRDefault="00F30361" w:rsidP="00F30361">
      <w:pPr>
        <w:pStyle w:val="SingleTxtG"/>
      </w:pPr>
      <w:r w:rsidRPr="00D833AB">
        <w:rPr>
          <w:lang w:val="fr-FR"/>
        </w:rPr>
        <w:t>26.</w:t>
      </w:r>
      <w:r w:rsidRPr="00D833AB">
        <w:rPr>
          <w:lang w:val="fr-FR"/>
        </w:rPr>
        <w:tab/>
        <w:t xml:space="preserve">Selon le Comité, le fait que seulement </w:t>
      </w:r>
      <w:r>
        <w:rPr>
          <w:lang w:val="fr-FR"/>
        </w:rPr>
        <w:t>six</w:t>
      </w:r>
      <w:r w:rsidRPr="00D833AB">
        <w:rPr>
          <w:lang w:val="fr-FR"/>
        </w:rPr>
        <w:t xml:space="preserve"> des 175</w:t>
      </w:r>
      <w:r>
        <w:rPr>
          <w:lang w:val="fr-FR"/>
        </w:rPr>
        <w:t> </w:t>
      </w:r>
      <w:r w:rsidRPr="00D833AB">
        <w:rPr>
          <w:lang w:val="fr-FR"/>
        </w:rPr>
        <w:t xml:space="preserve">États </w:t>
      </w:r>
      <w:r>
        <w:rPr>
          <w:lang w:val="fr-FR"/>
        </w:rPr>
        <w:t>P</w:t>
      </w:r>
      <w:r w:rsidRPr="00D833AB">
        <w:rPr>
          <w:lang w:val="fr-FR"/>
        </w:rPr>
        <w:t xml:space="preserve">arties qui en sont au stade des rapports périodiques aient expressément refusé la procédure simplifiée témoigne du succès de cette dernière. Sur les </w:t>
      </w:r>
      <w:r>
        <w:rPr>
          <w:lang w:val="fr-FR"/>
        </w:rPr>
        <w:t>169 </w:t>
      </w:r>
      <w:r w:rsidRPr="00D833AB">
        <w:rPr>
          <w:lang w:val="fr-FR"/>
        </w:rPr>
        <w:t xml:space="preserve">autres États </w:t>
      </w:r>
      <w:r>
        <w:rPr>
          <w:lang w:val="fr-FR"/>
        </w:rPr>
        <w:t>P</w:t>
      </w:r>
      <w:r w:rsidRPr="00D833AB">
        <w:rPr>
          <w:lang w:val="fr-FR"/>
        </w:rPr>
        <w:t xml:space="preserve">arties, </w:t>
      </w:r>
      <w:r>
        <w:rPr>
          <w:lang w:val="fr-FR"/>
        </w:rPr>
        <w:t>112</w:t>
      </w:r>
      <w:r w:rsidRPr="00D833AB">
        <w:rPr>
          <w:lang w:val="fr-FR"/>
        </w:rPr>
        <w:t xml:space="preserve"> ont expressément accepté d’établir leurs rapports selon cette procédure et </w:t>
      </w:r>
      <w:r>
        <w:rPr>
          <w:lang w:val="fr-FR"/>
        </w:rPr>
        <w:t>57</w:t>
      </w:r>
      <w:r w:rsidRPr="00D833AB">
        <w:rPr>
          <w:lang w:val="fr-FR"/>
        </w:rPr>
        <w:t xml:space="preserve"> n’ont pas encore répondu à l’invitation à le faire ou n’ont pas encore reçu une telle invitation. En outre, le fait que d’autres organes conventionnels aient adopté cette procédure montre clairement qu’elle présente un intérêt pour le système d’établissement des rapports. Depuis 2016, un certain nombre d’États dont les rapports initiaux étaient attendus depuis longtemps se sont vu proposer la procédure simplifiée.</w:t>
      </w:r>
    </w:p>
    <w:p w14:paraId="57158502" w14:textId="77777777" w:rsidR="00F30361" w:rsidRPr="00D833AB" w:rsidRDefault="00F30361" w:rsidP="00F30361">
      <w:pPr>
        <w:pStyle w:val="SingleTxtG"/>
      </w:pPr>
      <w:r w:rsidRPr="00D833AB">
        <w:rPr>
          <w:lang w:val="fr-FR"/>
        </w:rPr>
        <w:t>27.</w:t>
      </w:r>
      <w:r w:rsidRPr="00D833AB">
        <w:rPr>
          <w:lang w:val="fr-FR"/>
        </w:rPr>
        <w:tab/>
        <w:t>On trouvera des renseignements actualisés sur la procédure simplifiée sur la page Web qui lui est consacrée</w:t>
      </w:r>
      <w:r w:rsidRPr="00C65C7E">
        <w:rPr>
          <w:rStyle w:val="Appelnotedebasdep"/>
        </w:rPr>
        <w:footnoteReference w:id="9"/>
      </w:r>
      <w:r w:rsidRPr="00D833AB">
        <w:rPr>
          <w:lang w:val="fr-FR"/>
        </w:rPr>
        <w:t>.</w:t>
      </w:r>
    </w:p>
    <w:p w14:paraId="6F9C8CFE" w14:textId="77777777" w:rsidR="00F30361" w:rsidRPr="00D833AB" w:rsidRDefault="00F30361" w:rsidP="00F30361">
      <w:pPr>
        <w:pStyle w:val="HChG"/>
      </w:pPr>
      <w:r w:rsidRPr="00D833AB">
        <w:rPr>
          <w:lang w:val="fr-FR"/>
        </w:rPr>
        <w:tab/>
        <w:t>III.</w:t>
      </w:r>
      <w:r w:rsidRPr="00D833AB">
        <w:rPr>
          <w:lang w:val="fr-FR"/>
        </w:rPr>
        <w:tab/>
        <w:t xml:space="preserve">Examen des rapports soumis par les États </w:t>
      </w:r>
      <w:r>
        <w:rPr>
          <w:lang w:val="fr-FR"/>
        </w:rPr>
        <w:t>P</w:t>
      </w:r>
      <w:r w:rsidRPr="00D833AB">
        <w:rPr>
          <w:lang w:val="fr-FR"/>
        </w:rPr>
        <w:t>arties en application de l’article</w:t>
      </w:r>
      <w:r>
        <w:rPr>
          <w:lang w:val="fr-FR"/>
        </w:rPr>
        <w:t> </w:t>
      </w:r>
      <w:r w:rsidRPr="00D833AB">
        <w:rPr>
          <w:lang w:val="fr-FR"/>
        </w:rPr>
        <w:t>19 de la Convention</w:t>
      </w:r>
      <w:bookmarkStart w:id="41" w:name="_Toc138756984"/>
      <w:bookmarkStart w:id="42" w:name="_Toc191367662"/>
      <w:bookmarkEnd w:id="41"/>
      <w:bookmarkEnd w:id="42"/>
    </w:p>
    <w:p w14:paraId="63D9E25C" w14:textId="77777777" w:rsidR="00F30361" w:rsidRPr="00D833AB" w:rsidRDefault="00F30361" w:rsidP="00F30361">
      <w:pPr>
        <w:pStyle w:val="SingleTxtG"/>
      </w:pPr>
      <w:r w:rsidRPr="00D833AB">
        <w:rPr>
          <w:lang w:val="fr-FR"/>
        </w:rPr>
        <w:t>28.</w:t>
      </w:r>
      <w:r w:rsidRPr="00D833AB">
        <w:rPr>
          <w:lang w:val="fr-FR"/>
        </w:rPr>
        <w:tab/>
        <w:t xml:space="preserve">À ses quatre-vingtième, quatre-vingt-unième et quatre-vingt-deuxième sessions, le Comité a examiné les rapports soumis par 16 États </w:t>
      </w:r>
      <w:r>
        <w:rPr>
          <w:lang w:val="fr-FR"/>
        </w:rPr>
        <w:t>P</w:t>
      </w:r>
      <w:r w:rsidRPr="00D833AB">
        <w:rPr>
          <w:lang w:val="fr-FR"/>
        </w:rPr>
        <w:t>arties en application de l’article</w:t>
      </w:r>
      <w:r>
        <w:rPr>
          <w:lang w:val="fr-FR"/>
        </w:rPr>
        <w:t> </w:t>
      </w:r>
      <w:r w:rsidRPr="00D833AB">
        <w:rPr>
          <w:lang w:val="fr-FR"/>
        </w:rPr>
        <w:t>19 de la Convention.</w:t>
      </w:r>
    </w:p>
    <w:p w14:paraId="38CDC774" w14:textId="77777777" w:rsidR="00F30361" w:rsidRPr="00D833AB" w:rsidRDefault="00F30361" w:rsidP="000E58B8">
      <w:pPr>
        <w:pStyle w:val="SingleTxtG"/>
        <w:keepNext/>
        <w:spacing w:after="240"/>
      </w:pPr>
      <w:r w:rsidRPr="00D833AB">
        <w:rPr>
          <w:lang w:val="fr-FR"/>
        </w:rPr>
        <w:lastRenderedPageBreak/>
        <w:t>29.</w:t>
      </w:r>
      <w:r w:rsidRPr="00D833AB">
        <w:rPr>
          <w:lang w:val="fr-FR"/>
        </w:rPr>
        <w:tab/>
        <w:t>Les rapports examinés par le Comité à sa quatre-vingtième session et les observations finales correspondantes, dont les cotes sont indiquées ci-après, sont disponibles dans le Système de diffusion électronique des documents de l’ONU :</w:t>
      </w:r>
    </w:p>
    <w:tbl>
      <w:tblPr>
        <w:tblW w:w="8504" w:type="dxa"/>
        <w:tblInd w:w="1134" w:type="dxa"/>
        <w:tblLayout w:type="fixed"/>
        <w:tblCellMar>
          <w:left w:w="0" w:type="dxa"/>
          <w:right w:w="0" w:type="dxa"/>
        </w:tblCellMar>
        <w:tblLook w:val="01E0" w:firstRow="1" w:lastRow="1" w:firstColumn="1" w:lastColumn="1" w:noHBand="0" w:noVBand="0"/>
      </w:tblPr>
      <w:tblGrid>
        <w:gridCol w:w="1637"/>
        <w:gridCol w:w="2289"/>
        <w:gridCol w:w="2737"/>
        <w:gridCol w:w="1841"/>
      </w:tblGrid>
      <w:tr w:rsidR="00F30361" w:rsidRPr="00D833AB" w14:paraId="27AEEB4F" w14:textId="77777777" w:rsidTr="0092726A">
        <w:trPr>
          <w:cantSplit/>
          <w:tblHeader/>
        </w:trPr>
        <w:tc>
          <w:tcPr>
            <w:tcW w:w="1637" w:type="dxa"/>
            <w:tcBorders>
              <w:top w:val="single" w:sz="4" w:space="0" w:color="auto"/>
              <w:bottom w:val="single" w:sz="12" w:space="0" w:color="auto"/>
            </w:tcBorders>
            <w:vAlign w:val="bottom"/>
          </w:tcPr>
          <w:p w14:paraId="4969736C"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Partie</w:t>
            </w:r>
          </w:p>
        </w:tc>
        <w:tc>
          <w:tcPr>
            <w:tcW w:w="2289" w:type="dxa"/>
            <w:tcBorders>
              <w:top w:val="single" w:sz="4" w:space="0" w:color="auto"/>
              <w:bottom w:val="single" w:sz="12" w:space="0" w:color="auto"/>
            </w:tcBorders>
            <w:vAlign w:val="bottom"/>
          </w:tcPr>
          <w:p w14:paraId="6D7DDE9B"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Rapporteurs pour le pays</w:t>
            </w:r>
          </w:p>
        </w:tc>
        <w:tc>
          <w:tcPr>
            <w:tcW w:w="2737" w:type="dxa"/>
            <w:tcBorders>
              <w:top w:val="single" w:sz="4" w:space="0" w:color="auto"/>
              <w:bottom w:val="single" w:sz="12" w:space="0" w:color="auto"/>
            </w:tcBorders>
            <w:vAlign w:val="bottom"/>
          </w:tcPr>
          <w:p w14:paraId="10D1E17D"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Rapport</w:t>
            </w:r>
          </w:p>
        </w:tc>
        <w:tc>
          <w:tcPr>
            <w:tcW w:w="1841" w:type="dxa"/>
            <w:tcBorders>
              <w:top w:val="single" w:sz="4" w:space="0" w:color="auto"/>
              <w:bottom w:val="single" w:sz="12" w:space="0" w:color="auto"/>
            </w:tcBorders>
            <w:vAlign w:val="bottom"/>
          </w:tcPr>
          <w:p w14:paraId="5EC43194"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Observations finales</w:t>
            </w:r>
          </w:p>
        </w:tc>
      </w:tr>
      <w:tr w:rsidR="00F30361" w:rsidRPr="00D833AB" w14:paraId="0BBBCD28" w14:textId="77777777" w:rsidTr="0092726A">
        <w:trPr>
          <w:cantSplit/>
          <w:trHeight w:hRule="exact" w:val="113"/>
          <w:tblHeader/>
        </w:trPr>
        <w:tc>
          <w:tcPr>
            <w:tcW w:w="1637" w:type="dxa"/>
            <w:tcBorders>
              <w:top w:val="single" w:sz="12" w:space="0" w:color="auto"/>
            </w:tcBorders>
          </w:tcPr>
          <w:p w14:paraId="7C8608CB" w14:textId="77777777" w:rsidR="00F30361" w:rsidRPr="00D833AB" w:rsidRDefault="00F30361" w:rsidP="00CB026C">
            <w:pPr>
              <w:spacing w:before="40" w:after="120"/>
              <w:ind w:right="113"/>
            </w:pPr>
          </w:p>
        </w:tc>
        <w:tc>
          <w:tcPr>
            <w:tcW w:w="2289" w:type="dxa"/>
            <w:tcBorders>
              <w:top w:val="single" w:sz="12" w:space="0" w:color="auto"/>
            </w:tcBorders>
          </w:tcPr>
          <w:p w14:paraId="3D0C3E72" w14:textId="77777777" w:rsidR="00F30361" w:rsidRPr="00D833AB" w:rsidRDefault="00F30361" w:rsidP="00CB026C">
            <w:pPr>
              <w:spacing w:before="40" w:after="120"/>
              <w:ind w:right="113"/>
            </w:pPr>
          </w:p>
        </w:tc>
        <w:tc>
          <w:tcPr>
            <w:tcW w:w="2737" w:type="dxa"/>
            <w:tcBorders>
              <w:top w:val="single" w:sz="12" w:space="0" w:color="auto"/>
            </w:tcBorders>
          </w:tcPr>
          <w:p w14:paraId="19C46812" w14:textId="77777777" w:rsidR="00F30361" w:rsidRPr="00D833AB" w:rsidRDefault="00F30361" w:rsidP="00CB026C">
            <w:pPr>
              <w:spacing w:before="40" w:after="120"/>
              <w:ind w:right="113"/>
            </w:pPr>
          </w:p>
        </w:tc>
        <w:tc>
          <w:tcPr>
            <w:tcW w:w="1841" w:type="dxa"/>
            <w:tcBorders>
              <w:top w:val="single" w:sz="12" w:space="0" w:color="auto"/>
            </w:tcBorders>
          </w:tcPr>
          <w:p w14:paraId="1ED9270C" w14:textId="77777777" w:rsidR="00F30361" w:rsidRPr="00D833AB" w:rsidRDefault="00F30361" w:rsidP="00CB026C">
            <w:pPr>
              <w:spacing w:before="40" w:after="120"/>
              <w:ind w:right="113"/>
            </w:pPr>
          </w:p>
        </w:tc>
      </w:tr>
      <w:tr w:rsidR="00F30361" w:rsidRPr="00D833AB" w14:paraId="48453DC1" w14:textId="77777777" w:rsidTr="0092726A">
        <w:trPr>
          <w:cantSplit/>
        </w:trPr>
        <w:tc>
          <w:tcPr>
            <w:tcW w:w="1637" w:type="dxa"/>
          </w:tcPr>
          <w:p w14:paraId="3EBA2A2F" w14:textId="77777777" w:rsidR="00F30361" w:rsidRPr="00D833AB" w:rsidRDefault="00F30361" w:rsidP="00CB026C">
            <w:pPr>
              <w:spacing w:before="40" w:after="120"/>
              <w:ind w:right="113"/>
            </w:pPr>
            <w:r w:rsidRPr="00D833AB">
              <w:rPr>
                <w:color w:val="000000"/>
                <w:lang w:val="fr-FR"/>
              </w:rPr>
              <w:t>Côte d’Ivoire</w:t>
            </w:r>
          </w:p>
        </w:tc>
        <w:tc>
          <w:tcPr>
            <w:tcW w:w="2289" w:type="dxa"/>
          </w:tcPr>
          <w:p w14:paraId="6B383EA5" w14:textId="4398E818" w:rsidR="00F30361" w:rsidRPr="00D833AB" w:rsidRDefault="00F30361" w:rsidP="000E58B8">
            <w:pPr>
              <w:spacing w:before="40" w:after="120"/>
              <w:ind w:right="113"/>
            </w:pPr>
            <w:r w:rsidRPr="00D833AB">
              <w:rPr>
                <w:color w:val="000000"/>
                <w:lang w:val="fr-FR"/>
              </w:rPr>
              <w:t xml:space="preserve">Abderrazak </w:t>
            </w:r>
            <w:proofErr w:type="spellStart"/>
            <w:r w:rsidRPr="00D833AB">
              <w:rPr>
                <w:color w:val="000000"/>
                <w:lang w:val="fr-FR"/>
              </w:rPr>
              <w:t>Rouwane</w:t>
            </w:r>
            <w:proofErr w:type="spellEnd"/>
            <w:r w:rsidR="000E58B8">
              <w:rPr>
                <w:color w:val="000000"/>
                <w:lang w:val="fr-FR"/>
              </w:rPr>
              <w:br/>
            </w:r>
            <w:r w:rsidRPr="00D833AB">
              <w:rPr>
                <w:color w:val="000000"/>
                <w:lang w:val="fr-FR"/>
              </w:rPr>
              <w:t xml:space="preserve">Todd </w:t>
            </w:r>
            <w:proofErr w:type="spellStart"/>
            <w:r w:rsidRPr="00D833AB">
              <w:rPr>
                <w:color w:val="000000"/>
                <w:lang w:val="fr-FR"/>
              </w:rPr>
              <w:t>Buchwald</w:t>
            </w:r>
            <w:proofErr w:type="spellEnd"/>
          </w:p>
        </w:tc>
        <w:tc>
          <w:tcPr>
            <w:tcW w:w="2737" w:type="dxa"/>
          </w:tcPr>
          <w:p w14:paraId="67C83068" w14:textId="77777777" w:rsidR="00F30361" w:rsidRPr="00D833AB" w:rsidRDefault="00F30361" w:rsidP="00CB026C">
            <w:pPr>
              <w:spacing w:before="40" w:after="120"/>
              <w:ind w:right="113"/>
            </w:pPr>
            <w:r w:rsidRPr="00D833AB">
              <w:rPr>
                <w:color w:val="000000"/>
                <w:lang w:val="fr-FR"/>
              </w:rPr>
              <w:t>Rapport initial (</w:t>
            </w:r>
            <w:hyperlink r:id="rId56" w:history="1">
              <w:r w:rsidRPr="009059DB">
                <w:rPr>
                  <w:rStyle w:val="Lienhypertexte"/>
                  <w:lang w:val="fr-FR"/>
                </w:rPr>
                <w:t>CAT/C/CIV/1</w:t>
              </w:r>
            </w:hyperlink>
            <w:r w:rsidRPr="00D833AB">
              <w:rPr>
                <w:color w:val="000000"/>
                <w:lang w:val="fr-FR"/>
              </w:rPr>
              <w:t>)</w:t>
            </w:r>
          </w:p>
        </w:tc>
        <w:tc>
          <w:tcPr>
            <w:tcW w:w="1841" w:type="dxa"/>
          </w:tcPr>
          <w:p w14:paraId="05F5F85A" w14:textId="77777777" w:rsidR="00F30361" w:rsidRPr="00D833AB" w:rsidRDefault="00F30361" w:rsidP="00CB026C">
            <w:pPr>
              <w:spacing w:before="40" w:after="120"/>
              <w:ind w:right="113"/>
            </w:pPr>
            <w:hyperlink r:id="rId57" w:history="1">
              <w:r w:rsidRPr="009059DB">
                <w:rPr>
                  <w:rStyle w:val="Lienhypertexte"/>
                </w:rPr>
                <w:t>CAT/C/CIV/CO/1</w:t>
              </w:r>
            </w:hyperlink>
          </w:p>
        </w:tc>
      </w:tr>
      <w:tr w:rsidR="00F30361" w:rsidRPr="00D833AB" w14:paraId="3FD27F13" w14:textId="77777777" w:rsidTr="0092726A">
        <w:trPr>
          <w:cantSplit/>
        </w:trPr>
        <w:tc>
          <w:tcPr>
            <w:tcW w:w="1637" w:type="dxa"/>
          </w:tcPr>
          <w:p w14:paraId="235F03A2" w14:textId="77777777" w:rsidR="00F30361" w:rsidRPr="00D833AB" w:rsidRDefault="00F30361" w:rsidP="00CB026C">
            <w:pPr>
              <w:spacing w:before="40" w:after="120"/>
              <w:ind w:right="113"/>
            </w:pPr>
            <w:r w:rsidRPr="00D833AB">
              <w:rPr>
                <w:color w:val="000000"/>
                <w:lang w:val="fr-FR"/>
              </w:rPr>
              <w:t>Équateur</w:t>
            </w:r>
          </w:p>
        </w:tc>
        <w:tc>
          <w:tcPr>
            <w:tcW w:w="2289" w:type="dxa"/>
          </w:tcPr>
          <w:p w14:paraId="21BE7847" w14:textId="70AE227D" w:rsidR="00F30361" w:rsidRPr="00D833AB" w:rsidRDefault="00F30361" w:rsidP="000E58B8">
            <w:pPr>
              <w:suppressAutoHyphens w:val="0"/>
              <w:spacing w:before="40" w:after="120"/>
              <w:ind w:right="113"/>
            </w:pPr>
            <w:r w:rsidRPr="00D833AB">
              <w:rPr>
                <w:color w:val="000000"/>
                <w:lang w:val="fr-FR"/>
              </w:rPr>
              <w:t xml:space="preserve">Jorge </w:t>
            </w:r>
            <w:proofErr w:type="spellStart"/>
            <w:r w:rsidRPr="00D833AB">
              <w:rPr>
                <w:color w:val="000000"/>
                <w:lang w:val="fr-FR"/>
              </w:rPr>
              <w:t>Contesse</w:t>
            </w:r>
            <w:proofErr w:type="spellEnd"/>
            <w:r w:rsidRPr="00D833AB">
              <w:rPr>
                <w:color w:val="000000"/>
                <w:lang w:val="fr-FR"/>
              </w:rPr>
              <w:t xml:space="preserve"> </w:t>
            </w:r>
            <w:r w:rsidR="000E58B8">
              <w:rPr>
                <w:color w:val="000000"/>
                <w:lang w:val="fr-FR"/>
              </w:rPr>
              <w:br/>
            </w:r>
            <w:r w:rsidRPr="00D833AB">
              <w:rPr>
                <w:color w:val="000000"/>
                <w:lang w:val="fr-FR"/>
              </w:rPr>
              <w:t xml:space="preserve">Erdogan </w:t>
            </w:r>
            <w:proofErr w:type="spellStart"/>
            <w:r w:rsidRPr="00D833AB">
              <w:rPr>
                <w:color w:val="000000"/>
                <w:lang w:val="fr-FR"/>
              </w:rPr>
              <w:t>Iscan</w:t>
            </w:r>
            <w:proofErr w:type="spellEnd"/>
          </w:p>
        </w:tc>
        <w:tc>
          <w:tcPr>
            <w:tcW w:w="2737" w:type="dxa"/>
          </w:tcPr>
          <w:p w14:paraId="2318FE55" w14:textId="77777777" w:rsidR="00F30361" w:rsidRPr="00D833AB" w:rsidRDefault="00F30361" w:rsidP="00CB026C">
            <w:pPr>
              <w:spacing w:before="40" w:after="120"/>
              <w:ind w:right="113"/>
            </w:pPr>
            <w:r w:rsidRPr="00D833AB">
              <w:rPr>
                <w:color w:val="000000"/>
                <w:lang w:val="fr-FR"/>
              </w:rPr>
              <w:t>Huitième rapport périodique (</w:t>
            </w:r>
            <w:hyperlink r:id="rId58" w:history="1">
              <w:r w:rsidRPr="009059DB">
                <w:rPr>
                  <w:rStyle w:val="Lienhypertexte"/>
                  <w:lang w:val="fr-FR"/>
                </w:rPr>
                <w:t>CAT/C/ECU/8</w:t>
              </w:r>
            </w:hyperlink>
            <w:r w:rsidRPr="00D833AB">
              <w:rPr>
                <w:color w:val="000000"/>
                <w:lang w:val="fr-FR"/>
              </w:rPr>
              <w:t>)</w:t>
            </w:r>
          </w:p>
        </w:tc>
        <w:tc>
          <w:tcPr>
            <w:tcW w:w="1841" w:type="dxa"/>
          </w:tcPr>
          <w:p w14:paraId="10E1C1BF" w14:textId="77777777" w:rsidR="00F30361" w:rsidRPr="00D833AB" w:rsidRDefault="00F30361" w:rsidP="00CB026C">
            <w:pPr>
              <w:spacing w:before="40" w:after="120"/>
              <w:ind w:right="113"/>
            </w:pPr>
            <w:hyperlink r:id="rId59" w:history="1">
              <w:r w:rsidRPr="009059DB">
                <w:rPr>
                  <w:rStyle w:val="Lienhypertexte"/>
                </w:rPr>
                <w:t>CAT/C/ECU/CO/8</w:t>
              </w:r>
            </w:hyperlink>
          </w:p>
        </w:tc>
      </w:tr>
      <w:tr w:rsidR="00F30361" w:rsidRPr="00D833AB" w14:paraId="3588E42F" w14:textId="77777777" w:rsidTr="0092726A">
        <w:trPr>
          <w:cantSplit/>
        </w:trPr>
        <w:tc>
          <w:tcPr>
            <w:tcW w:w="1637" w:type="dxa"/>
          </w:tcPr>
          <w:p w14:paraId="0961C8B5" w14:textId="77777777" w:rsidR="00F30361" w:rsidRPr="00D833AB" w:rsidRDefault="00F30361" w:rsidP="00CB026C">
            <w:pPr>
              <w:spacing w:before="40" w:after="120"/>
              <w:ind w:right="113"/>
            </w:pPr>
            <w:r w:rsidRPr="00D833AB">
              <w:rPr>
                <w:color w:val="000000"/>
                <w:lang w:val="fr-FR"/>
              </w:rPr>
              <w:t>République de Corée</w:t>
            </w:r>
          </w:p>
        </w:tc>
        <w:tc>
          <w:tcPr>
            <w:tcW w:w="2289" w:type="dxa"/>
          </w:tcPr>
          <w:p w14:paraId="2958AC14" w14:textId="0DEA4045" w:rsidR="00F30361" w:rsidRPr="00D833AB" w:rsidRDefault="00F30361" w:rsidP="000E58B8">
            <w:pPr>
              <w:suppressAutoHyphens w:val="0"/>
              <w:spacing w:before="40" w:after="120"/>
              <w:ind w:right="113"/>
            </w:pPr>
            <w:r w:rsidRPr="00D833AB">
              <w:rPr>
                <w:color w:val="000000"/>
                <w:lang w:val="fr-FR"/>
              </w:rPr>
              <w:t xml:space="preserve">Ana </w:t>
            </w:r>
            <w:proofErr w:type="spellStart"/>
            <w:r w:rsidRPr="00D833AB">
              <w:rPr>
                <w:color w:val="000000"/>
                <w:lang w:val="fr-FR"/>
              </w:rPr>
              <w:t>Racu</w:t>
            </w:r>
            <w:proofErr w:type="spellEnd"/>
            <w:r w:rsidR="000E58B8">
              <w:rPr>
                <w:color w:val="000000"/>
                <w:lang w:val="fr-FR"/>
              </w:rPr>
              <w:br/>
            </w:r>
            <w:r w:rsidRPr="00D833AB">
              <w:rPr>
                <w:color w:val="000000"/>
                <w:lang w:val="fr-FR"/>
              </w:rPr>
              <w:t xml:space="preserve">Peter Vedel </w:t>
            </w:r>
            <w:proofErr w:type="spellStart"/>
            <w:r w:rsidRPr="00D833AB">
              <w:rPr>
                <w:color w:val="000000"/>
                <w:lang w:val="fr-FR"/>
              </w:rPr>
              <w:t>Kessing</w:t>
            </w:r>
            <w:proofErr w:type="spellEnd"/>
          </w:p>
        </w:tc>
        <w:tc>
          <w:tcPr>
            <w:tcW w:w="2737" w:type="dxa"/>
          </w:tcPr>
          <w:p w14:paraId="49CE5508" w14:textId="77777777" w:rsidR="00F30361" w:rsidRPr="00D833AB" w:rsidRDefault="00F30361" w:rsidP="00CB026C">
            <w:pPr>
              <w:spacing w:before="40" w:after="120"/>
              <w:ind w:right="113"/>
            </w:pPr>
            <w:r w:rsidRPr="00D833AB">
              <w:rPr>
                <w:color w:val="000000"/>
                <w:lang w:val="fr-FR"/>
              </w:rPr>
              <w:t>Sixième rapport périodique (</w:t>
            </w:r>
            <w:hyperlink r:id="rId60" w:history="1">
              <w:r w:rsidRPr="009059DB">
                <w:rPr>
                  <w:rStyle w:val="Lienhypertexte"/>
                  <w:lang w:val="fr-FR"/>
                </w:rPr>
                <w:t>CAT/C/KOR/6</w:t>
              </w:r>
            </w:hyperlink>
            <w:r w:rsidRPr="00D833AB">
              <w:rPr>
                <w:color w:val="000000"/>
                <w:lang w:val="fr-FR"/>
              </w:rPr>
              <w:t>)</w:t>
            </w:r>
          </w:p>
        </w:tc>
        <w:tc>
          <w:tcPr>
            <w:tcW w:w="1841" w:type="dxa"/>
          </w:tcPr>
          <w:p w14:paraId="0BA0DE9D" w14:textId="77777777" w:rsidR="00F30361" w:rsidRPr="00D833AB" w:rsidRDefault="00F30361" w:rsidP="00CB026C">
            <w:pPr>
              <w:spacing w:before="40" w:after="120"/>
              <w:ind w:right="113"/>
            </w:pPr>
            <w:hyperlink r:id="rId61" w:history="1">
              <w:r w:rsidRPr="009059DB">
                <w:rPr>
                  <w:rStyle w:val="Lienhypertexte"/>
                </w:rPr>
                <w:t>CAT/C/KOR/CO/6</w:t>
              </w:r>
            </w:hyperlink>
          </w:p>
        </w:tc>
      </w:tr>
      <w:tr w:rsidR="00F30361" w:rsidRPr="00D833AB" w14:paraId="33A32C9C" w14:textId="77777777" w:rsidTr="0092726A">
        <w:trPr>
          <w:cantSplit/>
        </w:trPr>
        <w:tc>
          <w:tcPr>
            <w:tcW w:w="1637" w:type="dxa"/>
            <w:tcBorders>
              <w:bottom w:val="single" w:sz="12" w:space="0" w:color="auto"/>
            </w:tcBorders>
          </w:tcPr>
          <w:p w14:paraId="5FA6ACEC" w14:textId="77777777" w:rsidR="00F30361" w:rsidRPr="00D833AB" w:rsidRDefault="00F30361" w:rsidP="00CB026C">
            <w:pPr>
              <w:spacing w:before="40" w:after="120"/>
              <w:ind w:right="113"/>
            </w:pPr>
            <w:r w:rsidRPr="00D833AB">
              <w:rPr>
                <w:color w:val="000000"/>
                <w:lang w:val="fr-FR"/>
              </w:rPr>
              <w:t>Türkiye</w:t>
            </w:r>
          </w:p>
        </w:tc>
        <w:tc>
          <w:tcPr>
            <w:tcW w:w="2289" w:type="dxa"/>
            <w:tcBorders>
              <w:bottom w:val="single" w:sz="12" w:space="0" w:color="auto"/>
            </w:tcBorders>
          </w:tcPr>
          <w:p w14:paraId="22D45019" w14:textId="7DA11739" w:rsidR="00F30361" w:rsidRPr="00D833AB" w:rsidRDefault="00F30361" w:rsidP="000E58B8">
            <w:pPr>
              <w:suppressAutoHyphens w:val="0"/>
              <w:spacing w:before="40" w:after="120"/>
              <w:ind w:right="113"/>
            </w:pPr>
            <w:proofErr w:type="spellStart"/>
            <w:r w:rsidRPr="00D833AB">
              <w:rPr>
                <w:color w:val="000000"/>
                <w:lang w:val="fr-FR"/>
              </w:rPr>
              <w:t>Bakhtiyar</w:t>
            </w:r>
            <w:proofErr w:type="spellEnd"/>
            <w:r w:rsidRPr="00D833AB">
              <w:rPr>
                <w:color w:val="000000"/>
                <w:lang w:val="fr-FR"/>
              </w:rPr>
              <w:t xml:space="preserve"> </w:t>
            </w:r>
            <w:proofErr w:type="spellStart"/>
            <w:r w:rsidRPr="00D833AB">
              <w:rPr>
                <w:color w:val="000000"/>
                <w:lang w:val="fr-FR"/>
              </w:rPr>
              <w:t>Tuzmukhamedov</w:t>
            </w:r>
            <w:proofErr w:type="spellEnd"/>
            <w:r w:rsidR="000E58B8">
              <w:rPr>
                <w:color w:val="000000"/>
                <w:lang w:val="fr-FR"/>
              </w:rPr>
              <w:br/>
            </w:r>
            <w:r w:rsidRPr="00D833AB">
              <w:rPr>
                <w:color w:val="000000"/>
                <w:lang w:val="fr-FR"/>
              </w:rPr>
              <w:t xml:space="preserve">Maeda Naoko </w:t>
            </w:r>
          </w:p>
        </w:tc>
        <w:tc>
          <w:tcPr>
            <w:tcW w:w="2737" w:type="dxa"/>
            <w:tcBorders>
              <w:bottom w:val="single" w:sz="12" w:space="0" w:color="auto"/>
            </w:tcBorders>
          </w:tcPr>
          <w:p w14:paraId="461187BA" w14:textId="77777777" w:rsidR="00F30361" w:rsidRPr="00D833AB" w:rsidRDefault="00F30361" w:rsidP="00CB026C">
            <w:pPr>
              <w:spacing w:before="40" w:after="120"/>
              <w:ind w:right="113"/>
            </w:pPr>
            <w:r w:rsidRPr="00D833AB">
              <w:rPr>
                <w:color w:val="000000"/>
                <w:lang w:val="fr-FR"/>
              </w:rPr>
              <w:t>Cinquième rapport périodique (</w:t>
            </w:r>
            <w:hyperlink r:id="rId62" w:history="1">
              <w:r w:rsidRPr="009059DB">
                <w:rPr>
                  <w:rStyle w:val="Lienhypertexte"/>
                  <w:lang w:val="fr-FR"/>
                </w:rPr>
                <w:t>CAT/C/TUR/5</w:t>
              </w:r>
            </w:hyperlink>
            <w:r w:rsidRPr="00D833AB">
              <w:rPr>
                <w:color w:val="000000"/>
                <w:lang w:val="fr-FR"/>
              </w:rPr>
              <w:t>)</w:t>
            </w:r>
          </w:p>
        </w:tc>
        <w:tc>
          <w:tcPr>
            <w:tcW w:w="1841" w:type="dxa"/>
            <w:tcBorders>
              <w:bottom w:val="single" w:sz="12" w:space="0" w:color="auto"/>
            </w:tcBorders>
          </w:tcPr>
          <w:p w14:paraId="2990D0B3" w14:textId="77777777" w:rsidR="00F30361" w:rsidRPr="00D833AB" w:rsidRDefault="00F30361" w:rsidP="00CB026C">
            <w:pPr>
              <w:spacing w:before="40" w:after="120"/>
              <w:ind w:right="113"/>
            </w:pPr>
            <w:hyperlink r:id="rId63" w:history="1">
              <w:r w:rsidRPr="009059DB">
                <w:rPr>
                  <w:rStyle w:val="Lienhypertexte"/>
                </w:rPr>
                <w:t>CAT/C/TUR/CO/5</w:t>
              </w:r>
            </w:hyperlink>
          </w:p>
        </w:tc>
      </w:tr>
    </w:tbl>
    <w:p w14:paraId="15F31E63" w14:textId="77777777" w:rsidR="00F30361" w:rsidRPr="00D833AB" w:rsidRDefault="00F30361" w:rsidP="00F30361">
      <w:pPr>
        <w:pStyle w:val="SingleTxtG"/>
        <w:spacing w:before="240" w:after="240"/>
      </w:pPr>
      <w:r w:rsidRPr="00D833AB">
        <w:rPr>
          <w:lang w:val="fr-FR"/>
        </w:rPr>
        <w:t>30.</w:t>
      </w:r>
      <w:r w:rsidRPr="00D833AB">
        <w:rPr>
          <w:lang w:val="fr-FR"/>
        </w:rPr>
        <w:tab/>
        <w:t>Les rapports examinés par le Comité à sa quatre-vingt-unième session et les observations finales correspondantes, dont les cotes sont indiquées ci-après, sont disponibles dans le Système de diffusion électronique des documents de l’ONU :</w:t>
      </w:r>
    </w:p>
    <w:tbl>
      <w:tblPr>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7"/>
        <w:gridCol w:w="2289"/>
        <w:gridCol w:w="2737"/>
        <w:gridCol w:w="1841"/>
      </w:tblGrid>
      <w:tr w:rsidR="00F30361" w:rsidRPr="00D833AB" w14:paraId="0AF77869" w14:textId="77777777" w:rsidTr="0092726A">
        <w:trPr>
          <w:tblHeader/>
        </w:trPr>
        <w:tc>
          <w:tcPr>
            <w:tcW w:w="1637" w:type="dxa"/>
            <w:tcBorders>
              <w:top w:val="single" w:sz="4" w:space="0" w:color="auto"/>
              <w:bottom w:val="single" w:sz="12" w:space="0" w:color="auto"/>
            </w:tcBorders>
            <w:vAlign w:val="bottom"/>
          </w:tcPr>
          <w:p w14:paraId="2AE17AE8" w14:textId="77777777" w:rsidR="00F30361" w:rsidRPr="00D833AB" w:rsidRDefault="00F30361" w:rsidP="00CB026C">
            <w:pPr>
              <w:suppressAutoHyphens w:val="0"/>
              <w:spacing w:before="80" w:after="80" w:line="200" w:lineRule="exact"/>
              <w:ind w:right="113"/>
              <w:rPr>
                <w:i/>
                <w:sz w:val="16"/>
                <w:szCs w:val="16"/>
              </w:rPr>
            </w:pPr>
            <w:r w:rsidRPr="00D833AB">
              <w:rPr>
                <w:i/>
                <w:iCs/>
                <w:color w:val="000000"/>
                <w:sz w:val="16"/>
                <w:szCs w:val="16"/>
                <w:lang w:val="fr-FR"/>
              </w:rPr>
              <w:t>Partie</w:t>
            </w:r>
          </w:p>
        </w:tc>
        <w:tc>
          <w:tcPr>
            <w:tcW w:w="2289" w:type="dxa"/>
            <w:tcBorders>
              <w:top w:val="single" w:sz="4" w:space="0" w:color="auto"/>
              <w:bottom w:val="single" w:sz="12" w:space="0" w:color="auto"/>
            </w:tcBorders>
            <w:vAlign w:val="bottom"/>
          </w:tcPr>
          <w:p w14:paraId="2734DFF0" w14:textId="77777777" w:rsidR="00F30361" w:rsidRPr="00D833AB" w:rsidRDefault="00F30361" w:rsidP="00CB026C">
            <w:pPr>
              <w:suppressAutoHyphens w:val="0"/>
              <w:spacing w:before="80" w:after="80" w:line="200" w:lineRule="exact"/>
              <w:ind w:right="113"/>
              <w:rPr>
                <w:i/>
                <w:sz w:val="16"/>
                <w:szCs w:val="16"/>
              </w:rPr>
            </w:pPr>
            <w:r w:rsidRPr="00D833AB">
              <w:rPr>
                <w:i/>
                <w:iCs/>
                <w:color w:val="000000"/>
                <w:sz w:val="16"/>
                <w:szCs w:val="16"/>
                <w:lang w:val="fr-FR"/>
              </w:rPr>
              <w:t>Rapporteurs pour le pays</w:t>
            </w:r>
          </w:p>
        </w:tc>
        <w:tc>
          <w:tcPr>
            <w:tcW w:w="2737" w:type="dxa"/>
            <w:tcBorders>
              <w:top w:val="single" w:sz="4" w:space="0" w:color="auto"/>
              <w:bottom w:val="single" w:sz="12" w:space="0" w:color="auto"/>
            </w:tcBorders>
            <w:vAlign w:val="bottom"/>
          </w:tcPr>
          <w:p w14:paraId="327FC2DE" w14:textId="77777777" w:rsidR="00F30361" w:rsidRPr="00D833AB" w:rsidRDefault="00F30361" w:rsidP="00CB026C">
            <w:pPr>
              <w:suppressAutoHyphens w:val="0"/>
              <w:spacing w:before="80" w:after="80" w:line="200" w:lineRule="exact"/>
              <w:ind w:right="113"/>
              <w:rPr>
                <w:i/>
                <w:sz w:val="16"/>
                <w:szCs w:val="16"/>
              </w:rPr>
            </w:pPr>
            <w:r w:rsidRPr="00D833AB">
              <w:rPr>
                <w:i/>
                <w:iCs/>
                <w:color w:val="000000"/>
                <w:sz w:val="16"/>
                <w:szCs w:val="16"/>
                <w:lang w:val="fr-FR"/>
              </w:rPr>
              <w:t>Rapport</w:t>
            </w:r>
          </w:p>
        </w:tc>
        <w:tc>
          <w:tcPr>
            <w:tcW w:w="1841" w:type="dxa"/>
            <w:tcBorders>
              <w:top w:val="single" w:sz="4" w:space="0" w:color="auto"/>
              <w:bottom w:val="single" w:sz="12" w:space="0" w:color="auto"/>
            </w:tcBorders>
            <w:vAlign w:val="bottom"/>
          </w:tcPr>
          <w:p w14:paraId="6A639FD4" w14:textId="77777777" w:rsidR="00F30361" w:rsidRPr="00D833AB" w:rsidRDefault="00F30361" w:rsidP="00CB026C">
            <w:pPr>
              <w:suppressAutoHyphens w:val="0"/>
              <w:spacing w:before="80" w:after="80" w:line="200" w:lineRule="exact"/>
              <w:ind w:right="113"/>
              <w:rPr>
                <w:i/>
                <w:sz w:val="16"/>
                <w:szCs w:val="16"/>
              </w:rPr>
            </w:pPr>
            <w:r w:rsidRPr="00D833AB">
              <w:rPr>
                <w:i/>
                <w:iCs/>
                <w:color w:val="000000"/>
                <w:sz w:val="16"/>
                <w:szCs w:val="16"/>
                <w:lang w:val="fr-FR"/>
              </w:rPr>
              <w:t>Observations finales</w:t>
            </w:r>
          </w:p>
        </w:tc>
      </w:tr>
      <w:tr w:rsidR="00F30361" w:rsidRPr="00D833AB" w14:paraId="6E550B96" w14:textId="77777777" w:rsidTr="0092726A">
        <w:trPr>
          <w:trHeight w:hRule="exact" w:val="113"/>
          <w:tblHeader/>
        </w:trPr>
        <w:tc>
          <w:tcPr>
            <w:tcW w:w="1637" w:type="dxa"/>
            <w:tcBorders>
              <w:top w:val="single" w:sz="12" w:space="0" w:color="auto"/>
            </w:tcBorders>
          </w:tcPr>
          <w:p w14:paraId="52D3194D" w14:textId="77777777" w:rsidR="00F30361" w:rsidRPr="00D833AB" w:rsidRDefault="00F30361" w:rsidP="00CB026C">
            <w:pPr>
              <w:suppressAutoHyphens w:val="0"/>
              <w:spacing w:before="40" w:after="120" w:line="220" w:lineRule="exact"/>
              <w:ind w:right="113"/>
            </w:pPr>
          </w:p>
        </w:tc>
        <w:tc>
          <w:tcPr>
            <w:tcW w:w="2289" w:type="dxa"/>
            <w:tcBorders>
              <w:top w:val="single" w:sz="12" w:space="0" w:color="auto"/>
            </w:tcBorders>
          </w:tcPr>
          <w:p w14:paraId="077E91EB" w14:textId="77777777" w:rsidR="00F30361" w:rsidRPr="00D833AB" w:rsidRDefault="00F30361" w:rsidP="00CB026C">
            <w:pPr>
              <w:suppressAutoHyphens w:val="0"/>
              <w:spacing w:before="40" w:after="120" w:line="220" w:lineRule="exact"/>
              <w:ind w:right="113"/>
            </w:pPr>
          </w:p>
        </w:tc>
        <w:tc>
          <w:tcPr>
            <w:tcW w:w="2737" w:type="dxa"/>
            <w:tcBorders>
              <w:top w:val="single" w:sz="12" w:space="0" w:color="auto"/>
            </w:tcBorders>
          </w:tcPr>
          <w:p w14:paraId="1DB089EA" w14:textId="77777777" w:rsidR="00F30361" w:rsidRPr="00D833AB" w:rsidRDefault="00F30361" w:rsidP="00CB026C">
            <w:pPr>
              <w:suppressAutoHyphens w:val="0"/>
              <w:spacing w:before="40" w:after="120" w:line="220" w:lineRule="exact"/>
              <w:ind w:right="113"/>
            </w:pPr>
          </w:p>
        </w:tc>
        <w:tc>
          <w:tcPr>
            <w:tcW w:w="1841" w:type="dxa"/>
            <w:tcBorders>
              <w:top w:val="single" w:sz="12" w:space="0" w:color="auto"/>
            </w:tcBorders>
          </w:tcPr>
          <w:p w14:paraId="18A78990" w14:textId="77777777" w:rsidR="00F30361" w:rsidRPr="00D833AB" w:rsidRDefault="00F30361" w:rsidP="00CB026C">
            <w:pPr>
              <w:suppressAutoHyphens w:val="0"/>
              <w:spacing w:before="40" w:after="120" w:line="220" w:lineRule="exact"/>
              <w:ind w:right="113"/>
            </w:pPr>
          </w:p>
        </w:tc>
      </w:tr>
      <w:tr w:rsidR="00F30361" w:rsidRPr="00D833AB" w14:paraId="72FD95EA" w14:textId="77777777" w:rsidTr="0092726A">
        <w:trPr>
          <w:cantSplit/>
        </w:trPr>
        <w:tc>
          <w:tcPr>
            <w:tcW w:w="1637" w:type="dxa"/>
          </w:tcPr>
          <w:p w14:paraId="4FAA7520" w14:textId="77777777" w:rsidR="00F30361" w:rsidRPr="00D833AB" w:rsidRDefault="00F30361" w:rsidP="00CB026C">
            <w:pPr>
              <w:suppressAutoHyphens w:val="0"/>
              <w:spacing w:before="40" w:after="120"/>
              <w:ind w:right="113"/>
            </w:pPr>
            <w:r w:rsidRPr="00D833AB">
              <w:rPr>
                <w:color w:val="000000"/>
                <w:lang w:val="fr-FR"/>
              </w:rPr>
              <w:t>Cameroun</w:t>
            </w:r>
          </w:p>
        </w:tc>
        <w:tc>
          <w:tcPr>
            <w:tcW w:w="2289" w:type="dxa"/>
          </w:tcPr>
          <w:p w14:paraId="595C1B60" w14:textId="77777777" w:rsidR="00F30361" w:rsidRPr="00D833AB" w:rsidRDefault="00F30361" w:rsidP="00CB026C">
            <w:pPr>
              <w:suppressAutoHyphens w:val="0"/>
              <w:spacing w:before="40" w:after="120"/>
              <w:ind w:right="113"/>
            </w:pPr>
            <w:r w:rsidRPr="00D833AB">
              <w:rPr>
                <w:color w:val="000000"/>
                <w:lang w:val="fr-FR"/>
              </w:rPr>
              <w:t xml:space="preserve">Ana </w:t>
            </w:r>
            <w:proofErr w:type="spellStart"/>
            <w:r w:rsidRPr="00D833AB">
              <w:rPr>
                <w:color w:val="000000"/>
                <w:lang w:val="fr-FR"/>
              </w:rPr>
              <w:t>Racu</w:t>
            </w:r>
            <w:proofErr w:type="spellEnd"/>
            <w:r w:rsidRPr="00D833AB">
              <w:rPr>
                <w:color w:val="000000"/>
                <w:lang w:val="fr-FR"/>
              </w:rPr>
              <w:t xml:space="preserve"> </w:t>
            </w:r>
            <w:r w:rsidRPr="00D833AB">
              <w:rPr>
                <w:color w:val="000000"/>
                <w:lang w:val="fr-FR"/>
              </w:rPr>
              <w:br/>
              <w:t xml:space="preserve">Jorge </w:t>
            </w:r>
            <w:proofErr w:type="spellStart"/>
            <w:r w:rsidRPr="00D833AB">
              <w:rPr>
                <w:color w:val="000000"/>
                <w:lang w:val="fr-FR"/>
              </w:rPr>
              <w:t>Contesse</w:t>
            </w:r>
            <w:proofErr w:type="spellEnd"/>
          </w:p>
        </w:tc>
        <w:tc>
          <w:tcPr>
            <w:tcW w:w="2737" w:type="dxa"/>
          </w:tcPr>
          <w:p w14:paraId="3D93080B" w14:textId="77777777" w:rsidR="00F30361" w:rsidRPr="00D833AB" w:rsidRDefault="00F30361" w:rsidP="00CB026C">
            <w:pPr>
              <w:suppressAutoHyphens w:val="0"/>
              <w:spacing w:before="40" w:after="120"/>
              <w:ind w:right="113"/>
            </w:pPr>
            <w:r w:rsidRPr="00D833AB">
              <w:rPr>
                <w:color w:val="000000"/>
                <w:lang w:val="fr-FR"/>
              </w:rPr>
              <w:t>Sixième rapport périodique (</w:t>
            </w:r>
            <w:hyperlink r:id="rId64" w:history="1">
              <w:r w:rsidRPr="009059DB">
                <w:rPr>
                  <w:rStyle w:val="Lienhypertexte"/>
                  <w:lang w:val="fr-FR"/>
                </w:rPr>
                <w:t>CAT/C/CMR/6</w:t>
              </w:r>
            </w:hyperlink>
            <w:r w:rsidRPr="00D833AB">
              <w:rPr>
                <w:color w:val="000000"/>
                <w:lang w:val="fr-FR"/>
              </w:rPr>
              <w:t>)</w:t>
            </w:r>
          </w:p>
        </w:tc>
        <w:tc>
          <w:tcPr>
            <w:tcW w:w="1841" w:type="dxa"/>
          </w:tcPr>
          <w:p w14:paraId="4CA8637D" w14:textId="77777777" w:rsidR="00F30361" w:rsidRPr="00D833AB" w:rsidRDefault="00F30361" w:rsidP="00CB026C">
            <w:pPr>
              <w:suppressAutoHyphens w:val="0"/>
              <w:spacing w:before="40" w:after="120"/>
              <w:ind w:right="113"/>
              <w:rPr>
                <w:rStyle w:val="Lienhypertexte"/>
              </w:rPr>
            </w:pPr>
            <w:hyperlink r:id="rId65" w:history="1">
              <w:r w:rsidRPr="009059DB">
                <w:rPr>
                  <w:rStyle w:val="Lienhypertexte"/>
                </w:rPr>
                <w:t>CAT/C/CMR/CO/6</w:t>
              </w:r>
            </w:hyperlink>
          </w:p>
        </w:tc>
      </w:tr>
      <w:tr w:rsidR="00F30361" w:rsidRPr="00D833AB" w14:paraId="51E245BC" w14:textId="77777777" w:rsidTr="0092726A">
        <w:trPr>
          <w:cantSplit/>
        </w:trPr>
        <w:tc>
          <w:tcPr>
            <w:tcW w:w="1637" w:type="dxa"/>
          </w:tcPr>
          <w:p w14:paraId="056D143E" w14:textId="77777777" w:rsidR="00F30361" w:rsidRPr="00D833AB" w:rsidRDefault="00F30361" w:rsidP="00CB026C">
            <w:pPr>
              <w:suppressAutoHyphens w:val="0"/>
              <w:spacing w:before="40" w:after="120"/>
              <w:ind w:right="113"/>
            </w:pPr>
            <w:r w:rsidRPr="00D833AB">
              <w:rPr>
                <w:color w:val="000000"/>
                <w:lang w:val="fr-FR"/>
              </w:rPr>
              <w:t>Jordanie</w:t>
            </w:r>
          </w:p>
        </w:tc>
        <w:tc>
          <w:tcPr>
            <w:tcW w:w="2289" w:type="dxa"/>
          </w:tcPr>
          <w:p w14:paraId="6CEA42E0" w14:textId="5E7C32D2" w:rsidR="00F30361" w:rsidRPr="00D833AB" w:rsidRDefault="00F30361" w:rsidP="000E58B8">
            <w:pPr>
              <w:suppressAutoHyphens w:val="0"/>
              <w:spacing w:before="40" w:after="120"/>
              <w:ind w:right="113"/>
            </w:pPr>
            <w:r w:rsidRPr="00D833AB">
              <w:rPr>
                <w:color w:val="000000"/>
                <w:lang w:val="fr-FR"/>
              </w:rPr>
              <w:t>Claude Heller</w:t>
            </w:r>
            <w:r w:rsidR="000E58B8">
              <w:rPr>
                <w:color w:val="000000"/>
                <w:lang w:val="fr-FR"/>
              </w:rPr>
              <w:br/>
            </w:r>
            <w:proofErr w:type="spellStart"/>
            <w:r w:rsidRPr="00D833AB">
              <w:rPr>
                <w:color w:val="000000"/>
                <w:lang w:val="fr-FR"/>
              </w:rPr>
              <w:t>Bakhtiyar</w:t>
            </w:r>
            <w:proofErr w:type="spellEnd"/>
            <w:r w:rsidRPr="00D833AB">
              <w:rPr>
                <w:color w:val="000000"/>
                <w:lang w:val="fr-FR"/>
              </w:rPr>
              <w:t xml:space="preserve"> </w:t>
            </w:r>
            <w:proofErr w:type="spellStart"/>
            <w:r w:rsidRPr="00D833AB">
              <w:rPr>
                <w:color w:val="000000"/>
                <w:lang w:val="fr-FR"/>
              </w:rPr>
              <w:t>Tuzmukhamedov</w:t>
            </w:r>
            <w:proofErr w:type="spellEnd"/>
          </w:p>
        </w:tc>
        <w:tc>
          <w:tcPr>
            <w:tcW w:w="2737" w:type="dxa"/>
          </w:tcPr>
          <w:p w14:paraId="72147F70" w14:textId="77777777" w:rsidR="00F30361" w:rsidRPr="00D833AB" w:rsidRDefault="00F30361" w:rsidP="00CB026C">
            <w:pPr>
              <w:suppressAutoHyphens w:val="0"/>
              <w:spacing w:before="40" w:after="120"/>
              <w:ind w:right="113"/>
            </w:pPr>
            <w:r w:rsidRPr="00D833AB">
              <w:rPr>
                <w:color w:val="000000"/>
                <w:lang w:val="fr-FR"/>
              </w:rPr>
              <w:t>Quatrième rapport périodique (</w:t>
            </w:r>
            <w:hyperlink r:id="rId66" w:history="1">
              <w:r w:rsidRPr="009059DB">
                <w:rPr>
                  <w:rStyle w:val="Lienhypertexte"/>
                  <w:lang w:val="fr-FR"/>
                </w:rPr>
                <w:t>CAT/C/JOR/4</w:t>
              </w:r>
            </w:hyperlink>
            <w:r w:rsidRPr="00D833AB">
              <w:rPr>
                <w:color w:val="000000"/>
                <w:lang w:val="fr-FR"/>
              </w:rPr>
              <w:t>)</w:t>
            </w:r>
          </w:p>
        </w:tc>
        <w:tc>
          <w:tcPr>
            <w:tcW w:w="1841" w:type="dxa"/>
          </w:tcPr>
          <w:p w14:paraId="1769D377" w14:textId="77777777" w:rsidR="00F30361" w:rsidRPr="00D833AB" w:rsidRDefault="00F30361" w:rsidP="00CB026C">
            <w:pPr>
              <w:suppressAutoHyphens w:val="0"/>
              <w:spacing w:before="40" w:after="120"/>
              <w:ind w:right="113"/>
              <w:rPr>
                <w:rStyle w:val="Lienhypertexte"/>
              </w:rPr>
            </w:pPr>
            <w:hyperlink r:id="rId67" w:history="1">
              <w:r w:rsidRPr="009059DB">
                <w:rPr>
                  <w:rStyle w:val="Lienhypertexte"/>
                </w:rPr>
                <w:t>CAT/C/JOR/CO/4</w:t>
              </w:r>
            </w:hyperlink>
          </w:p>
        </w:tc>
      </w:tr>
      <w:tr w:rsidR="00F30361" w:rsidRPr="00D833AB" w14:paraId="53D6BE89" w14:textId="77777777" w:rsidTr="0092726A">
        <w:trPr>
          <w:cantSplit/>
        </w:trPr>
        <w:tc>
          <w:tcPr>
            <w:tcW w:w="1637" w:type="dxa"/>
          </w:tcPr>
          <w:p w14:paraId="709A1E67" w14:textId="77777777" w:rsidR="00F30361" w:rsidRPr="00D833AB" w:rsidRDefault="00F30361" w:rsidP="00CB026C">
            <w:pPr>
              <w:suppressAutoHyphens w:val="0"/>
              <w:spacing w:before="40" w:after="120"/>
              <w:ind w:right="113"/>
            </w:pPr>
            <w:r w:rsidRPr="00D833AB">
              <w:rPr>
                <w:color w:val="000000"/>
                <w:lang w:val="fr-FR"/>
              </w:rPr>
              <w:t>Koweït</w:t>
            </w:r>
          </w:p>
        </w:tc>
        <w:tc>
          <w:tcPr>
            <w:tcW w:w="2289" w:type="dxa"/>
          </w:tcPr>
          <w:p w14:paraId="3CB0ADD3" w14:textId="40B00287" w:rsidR="00F30361" w:rsidRPr="00D833AB" w:rsidRDefault="00F30361" w:rsidP="000E58B8">
            <w:pPr>
              <w:suppressAutoHyphens w:val="0"/>
              <w:spacing w:before="40" w:after="120"/>
              <w:ind w:right="113"/>
              <w:rPr>
                <w:lang w:val="en-US"/>
              </w:rPr>
            </w:pPr>
            <w:r w:rsidRPr="00D833AB">
              <w:rPr>
                <w:color w:val="000000"/>
                <w:lang w:val="en-US"/>
              </w:rPr>
              <w:t>Abderrazak Rouwane</w:t>
            </w:r>
            <w:r w:rsidR="000E58B8">
              <w:rPr>
                <w:color w:val="000000"/>
                <w:lang w:val="en-US"/>
              </w:rPr>
              <w:br/>
            </w:r>
            <w:r w:rsidRPr="00D833AB">
              <w:rPr>
                <w:color w:val="000000"/>
                <w:lang w:val="en-US"/>
              </w:rPr>
              <w:t>Peter Vedel Kessing</w:t>
            </w:r>
          </w:p>
        </w:tc>
        <w:tc>
          <w:tcPr>
            <w:tcW w:w="2737" w:type="dxa"/>
          </w:tcPr>
          <w:p w14:paraId="61094AD2" w14:textId="77777777" w:rsidR="00F30361" w:rsidRPr="00D833AB" w:rsidRDefault="00F30361" w:rsidP="00CB026C">
            <w:pPr>
              <w:suppressAutoHyphens w:val="0"/>
              <w:spacing w:before="40" w:after="120"/>
              <w:ind w:right="113"/>
            </w:pPr>
            <w:r w:rsidRPr="00D833AB">
              <w:rPr>
                <w:color w:val="000000"/>
                <w:lang w:val="fr-FR"/>
              </w:rPr>
              <w:t>Quatrième rapport périodique (</w:t>
            </w:r>
            <w:hyperlink r:id="rId68" w:history="1">
              <w:r w:rsidRPr="009059DB">
                <w:rPr>
                  <w:rStyle w:val="Lienhypertexte"/>
                  <w:lang w:val="fr-FR"/>
                </w:rPr>
                <w:t>CAT/C/KWT/4</w:t>
              </w:r>
            </w:hyperlink>
            <w:r w:rsidRPr="00D833AB">
              <w:rPr>
                <w:color w:val="000000"/>
                <w:lang w:val="fr-FR"/>
              </w:rPr>
              <w:t>)</w:t>
            </w:r>
          </w:p>
        </w:tc>
        <w:tc>
          <w:tcPr>
            <w:tcW w:w="1841" w:type="dxa"/>
          </w:tcPr>
          <w:p w14:paraId="3C884BF5" w14:textId="77777777" w:rsidR="00F30361" w:rsidRPr="00D833AB" w:rsidRDefault="00F30361" w:rsidP="00CB026C">
            <w:pPr>
              <w:suppressAutoHyphens w:val="0"/>
              <w:spacing w:before="40" w:after="120"/>
              <w:ind w:right="113"/>
              <w:rPr>
                <w:rStyle w:val="Lienhypertexte"/>
              </w:rPr>
            </w:pPr>
            <w:hyperlink r:id="rId69" w:history="1">
              <w:r w:rsidRPr="009059DB">
                <w:rPr>
                  <w:rStyle w:val="Lienhypertexte"/>
                </w:rPr>
                <w:t>CAT/C/KWT/CO/4</w:t>
              </w:r>
            </w:hyperlink>
          </w:p>
        </w:tc>
      </w:tr>
      <w:tr w:rsidR="00F30361" w:rsidRPr="00D833AB" w14:paraId="76C41110" w14:textId="77777777" w:rsidTr="0092726A">
        <w:trPr>
          <w:cantSplit/>
        </w:trPr>
        <w:tc>
          <w:tcPr>
            <w:tcW w:w="1637" w:type="dxa"/>
          </w:tcPr>
          <w:p w14:paraId="70586103" w14:textId="77777777" w:rsidR="00F30361" w:rsidRPr="00D833AB" w:rsidRDefault="00F30361" w:rsidP="00CB026C">
            <w:pPr>
              <w:suppressAutoHyphens w:val="0"/>
              <w:spacing w:before="40" w:after="120"/>
              <w:ind w:right="113"/>
            </w:pPr>
            <w:r w:rsidRPr="00D833AB">
              <w:rPr>
                <w:color w:val="000000"/>
                <w:lang w:val="fr-FR"/>
              </w:rPr>
              <w:t>Mongolie</w:t>
            </w:r>
          </w:p>
        </w:tc>
        <w:tc>
          <w:tcPr>
            <w:tcW w:w="2289" w:type="dxa"/>
          </w:tcPr>
          <w:p w14:paraId="40EBAC21" w14:textId="15F3C703" w:rsidR="00F30361" w:rsidRPr="00D833AB" w:rsidRDefault="00F30361" w:rsidP="000E58B8">
            <w:pPr>
              <w:suppressAutoHyphens w:val="0"/>
              <w:spacing w:before="40" w:after="120"/>
              <w:ind w:right="113"/>
            </w:pPr>
            <w:r w:rsidRPr="00D833AB">
              <w:rPr>
                <w:color w:val="000000"/>
                <w:lang w:val="fr-FR"/>
              </w:rPr>
              <w:t xml:space="preserve">Naoko Maeda </w:t>
            </w:r>
            <w:r w:rsidR="000E58B8">
              <w:rPr>
                <w:color w:val="000000"/>
                <w:lang w:val="fr-FR"/>
              </w:rPr>
              <w:br/>
            </w:r>
            <w:r w:rsidRPr="00D833AB">
              <w:rPr>
                <w:color w:val="000000"/>
                <w:lang w:val="fr-FR"/>
              </w:rPr>
              <w:t xml:space="preserve">Liu </w:t>
            </w:r>
            <w:proofErr w:type="spellStart"/>
            <w:r w:rsidRPr="00D833AB">
              <w:rPr>
                <w:color w:val="000000"/>
                <w:lang w:val="fr-FR"/>
              </w:rPr>
              <w:t>Huawen</w:t>
            </w:r>
            <w:proofErr w:type="spellEnd"/>
          </w:p>
        </w:tc>
        <w:tc>
          <w:tcPr>
            <w:tcW w:w="2737" w:type="dxa"/>
          </w:tcPr>
          <w:p w14:paraId="2C374F8C" w14:textId="77777777" w:rsidR="00F30361" w:rsidRPr="00D833AB" w:rsidRDefault="00F30361" w:rsidP="00CB026C">
            <w:pPr>
              <w:suppressAutoHyphens w:val="0"/>
              <w:spacing w:before="40" w:after="120"/>
              <w:ind w:right="113"/>
            </w:pPr>
            <w:r w:rsidRPr="00D833AB">
              <w:rPr>
                <w:color w:val="000000"/>
                <w:lang w:val="fr-FR"/>
              </w:rPr>
              <w:t>Troisième rapport périodique (</w:t>
            </w:r>
            <w:hyperlink r:id="rId70" w:history="1">
              <w:r w:rsidRPr="009059DB">
                <w:rPr>
                  <w:rStyle w:val="Lienhypertexte"/>
                  <w:lang w:val="fr-FR"/>
                </w:rPr>
                <w:t>CAT/C/MNG/3</w:t>
              </w:r>
            </w:hyperlink>
            <w:r w:rsidRPr="00D833AB">
              <w:rPr>
                <w:color w:val="000000"/>
                <w:lang w:val="fr-FR"/>
              </w:rPr>
              <w:t>)</w:t>
            </w:r>
          </w:p>
        </w:tc>
        <w:tc>
          <w:tcPr>
            <w:tcW w:w="1841" w:type="dxa"/>
          </w:tcPr>
          <w:p w14:paraId="60F3745D" w14:textId="77777777" w:rsidR="00F30361" w:rsidRPr="00D833AB" w:rsidRDefault="00F30361" w:rsidP="00CB026C">
            <w:pPr>
              <w:suppressAutoHyphens w:val="0"/>
              <w:spacing w:before="40" w:after="120"/>
              <w:ind w:right="113"/>
              <w:rPr>
                <w:rStyle w:val="Lienhypertexte"/>
              </w:rPr>
            </w:pPr>
            <w:hyperlink r:id="rId71" w:history="1">
              <w:r w:rsidRPr="009059DB">
                <w:rPr>
                  <w:rStyle w:val="Lienhypertexte"/>
                </w:rPr>
                <w:t>CAT/C/MNG/CO/3</w:t>
              </w:r>
            </w:hyperlink>
          </w:p>
        </w:tc>
      </w:tr>
      <w:tr w:rsidR="00F30361" w:rsidRPr="00D833AB" w14:paraId="5A1F1D4C" w14:textId="77777777" w:rsidTr="0092726A">
        <w:trPr>
          <w:cantSplit/>
        </w:trPr>
        <w:tc>
          <w:tcPr>
            <w:tcW w:w="1637" w:type="dxa"/>
          </w:tcPr>
          <w:p w14:paraId="5ACF87A0" w14:textId="77777777" w:rsidR="00F30361" w:rsidRPr="00D833AB" w:rsidRDefault="00F30361" w:rsidP="00CB026C">
            <w:pPr>
              <w:suppressAutoHyphens w:val="0"/>
              <w:spacing w:before="40" w:after="120" w:line="220" w:lineRule="exact"/>
              <w:ind w:right="113"/>
            </w:pPr>
            <w:r w:rsidRPr="00D833AB">
              <w:rPr>
                <w:color w:val="000000"/>
                <w:lang w:val="fr-FR"/>
              </w:rPr>
              <w:t>Namibie</w:t>
            </w:r>
          </w:p>
        </w:tc>
        <w:tc>
          <w:tcPr>
            <w:tcW w:w="2289" w:type="dxa"/>
          </w:tcPr>
          <w:p w14:paraId="2C88EF81" w14:textId="154C51E8" w:rsidR="00F30361" w:rsidRPr="00D833AB" w:rsidRDefault="00F30361" w:rsidP="000E58B8">
            <w:pPr>
              <w:suppressAutoHyphens w:val="0"/>
              <w:spacing w:before="40" w:line="220" w:lineRule="exact"/>
              <w:ind w:right="113"/>
            </w:pPr>
            <w:r w:rsidRPr="00D833AB">
              <w:rPr>
                <w:color w:val="000000"/>
                <w:lang w:val="fr-FR"/>
              </w:rPr>
              <w:t xml:space="preserve">Erdogan </w:t>
            </w:r>
            <w:proofErr w:type="spellStart"/>
            <w:r w:rsidRPr="00D833AB">
              <w:rPr>
                <w:color w:val="000000"/>
                <w:lang w:val="fr-FR"/>
              </w:rPr>
              <w:t>Iscan</w:t>
            </w:r>
            <w:proofErr w:type="spellEnd"/>
            <w:r w:rsidR="000E58B8">
              <w:rPr>
                <w:color w:val="000000"/>
                <w:lang w:val="fr-FR"/>
              </w:rPr>
              <w:br/>
            </w:r>
            <w:r w:rsidRPr="00D833AB">
              <w:rPr>
                <w:color w:val="000000"/>
                <w:lang w:val="fr-FR"/>
              </w:rPr>
              <w:t xml:space="preserve">Jorge </w:t>
            </w:r>
            <w:proofErr w:type="spellStart"/>
            <w:r w:rsidRPr="00D833AB">
              <w:rPr>
                <w:color w:val="000000"/>
                <w:lang w:val="fr-FR"/>
              </w:rPr>
              <w:t>Contesse</w:t>
            </w:r>
            <w:proofErr w:type="spellEnd"/>
          </w:p>
        </w:tc>
        <w:tc>
          <w:tcPr>
            <w:tcW w:w="2737" w:type="dxa"/>
          </w:tcPr>
          <w:p w14:paraId="1C5905C0" w14:textId="77777777" w:rsidR="00F30361" w:rsidRPr="00D833AB" w:rsidRDefault="00F30361" w:rsidP="00CB026C">
            <w:pPr>
              <w:suppressAutoHyphens w:val="0"/>
              <w:spacing w:before="40" w:after="120" w:line="220" w:lineRule="exact"/>
              <w:ind w:right="113"/>
            </w:pPr>
            <w:r w:rsidRPr="00D833AB">
              <w:rPr>
                <w:color w:val="000000"/>
                <w:lang w:val="fr-FR"/>
              </w:rPr>
              <w:t>Troisième rapport périodique (</w:t>
            </w:r>
            <w:hyperlink r:id="rId72" w:history="1">
              <w:r w:rsidRPr="009059DB">
                <w:rPr>
                  <w:rStyle w:val="Lienhypertexte"/>
                  <w:lang w:val="fr-FR"/>
                </w:rPr>
                <w:t>CAT/C/NAM/3</w:t>
              </w:r>
            </w:hyperlink>
            <w:r w:rsidRPr="00D833AB">
              <w:rPr>
                <w:color w:val="000000"/>
                <w:lang w:val="fr-FR"/>
              </w:rPr>
              <w:t>)</w:t>
            </w:r>
          </w:p>
        </w:tc>
        <w:tc>
          <w:tcPr>
            <w:tcW w:w="1841" w:type="dxa"/>
          </w:tcPr>
          <w:p w14:paraId="1E3E6115" w14:textId="77777777" w:rsidR="00F30361" w:rsidRPr="00D833AB" w:rsidRDefault="00F30361" w:rsidP="00CB026C">
            <w:pPr>
              <w:suppressAutoHyphens w:val="0"/>
              <w:spacing w:before="40" w:after="120" w:line="220" w:lineRule="exact"/>
              <w:ind w:right="113"/>
              <w:rPr>
                <w:rStyle w:val="Lienhypertexte"/>
              </w:rPr>
            </w:pPr>
            <w:hyperlink r:id="rId73" w:history="1">
              <w:r w:rsidRPr="009059DB">
                <w:rPr>
                  <w:rStyle w:val="Lienhypertexte"/>
                </w:rPr>
                <w:t>CAT/C/NAM/CO/3</w:t>
              </w:r>
            </w:hyperlink>
          </w:p>
        </w:tc>
      </w:tr>
      <w:tr w:rsidR="00F30361" w:rsidRPr="00D833AB" w14:paraId="5433E9CD" w14:textId="77777777" w:rsidTr="0092726A">
        <w:trPr>
          <w:cantSplit/>
        </w:trPr>
        <w:tc>
          <w:tcPr>
            <w:tcW w:w="1637" w:type="dxa"/>
          </w:tcPr>
          <w:p w14:paraId="76B3CF10" w14:textId="77777777" w:rsidR="00F30361" w:rsidRPr="00D833AB" w:rsidRDefault="00F30361" w:rsidP="00CB026C">
            <w:pPr>
              <w:suppressAutoHyphens w:val="0"/>
              <w:spacing w:before="40" w:after="120" w:line="220" w:lineRule="exact"/>
              <w:ind w:right="113"/>
            </w:pPr>
            <w:r w:rsidRPr="00D833AB">
              <w:rPr>
                <w:color w:val="000000"/>
                <w:lang w:val="fr-FR"/>
              </w:rPr>
              <w:t>Thaïlande</w:t>
            </w:r>
          </w:p>
        </w:tc>
        <w:tc>
          <w:tcPr>
            <w:tcW w:w="2289" w:type="dxa"/>
          </w:tcPr>
          <w:p w14:paraId="1AECD5AC" w14:textId="08154948" w:rsidR="00F30361" w:rsidRPr="00D833AB" w:rsidRDefault="00F30361" w:rsidP="000E58B8">
            <w:pPr>
              <w:suppressAutoHyphens w:val="0"/>
              <w:spacing w:before="40" w:line="220" w:lineRule="exact"/>
              <w:ind w:right="113"/>
            </w:pPr>
            <w:r w:rsidRPr="00D833AB">
              <w:rPr>
                <w:color w:val="000000"/>
                <w:lang w:val="fr-FR"/>
              </w:rPr>
              <w:t xml:space="preserve">Liu </w:t>
            </w:r>
            <w:proofErr w:type="spellStart"/>
            <w:r w:rsidRPr="00D833AB">
              <w:rPr>
                <w:color w:val="000000"/>
                <w:lang w:val="fr-FR"/>
              </w:rPr>
              <w:t>Huawen</w:t>
            </w:r>
            <w:proofErr w:type="spellEnd"/>
            <w:r w:rsidR="000E58B8">
              <w:rPr>
                <w:color w:val="000000"/>
                <w:lang w:val="fr-FR"/>
              </w:rPr>
              <w:br/>
            </w:r>
            <w:r w:rsidRPr="00D833AB">
              <w:rPr>
                <w:color w:val="000000"/>
                <w:lang w:val="fr-FR"/>
              </w:rPr>
              <w:t xml:space="preserve">Todd </w:t>
            </w:r>
            <w:proofErr w:type="spellStart"/>
            <w:r w:rsidRPr="00D833AB">
              <w:rPr>
                <w:color w:val="000000"/>
                <w:lang w:val="fr-FR"/>
              </w:rPr>
              <w:t>Buchwald</w:t>
            </w:r>
            <w:proofErr w:type="spellEnd"/>
          </w:p>
        </w:tc>
        <w:tc>
          <w:tcPr>
            <w:tcW w:w="2737" w:type="dxa"/>
          </w:tcPr>
          <w:p w14:paraId="0ACDDB1D" w14:textId="77777777" w:rsidR="00F30361" w:rsidRPr="00D833AB" w:rsidRDefault="00F30361" w:rsidP="00CB026C">
            <w:pPr>
              <w:suppressAutoHyphens w:val="0"/>
              <w:spacing w:before="40" w:after="120" w:line="220" w:lineRule="exact"/>
              <w:ind w:right="113"/>
            </w:pPr>
            <w:r w:rsidRPr="00D833AB">
              <w:rPr>
                <w:color w:val="000000"/>
                <w:lang w:val="fr-FR"/>
              </w:rPr>
              <w:t>Deuxième rapport périodique (</w:t>
            </w:r>
            <w:hyperlink r:id="rId74" w:history="1">
              <w:r w:rsidRPr="009059DB">
                <w:rPr>
                  <w:rStyle w:val="Lienhypertexte"/>
                  <w:lang w:val="fr-FR"/>
                </w:rPr>
                <w:t>CAT/C/THA/2</w:t>
              </w:r>
            </w:hyperlink>
            <w:r w:rsidRPr="00D833AB">
              <w:rPr>
                <w:color w:val="000000"/>
                <w:lang w:val="fr-FR"/>
              </w:rPr>
              <w:t>)</w:t>
            </w:r>
          </w:p>
        </w:tc>
        <w:tc>
          <w:tcPr>
            <w:tcW w:w="1841" w:type="dxa"/>
          </w:tcPr>
          <w:p w14:paraId="165BA0C9" w14:textId="77777777" w:rsidR="00F30361" w:rsidRPr="00D833AB" w:rsidRDefault="00F30361" w:rsidP="00CB026C">
            <w:pPr>
              <w:suppressAutoHyphens w:val="0"/>
              <w:spacing w:before="40" w:after="120" w:line="220" w:lineRule="exact"/>
              <w:ind w:right="113"/>
              <w:rPr>
                <w:rStyle w:val="Lienhypertexte"/>
              </w:rPr>
            </w:pPr>
            <w:hyperlink r:id="rId75" w:history="1">
              <w:r w:rsidRPr="009059DB">
                <w:rPr>
                  <w:rStyle w:val="Lienhypertexte"/>
                </w:rPr>
                <w:t>CAT/C/THA/CO/2</w:t>
              </w:r>
            </w:hyperlink>
          </w:p>
        </w:tc>
      </w:tr>
    </w:tbl>
    <w:p w14:paraId="669D52CF" w14:textId="77777777" w:rsidR="00F30361" w:rsidRPr="00D833AB" w:rsidRDefault="00F30361" w:rsidP="00F30361">
      <w:pPr>
        <w:pStyle w:val="SingleTxtG"/>
        <w:spacing w:before="240" w:after="240"/>
      </w:pPr>
      <w:r w:rsidRPr="00D833AB">
        <w:rPr>
          <w:lang w:val="fr-FR"/>
        </w:rPr>
        <w:t>31.</w:t>
      </w:r>
      <w:r w:rsidRPr="00D833AB">
        <w:rPr>
          <w:lang w:val="fr-FR"/>
        </w:rPr>
        <w:tab/>
        <w:t>Les rapports examinés par le Comité à sa quatre-vingt-deuxième session et les observations finales correspondantes, dont les cotes sont indiquées ci-après, sont disponibles dans le Système de diffusion électronique des documents de l’ONU :</w:t>
      </w:r>
    </w:p>
    <w:tbl>
      <w:tblPr>
        <w:tblW w:w="8504" w:type="dxa"/>
        <w:tblInd w:w="1134" w:type="dxa"/>
        <w:tblLayout w:type="fixed"/>
        <w:tblCellMar>
          <w:left w:w="0" w:type="dxa"/>
          <w:right w:w="0" w:type="dxa"/>
        </w:tblCellMar>
        <w:tblLook w:val="01E0" w:firstRow="1" w:lastRow="1" w:firstColumn="1" w:lastColumn="1" w:noHBand="0" w:noVBand="0"/>
      </w:tblPr>
      <w:tblGrid>
        <w:gridCol w:w="1637"/>
        <w:gridCol w:w="2289"/>
        <w:gridCol w:w="2737"/>
        <w:gridCol w:w="1841"/>
      </w:tblGrid>
      <w:tr w:rsidR="00F30361" w:rsidRPr="00D833AB" w14:paraId="0480D4BC" w14:textId="77777777" w:rsidTr="0092726A">
        <w:trPr>
          <w:tblHeader/>
        </w:trPr>
        <w:tc>
          <w:tcPr>
            <w:tcW w:w="1637" w:type="dxa"/>
            <w:tcBorders>
              <w:top w:val="single" w:sz="4" w:space="0" w:color="auto"/>
              <w:bottom w:val="single" w:sz="12" w:space="0" w:color="auto"/>
            </w:tcBorders>
            <w:vAlign w:val="bottom"/>
          </w:tcPr>
          <w:p w14:paraId="3C7EBA46"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Partie</w:t>
            </w:r>
          </w:p>
        </w:tc>
        <w:tc>
          <w:tcPr>
            <w:tcW w:w="2289" w:type="dxa"/>
            <w:tcBorders>
              <w:top w:val="single" w:sz="4" w:space="0" w:color="auto"/>
              <w:bottom w:val="single" w:sz="12" w:space="0" w:color="auto"/>
            </w:tcBorders>
            <w:vAlign w:val="bottom"/>
          </w:tcPr>
          <w:p w14:paraId="64BCD88F"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Rapporteurs pour le pays</w:t>
            </w:r>
          </w:p>
        </w:tc>
        <w:tc>
          <w:tcPr>
            <w:tcW w:w="2737" w:type="dxa"/>
            <w:tcBorders>
              <w:top w:val="single" w:sz="4" w:space="0" w:color="auto"/>
              <w:bottom w:val="single" w:sz="12" w:space="0" w:color="auto"/>
            </w:tcBorders>
            <w:vAlign w:val="bottom"/>
          </w:tcPr>
          <w:p w14:paraId="3BCCCA94"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Rapport</w:t>
            </w:r>
          </w:p>
        </w:tc>
        <w:tc>
          <w:tcPr>
            <w:tcW w:w="1841" w:type="dxa"/>
            <w:tcBorders>
              <w:top w:val="single" w:sz="4" w:space="0" w:color="auto"/>
              <w:bottom w:val="single" w:sz="12" w:space="0" w:color="auto"/>
            </w:tcBorders>
            <w:vAlign w:val="bottom"/>
          </w:tcPr>
          <w:p w14:paraId="3A84676F"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Observations finales</w:t>
            </w:r>
          </w:p>
        </w:tc>
      </w:tr>
      <w:tr w:rsidR="00F30361" w:rsidRPr="00D833AB" w14:paraId="68BC83FA" w14:textId="77777777" w:rsidTr="0092726A">
        <w:trPr>
          <w:trHeight w:hRule="exact" w:val="113"/>
          <w:tblHeader/>
        </w:trPr>
        <w:tc>
          <w:tcPr>
            <w:tcW w:w="1637" w:type="dxa"/>
            <w:tcBorders>
              <w:top w:val="single" w:sz="12" w:space="0" w:color="auto"/>
            </w:tcBorders>
          </w:tcPr>
          <w:p w14:paraId="5D6DE7BE" w14:textId="77777777" w:rsidR="00F30361" w:rsidRPr="00D833AB" w:rsidRDefault="00F30361" w:rsidP="00CB026C">
            <w:pPr>
              <w:spacing w:before="40" w:after="120"/>
              <w:ind w:right="113"/>
            </w:pPr>
          </w:p>
        </w:tc>
        <w:tc>
          <w:tcPr>
            <w:tcW w:w="2289" w:type="dxa"/>
            <w:tcBorders>
              <w:top w:val="single" w:sz="12" w:space="0" w:color="auto"/>
            </w:tcBorders>
          </w:tcPr>
          <w:p w14:paraId="5C604DBF" w14:textId="77777777" w:rsidR="00F30361" w:rsidRPr="00D833AB" w:rsidRDefault="00F30361" w:rsidP="00CB026C">
            <w:pPr>
              <w:spacing w:before="40" w:after="120"/>
              <w:ind w:right="113"/>
            </w:pPr>
          </w:p>
        </w:tc>
        <w:tc>
          <w:tcPr>
            <w:tcW w:w="2737" w:type="dxa"/>
            <w:tcBorders>
              <w:top w:val="single" w:sz="12" w:space="0" w:color="auto"/>
            </w:tcBorders>
          </w:tcPr>
          <w:p w14:paraId="75937D89" w14:textId="77777777" w:rsidR="00F30361" w:rsidRPr="00D833AB" w:rsidRDefault="00F30361" w:rsidP="00CB026C">
            <w:pPr>
              <w:spacing w:before="40" w:after="120"/>
              <w:ind w:right="113"/>
            </w:pPr>
          </w:p>
        </w:tc>
        <w:tc>
          <w:tcPr>
            <w:tcW w:w="1841" w:type="dxa"/>
            <w:tcBorders>
              <w:top w:val="single" w:sz="12" w:space="0" w:color="auto"/>
            </w:tcBorders>
          </w:tcPr>
          <w:p w14:paraId="3643F937" w14:textId="77777777" w:rsidR="00F30361" w:rsidRPr="00D833AB" w:rsidRDefault="00F30361" w:rsidP="00CB026C">
            <w:pPr>
              <w:spacing w:before="40" w:after="120"/>
              <w:ind w:right="113"/>
            </w:pPr>
          </w:p>
        </w:tc>
      </w:tr>
      <w:tr w:rsidR="00F30361" w:rsidRPr="00D833AB" w14:paraId="5E30D687" w14:textId="77777777" w:rsidTr="0092726A">
        <w:trPr>
          <w:cantSplit/>
        </w:trPr>
        <w:tc>
          <w:tcPr>
            <w:tcW w:w="1637" w:type="dxa"/>
          </w:tcPr>
          <w:p w14:paraId="231FF539" w14:textId="77777777" w:rsidR="00F30361" w:rsidRPr="00D833AB" w:rsidRDefault="00F30361" w:rsidP="00CB026C">
            <w:pPr>
              <w:spacing w:before="40" w:after="120"/>
              <w:ind w:right="113"/>
            </w:pPr>
            <w:r w:rsidRPr="00D833AB">
              <w:rPr>
                <w:color w:val="000000"/>
                <w:lang w:val="fr-FR"/>
              </w:rPr>
              <w:t>Arménie</w:t>
            </w:r>
          </w:p>
        </w:tc>
        <w:tc>
          <w:tcPr>
            <w:tcW w:w="2289" w:type="dxa"/>
          </w:tcPr>
          <w:p w14:paraId="13C913C7" w14:textId="73BD4AB4" w:rsidR="00F30361" w:rsidRPr="00D833AB" w:rsidRDefault="00F30361" w:rsidP="000E58B8">
            <w:pPr>
              <w:suppressAutoHyphens w:val="0"/>
              <w:spacing w:before="40" w:after="120"/>
              <w:ind w:right="113"/>
              <w:rPr>
                <w:lang w:val="en-US"/>
              </w:rPr>
            </w:pPr>
            <w:r w:rsidRPr="00D833AB">
              <w:rPr>
                <w:color w:val="000000"/>
                <w:lang w:val="en-US"/>
              </w:rPr>
              <w:t>Peter Vedel Kessing</w:t>
            </w:r>
            <w:r w:rsidR="000E58B8">
              <w:rPr>
                <w:color w:val="000000"/>
                <w:lang w:val="en-US"/>
              </w:rPr>
              <w:br/>
            </w:r>
            <w:r w:rsidRPr="00D833AB">
              <w:rPr>
                <w:color w:val="000000"/>
                <w:lang w:val="en-US"/>
              </w:rPr>
              <w:t>Ana Racu</w:t>
            </w:r>
          </w:p>
        </w:tc>
        <w:tc>
          <w:tcPr>
            <w:tcW w:w="2737" w:type="dxa"/>
          </w:tcPr>
          <w:p w14:paraId="24087E9B" w14:textId="77777777" w:rsidR="00F30361" w:rsidRPr="00D833AB" w:rsidRDefault="00F30361" w:rsidP="00CB026C">
            <w:pPr>
              <w:spacing w:before="40" w:after="120"/>
              <w:ind w:right="113"/>
            </w:pPr>
            <w:r w:rsidRPr="00D833AB">
              <w:rPr>
                <w:color w:val="000000"/>
                <w:lang w:val="fr-FR"/>
              </w:rPr>
              <w:t>Cinquième rapport périodique (</w:t>
            </w:r>
            <w:hyperlink r:id="rId76" w:history="1">
              <w:r w:rsidRPr="009059DB">
                <w:rPr>
                  <w:rStyle w:val="Lienhypertexte"/>
                  <w:lang w:val="fr-FR"/>
                </w:rPr>
                <w:t>CAT/C/ARM/5</w:t>
              </w:r>
            </w:hyperlink>
            <w:r w:rsidRPr="00D833AB">
              <w:rPr>
                <w:color w:val="000000"/>
                <w:lang w:val="fr-FR"/>
              </w:rPr>
              <w:t>)</w:t>
            </w:r>
          </w:p>
        </w:tc>
        <w:tc>
          <w:tcPr>
            <w:tcW w:w="1841" w:type="dxa"/>
          </w:tcPr>
          <w:p w14:paraId="74EDB475" w14:textId="77777777" w:rsidR="00F30361" w:rsidRPr="00D833AB" w:rsidRDefault="00F30361" w:rsidP="00CB026C">
            <w:pPr>
              <w:spacing w:before="40" w:after="120"/>
              <w:ind w:right="113"/>
            </w:pPr>
            <w:hyperlink r:id="rId77" w:history="1">
              <w:r w:rsidRPr="009059DB">
                <w:rPr>
                  <w:rStyle w:val="Lienhypertexte"/>
                </w:rPr>
                <w:t>CAT/C/ARM/CO/5</w:t>
              </w:r>
            </w:hyperlink>
          </w:p>
        </w:tc>
      </w:tr>
      <w:tr w:rsidR="00F30361" w:rsidRPr="00D833AB" w14:paraId="4D5E4B2F" w14:textId="77777777" w:rsidTr="0092726A">
        <w:trPr>
          <w:cantSplit/>
        </w:trPr>
        <w:tc>
          <w:tcPr>
            <w:tcW w:w="1637" w:type="dxa"/>
          </w:tcPr>
          <w:p w14:paraId="12A2D3C9" w14:textId="77777777" w:rsidR="00F30361" w:rsidRPr="00D833AB" w:rsidRDefault="00F30361" w:rsidP="00CB026C">
            <w:pPr>
              <w:spacing w:before="40" w:after="120"/>
              <w:ind w:right="113"/>
            </w:pPr>
            <w:r w:rsidRPr="00D833AB">
              <w:rPr>
                <w:color w:val="000000"/>
                <w:lang w:val="fr-FR"/>
              </w:rPr>
              <w:t>France</w:t>
            </w:r>
          </w:p>
        </w:tc>
        <w:tc>
          <w:tcPr>
            <w:tcW w:w="2289" w:type="dxa"/>
          </w:tcPr>
          <w:p w14:paraId="1947F103" w14:textId="3D5042FF" w:rsidR="00F30361" w:rsidRPr="00D833AB" w:rsidRDefault="00F30361" w:rsidP="000E58B8">
            <w:pPr>
              <w:suppressAutoHyphens w:val="0"/>
              <w:spacing w:before="40" w:after="120"/>
              <w:ind w:right="113"/>
            </w:pPr>
            <w:r w:rsidRPr="00D833AB">
              <w:rPr>
                <w:color w:val="000000"/>
                <w:lang w:val="fr-FR"/>
              </w:rPr>
              <w:t xml:space="preserve">Jorge </w:t>
            </w:r>
            <w:proofErr w:type="spellStart"/>
            <w:r w:rsidRPr="00D833AB">
              <w:rPr>
                <w:color w:val="000000"/>
                <w:lang w:val="fr-FR"/>
              </w:rPr>
              <w:t>Contesse</w:t>
            </w:r>
            <w:proofErr w:type="spellEnd"/>
            <w:r w:rsidR="000E58B8">
              <w:rPr>
                <w:color w:val="000000"/>
                <w:lang w:val="fr-FR"/>
              </w:rPr>
              <w:br/>
            </w:r>
            <w:r w:rsidRPr="00D833AB">
              <w:rPr>
                <w:color w:val="000000"/>
                <w:lang w:val="fr-FR"/>
              </w:rPr>
              <w:t xml:space="preserve">Abderrazak </w:t>
            </w:r>
            <w:proofErr w:type="spellStart"/>
            <w:r w:rsidRPr="00D833AB">
              <w:rPr>
                <w:color w:val="000000"/>
                <w:lang w:val="fr-FR"/>
              </w:rPr>
              <w:t>Rouwane</w:t>
            </w:r>
            <w:proofErr w:type="spellEnd"/>
          </w:p>
        </w:tc>
        <w:tc>
          <w:tcPr>
            <w:tcW w:w="2737" w:type="dxa"/>
          </w:tcPr>
          <w:p w14:paraId="77F5AC72" w14:textId="77777777" w:rsidR="00F30361" w:rsidRPr="00D833AB" w:rsidRDefault="00F30361" w:rsidP="00CB026C">
            <w:pPr>
              <w:spacing w:before="40" w:after="120"/>
              <w:ind w:right="113"/>
            </w:pPr>
            <w:r w:rsidRPr="00D833AB">
              <w:rPr>
                <w:color w:val="000000"/>
                <w:lang w:val="fr-FR"/>
              </w:rPr>
              <w:t>Huitième rapport périodique (</w:t>
            </w:r>
            <w:hyperlink r:id="rId78" w:history="1">
              <w:r w:rsidRPr="009059DB">
                <w:rPr>
                  <w:rStyle w:val="Lienhypertexte"/>
                  <w:lang w:val="fr-FR"/>
                </w:rPr>
                <w:t>CAT/C/FRA/8</w:t>
              </w:r>
            </w:hyperlink>
            <w:r w:rsidRPr="00D833AB">
              <w:rPr>
                <w:color w:val="000000"/>
                <w:lang w:val="fr-FR"/>
              </w:rPr>
              <w:t>)</w:t>
            </w:r>
          </w:p>
        </w:tc>
        <w:tc>
          <w:tcPr>
            <w:tcW w:w="1841" w:type="dxa"/>
          </w:tcPr>
          <w:p w14:paraId="26E57FA3" w14:textId="77777777" w:rsidR="00F30361" w:rsidRPr="00D833AB" w:rsidRDefault="00F30361" w:rsidP="00CB026C">
            <w:pPr>
              <w:spacing w:before="40" w:after="120"/>
              <w:ind w:right="113"/>
            </w:pPr>
            <w:hyperlink r:id="rId79" w:history="1">
              <w:r w:rsidRPr="009059DB">
                <w:rPr>
                  <w:rStyle w:val="Lienhypertexte"/>
                </w:rPr>
                <w:t>CAT/C/FRA/CO/8</w:t>
              </w:r>
            </w:hyperlink>
          </w:p>
        </w:tc>
      </w:tr>
      <w:tr w:rsidR="00F30361" w:rsidRPr="00D833AB" w14:paraId="1C1783FB" w14:textId="77777777" w:rsidTr="0092726A">
        <w:trPr>
          <w:cantSplit/>
        </w:trPr>
        <w:tc>
          <w:tcPr>
            <w:tcW w:w="1637" w:type="dxa"/>
          </w:tcPr>
          <w:p w14:paraId="3577220A" w14:textId="77777777" w:rsidR="00F30361" w:rsidRPr="00D833AB" w:rsidRDefault="00F30361" w:rsidP="00CB026C">
            <w:pPr>
              <w:spacing w:before="40" w:after="120"/>
              <w:ind w:right="113"/>
            </w:pPr>
            <w:r w:rsidRPr="00D833AB">
              <w:rPr>
                <w:color w:val="000000"/>
                <w:lang w:val="fr-FR"/>
              </w:rPr>
              <w:t>Maurice</w:t>
            </w:r>
          </w:p>
        </w:tc>
        <w:tc>
          <w:tcPr>
            <w:tcW w:w="2289" w:type="dxa"/>
          </w:tcPr>
          <w:p w14:paraId="5E992A55" w14:textId="34B85142" w:rsidR="00F30361" w:rsidRPr="00D833AB" w:rsidRDefault="00F30361" w:rsidP="000E58B8">
            <w:pPr>
              <w:suppressAutoHyphens w:val="0"/>
              <w:spacing w:before="40" w:after="120"/>
              <w:ind w:right="113"/>
            </w:pPr>
            <w:r w:rsidRPr="00D833AB">
              <w:rPr>
                <w:color w:val="000000"/>
                <w:lang w:val="fr-FR"/>
              </w:rPr>
              <w:t>Maeda Naoko</w:t>
            </w:r>
            <w:r w:rsidR="000E58B8">
              <w:rPr>
                <w:color w:val="000000"/>
                <w:lang w:val="fr-FR"/>
              </w:rPr>
              <w:br/>
            </w:r>
            <w:proofErr w:type="spellStart"/>
            <w:r w:rsidRPr="00D833AB">
              <w:rPr>
                <w:color w:val="000000"/>
                <w:lang w:val="fr-FR"/>
              </w:rPr>
              <w:t>Bakhtiyar</w:t>
            </w:r>
            <w:proofErr w:type="spellEnd"/>
            <w:r w:rsidRPr="00D833AB">
              <w:rPr>
                <w:color w:val="000000"/>
                <w:lang w:val="fr-FR"/>
              </w:rPr>
              <w:t xml:space="preserve"> </w:t>
            </w:r>
            <w:proofErr w:type="spellStart"/>
            <w:r w:rsidRPr="00D833AB">
              <w:rPr>
                <w:color w:val="000000"/>
                <w:lang w:val="fr-FR"/>
              </w:rPr>
              <w:t>Tuzmukhamedov</w:t>
            </w:r>
            <w:proofErr w:type="spellEnd"/>
          </w:p>
        </w:tc>
        <w:tc>
          <w:tcPr>
            <w:tcW w:w="2737" w:type="dxa"/>
          </w:tcPr>
          <w:p w14:paraId="34F9EA1A" w14:textId="77777777" w:rsidR="00F30361" w:rsidRPr="00D833AB" w:rsidRDefault="00F30361" w:rsidP="00CB026C">
            <w:pPr>
              <w:spacing w:before="40" w:after="120"/>
              <w:ind w:right="113"/>
            </w:pPr>
            <w:r w:rsidRPr="00D833AB">
              <w:rPr>
                <w:color w:val="000000"/>
                <w:lang w:val="fr-FR"/>
              </w:rPr>
              <w:t>Cinquième rapport périodique (</w:t>
            </w:r>
            <w:hyperlink r:id="rId80" w:history="1">
              <w:r w:rsidRPr="009059DB">
                <w:rPr>
                  <w:rStyle w:val="Lienhypertexte"/>
                  <w:lang w:val="fr-FR"/>
                </w:rPr>
                <w:t>CAT/C/MUS/5</w:t>
              </w:r>
            </w:hyperlink>
            <w:r w:rsidRPr="00D833AB">
              <w:rPr>
                <w:color w:val="000000"/>
                <w:lang w:val="fr-FR"/>
              </w:rPr>
              <w:t>)</w:t>
            </w:r>
          </w:p>
        </w:tc>
        <w:tc>
          <w:tcPr>
            <w:tcW w:w="1841" w:type="dxa"/>
          </w:tcPr>
          <w:p w14:paraId="7296BE82" w14:textId="77777777" w:rsidR="00F30361" w:rsidRPr="00D833AB" w:rsidRDefault="00F30361" w:rsidP="00CB026C">
            <w:pPr>
              <w:spacing w:before="40" w:after="120"/>
              <w:ind w:right="113"/>
            </w:pPr>
            <w:hyperlink r:id="rId81" w:history="1">
              <w:r w:rsidRPr="009059DB">
                <w:rPr>
                  <w:rStyle w:val="Lienhypertexte"/>
                </w:rPr>
                <w:t>CAT/C/MUS/CO/5</w:t>
              </w:r>
            </w:hyperlink>
          </w:p>
        </w:tc>
      </w:tr>
      <w:tr w:rsidR="00F30361" w:rsidRPr="00D833AB" w14:paraId="0A9B93E4" w14:textId="77777777" w:rsidTr="0092726A">
        <w:trPr>
          <w:cantSplit/>
        </w:trPr>
        <w:tc>
          <w:tcPr>
            <w:tcW w:w="1637" w:type="dxa"/>
          </w:tcPr>
          <w:p w14:paraId="4D2EE64F" w14:textId="77777777" w:rsidR="00F30361" w:rsidRPr="00D833AB" w:rsidRDefault="00F30361" w:rsidP="00CB026C">
            <w:pPr>
              <w:spacing w:before="40" w:after="120"/>
              <w:ind w:right="113"/>
            </w:pPr>
            <w:r w:rsidRPr="00D833AB">
              <w:rPr>
                <w:color w:val="000000"/>
                <w:lang w:val="fr-FR"/>
              </w:rPr>
              <w:lastRenderedPageBreak/>
              <w:t>Monaco</w:t>
            </w:r>
          </w:p>
        </w:tc>
        <w:tc>
          <w:tcPr>
            <w:tcW w:w="2289" w:type="dxa"/>
          </w:tcPr>
          <w:p w14:paraId="73D3C388" w14:textId="3A6BC0D0" w:rsidR="00F30361" w:rsidRPr="00D833AB" w:rsidRDefault="00F30361" w:rsidP="000E58B8">
            <w:pPr>
              <w:suppressAutoHyphens w:val="0"/>
              <w:spacing w:before="40" w:after="120"/>
              <w:ind w:right="113"/>
            </w:pPr>
            <w:r w:rsidRPr="00D833AB">
              <w:rPr>
                <w:color w:val="000000"/>
                <w:lang w:val="fr-FR"/>
              </w:rPr>
              <w:t xml:space="preserve">Abderrazak </w:t>
            </w:r>
            <w:proofErr w:type="spellStart"/>
            <w:r w:rsidRPr="00D833AB">
              <w:rPr>
                <w:color w:val="000000"/>
                <w:lang w:val="fr-FR"/>
              </w:rPr>
              <w:t>Rouwane</w:t>
            </w:r>
            <w:proofErr w:type="spellEnd"/>
            <w:r w:rsidR="000E58B8">
              <w:rPr>
                <w:color w:val="000000"/>
                <w:lang w:val="fr-FR"/>
              </w:rPr>
              <w:br/>
            </w:r>
            <w:r w:rsidRPr="00D833AB">
              <w:rPr>
                <w:color w:val="000000"/>
                <w:lang w:val="fr-FR"/>
              </w:rPr>
              <w:t xml:space="preserve">Erdogan </w:t>
            </w:r>
            <w:proofErr w:type="spellStart"/>
            <w:r w:rsidRPr="00D833AB">
              <w:rPr>
                <w:color w:val="000000"/>
                <w:lang w:val="fr-FR"/>
              </w:rPr>
              <w:t>Iscan</w:t>
            </w:r>
            <w:proofErr w:type="spellEnd"/>
          </w:p>
        </w:tc>
        <w:tc>
          <w:tcPr>
            <w:tcW w:w="2737" w:type="dxa"/>
          </w:tcPr>
          <w:p w14:paraId="1E012641" w14:textId="77777777" w:rsidR="00F30361" w:rsidRPr="00D833AB" w:rsidRDefault="00F30361" w:rsidP="00CB026C">
            <w:pPr>
              <w:spacing w:before="40" w:after="120"/>
              <w:ind w:right="113"/>
            </w:pPr>
            <w:r w:rsidRPr="00D833AB">
              <w:rPr>
                <w:color w:val="000000"/>
                <w:lang w:val="fr-FR"/>
              </w:rPr>
              <w:t>Septième rapport périodique (</w:t>
            </w:r>
            <w:hyperlink r:id="rId82" w:history="1">
              <w:r w:rsidRPr="009059DB">
                <w:rPr>
                  <w:rStyle w:val="Lienhypertexte"/>
                  <w:lang w:val="fr-FR"/>
                </w:rPr>
                <w:t>CAT/C/MCO/7</w:t>
              </w:r>
            </w:hyperlink>
            <w:r w:rsidRPr="00D833AB">
              <w:rPr>
                <w:color w:val="000000"/>
                <w:lang w:val="fr-FR"/>
              </w:rPr>
              <w:t>)</w:t>
            </w:r>
          </w:p>
        </w:tc>
        <w:tc>
          <w:tcPr>
            <w:tcW w:w="1841" w:type="dxa"/>
          </w:tcPr>
          <w:p w14:paraId="2D254A2E" w14:textId="77777777" w:rsidR="00F30361" w:rsidRPr="00D833AB" w:rsidRDefault="00F30361" w:rsidP="00CB026C">
            <w:pPr>
              <w:spacing w:before="40" w:after="120"/>
              <w:ind w:right="113"/>
            </w:pPr>
            <w:hyperlink r:id="rId83" w:history="1">
              <w:r w:rsidRPr="009059DB">
                <w:rPr>
                  <w:rStyle w:val="Lienhypertexte"/>
                </w:rPr>
                <w:t>CAT/C/MCO/CO/7</w:t>
              </w:r>
            </w:hyperlink>
          </w:p>
        </w:tc>
      </w:tr>
      <w:tr w:rsidR="00F30361" w:rsidRPr="00D833AB" w14:paraId="2C066BEA" w14:textId="77777777" w:rsidTr="0092726A">
        <w:trPr>
          <w:cantSplit/>
        </w:trPr>
        <w:tc>
          <w:tcPr>
            <w:tcW w:w="1637" w:type="dxa"/>
          </w:tcPr>
          <w:p w14:paraId="0D8548C1" w14:textId="77777777" w:rsidR="00F30361" w:rsidRPr="00D833AB" w:rsidRDefault="00F30361" w:rsidP="00CB026C">
            <w:pPr>
              <w:spacing w:before="40" w:after="120"/>
              <w:ind w:right="113"/>
            </w:pPr>
            <w:r w:rsidRPr="00D833AB">
              <w:rPr>
                <w:color w:val="000000"/>
                <w:lang w:val="fr-FR"/>
              </w:rPr>
              <w:t>Turkménistan</w:t>
            </w:r>
          </w:p>
        </w:tc>
        <w:tc>
          <w:tcPr>
            <w:tcW w:w="2289" w:type="dxa"/>
          </w:tcPr>
          <w:p w14:paraId="637B9416" w14:textId="2E45F130" w:rsidR="00F30361" w:rsidRPr="00D833AB" w:rsidRDefault="00F30361" w:rsidP="000E58B8">
            <w:pPr>
              <w:suppressAutoHyphens w:val="0"/>
              <w:spacing w:before="40" w:after="120"/>
              <w:ind w:right="113"/>
            </w:pPr>
            <w:r w:rsidRPr="00D833AB">
              <w:rPr>
                <w:color w:val="000000"/>
                <w:lang w:val="fr-FR"/>
              </w:rPr>
              <w:t xml:space="preserve">Todd </w:t>
            </w:r>
            <w:proofErr w:type="spellStart"/>
            <w:r w:rsidRPr="00D833AB">
              <w:rPr>
                <w:color w:val="000000"/>
                <w:lang w:val="fr-FR"/>
              </w:rPr>
              <w:t>Buchwald</w:t>
            </w:r>
            <w:proofErr w:type="spellEnd"/>
            <w:r w:rsidR="000E58B8">
              <w:rPr>
                <w:color w:val="000000"/>
                <w:lang w:val="fr-FR"/>
              </w:rPr>
              <w:br/>
            </w:r>
            <w:r w:rsidRPr="00D833AB">
              <w:rPr>
                <w:color w:val="000000"/>
                <w:lang w:val="fr-FR"/>
              </w:rPr>
              <w:t xml:space="preserve">Liu </w:t>
            </w:r>
            <w:proofErr w:type="spellStart"/>
            <w:r w:rsidRPr="00D833AB">
              <w:rPr>
                <w:color w:val="000000"/>
                <w:lang w:val="fr-FR"/>
              </w:rPr>
              <w:t>Huawen</w:t>
            </w:r>
            <w:proofErr w:type="spellEnd"/>
          </w:p>
        </w:tc>
        <w:tc>
          <w:tcPr>
            <w:tcW w:w="2737" w:type="dxa"/>
          </w:tcPr>
          <w:p w14:paraId="16ECEF74" w14:textId="77777777" w:rsidR="00F30361" w:rsidRPr="00D833AB" w:rsidRDefault="00F30361" w:rsidP="00CB026C">
            <w:pPr>
              <w:spacing w:before="40" w:after="120"/>
              <w:ind w:right="113"/>
            </w:pPr>
            <w:r w:rsidRPr="00D833AB">
              <w:rPr>
                <w:color w:val="000000"/>
                <w:lang w:val="fr-FR"/>
              </w:rPr>
              <w:t>Troisième rapport périodique (</w:t>
            </w:r>
            <w:hyperlink r:id="rId84" w:history="1">
              <w:r w:rsidRPr="009059DB">
                <w:rPr>
                  <w:rStyle w:val="Lienhypertexte"/>
                  <w:lang w:val="fr-FR"/>
                </w:rPr>
                <w:t>CAT/C/TKM/3</w:t>
              </w:r>
            </w:hyperlink>
            <w:r w:rsidRPr="00D833AB">
              <w:rPr>
                <w:color w:val="000000"/>
                <w:lang w:val="fr-FR"/>
              </w:rPr>
              <w:t>)</w:t>
            </w:r>
          </w:p>
        </w:tc>
        <w:tc>
          <w:tcPr>
            <w:tcW w:w="1841" w:type="dxa"/>
          </w:tcPr>
          <w:p w14:paraId="1AAAF85B" w14:textId="77777777" w:rsidR="00F30361" w:rsidRPr="00D833AB" w:rsidRDefault="00F30361" w:rsidP="00CB026C">
            <w:pPr>
              <w:spacing w:before="40" w:after="120"/>
              <w:ind w:right="113"/>
            </w:pPr>
            <w:hyperlink r:id="rId85" w:history="1">
              <w:r w:rsidRPr="009059DB">
                <w:rPr>
                  <w:rStyle w:val="Lienhypertexte"/>
                </w:rPr>
                <w:t>CAT/C/TKM/CO/3</w:t>
              </w:r>
            </w:hyperlink>
          </w:p>
        </w:tc>
      </w:tr>
      <w:tr w:rsidR="00F30361" w:rsidRPr="00D833AB" w14:paraId="7799DE37" w14:textId="77777777" w:rsidTr="0092726A">
        <w:trPr>
          <w:cantSplit/>
        </w:trPr>
        <w:tc>
          <w:tcPr>
            <w:tcW w:w="1637" w:type="dxa"/>
            <w:tcBorders>
              <w:bottom w:val="single" w:sz="12" w:space="0" w:color="auto"/>
            </w:tcBorders>
          </w:tcPr>
          <w:p w14:paraId="0D66B3F9" w14:textId="77777777" w:rsidR="00F30361" w:rsidRPr="00D833AB" w:rsidRDefault="00F30361" w:rsidP="00CB026C">
            <w:pPr>
              <w:spacing w:before="40" w:after="120"/>
              <w:ind w:right="113"/>
            </w:pPr>
            <w:r w:rsidRPr="00D833AB">
              <w:rPr>
                <w:color w:val="000000"/>
                <w:lang w:val="fr-FR"/>
              </w:rPr>
              <w:t>Ukraine</w:t>
            </w:r>
          </w:p>
        </w:tc>
        <w:tc>
          <w:tcPr>
            <w:tcW w:w="2289" w:type="dxa"/>
            <w:tcBorders>
              <w:bottom w:val="single" w:sz="12" w:space="0" w:color="auto"/>
            </w:tcBorders>
          </w:tcPr>
          <w:p w14:paraId="4C24752E" w14:textId="2D74C008" w:rsidR="00F30361" w:rsidRPr="00D833AB" w:rsidRDefault="00F30361" w:rsidP="000E58B8">
            <w:pPr>
              <w:suppressAutoHyphens w:val="0"/>
              <w:spacing w:before="40" w:after="120"/>
              <w:ind w:right="113"/>
              <w:rPr>
                <w:lang w:val="en-US"/>
              </w:rPr>
            </w:pPr>
            <w:r w:rsidRPr="00D833AB">
              <w:rPr>
                <w:color w:val="000000"/>
                <w:lang w:val="en-US"/>
              </w:rPr>
              <w:t>Claude Heller</w:t>
            </w:r>
            <w:r w:rsidR="000E58B8">
              <w:rPr>
                <w:color w:val="000000"/>
                <w:lang w:val="en-US"/>
              </w:rPr>
              <w:br/>
            </w:r>
            <w:r w:rsidRPr="00D833AB">
              <w:rPr>
                <w:color w:val="000000"/>
                <w:lang w:val="en-US"/>
              </w:rPr>
              <w:t>Peter Vedel Kessing</w:t>
            </w:r>
          </w:p>
        </w:tc>
        <w:tc>
          <w:tcPr>
            <w:tcW w:w="2737" w:type="dxa"/>
            <w:tcBorders>
              <w:bottom w:val="single" w:sz="12" w:space="0" w:color="auto"/>
            </w:tcBorders>
          </w:tcPr>
          <w:p w14:paraId="2DB039A2" w14:textId="77777777" w:rsidR="00F30361" w:rsidRPr="00D833AB" w:rsidRDefault="00F30361" w:rsidP="00CB026C">
            <w:pPr>
              <w:spacing w:before="40" w:after="120"/>
              <w:ind w:right="113"/>
            </w:pPr>
            <w:r w:rsidRPr="00D833AB">
              <w:rPr>
                <w:color w:val="000000"/>
                <w:lang w:val="fr-FR"/>
              </w:rPr>
              <w:t>Septième rapport périodique (</w:t>
            </w:r>
            <w:hyperlink r:id="rId86" w:history="1">
              <w:r w:rsidRPr="009059DB">
                <w:rPr>
                  <w:rStyle w:val="Lienhypertexte"/>
                  <w:lang w:val="fr-FR"/>
                </w:rPr>
                <w:t>CAT/C/UKR/7</w:t>
              </w:r>
            </w:hyperlink>
            <w:r w:rsidRPr="00D833AB">
              <w:rPr>
                <w:color w:val="000000"/>
                <w:lang w:val="fr-FR"/>
              </w:rPr>
              <w:t>)</w:t>
            </w:r>
          </w:p>
        </w:tc>
        <w:tc>
          <w:tcPr>
            <w:tcW w:w="1841" w:type="dxa"/>
            <w:tcBorders>
              <w:bottom w:val="single" w:sz="12" w:space="0" w:color="auto"/>
            </w:tcBorders>
          </w:tcPr>
          <w:p w14:paraId="5C9FC01C" w14:textId="77777777" w:rsidR="00F30361" w:rsidRPr="00D833AB" w:rsidRDefault="00F30361" w:rsidP="00CB026C">
            <w:pPr>
              <w:spacing w:before="40" w:after="120"/>
              <w:ind w:right="113"/>
            </w:pPr>
            <w:hyperlink r:id="rId87" w:history="1">
              <w:r w:rsidRPr="009059DB">
                <w:rPr>
                  <w:rStyle w:val="Lienhypertexte"/>
                </w:rPr>
                <w:t>CAT/C/UKR/CO/7</w:t>
              </w:r>
            </w:hyperlink>
          </w:p>
        </w:tc>
      </w:tr>
    </w:tbl>
    <w:p w14:paraId="64EEE155" w14:textId="77777777" w:rsidR="00F30361" w:rsidRPr="00D833AB" w:rsidRDefault="00F30361" w:rsidP="00F30361">
      <w:pPr>
        <w:pStyle w:val="SingleTxtG"/>
        <w:spacing w:before="240"/>
        <w:rPr>
          <w:b/>
        </w:rPr>
      </w:pPr>
      <w:bookmarkStart w:id="43" w:name="_Toc138756985"/>
      <w:r w:rsidRPr="00D833AB">
        <w:rPr>
          <w:lang w:val="fr-FR"/>
        </w:rPr>
        <w:t>32.</w:t>
      </w:r>
      <w:r w:rsidRPr="00D833AB">
        <w:rPr>
          <w:lang w:val="fr-FR"/>
        </w:rPr>
        <w:tab/>
        <w:t>Au 2</w:t>
      </w:r>
      <w:r>
        <w:rPr>
          <w:lang w:val="fr-FR"/>
        </w:rPr>
        <w:t> </w:t>
      </w:r>
      <w:r w:rsidRPr="00D833AB">
        <w:rPr>
          <w:lang w:val="fr-FR"/>
        </w:rPr>
        <w:t xml:space="preserve">mai 2025, </w:t>
      </w:r>
      <w:r>
        <w:rPr>
          <w:lang w:val="fr-FR"/>
        </w:rPr>
        <w:t>47 </w:t>
      </w:r>
      <w:r w:rsidRPr="00D833AB">
        <w:rPr>
          <w:lang w:val="fr-FR"/>
        </w:rPr>
        <w:t xml:space="preserve">rapports initiaux ou périodiques d’États </w:t>
      </w:r>
      <w:r>
        <w:rPr>
          <w:lang w:val="fr-FR"/>
        </w:rPr>
        <w:t>P</w:t>
      </w:r>
      <w:r w:rsidRPr="00D833AB">
        <w:rPr>
          <w:lang w:val="fr-FR"/>
        </w:rPr>
        <w:t xml:space="preserve">arties étaient en attente d’examen. La pandémie de maladie à coronavirus (COVID-19) a encore accru le retard accumulé par le Comité dans l’examen des rapports initiaux et périodiques des États </w:t>
      </w:r>
      <w:r>
        <w:rPr>
          <w:lang w:val="fr-FR"/>
        </w:rPr>
        <w:t>P</w:t>
      </w:r>
      <w:r w:rsidRPr="00D833AB">
        <w:rPr>
          <w:lang w:val="fr-FR"/>
        </w:rPr>
        <w:t>arties, et les conséquences continuent de peser sur les travaux du Comité. Ses ressources actuelles permettent au Comité d’examiner la situation dans 16</w:t>
      </w:r>
      <w:r>
        <w:rPr>
          <w:lang w:val="fr-FR"/>
        </w:rPr>
        <w:t> </w:t>
      </w:r>
      <w:r w:rsidRPr="00D833AB">
        <w:rPr>
          <w:lang w:val="fr-FR"/>
        </w:rPr>
        <w:t>pays par an.</w:t>
      </w:r>
    </w:p>
    <w:p w14:paraId="3B4775BC" w14:textId="77777777" w:rsidR="00F30361" w:rsidRPr="00D833AB" w:rsidRDefault="00F30361" w:rsidP="00F30361">
      <w:pPr>
        <w:pStyle w:val="HChG"/>
      </w:pPr>
      <w:r w:rsidRPr="00D833AB">
        <w:rPr>
          <w:lang w:val="fr-FR"/>
        </w:rPr>
        <w:tab/>
        <w:t>IV.</w:t>
      </w:r>
      <w:r w:rsidRPr="00D833AB">
        <w:rPr>
          <w:lang w:val="fr-FR"/>
        </w:rPr>
        <w:tab/>
        <w:t xml:space="preserve">Suivi des observations finales relatives aux rapports </w:t>
      </w:r>
      <w:r w:rsidRPr="00D833AB">
        <w:rPr>
          <w:lang w:val="fr-FR"/>
        </w:rPr>
        <w:br/>
        <w:t xml:space="preserve">des États </w:t>
      </w:r>
      <w:r>
        <w:rPr>
          <w:lang w:val="fr-FR"/>
        </w:rPr>
        <w:t>P</w:t>
      </w:r>
      <w:r w:rsidRPr="00D833AB">
        <w:rPr>
          <w:lang w:val="fr-FR"/>
        </w:rPr>
        <w:t>arties</w:t>
      </w:r>
      <w:bookmarkStart w:id="44" w:name="_Toc191367663"/>
      <w:bookmarkEnd w:id="44"/>
      <w:bookmarkEnd w:id="43"/>
    </w:p>
    <w:p w14:paraId="3F7C90CD" w14:textId="77777777" w:rsidR="00F30361" w:rsidRPr="00D833AB" w:rsidRDefault="00F30361" w:rsidP="00F30361">
      <w:pPr>
        <w:pStyle w:val="SingleTxtG"/>
      </w:pPr>
      <w:r w:rsidRPr="00D833AB">
        <w:rPr>
          <w:lang w:val="fr-FR"/>
        </w:rPr>
        <w:t>33.</w:t>
      </w:r>
      <w:r w:rsidRPr="00D833AB">
        <w:rPr>
          <w:lang w:val="fr-FR"/>
        </w:rPr>
        <w:tab/>
        <w:t>M. </w:t>
      </w:r>
      <w:proofErr w:type="spellStart"/>
      <w:r w:rsidRPr="00D833AB">
        <w:rPr>
          <w:lang w:val="fr-FR"/>
        </w:rPr>
        <w:t>Tuzmukhamedov</w:t>
      </w:r>
      <w:proofErr w:type="spellEnd"/>
      <w:r w:rsidRPr="00D833AB">
        <w:rPr>
          <w:lang w:val="fr-FR"/>
        </w:rPr>
        <w:t xml:space="preserve"> est resté le Rapporteur chargé du suivi des observations finales pendant la période considérée</w:t>
      </w:r>
      <w:r w:rsidRPr="00C65C7E">
        <w:rPr>
          <w:rStyle w:val="Appelnotedebasdep"/>
        </w:rPr>
        <w:footnoteReference w:id="10"/>
      </w:r>
      <w:r w:rsidRPr="00D833AB">
        <w:rPr>
          <w:lang w:val="fr-FR"/>
        </w:rPr>
        <w:t xml:space="preserve">. Entre mai 2003 et la fin de la période considérée, le Comité a examiné </w:t>
      </w:r>
      <w:r>
        <w:rPr>
          <w:lang w:val="fr-FR"/>
        </w:rPr>
        <w:t>344 </w:t>
      </w:r>
      <w:r w:rsidRPr="00D833AB">
        <w:rPr>
          <w:lang w:val="fr-FR"/>
        </w:rPr>
        <w:t xml:space="preserve">rapports d’États </w:t>
      </w:r>
      <w:r>
        <w:rPr>
          <w:lang w:val="fr-FR"/>
        </w:rPr>
        <w:t>P</w:t>
      </w:r>
      <w:r w:rsidRPr="00D833AB">
        <w:rPr>
          <w:lang w:val="fr-FR"/>
        </w:rPr>
        <w:t>arties pour lesquels il a retenu des recommandations aux fins du suivi. Au 2</w:t>
      </w:r>
      <w:r>
        <w:rPr>
          <w:lang w:val="fr-FR"/>
        </w:rPr>
        <w:t> </w:t>
      </w:r>
      <w:r w:rsidRPr="00D833AB">
        <w:rPr>
          <w:lang w:val="fr-FR"/>
        </w:rPr>
        <w:t xml:space="preserve">mai 2025, il avait reçu </w:t>
      </w:r>
      <w:r>
        <w:rPr>
          <w:lang w:val="fr-FR"/>
        </w:rPr>
        <w:t>229 </w:t>
      </w:r>
      <w:r w:rsidRPr="00D833AB">
        <w:rPr>
          <w:lang w:val="fr-FR"/>
        </w:rPr>
        <w:t xml:space="preserve">rapports de suivi, ce qui représente un taux de réponse de </w:t>
      </w:r>
      <w:r>
        <w:rPr>
          <w:lang w:val="fr-FR"/>
        </w:rPr>
        <w:t>66,6 </w:t>
      </w:r>
      <w:r w:rsidRPr="00D833AB">
        <w:rPr>
          <w:lang w:val="fr-FR"/>
        </w:rPr>
        <w:t>%. On trouvera sur la page Web du Comité un tableau récapitulatif de l’état d’avancement de la procédure de suivi</w:t>
      </w:r>
      <w:r w:rsidRPr="00C65C7E">
        <w:rPr>
          <w:rStyle w:val="Appelnotedebasdep"/>
        </w:rPr>
        <w:footnoteReference w:id="11"/>
      </w:r>
      <w:r w:rsidRPr="00D833AB">
        <w:rPr>
          <w:lang w:val="fr-FR"/>
        </w:rPr>
        <w:t xml:space="preserve">. On y trouvera aussi d’autres informations, notamment les renseignements reçus des États </w:t>
      </w:r>
      <w:r>
        <w:rPr>
          <w:lang w:val="fr-FR"/>
        </w:rPr>
        <w:t>P</w:t>
      </w:r>
      <w:r w:rsidRPr="00D833AB">
        <w:rPr>
          <w:lang w:val="fr-FR"/>
        </w:rPr>
        <w:t xml:space="preserve">arties, les lettres envoyées par le Rapporteur chargé du suivi des observations finales, les réponses des États </w:t>
      </w:r>
      <w:r>
        <w:rPr>
          <w:lang w:val="fr-FR"/>
        </w:rPr>
        <w:t>P</w:t>
      </w:r>
      <w:r w:rsidRPr="00D833AB">
        <w:rPr>
          <w:lang w:val="fr-FR"/>
        </w:rPr>
        <w:t>arties</w:t>
      </w:r>
      <w:r>
        <w:rPr>
          <w:lang w:val="fr-FR"/>
        </w:rPr>
        <w:t xml:space="preserve"> et</w:t>
      </w:r>
      <w:r w:rsidRPr="00D833AB">
        <w:rPr>
          <w:lang w:val="fr-FR"/>
        </w:rPr>
        <w:t xml:space="preserve"> les rapports reçus des institutions nationales des droits de l’homme, des ONG et des autres acteurs de la société civile.</w:t>
      </w:r>
      <w:bookmarkStart w:id="45" w:name="_Hlk168655824"/>
      <w:bookmarkEnd w:id="45"/>
    </w:p>
    <w:p w14:paraId="28CBEAB5" w14:textId="02A3C51B" w:rsidR="00F30361" w:rsidRPr="00D833AB" w:rsidRDefault="00F30361" w:rsidP="00F30361">
      <w:pPr>
        <w:pStyle w:val="SingleTxtG"/>
      </w:pPr>
      <w:r w:rsidRPr="00D833AB">
        <w:rPr>
          <w:lang w:val="fr-FR"/>
        </w:rPr>
        <w:t>34.</w:t>
      </w:r>
      <w:r w:rsidRPr="00D833AB">
        <w:rPr>
          <w:lang w:val="fr-FR"/>
        </w:rPr>
        <w:tab/>
        <w:t>Au 2 mai 2025, les États ci-après n’avaient pas encore communiqué de renseignements au titre du suivi, alors que le délai était échu</w:t>
      </w:r>
      <w:r w:rsidRPr="00C65C7E">
        <w:rPr>
          <w:rStyle w:val="Appelnotedebasdep"/>
        </w:rPr>
        <w:footnoteReference w:id="12"/>
      </w:r>
      <w:r w:rsidRPr="00D833AB">
        <w:rPr>
          <w:lang w:val="fr-FR"/>
        </w:rPr>
        <w:t> : Bangladesh (soixante</w:t>
      </w:r>
      <w:r w:rsidR="00916CA6">
        <w:rPr>
          <w:lang w:val="fr-FR"/>
        </w:rPr>
        <w:noBreakHyphen/>
      </w:r>
      <w:r w:rsidRPr="00D833AB">
        <w:rPr>
          <w:lang w:val="fr-FR"/>
        </w:rPr>
        <w:t>septième session), Burundi (soixante-dix-huitième session), Cabo</w:t>
      </w:r>
      <w:r w:rsidR="00916CA6">
        <w:rPr>
          <w:lang w:val="fr-FR"/>
        </w:rPr>
        <w:t> </w:t>
      </w:r>
      <w:r w:rsidRPr="00D833AB">
        <w:rPr>
          <w:lang w:val="fr-FR"/>
        </w:rPr>
        <w:t>Verde (cinquante-neuvième session), Congo (cinquante-quatrième session), Djibouti (quarante</w:t>
      </w:r>
      <w:r w:rsidR="00DC2FD7">
        <w:rPr>
          <w:lang w:val="fr-FR"/>
        </w:rPr>
        <w:noBreakHyphen/>
      </w:r>
      <w:r w:rsidRPr="00D833AB">
        <w:rPr>
          <w:lang w:val="fr-FR"/>
        </w:rPr>
        <w:t>septième session), Émirats arabes unis (soixante-quatorzième session), Espagne (soixante-dix-septième session), Éthiopie (soixante-seizième session), Guinée (cinquante</w:t>
      </w:r>
      <w:r w:rsidR="00DC2FD7">
        <w:rPr>
          <w:lang w:val="fr-FR"/>
        </w:rPr>
        <w:noBreakHyphen/>
      </w:r>
      <w:r w:rsidRPr="00D833AB">
        <w:rPr>
          <w:lang w:val="fr-FR"/>
        </w:rPr>
        <w:t>deuxième session), Kiribati (soixante-dix-huitième session), Madagascar (quarante-septième session), Malawi (soixante-quinzième session), Mozambique (cinquante et unième session), Nicaragua (soixante-quatorzième session), Ouganda (soixante-quinzième session), République arabe syrienne (quarante-huitième session), Roumanie (soixante</w:t>
      </w:r>
      <w:r w:rsidRPr="00D833AB">
        <w:rPr>
          <w:lang w:val="fr-FR"/>
        </w:rPr>
        <w:noBreakHyphen/>
        <w:t>dix</w:t>
      </w:r>
      <w:r w:rsidRPr="00D833AB">
        <w:rPr>
          <w:lang w:val="fr-FR"/>
        </w:rPr>
        <w:noBreakHyphen/>
        <w:t>septième session), Rwanda (soixante-deuxième session), Saint-Siège (cinquante-deuxième session), Seychelles (soixante-quatrième session), Sierra</w:t>
      </w:r>
      <w:r w:rsidR="00DC2FD7">
        <w:rPr>
          <w:lang w:val="fr-FR"/>
        </w:rPr>
        <w:t> </w:t>
      </w:r>
      <w:r w:rsidRPr="00D833AB">
        <w:rPr>
          <w:lang w:val="fr-FR"/>
        </w:rPr>
        <w:t>Leone (cinquante-deuxième session), Sri Lanka (cinquante-neuvième session) et Tchad (soixante</w:t>
      </w:r>
      <w:r w:rsidR="00DC2FD7">
        <w:rPr>
          <w:lang w:val="fr-FR"/>
        </w:rPr>
        <w:noBreakHyphen/>
      </w:r>
      <w:r w:rsidRPr="00D833AB">
        <w:rPr>
          <w:lang w:val="fr-FR"/>
        </w:rPr>
        <w:t>quinzième session).</w:t>
      </w:r>
    </w:p>
    <w:p w14:paraId="31F7DA40" w14:textId="77777777" w:rsidR="00F30361" w:rsidRPr="00D833AB" w:rsidRDefault="00F30361" w:rsidP="00F30361">
      <w:pPr>
        <w:pStyle w:val="SingleTxtG"/>
      </w:pPr>
      <w:r w:rsidRPr="00D833AB">
        <w:rPr>
          <w:lang w:val="fr-FR"/>
        </w:rPr>
        <w:t>35.</w:t>
      </w:r>
      <w:r w:rsidRPr="00D833AB">
        <w:rPr>
          <w:lang w:val="fr-FR"/>
        </w:rPr>
        <w:tab/>
        <w:t xml:space="preserve">Conformément à la procédure, le Rapporteur chargé du suivi des observations finales envoie un rappel à chacun des États </w:t>
      </w:r>
      <w:r>
        <w:rPr>
          <w:lang w:val="fr-FR"/>
        </w:rPr>
        <w:t>P</w:t>
      </w:r>
      <w:r w:rsidRPr="00D833AB">
        <w:rPr>
          <w:lang w:val="fr-FR"/>
        </w:rPr>
        <w:t xml:space="preserve">arties qui n’ont pas fourni les renseignements demandés </w:t>
      </w:r>
      <w:r w:rsidRPr="00D833AB">
        <w:rPr>
          <w:lang w:val="fr-FR"/>
        </w:rPr>
        <w:lastRenderedPageBreak/>
        <w:t>au titre du suivi</w:t>
      </w:r>
      <w:r w:rsidRPr="00C65C7E">
        <w:rPr>
          <w:rStyle w:val="Appelnotedebasdep"/>
        </w:rPr>
        <w:footnoteReference w:id="13"/>
      </w:r>
      <w:r w:rsidRPr="00D833AB">
        <w:rPr>
          <w:lang w:val="fr-FR"/>
        </w:rPr>
        <w:t xml:space="preserve">. Au cours de la période considérée, de tels rappels ont été envoyés à Djibouti, par une lettre datée du 21 octobre 2024 (deuxième rappel), et </w:t>
      </w:r>
      <w:r>
        <w:rPr>
          <w:lang w:val="fr-FR"/>
        </w:rPr>
        <w:t>au Burundi, à l’Espagne, à l’Éthiopie, à Kiribati et à la Roumanie</w:t>
      </w:r>
      <w:r w:rsidRPr="00D833AB">
        <w:rPr>
          <w:lang w:val="fr-FR"/>
        </w:rPr>
        <w:t xml:space="preserve">, par des lettres datées du </w:t>
      </w:r>
      <w:r>
        <w:rPr>
          <w:lang w:val="fr-FR"/>
        </w:rPr>
        <w:t>29 avril 2025</w:t>
      </w:r>
      <w:r w:rsidRPr="00D833AB">
        <w:rPr>
          <w:lang w:val="fr-FR"/>
        </w:rPr>
        <w:t>. Le 18 octobre 2024, une demande de réunion a été adressée à la République arabe syrienne.</w:t>
      </w:r>
    </w:p>
    <w:p w14:paraId="0C7CA172" w14:textId="77777777" w:rsidR="00F30361" w:rsidRPr="00D833AB" w:rsidRDefault="00F30361" w:rsidP="00F30361">
      <w:pPr>
        <w:pStyle w:val="SingleTxtG"/>
      </w:pPr>
      <w:r w:rsidRPr="00D833AB">
        <w:rPr>
          <w:lang w:val="fr-FR"/>
        </w:rPr>
        <w:t>36.</w:t>
      </w:r>
      <w:r w:rsidRPr="00D833AB">
        <w:rPr>
          <w:lang w:val="fr-FR"/>
        </w:rPr>
        <w:tab/>
        <w:t xml:space="preserve">Entre le 11 mai 2024 et le 2 mai 2025, des rapports de suivi ont été reçus des États </w:t>
      </w:r>
      <w:r>
        <w:rPr>
          <w:lang w:val="fr-FR"/>
        </w:rPr>
        <w:t>P</w:t>
      </w:r>
      <w:r w:rsidRPr="00D833AB">
        <w:rPr>
          <w:lang w:val="fr-FR"/>
        </w:rPr>
        <w:t>arties suivants, énumérés dans l’ordre dans lequel les rapports ont été reçus : Slovaquie (</w:t>
      </w:r>
      <w:hyperlink r:id="rId88" w:history="1">
        <w:r w:rsidRPr="009059DB">
          <w:rPr>
            <w:rStyle w:val="Lienhypertexte"/>
            <w:lang w:val="fr-FR"/>
          </w:rPr>
          <w:t>CAT/C/SVK/FCO/4</w:t>
        </w:r>
      </w:hyperlink>
      <w:r w:rsidRPr="00D833AB">
        <w:rPr>
          <w:lang w:val="fr-FR"/>
        </w:rPr>
        <w:t>, 10 mai 2024), Colombie (</w:t>
      </w:r>
      <w:hyperlink r:id="rId89" w:history="1">
        <w:r w:rsidRPr="009059DB">
          <w:rPr>
            <w:rStyle w:val="Lienhypertexte"/>
            <w:lang w:val="fr-FR"/>
          </w:rPr>
          <w:t>CAT/C/COL/FCO/6</w:t>
        </w:r>
      </w:hyperlink>
      <w:r w:rsidRPr="00D833AB">
        <w:rPr>
          <w:lang w:val="fr-FR"/>
        </w:rPr>
        <w:t>, 12 mai 2024), Australie (</w:t>
      </w:r>
      <w:hyperlink r:id="rId90" w:history="1">
        <w:r w:rsidRPr="009059DB">
          <w:rPr>
            <w:rStyle w:val="Lienhypertexte"/>
            <w:lang w:val="fr-FR"/>
          </w:rPr>
          <w:t>CAT/C/AUS/FCO/6</w:t>
        </w:r>
      </w:hyperlink>
      <w:r w:rsidRPr="00D833AB">
        <w:rPr>
          <w:lang w:val="fr-FR"/>
        </w:rPr>
        <w:t>, 13 mai 2024), Kazakhstan (</w:t>
      </w:r>
      <w:hyperlink r:id="rId91" w:history="1">
        <w:r w:rsidRPr="009059DB">
          <w:rPr>
            <w:rStyle w:val="Lienhypertexte"/>
            <w:lang w:val="fr-FR"/>
          </w:rPr>
          <w:t>CAT/C/KAZ/FCO/4</w:t>
        </w:r>
      </w:hyperlink>
      <w:r w:rsidRPr="00D833AB">
        <w:rPr>
          <w:lang w:val="fr-FR"/>
        </w:rPr>
        <w:t xml:space="preserve">, 13 mai 2024), </w:t>
      </w:r>
      <w:r>
        <w:rPr>
          <w:lang w:val="fr-FR"/>
        </w:rPr>
        <w:t>El Salvador (</w:t>
      </w:r>
      <w:hyperlink r:id="rId92" w:history="1">
        <w:r w:rsidRPr="009059DB">
          <w:rPr>
            <w:rStyle w:val="Lienhypertexte"/>
            <w:lang w:val="fr-FR"/>
          </w:rPr>
          <w:t>CAT/C/SLV/FCO/3/Add.1</w:t>
        </w:r>
      </w:hyperlink>
      <w:r>
        <w:rPr>
          <w:lang w:val="fr-FR"/>
        </w:rPr>
        <w:t xml:space="preserve">, 10 juin 2024), </w:t>
      </w:r>
      <w:r w:rsidRPr="00D833AB">
        <w:rPr>
          <w:lang w:val="fr-FR"/>
        </w:rPr>
        <w:t>Suisse (</w:t>
      </w:r>
      <w:hyperlink r:id="rId93" w:history="1">
        <w:r w:rsidRPr="009059DB">
          <w:rPr>
            <w:rStyle w:val="Lienhypertexte"/>
            <w:lang w:val="fr-FR"/>
          </w:rPr>
          <w:t>CAT/C/CHE/FCO/8</w:t>
        </w:r>
      </w:hyperlink>
      <w:r w:rsidRPr="00D833AB">
        <w:rPr>
          <w:lang w:val="fr-FR"/>
        </w:rPr>
        <w:t>, 25 juillet 2024), Nouvelle-Zélande (</w:t>
      </w:r>
      <w:hyperlink r:id="rId94" w:history="1">
        <w:r w:rsidRPr="009059DB">
          <w:rPr>
            <w:rStyle w:val="Lienhypertexte"/>
            <w:lang w:val="fr-FR"/>
          </w:rPr>
          <w:t>CAT/C/NZL/FCO/7</w:t>
        </w:r>
      </w:hyperlink>
      <w:r w:rsidRPr="00D833AB">
        <w:rPr>
          <w:lang w:val="fr-FR"/>
        </w:rPr>
        <w:t>, 8 août 2024), Brésil (</w:t>
      </w:r>
      <w:hyperlink r:id="rId95" w:history="1">
        <w:r w:rsidRPr="009059DB">
          <w:rPr>
            <w:rStyle w:val="Lienhypertexte"/>
            <w:lang w:val="fr-FR"/>
          </w:rPr>
          <w:t>CAT/C/BRA/FCO/2</w:t>
        </w:r>
      </w:hyperlink>
      <w:r w:rsidRPr="00D833AB">
        <w:rPr>
          <w:lang w:val="fr-FR"/>
        </w:rPr>
        <w:t>, 14</w:t>
      </w:r>
      <w:r>
        <w:rPr>
          <w:lang w:val="fr-FR"/>
        </w:rPr>
        <w:t> </w:t>
      </w:r>
      <w:r w:rsidRPr="00D833AB">
        <w:rPr>
          <w:lang w:val="fr-FR"/>
        </w:rPr>
        <w:t>août 2024), Luxembourg (</w:t>
      </w:r>
      <w:hyperlink r:id="rId96" w:history="1">
        <w:r w:rsidRPr="009059DB">
          <w:rPr>
            <w:rStyle w:val="Lienhypertexte"/>
            <w:lang w:val="fr-FR"/>
          </w:rPr>
          <w:t>CAT/C/LUX/FCO/8</w:t>
        </w:r>
      </w:hyperlink>
      <w:r w:rsidRPr="00D833AB">
        <w:rPr>
          <w:lang w:val="fr-FR"/>
        </w:rPr>
        <w:t>, 1</w:t>
      </w:r>
      <w:r w:rsidRPr="00D833AB">
        <w:rPr>
          <w:vertAlign w:val="superscript"/>
          <w:lang w:val="fr-FR"/>
        </w:rPr>
        <w:t>er</w:t>
      </w:r>
      <w:r w:rsidRPr="00D833AB">
        <w:rPr>
          <w:lang w:val="fr-FR"/>
        </w:rPr>
        <w:t> octobre 2024), Somalie (</w:t>
      </w:r>
      <w:hyperlink r:id="rId97" w:history="1">
        <w:r w:rsidRPr="009059DB">
          <w:rPr>
            <w:rStyle w:val="Lienhypertexte"/>
            <w:lang w:val="fr-FR"/>
          </w:rPr>
          <w:t>CAT/C/SOM/FCO/1</w:t>
        </w:r>
      </w:hyperlink>
      <w:r w:rsidRPr="00D833AB">
        <w:rPr>
          <w:lang w:val="fr-FR"/>
        </w:rPr>
        <w:t>, 19 octobre 2024), Égypte (</w:t>
      </w:r>
      <w:hyperlink r:id="rId98" w:history="1">
        <w:r w:rsidRPr="009059DB">
          <w:rPr>
            <w:rStyle w:val="Lienhypertexte"/>
            <w:lang w:val="fr-FR"/>
          </w:rPr>
          <w:t>CAT/C/EGY/FCO/5</w:t>
        </w:r>
      </w:hyperlink>
      <w:r w:rsidRPr="00D833AB">
        <w:rPr>
          <w:lang w:val="fr-FR"/>
        </w:rPr>
        <w:t>, 24 octobre 2024), Costa Rica (</w:t>
      </w:r>
      <w:hyperlink r:id="rId99" w:history="1">
        <w:r w:rsidRPr="009059DB">
          <w:rPr>
            <w:rStyle w:val="Lienhypertexte"/>
            <w:lang w:val="fr-FR"/>
          </w:rPr>
          <w:t>CAT/C/CRI/FCO/3</w:t>
        </w:r>
      </w:hyperlink>
      <w:r w:rsidRPr="00D833AB">
        <w:rPr>
          <w:lang w:val="fr-FR"/>
        </w:rPr>
        <w:t>, 22 novembre 2024), Danemark (</w:t>
      </w:r>
      <w:hyperlink r:id="rId100" w:history="1">
        <w:r w:rsidRPr="009059DB">
          <w:rPr>
            <w:rStyle w:val="Lienhypertexte"/>
            <w:lang w:val="fr-FR"/>
          </w:rPr>
          <w:t>CAT/C/DNK/FCO/8</w:t>
        </w:r>
      </w:hyperlink>
      <w:r w:rsidRPr="00D833AB">
        <w:rPr>
          <w:lang w:val="fr-FR"/>
        </w:rPr>
        <w:t>, 22</w:t>
      </w:r>
      <w:r>
        <w:rPr>
          <w:lang w:val="fr-FR"/>
        </w:rPr>
        <w:t> </w:t>
      </w:r>
      <w:r w:rsidRPr="00D833AB">
        <w:rPr>
          <w:lang w:val="fr-FR"/>
        </w:rPr>
        <w:t>novembre 2024) et Slovénie (</w:t>
      </w:r>
      <w:hyperlink r:id="rId101" w:history="1">
        <w:r w:rsidRPr="009059DB">
          <w:rPr>
            <w:rStyle w:val="Lienhypertexte"/>
            <w:lang w:val="fr-FR"/>
          </w:rPr>
          <w:t>CAT/C/SVN/FCO/4</w:t>
        </w:r>
      </w:hyperlink>
      <w:r w:rsidRPr="00D833AB">
        <w:rPr>
          <w:lang w:val="fr-FR"/>
        </w:rPr>
        <w:t>, 22 novembre 2024). En outre, la Türkiye a soumis des commentaires sur les observations finales concernant son cinquième rapport périodique (</w:t>
      </w:r>
      <w:hyperlink r:id="rId102" w:history="1">
        <w:r w:rsidRPr="009059DB">
          <w:rPr>
            <w:rStyle w:val="Lienhypertexte"/>
            <w:lang w:val="fr-FR"/>
          </w:rPr>
          <w:t>CAT/C/TUR/FCO/5</w:t>
        </w:r>
      </w:hyperlink>
      <w:r w:rsidRPr="00D833AB">
        <w:rPr>
          <w:lang w:val="fr-FR"/>
        </w:rPr>
        <w:t>, 31 juillet 2024).</w:t>
      </w:r>
    </w:p>
    <w:p w14:paraId="244A3DE0" w14:textId="60772A3F" w:rsidR="00F30361" w:rsidRPr="00D833AB" w:rsidRDefault="00F30361" w:rsidP="00F30361">
      <w:pPr>
        <w:pStyle w:val="SingleTxtG"/>
      </w:pPr>
      <w:r w:rsidRPr="00D833AB">
        <w:rPr>
          <w:lang w:val="fr-FR"/>
        </w:rPr>
        <w:t>37.</w:t>
      </w:r>
      <w:r w:rsidRPr="00D833AB">
        <w:rPr>
          <w:lang w:val="fr-FR"/>
        </w:rPr>
        <w:tab/>
        <w:t xml:space="preserve">Le Rapporteur chargé du suivi des observations finales a pris note avec satisfaction des renseignements communiqués par ces États </w:t>
      </w:r>
      <w:r>
        <w:rPr>
          <w:lang w:val="fr-FR"/>
        </w:rPr>
        <w:t>P</w:t>
      </w:r>
      <w:r w:rsidRPr="00D833AB">
        <w:rPr>
          <w:lang w:val="fr-FR"/>
        </w:rPr>
        <w:t xml:space="preserve">arties concernant les mesures qu’ils avaient prises pour s’acquitter des obligations mises à leur charge par la Convention. Il a analysé ces renseignements pour déterminer si toutes les questions retenues aux fins du suivi avaient été traitées et si les mesures prises donnaient suite aux recommandations du Comité et répondaient à ses préoccupations. Suivant la procédure, une fois les rapports de suivi reçus et évalués, il a adressé aux États </w:t>
      </w:r>
      <w:r>
        <w:rPr>
          <w:lang w:val="fr-FR"/>
        </w:rPr>
        <w:t>P</w:t>
      </w:r>
      <w:r w:rsidRPr="00D833AB">
        <w:rPr>
          <w:lang w:val="fr-FR"/>
        </w:rPr>
        <w:t>arties des lettres dans lesquelles il exposait son analyse et signalait les questions en suspens. Au cours de la période considérée, il a adressé des lettres de ce type à El Salvador (23</w:t>
      </w:r>
      <w:r>
        <w:rPr>
          <w:lang w:val="fr-FR"/>
        </w:rPr>
        <w:t> </w:t>
      </w:r>
      <w:r w:rsidRPr="00D833AB">
        <w:rPr>
          <w:lang w:val="fr-FR"/>
        </w:rPr>
        <w:t>mai 2024), à l’État de Palestine (5</w:t>
      </w:r>
      <w:r>
        <w:rPr>
          <w:lang w:val="fr-FR"/>
        </w:rPr>
        <w:t> </w:t>
      </w:r>
      <w:r w:rsidRPr="00D833AB">
        <w:rPr>
          <w:lang w:val="fr-FR"/>
        </w:rPr>
        <w:t>septembre 2024), au Kazakhstan (10</w:t>
      </w:r>
      <w:r>
        <w:rPr>
          <w:lang w:val="fr-FR"/>
        </w:rPr>
        <w:t> </w:t>
      </w:r>
      <w:r w:rsidRPr="00D833AB">
        <w:rPr>
          <w:lang w:val="fr-FR"/>
        </w:rPr>
        <w:t>octobre 2024), à la Colombie (3</w:t>
      </w:r>
      <w:r>
        <w:rPr>
          <w:lang w:val="fr-FR"/>
        </w:rPr>
        <w:t> </w:t>
      </w:r>
      <w:r w:rsidRPr="00D833AB">
        <w:rPr>
          <w:lang w:val="fr-FR"/>
        </w:rPr>
        <w:t>décembre 2024), à l’Australie (10</w:t>
      </w:r>
      <w:r>
        <w:rPr>
          <w:lang w:val="fr-FR"/>
        </w:rPr>
        <w:t> </w:t>
      </w:r>
      <w:r w:rsidRPr="00D833AB">
        <w:rPr>
          <w:lang w:val="fr-FR"/>
        </w:rPr>
        <w:t>décembre 2024), à la Slovaquie (3</w:t>
      </w:r>
      <w:r>
        <w:rPr>
          <w:lang w:val="fr-FR"/>
        </w:rPr>
        <w:t> </w:t>
      </w:r>
      <w:r w:rsidRPr="00D833AB">
        <w:rPr>
          <w:lang w:val="fr-FR"/>
        </w:rPr>
        <w:t>janvier 2025), à la Suisse (3</w:t>
      </w:r>
      <w:r>
        <w:rPr>
          <w:lang w:val="fr-FR"/>
        </w:rPr>
        <w:t> </w:t>
      </w:r>
      <w:r w:rsidRPr="00D833AB">
        <w:rPr>
          <w:lang w:val="fr-FR"/>
        </w:rPr>
        <w:t>janvier 2025), à la Nouvelle-Zélande (14</w:t>
      </w:r>
      <w:r>
        <w:rPr>
          <w:lang w:val="fr-FR"/>
        </w:rPr>
        <w:t> </w:t>
      </w:r>
      <w:r w:rsidRPr="00D833AB">
        <w:rPr>
          <w:lang w:val="fr-FR"/>
        </w:rPr>
        <w:t>janvier 2025)</w:t>
      </w:r>
      <w:r>
        <w:rPr>
          <w:lang w:val="fr-FR"/>
        </w:rPr>
        <w:t>,</w:t>
      </w:r>
      <w:r w:rsidRPr="00D833AB">
        <w:rPr>
          <w:lang w:val="fr-FR"/>
        </w:rPr>
        <w:t xml:space="preserve"> au Brésil (24</w:t>
      </w:r>
      <w:r>
        <w:rPr>
          <w:lang w:val="fr-FR"/>
        </w:rPr>
        <w:t> </w:t>
      </w:r>
      <w:r w:rsidRPr="00D833AB">
        <w:rPr>
          <w:lang w:val="fr-FR"/>
        </w:rPr>
        <w:t>janvier 2025)</w:t>
      </w:r>
      <w:r>
        <w:rPr>
          <w:lang w:val="fr-FR"/>
        </w:rPr>
        <w:t>, à la Somalie (12 mars 2025), au Costa</w:t>
      </w:r>
      <w:r w:rsidR="00DC2FD7">
        <w:rPr>
          <w:lang w:val="fr-FR"/>
        </w:rPr>
        <w:t> </w:t>
      </w:r>
      <w:r>
        <w:rPr>
          <w:lang w:val="fr-FR"/>
        </w:rPr>
        <w:t>Rica (19 mars 2025), au Danemark (1</w:t>
      </w:r>
      <w:r w:rsidRPr="000E2E59">
        <w:rPr>
          <w:vertAlign w:val="superscript"/>
          <w:lang w:val="fr-FR"/>
        </w:rPr>
        <w:t>er</w:t>
      </w:r>
      <w:r>
        <w:rPr>
          <w:lang w:val="fr-FR"/>
        </w:rPr>
        <w:t> avril 2025), à la Slovénie (1</w:t>
      </w:r>
      <w:r w:rsidRPr="000E2E59">
        <w:rPr>
          <w:vertAlign w:val="superscript"/>
          <w:lang w:val="fr-FR"/>
        </w:rPr>
        <w:t>er</w:t>
      </w:r>
      <w:r>
        <w:rPr>
          <w:lang w:val="fr-FR"/>
        </w:rPr>
        <w:t> avril 2025) et au Luxembourg (15 avril 2025)</w:t>
      </w:r>
      <w:r w:rsidRPr="00D833AB">
        <w:rPr>
          <w:lang w:val="fr-FR"/>
        </w:rPr>
        <w:t>.</w:t>
      </w:r>
    </w:p>
    <w:p w14:paraId="4F347B56" w14:textId="77777777" w:rsidR="00F30361" w:rsidRPr="00D833AB" w:rsidRDefault="00F30361" w:rsidP="00F30361">
      <w:pPr>
        <w:pStyle w:val="SingleTxtG"/>
      </w:pPr>
      <w:r w:rsidRPr="00D833AB">
        <w:rPr>
          <w:lang w:val="fr-FR"/>
        </w:rPr>
        <w:t>38.</w:t>
      </w:r>
      <w:r w:rsidRPr="00D833AB">
        <w:rPr>
          <w:lang w:val="fr-FR"/>
        </w:rPr>
        <w:tab/>
        <w:t>Le Rapporteur chargé du suivi des observations finales a également pris note avec satisfaction des renseignements communiqués par les institutions nationales des droits de l’homme, les ONG de défense des droits de l’homme et les groupes de la société civile dans le cadre de la procédure de suivi. Au 2 mai 2025, le Comité avait reçu de ces sources des informations de suivi</w:t>
      </w:r>
      <w:r w:rsidRPr="00C65C7E">
        <w:rPr>
          <w:rStyle w:val="Appelnotedebasdep"/>
        </w:rPr>
        <w:footnoteReference w:id="14"/>
      </w:r>
      <w:r w:rsidRPr="00D833AB">
        <w:rPr>
          <w:lang w:val="fr-FR"/>
        </w:rPr>
        <w:t xml:space="preserve"> concernant les États </w:t>
      </w:r>
      <w:r>
        <w:rPr>
          <w:lang w:val="fr-FR"/>
        </w:rPr>
        <w:t>P</w:t>
      </w:r>
      <w:r w:rsidRPr="00D833AB">
        <w:rPr>
          <w:lang w:val="fr-FR"/>
        </w:rPr>
        <w:t>arties suivants, énumérés par ordre chronologique : Kazakhstan (deux communications), État de Palestine, Colombie, Australie, Égypte</w:t>
      </w:r>
      <w:r>
        <w:rPr>
          <w:lang w:val="fr-FR"/>
        </w:rPr>
        <w:t xml:space="preserve"> (trois communications),</w:t>
      </w:r>
      <w:r w:rsidRPr="00D833AB">
        <w:rPr>
          <w:lang w:val="fr-FR"/>
        </w:rPr>
        <w:t xml:space="preserve"> Nouvelle-Zélande (trois communications)</w:t>
      </w:r>
      <w:r>
        <w:rPr>
          <w:lang w:val="fr-FR"/>
        </w:rPr>
        <w:t xml:space="preserve"> et Danemark (deux communications)</w:t>
      </w:r>
      <w:r w:rsidRPr="00D833AB">
        <w:rPr>
          <w:lang w:val="fr-FR"/>
        </w:rPr>
        <w:t>.</w:t>
      </w:r>
    </w:p>
    <w:p w14:paraId="2B6C7E97" w14:textId="77777777" w:rsidR="00F30361" w:rsidRPr="00D833AB" w:rsidRDefault="00F30361" w:rsidP="00F30361">
      <w:pPr>
        <w:pStyle w:val="HChG"/>
      </w:pPr>
      <w:r w:rsidRPr="00D833AB">
        <w:rPr>
          <w:lang w:val="fr-FR"/>
        </w:rPr>
        <w:tab/>
        <w:t>V.</w:t>
      </w:r>
      <w:r w:rsidRPr="00D833AB">
        <w:rPr>
          <w:lang w:val="fr-FR"/>
        </w:rPr>
        <w:tab/>
        <w:t>Activités menées par le Comité en application de l’article 20 de la Convention</w:t>
      </w:r>
      <w:bookmarkStart w:id="46" w:name="_Toc138756986"/>
      <w:bookmarkStart w:id="47" w:name="_Toc191367664"/>
      <w:bookmarkStart w:id="48" w:name="_Hlk165626178"/>
      <w:bookmarkEnd w:id="46"/>
      <w:bookmarkEnd w:id="47"/>
    </w:p>
    <w:p w14:paraId="7C41335B" w14:textId="77777777" w:rsidR="00F30361" w:rsidRPr="00D833AB" w:rsidRDefault="00F30361" w:rsidP="00F30361">
      <w:pPr>
        <w:pStyle w:val="SingleTxtG"/>
      </w:pPr>
      <w:r w:rsidRPr="00D833AB">
        <w:rPr>
          <w:lang w:val="fr-FR"/>
        </w:rPr>
        <w:t>39.</w:t>
      </w:r>
      <w:r w:rsidRPr="00D833AB">
        <w:rPr>
          <w:lang w:val="fr-FR"/>
        </w:rPr>
        <w:tab/>
        <w:t xml:space="preserve">Pendant la période considérée, le Comité a poursuivi les travaux qu’il mène en application de l’article 20 de la Convention. </w:t>
      </w:r>
    </w:p>
    <w:bookmarkEnd w:id="48"/>
    <w:p w14:paraId="6C5C155B" w14:textId="77777777" w:rsidR="00F30361" w:rsidRPr="00D833AB" w:rsidRDefault="00F30361" w:rsidP="00F30361">
      <w:pPr>
        <w:pStyle w:val="HChG"/>
      </w:pPr>
      <w:r w:rsidRPr="00D833AB">
        <w:rPr>
          <w:lang w:val="fr-FR"/>
        </w:rPr>
        <w:lastRenderedPageBreak/>
        <w:tab/>
        <w:t>VI.</w:t>
      </w:r>
      <w:r w:rsidRPr="00D833AB">
        <w:rPr>
          <w:lang w:val="fr-FR"/>
        </w:rPr>
        <w:tab/>
        <w:t xml:space="preserve">Examen des requêtes soumises au titre de l’article 22 </w:t>
      </w:r>
      <w:r w:rsidRPr="00D833AB">
        <w:rPr>
          <w:lang w:val="fr-FR"/>
        </w:rPr>
        <w:br/>
        <w:t>de la Convention</w:t>
      </w:r>
      <w:bookmarkStart w:id="49" w:name="_Toc138756987"/>
      <w:bookmarkStart w:id="50" w:name="_Toc191367665"/>
      <w:bookmarkEnd w:id="49"/>
      <w:bookmarkEnd w:id="50"/>
    </w:p>
    <w:p w14:paraId="23AC2218" w14:textId="77777777" w:rsidR="00F30361" w:rsidRPr="00D833AB" w:rsidRDefault="00F30361" w:rsidP="00F30361">
      <w:pPr>
        <w:pStyle w:val="H1G"/>
      </w:pPr>
      <w:r w:rsidRPr="00D833AB">
        <w:rPr>
          <w:lang w:val="fr-FR"/>
        </w:rPr>
        <w:tab/>
        <w:t>A.</w:t>
      </w:r>
      <w:r w:rsidRPr="00D833AB">
        <w:rPr>
          <w:lang w:val="fr-FR"/>
        </w:rPr>
        <w:tab/>
        <w:t>Introduction</w:t>
      </w:r>
      <w:bookmarkStart w:id="51" w:name="_Toc138756988"/>
      <w:bookmarkStart w:id="52" w:name="_Toc191367666"/>
      <w:bookmarkEnd w:id="51"/>
      <w:bookmarkEnd w:id="52"/>
    </w:p>
    <w:p w14:paraId="1DA4CB10" w14:textId="77777777" w:rsidR="00F30361" w:rsidRPr="00D833AB" w:rsidRDefault="00F30361" w:rsidP="00F30361">
      <w:pPr>
        <w:pStyle w:val="SingleTxtG"/>
      </w:pPr>
      <w:r w:rsidRPr="00D833AB">
        <w:rPr>
          <w:lang w:val="fr-FR"/>
        </w:rPr>
        <w:t>40.</w:t>
      </w:r>
      <w:r w:rsidRPr="00D833AB">
        <w:rPr>
          <w:lang w:val="fr-FR"/>
        </w:rPr>
        <w:tab/>
        <w:t>Conformément à l’article</w:t>
      </w:r>
      <w:r>
        <w:rPr>
          <w:lang w:val="fr-FR"/>
        </w:rPr>
        <w:t> </w:t>
      </w:r>
      <w:r w:rsidRPr="00D833AB">
        <w:rPr>
          <w:lang w:val="fr-FR"/>
        </w:rPr>
        <w:t xml:space="preserve">22 de la Convention, les particuliers qui prétendent être victimes d’une violation, par un État </w:t>
      </w:r>
      <w:r>
        <w:rPr>
          <w:lang w:val="fr-FR"/>
        </w:rPr>
        <w:t>P</w:t>
      </w:r>
      <w:r w:rsidRPr="00D833AB">
        <w:rPr>
          <w:lang w:val="fr-FR"/>
        </w:rPr>
        <w:t>artie, des dispositions de la Convention peuvent soumettre une requête au Comité pour examen, sous réserve des conditions énoncées dans cet article. Soixante</w:t>
      </w:r>
      <w:r>
        <w:rPr>
          <w:lang w:val="fr-FR"/>
        </w:rPr>
        <w:t xml:space="preserve"> et onze</w:t>
      </w:r>
      <w:r w:rsidRPr="00D833AB">
        <w:rPr>
          <w:lang w:val="fr-FR"/>
        </w:rPr>
        <w:t xml:space="preserve"> des États </w:t>
      </w:r>
      <w:r>
        <w:rPr>
          <w:lang w:val="fr-FR"/>
        </w:rPr>
        <w:t>P</w:t>
      </w:r>
      <w:r w:rsidRPr="00D833AB">
        <w:rPr>
          <w:lang w:val="fr-FR"/>
        </w:rPr>
        <w:t xml:space="preserve">arties à la Convention ont déclaré reconnaître la compétence du Comité pour recevoir et examiner des requêtes soumises au titre de l’article 22. Le Comité n’examine aucune requête concernant un État </w:t>
      </w:r>
      <w:r>
        <w:rPr>
          <w:lang w:val="fr-FR"/>
        </w:rPr>
        <w:t>P</w:t>
      </w:r>
      <w:r w:rsidRPr="00D833AB">
        <w:rPr>
          <w:lang w:val="fr-FR"/>
        </w:rPr>
        <w:t xml:space="preserve">artie à la Convention qui n’a pas reconnu sa compétence au titre de cet article. Conformément à la Convention, les États </w:t>
      </w:r>
      <w:r>
        <w:rPr>
          <w:lang w:val="fr-FR"/>
        </w:rPr>
        <w:t>P</w:t>
      </w:r>
      <w:r w:rsidRPr="00D833AB">
        <w:rPr>
          <w:lang w:val="fr-FR"/>
        </w:rPr>
        <w:t xml:space="preserve">arties ont la possibilité de demander au Comité d’examiner la question de la recevabilité d’une communication séparément de celle du fond. Au cours de la période précédente, le Comité a décidé que, pour des raisons d’efficacité de la procédure et eu égard aux contraintes structurelles en matière de ressources auxquelles il était soumis, à partir du 8 mai 2024 et jusqu’à nouvel ordre, il suspendrait la possibilité pour les États </w:t>
      </w:r>
      <w:r>
        <w:rPr>
          <w:lang w:val="fr-FR"/>
        </w:rPr>
        <w:t>P</w:t>
      </w:r>
      <w:r w:rsidRPr="00D833AB">
        <w:rPr>
          <w:lang w:val="fr-FR"/>
        </w:rPr>
        <w:t>arties de faire une telle demande.</w:t>
      </w:r>
    </w:p>
    <w:p w14:paraId="560EDE35" w14:textId="5214079C" w:rsidR="00F30361" w:rsidRPr="00D833AB" w:rsidRDefault="00F30361" w:rsidP="00F30361">
      <w:pPr>
        <w:pStyle w:val="SingleTxtG"/>
      </w:pPr>
      <w:r w:rsidRPr="00D833AB">
        <w:rPr>
          <w:lang w:val="fr-FR"/>
        </w:rPr>
        <w:t>41.</w:t>
      </w:r>
      <w:r w:rsidRPr="00D833AB">
        <w:rPr>
          <w:lang w:val="fr-FR"/>
        </w:rPr>
        <w:tab/>
        <w:t>La fonction de rapporteur chargé des nouvelles requêtes et des mesures provisoires de protection, créée conformément à l’article 104 (par.</w:t>
      </w:r>
      <w:r w:rsidR="00DC2FD7">
        <w:rPr>
          <w:lang w:val="fr-FR"/>
        </w:rPr>
        <w:t> </w:t>
      </w:r>
      <w:r w:rsidRPr="00D833AB">
        <w:rPr>
          <w:lang w:val="fr-FR"/>
        </w:rPr>
        <w:t>1) du Règlement intérieur du Comité, est actuellement occupée par M. </w:t>
      </w:r>
      <w:proofErr w:type="spellStart"/>
      <w:r w:rsidRPr="00D833AB">
        <w:rPr>
          <w:lang w:val="fr-FR"/>
        </w:rPr>
        <w:t>Buchwald</w:t>
      </w:r>
      <w:proofErr w:type="spellEnd"/>
      <w:r w:rsidRPr="00D833AB">
        <w:rPr>
          <w:lang w:val="fr-FR"/>
        </w:rPr>
        <w:t>, qui a été élu à ladite fonction à la soixante</w:t>
      </w:r>
      <w:r w:rsidRPr="00D833AB">
        <w:rPr>
          <w:lang w:val="fr-FR"/>
        </w:rPr>
        <w:noBreakHyphen/>
        <w:t>dix</w:t>
      </w:r>
      <w:r w:rsidRPr="00D833AB">
        <w:rPr>
          <w:lang w:val="fr-FR"/>
        </w:rPr>
        <w:noBreakHyphen/>
        <w:t xml:space="preserve">neuvième session du Comité. </w:t>
      </w:r>
    </w:p>
    <w:p w14:paraId="136F7657" w14:textId="77777777" w:rsidR="00F30361" w:rsidRPr="00D833AB" w:rsidRDefault="00F30361" w:rsidP="00F30361">
      <w:pPr>
        <w:pStyle w:val="H1G"/>
      </w:pPr>
      <w:r w:rsidRPr="00D833AB">
        <w:rPr>
          <w:lang w:val="fr-FR"/>
        </w:rPr>
        <w:tab/>
        <w:t>B.</w:t>
      </w:r>
      <w:r w:rsidRPr="00D833AB">
        <w:rPr>
          <w:lang w:val="fr-FR"/>
        </w:rPr>
        <w:tab/>
        <w:t>Mesures provisoires de protection</w:t>
      </w:r>
      <w:bookmarkStart w:id="53" w:name="_Toc138756989"/>
      <w:bookmarkStart w:id="54" w:name="_Toc191367667"/>
      <w:bookmarkEnd w:id="53"/>
      <w:bookmarkEnd w:id="54"/>
    </w:p>
    <w:p w14:paraId="361BAE57" w14:textId="4A3A763D" w:rsidR="00F30361" w:rsidRPr="00D833AB" w:rsidRDefault="00F30361" w:rsidP="00F30361">
      <w:pPr>
        <w:pStyle w:val="SingleTxtG"/>
      </w:pPr>
      <w:r w:rsidRPr="00D833AB">
        <w:rPr>
          <w:lang w:val="fr-FR"/>
        </w:rPr>
        <w:t>42.</w:t>
      </w:r>
      <w:r w:rsidRPr="00D833AB">
        <w:rPr>
          <w:lang w:val="fr-FR"/>
        </w:rPr>
        <w:tab/>
        <w:t>Il est fréquent que les requérants demandent une protection à titre préventif et, compte tenu de leur nature, ces demandes sont traitées à titre de priorité. Conformément à l’article 114 (par.</w:t>
      </w:r>
      <w:r w:rsidR="00DC2FD7">
        <w:rPr>
          <w:lang w:val="fr-FR"/>
        </w:rPr>
        <w:t> </w:t>
      </w:r>
      <w:r w:rsidRPr="00D833AB">
        <w:rPr>
          <w:lang w:val="fr-FR"/>
        </w:rPr>
        <w:t xml:space="preserve">1) de son Règlement intérieur, le Comité, agissant par l’intermédiaire de son Rapporteur chargé des nouvelles requêtes et des mesures provisoires de protection, peut, à tout moment après avoir reçu une requête, adresser à l’État </w:t>
      </w:r>
      <w:r>
        <w:rPr>
          <w:lang w:val="fr-FR"/>
        </w:rPr>
        <w:t>P</w:t>
      </w:r>
      <w:r w:rsidRPr="00D833AB">
        <w:rPr>
          <w:lang w:val="fr-FR"/>
        </w:rPr>
        <w:t xml:space="preserve">artie intéressé une demande tendant à ce que celui-ci prenne les mesures provisoires que le Comité juge nécessaires pour éviter qu’un préjudice irréparable soit causé à une ou plusieurs personnes. L’État </w:t>
      </w:r>
      <w:r>
        <w:rPr>
          <w:lang w:val="fr-FR"/>
        </w:rPr>
        <w:t>P</w:t>
      </w:r>
      <w:r w:rsidRPr="00D833AB">
        <w:rPr>
          <w:lang w:val="fr-FR"/>
        </w:rPr>
        <w:t xml:space="preserve">artie est informé que cette demande ne préjuge pas de la décision qui sera prise sur la recevabilité ou le fond de la requête. Pendant la période considérée, le Rapporteur chargé des nouvelles requêtes et des mesures provisoires de protection a approuvé des demandes de mesures provisoires de protection dans </w:t>
      </w:r>
      <w:r>
        <w:rPr>
          <w:lang w:val="fr-FR"/>
        </w:rPr>
        <w:t>43 </w:t>
      </w:r>
      <w:r w:rsidRPr="00D833AB">
        <w:rPr>
          <w:lang w:val="fr-FR"/>
        </w:rPr>
        <w:t>cas</w:t>
      </w:r>
      <w:r>
        <w:rPr>
          <w:rStyle w:val="Appelnotedebasdep"/>
        </w:rPr>
        <w:t xml:space="preserve"> </w:t>
      </w:r>
      <w:r>
        <w:t>sur les 49 enregistrés</w:t>
      </w:r>
      <w:r w:rsidRPr="00D833AB">
        <w:rPr>
          <w:lang w:val="fr-FR"/>
        </w:rPr>
        <w:t xml:space="preserve">, et il contrôle régulièrement le respect de ces demandes par les États </w:t>
      </w:r>
      <w:r>
        <w:rPr>
          <w:lang w:val="fr-FR"/>
        </w:rPr>
        <w:t>P</w:t>
      </w:r>
      <w:r w:rsidRPr="00D833AB">
        <w:rPr>
          <w:lang w:val="fr-FR"/>
        </w:rPr>
        <w:t>arties.</w:t>
      </w:r>
    </w:p>
    <w:p w14:paraId="5EFC0510" w14:textId="77777777" w:rsidR="00F30361" w:rsidRPr="00D833AB" w:rsidRDefault="00F30361" w:rsidP="00F30361">
      <w:pPr>
        <w:pStyle w:val="H1G"/>
      </w:pPr>
      <w:r w:rsidRPr="00D833AB">
        <w:rPr>
          <w:lang w:val="fr-FR"/>
        </w:rPr>
        <w:tab/>
        <w:t>C.</w:t>
      </w:r>
      <w:r w:rsidRPr="00D833AB">
        <w:rPr>
          <w:lang w:val="fr-FR"/>
        </w:rPr>
        <w:tab/>
        <w:t>État des travaux</w:t>
      </w:r>
      <w:bookmarkStart w:id="55" w:name="_Toc138756990"/>
      <w:bookmarkStart w:id="56" w:name="_Toc191367668"/>
      <w:bookmarkEnd w:id="55"/>
      <w:bookmarkEnd w:id="56"/>
    </w:p>
    <w:p w14:paraId="055B1F44" w14:textId="77777777" w:rsidR="00F30361" w:rsidRPr="00D833AB" w:rsidRDefault="00F30361" w:rsidP="00F30361">
      <w:pPr>
        <w:pStyle w:val="SingleTxtG"/>
      </w:pPr>
      <w:r w:rsidRPr="00D833AB">
        <w:rPr>
          <w:lang w:val="fr-FR"/>
        </w:rPr>
        <w:t>43.</w:t>
      </w:r>
      <w:r w:rsidRPr="00D833AB">
        <w:rPr>
          <w:lang w:val="fr-FR"/>
        </w:rPr>
        <w:tab/>
        <w:t>Au 2 mai 2025, le Comité avait, depuis 1989, enregistré 1 2</w:t>
      </w:r>
      <w:r>
        <w:rPr>
          <w:lang w:val="fr-FR"/>
        </w:rPr>
        <w:t>60 </w:t>
      </w:r>
      <w:r w:rsidRPr="00D833AB">
        <w:rPr>
          <w:lang w:val="fr-FR"/>
        </w:rPr>
        <w:t>requêtes concernant 45</w:t>
      </w:r>
      <w:r>
        <w:rPr>
          <w:lang w:val="fr-FR"/>
        </w:rPr>
        <w:t> </w:t>
      </w:r>
      <w:r w:rsidRPr="00D833AB">
        <w:rPr>
          <w:lang w:val="fr-FR"/>
        </w:rPr>
        <w:t xml:space="preserve">États </w:t>
      </w:r>
      <w:r>
        <w:rPr>
          <w:lang w:val="fr-FR"/>
        </w:rPr>
        <w:t>P</w:t>
      </w:r>
      <w:r w:rsidRPr="00D833AB">
        <w:rPr>
          <w:lang w:val="fr-FR"/>
        </w:rPr>
        <w:t xml:space="preserve">arties. Il avait mis fin à l’examen de </w:t>
      </w:r>
      <w:r>
        <w:rPr>
          <w:lang w:val="fr-FR"/>
        </w:rPr>
        <w:t>449</w:t>
      </w:r>
      <w:r w:rsidRPr="00D833AB">
        <w:rPr>
          <w:lang w:val="fr-FR"/>
        </w:rPr>
        <w:t xml:space="preserve"> d’entre elles et en avait déclaré </w:t>
      </w:r>
      <w:r>
        <w:rPr>
          <w:lang w:val="fr-FR"/>
        </w:rPr>
        <w:t>152</w:t>
      </w:r>
      <w:r w:rsidRPr="00D833AB">
        <w:rPr>
          <w:lang w:val="fr-FR"/>
        </w:rPr>
        <w:t xml:space="preserve"> irrecevables. Il avait adopté des décisions finales sur le fond concernant </w:t>
      </w:r>
      <w:r>
        <w:rPr>
          <w:lang w:val="fr-FR"/>
        </w:rPr>
        <w:t>523 </w:t>
      </w:r>
      <w:r w:rsidRPr="00D833AB">
        <w:rPr>
          <w:lang w:val="fr-FR"/>
        </w:rPr>
        <w:t xml:space="preserve">requêtes et constaté que </w:t>
      </w:r>
      <w:r>
        <w:rPr>
          <w:lang w:val="fr-FR"/>
        </w:rPr>
        <w:t>219</w:t>
      </w:r>
      <w:r w:rsidRPr="00D833AB">
        <w:rPr>
          <w:lang w:val="fr-FR"/>
        </w:rPr>
        <w:t xml:space="preserve"> d’entre elles faisaient apparaître des violations de la Convention. Quelque </w:t>
      </w:r>
      <w:r>
        <w:rPr>
          <w:lang w:val="fr-FR"/>
        </w:rPr>
        <w:t>135 </w:t>
      </w:r>
      <w:r w:rsidRPr="00D833AB">
        <w:rPr>
          <w:lang w:val="fr-FR"/>
        </w:rPr>
        <w:t>requêtes n’avaient pas encore été examinées. Toutes les décisions sur le fond adoptées par le Comité, de même que les décisions d’irrecevabilité et de cessation de l’examen, peuvent être consultées dans la base de données actualisée sur la jurisprudence des organes conventionnels</w:t>
      </w:r>
      <w:r w:rsidRPr="00C65C7E">
        <w:rPr>
          <w:rStyle w:val="Appelnotedebasdep"/>
        </w:rPr>
        <w:footnoteReference w:id="15"/>
      </w:r>
      <w:r w:rsidRPr="00D833AB">
        <w:rPr>
          <w:lang w:val="fr-FR"/>
        </w:rPr>
        <w:t>, sur le site Web du HCDH</w:t>
      </w:r>
      <w:r w:rsidRPr="00C65C7E">
        <w:rPr>
          <w:rStyle w:val="Appelnotedebasdep"/>
        </w:rPr>
        <w:footnoteReference w:id="16"/>
      </w:r>
      <w:r w:rsidRPr="00D833AB">
        <w:rPr>
          <w:lang w:val="fr-FR"/>
        </w:rPr>
        <w:t xml:space="preserve"> et dans le Système de diffusion électronique des documents de l’ONU</w:t>
      </w:r>
      <w:r w:rsidRPr="00C65C7E">
        <w:rPr>
          <w:rStyle w:val="Appelnotedebasdep"/>
        </w:rPr>
        <w:footnoteReference w:id="17"/>
      </w:r>
      <w:r w:rsidRPr="00D833AB">
        <w:rPr>
          <w:lang w:val="fr-FR"/>
        </w:rPr>
        <w:t>.</w:t>
      </w:r>
    </w:p>
    <w:p w14:paraId="13CB2F20" w14:textId="77777777" w:rsidR="00F30361" w:rsidRPr="00D833AB" w:rsidRDefault="00F30361" w:rsidP="00F30361">
      <w:pPr>
        <w:pStyle w:val="SingleTxtG"/>
      </w:pPr>
      <w:r w:rsidRPr="00D833AB">
        <w:rPr>
          <w:lang w:val="fr-FR"/>
        </w:rPr>
        <w:t>44.</w:t>
      </w:r>
      <w:r w:rsidRPr="00D833AB">
        <w:rPr>
          <w:lang w:val="fr-FR"/>
        </w:rPr>
        <w:tab/>
        <w:t>À sa quatre-vingtième session, le Comité a adopté des décisions sur le fond concernant 10</w:t>
      </w:r>
      <w:r>
        <w:rPr>
          <w:lang w:val="fr-FR"/>
        </w:rPr>
        <w:t> </w:t>
      </w:r>
      <w:r w:rsidRPr="00D833AB">
        <w:rPr>
          <w:lang w:val="fr-FR"/>
        </w:rPr>
        <w:t xml:space="preserve">communications. Dans l’affaire </w:t>
      </w:r>
      <w:proofErr w:type="spellStart"/>
      <w:r w:rsidRPr="00D833AB">
        <w:rPr>
          <w:i/>
          <w:iCs/>
          <w:lang w:val="fr-FR"/>
        </w:rPr>
        <w:t>Aishan</w:t>
      </w:r>
      <w:proofErr w:type="spellEnd"/>
      <w:r w:rsidRPr="00D833AB">
        <w:rPr>
          <w:i/>
          <w:iCs/>
          <w:lang w:val="fr-FR"/>
        </w:rPr>
        <w:t xml:space="preserve"> c. Maroc</w:t>
      </w:r>
      <w:r w:rsidRPr="00D833AB">
        <w:rPr>
          <w:lang w:val="fr-FR"/>
        </w:rPr>
        <w:t xml:space="preserve"> (</w:t>
      </w:r>
      <w:hyperlink r:id="rId103" w:history="1">
        <w:r w:rsidRPr="009059DB">
          <w:rPr>
            <w:rStyle w:val="Lienhypertexte"/>
            <w:lang w:val="fr-FR"/>
          </w:rPr>
          <w:t>CAT/C/80/D/1111/2021</w:t>
        </w:r>
      </w:hyperlink>
      <w:r w:rsidRPr="00D833AB">
        <w:rPr>
          <w:lang w:val="fr-FR"/>
        </w:rPr>
        <w:t xml:space="preserve">), les requérants étaient le frère et l’épouse de </w:t>
      </w:r>
      <w:proofErr w:type="spellStart"/>
      <w:r w:rsidRPr="00D833AB">
        <w:rPr>
          <w:lang w:val="fr-FR"/>
        </w:rPr>
        <w:t>Yidiresi</w:t>
      </w:r>
      <w:proofErr w:type="spellEnd"/>
      <w:r w:rsidRPr="00D833AB">
        <w:rPr>
          <w:lang w:val="fr-FR"/>
        </w:rPr>
        <w:t xml:space="preserve"> </w:t>
      </w:r>
      <w:proofErr w:type="spellStart"/>
      <w:r w:rsidRPr="00D833AB">
        <w:rPr>
          <w:lang w:val="fr-FR"/>
        </w:rPr>
        <w:t>Aishan</w:t>
      </w:r>
      <w:proofErr w:type="spellEnd"/>
      <w:r w:rsidRPr="00D833AB">
        <w:rPr>
          <w:lang w:val="fr-FR"/>
        </w:rPr>
        <w:t xml:space="preserve">, un citoyen chinois, de confession </w:t>
      </w:r>
      <w:r w:rsidRPr="00D833AB">
        <w:rPr>
          <w:lang w:val="fr-FR"/>
        </w:rPr>
        <w:lastRenderedPageBreak/>
        <w:t>musulmane, appartenant à la minorité ouïghoure et né dans la Région autonome ouïghoure du Xinjiang. Après avoir été arrêté et battu par la police en Chine, M. </w:t>
      </w:r>
      <w:proofErr w:type="spellStart"/>
      <w:r w:rsidRPr="00D833AB">
        <w:rPr>
          <w:lang w:val="fr-FR"/>
        </w:rPr>
        <w:t>Aishan</w:t>
      </w:r>
      <w:proofErr w:type="spellEnd"/>
      <w:r w:rsidRPr="00D833AB">
        <w:rPr>
          <w:lang w:val="fr-FR"/>
        </w:rPr>
        <w:t xml:space="preserve"> a décidé de s’installer avec sa famille en Türkiye, puis au Maroc. Au Maroc, il a été arrêté suite à une demande d’extradition des autorités chinoises, dans laquelle il était prétendu qu’il appartenait à une organisation terroriste. Les autorités chinoises n’ont toutefois pas fourni d’acte d’accusation visant M. </w:t>
      </w:r>
      <w:proofErr w:type="spellStart"/>
      <w:r w:rsidRPr="00D833AB">
        <w:rPr>
          <w:lang w:val="fr-FR"/>
        </w:rPr>
        <w:t>Aishan</w:t>
      </w:r>
      <w:proofErr w:type="spellEnd"/>
      <w:r w:rsidRPr="00D833AB">
        <w:rPr>
          <w:lang w:val="fr-FR"/>
        </w:rPr>
        <w:t>. En 2021, le Bureau du Haut-Commissariat pour les réfugiés au Maroc a délivré une attestation indiquant que M. </w:t>
      </w:r>
      <w:proofErr w:type="spellStart"/>
      <w:r w:rsidRPr="00D833AB">
        <w:rPr>
          <w:lang w:val="fr-FR"/>
        </w:rPr>
        <w:t>Aishan</w:t>
      </w:r>
      <w:proofErr w:type="spellEnd"/>
      <w:r w:rsidRPr="00D833AB">
        <w:rPr>
          <w:lang w:val="fr-FR"/>
        </w:rPr>
        <w:t xml:space="preserve"> avait le statut de demandeur d’asile. Néanmoins, M. </w:t>
      </w:r>
      <w:proofErr w:type="spellStart"/>
      <w:r w:rsidRPr="00D833AB">
        <w:rPr>
          <w:lang w:val="fr-FR"/>
        </w:rPr>
        <w:t>Aishan</w:t>
      </w:r>
      <w:proofErr w:type="spellEnd"/>
      <w:r w:rsidRPr="00D833AB">
        <w:rPr>
          <w:lang w:val="fr-FR"/>
        </w:rPr>
        <w:t xml:space="preserve"> a été maintenu en détention au Maroc pendant que sa requête était examinée par le Comité. Le Comité a conclu que M. </w:t>
      </w:r>
      <w:proofErr w:type="spellStart"/>
      <w:r w:rsidRPr="00D833AB">
        <w:rPr>
          <w:lang w:val="fr-FR"/>
        </w:rPr>
        <w:t>Aishan</w:t>
      </w:r>
      <w:proofErr w:type="spellEnd"/>
      <w:r w:rsidRPr="00D833AB">
        <w:rPr>
          <w:lang w:val="fr-FR"/>
        </w:rPr>
        <w:t xml:space="preserve"> avait suffisamment démontré qu’il courrait personnellement un risque prévisible et réel d’être soumis à la torture s’il était extradé vers la Chine, en violation de l’article 3 de la Convention. Relevant que M. </w:t>
      </w:r>
      <w:proofErr w:type="spellStart"/>
      <w:r w:rsidRPr="00D833AB">
        <w:rPr>
          <w:lang w:val="fr-FR"/>
        </w:rPr>
        <w:t>Aishan</w:t>
      </w:r>
      <w:proofErr w:type="spellEnd"/>
      <w:r w:rsidRPr="00D833AB">
        <w:rPr>
          <w:lang w:val="fr-FR"/>
        </w:rPr>
        <w:t xml:space="preserve"> était en détention préventive depuis près de deux ans, le Comité a également conclu que l’État </w:t>
      </w:r>
      <w:r>
        <w:rPr>
          <w:lang w:val="fr-FR"/>
        </w:rPr>
        <w:t>P</w:t>
      </w:r>
      <w:r w:rsidRPr="00D833AB">
        <w:rPr>
          <w:lang w:val="fr-FR"/>
        </w:rPr>
        <w:t>artie était tenu de le libérer ou de le juger si des charges étaient portées contre lui au Maroc.</w:t>
      </w:r>
    </w:p>
    <w:p w14:paraId="74DB93AC" w14:textId="4F7C3B19" w:rsidR="00F30361" w:rsidRPr="00D833AB" w:rsidRDefault="00F30361" w:rsidP="00F30361">
      <w:pPr>
        <w:pStyle w:val="SingleTxtG"/>
      </w:pPr>
      <w:r w:rsidRPr="00D833AB">
        <w:rPr>
          <w:lang w:val="fr-FR"/>
        </w:rPr>
        <w:t>45.</w:t>
      </w:r>
      <w:r w:rsidRPr="00D833AB">
        <w:rPr>
          <w:lang w:val="fr-FR"/>
        </w:rPr>
        <w:tab/>
        <w:t xml:space="preserve">Le Comité a conclu que le renvoi forcé des victimes présumées ne constituerait pas une violation par les États </w:t>
      </w:r>
      <w:r>
        <w:rPr>
          <w:lang w:val="fr-FR"/>
        </w:rPr>
        <w:t>P</w:t>
      </w:r>
      <w:r w:rsidRPr="00D833AB">
        <w:rPr>
          <w:lang w:val="fr-FR"/>
        </w:rPr>
        <w:t xml:space="preserve">arties de l’article 3 de la Convention dans ses décisions relatives aux affaires </w:t>
      </w:r>
      <w:r w:rsidRPr="00D833AB">
        <w:rPr>
          <w:i/>
          <w:iCs/>
          <w:lang w:val="fr-FR"/>
        </w:rPr>
        <w:t>Al </w:t>
      </w:r>
      <w:proofErr w:type="spellStart"/>
      <w:r w:rsidRPr="00D833AB">
        <w:rPr>
          <w:i/>
          <w:iCs/>
          <w:lang w:val="fr-FR"/>
        </w:rPr>
        <w:t>Hasani</w:t>
      </w:r>
      <w:proofErr w:type="spellEnd"/>
      <w:r w:rsidRPr="00D833AB">
        <w:rPr>
          <w:i/>
          <w:iCs/>
          <w:lang w:val="fr-FR"/>
        </w:rPr>
        <w:t> c. Maroc</w:t>
      </w:r>
      <w:r w:rsidRPr="00D833AB">
        <w:rPr>
          <w:lang w:val="fr-FR"/>
        </w:rPr>
        <w:t xml:space="preserve"> (</w:t>
      </w:r>
      <w:hyperlink r:id="rId104" w:history="1">
        <w:r w:rsidRPr="009059DB">
          <w:rPr>
            <w:rStyle w:val="Lienhypertexte"/>
            <w:lang w:val="fr-FR"/>
          </w:rPr>
          <w:t>CAT/C/80/D/1062/2021</w:t>
        </w:r>
      </w:hyperlink>
      <w:r w:rsidRPr="00D833AB">
        <w:rPr>
          <w:lang w:val="fr-FR"/>
        </w:rPr>
        <w:t xml:space="preserve">), </w:t>
      </w:r>
      <w:r w:rsidRPr="00D833AB">
        <w:rPr>
          <w:i/>
          <w:iCs/>
          <w:lang w:val="fr-FR"/>
        </w:rPr>
        <w:t>K. A. c. Suisse</w:t>
      </w:r>
      <w:r w:rsidRPr="00D833AB">
        <w:rPr>
          <w:lang w:val="fr-FR"/>
        </w:rPr>
        <w:t xml:space="preserve"> (</w:t>
      </w:r>
      <w:hyperlink r:id="rId105" w:history="1">
        <w:r w:rsidRPr="009059DB">
          <w:rPr>
            <w:rStyle w:val="Lienhypertexte"/>
            <w:lang w:val="fr-FR"/>
          </w:rPr>
          <w:t>CAT/C/80/D/</w:t>
        </w:r>
        <w:r w:rsidR="006D2DC3">
          <w:rPr>
            <w:rStyle w:val="Lienhypertexte"/>
            <w:lang w:val="fr-FR"/>
          </w:rPr>
          <w:br/>
        </w:r>
        <w:r w:rsidRPr="009059DB">
          <w:rPr>
            <w:rStyle w:val="Lienhypertexte"/>
            <w:lang w:val="fr-FR"/>
          </w:rPr>
          <w:t>1064/2021</w:t>
        </w:r>
      </w:hyperlink>
      <w:r w:rsidRPr="00D833AB">
        <w:rPr>
          <w:lang w:val="fr-FR"/>
        </w:rPr>
        <w:t xml:space="preserve">), </w:t>
      </w:r>
      <w:r w:rsidRPr="00D833AB">
        <w:rPr>
          <w:i/>
          <w:iCs/>
          <w:lang w:val="fr-FR"/>
        </w:rPr>
        <w:t>R. et consorts c. Suède</w:t>
      </w:r>
      <w:r w:rsidRPr="00D833AB">
        <w:rPr>
          <w:lang w:val="fr-FR"/>
        </w:rPr>
        <w:t xml:space="preserve"> (</w:t>
      </w:r>
      <w:hyperlink r:id="rId106" w:history="1">
        <w:r w:rsidRPr="009059DB">
          <w:rPr>
            <w:rStyle w:val="Lienhypertexte"/>
            <w:lang w:val="fr-FR"/>
          </w:rPr>
          <w:t>CAT/C/80/D/1073/2021</w:t>
        </w:r>
      </w:hyperlink>
      <w:r w:rsidRPr="00D833AB">
        <w:rPr>
          <w:lang w:val="fr-FR"/>
        </w:rPr>
        <w:t xml:space="preserve">), </w:t>
      </w:r>
      <w:r w:rsidRPr="00D833AB">
        <w:rPr>
          <w:i/>
          <w:iCs/>
          <w:lang w:val="fr-FR"/>
        </w:rPr>
        <w:t>S. P. c. Suisse</w:t>
      </w:r>
      <w:r w:rsidRPr="00D833AB">
        <w:rPr>
          <w:lang w:val="fr-FR"/>
        </w:rPr>
        <w:t xml:space="preserve"> (</w:t>
      </w:r>
      <w:hyperlink r:id="rId107" w:history="1">
        <w:r w:rsidRPr="009059DB">
          <w:rPr>
            <w:rStyle w:val="Lienhypertexte"/>
            <w:lang w:val="fr-FR"/>
          </w:rPr>
          <w:t>CAT/C/80/D/</w:t>
        </w:r>
        <w:r w:rsidR="006D2DC3">
          <w:rPr>
            <w:rStyle w:val="Lienhypertexte"/>
            <w:lang w:val="fr-FR"/>
          </w:rPr>
          <w:br/>
        </w:r>
        <w:r w:rsidRPr="009059DB">
          <w:rPr>
            <w:rStyle w:val="Lienhypertexte"/>
            <w:lang w:val="fr-FR"/>
          </w:rPr>
          <w:t>1086/2021</w:t>
        </w:r>
      </w:hyperlink>
      <w:r w:rsidRPr="00D833AB">
        <w:rPr>
          <w:lang w:val="fr-FR"/>
        </w:rPr>
        <w:t xml:space="preserve">), </w:t>
      </w:r>
      <w:r w:rsidRPr="00D833AB">
        <w:rPr>
          <w:i/>
          <w:iCs/>
          <w:lang w:val="fr-FR"/>
        </w:rPr>
        <w:t>P. S. c. Suisse</w:t>
      </w:r>
      <w:r w:rsidRPr="00D833AB">
        <w:rPr>
          <w:lang w:val="fr-FR"/>
        </w:rPr>
        <w:t xml:space="preserve"> (</w:t>
      </w:r>
      <w:hyperlink r:id="rId108" w:history="1">
        <w:r w:rsidRPr="009059DB">
          <w:rPr>
            <w:rStyle w:val="Lienhypertexte"/>
            <w:lang w:val="fr-FR"/>
          </w:rPr>
          <w:t>CAT/C/80/D/1088/2021</w:t>
        </w:r>
      </w:hyperlink>
      <w:r w:rsidRPr="00D833AB">
        <w:rPr>
          <w:lang w:val="fr-FR"/>
        </w:rPr>
        <w:t xml:space="preserve">), </w:t>
      </w:r>
      <w:r w:rsidRPr="00D833AB">
        <w:rPr>
          <w:i/>
          <w:iCs/>
          <w:lang w:val="fr-FR"/>
        </w:rPr>
        <w:t>M. N. c. Suisse</w:t>
      </w:r>
      <w:r w:rsidRPr="00D833AB">
        <w:rPr>
          <w:lang w:val="fr-FR"/>
        </w:rPr>
        <w:t xml:space="preserve"> (</w:t>
      </w:r>
      <w:hyperlink r:id="rId109" w:history="1">
        <w:r w:rsidRPr="009059DB">
          <w:rPr>
            <w:rStyle w:val="Lienhypertexte"/>
            <w:lang w:val="fr-FR"/>
          </w:rPr>
          <w:t>CAT/C/80/D/1095/</w:t>
        </w:r>
        <w:r w:rsidR="006D2DC3">
          <w:rPr>
            <w:rStyle w:val="Lienhypertexte"/>
            <w:lang w:val="fr-FR"/>
          </w:rPr>
          <w:br/>
        </w:r>
        <w:r w:rsidRPr="009059DB">
          <w:rPr>
            <w:rStyle w:val="Lienhypertexte"/>
            <w:lang w:val="fr-FR"/>
          </w:rPr>
          <w:t>2021</w:t>
        </w:r>
      </w:hyperlink>
      <w:r w:rsidRPr="00D833AB">
        <w:rPr>
          <w:lang w:val="fr-FR"/>
        </w:rPr>
        <w:t xml:space="preserve">), </w:t>
      </w:r>
      <w:r w:rsidRPr="00D833AB">
        <w:rPr>
          <w:i/>
          <w:iCs/>
          <w:lang w:val="fr-FR"/>
        </w:rPr>
        <w:t>S. S. c. Suisse</w:t>
      </w:r>
      <w:r w:rsidRPr="00D833AB">
        <w:rPr>
          <w:lang w:val="fr-FR"/>
        </w:rPr>
        <w:t xml:space="preserve"> (</w:t>
      </w:r>
      <w:hyperlink r:id="rId110" w:history="1">
        <w:r w:rsidRPr="009059DB">
          <w:rPr>
            <w:rStyle w:val="Lienhypertexte"/>
            <w:lang w:val="fr-FR"/>
          </w:rPr>
          <w:t>CAT/C/80/D/1104/2021</w:t>
        </w:r>
      </w:hyperlink>
      <w:r w:rsidRPr="00D833AB">
        <w:rPr>
          <w:lang w:val="fr-FR"/>
        </w:rPr>
        <w:t xml:space="preserve">), </w:t>
      </w:r>
      <w:r w:rsidRPr="00D833AB">
        <w:rPr>
          <w:i/>
          <w:iCs/>
          <w:lang w:val="fr-FR"/>
        </w:rPr>
        <w:t>I. A. c. Suisse</w:t>
      </w:r>
      <w:r w:rsidRPr="00D833AB">
        <w:rPr>
          <w:lang w:val="fr-FR"/>
        </w:rPr>
        <w:t xml:space="preserve"> (</w:t>
      </w:r>
      <w:hyperlink r:id="rId111" w:history="1">
        <w:r w:rsidRPr="009059DB">
          <w:rPr>
            <w:rStyle w:val="Lienhypertexte"/>
            <w:lang w:val="fr-FR"/>
          </w:rPr>
          <w:t>CAT/C/80/D/1106/2021</w:t>
        </w:r>
      </w:hyperlink>
      <w:r w:rsidRPr="00D833AB">
        <w:rPr>
          <w:lang w:val="fr-FR"/>
        </w:rPr>
        <w:t xml:space="preserve">) et </w:t>
      </w:r>
      <w:r w:rsidRPr="00D833AB">
        <w:rPr>
          <w:i/>
          <w:iCs/>
          <w:lang w:val="fr-FR"/>
        </w:rPr>
        <w:t>R. G. c. Suède</w:t>
      </w:r>
      <w:r w:rsidRPr="00D833AB">
        <w:rPr>
          <w:lang w:val="fr-FR"/>
        </w:rPr>
        <w:t xml:space="preserve"> (</w:t>
      </w:r>
      <w:hyperlink r:id="rId112" w:history="1">
        <w:r w:rsidRPr="009059DB">
          <w:rPr>
            <w:rStyle w:val="Lienhypertexte"/>
            <w:lang w:val="fr-FR"/>
          </w:rPr>
          <w:t>CAT/C/80/D/1119/2022</w:t>
        </w:r>
      </w:hyperlink>
      <w:r w:rsidRPr="00D833AB">
        <w:rPr>
          <w:lang w:val="fr-FR"/>
        </w:rPr>
        <w:t xml:space="preserve">). </w:t>
      </w:r>
    </w:p>
    <w:p w14:paraId="26BD1E67" w14:textId="0B35F831" w:rsidR="00F30361" w:rsidRPr="00D833AB" w:rsidRDefault="00F30361" w:rsidP="00F30361">
      <w:pPr>
        <w:pStyle w:val="SingleTxtG"/>
      </w:pPr>
      <w:r w:rsidRPr="00D833AB">
        <w:rPr>
          <w:lang w:val="fr-FR"/>
        </w:rPr>
        <w:t>46.</w:t>
      </w:r>
      <w:r w:rsidRPr="00D833AB">
        <w:rPr>
          <w:lang w:val="fr-FR"/>
        </w:rPr>
        <w:tab/>
        <w:t xml:space="preserve">Le Comité a déclaré irrecevables deux communications : la communication relative à l’affaire </w:t>
      </w:r>
      <w:r w:rsidRPr="00D833AB">
        <w:rPr>
          <w:i/>
          <w:iCs/>
          <w:lang w:val="fr-FR"/>
        </w:rPr>
        <w:t>A. M. c. Finlande</w:t>
      </w:r>
      <w:r w:rsidRPr="00D833AB">
        <w:rPr>
          <w:lang w:val="fr-FR"/>
        </w:rPr>
        <w:t xml:space="preserve"> (</w:t>
      </w:r>
      <w:hyperlink r:id="rId113" w:history="1">
        <w:r w:rsidRPr="009059DB">
          <w:rPr>
            <w:rStyle w:val="Lienhypertexte"/>
            <w:lang w:val="fr-FR"/>
          </w:rPr>
          <w:t>CAT/C/80/D/1020/2020</w:t>
        </w:r>
      </w:hyperlink>
      <w:r w:rsidRPr="00D833AB">
        <w:rPr>
          <w:lang w:val="fr-FR"/>
        </w:rPr>
        <w:t>), concernant l’expulsion du requérant de la Finlande vers la Fédération de Russie ou le Turkménistan, car il a estimé que le requérant n’avait pas épuisé tous les recours internes,</w:t>
      </w:r>
      <w:r w:rsidR="006D2DC3">
        <w:rPr>
          <w:lang w:val="fr-FR"/>
        </w:rPr>
        <w:t xml:space="preserve"> </w:t>
      </w:r>
      <w:r w:rsidRPr="00D833AB">
        <w:rPr>
          <w:lang w:val="fr-FR"/>
        </w:rPr>
        <w:t>comme l’exige l’article 22 (par.</w:t>
      </w:r>
      <w:r w:rsidR="006D2DC3">
        <w:rPr>
          <w:lang w:val="fr-FR"/>
        </w:rPr>
        <w:t> </w:t>
      </w:r>
      <w:r w:rsidRPr="00D833AB">
        <w:rPr>
          <w:lang w:val="fr-FR"/>
        </w:rPr>
        <w:t xml:space="preserve">5 b)) de la Convention, et la communication relative à l’affaire </w:t>
      </w:r>
      <w:r w:rsidRPr="00D833AB">
        <w:rPr>
          <w:i/>
          <w:iCs/>
          <w:lang w:val="fr-FR"/>
        </w:rPr>
        <w:t>A. A. c. Danemark</w:t>
      </w:r>
      <w:r w:rsidRPr="00D833AB">
        <w:rPr>
          <w:lang w:val="fr-FR"/>
        </w:rPr>
        <w:t xml:space="preserve"> (</w:t>
      </w:r>
      <w:hyperlink r:id="rId114" w:history="1">
        <w:r w:rsidRPr="009059DB">
          <w:rPr>
            <w:rStyle w:val="Lienhypertexte"/>
            <w:lang w:val="fr-FR"/>
          </w:rPr>
          <w:t>CAT/C/80/D/1068/2021</w:t>
        </w:r>
      </w:hyperlink>
      <w:r w:rsidRPr="00D833AB">
        <w:rPr>
          <w:lang w:val="fr-FR"/>
        </w:rPr>
        <w:t>), car il a estimé que le requérant n’avait pas suffisamment étayé ses griefs aux fins de la recevabilité.</w:t>
      </w:r>
    </w:p>
    <w:p w14:paraId="40442511" w14:textId="2BCD51DC" w:rsidR="00F30361" w:rsidRPr="00D833AB" w:rsidRDefault="00F30361" w:rsidP="00F30361">
      <w:pPr>
        <w:pStyle w:val="SingleTxtG"/>
      </w:pPr>
      <w:r w:rsidRPr="00D833AB">
        <w:rPr>
          <w:lang w:val="fr-FR"/>
        </w:rPr>
        <w:t>47.</w:t>
      </w:r>
      <w:r w:rsidRPr="00D833AB">
        <w:rPr>
          <w:lang w:val="fr-FR"/>
        </w:rPr>
        <w:tab/>
        <w:t>Le Comité a mis fin à l’examen de 19</w:t>
      </w:r>
      <w:r>
        <w:rPr>
          <w:lang w:val="fr-FR"/>
        </w:rPr>
        <w:t> </w:t>
      </w:r>
      <w:r w:rsidRPr="00D833AB">
        <w:rPr>
          <w:lang w:val="fr-FR"/>
        </w:rPr>
        <w:t xml:space="preserve">requêtes, concernant les affaires suivantes : </w:t>
      </w:r>
      <w:r w:rsidRPr="00D833AB">
        <w:rPr>
          <w:i/>
          <w:iCs/>
          <w:lang w:val="fr-FR"/>
        </w:rPr>
        <w:t>T. T. c. Australie</w:t>
      </w:r>
      <w:r w:rsidRPr="00D833AB">
        <w:rPr>
          <w:lang w:val="fr-FR"/>
        </w:rPr>
        <w:t xml:space="preserve"> (</w:t>
      </w:r>
      <w:hyperlink r:id="rId115" w:history="1">
        <w:r w:rsidRPr="009059DB">
          <w:rPr>
            <w:rStyle w:val="Lienhypertexte"/>
            <w:lang w:val="fr-FR"/>
          </w:rPr>
          <w:t>CAT/C/80/D/620/2014</w:t>
        </w:r>
      </w:hyperlink>
      <w:r w:rsidRPr="00D833AB">
        <w:rPr>
          <w:lang w:val="fr-FR"/>
        </w:rPr>
        <w:t xml:space="preserve">), </w:t>
      </w:r>
      <w:r w:rsidRPr="00D833AB">
        <w:rPr>
          <w:i/>
          <w:iCs/>
          <w:lang w:val="fr-FR"/>
        </w:rPr>
        <w:t>A.</w:t>
      </w:r>
      <w:r>
        <w:rPr>
          <w:i/>
          <w:iCs/>
          <w:lang w:val="fr-FR"/>
        </w:rPr>
        <w:t> </w:t>
      </w:r>
      <w:r w:rsidRPr="00D833AB">
        <w:rPr>
          <w:i/>
          <w:iCs/>
          <w:lang w:val="fr-FR"/>
        </w:rPr>
        <w:t>H.</w:t>
      </w:r>
      <w:r w:rsidR="006D2DC3">
        <w:rPr>
          <w:i/>
          <w:iCs/>
          <w:lang w:val="fr-FR"/>
        </w:rPr>
        <w:t> </w:t>
      </w:r>
      <w:r w:rsidRPr="00D833AB">
        <w:rPr>
          <w:i/>
          <w:iCs/>
          <w:lang w:val="fr-FR"/>
        </w:rPr>
        <w:t>M. c. Danemark</w:t>
      </w:r>
      <w:r w:rsidRPr="00D833AB">
        <w:rPr>
          <w:lang w:val="fr-FR"/>
        </w:rPr>
        <w:t xml:space="preserve"> (</w:t>
      </w:r>
      <w:hyperlink r:id="rId116" w:history="1">
        <w:r w:rsidRPr="009059DB">
          <w:rPr>
            <w:rStyle w:val="Lienhypertexte"/>
            <w:lang w:val="fr-FR"/>
          </w:rPr>
          <w:t>CAT/C/80/D/985/2020</w:t>
        </w:r>
      </w:hyperlink>
      <w:r w:rsidRPr="00D833AB">
        <w:rPr>
          <w:lang w:val="fr-FR"/>
        </w:rPr>
        <w:t xml:space="preserve">), </w:t>
      </w:r>
      <w:r w:rsidRPr="00D833AB">
        <w:rPr>
          <w:i/>
          <w:iCs/>
          <w:spacing w:val="-6"/>
          <w:lang w:val="fr-FR"/>
        </w:rPr>
        <w:t>K. A. c. Finlande</w:t>
      </w:r>
      <w:r w:rsidRPr="00D833AB">
        <w:rPr>
          <w:spacing w:val="-6"/>
          <w:lang w:val="fr-FR"/>
        </w:rPr>
        <w:t xml:space="preserve"> (</w:t>
      </w:r>
      <w:hyperlink r:id="rId117" w:history="1">
        <w:r w:rsidRPr="009059DB">
          <w:rPr>
            <w:rStyle w:val="Lienhypertexte"/>
            <w:spacing w:val="-6"/>
            <w:lang w:val="fr-FR"/>
          </w:rPr>
          <w:t>CAT/C/80/D/1019/2020</w:t>
        </w:r>
      </w:hyperlink>
      <w:r w:rsidRPr="00D833AB">
        <w:rPr>
          <w:spacing w:val="-6"/>
          <w:lang w:val="fr-FR"/>
        </w:rPr>
        <w:t xml:space="preserve">), </w:t>
      </w:r>
      <w:r w:rsidRPr="00D833AB">
        <w:rPr>
          <w:i/>
          <w:iCs/>
          <w:spacing w:val="-6"/>
          <w:lang w:val="fr-FR"/>
        </w:rPr>
        <w:t>S. A. et consorts c. Suède</w:t>
      </w:r>
      <w:r w:rsidRPr="00D833AB">
        <w:rPr>
          <w:spacing w:val="-6"/>
          <w:lang w:val="fr-FR"/>
        </w:rPr>
        <w:t xml:space="preserve"> (</w:t>
      </w:r>
      <w:hyperlink r:id="rId118" w:history="1">
        <w:r w:rsidRPr="009059DB">
          <w:rPr>
            <w:rStyle w:val="Lienhypertexte"/>
            <w:spacing w:val="-6"/>
            <w:lang w:val="fr-FR"/>
          </w:rPr>
          <w:t>CAT/C/80/D/1042/2020</w:t>
        </w:r>
      </w:hyperlink>
      <w:r w:rsidRPr="00D833AB">
        <w:rPr>
          <w:spacing w:val="-6"/>
          <w:lang w:val="fr-FR"/>
        </w:rPr>
        <w:t>),</w:t>
      </w:r>
      <w:r w:rsidRPr="00D833AB">
        <w:rPr>
          <w:lang w:val="fr-FR"/>
        </w:rPr>
        <w:t xml:space="preserve"> </w:t>
      </w:r>
      <w:r w:rsidRPr="00D833AB">
        <w:rPr>
          <w:i/>
          <w:iCs/>
          <w:lang w:val="fr-FR"/>
        </w:rPr>
        <w:t>M. K.</w:t>
      </w:r>
      <w:r w:rsidR="00991843">
        <w:rPr>
          <w:i/>
          <w:iCs/>
          <w:lang w:val="fr-FR"/>
        </w:rPr>
        <w:t xml:space="preserve"> </w:t>
      </w:r>
      <w:r w:rsidRPr="00D833AB">
        <w:rPr>
          <w:i/>
          <w:iCs/>
          <w:lang w:val="fr-FR"/>
        </w:rPr>
        <w:t>c. Suède</w:t>
      </w:r>
      <w:r w:rsidRPr="00D833AB">
        <w:rPr>
          <w:lang w:val="fr-FR"/>
        </w:rPr>
        <w:t xml:space="preserve"> (</w:t>
      </w:r>
      <w:hyperlink r:id="rId119" w:history="1">
        <w:r w:rsidRPr="009059DB">
          <w:rPr>
            <w:rStyle w:val="Lienhypertexte"/>
            <w:lang w:val="fr-FR"/>
          </w:rPr>
          <w:t>CAT/C/80/D/1057/2021</w:t>
        </w:r>
      </w:hyperlink>
      <w:r w:rsidRPr="00D833AB">
        <w:rPr>
          <w:lang w:val="fr-FR"/>
        </w:rPr>
        <w:t xml:space="preserve">), </w:t>
      </w:r>
      <w:r w:rsidRPr="00D833AB">
        <w:rPr>
          <w:i/>
          <w:iCs/>
          <w:lang w:val="fr-FR"/>
        </w:rPr>
        <w:t>N. A. c. Suède</w:t>
      </w:r>
      <w:r w:rsidRPr="00D833AB">
        <w:rPr>
          <w:lang w:val="fr-FR"/>
        </w:rPr>
        <w:t xml:space="preserve"> (</w:t>
      </w:r>
      <w:hyperlink r:id="rId120" w:history="1">
        <w:r w:rsidRPr="009059DB">
          <w:rPr>
            <w:rStyle w:val="Lienhypertexte"/>
            <w:lang w:val="fr-FR"/>
          </w:rPr>
          <w:t>CAT/C/80/D/1067/2021</w:t>
        </w:r>
      </w:hyperlink>
      <w:r w:rsidRPr="00D833AB">
        <w:rPr>
          <w:lang w:val="fr-FR"/>
        </w:rPr>
        <w:t xml:space="preserve">), </w:t>
      </w:r>
      <w:r w:rsidRPr="00D833AB">
        <w:rPr>
          <w:i/>
          <w:iCs/>
          <w:lang w:val="fr-FR"/>
        </w:rPr>
        <w:t>H. R.</w:t>
      </w:r>
      <w:r w:rsidR="00991843">
        <w:rPr>
          <w:i/>
          <w:iCs/>
          <w:lang w:val="fr-FR"/>
        </w:rPr>
        <w:t xml:space="preserve"> </w:t>
      </w:r>
      <w:r w:rsidRPr="00D833AB">
        <w:rPr>
          <w:i/>
          <w:iCs/>
          <w:lang w:val="fr-FR"/>
        </w:rPr>
        <w:t>c. Suède</w:t>
      </w:r>
      <w:r w:rsidRPr="00D833AB">
        <w:rPr>
          <w:lang w:val="fr-FR"/>
        </w:rPr>
        <w:t xml:space="preserve"> (</w:t>
      </w:r>
      <w:hyperlink r:id="rId121" w:history="1">
        <w:r w:rsidRPr="009059DB">
          <w:rPr>
            <w:rStyle w:val="Lienhypertexte"/>
            <w:lang w:val="fr-FR"/>
          </w:rPr>
          <w:t>CAT/C/80/D/1074/2021</w:t>
        </w:r>
      </w:hyperlink>
      <w:r w:rsidRPr="00D833AB">
        <w:rPr>
          <w:lang w:val="fr-FR"/>
        </w:rPr>
        <w:t xml:space="preserve">), </w:t>
      </w:r>
      <w:r w:rsidRPr="00D833AB">
        <w:rPr>
          <w:i/>
          <w:iCs/>
          <w:lang w:val="fr-FR"/>
        </w:rPr>
        <w:t>T. M. c. Suisse</w:t>
      </w:r>
      <w:r w:rsidRPr="00D833AB">
        <w:rPr>
          <w:lang w:val="fr-FR"/>
        </w:rPr>
        <w:t xml:space="preserve"> (</w:t>
      </w:r>
      <w:hyperlink r:id="rId122" w:history="1">
        <w:r w:rsidRPr="009059DB">
          <w:rPr>
            <w:rStyle w:val="Lienhypertexte"/>
            <w:lang w:val="fr-FR"/>
          </w:rPr>
          <w:t>CAT/C/80/D/1080/2021</w:t>
        </w:r>
      </w:hyperlink>
      <w:r w:rsidRPr="00D833AB">
        <w:rPr>
          <w:lang w:val="fr-FR"/>
        </w:rPr>
        <w:t xml:space="preserve">), </w:t>
      </w:r>
      <w:r w:rsidRPr="00D833AB">
        <w:rPr>
          <w:i/>
          <w:iCs/>
          <w:lang w:val="fr-FR"/>
        </w:rPr>
        <w:t>R. H.</w:t>
      </w:r>
      <w:r w:rsidR="00991843">
        <w:rPr>
          <w:i/>
          <w:iCs/>
          <w:lang w:val="fr-FR"/>
        </w:rPr>
        <w:t xml:space="preserve"> </w:t>
      </w:r>
      <w:r w:rsidRPr="00D833AB">
        <w:rPr>
          <w:i/>
          <w:iCs/>
          <w:lang w:val="fr-FR"/>
        </w:rPr>
        <w:t>c. Australie</w:t>
      </w:r>
      <w:r w:rsidRPr="00D833AB">
        <w:rPr>
          <w:lang w:val="fr-FR"/>
        </w:rPr>
        <w:t xml:space="preserve"> (</w:t>
      </w:r>
      <w:hyperlink r:id="rId123" w:history="1">
        <w:r w:rsidRPr="009059DB">
          <w:rPr>
            <w:rStyle w:val="Lienhypertexte"/>
            <w:lang w:val="fr-FR"/>
          </w:rPr>
          <w:t>CAT/C/80/D/1083/2021</w:t>
        </w:r>
      </w:hyperlink>
      <w:r w:rsidRPr="00D833AB">
        <w:rPr>
          <w:lang w:val="fr-FR"/>
        </w:rPr>
        <w:t xml:space="preserve">), </w:t>
      </w:r>
      <w:r w:rsidRPr="00D833AB">
        <w:rPr>
          <w:i/>
          <w:iCs/>
          <w:lang w:val="fr-FR"/>
        </w:rPr>
        <w:t>T. B. c. Australie</w:t>
      </w:r>
      <w:r w:rsidRPr="00D833AB">
        <w:rPr>
          <w:lang w:val="fr-FR"/>
        </w:rPr>
        <w:t xml:space="preserve"> (</w:t>
      </w:r>
      <w:hyperlink r:id="rId124" w:history="1">
        <w:r w:rsidRPr="009059DB">
          <w:rPr>
            <w:rStyle w:val="Lienhypertexte"/>
            <w:lang w:val="fr-FR"/>
          </w:rPr>
          <w:t>CAT/C/80/D/1090/2021</w:t>
        </w:r>
      </w:hyperlink>
      <w:r w:rsidRPr="00D833AB">
        <w:rPr>
          <w:lang w:val="fr-FR"/>
        </w:rPr>
        <w:t xml:space="preserve">), </w:t>
      </w:r>
      <w:r w:rsidRPr="00D833AB">
        <w:rPr>
          <w:i/>
          <w:iCs/>
          <w:spacing w:val="-8"/>
          <w:lang w:val="fr-FR"/>
        </w:rPr>
        <w:t>F. A. M.</w:t>
      </w:r>
      <w:r w:rsidR="00991843">
        <w:rPr>
          <w:i/>
          <w:iCs/>
          <w:spacing w:val="-8"/>
          <w:lang w:val="fr-FR"/>
        </w:rPr>
        <w:t xml:space="preserve"> </w:t>
      </w:r>
      <w:r w:rsidRPr="00D833AB">
        <w:rPr>
          <w:i/>
          <w:iCs/>
          <w:spacing w:val="-8"/>
          <w:lang w:val="fr-FR"/>
        </w:rPr>
        <w:t>et consorts c. Suède</w:t>
      </w:r>
      <w:r w:rsidRPr="00D833AB">
        <w:rPr>
          <w:spacing w:val="-8"/>
          <w:lang w:val="fr-FR"/>
        </w:rPr>
        <w:t xml:space="preserve"> (</w:t>
      </w:r>
      <w:hyperlink r:id="rId125" w:history="1">
        <w:r w:rsidRPr="009059DB">
          <w:rPr>
            <w:rStyle w:val="Lienhypertexte"/>
            <w:spacing w:val="-8"/>
            <w:lang w:val="fr-FR"/>
          </w:rPr>
          <w:t>CAT/C/80/D/1094/2021</w:t>
        </w:r>
      </w:hyperlink>
      <w:r w:rsidRPr="00D833AB">
        <w:rPr>
          <w:spacing w:val="-8"/>
          <w:lang w:val="fr-FR"/>
        </w:rPr>
        <w:t xml:space="preserve">), </w:t>
      </w:r>
      <w:r w:rsidRPr="00D833AB">
        <w:rPr>
          <w:i/>
          <w:iCs/>
          <w:spacing w:val="-8"/>
          <w:lang w:val="fr-FR"/>
        </w:rPr>
        <w:t>A. S. H. c. Suède</w:t>
      </w:r>
      <w:r w:rsidRPr="00D833AB">
        <w:rPr>
          <w:spacing w:val="-8"/>
          <w:lang w:val="fr-FR"/>
        </w:rPr>
        <w:t xml:space="preserve"> (</w:t>
      </w:r>
      <w:hyperlink r:id="rId126" w:history="1">
        <w:r w:rsidRPr="009059DB">
          <w:rPr>
            <w:rStyle w:val="Lienhypertexte"/>
            <w:spacing w:val="-8"/>
            <w:lang w:val="fr-FR"/>
          </w:rPr>
          <w:t>CAT/C/80/D/1115/2021</w:t>
        </w:r>
      </w:hyperlink>
      <w:r w:rsidRPr="00D833AB">
        <w:rPr>
          <w:spacing w:val="-8"/>
          <w:lang w:val="fr-FR"/>
        </w:rPr>
        <w:t>),</w:t>
      </w:r>
      <w:r w:rsidRPr="00D833AB">
        <w:rPr>
          <w:lang w:val="fr-FR"/>
        </w:rPr>
        <w:t xml:space="preserve"> </w:t>
      </w:r>
      <w:r w:rsidRPr="00D833AB">
        <w:rPr>
          <w:i/>
          <w:iCs/>
          <w:lang w:val="fr-FR"/>
        </w:rPr>
        <w:t>P. K. c.</w:t>
      </w:r>
      <w:r w:rsidR="00991843">
        <w:rPr>
          <w:i/>
          <w:iCs/>
          <w:lang w:val="fr-FR"/>
        </w:rPr>
        <w:t xml:space="preserve"> </w:t>
      </w:r>
      <w:r w:rsidRPr="00D833AB">
        <w:rPr>
          <w:i/>
          <w:iCs/>
          <w:lang w:val="fr-FR"/>
        </w:rPr>
        <w:t>Suède</w:t>
      </w:r>
      <w:r w:rsidRPr="00D833AB">
        <w:rPr>
          <w:lang w:val="fr-FR"/>
        </w:rPr>
        <w:t xml:space="preserve"> (</w:t>
      </w:r>
      <w:hyperlink r:id="rId127" w:history="1">
        <w:r w:rsidRPr="009059DB">
          <w:rPr>
            <w:rStyle w:val="Lienhypertexte"/>
            <w:lang w:val="fr-FR"/>
          </w:rPr>
          <w:t>CAT/C/80/D/1124/2022</w:t>
        </w:r>
      </w:hyperlink>
      <w:r w:rsidRPr="00D833AB">
        <w:rPr>
          <w:lang w:val="fr-FR"/>
        </w:rPr>
        <w:t xml:space="preserve">), </w:t>
      </w:r>
      <w:r w:rsidRPr="00D833AB">
        <w:rPr>
          <w:i/>
          <w:iCs/>
          <w:lang w:val="fr-FR"/>
        </w:rPr>
        <w:t>A. T. T. c. Suisse</w:t>
      </w:r>
      <w:r w:rsidRPr="00D833AB">
        <w:rPr>
          <w:lang w:val="fr-FR"/>
        </w:rPr>
        <w:t xml:space="preserve"> (</w:t>
      </w:r>
      <w:hyperlink r:id="rId128" w:history="1">
        <w:r w:rsidRPr="009059DB">
          <w:rPr>
            <w:rStyle w:val="Lienhypertexte"/>
            <w:lang w:val="fr-FR"/>
          </w:rPr>
          <w:t>CAT/C/80/D/1125/2022</w:t>
        </w:r>
      </w:hyperlink>
      <w:r w:rsidRPr="00D833AB">
        <w:rPr>
          <w:lang w:val="fr-FR"/>
        </w:rPr>
        <w:t xml:space="preserve">), </w:t>
      </w:r>
      <w:r w:rsidRPr="00D833AB">
        <w:rPr>
          <w:i/>
          <w:iCs/>
          <w:lang w:val="fr-FR"/>
        </w:rPr>
        <w:t>A. B. c. Suède</w:t>
      </w:r>
      <w:r w:rsidRPr="00D833AB">
        <w:rPr>
          <w:lang w:val="fr-FR"/>
        </w:rPr>
        <w:t xml:space="preserve"> (</w:t>
      </w:r>
      <w:hyperlink r:id="rId129" w:history="1">
        <w:r w:rsidRPr="009059DB">
          <w:rPr>
            <w:rStyle w:val="Lienhypertexte"/>
            <w:lang w:val="fr-FR"/>
          </w:rPr>
          <w:t>CAT/C/80/D/1139/2022</w:t>
        </w:r>
      </w:hyperlink>
      <w:r w:rsidRPr="00D833AB">
        <w:rPr>
          <w:lang w:val="fr-FR"/>
        </w:rPr>
        <w:t xml:space="preserve">), </w:t>
      </w:r>
      <w:r w:rsidRPr="00D833AB">
        <w:rPr>
          <w:i/>
          <w:iCs/>
          <w:lang w:val="fr-FR"/>
        </w:rPr>
        <w:t>B. I. c. Suède</w:t>
      </w:r>
      <w:r w:rsidRPr="00D833AB">
        <w:rPr>
          <w:lang w:val="fr-FR"/>
        </w:rPr>
        <w:t xml:space="preserve"> (</w:t>
      </w:r>
      <w:hyperlink r:id="rId130" w:history="1">
        <w:r w:rsidRPr="009059DB">
          <w:rPr>
            <w:rStyle w:val="Lienhypertexte"/>
            <w:lang w:val="fr-FR"/>
          </w:rPr>
          <w:t>CAT/C/80/D/1154/2022</w:t>
        </w:r>
      </w:hyperlink>
      <w:r w:rsidRPr="00D833AB">
        <w:rPr>
          <w:lang w:val="fr-FR"/>
        </w:rPr>
        <w:t xml:space="preserve">), </w:t>
      </w:r>
      <w:r w:rsidRPr="00D833AB">
        <w:rPr>
          <w:i/>
          <w:iCs/>
          <w:lang w:val="fr-FR"/>
        </w:rPr>
        <w:t>M. L. M. W. c. Suisse</w:t>
      </w:r>
      <w:r w:rsidRPr="00D833AB">
        <w:rPr>
          <w:lang w:val="fr-FR"/>
        </w:rPr>
        <w:t xml:space="preserve"> (</w:t>
      </w:r>
      <w:hyperlink r:id="rId131" w:history="1">
        <w:r w:rsidRPr="009059DB">
          <w:rPr>
            <w:rStyle w:val="Lienhypertexte"/>
            <w:lang w:val="fr-FR"/>
          </w:rPr>
          <w:t>CAT/C/80/D/1171/2023</w:t>
        </w:r>
      </w:hyperlink>
      <w:r w:rsidRPr="00D833AB">
        <w:rPr>
          <w:lang w:val="fr-FR"/>
        </w:rPr>
        <w:t xml:space="preserve">), </w:t>
      </w:r>
      <w:r w:rsidRPr="00D833AB">
        <w:rPr>
          <w:i/>
          <w:iCs/>
          <w:lang w:val="fr-FR"/>
        </w:rPr>
        <w:t>S. K. c. Bulgarie</w:t>
      </w:r>
      <w:r w:rsidRPr="00D833AB">
        <w:rPr>
          <w:lang w:val="fr-FR"/>
        </w:rPr>
        <w:t xml:space="preserve"> (</w:t>
      </w:r>
      <w:hyperlink r:id="rId132" w:history="1">
        <w:r w:rsidRPr="009059DB">
          <w:rPr>
            <w:rStyle w:val="Lienhypertexte"/>
            <w:lang w:val="fr-FR"/>
          </w:rPr>
          <w:t>CAT/C/80/D/1182/2023</w:t>
        </w:r>
      </w:hyperlink>
      <w:r w:rsidRPr="00D833AB">
        <w:rPr>
          <w:lang w:val="fr-FR"/>
        </w:rPr>
        <w:t xml:space="preserve">) et </w:t>
      </w:r>
      <w:r w:rsidRPr="00D833AB">
        <w:rPr>
          <w:i/>
          <w:iCs/>
          <w:lang w:val="fr-FR"/>
        </w:rPr>
        <w:t>B. N.</w:t>
      </w:r>
      <w:r w:rsidR="00991843">
        <w:rPr>
          <w:i/>
          <w:iCs/>
          <w:lang w:val="fr-FR"/>
        </w:rPr>
        <w:t xml:space="preserve"> </w:t>
      </w:r>
      <w:r w:rsidRPr="00D833AB">
        <w:rPr>
          <w:i/>
          <w:iCs/>
          <w:lang w:val="fr-FR"/>
        </w:rPr>
        <w:t>et</w:t>
      </w:r>
      <w:r w:rsidR="00991843">
        <w:rPr>
          <w:i/>
          <w:iCs/>
          <w:lang w:val="fr-FR"/>
        </w:rPr>
        <w:t xml:space="preserve"> </w:t>
      </w:r>
      <w:r w:rsidRPr="00D833AB">
        <w:rPr>
          <w:i/>
          <w:iCs/>
          <w:lang w:val="fr-FR"/>
        </w:rPr>
        <w:t>consorts</w:t>
      </w:r>
      <w:r w:rsidR="00991843">
        <w:rPr>
          <w:i/>
          <w:iCs/>
          <w:lang w:val="fr-FR"/>
        </w:rPr>
        <w:t xml:space="preserve"> </w:t>
      </w:r>
      <w:r w:rsidRPr="00D833AB">
        <w:rPr>
          <w:i/>
          <w:iCs/>
          <w:lang w:val="fr-FR"/>
        </w:rPr>
        <w:t>c. Suède</w:t>
      </w:r>
      <w:r w:rsidRPr="00D833AB">
        <w:rPr>
          <w:lang w:val="fr-FR"/>
        </w:rPr>
        <w:t xml:space="preserve"> (</w:t>
      </w:r>
      <w:hyperlink r:id="rId133" w:history="1">
        <w:r w:rsidRPr="009059DB">
          <w:rPr>
            <w:rStyle w:val="Lienhypertexte"/>
            <w:lang w:val="fr-FR"/>
          </w:rPr>
          <w:t>CAT/C/80/D/1193/2023</w:t>
        </w:r>
      </w:hyperlink>
      <w:r w:rsidRPr="00D833AB">
        <w:rPr>
          <w:lang w:val="fr-FR"/>
        </w:rPr>
        <w:t>).</w:t>
      </w:r>
    </w:p>
    <w:p w14:paraId="114EDA3D" w14:textId="77777777" w:rsidR="00F30361" w:rsidRPr="00D833AB" w:rsidRDefault="00F30361" w:rsidP="00F30361">
      <w:pPr>
        <w:pStyle w:val="SingleTxtG"/>
      </w:pPr>
      <w:r w:rsidRPr="00D833AB">
        <w:rPr>
          <w:lang w:val="fr-FR"/>
        </w:rPr>
        <w:t>48.</w:t>
      </w:r>
      <w:r w:rsidRPr="00D833AB">
        <w:rPr>
          <w:lang w:val="fr-FR"/>
        </w:rPr>
        <w:tab/>
        <w:t xml:space="preserve">À sa quatre-vingt-unième session, le Comité a adopté des décisions sur le fond concernant six communications. Dans l’affaire </w:t>
      </w:r>
      <w:proofErr w:type="spellStart"/>
      <w:r w:rsidRPr="00D833AB">
        <w:rPr>
          <w:i/>
          <w:iCs/>
          <w:lang w:val="fr-FR"/>
        </w:rPr>
        <w:t>Turhan</w:t>
      </w:r>
      <w:proofErr w:type="spellEnd"/>
      <w:r w:rsidRPr="00D833AB">
        <w:rPr>
          <w:i/>
          <w:iCs/>
          <w:lang w:val="fr-FR"/>
        </w:rPr>
        <w:t xml:space="preserve"> c. Suède</w:t>
      </w:r>
      <w:r w:rsidRPr="00D833AB">
        <w:rPr>
          <w:lang w:val="fr-FR"/>
        </w:rPr>
        <w:t xml:space="preserve"> (</w:t>
      </w:r>
      <w:hyperlink r:id="rId134" w:history="1">
        <w:r w:rsidRPr="009059DB">
          <w:rPr>
            <w:rStyle w:val="Lienhypertexte"/>
            <w:lang w:val="fr-FR"/>
          </w:rPr>
          <w:t>CAT/C/81/D/1109/2021</w:t>
        </w:r>
      </w:hyperlink>
      <w:r w:rsidRPr="00D833AB">
        <w:rPr>
          <w:lang w:val="fr-FR"/>
        </w:rPr>
        <w:t xml:space="preserve">), concernant un ressortissant turc affilié au mouvement </w:t>
      </w:r>
      <w:proofErr w:type="spellStart"/>
      <w:r w:rsidRPr="00D833AB">
        <w:rPr>
          <w:lang w:val="fr-FR"/>
        </w:rPr>
        <w:t>Hizmet</w:t>
      </w:r>
      <w:proofErr w:type="spellEnd"/>
      <w:r w:rsidRPr="00D833AB">
        <w:rPr>
          <w:lang w:val="fr-FR"/>
        </w:rPr>
        <w:t>/</w:t>
      </w:r>
      <w:proofErr w:type="spellStart"/>
      <w:r w:rsidRPr="00D833AB">
        <w:rPr>
          <w:lang w:val="fr-FR"/>
        </w:rPr>
        <w:t>Gülen</w:t>
      </w:r>
      <w:proofErr w:type="spellEnd"/>
      <w:r w:rsidRPr="00D833AB">
        <w:rPr>
          <w:lang w:val="fr-FR"/>
        </w:rPr>
        <w:t xml:space="preserve">, que l’État </w:t>
      </w:r>
      <w:r>
        <w:rPr>
          <w:lang w:val="fr-FR"/>
        </w:rPr>
        <w:t>P</w:t>
      </w:r>
      <w:r w:rsidRPr="00D833AB">
        <w:rPr>
          <w:lang w:val="fr-FR"/>
        </w:rPr>
        <w:t>artie avait décidé d’expulser vers le Kosovo</w:t>
      </w:r>
      <w:r w:rsidRPr="00C65C7E">
        <w:rPr>
          <w:rStyle w:val="Appelnotedebasdep"/>
        </w:rPr>
        <w:footnoteReference w:id="18"/>
      </w:r>
      <w:r w:rsidRPr="00D833AB">
        <w:rPr>
          <w:lang w:val="fr-FR"/>
        </w:rPr>
        <w:t>, le Comité a conclu que le requérant avait suffisamment démontré que, s’il était renvoyé au Kosovo, il courrait personnellement un risque prévisible et réel d’être transféré vers la Türkiye, où il risquerait d’être soumis à la torture, en violation de l’article</w:t>
      </w:r>
      <w:r>
        <w:rPr>
          <w:lang w:val="fr-FR"/>
        </w:rPr>
        <w:t> </w:t>
      </w:r>
      <w:r w:rsidRPr="00D833AB">
        <w:rPr>
          <w:lang w:val="fr-FR"/>
        </w:rPr>
        <w:t xml:space="preserve">3 de la Convention. Le Comité a donc demandé à l’État </w:t>
      </w:r>
      <w:r>
        <w:rPr>
          <w:lang w:val="fr-FR"/>
        </w:rPr>
        <w:t>P</w:t>
      </w:r>
      <w:r w:rsidRPr="00D833AB">
        <w:rPr>
          <w:lang w:val="fr-FR"/>
        </w:rPr>
        <w:t>artie de s’abstenir de renvoyer de force le requérant au Kosovo.</w:t>
      </w:r>
    </w:p>
    <w:p w14:paraId="19172091" w14:textId="7ECA3491" w:rsidR="00F30361" w:rsidRPr="00991843" w:rsidRDefault="00F30361" w:rsidP="00F30361">
      <w:pPr>
        <w:pStyle w:val="SingleTxtG"/>
        <w:rPr>
          <w:spacing w:val="-2"/>
        </w:rPr>
      </w:pPr>
      <w:r w:rsidRPr="00991843">
        <w:rPr>
          <w:spacing w:val="-2"/>
          <w:lang w:val="fr-FR"/>
        </w:rPr>
        <w:t>49.</w:t>
      </w:r>
      <w:r w:rsidRPr="00991843">
        <w:rPr>
          <w:spacing w:val="-2"/>
          <w:lang w:val="fr-FR"/>
        </w:rPr>
        <w:tab/>
        <w:t xml:space="preserve">Le Comité a conclu que le renvoi forcé des victimes présumées ne constituerait pas une violation par les États Parties de l’article 3 de la Convention dans ses décisions relatives aux affaires </w:t>
      </w:r>
      <w:r w:rsidRPr="00991843">
        <w:rPr>
          <w:i/>
          <w:iCs/>
          <w:spacing w:val="-2"/>
          <w:lang w:val="fr-FR"/>
        </w:rPr>
        <w:t>M. T. c. Suède</w:t>
      </w:r>
      <w:r w:rsidRPr="00991843">
        <w:rPr>
          <w:spacing w:val="-2"/>
          <w:lang w:val="fr-FR"/>
        </w:rPr>
        <w:t xml:space="preserve"> (</w:t>
      </w:r>
      <w:hyperlink r:id="rId135" w:history="1">
        <w:r w:rsidRPr="00991843">
          <w:rPr>
            <w:rStyle w:val="Lienhypertexte"/>
            <w:spacing w:val="-2"/>
            <w:lang w:val="fr-FR"/>
          </w:rPr>
          <w:t>CAT/C/81/D/997/2020</w:t>
        </w:r>
      </w:hyperlink>
      <w:r w:rsidRPr="00991843">
        <w:rPr>
          <w:spacing w:val="-2"/>
          <w:lang w:val="fr-FR"/>
        </w:rPr>
        <w:t xml:space="preserve">), </w:t>
      </w:r>
      <w:r w:rsidRPr="00991843">
        <w:rPr>
          <w:i/>
          <w:iCs/>
          <w:spacing w:val="-2"/>
          <w:lang w:val="fr-FR"/>
        </w:rPr>
        <w:t>L. S. c. Suisse</w:t>
      </w:r>
      <w:r w:rsidRPr="00991843">
        <w:rPr>
          <w:spacing w:val="-2"/>
          <w:lang w:val="fr-FR"/>
        </w:rPr>
        <w:t xml:space="preserve"> (</w:t>
      </w:r>
      <w:hyperlink r:id="rId136" w:history="1">
        <w:r w:rsidRPr="00991843">
          <w:rPr>
            <w:rStyle w:val="Lienhypertexte"/>
            <w:spacing w:val="-2"/>
            <w:lang w:val="fr-FR"/>
          </w:rPr>
          <w:t>CAT/C/81/D/1036/2020</w:t>
        </w:r>
      </w:hyperlink>
      <w:r w:rsidRPr="00991843">
        <w:rPr>
          <w:spacing w:val="-2"/>
          <w:lang w:val="fr-FR"/>
        </w:rPr>
        <w:t xml:space="preserve">), </w:t>
      </w:r>
      <w:r w:rsidRPr="00991843">
        <w:rPr>
          <w:i/>
          <w:iCs/>
          <w:spacing w:val="-2"/>
          <w:lang w:val="fr-FR"/>
        </w:rPr>
        <w:t>J. V. c. Australie</w:t>
      </w:r>
      <w:r w:rsidRPr="00991843">
        <w:rPr>
          <w:spacing w:val="-2"/>
          <w:lang w:val="fr-FR"/>
        </w:rPr>
        <w:t xml:space="preserve"> (</w:t>
      </w:r>
      <w:hyperlink r:id="rId137" w:history="1">
        <w:r w:rsidRPr="00991843">
          <w:rPr>
            <w:rStyle w:val="Lienhypertexte"/>
            <w:spacing w:val="-2"/>
            <w:lang w:val="fr-FR"/>
          </w:rPr>
          <w:t>CAT/C/81/D</w:t>
        </w:r>
        <w:r w:rsidRPr="00991843">
          <w:rPr>
            <w:rStyle w:val="Lienhypertexte"/>
            <w:spacing w:val="-2"/>
            <w:lang w:val="fr-FR"/>
          </w:rPr>
          <w:t>/</w:t>
        </w:r>
        <w:r w:rsidRPr="00991843">
          <w:rPr>
            <w:rStyle w:val="Lienhypertexte"/>
            <w:spacing w:val="-2"/>
            <w:lang w:val="fr-FR"/>
          </w:rPr>
          <w:t>1051/2021</w:t>
        </w:r>
      </w:hyperlink>
      <w:r w:rsidRPr="00991843">
        <w:rPr>
          <w:spacing w:val="-2"/>
          <w:lang w:val="fr-FR"/>
        </w:rPr>
        <w:t xml:space="preserve">) et </w:t>
      </w:r>
      <w:r w:rsidRPr="00991843">
        <w:rPr>
          <w:i/>
          <w:iCs/>
          <w:spacing w:val="-2"/>
          <w:lang w:val="fr-FR"/>
        </w:rPr>
        <w:t xml:space="preserve">X c. Suède </w:t>
      </w:r>
      <w:r w:rsidRPr="00991843">
        <w:rPr>
          <w:spacing w:val="-2"/>
          <w:lang w:val="fr-FR"/>
        </w:rPr>
        <w:t>(</w:t>
      </w:r>
      <w:hyperlink r:id="rId138" w:history="1">
        <w:r w:rsidRPr="00991843">
          <w:rPr>
            <w:rStyle w:val="Lienhypertexte"/>
            <w:spacing w:val="-2"/>
            <w:lang w:val="fr-FR"/>
          </w:rPr>
          <w:t>CAT/C/8</w:t>
        </w:r>
        <w:r w:rsidRPr="00991843">
          <w:rPr>
            <w:rStyle w:val="Lienhypertexte"/>
            <w:spacing w:val="-2"/>
            <w:lang w:val="fr-FR"/>
          </w:rPr>
          <w:t>1</w:t>
        </w:r>
        <w:r w:rsidRPr="00991843">
          <w:rPr>
            <w:rStyle w:val="Lienhypertexte"/>
            <w:spacing w:val="-2"/>
            <w:lang w:val="fr-FR"/>
          </w:rPr>
          <w:t>/D/1099/2021</w:t>
        </w:r>
      </w:hyperlink>
      <w:r w:rsidRPr="00991843">
        <w:rPr>
          <w:spacing w:val="-2"/>
          <w:lang w:val="fr-FR"/>
        </w:rPr>
        <w:t xml:space="preserve">). Dans l’affaire </w:t>
      </w:r>
      <w:proofErr w:type="spellStart"/>
      <w:r w:rsidRPr="00991843">
        <w:rPr>
          <w:i/>
          <w:iCs/>
          <w:spacing w:val="-2"/>
          <w:lang w:val="fr-FR"/>
        </w:rPr>
        <w:t>Sorzabal</w:t>
      </w:r>
      <w:proofErr w:type="spellEnd"/>
      <w:r w:rsidRPr="00991843">
        <w:rPr>
          <w:i/>
          <w:iCs/>
          <w:spacing w:val="-2"/>
          <w:lang w:val="fr-FR"/>
        </w:rPr>
        <w:t xml:space="preserve"> Diaz c. France</w:t>
      </w:r>
      <w:r w:rsidRPr="00991843">
        <w:rPr>
          <w:spacing w:val="-2"/>
          <w:lang w:val="fr-FR"/>
        </w:rPr>
        <w:t xml:space="preserve"> (</w:t>
      </w:r>
      <w:hyperlink r:id="rId139" w:history="1">
        <w:r w:rsidRPr="00991843">
          <w:rPr>
            <w:rStyle w:val="Lienhypertexte"/>
            <w:spacing w:val="-2"/>
            <w:lang w:val="fr-FR"/>
          </w:rPr>
          <w:t>CAT/C/81/D/1033/2020</w:t>
        </w:r>
      </w:hyperlink>
      <w:r w:rsidRPr="00991843">
        <w:rPr>
          <w:spacing w:val="-2"/>
          <w:lang w:val="fr-FR"/>
        </w:rPr>
        <w:t xml:space="preserve">), le Comité a décidé que les </w:t>
      </w:r>
      <w:r w:rsidRPr="00991843">
        <w:rPr>
          <w:spacing w:val="-2"/>
          <w:lang w:val="fr-FR"/>
        </w:rPr>
        <w:lastRenderedPageBreak/>
        <w:t>éléments dont il était saisi ne permettaient pas d’établir qu’il y avait une violation de l’article 15 de la Convention.</w:t>
      </w:r>
    </w:p>
    <w:p w14:paraId="27491C51" w14:textId="30385D05" w:rsidR="00F30361" w:rsidRPr="00D833AB" w:rsidRDefault="00F30361" w:rsidP="00F30361">
      <w:pPr>
        <w:pStyle w:val="SingleTxtG"/>
      </w:pPr>
      <w:r w:rsidRPr="00D833AB">
        <w:rPr>
          <w:lang w:val="fr-FR"/>
        </w:rPr>
        <w:t>50.</w:t>
      </w:r>
      <w:r w:rsidRPr="00D833AB">
        <w:rPr>
          <w:lang w:val="fr-FR"/>
        </w:rPr>
        <w:tab/>
        <w:t xml:space="preserve">Le Comité a déclaré irrecevables trois communications. Dans l’affaire </w:t>
      </w:r>
      <w:r w:rsidRPr="00D833AB">
        <w:rPr>
          <w:i/>
          <w:iCs/>
          <w:lang w:val="fr-FR"/>
        </w:rPr>
        <w:t>L. S. c. Australie</w:t>
      </w:r>
      <w:r w:rsidRPr="00D833AB">
        <w:rPr>
          <w:lang w:val="fr-FR"/>
        </w:rPr>
        <w:t xml:space="preserve"> (</w:t>
      </w:r>
      <w:hyperlink r:id="rId140" w:history="1">
        <w:r w:rsidRPr="009059DB">
          <w:rPr>
            <w:rStyle w:val="Lienhypertexte"/>
            <w:lang w:val="fr-FR"/>
          </w:rPr>
          <w:t>CAT/C/81/D/1010/2020</w:t>
        </w:r>
      </w:hyperlink>
      <w:r w:rsidRPr="00D833AB">
        <w:rPr>
          <w:lang w:val="fr-FR"/>
        </w:rPr>
        <w:t xml:space="preserve">), le Comité a estimé que le requérant n’avait pas démontré que l’appréciation, par les autorités internes, des faits et des éléments de preuve relatifs au risque qu’il affirmait qu’il courrait de subir un traitement contraire à la Convention à son retour à Sri Lanka était entachée d’irrégularité. Dans l’affaire </w:t>
      </w:r>
      <w:r w:rsidRPr="00D833AB">
        <w:rPr>
          <w:i/>
          <w:iCs/>
          <w:lang w:val="fr-FR"/>
        </w:rPr>
        <w:t>P. M. c. Suisse</w:t>
      </w:r>
      <w:r w:rsidRPr="00D833AB">
        <w:rPr>
          <w:lang w:val="fr-FR"/>
        </w:rPr>
        <w:t xml:space="preserve"> (</w:t>
      </w:r>
      <w:hyperlink r:id="rId141" w:history="1">
        <w:r w:rsidRPr="009059DB">
          <w:rPr>
            <w:rStyle w:val="Lienhypertexte"/>
            <w:lang w:val="fr-FR"/>
          </w:rPr>
          <w:t>CAT/C/81/D/1084/2021</w:t>
        </w:r>
      </w:hyperlink>
      <w:r w:rsidRPr="00D833AB">
        <w:rPr>
          <w:lang w:val="fr-FR"/>
        </w:rPr>
        <w:t xml:space="preserve">), le Comité a décidé que le requérant n’avait pas démontré d’irrégularités dans l’examen, au niveau national, des faits et des éléments de preuve. Dans l’affaire </w:t>
      </w:r>
      <w:r w:rsidRPr="00D833AB">
        <w:rPr>
          <w:i/>
          <w:iCs/>
          <w:lang w:val="fr-FR"/>
        </w:rPr>
        <w:t>S. T. c. Suisse</w:t>
      </w:r>
      <w:r w:rsidRPr="00D833AB">
        <w:rPr>
          <w:lang w:val="fr-FR"/>
        </w:rPr>
        <w:t xml:space="preserve"> (</w:t>
      </w:r>
      <w:hyperlink r:id="rId142" w:history="1">
        <w:r w:rsidRPr="009059DB">
          <w:rPr>
            <w:rStyle w:val="Lienhypertexte"/>
            <w:lang w:val="fr-FR"/>
          </w:rPr>
          <w:t>CAT/C/81/D/1129/2022</w:t>
        </w:r>
      </w:hyperlink>
      <w:r w:rsidRPr="00D833AB">
        <w:rPr>
          <w:lang w:val="fr-FR"/>
        </w:rPr>
        <w:t xml:space="preserve">), le Comité a décidé que l’État </w:t>
      </w:r>
      <w:r w:rsidR="00991843" w:rsidRPr="00D833AB">
        <w:rPr>
          <w:lang w:val="fr-FR"/>
        </w:rPr>
        <w:t>P</w:t>
      </w:r>
      <w:r w:rsidRPr="00D833AB">
        <w:rPr>
          <w:lang w:val="fr-FR"/>
        </w:rPr>
        <w:t xml:space="preserve">artie avait procédé à un examen minutieux de tous les faits et de tous les éléments de preuve présentés à des juridictions de différents degrés et que le requérant n’avait pas fourni d’éléments suffisants pour démontrer qu’il courrait personnellement un risque réel et prévisible d’être torturé s’il était renvoyé à Sri Lanka. </w:t>
      </w:r>
    </w:p>
    <w:p w14:paraId="3AD00766" w14:textId="7D67E5B1" w:rsidR="00F30361" w:rsidRPr="00D833AB" w:rsidRDefault="00F30361" w:rsidP="00F30361">
      <w:pPr>
        <w:pStyle w:val="SingleTxtG"/>
      </w:pPr>
      <w:r w:rsidRPr="00D833AB">
        <w:rPr>
          <w:lang w:val="fr-FR"/>
        </w:rPr>
        <w:t>51.</w:t>
      </w:r>
      <w:r w:rsidRPr="00D833AB">
        <w:rPr>
          <w:lang w:val="fr-FR"/>
        </w:rPr>
        <w:tab/>
        <w:t xml:space="preserve">En outre, le Comité a mis fin à l’examen de 12 communications, concernant les affaires suivantes : </w:t>
      </w:r>
      <w:r w:rsidRPr="00D833AB">
        <w:rPr>
          <w:i/>
          <w:iCs/>
          <w:lang w:val="fr-FR"/>
        </w:rPr>
        <w:t xml:space="preserve">T. V. c. Australie </w:t>
      </w:r>
      <w:r w:rsidRPr="00D833AB">
        <w:rPr>
          <w:lang w:val="fr-FR"/>
        </w:rPr>
        <w:t>(</w:t>
      </w:r>
      <w:hyperlink r:id="rId143" w:history="1">
        <w:r w:rsidRPr="009059DB">
          <w:rPr>
            <w:rStyle w:val="Lienhypertexte"/>
            <w:lang w:val="fr-FR"/>
          </w:rPr>
          <w:t>CAT/C/81/D/1009/2020</w:t>
        </w:r>
      </w:hyperlink>
      <w:r w:rsidRPr="00D833AB">
        <w:rPr>
          <w:lang w:val="fr-FR"/>
        </w:rPr>
        <w:t xml:space="preserve">), </w:t>
      </w:r>
      <w:r w:rsidRPr="00D833AB">
        <w:rPr>
          <w:i/>
          <w:iCs/>
          <w:lang w:val="fr-FR"/>
        </w:rPr>
        <w:t xml:space="preserve">H. K. c. Australie </w:t>
      </w:r>
      <w:r w:rsidRPr="00D833AB">
        <w:rPr>
          <w:lang w:val="fr-FR"/>
        </w:rPr>
        <w:t>(</w:t>
      </w:r>
      <w:hyperlink r:id="rId144" w:history="1">
        <w:r w:rsidRPr="009059DB">
          <w:rPr>
            <w:rStyle w:val="Lienhypertexte"/>
            <w:lang w:val="fr-FR"/>
          </w:rPr>
          <w:t>CAT/C/81/D/1022/2020</w:t>
        </w:r>
      </w:hyperlink>
      <w:r w:rsidRPr="00D833AB">
        <w:rPr>
          <w:lang w:val="fr-FR"/>
        </w:rPr>
        <w:t>),</w:t>
      </w:r>
      <w:r w:rsidRPr="00D833AB">
        <w:rPr>
          <w:i/>
          <w:iCs/>
          <w:lang w:val="fr-FR"/>
        </w:rPr>
        <w:t xml:space="preserve"> J.</w:t>
      </w:r>
      <w:r w:rsidR="00991843">
        <w:rPr>
          <w:i/>
          <w:iCs/>
          <w:lang w:val="fr-FR"/>
        </w:rPr>
        <w:t> </w:t>
      </w:r>
      <w:r w:rsidRPr="00D833AB">
        <w:rPr>
          <w:i/>
          <w:iCs/>
          <w:lang w:val="fr-FR"/>
        </w:rPr>
        <w:t xml:space="preserve">S. c. Suisse </w:t>
      </w:r>
      <w:r w:rsidRPr="00D833AB">
        <w:rPr>
          <w:lang w:val="fr-FR"/>
        </w:rPr>
        <w:t>(</w:t>
      </w:r>
      <w:hyperlink r:id="rId145" w:history="1">
        <w:r w:rsidRPr="009059DB">
          <w:rPr>
            <w:rStyle w:val="Lienhypertexte"/>
            <w:lang w:val="fr-FR"/>
          </w:rPr>
          <w:t>CAT/C/81/D/1046/2020</w:t>
        </w:r>
      </w:hyperlink>
      <w:r w:rsidRPr="00D833AB">
        <w:rPr>
          <w:lang w:val="fr-FR"/>
        </w:rPr>
        <w:t xml:space="preserve">), </w:t>
      </w:r>
      <w:r w:rsidRPr="00D833AB">
        <w:rPr>
          <w:i/>
          <w:iCs/>
          <w:lang w:val="fr-FR"/>
        </w:rPr>
        <w:t>B.</w:t>
      </w:r>
      <w:r w:rsidR="00991843">
        <w:rPr>
          <w:i/>
          <w:iCs/>
          <w:lang w:val="fr-FR"/>
        </w:rPr>
        <w:t> </w:t>
      </w:r>
      <w:r w:rsidRPr="00D833AB">
        <w:rPr>
          <w:i/>
          <w:iCs/>
          <w:lang w:val="fr-FR"/>
        </w:rPr>
        <w:t xml:space="preserve">S. c. Canada </w:t>
      </w:r>
      <w:r w:rsidRPr="00D833AB">
        <w:rPr>
          <w:lang w:val="fr-FR"/>
        </w:rPr>
        <w:t>(</w:t>
      </w:r>
      <w:hyperlink r:id="rId146" w:history="1">
        <w:r w:rsidRPr="009059DB">
          <w:rPr>
            <w:rStyle w:val="Lienhypertexte"/>
            <w:lang w:val="fr-FR"/>
          </w:rPr>
          <w:t>CAT/C/81/D/1058/2021</w:t>
        </w:r>
      </w:hyperlink>
      <w:r w:rsidRPr="00D833AB">
        <w:rPr>
          <w:lang w:val="fr-FR"/>
        </w:rPr>
        <w:t xml:space="preserve">), </w:t>
      </w:r>
      <w:r w:rsidRPr="00D833AB">
        <w:rPr>
          <w:i/>
          <w:iCs/>
          <w:lang w:val="fr-FR"/>
        </w:rPr>
        <w:t>D.</w:t>
      </w:r>
      <w:r>
        <w:rPr>
          <w:i/>
          <w:iCs/>
          <w:lang w:val="fr-FR"/>
        </w:rPr>
        <w:t> </w:t>
      </w:r>
      <w:r w:rsidRPr="00D833AB">
        <w:rPr>
          <w:i/>
          <w:iCs/>
          <w:lang w:val="fr-FR"/>
        </w:rPr>
        <w:t xml:space="preserve">B. c. Suisse </w:t>
      </w:r>
      <w:r w:rsidRPr="00D833AB">
        <w:rPr>
          <w:lang w:val="fr-FR"/>
        </w:rPr>
        <w:t>(</w:t>
      </w:r>
      <w:hyperlink r:id="rId147" w:history="1">
        <w:r w:rsidRPr="009059DB">
          <w:rPr>
            <w:rStyle w:val="Lienhypertexte"/>
            <w:lang w:val="fr-FR"/>
          </w:rPr>
          <w:t>CAT/C/81/D/1075/2021</w:t>
        </w:r>
      </w:hyperlink>
      <w:r w:rsidRPr="00D833AB">
        <w:rPr>
          <w:lang w:val="fr-FR"/>
        </w:rPr>
        <w:t xml:space="preserve">), </w:t>
      </w:r>
      <w:r w:rsidRPr="00D833AB">
        <w:rPr>
          <w:i/>
          <w:iCs/>
          <w:lang w:val="fr-FR"/>
        </w:rPr>
        <w:t>A.</w:t>
      </w:r>
      <w:r w:rsidR="00991843">
        <w:rPr>
          <w:i/>
          <w:iCs/>
          <w:lang w:val="fr-FR"/>
        </w:rPr>
        <w:t> </w:t>
      </w:r>
      <w:r w:rsidRPr="00D833AB">
        <w:rPr>
          <w:i/>
          <w:iCs/>
          <w:lang w:val="fr-FR"/>
        </w:rPr>
        <w:t>K. et A.</w:t>
      </w:r>
      <w:r>
        <w:rPr>
          <w:i/>
          <w:iCs/>
          <w:lang w:val="fr-FR"/>
        </w:rPr>
        <w:t> </w:t>
      </w:r>
      <w:r w:rsidRPr="00D833AB">
        <w:rPr>
          <w:i/>
          <w:iCs/>
          <w:lang w:val="fr-FR"/>
        </w:rPr>
        <w:t>K. c.</w:t>
      </w:r>
      <w:r w:rsidR="00991843">
        <w:rPr>
          <w:i/>
          <w:iCs/>
          <w:lang w:val="fr-FR"/>
        </w:rPr>
        <w:t xml:space="preserve"> </w:t>
      </w:r>
      <w:r w:rsidRPr="00D833AB">
        <w:rPr>
          <w:i/>
          <w:iCs/>
          <w:lang w:val="fr-FR"/>
        </w:rPr>
        <w:t xml:space="preserve">Suisse </w:t>
      </w:r>
      <w:r w:rsidRPr="00D833AB">
        <w:rPr>
          <w:lang w:val="fr-FR"/>
        </w:rPr>
        <w:t>(</w:t>
      </w:r>
      <w:hyperlink r:id="rId148" w:history="1">
        <w:r w:rsidRPr="009059DB">
          <w:rPr>
            <w:rStyle w:val="Lienhypertexte"/>
            <w:lang w:val="fr-FR"/>
          </w:rPr>
          <w:t>CAT/C/81/D/1089/2021</w:t>
        </w:r>
      </w:hyperlink>
      <w:r w:rsidRPr="00D833AB">
        <w:rPr>
          <w:lang w:val="fr-FR"/>
        </w:rPr>
        <w:t xml:space="preserve">), </w:t>
      </w:r>
      <w:r w:rsidRPr="00D833AB">
        <w:rPr>
          <w:i/>
          <w:iCs/>
          <w:lang w:val="fr-FR"/>
        </w:rPr>
        <w:t xml:space="preserve">O. S. c. Suisse </w:t>
      </w:r>
      <w:r w:rsidRPr="00D833AB">
        <w:rPr>
          <w:lang w:val="fr-FR"/>
        </w:rPr>
        <w:t>(</w:t>
      </w:r>
      <w:hyperlink r:id="rId149" w:history="1">
        <w:r w:rsidRPr="009059DB">
          <w:rPr>
            <w:rStyle w:val="Lienhypertexte"/>
            <w:lang w:val="fr-FR"/>
          </w:rPr>
          <w:t>CAT/C/81/D/1097/2021</w:t>
        </w:r>
      </w:hyperlink>
      <w:r w:rsidRPr="00D833AB">
        <w:rPr>
          <w:lang w:val="fr-FR"/>
        </w:rPr>
        <w:t xml:space="preserve">), </w:t>
      </w:r>
      <w:r w:rsidRPr="00D833AB">
        <w:rPr>
          <w:i/>
          <w:iCs/>
          <w:lang w:val="fr-FR"/>
        </w:rPr>
        <w:t>J.</w:t>
      </w:r>
      <w:r>
        <w:rPr>
          <w:i/>
          <w:iCs/>
          <w:lang w:val="fr-FR"/>
        </w:rPr>
        <w:t> </w:t>
      </w:r>
      <w:r w:rsidRPr="00D833AB">
        <w:rPr>
          <w:i/>
          <w:iCs/>
          <w:lang w:val="fr-FR"/>
        </w:rPr>
        <w:t>T. c.</w:t>
      </w:r>
      <w:r w:rsidR="00991843">
        <w:rPr>
          <w:i/>
          <w:iCs/>
          <w:lang w:val="fr-FR"/>
        </w:rPr>
        <w:t xml:space="preserve"> </w:t>
      </w:r>
      <w:r w:rsidRPr="00D833AB">
        <w:rPr>
          <w:i/>
          <w:iCs/>
          <w:lang w:val="fr-FR"/>
        </w:rPr>
        <w:t xml:space="preserve">Suisse </w:t>
      </w:r>
      <w:r w:rsidRPr="00D833AB">
        <w:rPr>
          <w:lang w:val="fr-FR"/>
        </w:rPr>
        <w:t>(</w:t>
      </w:r>
      <w:hyperlink r:id="rId150" w:history="1">
        <w:r w:rsidRPr="009059DB">
          <w:rPr>
            <w:rStyle w:val="Lienhypertexte"/>
            <w:lang w:val="fr-FR"/>
          </w:rPr>
          <w:t>CAT/C/</w:t>
        </w:r>
        <w:r w:rsidR="00781DC2">
          <w:rPr>
            <w:rStyle w:val="Lienhypertexte"/>
            <w:lang w:val="fr-FR"/>
          </w:rPr>
          <w:br/>
        </w:r>
        <w:r w:rsidRPr="009059DB">
          <w:rPr>
            <w:rStyle w:val="Lienhypertexte"/>
            <w:lang w:val="fr-FR"/>
          </w:rPr>
          <w:t>81/D/1110/2021</w:t>
        </w:r>
      </w:hyperlink>
      <w:r w:rsidRPr="00D833AB">
        <w:rPr>
          <w:lang w:val="fr-FR"/>
        </w:rPr>
        <w:t xml:space="preserve">), </w:t>
      </w:r>
      <w:r w:rsidRPr="00D833AB">
        <w:rPr>
          <w:i/>
          <w:iCs/>
          <w:lang w:val="fr-FR"/>
        </w:rPr>
        <w:t>A.</w:t>
      </w:r>
      <w:r w:rsidR="00991843">
        <w:rPr>
          <w:i/>
          <w:iCs/>
          <w:lang w:val="fr-FR"/>
        </w:rPr>
        <w:t> </w:t>
      </w:r>
      <w:r w:rsidRPr="00D833AB">
        <w:rPr>
          <w:i/>
          <w:iCs/>
          <w:lang w:val="fr-FR"/>
        </w:rPr>
        <w:t>M. A.</w:t>
      </w:r>
      <w:r>
        <w:rPr>
          <w:i/>
          <w:iCs/>
          <w:lang w:val="fr-FR"/>
        </w:rPr>
        <w:t> </w:t>
      </w:r>
      <w:r w:rsidRPr="00D833AB">
        <w:rPr>
          <w:i/>
          <w:iCs/>
          <w:lang w:val="fr-FR"/>
        </w:rPr>
        <w:t xml:space="preserve">F. c. Danemark </w:t>
      </w:r>
      <w:r w:rsidRPr="00D833AB">
        <w:rPr>
          <w:lang w:val="fr-FR"/>
        </w:rPr>
        <w:t>(</w:t>
      </w:r>
      <w:hyperlink r:id="rId151" w:history="1">
        <w:r w:rsidRPr="009059DB">
          <w:rPr>
            <w:rStyle w:val="Lienhypertexte"/>
            <w:lang w:val="fr-FR"/>
          </w:rPr>
          <w:t>CAT/C/81/D/1113/2021</w:t>
        </w:r>
      </w:hyperlink>
      <w:r w:rsidRPr="00D833AB">
        <w:rPr>
          <w:lang w:val="fr-FR"/>
        </w:rPr>
        <w:t xml:space="preserve">), </w:t>
      </w:r>
      <w:r w:rsidRPr="00D833AB">
        <w:rPr>
          <w:i/>
          <w:iCs/>
          <w:lang w:val="fr-FR"/>
        </w:rPr>
        <w:t xml:space="preserve">R. R. M. c. Suède </w:t>
      </w:r>
      <w:r w:rsidRPr="00D833AB">
        <w:rPr>
          <w:lang w:val="fr-FR"/>
        </w:rPr>
        <w:t>(</w:t>
      </w:r>
      <w:hyperlink r:id="rId152" w:history="1">
        <w:r w:rsidRPr="009059DB">
          <w:rPr>
            <w:rStyle w:val="Lienhypertexte"/>
            <w:lang w:val="fr-FR"/>
          </w:rPr>
          <w:t>CAT/C/81/D/1122/2022</w:t>
        </w:r>
      </w:hyperlink>
      <w:r w:rsidRPr="00D833AB">
        <w:rPr>
          <w:lang w:val="fr-FR"/>
        </w:rPr>
        <w:t xml:space="preserve">), </w:t>
      </w:r>
      <w:r w:rsidRPr="00D833AB">
        <w:rPr>
          <w:i/>
          <w:iCs/>
          <w:lang w:val="fr-FR"/>
        </w:rPr>
        <w:t xml:space="preserve">Z. A. et consorts c. Allemagne </w:t>
      </w:r>
      <w:r w:rsidRPr="00D833AB">
        <w:rPr>
          <w:lang w:val="fr-FR"/>
        </w:rPr>
        <w:t>(</w:t>
      </w:r>
      <w:hyperlink r:id="rId153" w:history="1">
        <w:r w:rsidRPr="009059DB">
          <w:rPr>
            <w:rStyle w:val="Lienhypertexte"/>
            <w:lang w:val="fr-FR"/>
          </w:rPr>
          <w:t>CAT/C/81/D/1138/2022</w:t>
        </w:r>
      </w:hyperlink>
      <w:r w:rsidRPr="00D833AB">
        <w:rPr>
          <w:lang w:val="fr-FR"/>
        </w:rPr>
        <w:t xml:space="preserve">) et </w:t>
      </w:r>
      <w:r w:rsidRPr="00D833AB">
        <w:rPr>
          <w:i/>
          <w:iCs/>
          <w:lang w:val="fr-FR"/>
        </w:rPr>
        <w:t xml:space="preserve">A. A. c. Suède </w:t>
      </w:r>
      <w:r w:rsidRPr="00D833AB">
        <w:rPr>
          <w:lang w:val="fr-FR"/>
        </w:rPr>
        <w:t>(</w:t>
      </w:r>
      <w:hyperlink r:id="rId154" w:history="1">
        <w:r w:rsidRPr="009059DB">
          <w:rPr>
            <w:rStyle w:val="Lienhypertexte"/>
            <w:lang w:val="fr-FR"/>
          </w:rPr>
          <w:t>CAT/C/81/D/1144/2022</w:t>
        </w:r>
      </w:hyperlink>
      <w:r w:rsidRPr="00D833AB">
        <w:rPr>
          <w:lang w:val="fr-FR"/>
        </w:rPr>
        <w:t xml:space="preserve">). </w:t>
      </w:r>
    </w:p>
    <w:p w14:paraId="59B8A1D4" w14:textId="119084E4" w:rsidR="00F30361" w:rsidRDefault="00F30361" w:rsidP="00F30361">
      <w:pPr>
        <w:pStyle w:val="SingleTxtG"/>
        <w:rPr>
          <w:lang w:val="fr-FR"/>
        </w:rPr>
      </w:pPr>
      <w:r w:rsidRPr="00D833AB">
        <w:rPr>
          <w:lang w:val="fr-FR"/>
        </w:rPr>
        <w:t>52.</w:t>
      </w:r>
      <w:r w:rsidRPr="00D833AB">
        <w:rPr>
          <w:lang w:val="fr-FR"/>
        </w:rPr>
        <w:tab/>
        <w:t xml:space="preserve">À sa quatre-vingt-deuxième session, le Comité a adopté </w:t>
      </w:r>
      <w:r>
        <w:rPr>
          <w:lang w:val="fr-FR"/>
        </w:rPr>
        <w:t xml:space="preserve">des décisions sur le fond concernant 12 communications. Dans l’affaire </w:t>
      </w:r>
      <w:proofErr w:type="spellStart"/>
      <w:r>
        <w:rPr>
          <w:i/>
          <w:iCs/>
          <w:lang w:val="fr-FR"/>
        </w:rPr>
        <w:t>Turikukiye</w:t>
      </w:r>
      <w:proofErr w:type="spellEnd"/>
      <w:r>
        <w:rPr>
          <w:i/>
          <w:iCs/>
          <w:lang w:val="fr-FR"/>
        </w:rPr>
        <w:t xml:space="preserve"> c. Burundi </w:t>
      </w:r>
      <w:r>
        <w:rPr>
          <w:lang w:val="fr-FR"/>
        </w:rPr>
        <w:t>(</w:t>
      </w:r>
      <w:hyperlink r:id="rId155" w:history="1">
        <w:r w:rsidRPr="009059DB">
          <w:rPr>
            <w:rStyle w:val="Lienhypertexte"/>
            <w:lang w:val="fr-FR"/>
          </w:rPr>
          <w:t>CAT/C/82/D/911/2019</w:t>
        </w:r>
      </w:hyperlink>
      <w:r>
        <w:rPr>
          <w:lang w:val="fr-FR"/>
        </w:rPr>
        <w:t>), dans laquelle le requérant affirmait avoir été torturé en détention, le Comité a estimé que l’État Partie avait violé les droits que le requérant tenait des articles 2 (par.</w:t>
      </w:r>
      <w:r w:rsidR="00781DC2">
        <w:rPr>
          <w:lang w:val="fr-FR"/>
        </w:rPr>
        <w:t> </w:t>
      </w:r>
      <w:r>
        <w:rPr>
          <w:lang w:val="fr-FR"/>
        </w:rPr>
        <w:t>1) et 11 à 15, lus conjointement avec l’article 1</w:t>
      </w:r>
      <w:r>
        <w:rPr>
          <w:vertAlign w:val="superscript"/>
          <w:lang w:val="fr-FR"/>
        </w:rPr>
        <w:t>er</w:t>
      </w:r>
      <w:r>
        <w:rPr>
          <w:lang w:val="fr-FR"/>
        </w:rPr>
        <w:t xml:space="preserve">, ainsi que de l’article 16 de la Convention. Dans l’affaire </w:t>
      </w:r>
      <w:proofErr w:type="spellStart"/>
      <w:r>
        <w:rPr>
          <w:i/>
          <w:iCs/>
          <w:lang w:val="fr-FR"/>
        </w:rPr>
        <w:t>Nkunzimana</w:t>
      </w:r>
      <w:proofErr w:type="spellEnd"/>
      <w:r>
        <w:rPr>
          <w:i/>
          <w:iCs/>
          <w:lang w:val="fr-FR"/>
        </w:rPr>
        <w:t xml:space="preserve"> c. Burundi</w:t>
      </w:r>
      <w:r>
        <w:rPr>
          <w:lang w:val="fr-FR"/>
        </w:rPr>
        <w:t xml:space="preserve"> (</w:t>
      </w:r>
      <w:hyperlink r:id="rId156" w:history="1">
        <w:r w:rsidRPr="009059DB">
          <w:rPr>
            <w:rStyle w:val="Lienhypertexte"/>
            <w:lang w:val="fr-FR"/>
          </w:rPr>
          <w:t>CAT/C/82/D/957/2019</w:t>
        </w:r>
      </w:hyperlink>
      <w:r>
        <w:rPr>
          <w:lang w:val="fr-FR"/>
        </w:rPr>
        <w:t>), dans laquelle le requérant avait été détenu et torturé par le Service national de renseignement</w:t>
      </w:r>
      <w:r w:rsidR="00061F58">
        <w:rPr>
          <w:lang w:val="fr-FR"/>
        </w:rPr>
        <w:t>s</w:t>
      </w:r>
      <w:r>
        <w:rPr>
          <w:lang w:val="fr-FR"/>
        </w:rPr>
        <w:t xml:space="preserve"> du Burundi, le Comité a conclu que l’État Partie avait violé les droits que le requérant tenait des articles 2 (par.</w:t>
      </w:r>
      <w:r w:rsidR="00781DC2">
        <w:rPr>
          <w:lang w:val="fr-FR"/>
        </w:rPr>
        <w:t> </w:t>
      </w:r>
      <w:r>
        <w:rPr>
          <w:lang w:val="fr-FR"/>
        </w:rPr>
        <w:t>1) et 11 à 14, lus conjointement avec l’article 1</w:t>
      </w:r>
      <w:r>
        <w:rPr>
          <w:vertAlign w:val="superscript"/>
          <w:lang w:val="fr-FR"/>
        </w:rPr>
        <w:t>er</w:t>
      </w:r>
      <w:r>
        <w:rPr>
          <w:lang w:val="fr-FR"/>
        </w:rPr>
        <w:t xml:space="preserve">, ainsi que de l’article 16 de la Convention. Dans l’affaire </w:t>
      </w:r>
      <w:proofErr w:type="spellStart"/>
      <w:r>
        <w:rPr>
          <w:i/>
          <w:iCs/>
          <w:lang w:val="fr-FR"/>
        </w:rPr>
        <w:t>Nkurunziza</w:t>
      </w:r>
      <w:proofErr w:type="spellEnd"/>
      <w:r>
        <w:rPr>
          <w:i/>
          <w:iCs/>
          <w:lang w:val="fr-FR"/>
        </w:rPr>
        <w:t xml:space="preserve"> c. Burundi</w:t>
      </w:r>
      <w:r>
        <w:rPr>
          <w:lang w:val="fr-FR"/>
        </w:rPr>
        <w:t xml:space="preserve"> (</w:t>
      </w:r>
      <w:hyperlink r:id="rId157" w:history="1">
        <w:r w:rsidRPr="009059DB">
          <w:rPr>
            <w:rStyle w:val="Lienhypertexte"/>
            <w:lang w:val="fr-FR"/>
          </w:rPr>
          <w:t>CAT/C/82/D/967/2019</w:t>
        </w:r>
      </w:hyperlink>
      <w:r>
        <w:rPr>
          <w:lang w:val="fr-FR"/>
        </w:rPr>
        <w:t>), dans laquelle le requérant, membre du parti d’opposition, avait été détenu et torturé par des policiers, le Comité a conclu que l’État Partie avait violé les droits que le requérant tenait des articles 2 (par.</w:t>
      </w:r>
      <w:r w:rsidR="00781DC2">
        <w:rPr>
          <w:lang w:val="fr-FR"/>
        </w:rPr>
        <w:t> </w:t>
      </w:r>
      <w:r>
        <w:rPr>
          <w:lang w:val="fr-FR"/>
        </w:rPr>
        <w:t>1) et 11 à 14, lus conjointement avec l’article 1</w:t>
      </w:r>
      <w:r>
        <w:rPr>
          <w:vertAlign w:val="superscript"/>
          <w:lang w:val="fr-FR"/>
        </w:rPr>
        <w:t>er</w:t>
      </w:r>
      <w:r>
        <w:rPr>
          <w:lang w:val="fr-FR"/>
        </w:rPr>
        <w:t xml:space="preserve">, ainsi que de l’article 16 de la Convention. Dans l’affaire </w:t>
      </w:r>
      <w:proofErr w:type="spellStart"/>
      <w:r>
        <w:rPr>
          <w:i/>
          <w:iCs/>
          <w:lang w:val="fr-FR"/>
        </w:rPr>
        <w:t>Ndimurukundo</w:t>
      </w:r>
      <w:proofErr w:type="spellEnd"/>
      <w:r>
        <w:rPr>
          <w:i/>
          <w:iCs/>
          <w:lang w:val="fr-FR"/>
        </w:rPr>
        <w:t xml:space="preserve"> c. Burundi</w:t>
      </w:r>
      <w:r>
        <w:rPr>
          <w:lang w:val="fr-FR"/>
        </w:rPr>
        <w:t xml:space="preserve"> (</w:t>
      </w:r>
      <w:hyperlink r:id="rId158" w:history="1">
        <w:r w:rsidRPr="009059DB">
          <w:rPr>
            <w:rStyle w:val="Lienhypertexte"/>
            <w:lang w:val="fr-FR"/>
          </w:rPr>
          <w:t>CAT/C/82/D/980/2020</w:t>
        </w:r>
      </w:hyperlink>
      <w:r>
        <w:rPr>
          <w:lang w:val="fr-FR"/>
        </w:rPr>
        <w:t xml:space="preserve">), le requérant affirmait que son frère </w:t>
      </w:r>
      <w:r w:rsidR="00781DC2">
        <w:rPr>
          <w:lang w:val="fr-FR"/>
        </w:rPr>
        <w:t>−</w:t>
      </w:r>
      <w:r>
        <w:rPr>
          <w:lang w:val="fr-FR"/>
        </w:rPr>
        <w:t xml:space="preserve"> qui occupait une place importante au sein du parti d’opposition et s’était présenté aux élections législatives de 2015 </w:t>
      </w:r>
      <w:r w:rsidR="00781DC2">
        <w:rPr>
          <w:lang w:val="fr-FR"/>
        </w:rPr>
        <w:t>−</w:t>
      </w:r>
      <w:r>
        <w:rPr>
          <w:lang w:val="fr-FR"/>
        </w:rPr>
        <w:t xml:space="preserve"> était une victime de disparition forcée. Le Comité a rappelé que, si l’expression « disparition forcée » n’apparaissait expressément dans aucun article de la Convention, la disparition forcée s’accompagnait de violations multiples des droits de l’homme et d’un manquement de l’État Partie aux obligations énoncées dans la Convention. Il a estimé que la disparition du frère du requérant constituait un acte de torture non seulement à l’égard de la personne disparue, mais aussi à l’égard du requérant </w:t>
      </w:r>
      <w:r w:rsidR="00781DC2">
        <w:rPr>
          <w:lang w:val="fr-FR"/>
        </w:rPr>
        <w:t>−</w:t>
      </w:r>
      <w:r>
        <w:rPr>
          <w:lang w:val="fr-FR"/>
        </w:rPr>
        <w:t xml:space="preserve"> compte tenu de l’angoisse et de la détresse causées à celui-ci par la disparition, depuis près de dix ans, de son frère et par le fait que l’État n’avait pris aucune mesure ni mené aucune enquête pour tenter de retrouver son frère. Le Comité a conclu à une violation de la Convention à l’égard du requérant et de son frère en raison de l’absence d’une enquête impartiale menée sans délai sur la disparition et de l’absence de réparation. Dans l’affaire </w:t>
      </w:r>
      <w:proofErr w:type="spellStart"/>
      <w:r>
        <w:rPr>
          <w:i/>
          <w:iCs/>
          <w:lang w:val="fr-FR"/>
        </w:rPr>
        <w:t>Niyongabo</w:t>
      </w:r>
      <w:proofErr w:type="spellEnd"/>
      <w:r>
        <w:rPr>
          <w:i/>
          <w:iCs/>
          <w:lang w:val="fr-FR"/>
        </w:rPr>
        <w:t xml:space="preserve"> c. Burundi</w:t>
      </w:r>
      <w:r>
        <w:rPr>
          <w:lang w:val="fr-FR"/>
        </w:rPr>
        <w:t xml:space="preserve"> (</w:t>
      </w:r>
      <w:hyperlink r:id="rId159" w:history="1">
        <w:r w:rsidRPr="009059DB">
          <w:rPr>
            <w:rStyle w:val="Lienhypertexte"/>
            <w:lang w:val="fr-FR"/>
          </w:rPr>
          <w:t>CAT/C/82/D/1007/2020</w:t>
        </w:r>
      </w:hyperlink>
      <w:r>
        <w:rPr>
          <w:lang w:val="fr-FR"/>
        </w:rPr>
        <w:t>), dans laquelle le requérant avait été détenu et torturé par des agents du Service national de renseignement</w:t>
      </w:r>
      <w:r w:rsidR="00061F58">
        <w:rPr>
          <w:lang w:val="fr-FR"/>
        </w:rPr>
        <w:t>s</w:t>
      </w:r>
      <w:r>
        <w:rPr>
          <w:lang w:val="fr-FR"/>
        </w:rPr>
        <w:t xml:space="preserve"> et des policiers et affirmait que ses plaintes pour torture n’avaient pas donné lieu à une enquête efficace, le Comité a estimé que l’État Partie avait violé les articles 2 (par.</w:t>
      </w:r>
      <w:r w:rsidR="00781DC2">
        <w:rPr>
          <w:lang w:val="fr-FR"/>
        </w:rPr>
        <w:t> </w:t>
      </w:r>
      <w:r>
        <w:rPr>
          <w:lang w:val="fr-FR"/>
        </w:rPr>
        <w:t>1) et 11 à 14, lus conjointement avec l’article 1</w:t>
      </w:r>
      <w:r>
        <w:rPr>
          <w:vertAlign w:val="superscript"/>
          <w:lang w:val="fr-FR"/>
        </w:rPr>
        <w:t>er</w:t>
      </w:r>
      <w:r>
        <w:rPr>
          <w:lang w:val="fr-FR"/>
        </w:rPr>
        <w:t xml:space="preserve">, ainsi que l’article 16 de la Convention. Dans l’affaire </w:t>
      </w:r>
      <w:r>
        <w:rPr>
          <w:i/>
          <w:iCs/>
          <w:lang w:val="fr-FR"/>
        </w:rPr>
        <w:t>N.</w:t>
      </w:r>
      <w:r w:rsidR="00781DC2">
        <w:rPr>
          <w:i/>
          <w:iCs/>
          <w:lang w:val="fr-FR"/>
        </w:rPr>
        <w:t> </w:t>
      </w:r>
      <w:r>
        <w:rPr>
          <w:i/>
          <w:iCs/>
          <w:lang w:val="fr-FR"/>
        </w:rPr>
        <w:t>H. c. Suisse</w:t>
      </w:r>
      <w:r>
        <w:rPr>
          <w:lang w:val="fr-FR"/>
        </w:rPr>
        <w:t xml:space="preserve"> (</w:t>
      </w:r>
      <w:hyperlink r:id="rId160" w:history="1">
        <w:r w:rsidRPr="009059DB">
          <w:rPr>
            <w:rStyle w:val="Lienhypertexte"/>
            <w:lang w:val="fr-FR"/>
          </w:rPr>
          <w:t>CAT/C/82/D/1024/2020</w:t>
        </w:r>
      </w:hyperlink>
      <w:r>
        <w:rPr>
          <w:lang w:val="fr-FR"/>
        </w:rPr>
        <w:t xml:space="preserve">), le requérant affirmait que son expulsion vers l’Érythrée constituerait une violation des droits qu’il tient de la Convention, car il risquerait d’être torturé et de subir un traitement cruel, inhumain ou dégradant pour avoir critiqué le régime érythréen et quitté le pays illégalement alors qu’il avait l’âge d’être conscrit, et le Comité a estimé que l’État Partie violerait les droits que le requérant tenait de l’article 3 de la </w:t>
      </w:r>
      <w:r>
        <w:rPr>
          <w:lang w:val="fr-FR"/>
        </w:rPr>
        <w:lastRenderedPageBreak/>
        <w:t xml:space="preserve">Convention s’il le renvoyait en Érythrée sans avoir examiné son recours sur le fond. Dans l’affaire </w:t>
      </w:r>
      <w:proofErr w:type="spellStart"/>
      <w:r>
        <w:rPr>
          <w:i/>
          <w:iCs/>
          <w:lang w:val="fr-FR"/>
        </w:rPr>
        <w:t>Hatungimana</w:t>
      </w:r>
      <w:proofErr w:type="spellEnd"/>
      <w:r>
        <w:rPr>
          <w:i/>
          <w:iCs/>
          <w:lang w:val="fr-FR"/>
        </w:rPr>
        <w:t xml:space="preserve"> c. Burundi</w:t>
      </w:r>
      <w:r>
        <w:rPr>
          <w:lang w:val="fr-FR"/>
        </w:rPr>
        <w:t xml:space="preserve"> (</w:t>
      </w:r>
      <w:hyperlink r:id="rId161" w:history="1">
        <w:r w:rsidRPr="009059DB">
          <w:rPr>
            <w:rStyle w:val="Lienhypertexte"/>
            <w:lang w:val="fr-FR"/>
          </w:rPr>
          <w:t>CAT/C/82/D/1100/2021</w:t>
        </w:r>
      </w:hyperlink>
      <w:r>
        <w:rPr>
          <w:lang w:val="fr-FR"/>
        </w:rPr>
        <w:t>), le requérant affirmait que des agents de la police nationale et des services de renseignement</w:t>
      </w:r>
      <w:r w:rsidR="00061F58">
        <w:rPr>
          <w:lang w:val="fr-FR"/>
        </w:rPr>
        <w:t>s</w:t>
      </w:r>
      <w:r>
        <w:rPr>
          <w:lang w:val="fr-FR"/>
        </w:rPr>
        <w:t xml:space="preserve"> lui avaient infligé des tortures physiques et psychologiques intenses dans le but de lui extorquer des aveux, qu’il n’y avait pas de mesures efficaces de prévention de la torture, que l’aide juridique était inadéquate et qu’il n’avait reçu aucune indemnisation pour les tortures subies et n’avait bénéficié d’aucun moyen de réadaptation. Dans l’affaire </w:t>
      </w:r>
      <w:r>
        <w:rPr>
          <w:i/>
          <w:iCs/>
          <w:lang w:val="fr-FR"/>
        </w:rPr>
        <w:t>E.</w:t>
      </w:r>
      <w:r w:rsidR="00781DC2">
        <w:rPr>
          <w:i/>
          <w:iCs/>
          <w:lang w:val="fr-FR"/>
        </w:rPr>
        <w:t> </w:t>
      </w:r>
      <w:r>
        <w:rPr>
          <w:i/>
          <w:iCs/>
          <w:lang w:val="fr-FR"/>
        </w:rPr>
        <w:t>N. c. Burundi</w:t>
      </w:r>
      <w:r>
        <w:rPr>
          <w:lang w:val="fr-FR"/>
        </w:rPr>
        <w:t xml:space="preserve"> (</w:t>
      </w:r>
      <w:hyperlink r:id="rId162" w:history="1">
        <w:r w:rsidRPr="009059DB">
          <w:rPr>
            <w:rStyle w:val="Lienhypertexte"/>
            <w:lang w:val="fr-FR"/>
          </w:rPr>
          <w:t>CAT/C/82/D/1105/2021</w:t>
        </w:r>
      </w:hyperlink>
      <w:r>
        <w:rPr>
          <w:lang w:val="fr-FR"/>
        </w:rPr>
        <w:t xml:space="preserve">), le Comité a conclu, compte tenu </w:t>
      </w:r>
      <w:r w:rsidRPr="00061F58">
        <w:rPr>
          <w:lang w:val="fr-FR"/>
        </w:rPr>
        <w:t>de</w:t>
      </w:r>
      <w:r w:rsidR="00061F58" w:rsidRPr="00061F58">
        <w:rPr>
          <w:lang w:val="fr-FR"/>
        </w:rPr>
        <w:t>s</w:t>
      </w:r>
      <w:r>
        <w:rPr>
          <w:lang w:val="fr-FR"/>
        </w:rPr>
        <w:t xml:space="preserve"> actes de torture subis par le requérant et de l’absence d’une enquête efficace, que l’État Partie avait violé les droits que le requérant tenait des articles 2 (par.</w:t>
      </w:r>
      <w:r w:rsidR="00781DC2">
        <w:rPr>
          <w:lang w:val="fr-FR"/>
        </w:rPr>
        <w:t> </w:t>
      </w:r>
      <w:r>
        <w:rPr>
          <w:lang w:val="fr-FR"/>
        </w:rPr>
        <w:t>1), 12 et 14, lus conjointement avec l’article 1</w:t>
      </w:r>
      <w:r>
        <w:rPr>
          <w:vertAlign w:val="superscript"/>
          <w:lang w:val="fr-FR"/>
        </w:rPr>
        <w:t>er</w:t>
      </w:r>
      <w:r>
        <w:rPr>
          <w:lang w:val="fr-FR"/>
        </w:rPr>
        <w:t xml:space="preserve">, de la Convention. Dans l’affaire </w:t>
      </w:r>
      <w:r>
        <w:rPr>
          <w:i/>
          <w:iCs/>
          <w:lang w:val="fr-FR"/>
        </w:rPr>
        <w:t xml:space="preserve">Bautista </w:t>
      </w:r>
      <w:proofErr w:type="spellStart"/>
      <w:r>
        <w:rPr>
          <w:i/>
          <w:iCs/>
          <w:lang w:val="fr-FR"/>
        </w:rPr>
        <w:t>Vásquez</w:t>
      </w:r>
      <w:proofErr w:type="spellEnd"/>
      <w:r>
        <w:rPr>
          <w:i/>
          <w:iCs/>
          <w:lang w:val="fr-FR"/>
        </w:rPr>
        <w:t xml:space="preserve"> c. Mexique</w:t>
      </w:r>
      <w:r>
        <w:rPr>
          <w:lang w:val="fr-FR"/>
        </w:rPr>
        <w:t xml:space="preserve"> (</w:t>
      </w:r>
      <w:hyperlink r:id="rId163" w:history="1">
        <w:r w:rsidRPr="009059DB">
          <w:rPr>
            <w:rStyle w:val="Lienhypertexte"/>
            <w:lang w:val="fr-FR"/>
          </w:rPr>
          <w:t>CAT/C/82/D/1102/2021</w:t>
        </w:r>
      </w:hyperlink>
      <w:r>
        <w:rPr>
          <w:lang w:val="fr-FR"/>
        </w:rPr>
        <w:t xml:space="preserve">), dans laquelle le requérant affirmait qu’il avait été torturé par des agents de la police municipale de </w:t>
      </w:r>
      <w:proofErr w:type="spellStart"/>
      <w:r>
        <w:rPr>
          <w:lang w:val="fr-FR"/>
        </w:rPr>
        <w:t>Tlaxiaco</w:t>
      </w:r>
      <w:proofErr w:type="spellEnd"/>
      <w:r>
        <w:rPr>
          <w:lang w:val="fr-FR"/>
        </w:rPr>
        <w:t xml:space="preserve"> et que l’État n’avait pas ouvert une enquête ni pris des mesures adéquates pour donner suite à ses allégations, le Comité a conclu que l’État Partie avait violé les droits que le requérant tenait des articles 12 et 13 de la Convention, lus conjointement avec l’article 1</w:t>
      </w:r>
      <w:r>
        <w:rPr>
          <w:vertAlign w:val="superscript"/>
          <w:lang w:val="fr-FR"/>
        </w:rPr>
        <w:t>er</w:t>
      </w:r>
      <w:r>
        <w:rPr>
          <w:lang w:val="fr-FR"/>
        </w:rPr>
        <w:t xml:space="preserve">. Dans l’affaire </w:t>
      </w:r>
      <w:r>
        <w:rPr>
          <w:i/>
          <w:iCs/>
          <w:lang w:val="fr-FR"/>
        </w:rPr>
        <w:t xml:space="preserve">Fuentes </w:t>
      </w:r>
      <w:proofErr w:type="spellStart"/>
      <w:r>
        <w:rPr>
          <w:i/>
          <w:iCs/>
          <w:lang w:val="fr-FR"/>
        </w:rPr>
        <w:t>Villota</w:t>
      </w:r>
      <w:proofErr w:type="spellEnd"/>
      <w:r>
        <w:rPr>
          <w:i/>
          <w:iCs/>
          <w:lang w:val="fr-FR"/>
        </w:rPr>
        <w:t xml:space="preserve"> c. Espagne</w:t>
      </w:r>
      <w:r>
        <w:rPr>
          <w:lang w:val="fr-FR"/>
        </w:rPr>
        <w:t xml:space="preserve"> (</w:t>
      </w:r>
      <w:hyperlink r:id="rId164" w:history="1">
        <w:r w:rsidRPr="009059DB">
          <w:rPr>
            <w:rStyle w:val="Lienhypertexte"/>
            <w:lang w:val="fr-FR"/>
          </w:rPr>
          <w:t>CAT/C/82/D/1108/2021</w:t>
        </w:r>
      </w:hyperlink>
      <w:r>
        <w:rPr>
          <w:lang w:val="fr-FR"/>
        </w:rPr>
        <w:t>), dans laquelle le requérant affirmait qu’il avait été torturé par des policiers et que les autorités publiques n’avaient pas mené une enquête et ne lui avaient pas octroyé une réparation, le Comité a conclu que l’État Partie avait violé les droits que le requérant tenait des articles 12, 13 et 14, lus conjointement avec l’article 1</w:t>
      </w:r>
      <w:r>
        <w:rPr>
          <w:vertAlign w:val="superscript"/>
          <w:lang w:val="fr-FR"/>
        </w:rPr>
        <w:t>er</w:t>
      </w:r>
      <w:r>
        <w:rPr>
          <w:lang w:val="fr-FR"/>
        </w:rPr>
        <w:t xml:space="preserve">, de la Convention. Dans l’affaire </w:t>
      </w:r>
      <w:r>
        <w:rPr>
          <w:i/>
          <w:iCs/>
          <w:lang w:val="fr-FR"/>
        </w:rPr>
        <w:t>Valenzuela Valdez c. Mexique</w:t>
      </w:r>
      <w:r>
        <w:rPr>
          <w:lang w:val="fr-FR"/>
        </w:rPr>
        <w:t xml:space="preserve"> (</w:t>
      </w:r>
      <w:hyperlink r:id="rId165" w:history="1">
        <w:r w:rsidRPr="009059DB">
          <w:rPr>
            <w:rStyle w:val="Lienhypertexte"/>
            <w:lang w:val="fr-FR"/>
          </w:rPr>
          <w:t>CAT/C/82/D/1114/2021</w:t>
        </w:r>
      </w:hyperlink>
      <w:r>
        <w:rPr>
          <w:lang w:val="fr-FR"/>
        </w:rPr>
        <w:t>), le Comité a estimé que l’État Partie avait violé les droits de M. Valenzuela Valdez en ne procédant pas à une enquête adéquate et en utilisant des aveux obtenus par la torture pour condamner l’intéressé.</w:t>
      </w:r>
    </w:p>
    <w:p w14:paraId="1B2530B0" w14:textId="21A5CACD" w:rsidR="00F30361" w:rsidRPr="009965FF" w:rsidRDefault="00F30361" w:rsidP="00F30361">
      <w:pPr>
        <w:pStyle w:val="SingleTxtG"/>
      </w:pPr>
      <w:r>
        <w:rPr>
          <w:lang w:val="fr-FR"/>
        </w:rPr>
        <w:t>53.</w:t>
      </w:r>
      <w:r>
        <w:rPr>
          <w:lang w:val="fr-FR"/>
        </w:rPr>
        <w:tab/>
        <w:t xml:space="preserve">Dans l’affaire </w:t>
      </w:r>
      <w:r>
        <w:rPr>
          <w:i/>
          <w:iCs/>
          <w:lang w:val="fr-FR"/>
        </w:rPr>
        <w:t>M. H. c. Suisse</w:t>
      </w:r>
      <w:r>
        <w:rPr>
          <w:lang w:val="fr-FR"/>
        </w:rPr>
        <w:t xml:space="preserve"> (</w:t>
      </w:r>
      <w:hyperlink r:id="rId166" w:history="1">
        <w:r w:rsidRPr="009059DB">
          <w:rPr>
            <w:rStyle w:val="Lienhypertexte"/>
            <w:lang w:val="fr-FR"/>
          </w:rPr>
          <w:t>CAT/C/82/D/1107/2021</w:t>
        </w:r>
      </w:hyperlink>
      <w:r>
        <w:rPr>
          <w:lang w:val="fr-FR"/>
        </w:rPr>
        <w:t>), le Comité a estimé que le renvoi forcé des requérants ne constituerait pas une violation de l’article 3 de la Convention par l’État Partie. La communication concerne un ressortissant afghan qui affirmait que son expulsion vers la Croatie en application du Règlement (UE) n</w:t>
      </w:r>
      <w:r>
        <w:rPr>
          <w:vertAlign w:val="superscript"/>
          <w:lang w:val="fr-FR"/>
        </w:rPr>
        <w:t>o</w:t>
      </w:r>
      <w:r w:rsidR="00DA4B55">
        <w:rPr>
          <w:lang w:val="fr-FR"/>
        </w:rPr>
        <w:t> </w:t>
      </w:r>
      <w:r>
        <w:rPr>
          <w:lang w:val="fr-FR"/>
        </w:rPr>
        <w:t>604/2013 du Parlement européen et du Conseil du 26 juin 2013 (Règlement Dublin III) lui causerait un préjudice irréparable résultant des conditions d’accueil des demandeurs d’asile en Croatie, en particulier en ce qui concerne l’accès aux traitements médicaux, et l’exposerait au risque de refoulement en chaîne vers l’Afghanistan. Le Comité a estimé que le requérant n’était pas parvenu à démontrer que, s’il était transféré en Croatie en application du Règlement Dublin III, il n’aurait pas accès à une procédure d’asile adéquate dans ce pays ou risquerait le refoulement en chaîne vers l’Afghanistan avant que ses demandes d’asile soient dûment examinées.</w:t>
      </w:r>
    </w:p>
    <w:p w14:paraId="7CC98E46" w14:textId="77777777" w:rsidR="00F30361" w:rsidRPr="009965FF" w:rsidRDefault="00F30361" w:rsidP="00F30361">
      <w:pPr>
        <w:pStyle w:val="SingleTxtG"/>
      </w:pPr>
      <w:r>
        <w:rPr>
          <w:lang w:val="fr-FR"/>
        </w:rPr>
        <w:t>54.</w:t>
      </w:r>
      <w:r>
        <w:rPr>
          <w:lang w:val="fr-FR"/>
        </w:rPr>
        <w:tab/>
        <w:t xml:space="preserve">Le Comité a déclaré irrecevables deux communications. Dans l’affaire </w:t>
      </w:r>
      <w:r>
        <w:rPr>
          <w:i/>
          <w:iCs/>
          <w:lang w:val="fr-FR"/>
        </w:rPr>
        <w:t>S. et V. c. Australie</w:t>
      </w:r>
      <w:r>
        <w:rPr>
          <w:lang w:val="fr-FR"/>
        </w:rPr>
        <w:t xml:space="preserve"> (</w:t>
      </w:r>
      <w:hyperlink r:id="rId167" w:history="1">
        <w:r w:rsidRPr="009059DB">
          <w:rPr>
            <w:rStyle w:val="Lienhypertexte"/>
            <w:lang w:val="fr-FR"/>
          </w:rPr>
          <w:t>CAT/C</w:t>
        </w:r>
        <w:r w:rsidRPr="009059DB">
          <w:rPr>
            <w:rStyle w:val="Lienhypertexte"/>
            <w:lang w:val="fr-FR"/>
          </w:rPr>
          <w:t>/</w:t>
        </w:r>
        <w:r w:rsidRPr="009059DB">
          <w:rPr>
            <w:rStyle w:val="Lienhypertexte"/>
            <w:lang w:val="fr-FR"/>
          </w:rPr>
          <w:t>82/</w:t>
        </w:r>
        <w:r w:rsidRPr="009059DB">
          <w:rPr>
            <w:rStyle w:val="Lienhypertexte"/>
            <w:lang w:val="fr-FR"/>
          </w:rPr>
          <w:t>D</w:t>
        </w:r>
        <w:r w:rsidRPr="009059DB">
          <w:rPr>
            <w:rStyle w:val="Lienhypertexte"/>
            <w:lang w:val="fr-FR"/>
          </w:rPr>
          <w:t>/1032/2020</w:t>
        </w:r>
      </w:hyperlink>
      <w:r>
        <w:rPr>
          <w:lang w:val="fr-FR"/>
        </w:rPr>
        <w:t>), il a estimé que les requérants n’avaient pas suffisamment étayé leurs griefs aux fins de la recevabilité</w:t>
      </w:r>
      <w:r w:rsidRPr="00061F58">
        <w:rPr>
          <w:lang w:val="fr-FR"/>
        </w:rPr>
        <w:t xml:space="preserve">. Dans l’affaire </w:t>
      </w:r>
      <w:r w:rsidRPr="00061F58">
        <w:rPr>
          <w:i/>
          <w:iCs/>
          <w:lang w:val="fr-FR"/>
        </w:rPr>
        <w:t>X. c. Allemagne</w:t>
      </w:r>
      <w:r>
        <w:rPr>
          <w:lang w:val="fr-FR"/>
        </w:rPr>
        <w:t xml:space="preserve"> (</w:t>
      </w:r>
      <w:hyperlink r:id="rId168" w:history="1">
        <w:r w:rsidRPr="009059DB">
          <w:rPr>
            <w:rStyle w:val="Lienhypertexte"/>
            <w:lang w:val="fr-FR"/>
          </w:rPr>
          <w:t>CAT/C/82/D/107</w:t>
        </w:r>
        <w:r w:rsidRPr="009059DB">
          <w:rPr>
            <w:rStyle w:val="Lienhypertexte"/>
            <w:lang w:val="fr-FR"/>
          </w:rPr>
          <w:t>0</w:t>
        </w:r>
        <w:r w:rsidRPr="009059DB">
          <w:rPr>
            <w:rStyle w:val="Lienhypertexte"/>
            <w:lang w:val="fr-FR"/>
          </w:rPr>
          <w:t>/2021</w:t>
        </w:r>
      </w:hyperlink>
      <w:r>
        <w:rPr>
          <w:lang w:val="fr-FR"/>
        </w:rPr>
        <w:t xml:space="preserve">), il a considéré que le requérant n’avait pas suffisamment démontré son statut de victime aux fins de la recevabilité. </w:t>
      </w:r>
    </w:p>
    <w:p w14:paraId="5B64186D" w14:textId="04A51A72" w:rsidR="00F30361" w:rsidRPr="00D833AB" w:rsidRDefault="00F30361" w:rsidP="00F30361">
      <w:pPr>
        <w:pStyle w:val="SingleTxtG"/>
      </w:pPr>
      <w:r>
        <w:rPr>
          <w:lang w:val="fr-FR"/>
        </w:rPr>
        <w:t>55.</w:t>
      </w:r>
      <w:r>
        <w:rPr>
          <w:lang w:val="fr-FR"/>
        </w:rPr>
        <w:tab/>
        <w:t xml:space="preserve">Le Comité a mis fin à l’examen de 12 communications : </w:t>
      </w:r>
      <w:r>
        <w:rPr>
          <w:i/>
          <w:iCs/>
          <w:lang w:val="fr-FR"/>
        </w:rPr>
        <w:t>A. A. S. et consorts c. Suède</w:t>
      </w:r>
      <w:r>
        <w:rPr>
          <w:lang w:val="fr-FR"/>
        </w:rPr>
        <w:t xml:space="preserve"> (</w:t>
      </w:r>
      <w:hyperlink r:id="rId169" w:history="1">
        <w:r w:rsidRPr="009059DB">
          <w:rPr>
            <w:rStyle w:val="Lienhypertexte"/>
            <w:lang w:val="fr-FR"/>
          </w:rPr>
          <w:t>CAT/C/82/D/937/2019</w:t>
        </w:r>
      </w:hyperlink>
      <w:r>
        <w:rPr>
          <w:lang w:val="fr-FR"/>
        </w:rPr>
        <w:t xml:space="preserve">), </w:t>
      </w:r>
      <w:r>
        <w:rPr>
          <w:i/>
          <w:iCs/>
          <w:lang w:val="fr-FR"/>
        </w:rPr>
        <w:t>O. H. c. Ukraine</w:t>
      </w:r>
      <w:r>
        <w:rPr>
          <w:lang w:val="fr-FR"/>
        </w:rPr>
        <w:t xml:space="preserve"> (</w:t>
      </w:r>
      <w:hyperlink r:id="rId170" w:history="1">
        <w:r w:rsidRPr="009059DB">
          <w:rPr>
            <w:rStyle w:val="Lienhypertexte"/>
            <w:lang w:val="fr-FR"/>
          </w:rPr>
          <w:t>CAT/C/82/D/987/2020</w:t>
        </w:r>
      </w:hyperlink>
      <w:r>
        <w:rPr>
          <w:lang w:val="fr-FR"/>
        </w:rPr>
        <w:t xml:space="preserve">), </w:t>
      </w:r>
      <w:r>
        <w:rPr>
          <w:i/>
          <w:iCs/>
          <w:lang w:val="fr-FR"/>
        </w:rPr>
        <w:t>A. M. H. c. Suisse</w:t>
      </w:r>
      <w:r>
        <w:rPr>
          <w:lang w:val="fr-FR"/>
        </w:rPr>
        <w:t xml:space="preserve"> (</w:t>
      </w:r>
      <w:hyperlink r:id="rId171" w:history="1">
        <w:r w:rsidRPr="009059DB">
          <w:rPr>
            <w:rStyle w:val="Lienhypertexte"/>
            <w:lang w:val="fr-FR"/>
          </w:rPr>
          <w:t>CAT/C/82/D/1056/2021</w:t>
        </w:r>
      </w:hyperlink>
      <w:r>
        <w:rPr>
          <w:lang w:val="fr-FR"/>
        </w:rPr>
        <w:t xml:space="preserve">), </w:t>
      </w:r>
      <w:r>
        <w:rPr>
          <w:i/>
          <w:iCs/>
          <w:lang w:val="fr-FR"/>
        </w:rPr>
        <w:t>S. M. et consorts c. Suède</w:t>
      </w:r>
      <w:r>
        <w:rPr>
          <w:lang w:val="fr-FR"/>
        </w:rPr>
        <w:t xml:space="preserve"> (</w:t>
      </w:r>
      <w:hyperlink r:id="rId172" w:history="1">
        <w:r w:rsidRPr="009059DB">
          <w:rPr>
            <w:rStyle w:val="Lienhypertexte"/>
            <w:lang w:val="fr-FR"/>
          </w:rPr>
          <w:t>CAT/C/82/D/1060/2021</w:t>
        </w:r>
      </w:hyperlink>
      <w:r>
        <w:rPr>
          <w:lang w:val="fr-FR"/>
        </w:rPr>
        <w:t xml:space="preserve">), </w:t>
      </w:r>
      <w:r>
        <w:rPr>
          <w:i/>
          <w:iCs/>
          <w:lang w:val="fr-FR"/>
        </w:rPr>
        <w:t>M. M. et A.</w:t>
      </w:r>
      <w:r w:rsidR="00061F58">
        <w:rPr>
          <w:i/>
          <w:iCs/>
          <w:lang w:val="fr-FR"/>
        </w:rPr>
        <w:t> </w:t>
      </w:r>
      <w:r>
        <w:rPr>
          <w:i/>
          <w:iCs/>
          <w:lang w:val="fr-FR"/>
        </w:rPr>
        <w:t>M. c. Suisse</w:t>
      </w:r>
      <w:r>
        <w:rPr>
          <w:lang w:val="fr-FR"/>
        </w:rPr>
        <w:t xml:space="preserve"> (</w:t>
      </w:r>
      <w:hyperlink r:id="rId173" w:history="1">
        <w:r w:rsidRPr="009059DB">
          <w:rPr>
            <w:rStyle w:val="Lienhypertexte"/>
            <w:lang w:val="fr-FR"/>
          </w:rPr>
          <w:t>CAT/C/82/D/1093/2021</w:t>
        </w:r>
      </w:hyperlink>
      <w:r>
        <w:rPr>
          <w:lang w:val="fr-FR"/>
        </w:rPr>
        <w:t xml:space="preserve">), </w:t>
      </w:r>
      <w:r>
        <w:rPr>
          <w:i/>
          <w:iCs/>
          <w:lang w:val="fr-FR"/>
        </w:rPr>
        <w:t>C. C. c. Argentine</w:t>
      </w:r>
      <w:r>
        <w:rPr>
          <w:lang w:val="fr-FR"/>
        </w:rPr>
        <w:t xml:space="preserve"> (</w:t>
      </w:r>
      <w:hyperlink r:id="rId174" w:history="1">
        <w:r w:rsidRPr="009059DB">
          <w:rPr>
            <w:rStyle w:val="Lienhypertexte"/>
            <w:lang w:val="fr-FR"/>
          </w:rPr>
          <w:t>CAT/C/82/D/1116/2022</w:t>
        </w:r>
      </w:hyperlink>
      <w:r>
        <w:rPr>
          <w:lang w:val="fr-FR"/>
        </w:rPr>
        <w:t xml:space="preserve">), </w:t>
      </w:r>
      <w:r>
        <w:rPr>
          <w:i/>
          <w:iCs/>
          <w:lang w:val="fr-FR"/>
        </w:rPr>
        <w:t>Y.</w:t>
      </w:r>
      <w:r w:rsidR="00061F58">
        <w:rPr>
          <w:i/>
          <w:iCs/>
          <w:lang w:val="fr-FR"/>
        </w:rPr>
        <w:t> </w:t>
      </w:r>
      <w:r>
        <w:rPr>
          <w:i/>
          <w:iCs/>
          <w:lang w:val="fr-FR"/>
        </w:rPr>
        <w:t>N. c. Suisse</w:t>
      </w:r>
      <w:r>
        <w:rPr>
          <w:lang w:val="fr-FR"/>
        </w:rPr>
        <w:t xml:space="preserve"> (</w:t>
      </w:r>
      <w:hyperlink r:id="rId175" w:history="1">
        <w:r w:rsidRPr="009059DB">
          <w:rPr>
            <w:rStyle w:val="Lienhypertexte"/>
            <w:lang w:val="fr-FR"/>
          </w:rPr>
          <w:t>CAT/C/82/D/1157/2022</w:t>
        </w:r>
      </w:hyperlink>
      <w:r>
        <w:rPr>
          <w:lang w:val="fr-FR"/>
        </w:rPr>
        <w:t xml:space="preserve">), </w:t>
      </w:r>
      <w:r>
        <w:rPr>
          <w:i/>
          <w:iCs/>
          <w:lang w:val="fr-FR"/>
        </w:rPr>
        <w:t>A. A. c. Suède</w:t>
      </w:r>
      <w:r>
        <w:rPr>
          <w:lang w:val="fr-FR"/>
        </w:rPr>
        <w:t xml:space="preserve"> (</w:t>
      </w:r>
      <w:hyperlink r:id="rId176" w:history="1">
        <w:r w:rsidRPr="009059DB">
          <w:rPr>
            <w:rStyle w:val="Lienhypertexte"/>
            <w:lang w:val="fr-FR"/>
          </w:rPr>
          <w:t>CAT/C/82/D/1165/2022</w:t>
        </w:r>
      </w:hyperlink>
      <w:r>
        <w:rPr>
          <w:lang w:val="fr-FR"/>
        </w:rPr>
        <w:t xml:space="preserve">), </w:t>
      </w:r>
      <w:r>
        <w:rPr>
          <w:i/>
          <w:iCs/>
          <w:lang w:val="fr-FR"/>
        </w:rPr>
        <w:t>H.</w:t>
      </w:r>
      <w:r w:rsidR="00061F58">
        <w:rPr>
          <w:i/>
          <w:iCs/>
          <w:lang w:val="fr-FR"/>
        </w:rPr>
        <w:t> </w:t>
      </w:r>
      <w:r>
        <w:rPr>
          <w:i/>
          <w:iCs/>
          <w:lang w:val="fr-FR"/>
        </w:rPr>
        <w:t>M. A. c. Suède</w:t>
      </w:r>
      <w:r>
        <w:rPr>
          <w:lang w:val="fr-FR"/>
        </w:rPr>
        <w:t xml:space="preserve"> (</w:t>
      </w:r>
      <w:hyperlink r:id="rId177" w:history="1">
        <w:r w:rsidRPr="009059DB">
          <w:rPr>
            <w:rStyle w:val="Lienhypertexte"/>
            <w:lang w:val="fr-FR"/>
          </w:rPr>
          <w:t>CAT/C/82/D/1181/2023</w:t>
        </w:r>
      </w:hyperlink>
      <w:r>
        <w:rPr>
          <w:lang w:val="fr-FR"/>
        </w:rPr>
        <w:t xml:space="preserve">), </w:t>
      </w:r>
      <w:r>
        <w:rPr>
          <w:i/>
          <w:iCs/>
          <w:lang w:val="fr-FR"/>
        </w:rPr>
        <w:t>A. L.</w:t>
      </w:r>
      <w:r>
        <w:rPr>
          <w:lang w:val="fr-FR"/>
        </w:rPr>
        <w:t xml:space="preserve"> </w:t>
      </w:r>
      <w:r>
        <w:rPr>
          <w:i/>
          <w:iCs/>
          <w:lang w:val="fr-FR"/>
        </w:rPr>
        <w:t xml:space="preserve">et S. K. c. Tunisie </w:t>
      </w:r>
      <w:r>
        <w:rPr>
          <w:lang w:val="fr-FR"/>
        </w:rPr>
        <w:t>(</w:t>
      </w:r>
      <w:hyperlink r:id="rId178" w:history="1">
        <w:r w:rsidRPr="009059DB">
          <w:rPr>
            <w:rStyle w:val="Lienhypertexte"/>
            <w:lang w:val="fr-FR"/>
          </w:rPr>
          <w:t>CAT/C/82/D/1185/2023</w:t>
        </w:r>
      </w:hyperlink>
      <w:r>
        <w:rPr>
          <w:lang w:val="fr-FR"/>
        </w:rPr>
        <w:t xml:space="preserve">), </w:t>
      </w:r>
      <w:r>
        <w:rPr>
          <w:i/>
          <w:iCs/>
          <w:lang w:val="fr-FR"/>
        </w:rPr>
        <w:t>T.</w:t>
      </w:r>
      <w:r w:rsidR="00061F58">
        <w:rPr>
          <w:i/>
          <w:iCs/>
          <w:lang w:val="fr-FR"/>
        </w:rPr>
        <w:t> </w:t>
      </w:r>
      <w:r>
        <w:rPr>
          <w:i/>
          <w:iCs/>
          <w:lang w:val="fr-FR"/>
        </w:rPr>
        <w:t xml:space="preserve">H. c. Suède </w:t>
      </w:r>
      <w:r>
        <w:rPr>
          <w:lang w:val="fr-FR"/>
        </w:rPr>
        <w:t>(</w:t>
      </w:r>
      <w:hyperlink r:id="rId179" w:history="1">
        <w:r w:rsidRPr="009059DB">
          <w:rPr>
            <w:rStyle w:val="Lienhypertexte"/>
            <w:lang w:val="fr-FR"/>
          </w:rPr>
          <w:t>CAT/C/82/D/1223/2024</w:t>
        </w:r>
      </w:hyperlink>
      <w:r>
        <w:rPr>
          <w:lang w:val="fr-FR"/>
        </w:rPr>
        <w:t xml:space="preserve">) et </w:t>
      </w:r>
      <w:r>
        <w:rPr>
          <w:i/>
          <w:iCs/>
          <w:lang w:val="fr-FR"/>
        </w:rPr>
        <w:t xml:space="preserve">M. H. c. Suisse </w:t>
      </w:r>
      <w:r>
        <w:rPr>
          <w:lang w:val="fr-FR"/>
        </w:rPr>
        <w:t>(</w:t>
      </w:r>
      <w:hyperlink r:id="rId180" w:history="1">
        <w:r w:rsidRPr="009059DB">
          <w:rPr>
            <w:rStyle w:val="Lienhypertexte"/>
            <w:lang w:val="fr-FR"/>
          </w:rPr>
          <w:t>CAT/C/82/D/1230/2024</w:t>
        </w:r>
      </w:hyperlink>
      <w:r>
        <w:rPr>
          <w:lang w:val="fr-FR"/>
        </w:rPr>
        <w:t>).</w:t>
      </w:r>
    </w:p>
    <w:p w14:paraId="2A09F753" w14:textId="77777777" w:rsidR="00F30361" w:rsidRPr="00D833AB" w:rsidRDefault="00F30361" w:rsidP="00F30361">
      <w:pPr>
        <w:pStyle w:val="H1G"/>
      </w:pPr>
      <w:r w:rsidRPr="00B12448">
        <w:rPr>
          <w:lang w:val="fr-FR"/>
        </w:rPr>
        <w:tab/>
      </w:r>
      <w:r w:rsidRPr="00D833AB">
        <w:rPr>
          <w:lang w:val="fr-FR"/>
        </w:rPr>
        <w:t>D.</w:t>
      </w:r>
      <w:r w:rsidRPr="00D833AB">
        <w:rPr>
          <w:lang w:val="fr-FR"/>
        </w:rPr>
        <w:tab/>
        <w:t>Activités de suivi</w:t>
      </w:r>
      <w:bookmarkStart w:id="57" w:name="_Toc138756991"/>
      <w:bookmarkStart w:id="58" w:name="_Toc191367669"/>
      <w:bookmarkEnd w:id="57"/>
      <w:bookmarkEnd w:id="58"/>
    </w:p>
    <w:p w14:paraId="5B61E9F1" w14:textId="77777777" w:rsidR="00F30361" w:rsidRPr="009965FF" w:rsidRDefault="00F30361" w:rsidP="00F30361">
      <w:pPr>
        <w:pStyle w:val="SingleTxtG"/>
      </w:pPr>
      <w:r>
        <w:rPr>
          <w:lang w:val="fr-FR"/>
        </w:rPr>
        <w:t>56.</w:t>
      </w:r>
      <w:r>
        <w:rPr>
          <w:lang w:val="fr-FR"/>
        </w:rPr>
        <w:tab/>
        <w:t>À sa vingt-huitième session, en mai 2002, le Comité a créé le mandat de Rapporteur chargé du suivi des décisions adoptées au titre de l’article 22, dont M. Liu est actuellement le titulaire. À sa 527</w:t>
      </w:r>
      <w:r w:rsidRPr="000E2E59">
        <w:rPr>
          <w:vertAlign w:val="superscript"/>
          <w:lang w:val="fr-FR"/>
        </w:rPr>
        <w:t>e</w:t>
      </w:r>
      <w:r>
        <w:rPr>
          <w:lang w:val="fr-FR"/>
        </w:rPr>
        <w:t xml:space="preserve"> séance, le 16 mai 2002, il a décidé que le Rapporteur devrait mener, entre autres, les activités suivantes : surveiller l’application des décisions rendues par le Comité en adressant aux États Parties des notes verbales leur demandant des informations sur les mesures qu’ils avaient prises pour donner suite à ces décisions ; recommander au Comité les mesures à prendre comme suite aux réponses des États Parties, ou en l’absence </w:t>
      </w:r>
      <w:r>
        <w:rPr>
          <w:lang w:val="fr-FR"/>
        </w:rPr>
        <w:lastRenderedPageBreak/>
        <w:t>de réponse de leur part, et comme suite à chacune des lettres reçues ultérieurement de requérants concernant la non-application des décisions ; rencontrer les représentants des missions permanentes des États Parties pour encourager ces derniers à appliquer les décisions du Comité et déterminer si la fourniture de services consultatifs ou d’une assistance technique par le HCDH serait appropriée ou souhaitable ; effectuer, avec l’approbation du Comité, des visites de suivi dans les États Parties ; établir périodiquement, à l’intention du Comité, des rapports sur ses activités.</w:t>
      </w:r>
    </w:p>
    <w:p w14:paraId="5658A4A2" w14:textId="77777777" w:rsidR="00F30361" w:rsidRPr="009965FF" w:rsidRDefault="00F30361" w:rsidP="00F30361">
      <w:pPr>
        <w:pStyle w:val="SingleTxtG"/>
      </w:pPr>
      <w:r w:rsidRPr="00061F58">
        <w:rPr>
          <w:lang w:val="fr-FR"/>
        </w:rPr>
        <w:t>57.</w:t>
      </w:r>
      <w:r w:rsidRPr="00061F58">
        <w:rPr>
          <w:lang w:val="fr-FR"/>
        </w:rPr>
        <w:tab/>
        <w:t>À sa quatre-vingt-unième session, le Comité a adopté un rapport sur le suivi des décisions relatives aux communications soumises en vertu de l’article 22 de la Convention (</w:t>
      </w:r>
      <w:hyperlink r:id="rId181" w:history="1">
        <w:r w:rsidRPr="00061F58">
          <w:rPr>
            <w:rStyle w:val="Lienhypertexte"/>
            <w:lang w:val="fr-FR"/>
          </w:rPr>
          <w:t>CAT/C/81/2</w:t>
        </w:r>
      </w:hyperlink>
      <w:r w:rsidRPr="00061F58">
        <w:rPr>
          <w:lang w:val="fr-FR"/>
        </w:rPr>
        <w:t>). Il a décidé de mettre fin au dialogue au titre du suivi concernant cinq décisions relatives à des commun</w:t>
      </w:r>
      <w:r>
        <w:rPr>
          <w:lang w:val="fr-FR"/>
        </w:rPr>
        <w:t>ications soumises en vertu de l’article 22 de la Convention, les décisions en question ayant été pleinement appliquées par les États Parties. Il a également décidé de poursuivre le dialogue concernant sept affaires, les décisions qu’il avait rendues dans ces affaires n’ayant pas été appliquées ou n’ayant été que partiellement appliquées.</w:t>
      </w:r>
    </w:p>
    <w:p w14:paraId="21B0ABC7" w14:textId="77777777" w:rsidR="00F30361" w:rsidRPr="009965FF" w:rsidRDefault="00F30361" w:rsidP="00F30361">
      <w:pPr>
        <w:pStyle w:val="SingleTxtG"/>
      </w:pPr>
      <w:r>
        <w:rPr>
          <w:lang w:val="fr-FR"/>
        </w:rPr>
        <w:t>58.</w:t>
      </w:r>
      <w:r>
        <w:rPr>
          <w:lang w:val="fr-FR"/>
        </w:rPr>
        <w:tab/>
        <w:t>À sa quatre-vingt-deuxième session, le Comité a adopté un rapport sur le suivi des décisions relatives aux communications soumises en vertu de l’article 22 de la Convention (</w:t>
      </w:r>
      <w:hyperlink r:id="rId182" w:history="1">
        <w:r w:rsidRPr="009059DB">
          <w:rPr>
            <w:rStyle w:val="Lienhypertexte"/>
            <w:lang w:val="fr-FR"/>
          </w:rPr>
          <w:t>CAT/C/82/3</w:t>
        </w:r>
      </w:hyperlink>
      <w:r>
        <w:rPr>
          <w:lang w:val="fr-FR"/>
        </w:rPr>
        <w:t xml:space="preserve">), concernant quatre affaires dans lesquelles les États Parties et les requérants avaient eu au moins une série d’échanges. Il a décidé de mettre fin au dialogue concernant une de ces affaires, ses recommandations s’y rapportant ayant été pleinement appliquées, et de poursuivre le dialogue concernant les trois autres affaires, compte tenu de l’application partielle de ses recommandations dans ces affaires. </w:t>
      </w:r>
    </w:p>
    <w:p w14:paraId="11BAAB5E" w14:textId="77777777" w:rsidR="00F30361" w:rsidRPr="009965FF" w:rsidRDefault="00F30361" w:rsidP="00F30361">
      <w:pPr>
        <w:pStyle w:val="SingleTxtG"/>
      </w:pPr>
      <w:r>
        <w:rPr>
          <w:lang w:val="fr-FR"/>
        </w:rPr>
        <w:t>59.</w:t>
      </w:r>
      <w:r>
        <w:rPr>
          <w:lang w:val="fr-FR"/>
        </w:rPr>
        <w:tab/>
        <w:t>Aux trois sessions qui se sont tenues pendant la période considérée, M</w:t>
      </w:r>
      <w:r>
        <w:rPr>
          <w:vertAlign w:val="superscript"/>
          <w:lang w:val="fr-FR"/>
        </w:rPr>
        <w:t>me</w:t>
      </w:r>
      <w:r>
        <w:rPr>
          <w:lang w:val="fr-FR"/>
        </w:rPr>
        <w:t> </w:t>
      </w:r>
      <w:proofErr w:type="spellStart"/>
      <w:r>
        <w:rPr>
          <w:lang w:val="fr-FR"/>
        </w:rPr>
        <w:t>Racu</w:t>
      </w:r>
      <w:proofErr w:type="spellEnd"/>
      <w:r>
        <w:rPr>
          <w:lang w:val="fr-FR"/>
        </w:rPr>
        <w:t xml:space="preserve">, en sa qualité de Rapporteuse chargée de la question des représailles, a rendu compte oralement au Comité de la situation en matière de représailles. Le Comité a reçu des renseignements actualisés concernant les représailles liées aux requêtes en attente d’examen et au suivi des décisions. </w:t>
      </w:r>
    </w:p>
    <w:p w14:paraId="3D34C2EE" w14:textId="77777777" w:rsidR="00F30361" w:rsidRPr="00D833AB" w:rsidRDefault="00F30361" w:rsidP="00F30361">
      <w:pPr>
        <w:pStyle w:val="HChG"/>
      </w:pPr>
      <w:r w:rsidRPr="00D833AB">
        <w:rPr>
          <w:lang w:val="fr-FR"/>
        </w:rPr>
        <w:tab/>
        <w:t>VII.</w:t>
      </w:r>
      <w:r w:rsidRPr="00D833AB">
        <w:rPr>
          <w:lang w:val="fr-FR"/>
        </w:rPr>
        <w:tab/>
        <w:t>Sessions du Comité en 2025</w:t>
      </w:r>
      <w:bookmarkStart w:id="59" w:name="_Toc138756992"/>
      <w:bookmarkStart w:id="60" w:name="_Toc191367670"/>
      <w:bookmarkEnd w:id="59"/>
      <w:bookmarkEnd w:id="60"/>
    </w:p>
    <w:p w14:paraId="2C26ED4B" w14:textId="2567039F" w:rsidR="00F30361" w:rsidRPr="00D833AB" w:rsidRDefault="00F30361" w:rsidP="00F30361">
      <w:pPr>
        <w:pStyle w:val="SingleTxtG"/>
      </w:pPr>
      <w:r>
        <w:rPr>
          <w:lang w:val="fr-FR"/>
        </w:rPr>
        <w:t>60</w:t>
      </w:r>
      <w:r w:rsidRPr="00D833AB">
        <w:rPr>
          <w:lang w:val="fr-FR"/>
        </w:rPr>
        <w:t>.</w:t>
      </w:r>
      <w:r w:rsidRPr="00D833AB">
        <w:rPr>
          <w:lang w:val="fr-FR"/>
        </w:rPr>
        <w:tab/>
        <w:t xml:space="preserve">Conformément à la résolution </w:t>
      </w:r>
      <w:hyperlink r:id="rId183" w:history="1">
        <w:r w:rsidRPr="009059DB">
          <w:rPr>
            <w:rStyle w:val="Lienhypertexte"/>
            <w:lang w:val="fr-FR"/>
          </w:rPr>
          <w:t>68/268</w:t>
        </w:r>
      </w:hyperlink>
      <w:r w:rsidRPr="00D833AB">
        <w:rPr>
          <w:lang w:val="fr-FR"/>
        </w:rPr>
        <w:t xml:space="preserve"> de l’Assemblée générale, le Comité tiendra deux autres sessions ordinaires en 2025 : la quatre-vingt-troisième (14-31</w:t>
      </w:r>
      <w:r w:rsidR="00061F58">
        <w:rPr>
          <w:lang w:val="fr-FR"/>
        </w:rPr>
        <w:t> </w:t>
      </w:r>
      <w:r w:rsidRPr="00D833AB">
        <w:rPr>
          <w:lang w:val="fr-FR"/>
        </w:rPr>
        <w:t>juillet) et la quatre</w:t>
      </w:r>
      <w:r w:rsidRPr="00D833AB">
        <w:rPr>
          <w:lang w:val="fr-FR"/>
        </w:rPr>
        <w:noBreakHyphen/>
        <w:t>vingt-quatrième (3-28</w:t>
      </w:r>
      <w:r w:rsidR="00061F58">
        <w:rPr>
          <w:lang w:val="fr-FR"/>
        </w:rPr>
        <w:t> </w:t>
      </w:r>
      <w:r w:rsidRPr="00D833AB">
        <w:rPr>
          <w:lang w:val="fr-FR"/>
        </w:rPr>
        <w:t>novembre).</w:t>
      </w:r>
      <w:r>
        <w:rPr>
          <w:lang w:val="fr-FR"/>
        </w:rPr>
        <w:t xml:space="preserve"> Cependant, en raison de crise de liquidités que connaît actuellement le Secrétariat de l’Organisation des Nations Unies et des mesures de préservation des liquidités adoptées en conséquence, les modalités des séances plénières des organes conventionnels pourraient devoir être ajustées.</w:t>
      </w:r>
    </w:p>
    <w:p w14:paraId="6C6A1F00" w14:textId="77777777" w:rsidR="00F30361" w:rsidRPr="00D833AB" w:rsidRDefault="00F30361" w:rsidP="00F30361">
      <w:pPr>
        <w:pStyle w:val="HChG"/>
      </w:pPr>
      <w:r w:rsidRPr="00D833AB">
        <w:rPr>
          <w:lang w:val="fr-FR"/>
        </w:rPr>
        <w:tab/>
        <w:t>VIII.</w:t>
      </w:r>
      <w:r w:rsidRPr="00D833AB">
        <w:rPr>
          <w:lang w:val="fr-FR"/>
        </w:rPr>
        <w:tab/>
        <w:t>Adoption du rapport annuel sur les activités du Comité</w:t>
      </w:r>
      <w:bookmarkStart w:id="61" w:name="_Toc138756993"/>
      <w:bookmarkStart w:id="62" w:name="_Toc191367671"/>
      <w:bookmarkEnd w:id="61"/>
      <w:bookmarkEnd w:id="62"/>
    </w:p>
    <w:p w14:paraId="72683D39" w14:textId="540E49BB" w:rsidR="00F30361" w:rsidRPr="00D833AB" w:rsidRDefault="00F30361" w:rsidP="00F30361">
      <w:pPr>
        <w:pStyle w:val="SingleTxtG"/>
        <w:rPr>
          <w:lang w:val="fr-FR"/>
        </w:rPr>
      </w:pPr>
      <w:r>
        <w:rPr>
          <w:lang w:val="fr-FR"/>
        </w:rPr>
        <w:t>61</w:t>
      </w:r>
      <w:r w:rsidRPr="00D833AB">
        <w:rPr>
          <w:lang w:val="fr-FR"/>
        </w:rPr>
        <w:t>.</w:t>
      </w:r>
      <w:r w:rsidRPr="00D833AB">
        <w:rPr>
          <w:lang w:val="fr-FR"/>
        </w:rPr>
        <w:tab/>
        <w:t xml:space="preserve">Conformément à l’article 24 de la Convention, le Comité soumet aux États </w:t>
      </w:r>
      <w:r>
        <w:rPr>
          <w:lang w:val="fr-FR"/>
        </w:rPr>
        <w:t>P</w:t>
      </w:r>
      <w:r w:rsidRPr="00D833AB">
        <w:rPr>
          <w:lang w:val="fr-FR"/>
        </w:rPr>
        <w:t>arties et à l’Assemblée générale un rapport annuel sur ses activités. Comme il tient chaque année sa troisième session ordinaire en novembre, période qui coïncide avec les sessions ordinaires de l’Assemblée générale, il adopte son rapport annuel à la fin de la session qu’il tient en avril et en mai, afin de le transmettre à l’Assemblée générale la même année civile. En conséquence, le Comité a examiné et adopté son rapport sur les travaux qu’il a menés pendant la période considérée.</w:t>
      </w:r>
      <w:r w:rsidRPr="00D833AB">
        <w:rPr>
          <w:lang w:val="fr-FR"/>
        </w:rPr>
        <w:br w:type="page"/>
      </w:r>
    </w:p>
    <w:p w14:paraId="2401AD8B" w14:textId="77777777" w:rsidR="00F30361" w:rsidRPr="00D833AB" w:rsidRDefault="00F30361" w:rsidP="00061F58">
      <w:pPr>
        <w:pStyle w:val="HChG"/>
      </w:pPr>
      <w:r w:rsidRPr="00D833AB">
        <w:rPr>
          <w:lang w:val="fr-FR"/>
        </w:rPr>
        <w:lastRenderedPageBreak/>
        <w:t xml:space="preserve">Annexe </w:t>
      </w:r>
      <w:bookmarkStart w:id="63" w:name="_Toc66432764"/>
      <w:bookmarkStart w:id="64" w:name="_Toc106377701"/>
      <w:bookmarkStart w:id="65" w:name="_Toc138756994"/>
      <w:bookmarkStart w:id="66" w:name="_Toc191367672"/>
      <w:bookmarkEnd w:id="63"/>
      <w:bookmarkEnd w:id="64"/>
      <w:bookmarkEnd w:id="65"/>
      <w:bookmarkEnd w:id="66"/>
    </w:p>
    <w:p w14:paraId="6F6B6E75" w14:textId="77777777" w:rsidR="00F30361" w:rsidRPr="00D833AB" w:rsidRDefault="00F30361" w:rsidP="00061F58">
      <w:pPr>
        <w:pStyle w:val="H1G"/>
      </w:pPr>
      <w:r w:rsidRPr="00D833AB">
        <w:rPr>
          <w:lang w:val="fr-FR"/>
        </w:rPr>
        <w:tab/>
      </w:r>
      <w:r w:rsidRPr="00D833AB">
        <w:rPr>
          <w:lang w:val="fr-FR"/>
        </w:rPr>
        <w:tab/>
      </w:r>
      <w:r w:rsidRPr="00D833AB">
        <w:rPr>
          <w:lang w:val="fr-FR"/>
        </w:rPr>
        <w:tab/>
        <w:t xml:space="preserve">Composition du Comité et du Bureau et mandats </w:t>
      </w:r>
      <w:bookmarkStart w:id="67" w:name="_Toc191367673"/>
      <w:bookmarkEnd w:id="67"/>
    </w:p>
    <w:tbl>
      <w:tblPr>
        <w:tblW w:w="7370" w:type="dxa"/>
        <w:tblInd w:w="1134" w:type="dxa"/>
        <w:tblLayout w:type="fixed"/>
        <w:tblCellMar>
          <w:left w:w="0" w:type="dxa"/>
          <w:right w:w="0" w:type="dxa"/>
        </w:tblCellMar>
        <w:tblLook w:val="0000" w:firstRow="0" w:lastRow="0" w:firstColumn="0" w:lastColumn="0" w:noHBand="0" w:noVBand="0"/>
      </w:tblPr>
      <w:tblGrid>
        <w:gridCol w:w="4820"/>
        <w:gridCol w:w="1276"/>
        <w:gridCol w:w="1274"/>
      </w:tblGrid>
      <w:tr w:rsidR="00F30361" w:rsidRPr="00D833AB" w14:paraId="4446EB2F" w14:textId="77777777" w:rsidTr="00CB026C">
        <w:trPr>
          <w:cantSplit/>
          <w:tblHeader/>
        </w:trPr>
        <w:tc>
          <w:tcPr>
            <w:tcW w:w="4820" w:type="dxa"/>
            <w:tcBorders>
              <w:top w:val="single" w:sz="4" w:space="0" w:color="auto"/>
              <w:bottom w:val="single" w:sz="12" w:space="0" w:color="auto"/>
            </w:tcBorders>
            <w:vAlign w:val="bottom"/>
          </w:tcPr>
          <w:p w14:paraId="07796ADB"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Nom</w:t>
            </w:r>
          </w:p>
        </w:tc>
        <w:tc>
          <w:tcPr>
            <w:tcW w:w="1276" w:type="dxa"/>
            <w:tcBorders>
              <w:top w:val="single" w:sz="4" w:space="0" w:color="auto"/>
              <w:bottom w:val="single" w:sz="12" w:space="0" w:color="auto"/>
            </w:tcBorders>
            <w:vAlign w:val="bottom"/>
          </w:tcPr>
          <w:p w14:paraId="5804F9D9"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Pays de nationalité</w:t>
            </w:r>
          </w:p>
        </w:tc>
        <w:tc>
          <w:tcPr>
            <w:tcW w:w="1274" w:type="dxa"/>
            <w:tcBorders>
              <w:top w:val="single" w:sz="4" w:space="0" w:color="auto"/>
              <w:bottom w:val="single" w:sz="12" w:space="0" w:color="auto"/>
            </w:tcBorders>
            <w:vAlign w:val="bottom"/>
          </w:tcPr>
          <w:p w14:paraId="51F1CCB4" w14:textId="77777777" w:rsidR="00F30361" w:rsidRPr="00D833AB" w:rsidRDefault="00F30361" w:rsidP="00CB026C">
            <w:pPr>
              <w:spacing w:before="80" w:after="80" w:line="200" w:lineRule="exact"/>
              <w:ind w:right="113"/>
              <w:rPr>
                <w:i/>
                <w:sz w:val="16"/>
                <w:szCs w:val="16"/>
              </w:rPr>
            </w:pPr>
            <w:r w:rsidRPr="00D833AB">
              <w:rPr>
                <w:i/>
                <w:iCs/>
                <w:color w:val="000000"/>
                <w:sz w:val="16"/>
                <w:szCs w:val="16"/>
                <w:lang w:val="fr-FR"/>
              </w:rPr>
              <w:t>Mandat expirant le 31</w:t>
            </w:r>
            <w:r>
              <w:rPr>
                <w:i/>
                <w:iCs/>
                <w:color w:val="000000"/>
                <w:sz w:val="16"/>
                <w:szCs w:val="16"/>
                <w:lang w:val="fr-FR"/>
              </w:rPr>
              <w:t> </w:t>
            </w:r>
            <w:r w:rsidRPr="00D833AB">
              <w:rPr>
                <w:i/>
                <w:iCs/>
                <w:color w:val="000000"/>
                <w:sz w:val="16"/>
                <w:szCs w:val="16"/>
                <w:lang w:val="fr-FR"/>
              </w:rPr>
              <w:t>décembre</w:t>
            </w:r>
          </w:p>
        </w:tc>
      </w:tr>
      <w:tr w:rsidR="00F30361" w:rsidRPr="00D833AB" w14:paraId="0F73CCD0" w14:textId="77777777" w:rsidTr="00CB026C">
        <w:trPr>
          <w:cantSplit/>
          <w:trHeight w:hRule="exact" w:val="113"/>
          <w:tblHeader/>
        </w:trPr>
        <w:tc>
          <w:tcPr>
            <w:tcW w:w="4820" w:type="dxa"/>
            <w:tcBorders>
              <w:top w:val="single" w:sz="12" w:space="0" w:color="auto"/>
            </w:tcBorders>
          </w:tcPr>
          <w:p w14:paraId="6FB94316" w14:textId="77777777" w:rsidR="00F30361" w:rsidRPr="00D833AB" w:rsidRDefault="00F30361" w:rsidP="00CB026C">
            <w:pPr>
              <w:spacing w:before="40" w:after="120"/>
              <w:ind w:right="113"/>
            </w:pPr>
          </w:p>
        </w:tc>
        <w:tc>
          <w:tcPr>
            <w:tcW w:w="1276" w:type="dxa"/>
            <w:tcBorders>
              <w:top w:val="single" w:sz="12" w:space="0" w:color="auto"/>
            </w:tcBorders>
          </w:tcPr>
          <w:p w14:paraId="314F9B1A" w14:textId="77777777" w:rsidR="00F30361" w:rsidRPr="00D833AB" w:rsidRDefault="00F30361" w:rsidP="00CB026C">
            <w:pPr>
              <w:spacing w:before="40" w:after="120"/>
              <w:ind w:right="113"/>
            </w:pPr>
          </w:p>
        </w:tc>
        <w:tc>
          <w:tcPr>
            <w:tcW w:w="1274" w:type="dxa"/>
            <w:tcBorders>
              <w:top w:val="single" w:sz="12" w:space="0" w:color="auto"/>
            </w:tcBorders>
          </w:tcPr>
          <w:p w14:paraId="55FE14E1" w14:textId="77777777" w:rsidR="00F30361" w:rsidRPr="00D833AB" w:rsidRDefault="00F30361" w:rsidP="00CB026C">
            <w:pPr>
              <w:spacing w:before="40" w:after="120"/>
              <w:ind w:right="113"/>
            </w:pPr>
          </w:p>
        </w:tc>
      </w:tr>
      <w:tr w:rsidR="00F30361" w:rsidRPr="00D833AB" w14:paraId="2DD1CA5B" w14:textId="77777777" w:rsidTr="00CB026C">
        <w:trPr>
          <w:cantSplit/>
        </w:trPr>
        <w:tc>
          <w:tcPr>
            <w:tcW w:w="4820" w:type="dxa"/>
          </w:tcPr>
          <w:p w14:paraId="68850F91" w14:textId="77777777" w:rsidR="00F30361" w:rsidRPr="00D833AB" w:rsidRDefault="00F30361" w:rsidP="00CB026C">
            <w:pPr>
              <w:spacing w:before="40" w:after="120"/>
              <w:ind w:right="113"/>
            </w:pPr>
            <w:r w:rsidRPr="00D833AB">
              <w:rPr>
                <w:color w:val="000000"/>
                <w:lang w:val="fr-FR"/>
              </w:rPr>
              <w:t xml:space="preserve">Todd </w:t>
            </w:r>
            <w:proofErr w:type="spellStart"/>
            <w:r w:rsidRPr="00D833AB">
              <w:rPr>
                <w:color w:val="000000"/>
                <w:lang w:val="fr-FR"/>
              </w:rPr>
              <w:t>Buchwald</w:t>
            </w:r>
            <w:proofErr w:type="spellEnd"/>
            <w:r w:rsidRPr="00D833AB">
              <w:rPr>
                <w:color w:val="000000"/>
                <w:lang w:val="fr-FR"/>
              </w:rPr>
              <w:t xml:space="preserve"> </w:t>
            </w:r>
            <w:r w:rsidRPr="00D833AB">
              <w:rPr>
                <w:color w:val="000000"/>
                <w:lang w:val="fr-FR"/>
              </w:rPr>
              <w:br/>
              <w:t>(Rapporteur chargé des nouvelles requêtes et des mesures provisoires de protection)</w:t>
            </w:r>
          </w:p>
        </w:tc>
        <w:tc>
          <w:tcPr>
            <w:tcW w:w="1276" w:type="dxa"/>
          </w:tcPr>
          <w:p w14:paraId="53B31CDE" w14:textId="77777777" w:rsidR="00F30361" w:rsidRPr="00D833AB" w:rsidRDefault="00F30361" w:rsidP="00CB026C">
            <w:pPr>
              <w:spacing w:before="40" w:after="120"/>
              <w:ind w:right="113"/>
            </w:pPr>
            <w:r w:rsidRPr="00D833AB">
              <w:rPr>
                <w:color w:val="000000"/>
                <w:lang w:val="fr-FR"/>
              </w:rPr>
              <w:t>États-Unis d’Amérique</w:t>
            </w:r>
          </w:p>
        </w:tc>
        <w:tc>
          <w:tcPr>
            <w:tcW w:w="1274" w:type="dxa"/>
          </w:tcPr>
          <w:p w14:paraId="19675FC5" w14:textId="77777777" w:rsidR="00F30361" w:rsidRPr="00D833AB" w:rsidRDefault="00F30361" w:rsidP="00CB026C">
            <w:pPr>
              <w:spacing w:before="40" w:after="120"/>
              <w:ind w:right="113"/>
            </w:pPr>
            <w:r w:rsidRPr="00D833AB">
              <w:rPr>
                <w:color w:val="000000"/>
                <w:lang w:val="fr-FR"/>
              </w:rPr>
              <w:t>2025</w:t>
            </w:r>
          </w:p>
        </w:tc>
      </w:tr>
      <w:tr w:rsidR="00F30361" w:rsidRPr="00D833AB" w14:paraId="6C17F03B" w14:textId="77777777" w:rsidTr="00CB026C">
        <w:trPr>
          <w:cantSplit/>
        </w:trPr>
        <w:tc>
          <w:tcPr>
            <w:tcW w:w="4820" w:type="dxa"/>
          </w:tcPr>
          <w:p w14:paraId="644CCAF7" w14:textId="77777777" w:rsidR="00F30361" w:rsidRPr="00D833AB" w:rsidRDefault="00F30361" w:rsidP="00CB026C">
            <w:pPr>
              <w:spacing w:before="40" w:after="120"/>
              <w:ind w:right="113"/>
            </w:pPr>
            <w:r w:rsidRPr="00D833AB">
              <w:rPr>
                <w:color w:val="000000"/>
                <w:lang w:val="fr-FR"/>
              </w:rPr>
              <w:t xml:space="preserve">Jorge </w:t>
            </w:r>
            <w:proofErr w:type="spellStart"/>
            <w:r w:rsidRPr="00D833AB">
              <w:rPr>
                <w:color w:val="000000"/>
                <w:lang w:val="fr-FR"/>
              </w:rPr>
              <w:t>Contesse</w:t>
            </w:r>
            <w:proofErr w:type="spellEnd"/>
          </w:p>
        </w:tc>
        <w:tc>
          <w:tcPr>
            <w:tcW w:w="1276" w:type="dxa"/>
          </w:tcPr>
          <w:p w14:paraId="711351A0" w14:textId="77777777" w:rsidR="00F30361" w:rsidRPr="00D833AB" w:rsidRDefault="00F30361" w:rsidP="00CB026C">
            <w:pPr>
              <w:spacing w:before="40" w:after="120"/>
              <w:ind w:right="113"/>
            </w:pPr>
            <w:r w:rsidRPr="00D833AB">
              <w:rPr>
                <w:color w:val="000000"/>
                <w:lang w:val="fr-FR"/>
              </w:rPr>
              <w:t>Chili</w:t>
            </w:r>
          </w:p>
        </w:tc>
        <w:tc>
          <w:tcPr>
            <w:tcW w:w="1274" w:type="dxa"/>
          </w:tcPr>
          <w:p w14:paraId="0D2F568C" w14:textId="77777777" w:rsidR="00F30361" w:rsidRPr="00D833AB" w:rsidRDefault="00F30361" w:rsidP="00CB026C">
            <w:pPr>
              <w:spacing w:before="40" w:after="120"/>
              <w:ind w:right="113"/>
            </w:pPr>
            <w:r w:rsidRPr="00D833AB">
              <w:rPr>
                <w:color w:val="000000"/>
                <w:lang w:val="fr-FR"/>
              </w:rPr>
              <w:t>2027</w:t>
            </w:r>
          </w:p>
        </w:tc>
      </w:tr>
      <w:tr w:rsidR="00F30361" w:rsidRPr="00D833AB" w14:paraId="7AEE4DBF" w14:textId="77777777" w:rsidTr="00CB026C">
        <w:trPr>
          <w:cantSplit/>
        </w:trPr>
        <w:tc>
          <w:tcPr>
            <w:tcW w:w="4820" w:type="dxa"/>
          </w:tcPr>
          <w:p w14:paraId="6D67EA30" w14:textId="77777777" w:rsidR="00F30361" w:rsidRPr="00D833AB" w:rsidRDefault="00F30361" w:rsidP="00CB026C">
            <w:pPr>
              <w:spacing w:before="40" w:after="120"/>
              <w:ind w:right="113"/>
            </w:pPr>
            <w:r w:rsidRPr="00D833AB">
              <w:rPr>
                <w:color w:val="000000"/>
                <w:lang w:val="fr-FR"/>
              </w:rPr>
              <w:t xml:space="preserve">Claude Heller </w:t>
            </w:r>
            <w:r w:rsidRPr="00D833AB">
              <w:rPr>
                <w:color w:val="000000"/>
                <w:lang w:val="fr-FR"/>
              </w:rPr>
              <w:br/>
              <w:t>(Président)</w:t>
            </w:r>
          </w:p>
        </w:tc>
        <w:tc>
          <w:tcPr>
            <w:tcW w:w="1276" w:type="dxa"/>
          </w:tcPr>
          <w:p w14:paraId="46901CDD" w14:textId="77777777" w:rsidR="00F30361" w:rsidRPr="00D833AB" w:rsidRDefault="00F30361" w:rsidP="00CB026C">
            <w:pPr>
              <w:spacing w:before="40" w:after="120"/>
              <w:ind w:right="113"/>
            </w:pPr>
            <w:r w:rsidRPr="00D833AB">
              <w:rPr>
                <w:color w:val="000000"/>
                <w:lang w:val="fr-FR"/>
              </w:rPr>
              <w:t>Mexique</w:t>
            </w:r>
          </w:p>
        </w:tc>
        <w:tc>
          <w:tcPr>
            <w:tcW w:w="1274" w:type="dxa"/>
          </w:tcPr>
          <w:p w14:paraId="21B013A4" w14:textId="77777777" w:rsidR="00F30361" w:rsidRPr="00D833AB" w:rsidRDefault="00F30361" w:rsidP="00CB026C">
            <w:pPr>
              <w:spacing w:before="40" w:after="120"/>
              <w:ind w:right="113"/>
            </w:pPr>
            <w:r w:rsidRPr="00D833AB">
              <w:rPr>
                <w:color w:val="000000"/>
                <w:lang w:val="fr-FR"/>
              </w:rPr>
              <w:t>2027</w:t>
            </w:r>
          </w:p>
        </w:tc>
      </w:tr>
      <w:tr w:rsidR="00F30361" w:rsidRPr="00D833AB" w14:paraId="4C19D11A" w14:textId="77777777" w:rsidTr="00CB026C">
        <w:trPr>
          <w:cantSplit/>
        </w:trPr>
        <w:tc>
          <w:tcPr>
            <w:tcW w:w="4820" w:type="dxa"/>
          </w:tcPr>
          <w:p w14:paraId="23298A0E" w14:textId="77777777" w:rsidR="00F30361" w:rsidRPr="00D833AB" w:rsidRDefault="00F30361" w:rsidP="00CB026C">
            <w:pPr>
              <w:spacing w:before="40" w:after="120"/>
              <w:ind w:right="113"/>
            </w:pPr>
            <w:r w:rsidRPr="00D833AB">
              <w:rPr>
                <w:color w:val="000000"/>
                <w:lang w:val="fr-FR"/>
              </w:rPr>
              <w:t xml:space="preserve">Erdogan </w:t>
            </w:r>
            <w:proofErr w:type="spellStart"/>
            <w:r w:rsidRPr="00D833AB">
              <w:rPr>
                <w:color w:val="000000"/>
                <w:lang w:val="fr-FR"/>
              </w:rPr>
              <w:t>Iscan</w:t>
            </w:r>
            <w:proofErr w:type="spellEnd"/>
            <w:r w:rsidRPr="00D833AB">
              <w:rPr>
                <w:color w:val="000000"/>
                <w:lang w:val="fr-FR"/>
              </w:rPr>
              <w:t xml:space="preserve"> </w:t>
            </w:r>
            <w:r w:rsidRPr="00D833AB">
              <w:rPr>
                <w:color w:val="000000"/>
                <w:lang w:val="fr-FR"/>
              </w:rPr>
              <w:br/>
              <w:t>(Vice-Président)</w:t>
            </w:r>
          </w:p>
        </w:tc>
        <w:tc>
          <w:tcPr>
            <w:tcW w:w="1276" w:type="dxa"/>
          </w:tcPr>
          <w:p w14:paraId="0BA203B2" w14:textId="77777777" w:rsidR="00F30361" w:rsidRPr="00D833AB" w:rsidRDefault="00F30361" w:rsidP="00CB026C">
            <w:pPr>
              <w:spacing w:before="40" w:after="120"/>
              <w:ind w:right="113"/>
            </w:pPr>
            <w:r w:rsidRPr="00D833AB">
              <w:rPr>
                <w:color w:val="000000"/>
                <w:lang w:val="fr-FR"/>
              </w:rPr>
              <w:t>Türkiye</w:t>
            </w:r>
          </w:p>
        </w:tc>
        <w:tc>
          <w:tcPr>
            <w:tcW w:w="1274" w:type="dxa"/>
          </w:tcPr>
          <w:p w14:paraId="61747783" w14:textId="77777777" w:rsidR="00F30361" w:rsidRPr="00D833AB" w:rsidRDefault="00F30361" w:rsidP="00CB026C">
            <w:pPr>
              <w:spacing w:before="40" w:after="120"/>
              <w:ind w:right="113"/>
            </w:pPr>
            <w:r w:rsidRPr="00D833AB">
              <w:rPr>
                <w:color w:val="000000"/>
                <w:lang w:val="fr-FR"/>
              </w:rPr>
              <w:t>2027</w:t>
            </w:r>
          </w:p>
        </w:tc>
      </w:tr>
      <w:tr w:rsidR="00F30361" w:rsidRPr="00D833AB" w14:paraId="2623FFDE" w14:textId="77777777" w:rsidTr="00CB026C">
        <w:trPr>
          <w:cantSplit/>
        </w:trPr>
        <w:tc>
          <w:tcPr>
            <w:tcW w:w="4820" w:type="dxa"/>
          </w:tcPr>
          <w:p w14:paraId="1577BD98" w14:textId="77777777" w:rsidR="00F30361" w:rsidRPr="00D833AB" w:rsidRDefault="00F30361" w:rsidP="00CB026C">
            <w:pPr>
              <w:spacing w:before="40" w:after="120"/>
              <w:ind w:right="113"/>
            </w:pPr>
            <w:r w:rsidRPr="00D833AB">
              <w:rPr>
                <w:color w:val="000000"/>
                <w:lang w:val="fr-FR"/>
              </w:rPr>
              <w:t xml:space="preserve">Peter Vedel </w:t>
            </w:r>
            <w:proofErr w:type="spellStart"/>
            <w:r w:rsidRPr="00D833AB">
              <w:rPr>
                <w:color w:val="000000"/>
                <w:lang w:val="fr-FR"/>
              </w:rPr>
              <w:t>Kessing</w:t>
            </w:r>
            <w:proofErr w:type="spellEnd"/>
            <w:r w:rsidRPr="00D833AB">
              <w:rPr>
                <w:color w:val="000000"/>
                <w:lang w:val="fr-FR"/>
              </w:rPr>
              <w:t xml:space="preserve"> </w:t>
            </w:r>
            <w:r w:rsidRPr="00D833AB">
              <w:rPr>
                <w:color w:val="000000"/>
                <w:lang w:val="fr-FR"/>
              </w:rPr>
              <w:br/>
              <w:t>(Rapporteur)</w:t>
            </w:r>
          </w:p>
        </w:tc>
        <w:tc>
          <w:tcPr>
            <w:tcW w:w="1276" w:type="dxa"/>
          </w:tcPr>
          <w:p w14:paraId="2DB14052" w14:textId="77777777" w:rsidR="00F30361" w:rsidRPr="00D833AB" w:rsidRDefault="00F30361" w:rsidP="00CB026C">
            <w:pPr>
              <w:spacing w:before="40" w:after="120"/>
              <w:ind w:right="113"/>
            </w:pPr>
            <w:r w:rsidRPr="00D833AB">
              <w:rPr>
                <w:color w:val="000000"/>
                <w:lang w:val="fr-FR"/>
              </w:rPr>
              <w:t>Danemark</w:t>
            </w:r>
          </w:p>
        </w:tc>
        <w:tc>
          <w:tcPr>
            <w:tcW w:w="1274" w:type="dxa"/>
          </w:tcPr>
          <w:p w14:paraId="03FD43F0" w14:textId="77777777" w:rsidR="00F30361" w:rsidRPr="00D833AB" w:rsidRDefault="00F30361" w:rsidP="00CB026C">
            <w:pPr>
              <w:spacing w:before="40" w:after="120"/>
              <w:ind w:right="113"/>
            </w:pPr>
            <w:r w:rsidRPr="00D833AB">
              <w:rPr>
                <w:color w:val="000000"/>
                <w:lang w:val="fr-FR"/>
              </w:rPr>
              <w:t>2027</w:t>
            </w:r>
          </w:p>
        </w:tc>
      </w:tr>
      <w:tr w:rsidR="00F30361" w:rsidRPr="00D833AB" w14:paraId="1B90DFA2" w14:textId="77777777" w:rsidTr="00CB026C">
        <w:trPr>
          <w:cantSplit/>
        </w:trPr>
        <w:tc>
          <w:tcPr>
            <w:tcW w:w="4820" w:type="dxa"/>
          </w:tcPr>
          <w:p w14:paraId="4E1BAB88" w14:textId="77777777" w:rsidR="00F30361" w:rsidRPr="00D833AB" w:rsidRDefault="00F30361" w:rsidP="00CB026C">
            <w:pPr>
              <w:spacing w:before="40" w:after="120"/>
              <w:ind w:right="113"/>
            </w:pPr>
            <w:r w:rsidRPr="00D833AB">
              <w:rPr>
                <w:color w:val="000000"/>
                <w:lang w:val="fr-FR"/>
              </w:rPr>
              <w:t xml:space="preserve">Liu </w:t>
            </w:r>
            <w:proofErr w:type="spellStart"/>
            <w:r w:rsidRPr="00D833AB">
              <w:rPr>
                <w:color w:val="000000"/>
                <w:lang w:val="fr-FR"/>
              </w:rPr>
              <w:t>Huawen</w:t>
            </w:r>
            <w:proofErr w:type="spellEnd"/>
            <w:r w:rsidRPr="00D833AB">
              <w:rPr>
                <w:color w:val="000000"/>
                <w:lang w:val="fr-FR"/>
              </w:rPr>
              <w:t xml:space="preserve"> </w:t>
            </w:r>
            <w:r w:rsidRPr="00D833AB">
              <w:rPr>
                <w:color w:val="000000"/>
                <w:lang w:val="fr-FR"/>
              </w:rPr>
              <w:br/>
              <w:t>(Rapporteur chargé du suivi des décisions adoptées au titre de l’article</w:t>
            </w:r>
            <w:r>
              <w:rPr>
                <w:color w:val="000000"/>
                <w:lang w:val="fr-FR"/>
              </w:rPr>
              <w:t> </w:t>
            </w:r>
            <w:r w:rsidRPr="00D833AB">
              <w:rPr>
                <w:color w:val="000000"/>
                <w:lang w:val="fr-FR"/>
              </w:rPr>
              <w:t>22)</w:t>
            </w:r>
          </w:p>
        </w:tc>
        <w:tc>
          <w:tcPr>
            <w:tcW w:w="1276" w:type="dxa"/>
          </w:tcPr>
          <w:p w14:paraId="16906FFA" w14:textId="77777777" w:rsidR="00F30361" w:rsidRPr="00D833AB" w:rsidRDefault="00F30361" w:rsidP="00CB026C">
            <w:pPr>
              <w:spacing w:before="40" w:after="120"/>
              <w:ind w:right="113"/>
            </w:pPr>
            <w:r w:rsidRPr="00D833AB">
              <w:rPr>
                <w:color w:val="000000"/>
                <w:lang w:val="fr-FR"/>
              </w:rPr>
              <w:t>Chine</w:t>
            </w:r>
          </w:p>
        </w:tc>
        <w:tc>
          <w:tcPr>
            <w:tcW w:w="1274" w:type="dxa"/>
          </w:tcPr>
          <w:p w14:paraId="3E248F0E" w14:textId="77777777" w:rsidR="00F30361" w:rsidRPr="00D833AB" w:rsidRDefault="00F30361" w:rsidP="00CB026C">
            <w:pPr>
              <w:spacing w:before="40" w:after="120"/>
              <w:ind w:right="113"/>
            </w:pPr>
            <w:r w:rsidRPr="00D833AB">
              <w:rPr>
                <w:color w:val="000000"/>
                <w:lang w:val="fr-FR"/>
              </w:rPr>
              <w:t>2025</w:t>
            </w:r>
          </w:p>
        </w:tc>
      </w:tr>
      <w:tr w:rsidR="00F30361" w:rsidRPr="00D833AB" w14:paraId="2D7BB531" w14:textId="77777777" w:rsidTr="00CB026C">
        <w:trPr>
          <w:cantSplit/>
        </w:trPr>
        <w:tc>
          <w:tcPr>
            <w:tcW w:w="4820" w:type="dxa"/>
          </w:tcPr>
          <w:p w14:paraId="1FE011A3" w14:textId="77777777" w:rsidR="00F30361" w:rsidRPr="00D833AB" w:rsidRDefault="00F30361" w:rsidP="00CB026C">
            <w:pPr>
              <w:spacing w:before="40" w:after="120"/>
              <w:ind w:right="113"/>
            </w:pPr>
            <w:r w:rsidRPr="00D833AB">
              <w:rPr>
                <w:color w:val="000000"/>
                <w:lang w:val="fr-FR"/>
              </w:rPr>
              <w:t xml:space="preserve">Maeda Naoko </w:t>
            </w:r>
            <w:r w:rsidRPr="00D833AB">
              <w:rPr>
                <w:color w:val="000000"/>
                <w:lang w:val="fr-FR"/>
              </w:rPr>
              <w:br/>
              <w:t>(Vice-Présidente)</w:t>
            </w:r>
          </w:p>
        </w:tc>
        <w:tc>
          <w:tcPr>
            <w:tcW w:w="1276" w:type="dxa"/>
          </w:tcPr>
          <w:p w14:paraId="72114E23" w14:textId="77777777" w:rsidR="00F30361" w:rsidRPr="00D833AB" w:rsidRDefault="00F30361" w:rsidP="00CB026C">
            <w:pPr>
              <w:spacing w:before="40" w:after="120"/>
              <w:ind w:right="113"/>
            </w:pPr>
            <w:r w:rsidRPr="00D833AB">
              <w:rPr>
                <w:color w:val="000000"/>
                <w:lang w:val="fr-FR"/>
              </w:rPr>
              <w:t>Japon</w:t>
            </w:r>
          </w:p>
        </w:tc>
        <w:tc>
          <w:tcPr>
            <w:tcW w:w="1274" w:type="dxa"/>
          </w:tcPr>
          <w:p w14:paraId="1CEF9033" w14:textId="77777777" w:rsidR="00F30361" w:rsidRPr="00D833AB" w:rsidRDefault="00F30361" w:rsidP="00CB026C">
            <w:pPr>
              <w:spacing w:before="40" w:after="120"/>
              <w:ind w:right="113"/>
            </w:pPr>
            <w:r w:rsidRPr="00D833AB">
              <w:rPr>
                <w:color w:val="000000"/>
                <w:lang w:val="fr-FR"/>
              </w:rPr>
              <w:t>2025</w:t>
            </w:r>
          </w:p>
        </w:tc>
      </w:tr>
      <w:tr w:rsidR="00F30361" w:rsidRPr="00D833AB" w14:paraId="2A17CF54" w14:textId="77777777" w:rsidTr="00CB026C">
        <w:trPr>
          <w:cantSplit/>
        </w:trPr>
        <w:tc>
          <w:tcPr>
            <w:tcW w:w="4820" w:type="dxa"/>
          </w:tcPr>
          <w:p w14:paraId="7DE2E945" w14:textId="77777777" w:rsidR="00F30361" w:rsidRPr="00D833AB" w:rsidRDefault="00F30361" w:rsidP="00CB026C">
            <w:pPr>
              <w:spacing w:before="40" w:after="120"/>
              <w:ind w:right="113"/>
            </w:pPr>
            <w:r w:rsidRPr="00D833AB">
              <w:rPr>
                <w:color w:val="000000"/>
                <w:lang w:val="fr-FR"/>
              </w:rPr>
              <w:t xml:space="preserve">Ana </w:t>
            </w:r>
            <w:proofErr w:type="spellStart"/>
            <w:r w:rsidRPr="00D833AB">
              <w:rPr>
                <w:color w:val="000000"/>
                <w:lang w:val="fr-FR"/>
              </w:rPr>
              <w:t>Racu</w:t>
            </w:r>
            <w:proofErr w:type="spellEnd"/>
            <w:r w:rsidRPr="00D833AB">
              <w:rPr>
                <w:color w:val="000000"/>
                <w:lang w:val="fr-FR"/>
              </w:rPr>
              <w:t xml:space="preserve"> </w:t>
            </w:r>
            <w:r w:rsidRPr="00D833AB">
              <w:rPr>
                <w:color w:val="000000"/>
                <w:lang w:val="fr-FR"/>
              </w:rPr>
              <w:br/>
              <w:t>(Coordonnatrice pour la coopération avec le programme de renforcement des capacités des organes conventionnels du Haut-Commissariat des Nations Unies aux droits de l’homme)</w:t>
            </w:r>
          </w:p>
        </w:tc>
        <w:tc>
          <w:tcPr>
            <w:tcW w:w="1276" w:type="dxa"/>
          </w:tcPr>
          <w:p w14:paraId="051BFF6B" w14:textId="77777777" w:rsidR="00F30361" w:rsidRPr="00D833AB" w:rsidRDefault="00F30361" w:rsidP="00CB026C">
            <w:pPr>
              <w:spacing w:before="40" w:after="120"/>
              <w:ind w:right="113"/>
            </w:pPr>
            <w:r w:rsidRPr="00D833AB">
              <w:rPr>
                <w:color w:val="000000"/>
                <w:lang w:val="fr-FR"/>
              </w:rPr>
              <w:t>République de Moldova</w:t>
            </w:r>
          </w:p>
        </w:tc>
        <w:tc>
          <w:tcPr>
            <w:tcW w:w="1274" w:type="dxa"/>
          </w:tcPr>
          <w:p w14:paraId="1E226F62" w14:textId="77777777" w:rsidR="00F30361" w:rsidRPr="00D833AB" w:rsidRDefault="00F30361" w:rsidP="00CB026C">
            <w:pPr>
              <w:spacing w:before="40" w:after="120"/>
              <w:ind w:right="113"/>
            </w:pPr>
            <w:r w:rsidRPr="00D833AB">
              <w:rPr>
                <w:color w:val="000000"/>
                <w:lang w:val="fr-FR"/>
              </w:rPr>
              <w:t>2027</w:t>
            </w:r>
          </w:p>
        </w:tc>
      </w:tr>
      <w:tr w:rsidR="00F30361" w:rsidRPr="00D833AB" w14:paraId="3FC91CC6" w14:textId="77777777" w:rsidTr="00CB026C">
        <w:trPr>
          <w:cantSplit/>
        </w:trPr>
        <w:tc>
          <w:tcPr>
            <w:tcW w:w="4820" w:type="dxa"/>
          </w:tcPr>
          <w:p w14:paraId="6E79A35A" w14:textId="426FC656" w:rsidR="00F30361" w:rsidRPr="00D833AB" w:rsidRDefault="00F30361" w:rsidP="00CB026C">
            <w:pPr>
              <w:spacing w:before="40" w:after="120"/>
              <w:ind w:right="113"/>
            </w:pPr>
            <w:r w:rsidRPr="00D833AB">
              <w:rPr>
                <w:color w:val="000000"/>
                <w:lang w:val="fr-FR"/>
              </w:rPr>
              <w:t xml:space="preserve">Abderrazak </w:t>
            </w:r>
            <w:proofErr w:type="spellStart"/>
            <w:r w:rsidRPr="00D833AB">
              <w:rPr>
                <w:color w:val="000000"/>
                <w:lang w:val="fr-FR"/>
              </w:rPr>
              <w:t>Rouwane</w:t>
            </w:r>
            <w:proofErr w:type="spellEnd"/>
            <w:r w:rsidRPr="00D833AB">
              <w:rPr>
                <w:color w:val="000000"/>
                <w:lang w:val="fr-FR"/>
              </w:rPr>
              <w:t xml:space="preserve"> </w:t>
            </w:r>
            <w:r w:rsidRPr="00D833AB">
              <w:rPr>
                <w:color w:val="000000"/>
                <w:lang w:val="fr-FR"/>
              </w:rPr>
              <w:br/>
              <w:t>(Vice-</w:t>
            </w:r>
            <w:r w:rsidR="00092527" w:rsidRPr="00D833AB">
              <w:rPr>
                <w:color w:val="000000"/>
                <w:lang w:val="fr-FR"/>
              </w:rPr>
              <w:t>P</w:t>
            </w:r>
            <w:r w:rsidRPr="00D833AB">
              <w:rPr>
                <w:color w:val="000000"/>
                <w:lang w:val="fr-FR"/>
              </w:rPr>
              <w:t>résident)</w:t>
            </w:r>
          </w:p>
          <w:p w14:paraId="4B7CABBB" w14:textId="77777777" w:rsidR="00F30361" w:rsidRPr="00D833AB" w:rsidRDefault="00F30361" w:rsidP="00CB026C">
            <w:pPr>
              <w:spacing w:before="40" w:after="120"/>
              <w:ind w:right="113"/>
            </w:pPr>
            <w:r w:rsidRPr="00D833AB">
              <w:rPr>
                <w:color w:val="000000"/>
                <w:lang w:val="fr-FR"/>
              </w:rPr>
              <w:t>(Coordonnateur pour la coopération avec le Sous-Comité pour la prévention de la torture et autres peines ou traitements cruels, inhumains ou dégradants)</w:t>
            </w:r>
          </w:p>
        </w:tc>
        <w:tc>
          <w:tcPr>
            <w:tcW w:w="1276" w:type="dxa"/>
          </w:tcPr>
          <w:p w14:paraId="08D4FE7A" w14:textId="77777777" w:rsidR="00F30361" w:rsidRPr="00D833AB" w:rsidRDefault="00F30361" w:rsidP="00CB026C">
            <w:pPr>
              <w:spacing w:before="40" w:after="120"/>
              <w:ind w:right="113"/>
            </w:pPr>
            <w:r w:rsidRPr="00D833AB">
              <w:rPr>
                <w:color w:val="000000"/>
                <w:lang w:val="fr-FR"/>
              </w:rPr>
              <w:t>Maroc</w:t>
            </w:r>
          </w:p>
        </w:tc>
        <w:tc>
          <w:tcPr>
            <w:tcW w:w="1274" w:type="dxa"/>
          </w:tcPr>
          <w:p w14:paraId="6E33441E" w14:textId="77777777" w:rsidR="00F30361" w:rsidRPr="00D833AB" w:rsidRDefault="00F30361" w:rsidP="00CB026C">
            <w:pPr>
              <w:spacing w:before="40" w:after="120"/>
              <w:ind w:right="113"/>
            </w:pPr>
            <w:r w:rsidRPr="00D833AB">
              <w:rPr>
                <w:color w:val="000000"/>
                <w:lang w:val="fr-FR"/>
              </w:rPr>
              <w:t>2025</w:t>
            </w:r>
          </w:p>
        </w:tc>
      </w:tr>
      <w:tr w:rsidR="00F30361" w:rsidRPr="007341CA" w14:paraId="5378192A" w14:textId="77777777" w:rsidTr="00CB026C">
        <w:trPr>
          <w:cantSplit/>
        </w:trPr>
        <w:tc>
          <w:tcPr>
            <w:tcW w:w="4820" w:type="dxa"/>
            <w:tcBorders>
              <w:bottom w:val="single" w:sz="12" w:space="0" w:color="auto"/>
            </w:tcBorders>
          </w:tcPr>
          <w:p w14:paraId="2161A4BC" w14:textId="77777777" w:rsidR="00F30361" w:rsidRPr="00D833AB" w:rsidRDefault="00F30361" w:rsidP="00CB026C">
            <w:pPr>
              <w:spacing w:before="40" w:after="120"/>
              <w:ind w:right="113"/>
            </w:pPr>
            <w:proofErr w:type="spellStart"/>
            <w:r w:rsidRPr="00D833AB">
              <w:rPr>
                <w:color w:val="000000"/>
                <w:lang w:val="fr-FR"/>
              </w:rPr>
              <w:t>Bakhtiyar</w:t>
            </w:r>
            <w:proofErr w:type="spellEnd"/>
            <w:r w:rsidRPr="00D833AB">
              <w:rPr>
                <w:color w:val="000000"/>
                <w:lang w:val="fr-FR"/>
              </w:rPr>
              <w:t xml:space="preserve"> </w:t>
            </w:r>
            <w:proofErr w:type="spellStart"/>
            <w:r w:rsidRPr="00D833AB">
              <w:rPr>
                <w:color w:val="000000"/>
                <w:lang w:val="fr-FR"/>
              </w:rPr>
              <w:t>Tuzmukhamedov</w:t>
            </w:r>
            <w:proofErr w:type="spellEnd"/>
            <w:r w:rsidRPr="00D833AB">
              <w:rPr>
                <w:color w:val="000000"/>
                <w:lang w:val="fr-FR"/>
              </w:rPr>
              <w:t xml:space="preserve"> </w:t>
            </w:r>
            <w:r w:rsidRPr="00D833AB">
              <w:rPr>
                <w:color w:val="000000"/>
                <w:lang w:val="fr-FR"/>
              </w:rPr>
              <w:br/>
              <w:t>(Rapporteur chargé du suivi des observations finales)</w:t>
            </w:r>
          </w:p>
        </w:tc>
        <w:tc>
          <w:tcPr>
            <w:tcW w:w="1276" w:type="dxa"/>
            <w:tcBorders>
              <w:bottom w:val="single" w:sz="12" w:space="0" w:color="auto"/>
            </w:tcBorders>
          </w:tcPr>
          <w:p w14:paraId="39F97ABE" w14:textId="77777777" w:rsidR="00F30361" w:rsidRPr="00D833AB" w:rsidRDefault="00F30361" w:rsidP="00CB026C">
            <w:pPr>
              <w:spacing w:before="40" w:after="120"/>
              <w:ind w:right="113"/>
            </w:pPr>
            <w:r w:rsidRPr="00D833AB">
              <w:rPr>
                <w:color w:val="000000"/>
                <w:lang w:val="fr-FR"/>
              </w:rPr>
              <w:t>Fédération de Russie</w:t>
            </w:r>
          </w:p>
        </w:tc>
        <w:tc>
          <w:tcPr>
            <w:tcW w:w="1274" w:type="dxa"/>
            <w:tcBorders>
              <w:bottom w:val="single" w:sz="12" w:space="0" w:color="auto"/>
            </w:tcBorders>
          </w:tcPr>
          <w:p w14:paraId="32E69893" w14:textId="77777777" w:rsidR="00F30361" w:rsidRPr="007341CA" w:rsidRDefault="00F30361" w:rsidP="00CB026C">
            <w:pPr>
              <w:spacing w:before="40" w:after="120"/>
              <w:ind w:right="113"/>
            </w:pPr>
            <w:r w:rsidRPr="00D833AB">
              <w:rPr>
                <w:color w:val="000000"/>
                <w:lang w:val="fr-FR"/>
              </w:rPr>
              <w:t>2025</w:t>
            </w:r>
          </w:p>
        </w:tc>
      </w:tr>
    </w:tbl>
    <w:bookmarkEnd w:id="7"/>
    <w:p w14:paraId="13389D69" w14:textId="07F16DCF" w:rsidR="00AF50C2" w:rsidRPr="00F30361" w:rsidRDefault="00F30361" w:rsidP="00F30361">
      <w:pPr>
        <w:pStyle w:val="SingleTxtG"/>
        <w:spacing w:before="240" w:after="0"/>
        <w:jc w:val="center"/>
        <w:rPr>
          <w:u w:val="single"/>
        </w:rPr>
      </w:pPr>
      <w:r>
        <w:rPr>
          <w:u w:val="single"/>
        </w:rPr>
        <w:tab/>
      </w:r>
      <w:r>
        <w:rPr>
          <w:u w:val="single"/>
        </w:rPr>
        <w:tab/>
      </w:r>
      <w:r>
        <w:rPr>
          <w:u w:val="single"/>
        </w:rPr>
        <w:tab/>
      </w:r>
    </w:p>
    <w:sectPr w:rsidR="00AF50C2" w:rsidRPr="00F30361" w:rsidSect="00C65C7E">
      <w:headerReference w:type="even" r:id="rId184"/>
      <w:headerReference w:type="default" r:id="rId185"/>
      <w:footerReference w:type="even" r:id="rId186"/>
      <w:footerReference w:type="default" r:id="rId187"/>
      <w:footerReference w:type="first" r:id="rId188"/>
      <w:endnotePr>
        <w:numFmt w:val="decimal"/>
      </w:endnotePr>
      <w:type w:val="oddPage"/>
      <w:pgSz w:w="11906" w:h="16838" w:code="9"/>
      <w:pgMar w:top="1417" w:right="1134" w:bottom="1134" w:left="1134" w:header="85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39D7D" w14:textId="77777777" w:rsidR="003E3230" w:rsidRDefault="003E3230"/>
  </w:endnote>
  <w:endnote w:type="continuationSeparator" w:id="0">
    <w:p w14:paraId="7F0DA6A5" w14:textId="77777777" w:rsidR="003E3230" w:rsidRDefault="003E3230">
      <w:pPr>
        <w:pStyle w:val="Pieddepage"/>
      </w:pPr>
    </w:p>
  </w:endnote>
  <w:endnote w:type="continuationNotice" w:id="1">
    <w:p w14:paraId="3EAB7C27" w14:textId="77777777" w:rsidR="003E3230" w:rsidRPr="00C451B9" w:rsidRDefault="003E3230"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986A9" w14:textId="77777777" w:rsidR="00BD03A2" w:rsidRDefault="00F30361">
    <w:pPr>
      <w:pStyle w:val="Pieddepage"/>
    </w:pPr>
    <w:r>
      <w:rPr>
        <w:noProof/>
        <w:lang w:eastAsia="fr-CH"/>
      </w:rPr>
      <w:drawing>
        <wp:anchor distT="0" distB="0" distL="114300" distR="114300" simplePos="0" relativeHeight="251660288" behindDoc="0" locked="0" layoutInCell="1" allowOverlap="1" wp14:anchorId="60482419" wp14:editId="4A9DB6D0">
          <wp:simplePos x="0" y="0"/>
          <wp:positionH relativeFrom="margin">
            <wp:posOffset>5489575</wp:posOffset>
          </wp:positionH>
          <wp:positionV relativeFrom="margin">
            <wp:posOffset>8891905</wp:posOffset>
          </wp:positionV>
          <wp:extent cx="628650" cy="628650"/>
          <wp:effectExtent l="0" t="0" r="0" b="0"/>
          <wp:wrapNone/>
          <wp:docPr id="2643923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8240" behindDoc="0" locked="0" layoutInCell="1" allowOverlap="0" wp14:anchorId="23A37FBF" wp14:editId="526888BE">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5F7C" w14:textId="77777777" w:rsidR="00F30361" w:rsidRDefault="00F3036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CE282"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8801"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A4CB2" w14:textId="77777777" w:rsidR="00F30361" w:rsidRPr="00F30361" w:rsidRDefault="00F30361" w:rsidP="00F30361">
    <w:pPr>
      <w:pStyle w:val="Pieddepage"/>
      <w:tabs>
        <w:tab w:val="right" w:pos="9638"/>
      </w:tabs>
    </w:pPr>
    <w:r w:rsidRPr="00F30361">
      <w:rPr>
        <w:b/>
        <w:sz w:val="18"/>
      </w:rPr>
      <w:fldChar w:fldCharType="begin"/>
    </w:r>
    <w:r w:rsidRPr="00F30361">
      <w:rPr>
        <w:b/>
        <w:sz w:val="18"/>
      </w:rPr>
      <w:instrText xml:space="preserve"> PAGE  \* MERGEFORMAT </w:instrText>
    </w:r>
    <w:r w:rsidRPr="00F30361">
      <w:rPr>
        <w:b/>
        <w:sz w:val="18"/>
      </w:rPr>
      <w:fldChar w:fldCharType="separate"/>
    </w:r>
    <w:r w:rsidRPr="00F30361">
      <w:rPr>
        <w:b/>
        <w:noProof/>
        <w:sz w:val="18"/>
      </w:rPr>
      <w:t>iv</w:t>
    </w:r>
    <w:r w:rsidRPr="00F30361">
      <w:rPr>
        <w:b/>
        <w:sz w:val="18"/>
      </w:rPr>
      <w:fldChar w:fldCharType="end"/>
    </w:r>
    <w:r>
      <w:rPr>
        <w:b/>
        <w:sz w:val="18"/>
      </w:rPr>
      <w:tab/>
    </w:r>
    <w:r>
      <w:t>GE.25-09438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F16E4" w14:textId="77777777" w:rsidR="00B7180A" w:rsidRPr="00F30361" w:rsidRDefault="00F30361" w:rsidP="00F30361">
    <w:pPr>
      <w:pStyle w:val="Pieddepage"/>
      <w:tabs>
        <w:tab w:val="right" w:pos="9638"/>
      </w:tabs>
      <w:rPr>
        <w:b/>
        <w:sz w:val="18"/>
      </w:rPr>
    </w:pPr>
    <w:r>
      <w:t>GE.25-09438</w:t>
    </w:r>
    <w:r>
      <w:tab/>
    </w:r>
    <w:r w:rsidRPr="00F30361">
      <w:rPr>
        <w:b/>
        <w:sz w:val="18"/>
      </w:rPr>
      <w:fldChar w:fldCharType="begin"/>
    </w:r>
    <w:r w:rsidRPr="00F30361">
      <w:rPr>
        <w:b/>
        <w:sz w:val="18"/>
      </w:rPr>
      <w:instrText xml:space="preserve"> PAGE  \* MERGEFORMAT </w:instrText>
    </w:r>
    <w:r w:rsidRPr="00F30361">
      <w:rPr>
        <w:b/>
        <w:sz w:val="18"/>
      </w:rPr>
      <w:fldChar w:fldCharType="separate"/>
    </w:r>
    <w:r w:rsidRPr="00F30361">
      <w:rPr>
        <w:b/>
        <w:noProof/>
        <w:sz w:val="18"/>
      </w:rPr>
      <w:t>v</w:t>
    </w:r>
    <w:r w:rsidRPr="00F3036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03433" w14:textId="4AB30260" w:rsidR="00F30361" w:rsidRPr="00F30361" w:rsidRDefault="00F30361" w:rsidP="00F30361">
    <w:pPr>
      <w:pStyle w:val="Pieddepage"/>
      <w:tabs>
        <w:tab w:val="right" w:pos="9638"/>
      </w:tabs>
      <w:spacing w:before="120"/>
      <w:rPr>
        <w:b/>
        <w:sz w:val="18"/>
      </w:rPr>
    </w:pPr>
    <w:r>
      <w:rPr>
        <w:sz w:val="20"/>
      </w:rPr>
      <w:t>GE.25-09438  (F)</w:t>
    </w:r>
    <w:r w:rsidR="00C65C7E">
      <w:rPr>
        <w:sz w:val="20"/>
      </w:rPr>
      <w:t xml:space="preserve">    080725    </w:t>
    </w:r>
    <w:r w:rsidR="00C65C7E" w:rsidRPr="00C7510B">
      <w:rPr>
        <w:sz w:val="20"/>
      </w:rPr>
      <w:t>080725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B750A" w14:textId="3E25E781" w:rsidR="00AF6BBA" w:rsidRPr="007E5660" w:rsidRDefault="00AF6BBA" w:rsidP="007E5660">
    <w:pPr>
      <w:pStyle w:val="Pieddepage"/>
      <w:tabs>
        <w:tab w:val="right" w:pos="9638"/>
      </w:tabs>
    </w:pPr>
    <w:r w:rsidRPr="007E5660">
      <w:rPr>
        <w:b/>
        <w:sz w:val="18"/>
      </w:rPr>
      <w:fldChar w:fldCharType="begin"/>
    </w:r>
    <w:r w:rsidRPr="007E5660">
      <w:rPr>
        <w:b/>
        <w:sz w:val="18"/>
      </w:rPr>
      <w:instrText xml:space="preserve"> PAGE  \* MERGEFORMAT </w:instrText>
    </w:r>
    <w:r w:rsidRPr="007E5660">
      <w:rPr>
        <w:b/>
        <w:sz w:val="18"/>
      </w:rPr>
      <w:fldChar w:fldCharType="separate"/>
    </w:r>
    <w:r w:rsidRPr="007E5660">
      <w:rPr>
        <w:b/>
        <w:noProof/>
        <w:sz w:val="18"/>
      </w:rPr>
      <w:t>2</w:t>
    </w:r>
    <w:r w:rsidRPr="007E5660">
      <w:rPr>
        <w:b/>
        <w:sz w:val="18"/>
      </w:rPr>
      <w:fldChar w:fldCharType="end"/>
    </w:r>
    <w:r>
      <w:rPr>
        <w:b/>
        <w:sz w:val="18"/>
      </w:rPr>
      <w:tab/>
    </w:r>
    <w:r w:rsidR="00C65C7E">
      <w:t>GE.25-09438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10CA1" w14:textId="5D41BCD4" w:rsidR="00AF6BBA" w:rsidRPr="007E5660" w:rsidRDefault="00C65C7E" w:rsidP="007E5660">
    <w:pPr>
      <w:pStyle w:val="Pieddepage"/>
      <w:tabs>
        <w:tab w:val="right" w:pos="9638"/>
      </w:tabs>
      <w:rPr>
        <w:b/>
        <w:sz w:val="18"/>
      </w:rPr>
    </w:pPr>
    <w:r>
      <w:t>GE.25-09438</w:t>
    </w:r>
    <w:r w:rsidR="00AF6BBA">
      <w:tab/>
    </w:r>
    <w:r w:rsidR="00AF6BBA" w:rsidRPr="007E5660">
      <w:rPr>
        <w:b/>
        <w:sz w:val="18"/>
      </w:rPr>
      <w:fldChar w:fldCharType="begin"/>
    </w:r>
    <w:r w:rsidR="00AF6BBA" w:rsidRPr="007E5660">
      <w:rPr>
        <w:b/>
        <w:sz w:val="18"/>
      </w:rPr>
      <w:instrText xml:space="preserve"> PAGE  \* MERGEFORMAT </w:instrText>
    </w:r>
    <w:r w:rsidR="00AF6BBA" w:rsidRPr="007E5660">
      <w:rPr>
        <w:b/>
        <w:sz w:val="18"/>
      </w:rPr>
      <w:fldChar w:fldCharType="separate"/>
    </w:r>
    <w:r w:rsidR="00AF6BBA" w:rsidRPr="007E5660">
      <w:rPr>
        <w:b/>
        <w:noProof/>
        <w:sz w:val="18"/>
      </w:rPr>
      <w:t>3</w:t>
    </w:r>
    <w:r w:rsidR="00AF6BBA" w:rsidRPr="007E5660">
      <w:rPr>
        <w:b/>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C08A5" w14:textId="0917015F" w:rsidR="00AF6BBA" w:rsidRPr="00C65C7E" w:rsidRDefault="00C65C7E" w:rsidP="00C65C7E">
    <w:pPr>
      <w:pStyle w:val="Pieddepage"/>
      <w:tabs>
        <w:tab w:val="right" w:pos="9638"/>
      </w:tabs>
    </w:pPr>
    <w:r>
      <w:t>GE.25-09438</w:t>
    </w:r>
    <w:r>
      <w:tab/>
    </w:r>
    <w:r>
      <w:fldChar w:fldCharType="begin"/>
    </w:r>
    <w:r>
      <w:instrText>PAGE   \* MERGEFORMAT</w:instrText>
    </w:r>
    <w:r>
      <w:fldChar w:fldCharType="separate"/>
    </w:r>
    <w:r>
      <w:rPr>
        <w:lang w:val="fr-FR"/>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7949E" w14:textId="77777777" w:rsidR="003E3230" w:rsidRPr="00D27D5E" w:rsidRDefault="003E3230" w:rsidP="00D27D5E">
      <w:pPr>
        <w:tabs>
          <w:tab w:val="right" w:pos="2155"/>
        </w:tabs>
        <w:spacing w:after="80"/>
        <w:ind w:left="680"/>
        <w:rPr>
          <w:u w:val="single"/>
        </w:rPr>
      </w:pPr>
      <w:r>
        <w:rPr>
          <w:u w:val="single"/>
        </w:rPr>
        <w:tab/>
      </w:r>
    </w:p>
  </w:footnote>
  <w:footnote w:type="continuationSeparator" w:id="0">
    <w:p w14:paraId="32C63AEE" w14:textId="77777777" w:rsidR="003E3230" w:rsidRPr="00D171D4" w:rsidRDefault="003E3230" w:rsidP="00D171D4">
      <w:pPr>
        <w:tabs>
          <w:tab w:val="right" w:pos="2155"/>
        </w:tabs>
        <w:spacing w:after="80"/>
        <w:ind w:left="680"/>
        <w:rPr>
          <w:u w:val="single"/>
        </w:rPr>
      </w:pPr>
      <w:r w:rsidRPr="00D171D4">
        <w:rPr>
          <w:u w:val="single"/>
        </w:rPr>
        <w:tab/>
      </w:r>
    </w:p>
  </w:footnote>
  <w:footnote w:type="continuationNotice" w:id="1">
    <w:p w14:paraId="273CA4E6" w14:textId="77777777" w:rsidR="003E3230" w:rsidRPr="00C451B9" w:rsidRDefault="003E3230" w:rsidP="00C451B9">
      <w:pPr>
        <w:spacing w:line="240" w:lineRule="auto"/>
        <w:rPr>
          <w:sz w:val="2"/>
          <w:szCs w:val="2"/>
        </w:rPr>
      </w:pPr>
    </w:p>
  </w:footnote>
  <w:footnote w:id="2">
    <w:p w14:paraId="26BEBAAA" w14:textId="0EBC7BAA" w:rsidR="00F30361" w:rsidRPr="003E6B10" w:rsidRDefault="00F30361" w:rsidP="00C65C7E">
      <w:pPr>
        <w:pStyle w:val="Notedebasdepage"/>
      </w:pPr>
      <w:r>
        <w:rPr>
          <w:lang w:val="fr-FR"/>
        </w:rPr>
        <w:tab/>
      </w:r>
      <w:r w:rsidRPr="00C65C7E">
        <w:rPr>
          <w:rStyle w:val="Appelnotedebasdep"/>
        </w:rPr>
        <w:footnoteRef/>
      </w:r>
      <w:r>
        <w:rPr>
          <w:lang w:val="fr-FR"/>
        </w:rPr>
        <w:tab/>
        <w:t xml:space="preserve">Voir </w:t>
      </w:r>
      <w:hyperlink r:id="rId1" w:history="1">
        <w:r w:rsidR="002303EF">
          <w:rPr>
            <w:rStyle w:val="Lienhypertexte"/>
            <w:lang w:val="fr-FR"/>
          </w:rPr>
          <w:t>https://treaties.un.or</w:t>
        </w:r>
        <w:r w:rsidR="002303EF">
          <w:rPr>
            <w:rStyle w:val="Lienhypertexte"/>
            <w:lang w:val="fr-FR"/>
          </w:rPr>
          <w:t>g</w:t>
        </w:r>
        <w:r w:rsidR="002303EF">
          <w:rPr>
            <w:rStyle w:val="Lienhypertexte"/>
            <w:lang w:val="fr-FR"/>
          </w:rPr>
          <w:t>/Pages/Home.aspx?clang=_fr</w:t>
        </w:r>
      </w:hyperlink>
      <w:r w:rsidR="002303EF">
        <w:t>.</w:t>
      </w:r>
      <w:r w:rsidR="00092527">
        <w:t xml:space="preserve"> </w:t>
      </w:r>
    </w:p>
  </w:footnote>
  <w:footnote w:id="3">
    <w:p w14:paraId="7E0BD99B" w14:textId="0683845A"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Voir </w:t>
      </w:r>
      <w:r w:rsidR="00092527">
        <w:rPr>
          <w:lang w:val="fr-FR"/>
        </w:rPr>
        <w:fldChar w:fldCharType="begin"/>
      </w:r>
      <w:r w:rsidR="00092527">
        <w:rPr>
          <w:lang w:val="fr-FR"/>
        </w:rPr>
        <w:instrText>HYPERLINK "</w:instrText>
      </w:r>
      <w:r w:rsidR="00092527" w:rsidRPr="00092527">
        <w:rPr>
          <w:lang w:val="fr-FR"/>
        </w:rPr>
        <w:instrText>https://webtv.un.org/fr/asset/k18/k180ysqfd5</w:instrText>
      </w:r>
      <w:r w:rsidR="00092527">
        <w:rPr>
          <w:lang w:val="fr-FR"/>
        </w:rPr>
        <w:instrText>"</w:instrText>
      </w:r>
      <w:r w:rsidR="00092527">
        <w:rPr>
          <w:lang w:val="fr-FR"/>
        </w:rPr>
        <w:fldChar w:fldCharType="separate"/>
      </w:r>
      <w:r w:rsidR="00092527" w:rsidRPr="00EA7BBB">
        <w:rPr>
          <w:rStyle w:val="Lienhypertexte"/>
          <w:lang w:val="fr-FR"/>
        </w:rPr>
        <w:t>https://webtv.un</w:t>
      </w:r>
      <w:r w:rsidR="00092527" w:rsidRPr="00EA7BBB">
        <w:rPr>
          <w:rStyle w:val="Lienhypertexte"/>
          <w:lang w:val="fr-FR"/>
        </w:rPr>
        <w:t>.</w:t>
      </w:r>
      <w:r w:rsidR="00092527" w:rsidRPr="00EA7BBB">
        <w:rPr>
          <w:rStyle w:val="Lienhypertexte"/>
          <w:lang w:val="fr-FR"/>
        </w:rPr>
        <w:t>org/fr/asset/k18/k180ysqfd5</w:t>
      </w:r>
      <w:r w:rsidR="00092527">
        <w:rPr>
          <w:lang w:val="fr-FR"/>
        </w:rPr>
        <w:fldChar w:fldCharType="end"/>
      </w:r>
      <w:r>
        <w:rPr>
          <w:lang w:val="fr-FR"/>
        </w:rPr>
        <w:t>.</w:t>
      </w:r>
    </w:p>
  </w:footnote>
  <w:footnote w:id="4">
    <w:p w14:paraId="27A804F3" w14:textId="1096FEBB"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Voir </w:t>
      </w:r>
      <w:hyperlink r:id="rId2" w:history="1">
        <w:r w:rsidRPr="0047293F">
          <w:rPr>
            <w:rStyle w:val="Lienhypertexte"/>
            <w:lang w:val="fr-FR"/>
          </w:rPr>
          <w:t>https</w:t>
        </w:r>
        <w:r w:rsidRPr="0047293F">
          <w:rPr>
            <w:rStyle w:val="Lienhypertexte"/>
            <w:lang w:val="fr-FR"/>
          </w:rPr>
          <w:t>:</w:t>
        </w:r>
        <w:r w:rsidRPr="0047293F">
          <w:rPr>
            <w:rStyle w:val="Lienhypertexte"/>
            <w:lang w:val="fr-FR"/>
          </w:rPr>
          <w:t>//treaties.un.org/Pages/Ho</w:t>
        </w:r>
        <w:r w:rsidRPr="0047293F">
          <w:rPr>
            <w:rStyle w:val="Lienhypertexte"/>
            <w:lang w:val="fr-FR"/>
          </w:rPr>
          <w:t>m</w:t>
        </w:r>
        <w:r w:rsidRPr="0047293F">
          <w:rPr>
            <w:rStyle w:val="Lienhypertexte"/>
            <w:lang w:val="fr-FR"/>
          </w:rPr>
          <w:t>e.aspx?clang=_fr</w:t>
        </w:r>
      </w:hyperlink>
      <w:r>
        <w:rPr>
          <w:lang w:val="fr-FR"/>
        </w:rPr>
        <w:t>.</w:t>
      </w:r>
    </w:p>
  </w:footnote>
  <w:footnote w:id="5">
    <w:p w14:paraId="73D298A5" w14:textId="77777777"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Disponible à l’adresse suivante : </w:t>
      </w:r>
      <w:hyperlink r:id="rId3" w:history="1">
        <w:r w:rsidRPr="0047293F">
          <w:rPr>
            <w:rStyle w:val="Lienhypertexte"/>
            <w:lang w:val="fr-FR"/>
          </w:rPr>
          <w:t>https://ww</w:t>
        </w:r>
        <w:r w:rsidRPr="0047293F">
          <w:rPr>
            <w:rStyle w:val="Lienhypertexte"/>
            <w:lang w:val="fr-FR"/>
          </w:rPr>
          <w:t>w</w:t>
        </w:r>
        <w:r w:rsidRPr="0047293F">
          <w:rPr>
            <w:rStyle w:val="Lienhypertexte"/>
            <w:lang w:val="fr-FR"/>
          </w:rPr>
          <w:t>.ohchr.org/fr/statements-and-speeches/2024/06/accountability-and-justice-torture-victims-central-commemorations</w:t>
        </w:r>
      </w:hyperlink>
      <w:r>
        <w:rPr>
          <w:lang w:val="fr-FR"/>
        </w:rPr>
        <w:t>.</w:t>
      </w:r>
    </w:p>
  </w:footnote>
  <w:footnote w:id="6">
    <w:p w14:paraId="7136DEE2" w14:textId="3003F055" w:rsidR="00F30361" w:rsidRPr="003E6B10" w:rsidRDefault="00F30361" w:rsidP="00C65C7E">
      <w:pPr>
        <w:pStyle w:val="Notedebasdepage"/>
      </w:pPr>
      <w:r>
        <w:rPr>
          <w:lang w:val="fr-FR"/>
        </w:rPr>
        <w:tab/>
      </w:r>
      <w:r w:rsidRPr="00C65C7E">
        <w:rPr>
          <w:rStyle w:val="Appelnotedebasdep"/>
        </w:rPr>
        <w:footnoteRef/>
      </w:r>
      <w:r>
        <w:rPr>
          <w:lang w:val="fr-FR"/>
        </w:rPr>
        <w:tab/>
        <w:t xml:space="preserve">Voir </w:t>
      </w:r>
      <w:hyperlink r:id="rId4" w:history="1">
        <w:r w:rsidRPr="0047293F">
          <w:rPr>
            <w:rStyle w:val="Lienhypertexte"/>
            <w:lang w:val="fr-FR"/>
          </w:rPr>
          <w:t>https://www.ohch</w:t>
        </w:r>
        <w:r w:rsidRPr="0047293F">
          <w:rPr>
            <w:rStyle w:val="Lienhypertexte"/>
            <w:lang w:val="fr-FR"/>
          </w:rPr>
          <w:t>r</w:t>
        </w:r>
        <w:r w:rsidRPr="0047293F">
          <w:rPr>
            <w:rStyle w:val="Lienhypertexte"/>
            <w:lang w:val="fr-FR"/>
          </w:rPr>
          <w:t>.org/en/treaty-bodies/cat/40th-anniversary-convention-against-torture</w:t>
        </w:r>
      </w:hyperlink>
      <w:r>
        <w:rPr>
          <w:lang w:val="fr-FR"/>
        </w:rPr>
        <w:t>.</w:t>
      </w:r>
    </w:p>
  </w:footnote>
  <w:footnote w:id="7">
    <w:p w14:paraId="61118880" w14:textId="1F14959A" w:rsidR="00F30361" w:rsidRPr="000E2E59" w:rsidRDefault="00F30361" w:rsidP="00C65C7E">
      <w:pPr>
        <w:pStyle w:val="Notedebasdepage"/>
        <w:rPr>
          <w:lang w:val="fr-FR"/>
        </w:rPr>
      </w:pPr>
      <w:r>
        <w:tab/>
      </w:r>
      <w:r w:rsidRPr="00C65C7E">
        <w:rPr>
          <w:rStyle w:val="Appelnotedebasdep"/>
        </w:rPr>
        <w:footnoteRef/>
      </w:r>
      <w:r w:rsidR="00C65C7E">
        <w:tab/>
      </w:r>
      <w:r w:rsidRPr="002303EF">
        <w:t>De plus amples informations sur ces activités commémoratives seront publiées sur la page Web y consacrée.</w:t>
      </w:r>
      <w:r>
        <w:t xml:space="preserve"> </w:t>
      </w:r>
    </w:p>
  </w:footnote>
  <w:footnote w:id="8">
    <w:p w14:paraId="78AE6ED6" w14:textId="77777777"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Voir </w:t>
      </w:r>
      <w:hyperlink r:id="rId5" w:history="1">
        <w:r w:rsidRPr="006036F5">
          <w:rPr>
            <w:rStyle w:val="Lienhypertexte"/>
            <w:lang w:val="fr-FR"/>
          </w:rPr>
          <w:t>https://www</w:t>
        </w:r>
        <w:r w:rsidRPr="006036F5">
          <w:rPr>
            <w:rStyle w:val="Lienhypertexte"/>
            <w:lang w:val="fr-FR"/>
          </w:rPr>
          <w:t>.</w:t>
        </w:r>
        <w:r w:rsidRPr="006036F5">
          <w:rPr>
            <w:rStyle w:val="Lienhypertexte"/>
            <w:lang w:val="fr-FR"/>
          </w:rPr>
          <w:t>ohchr.org/fr/treaty-bodies/cat/reprisals</w:t>
        </w:r>
      </w:hyperlink>
      <w:r>
        <w:rPr>
          <w:lang w:val="fr-FR"/>
        </w:rPr>
        <w:t>.</w:t>
      </w:r>
    </w:p>
  </w:footnote>
  <w:footnote w:id="9">
    <w:p w14:paraId="56DF0DDD" w14:textId="77777777" w:rsidR="00F30361" w:rsidRPr="003E6B10" w:rsidRDefault="00F30361" w:rsidP="00C65C7E">
      <w:pPr>
        <w:pStyle w:val="Notedebasdepage"/>
      </w:pPr>
      <w:r w:rsidRPr="00CC1356">
        <w:rPr>
          <w:lang w:val="fr-FR"/>
        </w:rPr>
        <w:tab/>
      </w:r>
      <w:r w:rsidRPr="00C65C7E">
        <w:rPr>
          <w:rStyle w:val="Appelnotedebasdep"/>
        </w:rPr>
        <w:footnoteRef/>
      </w:r>
      <w:r>
        <w:rPr>
          <w:lang w:val="fr-FR"/>
        </w:rPr>
        <w:tab/>
        <w:t xml:space="preserve">Voir </w:t>
      </w:r>
      <w:hyperlink r:id="rId6" w:history="1">
        <w:r w:rsidRPr="00341C9F">
          <w:rPr>
            <w:rStyle w:val="Lienhypertexte"/>
            <w:lang w:val="fr-FR"/>
          </w:rPr>
          <w:t>https://www.ohchr.org/fr/</w:t>
        </w:r>
        <w:r w:rsidRPr="00341C9F">
          <w:rPr>
            <w:rStyle w:val="Lienhypertexte"/>
            <w:lang w:val="fr-FR"/>
          </w:rPr>
          <w:t>t</w:t>
        </w:r>
        <w:r w:rsidRPr="00341C9F">
          <w:rPr>
            <w:rStyle w:val="Lienhypertexte"/>
            <w:lang w:val="fr-FR"/>
          </w:rPr>
          <w:t>reaty-bodies/cat/reporting-guidelines</w:t>
        </w:r>
      </w:hyperlink>
      <w:r>
        <w:rPr>
          <w:lang w:val="fr-FR"/>
        </w:rPr>
        <w:t>.</w:t>
      </w:r>
    </w:p>
  </w:footnote>
  <w:footnote w:id="10">
    <w:p w14:paraId="4623B685" w14:textId="77777777" w:rsidR="00F30361" w:rsidRPr="003E6B10" w:rsidRDefault="00F30361" w:rsidP="00C65C7E">
      <w:pPr>
        <w:pStyle w:val="Notedebasdepage"/>
      </w:pPr>
      <w:r>
        <w:rPr>
          <w:lang w:val="fr-FR"/>
        </w:rPr>
        <w:tab/>
      </w:r>
      <w:r w:rsidRPr="00C65C7E">
        <w:rPr>
          <w:rStyle w:val="Appelnotedebasdep"/>
        </w:rPr>
        <w:footnoteRef/>
      </w:r>
      <w:r>
        <w:rPr>
          <w:lang w:val="fr-FR"/>
        </w:rPr>
        <w:tab/>
        <w:t>Voir les directives concernant le suivi des observations finales, adoptées par le Comité à sa cinquante</w:t>
      </w:r>
      <w:r>
        <w:rPr>
          <w:lang w:val="fr-FR"/>
        </w:rPr>
        <w:noBreakHyphen/>
        <w:t>cinquième session (</w:t>
      </w:r>
      <w:hyperlink r:id="rId7" w:history="1">
        <w:r w:rsidRPr="009059DB">
          <w:rPr>
            <w:rStyle w:val="Lienhypertexte"/>
            <w:lang w:val="fr-FR"/>
          </w:rPr>
          <w:t>CAT/C/55/3</w:t>
        </w:r>
      </w:hyperlink>
      <w:r>
        <w:rPr>
          <w:lang w:val="fr-FR"/>
        </w:rPr>
        <w:t>).</w:t>
      </w:r>
    </w:p>
  </w:footnote>
  <w:footnote w:id="11">
    <w:p w14:paraId="631DE0FC" w14:textId="77777777"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Disponible à l’adresse suivante : </w:t>
      </w:r>
      <w:hyperlink r:id="rId8" w:history="1">
        <w:r w:rsidRPr="002D10FC">
          <w:rPr>
            <w:rStyle w:val="Lienhypertexte"/>
            <w:lang w:val="fr-FR"/>
          </w:rPr>
          <w:t>https://tbinternet.oh</w:t>
        </w:r>
        <w:r w:rsidRPr="002D10FC">
          <w:rPr>
            <w:rStyle w:val="Lienhypertexte"/>
            <w:lang w:val="fr-FR"/>
          </w:rPr>
          <w:t>c</w:t>
        </w:r>
        <w:r w:rsidRPr="002D10FC">
          <w:rPr>
            <w:rStyle w:val="Lienhypertexte"/>
            <w:lang w:val="fr-FR"/>
          </w:rPr>
          <w:t>hr.org/_layouts/15/TreatyBodyExternal/FollowUp.aspx?Treaty=CAT&amp;Lang=en</w:t>
        </w:r>
      </w:hyperlink>
      <w:r>
        <w:rPr>
          <w:lang w:val="fr-FR"/>
        </w:rPr>
        <w:t>. On trouvera à la même adresse une vue d’ensemble de la procédure appliquée depuis 2003.</w:t>
      </w:r>
    </w:p>
  </w:footnote>
  <w:footnote w:id="12">
    <w:p w14:paraId="0C4D0721" w14:textId="34D6432C"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Les États </w:t>
      </w:r>
      <w:r w:rsidR="00092527">
        <w:rPr>
          <w:lang w:val="fr-FR"/>
        </w:rPr>
        <w:t>P</w:t>
      </w:r>
      <w:r>
        <w:rPr>
          <w:lang w:val="fr-FR"/>
        </w:rPr>
        <w:t xml:space="preserve">arties qui n’avaient pas envoyé de renseignements au titre du suivi avant la soumission de leur rapport périodique suivant ne figurent pas dans cette liste. Les États </w:t>
      </w:r>
      <w:r w:rsidR="00092527">
        <w:rPr>
          <w:lang w:val="fr-FR"/>
        </w:rPr>
        <w:t>P</w:t>
      </w:r>
      <w:r>
        <w:rPr>
          <w:lang w:val="fr-FR"/>
        </w:rPr>
        <w:t>arties qui n’avaient pas envoyé de renseignements au titre du suivi avant l’adoption d’une liste de points établie avant la soumission de leur rapport périodique suivant ne figurent pas non plus dans cette liste.</w:t>
      </w:r>
    </w:p>
  </w:footnote>
  <w:footnote w:id="13">
    <w:p w14:paraId="02173FD4" w14:textId="77777777" w:rsidR="00F30361" w:rsidRPr="003E6B10" w:rsidRDefault="00F30361" w:rsidP="00C65C7E">
      <w:pPr>
        <w:pStyle w:val="Notedebasdepage"/>
        <w:rPr>
          <w:noProof/>
        </w:rPr>
      </w:pPr>
      <w:r w:rsidRPr="009C1843">
        <w:rPr>
          <w:lang w:val="fr-FR"/>
        </w:rPr>
        <w:tab/>
      </w:r>
      <w:r w:rsidRPr="00C65C7E">
        <w:rPr>
          <w:rStyle w:val="Appelnotedebasdep"/>
        </w:rPr>
        <w:footnoteRef/>
      </w:r>
      <w:r>
        <w:rPr>
          <w:lang w:val="fr-FR"/>
        </w:rPr>
        <w:tab/>
        <w:t xml:space="preserve">Les lettres envoyées par le Rapporteur chargé du suivi des observations finales sont disponibles à l’adresse suivante : </w:t>
      </w:r>
      <w:hyperlink r:id="rId9" w:history="1">
        <w:r w:rsidRPr="002D10FC">
          <w:rPr>
            <w:rStyle w:val="Lienhypertexte"/>
            <w:lang w:val="fr-FR"/>
          </w:rPr>
          <w:t>https://tbinternet.ohchr.org/_layouts/1</w:t>
        </w:r>
        <w:r w:rsidRPr="002D10FC">
          <w:rPr>
            <w:rStyle w:val="Lienhypertexte"/>
            <w:lang w:val="fr-FR"/>
          </w:rPr>
          <w:t>5</w:t>
        </w:r>
        <w:r w:rsidRPr="002D10FC">
          <w:rPr>
            <w:rStyle w:val="Lienhypertexte"/>
            <w:lang w:val="fr-FR"/>
          </w:rPr>
          <w:t>/TreatyBodyExternal/FollowUp.aspx?Treaty=CAT&amp;Lang=en</w:t>
        </w:r>
      </w:hyperlink>
      <w:r>
        <w:rPr>
          <w:lang w:val="fr-FR"/>
        </w:rPr>
        <w:t>.</w:t>
      </w:r>
    </w:p>
  </w:footnote>
  <w:footnote w:id="14">
    <w:p w14:paraId="50F85C64" w14:textId="7843A926" w:rsidR="00F30361" w:rsidRPr="003E6B10" w:rsidRDefault="00F30361" w:rsidP="00C65C7E">
      <w:pPr>
        <w:pStyle w:val="Notedebasdepage"/>
        <w:rPr>
          <w:noProof/>
        </w:rPr>
      </w:pPr>
      <w:r w:rsidRPr="009C1843">
        <w:rPr>
          <w:noProof/>
          <w:lang w:val="fr-FR"/>
        </w:rPr>
        <w:tab/>
      </w:r>
      <w:r w:rsidRPr="00C65C7E">
        <w:rPr>
          <w:rStyle w:val="Appelnotedebasdep"/>
        </w:rPr>
        <w:footnoteRef/>
      </w:r>
      <w:r>
        <w:rPr>
          <w:lang w:val="fr-FR"/>
        </w:rPr>
        <w:tab/>
        <w:t xml:space="preserve">Disponibles à l’adresse suivante : </w:t>
      </w:r>
      <w:hyperlink r:id="rId10" w:history="1">
        <w:r w:rsidR="002303EF" w:rsidRPr="002303EF">
          <w:rPr>
            <w:color w:val="0000FF"/>
          </w:rPr>
          <w:t>https://tbinternet.ohchr.org/_layo</w:t>
        </w:r>
        <w:r w:rsidR="002303EF" w:rsidRPr="002303EF">
          <w:rPr>
            <w:color w:val="0000FF"/>
          </w:rPr>
          <w:t>u</w:t>
        </w:r>
        <w:r w:rsidR="002303EF" w:rsidRPr="002303EF">
          <w:rPr>
            <w:color w:val="0000FF"/>
          </w:rPr>
          <w:t>ts/15/TreatyBodyExternal/FollowUp.aspx?</w:t>
        </w:r>
        <w:r w:rsidR="002303EF" w:rsidRPr="002303EF">
          <w:rPr>
            <w:color w:val="0000FF"/>
          </w:rPr>
          <w:br/>
        </w:r>
        <w:proofErr w:type="spellStart"/>
        <w:r w:rsidR="002303EF" w:rsidRPr="002303EF">
          <w:rPr>
            <w:color w:val="0000FF"/>
          </w:rPr>
          <w:t>Treaty</w:t>
        </w:r>
        <w:proofErr w:type="spellEnd"/>
        <w:r w:rsidR="002303EF" w:rsidRPr="002303EF">
          <w:rPr>
            <w:color w:val="0000FF"/>
          </w:rPr>
          <w:t>=</w:t>
        </w:r>
        <w:proofErr w:type="spellStart"/>
        <w:r w:rsidR="002303EF" w:rsidRPr="002303EF">
          <w:rPr>
            <w:color w:val="0000FF"/>
          </w:rPr>
          <w:t>CAT&amp;Lang</w:t>
        </w:r>
        <w:proofErr w:type="spellEnd"/>
        <w:r w:rsidR="002303EF" w:rsidRPr="002303EF">
          <w:rPr>
            <w:color w:val="0000FF"/>
          </w:rPr>
          <w:t>=en</w:t>
        </w:r>
      </w:hyperlink>
      <w:r>
        <w:rPr>
          <w:lang w:val="fr-FR"/>
        </w:rPr>
        <w:t>.</w:t>
      </w:r>
    </w:p>
  </w:footnote>
  <w:footnote w:id="15">
    <w:p w14:paraId="62FD40E5" w14:textId="77777777" w:rsidR="00F30361" w:rsidRPr="003E6B10" w:rsidRDefault="00F30361" w:rsidP="00C65C7E">
      <w:pPr>
        <w:pStyle w:val="Notedebasdepage"/>
      </w:pPr>
      <w:r>
        <w:rPr>
          <w:lang w:val="fr-FR"/>
        </w:rPr>
        <w:tab/>
      </w:r>
      <w:r w:rsidRPr="00C65C7E">
        <w:rPr>
          <w:rStyle w:val="Appelnotedebasdep"/>
        </w:rPr>
        <w:footnoteRef/>
      </w:r>
      <w:r>
        <w:rPr>
          <w:lang w:val="fr-FR"/>
        </w:rPr>
        <w:tab/>
        <w:t xml:space="preserve">Voir </w:t>
      </w:r>
      <w:hyperlink r:id="rId11" w:history="1">
        <w:r w:rsidRPr="004E364E">
          <w:rPr>
            <w:rStyle w:val="Lienhypertexte"/>
            <w:lang w:val="fr-FR"/>
          </w:rPr>
          <w:t>http://juris.ohch</w:t>
        </w:r>
        <w:r w:rsidRPr="004E364E">
          <w:rPr>
            <w:rStyle w:val="Lienhypertexte"/>
            <w:lang w:val="fr-FR"/>
          </w:rPr>
          <w:t>r</w:t>
        </w:r>
        <w:r w:rsidRPr="004E364E">
          <w:rPr>
            <w:rStyle w:val="Lienhypertexte"/>
            <w:lang w:val="fr-FR"/>
          </w:rPr>
          <w:t>.org/</w:t>
        </w:r>
      </w:hyperlink>
      <w:r>
        <w:rPr>
          <w:lang w:val="fr-FR"/>
        </w:rPr>
        <w:t>.</w:t>
      </w:r>
    </w:p>
  </w:footnote>
  <w:footnote w:id="16">
    <w:p w14:paraId="28AF767F" w14:textId="77777777" w:rsidR="00F30361" w:rsidRPr="003E6B10" w:rsidRDefault="00F30361" w:rsidP="00C65C7E">
      <w:pPr>
        <w:pStyle w:val="Notedebasdepage"/>
      </w:pPr>
      <w:r>
        <w:rPr>
          <w:lang w:val="fr-FR"/>
        </w:rPr>
        <w:tab/>
      </w:r>
      <w:r w:rsidRPr="00C65C7E">
        <w:rPr>
          <w:rStyle w:val="Appelnotedebasdep"/>
        </w:rPr>
        <w:footnoteRef/>
      </w:r>
      <w:r>
        <w:rPr>
          <w:lang w:val="fr-FR"/>
        </w:rPr>
        <w:tab/>
        <w:t xml:space="preserve">Voir </w:t>
      </w:r>
      <w:hyperlink r:id="rId12" w:history="1">
        <w:r w:rsidRPr="004E364E">
          <w:rPr>
            <w:rStyle w:val="Lienhypertexte"/>
            <w:lang w:val="fr-FR"/>
          </w:rPr>
          <w:t>https://www.o</w:t>
        </w:r>
        <w:r w:rsidRPr="004E364E">
          <w:rPr>
            <w:rStyle w:val="Lienhypertexte"/>
            <w:lang w:val="fr-FR"/>
          </w:rPr>
          <w:t>h</w:t>
        </w:r>
        <w:r w:rsidRPr="004E364E">
          <w:rPr>
            <w:rStyle w:val="Lienhypertexte"/>
            <w:lang w:val="fr-FR"/>
          </w:rPr>
          <w:t>chr.org/fr/ohchr_homepage/</w:t>
        </w:r>
      </w:hyperlink>
      <w:r>
        <w:rPr>
          <w:lang w:val="fr-FR"/>
        </w:rPr>
        <w:t>.</w:t>
      </w:r>
    </w:p>
  </w:footnote>
  <w:footnote w:id="17">
    <w:p w14:paraId="6E61AFCA" w14:textId="7331718C" w:rsidR="00F30361" w:rsidRPr="000E2E59" w:rsidRDefault="00F30361" w:rsidP="00C65C7E">
      <w:pPr>
        <w:pStyle w:val="Notedebasdepage"/>
        <w:rPr>
          <w:lang w:val="fr-FR"/>
        </w:rPr>
      </w:pPr>
      <w:r>
        <w:tab/>
      </w:r>
      <w:r w:rsidRPr="00C65C7E">
        <w:rPr>
          <w:rStyle w:val="Appelnotedebasdep"/>
        </w:rPr>
        <w:footnoteRef/>
      </w:r>
      <w:r>
        <w:tab/>
        <w:t xml:space="preserve">Voir </w:t>
      </w:r>
      <w:hyperlink r:id="rId13" w:history="1">
        <w:r w:rsidR="002303EF" w:rsidRPr="00EA7BBB">
          <w:rPr>
            <w:rStyle w:val="Lienhypertexte"/>
          </w:rPr>
          <w:t>https://docum</w:t>
        </w:r>
        <w:r w:rsidR="002303EF" w:rsidRPr="00EA7BBB">
          <w:rPr>
            <w:rStyle w:val="Lienhypertexte"/>
          </w:rPr>
          <w:t>e</w:t>
        </w:r>
        <w:r w:rsidR="002303EF" w:rsidRPr="00EA7BBB">
          <w:rPr>
            <w:rStyle w:val="Lienhypertexte"/>
          </w:rPr>
          <w:t>nts.un.org/</w:t>
        </w:r>
      </w:hyperlink>
      <w:r>
        <w:t xml:space="preserve">. </w:t>
      </w:r>
    </w:p>
  </w:footnote>
  <w:footnote w:id="18">
    <w:p w14:paraId="34A1C76D" w14:textId="77777777" w:rsidR="00F30361" w:rsidRPr="003E6B10" w:rsidRDefault="00F30361" w:rsidP="00C65C7E">
      <w:pPr>
        <w:pStyle w:val="Notedebasdepage"/>
      </w:pPr>
      <w:r>
        <w:rPr>
          <w:lang w:val="fr-FR"/>
        </w:rPr>
        <w:tab/>
      </w:r>
      <w:r w:rsidRPr="00C65C7E">
        <w:rPr>
          <w:rStyle w:val="Appelnotedebasdep"/>
        </w:rPr>
        <w:footnoteRef/>
      </w:r>
      <w:r>
        <w:rPr>
          <w:lang w:val="fr-FR"/>
        </w:rPr>
        <w:tab/>
        <w:t>Toutes les références au Kosovo doivent être entendues dans le contexte de la résolution </w:t>
      </w:r>
      <w:hyperlink r:id="rId14" w:history="1">
        <w:r w:rsidRPr="009059DB">
          <w:rPr>
            <w:rStyle w:val="Lienhypertexte"/>
            <w:lang w:val="fr-FR"/>
          </w:rPr>
          <w:t>1244 (1999)</w:t>
        </w:r>
      </w:hyperlink>
      <w:r>
        <w:rPr>
          <w:lang w:val="fr-FR"/>
        </w:rPr>
        <w:t xml:space="preserve"> du Conseil de sécurité.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DAC38" w14:textId="1C61625C"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F920DA">
      <w:rPr>
        <w:sz w:val="17"/>
        <w:szCs w:val="17"/>
      </w:rPr>
      <w:t>A/80/44</w:t>
    </w:r>
    <w:r w:rsidRPr="00BC4613">
      <w:rPr>
        <w:sz w:val="17"/>
        <w:szCs w:val="17"/>
      </w:rPr>
      <w:fldChar w:fldCharType="end"/>
    </w:r>
  </w:p>
  <w:p w14:paraId="32149000"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E303" w14:textId="77777777" w:rsidR="00067141" w:rsidRPr="005813E3" w:rsidRDefault="00067141" w:rsidP="00F3036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EB08D"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C9AE" w14:textId="77777777" w:rsidR="00B7180A" w:rsidRDefault="00B7180A" w:rsidP="00F3036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115B5" w14:textId="31228368" w:rsidR="00F30361" w:rsidRPr="00F30361" w:rsidRDefault="00F30361" w:rsidP="00F30361">
    <w:pPr>
      <w:pStyle w:val="En-tte"/>
    </w:pPr>
    <w:fldSimple w:instr=" TITLE  \* MERGEFORMAT ">
      <w:r w:rsidR="00F920DA">
        <w:t>A/80/44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D791" w14:textId="74592641" w:rsidR="00B7180A" w:rsidRDefault="00F30361" w:rsidP="00F30361">
    <w:pPr>
      <w:pStyle w:val="En-tte"/>
      <w:jc w:val="right"/>
    </w:pPr>
    <w:fldSimple w:instr=" TITLE  \* MERGEFORMAT ">
      <w:r w:rsidR="00F920DA">
        <w:t>A/80/44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3917D" w14:textId="58B77504" w:rsidR="00F30361" w:rsidRDefault="00F30361" w:rsidP="00F30361">
    <w:pPr>
      <w:pStyle w:val="En-tte"/>
      <w:jc w:val="right"/>
    </w:pPr>
    <w:fldSimple w:instr=" TITLE  \* MERGEFORMAT ">
      <w:r w:rsidR="00F920DA">
        <w:t>A/80/44</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C81EE" w14:textId="77777777" w:rsidR="00AF6BBA" w:rsidRPr="007E5660" w:rsidRDefault="00AF6BBA">
    <w:pPr>
      <w:pStyle w:val="En-tte"/>
    </w:pPr>
    <w:r>
      <w:t>A/80/44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6BBE1" w14:textId="77777777" w:rsidR="00AF6BBA" w:rsidRPr="007E5660" w:rsidRDefault="00AF6BBA" w:rsidP="007E5660">
    <w:pPr>
      <w:pStyle w:val="En-tte"/>
      <w:jc w:val="right"/>
    </w:pPr>
    <w:r>
      <w:t>A/80/44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177B7"/>
    <w:multiLevelType w:val="hybridMultilevel"/>
    <w:tmpl w:val="3EC2EAD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294244B"/>
    <w:multiLevelType w:val="hybridMultilevel"/>
    <w:tmpl w:val="00BEC3BE"/>
    <w:lvl w:ilvl="0" w:tplc="4C6E7ED4">
      <w:start w:val="1"/>
      <w:numFmt w:val="upperLetter"/>
      <w:lvlText w:val="%1."/>
      <w:lvlJc w:val="left"/>
      <w:pPr>
        <w:ind w:left="1701" w:hanging="85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09577A83"/>
    <w:multiLevelType w:val="hybridMultilevel"/>
    <w:tmpl w:val="FFD669E4"/>
    <w:lvl w:ilvl="0" w:tplc="72BADF6E">
      <w:start w:val="1"/>
      <w:numFmt w:val="upp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4" w15:restartNumberingAfterBreak="0">
    <w:nsid w:val="0D954887"/>
    <w:multiLevelType w:val="hybridMultilevel"/>
    <w:tmpl w:val="5A48E46A"/>
    <w:lvl w:ilvl="0" w:tplc="F560206C">
      <w:start w:val="1"/>
      <w:numFmt w:val="decimal"/>
      <w:pStyle w:val="SingleTxt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E66B91"/>
    <w:multiLevelType w:val="hybridMultilevel"/>
    <w:tmpl w:val="37A2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022817"/>
    <w:multiLevelType w:val="hybridMultilevel"/>
    <w:tmpl w:val="0862E7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3F3A7A"/>
    <w:multiLevelType w:val="hybridMultilevel"/>
    <w:tmpl w:val="86FABB78"/>
    <w:lvl w:ilvl="0" w:tplc="E4C4C3FE">
      <w:start w:val="1"/>
      <w:numFmt w:val="lowerRoman"/>
      <w:lvlText w:val="(%1)"/>
      <w:lvlJc w:val="left"/>
      <w:pPr>
        <w:ind w:left="2430" w:hanging="720"/>
      </w:pPr>
      <w:rPr>
        <w:rFonts w:hint="default"/>
      </w:rPr>
    </w:lvl>
    <w:lvl w:ilvl="1" w:tplc="20000019" w:tentative="1">
      <w:start w:val="1"/>
      <w:numFmt w:val="lowerLetter"/>
      <w:lvlText w:val="%2."/>
      <w:lvlJc w:val="left"/>
      <w:pPr>
        <w:ind w:left="2790" w:hanging="360"/>
      </w:pPr>
    </w:lvl>
    <w:lvl w:ilvl="2" w:tplc="2000001B" w:tentative="1">
      <w:start w:val="1"/>
      <w:numFmt w:val="lowerRoman"/>
      <w:lvlText w:val="%3."/>
      <w:lvlJc w:val="right"/>
      <w:pPr>
        <w:ind w:left="3510" w:hanging="180"/>
      </w:pPr>
    </w:lvl>
    <w:lvl w:ilvl="3" w:tplc="2000000F" w:tentative="1">
      <w:start w:val="1"/>
      <w:numFmt w:val="decimal"/>
      <w:lvlText w:val="%4."/>
      <w:lvlJc w:val="left"/>
      <w:pPr>
        <w:ind w:left="4230" w:hanging="360"/>
      </w:pPr>
    </w:lvl>
    <w:lvl w:ilvl="4" w:tplc="20000019" w:tentative="1">
      <w:start w:val="1"/>
      <w:numFmt w:val="lowerLetter"/>
      <w:lvlText w:val="%5."/>
      <w:lvlJc w:val="left"/>
      <w:pPr>
        <w:ind w:left="4950" w:hanging="360"/>
      </w:pPr>
    </w:lvl>
    <w:lvl w:ilvl="5" w:tplc="2000001B" w:tentative="1">
      <w:start w:val="1"/>
      <w:numFmt w:val="lowerRoman"/>
      <w:lvlText w:val="%6."/>
      <w:lvlJc w:val="right"/>
      <w:pPr>
        <w:ind w:left="5670" w:hanging="180"/>
      </w:pPr>
    </w:lvl>
    <w:lvl w:ilvl="6" w:tplc="2000000F" w:tentative="1">
      <w:start w:val="1"/>
      <w:numFmt w:val="decimal"/>
      <w:lvlText w:val="%7."/>
      <w:lvlJc w:val="left"/>
      <w:pPr>
        <w:ind w:left="6390" w:hanging="360"/>
      </w:pPr>
    </w:lvl>
    <w:lvl w:ilvl="7" w:tplc="20000019" w:tentative="1">
      <w:start w:val="1"/>
      <w:numFmt w:val="lowerLetter"/>
      <w:lvlText w:val="%8."/>
      <w:lvlJc w:val="left"/>
      <w:pPr>
        <w:ind w:left="7110" w:hanging="360"/>
      </w:pPr>
    </w:lvl>
    <w:lvl w:ilvl="8" w:tplc="2000001B" w:tentative="1">
      <w:start w:val="1"/>
      <w:numFmt w:val="lowerRoman"/>
      <w:lvlText w:val="%9."/>
      <w:lvlJc w:val="right"/>
      <w:pPr>
        <w:ind w:left="7830"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D61C81"/>
    <w:multiLevelType w:val="hybridMultilevel"/>
    <w:tmpl w:val="4B90641A"/>
    <w:lvl w:ilvl="0" w:tplc="DC64AB2C">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2A3C738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3E1501"/>
    <w:multiLevelType w:val="hybridMultilevel"/>
    <w:tmpl w:val="F6B28B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ACF4EB2"/>
    <w:multiLevelType w:val="hybridMultilevel"/>
    <w:tmpl w:val="3F2CCC0E"/>
    <w:lvl w:ilvl="0" w:tplc="78607ACC">
      <w:start w:val="1"/>
      <w:numFmt w:val="bullet"/>
      <w:pStyle w:val="En-tt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3D5127F"/>
    <w:multiLevelType w:val="hybridMultilevel"/>
    <w:tmpl w:val="2B70DA52"/>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6" w15:restartNumberingAfterBreak="0">
    <w:nsid w:val="44F937AE"/>
    <w:multiLevelType w:val="hybridMultilevel"/>
    <w:tmpl w:val="F13C2CC4"/>
    <w:lvl w:ilvl="0" w:tplc="E35E14CA">
      <w:start w:val="1"/>
      <w:numFmt w:val="decimal"/>
      <w:lvlText w:val="%1)"/>
      <w:lvlJc w:val="left"/>
      <w:pPr>
        <w:ind w:left="720" w:hanging="360"/>
      </w:pPr>
      <w:rPr>
        <w:rFonts w:ascii="Times New Roman" w:eastAsia="Times New Roman" w:hAnsi="Times New Roman"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AC06E9"/>
    <w:multiLevelType w:val="hybridMultilevel"/>
    <w:tmpl w:val="AAB2F5D2"/>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0D4250C"/>
    <w:multiLevelType w:val="hybridMultilevel"/>
    <w:tmpl w:val="0344B2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F07FF4"/>
    <w:multiLevelType w:val="hybridMultilevel"/>
    <w:tmpl w:val="BC6AD8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F714D3"/>
    <w:multiLevelType w:val="hybridMultilevel"/>
    <w:tmpl w:val="E376BC92"/>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A7928B5"/>
    <w:multiLevelType w:val="hybridMultilevel"/>
    <w:tmpl w:val="203AD07C"/>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4653636"/>
    <w:multiLevelType w:val="hybridMultilevel"/>
    <w:tmpl w:val="F7E011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A85614"/>
    <w:multiLevelType w:val="hybridMultilevel"/>
    <w:tmpl w:val="173A6BDA"/>
    <w:lvl w:ilvl="0" w:tplc="A4A4B8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8AD07B2"/>
    <w:multiLevelType w:val="hybridMultilevel"/>
    <w:tmpl w:val="D7D47906"/>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B6E36A7"/>
    <w:multiLevelType w:val="hybridMultilevel"/>
    <w:tmpl w:val="E7D466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CF5B59"/>
    <w:multiLevelType w:val="hybridMultilevel"/>
    <w:tmpl w:val="548AA03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8011E24"/>
    <w:multiLevelType w:val="hybridMultilevel"/>
    <w:tmpl w:val="3EF6CF36"/>
    <w:lvl w:ilvl="0" w:tplc="586ECD72">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0" w15:restartNumberingAfterBreak="0">
    <w:nsid w:val="7D7075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DB54B1D"/>
    <w:multiLevelType w:val="hybridMultilevel"/>
    <w:tmpl w:val="CACEE8B0"/>
    <w:lvl w:ilvl="0" w:tplc="94560F36">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82515433">
    <w:abstractNumId w:val="36"/>
  </w:num>
  <w:num w:numId="2" w16cid:durableId="28998441">
    <w:abstractNumId w:val="24"/>
  </w:num>
  <w:num w:numId="3" w16cid:durableId="447164845">
    <w:abstractNumId w:val="14"/>
  </w:num>
  <w:num w:numId="4" w16cid:durableId="309990168">
    <w:abstractNumId w:val="36"/>
  </w:num>
  <w:num w:numId="5" w16cid:durableId="206459019">
    <w:abstractNumId w:val="24"/>
  </w:num>
  <w:num w:numId="6" w16cid:durableId="769816998">
    <w:abstractNumId w:val="14"/>
  </w:num>
  <w:num w:numId="7" w16cid:durableId="1875532187">
    <w:abstractNumId w:val="8"/>
  </w:num>
  <w:num w:numId="8" w16cid:durableId="28603609">
    <w:abstractNumId w:val="3"/>
  </w:num>
  <w:num w:numId="9" w16cid:durableId="1664772170">
    <w:abstractNumId w:val="2"/>
  </w:num>
  <w:num w:numId="10" w16cid:durableId="1625622220">
    <w:abstractNumId w:val="1"/>
  </w:num>
  <w:num w:numId="11" w16cid:durableId="1444229893">
    <w:abstractNumId w:val="0"/>
  </w:num>
  <w:num w:numId="12" w16cid:durableId="768082179">
    <w:abstractNumId w:val="9"/>
  </w:num>
  <w:num w:numId="13" w16cid:durableId="2080513319">
    <w:abstractNumId w:val="7"/>
  </w:num>
  <w:num w:numId="14" w16cid:durableId="305742996">
    <w:abstractNumId w:val="6"/>
  </w:num>
  <w:num w:numId="15" w16cid:durableId="144247451">
    <w:abstractNumId w:val="5"/>
  </w:num>
  <w:num w:numId="16" w16cid:durableId="117719642">
    <w:abstractNumId w:val="4"/>
  </w:num>
  <w:num w:numId="17" w16cid:durableId="1744792954">
    <w:abstractNumId w:val="22"/>
  </w:num>
  <w:num w:numId="18" w16cid:durableId="1118719689">
    <w:abstractNumId w:val="19"/>
  </w:num>
  <w:num w:numId="19" w16cid:durableId="1649481942">
    <w:abstractNumId w:val="11"/>
  </w:num>
  <w:num w:numId="20" w16cid:durableId="950670561">
    <w:abstractNumId w:val="32"/>
  </w:num>
  <w:num w:numId="21" w16cid:durableId="1930579065">
    <w:abstractNumId w:val="40"/>
  </w:num>
  <w:num w:numId="22" w16cid:durableId="1178226595">
    <w:abstractNumId w:val="21"/>
  </w:num>
  <w:num w:numId="23" w16cid:durableId="719743652">
    <w:abstractNumId w:val="17"/>
  </w:num>
  <w:num w:numId="24" w16cid:durableId="1078135824">
    <w:abstractNumId w:val="33"/>
  </w:num>
  <w:num w:numId="25" w16cid:durableId="779639489">
    <w:abstractNumId w:val="41"/>
  </w:num>
  <w:num w:numId="26" w16cid:durableId="1424914250">
    <w:abstractNumId w:val="16"/>
  </w:num>
  <w:num w:numId="27" w16cid:durableId="1024405558">
    <w:abstractNumId w:val="28"/>
  </w:num>
  <w:num w:numId="28" w16cid:durableId="1372995605">
    <w:abstractNumId w:val="37"/>
  </w:num>
  <w:num w:numId="29" w16cid:durableId="19802581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4528416">
    <w:abstractNumId w:val="23"/>
  </w:num>
  <w:num w:numId="31" w16cid:durableId="1874461331">
    <w:abstractNumId w:val="39"/>
  </w:num>
  <w:num w:numId="32" w16cid:durableId="1094789610">
    <w:abstractNumId w:val="15"/>
  </w:num>
  <w:num w:numId="33" w16cid:durableId="247157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2897089">
    <w:abstractNumId w:val="35"/>
  </w:num>
  <w:num w:numId="35" w16cid:durableId="592517574">
    <w:abstractNumId w:val="26"/>
  </w:num>
  <w:num w:numId="36" w16cid:durableId="747314012">
    <w:abstractNumId w:val="29"/>
  </w:num>
  <w:num w:numId="37" w16cid:durableId="1800341863">
    <w:abstractNumId w:val="18"/>
  </w:num>
  <w:num w:numId="38" w16cid:durableId="1149908210">
    <w:abstractNumId w:val="20"/>
  </w:num>
  <w:num w:numId="39" w16cid:durableId="441268317">
    <w:abstractNumId w:val="31"/>
  </w:num>
  <w:num w:numId="40" w16cid:durableId="1244148893">
    <w:abstractNumId w:val="12"/>
  </w:num>
  <w:num w:numId="41" w16cid:durableId="2072926984">
    <w:abstractNumId w:val="34"/>
  </w:num>
  <w:num w:numId="42" w16cid:durableId="1886063164">
    <w:abstractNumId w:val="27"/>
  </w:num>
  <w:num w:numId="43" w16cid:durableId="1334916821">
    <w:abstractNumId w:val="13"/>
  </w:num>
  <w:num w:numId="44" w16cid:durableId="1088043871">
    <w:abstractNumId w:val="30"/>
  </w:num>
  <w:num w:numId="45" w16cid:durableId="1584795905">
    <w:abstractNumId w:val="25"/>
  </w:num>
  <w:num w:numId="46" w16cid:durableId="1431700096">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230"/>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1F58"/>
    <w:rsid w:val="000641CE"/>
    <w:rsid w:val="00067141"/>
    <w:rsid w:val="00067310"/>
    <w:rsid w:val="00077E35"/>
    <w:rsid w:val="0008669E"/>
    <w:rsid w:val="00090599"/>
    <w:rsid w:val="00092527"/>
    <w:rsid w:val="00096270"/>
    <w:rsid w:val="000A097F"/>
    <w:rsid w:val="000A1501"/>
    <w:rsid w:val="000A2494"/>
    <w:rsid w:val="000A6B7E"/>
    <w:rsid w:val="000C6CDB"/>
    <w:rsid w:val="000D5C25"/>
    <w:rsid w:val="000E4F06"/>
    <w:rsid w:val="000E5601"/>
    <w:rsid w:val="000E58B8"/>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03EF"/>
    <w:rsid w:val="00231A7F"/>
    <w:rsid w:val="00234B41"/>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323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D2DC3"/>
    <w:rsid w:val="006E492F"/>
    <w:rsid w:val="006F1D0B"/>
    <w:rsid w:val="006F27A8"/>
    <w:rsid w:val="006F3493"/>
    <w:rsid w:val="006F3544"/>
    <w:rsid w:val="006F5A52"/>
    <w:rsid w:val="00702F0F"/>
    <w:rsid w:val="0070347C"/>
    <w:rsid w:val="007102D2"/>
    <w:rsid w:val="00714647"/>
    <w:rsid w:val="00714A66"/>
    <w:rsid w:val="00716658"/>
    <w:rsid w:val="007176C1"/>
    <w:rsid w:val="00720BC0"/>
    <w:rsid w:val="0072116B"/>
    <w:rsid w:val="00725063"/>
    <w:rsid w:val="00732E72"/>
    <w:rsid w:val="00741D90"/>
    <w:rsid w:val="007607B1"/>
    <w:rsid w:val="00765296"/>
    <w:rsid w:val="00766D28"/>
    <w:rsid w:val="007723C2"/>
    <w:rsid w:val="007815B9"/>
    <w:rsid w:val="00781DC2"/>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1033"/>
    <w:rsid w:val="008729F8"/>
    <w:rsid w:val="00873F1E"/>
    <w:rsid w:val="00895DE5"/>
    <w:rsid w:val="008A0FA8"/>
    <w:rsid w:val="008A1EC0"/>
    <w:rsid w:val="008B44C4"/>
    <w:rsid w:val="008B6DFA"/>
    <w:rsid w:val="008C07F9"/>
    <w:rsid w:val="008C322B"/>
    <w:rsid w:val="008C4B74"/>
    <w:rsid w:val="008D1156"/>
    <w:rsid w:val="008D59DB"/>
    <w:rsid w:val="008E0319"/>
    <w:rsid w:val="008E4DE2"/>
    <w:rsid w:val="008E7CE2"/>
    <w:rsid w:val="008E7FAE"/>
    <w:rsid w:val="00911611"/>
    <w:rsid w:val="00911BF7"/>
    <w:rsid w:val="0091594A"/>
    <w:rsid w:val="00916CA6"/>
    <w:rsid w:val="009230F1"/>
    <w:rsid w:val="0092726A"/>
    <w:rsid w:val="00935490"/>
    <w:rsid w:val="009418DE"/>
    <w:rsid w:val="009516B7"/>
    <w:rsid w:val="0095776B"/>
    <w:rsid w:val="00957CE5"/>
    <w:rsid w:val="009624E2"/>
    <w:rsid w:val="00977EC8"/>
    <w:rsid w:val="00983432"/>
    <w:rsid w:val="009858B0"/>
    <w:rsid w:val="00991843"/>
    <w:rsid w:val="009A3048"/>
    <w:rsid w:val="009A6C26"/>
    <w:rsid w:val="009B17AD"/>
    <w:rsid w:val="009B3F8C"/>
    <w:rsid w:val="009B45E0"/>
    <w:rsid w:val="009B540F"/>
    <w:rsid w:val="009D3A8C"/>
    <w:rsid w:val="009E1BA9"/>
    <w:rsid w:val="009E2876"/>
    <w:rsid w:val="009E2F0B"/>
    <w:rsid w:val="009E7956"/>
    <w:rsid w:val="009F072F"/>
    <w:rsid w:val="009F26C1"/>
    <w:rsid w:val="009F3F95"/>
    <w:rsid w:val="009F78C8"/>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D26D6"/>
    <w:rsid w:val="00AE2617"/>
    <w:rsid w:val="00AE352C"/>
    <w:rsid w:val="00AE79AC"/>
    <w:rsid w:val="00AF50C2"/>
    <w:rsid w:val="00AF6BBA"/>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5C7E"/>
    <w:rsid w:val="00C66C3B"/>
    <w:rsid w:val="00C67D23"/>
    <w:rsid w:val="00C71827"/>
    <w:rsid w:val="00C7510B"/>
    <w:rsid w:val="00C825E5"/>
    <w:rsid w:val="00C872B4"/>
    <w:rsid w:val="00C92534"/>
    <w:rsid w:val="00C938DC"/>
    <w:rsid w:val="00C95EB8"/>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4B55"/>
    <w:rsid w:val="00DA5E1D"/>
    <w:rsid w:val="00DA7968"/>
    <w:rsid w:val="00DC2FD7"/>
    <w:rsid w:val="00DC4F43"/>
    <w:rsid w:val="00DE6D90"/>
    <w:rsid w:val="00DF002F"/>
    <w:rsid w:val="00DF128E"/>
    <w:rsid w:val="00DF4D0D"/>
    <w:rsid w:val="00E0244D"/>
    <w:rsid w:val="00E026DF"/>
    <w:rsid w:val="00E02F48"/>
    <w:rsid w:val="00E03712"/>
    <w:rsid w:val="00E04007"/>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0361"/>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20DA"/>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F52D05F"/>
  <w15:docId w15:val="{972972CC-7CCB-420B-8D2D-197408703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link w:val="H1GChar"/>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link w:val="H23GChar"/>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uiPriority w:val="99"/>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customStyle="1" w:styleId="SingleTxtGChar">
    <w:name w:val="_ Single Txt_G Char"/>
    <w:rsid w:val="00F30361"/>
    <w:rPr>
      <w:rFonts w:eastAsiaTheme="minorHAnsi"/>
      <w:lang w:val="fr-CH"/>
    </w:rPr>
  </w:style>
  <w:style w:type="character" w:customStyle="1" w:styleId="HChGChar">
    <w:name w:val="_ H _Ch_G Char"/>
    <w:link w:val="HChG"/>
    <w:rsid w:val="00F30361"/>
    <w:rPr>
      <w:rFonts w:eastAsiaTheme="minorHAnsi"/>
      <w:b/>
      <w:sz w:val="28"/>
      <w:lang w:val="fr-CH" w:eastAsia="en-US"/>
    </w:rPr>
  </w:style>
  <w:style w:type="character" w:customStyle="1" w:styleId="H1GChar">
    <w:name w:val="_ H_1_G Char"/>
    <w:link w:val="H1G"/>
    <w:locked/>
    <w:rsid w:val="00F30361"/>
    <w:rPr>
      <w:rFonts w:eastAsiaTheme="minorHAnsi"/>
      <w:b/>
      <w:sz w:val="24"/>
      <w:lang w:val="fr-CH" w:eastAsia="en-US"/>
    </w:rPr>
  </w:style>
  <w:style w:type="character" w:customStyle="1" w:styleId="H23GChar">
    <w:name w:val="_ H_2/3_G Char"/>
    <w:link w:val="H23G"/>
    <w:locked/>
    <w:rsid w:val="00F30361"/>
    <w:rPr>
      <w:rFonts w:eastAsiaTheme="minorHAnsi"/>
      <w:b/>
      <w:lang w:val="fr-CH" w:eastAsia="en-US"/>
    </w:rPr>
  </w:style>
  <w:style w:type="paragraph" w:styleId="Rvision">
    <w:name w:val="Revision"/>
    <w:hidden/>
    <w:uiPriority w:val="99"/>
    <w:semiHidden/>
    <w:rsid w:val="00F30361"/>
    <w:rPr>
      <w:rFonts w:eastAsia="SimSun"/>
      <w:lang w:eastAsia="zh-CN"/>
    </w:rPr>
  </w:style>
  <w:style w:type="character" w:styleId="Mentionnonrsolue">
    <w:name w:val="Unresolved Mention"/>
    <w:basedOn w:val="Policepardfaut"/>
    <w:uiPriority w:val="99"/>
    <w:semiHidden/>
    <w:unhideWhenUsed/>
    <w:rsid w:val="00F30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cs.un.org/fr/CAT/C/80/1/Rev.1" TargetMode="External"/><Relationship Id="rId117" Type="http://schemas.openxmlformats.org/officeDocument/2006/relationships/hyperlink" Target="https://docs.un.org/fr/CAT/C/80/D/1019/2020" TargetMode="External"/><Relationship Id="rId21" Type="http://schemas.openxmlformats.org/officeDocument/2006/relationships/footer" Target="footer6.xml"/><Relationship Id="rId42" Type="http://schemas.openxmlformats.org/officeDocument/2006/relationships/hyperlink" Target="https://docs.un.org/fr/A/66/44" TargetMode="External"/><Relationship Id="rId47" Type="http://schemas.openxmlformats.org/officeDocument/2006/relationships/hyperlink" Target="https://docs.un.org/fr/CAT/C/SMR/QPR/1" TargetMode="External"/><Relationship Id="rId63" Type="http://schemas.openxmlformats.org/officeDocument/2006/relationships/hyperlink" Target="https://docs.un.org/fr/CAT/C/TUR/CO/5" TargetMode="External"/><Relationship Id="rId68" Type="http://schemas.openxmlformats.org/officeDocument/2006/relationships/hyperlink" Target="https://docs.un.org/fr/CAT/C/KWT/4" TargetMode="External"/><Relationship Id="rId84" Type="http://schemas.openxmlformats.org/officeDocument/2006/relationships/hyperlink" Target="https://docs.un.org/fr/CAT/C/TKM/3" TargetMode="External"/><Relationship Id="rId89" Type="http://schemas.openxmlformats.org/officeDocument/2006/relationships/hyperlink" Target="https://docs.un.org/fr/CAT/C/COL/FCO/6" TargetMode="External"/><Relationship Id="rId112" Type="http://schemas.openxmlformats.org/officeDocument/2006/relationships/hyperlink" Target="https://docs.un.org/fr/CAT/C/80/D/1119/2022" TargetMode="External"/><Relationship Id="rId133" Type="http://schemas.openxmlformats.org/officeDocument/2006/relationships/hyperlink" Target="https://docs.un.org/fr/CAT/C/80/D/1193/2023" TargetMode="External"/><Relationship Id="rId138" Type="http://schemas.openxmlformats.org/officeDocument/2006/relationships/hyperlink" Target="https://docs.un.org/fr/CAT/C/81/D/1099/2021" TargetMode="External"/><Relationship Id="rId154" Type="http://schemas.openxmlformats.org/officeDocument/2006/relationships/hyperlink" Target="https://docs.un.org/fr/CAT/C/81/D/1144/2022" TargetMode="External"/><Relationship Id="rId159" Type="http://schemas.openxmlformats.org/officeDocument/2006/relationships/hyperlink" Target="https://docs.un.org/fr/CAT/C/82/D/1007/2020" TargetMode="External"/><Relationship Id="rId175" Type="http://schemas.openxmlformats.org/officeDocument/2006/relationships/hyperlink" Target="https://docs.un.org/fr/CAT/C/82/D/1157/2022" TargetMode="External"/><Relationship Id="rId170" Type="http://schemas.openxmlformats.org/officeDocument/2006/relationships/hyperlink" Target="https://docs.un.org/fr/CAT/C/82/D/987/2020" TargetMode="External"/><Relationship Id="rId16" Type="http://schemas.openxmlformats.org/officeDocument/2006/relationships/header" Target="header4.xml"/><Relationship Id="rId107" Type="http://schemas.openxmlformats.org/officeDocument/2006/relationships/hyperlink" Target="https://docs.un.org/fr/CAT/C/80/D/1086/2021" TargetMode="External"/><Relationship Id="rId11" Type="http://schemas.openxmlformats.org/officeDocument/2006/relationships/image" Target="media/image4.png"/><Relationship Id="rId32" Type="http://schemas.openxmlformats.org/officeDocument/2006/relationships/hyperlink" Target="https://docs.un.org/fr/A/79/44" TargetMode="External"/><Relationship Id="rId37" Type="http://schemas.openxmlformats.org/officeDocument/2006/relationships/hyperlink" Target="https://docs.un.org/fr/A/79/292" TargetMode="External"/><Relationship Id="rId53" Type="http://schemas.openxmlformats.org/officeDocument/2006/relationships/hyperlink" Target="https://docs.un.org/fr/CAT/C/MNE/QPR/4" TargetMode="External"/><Relationship Id="rId58" Type="http://schemas.openxmlformats.org/officeDocument/2006/relationships/hyperlink" Target="https://docs.un.org/fr/CAT/C/ECU/8" TargetMode="External"/><Relationship Id="rId74" Type="http://schemas.openxmlformats.org/officeDocument/2006/relationships/hyperlink" Target="https://docs.un.org/fr/CAT/C/THA/2" TargetMode="External"/><Relationship Id="rId79" Type="http://schemas.openxmlformats.org/officeDocument/2006/relationships/hyperlink" Target="https://docs.un.org/fr/CAT/C/FRA/CO/8" TargetMode="External"/><Relationship Id="rId102" Type="http://schemas.openxmlformats.org/officeDocument/2006/relationships/hyperlink" Target="https://docs.un.org/fr/CAT/C/TUR/FCO/5" TargetMode="External"/><Relationship Id="rId123" Type="http://schemas.openxmlformats.org/officeDocument/2006/relationships/hyperlink" Target="https://docs.un.org/fr/CAT/C/80/D/1083/2021" TargetMode="External"/><Relationship Id="rId128" Type="http://schemas.openxmlformats.org/officeDocument/2006/relationships/hyperlink" Target="https://docs.un.org/fr/CAT/C/80/D/1125/2022" TargetMode="External"/><Relationship Id="rId144" Type="http://schemas.openxmlformats.org/officeDocument/2006/relationships/hyperlink" Target="https://docs.un.org/fr/CAT/C/81/D/1022/2020" TargetMode="External"/><Relationship Id="rId149" Type="http://schemas.openxmlformats.org/officeDocument/2006/relationships/hyperlink" Target="https://docs.un.org/fr/CAT/C/81/D/1097/2021" TargetMode="External"/><Relationship Id="rId5" Type="http://schemas.openxmlformats.org/officeDocument/2006/relationships/webSettings" Target="webSettings.xml"/><Relationship Id="rId90" Type="http://schemas.openxmlformats.org/officeDocument/2006/relationships/hyperlink" Target="https://docs.un.org/fr/CAT/C/AUS/FCO/6" TargetMode="External"/><Relationship Id="rId95" Type="http://schemas.openxmlformats.org/officeDocument/2006/relationships/hyperlink" Target="https://docs.un.org/fr/CAT/C/BRA/FCO/2" TargetMode="External"/><Relationship Id="rId160" Type="http://schemas.openxmlformats.org/officeDocument/2006/relationships/hyperlink" Target="https://docs.un.org/fr/CAT/C/82/D/1024/2020" TargetMode="External"/><Relationship Id="rId165" Type="http://schemas.openxmlformats.org/officeDocument/2006/relationships/hyperlink" Target="https://docs.un.org/fr/CAT/C/82/D/1114/2021" TargetMode="External"/><Relationship Id="rId181" Type="http://schemas.openxmlformats.org/officeDocument/2006/relationships/hyperlink" Target="https://docs.un.org/fr/CAT/C/81/2" TargetMode="External"/><Relationship Id="rId186" Type="http://schemas.openxmlformats.org/officeDocument/2006/relationships/footer" Target="footer8.xml"/><Relationship Id="rId22" Type="http://schemas.openxmlformats.org/officeDocument/2006/relationships/header" Target="header7.xml"/><Relationship Id="rId27" Type="http://schemas.openxmlformats.org/officeDocument/2006/relationships/hyperlink" Target="https://docs.un.org/fr/CAT/C/81/1" TargetMode="External"/><Relationship Id="rId43" Type="http://schemas.openxmlformats.org/officeDocument/2006/relationships/hyperlink" Target="https://docs.un.org/fr/CAT/C/KGZ/QPR/4" TargetMode="External"/><Relationship Id="rId48" Type="http://schemas.openxmlformats.org/officeDocument/2006/relationships/hyperlink" Target="https://docs.un.org/fr/CAT/C/BWA/QPR/2" TargetMode="External"/><Relationship Id="rId64" Type="http://schemas.openxmlformats.org/officeDocument/2006/relationships/hyperlink" Target="https://docs.un.org/fr/CAT/C/CMR/6" TargetMode="External"/><Relationship Id="rId69" Type="http://schemas.openxmlformats.org/officeDocument/2006/relationships/hyperlink" Target="https://docs.un.org/fr/CAT/C/KWT/CO/4" TargetMode="External"/><Relationship Id="rId113" Type="http://schemas.openxmlformats.org/officeDocument/2006/relationships/hyperlink" Target="https://docs.un.org/fr/CAT/C/80/D/1020/2020" TargetMode="External"/><Relationship Id="rId118" Type="http://schemas.openxmlformats.org/officeDocument/2006/relationships/hyperlink" Target="https://docs.un.org/fr/CAT/C/80/D/1042/2020" TargetMode="External"/><Relationship Id="rId134" Type="http://schemas.openxmlformats.org/officeDocument/2006/relationships/hyperlink" Target="https://docs.un.org/fr/CAT/C/81/D/1109/2021" TargetMode="External"/><Relationship Id="rId139" Type="http://schemas.openxmlformats.org/officeDocument/2006/relationships/hyperlink" Target="https://docs.un.org/fr/CAT/C/81/D/1033/2020" TargetMode="External"/><Relationship Id="rId80" Type="http://schemas.openxmlformats.org/officeDocument/2006/relationships/hyperlink" Target="https://docs.un.org/fr/CAT/C/MUS/5" TargetMode="External"/><Relationship Id="rId85" Type="http://schemas.openxmlformats.org/officeDocument/2006/relationships/hyperlink" Target="https://docs.un.org/fr/CAT/C/TKM/CO/3" TargetMode="External"/><Relationship Id="rId150" Type="http://schemas.openxmlformats.org/officeDocument/2006/relationships/hyperlink" Target="https://docs.un.org/fr/CAT/C/81/D/1110/2021" TargetMode="External"/><Relationship Id="rId155" Type="http://schemas.openxmlformats.org/officeDocument/2006/relationships/hyperlink" Target="https://docs.un.org/fr/CAT/C/82/D/911/2019" TargetMode="External"/><Relationship Id="rId171" Type="http://schemas.openxmlformats.org/officeDocument/2006/relationships/hyperlink" Target="https://docs.un.org/fr/CAT/C/82/D/1056/2021" TargetMode="External"/><Relationship Id="rId176" Type="http://schemas.openxmlformats.org/officeDocument/2006/relationships/hyperlink" Target="https://docs.un.org/fr/CAT/C/82/D/1165/2022"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s://docs.un.org/fr/CAT/C/82/2" TargetMode="External"/><Relationship Id="rId38" Type="http://schemas.openxmlformats.org/officeDocument/2006/relationships/hyperlink" Target="https://docs.un.org/fr/A/HRC/58/49" TargetMode="External"/><Relationship Id="rId59" Type="http://schemas.openxmlformats.org/officeDocument/2006/relationships/hyperlink" Target="https://docs.un.org/fr/CAT/C/ECU/CO/8" TargetMode="External"/><Relationship Id="rId103" Type="http://schemas.openxmlformats.org/officeDocument/2006/relationships/hyperlink" Target="https://docs.un.org/fr/CAT/C/80/D/1111/2021" TargetMode="External"/><Relationship Id="rId108" Type="http://schemas.openxmlformats.org/officeDocument/2006/relationships/hyperlink" Target="https://docs.un.org/fr/CAT/C/80/D/1088/2021" TargetMode="External"/><Relationship Id="rId124" Type="http://schemas.openxmlformats.org/officeDocument/2006/relationships/hyperlink" Target="https://docs.un.org/fr/CAT/C/80/D/1090/2021" TargetMode="External"/><Relationship Id="rId129" Type="http://schemas.openxmlformats.org/officeDocument/2006/relationships/hyperlink" Target="https://docs.un.org/fr/CAT/C/80/D/1139/2022" TargetMode="External"/><Relationship Id="rId54" Type="http://schemas.openxmlformats.org/officeDocument/2006/relationships/hyperlink" Target="https://docs.un.org/fr/CAT/C/URY/QPR/5" TargetMode="External"/><Relationship Id="rId70" Type="http://schemas.openxmlformats.org/officeDocument/2006/relationships/hyperlink" Target="https://docs.un.org/fr/CAT/C/MNG/3" TargetMode="External"/><Relationship Id="rId75" Type="http://schemas.openxmlformats.org/officeDocument/2006/relationships/hyperlink" Target="https://docs.un.org/fr/CAT/C/THA/CO/2" TargetMode="External"/><Relationship Id="rId91" Type="http://schemas.openxmlformats.org/officeDocument/2006/relationships/hyperlink" Target="https://docs.un.org/fr/CAT/C/KAZ/FCO/4" TargetMode="External"/><Relationship Id="rId96" Type="http://schemas.openxmlformats.org/officeDocument/2006/relationships/hyperlink" Target="https://docs.un.org/fr/CAT/C/LUX/FCO/8" TargetMode="External"/><Relationship Id="rId140" Type="http://schemas.openxmlformats.org/officeDocument/2006/relationships/hyperlink" Target="https://docs.un.org/fr/CAT/C/81/D/1010/2020" TargetMode="External"/><Relationship Id="rId145" Type="http://schemas.openxmlformats.org/officeDocument/2006/relationships/hyperlink" Target="https://docs.un.org/fr/CAT/C/81/D/1046/2020" TargetMode="External"/><Relationship Id="rId161" Type="http://schemas.openxmlformats.org/officeDocument/2006/relationships/hyperlink" Target="https://docs.un.org/fr/CAT/C/82/D/1100/2021" TargetMode="External"/><Relationship Id="rId166" Type="http://schemas.openxmlformats.org/officeDocument/2006/relationships/hyperlink" Target="https://docs.un.org/fr/CAT/C/82/D/1107/2021" TargetMode="External"/><Relationship Id="rId182" Type="http://schemas.openxmlformats.org/officeDocument/2006/relationships/hyperlink" Target="https://docs.un.org/fr/CAT/C/82/3" TargetMode="External"/><Relationship Id="rId187"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7.xml"/><Relationship Id="rId28" Type="http://schemas.openxmlformats.org/officeDocument/2006/relationships/hyperlink" Target="https://docs.un.org/fr/CAT/C/82/1" TargetMode="External"/><Relationship Id="rId49" Type="http://schemas.openxmlformats.org/officeDocument/2006/relationships/hyperlink" Target="https://docs.un.org/fr/CAT/C/PSE/QPR/2" TargetMode="External"/><Relationship Id="rId114" Type="http://schemas.openxmlformats.org/officeDocument/2006/relationships/hyperlink" Target="https://docs.un.org/fr/CAT/C/80/D/1068/2021" TargetMode="External"/><Relationship Id="rId119" Type="http://schemas.openxmlformats.org/officeDocument/2006/relationships/hyperlink" Target="https://docs.un.org/fr/CAT/C/80/D/1057/2021" TargetMode="External"/><Relationship Id="rId44" Type="http://schemas.openxmlformats.org/officeDocument/2006/relationships/hyperlink" Target="https://docs.un.org/fr/CAT/C/LTU/QPR/5" TargetMode="External"/><Relationship Id="rId60" Type="http://schemas.openxmlformats.org/officeDocument/2006/relationships/hyperlink" Target="https://docs.un.org/fr/CAT/C/KOR/6" TargetMode="External"/><Relationship Id="rId65" Type="http://schemas.openxmlformats.org/officeDocument/2006/relationships/hyperlink" Target="https://docs.un.org/fr/CAT/C/CMR/CO/6" TargetMode="External"/><Relationship Id="rId81" Type="http://schemas.openxmlformats.org/officeDocument/2006/relationships/hyperlink" Target="https://docs.un.org/fr/CAT/C/MUS/CO/5" TargetMode="External"/><Relationship Id="rId86" Type="http://schemas.openxmlformats.org/officeDocument/2006/relationships/hyperlink" Target="https://docs.un.org/fr/CAT/C/UKR/7" TargetMode="External"/><Relationship Id="rId130" Type="http://schemas.openxmlformats.org/officeDocument/2006/relationships/hyperlink" Target="https://docs.un.org/fr/CAT/C/80/D/1154/2022" TargetMode="External"/><Relationship Id="rId135" Type="http://schemas.openxmlformats.org/officeDocument/2006/relationships/hyperlink" Target="https://docs.un.org/fr/CAT/C/81/D/997/2020" TargetMode="External"/><Relationship Id="rId151" Type="http://schemas.openxmlformats.org/officeDocument/2006/relationships/hyperlink" Target="https://docs.un.org/fr/CAT/C/81/D/1113/2021" TargetMode="External"/><Relationship Id="rId156" Type="http://schemas.openxmlformats.org/officeDocument/2006/relationships/hyperlink" Target="https://docs.un.org/fr/CAT/C/82/D/957/2019" TargetMode="External"/><Relationship Id="rId177" Type="http://schemas.openxmlformats.org/officeDocument/2006/relationships/hyperlink" Target="https://docs.un.org/fr/CAT/C/82/D/1181/2023" TargetMode="External"/><Relationship Id="rId172" Type="http://schemas.openxmlformats.org/officeDocument/2006/relationships/hyperlink" Target="https://docs.un.org/fr/CAT/C/82/D/1060/2021" TargetMode="Externa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fr/CAT/C/THA/CO/2" TargetMode="External"/><Relationship Id="rId109" Type="http://schemas.openxmlformats.org/officeDocument/2006/relationships/hyperlink" Target="https://docs.un.org/fr/CAT/C/80/D/1095/2021" TargetMode="External"/><Relationship Id="rId34" Type="http://schemas.openxmlformats.org/officeDocument/2006/relationships/hyperlink" Target="https://docs.un.org/fr/CAT/C/55/2" TargetMode="External"/><Relationship Id="rId50" Type="http://schemas.openxmlformats.org/officeDocument/2006/relationships/hyperlink" Target="https://docs.un.org/fr/CAT/C/IRQ/QPR/3" TargetMode="External"/><Relationship Id="rId55" Type="http://schemas.openxmlformats.org/officeDocument/2006/relationships/hyperlink" Target="https://docs.un.org/fr/CAT/C/ATG/QPR/2" TargetMode="External"/><Relationship Id="rId76" Type="http://schemas.openxmlformats.org/officeDocument/2006/relationships/hyperlink" Target="https://docs.un.org/fr/CAT/C/ARM/5" TargetMode="External"/><Relationship Id="rId97" Type="http://schemas.openxmlformats.org/officeDocument/2006/relationships/hyperlink" Target="https://docs.un.org/fr/CAT/C/SOM/FCO/1" TargetMode="External"/><Relationship Id="rId104" Type="http://schemas.openxmlformats.org/officeDocument/2006/relationships/hyperlink" Target="https://docs.un.org/fr/CAT/C/80/D/1062/2021" TargetMode="External"/><Relationship Id="rId120" Type="http://schemas.openxmlformats.org/officeDocument/2006/relationships/hyperlink" Target="https://docs.un.org/fr/CAT/C/80/D/1067/2021" TargetMode="External"/><Relationship Id="rId125" Type="http://schemas.openxmlformats.org/officeDocument/2006/relationships/hyperlink" Target="https://docs.un.org/fr/CAT/C/80/D/1094/2021" TargetMode="External"/><Relationship Id="rId141" Type="http://schemas.openxmlformats.org/officeDocument/2006/relationships/hyperlink" Target="https://docs.un.org/fr/CAT/C/81/D/1084/2021" TargetMode="External"/><Relationship Id="rId146" Type="http://schemas.openxmlformats.org/officeDocument/2006/relationships/hyperlink" Target="https://docs.un.org/fr/CAT/C/81/D/1058/2021" TargetMode="External"/><Relationship Id="rId167" Type="http://schemas.openxmlformats.org/officeDocument/2006/relationships/hyperlink" Target="https://docs.un.org/fr/CAT/C/82/D/1032/2020" TargetMode="External"/><Relationship Id="rId188" Type="http://schemas.openxmlformats.org/officeDocument/2006/relationships/footer" Target="footer10.xml"/><Relationship Id="rId7" Type="http://schemas.openxmlformats.org/officeDocument/2006/relationships/endnotes" Target="endnotes.xml"/><Relationship Id="rId71" Type="http://schemas.openxmlformats.org/officeDocument/2006/relationships/hyperlink" Target="https://docs.un.org/fr/CAT/C/MNG/CO/3" TargetMode="External"/><Relationship Id="rId92" Type="http://schemas.openxmlformats.org/officeDocument/2006/relationships/hyperlink" Target="https://docs.un.org/fr/CAT/C/SLV/FCO/3/Add.1" TargetMode="External"/><Relationship Id="rId162" Type="http://schemas.openxmlformats.org/officeDocument/2006/relationships/hyperlink" Target="https://docs.un.org/fr/CAT/C/82/D/1105/2021" TargetMode="External"/><Relationship Id="rId183" Type="http://schemas.openxmlformats.org/officeDocument/2006/relationships/hyperlink" Target="https://docs.un.org/fr/A/RES/68/268" TargetMode="External"/><Relationship Id="rId2" Type="http://schemas.openxmlformats.org/officeDocument/2006/relationships/numbering" Target="numbering.xml"/><Relationship Id="rId29" Type="http://schemas.openxmlformats.org/officeDocument/2006/relationships/hyperlink" Target="https://docs.un.org/fr/CAT/C/SR.2109" TargetMode="External"/><Relationship Id="rId24" Type="http://schemas.openxmlformats.org/officeDocument/2006/relationships/hyperlink" Target="https://docs.un.org/fr/A/79/44" TargetMode="External"/><Relationship Id="rId40" Type="http://schemas.openxmlformats.org/officeDocument/2006/relationships/hyperlink" Target="https://docs.un.org/fr/CAT/C/PAK/Q/2" TargetMode="External"/><Relationship Id="rId45" Type="http://schemas.openxmlformats.org/officeDocument/2006/relationships/hyperlink" Target="https://docs.un.org/fr/CAT/C/SRB/QPR/4" TargetMode="External"/><Relationship Id="rId66" Type="http://schemas.openxmlformats.org/officeDocument/2006/relationships/hyperlink" Target="https://docs.un.org/fr/CAT/C/JOR/4" TargetMode="External"/><Relationship Id="rId87" Type="http://schemas.openxmlformats.org/officeDocument/2006/relationships/hyperlink" Target="https://docs.un.org/fr/CAT/C/UKR/CO/7" TargetMode="External"/><Relationship Id="rId110" Type="http://schemas.openxmlformats.org/officeDocument/2006/relationships/hyperlink" Target="https://docs.un.org/fr/CAT/C/80/D/1104/2021" TargetMode="External"/><Relationship Id="rId115" Type="http://schemas.openxmlformats.org/officeDocument/2006/relationships/hyperlink" Target="https://docs.un.org/fr/CAT/C/80/D/620/2014" TargetMode="External"/><Relationship Id="rId131" Type="http://schemas.openxmlformats.org/officeDocument/2006/relationships/hyperlink" Target="https://docs.un.org/fr/CAT/C/80/D/1171/2023" TargetMode="External"/><Relationship Id="rId136" Type="http://schemas.openxmlformats.org/officeDocument/2006/relationships/hyperlink" Target="https://docs.un.org/fr/CAT/C/81/D/1036/2020" TargetMode="External"/><Relationship Id="rId157" Type="http://schemas.openxmlformats.org/officeDocument/2006/relationships/hyperlink" Target="https://docs.un.org/fr/CAT/C/82/D/967/2019" TargetMode="External"/><Relationship Id="rId178" Type="http://schemas.openxmlformats.org/officeDocument/2006/relationships/hyperlink" Target="https://docs.un.org/fr/CAT/C/82/D/1185/2023" TargetMode="External"/><Relationship Id="rId61" Type="http://schemas.openxmlformats.org/officeDocument/2006/relationships/hyperlink" Target="https://docs.un.org/fr/CAT/C/KOR/CO/6" TargetMode="External"/><Relationship Id="rId82" Type="http://schemas.openxmlformats.org/officeDocument/2006/relationships/hyperlink" Target="https://docs.un.org/fr/CAT/C/MCO/7" TargetMode="External"/><Relationship Id="rId152" Type="http://schemas.openxmlformats.org/officeDocument/2006/relationships/hyperlink" Target="https://docs.un.org/fr/CAT/C/81/D/1122/2022" TargetMode="External"/><Relationship Id="rId173" Type="http://schemas.openxmlformats.org/officeDocument/2006/relationships/hyperlink" Target="https://docs.un.org/fr/CAT/C/82/D/1093/2021"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s://docs.un.org/fr/CAT/C/SR.2206" TargetMode="External"/><Relationship Id="rId35" Type="http://schemas.openxmlformats.org/officeDocument/2006/relationships/hyperlink" Target="https://docs.un.org/fr/A/78/354" TargetMode="External"/><Relationship Id="rId56" Type="http://schemas.openxmlformats.org/officeDocument/2006/relationships/hyperlink" Target="https://docs.un.org/fr/CAT/C/CIV/1" TargetMode="External"/><Relationship Id="rId77" Type="http://schemas.openxmlformats.org/officeDocument/2006/relationships/hyperlink" Target="https://docs.un.org/fr/CAT/C/ARM/CO/5" TargetMode="External"/><Relationship Id="rId100" Type="http://schemas.openxmlformats.org/officeDocument/2006/relationships/hyperlink" Target="https://docs.un.org/fr/CAT/C/DNK/FCO/8" TargetMode="External"/><Relationship Id="rId105" Type="http://schemas.openxmlformats.org/officeDocument/2006/relationships/hyperlink" Target="https://docs.un.org/fr/CAT/C/80/D/1064/2021" TargetMode="External"/><Relationship Id="rId126" Type="http://schemas.openxmlformats.org/officeDocument/2006/relationships/hyperlink" Target="https://docs.un.org/fr/CAT/C/80/D/1115/2021" TargetMode="External"/><Relationship Id="rId147" Type="http://schemas.openxmlformats.org/officeDocument/2006/relationships/hyperlink" Target="https://docs.un.org/fr/CAT/C/81/D/1075/2021" TargetMode="External"/><Relationship Id="rId168" Type="http://schemas.openxmlformats.org/officeDocument/2006/relationships/hyperlink" Target="https://docs.un.org/fr/CAT/C/82/D/1070/2021" TargetMode="External"/><Relationship Id="rId8" Type="http://schemas.openxmlformats.org/officeDocument/2006/relationships/image" Target="media/image1.wmf"/><Relationship Id="rId51" Type="http://schemas.openxmlformats.org/officeDocument/2006/relationships/hyperlink" Target="https://docs.un.org/fr/CAT/C/ISL/QPR/5" TargetMode="External"/><Relationship Id="rId72" Type="http://schemas.openxmlformats.org/officeDocument/2006/relationships/hyperlink" Target="https://docs.un.org/fr/CAT/C/NAM/3" TargetMode="External"/><Relationship Id="rId93" Type="http://schemas.openxmlformats.org/officeDocument/2006/relationships/hyperlink" Target="https://docs.un.org/fr/CAT/C/CHE/FCO/8" TargetMode="External"/><Relationship Id="rId98" Type="http://schemas.openxmlformats.org/officeDocument/2006/relationships/hyperlink" Target="https://docs.un.org/fr/CAT/C/EGY/FCO/5" TargetMode="External"/><Relationship Id="rId121" Type="http://schemas.openxmlformats.org/officeDocument/2006/relationships/hyperlink" Target="https://docs.un.org/fr/CAT/C/80/D/1074/2021" TargetMode="External"/><Relationship Id="rId142" Type="http://schemas.openxmlformats.org/officeDocument/2006/relationships/hyperlink" Target="https://docs.un.org/fr/CAT/C/81/D/1129/2022" TargetMode="External"/><Relationship Id="rId163" Type="http://schemas.openxmlformats.org/officeDocument/2006/relationships/hyperlink" Target="https://docs.un.org/fr/CAT/C/82/D/1102/2021" TargetMode="External"/><Relationship Id="rId184" Type="http://schemas.openxmlformats.org/officeDocument/2006/relationships/header" Target="header8.xm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treaties.un.org/Pages/Home.aspx?clang=_fr" TargetMode="External"/><Relationship Id="rId46" Type="http://schemas.openxmlformats.org/officeDocument/2006/relationships/hyperlink" Target="https://docs.un.org/fr/CAT/C/SWE/QPR/9" TargetMode="External"/><Relationship Id="rId67" Type="http://schemas.openxmlformats.org/officeDocument/2006/relationships/hyperlink" Target="https://docs.un.org/fr/CAT/C/JOR/CO/4" TargetMode="External"/><Relationship Id="rId116" Type="http://schemas.openxmlformats.org/officeDocument/2006/relationships/hyperlink" Target="https://docs.un.org/fr/CAT/C/80/D/985/2020" TargetMode="External"/><Relationship Id="rId137" Type="http://schemas.openxmlformats.org/officeDocument/2006/relationships/hyperlink" Target="https://docs.un.org/fr/CAT/C/81/D/1051/2021" TargetMode="External"/><Relationship Id="rId158" Type="http://schemas.openxmlformats.org/officeDocument/2006/relationships/hyperlink" Target="https://docs.un.org/fr/CAT/C/82/D/980/2020" TargetMode="External"/><Relationship Id="rId20" Type="http://schemas.openxmlformats.org/officeDocument/2006/relationships/footer" Target="footer5.xml"/><Relationship Id="rId41" Type="http://schemas.openxmlformats.org/officeDocument/2006/relationships/hyperlink" Target="https://docs.un.org/fr/CAT/C/TJK/Q/4" TargetMode="External"/><Relationship Id="rId62" Type="http://schemas.openxmlformats.org/officeDocument/2006/relationships/hyperlink" Target="https://docs.un.org/fr/CAT/C/TUR/5" TargetMode="External"/><Relationship Id="rId83" Type="http://schemas.openxmlformats.org/officeDocument/2006/relationships/hyperlink" Target="https://docs.un.org/fr/CAT/C/MCO/CO/7" TargetMode="External"/><Relationship Id="rId88" Type="http://schemas.openxmlformats.org/officeDocument/2006/relationships/hyperlink" Target="https://docs.un.org/fr/CAT/C/SVK/FCO/4" TargetMode="External"/><Relationship Id="rId111" Type="http://schemas.openxmlformats.org/officeDocument/2006/relationships/hyperlink" Target="https://docs.un.org/fr/CAT/C/80/D/1106/2021" TargetMode="External"/><Relationship Id="rId132" Type="http://schemas.openxmlformats.org/officeDocument/2006/relationships/hyperlink" Target="https://docs.un.org/fr/CAT/C/80/D/1182/2023" TargetMode="External"/><Relationship Id="rId153" Type="http://schemas.openxmlformats.org/officeDocument/2006/relationships/hyperlink" Target="https://docs.un.org/fr/CAT/C/81/D/1138/2022" TargetMode="External"/><Relationship Id="rId174" Type="http://schemas.openxmlformats.org/officeDocument/2006/relationships/hyperlink" Target="https://docs.un.org/fr/CAT/C/82/D/1116/2022" TargetMode="External"/><Relationship Id="rId179" Type="http://schemas.openxmlformats.org/officeDocument/2006/relationships/hyperlink" Target="https://docs.un.org/fr/CAT/C/82/D/1223/2024" TargetMode="External"/><Relationship Id="rId190" Type="http://schemas.openxmlformats.org/officeDocument/2006/relationships/theme" Target="theme/theme1.xml"/><Relationship Id="rId15" Type="http://schemas.openxmlformats.org/officeDocument/2006/relationships/footer" Target="footer3.xml"/><Relationship Id="rId36" Type="http://schemas.openxmlformats.org/officeDocument/2006/relationships/hyperlink" Target="https://docs.un.org/fr/A/RES/79/165" TargetMode="External"/><Relationship Id="rId57" Type="http://schemas.openxmlformats.org/officeDocument/2006/relationships/hyperlink" Target="https://docs.un.org/fr/CAT/C/CIV/CO/1" TargetMode="External"/><Relationship Id="rId106" Type="http://schemas.openxmlformats.org/officeDocument/2006/relationships/hyperlink" Target="https://docs.un.org/fr/CAT/C/80/D/1073/2021" TargetMode="External"/><Relationship Id="rId127" Type="http://schemas.openxmlformats.org/officeDocument/2006/relationships/hyperlink" Target="https://docs.un.org/fr/CAT/C/80/D/1124/2022" TargetMode="External"/><Relationship Id="rId10" Type="http://schemas.openxmlformats.org/officeDocument/2006/relationships/footer" Target="footer1.xml"/><Relationship Id="rId31" Type="http://schemas.openxmlformats.org/officeDocument/2006/relationships/hyperlink" Target="https://docs.un.org/fr/A/RES/77/209" TargetMode="External"/><Relationship Id="rId52" Type="http://schemas.openxmlformats.org/officeDocument/2006/relationships/hyperlink" Target="https://docs.un.org/fr/CAT/C/KEN/QPR/4" TargetMode="External"/><Relationship Id="rId73" Type="http://schemas.openxmlformats.org/officeDocument/2006/relationships/hyperlink" Target="https://docs.un.org/fr/CAT/C/NAM/CO/3" TargetMode="External"/><Relationship Id="rId78" Type="http://schemas.openxmlformats.org/officeDocument/2006/relationships/hyperlink" Target="https://docs.un.org/fr/CAT/C/FRA/8" TargetMode="External"/><Relationship Id="rId94" Type="http://schemas.openxmlformats.org/officeDocument/2006/relationships/hyperlink" Target="https://docs.un.org/fr/CAT/C/NZL/FCO/7" TargetMode="External"/><Relationship Id="rId99" Type="http://schemas.openxmlformats.org/officeDocument/2006/relationships/hyperlink" Target="https://docs.un.org/fr/CAT/C/CRI/FCO/3" TargetMode="External"/><Relationship Id="rId101" Type="http://schemas.openxmlformats.org/officeDocument/2006/relationships/hyperlink" Target="https://docs.un.org/fr/CAT/C/SVN/FCO/4" TargetMode="External"/><Relationship Id="rId122" Type="http://schemas.openxmlformats.org/officeDocument/2006/relationships/hyperlink" Target="https://docs.un.org/fr/CAT/C/80/D/1080/2021" TargetMode="External"/><Relationship Id="rId143" Type="http://schemas.openxmlformats.org/officeDocument/2006/relationships/hyperlink" Target="https://docs.un.org/fr/CAT/C/81/D/1009/2020" TargetMode="External"/><Relationship Id="rId148" Type="http://schemas.openxmlformats.org/officeDocument/2006/relationships/hyperlink" Target="https://docs.un.org/fr/CAT/C/81/D/1089/2021" TargetMode="External"/><Relationship Id="rId164" Type="http://schemas.openxmlformats.org/officeDocument/2006/relationships/hyperlink" Target="https://docs.un.org/fr/CAT/C/82/D/1108/2021" TargetMode="External"/><Relationship Id="rId169" Type="http://schemas.openxmlformats.org/officeDocument/2006/relationships/hyperlink" Target="https://docs.un.org/fr/CAT/C/82/D/937/2019" TargetMode="External"/><Relationship Id="rId185"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docs.un.org/fr/CAT/C/82/D/1230/2024"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FollowUp.aspx?Treaty=CAT&amp;Lang=en" TargetMode="External"/><Relationship Id="rId13" Type="http://schemas.openxmlformats.org/officeDocument/2006/relationships/hyperlink" Target="https://documents.un.org/" TargetMode="External"/><Relationship Id="rId3" Type="http://schemas.openxmlformats.org/officeDocument/2006/relationships/hyperlink" Target="https://www.ohchr.org/fr/statements-and-speeches/2024/06/accountability-and-justice-torture-victims-central-commemorations" TargetMode="External"/><Relationship Id="rId7" Type="http://schemas.openxmlformats.org/officeDocument/2006/relationships/hyperlink" Target="https://docs.un.org/fr/CAT/C/55/3" TargetMode="External"/><Relationship Id="rId12" Type="http://schemas.openxmlformats.org/officeDocument/2006/relationships/hyperlink" Target="https://www.ohchr.org/fr/ohchr_homepage/" TargetMode="External"/><Relationship Id="rId2" Type="http://schemas.openxmlformats.org/officeDocument/2006/relationships/hyperlink" Target="https://treaties.un.org/Pages/Home.aspx?clang=_fr" TargetMode="External"/><Relationship Id="rId1" Type="http://schemas.openxmlformats.org/officeDocument/2006/relationships/hyperlink" Target="https://treaties.un.org/Pages/Home.aspx?clang=_fr" TargetMode="External"/><Relationship Id="rId6" Type="http://schemas.openxmlformats.org/officeDocument/2006/relationships/hyperlink" Target="https://www.ohchr.org/fr/treaty-bodies/cat/reporting-guidelines" TargetMode="External"/><Relationship Id="rId11" Type="http://schemas.openxmlformats.org/officeDocument/2006/relationships/hyperlink" Target="http://juris.ohchr.org/" TargetMode="External"/><Relationship Id="rId5" Type="http://schemas.openxmlformats.org/officeDocument/2006/relationships/hyperlink" Target="https://www.ohchr.org/fr/treaty-bodies/cat/reprisals"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ohchr.org/en/treaty-bodies/cat/40th-anniversary-convention-against-torture" TargetMode="External"/><Relationship Id="rId9" Type="http://schemas.openxmlformats.org/officeDocument/2006/relationships/hyperlink" Target="https://tbinternet.ohchr.org/_layouts/15/TreatyBodyExternal/FollowUp.aspx?Treaty=CAT&amp;Lang=en" TargetMode="External"/><Relationship Id="rId14" Type="http://schemas.openxmlformats.org/officeDocument/2006/relationships/hyperlink" Target="https://docs.un.org/fr/S/RES/1244(19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1</TotalTime>
  <Pages>22</Pages>
  <Words>10921</Words>
  <Characters>60287</Characters>
  <Application>Microsoft Office Word</Application>
  <DocSecurity>0</DocSecurity>
  <Lines>1116</Lines>
  <Paragraphs>384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A/80/44</vt:lpstr>
      <vt:lpstr>A/…</vt:lpstr>
    </vt:vector>
  </TitlesOfParts>
  <Manager>Corinne</Manager>
  <Company>CSD</Company>
  <LinksUpToDate>false</LinksUpToDate>
  <CharactersWithSpaces>70824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A/80/44</dc:title>
  <dc:subject/>
  <dc:creator>Sandrine CLERE</dc:creator>
  <cp:keywords/>
  <cp:lastModifiedBy>Sandrine CLERE</cp:lastModifiedBy>
  <cp:revision>2</cp:revision>
  <cp:lastPrinted>2025-07-08T14:22:00Z</cp:lastPrinted>
  <dcterms:created xsi:type="dcterms:W3CDTF">2025-07-08T15:06:00Z</dcterms:created>
  <dcterms:modified xsi:type="dcterms:W3CDTF">2025-07-08T15:06:00Z</dcterms:modified>
</cp:coreProperties>
</file>