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F92" w:rsidRDefault="00361F92" w:rsidP="00361F92">
      <w:pPr>
        <w:spacing w:line="60" w:lineRule="exact"/>
        <w:sectPr w:rsidR="00361F92" w:rsidSect="00361F9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1Size =1Lang = C"/>
            <w10:wrap anchorx="page" anchory="page"/>
          </v:shape>
        </w:pict>
      </w:r>
      <w:commentRangeEnd w:id="0"/>
      <w:r>
        <w:rPr>
          <w:rStyle w:val="CommentReference"/>
        </w:rPr>
        <w:commentReference w:id="0"/>
      </w:r>
    </w:p>
    <w:p w:rsidR="00361F92" w:rsidRDefault="00361F92" w:rsidP="00361F92">
      <w:pPr>
        <w:spacing w:line="60" w:lineRule="exact"/>
      </w:pPr>
    </w:p>
    <w:p w:rsidR="002E3309" w:rsidRPr="00F84B50" w:rsidRDefault="00F84B50" w:rsidP="00F84B5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ascii="Times New Roman"/>
        </w:rPr>
        <w:tab/>
      </w:r>
      <w:r w:rsidR="002E3309" w:rsidRPr="00F84B50">
        <w:rPr>
          <w:rFonts w:hint="eastAsia"/>
        </w:rPr>
        <w:t>消除对妇女歧视委员会</w:t>
      </w:r>
    </w:p>
    <w:p w:rsidR="002E3309" w:rsidRPr="00F84B50" w:rsidRDefault="002E3309" w:rsidP="00F84B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sidRPr="00F84B50">
        <w:rPr>
          <w:rFonts w:hint="eastAsia"/>
        </w:rPr>
        <w:t>会前工作组</w:t>
      </w:r>
    </w:p>
    <w:p w:rsidR="002E3309" w:rsidRPr="00F84B50" w:rsidRDefault="002E3309" w:rsidP="00F84B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sidRPr="00F84B50">
        <w:rPr>
          <w:rFonts w:hint="eastAsia"/>
        </w:rPr>
        <w:t>第五十八届会议</w:t>
      </w:r>
    </w:p>
    <w:p w:rsidR="002E3309" w:rsidRDefault="002E3309" w:rsidP="00F84B50">
      <w:pPr>
        <w:pStyle w:val="SingleTxt"/>
        <w:spacing w:after="100" w:afterAutospacing="1"/>
        <w:ind w:left="0"/>
        <w:rPr>
          <w:rFonts w:hint="eastAsia"/>
        </w:rPr>
      </w:pPr>
      <w:r>
        <w:rPr>
          <w:rFonts w:hint="eastAsia"/>
        </w:rPr>
        <w:t>2013年10月21日至25日</w:t>
      </w:r>
    </w:p>
    <w:p w:rsidR="00F84B50" w:rsidRPr="00F84B50" w:rsidRDefault="00F84B50" w:rsidP="00F84B5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E3309" w:rsidRDefault="002E3309" w:rsidP="00F84B5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审议缔约国根据《消除对妇女一切形式歧视公约》第18条提交的报告</w:t>
      </w:r>
    </w:p>
    <w:p w:rsidR="00F84B50" w:rsidRPr="00F84B50" w:rsidRDefault="00F84B50" w:rsidP="00F84B5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84B50" w:rsidRPr="00F84B50" w:rsidRDefault="00F84B50" w:rsidP="00F84B5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E3309" w:rsidRDefault="002E3309" w:rsidP="00F84B5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会前工作组的报告</w:t>
      </w:r>
    </w:p>
    <w:p w:rsidR="00F84B50" w:rsidRPr="00F84B50" w:rsidRDefault="00F84B50" w:rsidP="00F84B50">
      <w:pPr>
        <w:pStyle w:val="SingleTxt"/>
        <w:spacing w:after="0" w:line="120" w:lineRule="exact"/>
        <w:rPr>
          <w:rFonts w:hint="eastAsia"/>
          <w:sz w:val="10"/>
        </w:rPr>
      </w:pPr>
    </w:p>
    <w:p w:rsidR="00F84B50" w:rsidRPr="00F84B50" w:rsidRDefault="00F84B50" w:rsidP="00F84B50">
      <w:pPr>
        <w:pStyle w:val="SingleTxt"/>
        <w:spacing w:after="0" w:line="120" w:lineRule="exact"/>
        <w:rPr>
          <w:rFonts w:hint="eastAsia"/>
          <w:sz w:val="10"/>
        </w:rPr>
      </w:pPr>
    </w:p>
    <w:p w:rsidR="002E3309" w:rsidRDefault="002E3309" w:rsidP="002E3309">
      <w:pPr>
        <w:pStyle w:val="SingleTxt"/>
        <w:rPr>
          <w:rFonts w:hint="eastAsia"/>
        </w:rPr>
      </w:pPr>
      <w:r>
        <w:rPr>
          <w:rFonts w:hint="eastAsia"/>
        </w:rPr>
        <w:t>1.</w:t>
      </w:r>
      <w:r>
        <w:rPr>
          <w:rFonts w:hint="eastAsia"/>
        </w:rPr>
        <w:tab/>
        <w:t>消除对妇女歧视委员会的惯例是，召集一个为期五天的会前工作组会议，拟订与委员会未来一届会议将审议的初次报告和定期报告有关的议题和问题清单。</w:t>
      </w:r>
    </w:p>
    <w:p w:rsidR="002E3309" w:rsidRDefault="002E3309" w:rsidP="002E3309">
      <w:pPr>
        <w:pStyle w:val="SingleTxt"/>
        <w:rPr>
          <w:rFonts w:hint="eastAsia"/>
        </w:rPr>
      </w:pPr>
      <w:r>
        <w:rPr>
          <w:rFonts w:hint="eastAsia"/>
        </w:rPr>
        <w:t>2.</w:t>
      </w:r>
      <w:r>
        <w:rPr>
          <w:rFonts w:hint="eastAsia"/>
        </w:rPr>
        <w:tab/>
        <w:t>委员会决定，委</w:t>
      </w:r>
      <w:bookmarkStart w:id="1" w:name="TmpSave"/>
      <w:bookmarkEnd w:id="1"/>
      <w:r>
        <w:rPr>
          <w:rFonts w:hint="eastAsia"/>
        </w:rPr>
        <w:t>员会第五十八届会议会前工作组将于2013年10月21日至25日在委员会第五十六届会议结束之后立即召开会议，以便缔约国有足够的时间对议题和问题清单提出书面答复，并确保这些答复能得到及时的翻译。</w:t>
      </w:r>
    </w:p>
    <w:p w:rsidR="002E3309" w:rsidRDefault="002E3309" w:rsidP="002E3309">
      <w:pPr>
        <w:pStyle w:val="SingleTxt"/>
        <w:rPr>
          <w:rFonts w:hint="eastAsia"/>
        </w:rPr>
      </w:pPr>
      <w:r>
        <w:rPr>
          <w:rFonts w:hint="eastAsia"/>
        </w:rPr>
        <w:t>3.</w:t>
      </w:r>
      <w:r>
        <w:rPr>
          <w:rFonts w:hint="eastAsia"/>
        </w:rPr>
        <w:tab/>
        <w:t>下列专家被指定为会前工作组成员：</w:t>
      </w:r>
    </w:p>
    <w:p w:rsidR="002E3309" w:rsidRDefault="00F84B50" w:rsidP="00403150">
      <w:pPr>
        <w:pStyle w:val="SingleTxt"/>
        <w:spacing w:after="0"/>
        <w:rPr>
          <w:rFonts w:hint="eastAsia"/>
        </w:rPr>
      </w:pPr>
      <w:r>
        <w:tab/>
      </w:r>
      <w:r w:rsidR="002E3309">
        <w:rPr>
          <w:rFonts w:hint="eastAsia"/>
        </w:rPr>
        <w:t>Noor Al-Jehani女士</w:t>
      </w:r>
    </w:p>
    <w:p w:rsidR="002E3309" w:rsidRDefault="00F84B50" w:rsidP="00403150">
      <w:pPr>
        <w:pStyle w:val="SingleTxt"/>
        <w:spacing w:after="0"/>
        <w:rPr>
          <w:rFonts w:hint="eastAsia"/>
        </w:rPr>
      </w:pPr>
      <w:r>
        <w:tab/>
      </w:r>
      <w:r w:rsidR="002E3309">
        <w:rPr>
          <w:rFonts w:hint="eastAsia"/>
        </w:rPr>
        <w:t>Nicole Ameline女士</w:t>
      </w:r>
    </w:p>
    <w:p w:rsidR="002E3309" w:rsidRDefault="00F84B50" w:rsidP="00403150">
      <w:pPr>
        <w:pStyle w:val="SingleTxt"/>
        <w:spacing w:after="0"/>
        <w:rPr>
          <w:rFonts w:hint="eastAsia"/>
        </w:rPr>
      </w:pPr>
      <w:r>
        <w:tab/>
      </w:r>
      <w:r w:rsidR="002E3309">
        <w:rPr>
          <w:rFonts w:hint="eastAsia"/>
        </w:rPr>
        <w:t>Barbara Bailey女士</w:t>
      </w:r>
    </w:p>
    <w:p w:rsidR="002E3309" w:rsidRDefault="00F84B50" w:rsidP="00403150">
      <w:pPr>
        <w:pStyle w:val="SingleTxt"/>
        <w:spacing w:after="0"/>
        <w:rPr>
          <w:rFonts w:hint="eastAsia"/>
        </w:rPr>
      </w:pPr>
      <w:r>
        <w:tab/>
      </w:r>
      <w:r w:rsidR="002E3309">
        <w:rPr>
          <w:rFonts w:hint="eastAsia"/>
        </w:rPr>
        <w:t>Náela Gabr女士</w:t>
      </w:r>
    </w:p>
    <w:p w:rsidR="002E3309" w:rsidRDefault="00F84B50" w:rsidP="002E3309">
      <w:pPr>
        <w:pStyle w:val="SingleTxt"/>
        <w:rPr>
          <w:rFonts w:hint="eastAsia"/>
        </w:rPr>
      </w:pPr>
      <w:r>
        <w:tab/>
      </w:r>
      <w:r w:rsidR="002E3309">
        <w:rPr>
          <w:rFonts w:hint="eastAsia"/>
        </w:rPr>
        <w:t>Violeta Neubauer女士</w:t>
      </w:r>
    </w:p>
    <w:p w:rsidR="002E3309" w:rsidRDefault="002E3309" w:rsidP="002E3309">
      <w:pPr>
        <w:pStyle w:val="SingleTxt"/>
        <w:rPr>
          <w:rFonts w:hint="eastAsia"/>
        </w:rPr>
      </w:pPr>
      <w:r>
        <w:rPr>
          <w:rFonts w:hint="eastAsia"/>
        </w:rPr>
        <w:t>4.</w:t>
      </w:r>
      <w:r>
        <w:rPr>
          <w:rFonts w:hint="eastAsia"/>
        </w:rPr>
        <w:tab/>
        <w:t>会前工作组选出Ameline女士为主席。</w:t>
      </w:r>
    </w:p>
    <w:p w:rsidR="002E3309" w:rsidRDefault="002E3309" w:rsidP="002E3309">
      <w:pPr>
        <w:pStyle w:val="SingleTxt"/>
        <w:rPr>
          <w:rFonts w:hint="eastAsia"/>
        </w:rPr>
      </w:pPr>
      <w:r>
        <w:rPr>
          <w:rFonts w:hint="eastAsia"/>
        </w:rPr>
        <w:t>5.</w:t>
      </w:r>
      <w:r>
        <w:rPr>
          <w:rFonts w:hint="eastAsia"/>
        </w:rPr>
        <w:tab/>
        <w:t>会前工作组编写了关于中非共和国、格鲁吉亚、印度、立陶宛、毛里塔尼亚、秘鲁、斯威士兰和阿拉伯叙利亚共和国的议题和问题清单。在此方面，会前工作组遵从委员会第49/IX号决定的规定，其中规定将议题和问题清单限于20个议题和问题。实际上由于特殊情况，一些议题和问题清单最多包括22个问题。</w:t>
      </w:r>
    </w:p>
    <w:p w:rsidR="002E3309" w:rsidRDefault="002E3309" w:rsidP="002E3309">
      <w:pPr>
        <w:pStyle w:val="SingleTxt"/>
        <w:rPr>
          <w:rFonts w:hint="eastAsia"/>
        </w:rPr>
      </w:pPr>
      <w:r>
        <w:rPr>
          <w:rFonts w:hint="eastAsia"/>
        </w:rPr>
        <w:t>6.</w:t>
      </w:r>
      <w:r>
        <w:rPr>
          <w:rFonts w:hint="eastAsia"/>
        </w:rPr>
        <w:tab/>
        <w:t>为协助拟订这些议题和问题清单，会前工作组收到了上述缔约国的报告以及其中大多数缔约国提交的核心文件；委员会通过的一般性建议；秘书处根据对缔约国当前报告的分析比较以及委员会就先前报告的讨论拟订的背景资料、议题和问题清单草稿；其他有关资料，包括委员会和其他条约机构的相关结论意见。在拟订定期报告的议题和问题清单时，会前工作组特别注意缔约国对委员会关于先前报告的结论意见所采取的后续行动。</w:t>
      </w:r>
    </w:p>
    <w:p w:rsidR="002E3309" w:rsidRDefault="002E3309" w:rsidP="00403150">
      <w:pPr>
        <w:pStyle w:val="SingleTxt"/>
        <w:spacing w:after="100"/>
      </w:pPr>
      <w:r>
        <w:rPr>
          <w:rFonts w:hint="eastAsia"/>
        </w:rPr>
        <w:t>7.</w:t>
      </w:r>
      <w:r>
        <w:rPr>
          <w:rFonts w:hint="eastAsia"/>
        </w:rPr>
        <w:tab/>
        <w:t>会前工作组还得益于联合国系统各实体和专门机构以及非政府组织提供的书面和口头资料。</w:t>
      </w:r>
    </w:p>
    <w:p w:rsidR="002E3309" w:rsidRDefault="002E3309" w:rsidP="00403150">
      <w:pPr>
        <w:pStyle w:val="SingleTxt"/>
        <w:spacing w:after="100"/>
        <w:rPr>
          <w:rFonts w:hint="eastAsia"/>
        </w:rPr>
      </w:pPr>
      <w:r>
        <w:rPr>
          <w:rFonts w:hint="eastAsia"/>
        </w:rPr>
        <w:t>8.</w:t>
      </w:r>
      <w:r>
        <w:rPr>
          <w:rFonts w:hint="eastAsia"/>
        </w:rPr>
        <w:tab/>
        <w:t>会前工作组通过的议题和问题清单已送交有关缔约国，这些清单载于下列文件：</w:t>
      </w:r>
    </w:p>
    <w:p w:rsidR="002E3309" w:rsidRDefault="002E3309" w:rsidP="00403150">
      <w:pPr>
        <w:pStyle w:val="SingleTxt"/>
        <w:spacing w:after="100"/>
        <w:rPr>
          <w:rFonts w:hint="eastAsia"/>
        </w:rPr>
      </w:pPr>
      <w:r>
        <w:rPr>
          <w:rFonts w:hint="eastAsia"/>
        </w:rPr>
        <w:tab/>
        <w:t>(a)</w:t>
      </w:r>
      <w:r>
        <w:rPr>
          <w:rFonts w:hint="eastAsia"/>
        </w:rPr>
        <w:tab/>
        <w:t>与中非共和国初次及第二至第五次合并定期报告有关的议题和问题清单(</w:t>
      </w:r>
      <w:hyperlink r:id="rId14" w:history="1">
        <w:r w:rsidRPr="00F84B50">
          <w:rPr>
            <w:rStyle w:val="Hyperlink"/>
            <w:rFonts w:hint="eastAsia"/>
          </w:rPr>
          <w:t>CEDAW/C/CAF/Q/1-5</w:t>
        </w:r>
      </w:hyperlink>
      <w:r>
        <w:rPr>
          <w:rFonts w:hint="eastAsia"/>
        </w:rPr>
        <w:t>)</w:t>
      </w:r>
      <w:r w:rsidR="00F84B50">
        <w:rPr>
          <w:rFonts w:hint="eastAsia"/>
        </w:rPr>
        <w:t>；</w:t>
      </w:r>
    </w:p>
    <w:p w:rsidR="002E3309" w:rsidRDefault="002E3309" w:rsidP="00403150">
      <w:pPr>
        <w:pStyle w:val="SingleTxt"/>
        <w:spacing w:after="100"/>
        <w:rPr>
          <w:rFonts w:hint="eastAsia"/>
        </w:rPr>
      </w:pPr>
      <w:r>
        <w:rPr>
          <w:rFonts w:hint="eastAsia"/>
        </w:rPr>
        <w:tab/>
        <w:t>(b)</w:t>
      </w:r>
      <w:r>
        <w:rPr>
          <w:rFonts w:hint="eastAsia"/>
        </w:rPr>
        <w:tab/>
        <w:t>与格鲁吉亚第四和第五次合并定期报告有关的议题和问题清单(</w:t>
      </w:r>
      <w:hyperlink r:id="rId15" w:history="1">
        <w:r w:rsidRPr="00F84B50">
          <w:rPr>
            <w:rStyle w:val="Hyperlink"/>
            <w:rFonts w:hint="eastAsia"/>
          </w:rPr>
          <w:t>CEDAW/C/GEO/Q/4-5</w:t>
        </w:r>
      </w:hyperlink>
      <w:r>
        <w:rPr>
          <w:rFonts w:hint="eastAsia"/>
        </w:rPr>
        <w:t>)；</w:t>
      </w:r>
    </w:p>
    <w:p w:rsidR="002E3309" w:rsidRDefault="002E3309" w:rsidP="00403150">
      <w:pPr>
        <w:pStyle w:val="SingleTxt"/>
        <w:spacing w:after="100"/>
        <w:rPr>
          <w:rFonts w:hint="eastAsia"/>
        </w:rPr>
      </w:pPr>
      <w:r>
        <w:rPr>
          <w:rFonts w:hint="eastAsia"/>
        </w:rPr>
        <w:tab/>
        <w:t>(c)</w:t>
      </w:r>
      <w:r>
        <w:rPr>
          <w:rFonts w:hint="eastAsia"/>
        </w:rPr>
        <w:tab/>
        <w:t>与印度第四和第五次合并定期报告有关的议题和问题清单(</w:t>
      </w:r>
      <w:hyperlink r:id="rId16" w:history="1">
        <w:r w:rsidRPr="00F84B50">
          <w:rPr>
            <w:rStyle w:val="Hyperlink"/>
            <w:rFonts w:hint="eastAsia"/>
          </w:rPr>
          <w:t>CEDAW/C/IND/Q/4-5</w:t>
        </w:r>
      </w:hyperlink>
      <w:r>
        <w:rPr>
          <w:rFonts w:hint="eastAsia"/>
        </w:rPr>
        <w:t>)；</w:t>
      </w:r>
    </w:p>
    <w:p w:rsidR="002E3309" w:rsidRDefault="002E3309" w:rsidP="00403150">
      <w:pPr>
        <w:pStyle w:val="SingleTxt"/>
        <w:spacing w:after="100"/>
        <w:rPr>
          <w:rFonts w:hint="eastAsia"/>
        </w:rPr>
      </w:pPr>
      <w:r>
        <w:rPr>
          <w:rFonts w:hint="eastAsia"/>
        </w:rPr>
        <w:tab/>
        <w:t>(d)</w:t>
      </w:r>
      <w:r>
        <w:rPr>
          <w:rFonts w:hint="eastAsia"/>
        </w:rPr>
        <w:tab/>
        <w:t>与立陶宛第五次定期报告有关的议题和问题清单(</w:t>
      </w:r>
      <w:hyperlink r:id="rId17" w:history="1">
        <w:r w:rsidRPr="00F84B50">
          <w:rPr>
            <w:rStyle w:val="Hyperlink"/>
            <w:rFonts w:hint="eastAsia"/>
          </w:rPr>
          <w:t>CEDAW/C/LTU/Q/5</w:t>
        </w:r>
      </w:hyperlink>
      <w:r>
        <w:rPr>
          <w:rFonts w:hint="eastAsia"/>
        </w:rPr>
        <w:t>)；</w:t>
      </w:r>
    </w:p>
    <w:p w:rsidR="002E3309" w:rsidRDefault="002E3309" w:rsidP="00403150">
      <w:pPr>
        <w:pStyle w:val="SingleTxt"/>
        <w:spacing w:after="100"/>
        <w:rPr>
          <w:rFonts w:hint="eastAsia"/>
        </w:rPr>
      </w:pPr>
      <w:r>
        <w:rPr>
          <w:rFonts w:hint="eastAsia"/>
        </w:rPr>
        <w:tab/>
        <w:t>(e)</w:t>
      </w:r>
      <w:r>
        <w:rPr>
          <w:rFonts w:hint="eastAsia"/>
        </w:rPr>
        <w:tab/>
        <w:t>与毛里塔尼亚第二和第三次合并定期报告有关的议题和问题清单(</w:t>
      </w:r>
      <w:hyperlink r:id="rId18" w:history="1">
        <w:r w:rsidRPr="00F84B50">
          <w:rPr>
            <w:rStyle w:val="Hyperlink"/>
            <w:rFonts w:hint="eastAsia"/>
          </w:rPr>
          <w:t>CEDAW/C/MRT/Q/2-3</w:t>
        </w:r>
      </w:hyperlink>
      <w:r>
        <w:rPr>
          <w:rFonts w:hint="eastAsia"/>
        </w:rPr>
        <w:t>)；</w:t>
      </w:r>
    </w:p>
    <w:p w:rsidR="002E3309" w:rsidRDefault="002E3309" w:rsidP="00403150">
      <w:pPr>
        <w:pStyle w:val="SingleTxt"/>
        <w:spacing w:after="100"/>
        <w:rPr>
          <w:rFonts w:hint="eastAsia"/>
        </w:rPr>
      </w:pPr>
      <w:r>
        <w:rPr>
          <w:rFonts w:hint="eastAsia"/>
        </w:rPr>
        <w:tab/>
        <w:t>(f)</w:t>
      </w:r>
      <w:r>
        <w:rPr>
          <w:rFonts w:hint="eastAsia"/>
        </w:rPr>
        <w:tab/>
        <w:t>与秘鲁第七和第八次合并定期报告有关的议题和问题清单(</w:t>
      </w:r>
      <w:hyperlink r:id="rId19" w:history="1">
        <w:r w:rsidRPr="00F84B50">
          <w:rPr>
            <w:rStyle w:val="Hyperlink"/>
            <w:rFonts w:hint="eastAsia"/>
          </w:rPr>
          <w:t>CEDAW/C/PER/Q/7-8</w:t>
        </w:r>
      </w:hyperlink>
      <w:r>
        <w:rPr>
          <w:rFonts w:hint="eastAsia"/>
        </w:rPr>
        <w:t>)</w:t>
      </w:r>
      <w:r w:rsidR="00F84B50">
        <w:rPr>
          <w:rFonts w:hint="eastAsia"/>
        </w:rPr>
        <w:t>；</w:t>
      </w:r>
    </w:p>
    <w:p w:rsidR="002E3309" w:rsidRDefault="00F84B50" w:rsidP="00403150">
      <w:pPr>
        <w:pStyle w:val="SingleTxt"/>
        <w:spacing w:after="100"/>
      </w:pPr>
      <w:r>
        <w:tab/>
      </w:r>
      <w:r w:rsidR="002E3309">
        <w:rPr>
          <w:rFonts w:hint="eastAsia"/>
        </w:rPr>
        <w:t>(g)</w:t>
      </w:r>
      <w:r w:rsidR="002E3309">
        <w:rPr>
          <w:rFonts w:hint="eastAsia"/>
        </w:rPr>
        <w:tab/>
        <w:t>与斯威士兰初次和第二次合并定期报告有关的议题和问题清单(</w:t>
      </w:r>
      <w:hyperlink r:id="rId20" w:history="1">
        <w:r w:rsidR="002E3309" w:rsidRPr="00F84B50">
          <w:rPr>
            <w:rStyle w:val="Hyperlink"/>
            <w:rFonts w:hint="eastAsia"/>
          </w:rPr>
          <w:t>CEDAW/C/SWZ/Q/1-2</w:t>
        </w:r>
      </w:hyperlink>
      <w:r w:rsidR="002E3309">
        <w:rPr>
          <w:rFonts w:hint="eastAsia"/>
        </w:rPr>
        <w:t>)</w:t>
      </w:r>
      <w:r>
        <w:rPr>
          <w:rFonts w:hint="eastAsia"/>
        </w:rPr>
        <w:t>；</w:t>
      </w:r>
    </w:p>
    <w:p w:rsidR="002E3309" w:rsidRDefault="00F84B50" w:rsidP="002E3309">
      <w:pPr>
        <w:pStyle w:val="SingleTxt"/>
        <w:rPr>
          <w:rFonts w:hint="eastAsia"/>
        </w:rPr>
      </w:pPr>
      <w:r>
        <w:tab/>
      </w:r>
      <w:r w:rsidR="002E3309">
        <w:rPr>
          <w:rFonts w:hint="eastAsia"/>
        </w:rPr>
        <w:t>(h)</w:t>
      </w:r>
      <w:r w:rsidR="002E3309">
        <w:rPr>
          <w:rFonts w:hint="eastAsia"/>
        </w:rPr>
        <w:tab/>
        <w:t>与阿拉伯叙利亚共和国第二次定期报告有关的议题和问题清单(</w:t>
      </w:r>
      <w:hyperlink r:id="rId21" w:history="1">
        <w:r w:rsidR="002E3309" w:rsidRPr="00F84B50">
          <w:rPr>
            <w:rStyle w:val="Hyperlink"/>
            <w:rFonts w:hint="eastAsia"/>
          </w:rPr>
          <w:t>CEDAW/C/SYR/Q/2</w:t>
        </w:r>
      </w:hyperlink>
      <w:r w:rsidR="002E3309">
        <w:rPr>
          <w:rFonts w:hint="eastAsia"/>
        </w:rPr>
        <w:t>)。</w:t>
      </w:r>
    </w:p>
    <w:p w:rsidR="00EA31C3" w:rsidRDefault="002E3309" w:rsidP="002E3309">
      <w:pPr>
        <w:pStyle w:val="SingleTxt"/>
      </w:pPr>
      <w:r>
        <w:rPr>
          <w:rFonts w:hint="eastAsia"/>
        </w:rPr>
        <w:t>9.</w:t>
      </w:r>
      <w:r>
        <w:rPr>
          <w:rFonts w:hint="eastAsia"/>
        </w:rPr>
        <w:tab/>
        <w:t>根据委员会第22/IV号、第25/II号和第31/III号决定，议题和问题清单都以《消除对妇女一切形式歧视公约》所涉主题为重点。这些主题包括的宪法和立法框架；在适用情况下，妇女、和平与安全；提高妇女地位的国家机制；陈规定型观念和有害做法；暴力侵害妇女行为，包括家庭暴力；贩运妇女和利用妇女卖淫营利；妇女参与决策；教育和培训；就业；保健；社会和经济福利；老龄妇女、农村妇女、残疾妇女、少数族裔妇女、难民妇女和移徙妇女等弱势妇女群体的状况；法律面前人人平等；婚姻和家庭关系。</w:t>
      </w:r>
    </w:p>
    <w:p w:rsidR="002E3309" w:rsidRPr="002E3309" w:rsidRDefault="002E3309" w:rsidP="002E3309">
      <w:pPr>
        <w:pStyle w:val="SingleTxt"/>
        <w:spacing w:after="0" w:line="240" w:lineRule="auto"/>
        <w:rPr>
          <w:sz w:val="20"/>
        </w:rPr>
      </w:pPr>
      <w:r>
        <w:rPr>
          <w:noProof/>
          <w:sz w:val="20"/>
        </w:rPr>
        <w:pict>
          <v:line id="_x0000_s1027" style="position:absolute;left:0;text-align:left;z-index:2;mso-position-horizontal:center" from="0,30pt" to="1in,30pt" strokeweight=".25pt"/>
        </w:pict>
      </w:r>
    </w:p>
    <w:sectPr w:rsidR="002E3309" w:rsidRPr="002E3309" w:rsidSect="00361F92">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6T11:02:00Z" w:initials="Start">
    <w:p w:rsidR="00BD4A9F" w:rsidRDefault="00BD4A9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NO&gt;&gt;N1353332C&lt;&lt;ODS JOB NO&gt;&gt;</w:t>
      </w:r>
    </w:p>
    <w:p w:rsidR="00BD4A9F" w:rsidRDefault="00BD4A9F">
      <w:pPr>
        <w:pStyle w:val="CommentText"/>
      </w:pPr>
      <w:r>
        <w:t>&lt;&lt;ODS DOC SYMBOL1&gt;&gt;CEDAW/C/PSWG/58/1&lt;&lt;ODS DOC SYMBOL1&gt;&gt;</w:t>
      </w:r>
    </w:p>
    <w:p w:rsidR="00BD4A9F" w:rsidRDefault="00BD4A9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0C63" w:rsidRDefault="00CC0C63">
      <w:r>
        <w:separator/>
      </w:r>
    </w:p>
  </w:endnote>
  <w:endnote w:type="continuationSeparator" w:id="0">
    <w:p w:rsidR="00CC0C63" w:rsidRDefault="00CC0C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D4A9F" w:rsidTr="00361F92">
      <w:tblPrEx>
        <w:tblCellMar>
          <w:top w:w="0" w:type="dxa"/>
          <w:bottom w:w="0" w:type="dxa"/>
        </w:tblCellMar>
      </w:tblPrEx>
      <w:tc>
        <w:tcPr>
          <w:tcW w:w="5033" w:type="dxa"/>
          <w:shd w:val="clear" w:color="auto" w:fill="auto"/>
        </w:tcPr>
        <w:p w:rsidR="00BD4A9F" w:rsidRPr="00361F92" w:rsidRDefault="00BD4A9F" w:rsidP="00361F92">
          <w:pPr>
            <w:pStyle w:val="Footer"/>
            <w:jc w:val="right"/>
            <w:rPr>
              <w:b w:val="0"/>
              <w:w w:val="103"/>
              <w:sz w:val="14"/>
            </w:rPr>
          </w:pPr>
          <w:fldSimple w:instr=" DOCVARIABLE &quot;FooterJN&quot; \* MERGEFORMAT ">
            <w:r>
              <w:rPr>
                <w:b w:val="0"/>
                <w:w w:val="103"/>
                <w:sz w:val="14"/>
              </w:rPr>
              <w:t>13-53332 (C)</w:t>
            </w:r>
          </w:fldSimple>
        </w:p>
      </w:tc>
      <w:tc>
        <w:tcPr>
          <w:tcW w:w="5033" w:type="dxa"/>
          <w:shd w:val="clear" w:color="auto" w:fill="auto"/>
        </w:tcPr>
        <w:p w:rsidR="00BD4A9F" w:rsidRPr="00361F92" w:rsidRDefault="00BD4A9F" w:rsidP="00361F92">
          <w:pPr>
            <w:pStyle w:val="Footer"/>
            <w:jc w:val="left"/>
            <w:rPr>
              <w:w w:val="103"/>
            </w:rPr>
          </w:pPr>
          <w:r>
            <w:rPr>
              <w:w w:val="103"/>
            </w:rPr>
            <w:fldChar w:fldCharType="begin"/>
          </w:r>
          <w:r>
            <w:rPr>
              <w:w w:val="103"/>
            </w:rPr>
            <w:instrText xml:space="preserve"> PAGE  \* Arabic  \* MERGEFORMAT </w:instrText>
          </w:r>
          <w:r>
            <w:rPr>
              <w:w w:val="103"/>
            </w:rPr>
            <w:fldChar w:fldCharType="separate"/>
          </w:r>
          <w:r w:rsidR="00403150">
            <w:rPr>
              <w:w w:val="103"/>
            </w:rPr>
            <w:t>2</w:t>
          </w:r>
          <w:r>
            <w:rPr>
              <w:w w:val="103"/>
            </w:rPr>
            <w:fldChar w:fldCharType="end"/>
          </w:r>
          <w:r>
            <w:rPr>
              <w:w w:val="103"/>
            </w:rPr>
            <w:t>/</w:t>
          </w:r>
          <w:fldSimple w:instr=" NUMPAGES  \* Arabic  \* MERGEFORMAT ">
            <w:r w:rsidR="00403150">
              <w:rPr>
                <w:w w:val="103"/>
              </w:rPr>
              <w:t>2</w:t>
            </w:r>
          </w:fldSimple>
        </w:p>
      </w:tc>
    </w:tr>
  </w:tbl>
  <w:p w:rsidR="00BD4A9F" w:rsidRPr="00361F92" w:rsidRDefault="00BD4A9F" w:rsidP="00361F9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D4A9F" w:rsidTr="00361F92">
      <w:tblPrEx>
        <w:tblCellMar>
          <w:top w:w="0" w:type="dxa"/>
          <w:bottom w:w="0" w:type="dxa"/>
        </w:tblCellMar>
      </w:tblPrEx>
      <w:tc>
        <w:tcPr>
          <w:tcW w:w="5033" w:type="dxa"/>
          <w:shd w:val="clear" w:color="auto" w:fill="auto"/>
        </w:tcPr>
        <w:p w:rsidR="00BD4A9F" w:rsidRPr="00361F92" w:rsidRDefault="00BD4A9F" w:rsidP="00361F92">
          <w:pPr>
            <w:pStyle w:val="Footer"/>
            <w:jc w:val="right"/>
          </w:pPr>
          <w:fldSimple w:instr=" PAGE  \* Arabic  \* MERGEFORMAT ">
            <w:r w:rsidR="00403150">
              <w:t>3</w:t>
            </w:r>
          </w:fldSimple>
          <w:r>
            <w:t>/</w:t>
          </w:r>
          <w:fldSimple w:instr=" NUMPAGES  \* Arabic  \* MERGEFORMAT ">
            <w:r w:rsidR="00817D27">
              <w:t>3</w:t>
            </w:r>
          </w:fldSimple>
        </w:p>
      </w:tc>
      <w:tc>
        <w:tcPr>
          <w:tcW w:w="5033" w:type="dxa"/>
          <w:shd w:val="clear" w:color="auto" w:fill="auto"/>
        </w:tcPr>
        <w:p w:rsidR="00BD4A9F" w:rsidRPr="00361F92" w:rsidRDefault="00BD4A9F" w:rsidP="00361F92">
          <w:pPr>
            <w:pStyle w:val="Footer"/>
            <w:jc w:val="left"/>
            <w:rPr>
              <w:b w:val="0"/>
              <w:w w:val="103"/>
              <w:sz w:val="14"/>
            </w:rPr>
          </w:pPr>
          <w:fldSimple w:instr=" DOCVARIABLE &quot;FooterJN&quot; \* MERGEFORMAT ">
            <w:r>
              <w:rPr>
                <w:b w:val="0"/>
                <w:w w:val="103"/>
                <w:sz w:val="14"/>
              </w:rPr>
              <w:t>13-53332 (C)</w:t>
            </w:r>
          </w:fldSimple>
        </w:p>
      </w:tc>
    </w:tr>
  </w:tbl>
  <w:p w:rsidR="00BD4A9F" w:rsidRPr="00361F92" w:rsidRDefault="00BD4A9F" w:rsidP="00361F9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BD4A9F" w:rsidTr="00361F92">
      <w:tblPrEx>
        <w:tblCellMar>
          <w:top w:w="0" w:type="dxa"/>
          <w:bottom w:w="0" w:type="dxa"/>
        </w:tblCellMar>
      </w:tblPrEx>
      <w:tc>
        <w:tcPr>
          <w:tcW w:w="5033" w:type="dxa"/>
        </w:tcPr>
        <w:p w:rsidR="00BD4A9F" w:rsidRDefault="00BD4A9F" w:rsidP="00361F92">
          <w:pPr>
            <w:pStyle w:val="Footer"/>
            <w:rPr>
              <w:b w:val="0"/>
              <w:sz w:val="21"/>
            </w:rPr>
          </w:pPr>
          <w:fldSimple w:instr=" DOCVARIABLE &quot;jobn&quot; \* MERGEFORMAT ">
            <w:r>
              <w:rPr>
                <w:b w:val="0"/>
                <w:sz w:val="21"/>
              </w:rPr>
              <w:t>13-53332 (C)</w:t>
            </w:r>
          </w:fldSimple>
          <w:r>
            <w:rPr>
              <w:b w:val="0"/>
              <w:sz w:val="21"/>
            </w:rPr>
            <w:t xml:space="preserve">    051113    121113</w:t>
          </w:r>
        </w:p>
        <w:p w:rsidR="00BD4A9F" w:rsidRPr="00361F92" w:rsidRDefault="00BD4A9F" w:rsidP="00361F92">
          <w:pPr>
            <w:spacing w:before="80" w:line="210" w:lineRule="exact"/>
            <w:rPr>
              <w:rFonts w:ascii="Barcode 3 of 9 by request" w:hAnsi="Barcode 3 of 9 by request"/>
              <w:sz w:val="24"/>
            </w:rPr>
          </w:pPr>
          <w:r>
            <w:rPr>
              <w:rFonts w:ascii="Barcode 3 of 9 by request" w:hAnsi="Barcode 3 of 9 by request" w:hint="eastAsia"/>
              <w:sz w:val="24"/>
            </w:rPr>
            <w:t>*1353332*</w:t>
          </w:r>
        </w:p>
      </w:tc>
      <w:tc>
        <w:tcPr>
          <w:tcW w:w="3686" w:type="dxa"/>
        </w:tcPr>
        <w:p w:rsidR="00BD4A9F" w:rsidRDefault="00BD4A9F" w:rsidP="00361F92">
          <w:pPr>
            <w:pStyle w:val="Footer"/>
            <w:jc w:val="right"/>
            <w:rPr>
              <w:b w:val="0"/>
              <w:sz w:val="21"/>
            </w:rPr>
          </w:pPr>
          <w:r w:rsidRPr="00361F92">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BD4A9F" w:rsidRPr="00361F92" w:rsidRDefault="00BD4A9F" w:rsidP="00361F92">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0C63" w:rsidRDefault="00CC0C63">
      <w:r>
        <w:separator/>
      </w:r>
    </w:p>
  </w:footnote>
  <w:footnote w:type="continuationSeparator" w:id="0">
    <w:p w:rsidR="00CC0C63" w:rsidRDefault="00CC0C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D4A9F" w:rsidTr="00361F92">
      <w:tblPrEx>
        <w:tblCellMar>
          <w:top w:w="0" w:type="dxa"/>
          <w:bottom w:w="0" w:type="dxa"/>
        </w:tblCellMar>
      </w:tblPrEx>
      <w:trPr>
        <w:trHeight w:hRule="exact" w:val="864"/>
      </w:trPr>
      <w:tc>
        <w:tcPr>
          <w:tcW w:w="4838" w:type="dxa"/>
          <w:shd w:val="clear" w:color="auto" w:fill="auto"/>
          <w:vAlign w:val="bottom"/>
        </w:tcPr>
        <w:p w:rsidR="00BD4A9F" w:rsidRPr="00361F92" w:rsidRDefault="00BD4A9F" w:rsidP="00361F92">
          <w:pPr>
            <w:pStyle w:val="Header"/>
            <w:spacing w:after="80"/>
            <w:jc w:val="left"/>
            <w:rPr>
              <w:b/>
              <w:sz w:val="17"/>
            </w:rPr>
          </w:pPr>
          <w:fldSimple w:instr=" DOCVARIABLE &quot;sss1&quot; \* MERGEFORMAT ">
            <w:r>
              <w:rPr>
                <w:b/>
                <w:sz w:val="17"/>
              </w:rPr>
              <w:t>CEDAW/C/PSWG/58/1</w:t>
            </w:r>
          </w:fldSimple>
        </w:p>
      </w:tc>
      <w:tc>
        <w:tcPr>
          <w:tcW w:w="5033" w:type="dxa"/>
          <w:shd w:val="clear" w:color="auto" w:fill="auto"/>
          <w:vAlign w:val="bottom"/>
        </w:tcPr>
        <w:p w:rsidR="00BD4A9F" w:rsidRDefault="00BD4A9F" w:rsidP="00361F92">
          <w:pPr>
            <w:pStyle w:val="Header"/>
          </w:pPr>
        </w:p>
      </w:tc>
    </w:tr>
  </w:tbl>
  <w:p w:rsidR="00BD4A9F" w:rsidRPr="00361F92" w:rsidRDefault="00BD4A9F" w:rsidP="00361F9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D4A9F" w:rsidTr="00361F92">
      <w:tblPrEx>
        <w:tblCellMar>
          <w:top w:w="0" w:type="dxa"/>
          <w:bottom w:w="0" w:type="dxa"/>
        </w:tblCellMar>
      </w:tblPrEx>
      <w:trPr>
        <w:trHeight w:hRule="exact" w:val="864"/>
      </w:trPr>
      <w:tc>
        <w:tcPr>
          <w:tcW w:w="4838" w:type="dxa"/>
          <w:shd w:val="clear" w:color="auto" w:fill="auto"/>
          <w:vAlign w:val="bottom"/>
        </w:tcPr>
        <w:p w:rsidR="00BD4A9F" w:rsidRDefault="00BD4A9F" w:rsidP="00361F92">
          <w:pPr>
            <w:pStyle w:val="Header"/>
          </w:pPr>
        </w:p>
      </w:tc>
      <w:tc>
        <w:tcPr>
          <w:tcW w:w="5033" w:type="dxa"/>
          <w:shd w:val="clear" w:color="auto" w:fill="auto"/>
          <w:vAlign w:val="bottom"/>
        </w:tcPr>
        <w:p w:rsidR="00BD4A9F" w:rsidRPr="00361F92" w:rsidRDefault="00BD4A9F" w:rsidP="00361F92">
          <w:pPr>
            <w:pStyle w:val="Header"/>
            <w:spacing w:after="80"/>
            <w:jc w:val="right"/>
            <w:rPr>
              <w:b/>
              <w:sz w:val="17"/>
            </w:rPr>
          </w:pPr>
          <w:fldSimple w:instr=" DOCVARIABLE &quot;sss1&quot; \* MERGEFORMAT ">
            <w:r>
              <w:rPr>
                <w:b/>
                <w:sz w:val="17"/>
              </w:rPr>
              <w:t>CEDAW/C/PSWG/58/1</w:t>
            </w:r>
          </w:fldSimple>
        </w:p>
      </w:tc>
    </w:tr>
  </w:tbl>
  <w:p w:rsidR="00BD4A9F" w:rsidRPr="00361F92" w:rsidRDefault="00BD4A9F" w:rsidP="00361F9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BD4A9F" w:rsidTr="00361F9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D4A9F" w:rsidRDefault="00BD4A9F" w:rsidP="00361F92">
          <w:pPr>
            <w:pStyle w:val="Header"/>
            <w:spacing w:after="120"/>
          </w:pPr>
        </w:p>
      </w:tc>
      <w:tc>
        <w:tcPr>
          <w:tcW w:w="1872" w:type="dxa"/>
          <w:tcBorders>
            <w:bottom w:val="single" w:sz="4" w:space="0" w:color="auto"/>
          </w:tcBorders>
          <w:shd w:val="clear" w:color="auto" w:fill="auto"/>
          <w:vAlign w:val="bottom"/>
        </w:tcPr>
        <w:p w:rsidR="00BD4A9F" w:rsidRPr="00361F92" w:rsidRDefault="00BD4A9F" w:rsidP="00361F9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D4A9F" w:rsidRDefault="00BD4A9F" w:rsidP="00361F92">
          <w:pPr>
            <w:pStyle w:val="Header"/>
            <w:spacing w:after="120"/>
          </w:pPr>
        </w:p>
      </w:tc>
      <w:tc>
        <w:tcPr>
          <w:tcW w:w="6523" w:type="dxa"/>
          <w:gridSpan w:val="3"/>
          <w:tcBorders>
            <w:bottom w:val="single" w:sz="4" w:space="0" w:color="auto"/>
          </w:tcBorders>
          <w:shd w:val="clear" w:color="auto" w:fill="auto"/>
          <w:vAlign w:val="bottom"/>
        </w:tcPr>
        <w:p w:rsidR="00BD4A9F" w:rsidRPr="00361F92" w:rsidRDefault="00BD4A9F" w:rsidP="00361F92">
          <w:pPr>
            <w:spacing w:after="80" w:line="240" w:lineRule="auto"/>
            <w:jc w:val="right"/>
            <w:rPr>
              <w:rFonts w:ascii="Times New Roman"/>
              <w:position w:val="-4"/>
            </w:rPr>
          </w:pPr>
          <w:r>
            <w:rPr>
              <w:rFonts w:ascii="Times New Roman"/>
              <w:position w:val="-4"/>
              <w:sz w:val="40"/>
            </w:rPr>
            <w:t>CEDAW</w:t>
          </w:r>
          <w:r>
            <w:rPr>
              <w:rFonts w:ascii="Times New Roman"/>
              <w:position w:val="-4"/>
            </w:rPr>
            <w:t>/C/PSWG/58/1</w:t>
          </w:r>
        </w:p>
      </w:tc>
    </w:tr>
    <w:tr w:rsidR="00BD4A9F" w:rsidRPr="00361F92" w:rsidTr="00361F9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D4A9F" w:rsidRDefault="00BD4A9F" w:rsidP="00361F9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D4A9F" w:rsidRPr="00361F92" w:rsidRDefault="00BD4A9F" w:rsidP="00361F92">
          <w:pPr>
            <w:pStyle w:val="Header"/>
            <w:spacing w:before="109"/>
            <w:ind w:left="-72"/>
          </w:pPr>
        </w:p>
      </w:tc>
      <w:tc>
        <w:tcPr>
          <w:tcW w:w="5227" w:type="dxa"/>
          <w:gridSpan w:val="3"/>
          <w:tcBorders>
            <w:top w:val="single" w:sz="4" w:space="0" w:color="auto"/>
            <w:bottom w:val="single" w:sz="12" w:space="0" w:color="auto"/>
          </w:tcBorders>
          <w:shd w:val="clear" w:color="auto" w:fill="auto"/>
        </w:tcPr>
        <w:p w:rsidR="00BD4A9F" w:rsidRPr="00361F92" w:rsidRDefault="00BD4A9F" w:rsidP="00361F9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D4A9F" w:rsidRPr="00361F92" w:rsidRDefault="00BD4A9F" w:rsidP="00361F92">
          <w:pPr>
            <w:pStyle w:val="Header"/>
            <w:spacing w:before="109"/>
          </w:pPr>
        </w:p>
      </w:tc>
      <w:tc>
        <w:tcPr>
          <w:tcW w:w="3180" w:type="dxa"/>
          <w:gridSpan w:val="2"/>
          <w:tcBorders>
            <w:top w:val="single" w:sz="4" w:space="0" w:color="auto"/>
            <w:bottom w:val="single" w:sz="12" w:space="0" w:color="auto"/>
          </w:tcBorders>
          <w:shd w:val="clear" w:color="auto" w:fill="auto"/>
        </w:tcPr>
        <w:p w:rsidR="00BD4A9F" w:rsidRDefault="00BD4A9F" w:rsidP="00361F92">
          <w:pPr>
            <w:spacing w:before="240" w:line="240" w:lineRule="exact"/>
            <w:rPr>
              <w:rFonts w:ascii="Times New Roman"/>
            </w:rPr>
          </w:pPr>
          <w:r>
            <w:rPr>
              <w:rFonts w:ascii="Times New Roman"/>
            </w:rPr>
            <w:t>Distr.: General</w:t>
          </w:r>
        </w:p>
        <w:p w:rsidR="00BD4A9F" w:rsidRDefault="00BD4A9F" w:rsidP="00361F92">
          <w:pPr>
            <w:spacing w:line="240" w:lineRule="exact"/>
            <w:rPr>
              <w:rFonts w:ascii="Times New Roman"/>
            </w:rPr>
          </w:pPr>
          <w:r>
            <w:rPr>
              <w:rFonts w:ascii="Times New Roman"/>
            </w:rPr>
            <w:t>28 October 2013</w:t>
          </w:r>
        </w:p>
        <w:p w:rsidR="00BD4A9F" w:rsidRDefault="00BD4A9F" w:rsidP="00361F92">
          <w:pPr>
            <w:spacing w:line="240" w:lineRule="exact"/>
            <w:rPr>
              <w:rFonts w:ascii="Times New Roman"/>
            </w:rPr>
          </w:pPr>
          <w:r>
            <w:rPr>
              <w:rFonts w:ascii="Times New Roman"/>
            </w:rPr>
            <w:t>Chinese</w:t>
          </w:r>
        </w:p>
        <w:p w:rsidR="00BD4A9F" w:rsidRPr="00361F92" w:rsidRDefault="00BD4A9F" w:rsidP="00361F92">
          <w:pPr>
            <w:spacing w:line="240" w:lineRule="exact"/>
            <w:rPr>
              <w:rFonts w:ascii="Times New Roman"/>
            </w:rPr>
          </w:pPr>
          <w:r>
            <w:rPr>
              <w:rFonts w:ascii="Times New Roman"/>
            </w:rPr>
            <w:t>Original: English</w:t>
          </w:r>
        </w:p>
      </w:tc>
    </w:tr>
  </w:tbl>
  <w:p w:rsidR="00BD4A9F" w:rsidRPr="00361F92" w:rsidRDefault="00BD4A9F" w:rsidP="00361F9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32*"/>
    <w:docVar w:name="CreationDt" w:val="06/11/2013 10:44:06"/>
    <w:docVar w:name="DocCategory" w:val="Doc"/>
    <w:docVar w:name="DocType" w:val="Final"/>
    <w:docVar w:name="FooterJN" w:val="13-53332 (C)"/>
    <w:docVar w:name="jobn" w:val="13-53332 (C)"/>
    <w:docVar w:name="jobnDT" w:val="13-53332 (C)   061113"/>
    <w:docVar w:name="jobnDTDT" w:val="13-53332 (C)   061113   061113"/>
    <w:docVar w:name="JobNo" w:val="1353332C"/>
    <w:docVar w:name="OandT" w:val="shen dh"/>
    <w:docVar w:name="sss1" w:val="CEDAW/C/PSWG/58/1"/>
    <w:docVar w:name="sss2" w:val="-"/>
    <w:docVar w:name="Symbol1" w:val="CEDAW/C/PSWG/58/1"/>
    <w:docVar w:name="Symbol2" w:val="-"/>
  </w:docVars>
  <w:rsids>
    <w:rsidRoot w:val="005E57E0"/>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437F"/>
    <w:rsid w:val="0012708E"/>
    <w:rsid w:val="00130EE5"/>
    <w:rsid w:val="001329F7"/>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3309"/>
    <w:rsid w:val="002E66D5"/>
    <w:rsid w:val="002F41E2"/>
    <w:rsid w:val="003063F6"/>
    <w:rsid w:val="00320C99"/>
    <w:rsid w:val="003274A9"/>
    <w:rsid w:val="00331221"/>
    <w:rsid w:val="00346223"/>
    <w:rsid w:val="00361F92"/>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03150"/>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1DCE"/>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E57E0"/>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17D27"/>
    <w:rsid w:val="008246FC"/>
    <w:rsid w:val="00824C19"/>
    <w:rsid w:val="00826250"/>
    <w:rsid w:val="0083056F"/>
    <w:rsid w:val="008378D1"/>
    <w:rsid w:val="00846462"/>
    <w:rsid w:val="00860742"/>
    <w:rsid w:val="0086691F"/>
    <w:rsid w:val="00872730"/>
    <w:rsid w:val="00883DB0"/>
    <w:rsid w:val="00884C8F"/>
    <w:rsid w:val="00896D38"/>
    <w:rsid w:val="008A0216"/>
    <w:rsid w:val="008A37A4"/>
    <w:rsid w:val="008C076B"/>
    <w:rsid w:val="008C3296"/>
    <w:rsid w:val="008C3413"/>
    <w:rsid w:val="008E2D03"/>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171E7"/>
    <w:rsid w:val="00B17DFC"/>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D4A9F"/>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0C63"/>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24F7"/>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4B50"/>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CEDAW/C/MRT/Q/2" TargetMode="External"/><Relationship Id="rId3" Type="http://schemas.openxmlformats.org/officeDocument/2006/relationships/webSettings" Target="webSettings.xml"/><Relationship Id="rId21" Type="http://schemas.openxmlformats.org/officeDocument/2006/relationships/hyperlink" Target="http://undocs.org/ch/CEDAW/C/SYR/Q/2"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DAW/C/LTU/Q/5" TargetMode="External"/><Relationship Id="rId2" Type="http://schemas.openxmlformats.org/officeDocument/2006/relationships/settings" Target="settings.xml"/><Relationship Id="rId16" Type="http://schemas.openxmlformats.org/officeDocument/2006/relationships/hyperlink" Target="http://undocs.org/ch/CEDAW/C/IND/Q/4" TargetMode="External"/><Relationship Id="rId20" Type="http://schemas.openxmlformats.org/officeDocument/2006/relationships/hyperlink" Target="http://undocs.org/ch/CEDAW/C/SWZ/Q/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CEDAW/C/GEO/Q/4"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ch/CEDAW/C/PER/Q/7"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CAF/Q/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1</Pages>
  <Words>285</Words>
  <Characters>1630</Characters>
  <Application>Microsoft Office Outlook</Application>
  <DocSecurity>4</DocSecurity>
  <Lines>13</Lines>
  <Paragraphs>3</Paragraphs>
  <ScaleCrop>false</ScaleCrop>
  <Company>United Nations</Company>
  <LinksUpToDate>false</LinksUpToDate>
  <CharactersWithSpaces>1912</CharactersWithSpaces>
  <SharedDoc>false</SharedDoc>
  <HLinks>
    <vt:vector size="48" baseType="variant">
      <vt:variant>
        <vt:i4>1245250</vt:i4>
      </vt:variant>
      <vt:variant>
        <vt:i4>21</vt:i4>
      </vt:variant>
      <vt:variant>
        <vt:i4>0</vt:i4>
      </vt:variant>
      <vt:variant>
        <vt:i4>5</vt:i4>
      </vt:variant>
      <vt:variant>
        <vt:lpwstr>http://undocs.org/ch/CEDAW/C/SYR/Q/2</vt:lpwstr>
      </vt:variant>
      <vt:variant>
        <vt:lpwstr/>
      </vt:variant>
      <vt:variant>
        <vt:i4>1572940</vt:i4>
      </vt:variant>
      <vt:variant>
        <vt:i4>18</vt:i4>
      </vt:variant>
      <vt:variant>
        <vt:i4>0</vt:i4>
      </vt:variant>
      <vt:variant>
        <vt:i4>5</vt:i4>
      </vt:variant>
      <vt:variant>
        <vt:lpwstr>http://undocs.org/ch/CEDAW/C/SWZ/Q/1</vt:lpwstr>
      </vt:variant>
      <vt:variant>
        <vt:lpwstr/>
      </vt:variant>
      <vt:variant>
        <vt:i4>1376350</vt:i4>
      </vt:variant>
      <vt:variant>
        <vt:i4>15</vt:i4>
      </vt:variant>
      <vt:variant>
        <vt:i4>0</vt:i4>
      </vt:variant>
      <vt:variant>
        <vt:i4>5</vt:i4>
      </vt:variant>
      <vt:variant>
        <vt:lpwstr>http://undocs.org/ch/CEDAW/C/PER/Q/7</vt:lpwstr>
      </vt:variant>
      <vt:variant>
        <vt:lpwstr/>
      </vt:variant>
      <vt:variant>
        <vt:i4>720969</vt:i4>
      </vt:variant>
      <vt:variant>
        <vt:i4>12</vt:i4>
      </vt:variant>
      <vt:variant>
        <vt:i4>0</vt:i4>
      </vt:variant>
      <vt:variant>
        <vt:i4>5</vt:i4>
      </vt:variant>
      <vt:variant>
        <vt:lpwstr>http://undocs.org/ch/CEDAW/C/MRT/Q/2</vt:lpwstr>
      </vt:variant>
      <vt:variant>
        <vt:lpwstr/>
      </vt:variant>
      <vt:variant>
        <vt:i4>786511</vt:i4>
      </vt:variant>
      <vt:variant>
        <vt:i4>9</vt:i4>
      </vt:variant>
      <vt:variant>
        <vt:i4>0</vt:i4>
      </vt:variant>
      <vt:variant>
        <vt:i4>5</vt:i4>
      </vt:variant>
      <vt:variant>
        <vt:lpwstr>http://undocs.org/ch/CEDAW/C/LTU/Q/5</vt:lpwstr>
      </vt:variant>
      <vt:variant>
        <vt:lpwstr/>
      </vt:variant>
      <vt:variant>
        <vt:i4>1638485</vt:i4>
      </vt:variant>
      <vt:variant>
        <vt:i4>6</vt:i4>
      </vt:variant>
      <vt:variant>
        <vt:i4>0</vt:i4>
      </vt:variant>
      <vt:variant>
        <vt:i4>5</vt:i4>
      </vt:variant>
      <vt:variant>
        <vt:lpwstr>http://undocs.org/ch/CEDAW/C/IND/Q/4</vt:lpwstr>
      </vt:variant>
      <vt:variant>
        <vt:lpwstr/>
      </vt:variant>
      <vt:variant>
        <vt:i4>1835102</vt:i4>
      </vt:variant>
      <vt:variant>
        <vt:i4>3</vt:i4>
      </vt:variant>
      <vt:variant>
        <vt:i4>0</vt:i4>
      </vt:variant>
      <vt:variant>
        <vt:i4>5</vt:i4>
      </vt:variant>
      <vt:variant>
        <vt:lpwstr>http://undocs.org/ch/CEDAW/C/GEO/Q/4</vt:lpwstr>
      </vt:variant>
      <vt:variant>
        <vt:lpwstr/>
      </vt:variant>
      <vt:variant>
        <vt:i4>1310810</vt:i4>
      </vt:variant>
      <vt:variant>
        <vt:i4>0</vt:i4>
      </vt:variant>
      <vt:variant>
        <vt:i4>0</vt:i4>
      </vt:variant>
      <vt:variant>
        <vt:i4>5</vt:i4>
      </vt:variant>
      <vt:variant>
        <vt:lpwstr>http://undocs.org/ch/CEDAW/C/CAF/Q/1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ctpu1</cp:lastModifiedBy>
  <cp:revision>10</cp:revision>
  <cp:lastPrinted>2013-11-06T10:02:00Z</cp:lastPrinted>
  <dcterms:created xsi:type="dcterms:W3CDTF">2013-11-06T09:42:00Z</dcterms:created>
  <dcterms:modified xsi:type="dcterms:W3CDTF">2013-11-12T11:20:00Z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1353332</vt:lpwstr>
  </property>
  <property fmtid="{D5CDD505-2E9C-101B-9397-08002B2CF9AE}" pid="3" name="Symbol1">
    <vt:lpwstr>CEDAW/C/PSWG/58/1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shen dh</vt:lpwstr>
  </property>
</Properties>
</file>