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3B15D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15DD" w:rsidP="003B15DD">
            <w:pPr>
              <w:jc w:val="right"/>
            </w:pPr>
            <w:r w:rsidRPr="003B15DD">
              <w:rPr>
                <w:sz w:val="40"/>
              </w:rPr>
              <w:t>CCPR</w:t>
            </w:r>
            <w:r>
              <w:t>/C/117/3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3B15DD" w:rsidP="00660CE8">
            <w:pPr>
              <w:spacing w:before="240"/>
            </w:pPr>
            <w:r>
              <w:t>Distr. general</w:t>
            </w:r>
          </w:p>
          <w:p w:rsidR="003B15DD" w:rsidRDefault="003B15DD" w:rsidP="003B15DD">
            <w:pPr>
              <w:spacing w:line="240" w:lineRule="exact"/>
            </w:pPr>
            <w:r>
              <w:t>10 de enero de 2017</w:t>
            </w:r>
          </w:p>
          <w:p w:rsidR="003B15DD" w:rsidRDefault="003B15DD" w:rsidP="003B15DD">
            <w:pPr>
              <w:spacing w:line="240" w:lineRule="exact"/>
            </w:pPr>
            <w:r>
              <w:t>Español</w:t>
            </w:r>
          </w:p>
          <w:p w:rsidR="003B15DD" w:rsidRDefault="003B15DD" w:rsidP="003B15DD">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76B42" w:rsidRPr="0019108A" w:rsidRDefault="008454F8" w:rsidP="008454F8">
      <w:pPr>
        <w:pStyle w:val="HChG"/>
      </w:pPr>
      <w:r>
        <w:tab/>
      </w:r>
      <w:r w:rsidR="00A76B42">
        <w:tab/>
      </w:r>
      <w:r w:rsidR="00A76B42" w:rsidRPr="0019108A">
        <w:t>Informe de seguimiento de las comunicaciones</w:t>
      </w:r>
      <w:r>
        <w:br/>
      </w:r>
      <w:r w:rsidR="00A76B42" w:rsidRPr="0019108A">
        <w:t>individuales</w:t>
      </w:r>
      <w:r w:rsidRPr="008454F8">
        <w:rPr>
          <w:rStyle w:val="Refdenotaalpie"/>
          <w:b w:val="0"/>
          <w:sz w:val="20"/>
          <w:vertAlign w:val="baseline"/>
        </w:rPr>
        <w:footnoteReference w:customMarkFollows="1" w:id="1"/>
        <w:t>*</w:t>
      </w:r>
    </w:p>
    <w:p w:rsidR="00A76B42" w:rsidRPr="0019108A" w:rsidRDefault="00A76B42" w:rsidP="008454F8">
      <w:pPr>
        <w:pStyle w:val="H1G"/>
      </w:pPr>
      <w:r w:rsidRPr="0019108A">
        <w:tab/>
        <w:t>A.</w:t>
      </w:r>
      <w:r w:rsidR="008454F8">
        <w:tab/>
      </w:r>
      <w:r w:rsidRPr="0019108A">
        <w:t>Introducción</w:t>
      </w:r>
    </w:p>
    <w:p w:rsidR="00A76B42" w:rsidRPr="0019108A" w:rsidRDefault="00A76B42" w:rsidP="00A76B42">
      <w:pPr>
        <w:pStyle w:val="SingleTxtG"/>
      </w:pPr>
      <w:r w:rsidRPr="0019108A">
        <w:t>1.</w:t>
      </w:r>
      <w:r w:rsidRPr="0019108A">
        <w:tab/>
        <w:t>En su 39º período de sesiones, el Comité de Derechos Humanos estableció un procedimiento, y designó a un Relator Especial, para vigilar la adopción de medidas relacionadas con sus dictámenes aprobados con arreglo al artículo 5, párrafo 4, del Protocolo Facultativo del Pacto Internacional de Derechos Civiles y Políticos. El Relator Especial para el seguimiento de los dictámenes elaboró el presente informe de conformidad con el artículo 101, párrafo 3, del reglamento del Comité. En el presente informe se recoge toda la información proporcionada por los Estados partes y los autores de las comunicaciones, o sus abogados o representantes, entre marzo de 2015 y febrero de 2016.</w:t>
      </w:r>
    </w:p>
    <w:p w:rsidR="00A76B42" w:rsidRPr="0019108A" w:rsidRDefault="00A76B42" w:rsidP="00A76B42">
      <w:pPr>
        <w:pStyle w:val="SingleTxtG"/>
      </w:pPr>
      <w:r w:rsidRPr="0019108A">
        <w:t>2.</w:t>
      </w:r>
      <w:r w:rsidRPr="0019108A">
        <w:tab/>
        <w:t>El Comité llegó a la conclusión de que se habían producido violaciones del Pacto en</w:t>
      </w:r>
      <w:r w:rsidR="00D646C0">
        <w:t> </w:t>
      </w:r>
      <w:r w:rsidRPr="0019108A">
        <w:t xml:space="preserve">975 de los 1.156 dictámenes que ha aprobado desde 1979. </w:t>
      </w:r>
    </w:p>
    <w:p w:rsidR="00A76B42" w:rsidRPr="0019108A" w:rsidRDefault="00A76B42" w:rsidP="00A76B42">
      <w:pPr>
        <w:pStyle w:val="SingleTxtG"/>
      </w:pPr>
      <w:r w:rsidRPr="0019108A">
        <w:t>3.</w:t>
      </w:r>
      <w:r w:rsidRPr="0019108A">
        <w:tab/>
        <w:t>En su 109º período de sesiones, el Comité decidió incorporar en sus informes de seguimiento de los dictámenes una evaluación de la respuesta o las medidas de los Estados partes basada en los criterios aplicados por el Comité para el procedimiento de seguimiento de sus observaciones finales, que son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31"/>
        <w:gridCol w:w="6839"/>
      </w:tblGrid>
      <w:tr w:rsidR="00A76B42" w:rsidRPr="008454F8" w:rsidTr="007014AC">
        <w:trPr>
          <w:cantSplit/>
          <w:trHeight w:val="240"/>
          <w:tblHeader/>
        </w:trPr>
        <w:tc>
          <w:tcPr>
            <w:tcW w:w="8505"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iCs/>
                <w:sz w:val="16"/>
              </w:rPr>
            </w:pPr>
            <w:r w:rsidRPr="008454F8">
              <w:rPr>
                <w:bCs/>
                <w:i/>
                <w:iCs/>
                <w:sz w:val="16"/>
              </w:rPr>
              <w:t>Criterios de evaluación</w:t>
            </w:r>
          </w:p>
        </w:tc>
      </w:tr>
      <w:tr w:rsidR="007014AC" w:rsidRPr="008454F8" w:rsidTr="007014AC">
        <w:trPr>
          <w:cantSplit/>
          <w:trHeight w:hRule="exact" w:val="113"/>
          <w:tblHeader/>
        </w:trPr>
        <w:tc>
          <w:tcPr>
            <w:tcW w:w="8505" w:type="dxa"/>
            <w:gridSpan w:val="2"/>
            <w:tcBorders>
              <w:top w:val="single" w:sz="12" w:space="0" w:color="auto"/>
              <w:bottom w:val="nil"/>
            </w:tcBorders>
            <w:shd w:val="clear" w:color="auto" w:fill="auto"/>
          </w:tcPr>
          <w:p w:rsidR="007014AC" w:rsidRPr="008454F8" w:rsidRDefault="007014AC" w:rsidP="008454F8">
            <w:pPr>
              <w:pStyle w:val="SingleTxtG"/>
              <w:spacing w:before="40"/>
              <w:ind w:left="0" w:right="0"/>
              <w:jc w:val="left"/>
              <w:rPr>
                <w:iCs/>
              </w:rPr>
            </w:pPr>
          </w:p>
        </w:tc>
      </w:tr>
      <w:tr w:rsidR="00A76B42" w:rsidRPr="008454F8" w:rsidTr="007014AC">
        <w:trPr>
          <w:cantSplit/>
          <w:trHeight w:val="240"/>
        </w:trPr>
        <w:tc>
          <w:tcPr>
            <w:tcW w:w="8505" w:type="dxa"/>
            <w:gridSpan w:val="2"/>
            <w:tcBorders>
              <w:top w:val="nil"/>
            </w:tcBorders>
            <w:shd w:val="clear" w:color="auto" w:fill="auto"/>
          </w:tcPr>
          <w:p w:rsidR="00A76B42" w:rsidRPr="00563EE5" w:rsidRDefault="00A76B42" w:rsidP="008454F8">
            <w:pPr>
              <w:pStyle w:val="SingleTxtG"/>
              <w:spacing w:before="40"/>
              <w:ind w:left="0" w:right="0"/>
              <w:jc w:val="left"/>
              <w:rPr>
                <w:i/>
                <w:iCs/>
              </w:rPr>
            </w:pPr>
            <w:r w:rsidRPr="00563EE5">
              <w:rPr>
                <w:i/>
                <w:iCs/>
              </w:rPr>
              <w:t>Respuesta/medidas satisfactorias</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spacing w:before="40"/>
              <w:ind w:left="0" w:right="0"/>
              <w:jc w:val="left"/>
              <w:rPr>
                <w:b/>
                <w:bCs/>
              </w:rPr>
            </w:pPr>
            <w:r w:rsidRPr="00563EE5">
              <w:rPr>
                <w:b/>
                <w:bCs/>
              </w:rPr>
              <w:t>A</w:t>
            </w:r>
          </w:p>
        </w:tc>
        <w:tc>
          <w:tcPr>
            <w:tcW w:w="7938" w:type="dxa"/>
            <w:shd w:val="clear" w:color="auto" w:fill="auto"/>
          </w:tcPr>
          <w:p w:rsidR="00A76B42" w:rsidRPr="008454F8" w:rsidRDefault="00A76B42" w:rsidP="008454F8">
            <w:pPr>
              <w:pStyle w:val="SingleTxtG"/>
              <w:spacing w:before="40"/>
              <w:ind w:left="0" w:right="0"/>
              <w:jc w:val="left"/>
            </w:pPr>
            <w:r w:rsidRPr="008454F8">
              <w:t>Respuesta/medidas generalmente satisfactorias</w:t>
            </w:r>
          </w:p>
        </w:tc>
      </w:tr>
      <w:tr w:rsidR="00A76B42" w:rsidRPr="008454F8" w:rsidTr="008454F8">
        <w:trPr>
          <w:cantSplit/>
          <w:trHeight w:val="240"/>
        </w:trPr>
        <w:tc>
          <w:tcPr>
            <w:tcW w:w="8505" w:type="dxa"/>
            <w:gridSpan w:val="2"/>
            <w:shd w:val="clear" w:color="auto" w:fill="auto"/>
          </w:tcPr>
          <w:p w:rsidR="00A76B42" w:rsidRPr="00563EE5" w:rsidRDefault="00A76B42" w:rsidP="008454F8">
            <w:pPr>
              <w:pStyle w:val="SingleTxtG"/>
              <w:spacing w:before="40"/>
              <w:ind w:left="0" w:right="0"/>
              <w:jc w:val="left"/>
              <w:rPr>
                <w:i/>
                <w:iCs/>
              </w:rPr>
            </w:pPr>
            <w:r w:rsidRPr="00563EE5">
              <w:rPr>
                <w:i/>
                <w:iCs/>
              </w:rPr>
              <w:t>Respuesta/medidas parcialmente satisfactorias</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spacing w:before="40"/>
              <w:ind w:left="0" w:right="0"/>
              <w:jc w:val="left"/>
              <w:rPr>
                <w:b/>
                <w:bCs/>
              </w:rPr>
            </w:pPr>
            <w:r w:rsidRPr="00563EE5">
              <w:rPr>
                <w:b/>
                <w:bCs/>
              </w:rPr>
              <w:t>B1</w:t>
            </w:r>
          </w:p>
        </w:tc>
        <w:tc>
          <w:tcPr>
            <w:tcW w:w="7938" w:type="dxa"/>
            <w:shd w:val="clear" w:color="auto" w:fill="auto"/>
          </w:tcPr>
          <w:p w:rsidR="00A76B42" w:rsidRPr="008454F8" w:rsidRDefault="00A76B42" w:rsidP="008454F8">
            <w:pPr>
              <w:pStyle w:val="SingleTxtG"/>
              <w:spacing w:before="40"/>
              <w:ind w:left="0" w:right="0"/>
              <w:jc w:val="left"/>
            </w:pPr>
            <w:r w:rsidRPr="008454F8">
              <w:t>Se han adoptado medidas sustantivas, pero se precisa información adicional</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spacing w:before="40"/>
              <w:ind w:left="0" w:right="0"/>
              <w:jc w:val="left"/>
              <w:rPr>
                <w:b/>
                <w:bCs/>
              </w:rPr>
            </w:pPr>
            <w:r w:rsidRPr="00563EE5">
              <w:rPr>
                <w:b/>
                <w:bCs/>
              </w:rPr>
              <w:t>B2</w:t>
            </w:r>
          </w:p>
        </w:tc>
        <w:tc>
          <w:tcPr>
            <w:tcW w:w="7938" w:type="dxa"/>
            <w:shd w:val="clear" w:color="auto" w:fill="auto"/>
          </w:tcPr>
          <w:p w:rsidR="00A76B42" w:rsidRPr="008454F8" w:rsidRDefault="00A76B42" w:rsidP="008454F8">
            <w:pPr>
              <w:pStyle w:val="SingleTxtG"/>
              <w:spacing w:before="40"/>
              <w:ind w:left="0" w:right="0"/>
              <w:jc w:val="left"/>
            </w:pPr>
            <w:r w:rsidRPr="008454F8">
              <w:t>Se han adoptado medidas iniciales, pero se precisa información adicional</w:t>
            </w:r>
          </w:p>
        </w:tc>
      </w:tr>
      <w:tr w:rsidR="00A76B42" w:rsidRPr="008454F8" w:rsidTr="008454F8">
        <w:trPr>
          <w:cantSplit/>
          <w:trHeight w:val="240"/>
        </w:trPr>
        <w:tc>
          <w:tcPr>
            <w:tcW w:w="8505" w:type="dxa"/>
            <w:gridSpan w:val="2"/>
            <w:shd w:val="clear" w:color="auto" w:fill="auto"/>
          </w:tcPr>
          <w:p w:rsidR="00A76B42" w:rsidRPr="00563EE5" w:rsidRDefault="00A76B42" w:rsidP="008454F8">
            <w:pPr>
              <w:pStyle w:val="SingleTxtG"/>
              <w:spacing w:before="40"/>
              <w:ind w:left="0" w:right="0"/>
              <w:jc w:val="left"/>
              <w:rPr>
                <w:i/>
                <w:iCs/>
              </w:rPr>
            </w:pPr>
            <w:r w:rsidRPr="00563EE5">
              <w:rPr>
                <w:i/>
                <w:iCs/>
              </w:rPr>
              <w:t>Respuesta/medidas no satisfactorias</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spacing w:before="40"/>
              <w:ind w:left="0" w:right="0"/>
              <w:jc w:val="left"/>
              <w:rPr>
                <w:b/>
                <w:bCs/>
              </w:rPr>
            </w:pPr>
            <w:r w:rsidRPr="00563EE5">
              <w:rPr>
                <w:b/>
                <w:bCs/>
              </w:rPr>
              <w:t>C1</w:t>
            </w:r>
          </w:p>
        </w:tc>
        <w:tc>
          <w:tcPr>
            <w:tcW w:w="7938" w:type="dxa"/>
            <w:shd w:val="clear" w:color="auto" w:fill="auto"/>
          </w:tcPr>
          <w:p w:rsidR="00A76B42" w:rsidRPr="008454F8" w:rsidRDefault="00A76B42" w:rsidP="008454F8">
            <w:pPr>
              <w:pStyle w:val="SingleTxtG"/>
              <w:spacing w:before="40"/>
              <w:ind w:left="0" w:right="0"/>
              <w:jc w:val="left"/>
            </w:pPr>
            <w:r w:rsidRPr="008454F8">
              <w:t>Se ha recibido una respuesta, pero las medidas adoptadas no permiten aplicar la recomendación</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spacing w:before="40"/>
              <w:ind w:left="0" w:right="0"/>
              <w:jc w:val="left"/>
              <w:rPr>
                <w:b/>
                <w:bCs/>
              </w:rPr>
            </w:pPr>
            <w:r w:rsidRPr="00563EE5">
              <w:rPr>
                <w:b/>
                <w:bCs/>
              </w:rPr>
              <w:t>C2</w:t>
            </w:r>
          </w:p>
        </w:tc>
        <w:tc>
          <w:tcPr>
            <w:tcW w:w="7938" w:type="dxa"/>
            <w:shd w:val="clear" w:color="auto" w:fill="auto"/>
          </w:tcPr>
          <w:p w:rsidR="00A76B42" w:rsidRPr="008454F8" w:rsidRDefault="00A76B42" w:rsidP="008454F8">
            <w:pPr>
              <w:pStyle w:val="SingleTxtG"/>
              <w:spacing w:before="40"/>
              <w:ind w:left="0" w:right="0"/>
              <w:jc w:val="left"/>
            </w:pPr>
            <w:r w:rsidRPr="008454F8">
              <w:t>Se ha recibido una respuesta, pero no es pertinente para la recomendación</w:t>
            </w:r>
          </w:p>
        </w:tc>
      </w:tr>
      <w:tr w:rsidR="00A76B42" w:rsidRPr="008454F8" w:rsidTr="008454F8">
        <w:trPr>
          <w:cantSplit/>
          <w:trHeight w:val="240"/>
        </w:trPr>
        <w:tc>
          <w:tcPr>
            <w:tcW w:w="8505" w:type="dxa"/>
            <w:gridSpan w:val="2"/>
            <w:shd w:val="clear" w:color="auto" w:fill="auto"/>
          </w:tcPr>
          <w:p w:rsidR="00A76B42" w:rsidRPr="00563EE5" w:rsidRDefault="00A76B42" w:rsidP="008454F8">
            <w:pPr>
              <w:pStyle w:val="SingleTxtG"/>
              <w:keepNext/>
              <w:spacing w:before="40"/>
              <w:ind w:left="0" w:right="0"/>
              <w:jc w:val="left"/>
              <w:rPr>
                <w:i/>
                <w:iCs/>
              </w:rPr>
            </w:pPr>
            <w:r w:rsidRPr="00563EE5">
              <w:rPr>
                <w:i/>
                <w:iCs/>
              </w:rPr>
              <w:lastRenderedPageBreak/>
              <w:t>Falta de cooperación con el Comité</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keepNext/>
              <w:spacing w:before="40"/>
              <w:ind w:left="0" w:right="0"/>
              <w:jc w:val="left"/>
              <w:rPr>
                <w:b/>
                <w:bCs/>
              </w:rPr>
            </w:pPr>
            <w:r w:rsidRPr="00563EE5">
              <w:rPr>
                <w:b/>
                <w:bCs/>
              </w:rPr>
              <w:t>D1</w:t>
            </w:r>
          </w:p>
        </w:tc>
        <w:tc>
          <w:tcPr>
            <w:tcW w:w="7938" w:type="dxa"/>
            <w:shd w:val="clear" w:color="auto" w:fill="auto"/>
          </w:tcPr>
          <w:p w:rsidR="00A76B42" w:rsidRPr="008454F8" w:rsidRDefault="00A76B42" w:rsidP="008454F8">
            <w:pPr>
              <w:pStyle w:val="SingleTxtG"/>
              <w:keepNext/>
              <w:spacing w:before="40"/>
              <w:ind w:left="0" w:right="0"/>
              <w:jc w:val="left"/>
            </w:pPr>
            <w:r w:rsidRPr="008454F8">
              <w:t>No se ha recibido una respuesta en el plazo establecido, o no se ha respondido a una cuestión específica que figura en el informe</w:t>
            </w:r>
          </w:p>
        </w:tc>
      </w:tr>
      <w:tr w:rsidR="00A76B42" w:rsidRPr="008454F8" w:rsidTr="008454F8">
        <w:trPr>
          <w:cantSplit/>
          <w:trHeight w:val="240"/>
        </w:trPr>
        <w:tc>
          <w:tcPr>
            <w:tcW w:w="567" w:type="dxa"/>
            <w:shd w:val="clear" w:color="auto" w:fill="auto"/>
          </w:tcPr>
          <w:p w:rsidR="00A76B42" w:rsidRPr="00563EE5" w:rsidRDefault="00A76B42" w:rsidP="008454F8">
            <w:pPr>
              <w:pStyle w:val="SingleTxtG"/>
              <w:spacing w:before="40"/>
              <w:ind w:left="0" w:right="0"/>
              <w:jc w:val="left"/>
              <w:rPr>
                <w:b/>
                <w:bCs/>
              </w:rPr>
            </w:pPr>
            <w:r w:rsidRPr="00563EE5">
              <w:rPr>
                <w:b/>
                <w:bCs/>
              </w:rPr>
              <w:t>D2</w:t>
            </w:r>
          </w:p>
        </w:tc>
        <w:tc>
          <w:tcPr>
            <w:tcW w:w="7938" w:type="dxa"/>
            <w:shd w:val="clear" w:color="auto" w:fill="auto"/>
          </w:tcPr>
          <w:p w:rsidR="00A76B42" w:rsidRPr="008454F8" w:rsidRDefault="00A76B42" w:rsidP="008454F8">
            <w:pPr>
              <w:pStyle w:val="SingleTxtG"/>
              <w:spacing w:before="40"/>
              <w:ind w:left="0" w:right="0"/>
              <w:jc w:val="left"/>
            </w:pPr>
            <w:r w:rsidRPr="008454F8">
              <w:t>No se ha recibido respuesta tras el recordatorio o los recordatorios</w:t>
            </w:r>
          </w:p>
        </w:tc>
      </w:tr>
      <w:tr w:rsidR="00A76B42" w:rsidRPr="008454F8" w:rsidTr="008454F8">
        <w:trPr>
          <w:cantSplit/>
          <w:trHeight w:val="240"/>
        </w:trPr>
        <w:tc>
          <w:tcPr>
            <w:tcW w:w="8505" w:type="dxa"/>
            <w:gridSpan w:val="2"/>
            <w:shd w:val="clear" w:color="auto" w:fill="auto"/>
          </w:tcPr>
          <w:p w:rsidR="00A76B42" w:rsidRPr="00563EE5" w:rsidRDefault="00A76B42" w:rsidP="008454F8">
            <w:pPr>
              <w:pStyle w:val="SingleTxtG"/>
              <w:spacing w:before="40"/>
              <w:ind w:left="0" w:right="0"/>
              <w:jc w:val="left"/>
              <w:rPr>
                <w:i/>
                <w:iCs/>
              </w:rPr>
            </w:pPr>
            <w:r w:rsidRPr="00563EE5">
              <w:rPr>
                <w:i/>
                <w:iCs/>
              </w:rPr>
              <w:t>Las medidas adoptadas son contrarias a las recomendaciones del Comité</w:t>
            </w:r>
          </w:p>
        </w:tc>
      </w:tr>
      <w:tr w:rsidR="00A76B42" w:rsidRPr="008454F8" w:rsidTr="008454F8">
        <w:trPr>
          <w:cantSplit/>
          <w:trHeight w:val="240"/>
        </w:trPr>
        <w:tc>
          <w:tcPr>
            <w:tcW w:w="567" w:type="dxa"/>
            <w:tcBorders>
              <w:bottom w:val="single" w:sz="12" w:space="0" w:color="auto"/>
            </w:tcBorders>
            <w:shd w:val="clear" w:color="auto" w:fill="auto"/>
          </w:tcPr>
          <w:p w:rsidR="00A76B42" w:rsidRPr="00563EE5" w:rsidRDefault="00A76B42" w:rsidP="008454F8">
            <w:pPr>
              <w:pStyle w:val="SingleTxtG"/>
              <w:spacing w:before="40"/>
              <w:ind w:left="0" w:right="0"/>
              <w:jc w:val="left"/>
              <w:rPr>
                <w:b/>
                <w:bCs/>
              </w:rPr>
            </w:pPr>
            <w:r w:rsidRPr="00563EE5">
              <w:rPr>
                <w:b/>
                <w:bCs/>
              </w:rPr>
              <w:t>E</w:t>
            </w:r>
          </w:p>
        </w:tc>
        <w:tc>
          <w:tcPr>
            <w:tcW w:w="7938" w:type="dxa"/>
            <w:tcBorders>
              <w:bottom w:val="single" w:sz="12" w:space="0" w:color="auto"/>
            </w:tcBorders>
            <w:shd w:val="clear" w:color="auto" w:fill="auto"/>
          </w:tcPr>
          <w:p w:rsidR="00A76B42" w:rsidRPr="008454F8" w:rsidRDefault="00A76B42" w:rsidP="008454F8">
            <w:pPr>
              <w:pStyle w:val="SingleTxtG"/>
              <w:spacing w:before="40"/>
              <w:ind w:left="0" w:right="0"/>
              <w:jc w:val="left"/>
            </w:pPr>
            <w:r w:rsidRPr="008454F8">
              <w:t>La respuesta da a entender que las medidas adoptadas son contrarias a las recomendaciones del Comité</w:t>
            </w:r>
          </w:p>
        </w:tc>
      </w:tr>
    </w:tbl>
    <w:p w:rsidR="00A76B42" w:rsidRPr="0019108A" w:rsidRDefault="00A76B42" w:rsidP="008454F8">
      <w:pPr>
        <w:pStyle w:val="H1G"/>
      </w:pPr>
      <w:r w:rsidRPr="0019108A">
        <w:tab/>
        <w:t>B.</w:t>
      </w:r>
      <w:r w:rsidR="008454F8">
        <w:tab/>
      </w:r>
      <w:r w:rsidRPr="0019108A">
        <w:t>Información de seguimiento recibida y tramitada entre marzo de</w:t>
      </w:r>
      <w:r w:rsidR="008454F8">
        <w:t> </w:t>
      </w:r>
      <w:r w:rsidRPr="0019108A">
        <w:t>2015</w:t>
      </w:r>
      <w:r w:rsidR="008454F8">
        <w:t> </w:t>
      </w:r>
      <w:r w:rsidRPr="0019108A">
        <w:t>y</w:t>
      </w:r>
      <w:r w:rsidR="008454F8">
        <w:t> </w:t>
      </w:r>
      <w:r w:rsidRPr="0019108A">
        <w:t>febrero de 2016</w:t>
      </w:r>
    </w:p>
    <w:p w:rsidR="00A76B42" w:rsidRPr="0019108A" w:rsidRDefault="00A76B42" w:rsidP="008454F8">
      <w:pPr>
        <w:pStyle w:val="H23G"/>
      </w:pPr>
      <w:r w:rsidRPr="0019108A">
        <w:tab/>
        <w:t>1.</w:t>
      </w:r>
      <w:r w:rsidRPr="0019108A">
        <w:tab/>
        <w:t>Australia</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84F6A">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CC594F">
              <w:rPr>
                <w:b/>
              </w:rPr>
              <w:t xml:space="preserve">Comunicación núm. 1875/2009, </w:t>
            </w:r>
            <w:r w:rsidRPr="00CC594F">
              <w:rPr>
                <w:b/>
                <w:i/>
              </w:rPr>
              <w:t>M. G. C. c. Australia</w:t>
            </w:r>
          </w:p>
        </w:tc>
      </w:tr>
      <w:tr w:rsidR="00CC594F" w:rsidRPr="008454F8" w:rsidTr="00265BB6">
        <w:trPr>
          <w:trHeight w:val="240"/>
        </w:trPr>
        <w:tc>
          <w:tcPr>
            <w:tcW w:w="2694" w:type="dxa"/>
            <w:shd w:val="clear" w:color="auto" w:fill="auto"/>
          </w:tcPr>
          <w:p w:rsidR="00CC594F" w:rsidRPr="008454F8" w:rsidRDefault="00CC594F" w:rsidP="002B53BF">
            <w:pPr>
              <w:pStyle w:val="SingleTxtG"/>
              <w:spacing w:before="40"/>
              <w:ind w:left="0" w:right="0"/>
              <w:jc w:val="left"/>
            </w:pPr>
            <w:r w:rsidRPr="008454F8">
              <w:t>Fe</w:t>
            </w:r>
            <w:r>
              <w:t>cha de aprobación del</w:t>
            </w:r>
            <w:r w:rsidR="002B53BF">
              <w:t xml:space="preserve"> </w:t>
            </w:r>
            <w:r>
              <w:t>dictamen:</w:t>
            </w:r>
          </w:p>
        </w:tc>
        <w:tc>
          <w:tcPr>
            <w:tcW w:w="4676" w:type="dxa"/>
            <w:shd w:val="clear" w:color="auto" w:fill="auto"/>
            <w:tcMar>
              <w:right w:w="28" w:type="dxa"/>
            </w:tcMar>
            <w:vAlign w:val="bottom"/>
          </w:tcPr>
          <w:p w:rsidR="00CC594F" w:rsidRPr="008454F8" w:rsidRDefault="00CC594F" w:rsidP="009D7E32">
            <w:pPr>
              <w:pStyle w:val="SingleTxtG"/>
              <w:spacing w:before="40"/>
              <w:ind w:left="0" w:right="0"/>
            </w:pPr>
            <w:r w:rsidRPr="008454F8">
              <w:t>26 de marzo de 2015</w:t>
            </w:r>
          </w:p>
        </w:tc>
      </w:tr>
      <w:tr w:rsidR="00CC594F" w:rsidRPr="008454F8" w:rsidTr="00265BB6">
        <w:trPr>
          <w:trHeight w:val="240"/>
        </w:trPr>
        <w:tc>
          <w:tcPr>
            <w:tcW w:w="2694" w:type="dxa"/>
            <w:shd w:val="clear" w:color="auto" w:fill="auto"/>
          </w:tcPr>
          <w:p w:rsidR="00CC594F" w:rsidRPr="008454F8" w:rsidRDefault="00CC594F"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CC594F" w:rsidRPr="008454F8" w:rsidRDefault="00CC594F" w:rsidP="009D7E32">
            <w:pPr>
              <w:pStyle w:val="SingleTxtG"/>
              <w:spacing w:before="40"/>
              <w:ind w:left="0" w:right="0"/>
            </w:pPr>
            <w:r w:rsidRPr="008454F8">
              <w:t>Artículo 9</w:t>
            </w:r>
          </w:p>
        </w:tc>
      </w:tr>
      <w:tr w:rsidR="00CC594F" w:rsidRPr="008454F8" w:rsidTr="00265BB6">
        <w:trPr>
          <w:trHeight w:val="240"/>
        </w:trPr>
        <w:tc>
          <w:tcPr>
            <w:tcW w:w="2694" w:type="dxa"/>
            <w:shd w:val="clear" w:color="auto" w:fill="auto"/>
          </w:tcPr>
          <w:p w:rsidR="00CC594F" w:rsidRPr="008454F8" w:rsidRDefault="00CC594F"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CC594F" w:rsidRPr="008454F8" w:rsidRDefault="00CC594F" w:rsidP="009D7E32">
            <w:pPr>
              <w:pStyle w:val="SingleTxtG"/>
              <w:spacing w:before="40"/>
              <w:ind w:left="0" w:right="0"/>
            </w:pPr>
            <w:r w:rsidRPr="008454F8">
              <w:t>Un recurso efectivo apropiado, que contemple la concesión de una indemnización</w:t>
            </w:r>
          </w:p>
        </w:tc>
      </w:tr>
      <w:tr w:rsidR="00CC594F" w:rsidRPr="008454F8" w:rsidTr="00563EE5">
        <w:trPr>
          <w:trHeight w:val="240"/>
        </w:trPr>
        <w:tc>
          <w:tcPr>
            <w:tcW w:w="2694" w:type="dxa"/>
            <w:tcBorders>
              <w:bottom w:val="nil"/>
            </w:tcBorders>
            <w:shd w:val="clear" w:color="auto" w:fill="auto"/>
          </w:tcPr>
          <w:p w:rsidR="00CC594F" w:rsidRPr="008454F8" w:rsidRDefault="00CC594F" w:rsidP="008454F8">
            <w:pPr>
              <w:pStyle w:val="SingleTxtG"/>
              <w:spacing w:before="40"/>
              <w:ind w:left="0" w:right="0"/>
              <w:jc w:val="left"/>
            </w:pPr>
            <w:r w:rsidRPr="008454F8">
              <w:t>Anterior aparición en un informe sobre el seguimiento:</w:t>
            </w:r>
          </w:p>
        </w:tc>
        <w:tc>
          <w:tcPr>
            <w:tcW w:w="4676" w:type="dxa"/>
            <w:tcBorders>
              <w:bottom w:val="nil"/>
            </w:tcBorders>
            <w:shd w:val="clear" w:color="auto" w:fill="auto"/>
            <w:tcMar>
              <w:right w:w="28" w:type="dxa"/>
            </w:tcMar>
            <w:vAlign w:val="bottom"/>
          </w:tcPr>
          <w:p w:rsidR="00CC594F" w:rsidRPr="008454F8" w:rsidRDefault="00CC594F" w:rsidP="009D7E32">
            <w:pPr>
              <w:pStyle w:val="SingleTxtG"/>
              <w:spacing w:before="40"/>
              <w:ind w:left="0" w:right="0"/>
            </w:pPr>
            <w:r w:rsidRPr="008454F8">
              <w:t>Primera aparición</w:t>
            </w:r>
          </w:p>
        </w:tc>
      </w:tr>
      <w:tr w:rsidR="009D7E32" w:rsidRPr="008454F8" w:rsidTr="00563EE5">
        <w:tc>
          <w:tcPr>
            <w:tcW w:w="2694" w:type="dxa"/>
            <w:tcBorders>
              <w:top w:val="nil"/>
            </w:tcBorders>
            <w:shd w:val="clear" w:color="auto" w:fill="auto"/>
          </w:tcPr>
          <w:p w:rsidR="009D7E32" w:rsidRPr="008454F8" w:rsidRDefault="009D7E32" w:rsidP="00563EE5">
            <w:pPr>
              <w:pStyle w:val="SingleTxtG"/>
              <w:spacing w:before="40"/>
              <w:ind w:left="0" w:right="0"/>
              <w:jc w:val="left"/>
            </w:pPr>
            <w:r w:rsidRPr="008454F8">
              <w:t>Comunicación presentada por</w:t>
            </w:r>
            <w:r w:rsidR="00563EE5">
              <w:t xml:space="preserve"> </w:t>
            </w:r>
            <w:r w:rsidRPr="008454F8">
              <w:t>el Estado parte el:</w:t>
            </w:r>
          </w:p>
        </w:tc>
        <w:tc>
          <w:tcPr>
            <w:tcW w:w="4676" w:type="dxa"/>
            <w:tcBorders>
              <w:top w:val="nil"/>
            </w:tcBorders>
            <w:shd w:val="clear" w:color="auto" w:fill="auto"/>
            <w:tcMar>
              <w:right w:w="28" w:type="dxa"/>
            </w:tcMar>
            <w:vAlign w:val="bottom"/>
          </w:tcPr>
          <w:p w:rsidR="009D7E32" w:rsidRPr="008454F8" w:rsidRDefault="009D7E32" w:rsidP="009D7E32">
            <w:pPr>
              <w:pStyle w:val="SingleTxtG"/>
              <w:spacing w:before="40"/>
              <w:ind w:left="0" w:right="0"/>
            </w:pPr>
            <w:r w:rsidRPr="008454F8">
              <w:t>2 de octubre de 2015</w:t>
            </w:r>
          </w:p>
          <w:p w:rsidR="009D7E32" w:rsidRDefault="009D7E32" w:rsidP="009D7E32">
            <w:pPr>
              <w:pStyle w:val="SingleTxtG"/>
              <w:spacing w:before="40"/>
              <w:ind w:left="0" w:right="0"/>
            </w:pPr>
            <w:r w:rsidRPr="008454F8">
              <w:t>El Estado parte no comparte la opinión del Comité de que la detención del autor fue arbitraria. Reitera que tiene derecho a tomar medidas, incluida la detención, para controlar la entrada de extranjeros en su territorio. La legislación australiana prevé la reclusión de extranjeros en situación ilegal al término de una condena penal, a fin de garantizar la posibilidad de expulsar a las personas que no puedan permanecer legalmente en Australia.</w:t>
            </w:r>
          </w:p>
          <w:p w:rsidR="009D7E32" w:rsidRDefault="009D7E32" w:rsidP="009D7E32">
            <w:pPr>
              <w:pStyle w:val="SingleTxtG"/>
              <w:spacing w:before="40"/>
              <w:ind w:left="0" w:right="0"/>
            </w:pPr>
            <w:r w:rsidRPr="008454F8">
              <w:t>El Estado parte estima que la detención del autor en ese contexto respondió a un propósito legítimo. La duración de su internamiento en un centro de detención de inmigrantes tuvo que ver con las acciones judiciales incoadas por el autor en relación con la cancelación de su visado de cónyuge y la denegación de su solicitud del visado de protección. En ambos procedimientos, el autor tuvo acceso a las más altas instancias de examen, a través de solicitudes al Tribunal Supremo de Australia y de intervención ministerial, entre otros medios. Mientras duraron las actuaciones, el Estado parte no procedió a expulsar al autor, lo que redundó en la prolongación de su período de detención.</w:t>
            </w:r>
          </w:p>
          <w:p w:rsidR="009D7E32" w:rsidRPr="008454F8" w:rsidRDefault="009D7E32" w:rsidP="00563EE5">
            <w:pPr>
              <w:pStyle w:val="SingleTxtG"/>
              <w:spacing w:before="40"/>
              <w:ind w:left="0" w:right="0"/>
            </w:pPr>
            <w:r w:rsidRPr="008454F8">
              <w:t xml:space="preserve">El Estado parte añade que el Comité basó parcialmente su dictamen relativo al artículo 9, párrafo 1, en la conclusión de que el Estado parte no había realizado una evaluación individual de la necesidad de mantener al autor recluido en el centro de detención de inmigrantes. El Estado parte </w:t>
            </w:r>
            <w:bookmarkStart w:id="0" w:name="_GoBack"/>
            <w:bookmarkEnd w:id="0"/>
            <w:r w:rsidRPr="008454F8">
              <w:lastRenderedPageBreak/>
              <w:t>afirma que, de hecho, las circunstancias del autor se examinaron en tres ocasiones con miras a una posible intervención ministerial desde la perspectiva del artículo</w:t>
            </w:r>
            <w:r w:rsidR="00563EE5">
              <w:t> </w:t>
            </w:r>
            <w:r w:rsidRPr="008454F8">
              <w:t>195A de la Ley de Migración y una vez desde la perspectiva del artículo 197AB. Así pues, contrariamente a lo indicado en el dictamen del Comité, la detención del autor se revisó en varias ocasiones y se examinó en cuanto al fondo. Esa detención se ajustó, pues, al artículo</w:t>
            </w:r>
            <w:r w:rsidR="00563EE5">
              <w:t> </w:t>
            </w:r>
            <w:r w:rsidRPr="008454F8">
              <w:t>9, párrafo 1, del Pacto, por lo que el Estado parte no acepta el dictamen del Comité, según el cual tiene la obligación de proporcionar al autor un recurso y revisar su legislación sobre migración.</w:t>
            </w:r>
          </w:p>
        </w:tc>
      </w:tr>
      <w:tr w:rsidR="00CC594F" w:rsidRPr="008454F8" w:rsidTr="00265BB6">
        <w:trPr>
          <w:trHeight w:val="240"/>
        </w:trPr>
        <w:tc>
          <w:tcPr>
            <w:tcW w:w="2694" w:type="dxa"/>
            <w:tcBorders>
              <w:bottom w:val="nil"/>
            </w:tcBorders>
            <w:shd w:val="clear" w:color="auto" w:fill="auto"/>
          </w:tcPr>
          <w:p w:rsidR="00CC594F" w:rsidRPr="008454F8" w:rsidRDefault="00CC594F" w:rsidP="008454F8">
            <w:pPr>
              <w:pStyle w:val="SingleTxtG"/>
              <w:spacing w:before="40"/>
              <w:ind w:left="0" w:right="0"/>
              <w:jc w:val="left"/>
            </w:pPr>
            <w:r w:rsidRPr="008454F8">
              <w:lastRenderedPageBreak/>
              <w:t>Evaluación del Comité:</w:t>
            </w:r>
          </w:p>
        </w:tc>
        <w:tc>
          <w:tcPr>
            <w:tcW w:w="4676" w:type="dxa"/>
            <w:tcBorders>
              <w:bottom w:val="nil"/>
            </w:tcBorders>
            <w:shd w:val="clear" w:color="auto" w:fill="auto"/>
            <w:tcMar>
              <w:right w:w="28" w:type="dxa"/>
            </w:tcMar>
            <w:vAlign w:val="bottom"/>
          </w:tcPr>
          <w:p w:rsidR="00CC594F" w:rsidRPr="008454F8" w:rsidRDefault="00CC594F" w:rsidP="008666E3">
            <w:pPr>
              <w:pStyle w:val="SingleTxtG"/>
              <w:spacing w:before="40"/>
              <w:ind w:left="0" w:right="0" w:firstLine="227"/>
            </w:pPr>
            <w:r w:rsidRPr="008454F8">
              <w:t>a)</w:t>
            </w:r>
            <w:r w:rsidRPr="008454F8">
              <w:tab/>
              <w:t>Un recurso efectivo, que contemple la concesión de una indemnización: E</w:t>
            </w:r>
          </w:p>
          <w:p w:rsidR="00CC594F" w:rsidRPr="008454F8" w:rsidRDefault="00CC594F" w:rsidP="008666E3">
            <w:pPr>
              <w:pStyle w:val="SingleTxtG"/>
              <w:spacing w:before="40"/>
              <w:ind w:left="0" w:right="0" w:firstLine="227"/>
            </w:pPr>
            <w:r w:rsidRPr="008454F8">
              <w:t>b)</w:t>
            </w:r>
            <w:r w:rsidRPr="008454F8">
              <w:tab/>
              <w:t>Publicación del dictamen: No se dispone de información</w:t>
            </w:r>
            <w:r w:rsidR="00265BB6">
              <w:t>.</w:t>
            </w:r>
          </w:p>
          <w:p w:rsidR="00CC594F" w:rsidRPr="008454F8" w:rsidRDefault="00CC594F" w:rsidP="008666E3">
            <w:pPr>
              <w:pStyle w:val="SingleTxtG"/>
              <w:spacing w:before="40"/>
              <w:ind w:left="0" w:right="0" w:firstLine="227"/>
            </w:pPr>
            <w:r w:rsidRPr="008454F8">
              <w:t>c)</w:t>
            </w:r>
            <w:r w:rsidRPr="008454F8">
              <w:tab/>
              <w:t>No repetición: C2</w:t>
            </w:r>
          </w:p>
        </w:tc>
      </w:tr>
      <w:tr w:rsidR="00CC594F" w:rsidRPr="008454F8" w:rsidTr="00265BB6">
        <w:trPr>
          <w:trHeight w:val="240"/>
        </w:trPr>
        <w:tc>
          <w:tcPr>
            <w:tcW w:w="2694" w:type="dxa"/>
            <w:tcBorders>
              <w:top w:val="nil"/>
              <w:bottom w:val="single" w:sz="12" w:space="0" w:color="auto"/>
            </w:tcBorders>
            <w:shd w:val="clear" w:color="auto" w:fill="auto"/>
          </w:tcPr>
          <w:p w:rsidR="00CC594F" w:rsidRPr="008454F8" w:rsidRDefault="00CC594F" w:rsidP="008454F8">
            <w:pPr>
              <w:pStyle w:val="SingleTxtG"/>
              <w:spacing w:before="40"/>
              <w:ind w:left="0" w:right="0"/>
              <w:jc w:val="left"/>
            </w:pPr>
            <w:r w:rsidRPr="008454F8">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CC594F" w:rsidRPr="008454F8" w:rsidRDefault="00CC594F" w:rsidP="009D7E32">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84F6A">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F84F6A">
              <w:rPr>
                <w:b/>
              </w:rPr>
              <w:t xml:space="preserve">Comunicación núm. 1937/2010, </w:t>
            </w:r>
            <w:r w:rsidRPr="00CC594F">
              <w:rPr>
                <w:b/>
                <w:i/>
              </w:rPr>
              <w:t>Leghaei y otros c. Australia</w:t>
            </w:r>
          </w:p>
        </w:tc>
      </w:tr>
      <w:tr w:rsidR="00F84F6A" w:rsidRPr="008454F8" w:rsidTr="00265BB6">
        <w:trPr>
          <w:trHeight w:val="240"/>
        </w:trPr>
        <w:tc>
          <w:tcPr>
            <w:tcW w:w="2694" w:type="dxa"/>
            <w:shd w:val="clear" w:color="auto" w:fill="auto"/>
          </w:tcPr>
          <w:p w:rsidR="00F84F6A" w:rsidRPr="008454F8" w:rsidRDefault="00F84F6A" w:rsidP="002B53BF">
            <w:pPr>
              <w:pStyle w:val="SingleTxtG"/>
              <w:spacing w:before="40"/>
              <w:ind w:left="0" w:right="0"/>
              <w:jc w:val="left"/>
              <w:rPr>
                <w:iCs/>
              </w:rPr>
            </w:pPr>
            <w:r w:rsidRPr="008454F8">
              <w:rPr>
                <w:iCs/>
              </w:rPr>
              <w:t>Fecha de aprobación del</w:t>
            </w:r>
            <w:r w:rsidR="002B53BF">
              <w:rPr>
                <w:iCs/>
              </w:rPr>
              <w:t xml:space="preserve"> </w:t>
            </w:r>
            <w:r w:rsidRPr="008454F8">
              <w:rPr>
                <w:iCs/>
              </w:rPr>
              <w:t>dictamen:</w:t>
            </w:r>
          </w:p>
        </w:tc>
        <w:tc>
          <w:tcPr>
            <w:tcW w:w="4676" w:type="dxa"/>
            <w:shd w:val="clear" w:color="auto" w:fill="auto"/>
            <w:tcMar>
              <w:right w:w="28" w:type="dxa"/>
            </w:tcMar>
            <w:vAlign w:val="bottom"/>
          </w:tcPr>
          <w:p w:rsidR="00F84F6A" w:rsidRPr="008454F8" w:rsidRDefault="00F84F6A" w:rsidP="009D7E32">
            <w:pPr>
              <w:pStyle w:val="SingleTxtG"/>
              <w:spacing w:before="40"/>
              <w:ind w:left="0" w:right="0"/>
              <w:rPr>
                <w:iCs/>
              </w:rPr>
            </w:pPr>
            <w:r w:rsidRPr="008454F8">
              <w:rPr>
                <w:iCs/>
              </w:rPr>
              <w:t>26 de marzo de 2015</w:t>
            </w:r>
          </w:p>
        </w:tc>
      </w:tr>
      <w:tr w:rsidR="00F84F6A" w:rsidRPr="008454F8" w:rsidTr="00265BB6">
        <w:trPr>
          <w:trHeight w:val="240"/>
        </w:trPr>
        <w:tc>
          <w:tcPr>
            <w:tcW w:w="2694" w:type="dxa"/>
            <w:shd w:val="clear" w:color="auto" w:fill="auto"/>
          </w:tcPr>
          <w:p w:rsidR="00F84F6A" w:rsidRPr="008454F8" w:rsidRDefault="00F84F6A" w:rsidP="008454F8">
            <w:pPr>
              <w:pStyle w:val="SingleTxtG"/>
              <w:spacing w:before="40"/>
              <w:ind w:left="0" w:right="0"/>
              <w:jc w:val="left"/>
              <w:rPr>
                <w:iCs/>
              </w:rPr>
            </w:pPr>
            <w:r w:rsidRPr="008454F8">
              <w:rPr>
                <w:iCs/>
              </w:rPr>
              <w:t>Violaciones:</w:t>
            </w:r>
          </w:p>
        </w:tc>
        <w:tc>
          <w:tcPr>
            <w:tcW w:w="4676" w:type="dxa"/>
            <w:shd w:val="clear" w:color="auto" w:fill="auto"/>
            <w:tcMar>
              <w:right w:w="28" w:type="dxa"/>
            </w:tcMar>
            <w:vAlign w:val="bottom"/>
          </w:tcPr>
          <w:p w:rsidR="00F84F6A" w:rsidRPr="008454F8" w:rsidRDefault="00F84F6A" w:rsidP="009D7E32">
            <w:pPr>
              <w:pStyle w:val="SingleTxtG"/>
              <w:spacing w:before="40"/>
              <w:ind w:left="0" w:right="0"/>
              <w:rPr>
                <w:iCs/>
              </w:rPr>
            </w:pPr>
            <w:r w:rsidRPr="008454F8">
              <w:rPr>
                <w:iCs/>
              </w:rPr>
              <w:t>Artículo 17, leído conjuntamente con el artículo 23, del Pacto con respecto al autor y a su familia</w:t>
            </w:r>
          </w:p>
        </w:tc>
      </w:tr>
      <w:tr w:rsidR="00F84F6A" w:rsidRPr="008454F8" w:rsidTr="00265BB6">
        <w:trPr>
          <w:trHeight w:val="240"/>
        </w:trPr>
        <w:tc>
          <w:tcPr>
            <w:tcW w:w="2694" w:type="dxa"/>
            <w:shd w:val="clear" w:color="auto" w:fill="auto"/>
          </w:tcPr>
          <w:p w:rsidR="00F84F6A" w:rsidRPr="008454F8" w:rsidRDefault="00F84F6A" w:rsidP="008454F8">
            <w:pPr>
              <w:pStyle w:val="SingleTxtG"/>
              <w:spacing w:before="40"/>
              <w:ind w:left="0" w:right="0"/>
              <w:jc w:val="left"/>
              <w:rPr>
                <w:iCs/>
              </w:rPr>
            </w:pPr>
            <w:r w:rsidRPr="008454F8">
              <w:rPr>
                <w:iCs/>
              </w:rPr>
              <w:t>Reparación:</w:t>
            </w:r>
          </w:p>
        </w:tc>
        <w:tc>
          <w:tcPr>
            <w:tcW w:w="4676" w:type="dxa"/>
            <w:shd w:val="clear" w:color="auto" w:fill="auto"/>
            <w:tcMar>
              <w:right w:w="28" w:type="dxa"/>
            </w:tcMar>
            <w:vAlign w:val="bottom"/>
          </w:tcPr>
          <w:p w:rsidR="00F84F6A" w:rsidRPr="008454F8" w:rsidRDefault="00F84F6A" w:rsidP="009D7E32">
            <w:pPr>
              <w:pStyle w:val="SingleTxtG"/>
              <w:spacing w:before="40"/>
              <w:ind w:left="0" w:right="0"/>
              <w:rPr>
                <w:iCs/>
              </w:rPr>
            </w:pPr>
            <w:r w:rsidRPr="008454F8">
              <w:rPr>
                <w:iCs/>
              </w:rPr>
              <w:t>Un recurso efectivo y adecuado, que permita verdaderamente al autor impugnar la decisión de no concederle el visado permanente, y una indemnización.</w:t>
            </w:r>
          </w:p>
        </w:tc>
      </w:tr>
      <w:tr w:rsidR="00F84F6A" w:rsidRPr="008454F8" w:rsidTr="00563EE5">
        <w:trPr>
          <w:trHeight w:val="240"/>
        </w:trPr>
        <w:tc>
          <w:tcPr>
            <w:tcW w:w="2694" w:type="dxa"/>
            <w:tcBorders>
              <w:bottom w:val="nil"/>
            </w:tcBorders>
            <w:shd w:val="clear" w:color="auto" w:fill="auto"/>
          </w:tcPr>
          <w:p w:rsidR="00F84F6A" w:rsidRPr="008454F8" w:rsidRDefault="00F84F6A" w:rsidP="008454F8">
            <w:pPr>
              <w:pStyle w:val="SingleTxtG"/>
              <w:spacing w:before="40"/>
              <w:ind w:left="0" w:right="0"/>
              <w:jc w:val="left"/>
              <w:rPr>
                <w:iCs/>
              </w:rPr>
            </w:pPr>
            <w:r w:rsidRPr="008454F8">
              <w:rPr>
                <w:iCs/>
              </w:rPr>
              <w:t>Anterior aparición en un informe sobre el seguimiento:</w:t>
            </w:r>
          </w:p>
        </w:tc>
        <w:tc>
          <w:tcPr>
            <w:tcW w:w="4676" w:type="dxa"/>
            <w:tcBorders>
              <w:bottom w:val="nil"/>
            </w:tcBorders>
            <w:shd w:val="clear" w:color="auto" w:fill="auto"/>
            <w:tcMar>
              <w:right w:w="28" w:type="dxa"/>
            </w:tcMar>
            <w:vAlign w:val="bottom"/>
          </w:tcPr>
          <w:p w:rsidR="00F84F6A" w:rsidRPr="008454F8" w:rsidRDefault="00F84F6A" w:rsidP="009D7E32">
            <w:pPr>
              <w:pStyle w:val="SingleTxtG"/>
              <w:spacing w:before="40"/>
              <w:ind w:left="0" w:right="0"/>
              <w:rPr>
                <w:iCs/>
              </w:rPr>
            </w:pPr>
            <w:r w:rsidRPr="008454F8">
              <w:rPr>
                <w:iCs/>
              </w:rPr>
              <w:t>Primera aparición</w:t>
            </w:r>
          </w:p>
        </w:tc>
      </w:tr>
      <w:tr w:rsidR="00F84F6A" w:rsidRPr="008454F8" w:rsidTr="00563EE5">
        <w:trPr>
          <w:trHeight w:val="240"/>
        </w:trPr>
        <w:tc>
          <w:tcPr>
            <w:tcW w:w="2694" w:type="dxa"/>
            <w:tcBorders>
              <w:top w:val="nil"/>
            </w:tcBorders>
            <w:shd w:val="clear" w:color="auto" w:fill="auto"/>
          </w:tcPr>
          <w:p w:rsidR="00F84F6A" w:rsidRPr="008454F8" w:rsidRDefault="00F53B8E" w:rsidP="00265BB6">
            <w:pPr>
              <w:pStyle w:val="SingleTxtG"/>
              <w:spacing w:before="40"/>
              <w:ind w:left="0" w:right="0"/>
              <w:jc w:val="left"/>
              <w:rPr>
                <w:iCs/>
              </w:rPr>
            </w:pPr>
            <w:r w:rsidRPr="008454F8">
              <w:t>Comunicación presentada por</w:t>
            </w:r>
            <w:r>
              <w:t xml:space="preserve"> </w:t>
            </w:r>
            <w:r w:rsidRPr="008454F8">
              <w:t>el Estado parte el:</w:t>
            </w:r>
          </w:p>
        </w:tc>
        <w:tc>
          <w:tcPr>
            <w:tcW w:w="4676" w:type="dxa"/>
            <w:tcBorders>
              <w:top w:val="nil"/>
            </w:tcBorders>
            <w:shd w:val="clear" w:color="auto" w:fill="auto"/>
            <w:tcMar>
              <w:right w:w="28" w:type="dxa"/>
            </w:tcMar>
            <w:vAlign w:val="bottom"/>
          </w:tcPr>
          <w:p w:rsidR="00F84F6A" w:rsidRDefault="00F84F6A" w:rsidP="009D7E32">
            <w:pPr>
              <w:pStyle w:val="SingleTxtG"/>
              <w:spacing w:before="40"/>
              <w:ind w:left="0" w:right="0"/>
              <w:rPr>
                <w:iCs/>
              </w:rPr>
            </w:pPr>
            <w:r w:rsidRPr="008454F8">
              <w:rPr>
                <w:iCs/>
              </w:rPr>
              <w:t>26 de octubre de 2015</w:t>
            </w:r>
          </w:p>
          <w:p w:rsidR="00F84F6A" w:rsidRDefault="00F84F6A" w:rsidP="009D7E32">
            <w:pPr>
              <w:pStyle w:val="SingleTxtG"/>
              <w:spacing w:before="40"/>
              <w:ind w:left="0" w:right="0"/>
              <w:rPr>
                <w:iCs/>
              </w:rPr>
            </w:pPr>
            <w:r w:rsidRPr="008454F8">
              <w:rPr>
                <w:iCs/>
              </w:rPr>
              <w:t>El Estado parte no está de acuerdo con la conclusión del Comité de que se violaron los derechos que asisten al autor en virtud del artículo 17, leído conjuntamente con el artículo 23. Se consideró legítimamente que Mansour Leghaei constituía una amenaza directa para la seguridad nacional de Australia. No está claro por qué el Comité no aceptó este motivo legítimo de injerencia en la vida familiar. El Ministro de Inmigración sopesó cuidadosamente la evaluación de los riesgos y los intereses de la familia y el interés superior del niño. Se concedieron visados permanentes a la esposa y la hija del autor, lo que avala la afirmación de que las decisiones se tomaron teniendo debidamente en cuenta las circunstancias familiares.</w:t>
            </w:r>
          </w:p>
          <w:p w:rsidR="00F84F6A" w:rsidRDefault="00F84F6A" w:rsidP="009D7E32">
            <w:pPr>
              <w:pStyle w:val="SingleTxtG"/>
              <w:spacing w:before="40"/>
              <w:ind w:left="0" w:right="0"/>
              <w:rPr>
                <w:iCs/>
              </w:rPr>
            </w:pPr>
            <w:r w:rsidRPr="008454F8">
              <w:rPr>
                <w:iCs/>
              </w:rPr>
              <w:t xml:space="preserve">El Estado parte discrepa de la conclusión del Comité de que en el procedimiento conducente a la expulsión del autor no se respetaron las debidas garantías procesales. Determinar si concurren razones imperiosas de seguridad nacional es prerrogativa del Estado parte, que goza de amplio margen discrecional para ello. Los tribunales australianos examinaron la necesidad de no comunicar </w:t>
            </w:r>
            <w:r w:rsidRPr="008454F8">
              <w:rPr>
                <w:iCs/>
              </w:rPr>
              <w:lastRenderedPageBreak/>
              <w:t>los motivos de la evaluación negativa del Sr. Leghaei y el Tribunal Federal determinó que este gozó de equidad procesal en la medida en que lo permitían los intereses de la seguridad nacional, puesto que, entre otras cosas, su abogada tuvo acceso a las pruebas que detallaban las alegaciones sobre el riesgo que representaba el autor.</w:t>
            </w:r>
          </w:p>
          <w:p w:rsidR="00F84F6A" w:rsidRPr="008454F8" w:rsidRDefault="00F84F6A" w:rsidP="009D7E32">
            <w:pPr>
              <w:pStyle w:val="SingleTxtG"/>
              <w:spacing w:before="40"/>
              <w:ind w:left="0" w:right="0"/>
              <w:rPr>
                <w:iCs/>
              </w:rPr>
            </w:pPr>
            <w:r w:rsidRPr="008454F8">
              <w:rPr>
                <w:iCs/>
              </w:rPr>
              <w:t>Al no estar de acuerdo con la conclusión del Comité de que se violó el Pacto, el Estado parte considera que no procede aplicar su recomendación.</w:t>
            </w:r>
          </w:p>
        </w:tc>
      </w:tr>
      <w:tr w:rsidR="00F84F6A" w:rsidRPr="008454F8" w:rsidTr="00265BB6">
        <w:trPr>
          <w:trHeight w:val="240"/>
        </w:trPr>
        <w:tc>
          <w:tcPr>
            <w:tcW w:w="2694" w:type="dxa"/>
            <w:tcBorders>
              <w:bottom w:val="nil"/>
            </w:tcBorders>
            <w:shd w:val="clear" w:color="auto" w:fill="auto"/>
          </w:tcPr>
          <w:p w:rsidR="00F84F6A" w:rsidRPr="008454F8" w:rsidRDefault="00F84F6A" w:rsidP="008454F8">
            <w:pPr>
              <w:pStyle w:val="SingleTxtG"/>
              <w:spacing w:before="40"/>
              <w:ind w:left="0" w:right="0"/>
              <w:jc w:val="left"/>
              <w:rPr>
                <w:iCs/>
              </w:rPr>
            </w:pPr>
            <w:r w:rsidRPr="008454F8">
              <w:rPr>
                <w:iCs/>
              </w:rPr>
              <w:lastRenderedPageBreak/>
              <w:t>Evaluación del Comité:</w:t>
            </w:r>
          </w:p>
        </w:tc>
        <w:tc>
          <w:tcPr>
            <w:tcW w:w="4676" w:type="dxa"/>
            <w:tcBorders>
              <w:bottom w:val="nil"/>
            </w:tcBorders>
            <w:shd w:val="clear" w:color="auto" w:fill="auto"/>
            <w:tcMar>
              <w:right w:w="28" w:type="dxa"/>
            </w:tcMar>
            <w:vAlign w:val="bottom"/>
          </w:tcPr>
          <w:p w:rsidR="00F84F6A" w:rsidRPr="008454F8" w:rsidRDefault="00F84F6A" w:rsidP="008666E3">
            <w:pPr>
              <w:pStyle w:val="SingleTxtG"/>
              <w:spacing w:before="40"/>
              <w:ind w:left="0" w:right="0" w:firstLine="227"/>
              <w:rPr>
                <w:iCs/>
              </w:rPr>
            </w:pPr>
            <w:r w:rsidRPr="008454F8">
              <w:rPr>
                <w:iCs/>
              </w:rPr>
              <w:t>a)</w:t>
            </w:r>
            <w:r w:rsidRPr="008454F8">
              <w:rPr>
                <w:iCs/>
              </w:rPr>
              <w:tab/>
              <w:t>Un recurso efectivo, que permita verdaderamente al autor impugnar la decisión de no concederle el visado permanente, y una indemnización: E</w:t>
            </w:r>
          </w:p>
          <w:p w:rsidR="00F84F6A" w:rsidRPr="008454F8" w:rsidRDefault="00F84F6A" w:rsidP="008666E3">
            <w:pPr>
              <w:pStyle w:val="SingleTxtG"/>
              <w:spacing w:before="40"/>
              <w:ind w:left="0" w:right="0" w:firstLine="227"/>
              <w:rPr>
                <w:iCs/>
              </w:rPr>
            </w:pPr>
            <w:r w:rsidRPr="008454F8">
              <w:rPr>
                <w:iCs/>
              </w:rPr>
              <w:t>b)</w:t>
            </w:r>
            <w:r w:rsidRPr="008454F8">
              <w:rPr>
                <w:iCs/>
              </w:rPr>
              <w:tab/>
              <w:t>Publicación del dictamen: No se dispone de información</w:t>
            </w:r>
            <w:r w:rsidR="00265BB6">
              <w:rPr>
                <w:iCs/>
              </w:rPr>
              <w:t>.</w:t>
            </w:r>
          </w:p>
          <w:p w:rsidR="00F84F6A" w:rsidRPr="008454F8" w:rsidRDefault="00F84F6A" w:rsidP="008666E3">
            <w:pPr>
              <w:pStyle w:val="SingleTxtG"/>
              <w:spacing w:before="40"/>
              <w:ind w:left="0" w:right="0" w:firstLine="227"/>
              <w:rPr>
                <w:iCs/>
              </w:rPr>
            </w:pPr>
            <w:r w:rsidRPr="008454F8">
              <w:rPr>
                <w:iCs/>
              </w:rPr>
              <w:t>c)</w:t>
            </w:r>
            <w:r w:rsidRPr="008454F8">
              <w:rPr>
                <w:iCs/>
              </w:rPr>
              <w:tab/>
              <w:t>No repetición: C2</w:t>
            </w:r>
          </w:p>
        </w:tc>
      </w:tr>
      <w:tr w:rsidR="00F84F6A" w:rsidRPr="008454F8" w:rsidTr="00265BB6">
        <w:trPr>
          <w:trHeight w:val="240"/>
        </w:trPr>
        <w:tc>
          <w:tcPr>
            <w:tcW w:w="2694" w:type="dxa"/>
            <w:tcBorders>
              <w:top w:val="nil"/>
              <w:bottom w:val="single" w:sz="12" w:space="0" w:color="auto"/>
            </w:tcBorders>
            <w:shd w:val="clear" w:color="auto" w:fill="auto"/>
          </w:tcPr>
          <w:p w:rsidR="00F84F6A" w:rsidRPr="008454F8" w:rsidRDefault="00F84F6A" w:rsidP="008454F8">
            <w:pPr>
              <w:pStyle w:val="SingleTxtG"/>
              <w:spacing w:before="40"/>
              <w:ind w:left="0" w:right="0"/>
              <w:jc w:val="left"/>
              <w:rPr>
                <w:iCs/>
              </w:rPr>
            </w:pPr>
            <w:r w:rsidRPr="008454F8">
              <w:rPr>
                <w:iCs/>
              </w:rPr>
              <w:t>Decisión del Comité:</w:t>
            </w:r>
          </w:p>
        </w:tc>
        <w:tc>
          <w:tcPr>
            <w:tcW w:w="4676" w:type="dxa"/>
            <w:tcBorders>
              <w:top w:val="nil"/>
              <w:bottom w:val="single" w:sz="12" w:space="0" w:color="auto"/>
            </w:tcBorders>
            <w:shd w:val="clear" w:color="auto" w:fill="auto"/>
            <w:tcMar>
              <w:right w:w="28" w:type="dxa"/>
            </w:tcMar>
            <w:vAlign w:val="bottom"/>
          </w:tcPr>
          <w:p w:rsidR="00F84F6A" w:rsidRPr="008454F8" w:rsidRDefault="00F84F6A" w:rsidP="009D7E32">
            <w:pPr>
              <w:pStyle w:val="SingleTxtG"/>
              <w:spacing w:before="40"/>
              <w:ind w:left="0" w:right="0"/>
              <w:rPr>
                <w:iCs/>
              </w:rPr>
            </w:pPr>
            <w:r w:rsidRPr="008454F8">
              <w:rPr>
                <w:iCs/>
              </w:rPr>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84F6A">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CC594F">
              <w:rPr>
                <w:b/>
                <w:i/>
              </w:rPr>
              <w:br w:type="page"/>
            </w:r>
            <w:r w:rsidRPr="00F84F6A">
              <w:rPr>
                <w:b/>
              </w:rPr>
              <w:t xml:space="preserve">Comunicación núm. 1968/2010, </w:t>
            </w:r>
            <w:r w:rsidRPr="00CC594F">
              <w:rPr>
                <w:b/>
                <w:i/>
              </w:rPr>
              <w:t>Blessington y Elliot c. Australia</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2B53BF">
            <w:pPr>
              <w:pStyle w:val="SingleTxtG"/>
              <w:spacing w:before="40"/>
              <w:ind w:left="0" w:right="0"/>
              <w:jc w:val="left"/>
            </w:pPr>
            <w:r w:rsidRPr="008454F8">
              <w:t>Fecha de aprobación del</w:t>
            </w:r>
            <w:r w:rsidR="002B53BF">
              <w:t xml:space="preserve"> </w:t>
            </w:r>
            <w:r w:rsidRPr="008454F8">
              <w:t>dictamen:</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22 de octubre de 2014</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Violaciones:</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Artículos 7; 10, párrafo 3; y 24</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Reparación:</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Recurso efectivo e indemnización</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Anterior aparición en un informe sobre el seguimiento:</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Primera aparición</w:t>
            </w:r>
          </w:p>
        </w:tc>
      </w:tr>
      <w:tr w:rsidR="00F84F6A" w:rsidRPr="008454F8" w:rsidTr="002B53BF">
        <w:trPr>
          <w:trHeight w:val="240"/>
        </w:trPr>
        <w:tc>
          <w:tcPr>
            <w:tcW w:w="2694" w:type="dxa"/>
            <w:tcBorders>
              <w:top w:val="nil"/>
              <w:bottom w:val="nil"/>
            </w:tcBorders>
            <w:shd w:val="clear" w:color="auto" w:fill="auto"/>
          </w:tcPr>
          <w:p w:rsidR="00F84F6A" w:rsidRPr="008454F8" w:rsidRDefault="00F53B8E" w:rsidP="002B53BF">
            <w:pPr>
              <w:pStyle w:val="SingleTxtG"/>
              <w:spacing w:before="40"/>
              <w:ind w:left="0" w:right="0"/>
              <w:jc w:val="left"/>
            </w:pPr>
            <w:r w:rsidRPr="008454F8">
              <w:t>Comunicación presentada por</w:t>
            </w:r>
            <w:r>
              <w:t xml:space="preserve"> </w:t>
            </w:r>
            <w:r w:rsidRPr="008454F8">
              <w:t>el Estado parte el:</w:t>
            </w:r>
          </w:p>
        </w:tc>
        <w:tc>
          <w:tcPr>
            <w:tcW w:w="4676" w:type="dxa"/>
            <w:tcBorders>
              <w:top w:val="nil"/>
              <w:bottom w:val="nil"/>
            </w:tcBorders>
            <w:shd w:val="clear" w:color="auto" w:fill="auto"/>
            <w:tcMar>
              <w:right w:w="28" w:type="dxa"/>
            </w:tcMar>
            <w:vAlign w:val="bottom"/>
          </w:tcPr>
          <w:p w:rsidR="00F84F6A" w:rsidRDefault="00F84F6A" w:rsidP="009D7E32">
            <w:pPr>
              <w:pStyle w:val="SingleTxtG"/>
              <w:spacing w:before="40"/>
              <w:ind w:left="0" w:right="0"/>
            </w:pPr>
            <w:r w:rsidRPr="008454F8">
              <w:t>28 de abril de 2015</w:t>
            </w:r>
          </w:p>
          <w:p w:rsidR="00F84F6A" w:rsidRPr="008454F8" w:rsidRDefault="00F84F6A" w:rsidP="009D7E32">
            <w:pPr>
              <w:pStyle w:val="SingleTxtG"/>
              <w:spacing w:before="40"/>
              <w:ind w:left="0" w:right="0"/>
            </w:pPr>
            <w:r w:rsidRPr="008454F8">
              <w:t>El Estado parte afirma que los autores disponen de las vías de revisión de su privación de libertad y posibilidades de liberación que se expone</w:t>
            </w:r>
            <w:r w:rsidR="00265BB6">
              <w:t>n</w:t>
            </w:r>
            <w:r w:rsidRPr="008454F8">
              <w:t xml:space="preserve"> a continuación. </w:t>
            </w:r>
          </w:p>
          <w:p w:rsidR="00F84F6A" w:rsidRPr="008454F8" w:rsidRDefault="00F84F6A" w:rsidP="009D7E32">
            <w:pPr>
              <w:pStyle w:val="SingleTxtG"/>
              <w:spacing w:before="40"/>
              <w:ind w:left="0" w:right="0"/>
            </w:pPr>
            <w:r w:rsidRPr="008454F8">
              <w:t xml:space="preserve">Una vez que hayan cumplido al menos 30 años de sus penas, los autores podrán solicitar al Tribunal Supremo de Nueva Gales del Sur que fije un período sin libertad condicional para sus condenas. Si el Tribunal Supremo rechaza esa solicitud, los autores podrán interponer un recurso ante el Tribunal de Apelación en lo Penal. </w:t>
            </w:r>
          </w:p>
          <w:p w:rsidR="00F84F6A" w:rsidRPr="008454F8" w:rsidRDefault="00F84F6A" w:rsidP="00563EE5">
            <w:pPr>
              <w:pStyle w:val="SingleTxtG"/>
              <w:spacing w:before="40"/>
              <w:ind w:left="0" w:right="0"/>
            </w:pPr>
            <w:r w:rsidRPr="008454F8">
              <w:t>Según el artículo 154</w:t>
            </w:r>
            <w:r w:rsidR="00265BB6">
              <w:t xml:space="preserve"> </w:t>
            </w:r>
            <w:r w:rsidRPr="008454F8">
              <w:t>A, párrafo 3 a), de la Ley Penal de</w:t>
            </w:r>
            <w:r w:rsidR="00563EE5">
              <w:t> </w:t>
            </w:r>
            <w:r w:rsidRPr="008454F8">
              <w:t>1999 (Ejecución de Penas) de Nueva Gales del Sur, tras examinar una solicitud, la Autoridad Encargada de la Libertad Condicional solo podrá poner a los autores en libertad condicional si concluye, sobre la base de un informe elaborado por el Director Ejecutivo del Servicio de Salud Penitenciaria, que los autores se encuentran en peligro inminente de muerte o están incapacitados en tal grado que ya no tienen capacidad física para causar daño a nadie; y han demostrado que no representan un riesgo para la sociedad. La Autoridad Encargada de la Libertad Condicional de Nueva Gales del Sur debe estar convencida de que esas circunstancias jus</w:t>
            </w:r>
            <w:r w:rsidR="00563EE5">
              <w:t>tifican la orden de liberación.</w:t>
            </w:r>
          </w:p>
        </w:tc>
      </w:tr>
      <w:tr w:rsidR="00563EE5" w:rsidRPr="008454F8" w:rsidTr="002B53BF">
        <w:trPr>
          <w:trHeight w:val="240"/>
        </w:trPr>
        <w:tc>
          <w:tcPr>
            <w:tcW w:w="2694" w:type="dxa"/>
            <w:tcBorders>
              <w:top w:val="nil"/>
              <w:bottom w:val="nil"/>
            </w:tcBorders>
            <w:shd w:val="clear" w:color="auto" w:fill="auto"/>
          </w:tcPr>
          <w:p w:rsidR="00563EE5" w:rsidRPr="008454F8" w:rsidRDefault="00563EE5" w:rsidP="008454F8">
            <w:pPr>
              <w:pStyle w:val="SingleTxtG"/>
              <w:spacing w:before="40"/>
              <w:ind w:left="0" w:right="0"/>
              <w:jc w:val="left"/>
            </w:pPr>
          </w:p>
        </w:tc>
        <w:tc>
          <w:tcPr>
            <w:tcW w:w="4676" w:type="dxa"/>
            <w:tcBorders>
              <w:top w:val="nil"/>
              <w:bottom w:val="nil"/>
            </w:tcBorders>
            <w:shd w:val="clear" w:color="auto" w:fill="auto"/>
            <w:tcMar>
              <w:right w:w="28" w:type="dxa"/>
            </w:tcMar>
            <w:vAlign w:val="bottom"/>
          </w:tcPr>
          <w:p w:rsidR="00563EE5" w:rsidRPr="008454F8" w:rsidRDefault="00563EE5" w:rsidP="009D7E32">
            <w:pPr>
              <w:pStyle w:val="SingleTxtG"/>
              <w:spacing w:before="40"/>
              <w:ind w:left="0" w:right="0"/>
            </w:pPr>
            <w:r w:rsidRPr="008454F8">
              <w:t>Los autores siguen teniendo la posibilidad de solicitar clemencia a las instancias ejecutivas recurriendo a la prerrogativa real del indulto.</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Evaluación del Comité:</w:t>
            </w:r>
          </w:p>
        </w:tc>
        <w:tc>
          <w:tcPr>
            <w:tcW w:w="4676" w:type="dxa"/>
            <w:tcBorders>
              <w:top w:val="nil"/>
              <w:bottom w:val="nil"/>
            </w:tcBorders>
            <w:shd w:val="clear" w:color="auto" w:fill="auto"/>
            <w:tcMar>
              <w:right w:w="28" w:type="dxa"/>
            </w:tcMar>
            <w:vAlign w:val="bottom"/>
          </w:tcPr>
          <w:p w:rsidR="00F84F6A" w:rsidRPr="008454F8" w:rsidRDefault="00F84F6A" w:rsidP="008666E3">
            <w:pPr>
              <w:pStyle w:val="SingleTxtG"/>
              <w:spacing w:before="40"/>
              <w:ind w:left="0" w:right="0" w:firstLine="227"/>
            </w:pPr>
            <w:r w:rsidRPr="008454F8">
              <w:t>a)</w:t>
            </w:r>
            <w:r w:rsidRPr="008454F8">
              <w:tab/>
              <w:t>Un recurso efectivo, incluida la puesta en libertad, en condiciones apropiadas para cada caso, de los autores que sigan recluidos; la rehabilitación; y una indemnización adecuada: C2</w:t>
            </w:r>
          </w:p>
          <w:p w:rsidR="00F84F6A" w:rsidRPr="008454F8" w:rsidRDefault="00F84F6A" w:rsidP="008666E3">
            <w:pPr>
              <w:pStyle w:val="SingleTxtG"/>
              <w:spacing w:before="40"/>
              <w:ind w:left="0" w:right="0" w:firstLine="227"/>
            </w:pPr>
            <w:r w:rsidRPr="008454F8">
              <w:t>b)</w:t>
            </w:r>
            <w:r w:rsidRPr="008454F8">
              <w:tab/>
              <w:t>Publicación del dictamen: No se dispone de información</w:t>
            </w:r>
            <w:r w:rsidR="002B53BF">
              <w:t>.</w:t>
            </w:r>
          </w:p>
          <w:p w:rsidR="00F84F6A" w:rsidRPr="008454F8" w:rsidRDefault="00F84F6A" w:rsidP="008666E3">
            <w:pPr>
              <w:pStyle w:val="SingleTxtG"/>
              <w:spacing w:before="40"/>
              <w:ind w:left="0" w:right="0" w:firstLine="227"/>
            </w:pPr>
            <w:r w:rsidRPr="008454F8">
              <w:t>c)</w:t>
            </w:r>
            <w:r w:rsidRPr="008454F8">
              <w:tab/>
              <w:t>No repetición: C2</w:t>
            </w:r>
          </w:p>
        </w:tc>
      </w:tr>
      <w:tr w:rsidR="00F84F6A" w:rsidRPr="008454F8" w:rsidTr="002B53BF">
        <w:trPr>
          <w:trHeight w:val="240"/>
        </w:trPr>
        <w:tc>
          <w:tcPr>
            <w:tcW w:w="2694" w:type="dxa"/>
            <w:tcBorders>
              <w:top w:val="nil"/>
              <w:bottom w:val="single" w:sz="12" w:space="0" w:color="auto"/>
            </w:tcBorders>
            <w:shd w:val="clear" w:color="auto" w:fill="auto"/>
          </w:tcPr>
          <w:p w:rsidR="00F84F6A" w:rsidRPr="008454F8" w:rsidRDefault="00F84F6A"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F84F6A" w:rsidRPr="008454F8" w:rsidRDefault="00F84F6A" w:rsidP="009D7E32">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84F6A">
        <w:trPr>
          <w:trHeight w:val="240"/>
          <w:tblHeader/>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F84F6A">
              <w:rPr>
                <w:b/>
              </w:rPr>
              <w:br w:type="page"/>
              <w:t xml:space="preserve">Comunicación núm. 1973/2010, </w:t>
            </w:r>
            <w:r w:rsidRPr="00CC594F">
              <w:rPr>
                <w:b/>
                <w:i/>
              </w:rPr>
              <w:t>Griffiths c. Australia</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Fecha de aprobación del dictamen:</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21 de octubre de 2014</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Violaciones:</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Artículo 9, párrafos 1 y 4</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Reparación:</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Un recurso efectivo y una indemnización adecuada que cubra, entre otras cosas, las costas procesales del autor.</w:t>
            </w:r>
          </w:p>
        </w:tc>
      </w:tr>
      <w:tr w:rsidR="00F84F6A" w:rsidRPr="008454F8" w:rsidTr="002B53BF">
        <w:trPr>
          <w:trHeight w:val="240"/>
        </w:trPr>
        <w:tc>
          <w:tcPr>
            <w:tcW w:w="2694" w:type="dxa"/>
            <w:tcBorders>
              <w:top w:val="nil"/>
              <w:bottom w:val="nil"/>
            </w:tcBorders>
            <w:shd w:val="clear" w:color="auto" w:fill="auto"/>
          </w:tcPr>
          <w:p w:rsidR="00F84F6A" w:rsidRPr="008454F8" w:rsidRDefault="00F84F6A" w:rsidP="008454F8">
            <w:pPr>
              <w:pStyle w:val="SingleTxtG"/>
              <w:spacing w:before="40"/>
              <w:ind w:left="0" w:right="0"/>
              <w:jc w:val="left"/>
            </w:pPr>
            <w:r w:rsidRPr="008454F8">
              <w:t>Anterior aparición en un informe sobre el seguimiento:</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Primera aparición</w:t>
            </w:r>
          </w:p>
        </w:tc>
      </w:tr>
      <w:tr w:rsidR="00F84F6A" w:rsidRPr="008454F8" w:rsidTr="002B53BF">
        <w:trPr>
          <w:trHeight w:val="240"/>
        </w:trPr>
        <w:tc>
          <w:tcPr>
            <w:tcW w:w="2694" w:type="dxa"/>
            <w:tcBorders>
              <w:top w:val="nil"/>
              <w:bottom w:val="nil"/>
            </w:tcBorders>
            <w:shd w:val="clear" w:color="auto" w:fill="auto"/>
          </w:tcPr>
          <w:p w:rsidR="00F84F6A" w:rsidRPr="008454F8" w:rsidRDefault="00F53B8E" w:rsidP="002B53BF">
            <w:pPr>
              <w:pStyle w:val="SingleTxtG"/>
              <w:spacing w:before="40"/>
              <w:ind w:left="0" w:right="0"/>
              <w:jc w:val="left"/>
            </w:pPr>
            <w:r w:rsidRPr="008454F8">
              <w:t>Comunicación presentada por</w:t>
            </w:r>
            <w:r>
              <w:t xml:space="preserve"> </w:t>
            </w:r>
            <w:r w:rsidRPr="008454F8">
              <w:t>el Estado parte el:</w:t>
            </w:r>
          </w:p>
        </w:tc>
        <w:tc>
          <w:tcPr>
            <w:tcW w:w="4676" w:type="dxa"/>
            <w:tcBorders>
              <w:top w:val="nil"/>
              <w:bottom w:val="nil"/>
            </w:tcBorders>
            <w:shd w:val="clear" w:color="auto" w:fill="auto"/>
            <w:tcMar>
              <w:right w:w="28" w:type="dxa"/>
            </w:tcMar>
            <w:vAlign w:val="bottom"/>
          </w:tcPr>
          <w:p w:rsidR="00F84F6A" w:rsidRPr="008454F8" w:rsidRDefault="00F84F6A" w:rsidP="009D7E32">
            <w:pPr>
              <w:pStyle w:val="SingleTxtG"/>
              <w:spacing w:before="40"/>
              <w:ind w:left="0" w:right="0"/>
            </w:pPr>
            <w:r w:rsidRPr="008454F8">
              <w:t xml:space="preserve">30 de junio de 2015 </w:t>
            </w:r>
          </w:p>
          <w:p w:rsidR="00F84F6A" w:rsidRPr="008454F8" w:rsidRDefault="00F84F6A" w:rsidP="009D7E32">
            <w:pPr>
              <w:pStyle w:val="SingleTxtG"/>
              <w:spacing w:before="40"/>
              <w:ind w:left="0" w:right="0"/>
            </w:pPr>
            <w:r w:rsidRPr="008454F8">
              <w:t>El Estado parte considera que la privación de libertad del autor en aplicación de la Ley de Extradición de 1988 no vulnera el artículo 9, párrafo 1, del Pacto, sino que fue razonable y necesaria dadas las circunstancias del caso, habida cuenta de la obligación del Ministro de Justicia y Aduanas de garantizar al autor la equidad procesal y de obtener la información necesaria de organismos extranjeros para ejercer adecuadamente sus potestades de conformidad con la legislación australiana.</w:t>
            </w:r>
          </w:p>
        </w:tc>
      </w:tr>
      <w:tr w:rsidR="00F84F6A" w:rsidRPr="008454F8" w:rsidTr="002B53BF">
        <w:trPr>
          <w:trHeight w:val="240"/>
        </w:trPr>
        <w:tc>
          <w:tcPr>
            <w:tcW w:w="2694" w:type="dxa"/>
            <w:tcBorders>
              <w:top w:val="nil"/>
              <w:bottom w:val="nil"/>
            </w:tcBorders>
            <w:shd w:val="clear" w:color="auto" w:fill="auto"/>
          </w:tcPr>
          <w:p w:rsidR="00F84F6A" w:rsidRPr="008454F8" w:rsidRDefault="00D16716" w:rsidP="008454F8">
            <w:pPr>
              <w:pStyle w:val="SingleTxtG"/>
              <w:spacing w:before="40"/>
              <w:ind w:left="0" w:right="0"/>
              <w:jc w:val="left"/>
            </w:pPr>
            <w:r w:rsidRPr="008454F8">
              <w:t>Evaluación del Comité:</w:t>
            </w:r>
          </w:p>
        </w:tc>
        <w:tc>
          <w:tcPr>
            <w:tcW w:w="4676" w:type="dxa"/>
            <w:tcBorders>
              <w:top w:val="nil"/>
              <w:bottom w:val="nil"/>
            </w:tcBorders>
            <w:shd w:val="clear" w:color="auto" w:fill="auto"/>
            <w:tcMar>
              <w:right w:w="28" w:type="dxa"/>
            </w:tcMar>
            <w:vAlign w:val="bottom"/>
          </w:tcPr>
          <w:p w:rsidR="00D16716" w:rsidRPr="008454F8" w:rsidRDefault="00D16716" w:rsidP="008666E3">
            <w:pPr>
              <w:pStyle w:val="SingleTxtG"/>
              <w:spacing w:before="40"/>
              <w:ind w:left="0" w:right="0" w:firstLine="227"/>
            </w:pPr>
            <w:r w:rsidRPr="008454F8">
              <w:t>a)</w:t>
            </w:r>
            <w:r w:rsidRPr="008454F8">
              <w:tab/>
              <w:t>Un recurso efectivo y una indemnización adecuada que cubra, entre otras cosas, las costas procesales del autor: E</w:t>
            </w:r>
          </w:p>
          <w:p w:rsidR="00D16716" w:rsidRPr="008454F8" w:rsidRDefault="00D16716" w:rsidP="008666E3">
            <w:pPr>
              <w:pStyle w:val="SingleTxtG"/>
              <w:spacing w:before="40"/>
              <w:ind w:left="0" w:right="0" w:firstLine="227"/>
            </w:pPr>
            <w:r w:rsidRPr="008454F8">
              <w:t>b)</w:t>
            </w:r>
            <w:r w:rsidRPr="008454F8">
              <w:tab/>
              <w:t>Publicación del dictamen: No se dispone de información</w:t>
            </w:r>
            <w:r w:rsidR="002B53BF">
              <w:t>.</w:t>
            </w:r>
          </w:p>
          <w:p w:rsidR="00F84F6A" w:rsidRPr="008454F8" w:rsidRDefault="00D16716" w:rsidP="008666E3">
            <w:pPr>
              <w:pStyle w:val="SingleTxtG"/>
              <w:spacing w:before="40"/>
              <w:ind w:left="0" w:right="0" w:firstLine="227"/>
            </w:pPr>
            <w:r w:rsidRPr="008454F8">
              <w:t>c)</w:t>
            </w:r>
            <w:r w:rsidRPr="008454F8">
              <w:tab/>
              <w:t>No repetición: C2</w:t>
            </w:r>
          </w:p>
        </w:tc>
      </w:tr>
      <w:tr w:rsidR="00D16716" w:rsidRPr="008454F8" w:rsidTr="002B53BF">
        <w:trPr>
          <w:trHeight w:val="240"/>
        </w:trPr>
        <w:tc>
          <w:tcPr>
            <w:tcW w:w="2694" w:type="dxa"/>
            <w:tcBorders>
              <w:top w:val="nil"/>
              <w:bottom w:val="single" w:sz="12" w:space="0" w:color="auto"/>
            </w:tcBorders>
            <w:shd w:val="clear" w:color="auto" w:fill="auto"/>
          </w:tcPr>
          <w:p w:rsidR="00D16716" w:rsidRPr="008454F8" w:rsidRDefault="00D16716"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D16716" w:rsidRPr="008454F8" w:rsidRDefault="00D16716" w:rsidP="009D7E32">
            <w:pPr>
              <w:pStyle w:val="SingleTxtG"/>
              <w:spacing w:before="40"/>
              <w:ind w:left="0" w:right="0"/>
            </w:pPr>
            <w:r w:rsidRPr="008454F8">
              <w:t>Prosigue el diálogo de seguimiento.</w:t>
            </w:r>
          </w:p>
        </w:tc>
      </w:tr>
    </w:tbl>
    <w:p w:rsidR="00A76B42" w:rsidRPr="0019108A" w:rsidRDefault="00A76B42" w:rsidP="008454F8">
      <w:pPr>
        <w:pStyle w:val="H23G"/>
      </w:pPr>
      <w:r w:rsidRPr="0019108A">
        <w:tab/>
        <w:t>2.</w:t>
      </w:r>
      <w:r w:rsidRPr="0019108A">
        <w:tab/>
        <w:t>Bosnia y Herzegovina</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B0ACE">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D16716">
              <w:rPr>
                <w:b/>
              </w:rPr>
              <w:t xml:space="preserve">Comunicación núm. 2022/2011, </w:t>
            </w:r>
            <w:r w:rsidRPr="00CC594F">
              <w:rPr>
                <w:b/>
                <w:i/>
              </w:rPr>
              <w:t>Hamulić y Hodžić c. Bosnia y Herzegovina</w:t>
            </w:r>
          </w:p>
        </w:tc>
      </w:tr>
      <w:tr w:rsidR="00FB0ACE" w:rsidRPr="008454F8" w:rsidTr="00563EE5">
        <w:trPr>
          <w:trHeight w:val="240"/>
        </w:trPr>
        <w:tc>
          <w:tcPr>
            <w:tcW w:w="2694" w:type="dxa"/>
            <w:tcBorders>
              <w:bottom w:val="nil"/>
            </w:tcBorders>
            <w:shd w:val="clear" w:color="auto" w:fill="auto"/>
          </w:tcPr>
          <w:p w:rsidR="00FB0ACE" w:rsidRPr="008454F8" w:rsidRDefault="00FB0ACE" w:rsidP="008454F8">
            <w:pPr>
              <w:pStyle w:val="SingleTxtG"/>
              <w:spacing w:before="40"/>
              <w:ind w:left="0" w:right="0"/>
              <w:jc w:val="left"/>
            </w:pPr>
            <w:r w:rsidRPr="008454F8">
              <w:t>Fecha de aprobación del dictamen:</w:t>
            </w:r>
          </w:p>
        </w:tc>
        <w:tc>
          <w:tcPr>
            <w:tcW w:w="4676" w:type="dxa"/>
            <w:tcBorders>
              <w:bottom w:val="nil"/>
            </w:tcBorders>
            <w:shd w:val="clear" w:color="auto" w:fill="auto"/>
            <w:tcMar>
              <w:right w:w="28" w:type="dxa"/>
            </w:tcMar>
            <w:vAlign w:val="bottom"/>
          </w:tcPr>
          <w:p w:rsidR="00FB0ACE" w:rsidRPr="008454F8" w:rsidRDefault="00FB0ACE" w:rsidP="009D7E32">
            <w:pPr>
              <w:pStyle w:val="SingleTxtG"/>
              <w:spacing w:before="40"/>
              <w:ind w:left="0" w:right="0"/>
            </w:pPr>
            <w:r w:rsidRPr="008454F8">
              <w:t>30 de marzo de 2015</w:t>
            </w:r>
          </w:p>
        </w:tc>
      </w:tr>
      <w:tr w:rsidR="00FB0ACE" w:rsidRPr="008454F8" w:rsidTr="00563EE5">
        <w:trPr>
          <w:trHeight w:val="240"/>
        </w:trPr>
        <w:tc>
          <w:tcPr>
            <w:tcW w:w="2694" w:type="dxa"/>
            <w:tcBorders>
              <w:top w:val="nil"/>
              <w:bottom w:val="nil"/>
            </w:tcBorders>
            <w:shd w:val="clear" w:color="auto" w:fill="auto"/>
          </w:tcPr>
          <w:p w:rsidR="00FB0ACE" w:rsidRPr="008454F8" w:rsidRDefault="00FB0ACE" w:rsidP="008454F8">
            <w:pPr>
              <w:pStyle w:val="SingleTxtG"/>
              <w:spacing w:before="40"/>
              <w:ind w:left="0" w:right="0"/>
              <w:jc w:val="left"/>
            </w:pPr>
            <w:r w:rsidRPr="008454F8">
              <w:t>Violaciones:</w:t>
            </w:r>
          </w:p>
        </w:tc>
        <w:tc>
          <w:tcPr>
            <w:tcW w:w="4676" w:type="dxa"/>
            <w:tcBorders>
              <w:top w:val="nil"/>
              <w:bottom w:val="nil"/>
            </w:tcBorders>
            <w:shd w:val="clear" w:color="auto" w:fill="auto"/>
            <w:tcMar>
              <w:right w:w="28" w:type="dxa"/>
            </w:tcMar>
            <w:vAlign w:val="bottom"/>
          </w:tcPr>
          <w:p w:rsidR="00FB0ACE" w:rsidRPr="008454F8" w:rsidRDefault="00FB0ACE" w:rsidP="009D7E32">
            <w:pPr>
              <w:pStyle w:val="SingleTxtG"/>
              <w:spacing w:before="40"/>
              <w:ind w:left="0" w:right="0"/>
            </w:pPr>
            <w:r w:rsidRPr="008454F8">
              <w:t>Artículos 6, 7 y 9, leídos conjuntamente con el artículo 2, párrafo 3, del Pacto, con respecto a Husein Hamulić; y artículo 7, leído por separado y conjuntamente con el artículo 2, párrafo 3, con respecto a las autoras</w:t>
            </w:r>
          </w:p>
        </w:tc>
      </w:tr>
      <w:tr w:rsidR="00FB0ACE" w:rsidRPr="008454F8" w:rsidTr="00563EE5">
        <w:trPr>
          <w:trHeight w:val="240"/>
        </w:trPr>
        <w:tc>
          <w:tcPr>
            <w:tcW w:w="2694" w:type="dxa"/>
            <w:tcBorders>
              <w:top w:val="nil"/>
            </w:tcBorders>
            <w:shd w:val="clear" w:color="auto" w:fill="auto"/>
          </w:tcPr>
          <w:p w:rsidR="00FB0ACE" w:rsidRPr="008454F8" w:rsidRDefault="00FB0ACE" w:rsidP="008454F8">
            <w:pPr>
              <w:pStyle w:val="SingleTxtG"/>
              <w:spacing w:before="40"/>
              <w:ind w:left="0" w:right="0"/>
              <w:jc w:val="left"/>
            </w:pPr>
            <w:r w:rsidRPr="008454F8">
              <w:lastRenderedPageBreak/>
              <w:t>Reparación:</w:t>
            </w:r>
          </w:p>
        </w:tc>
        <w:tc>
          <w:tcPr>
            <w:tcW w:w="4676" w:type="dxa"/>
            <w:tcBorders>
              <w:top w:val="nil"/>
            </w:tcBorders>
            <w:shd w:val="clear" w:color="auto" w:fill="auto"/>
            <w:tcMar>
              <w:right w:w="28" w:type="dxa"/>
            </w:tcMar>
            <w:vAlign w:val="bottom"/>
          </w:tcPr>
          <w:p w:rsidR="00FB0ACE" w:rsidRPr="008454F8" w:rsidRDefault="00FB0ACE" w:rsidP="00C65971">
            <w:pPr>
              <w:pStyle w:val="SingleTxtG"/>
              <w:spacing w:before="40"/>
              <w:ind w:left="0" w:right="0"/>
            </w:pPr>
            <w:r w:rsidRPr="008454F8">
              <w:t>Un recurso efectivo que contemple: a) la intensificación de las investigaciones del Estado parte encaminadas a determinar la suerte o el paradero del Sr. Hamulić, en cumplimiento de la Ley de Personas Desaparecidas de</w:t>
            </w:r>
            <w:r w:rsidR="00C65971">
              <w:t> </w:t>
            </w:r>
            <w:r w:rsidRPr="008454F8">
              <w:t>2004, y la obligación de que los investigadores del Estado parte contacten cuanto antes a las autoras para recabar la información que ellas puedan aportar a la investigación; b) la intensificación de los esfuerzos del Estado parte para llevar ante la justicia a los responsables de la desaparición del Sr. Hamulić sin demoras innecesarias, como prescribe la Estrategia Nacional para los Crímenes de Guerra; y c) la concesión a las autoras de una reparación efectiva, que incluya una indemnización adecuada y medidas apropiadas de satisfacción. Asimismo, el Estado parte tiene la obligación de evitar que se cometan violaciones semejantes en el futuro y debe velar, en particular, por que las investigaciones de denuncias de desapariciones forzadas sean accesibles a las familias de los desaparecidos.</w:t>
            </w:r>
          </w:p>
        </w:tc>
      </w:tr>
      <w:tr w:rsidR="00FB0ACE" w:rsidRPr="008454F8" w:rsidTr="002B53BF">
        <w:trPr>
          <w:trHeight w:val="240"/>
        </w:trPr>
        <w:tc>
          <w:tcPr>
            <w:tcW w:w="2694" w:type="dxa"/>
            <w:shd w:val="clear" w:color="auto" w:fill="auto"/>
          </w:tcPr>
          <w:p w:rsidR="00FB0ACE" w:rsidRPr="008454F8" w:rsidRDefault="00FB0ACE" w:rsidP="008454F8">
            <w:pPr>
              <w:pStyle w:val="SingleTxtG"/>
              <w:spacing w:before="40"/>
              <w:ind w:left="0" w:right="0"/>
              <w:jc w:val="left"/>
            </w:pPr>
            <w:r w:rsidRPr="008454F8">
              <w:t>Anterior aparición en un informe sobre el seguimiento:</w:t>
            </w:r>
          </w:p>
        </w:tc>
        <w:tc>
          <w:tcPr>
            <w:tcW w:w="4676" w:type="dxa"/>
            <w:shd w:val="clear" w:color="auto" w:fill="auto"/>
            <w:tcMar>
              <w:right w:w="28" w:type="dxa"/>
            </w:tcMar>
            <w:vAlign w:val="bottom"/>
          </w:tcPr>
          <w:p w:rsidR="00FB0ACE" w:rsidRPr="008454F8" w:rsidRDefault="00FB0ACE" w:rsidP="009D7E32">
            <w:pPr>
              <w:pStyle w:val="SingleTxtG"/>
              <w:spacing w:before="40"/>
              <w:ind w:left="0" w:right="0"/>
            </w:pPr>
            <w:r w:rsidRPr="008454F8">
              <w:t>Primera aparición</w:t>
            </w:r>
          </w:p>
        </w:tc>
      </w:tr>
      <w:tr w:rsidR="00FB0ACE" w:rsidRPr="008454F8" w:rsidTr="002B53BF">
        <w:trPr>
          <w:trHeight w:val="240"/>
        </w:trPr>
        <w:tc>
          <w:tcPr>
            <w:tcW w:w="2694" w:type="dxa"/>
            <w:shd w:val="clear" w:color="auto" w:fill="auto"/>
          </w:tcPr>
          <w:p w:rsidR="00FB0ACE" w:rsidRPr="008454F8" w:rsidRDefault="00F53B8E" w:rsidP="002B53BF">
            <w:pPr>
              <w:pStyle w:val="SingleTxtG"/>
              <w:spacing w:before="40"/>
              <w:ind w:left="0" w:right="0"/>
              <w:jc w:val="left"/>
            </w:pPr>
            <w:r w:rsidRPr="008454F8">
              <w:t>Comunicación presentada por</w:t>
            </w:r>
            <w:r>
              <w:t xml:space="preserve"> </w:t>
            </w:r>
            <w:r w:rsidRPr="008454F8">
              <w:t>el Estado parte el:</w:t>
            </w:r>
          </w:p>
        </w:tc>
        <w:tc>
          <w:tcPr>
            <w:tcW w:w="4676" w:type="dxa"/>
            <w:shd w:val="clear" w:color="auto" w:fill="auto"/>
            <w:tcMar>
              <w:right w:w="28" w:type="dxa"/>
            </w:tcMar>
            <w:vAlign w:val="bottom"/>
          </w:tcPr>
          <w:p w:rsidR="00FB0ACE" w:rsidRDefault="00FB0ACE" w:rsidP="009D7E32">
            <w:pPr>
              <w:pStyle w:val="SingleTxtG"/>
              <w:spacing w:before="40"/>
              <w:ind w:left="0" w:right="0"/>
            </w:pPr>
            <w:r w:rsidRPr="008454F8">
              <w:t>11 de noviembre de 2015</w:t>
            </w:r>
          </w:p>
          <w:p w:rsidR="00FB0ACE" w:rsidRDefault="00FB0ACE" w:rsidP="009D7E32">
            <w:pPr>
              <w:pStyle w:val="SingleTxtG"/>
              <w:spacing w:before="40"/>
              <w:ind w:left="0" w:right="0"/>
            </w:pPr>
            <w:r w:rsidRPr="008454F8">
              <w:t>En la actualidad no hay investigaciones en curso por crímenes de guerra en relación con el caso del Sr.</w:t>
            </w:r>
            <w:r w:rsidR="00C65971">
              <w:t> </w:t>
            </w:r>
            <w:r w:rsidRPr="008454F8">
              <w:t>Hamulić y el Estado parte no tiene en su poder ninguna otra información sobre el enjuiciamiento de cualesquiera personas responsables de su desaparición forzada. Además, el Consejo Superior de Jueces y Fiscales de Bosnia y Herzegovina no tiene competencia para influir en la aplicación del dictamen.</w:t>
            </w:r>
          </w:p>
          <w:p w:rsidR="00FB0ACE" w:rsidRPr="008454F8" w:rsidRDefault="00FB0ACE" w:rsidP="00C65971">
            <w:pPr>
              <w:pStyle w:val="SingleTxtG"/>
              <w:spacing w:before="40"/>
              <w:ind w:left="0" w:right="0"/>
            </w:pPr>
            <w:r w:rsidRPr="008454F8">
              <w:t>El Instituto para las Personas Desaparecidas del Estado parte no pudo determinar el paradero del Sr. Hamulić ni localizar sus restos mortales. Por lo que respecta a la prestación de asistencia financiera a la familia del Sr.</w:t>
            </w:r>
            <w:r w:rsidR="00C65971">
              <w:t> </w:t>
            </w:r>
            <w:r w:rsidRPr="008454F8">
              <w:t>Hamulić, todavía no se ha creado el Fondo de Apoyo a las Familias de Personas Desaparecidas. Si bien no se han logrado resultados, el dictamen del Comité se considera “sumamente importante y vinculante”.</w:t>
            </w:r>
          </w:p>
        </w:tc>
      </w:tr>
      <w:tr w:rsidR="00FB0ACE" w:rsidRPr="008454F8" w:rsidTr="002B53BF">
        <w:trPr>
          <w:trHeight w:val="240"/>
        </w:trPr>
        <w:tc>
          <w:tcPr>
            <w:tcW w:w="2694" w:type="dxa"/>
            <w:tcBorders>
              <w:bottom w:val="nil"/>
            </w:tcBorders>
            <w:shd w:val="clear" w:color="auto" w:fill="auto"/>
          </w:tcPr>
          <w:p w:rsidR="00FB0ACE" w:rsidRPr="008454F8" w:rsidRDefault="00FB0ACE" w:rsidP="008454F8">
            <w:pPr>
              <w:pStyle w:val="SingleTxtG"/>
              <w:spacing w:before="40"/>
              <w:ind w:left="0" w:right="0"/>
              <w:jc w:val="left"/>
            </w:pPr>
            <w:r w:rsidRPr="008454F8">
              <w:t>Evaluación del Comité:</w:t>
            </w:r>
          </w:p>
        </w:tc>
        <w:tc>
          <w:tcPr>
            <w:tcW w:w="4676" w:type="dxa"/>
            <w:tcBorders>
              <w:bottom w:val="nil"/>
            </w:tcBorders>
            <w:shd w:val="clear" w:color="auto" w:fill="auto"/>
            <w:tcMar>
              <w:right w:w="28" w:type="dxa"/>
            </w:tcMar>
            <w:vAlign w:val="bottom"/>
          </w:tcPr>
          <w:p w:rsidR="00FB0ACE" w:rsidRPr="008454F8" w:rsidRDefault="00FB0ACE" w:rsidP="008666E3">
            <w:pPr>
              <w:pStyle w:val="SingleTxtG"/>
              <w:spacing w:before="40"/>
              <w:ind w:left="0" w:right="0" w:firstLine="227"/>
            </w:pPr>
            <w:r w:rsidRPr="008454F8">
              <w:t>a)</w:t>
            </w:r>
            <w:r w:rsidRPr="008454F8">
              <w:tab/>
              <w:t>Intensificación de las investigaciones del Estado parte: B2</w:t>
            </w:r>
          </w:p>
          <w:p w:rsidR="00FB0ACE" w:rsidRPr="008454F8" w:rsidRDefault="00FB0ACE" w:rsidP="008666E3">
            <w:pPr>
              <w:pStyle w:val="SingleTxtG"/>
              <w:spacing w:before="40"/>
              <w:ind w:left="0" w:right="0" w:firstLine="227"/>
            </w:pPr>
            <w:r w:rsidRPr="008454F8">
              <w:t>b)</w:t>
            </w:r>
            <w:r w:rsidRPr="008454F8">
              <w:tab/>
              <w:t>Enjuiciamiento de los responsables: B2</w:t>
            </w:r>
          </w:p>
          <w:p w:rsidR="00FB0ACE" w:rsidRPr="008454F8" w:rsidRDefault="00FB0ACE" w:rsidP="008666E3">
            <w:pPr>
              <w:pStyle w:val="SingleTxtG"/>
              <w:spacing w:before="40"/>
              <w:ind w:left="0" w:right="0" w:firstLine="227"/>
            </w:pPr>
            <w:r w:rsidRPr="008454F8">
              <w:t>c)</w:t>
            </w:r>
            <w:r w:rsidRPr="008454F8">
              <w:tab/>
              <w:t>Concesión de una reparación efectiva: C1</w:t>
            </w:r>
          </w:p>
          <w:p w:rsidR="00FB0ACE" w:rsidRPr="008454F8" w:rsidRDefault="00FB0ACE" w:rsidP="008666E3">
            <w:pPr>
              <w:pStyle w:val="SingleTxtG"/>
              <w:spacing w:before="40"/>
              <w:ind w:left="0" w:right="0" w:firstLine="227"/>
            </w:pPr>
            <w:r w:rsidRPr="008454F8">
              <w:t>d)</w:t>
            </w:r>
            <w:r w:rsidRPr="008454F8">
              <w:tab/>
              <w:t>Concesión de una indemnización adecuada:</w:t>
            </w:r>
            <w:r w:rsidR="00C65971">
              <w:t xml:space="preserve"> </w:t>
            </w:r>
            <w:r w:rsidRPr="008454F8">
              <w:t>C1</w:t>
            </w:r>
          </w:p>
          <w:p w:rsidR="00FB0ACE" w:rsidRPr="008454F8" w:rsidRDefault="00FB0ACE" w:rsidP="008666E3">
            <w:pPr>
              <w:pStyle w:val="SingleTxtG"/>
              <w:spacing w:before="40"/>
              <w:ind w:left="0" w:right="0" w:firstLine="227"/>
            </w:pPr>
            <w:r w:rsidRPr="008454F8">
              <w:t>e)</w:t>
            </w:r>
            <w:r w:rsidRPr="008454F8">
              <w:tab/>
              <w:t>Publicación del dictamen: No se dispone de información</w:t>
            </w:r>
            <w:r w:rsidR="002B53BF">
              <w:t>.</w:t>
            </w:r>
          </w:p>
          <w:p w:rsidR="00FB0ACE" w:rsidRPr="008454F8" w:rsidRDefault="00FB0ACE" w:rsidP="008666E3">
            <w:pPr>
              <w:pStyle w:val="SingleTxtG"/>
              <w:spacing w:before="40"/>
              <w:ind w:left="0" w:right="0" w:firstLine="227"/>
            </w:pPr>
            <w:r w:rsidRPr="008454F8">
              <w:t>f)</w:t>
            </w:r>
            <w:r w:rsidRPr="008454F8">
              <w:tab/>
              <w:t>No repetición: No se dispone de información</w:t>
            </w:r>
            <w:r w:rsidR="002B53BF">
              <w:t>.</w:t>
            </w:r>
          </w:p>
        </w:tc>
      </w:tr>
      <w:tr w:rsidR="00FB0ACE" w:rsidRPr="008454F8" w:rsidTr="002B53BF">
        <w:trPr>
          <w:trHeight w:val="240"/>
        </w:trPr>
        <w:tc>
          <w:tcPr>
            <w:tcW w:w="2694" w:type="dxa"/>
            <w:tcBorders>
              <w:top w:val="nil"/>
              <w:bottom w:val="single" w:sz="12" w:space="0" w:color="auto"/>
            </w:tcBorders>
            <w:shd w:val="clear" w:color="auto" w:fill="auto"/>
          </w:tcPr>
          <w:p w:rsidR="00FB0ACE" w:rsidRPr="008454F8" w:rsidRDefault="00FB0ACE"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FB0ACE" w:rsidRPr="008454F8" w:rsidRDefault="00FB0ACE" w:rsidP="009D7E32">
            <w:pPr>
              <w:pStyle w:val="SingleTxtG"/>
              <w:spacing w:before="40"/>
              <w:ind w:left="0" w:right="0"/>
            </w:pPr>
            <w:r w:rsidRPr="008454F8">
              <w:t>Prosigue el diálogo de seguimiento.</w:t>
            </w:r>
          </w:p>
        </w:tc>
      </w:tr>
    </w:tbl>
    <w:p w:rsidR="00A76B42" w:rsidRPr="0019108A" w:rsidRDefault="00A76B42" w:rsidP="008454F8">
      <w:pPr>
        <w:pStyle w:val="H23G"/>
      </w:pPr>
      <w:r w:rsidRPr="0019108A">
        <w:lastRenderedPageBreak/>
        <w:tab/>
        <w:t>3.</w:t>
      </w:r>
      <w:r w:rsidRPr="0019108A">
        <w:tab/>
        <w:t>Camerún</w:t>
      </w: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B0ACE">
        <w:trPr>
          <w:trHeight w:val="240"/>
        </w:trPr>
        <w:tc>
          <w:tcPr>
            <w:tcW w:w="7370" w:type="dxa"/>
            <w:gridSpan w:val="2"/>
            <w:tcBorders>
              <w:top w:val="single" w:sz="4" w:space="0" w:color="auto"/>
              <w:bottom w:val="single" w:sz="12" w:space="0" w:color="auto"/>
            </w:tcBorders>
            <w:shd w:val="clear" w:color="auto" w:fill="auto"/>
            <w:vAlign w:val="bottom"/>
          </w:tcPr>
          <w:p w:rsidR="00A76B42" w:rsidRPr="00FB0ACE" w:rsidRDefault="00A76B42" w:rsidP="0058578B">
            <w:pPr>
              <w:pStyle w:val="SingleTxtG"/>
              <w:keepNext/>
              <w:spacing w:before="80" w:after="80" w:line="200" w:lineRule="exact"/>
              <w:ind w:left="0" w:right="0"/>
              <w:jc w:val="left"/>
              <w:rPr>
                <w:bCs/>
                <w:sz w:val="16"/>
              </w:rPr>
            </w:pPr>
            <w:r w:rsidRPr="00FB0ACE">
              <w:rPr>
                <w:b/>
              </w:rPr>
              <w:t xml:space="preserve">Comunicación núm. 1397/2005, </w:t>
            </w:r>
            <w:r w:rsidRPr="00FB0ACE">
              <w:rPr>
                <w:b/>
                <w:i/>
              </w:rPr>
              <w:t>Engo c. el Camerún</w:t>
            </w:r>
          </w:p>
        </w:tc>
      </w:tr>
      <w:tr w:rsidR="00FB0ACE" w:rsidRPr="008454F8" w:rsidTr="002B53BF">
        <w:trPr>
          <w:trHeight w:val="240"/>
        </w:trPr>
        <w:tc>
          <w:tcPr>
            <w:tcW w:w="2694" w:type="dxa"/>
            <w:tcBorders>
              <w:top w:val="single" w:sz="12" w:space="0" w:color="auto"/>
              <w:bottom w:val="nil"/>
              <w:right w:val="nil"/>
            </w:tcBorders>
            <w:shd w:val="clear" w:color="auto" w:fill="auto"/>
          </w:tcPr>
          <w:p w:rsidR="00FB0ACE" w:rsidRPr="008454F8" w:rsidRDefault="00FB0ACE" w:rsidP="008454F8">
            <w:pPr>
              <w:pStyle w:val="SingleTxtG"/>
              <w:spacing w:before="40"/>
              <w:ind w:left="0" w:right="0"/>
              <w:jc w:val="left"/>
            </w:pPr>
            <w:r w:rsidRPr="008454F8">
              <w:t>Fecha de aprobación del dictamen:</w:t>
            </w:r>
          </w:p>
        </w:tc>
        <w:tc>
          <w:tcPr>
            <w:tcW w:w="4676" w:type="dxa"/>
            <w:tcBorders>
              <w:top w:val="single" w:sz="12" w:space="0" w:color="auto"/>
              <w:left w:val="nil"/>
              <w:bottom w:val="nil"/>
            </w:tcBorders>
            <w:shd w:val="clear" w:color="auto" w:fill="auto"/>
            <w:tcMar>
              <w:right w:w="28" w:type="dxa"/>
            </w:tcMar>
            <w:vAlign w:val="bottom"/>
          </w:tcPr>
          <w:p w:rsidR="00FB0ACE" w:rsidRPr="008454F8" w:rsidRDefault="00FB0ACE" w:rsidP="002B53BF">
            <w:pPr>
              <w:pStyle w:val="SingleTxtG"/>
              <w:spacing w:before="40"/>
              <w:ind w:left="0" w:right="0"/>
            </w:pPr>
            <w:r w:rsidRPr="008454F8">
              <w:t>22 de julio de 2009</w:t>
            </w:r>
          </w:p>
        </w:tc>
      </w:tr>
      <w:tr w:rsidR="00FB0ACE" w:rsidRPr="008454F8" w:rsidTr="002B53BF">
        <w:trPr>
          <w:trHeight w:val="240"/>
        </w:trPr>
        <w:tc>
          <w:tcPr>
            <w:tcW w:w="2694" w:type="dxa"/>
            <w:tcBorders>
              <w:top w:val="nil"/>
              <w:bottom w:val="nil"/>
              <w:right w:val="nil"/>
            </w:tcBorders>
            <w:shd w:val="clear" w:color="auto" w:fill="auto"/>
          </w:tcPr>
          <w:p w:rsidR="00FB0ACE" w:rsidRPr="008454F8" w:rsidRDefault="00FB0ACE" w:rsidP="008454F8">
            <w:pPr>
              <w:pStyle w:val="SingleTxtG"/>
              <w:spacing w:before="40"/>
              <w:ind w:left="0" w:right="0"/>
              <w:jc w:val="left"/>
            </w:pPr>
            <w:r w:rsidRPr="008454F8">
              <w:t>Violaciones:</w:t>
            </w:r>
          </w:p>
        </w:tc>
        <w:tc>
          <w:tcPr>
            <w:tcW w:w="4676" w:type="dxa"/>
            <w:tcBorders>
              <w:top w:val="nil"/>
              <w:left w:val="nil"/>
              <w:bottom w:val="nil"/>
            </w:tcBorders>
            <w:shd w:val="clear" w:color="auto" w:fill="auto"/>
            <w:tcMar>
              <w:right w:w="28" w:type="dxa"/>
            </w:tcMar>
            <w:vAlign w:val="bottom"/>
          </w:tcPr>
          <w:p w:rsidR="00FB0ACE" w:rsidRPr="008454F8" w:rsidRDefault="00FB0ACE" w:rsidP="002B53BF">
            <w:pPr>
              <w:pStyle w:val="SingleTxtG"/>
              <w:spacing w:before="40"/>
              <w:ind w:left="0" w:right="0"/>
            </w:pPr>
            <w:r w:rsidRPr="008454F8">
              <w:t>Artículos 9, párrafos 2 y 3; 10, párrafo 1; y 14, párrafos 2 y 3 a) a d)</w:t>
            </w:r>
          </w:p>
        </w:tc>
      </w:tr>
      <w:tr w:rsidR="00FB0ACE" w:rsidRPr="008454F8" w:rsidTr="002B53BF">
        <w:trPr>
          <w:trHeight w:val="240"/>
        </w:trPr>
        <w:tc>
          <w:tcPr>
            <w:tcW w:w="2694" w:type="dxa"/>
            <w:tcBorders>
              <w:top w:val="nil"/>
              <w:bottom w:val="nil"/>
              <w:right w:val="nil"/>
            </w:tcBorders>
            <w:shd w:val="clear" w:color="auto" w:fill="auto"/>
          </w:tcPr>
          <w:p w:rsidR="00FB0ACE" w:rsidRPr="008454F8" w:rsidRDefault="00FB0ACE" w:rsidP="008454F8">
            <w:pPr>
              <w:pStyle w:val="SingleTxtG"/>
              <w:spacing w:before="40"/>
              <w:ind w:left="0" w:right="0"/>
              <w:jc w:val="left"/>
            </w:pPr>
            <w:r w:rsidRPr="008454F8">
              <w:t>Reparación:</w:t>
            </w:r>
          </w:p>
        </w:tc>
        <w:tc>
          <w:tcPr>
            <w:tcW w:w="4676" w:type="dxa"/>
            <w:tcBorders>
              <w:top w:val="nil"/>
              <w:left w:val="nil"/>
              <w:bottom w:val="nil"/>
            </w:tcBorders>
            <w:shd w:val="clear" w:color="auto" w:fill="auto"/>
            <w:tcMar>
              <w:right w:w="28" w:type="dxa"/>
            </w:tcMar>
            <w:vAlign w:val="bottom"/>
          </w:tcPr>
          <w:p w:rsidR="00FB0ACE" w:rsidRPr="008454F8" w:rsidRDefault="00FB0ACE" w:rsidP="002B53BF">
            <w:pPr>
              <w:pStyle w:val="SingleTxtG"/>
              <w:spacing w:before="40"/>
              <w:ind w:left="0" w:right="0"/>
            </w:pPr>
            <w:r w:rsidRPr="008454F8">
              <w:t>Un recurso efectivo que se traduzca en la puesta inmediata en libertad del autor y en la administración a este de un tratamiento oftalmológico adecuado.</w:t>
            </w:r>
          </w:p>
        </w:tc>
      </w:tr>
      <w:tr w:rsidR="00FB0ACE" w:rsidRPr="008454F8" w:rsidTr="002B53BF">
        <w:trPr>
          <w:trHeight w:val="240"/>
        </w:trPr>
        <w:tc>
          <w:tcPr>
            <w:tcW w:w="2694" w:type="dxa"/>
            <w:tcBorders>
              <w:top w:val="nil"/>
              <w:bottom w:val="nil"/>
              <w:right w:val="nil"/>
            </w:tcBorders>
            <w:shd w:val="clear" w:color="auto" w:fill="auto"/>
          </w:tcPr>
          <w:p w:rsidR="00FB0ACE" w:rsidRPr="008454F8" w:rsidRDefault="00FB0ACE" w:rsidP="008454F8">
            <w:pPr>
              <w:pStyle w:val="SingleTxtG"/>
              <w:spacing w:before="40"/>
              <w:ind w:left="0" w:right="0"/>
              <w:jc w:val="left"/>
            </w:pPr>
            <w:r w:rsidRPr="008454F8">
              <w:t>Anterior aparición en un informe sobre el seguimiento:</w:t>
            </w:r>
          </w:p>
        </w:tc>
        <w:tc>
          <w:tcPr>
            <w:tcW w:w="4676" w:type="dxa"/>
            <w:tcBorders>
              <w:top w:val="nil"/>
              <w:left w:val="nil"/>
              <w:bottom w:val="nil"/>
            </w:tcBorders>
            <w:shd w:val="clear" w:color="auto" w:fill="auto"/>
            <w:tcMar>
              <w:right w:w="28" w:type="dxa"/>
            </w:tcMar>
            <w:vAlign w:val="bottom"/>
          </w:tcPr>
          <w:p w:rsidR="00FB0ACE" w:rsidRPr="008454F8" w:rsidRDefault="00FB0ACE" w:rsidP="002B53BF">
            <w:pPr>
              <w:pStyle w:val="SingleTxtG"/>
              <w:spacing w:before="40"/>
              <w:ind w:left="0" w:right="0"/>
            </w:pPr>
            <w:r w:rsidRPr="008454F8">
              <w:t>CCPR/C/112/3</w:t>
            </w:r>
          </w:p>
        </w:tc>
      </w:tr>
      <w:tr w:rsidR="00FB0ACE" w:rsidRPr="008454F8" w:rsidTr="002B53BF">
        <w:trPr>
          <w:trHeight w:val="240"/>
        </w:trPr>
        <w:tc>
          <w:tcPr>
            <w:tcW w:w="2694" w:type="dxa"/>
            <w:tcBorders>
              <w:top w:val="nil"/>
              <w:bottom w:val="nil"/>
              <w:right w:val="nil"/>
            </w:tcBorders>
            <w:shd w:val="clear" w:color="auto" w:fill="auto"/>
          </w:tcPr>
          <w:p w:rsidR="00FB0ACE" w:rsidRPr="008454F8" w:rsidRDefault="00FB0ACE" w:rsidP="00F53B8E">
            <w:pPr>
              <w:pStyle w:val="SingleTxtG"/>
              <w:spacing w:before="40"/>
              <w:ind w:left="0" w:right="0"/>
              <w:jc w:val="left"/>
            </w:pPr>
            <w:r w:rsidRPr="008454F8">
              <w:t>Comunicación presentada por</w:t>
            </w:r>
            <w:r w:rsidR="00F53B8E">
              <w:t xml:space="preserve"> </w:t>
            </w:r>
            <w:r w:rsidRPr="008454F8">
              <w:t>el abogado del autor el:</w:t>
            </w:r>
          </w:p>
        </w:tc>
        <w:tc>
          <w:tcPr>
            <w:tcW w:w="4676" w:type="dxa"/>
            <w:tcBorders>
              <w:top w:val="nil"/>
              <w:left w:val="nil"/>
              <w:bottom w:val="nil"/>
            </w:tcBorders>
            <w:shd w:val="clear" w:color="auto" w:fill="auto"/>
            <w:tcMar>
              <w:right w:w="28" w:type="dxa"/>
            </w:tcMar>
            <w:vAlign w:val="bottom"/>
          </w:tcPr>
          <w:p w:rsidR="00FB0ACE" w:rsidRDefault="00FB0ACE" w:rsidP="002B53BF">
            <w:pPr>
              <w:pStyle w:val="SingleTxtG"/>
              <w:spacing w:before="40"/>
              <w:ind w:left="0" w:right="0"/>
            </w:pPr>
            <w:r w:rsidRPr="008454F8">
              <w:t>20 de septiembre de 2015</w:t>
            </w:r>
          </w:p>
          <w:p w:rsidR="00FB0ACE" w:rsidRPr="008454F8" w:rsidRDefault="00FB0ACE" w:rsidP="002B53BF">
            <w:pPr>
              <w:pStyle w:val="SingleTxtG"/>
              <w:spacing w:before="40"/>
              <w:ind w:left="0" w:right="0"/>
            </w:pPr>
            <w:r w:rsidRPr="008454F8">
              <w:t>El abogado del autor sostiene que el Camerún no ha aportado un recurso efectivo ni puesto en libertad al autor. El Estado parte no ha dado ninguna razón que justifique su negativa a cumplir el dictamen del Comité. El abogado del autor afirma que debe concederse una indemnización económica adecuada y pide que se ponga fin a la situación de impunidad.</w:t>
            </w:r>
          </w:p>
        </w:tc>
      </w:tr>
      <w:tr w:rsidR="00FB0ACE" w:rsidRPr="008454F8" w:rsidTr="002B53BF">
        <w:trPr>
          <w:trHeight w:val="240"/>
        </w:trPr>
        <w:tc>
          <w:tcPr>
            <w:tcW w:w="2694" w:type="dxa"/>
            <w:tcBorders>
              <w:top w:val="nil"/>
              <w:bottom w:val="single" w:sz="12" w:space="0" w:color="auto"/>
              <w:right w:val="nil"/>
            </w:tcBorders>
            <w:shd w:val="clear" w:color="auto" w:fill="auto"/>
          </w:tcPr>
          <w:p w:rsidR="00FB0ACE" w:rsidRPr="008454F8" w:rsidRDefault="00FB0ACE" w:rsidP="008454F8">
            <w:pPr>
              <w:pStyle w:val="SingleTxtG"/>
              <w:spacing w:before="40"/>
              <w:ind w:left="0" w:right="0"/>
              <w:jc w:val="left"/>
            </w:pPr>
            <w:r w:rsidRPr="008454F8">
              <w:t>Decisión del Comité:</w:t>
            </w:r>
          </w:p>
        </w:tc>
        <w:tc>
          <w:tcPr>
            <w:tcW w:w="4676" w:type="dxa"/>
            <w:tcBorders>
              <w:top w:val="nil"/>
              <w:left w:val="nil"/>
              <w:bottom w:val="single" w:sz="12" w:space="0" w:color="auto"/>
            </w:tcBorders>
            <w:shd w:val="clear" w:color="auto" w:fill="auto"/>
            <w:tcMar>
              <w:right w:w="28" w:type="dxa"/>
            </w:tcMar>
            <w:vAlign w:val="bottom"/>
          </w:tcPr>
          <w:p w:rsidR="00FB0ACE" w:rsidRPr="008454F8" w:rsidRDefault="00FB0ACE" w:rsidP="002B53BF">
            <w:pPr>
              <w:pStyle w:val="SingleTxtG"/>
              <w:spacing w:before="40"/>
              <w:ind w:left="0" w:right="0"/>
            </w:pPr>
            <w:r w:rsidRPr="008454F8">
              <w:t>Prosigue el diálogo de seguimiento.</w:t>
            </w:r>
          </w:p>
        </w:tc>
      </w:tr>
    </w:tbl>
    <w:p w:rsidR="00A76B42" w:rsidRPr="0019108A" w:rsidRDefault="00A76B42" w:rsidP="008454F8">
      <w:pPr>
        <w:pStyle w:val="H23G"/>
      </w:pPr>
      <w:r w:rsidRPr="0019108A">
        <w:tab/>
        <w:t>4.</w:t>
      </w:r>
      <w:r w:rsidRPr="0019108A">
        <w:tab/>
        <w:t>Canadá</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FB0ACE">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FB0ACE">
              <w:rPr>
                <w:b/>
              </w:rPr>
              <w:t xml:space="preserve">Comunicación núm. 1544/2007, </w:t>
            </w:r>
            <w:r w:rsidRPr="00CC594F">
              <w:rPr>
                <w:b/>
                <w:i/>
              </w:rPr>
              <w:t>Hamida c. el Canadá</w:t>
            </w:r>
          </w:p>
        </w:tc>
      </w:tr>
      <w:tr w:rsidR="00FB0ACE" w:rsidRPr="008454F8" w:rsidTr="002B53BF">
        <w:trPr>
          <w:trHeight w:val="240"/>
        </w:trPr>
        <w:tc>
          <w:tcPr>
            <w:tcW w:w="2694" w:type="dxa"/>
            <w:shd w:val="clear" w:color="auto" w:fill="auto"/>
          </w:tcPr>
          <w:p w:rsidR="00FB0ACE" w:rsidRPr="008454F8" w:rsidRDefault="00FB0ACE" w:rsidP="008454F8">
            <w:pPr>
              <w:pStyle w:val="SingleTxtG"/>
              <w:spacing w:before="40"/>
              <w:ind w:left="0" w:right="0"/>
              <w:jc w:val="left"/>
            </w:pPr>
            <w:r w:rsidRPr="008454F8">
              <w:t>Fe</w:t>
            </w:r>
            <w:r>
              <w:t>cha de aprobación del dictamen:</w:t>
            </w:r>
          </w:p>
        </w:tc>
        <w:tc>
          <w:tcPr>
            <w:tcW w:w="4676" w:type="dxa"/>
            <w:shd w:val="clear" w:color="auto" w:fill="auto"/>
            <w:tcMar>
              <w:right w:w="28" w:type="dxa"/>
            </w:tcMar>
            <w:vAlign w:val="bottom"/>
          </w:tcPr>
          <w:p w:rsidR="00FB0ACE" w:rsidRPr="008454F8" w:rsidRDefault="00FB0ACE" w:rsidP="009D7E32">
            <w:pPr>
              <w:pStyle w:val="SingleTxtG"/>
              <w:spacing w:before="40"/>
              <w:ind w:left="0" w:right="0"/>
            </w:pPr>
            <w:r w:rsidRPr="008454F8">
              <w:t>18 de marzo de 2010</w:t>
            </w:r>
          </w:p>
        </w:tc>
      </w:tr>
      <w:tr w:rsidR="00FB0ACE" w:rsidRPr="008454F8" w:rsidTr="002B53BF">
        <w:trPr>
          <w:trHeight w:val="240"/>
        </w:trPr>
        <w:tc>
          <w:tcPr>
            <w:tcW w:w="2694" w:type="dxa"/>
            <w:shd w:val="clear" w:color="auto" w:fill="auto"/>
          </w:tcPr>
          <w:p w:rsidR="00FB0ACE" w:rsidRPr="008454F8" w:rsidRDefault="00FB0ACE"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FB0ACE" w:rsidRPr="008454F8" w:rsidRDefault="00FB0ACE" w:rsidP="009D7E32">
            <w:pPr>
              <w:pStyle w:val="SingleTxtG"/>
              <w:spacing w:before="40"/>
              <w:ind w:left="0" w:right="0"/>
            </w:pPr>
            <w:r w:rsidRPr="008454F8">
              <w:t>Artículo 7, leído conjuntamente con el artículo 2</w:t>
            </w:r>
          </w:p>
        </w:tc>
      </w:tr>
      <w:tr w:rsidR="00FB0ACE" w:rsidRPr="008454F8" w:rsidTr="002B53BF">
        <w:trPr>
          <w:trHeight w:val="240"/>
        </w:trPr>
        <w:tc>
          <w:tcPr>
            <w:tcW w:w="2694" w:type="dxa"/>
            <w:shd w:val="clear" w:color="auto" w:fill="auto"/>
          </w:tcPr>
          <w:p w:rsidR="00FB0ACE" w:rsidRPr="008454F8" w:rsidRDefault="00FB0ACE"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FB0ACE" w:rsidRPr="008454F8" w:rsidRDefault="00FB0ACE" w:rsidP="009D7E32">
            <w:pPr>
              <w:pStyle w:val="SingleTxtG"/>
              <w:spacing w:before="40"/>
              <w:ind w:left="0" w:right="0"/>
            </w:pPr>
            <w:r w:rsidRPr="008454F8">
              <w:t>Un recurso efectivo, que comprenda la reconsideración completa de la orden de expulsión del autor, teniendo en cuenta las obligaciones que incumben al Estado parte en virtud del Pacto.</w:t>
            </w:r>
          </w:p>
        </w:tc>
      </w:tr>
      <w:tr w:rsidR="00FB0ACE" w:rsidRPr="008454F8" w:rsidTr="00C65971">
        <w:trPr>
          <w:trHeight w:val="240"/>
        </w:trPr>
        <w:tc>
          <w:tcPr>
            <w:tcW w:w="2694" w:type="dxa"/>
            <w:tcBorders>
              <w:bottom w:val="nil"/>
            </w:tcBorders>
            <w:shd w:val="clear" w:color="auto" w:fill="auto"/>
          </w:tcPr>
          <w:p w:rsidR="00FB0ACE" w:rsidRPr="008454F8" w:rsidRDefault="00FB0ACE" w:rsidP="008454F8">
            <w:pPr>
              <w:pStyle w:val="SingleTxtG"/>
              <w:spacing w:before="40"/>
              <w:ind w:left="0" w:right="0"/>
              <w:jc w:val="left"/>
            </w:pPr>
            <w:r w:rsidRPr="008454F8">
              <w:t>Anterior aparición en un informe sobre el seguimiento:</w:t>
            </w:r>
          </w:p>
        </w:tc>
        <w:tc>
          <w:tcPr>
            <w:tcW w:w="4676" w:type="dxa"/>
            <w:tcBorders>
              <w:bottom w:val="nil"/>
            </w:tcBorders>
            <w:shd w:val="clear" w:color="auto" w:fill="auto"/>
            <w:tcMar>
              <w:right w:w="28" w:type="dxa"/>
            </w:tcMar>
            <w:vAlign w:val="bottom"/>
          </w:tcPr>
          <w:p w:rsidR="00FB0ACE" w:rsidRPr="008454F8" w:rsidRDefault="00FB0ACE" w:rsidP="009D7E32">
            <w:pPr>
              <w:pStyle w:val="SingleTxtG"/>
              <w:spacing w:before="40"/>
              <w:ind w:left="0" w:right="0"/>
            </w:pPr>
            <w:r w:rsidRPr="008454F8">
              <w:t>A/66/40 (Vol. I)</w:t>
            </w:r>
          </w:p>
        </w:tc>
      </w:tr>
      <w:tr w:rsidR="00FB0ACE" w:rsidRPr="008454F8" w:rsidTr="00C65971">
        <w:trPr>
          <w:trHeight w:val="240"/>
        </w:trPr>
        <w:tc>
          <w:tcPr>
            <w:tcW w:w="2694" w:type="dxa"/>
            <w:tcBorders>
              <w:top w:val="nil"/>
              <w:bottom w:val="nil"/>
            </w:tcBorders>
            <w:shd w:val="clear" w:color="auto" w:fill="auto"/>
          </w:tcPr>
          <w:p w:rsidR="00FB0ACE" w:rsidRPr="008454F8" w:rsidRDefault="00FB0ACE" w:rsidP="00C65971">
            <w:pPr>
              <w:pStyle w:val="SingleTxtG"/>
              <w:spacing w:before="40"/>
              <w:ind w:left="0" w:right="0"/>
              <w:jc w:val="left"/>
            </w:pPr>
            <w:r w:rsidRPr="008454F8">
              <w:t>Comunicación presentada por</w:t>
            </w:r>
            <w:r w:rsidR="00C65971">
              <w:t xml:space="preserve"> </w:t>
            </w:r>
            <w:r w:rsidRPr="008454F8">
              <w:t>el abogado del autor el:</w:t>
            </w:r>
          </w:p>
        </w:tc>
        <w:tc>
          <w:tcPr>
            <w:tcW w:w="4676" w:type="dxa"/>
            <w:tcBorders>
              <w:top w:val="nil"/>
              <w:bottom w:val="nil"/>
            </w:tcBorders>
            <w:shd w:val="clear" w:color="auto" w:fill="auto"/>
            <w:tcMar>
              <w:right w:w="28" w:type="dxa"/>
            </w:tcMar>
            <w:vAlign w:val="bottom"/>
          </w:tcPr>
          <w:p w:rsidR="00FB0ACE" w:rsidRDefault="00FB0ACE" w:rsidP="009D7E32">
            <w:pPr>
              <w:pStyle w:val="SingleTxtG"/>
              <w:spacing w:before="40"/>
              <w:ind w:left="0" w:right="0"/>
            </w:pPr>
            <w:r w:rsidRPr="008454F8">
              <w:t>30 de octubre de 2015</w:t>
            </w:r>
          </w:p>
          <w:p w:rsidR="00FB0ACE" w:rsidRDefault="00FB0ACE" w:rsidP="009D7E32">
            <w:pPr>
              <w:pStyle w:val="SingleTxtG"/>
              <w:spacing w:before="40"/>
              <w:ind w:left="0" w:right="0"/>
            </w:pPr>
            <w:r w:rsidRPr="008454F8">
              <w:t>El abogado del autor sostiene que, desde la aprobación del dictamen del Comité, no se ha respetado el derecho del autor a la vida privada y familiar. En junio de 2010 se presentó una solicitud por motivos humanitarios, ya que la esposa y los hijos del autor residían en el Canadá. Una solicitud de evaluación del riesgo previa a la expulsión, presentada a finales de 2010, fue rechazada a finales de</w:t>
            </w:r>
            <w:r w:rsidR="00C65971">
              <w:t> </w:t>
            </w:r>
            <w:r w:rsidRPr="008454F8">
              <w:t xml:space="preserve">2012 debido a la presunta complicidad del autor con el anterior régimen de Túnez. El 18 de octubre de 2014, el Tribunal Federal admitió un recurso contra la decisión de denegar la evaluación del riesgo previa a la expulsión y ordenó que un agente competente en ese ámbito volviera a examinar el caso desde el principio. Todavía no se ha adoptado una decisión al respecto. Sin embargo, el autor fue convocado por la Dependencia de Seguridad y Crímenes de Guerra de la Agencia de Servicios de </w:t>
            </w:r>
            <w:r w:rsidRPr="008454F8">
              <w:lastRenderedPageBreak/>
              <w:t>Fronteras del Canadá, que lo informó de que sería expulsado aunque estuviera pendiente la revisión judicial de la decisión relativa a la evaluación del riesgo previa a la devolución.</w:t>
            </w:r>
          </w:p>
          <w:p w:rsidR="00FB0ACE" w:rsidRPr="008454F8" w:rsidRDefault="00FB0ACE" w:rsidP="009D7E32">
            <w:pPr>
              <w:pStyle w:val="SingleTxtG"/>
              <w:spacing w:before="40"/>
              <w:ind w:left="0" w:right="0"/>
            </w:pPr>
            <w:r w:rsidRPr="008454F8">
              <w:t>El 21 de octubre de 2015 se desestimó una petición de suspensión de la expulsión. Se presentó una nueva solicitud.</w:t>
            </w:r>
          </w:p>
          <w:p w:rsidR="00FB0ACE" w:rsidRPr="008454F8" w:rsidRDefault="00FB0ACE" w:rsidP="009D7E32">
            <w:pPr>
              <w:pStyle w:val="SingleTxtG"/>
              <w:spacing w:before="40"/>
              <w:ind w:left="0" w:right="0"/>
            </w:pPr>
            <w:r w:rsidRPr="008454F8">
              <w:t>El abogado del autor señala que este ha vivido durante los últimos 16 años en el Canadá, donde trabaja, y que lleva 12 años casado; que no ha cometido ningún delito; y que la decisión de expulsarlo es, por consiguiente, arbitraria y desproporcionada.</w:t>
            </w:r>
          </w:p>
        </w:tc>
      </w:tr>
      <w:tr w:rsidR="00FB0ACE" w:rsidRPr="008454F8" w:rsidTr="00C65971">
        <w:trPr>
          <w:trHeight w:val="240"/>
        </w:trPr>
        <w:tc>
          <w:tcPr>
            <w:tcW w:w="2694" w:type="dxa"/>
            <w:tcBorders>
              <w:top w:val="nil"/>
            </w:tcBorders>
            <w:shd w:val="clear" w:color="auto" w:fill="auto"/>
          </w:tcPr>
          <w:p w:rsidR="00FB0ACE" w:rsidRPr="008454F8" w:rsidRDefault="00FB0ACE" w:rsidP="00C65971">
            <w:pPr>
              <w:pStyle w:val="SingleTxtG"/>
              <w:spacing w:before="40"/>
              <w:ind w:left="0" w:right="0"/>
              <w:jc w:val="left"/>
            </w:pPr>
            <w:r w:rsidRPr="008454F8">
              <w:lastRenderedPageBreak/>
              <w:t>Comunicación presentada por</w:t>
            </w:r>
            <w:r w:rsidR="00C65971">
              <w:t xml:space="preserve"> </w:t>
            </w:r>
            <w:r w:rsidRPr="008454F8">
              <w:t>el Estado parte el:</w:t>
            </w:r>
          </w:p>
        </w:tc>
        <w:tc>
          <w:tcPr>
            <w:tcW w:w="4676" w:type="dxa"/>
            <w:tcBorders>
              <w:top w:val="nil"/>
            </w:tcBorders>
            <w:shd w:val="clear" w:color="auto" w:fill="auto"/>
            <w:tcMar>
              <w:right w:w="28" w:type="dxa"/>
            </w:tcMar>
            <w:vAlign w:val="bottom"/>
          </w:tcPr>
          <w:p w:rsidR="00FB0ACE" w:rsidRPr="008454F8" w:rsidRDefault="00FB0ACE" w:rsidP="009D7E32">
            <w:pPr>
              <w:pStyle w:val="SingleTxtG"/>
              <w:spacing w:before="40"/>
              <w:ind w:left="0" w:right="0"/>
            </w:pPr>
            <w:r w:rsidRPr="008454F8">
              <w:t>12 de enero de 2016</w:t>
            </w:r>
          </w:p>
          <w:p w:rsidR="00FB0ACE" w:rsidRPr="008454F8" w:rsidRDefault="00FB0ACE" w:rsidP="009D7E32">
            <w:pPr>
              <w:pStyle w:val="SingleTxtG"/>
              <w:spacing w:before="40"/>
              <w:ind w:left="0" w:right="0"/>
            </w:pPr>
            <w:r w:rsidRPr="008454F8">
              <w:t xml:space="preserve">El Estado parte sostiene que la expulsión del autor no contravendría el dictamen del Comité, aprobado en 2010. Desde entonces, el autor ha tenido la posibilidad de presentar varias solicitudes ante instancias administrativas y judiciales, que confirmaron que su expulsión era legal. En 2012, en el contexto de la tercera solicitud de evaluación del riesgo previa a la expulsión del autor, se determinó que no corría riesgo de tortura o persecución en Túnez. </w:t>
            </w:r>
          </w:p>
          <w:p w:rsidR="00FB0ACE" w:rsidRPr="008454F8" w:rsidRDefault="00FB0ACE" w:rsidP="009D7E32">
            <w:pPr>
              <w:pStyle w:val="SingleTxtG"/>
              <w:spacing w:before="40"/>
              <w:ind w:left="0" w:right="0"/>
            </w:pPr>
            <w:r w:rsidRPr="008454F8">
              <w:t xml:space="preserve">En 2012, en el contexto de la tercera solicitud del autor por razones humanitarias, se determinó, en un análisis de 17 páginas en el que se tenía en cuenta su matrimonio con una ciudadana canadiense, así como los artículos 17 y 23 del Pacto y la situación de los derechos humanos en Túnez, que la prohibición de entrada del autor, por su complicidad en crímenes de lesa humanidad, tenía mayor peso que las consideraciones humanitarias. </w:t>
            </w:r>
          </w:p>
          <w:p w:rsidR="00FB0ACE" w:rsidRDefault="00FB0ACE" w:rsidP="009D7E32">
            <w:pPr>
              <w:pStyle w:val="SingleTxtG"/>
              <w:spacing w:before="40"/>
              <w:ind w:left="0" w:right="0"/>
            </w:pPr>
            <w:r w:rsidRPr="008454F8">
              <w:t>En 2012, después de que el Tribunal Federal hubiera aceptado el recurso del autor, su solicitud por razones humanitarias se sometió a una nueva decisión sobre la base de la nueva jurisprudencia del Tribunal Supremo, que modificaba la apreciación de complicidad en la comisión de crímenes de lesa humanidad. La decisión en cuestión sigue pendiente.</w:t>
            </w:r>
          </w:p>
          <w:p w:rsidR="002A1D43" w:rsidRPr="008454F8" w:rsidRDefault="002A1D43" w:rsidP="009D7E32">
            <w:pPr>
              <w:pStyle w:val="SingleTxtG"/>
              <w:spacing w:before="40"/>
              <w:ind w:left="0" w:right="0"/>
            </w:pPr>
            <w:r w:rsidRPr="008454F8">
              <w:t>Aunque, en principio, sobre el autor pesa una orden de expulsión inmediata, la Agencia de Servicios de Fronteras del Canadá ha acordado suspenderla hasta que se resuelva la solicitud por razones humanitarias.</w:t>
            </w:r>
          </w:p>
          <w:p w:rsidR="002A1D43" w:rsidRPr="008454F8" w:rsidRDefault="002A1D43" w:rsidP="009D7E32">
            <w:pPr>
              <w:pStyle w:val="SingleTxtG"/>
              <w:spacing w:before="40"/>
              <w:ind w:left="0" w:right="0"/>
            </w:pPr>
            <w:r w:rsidRPr="008454F8">
              <w:t xml:space="preserve">Desde 2010, el autor ha presentado numerosas solicitudes de suspensión de la expulsión y de control judicial de las decisiones. En consecuencia, el Estado parte sostiene que ha dado satisfacción a la petición del Comité de revisar la decisión de expulsar al autor. </w:t>
            </w:r>
          </w:p>
          <w:p w:rsidR="002A1D43" w:rsidRPr="008454F8" w:rsidRDefault="002A1D43" w:rsidP="009D7E32">
            <w:pPr>
              <w:pStyle w:val="SingleTxtG"/>
              <w:spacing w:before="40"/>
              <w:ind w:left="0" w:right="0"/>
            </w:pPr>
            <w:r w:rsidRPr="008454F8">
              <w:t xml:space="preserve">Además, más allá del dictamen aprobado en 2010, el Estado parte afirma que, tras la “Revolución de los Jazmines” y el derrocamiento del régimen de Ben Ali, la situación de derechos humanos en el país ha mejorado considerablemente gracias a la aprobación de una nueva Constitución y de una ley de 2013 que prevé la creación de un mecanismo nacional de prevención de la tortura. Así pues, hoy más que nunca, la alegación del autor de </w:t>
            </w:r>
            <w:r w:rsidRPr="008454F8">
              <w:lastRenderedPageBreak/>
              <w:t>que correría riesgo de tortura en Túnez carece de credibilidad.</w:t>
            </w:r>
          </w:p>
        </w:tc>
      </w:tr>
      <w:tr w:rsidR="002A1D43" w:rsidRPr="008454F8" w:rsidTr="002B53BF">
        <w:trPr>
          <w:trHeight w:val="240"/>
        </w:trPr>
        <w:tc>
          <w:tcPr>
            <w:tcW w:w="2694" w:type="dxa"/>
            <w:tcBorders>
              <w:bottom w:val="nil"/>
            </w:tcBorders>
            <w:shd w:val="clear" w:color="auto" w:fill="auto"/>
          </w:tcPr>
          <w:p w:rsidR="002A1D43" w:rsidRPr="008454F8" w:rsidRDefault="002A1D43" w:rsidP="008454F8">
            <w:pPr>
              <w:pStyle w:val="SingleTxtG"/>
              <w:spacing w:before="40"/>
              <w:ind w:left="0" w:right="0"/>
              <w:jc w:val="left"/>
            </w:pPr>
            <w:r w:rsidRPr="008454F8">
              <w:lastRenderedPageBreak/>
              <w:t>Evaluación del Comité:</w:t>
            </w:r>
          </w:p>
        </w:tc>
        <w:tc>
          <w:tcPr>
            <w:tcW w:w="4676" w:type="dxa"/>
            <w:tcBorders>
              <w:bottom w:val="nil"/>
            </w:tcBorders>
            <w:shd w:val="clear" w:color="auto" w:fill="auto"/>
            <w:tcMar>
              <w:right w:w="28" w:type="dxa"/>
            </w:tcMar>
            <w:vAlign w:val="bottom"/>
          </w:tcPr>
          <w:p w:rsidR="002A1D43" w:rsidRPr="008454F8" w:rsidRDefault="002A1D43" w:rsidP="008666E3">
            <w:pPr>
              <w:pStyle w:val="SingleTxtG"/>
              <w:spacing w:before="40"/>
              <w:ind w:left="0" w:right="0" w:firstLine="227"/>
            </w:pPr>
            <w:r w:rsidRPr="008454F8">
              <w:t>a)</w:t>
            </w:r>
            <w:r w:rsidRPr="008454F8">
              <w:tab/>
              <w:t>Reconsideración completa de la orden de expulsión del autor: A</w:t>
            </w:r>
          </w:p>
          <w:p w:rsidR="002A1D43" w:rsidRPr="008454F8" w:rsidRDefault="002A1D43" w:rsidP="008666E3">
            <w:pPr>
              <w:pStyle w:val="SingleTxtG"/>
              <w:spacing w:before="40"/>
              <w:ind w:left="0" w:right="0" w:firstLine="227"/>
            </w:pPr>
            <w:r w:rsidRPr="008454F8">
              <w:t>b)</w:t>
            </w:r>
            <w:r w:rsidRPr="008454F8">
              <w:tab/>
              <w:t>Publicación del dictamen: No se dispone de información</w:t>
            </w:r>
            <w:r w:rsidR="002B53BF">
              <w:t>.</w:t>
            </w:r>
          </w:p>
          <w:p w:rsidR="002A1D43" w:rsidRPr="008454F8" w:rsidRDefault="002A1D43" w:rsidP="008666E3">
            <w:pPr>
              <w:pStyle w:val="SingleTxtG"/>
              <w:spacing w:before="40"/>
              <w:ind w:left="0" w:right="0" w:firstLine="227"/>
            </w:pPr>
            <w:r w:rsidRPr="008454F8">
              <w:t>c)</w:t>
            </w:r>
            <w:r w:rsidRPr="008454F8">
              <w:tab/>
              <w:t>No repetición: No se dispone de información</w:t>
            </w:r>
            <w:r w:rsidR="002B53BF">
              <w:t>.</w:t>
            </w:r>
          </w:p>
        </w:tc>
      </w:tr>
      <w:tr w:rsidR="002A1D43" w:rsidRPr="008454F8" w:rsidTr="002B53BF">
        <w:trPr>
          <w:trHeight w:val="240"/>
        </w:trPr>
        <w:tc>
          <w:tcPr>
            <w:tcW w:w="2694" w:type="dxa"/>
            <w:tcBorders>
              <w:top w:val="nil"/>
              <w:bottom w:val="single" w:sz="12" w:space="0" w:color="auto"/>
            </w:tcBorders>
            <w:shd w:val="clear" w:color="auto" w:fill="auto"/>
          </w:tcPr>
          <w:p w:rsidR="002A1D43" w:rsidRPr="008454F8" w:rsidRDefault="002A1D43"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2A1D43" w:rsidRPr="008454F8" w:rsidRDefault="002A1D43" w:rsidP="009D7E32">
            <w:pPr>
              <w:pStyle w:val="SingleTxtG"/>
              <w:spacing w:before="40"/>
              <w:ind w:left="0" w:right="0"/>
            </w:pPr>
            <w:r w:rsidRPr="008454F8">
              <w:t>Prosigue el diálogo de seguimiento.</w:t>
            </w:r>
          </w:p>
        </w:tc>
      </w:tr>
    </w:tbl>
    <w:p w:rsidR="00A76B42" w:rsidRPr="0019108A" w:rsidRDefault="00A76B42" w:rsidP="008454F8">
      <w:pPr>
        <w:pStyle w:val="H23G"/>
      </w:pPr>
      <w:r w:rsidRPr="0019108A">
        <w:tab/>
        <w:t>5.</w:t>
      </w:r>
      <w:r w:rsidRPr="0019108A">
        <w:tab/>
        <w:t>Colombia</w:t>
      </w: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C14225">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C14225">
              <w:rPr>
                <w:b/>
              </w:rPr>
              <w:t xml:space="preserve">Comunicación núm. 1611/2007, </w:t>
            </w:r>
            <w:r w:rsidRPr="00CC594F">
              <w:rPr>
                <w:b/>
                <w:i/>
              </w:rPr>
              <w:t xml:space="preserve">Bonilla Lerma c. Colombia </w:t>
            </w:r>
          </w:p>
        </w:tc>
      </w:tr>
      <w:tr w:rsidR="00C14225" w:rsidRPr="008454F8" w:rsidTr="002B53BF">
        <w:trPr>
          <w:trHeight w:val="240"/>
        </w:trPr>
        <w:tc>
          <w:tcPr>
            <w:tcW w:w="2694" w:type="dxa"/>
            <w:tcBorders>
              <w:top w:val="single" w:sz="12" w:space="0" w:color="auto"/>
              <w:bottom w:val="nil"/>
              <w:right w:val="nil"/>
            </w:tcBorders>
            <w:shd w:val="clear" w:color="auto" w:fill="auto"/>
          </w:tcPr>
          <w:p w:rsidR="00C14225" w:rsidRPr="008454F8" w:rsidRDefault="00C14225" w:rsidP="008454F8">
            <w:pPr>
              <w:pStyle w:val="SingleTxtG"/>
              <w:spacing w:before="40"/>
              <w:ind w:left="0" w:right="0"/>
              <w:jc w:val="left"/>
            </w:pPr>
            <w:r w:rsidRPr="008454F8">
              <w:t>Fecha de aprobación del dictamen:</w:t>
            </w:r>
          </w:p>
        </w:tc>
        <w:tc>
          <w:tcPr>
            <w:tcW w:w="4676" w:type="dxa"/>
            <w:tcBorders>
              <w:top w:val="single" w:sz="12" w:space="0" w:color="auto"/>
              <w:left w:val="nil"/>
              <w:bottom w:val="nil"/>
            </w:tcBorders>
            <w:shd w:val="clear" w:color="auto" w:fill="auto"/>
            <w:tcMar>
              <w:right w:w="28" w:type="dxa"/>
            </w:tcMar>
            <w:vAlign w:val="bottom"/>
          </w:tcPr>
          <w:p w:rsidR="00C14225" w:rsidRPr="008454F8" w:rsidRDefault="00C14225" w:rsidP="009D7E32">
            <w:pPr>
              <w:pStyle w:val="SingleTxtG"/>
              <w:spacing w:before="40"/>
              <w:ind w:left="0" w:right="0"/>
            </w:pPr>
            <w:r>
              <w:t>26 de julio de 2011</w:t>
            </w:r>
          </w:p>
        </w:tc>
      </w:tr>
      <w:tr w:rsidR="00C14225" w:rsidRPr="008454F8" w:rsidTr="002B53BF">
        <w:trPr>
          <w:trHeight w:val="240"/>
        </w:trPr>
        <w:tc>
          <w:tcPr>
            <w:tcW w:w="2694" w:type="dxa"/>
            <w:tcBorders>
              <w:top w:val="nil"/>
              <w:bottom w:val="nil"/>
              <w:right w:val="nil"/>
            </w:tcBorders>
            <w:shd w:val="clear" w:color="auto" w:fill="auto"/>
          </w:tcPr>
          <w:p w:rsidR="00C14225" w:rsidRPr="008454F8" w:rsidRDefault="00C14225" w:rsidP="008454F8">
            <w:pPr>
              <w:pStyle w:val="SingleTxtG"/>
              <w:spacing w:before="40"/>
              <w:ind w:left="0" w:right="0"/>
              <w:jc w:val="left"/>
            </w:pPr>
            <w:r w:rsidRPr="008454F8">
              <w:t>Violaciones:</w:t>
            </w:r>
          </w:p>
        </w:tc>
        <w:tc>
          <w:tcPr>
            <w:tcW w:w="4676" w:type="dxa"/>
            <w:tcBorders>
              <w:top w:val="nil"/>
              <w:left w:val="nil"/>
              <w:bottom w:val="nil"/>
            </w:tcBorders>
            <w:shd w:val="clear" w:color="auto" w:fill="auto"/>
            <w:tcMar>
              <w:right w:w="28" w:type="dxa"/>
            </w:tcMar>
            <w:vAlign w:val="bottom"/>
          </w:tcPr>
          <w:p w:rsidR="00C14225" w:rsidRDefault="00C14225" w:rsidP="009D7E32">
            <w:pPr>
              <w:pStyle w:val="SingleTxtG"/>
              <w:spacing w:before="40"/>
              <w:ind w:left="0" w:right="0"/>
            </w:pPr>
            <w:r>
              <w:t xml:space="preserve">Artículo 14, párrafo 1 </w:t>
            </w:r>
          </w:p>
        </w:tc>
      </w:tr>
      <w:tr w:rsidR="00C14225" w:rsidRPr="008454F8" w:rsidTr="002B53BF">
        <w:trPr>
          <w:trHeight w:val="240"/>
        </w:trPr>
        <w:tc>
          <w:tcPr>
            <w:tcW w:w="2694" w:type="dxa"/>
            <w:tcBorders>
              <w:top w:val="nil"/>
              <w:bottom w:val="nil"/>
              <w:right w:val="nil"/>
            </w:tcBorders>
            <w:shd w:val="clear" w:color="auto" w:fill="auto"/>
          </w:tcPr>
          <w:p w:rsidR="00C14225" w:rsidRPr="008454F8" w:rsidRDefault="00C14225" w:rsidP="008454F8">
            <w:pPr>
              <w:pStyle w:val="SingleTxtG"/>
              <w:spacing w:before="40"/>
              <w:ind w:left="0" w:right="0"/>
              <w:jc w:val="left"/>
            </w:pPr>
            <w:r w:rsidRPr="008454F8">
              <w:t>Reparación:</w:t>
            </w:r>
          </w:p>
        </w:tc>
        <w:tc>
          <w:tcPr>
            <w:tcW w:w="4676" w:type="dxa"/>
            <w:tcBorders>
              <w:top w:val="nil"/>
              <w:left w:val="nil"/>
              <w:bottom w:val="nil"/>
            </w:tcBorders>
            <w:shd w:val="clear" w:color="auto" w:fill="auto"/>
            <w:tcMar>
              <w:right w:w="28" w:type="dxa"/>
            </w:tcMar>
            <w:vAlign w:val="bottom"/>
          </w:tcPr>
          <w:p w:rsidR="00C14225" w:rsidRDefault="00C14225" w:rsidP="009D7E32">
            <w:pPr>
              <w:pStyle w:val="SingleTxtG"/>
              <w:spacing w:before="40"/>
              <w:ind w:left="0" w:right="0"/>
            </w:pPr>
            <w:r w:rsidRPr="008454F8">
              <w:t>Un recurso efectivo, que contemple una indemnización adecuada.</w:t>
            </w:r>
          </w:p>
        </w:tc>
      </w:tr>
      <w:tr w:rsidR="00C14225" w:rsidRPr="008454F8" w:rsidTr="002B53BF">
        <w:trPr>
          <w:trHeight w:val="240"/>
        </w:trPr>
        <w:tc>
          <w:tcPr>
            <w:tcW w:w="2694" w:type="dxa"/>
            <w:tcBorders>
              <w:top w:val="nil"/>
              <w:bottom w:val="nil"/>
              <w:right w:val="nil"/>
            </w:tcBorders>
            <w:shd w:val="clear" w:color="auto" w:fill="auto"/>
          </w:tcPr>
          <w:p w:rsidR="00C14225" w:rsidRPr="008454F8" w:rsidRDefault="00C14225" w:rsidP="008454F8">
            <w:pPr>
              <w:pStyle w:val="SingleTxtG"/>
              <w:spacing w:before="40"/>
              <w:ind w:left="0" w:right="0"/>
              <w:jc w:val="left"/>
            </w:pPr>
            <w:r w:rsidRPr="008454F8">
              <w:t>Anterior aparición en un informe sobre el seguimiento:</w:t>
            </w:r>
          </w:p>
        </w:tc>
        <w:tc>
          <w:tcPr>
            <w:tcW w:w="4676" w:type="dxa"/>
            <w:tcBorders>
              <w:top w:val="nil"/>
              <w:left w:val="nil"/>
              <w:bottom w:val="nil"/>
            </w:tcBorders>
            <w:shd w:val="clear" w:color="auto" w:fill="auto"/>
            <w:tcMar>
              <w:right w:w="28" w:type="dxa"/>
            </w:tcMar>
            <w:vAlign w:val="bottom"/>
          </w:tcPr>
          <w:p w:rsidR="00C14225" w:rsidRPr="008454F8" w:rsidRDefault="00C14225" w:rsidP="009D7E32">
            <w:pPr>
              <w:pStyle w:val="SingleTxtG"/>
              <w:spacing w:before="40"/>
              <w:ind w:left="0" w:right="0"/>
            </w:pPr>
            <w:r w:rsidRPr="008454F8">
              <w:t>CCPR/C/113/3</w:t>
            </w:r>
          </w:p>
        </w:tc>
      </w:tr>
      <w:tr w:rsidR="00C14225" w:rsidRPr="008454F8" w:rsidTr="002B53BF">
        <w:trPr>
          <w:trHeight w:val="240"/>
        </w:trPr>
        <w:tc>
          <w:tcPr>
            <w:tcW w:w="2694" w:type="dxa"/>
            <w:tcBorders>
              <w:top w:val="nil"/>
              <w:bottom w:val="nil"/>
              <w:right w:val="nil"/>
            </w:tcBorders>
            <w:shd w:val="clear" w:color="auto" w:fill="auto"/>
          </w:tcPr>
          <w:p w:rsidR="00C14225" w:rsidRPr="008454F8" w:rsidRDefault="00C14225" w:rsidP="00C65971">
            <w:pPr>
              <w:pStyle w:val="SingleTxtG"/>
              <w:spacing w:before="40"/>
              <w:ind w:left="0" w:right="0"/>
              <w:jc w:val="left"/>
            </w:pPr>
            <w:r w:rsidRPr="008454F8">
              <w:t>Comunicación presentada por</w:t>
            </w:r>
            <w:r w:rsidR="00C65971">
              <w:t xml:space="preserve"> </w:t>
            </w:r>
            <w:r w:rsidRPr="008454F8">
              <w:t>el Estado parte el:</w:t>
            </w:r>
          </w:p>
        </w:tc>
        <w:tc>
          <w:tcPr>
            <w:tcW w:w="4676" w:type="dxa"/>
            <w:tcBorders>
              <w:top w:val="nil"/>
              <w:left w:val="nil"/>
              <w:bottom w:val="nil"/>
            </w:tcBorders>
            <w:shd w:val="clear" w:color="auto" w:fill="auto"/>
            <w:tcMar>
              <w:right w:w="28" w:type="dxa"/>
            </w:tcMar>
            <w:vAlign w:val="bottom"/>
          </w:tcPr>
          <w:p w:rsidR="00C14225" w:rsidRDefault="00C14225" w:rsidP="009D7E32">
            <w:pPr>
              <w:pStyle w:val="SingleTxtG"/>
              <w:spacing w:before="40"/>
              <w:ind w:left="0" w:right="0"/>
            </w:pPr>
            <w:r w:rsidRPr="008454F8">
              <w:t>10 de abril de 2015</w:t>
            </w:r>
          </w:p>
          <w:p w:rsidR="00C14225" w:rsidRPr="008454F8" w:rsidRDefault="00C14225" w:rsidP="009D7E32">
            <w:pPr>
              <w:pStyle w:val="SingleTxtG"/>
              <w:spacing w:before="40"/>
              <w:ind w:left="0" w:right="0"/>
            </w:pPr>
            <w:r w:rsidRPr="008454F8">
              <w:t>El Estado parte afirma que tiene la voluntad de aplicar el dictamen del Comité. El Ministerio de Relaciones Exteriores está analizando la información que le ha facilitado el Consejo de Ministros.</w:t>
            </w:r>
          </w:p>
        </w:tc>
      </w:tr>
      <w:tr w:rsidR="00C14225" w:rsidRPr="008454F8" w:rsidTr="002B53BF">
        <w:trPr>
          <w:trHeight w:val="240"/>
        </w:trPr>
        <w:tc>
          <w:tcPr>
            <w:tcW w:w="2694" w:type="dxa"/>
            <w:tcBorders>
              <w:top w:val="nil"/>
              <w:bottom w:val="nil"/>
              <w:right w:val="nil"/>
            </w:tcBorders>
            <w:shd w:val="clear" w:color="auto" w:fill="auto"/>
          </w:tcPr>
          <w:p w:rsidR="00C14225" w:rsidRPr="008454F8" w:rsidRDefault="00C14225" w:rsidP="008454F8">
            <w:pPr>
              <w:pStyle w:val="SingleTxtG"/>
              <w:spacing w:before="40"/>
              <w:ind w:left="0" w:right="0"/>
              <w:jc w:val="left"/>
            </w:pPr>
            <w:r w:rsidRPr="008454F8">
              <w:t>Evaluación del Comité:</w:t>
            </w:r>
          </w:p>
        </w:tc>
        <w:tc>
          <w:tcPr>
            <w:tcW w:w="4676" w:type="dxa"/>
            <w:tcBorders>
              <w:top w:val="nil"/>
              <w:left w:val="nil"/>
              <w:bottom w:val="nil"/>
            </w:tcBorders>
            <w:shd w:val="clear" w:color="auto" w:fill="auto"/>
            <w:tcMar>
              <w:right w:w="28" w:type="dxa"/>
            </w:tcMar>
            <w:vAlign w:val="bottom"/>
          </w:tcPr>
          <w:p w:rsidR="00C14225" w:rsidRPr="008454F8" w:rsidRDefault="00C14225" w:rsidP="008666E3">
            <w:pPr>
              <w:pStyle w:val="SingleTxtG"/>
              <w:spacing w:before="40"/>
              <w:ind w:left="0" w:right="0" w:firstLine="227"/>
            </w:pPr>
            <w:r w:rsidRPr="008454F8">
              <w:t>a)</w:t>
            </w:r>
            <w:r w:rsidRPr="008454F8">
              <w:tab/>
              <w:t>Reparación: C1</w:t>
            </w:r>
          </w:p>
          <w:p w:rsidR="00C14225" w:rsidRPr="008454F8" w:rsidRDefault="00C14225" w:rsidP="008666E3">
            <w:pPr>
              <w:pStyle w:val="SingleTxtG"/>
              <w:spacing w:before="40"/>
              <w:ind w:left="0" w:right="0" w:firstLine="227"/>
            </w:pPr>
            <w:r w:rsidRPr="008454F8">
              <w:t>b)</w:t>
            </w:r>
            <w:r w:rsidRPr="008454F8">
              <w:tab/>
              <w:t>Publicación del dictamen: No se dispone de información</w:t>
            </w:r>
            <w:r w:rsidR="002B53BF">
              <w:t>.</w:t>
            </w:r>
          </w:p>
          <w:p w:rsidR="00C14225" w:rsidRPr="008454F8" w:rsidRDefault="00C14225" w:rsidP="008666E3">
            <w:pPr>
              <w:pStyle w:val="SingleTxtG"/>
              <w:spacing w:before="40"/>
              <w:ind w:left="0" w:right="0" w:firstLine="227"/>
            </w:pPr>
            <w:r w:rsidRPr="008454F8">
              <w:t>c)</w:t>
            </w:r>
            <w:r w:rsidRPr="008454F8">
              <w:tab/>
              <w:t>No repetición: C1</w:t>
            </w:r>
          </w:p>
        </w:tc>
      </w:tr>
      <w:tr w:rsidR="00C14225" w:rsidRPr="008454F8" w:rsidTr="002B53BF">
        <w:trPr>
          <w:trHeight w:val="240"/>
        </w:trPr>
        <w:tc>
          <w:tcPr>
            <w:tcW w:w="2694" w:type="dxa"/>
            <w:tcBorders>
              <w:top w:val="nil"/>
              <w:bottom w:val="single" w:sz="12" w:space="0" w:color="auto"/>
              <w:right w:val="nil"/>
            </w:tcBorders>
            <w:shd w:val="clear" w:color="auto" w:fill="auto"/>
          </w:tcPr>
          <w:p w:rsidR="00C14225" w:rsidRPr="008454F8" w:rsidRDefault="00C14225" w:rsidP="008454F8">
            <w:pPr>
              <w:pStyle w:val="SingleTxtG"/>
              <w:spacing w:before="40"/>
              <w:ind w:left="0" w:right="0"/>
              <w:jc w:val="left"/>
            </w:pPr>
            <w:r w:rsidRPr="008454F8">
              <w:t>Decisión del Comité:</w:t>
            </w:r>
            <w:r w:rsidRPr="008454F8">
              <w:tab/>
            </w:r>
          </w:p>
        </w:tc>
        <w:tc>
          <w:tcPr>
            <w:tcW w:w="4676" w:type="dxa"/>
            <w:tcBorders>
              <w:top w:val="nil"/>
              <w:left w:val="nil"/>
              <w:bottom w:val="single" w:sz="12" w:space="0" w:color="auto"/>
            </w:tcBorders>
            <w:shd w:val="clear" w:color="auto" w:fill="auto"/>
            <w:tcMar>
              <w:right w:w="28" w:type="dxa"/>
            </w:tcMar>
            <w:vAlign w:val="bottom"/>
          </w:tcPr>
          <w:p w:rsidR="00C14225" w:rsidRPr="008454F8" w:rsidRDefault="00C14225" w:rsidP="009D7E32">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C14225">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CC594F">
            <w:pPr>
              <w:pStyle w:val="SingleTxtG"/>
              <w:spacing w:before="80" w:after="80" w:line="200" w:lineRule="exact"/>
              <w:ind w:left="0" w:right="0"/>
              <w:jc w:val="left"/>
              <w:rPr>
                <w:i/>
                <w:sz w:val="16"/>
              </w:rPr>
            </w:pPr>
            <w:r w:rsidRPr="00C14225">
              <w:rPr>
                <w:b/>
              </w:rPr>
              <w:t xml:space="preserve">Comunicación núm. 1623/2007, </w:t>
            </w:r>
            <w:r w:rsidRPr="00CC594F">
              <w:rPr>
                <w:b/>
                <w:i/>
              </w:rPr>
              <w:t>Guerra de la Espriella c. Colombia</w:t>
            </w:r>
          </w:p>
        </w:tc>
      </w:tr>
      <w:tr w:rsidR="00C14225" w:rsidRPr="008454F8" w:rsidTr="002B53BF">
        <w:trPr>
          <w:trHeight w:val="240"/>
        </w:trPr>
        <w:tc>
          <w:tcPr>
            <w:tcW w:w="2694" w:type="dxa"/>
            <w:tcBorders>
              <w:top w:val="nil"/>
              <w:bottom w:val="nil"/>
            </w:tcBorders>
            <w:shd w:val="clear" w:color="auto" w:fill="auto"/>
          </w:tcPr>
          <w:p w:rsidR="00C14225" w:rsidRPr="008454F8" w:rsidRDefault="00C14225" w:rsidP="008454F8">
            <w:pPr>
              <w:pStyle w:val="SingleTxtG"/>
              <w:spacing w:before="40"/>
              <w:ind w:left="0" w:right="0"/>
              <w:jc w:val="left"/>
            </w:pPr>
            <w:r w:rsidRPr="008454F8">
              <w:t>Fecha de aprobación del dictamen:</w:t>
            </w:r>
          </w:p>
        </w:tc>
        <w:tc>
          <w:tcPr>
            <w:tcW w:w="4676" w:type="dxa"/>
            <w:tcBorders>
              <w:top w:val="nil"/>
              <w:bottom w:val="nil"/>
            </w:tcBorders>
            <w:shd w:val="clear" w:color="auto" w:fill="auto"/>
            <w:tcMar>
              <w:right w:w="28" w:type="dxa"/>
            </w:tcMar>
            <w:vAlign w:val="bottom"/>
          </w:tcPr>
          <w:p w:rsidR="00C14225" w:rsidRPr="008454F8" w:rsidRDefault="00C14225" w:rsidP="009D7E32">
            <w:pPr>
              <w:pStyle w:val="SingleTxtG"/>
              <w:spacing w:before="40"/>
              <w:ind w:left="0" w:right="0"/>
            </w:pPr>
            <w:r w:rsidRPr="008454F8">
              <w:t>18 de marzo de 2010</w:t>
            </w:r>
          </w:p>
        </w:tc>
      </w:tr>
      <w:tr w:rsidR="00C14225" w:rsidRPr="008454F8" w:rsidTr="002B53BF">
        <w:trPr>
          <w:trHeight w:val="240"/>
        </w:trPr>
        <w:tc>
          <w:tcPr>
            <w:tcW w:w="2694" w:type="dxa"/>
            <w:tcBorders>
              <w:top w:val="nil"/>
              <w:bottom w:val="nil"/>
            </w:tcBorders>
            <w:shd w:val="clear" w:color="auto" w:fill="auto"/>
          </w:tcPr>
          <w:p w:rsidR="00C14225" w:rsidRPr="008454F8" w:rsidRDefault="00C14225" w:rsidP="008454F8">
            <w:pPr>
              <w:pStyle w:val="SingleTxtG"/>
              <w:spacing w:before="40"/>
              <w:ind w:left="0" w:right="0"/>
              <w:jc w:val="left"/>
            </w:pPr>
            <w:r w:rsidRPr="008454F8">
              <w:t>Violaciones:</w:t>
            </w:r>
          </w:p>
        </w:tc>
        <w:tc>
          <w:tcPr>
            <w:tcW w:w="4676" w:type="dxa"/>
            <w:tcBorders>
              <w:top w:val="nil"/>
              <w:bottom w:val="nil"/>
            </w:tcBorders>
            <w:shd w:val="clear" w:color="auto" w:fill="auto"/>
            <w:tcMar>
              <w:right w:w="28" w:type="dxa"/>
            </w:tcMar>
            <w:vAlign w:val="bottom"/>
          </w:tcPr>
          <w:p w:rsidR="00C14225" w:rsidRPr="008454F8" w:rsidRDefault="00C14225" w:rsidP="009D7E32">
            <w:pPr>
              <w:pStyle w:val="SingleTxtG"/>
              <w:spacing w:before="40"/>
              <w:ind w:left="0" w:right="0"/>
            </w:pPr>
            <w:r w:rsidRPr="008454F8">
              <w:t>Artículo 14</w:t>
            </w:r>
          </w:p>
        </w:tc>
      </w:tr>
      <w:tr w:rsidR="00C14225" w:rsidRPr="008454F8" w:rsidTr="002B53BF">
        <w:trPr>
          <w:trHeight w:val="240"/>
        </w:trPr>
        <w:tc>
          <w:tcPr>
            <w:tcW w:w="2694" w:type="dxa"/>
            <w:tcBorders>
              <w:top w:val="nil"/>
              <w:bottom w:val="nil"/>
            </w:tcBorders>
            <w:shd w:val="clear" w:color="auto" w:fill="auto"/>
          </w:tcPr>
          <w:p w:rsidR="00C14225" w:rsidRPr="008454F8" w:rsidRDefault="00C14225" w:rsidP="008454F8">
            <w:pPr>
              <w:pStyle w:val="SingleTxtG"/>
              <w:spacing w:before="40"/>
              <w:ind w:left="0" w:right="0"/>
              <w:jc w:val="left"/>
            </w:pPr>
            <w:r w:rsidRPr="008454F8">
              <w:t>Reparación:</w:t>
            </w:r>
          </w:p>
        </w:tc>
        <w:tc>
          <w:tcPr>
            <w:tcW w:w="4676" w:type="dxa"/>
            <w:tcBorders>
              <w:top w:val="nil"/>
              <w:bottom w:val="nil"/>
            </w:tcBorders>
            <w:shd w:val="clear" w:color="auto" w:fill="auto"/>
            <w:tcMar>
              <w:right w:w="28" w:type="dxa"/>
            </w:tcMar>
            <w:vAlign w:val="bottom"/>
          </w:tcPr>
          <w:p w:rsidR="00C14225" w:rsidRPr="008454F8" w:rsidRDefault="00C14225" w:rsidP="009D7E32">
            <w:pPr>
              <w:pStyle w:val="SingleTxtG"/>
              <w:spacing w:before="40"/>
              <w:ind w:left="0" w:right="0"/>
            </w:pPr>
            <w:r w:rsidRPr="008454F8">
              <w:t>Un recurso efectivo, que contemple una indemnización adecuada.</w:t>
            </w:r>
          </w:p>
        </w:tc>
      </w:tr>
      <w:tr w:rsidR="00C14225" w:rsidRPr="008454F8" w:rsidTr="002B53BF">
        <w:trPr>
          <w:trHeight w:val="240"/>
        </w:trPr>
        <w:tc>
          <w:tcPr>
            <w:tcW w:w="2694" w:type="dxa"/>
            <w:tcBorders>
              <w:top w:val="nil"/>
              <w:bottom w:val="nil"/>
            </w:tcBorders>
            <w:shd w:val="clear" w:color="auto" w:fill="auto"/>
          </w:tcPr>
          <w:p w:rsidR="00C14225" w:rsidRPr="008454F8" w:rsidRDefault="0058578B" w:rsidP="008454F8">
            <w:pPr>
              <w:pStyle w:val="SingleTxtG"/>
              <w:spacing w:before="40"/>
              <w:ind w:left="0" w:right="0"/>
              <w:jc w:val="left"/>
            </w:pPr>
            <w:r w:rsidRPr="008454F8">
              <w:t>Anterior aparición en un informe sobre el seguimiento:</w:t>
            </w:r>
          </w:p>
        </w:tc>
        <w:tc>
          <w:tcPr>
            <w:tcW w:w="4676" w:type="dxa"/>
            <w:tcBorders>
              <w:top w:val="nil"/>
              <w:bottom w:val="nil"/>
            </w:tcBorders>
            <w:shd w:val="clear" w:color="auto" w:fill="auto"/>
            <w:tcMar>
              <w:right w:w="28" w:type="dxa"/>
            </w:tcMar>
            <w:vAlign w:val="bottom"/>
          </w:tcPr>
          <w:p w:rsidR="00C14225" w:rsidRPr="008454F8" w:rsidRDefault="0058578B" w:rsidP="009D7E32">
            <w:pPr>
              <w:pStyle w:val="SingleTxtG"/>
              <w:spacing w:before="40"/>
              <w:ind w:left="0" w:right="0"/>
            </w:pPr>
            <w:r w:rsidRPr="008454F8">
              <w:t>Primera aparición</w:t>
            </w:r>
          </w:p>
        </w:tc>
      </w:tr>
      <w:tr w:rsidR="00C14225" w:rsidRPr="008454F8" w:rsidTr="002B53BF">
        <w:trPr>
          <w:trHeight w:val="240"/>
        </w:trPr>
        <w:tc>
          <w:tcPr>
            <w:tcW w:w="2694" w:type="dxa"/>
            <w:tcBorders>
              <w:top w:val="nil"/>
              <w:bottom w:val="nil"/>
            </w:tcBorders>
            <w:shd w:val="clear" w:color="auto" w:fill="auto"/>
          </w:tcPr>
          <w:p w:rsidR="00C14225" w:rsidRPr="008454F8" w:rsidRDefault="0058578B" w:rsidP="00F53B8E">
            <w:pPr>
              <w:pStyle w:val="SingleTxtG"/>
              <w:spacing w:before="40"/>
              <w:ind w:left="0" w:right="0"/>
              <w:jc w:val="left"/>
            </w:pPr>
            <w:r w:rsidRPr="008454F8">
              <w:t>Comunicación presentada por</w:t>
            </w:r>
            <w:r w:rsidR="00F53B8E">
              <w:t xml:space="preserve"> </w:t>
            </w:r>
            <w:r w:rsidRPr="008454F8">
              <w:t>el autor el:</w:t>
            </w:r>
          </w:p>
        </w:tc>
        <w:tc>
          <w:tcPr>
            <w:tcW w:w="4676" w:type="dxa"/>
            <w:tcBorders>
              <w:top w:val="nil"/>
              <w:bottom w:val="nil"/>
            </w:tcBorders>
            <w:shd w:val="clear" w:color="auto" w:fill="auto"/>
            <w:tcMar>
              <w:right w:w="28" w:type="dxa"/>
            </w:tcMar>
            <w:vAlign w:val="bottom"/>
          </w:tcPr>
          <w:p w:rsidR="0058578B" w:rsidRDefault="0058578B" w:rsidP="009D7E32">
            <w:pPr>
              <w:pStyle w:val="SingleTxtG"/>
              <w:spacing w:before="40"/>
              <w:ind w:left="0" w:right="0"/>
            </w:pPr>
            <w:r w:rsidRPr="008454F8">
              <w:t>10 de agosto de 2015</w:t>
            </w:r>
          </w:p>
          <w:p w:rsidR="0058578B" w:rsidRPr="008454F8" w:rsidRDefault="0058578B" w:rsidP="009D7E32">
            <w:pPr>
              <w:pStyle w:val="SingleTxtG"/>
              <w:spacing w:before="40"/>
              <w:ind w:left="0" w:right="0"/>
            </w:pPr>
            <w:r w:rsidRPr="008454F8">
              <w:t xml:space="preserve">El autor señala que, debido a la negativa del Estado parte a proporcionarle un recurso efectivo y una indemnización adecuada, y en vista de que no disponía de ningún mecanismo judicial para poner en práctica el dictamen del Comité, interpuso una acción de tutela tendiente a asegurar la protección de las garantías constitucionales </w:t>
            </w:r>
            <w:r w:rsidRPr="008454F8">
              <w:lastRenderedPageBreak/>
              <w:t xml:space="preserve">inherentes al debido proceso, el derecho a un recurso judicial efectivo y el reconocimiento de la prevalencia de los tratados internacionales. </w:t>
            </w:r>
          </w:p>
          <w:p w:rsidR="0058578B" w:rsidRPr="008454F8" w:rsidRDefault="0058578B" w:rsidP="009D7E32">
            <w:pPr>
              <w:pStyle w:val="SingleTxtG"/>
              <w:spacing w:before="40"/>
              <w:ind w:left="0" w:right="0"/>
            </w:pPr>
            <w:r w:rsidRPr="008454F8">
              <w:t>El 8 de abril de 2011, la Sala Jurisdiccional Disciplinaria del Consejo Seccional de la Judicatura de Bogotá declaró la acción improcedente. El 22 de junio de 2011, en segunda instancia, la Sala Jurisdiccional Disciplinaria del Consejo Superior de la Judicatura revocó esa decisión. En</w:t>
            </w:r>
            <w:r w:rsidR="00C65971">
              <w:t> </w:t>
            </w:r>
            <w:r w:rsidRPr="008454F8">
              <w:t xml:space="preserve">2014, la Corte Constitucional confirmó la primera decisión, señalando que la acción de tutela no era la vía adecuada para aplicar las decisiones de órganos internacionales. </w:t>
            </w:r>
          </w:p>
          <w:p w:rsidR="00C14225" w:rsidRPr="008454F8" w:rsidRDefault="0058578B" w:rsidP="009D7E32">
            <w:pPr>
              <w:pStyle w:val="SingleTxtG"/>
              <w:spacing w:before="40"/>
              <w:ind w:left="0" w:right="0"/>
            </w:pPr>
            <w:r w:rsidRPr="008454F8">
              <w:t>El autor llega a la conclusión de que Colombia ha incumplido sus obligaciones internacionales.</w:t>
            </w:r>
          </w:p>
        </w:tc>
      </w:tr>
      <w:tr w:rsidR="00C14225" w:rsidRPr="008454F8" w:rsidTr="002B53BF">
        <w:trPr>
          <w:trHeight w:val="240"/>
        </w:trPr>
        <w:tc>
          <w:tcPr>
            <w:tcW w:w="2694" w:type="dxa"/>
            <w:tcBorders>
              <w:top w:val="nil"/>
              <w:bottom w:val="single" w:sz="12" w:space="0" w:color="auto"/>
            </w:tcBorders>
            <w:shd w:val="clear" w:color="auto" w:fill="auto"/>
          </w:tcPr>
          <w:p w:rsidR="00C14225" w:rsidRPr="008454F8" w:rsidRDefault="0058578B" w:rsidP="008454F8">
            <w:pPr>
              <w:pStyle w:val="SingleTxtG"/>
              <w:spacing w:before="40"/>
              <w:ind w:left="0" w:right="0"/>
              <w:jc w:val="left"/>
            </w:pPr>
            <w:r w:rsidRPr="008454F8">
              <w:lastRenderedPageBreak/>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C14225" w:rsidRPr="008454F8" w:rsidRDefault="0058578B" w:rsidP="009D7E32">
            <w:pPr>
              <w:pStyle w:val="SingleTxtG"/>
              <w:spacing w:before="40"/>
              <w:ind w:left="0" w:right="0"/>
            </w:pPr>
            <w:r w:rsidRPr="008454F8">
              <w:t>Prosigue el diálogo de seguimiento.</w:t>
            </w:r>
          </w:p>
        </w:tc>
      </w:tr>
    </w:tbl>
    <w:p w:rsidR="00A76B42" w:rsidRPr="0019108A" w:rsidRDefault="00A76B42" w:rsidP="008454F8">
      <w:pPr>
        <w:pStyle w:val="H23G"/>
      </w:pPr>
      <w:r w:rsidRPr="0019108A">
        <w:tab/>
        <w:t>6.</w:t>
      </w:r>
      <w:r w:rsidRPr="0019108A">
        <w:tab/>
        <w:t>Dinamarca</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58578B">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58578B">
              <w:rPr>
                <w:b/>
              </w:rPr>
              <w:t xml:space="preserve">Comunicación núm. 2243/2013, </w:t>
            </w:r>
            <w:r w:rsidRPr="00CC594F">
              <w:rPr>
                <w:b/>
                <w:i/>
              </w:rPr>
              <w:t>Husseini c. Dinamarca</w:t>
            </w:r>
          </w:p>
        </w:tc>
      </w:tr>
      <w:tr w:rsidR="0058578B" w:rsidRPr="008454F8" w:rsidTr="002B53BF">
        <w:trPr>
          <w:trHeight w:val="240"/>
        </w:trPr>
        <w:tc>
          <w:tcPr>
            <w:tcW w:w="2694" w:type="dxa"/>
            <w:shd w:val="clear" w:color="auto" w:fill="auto"/>
          </w:tcPr>
          <w:p w:rsidR="0058578B" w:rsidRPr="008454F8" w:rsidRDefault="0058578B"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58578B" w:rsidRPr="008454F8" w:rsidRDefault="0058578B" w:rsidP="009D7E32">
            <w:pPr>
              <w:pStyle w:val="SingleTxtG"/>
              <w:spacing w:before="40"/>
              <w:ind w:left="0" w:right="0"/>
            </w:pPr>
            <w:r w:rsidRPr="008454F8">
              <w:t>24 de octubre de 2014</w:t>
            </w:r>
          </w:p>
        </w:tc>
      </w:tr>
      <w:tr w:rsidR="00081EEC" w:rsidRPr="008454F8" w:rsidTr="002B53BF">
        <w:trPr>
          <w:trHeight w:val="240"/>
        </w:trPr>
        <w:tc>
          <w:tcPr>
            <w:tcW w:w="2694" w:type="dxa"/>
            <w:shd w:val="clear" w:color="auto" w:fill="auto"/>
          </w:tcPr>
          <w:p w:rsidR="00081EEC" w:rsidRPr="008454F8" w:rsidRDefault="00081EEC"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081EEC" w:rsidRPr="008454F8" w:rsidRDefault="00081EEC" w:rsidP="009D7E32">
            <w:pPr>
              <w:pStyle w:val="SingleTxtG"/>
              <w:spacing w:before="40"/>
              <w:ind w:left="0" w:right="0"/>
            </w:pPr>
            <w:r w:rsidRPr="008454F8">
              <w:t>Artículo 23, párrafo 1, leído conjuntamente con el artículo 24</w:t>
            </w:r>
          </w:p>
        </w:tc>
      </w:tr>
      <w:tr w:rsidR="0058578B" w:rsidRPr="008454F8" w:rsidTr="002B53BF">
        <w:trPr>
          <w:trHeight w:val="240"/>
        </w:trPr>
        <w:tc>
          <w:tcPr>
            <w:tcW w:w="2694" w:type="dxa"/>
            <w:shd w:val="clear" w:color="auto" w:fill="auto"/>
          </w:tcPr>
          <w:p w:rsidR="0058578B" w:rsidRPr="008454F8" w:rsidRDefault="00081EEC"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58578B" w:rsidRPr="008454F8" w:rsidRDefault="00081EEC" w:rsidP="009D7E32">
            <w:pPr>
              <w:pStyle w:val="SingleTxtG"/>
              <w:spacing w:before="40"/>
              <w:ind w:left="0" w:right="0"/>
            </w:pPr>
            <w:r w:rsidRPr="008454F8">
              <w:t>Un recurso efectivo que contemple la revisión de la decisión de expulsar al autor e imponerle la prohibición permanente de regresar al país, teniendo en cuenta las obligaciones que incumben al Estado parte en virtud del Pacto.</w:t>
            </w:r>
          </w:p>
        </w:tc>
      </w:tr>
      <w:tr w:rsidR="0058578B" w:rsidRPr="008454F8" w:rsidTr="002B53BF">
        <w:trPr>
          <w:trHeight w:val="240"/>
        </w:trPr>
        <w:tc>
          <w:tcPr>
            <w:tcW w:w="2694" w:type="dxa"/>
            <w:shd w:val="clear" w:color="auto" w:fill="auto"/>
          </w:tcPr>
          <w:p w:rsidR="0058578B" w:rsidRPr="008454F8" w:rsidRDefault="00081EEC" w:rsidP="008454F8">
            <w:pPr>
              <w:pStyle w:val="SingleTxtG"/>
              <w:spacing w:before="40"/>
              <w:ind w:left="0" w:right="0"/>
              <w:jc w:val="left"/>
            </w:pPr>
            <w:r w:rsidRPr="008454F8">
              <w:t>Anterior aparición en un informe sobre el seguimiento:</w:t>
            </w:r>
          </w:p>
        </w:tc>
        <w:tc>
          <w:tcPr>
            <w:tcW w:w="4676" w:type="dxa"/>
            <w:shd w:val="clear" w:color="auto" w:fill="auto"/>
            <w:tcMar>
              <w:right w:w="28" w:type="dxa"/>
            </w:tcMar>
            <w:vAlign w:val="bottom"/>
          </w:tcPr>
          <w:p w:rsidR="0058578B" w:rsidRPr="008454F8" w:rsidRDefault="00081EEC" w:rsidP="009D7E32">
            <w:pPr>
              <w:pStyle w:val="SingleTxtG"/>
              <w:spacing w:before="40"/>
              <w:ind w:left="0" w:right="0"/>
            </w:pPr>
            <w:r w:rsidRPr="008454F8">
              <w:t>CCPR/C/115/3</w:t>
            </w:r>
          </w:p>
        </w:tc>
      </w:tr>
      <w:tr w:rsidR="0058578B" w:rsidRPr="008454F8" w:rsidTr="00C65971">
        <w:trPr>
          <w:trHeight w:val="240"/>
        </w:trPr>
        <w:tc>
          <w:tcPr>
            <w:tcW w:w="2694" w:type="dxa"/>
            <w:tcBorders>
              <w:bottom w:val="nil"/>
            </w:tcBorders>
            <w:shd w:val="clear" w:color="auto" w:fill="auto"/>
          </w:tcPr>
          <w:p w:rsidR="0058578B" w:rsidRPr="008454F8" w:rsidRDefault="00081EEC" w:rsidP="00C65971">
            <w:pPr>
              <w:pStyle w:val="SingleTxtG"/>
              <w:spacing w:before="40"/>
              <w:ind w:left="0" w:right="0"/>
              <w:jc w:val="left"/>
            </w:pPr>
            <w:r w:rsidRPr="008454F8">
              <w:t>Comunicación presentada por</w:t>
            </w:r>
            <w:r w:rsidR="00C65971">
              <w:t xml:space="preserve"> </w:t>
            </w:r>
            <w:r w:rsidRPr="008454F8">
              <w:t>el abogado del autor el:</w:t>
            </w:r>
          </w:p>
        </w:tc>
        <w:tc>
          <w:tcPr>
            <w:tcW w:w="4676" w:type="dxa"/>
            <w:tcBorders>
              <w:bottom w:val="nil"/>
            </w:tcBorders>
            <w:shd w:val="clear" w:color="auto" w:fill="auto"/>
            <w:tcMar>
              <w:right w:w="28" w:type="dxa"/>
            </w:tcMar>
            <w:vAlign w:val="bottom"/>
          </w:tcPr>
          <w:p w:rsidR="0058578B" w:rsidRDefault="00081EEC" w:rsidP="009D7E32">
            <w:pPr>
              <w:pStyle w:val="SingleTxtG"/>
              <w:spacing w:before="40"/>
              <w:ind w:left="0" w:right="0"/>
            </w:pPr>
            <w:r w:rsidRPr="008454F8">
              <w:t>5 de agosto de 2015</w:t>
            </w:r>
          </w:p>
          <w:p w:rsidR="00081EEC" w:rsidRPr="008454F8" w:rsidRDefault="00081EEC" w:rsidP="009D7E32">
            <w:pPr>
              <w:pStyle w:val="SingleTxtG"/>
              <w:spacing w:before="40"/>
              <w:ind w:left="0" w:right="0"/>
            </w:pPr>
            <w:r w:rsidRPr="008454F8">
              <w:t xml:space="preserve">El abogado del autor recuerda que este fue expulsado al Afganistán el 14 de junio de 2015 pero, como las autoridades afganas se negaron a admitirlo, fue devuelto a Dinamarca el 15 de junio de 2015. </w:t>
            </w:r>
          </w:p>
          <w:p w:rsidR="00081EEC" w:rsidRPr="008454F8" w:rsidRDefault="00081EEC" w:rsidP="00C65971">
            <w:pPr>
              <w:pStyle w:val="SingleTxtG"/>
              <w:spacing w:before="40"/>
              <w:ind w:left="0" w:right="0"/>
            </w:pPr>
            <w:r w:rsidRPr="008454F8">
              <w:t>El autor recurrió infructuosamente la decisión por la que se ordenó su expulsión y se prohibió su regreso al país. La última acción que interpuso ante la Junta de Apelaciones de Inmigración fue desestimada el 29 de julio de 2015. Así pues, el autor alega que se le está denegando la protección del Estado y que es víctima de una grave injerencia de Dinamarca en sus derechos y los de sus hijos, lo que contraviene los artículos 23, párrafo</w:t>
            </w:r>
            <w:r w:rsidR="00C65971">
              <w:t> </w:t>
            </w:r>
            <w:r w:rsidRPr="008454F8">
              <w:t>1, y 24 del Pacto. Aunque ya no está privado de libertad, el autor no puede mantener una vida familiar digna, pues no tiene permiso para vivir y trabajar en Dinamarca.</w:t>
            </w:r>
          </w:p>
        </w:tc>
      </w:tr>
      <w:tr w:rsidR="0058578B" w:rsidRPr="008454F8" w:rsidTr="00C65971">
        <w:trPr>
          <w:trHeight w:val="240"/>
        </w:trPr>
        <w:tc>
          <w:tcPr>
            <w:tcW w:w="2694" w:type="dxa"/>
            <w:tcBorders>
              <w:top w:val="nil"/>
            </w:tcBorders>
            <w:shd w:val="clear" w:color="auto" w:fill="auto"/>
          </w:tcPr>
          <w:p w:rsidR="0058578B" w:rsidRPr="008454F8" w:rsidRDefault="00081EEC" w:rsidP="00C65971">
            <w:pPr>
              <w:pStyle w:val="SingleTxtG"/>
              <w:spacing w:before="40"/>
              <w:ind w:left="0" w:right="0"/>
              <w:jc w:val="left"/>
            </w:pPr>
            <w:r w:rsidRPr="008454F8">
              <w:t>Comunicación presentada por</w:t>
            </w:r>
            <w:r w:rsidR="00C65971">
              <w:t xml:space="preserve"> </w:t>
            </w:r>
            <w:r w:rsidRPr="008454F8">
              <w:t>el Estado parte el:</w:t>
            </w:r>
          </w:p>
        </w:tc>
        <w:tc>
          <w:tcPr>
            <w:tcW w:w="4676" w:type="dxa"/>
            <w:tcBorders>
              <w:top w:val="nil"/>
            </w:tcBorders>
            <w:shd w:val="clear" w:color="auto" w:fill="auto"/>
            <w:tcMar>
              <w:right w:w="28" w:type="dxa"/>
            </w:tcMar>
            <w:vAlign w:val="bottom"/>
          </w:tcPr>
          <w:p w:rsidR="0058578B" w:rsidRDefault="00081EEC" w:rsidP="009D7E32">
            <w:pPr>
              <w:pStyle w:val="SingleTxtG"/>
              <w:spacing w:before="40"/>
              <w:ind w:left="0" w:right="0"/>
            </w:pPr>
            <w:r w:rsidRPr="008454F8">
              <w:t>12 de enero de 2016</w:t>
            </w:r>
          </w:p>
          <w:p w:rsidR="00081EEC" w:rsidRPr="008454F8" w:rsidRDefault="00081EEC" w:rsidP="009D7E32">
            <w:pPr>
              <w:pStyle w:val="SingleTxtG"/>
              <w:spacing w:before="40"/>
              <w:ind w:left="0" w:right="0"/>
            </w:pPr>
            <w:r w:rsidRPr="008454F8">
              <w:t xml:space="preserve">El Estado parte considera que ha aplicado plenamente el dictamen del Comité, al presentar por segunda vez el caso del autor ante los tribunales de Dinamarca, conforme al artículo 50 de la Ley de Extranjería, y proporcionarle un </w:t>
            </w:r>
            <w:r w:rsidRPr="008454F8">
              <w:lastRenderedPageBreak/>
              <w:t>recurso efectivo, consistente en una revisión de la decisión de expulsarlo e imponerle la prohibición permanente de regresar al país en la que se tuvieron en cuenta sus nuevas circunstancias. El dictamen del Comité se tuvo en cuenta en las decisiones del Tribunal Municipal de Copenhague y el Tribunal Superior de Dinamarca Oriental, adoptadas el 17 de diciembre de</w:t>
            </w:r>
            <w:r w:rsidR="00C65971">
              <w:t> </w:t>
            </w:r>
            <w:r w:rsidRPr="008454F8">
              <w:t>2014 y el 3 de febrero de 2015 respectivamente. En esta última decisión, el Tribunal Superior de Dinamarca Oriental determinó que la expulsión del autor no contravenía el artículo 23, párrafo 1, leído conjuntamente con el artículo 24, del Pacto.</w:t>
            </w:r>
          </w:p>
          <w:p w:rsidR="00081EEC" w:rsidRPr="008454F8" w:rsidRDefault="00081EEC" w:rsidP="009D7E32">
            <w:pPr>
              <w:pStyle w:val="SingleTxtG"/>
              <w:spacing w:before="40"/>
              <w:ind w:left="0" w:right="0"/>
            </w:pPr>
            <w:r w:rsidRPr="008454F8">
              <w:t>De la decisión adoptada por la Junta de Apelaciones para Asuntos de Refugiados el 9 de junio de 2015 se desprende que el autor debe abandonar Dinamarca voluntariamente y que puede ser devuelto por la fuerza al Afganistán si no lo hace. El hecho de que las autoridades del Afganistán no hayan autorizado su entrada en territorio afgano no impide que el autor esté legalmente obligado a abandonar Dinamarca.</w:t>
            </w:r>
          </w:p>
          <w:p w:rsidR="00081EEC" w:rsidRPr="008454F8" w:rsidRDefault="00081EEC" w:rsidP="009D7E32">
            <w:pPr>
              <w:pStyle w:val="SingleTxtG"/>
              <w:spacing w:before="40"/>
              <w:ind w:left="0" w:right="0"/>
            </w:pPr>
            <w:r w:rsidRPr="008454F8">
              <w:t xml:space="preserve">El 6 de febrero de 2008, el Servicio de Inmigración de Dinamarca determinó que el autor podía alojarse en el centro de acogida de Sandholm, decisión todavía vigente. </w:t>
            </w:r>
          </w:p>
          <w:p w:rsidR="00081EEC" w:rsidRPr="008454F8" w:rsidRDefault="00081EEC" w:rsidP="009D7E32">
            <w:pPr>
              <w:pStyle w:val="SingleTxtG"/>
              <w:spacing w:before="40"/>
              <w:ind w:left="0" w:right="0"/>
            </w:pPr>
            <w:r w:rsidRPr="008454F8">
              <w:t>En su decisión de 19 de octubre de 2015, el Ministerio de Inmigración, Integración y Vivienda ordenó al autor que se personase ante la policía todos los martes y jueves a las 10.00 horas, considerando que la medida era necesaria y proporcionada para cerciorarse de la presencia del autor hasta su expulsión efectiva. En su decisión, el Ministerio tuvo en cuenta que el autor había declarado a la policía que no quería regresar voluntariamente y que anteriormente había incumplido sus obligaciones en materia de residencia y presentación ante las autoridades y se había escondido. Más allá de esas obligaciones, el autor disponía libremente de su tiempo. El autor permanece en Dinamarca hasta que abandone el país de manera voluntaria o sea expulsado por la fuerza.</w:t>
            </w:r>
          </w:p>
          <w:p w:rsidR="00081EEC" w:rsidRPr="008454F8" w:rsidRDefault="00081EEC" w:rsidP="009D7E32">
            <w:pPr>
              <w:pStyle w:val="SingleTxtG"/>
              <w:spacing w:before="40"/>
              <w:ind w:left="0" w:right="0"/>
            </w:pPr>
            <w:r w:rsidRPr="008454F8">
              <w:t>Por lo que respecta a la decisión del Servicio de Inmigración de Dinamarca, de 29 de julio de 2015, de rechazar la solicitud de reunificación familiar del autor, el Estado parte observa que, en su decisión, el Comité no entra en esa cuestión, sino que se limita a determinar si debe revisarse la decisión judicial de expulsar al autor por haber sido condenado a una pena de prisión, habida cuenta de su nueva situación familiar tras la orden de expulsión de 2005.</w:t>
            </w:r>
          </w:p>
          <w:p w:rsidR="00081EEC" w:rsidRPr="008454F8" w:rsidRDefault="00081EEC" w:rsidP="009D7E32">
            <w:pPr>
              <w:pStyle w:val="SingleTxtG"/>
              <w:spacing w:before="40"/>
              <w:ind w:left="0" w:right="0"/>
            </w:pPr>
            <w:r w:rsidRPr="008454F8">
              <w:t>El Estado parte llega a la conclusión de que ha cumplido la decisión del Comité.</w:t>
            </w:r>
          </w:p>
        </w:tc>
      </w:tr>
      <w:tr w:rsidR="0058578B" w:rsidRPr="008454F8" w:rsidTr="002B53BF">
        <w:trPr>
          <w:trHeight w:val="240"/>
        </w:trPr>
        <w:tc>
          <w:tcPr>
            <w:tcW w:w="2694" w:type="dxa"/>
            <w:tcBorders>
              <w:bottom w:val="nil"/>
            </w:tcBorders>
            <w:shd w:val="clear" w:color="auto" w:fill="auto"/>
          </w:tcPr>
          <w:p w:rsidR="0058578B" w:rsidRPr="008454F8" w:rsidRDefault="00081EEC" w:rsidP="008454F8">
            <w:pPr>
              <w:pStyle w:val="SingleTxtG"/>
              <w:spacing w:before="40"/>
              <w:ind w:left="0" w:right="0"/>
              <w:jc w:val="left"/>
            </w:pPr>
            <w:r w:rsidRPr="008454F8">
              <w:lastRenderedPageBreak/>
              <w:t>Evaluación del Comité:</w:t>
            </w:r>
          </w:p>
        </w:tc>
        <w:tc>
          <w:tcPr>
            <w:tcW w:w="4676" w:type="dxa"/>
            <w:tcBorders>
              <w:bottom w:val="nil"/>
            </w:tcBorders>
            <w:shd w:val="clear" w:color="auto" w:fill="auto"/>
            <w:tcMar>
              <w:right w:w="28" w:type="dxa"/>
            </w:tcMar>
            <w:vAlign w:val="bottom"/>
          </w:tcPr>
          <w:p w:rsidR="00081EEC" w:rsidRPr="008454F8" w:rsidRDefault="00081EEC" w:rsidP="008666E3">
            <w:pPr>
              <w:pStyle w:val="SingleTxtG"/>
              <w:spacing w:before="40"/>
              <w:ind w:left="0" w:right="0" w:firstLine="227"/>
            </w:pPr>
            <w:r w:rsidRPr="008454F8">
              <w:t>a)</w:t>
            </w:r>
            <w:r w:rsidRPr="008454F8">
              <w:tab/>
              <w:t>Un recurso efectivo que contemple la revisión de la decisión de expulsar al autor e imponerle la prohibición permanente de regresar al país: A</w:t>
            </w:r>
          </w:p>
          <w:p w:rsidR="00081EEC" w:rsidRPr="008454F8" w:rsidRDefault="00081EEC" w:rsidP="008666E3">
            <w:pPr>
              <w:pStyle w:val="SingleTxtG"/>
              <w:spacing w:before="40"/>
              <w:ind w:left="0" w:right="0" w:firstLine="227"/>
            </w:pPr>
            <w:r w:rsidRPr="008454F8">
              <w:t>b)</w:t>
            </w:r>
            <w:r w:rsidRPr="008454F8">
              <w:tab/>
              <w:t>Publicación del dictamen: A</w:t>
            </w:r>
          </w:p>
          <w:p w:rsidR="0058578B" w:rsidRPr="008454F8" w:rsidRDefault="00081EEC" w:rsidP="008666E3">
            <w:pPr>
              <w:pStyle w:val="SingleTxtG"/>
              <w:spacing w:before="40"/>
              <w:ind w:left="0" w:right="0" w:firstLine="227"/>
            </w:pPr>
            <w:r w:rsidRPr="008454F8">
              <w:t>c)</w:t>
            </w:r>
            <w:r w:rsidRPr="008454F8">
              <w:tab/>
              <w:t>No repetición: B1</w:t>
            </w:r>
          </w:p>
        </w:tc>
      </w:tr>
      <w:tr w:rsidR="00081EEC" w:rsidRPr="008454F8" w:rsidTr="002B53BF">
        <w:trPr>
          <w:trHeight w:val="240"/>
        </w:trPr>
        <w:tc>
          <w:tcPr>
            <w:tcW w:w="2694" w:type="dxa"/>
            <w:tcBorders>
              <w:top w:val="nil"/>
              <w:bottom w:val="single" w:sz="12" w:space="0" w:color="auto"/>
            </w:tcBorders>
            <w:shd w:val="clear" w:color="auto" w:fill="auto"/>
          </w:tcPr>
          <w:p w:rsidR="00081EEC" w:rsidRPr="008454F8" w:rsidRDefault="00081EEC" w:rsidP="008454F8">
            <w:pPr>
              <w:pStyle w:val="SingleTxtG"/>
              <w:spacing w:before="40"/>
              <w:ind w:left="0" w:right="0"/>
              <w:jc w:val="left"/>
            </w:pPr>
            <w:r w:rsidRPr="008454F8">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081EEC" w:rsidRPr="008454F8" w:rsidRDefault="00081EEC" w:rsidP="009D7E32">
            <w:pPr>
              <w:pStyle w:val="SingleTxtG"/>
              <w:spacing w:before="40"/>
              <w:ind w:left="0" w:right="0"/>
            </w:pPr>
            <w:r w:rsidRPr="008454F8">
              <w:t>Prosigue el diálogo de seguimiento.</w:t>
            </w:r>
          </w:p>
        </w:tc>
      </w:tr>
    </w:tbl>
    <w:p w:rsidR="00A76B42" w:rsidRPr="0019108A" w:rsidRDefault="00A76B42" w:rsidP="008454F8">
      <w:pPr>
        <w:pStyle w:val="H23G"/>
      </w:pPr>
      <w:r w:rsidRPr="0019108A">
        <w:lastRenderedPageBreak/>
        <w:tab/>
        <w:t>7.</w:t>
      </w:r>
      <w:r w:rsidRPr="0019108A">
        <w:tab/>
        <w:t>Kazajstán</w:t>
      </w: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081EEC">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081EEC">
              <w:rPr>
                <w:b/>
              </w:rPr>
              <w:t xml:space="preserve">Comunicación núm. 2137/2012, </w:t>
            </w:r>
            <w:r w:rsidRPr="00CC594F">
              <w:rPr>
                <w:b/>
                <w:i/>
              </w:rPr>
              <w:t>Toregozhina c. Kazajstán</w:t>
            </w:r>
            <w:r w:rsidRPr="008454F8">
              <w:rPr>
                <w:bCs/>
                <w:i/>
                <w:sz w:val="16"/>
              </w:rPr>
              <w:t xml:space="preserve"> </w:t>
            </w:r>
          </w:p>
        </w:tc>
      </w:tr>
      <w:tr w:rsidR="00081EEC" w:rsidRPr="008454F8" w:rsidTr="002B53BF">
        <w:trPr>
          <w:trHeight w:val="285"/>
        </w:trPr>
        <w:tc>
          <w:tcPr>
            <w:tcW w:w="2694" w:type="dxa"/>
            <w:tcBorders>
              <w:top w:val="single" w:sz="12" w:space="0" w:color="auto"/>
              <w:bottom w:val="nil"/>
              <w:right w:val="nil"/>
            </w:tcBorders>
            <w:shd w:val="clear" w:color="auto" w:fill="auto"/>
          </w:tcPr>
          <w:p w:rsidR="00081EEC" w:rsidRPr="008454F8" w:rsidRDefault="00081EEC" w:rsidP="008454F8">
            <w:pPr>
              <w:pStyle w:val="SingleTxtG"/>
              <w:spacing w:before="40"/>
              <w:ind w:left="0" w:right="0"/>
              <w:jc w:val="left"/>
            </w:pPr>
            <w:r w:rsidRPr="008454F8">
              <w:t>Fecha de aprobación del dictamen:</w:t>
            </w:r>
          </w:p>
        </w:tc>
        <w:tc>
          <w:tcPr>
            <w:tcW w:w="4676" w:type="dxa"/>
            <w:tcBorders>
              <w:top w:val="single" w:sz="12" w:space="0" w:color="auto"/>
              <w:left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17 de marzo de 2014</w:t>
            </w:r>
          </w:p>
        </w:tc>
      </w:tr>
      <w:tr w:rsidR="00081EEC" w:rsidRPr="008454F8" w:rsidTr="002B53BF">
        <w:trPr>
          <w:trHeight w:val="281"/>
        </w:trPr>
        <w:tc>
          <w:tcPr>
            <w:tcW w:w="2694" w:type="dxa"/>
            <w:tcBorders>
              <w:top w:val="nil"/>
              <w:bottom w:val="nil"/>
              <w:right w:val="nil"/>
            </w:tcBorders>
            <w:shd w:val="clear" w:color="auto" w:fill="auto"/>
          </w:tcPr>
          <w:p w:rsidR="00081EEC" w:rsidRPr="008454F8" w:rsidRDefault="00081EEC" w:rsidP="008454F8">
            <w:pPr>
              <w:pStyle w:val="SingleTxtG"/>
              <w:spacing w:before="40"/>
              <w:ind w:left="0" w:right="0"/>
              <w:jc w:val="left"/>
            </w:pPr>
            <w:r w:rsidRPr="008454F8">
              <w:t>Violaciones:</w:t>
            </w:r>
          </w:p>
        </w:tc>
        <w:tc>
          <w:tcPr>
            <w:tcW w:w="4676" w:type="dxa"/>
            <w:tcBorders>
              <w:top w:val="nil"/>
              <w:left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Artículos 9, 19 y 21</w:t>
            </w:r>
          </w:p>
        </w:tc>
      </w:tr>
      <w:tr w:rsidR="00081EEC" w:rsidRPr="008454F8" w:rsidTr="002B53BF">
        <w:trPr>
          <w:trHeight w:val="281"/>
        </w:trPr>
        <w:tc>
          <w:tcPr>
            <w:tcW w:w="2694" w:type="dxa"/>
            <w:tcBorders>
              <w:top w:val="nil"/>
              <w:bottom w:val="nil"/>
              <w:right w:val="nil"/>
            </w:tcBorders>
            <w:shd w:val="clear" w:color="auto" w:fill="auto"/>
          </w:tcPr>
          <w:p w:rsidR="00081EEC" w:rsidRPr="008454F8" w:rsidRDefault="00081EEC" w:rsidP="008454F8">
            <w:pPr>
              <w:pStyle w:val="SingleTxtG"/>
              <w:spacing w:before="40"/>
              <w:ind w:left="0" w:right="0"/>
              <w:jc w:val="left"/>
            </w:pPr>
            <w:r w:rsidRPr="008454F8">
              <w:t>Reparación:</w:t>
            </w:r>
          </w:p>
        </w:tc>
        <w:tc>
          <w:tcPr>
            <w:tcW w:w="4676" w:type="dxa"/>
            <w:tcBorders>
              <w:top w:val="nil"/>
              <w:left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Un recurso efectivo, que comprenda la revisión de la condena de la autora, y una indemnización adecuada que cubra el reembolso de sus costas procesales.</w:t>
            </w:r>
          </w:p>
        </w:tc>
      </w:tr>
      <w:tr w:rsidR="00081EEC" w:rsidRPr="008454F8" w:rsidTr="002B53BF">
        <w:trPr>
          <w:trHeight w:val="281"/>
        </w:trPr>
        <w:tc>
          <w:tcPr>
            <w:tcW w:w="2694" w:type="dxa"/>
            <w:tcBorders>
              <w:top w:val="nil"/>
              <w:bottom w:val="nil"/>
              <w:right w:val="nil"/>
            </w:tcBorders>
            <w:shd w:val="clear" w:color="auto" w:fill="auto"/>
          </w:tcPr>
          <w:p w:rsidR="00081EEC" w:rsidRPr="008454F8" w:rsidRDefault="00081EEC" w:rsidP="008454F8">
            <w:pPr>
              <w:pStyle w:val="SingleTxtG"/>
              <w:spacing w:before="40"/>
              <w:ind w:left="0" w:right="0"/>
              <w:jc w:val="left"/>
            </w:pPr>
            <w:r w:rsidRPr="008454F8">
              <w:t>Anterior aparición en un informe sobre el seguimiento:</w:t>
            </w:r>
          </w:p>
        </w:tc>
        <w:tc>
          <w:tcPr>
            <w:tcW w:w="4676" w:type="dxa"/>
            <w:tcBorders>
              <w:top w:val="nil"/>
              <w:left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CCPR/C/115/3</w:t>
            </w:r>
          </w:p>
        </w:tc>
      </w:tr>
      <w:tr w:rsidR="00081EEC" w:rsidRPr="008454F8" w:rsidTr="002B53BF">
        <w:trPr>
          <w:trHeight w:val="281"/>
        </w:trPr>
        <w:tc>
          <w:tcPr>
            <w:tcW w:w="2694" w:type="dxa"/>
            <w:tcBorders>
              <w:top w:val="nil"/>
              <w:bottom w:val="nil"/>
              <w:right w:val="nil"/>
            </w:tcBorders>
            <w:shd w:val="clear" w:color="auto" w:fill="auto"/>
          </w:tcPr>
          <w:p w:rsidR="00081EEC" w:rsidRPr="008454F8" w:rsidRDefault="00081EEC" w:rsidP="00C65971">
            <w:pPr>
              <w:pStyle w:val="SingleTxtG"/>
              <w:spacing w:before="40"/>
              <w:ind w:left="0" w:right="0"/>
              <w:jc w:val="left"/>
            </w:pPr>
            <w:r w:rsidRPr="008454F8">
              <w:t>Comunicación presentada por</w:t>
            </w:r>
            <w:r w:rsidR="00C65971">
              <w:t xml:space="preserve"> </w:t>
            </w:r>
            <w:r w:rsidRPr="008454F8">
              <w:t>el autor el:</w:t>
            </w:r>
          </w:p>
        </w:tc>
        <w:tc>
          <w:tcPr>
            <w:tcW w:w="4676" w:type="dxa"/>
            <w:tcBorders>
              <w:top w:val="nil"/>
              <w:left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16 de noviembre de 2015</w:t>
            </w:r>
          </w:p>
          <w:p w:rsidR="00081EEC" w:rsidRPr="008454F8" w:rsidRDefault="00081EEC" w:rsidP="00976505">
            <w:pPr>
              <w:pStyle w:val="SingleTxtG"/>
              <w:spacing w:before="40"/>
              <w:ind w:left="0" w:right="0"/>
            </w:pPr>
            <w:r w:rsidRPr="008454F8">
              <w:t>La autora sostiene que la Fiscalía General no está adoptando ninguna medida en relación con las siete demandas que presentó.</w:t>
            </w:r>
          </w:p>
          <w:p w:rsidR="00081EEC" w:rsidRPr="008454F8" w:rsidRDefault="00081EEC" w:rsidP="00976505">
            <w:pPr>
              <w:pStyle w:val="SingleTxtG"/>
              <w:spacing w:before="40"/>
              <w:ind w:left="0" w:right="0"/>
            </w:pPr>
            <w:r w:rsidRPr="008454F8">
              <w:t>La policía, con el apoyo de la administración local, sigue deteniendo y privando de libertad a personas que participan en reuniones pacíficas, mientras que las solicitudes de la autora de celebrar reuniones en lugares públicos son sistemáticamente denegadas por las autoridades municipales.</w:t>
            </w:r>
          </w:p>
          <w:p w:rsidR="00081EEC" w:rsidRPr="008454F8" w:rsidRDefault="00081EEC" w:rsidP="00C65971">
            <w:pPr>
              <w:pStyle w:val="SingleTxtG"/>
              <w:spacing w:before="40"/>
              <w:ind w:left="0" w:right="0"/>
            </w:pPr>
            <w:r w:rsidRPr="008454F8">
              <w:t>La autora alega que no existen mecanismos judiciales para restablecer sus derechos. El 12 de febrero de 2015, el Tribunal Administrativo Interdistrital Especial desestimó su demanda por considerar que el nuevo Código de Infracciones Administrativas se aplicaba únicamente a los casos examinados en el marco de procedimientos de revisión iniciados después del 1 de enero de 2015. La autora presentó dos nuevas demandas ante el Tribunal de Distrito de Astana, el 20 de enero de</w:t>
            </w:r>
            <w:r w:rsidR="00C65971">
              <w:t> </w:t>
            </w:r>
            <w:r w:rsidRPr="008454F8">
              <w:t>2015 y el 27 de febrero de 2015, en las que pedía al Ministerio de Finanzas que la indemnizase por las multas administrativas, las costas judiciales y los daños morales. Sus demandas fueron rechazadas al estimarse que las decisiones del Comité y el Pacto no podían tomarse en consideración. Por último, la autora interpuso un recurso de casación, que está pendiente de resolución.</w:t>
            </w:r>
          </w:p>
        </w:tc>
      </w:tr>
      <w:tr w:rsidR="00081EEC" w:rsidRPr="008454F8" w:rsidTr="002B53BF">
        <w:trPr>
          <w:trHeight w:val="281"/>
        </w:trPr>
        <w:tc>
          <w:tcPr>
            <w:tcW w:w="2694" w:type="dxa"/>
            <w:tcBorders>
              <w:top w:val="nil"/>
              <w:bottom w:val="single" w:sz="12" w:space="0" w:color="auto"/>
              <w:right w:val="nil"/>
            </w:tcBorders>
            <w:shd w:val="clear" w:color="auto" w:fill="auto"/>
          </w:tcPr>
          <w:p w:rsidR="00081EEC" w:rsidRPr="008454F8" w:rsidRDefault="00081EEC" w:rsidP="008454F8">
            <w:pPr>
              <w:pStyle w:val="SingleTxtG"/>
              <w:spacing w:before="40"/>
              <w:ind w:left="0" w:right="0"/>
              <w:jc w:val="left"/>
            </w:pPr>
            <w:r w:rsidRPr="008454F8">
              <w:t>Decisión del Comité:</w:t>
            </w:r>
          </w:p>
        </w:tc>
        <w:tc>
          <w:tcPr>
            <w:tcW w:w="4676" w:type="dxa"/>
            <w:tcBorders>
              <w:top w:val="nil"/>
              <w:left w:val="nil"/>
              <w:bottom w:val="single" w:sz="12" w:space="0" w:color="auto"/>
            </w:tcBorders>
            <w:shd w:val="clear" w:color="auto" w:fill="auto"/>
            <w:tcMar>
              <w:right w:w="28" w:type="dxa"/>
            </w:tcMar>
            <w:vAlign w:val="bottom"/>
          </w:tcPr>
          <w:p w:rsidR="00081EEC" w:rsidRPr="008454F8" w:rsidRDefault="00081EEC" w:rsidP="00976505">
            <w:pPr>
              <w:pStyle w:val="SingleTxtG"/>
              <w:spacing w:before="40"/>
              <w:ind w:left="0" w:right="0"/>
            </w:pPr>
            <w:r w:rsidRPr="008454F8">
              <w:t>Prosigue el diálogo de seguimiento.</w:t>
            </w:r>
          </w:p>
        </w:tc>
      </w:tr>
    </w:tbl>
    <w:p w:rsidR="00A76B42" w:rsidRPr="0019108A" w:rsidRDefault="00A76B42" w:rsidP="008454F8">
      <w:pPr>
        <w:pStyle w:val="H23G"/>
      </w:pPr>
      <w:r w:rsidRPr="0019108A">
        <w:tab/>
        <w:t>8.</w:t>
      </w:r>
      <w:r w:rsidRPr="0019108A">
        <w:tab/>
        <w:t>Kirguistán</w:t>
      </w:r>
    </w:p>
    <w:tbl>
      <w:tblPr>
        <w:tblW w:w="7371"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081EEC">
        <w:trPr>
          <w:trHeight w:val="240"/>
        </w:trPr>
        <w:tc>
          <w:tcPr>
            <w:tcW w:w="7371"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081EEC">
              <w:rPr>
                <w:b/>
              </w:rPr>
              <w:t xml:space="preserve">Comunicación núm. 1756/2008, </w:t>
            </w:r>
            <w:r w:rsidRPr="00CC594F">
              <w:rPr>
                <w:b/>
                <w:i/>
              </w:rPr>
              <w:t>Zhumbaeva c. Kirguistán</w:t>
            </w:r>
            <w:r w:rsidRPr="008454F8">
              <w:rPr>
                <w:bCs/>
                <w:i/>
                <w:sz w:val="16"/>
              </w:rPr>
              <w:t xml:space="preserve"> </w:t>
            </w:r>
          </w:p>
        </w:tc>
      </w:tr>
      <w:tr w:rsidR="00081EEC" w:rsidRPr="008454F8" w:rsidTr="002B53BF">
        <w:trPr>
          <w:trHeight w:val="240"/>
        </w:trPr>
        <w:tc>
          <w:tcPr>
            <w:tcW w:w="2694" w:type="dxa"/>
            <w:shd w:val="clear" w:color="auto" w:fill="auto"/>
          </w:tcPr>
          <w:p w:rsidR="00081EEC" w:rsidRPr="008454F8" w:rsidRDefault="00081EEC" w:rsidP="008454F8">
            <w:pPr>
              <w:pStyle w:val="SingleTxtG"/>
              <w:spacing w:before="40"/>
              <w:ind w:left="0" w:right="0"/>
              <w:jc w:val="left"/>
            </w:pPr>
            <w:r w:rsidRPr="008454F8">
              <w:t>Fe</w:t>
            </w:r>
            <w:r>
              <w:t>cha de aprobación del dictamen:</w:t>
            </w:r>
          </w:p>
        </w:tc>
        <w:tc>
          <w:tcPr>
            <w:tcW w:w="4677" w:type="dxa"/>
            <w:shd w:val="clear" w:color="auto" w:fill="auto"/>
            <w:tcMar>
              <w:right w:w="28" w:type="dxa"/>
            </w:tcMar>
            <w:vAlign w:val="bottom"/>
          </w:tcPr>
          <w:p w:rsidR="00081EEC" w:rsidRPr="008454F8" w:rsidRDefault="00081EEC" w:rsidP="00976505">
            <w:pPr>
              <w:pStyle w:val="SingleTxtG"/>
              <w:spacing w:before="40"/>
              <w:ind w:left="0" w:right="0"/>
            </w:pPr>
            <w:r w:rsidRPr="008454F8">
              <w:t>19 de julio de 2011</w:t>
            </w:r>
          </w:p>
        </w:tc>
      </w:tr>
      <w:tr w:rsidR="00081EEC" w:rsidRPr="008454F8" w:rsidTr="002B53BF">
        <w:trPr>
          <w:trHeight w:val="240"/>
        </w:trPr>
        <w:tc>
          <w:tcPr>
            <w:tcW w:w="2694" w:type="dxa"/>
            <w:shd w:val="clear" w:color="auto" w:fill="auto"/>
          </w:tcPr>
          <w:p w:rsidR="00081EEC" w:rsidRPr="008454F8" w:rsidRDefault="00081EEC" w:rsidP="008454F8">
            <w:pPr>
              <w:pStyle w:val="SingleTxtG"/>
              <w:spacing w:before="40"/>
              <w:ind w:left="0" w:right="0"/>
              <w:jc w:val="left"/>
            </w:pPr>
            <w:r w:rsidRPr="008454F8">
              <w:t>Violaciones:</w:t>
            </w:r>
          </w:p>
        </w:tc>
        <w:tc>
          <w:tcPr>
            <w:tcW w:w="4677" w:type="dxa"/>
            <w:shd w:val="clear" w:color="auto" w:fill="auto"/>
            <w:tcMar>
              <w:right w:w="28" w:type="dxa"/>
            </w:tcMar>
            <w:vAlign w:val="bottom"/>
          </w:tcPr>
          <w:p w:rsidR="00081EEC" w:rsidRPr="008454F8" w:rsidRDefault="00081EEC" w:rsidP="00976505">
            <w:pPr>
              <w:pStyle w:val="SingleTxtG"/>
              <w:spacing w:before="40"/>
              <w:ind w:left="0" w:right="0"/>
            </w:pPr>
            <w:r w:rsidRPr="008454F8">
              <w:t>Artículos 2, párrafo 3; 6, párrafo 1; y 7</w:t>
            </w:r>
          </w:p>
        </w:tc>
      </w:tr>
      <w:tr w:rsidR="00081EEC" w:rsidRPr="008454F8" w:rsidTr="00C65971">
        <w:trPr>
          <w:trHeight w:val="240"/>
        </w:trPr>
        <w:tc>
          <w:tcPr>
            <w:tcW w:w="2694" w:type="dxa"/>
            <w:tcBorders>
              <w:bottom w:val="nil"/>
            </w:tcBorders>
            <w:shd w:val="clear" w:color="auto" w:fill="auto"/>
          </w:tcPr>
          <w:p w:rsidR="00081EEC" w:rsidRPr="008454F8" w:rsidRDefault="00081EEC" w:rsidP="008454F8">
            <w:pPr>
              <w:pStyle w:val="SingleTxtG"/>
              <w:spacing w:before="40"/>
              <w:ind w:left="0" w:right="0"/>
              <w:jc w:val="left"/>
            </w:pPr>
            <w:r w:rsidRPr="008454F8">
              <w:t>Reparación:</w:t>
            </w:r>
          </w:p>
        </w:tc>
        <w:tc>
          <w:tcPr>
            <w:tcW w:w="4677" w:type="dxa"/>
            <w:tcBorders>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Un recurso efectivo que contemple una investigación imparcial, efectiva y pormenorizada, el enjuiciamiento de los responsables y una reparación íntegra que comprenda una indemnización apropiada.</w:t>
            </w:r>
          </w:p>
        </w:tc>
      </w:tr>
      <w:tr w:rsidR="00081EEC" w:rsidRPr="008454F8" w:rsidTr="00C65971">
        <w:trPr>
          <w:trHeight w:val="240"/>
        </w:trPr>
        <w:tc>
          <w:tcPr>
            <w:tcW w:w="2694" w:type="dxa"/>
            <w:tcBorders>
              <w:top w:val="nil"/>
            </w:tcBorders>
            <w:shd w:val="clear" w:color="auto" w:fill="auto"/>
          </w:tcPr>
          <w:p w:rsidR="00081EEC" w:rsidRPr="008454F8" w:rsidRDefault="00081EEC" w:rsidP="00C65971">
            <w:pPr>
              <w:pStyle w:val="SingleTxtG"/>
              <w:keepNext/>
              <w:keepLines/>
              <w:spacing w:before="40"/>
              <w:ind w:left="0" w:right="0"/>
              <w:jc w:val="left"/>
            </w:pPr>
            <w:r w:rsidRPr="008454F8">
              <w:lastRenderedPageBreak/>
              <w:t>Anterior aparición en un informe sobre el seguimiento:</w:t>
            </w:r>
          </w:p>
        </w:tc>
        <w:tc>
          <w:tcPr>
            <w:tcW w:w="4677" w:type="dxa"/>
            <w:tcBorders>
              <w:top w:val="nil"/>
            </w:tcBorders>
            <w:shd w:val="clear" w:color="auto" w:fill="auto"/>
            <w:tcMar>
              <w:right w:w="28" w:type="dxa"/>
            </w:tcMar>
            <w:vAlign w:val="bottom"/>
          </w:tcPr>
          <w:p w:rsidR="00081EEC" w:rsidRDefault="00081EEC" w:rsidP="00C65971">
            <w:pPr>
              <w:pStyle w:val="SingleTxtG"/>
              <w:keepNext/>
              <w:keepLines/>
              <w:spacing w:before="40"/>
              <w:ind w:left="0" w:right="0"/>
            </w:pPr>
            <w:r w:rsidRPr="008454F8">
              <w:t>CCPR/C/112/3</w:t>
            </w:r>
          </w:p>
          <w:p w:rsidR="00081EEC" w:rsidRPr="008454F8" w:rsidRDefault="00081EEC" w:rsidP="00C65971">
            <w:pPr>
              <w:pStyle w:val="SingleTxtG"/>
              <w:keepNext/>
              <w:keepLines/>
              <w:spacing w:before="40"/>
              <w:ind w:left="0" w:right="0"/>
            </w:pPr>
            <w:r w:rsidRPr="00081EEC">
              <w:rPr>
                <w:i/>
              </w:rPr>
              <w:t>Nota:</w:t>
            </w:r>
            <w:r w:rsidRPr="008454F8">
              <w:t xml:space="preserve"> Aunque tomó nota con satisfacción de las medidas positivas generales adoptadas para prevenir futuras violaciones, el Comité decidió, en su 112º período de sesiones, suspender el diálogo de seguimiento, indicando que su recomendación no se había aplicado satisfactoriamente.</w:t>
            </w:r>
          </w:p>
        </w:tc>
      </w:tr>
      <w:tr w:rsidR="00081EEC" w:rsidRPr="008454F8" w:rsidTr="002B53BF">
        <w:trPr>
          <w:trHeight w:val="240"/>
        </w:trPr>
        <w:tc>
          <w:tcPr>
            <w:tcW w:w="2694" w:type="dxa"/>
            <w:tcBorders>
              <w:bottom w:val="nil"/>
            </w:tcBorders>
            <w:shd w:val="clear" w:color="auto" w:fill="auto"/>
          </w:tcPr>
          <w:p w:rsidR="00081EEC" w:rsidRPr="008454F8" w:rsidRDefault="00081EEC" w:rsidP="008454F8">
            <w:pPr>
              <w:pStyle w:val="SingleTxtG"/>
              <w:spacing w:before="40"/>
              <w:ind w:left="0" w:right="0"/>
              <w:jc w:val="left"/>
            </w:pPr>
            <w:r w:rsidRPr="008454F8">
              <w:t>Comunicación presentada por el abogado de la autora el:</w:t>
            </w:r>
          </w:p>
        </w:tc>
        <w:tc>
          <w:tcPr>
            <w:tcW w:w="4677" w:type="dxa"/>
            <w:tcBorders>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10 de abril de 2015</w:t>
            </w:r>
          </w:p>
          <w:p w:rsidR="00081EEC" w:rsidRPr="008454F8" w:rsidRDefault="00081EEC" w:rsidP="00976505">
            <w:pPr>
              <w:pStyle w:val="SingleTxtG"/>
              <w:spacing w:before="40"/>
              <w:ind w:left="0" w:right="0"/>
            </w:pPr>
            <w:r w:rsidRPr="008454F8">
              <w:t>El abogado de la autora expresa su preocupación por la decisión adoptada por el Comité, en su 112</w:t>
            </w:r>
            <w:r w:rsidR="007532C7">
              <w:t>º</w:t>
            </w:r>
            <w:r w:rsidRPr="008454F8">
              <w:t xml:space="preserve"> período de sesiones, de suspender el diálogo en el presente caso.</w:t>
            </w:r>
          </w:p>
          <w:p w:rsidR="00081EEC" w:rsidRPr="008454F8" w:rsidRDefault="00081EEC" w:rsidP="00976505">
            <w:pPr>
              <w:pStyle w:val="SingleTxtG"/>
              <w:spacing w:before="40"/>
              <w:ind w:left="0" w:right="0"/>
            </w:pPr>
            <w:r w:rsidRPr="008454F8">
              <w:t xml:space="preserve">Tras el dictamen del Comité, en marzo de 2014 se presentó una demanda de indemnización por daños morales contra el Gobierno. Un tribunal de distrito rechazó en primera instancia la demanda; sin embargo, un hecho importante fue que el Tribunal Supremo revocó la decisión en noviembre de 2014 al considerar que vulneraba el derecho material y formal. La demanda ha sido devuelta al tribunal de primera instancia para que siga examinando el fondo de la cuestión. En vista de esa decisión, el abogado de la autora confía en la posibilidad de que se conceda la indemnización. </w:t>
            </w:r>
          </w:p>
          <w:p w:rsidR="00081EEC" w:rsidRPr="008454F8" w:rsidRDefault="00081EEC" w:rsidP="00976505">
            <w:pPr>
              <w:pStyle w:val="SingleTxtG"/>
              <w:spacing w:before="40"/>
              <w:ind w:left="0" w:right="0"/>
            </w:pPr>
            <w:r w:rsidRPr="008454F8">
              <w:t>El artículo 41, párrafo 2, de la Constitución establece expresamente que el Estado debe ofrecer reparación e indemnización en los casos de violaciones de los derechos humanos. Aunque esa disposición nunca ha sido aplicada con anterioridad, sentaría un precedente judicial importante y abriría también nuevas posibilidades de promoción de los derechos humanos. El apoyo del Comité mediante un proceso de seguimiento activo y constante es, por lo tanto, crucial, y la suspensión del diálogo en esta etapa haría que desapareciese una importante forma de supervisión. El abogado de la autora pide, pues, al Comité que reanude el diálogo de seguimiento activo en este caso.</w:t>
            </w:r>
          </w:p>
        </w:tc>
      </w:tr>
      <w:tr w:rsidR="00081EEC" w:rsidRPr="008454F8" w:rsidTr="002B53BF">
        <w:trPr>
          <w:trHeight w:val="240"/>
        </w:trPr>
        <w:tc>
          <w:tcPr>
            <w:tcW w:w="2694" w:type="dxa"/>
            <w:tcBorders>
              <w:top w:val="nil"/>
              <w:bottom w:val="single" w:sz="12" w:space="0" w:color="auto"/>
            </w:tcBorders>
            <w:shd w:val="clear" w:color="auto" w:fill="auto"/>
          </w:tcPr>
          <w:p w:rsidR="00081EEC" w:rsidRPr="008454F8" w:rsidRDefault="00081EEC" w:rsidP="008454F8">
            <w:pPr>
              <w:pStyle w:val="SingleTxtG"/>
              <w:spacing w:before="40"/>
              <w:ind w:left="0" w:right="0"/>
              <w:jc w:val="left"/>
            </w:pPr>
            <w:r w:rsidRPr="008454F8">
              <w:t>Decisión del Comité:</w:t>
            </w:r>
            <w:r w:rsidRPr="008454F8">
              <w:tab/>
            </w:r>
          </w:p>
        </w:tc>
        <w:tc>
          <w:tcPr>
            <w:tcW w:w="4677" w:type="dxa"/>
            <w:tcBorders>
              <w:top w:val="nil"/>
              <w:bottom w:val="single" w:sz="12" w:space="0" w:color="auto"/>
            </w:tcBorders>
            <w:shd w:val="clear" w:color="auto" w:fill="auto"/>
            <w:tcMar>
              <w:right w:w="28" w:type="dxa"/>
            </w:tcMar>
            <w:vAlign w:val="bottom"/>
          </w:tcPr>
          <w:p w:rsidR="00081EEC" w:rsidRPr="008454F8" w:rsidRDefault="00081EEC" w:rsidP="00976505">
            <w:pPr>
              <w:pStyle w:val="SingleTxtG"/>
              <w:spacing w:before="40"/>
              <w:ind w:left="0" w:right="0"/>
            </w:pPr>
            <w:r w:rsidRPr="008454F8">
              <w:t>Reanudar el diálogo de seguimiento en este caso e informar de ello a las dos partes.</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081EEC">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081EEC">
              <w:rPr>
                <w:b/>
              </w:rPr>
              <w:t xml:space="preserve">Comunicación núm. 1402/2005, </w:t>
            </w:r>
            <w:r w:rsidRPr="00CC594F">
              <w:rPr>
                <w:b/>
                <w:i/>
              </w:rPr>
              <w:t>Krasnov c. Kirguistán</w:t>
            </w:r>
          </w:p>
        </w:tc>
      </w:tr>
      <w:tr w:rsidR="00081EEC" w:rsidRPr="008454F8" w:rsidTr="009976B8">
        <w:trPr>
          <w:trHeight w:val="240"/>
        </w:trPr>
        <w:tc>
          <w:tcPr>
            <w:tcW w:w="2694" w:type="dxa"/>
            <w:tcBorders>
              <w:top w:val="nil"/>
              <w:bottom w:val="nil"/>
            </w:tcBorders>
            <w:shd w:val="clear" w:color="auto" w:fill="auto"/>
          </w:tcPr>
          <w:p w:rsidR="00081EEC" w:rsidRPr="008454F8" w:rsidRDefault="00081EEC" w:rsidP="008454F8">
            <w:pPr>
              <w:pStyle w:val="SingleTxtG"/>
              <w:spacing w:before="40"/>
              <w:ind w:left="0" w:right="0"/>
              <w:jc w:val="left"/>
            </w:pPr>
            <w:r w:rsidRPr="008454F8">
              <w:t>Fecha de aprobación del dictamen:</w:t>
            </w:r>
          </w:p>
        </w:tc>
        <w:tc>
          <w:tcPr>
            <w:tcW w:w="4676" w:type="dxa"/>
            <w:tcBorders>
              <w:top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29 de marzo de 2011</w:t>
            </w:r>
          </w:p>
        </w:tc>
      </w:tr>
      <w:tr w:rsidR="00081EEC" w:rsidRPr="008454F8" w:rsidTr="009976B8">
        <w:trPr>
          <w:trHeight w:val="240"/>
        </w:trPr>
        <w:tc>
          <w:tcPr>
            <w:tcW w:w="2694" w:type="dxa"/>
            <w:tcBorders>
              <w:top w:val="nil"/>
              <w:bottom w:val="nil"/>
            </w:tcBorders>
            <w:shd w:val="clear" w:color="auto" w:fill="auto"/>
          </w:tcPr>
          <w:p w:rsidR="00081EEC" w:rsidRPr="008454F8" w:rsidRDefault="00081EEC" w:rsidP="008454F8">
            <w:pPr>
              <w:pStyle w:val="SingleTxtG"/>
              <w:spacing w:before="40"/>
              <w:ind w:left="0" w:right="0"/>
              <w:jc w:val="left"/>
            </w:pPr>
            <w:r w:rsidRPr="008454F8">
              <w:t>Violaciones:</w:t>
            </w:r>
          </w:p>
        </w:tc>
        <w:tc>
          <w:tcPr>
            <w:tcW w:w="4676" w:type="dxa"/>
            <w:tcBorders>
              <w:top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Artículos 7; 9, párrafo 2; y 14, párrafos 1 y 3 b) y c)</w:t>
            </w:r>
          </w:p>
        </w:tc>
      </w:tr>
      <w:tr w:rsidR="00081EEC" w:rsidRPr="008454F8" w:rsidTr="009976B8">
        <w:trPr>
          <w:trHeight w:val="240"/>
        </w:trPr>
        <w:tc>
          <w:tcPr>
            <w:tcW w:w="2694" w:type="dxa"/>
            <w:tcBorders>
              <w:top w:val="nil"/>
              <w:bottom w:val="nil"/>
            </w:tcBorders>
            <w:shd w:val="clear" w:color="auto" w:fill="auto"/>
          </w:tcPr>
          <w:p w:rsidR="00081EEC" w:rsidRPr="008454F8" w:rsidRDefault="00081EEC" w:rsidP="008454F8">
            <w:pPr>
              <w:pStyle w:val="SingleTxtG"/>
              <w:spacing w:before="40"/>
              <w:ind w:left="0" w:right="0"/>
              <w:jc w:val="left"/>
            </w:pPr>
            <w:r w:rsidRPr="008454F8">
              <w:t>Reparación:</w:t>
            </w:r>
          </w:p>
        </w:tc>
        <w:tc>
          <w:tcPr>
            <w:tcW w:w="4676" w:type="dxa"/>
            <w:tcBorders>
              <w:top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Un recurso efectivo, que entrañe la revisión de la condena del hijo de la autora tomando en consideración las disposiciones del Pacto, y una indemnización adecuada.</w:t>
            </w:r>
          </w:p>
        </w:tc>
      </w:tr>
      <w:tr w:rsidR="00081EEC" w:rsidRPr="008454F8" w:rsidTr="009976B8">
        <w:trPr>
          <w:trHeight w:val="240"/>
        </w:trPr>
        <w:tc>
          <w:tcPr>
            <w:tcW w:w="2694" w:type="dxa"/>
            <w:tcBorders>
              <w:top w:val="nil"/>
              <w:bottom w:val="nil"/>
            </w:tcBorders>
            <w:shd w:val="clear" w:color="auto" w:fill="auto"/>
          </w:tcPr>
          <w:p w:rsidR="00081EEC" w:rsidRPr="008454F8" w:rsidRDefault="00081EEC" w:rsidP="008454F8">
            <w:pPr>
              <w:pStyle w:val="SingleTxtG"/>
              <w:spacing w:before="40"/>
              <w:ind w:left="0" w:right="0"/>
              <w:jc w:val="left"/>
            </w:pPr>
            <w:r w:rsidRPr="008454F8">
              <w:t>Anterior aparición en un informe sobre el seguimiento:</w:t>
            </w:r>
          </w:p>
        </w:tc>
        <w:tc>
          <w:tcPr>
            <w:tcW w:w="4676" w:type="dxa"/>
            <w:tcBorders>
              <w:top w:val="nil"/>
              <w:bottom w:val="nil"/>
            </w:tcBorders>
            <w:shd w:val="clear" w:color="auto" w:fill="auto"/>
            <w:tcMar>
              <w:right w:w="28" w:type="dxa"/>
            </w:tcMar>
            <w:vAlign w:val="bottom"/>
          </w:tcPr>
          <w:p w:rsidR="00081EEC" w:rsidRPr="008454F8" w:rsidRDefault="00081EEC" w:rsidP="00976505">
            <w:pPr>
              <w:pStyle w:val="SingleTxtG"/>
              <w:spacing w:before="40"/>
              <w:ind w:left="0" w:right="0"/>
            </w:pPr>
            <w:r w:rsidRPr="008454F8">
              <w:t>A/66/40</w:t>
            </w:r>
          </w:p>
        </w:tc>
      </w:tr>
      <w:tr w:rsidR="00081EEC" w:rsidRPr="008454F8" w:rsidTr="009976B8">
        <w:trPr>
          <w:trHeight w:val="240"/>
        </w:trPr>
        <w:tc>
          <w:tcPr>
            <w:tcW w:w="2694" w:type="dxa"/>
            <w:tcBorders>
              <w:top w:val="nil"/>
              <w:bottom w:val="nil"/>
            </w:tcBorders>
            <w:shd w:val="clear" w:color="auto" w:fill="auto"/>
          </w:tcPr>
          <w:p w:rsidR="00081EEC" w:rsidRPr="008454F8" w:rsidRDefault="009D7E32" w:rsidP="00C65971">
            <w:pPr>
              <w:pStyle w:val="SingleTxtG"/>
              <w:keepNext/>
              <w:keepLines/>
              <w:spacing w:before="40"/>
              <w:ind w:left="0" w:right="0"/>
              <w:jc w:val="left"/>
            </w:pPr>
            <w:r w:rsidRPr="008454F8">
              <w:lastRenderedPageBreak/>
              <w:t>Comunicación presentada por</w:t>
            </w:r>
            <w:r w:rsidR="00C65971">
              <w:t xml:space="preserve"> </w:t>
            </w:r>
            <w:r w:rsidR="009976B8">
              <w:t>la autora el:</w:t>
            </w:r>
          </w:p>
        </w:tc>
        <w:tc>
          <w:tcPr>
            <w:tcW w:w="4676" w:type="dxa"/>
            <w:tcBorders>
              <w:top w:val="nil"/>
              <w:bottom w:val="nil"/>
            </w:tcBorders>
            <w:shd w:val="clear" w:color="auto" w:fill="auto"/>
            <w:tcMar>
              <w:right w:w="28" w:type="dxa"/>
            </w:tcMar>
            <w:vAlign w:val="bottom"/>
          </w:tcPr>
          <w:p w:rsidR="009D7E32" w:rsidRPr="008454F8" w:rsidRDefault="009D7E32" w:rsidP="00C65971">
            <w:pPr>
              <w:pStyle w:val="SingleTxtG"/>
              <w:keepNext/>
              <w:keepLines/>
              <w:spacing w:before="40"/>
              <w:ind w:left="0" w:right="0"/>
            </w:pPr>
            <w:r w:rsidRPr="008454F8">
              <w:t>29 de marzo de 2015</w:t>
            </w:r>
          </w:p>
          <w:p w:rsidR="00081EEC" w:rsidRPr="008454F8" w:rsidRDefault="009D7E32" w:rsidP="00C65971">
            <w:pPr>
              <w:pStyle w:val="SingleTxtG"/>
              <w:keepNext/>
              <w:keepLines/>
              <w:spacing w:before="40"/>
              <w:ind w:left="0" w:right="0"/>
            </w:pPr>
            <w:r w:rsidRPr="008454F8">
              <w:t>La autora informa al Comité de que su hijo ha obtenido asilo en la Federación de Rusia y de que ella está tratando de reabrir el caso con el apoyo de la Oficina Regional de la Oficina del Alto Comisionado de las Naciones Unidas para los Derechos Humanos (ACNUDH) en Kirguistán.</w:t>
            </w:r>
          </w:p>
        </w:tc>
      </w:tr>
      <w:tr w:rsidR="009D7E32" w:rsidRPr="008454F8" w:rsidTr="009976B8">
        <w:trPr>
          <w:trHeight w:val="240"/>
        </w:trPr>
        <w:tc>
          <w:tcPr>
            <w:tcW w:w="2694" w:type="dxa"/>
            <w:tcBorders>
              <w:top w:val="nil"/>
              <w:bottom w:val="nil"/>
            </w:tcBorders>
            <w:shd w:val="clear" w:color="auto" w:fill="auto"/>
          </w:tcPr>
          <w:p w:rsidR="009D7E32" w:rsidRPr="008454F8" w:rsidRDefault="009D7E32" w:rsidP="008454F8">
            <w:pPr>
              <w:pStyle w:val="SingleTxtG"/>
              <w:spacing w:before="40"/>
              <w:ind w:left="0" w:right="0"/>
              <w:jc w:val="left"/>
            </w:pPr>
            <w:r w:rsidRPr="008454F8">
              <w:t>Comunicación presentada por el Estado parte el:</w:t>
            </w:r>
          </w:p>
        </w:tc>
        <w:tc>
          <w:tcPr>
            <w:tcW w:w="4676" w:type="dxa"/>
            <w:tcBorders>
              <w:top w:val="nil"/>
              <w:bottom w:val="nil"/>
            </w:tcBorders>
            <w:shd w:val="clear" w:color="auto" w:fill="auto"/>
            <w:tcMar>
              <w:right w:w="28" w:type="dxa"/>
            </w:tcMar>
            <w:vAlign w:val="bottom"/>
          </w:tcPr>
          <w:p w:rsidR="009D7E32" w:rsidRPr="008454F8" w:rsidRDefault="009D7E32" w:rsidP="00976505">
            <w:pPr>
              <w:pStyle w:val="SingleTxtG"/>
              <w:spacing w:before="40"/>
              <w:ind w:left="0" w:right="0"/>
            </w:pPr>
            <w:r w:rsidRPr="008454F8">
              <w:t>7 de mayo de 2015</w:t>
            </w:r>
          </w:p>
          <w:p w:rsidR="009D7E32" w:rsidRDefault="009D7E32" w:rsidP="00976505">
            <w:pPr>
              <w:pStyle w:val="SingleTxtG"/>
              <w:spacing w:before="40"/>
              <w:ind w:left="0" w:right="0"/>
            </w:pPr>
            <w:r w:rsidRPr="008454F8">
              <w:t>El Estado parte recuerda que Mikhail Krasnov fue condenado a diez años de prisión, decisión que fue confirmada por el Tribunal Supremo. Las decisiones del Tribunal Supremo son definitivas e inapelables.</w:t>
            </w:r>
          </w:p>
          <w:p w:rsidR="009D7E32" w:rsidRPr="008454F8" w:rsidRDefault="009D7E32" w:rsidP="00976505">
            <w:pPr>
              <w:pStyle w:val="SingleTxtG"/>
              <w:spacing w:before="40"/>
              <w:ind w:left="0" w:right="0"/>
            </w:pPr>
            <w:r w:rsidRPr="008454F8">
              <w:t>El 18 de septiembre de 2014, el abogado de la autora presentó un recurso de revisión ante el Tribunal Supremo sobre la base del dictamen del Comité, de 29 de marzo de</w:t>
            </w:r>
            <w:r w:rsidR="00C65971">
              <w:t> </w:t>
            </w:r>
            <w:r w:rsidRPr="008454F8">
              <w:t>2011. El Estado parte hace notar que, según el Código de Procedimiento Penal, las decisiones del Tribunal Supremo pueden revisarse cuando el Tribunal haya vulnerado derechos y libertades reconocidos en los pactos internacionales ratificados por el Estado parte. No obstante, solo dicho Tribunal tiene competencia para revisar el caso a la luz de nuevas circunstancias.</w:t>
            </w:r>
          </w:p>
          <w:p w:rsidR="009D7E32" w:rsidRPr="008454F8" w:rsidRDefault="009D7E32" w:rsidP="00976505">
            <w:pPr>
              <w:pStyle w:val="SingleTxtG"/>
              <w:spacing w:before="40"/>
              <w:ind w:left="0" w:right="0"/>
            </w:pPr>
            <w:r w:rsidRPr="008454F8">
              <w:t>El 20 de agosto de 2014, la Fiscalía General de la Federación de Rusia informó al Ministerio del Interior de Kirguistán de la detención del Sr. Krasnov en territorio ruso. El 12 de septiembre de 2014, la Fiscalía de Bishkek solicitó su extradición. Entretanto, el Sr. Krasnov fue puesto en libertad y, el 15 de enero de 2015, la Fiscalía de Samara le concedió asilo temporal durante un año.</w:t>
            </w:r>
          </w:p>
        </w:tc>
      </w:tr>
      <w:tr w:rsidR="009D7E32" w:rsidRPr="008454F8" w:rsidTr="009976B8">
        <w:trPr>
          <w:trHeight w:val="240"/>
        </w:trPr>
        <w:tc>
          <w:tcPr>
            <w:tcW w:w="2694" w:type="dxa"/>
            <w:tcBorders>
              <w:top w:val="nil"/>
              <w:bottom w:val="nil"/>
            </w:tcBorders>
            <w:shd w:val="clear" w:color="auto" w:fill="auto"/>
          </w:tcPr>
          <w:p w:rsidR="009D7E32" w:rsidRPr="008454F8" w:rsidRDefault="009D7E32" w:rsidP="008454F8">
            <w:pPr>
              <w:pStyle w:val="SingleTxtG"/>
              <w:spacing w:before="40"/>
              <w:ind w:left="0" w:right="0"/>
              <w:jc w:val="left"/>
            </w:pPr>
            <w:r w:rsidRPr="008454F8">
              <w:t>Evaluación del Comité:</w:t>
            </w:r>
          </w:p>
        </w:tc>
        <w:tc>
          <w:tcPr>
            <w:tcW w:w="4676" w:type="dxa"/>
            <w:tcBorders>
              <w:top w:val="nil"/>
              <w:bottom w:val="nil"/>
            </w:tcBorders>
            <w:shd w:val="clear" w:color="auto" w:fill="auto"/>
            <w:tcMar>
              <w:right w:w="28" w:type="dxa"/>
            </w:tcMar>
            <w:vAlign w:val="bottom"/>
          </w:tcPr>
          <w:p w:rsidR="009D7E32" w:rsidRPr="008454F8" w:rsidRDefault="009D7E32" w:rsidP="008666E3">
            <w:pPr>
              <w:pStyle w:val="SingleTxtG"/>
              <w:spacing w:before="40"/>
              <w:ind w:left="0" w:right="0" w:firstLine="227"/>
            </w:pPr>
            <w:r w:rsidRPr="008454F8">
              <w:t>a)</w:t>
            </w:r>
            <w:r w:rsidRPr="008454F8">
              <w:tab/>
              <w:t>Revisión de la condena del autor e indemnización:</w:t>
            </w:r>
            <w:r w:rsidR="00C65971">
              <w:t> </w:t>
            </w:r>
            <w:r w:rsidRPr="008454F8">
              <w:t>C2</w:t>
            </w:r>
          </w:p>
          <w:p w:rsidR="009D7E32" w:rsidRPr="008454F8" w:rsidRDefault="009D7E32" w:rsidP="008666E3">
            <w:pPr>
              <w:pStyle w:val="SingleTxtG"/>
              <w:spacing w:before="40"/>
              <w:ind w:left="0" w:right="0" w:firstLine="227"/>
            </w:pPr>
            <w:r w:rsidRPr="008454F8">
              <w:t>b)</w:t>
            </w:r>
            <w:r w:rsidRPr="008454F8">
              <w:tab/>
              <w:t>Publicación del dictamen: No se dispone de información</w:t>
            </w:r>
            <w:r w:rsidR="009976B8">
              <w:t>.</w:t>
            </w:r>
          </w:p>
          <w:p w:rsidR="009D7E32" w:rsidRPr="008454F8" w:rsidRDefault="009D7E32" w:rsidP="008666E3">
            <w:pPr>
              <w:pStyle w:val="SingleTxtG"/>
              <w:spacing w:before="40"/>
              <w:ind w:left="0" w:right="0" w:firstLine="227"/>
            </w:pPr>
            <w:r w:rsidRPr="008454F8">
              <w:t>c)</w:t>
            </w:r>
            <w:r w:rsidRPr="008454F8">
              <w:tab/>
              <w:t>No repetición: B1</w:t>
            </w:r>
          </w:p>
        </w:tc>
      </w:tr>
      <w:tr w:rsidR="009D7E32" w:rsidRPr="008454F8" w:rsidTr="009976B8">
        <w:trPr>
          <w:trHeight w:val="240"/>
        </w:trPr>
        <w:tc>
          <w:tcPr>
            <w:tcW w:w="2694" w:type="dxa"/>
            <w:tcBorders>
              <w:top w:val="nil"/>
              <w:bottom w:val="nil"/>
            </w:tcBorders>
            <w:shd w:val="clear" w:color="auto" w:fill="auto"/>
          </w:tcPr>
          <w:p w:rsidR="009D7E32" w:rsidRPr="008454F8" w:rsidRDefault="009D7E32" w:rsidP="00174B55">
            <w:pPr>
              <w:pStyle w:val="SingleTxtG"/>
              <w:spacing w:before="40"/>
              <w:ind w:left="0" w:right="0"/>
              <w:jc w:val="left"/>
            </w:pPr>
            <w:r w:rsidRPr="008454F8">
              <w:t>Comunicación presentada por</w:t>
            </w:r>
            <w:r w:rsidR="00174B55">
              <w:t xml:space="preserve"> </w:t>
            </w:r>
            <w:r w:rsidR="009976B8">
              <w:t>la autora el:</w:t>
            </w:r>
          </w:p>
        </w:tc>
        <w:tc>
          <w:tcPr>
            <w:tcW w:w="4676" w:type="dxa"/>
            <w:tcBorders>
              <w:top w:val="nil"/>
              <w:bottom w:val="nil"/>
            </w:tcBorders>
            <w:shd w:val="clear" w:color="auto" w:fill="auto"/>
            <w:tcMar>
              <w:right w:w="28" w:type="dxa"/>
            </w:tcMar>
            <w:vAlign w:val="bottom"/>
          </w:tcPr>
          <w:p w:rsidR="009D7E32" w:rsidRDefault="009D7E32" w:rsidP="00976505">
            <w:pPr>
              <w:pStyle w:val="SingleTxtG"/>
              <w:spacing w:before="40"/>
              <w:ind w:left="0" w:right="0"/>
            </w:pPr>
            <w:r w:rsidRPr="008454F8">
              <w:t>25 de noviembre de 2015</w:t>
            </w:r>
          </w:p>
          <w:p w:rsidR="009D7E32" w:rsidRPr="008454F8" w:rsidRDefault="009D7E32" w:rsidP="00C65971">
            <w:pPr>
              <w:pStyle w:val="SingleTxtG"/>
              <w:spacing w:before="40"/>
              <w:ind w:left="0" w:right="0"/>
            </w:pPr>
            <w:r w:rsidRPr="008454F8">
              <w:t>La autora informa al Comité de que, el 26 de octubre de</w:t>
            </w:r>
            <w:r w:rsidR="00C65971">
              <w:t> </w:t>
            </w:r>
            <w:r w:rsidRPr="008454F8">
              <w:t>2015, el Tribunal Supremo de Kirguistán volvió a examinar el recurso que había presentado contra la decisión judicial. El Tribunal lo desestimó aduciendo que el dictamen del Comité no constituía base suficiente para reabrir la investigación penal de la causa, dado que el Comité no había determinado las circunstancias específicas de la violación de los derechos y libertades del Sr. Krasnov.</w:t>
            </w:r>
          </w:p>
        </w:tc>
      </w:tr>
      <w:tr w:rsidR="009D7E32" w:rsidRPr="008454F8" w:rsidTr="009976B8">
        <w:trPr>
          <w:trHeight w:val="240"/>
        </w:trPr>
        <w:tc>
          <w:tcPr>
            <w:tcW w:w="2694" w:type="dxa"/>
            <w:tcBorders>
              <w:top w:val="nil"/>
              <w:bottom w:val="single" w:sz="12" w:space="0" w:color="auto"/>
            </w:tcBorders>
            <w:shd w:val="clear" w:color="auto" w:fill="auto"/>
          </w:tcPr>
          <w:p w:rsidR="009D7E32" w:rsidRPr="008454F8" w:rsidRDefault="009D7E32" w:rsidP="008454F8">
            <w:pPr>
              <w:pStyle w:val="SingleTxtG"/>
              <w:spacing w:before="40"/>
              <w:ind w:left="0" w:right="0"/>
              <w:jc w:val="left"/>
            </w:pPr>
            <w:r w:rsidRPr="008454F8">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9D7E32" w:rsidRPr="008454F8" w:rsidRDefault="009D7E32" w:rsidP="00976505">
            <w:pPr>
              <w:pStyle w:val="SingleTxtG"/>
              <w:spacing w:before="40"/>
              <w:ind w:left="0" w:right="0"/>
            </w:pPr>
            <w:r w:rsidRPr="008454F8">
              <w:t>Prosigue el diálogo de seguimiento.</w:t>
            </w:r>
          </w:p>
        </w:tc>
      </w:tr>
    </w:tbl>
    <w:p w:rsidR="00A76B42" w:rsidRPr="0019108A" w:rsidRDefault="00A76B42" w:rsidP="008454F8">
      <w:pPr>
        <w:pStyle w:val="H23G"/>
      </w:pPr>
      <w:r w:rsidRPr="0019108A">
        <w:tab/>
        <w:t>9.</w:t>
      </w:r>
      <w:r w:rsidRPr="0019108A">
        <w:tab/>
        <w:t>Lituania</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D7E32">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9D7E32">
              <w:rPr>
                <w:b/>
              </w:rPr>
              <w:t xml:space="preserve">Comunicación núm. 2155/2012, </w:t>
            </w:r>
            <w:r w:rsidRPr="00CC594F">
              <w:rPr>
                <w:b/>
                <w:i/>
              </w:rPr>
              <w:t>Paksas c. Lituania</w:t>
            </w:r>
            <w:r w:rsidRPr="008454F8">
              <w:rPr>
                <w:bCs/>
                <w:i/>
                <w:sz w:val="16"/>
              </w:rPr>
              <w:t xml:space="preserve"> </w:t>
            </w:r>
          </w:p>
        </w:tc>
      </w:tr>
      <w:tr w:rsidR="009D7E32" w:rsidRPr="008454F8" w:rsidTr="009976B8">
        <w:trPr>
          <w:trHeight w:val="305"/>
        </w:trPr>
        <w:tc>
          <w:tcPr>
            <w:tcW w:w="2694" w:type="dxa"/>
            <w:tcBorders>
              <w:top w:val="single" w:sz="12" w:space="0" w:color="auto"/>
            </w:tcBorders>
            <w:shd w:val="clear" w:color="auto" w:fill="auto"/>
          </w:tcPr>
          <w:p w:rsidR="009D7E32" w:rsidRPr="008454F8" w:rsidRDefault="009D7E32" w:rsidP="008454F8">
            <w:pPr>
              <w:pStyle w:val="SingleTxtG"/>
              <w:spacing w:before="40"/>
              <w:ind w:left="0" w:right="0"/>
              <w:jc w:val="left"/>
            </w:pPr>
            <w:r w:rsidRPr="008454F8">
              <w:t>Fecha de aprobación del dictamen:</w:t>
            </w:r>
          </w:p>
        </w:tc>
        <w:tc>
          <w:tcPr>
            <w:tcW w:w="4676" w:type="dxa"/>
            <w:tcBorders>
              <w:top w:val="single" w:sz="12" w:space="0" w:color="auto"/>
            </w:tcBorders>
            <w:shd w:val="clear" w:color="auto" w:fill="auto"/>
            <w:tcMar>
              <w:right w:w="28" w:type="dxa"/>
            </w:tcMar>
            <w:vAlign w:val="bottom"/>
          </w:tcPr>
          <w:p w:rsidR="009D7E32" w:rsidRPr="008454F8" w:rsidRDefault="009D7E32" w:rsidP="00976505">
            <w:pPr>
              <w:pStyle w:val="SingleTxtG"/>
              <w:spacing w:before="40"/>
              <w:ind w:left="0" w:right="0"/>
            </w:pPr>
            <w:r w:rsidRPr="008454F8">
              <w:t>25 de marzo de 2014</w:t>
            </w:r>
          </w:p>
        </w:tc>
      </w:tr>
      <w:tr w:rsidR="009D7E32" w:rsidRPr="008454F8" w:rsidTr="009976B8">
        <w:trPr>
          <w:trHeight w:val="303"/>
        </w:trPr>
        <w:tc>
          <w:tcPr>
            <w:tcW w:w="2694" w:type="dxa"/>
            <w:tcBorders>
              <w:top w:val="nil"/>
            </w:tcBorders>
            <w:shd w:val="clear" w:color="auto" w:fill="auto"/>
          </w:tcPr>
          <w:p w:rsidR="009D7E32" w:rsidRPr="008454F8" w:rsidRDefault="009D7E32" w:rsidP="008454F8">
            <w:pPr>
              <w:pStyle w:val="SingleTxtG"/>
              <w:spacing w:before="40"/>
              <w:ind w:left="0" w:right="0"/>
              <w:jc w:val="left"/>
            </w:pPr>
            <w:r w:rsidRPr="008454F8">
              <w:t>Violaciones:</w:t>
            </w:r>
          </w:p>
        </w:tc>
        <w:tc>
          <w:tcPr>
            <w:tcW w:w="4676" w:type="dxa"/>
            <w:tcBorders>
              <w:top w:val="nil"/>
            </w:tcBorders>
            <w:shd w:val="clear" w:color="auto" w:fill="auto"/>
            <w:tcMar>
              <w:right w:w="28" w:type="dxa"/>
            </w:tcMar>
            <w:vAlign w:val="bottom"/>
          </w:tcPr>
          <w:p w:rsidR="009D7E32" w:rsidRPr="008454F8" w:rsidRDefault="009D7E32" w:rsidP="00976505">
            <w:pPr>
              <w:pStyle w:val="SingleTxtG"/>
              <w:spacing w:before="40"/>
              <w:ind w:left="0" w:right="0"/>
            </w:pPr>
            <w:r w:rsidRPr="008454F8">
              <w:t>Artículo 25 b) y c)</w:t>
            </w:r>
          </w:p>
        </w:tc>
      </w:tr>
      <w:tr w:rsidR="009D7E32" w:rsidRPr="008454F8" w:rsidTr="009976B8">
        <w:trPr>
          <w:trHeight w:val="303"/>
        </w:trPr>
        <w:tc>
          <w:tcPr>
            <w:tcW w:w="2694" w:type="dxa"/>
            <w:tcBorders>
              <w:top w:val="nil"/>
            </w:tcBorders>
            <w:shd w:val="clear" w:color="auto" w:fill="auto"/>
          </w:tcPr>
          <w:p w:rsidR="009D7E32" w:rsidRPr="008454F8" w:rsidRDefault="009D7E32" w:rsidP="008454F8">
            <w:pPr>
              <w:pStyle w:val="SingleTxtG"/>
              <w:spacing w:before="40"/>
              <w:ind w:left="0" w:right="0"/>
              <w:jc w:val="left"/>
            </w:pPr>
            <w:r w:rsidRPr="008454F8">
              <w:lastRenderedPageBreak/>
              <w:t>Reparación:</w:t>
            </w:r>
          </w:p>
        </w:tc>
        <w:tc>
          <w:tcPr>
            <w:tcW w:w="4676" w:type="dxa"/>
            <w:tcBorders>
              <w:top w:val="nil"/>
            </w:tcBorders>
            <w:shd w:val="clear" w:color="auto" w:fill="auto"/>
            <w:tcMar>
              <w:right w:w="28" w:type="dxa"/>
            </w:tcMar>
            <w:vAlign w:val="bottom"/>
          </w:tcPr>
          <w:p w:rsidR="009D7E32" w:rsidRPr="008454F8" w:rsidRDefault="009D7E32" w:rsidP="009976B8">
            <w:pPr>
              <w:pStyle w:val="SingleTxtG"/>
              <w:spacing w:before="40"/>
              <w:ind w:left="0" w:right="0"/>
            </w:pPr>
            <w:r w:rsidRPr="008454F8">
              <w:t xml:space="preserve">Un recurso efectivo, que entrañe la revisión de la prohibición, impuesta de por vida al autor, de presentarse candidato a las elecciones presidenciales y ocupar los cargos de </w:t>
            </w:r>
            <w:r w:rsidR="009976B8">
              <w:t>P</w:t>
            </w:r>
            <w:r w:rsidRPr="008454F8">
              <w:t xml:space="preserve">rimer </w:t>
            </w:r>
            <w:r w:rsidR="009976B8">
              <w:t>M</w:t>
            </w:r>
            <w:r w:rsidRPr="008454F8">
              <w:t xml:space="preserve">inistro o </w:t>
            </w:r>
            <w:r w:rsidR="009976B8">
              <w:t>M</w:t>
            </w:r>
            <w:r w:rsidRPr="008454F8">
              <w:t>inistro. Además, el Estado parte está obligado a adoptar medidas para que en el futuro no vuelvan a producirse vulneraciones semejantes.</w:t>
            </w:r>
          </w:p>
        </w:tc>
      </w:tr>
      <w:tr w:rsidR="009D7E32" w:rsidRPr="008454F8" w:rsidTr="009976B8">
        <w:trPr>
          <w:trHeight w:val="303"/>
        </w:trPr>
        <w:tc>
          <w:tcPr>
            <w:tcW w:w="2694" w:type="dxa"/>
            <w:tcBorders>
              <w:top w:val="nil"/>
            </w:tcBorders>
            <w:shd w:val="clear" w:color="auto" w:fill="auto"/>
          </w:tcPr>
          <w:p w:rsidR="009D7E32" w:rsidRPr="008454F8" w:rsidRDefault="009D7E32" w:rsidP="008454F8">
            <w:pPr>
              <w:pStyle w:val="SingleTxtG"/>
              <w:spacing w:before="40"/>
              <w:ind w:left="0" w:right="0"/>
              <w:jc w:val="left"/>
            </w:pPr>
            <w:r w:rsidRPr="008454F8">
              <w:t>Anterior aparición en un informe sobre el seguimiento:</w:t>
            </w:r>
          </w:p>
        </w:tc>
        <w:tc>
          <w:tcPr>
            <w:tcW w:w="4676" w:type="dxa"/>
            <w:tcBorders>
              <w:top w:val="nil"/>
            </w:tcBorders>
            <w:shd w:val="clear" w:color="auto" w:fill="auto"/>
            <w:tcMar>
              <w:right w:w="28" w:type="dxa"/>
            </w:tcMar>
            <w:vAlign w:val="bottom"/>
          </w:tcPr>
          <w:p w:rsidR="009D7E32" w:rsidRPr="008454F8" w:rsidRDefault="009D7E32" w:rsidP="00976505">
            <w:pPr>
              <w:pStyle w:val="SingleTxtG"/>
              <w:spacing w:before="40"/>
              <w:ind w:left="0" w:right="0"/>
            </w:pPr>
            <w:r w:rsidRPr="008454F8">
              <w:t>CCPR/C/113/3</w:t>
            </w:r>
          </w:p>
        </w:tc>
      </w:tr>
      <w:tr w:rsidR="009D7E32" w:rsidRPr="008454F8" w:rsidTr="009976B8">
        <w:trPr>
          <w:trHeight w:val="303"/>
        </w:trPr>
        <w:tc>
          <w:tcPr>
            <w:tcW w:w="2694" w:type="dxa"/>
            <w:tcBorders>
              <w:top w:val="nil"/>
              <w:bottom w:val="nil"/>
            </w:tcBorders>
            <w:shd w:val="clear" w:color="auto" w:fill="auto"/>
          </w:tcPr>
          <w:p w:rsidR="009D7E32" w:rsidRPr="008454F8" w:rsidRDefault="009D7E32" w:rsidP="008454F8">
            <w:pPr>
              <w:pStyle w:val="SingleTxtG"/>
              <w:spacing w:before="40"/>
              <w:ind w:left="0" w:right="0"/>
              <w:jc w:val="left"/>
            </w:pPr>
            <w:r w:rsidRPr="008454F8">
              <w:t>Comunicación presentada por el abogado del autor el:</w:t>
            </w:r>
          </w:p>
        </w:tc>
        <w:tc>
          <w:tcPr>
            <w:tcW w:w="4676" w:type="dxa"/>
            <w:tcBorders>
              <w:top w:val="nil"/>
              <w:bottom w:val="nil"/>
            </w:tcBorders>
            <w:shd w:val="clear" w:color="auto" w:fill="auto"/>
            <w:tcMar>
              <w:right w:w="28" w:type="dxa"/>
            </w:tcMar>
            <w:vAlign w:val="bottom"/>
          </w:tcPr>
          <w:p w:rsidR="009D7E32" w:rsidRDefault="009D7E32" w:rsidP="00976505">
            <w:pPr>
              <w:pStyle w:val="SingleTxtG"/>
              <w:spacing w:before="40"/>
              <w:ind w:left="0" w:right="0"/>
            </w:pPr>
            <w:r w:rsidRPr="008454F8">
              <w:t>15 de noviembre de 2015</w:t>
            </w:r>
          </w:p>
          <w:p w:rsidR="009D7E32" w:rsidRPr="008454F8" w:rsidRDefault="009D7E32" w:rsidP="00976505">
            <w:pPr>
              <w:pStyle w:val="SingleTxtG"/>
              <w:spacing w:before="40"/>
              <w:ind w:left="0" w:right="0"/>
            </w:pPr>
            <w:r w:rsidRPr="008454F8">
              <w:t>El abogado del autor informa al Comité de que el Estado parte no ha adoptado medidas efectivas para aplicar el dictamen del Comité por falta de voluntad política. Ello se debe a que el autor, Rolandas Paksas, sigue siendo una figura política con un alto nivel de apoyo en la población lituana; la aplicación del dictamen del Comité supondría que volviera a ocupar el puesto de Jefe del Estado. El abogado del autor propone que se suspenda el derecho de voto del Estado parte en la elección de los miembros del Comité de Derechos Humanos.</w:t>
            </w:r>
          </w:p>
        </w:tc>
      </w:tr>
      <w:tr w:rsidR="009D7E32" w:rsidRPr="008454F8" w:rsidTr="009976B8">
        <w:trPr>
          <w:trHeight w:val="303"/>
        </w:trPr>
        <w:tc>
          <w:tcPr>
            <w:tcW w:w="2694" w:type="dxa"/>
            <w:tcBorders>
              <w:top w:val="nil"/>
              <w:bottom w:val="single" w:sz="12" w:space="0" w:color="auto"/>
            </w:tcBorders>
            <w:shd w:val="clear" w:color="auto" w:fill="auto"/>
          </w:tcPr>
          <w:p w:rsidR="009D7E32" w:rsidRPr="008454F8" w:rsidRDefault="009D7E32" w:rsidP="008454F8">
            <w:pPr>
              <w:pStyle w:val="SingleTxtG"/>
              <w:spacing w:before="40"/>
              <w:ind w:left="0" w:right="0"/>
              <w:jc w:val="left"/>
            </w:pPr>
            <w:r w:rsidRPr="008454F8">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9D7E32" w:rsidRPr="008454F8" w:rsidRDefault="009D7E32" w:rsidP="00976505">
            <w:pPr>
              <w:pStyle w:val="SingleTxtG"/>
              <w:spacing w:before="40"/>
              <w:ind w:left="0" w:right="0"/>
            </w:pPr>
            <w:r w:rsidRPr="008454F8">
              <w:t>Prosigue el diálogo de seguimiento.</w:t>
            </w:r>
          </w:p>
        </w:tc>
      </w:tr>
    </w:tbl>
    <w:p w:rsidR="00A76B42" w:rsidRPr="0019108A" w:rsidRDefault="00A76B42" w:rsidP="008454F8">
      <w:pPr>
        <w:pStyle w:val="H23G"/>
      </w:pPr>
      <w:r w:rsidRPr="0019108A">
        <w:tab/>
        <w:t>10.</w:t>
      </w:r>
      <w:r w:rsidRPr="0019108A">
        <w:tab/>
        <w:t>Nepal</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D7E32">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9D7E32">
              <w:rPr>
                <w:b/>
              </w:rPr>
              <w:t xml:space="preserve">Comunicación núm. 2051/2011, </w:t>
            </w:r>
            <w:r w:rsidRPr="00CC594F">
              <w:rPr>
                <w:b/>
                <w:i/>
              </w:rPr>
              <w:t>Basnet c. Nepal</w:t>
            </w:r>
            <w:r w:rsidRPr="008454F8">
              <w:rPr>
                <w:bCs/>
                <w:i/>
                <w:sz w:val="16"/>
              </w:rPr>
              <w:t xml:space="preserve"> </w:t>
            </w:r>
          </w:p>
        </w:tc>
      </w:tr>
      <w:tr w:rsidR="009D7E32" w:rsidRPr="008454F8" w:rsidTr="009976B8">
        <w:trPr>
          <w:trHeight w:val="240"/>
        </w:trPr>
        <w:tc>
          <w:tcPr>
            <w:tcW w:w="2694" w:type="dxa"/>
            <w:shd w:val="clear" w:color="auto" w:fill="auto"/>
          </w:tcPr>
          <w:p w:rsidR="009D7E32" w:rsidRPr="008454F8" w:rsidRDefault="009D7E32"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9D7E32" w:rsidRPr="008454F8" w:rsidRDefault="009D7E32" w:rsidP="00976505">
            <w:pPr>
              <w:pStyle w:val="SingleTxtG"/>
              <w:spacing w:before="40"/>
              <w:ind w:left="0" w:right="0"/>
            </w:pPr>
            <w:r w:rsidRPr="008454F8">
              <w:t>29 de octubre de 2014</w:t>
            </w:r>
          </w:p>
        </w:tc>
      </w:tr>
      <w:tr w:rsidR="009D7E32" w:rsidRPr="008454F8" w:rsidTr="009976B8">
        <w:trPr>
          <w:trHeight w:val="240"/>
        </w:trPr>
        <w:tc>
          <w:tcPr>
            <w:tcW w:w="2694" w:type="dxa"/>
            <w:shd w:val="clear" w:color="auto" w:fill="auto"/>
          </w:tcPr>
          <w:p w:rsidR="009D7E32" w:rsidRPr="008454F8" w:rsidRDefault="009D7E32"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9D7E32" w:rsidRPr="008454F8" w:rsidRDefault="009D7E32" w:rsidP="00174B55">
            <w:pPr>
              <w:pStyle w:val="SingleTxtG"/>
              <w:spacing w:before="40"/>
              <w:ind w:left="0" w:right="0"/>
            </w:pPr>
            <w:r w:rsidRPr="008454F8">
              <w:t>Artículos 7; 9; 10, párrafo 1; 16; y 2, párrafo 3, leído conjuntamente con los artículos 7; 9; 10, párrafo 1; y 16, con respecto a Jit Man Basnet; y artículos 7</w:t>
            </w:r>
            <w:r w:rsidR="009976B8">
              <w:t>;</w:t>
            </w:r>
            <w:r w:rsidRPr="008454F8">
              <w:t xml:space="preserve"> y 2, párrafo</w:t>
            </w:r>
            <w:r w:rsidR="00174B55">
              <w:t> </w:t>
            </w:r>
            <w:r w:rsidRPr="008454F8">
              <w:t>3, leído conjuntamente con el artículo 7, con respecto a Top Bahadur Basnet</w:t>
            </w:r>
          </w:p>
        </w:tc>
      </w:tr>
      <w:tr w:rsidR="009D7E32" w:rsidRPr="008454F8" w:rsidTr="009976B8">
        <w:trPr>
          <w:trHeight w:val="240"/>
        </w:trPr>
        <w:tc>
          <w:tcPr>
            <w:tcW w:w="2694" w:type="dxa"/>
            <w:shd w:val="clear" w:color="auto" w:fill="auto"/>
          </w:tcPr>
          <w:p w:rsidR="009D7E32" w:rsidRPr="008454F8" w:rsidRDefault="009D7E32"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9D7E32" w:rsidRPr="00FD5D22" w:rsidRDefault="009D7E32" w:rsidP="00FD5D22">
            <w:pPr>
              <w:pStyle w:val="SingleTxtG"/>
              <w:spacing w:before="40"/>
              <w:ind w:left="0" w:right="0"/>
              <w:rPr>
                <w:spacing w:val="-1"/>
              </w:rPr>
            </w:pPr>
            <w:r w:rsidRPr="00FD5D22">
              <w:rPr>
                <w:spacing w:val="-1"/>
              </w:rPr>
              <w:t>Un recurso efectivo que entrañe, entre otras medidas: a)</w:t>
            </w:r>
            <w:r w:rsidR="00FD5D22">
              <w:rPr>
                <w:spacing w:val="-1"/>
              </w:rPr>
              <w:t xml:space="preserve"> </w:t>
            </w:r>
            <w:r w:rsidRPr="00FD5D22">
              <w:rPr>
                <w:spacing w:val="-1"/>
              </w:rPr>
              <w:t>la realización de una investigación exhaustiva y efectiva de los hechos y el procesamiento, enjuiciamiento y castigo de los responsables de las violaciones cometidas; b) el suministro a los autores de información detallada acerca de los resultados de la investigación; c)</w:t>
            </w:r>
            <w:r w:rsidR="00FD5D22">
              <w:rPr>
                <w:spacing w:val="-1"/>
              </w:rPr>
              <w:t xml:space="preserve"> </w:t>
            </w:r>
            <w:r w:rsidRPr="00FD5D22">
              <w:rPr>
                <w:spacing w:val="-1"/>
              </w:rPr>
              <w:t>la concesión de una indemnización adecuada a los autores por las infracciones de que fueron objeto; d) la concesión a los autores de las medidas necesarias y adecuadas de rehabilitación psicológica y de tratamiento médico; y e) la aplicación de medidas apropiadas de satisfacción.</w:t>
            </w:r>
          </w:p>
        </w:tc>
      </w:tr>
      <w:tr w:rsidR="009D7E32" w:rsidRPr="008454F8" w:rsidTr="00174B55">
        <w:trPr>
          <w:trHeight w:val="240"/>
        </w:trPr>
        <w:tc>
          <w:tcPr>
            <w:tcW w:w="2694" w:type="dxa"/>
            <w:tcBorders>
              <w:bottom w:val="nil"/>
            </w:tcBorders>
            <w:shd w:val="clear" w:color="auto" w:fill="auto"/>
          </w:tcPr>
          <w:p w:rsidR="009D7E32" w:rsidRPr="008454F8" w:rsidRDefault="009D7E32" w:rsidP="008454F8">
            <w:pPr>
              <w:pStyle w:val="SingleTxtG"/>
              <w:spacing w:before="40"/>
              <w:ind w:left="0" w:right="0"/>
              <w:jc w:val="left"/>
            </w:pPr>
            <w:r w:rsidRPr="008454F8">
              <w:t>Anterior aparición en un informe sobre el seguimiento:</w:t>
            </w:r>
          </w:p>
        </w:tc>
        <w:tc>
          <w:tcPr>
            <w:tcW w:w="4676" w:type="dxa"/>
            <w:tcBorders>
              <w:bottom w:val="nil"/>
            </w:tcBorders>
            <w:shd w:val="clear" w:color="auto" w:fill="auto"/>
            <w:tcMar>
              <w:right w:w="28" w:type="dxa"/>
            </w:tcMar>
            <w:vAlign w:val="bottom"/>
          </w:tcPr>
          <w:p w:rsidR="009D7E32" w:rsidRPr="008454F8" w:rsidRDefault="009D7E32" w:rsidP="00976505">
            <w:pPr>
              <w:pStyle w:val="SingleTxtG"/>
              <w:spacing w:before="40"/>
              <w:ind w:left="0" w:right="0"/>
            </w:pPr>
            <w:r w:rsidRPr="008454F8">
              <w:t>Primera aparición</w:t>
            </w:r>
          </w:p>
        </w:tc>
      </w:tr>
      <w:tr w:rsidR="009D7E32" w:rsidRPr="008454F8" w:rsidTr="00174B55">
        <w:trPr>
          <w:trHeight w:val="240"/>
        </w:trPr>
        <w:tc>
          <w:tcPr>
            <w:tcW w:w="2694" w:type="dxa"/>
            <w:tcBorders>
              <w:top w:val="nil"/>
            </w:tcBorders>
            <w:shd w:val="clear" w:color="auto" w:fill="auto"/>
          </w:tcPr>
          <w:p w:rsidR="009D7E32" w:rsidRPr="008454F8" w:rsidRDefault="009D7E32" w:rsidP="00174B55">
            <w:pPr>
              <w:pStyle w:val="SingleTxtG"/>
              <w:spacing w:before="40"/>
              <w:ind w:left="0" w:right="0"/>
              <w:jc w:val="left"/>
            </w:pPr>
            <w:r w:rsidRPr="008454F8">
              <w:t>Comunicación presentada por</w:t>
            </w:r>
            <w:r w:rsidR="00174B55">
              <w:t xml:space="preserve"> </w:t>
            </w:r>
            <w:r w:rsidRPr="008454F8">
              <w:t>el Estado parte el:</w:t>
            </w:r>
          </w:p>
        </w:tc>
        <w:tc>
          <w:tcPr>
            <w:tcW w:w="4676" w:type="dxa"/>
            <w:tcBorders>
              <w:top w:val="nil"/>
            </w:tcBorders>
            <w:shd w:val="clear" w:color="auto" w:fill="auto"/>
            <w:tcMar>
              <w:right w:w="28" w:type="dxa"/>
            </w:tcMar>
            <w:vAlign w:val="bottom"/>
          </w:tcPr>
          <w:p w:rsidR="009D7E32" w:rsidRPr="008454F8" w:rsidRDefault="009D7E32" w:rsidP="00976505">
            <w:pPr>
              <w:pStyle w:val="SingleTxtG"/>
              <w:spacing w:before="40"/>
              <w:ind w:left="0" w:right="0"/>
            </w:pPr>
            <w:r w:rsidRPr="008454F8">
              <w:t>13 de mayo de 2015</w:t>
            </w:r>
          </w:p>
          <w:p w:rsidR="009D7E32" w:rsidRPr="008454F8" w:rsidRDefault="009D7E32" w:rsidP="00976505">
            <w:pPr>
              <w:pStyle w:val="SingleTxtG"/>
              <w:spacing w:before="40"/>
              <w:ind w:left="0" w:right="0"/>
            </w:pPr>
            <w:r w:rsidRPr="008454F8">
              <w:t xml:space="preserve">El Estado parte informa al Comité de que, en cuanto recibe una recomendación de la Comisión constituida en virtud de la Ley de la Comisión para la Investigación de los Casos de Personas Desaparecidas, y para la Verdad y la Reconciliación, de 2014, el Gobierno debe actuar en justicia contra las personas implicadas. Añade que la familia de Jit Man Basnet recibirá 100.000 rupias </w:t>
            </w:r>
            <w:r w:rsidRPr="008454F8">
              <w:lastRenderedPageBreak/>
              <w:t>nepalesas en concepto de reparación provisional y que el Estado parte velará por que esté protegida contra todo acto de represalia o intimidación. Por último, el Estado parte señala que el dictamen del Comité será traducido al nepalés y difundido como corresponde.</w:t>
            </w:r>
          </w:p>
        </w:tc>
      </w:tr>
      <w:tr w:rsidR="009D7E32" w:rsidRPr="008454F8" w:rsidTr="009976B8">
        <w:trPr>
          <w:trHeight w:val="240"/>
        </w:trPr>
        <w:tc>
          <w:tcPr>
            <w:tcW w:w="2694" w:type="dxa"/>
            <w:shd w:val="clear" w:color="auto" w:fill="auto"/>
          </w:tcPr>
          <w:p w:rsidR="009D7E32" w:rsidRPr="008454F8" w:rsidRDefault="009D7E32" w:rsidP="008454F8">
            <w:pPr>
              <w:pStyle w:val="SingleTxtG"/>
              <w:spacing w:before="40"/>
              <w:ind w:left="0" w:right="0"/>
              <w:jc w:val="left"/>
            </w:pPr>
            <w:r w:rsidRPr="008454F8">
              <w:lastRenderedPageBreak/>
              <w:t xml:space="preserve">Comunicación presentada por </w:t>
            </w:r>
            <w:r w:rsidR="0057501A">
              <w:t>el abogado de los autores</w:t>
            </w:r>
            <w:r w:rsidR="009976B8">
              <w:t xml:space="preserve"> el</w:t>
            </w:r>
            <w:r w:rsidR="0057501A">
              <w:t>:</w:t>
            </w:r>
          </w:p>
        </w:tc>
        <w:tc>
          <w:tcPr>
            <w:tcW w:w="4676" w:type="dxa"/>
            <w:shd w:val="clear" w:color="auto" w:fill="auto"/>
            <w:tcMar>
              <w:right w:w="28" w:type="dxa"/>
            </w:tcMar>
            <w:vAlign w:val="bottom"/>
          </w:tcPr>
          <w:p w:rsidR="009D7E32" w:rsidRPr="008454F8" w:rsidRDefault="009D7E32" w:rsidP="00976505">
            <w:pPr>
              <w:pStyle w:val="SingleTxtG"/>
              <w:spacing w:before="40"/>
              <w:ind w:left="0" w:right="0"/>
            </w:pPr>
            <w:r w:rsidRPr="008454F8">
              <w:t xml:space="preserve">8 de octubre de 2015 </w:t>
            </w:r>
          </w:p>
          <w:p w:rsidR="009D7E32" w:rsidRPr="008454F8" w:rsidRDefault="009D7E32" w:rsidP="00976505">
            <w:pPr>
              <w:pStyle w:val="SingleTxtG"/>
              <w:spacing w:before="40"/>
              <w:ind w:left="0" w:right="0"/>
            </w:pPr>
            <w:r w:rsidRPr="008454F8">
              <w:t xml:space="preserve">El abogado de los autores sostiene que, a pesar de los reiterados esfuerzos y los correos de los familiares para impulsar la aplicación del dictamen del Comité por el Estado parte, este no ha tomado ninguna medida al respecto y el dictamen todavía no se ha traducido al nepalés. </w:t>
            </w:r>
          </w:p>
          <w:p w:rsidR="009D7E32" w:rsidRPr="008454F8" w:rsidRDefault="009D7E32" w:rsidP="00976505">
            <w:pPr>
              <w:pStyle w:val="SingleTxtG"/>
              <w:spacing w:before="40"/>
              <w:ind w:left="0" w:right="0"/>
            </w:pPr>
            <w:r w:rsidRPr="008454F8">
              <w:t xml:space="preserve">Los autores no han sido informados del curso de las investigaciones sobre la detención de Jit Man Basnet y los actos de tortura que se le infligieron. No se han tomado medidas para enjuiciar a los responsables y, hasta la fecha, no se ha concedido ninguna indemnización. Asimismo, ninguno de los autores ha recibido el tratamiento médico y los servicios de rehabilitación psicológica adecuados. </w:t>
            </w:r>
          </w:p>
          <w:p w:rsidR="009D7E32" w:rsidRPr="008454F8" w:rsidRDefault="009D7E32" w:rsidP="00976505">
            <w:pPr>
              <w:pStyle w:val="SingleTxtG"/>
              <w:spacing w:before="40"/>
              <w:ind w:left="0" w:right="0"/>
            </w:pPr>
            <w:r w:rsidRPr="008454F8">
              <w:t>No se han introducido en la legislación penal interna modificaciones relativas a las desapariciones forzadas y la tortura.</w:t>
            </w:r>
          </w:p>
        </w:tc>
      </w:tr>
      <w:tr w:rsidR="009D7E32" w:rsidRPr="008454F8" w:rsidTr="009976B8">
        <w:trPr>
          <w:trHeight w:val="240"/>
        </w:trPr>
        <w:tc>
          <w:tcPr>
            <w:tcW w:w="2694" w:type="dxa"/>
            <w:tcBorders>
              <w:bottom w:val="nil"/>
            </w:tcBorders>
            <w:shd w:val="clear" w:color="auto" w:fill="auto"/>
          </w:tcPr>
          <w:p w:rsidR="009D7E32" w:rsidRPr="008454F8" w:rsidRDefault="009D7E32" w:rsidP="008454F8">
            <w:pPr>
              <w:pStyle w:val="SingleTxtG"/>
              <w:spacing w:before="40"/>
              <w:ind w:left="0" w:right="0"/>
              <w:jc w:val="left"/>
            </w:pPr>
            <w:r w:rsidRPr="008454F8">
              <w:t>Evaluación del Comité:</w:t>
            </w:r>
          </w:p>
        </w:tc>
        <w:tc>
          <w:tcPr>
            <w:tcW w:w="4676" w:type="dxa"/>
            <w:tcBorders>
              <w:bottom w:val="nil"/>
            </w:tcBorders>
            <w:shd w:val="clear" w:color="auto" w:fill="auto"/>
            <w:tcMar>
              <w:right w:w="28" w:type="dxa"/>
            </w:tcMar>
            <w:vAlign w:val="bottom"/>
          </w:tcPr>
          <w:p w:rsidR="009D7E32" w:rsidRPr="008454F8" w:rsidRDefault="009D7E32" w:rsidP="008666E3">
            <w:pPr>
              <w:pStyle w:val="SingleTxtG"/>
              <w:spacing w:before="40"/>
              <w:ind w:left="0" w:right="0" w:firstLine="227"/>
            </w:pPr>
            <w:r w:rsidRPr="008454F8">
              <w:t>a)</w:t>
            </w:r>
            <w:r w:rsidRPr="008454F8">
              <w:tab/>
              <w:t>Investigación exhaustiva: C1</w:t>
            </w:r>
          </w:p>
          <w:p w:rsidR="009D7E32" w:rsidRPr="008454F8" w:rsidRDefault="009D7E32" w:rsidP="008666E3">
            <w:pPr>
              <w:pStyle w:val="SingleTxtG"/>
              <w:spacing w:before="40"/>
              <w:ind w:left="0" w:right="0" w:firstLine="227"/>
            </w:pPr>
            <w:r w:rsidRPr="008454F8">
              <w:t>b)</w:t>
            </w:r>
            <w:r w:rsidRPr="008454F8">
              <w:tab/>
              <w:t>Enjuiciamiento y castigo de los responsables: C1</w:t>
            </w:r>
          </w:p>
          <w:p w:rsidR="009D7E32" w:rsidRPr="008454F8" w:rsidRDefault="009D7E32" w:rsidP="008666E3">
            <w:pPr>
              <w:pStyle w:val="SingleTxtG"/>
              <w:spacing w:before="40"/>
              <w:ind w:left="0" w:right="0" w:firstLine="227"/>
            </w:pPr>
            <w:r w:rsidRPr="008454F8">
              <w:t>c)</w:t>
            </w:r>
            <w:r w:rsidRPr="008454F8">
              <w:tab/>
              <w:t>Indemnización adecuada: C1</w:t>
            </w:r>
          </w:p>
          <w:p w:rsidR="009D7E32" w:rsidRDefault="009D7E32" w:rsidP="008666E3">
            <w:pPr>
              <w:pStyle w:val="SingleTxtG"/>
              <w:spacing w:before="40"/>
              <w:ind w:left="0" w:right="0" w:firstLine="227"/>
            </w:pPr>
            <w:r w:rsidRPr="008454F8">
              <w:t>d)</w:t>
            </w:r>
            <w:r w:rsidRPr="008454F8">
              <w:tab/>
              <w:t>Medidas apropiadas de satisfacción: C1</w:t>
            </w:r>
          </w:p>
          <w:p w:rsidR="009D7E32" w:rsidRPr="008454F8" w:rsidRDefault="009D7E32" w:rsidP="008666E3">
            <w:pPr>
              <w:pStyle w:val="SingleTxtG"/>
              <w:spacing w:before="40"/>
              <w:ind w:left="0" w:right="0" w:firstLine="227"/>
            </w:pPr>
            <w:r w:rsidRPr="008454F8">
              <w:t>e)</w:t>
            </w:r>
            <w:r w:rsidRPr="008454F8">
              <w:tab/>
              <w:t>Publicación del dictamen: B2</w:t>
            </w:r>
          </w:p>
          <w:p w:rsidR="009D7E32" w:rsidRPr="008454F8" w:rsidRDefault="009D7E32" w:rsidP="008666E3">
            <w:pPr>
              <w:pStyle w:val="SingleTxtG"/>
              <w:spacing w:before="40"/>
              <w:ind w:left="0" w:right="0" w:firstLine="227"/>
            </w:pPr>
            <w:r w:rsidRPr="008454F8">
              <w:t>f)</w:t>
            </w:r>
            <w:r w:rsidRPr="008454F8">
              <w:tab/>
              <w:t>No repetición: C1</w:t>
            </w:r>
          </w:p>
        </w:tc>
      </w:tr>
      <w:tr w:rsidR="009D7E32" w:rsidRPr="008454F8" w:rsidTr="009976B8">
        <w:trPr>
          <w:trHeight w:val="240"/>
        </w:trPr>
        <w:tc>
          <w:tcPr>
            <w:tcW w:w="2694" w:type="dxa"/>
            <w:tcBorders>
              <w:top w:val="nil"/>
              <w:bottom w:val="single" w:sz="12" w:space="0" w:color="auto"/>
            </w:tcBorders>
            <w:shd w:val="clear" w:color="auto" w:fill="auto"/>
          </w:tcPr>
          <w:p w:rsidR="009D7E32" w:rsidRPr="008454F8" w:rsidRDefault="009D7E32"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9D7E32" w:rsidRPr="008454F8" w:rsidRDefault="009D7E32" w:rsidP="00976505">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D7E32">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9D7E32">
              <w:rPr>
                <w:b/>
              </w:rPr>
              <w:t xml:space="preserve">Comunicación núm. 2000/2010, </w:t>
            </w:r>
            <w:r w:rsidRPr="00CC594F">
              <w:rPr>
                <w:b/>
                <w:i/>
              </w:rPr>
              <w:t>Katwal c. Nepal</w:t>
            </w:r>
          </w:p>
        </w:tc>
      </w:tr>
      <w:tr w:rsidR="009D7E32" w:rsidRPr="008454F8" w:rsidTr="009976B8">
        <w:trPr>
          <w:trHeight w:val="290"/>
        </w:trPr>
        <w:tc>
          <w:tcPr>
            <w:tcW w:w="2694" w:type="dxa"/>
            <w:shd w:val="clear" w:color="auto" w:fill="auto"/>
          </w:tcPr>
          <w:p w:rsidR="009D7E32" w:rsidRPr="008454F8" w:rsidRDefault="009D7E32"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9D7E32" w:rsidRPr="008454F8" w:rsidRDefault="009D7E32" w:rsidP="00976505">
            <w:pPr>
              <w:pStyle w:val="SingleTxtG"/>
              <w:spacing w:before="40"/>
              <w:ind w:left="0" w:right="0"/>
            </w:pPr>
            <w:r w:rsidRPr="008454F8">
              <w:t>1 de abril de 2015</w:t>
            </w:r>
          </w:p>
        </w:tc>
      </w:tr>
      <w:tr w:rsidR="009D7E32" w:rsidRPr="008454F8" w:rsidTr="009976B8">
        <w:trPr>
          <w:trHeight w:val="290"/>
        </w:trPr>
        <w:tc>
          <w:tcPr>
            <w:tcW w:w="2694" w:type="dxa"/>
            <w:shd w:val="clear" w:color="auto" w:fill="auto"/>
          </w:tcPr>
          <w:p w:rsidR="009D7E32" w:rsidRPr="008454F8" w:rsidRDefault="009D7E32"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9D7E32" w:rsidRPr="008454F8" w:rsidRDefault="009D7E32" w:rsidP="00174B55">
            <w:pPr>
              <w:pStyle w:val="SingleTxtG"/>
              <w:spacing w:before="40"/>
              <w:ind w:left="0" w:right="0"/>
            </w:pPr>
            <w:r w:rsidRPr="008454F8">
              <w:t>Artículos 6; 7; 9, párrafos 1 a 4; 16; y 2, párrafo 3, leído</w:t>
            </w:r>
            <w:r w:rsidR="00174B55">
              <w:t> </w:t>
            </w:r>
            <w:r w:rsidRPr="008454F8">
              <w:t>conjuntamente con los artículos 6; 7; 9, párrafos 1 a</w:t>
            </w:r>
            <w:r w:rsidR="00174B55">
              <w:t> </w:t>
            </w:r>
            <w:r w:rsidRPr="008454F8">
              <w:t>4, y 16</w:t>
            </w:r>
          </w:p>
        </w:tc>
      </w:tr>
      <w:tr w:rsidR="009D7E32" w:rsidRPr="008454F8" w:rsidTr="00174B55">
        <w:trPr>
          <w:trHeight w:val="290"/>
        </w:trPr>
        <w:tc>
          <w:tcPr>
            <w:tcW w:w="2694" w:type="dxa"/>
            <w:tcBorders>
              <w:bottom w:val="nil"/>
            </w:tcBorders>
            <w:shd w:val="clear" w:color="auto" w:fill="auto"/>
          </w:tcPr>
          <w:p w:rsidR="009D7E32" w:rsidRPr="008454F8" w:rsidRDefault="009D7E32" w:rsidP="008454F8">
            <w:pPr>
              <w:pStyle w:val="SingleTxtG"/>
              <w:spacing w:before="40"/>
              <w:ind w:left="0" w:right="0"/>
              <w:jc w:val="left"/>
            </w:pPr>
            <w:r w:rsidRPr="008454F8">
              <w:t>Reparación:</w:t>
            </w:r>
          </w:p>
        </w:tc>
        <w:tc>
          <w:tcPr>
            <w:tcW w:w="4676" w:type="dxa"/>
            <w:tcBorders>
              <w:bottom w:val="nil"/>
            </w:tcBorders>
            <w:shd w:val="clear" w:color="auto" w:fill="auto"/>
            <w:tcMar>
              <w:right w:w="28" w:type="dxa"/>
            </w:tcMar>
            <w:vAlign w:val="bottom"/>
          </w:tcPr>
          <w:p w:rsidR="009D7E32" w:rsidRPr="00FD5D22" w:rsidRDefault="009D7E32" w:rsidP="00FD5D22">
            <w:pPr>
              <w:pStyle w:val="SingleTxtG"/>
              <w:spacing w:before="40"/>
              <w:ind w:left="0" w:right="0"/>
              <w:rPr>
                <w:spacing w:val="-1"/>
              </w:rPr>
            </w:pPr>
            <w:r w:rsidRPr="00FD5D22">
              <w:rPr>
                <w:spacing w:val="-1"/>
              </w:rPr>
              <w:t>Un recurso efectivo que entrañe, entre otras medidas: a)</w:t>
            </w:r>
            <w:r w:rsidR="00FD5D22">
              <w:rPr>
                <w:spacing w:val="-1"/>
              </w:rPr>
              <w:t xml:space="preserve"> </w:t>
            </w:r>
            <w:r w:rsidRPr="00FD5D22">
              <w:rPr>
                <w:spacing w:val="-1"/>
              </w:rPr>
              <w:t>la realización de una investigación exhaustiva y efectiva, con miras a localizar los restos de Chakra Bahadur Katwal y devolverlos a su familia; b) el procesamiento, enjuiciamiento y castigo de los responsables y la publicación de los resultados de esas actuaciones; y c) la concesión de una reparación efectiva, que incluya una indemnización adecuada y medidas apropiadas de satisfacción.</w:t>
            </w:r>
          </w:p>
        </w:tc>
      </w:tr>
      <w:tr w:rsidR="009D7E32" w:rsidRPr="008454F8" w:rsidTr="00174B55">
        <w:trPr>
          <w:trHeight w:val="290"/>
        </w:trPr>
        <w:tc>
          <w:tcPr>
            <w:tcW w:w="2694" w:type="dxa"/>
            <w:tcBorders>
              <w:top w:val="nil"/>
            </w:tcBorders>
            <w:shd w:val="clear" w:color="auto" w:fill="auto"/>
          </w:tcPr>
          <w:p w:rsidR="009D7E32" w:rsidRPr="008454F8" w:rsidRDefault="009D7E32" w:rsidP="00174B55">
            <w:pPr>
              <w:pStyle w:val="SingleTxtG"/>
              <w:keepNext/>
              <w:keepLines/>
              <w:spacing w:before="40"/>
              <w:ind w:left="0" w:right="0"/>
              <w:jc w:val="left"/>
            </w:pPr>
            <w:r w:rsidRPr="008454F8">
              <w:lastRenderedPageBreak/>
              <w:t>Comunicación presentada por</w:t>
            </w:r>
            <w:r w:rsidR="00174B55">
              <w:t xml:space="preserve"> </w:t>
            </w:r>
            <w:r w:rsidRPr="008454F8">
              <w:t>el Estado parte el:</w:t>
            </w:r>
          </w:p>
        </w:tc>
        <w:tc>
          <w:tcPr>
            <w:tcW w:w="4676" w:type="dxa"/>
            <w:tcBorders>
              <w:top w:val="nil"/>
            </w:tcBorders>
            <w:shd w:val="clear" w:color="auto" w:fill="auto"/>
            <w:tcMar>
              <w:right w:w="28" w:type="dxa"/>
            </w:tcMar>
            <w:vAlign w:val="bottom"/>
          </w:tcPr>
          <w:p w:rsidR="009D7E32" w:rsidRPr="008454F8" w:rsidRDefault="009D7E32" w:rsidP="00174B55">
            <w:pPr>
              <w:pStyle w:val="SingleTxtG"/>
              <w:keepNext/>
              <w:keepLines/>
              <w:spacing w:before="40"/>
              <w:ind w:left="0" w:right="0"/>
            </w:pPr>
            <w:r w:rsidRPr="008454F8">
              <w:t>4 de agosto de 2015</w:t>
            </w:r>
          </w:p>
          <w:p w:rsidR="009D7E32" w:rsidRPr="008454F8" w:rsidRDefault="009D7E32" w:rsidP="00174B55">
            <w:pPr>
              <w:pStyle w:val="SingleTxtG"/>
              <w:keepNext/>
              <w:keepLines/>
              <w:spacing w:before="40"/>
              <w:ind w:left="0" w:right="0"/>
            </w:pPr>
            <w:r w:rsidRPr="008454F8">
              <w:t>El 6 de julio de 2015, el Gobierno de Nepal decidió actuar en justicia contra las personas implicadas en la desaparición forzada y el asesinato del Sr. Katwal. La familia del Sr. Katwal recibió 300.000 rupias nepalesas en concepto de reparación provisional. Como en el dictamen del Comité se consideró que la medida era insuficiente, el Gobierno va a abonar 100.000 rupias nepalesas más a la familia. El Gobierno indica además que la familia Katwal tiene derecho a medidas de indemnización, restitución y reparación y a otras prestaciones, y que el Ministerio del Interior y el Ministerio de Defensa están trabajando en la creación de un mecanismo que permita proteger a la familia del Sr. Katwal de todo acto de represalia y sirva para evitar que se repitan incidentes similares en el futuro.</w:t>
            </w:r>
          </w:p>
        </w:tc>
      </w:tr>
      <w:tr w:rsidR="009D7E32" w:rsidRPr="008454F8" w:rsidTr="009976B8">
        <w:trPr>
          <w:trHeight w:val="290"/>
        </w:trPr>
        <w:tc>
          <w:tcPr>
            <w:tcW w:w="2694" w:type="dxa"/>
            <w:shd w:val="clear" w:color="auto" w:fill="auto"/>
          </w:tcPr>
          <w:p w:rsidR="009D7E32" w:rsidRPr="008454F8" w:rsidRDefault="00976505" w:rsidP="008454F8">
            <w:pPr>
              <w:pStyle w:val="SingleTxtG"/>
              <w:spacing w:before="40"/>
              <w:ind w:left="0" w:right="0"/>
              <w:jc w:val="left"/>
            </w:pPr>
            <w:r w:rsidRPr="008454F8">
              <w:t>Comunicación presentada por el abogado de la autora el:</w:t>
            </w:r>
          </w:p>
        </w:tc>
        <w:tc>
          <w:tcPr>
            <w:tcW w:w="4676" w:type="dxa"/>
            <w:shd w:val="clear" w:color="auto" w:fill="auto"/>
            <w:tcMar>
              <w:right w:w="28" w:type="dxa"/>
            </w:tcMar>
            <w:vAlign w:val="bottom"/>
          </w:tcPr>
          <w:p w:rsidR="00976505" w:rsidRPr="008454F8" w:rsidRDefault="00976505" w:rsidP="00976505">
            <w:pPr>
              <w:pStyle w:val="SingleTxtG"/>
              <w:spacing w:before="40"/>
              <w:ind w:left="0" w:right="0"/>
            </w:pPr>
            <w:r w:rsidRPr="008454F8">
              <w:t xml:space="preserve">8 de octubre de 2015 </w:t>
            </w:r>
          </w:p>
          <w:p w:rsidR="00976505" w:rsidRPr="008454F8" w:rsidRDefault="00976505" w:rsidP="00976505">
            <w:pPr>
              <w:pStyle w:val="SingleTxtG"/>
              <w:spacing w:before="40"/>
              <w:ind w:left="0" w:right="0"/>
            </w:pPr>
            <w:r w:rsidRPr="008454F8">
              <w:t>El grado de aplicación del dictamen del Comité sigue siendo “prácticamente nulo”, a pesar de los intentos de los representantes y las hijas de la autora de reunirse con los ministros competentes y del intercambio de correspondencia. Ello pone de relieve que el Estado parte es “en general reacio” a facilitar la aplicación del dictamen y a colaborar con la autora. El dictamen del Comité todavía no se ha traducido al nepalés. No se han tomado medidas para realizar una investigación sobre la detención arbitraria, la tortura y la desaparición forzada del Sr. Katwal. No se han tomado medidas para localizar, exhumar e identificar los restos del Sr. Katwal. Por lo que respecta al procesamiento, enjuiciamiento y castigo de los responsables, el Fiscal General no ha adoptado medidas para llevar a los autores de los delitos ante la justicia. La autora no ha recibido indemnización alguna por los graves daños materiales y morales sufridos.</w:t>
            </w:r>
          </w:p>
          <w:p w:rsidR="009D7E32" w:rsidRPr="008454F8" w:rsidRDefault="00976505" w:rsidP="00976505">
            <w:pPr>
              <w:pStyle w:val="SingleTxtG"/>
              <w:spacing w:before="40"/>
              <w:ind w:left="0" w:right="0"/>
            </w:pPr>
            <w:r w:rsidRPr="008454F8">
              <w:t>No se han aplicado medidas adecuadas de satisfacción, como la celebración de una ceremonia pública en la que las autoridades nepalesas reconozcan su responsabilidad internacional y pidan disculpas a la autora. Además, esta no ha recibido ninguna información sobre las medidas adoptadas para tipificar como delito la desaparición forzada en Nepal.</w:t>
            </w:r>
          </w:p>
        </w:tc>
      </w:tr>
      <w:tr w:rsidR="009D7E32" w:rsidRPr="008454F8" w:rsidTr="009976B8">
        <w:trPr>
          <w:trHeight w:val="290"/>
        </w:trPr>
        <w:tc>
          <w:tcPr>
            <w:tcW w:w="2694" w:type="dxa"/>
            <w:tcBorders>
              <w:bottom w:val="nil"/>
            </w:tcBorders>
            <w:shd w:val="clear" w:color="auto" w:fill="auto"/>
          </w:tcPr>
          <w:p w:rsidR="009D7E32" w:rsidRPr="008454F8" w:rsidRDefault="00976505" w:rsidP="008454F8">
            <w:pPr>
              <w:pStyle w:val="SingleTxtG"/>
              <w:spacing w:before="40"/>
              <w:ind w:left="0" w:right="0"/>
              <w:jc w:val="left"/>
            </w:pPr>
            <w:r w:rsidRPr="008454F8">
              <w:t>Evaluación del Comité:</w:t>
            </w:r>
          </w:p>
        </w:tc>
        <w:tc>
          <w:tcPr>
            <w:tcW w:w="4676" w:type="dxa"/>
            <w:tcBorders>
              <w:bottom w:val="nil"/>
            </w:tcBorders>
            <w:shd w:val="clear" w:color="auto" w:fill="auto"/>
            <w:tcMar>
              <w:right w:w="28" w:type="dxa"/>
            </w:tcMar>
            <w:vAlign w:val="bottom"/>
          </w:tcPr>
          <w:p w:rsidR="00976505" w:rsidRPr="008454F8" w:rsidRDefault="00976505" w:rsidP="008666E3">
            <w:pPr>
              <w:pStyle w:val="SingleTxtG"/>
              <w:spacing w:before="40"/>
              <w:ind w:left="0" w:right="0" w:firstLine="227"/>
            </w:pPr>
            <w:r w:rsidRPr="008454F8">
              <w:t>a)</w:t>
            </w:r>
            <w:r w:rsidRPr="008454F8">
              <w:tab/>
              <w:t>Investigación exhaustiva: C1</w:t>
            </w:r>
          </w:p>
          <w:p w:rsidR="009D7E32" w:rsidRDefault="00976505" w:rsidP="008666E3">
            <w:pPr>
              <w:pStyle w:val="SingleTxtG"/>
              <w:spacing w:before="40"/>
              <w:ind w:left="0" w:right="0" w:firstLine="227"/>
            </w:pPr>
            <w:r w:rsidRPr="008454F8">
              <w:t>b)</w:t>
            </w:r>
            <w:r w:rsidRPr="008454F8">
              <w:tab/>
              <w:t>Enjuiciamiento y castigo de los responsables: C1</w:t>
            </w:r>
          </w:p>
          <w:p w:rsidR="00976505" w:rsidRPr="008454F8" w:rsidRDefault="00976505" w:rsidP="008666E3">
            <w:pPr>
              <w:pStyle w:val="SingleTxtG"/>
              <w:spacing w:before="40"/>
              <w:ind w:left="0" w:right="0" w:firstLine="227"/>
            </w:pPr>
            <w:r w:rsidRPr="008454F8">
              <w:t>c)</w:t>
            </w:r>
            <w:r w:rsidRPr="008454F8">
              <w:tab/>
              <w:t>Indemnización adecuada: C2</w:t>
            </w:r>
          </w:p>
          <w:p w:rsidR="00976505" w:rsidRPr="008454F8" w:rsidRDefault="00976505" w:rsidP="008666E3">
            <w:pPr>
              <w:pStyle w:val="SingleTxtG"/>
              <w:spacing w:before="40"/>
              <w:ind w:left="0" w:right="0" w:firstLine="227"/>
            </w:pPr>
            <w:r w:rsidRPr="008454F8">
              <w:t>d)</w:t>
            </w:r>
            <w:r w:rsidRPr="008454F8">
              <w:tab/>
              <w:t>Medidas apropiadas de satisfacción: C1</w:t>
            </w:r>
          </w:p>
          <w:p w:rsidR="00976505" w:rsidRPr="008454F8" w:rsidRDefault="00976505" w:rsidP="008666E3">
            <w:pPr>
              <w:pStyle w:val="SingleTxtG"/>
              <w:spacing w:before="40"/>
              <w:ind w:left="0" w:right="0" w:firstLine="227"/>
            </w:pPr>
            <w:r w:rsidRPr="008454F8">
              <w:t>e)</w:t>
            </w:r>
            <w:r w:rsidRPr="008454F8">
              <w:tab/>
              <w:t>Publicación del dictamen: No se dispone de información</w:t>
            </w:r>
            <w:r w:rsidR="009976B8">
              <w:t>.</w:t>
            </w:r>
          </w:p>
          <w:p w:rsidR="00976505" w:rsidRPr="008454F8" w:rsidRDefault="00976505" w:rsidP="008666E3">
            <w:pPr>
              <w:pStyle w:val="SingleTxtG"/>
              <w:spacing w:before="40"/>
              <w:ind w:left="0" w:right="0" w:firstLine="227"/>
            </w:pPr>
            <w:r w:rsidRPr="008454F8">
              <w:t>f)</w:t>
            </w:r>
            <w:r w:rsidRPr="008454F8">
              <w:tab/>
              <w:t>No repetición: C1</w:t>
            </w:r>
          </w:p>
        </w:tc>
      </w:tr>
      <w:tr w:rsidR="00976505" w:rsidRPr="008454F8" w:rsidTr="009976B8">
        <w:trPr>
          <w:trHeight w:val="290"/>
        </w:trPr>
        <w:tc>
          <w:tcPr>
            <w:tcW w:w="2694" w:type="dxa"/>
            <w:tcBorders>
              <w:top w:val="nil"/>
              <w:bottom w:val="single" w:sz="12" w:space="0" w:color="auto"/>
            </w:tcBorders>
            <w:shd w:val="clear" w:color="auto" w:fill="auto"/>
          </w:tcPr>
          <w:p w:rsidR="00976505" w:rsidRPr="008454F8" w:rsidRDefault="00976505"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976505" w:rsidRPr="008454F8" w:rsidRDefault="00976505" w:rsidP="00976505">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76505">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174B55">
            <w:pPr>
              <w:pStyle w:val="SingleTxtG"/>
              <w:keepNext/>
              <w:keepLines/>
              <w:spacing w:before="80" w:after="80" w:line="200" w:lineRule="exact"/>
              <w:ind w:left="0" w:right="0"/>
              <w:jc w:val="left"/>
              <w:rPr>
                <w:bCs/>
                <w:i/>
                <w:sz w:val="16"/>
              </w:rPr>
            </w:pPr>
            <w:r w:rsidRPr="00976505">
              <w:rPr>
                <w:b/>
              </w:rPr>
              <w:lastRenderedPageBreak/>
              <w:t xml:space="preserve">Comunicación núm. 2018/2010, </w:t>
            </w:r>
            <w:r w:rsidRPr="00CC594F">
              <w:rPr>
                <w:b/>
                <w:i/>
              </w:rPr>
              <w:t>Chaulagain c. Nepal</w:t>
            </w:r>
            <w:r w:rsidRPr="008454F8">
              <w:rPr>
                <w:bCs/>
                <w:i/>
                <w:sz w:val="16"/>
              </w:rPr>
              <w:t xml:space="preserve"> </w:t>
            </w:r>
          </w:p>
        </w:tc>
      </w:tr>
      <w:tr w:rsidR="00976505" w:rsidRPr="008454F8" w:rsidTr="009976B8">
        <w:trPr>
          <w:trHeight w:val="240"/>
        </w:trPr>
        <w:tc>
          <w:tcPr>
            <w:tcW w:w="2694" w:type="dxa"/>
            <w:tcBorders>
              <w:top w:val="single" w:sz="12" w:space="0" w:color="auto"/>
              <w:bottom w:val="nil"/>
            </w:tcBorders>
            <w:shd w:val="clear" w:color="auto" w:fill="auto"/>
          </w:tcPr>
          <w:p w:rsidR="00976505" w:rsidRPr="008454F8" w:rsidRDefault="00976505" w:rsidP="008454F8">
            <w:pPr>
              <w:pStyle w:val="SingleTxtG"/>
              <w:spacing w:before="40"/>
              <w:ind w:left="0" w:right="0"/>
              <w:jc w:val="left"/>
            </w:pPr>
            <w:r w:rsidRPr="008454F8">
              <w:t>Fecha de aprobación del dictamen:</w:t>
            </w:r>
          </w:p>
        </w:tc>
        <w:tc>
          <w:tcPr>
            <w:tcW w:w="4676" w:type="dxa"/>
            <w:tcBorders>
              <w:top w:val="single" w:sz="12" w:space="0" w:color="auto"/>
              <w:bottom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28 de octubre de 2014</w:t>
            </w:r>
          </w:p>
        </w:tc>
      </w:tr>
      <w:tr w:rsidR="00976505" w:rsidRPr="008454F8" w:rsidTr="009976B8">
        <w:trPr>
          <w:trHeight w:val="240"/>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Violaciones:</w:t>
            </w:r>
          </w:p>
        </w:tc>
        <w:tc>
          <w:tcPr>
            <w:tcW w:w="4676" w:type="dxa"/>
            <w:tcBorders>
              <w:top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Artículos 6, párrafo 1; 7; 9; y 10, leídos conjuntamente con el artículo 2, párrafo 3, con respecto a la hija del autor; y artículo 7, leído conjuntamente con el artículo 2, párrafo 3, con respecto al autor</w:t>
            </w:r>
          </w:p>
        </w:tc>
      </w:tr>
      <w:tr w:rsidR="00976505" w:rsidRPr="008454F8" w:rsidTr="009976B8">
        <w:trPr>
          <w:trHeight w:val="240"/>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Reparación:</w:t>
            </w:r>
          </w:p>
        </w:tc>
        <w:tc>
          <w:tcPr>
            <w:tcW w:w="4676" w:type="dxa"/>
            <w:tcBorders>
              <w:top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Un recurso efectivo, que entrañe una investigación completa y efectiva de los hechos, el enjuiciamiento y castigo de los responsables, así como una reparación íntegra y medidas adecuadas de satisfacción.</w:t>
            </w:r>
          </w:p>
        </w:tc>
      </w:tr>
      <w:tr w:rsidR="00976505" w:rsidRPr="008454F8" w:rsidTr="009976B8">
        <w:trPr>
          <w:trHeight w:val="240"/>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Anterior aparición en un informe sobre el seguimiento:</w:t>
            </w:r>
          </w:p>
        </w:tc>
        <w:tc>
          <w:tcPr>
            <w:tcW w:w="4676" w:type="dxa"/>
            <w:tcBorders>
              <w:top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Primera aparición</w:t>
            </w:r>
          </w:p>
        </w:tc>
      </w:tr>
      <w:tr w:rsidR="00976505" w:rsidRPr="008454F8" w:rsidTr="009976B8">
        <w:trPr>
          <w:trHeight w:val="240"/>
        </w:trPr>
        <w:tc>
          <w:tcPr>
            <w:tcW w:w="2694" w:type="dxa"/>
            <w:tcBorders>
              <w:top w:val="nil"/>
            </w:tcBorders>
            <w:shd w:val="clear" w:color="auto" w:fill="auto"/>
          </w:tcPr>
          <w:p w:rsidR="00976505" w:rsidRPr="008454F8" w:rsidRDefault="00976505" w:rsidP="00174B55">
            <w:pPr>
              <w:pStyle w:val="SingleTxtG"/>
              <w:spacing w:before="40"/>
              <w:ind w:left="0" w:right="0"/>
              <w:jc w:val="left"/>
            </w:pPr>
            <w:r w:rsidRPr="008454F8">
              <w:t>Comunicación presentada por</w:t>
            </w:r>
            <w:r w:rsidR="00174B55">
              <w:t xml:space="preserve"> </w:t>
            </w:r>
            <w:r w:rsidRPr="008454F8">
              <w:t>el Estado parte el:</w:t>
            </w:r>
          </w:p>
        </w:tc>
        <w:tc>
          <w:tcPr>
            <w:tcW w:w="4676" w:type="dxa"/>
            <w:tcBorders>
              <w:top w:val="nil"/>
            </w:tcBorders>
            <w:shd w:val="clear" w:color="auto" w:fill="auto"/>
            <w:tcMar>
              <w:right w:w="28" w:type="dxa"/>
            </w:tcMar>
            <w:vAlign w:val="bottom"/>
          </w:tcPr>
          <w:p w:rsidR="00976505" w:rsidRPr="00174B55" w:rsidRDefault="00976505" w:rsidP="00976505">
            <w:pPr>
              <w:pStyle w:val="SingleTxtG"/>
              <w:spacing w:before="40"/>
              <w:ind w:left="0" w:right="0"/>
              <w:rPr>
                <w:spacing w:val="-1"/>
              </w:rPr>
            </w:pPr>
            <w:r w:rsidRPr="00174B55">
              <w:rPr>
                <w:spacing w:val="-1"/>
              </w:rPr>
              <w:t>5 de junio de 2015</w:t>
            </w:r>
          </w:p>
          <w:p w:rsidR="00976505" w:rsidRPr="00174B55" w:rsidRDefault="00976505" w:rsidP="00976505">
            <w:pPr>
              <w:pStyle w:val="SingleTxtG"/>
              <w:spacing w:before="40"/>
              <w:ind w:left="0" w:right="0"/>
              <w:rPr>
                <w:spacing w:val="-1"/>
              </w:rPr>
            </w:pPr>
            <w:r w:rsidRPr="00174B55">
              <w:rPr>
                <w:spacing w:val="-1"/>
              </w:rPr>
              <w:t>El Estado parte informa al Comité de que actuará en justicia contra las personas implicadas en el delito. Además, la familia del autor ya ha recibido 300.000 rupias nepalesas en concepto de reparación provisional y tiene también derecho a medidas de indemnización, restitución, reparación y otras prestaciones, conforme a la recomendación de la Comisión constituida en virtud de la Ley de la Comisión para la Investigación de los Casos de Personas Desaparecidas, y para la Verdad y la Reconciliación, de 2014. Además, el Estado parte está trabajando en la creación de un mecanismo de protección contra todo acto de represalia o intimidación para impedir que se repitan incidentes similares en el futuro.</w:t>
            </w:r>
          </w:p>
        </w:tc>
      </w:tr>
      <w:tr w:rsidR="00976505" w:rsidRPr="008454F8" w:rsidTr="009976B8">
        <w:trPr>
          <w:trHeight w:val="240"/>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Evaluación del Comité:</w:t>
            </w:r>
          </w:p>
        </w:tc>
        <w:tc>
          <w:tcPr>
            <w:tcW w:w="4676" w:type="dxa"/>
            <w:tcBorders>
              <w:top w:val="nil"/>
            </w:tcBorders>
            <w:shd w:val="clear" w:color="auto" w:fill="auto"/>
            <w:tcMar>
              <w:right w:w="28" w:type="dxa"/>
            </w:tcMar>
            <w:vAlign w:val="bottom"/>
          </w:tcPr>
          <w:p w:rsidR="00976505" w:rsidRPr="008454F8" w:rsidRDefault="00976505" w:rsidP="008666E3">
            <w:pPr>
              <w:pStyle w:val="SingleTxtG"/>
              <w:spacing w:before="40"/>
              <w:ind w:left="0" w:right="0" w:firstLine="227"/>
            </w:pPr>
            <w:r w:rsidRPr="008454F8">
              <w:t>a)</w:t>
            </w:r>
            <w:r w:rsidRPr="008454F8">
              <w:tab/>
              <w:t>Investigación exhaustiva: C1</w:t>
            </w:r>
          </w:p>
          <w:p w:rsidR="00976505" w:rsidRPr="008454F8" w:rsidRDefault="00976505" w:rsidP="008666E3">
            <w:pPr>
              <w:pStyle w:val="SingleTxtG"/>
              <w:spacing w:before="40"/>
              <w:ind w:left="0" w:right="0" w:firstLine="227"/>
            </w:pPr>
            <w:r w:rsidRPr="008454F8">
              <w:t>b)</w:t>
            </w:r>
            <w:r w:rsidRPr="008454F8">
              <w:tab/>
              <w:t>Enjuiciamiento y castigo de los responsables: C1</w:t>
            </w:r>
          </w:p>
          <w:p w:rsidR="00976505" w:rsidRDefault="00976505" w:rsidP="008666E3">
            <w:pPr>
              <w:pStyle w:val="SingleTxtG"/>
              <w:spacing w:before="40"/>
              <w:ind w:left="0" w:right="0" w:firstLine="227"/>
            </w:pPr>
            <w:r w:rsidRPr="008454F8">
              <w:t>c)</w:t>
            </w:r>
            <w:r w:rsidRPr="008454F8">
              <w:tab/>
              <w:t>Indemnización adecuada: B2</w:t>
            </w:r>
          </w:p>
          <w:p w:rsidR="00976505" w:rsidRPr="008454F8" w:rsidRDefault="00976505" w:rsidP="008666E3">
            <w:pPr>
              <w:pStyle w:val="SingleTxtG"/>
              <w:spacing w:before="40"/>
              <w:ind w:left="0" w:right="0" w:firstLine="227"/>
            </w:pPr>
            <w:r w:rsidRPr="008454F8">
              <w:t>d)</w:t>
            </w:r>
            <w:r w:rsidRPr="008454F8">
              <w:tab/>
              <w:t>Medidas apropiadas de satisfacción: C1</w:t>
            </w:r>
          </w:p>
          <w:p w:rsidR="00976505" w:rsidRPr="008454F8" w:rsidRDefault="00976505" w:rsidP="008666E3">
            <w:pPr>
              <w:pStyle w:val="SingleTxtG"/>
              <w:spacing w:before="40"/>
              <w:ind w:left="0" w:right="0" w:firstLine="227"/>
            </w:pPr>
            <w:r w:rsidRPr="008454F8">
              <w:t>e)</w:t>
            </w:r>
            <w:r w:rsidRPr="008454F8">
              <w:tab/>
              <w:t>Publicación del dictamen: No se dispone de información</w:t>
            </w:r>
            <w:r w:rsidR="009976B8">
              <w:t>.</w:t>
            </w:r>
          </w:p>
          <w:p w:rsidR="00976505" w:rsidRPr="008454F8" w:rsidRDefault="00976505" w:rsidP="008666E3">
            <w:pPr>
              <w:pStyle w:val="SingleTxtG"/>
              <w:spacing w:before="40"/>
              <w:ind w:left="0" w:right="0" w:firstLine="227"/>
            </w:pPr>
            <w:r w:rsidRPr="008454F8">
              <w:t>f)</w:t>
            </w:r>
            <w:r w:rsidRPr="008454F8">
              <w:tab/>
              <w:t>No repetición: C1</w:t>
            </w:r>
          </w:p>
        </w:tc>
      </w:tr>
      <w:tr w:rsidR="00976505" w:rsidRPr="008454F8" w:rsidTr="009976B8">
        <w:trPr>
          <w:trHeight w:val="240"/>
        </w:trPr>
        <w:tc>
          <w:tcPr>
            <w:tcW w:w="2694" w:type="dxa"/>
            <w:tcBorders>
              <w:top w:val="nil"/>
              <w:bottom w:val="nil"/>
            </w:tcBorders>
            <w:shd w:val="clear" w:color="auto" w:fill="auto"/>
          </w:tcPr>
          <w:p w:rsidR="00976505" w:rsidRPr="008454F8" w:rsidRDefault="00976505" w:rsidP="00174B55">
            <w:pPr>
              <w:pStyle w:val="SingleTxtG"/>
              <w:spacing w:before="40"/>
              <w:ind w:left="0" w:right="0"/>
              <w:jc w:val="left"/>
            </w:pPr>
            <w:r w:rsidRPr="008454F8">
              <w:t>Comunicación presentada por</w:t>
            </w:r>
            <w:r w:rsidR="00174B55">
              <w:t xml:space="preserve"> </w:t>
            </w:r>
            <w:r w:rsidRPr="008454F8">
              <w:t>el abogado del autor el:</w:t>
            </w:r>
          </w:p>
        </w:tc>
        <w:tc>
          <w:tcPr>
            <w:tcW w:w="4676" w:type="dxa"/>
            <w:tcBorders>
              <w:top w:val="nil"/>
              <w:bottom w:val="nil"/>
            </w:tcBorders>
            <w:shd w:val="clear" w:color="auto" w:fill="auto"/>
            <w:tcMar>
              <w:right w:w="28" w:type="dxa"/>
            </w:tcMar>
            <w:vAlign w:val="bottom"/>
          </w:tcPr>
          <w:p w:rsidR="00976505" w:rsidRDefault="00976505" w:rsidP="00976505">
            <w:pPr>
              <w:pStyle w:val="SingleTxtG"/>
              <w:spacing w:before="40"/>
              <w:ind w:left="0" w:right="0"/>
            </w:pPr>
            <w:r w:rsidRPr="008454F8">
              <w:t>6 de noviembre de 2015</w:t>
            </w:r>
          </w:p>
          <w:p w:rsidR="00976505" w:rsidRPr="008454F8" w:rsidRDefault="00976505" w:rsidP="00174B55">
            <w:pPr>
              <w:pStyle w:val="SingleTxtG"/>
              <w:spacing w:before="40"/>
              <w:ind w:left="0" w:right="0"/>
            </w:pPr>
            <w:r w:rsidRPr="008454F8">
              <w:t xml:space="preserve">Desde que se publicó el dictamen, el Estado parte no ha enviado ninguna correspondencia al autor ni se ha puesto en contacto con él para informarlo de las medidas que tenía previsto adoptar. El abogado sostiene que la investigación del asunto realizada por conducto de la Comisión de la Verdad y la Reconciliación es inadecuada, ya que dicha Comisión no puede ofrecer un recurso adecuado en relación con las violaciones denunciadas y, por lo tanto, el Estado parte debe crear un equipo especializado de investigadores de la policía y fiscales que lleve a cabo una investigación penal. La familia del autor no ha recibido la reparación adecuada, solo la suma de 300.000 rupias nepalesas, que no es suficiente habida cuenta de los daños pecuniarios y no pecuniarios sufridos. Tampoco ha recibido disculpas oficiales ni otras medidas apropiadas de satisfacción. </w:t>
            </w:r>
            <w:r w:rsidRPr="008454F8">
              <w:lastRenderedPageBreak/>
              <w:t>El</w:t>
            </w:r>
            <w:r w:rsidR="00174B55">
              <w:t> </w:t>
            </w:r>
            <w:r w:rsidRPr="008454F8">
              <w:t>Gobierno debe ponerse en contacto con la familia del Sr. Chaulagain para obtener de ella una estimación de los daños pecuniarios y no pecuniarios sufridos y ofrecerle medidas de satisfacción apropiadas. Por último, el Estado parte debe adoptar medidas para evitar que se cometan violaciones semejantes en el futuro, entre otros medios modificando la Ley de la Comisión para la Investigación de los Casos de Personas Desaparecidas, y para la Verdad y la Reconciliación, y adhiriéndose al Estatuto de Roma de la Corte Penal Internacional.</w:t>
            </w:r>
          </w:p>
        </w:tc>
      </w:tr>
      <w:tr w:rsidR="00976505" w:rsidRPr="008454F8" w:rsidTr="009976B8">
        <w:trPr>
          <w:trHeight w:val="240"/>
        </w:trPr>
        <w:tc>
          <w:tcPr>
            <w:tcW w:w="2694" w:type="dxa"/>
            <w:tcBorders>
              <w:top w:val="nil"/>
              <w:bottom w:val="single" w:sz="12" w:space="0" w:color="auto"/>
            </w:tcBorders>
            <w:shd w:val="clear" w:color="auto" w:fill="auto"/>
          </w:tcPr>
          <w:p w:rsidR="00976505" w:rsidRPr="008454F8" w:rsidRDefault="00976505" w:rsidP="008454F8">
            <w:pPr>
              <w:pStyle w:val="SingleTxtG"/>
              <w:spacing w:before="40"/>
              <w:ind w:left="0" w:right="0"/>
              <w:jc w:val="left"/>
            </w:pPr>
            <w:r w:rsidRPr="008454F8">
              <w:lastRenderedPageBreak/>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976505" w:rsidRPr="008454F8" w:rsidRDefault="00976505" w:rsidP="00976505">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76505">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976505">
              <w:rPr>
                <w:b/>
              </w:rPr>
              <w:t xml:space="preserve">Comunicación núm. 2031/2011, </w:t>
            </w:r>
            <w:r w:rsidRPr="00CC594F">
              <w:rPr>
                <w:b/>
                <w:i/>
              </w:rPr>
              <w:t>Bhandari c. Nepal</w:t>
            </w:r>
          </w:p>
        </w:tc>
      </w:tr>
      <w:tr w:rsidR="00976505" w:rsidRPr="008454F8" w:rsidTr="009976B8">
        <w:trPr>
          <w:trHeight w:val="307"/>
        </w:trPr>
        <w:tc>
          <w:tcPr>
            <w:tcW w:w="2694" w:type="dxa"/>
            <w:tcBorders>
              <w:top w:val="single" w:sz="12" w:space="0" w:color="auto"/>
              <w:bottom w:val="nil"/>
            </w:tcBorders>
            <w:shd w:val="clear" w:color="auto" w:fill="auto"/>
          </w:tcPr>
          <w:p w:rsidR="00976505" w:rsidRPr="008454F8" w:rsidRDefault="00976505" w:rsidP="008454F8">
            <w:pPr>
              <w:pStyle w:val="SingleTxtG"/>
              <w:spacing w:before="40"/>
              <w:ind w:left="0" w:right="0"/>
              <w:jc w:val="left"/>
            </w:pPr>
            <w:r w:rsidRPr="008454F8">
              <w:t>Fecha de aprobación del dictamen:</w:t>
            </w:r>
          </w:p>
        </w:tc>
        <w:tc>
          <w:tcPr>
            <w:tcW w:w="4676" w:type="dxa"/>
            <w:tcBorders>
              <w:top w:val="single" w:sz="12" w:space="0" w:color="auto"/>
              <w:bottom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29 de octubre de 2014</w:t>
            </w:r>
          </w:p>
        </w:tc>
      </w:tr>
      <w:tr w:rsidR="00976505" w:rsidRPr="008454F8" w:rsidTr="009976B8">
        <w:trPr>
          <w:trHeight w:val="304"/>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Violaciones:</w:t>
            </w:r>
          </w:p>
        </w:tc>
        <w:tc>
          <w:tcPr>
            <w:tcW w:w="4676" w:type="dxa"/>
            <w:tcBorders>
              <w:top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Artículos 2, párrafo 3; 6, párrafo 1; 7; 9</w:t>
            </w:r>
            <w:r w:rsidR="009976B8">
              <w:t>;</w:t>
            </w:r>
            <w:r w:rsidRPr="008454F8">
              <w:t xml:space="preserve"> y 16</w:t>
            </w:r>
          </w:p>
        </w:tc>
      </w:tr>
      <w:tr w:rsidR="00976505" w:rsidRPr="008454F8" w:rsidTr="009976B8">
        <w:trPr>
          <w:trHeight w:val="304"/>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Reparación:</w:t>
            </w:r>
          </w:p>
        </w:tc>
        <w:tc>
          <w:tcPr>
            <w:tcW w:w="4676" w:type="dxa"/>
            <w:tcBorders>
              <w:top w:val="nil"/>
            </w:tcBorders>
            <w:shd w:val="clear" w:color="auto" w:fill="auto"/>
            <w:tcMar>
              <w:right w:w="28" w:type="dxa"/>
            </w:tcMar>
            <w:vAlign w:val="bottom"/>
          </w:tcPr>
          <w:p w:rsidR="00976505" w:rsidRPr="00174B55" w:rsidRDefault="00976505" w:rsidP="00174B55">
            <w:pPr>
              <w:pStyle w:val="SingleTxtG"/>
              <w:spacing w:before="40"/>
              <w:ind w:left="0" w:right="0"/>
              <w:rPr>
                <w:spacing w:val="-1"/>
              </w:rPr>
            </w:pPr>
            <w:r w:rsidRPr="00174B55">
              <w:rPr>
                <w:spacing w:val="-1"/>
              </w:rPr>
              <w:t>Un recurso efectivo que entrañe, entre otras cosas: a) la realización de una investigación exhaustiva y efectiva; b)</w:t>
            </w:r>
            <w:r w:rsidR="00174B55">
              <w:rPr>
                <w:spacing w:val="-1"/>
              </w:rPr>
              <w:t> </w:t>
            </w:r>
            <w:r w:rsidRPr="00174B55">
              <w:rPr>
                <w:spacing w:val="-1"/>
              </w:rPr>
              <w:t>la localización de los restos de Tej Bahadur Bhandari para entregarlos a su familia; c) el procesamiento, enjuiciamiento y castigo de los responsables; d) la concesión de una indemnización adecuada al autor; y e) la concesión al autor de las medidas necesarias y adecuadas de rehabilitación psicológica y de tratamiento médico.</w:t>
            </w:r>
          </w:p>
        </w:tc>
      </w:tr>
      <w:tr w:rsidR="00976505" w:rsidRPr="008454F8" w:rsidTr="009976B8">
        <w:trPr>
          <w:trHeight w:val="304"/>
        </w:trPr>
        <w:tc>
          <w:tcPr>
            <w:tcW w:w="2694" w:type="dxa"/>
            <w:tcBorders>
              <w:top w:val="nil"/>
            </w:tcBorders>
            <w:shd w:val="clear" w:color="auto" w:fill="auto"/>
          </w:tcPr>
          <w:p w:rsidR="00976505" w:rsidRPr="008454F8" w:rsidRDefault="00976505" w:rsidP="008454F8">
            <w:pPr>
              <w:pStyle w:val="SingleTxtG"/>
              <w:spacing w:before="40"/>
              <w:ind w:left="0" w:right="0"/>
              <w:jc w:val="left"/>
            </w:pPr>
            <w:r w:rsidRPr="008454F8">
              <w:t>Anterior aparición en un informe sobre el seguimiento:</w:t>
            </w:r>
          </w:p>
        </w:tc>
        <w:tc>
          <w:tcPr>
            <w:tcW w:w="4676" w:type="dxa"/>
            <w:tcBorders>
              <w:top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Primera aparición</w:t>
            </w:r>
          </w:p>
        </w:tc>
      </w:tr>
      <w:tr w:rsidR="00976505" w:rsidRPr="008454F8" w:rsidTr="009976B8">
        <w:trPr>
          <w:trHeight w:val="304"/>
        </w:trPr>
        <w:tc>
          <w:tcPr>
            <w:tcW w:w="2694" w:type="dxa"/>
            <w:tcBorders>
              <w:top w:val="nil"/>
              <w:bottom w:val="nil"/>
            </w:tcBorders>
            <w:shd w:val="clear" w:color="auto" w:fill="auto"/>
          </w:tcPr>
          <w:p w:rsidR="00976505" w:rsidRPr="008454F8" w:rsidRDefault="00976505" w:rsidP="00174B55">
            <w:pPr>
              <w:pStyle w:val="SingleTxtG"/>
              <w:spacing w:before="40"/>
              <w:ind w:left="0" w:right="0"/>
              <w:jc w:val="left"/>
            </w:pPr>
            <w:r w:rsidRPr="008454F8">
              <w:t>Comunicación presentada por</w:t>
            </w:r>
            <w:r w:rsidR="00174B55">
              <w:t xml:space="preserve"> </w:t>
            </w:r>
            <w:r w:rsidRPr="008454F8">
              <w:t>el abogado del autor el:</w:t>
            </w:r>
          </w:p>
        </w:tc>
        <w:tc>
          <w:tcPr>
            <w:tcW w:w="4676" w:type="dxa"/>
            <w:tcBorders>
              <w:top w:val="nil"/>
              <w:bottom w:val="nil"/>
            </w:tcBorders>
            <w:shd w:val="clear" w:color="auto" w:fill="auto"/>
            <w:tcMar>
              <w:right w:w="28" w:type="dxa"/>
            </w:tcMar>
            <w:vAlign w:val="bottom"/>
          </w:tcPr>
          <w:p w:rsidR="00976505" w:rsidRPr="008454F8" w:rsidRDefault="00976505" w:rsidP="00976505">
            <w:pPr>
              <w:pStyle w:val="SingleTxtG"/>
              <w:spacing w:before="40"/>
              <w:ind w:left="0" w:right="0"/>
            </w:pPr>
            <w:r w:rsidRPr="008454F8">
              <w:t>9 de noviembre de 2015</w:t>
            </w:r>
          </w:p>
          <w:p w:rsidR="00976505" w:rsidRDefault="00976505" w:rsidP="00976505">
            <w:pPr>
              <w:pStyle w:val="SingleTxtG"/>
              <w:spacing w:before="40"/>
              <w:ind w:left="0" w:right="0"/>
            </w:pPr>
            <w:r w:rsidRPr="008454F8">
              <w:t>El Estado parte todavía no ha adoptado ninguna medida importante para aplicar el dictamen del Comité. A pesar de los incontables esfuerzos del autor por participar en el proceso de aplicación, no se ha adoptado ninguna medida concreta.</w:t>
            </w:r>
          </w:p>
          <w:p w:rsidR="00976505" w:rsidRPr="008454F8" w:rsidRDefault="00976505" w:rsidP="00976505">
            <w:pPr>
              <w:pStyle w:val="SingleTxtG"/>
              <w:spacing w:before="40"/>
              <w:ind w:left="0" w:right="0"/>
            </w:pPr>
            <w:r w:rsidRPr="008454F8">
              <w:t xml:space="preserve">El Estado parte sigue remitiendo el asunto al mecanismo de justicia de transición, lo que contraviene el dictamen del Comité y parece tener una intención puramente dilatoria. El Estado parte remite constantemente el asunto al mecanismo en un intento de aplazar indefinidamente la aplicación del dictamen. Además, según TRIAL (Track Impunity Always), los mecanismos de justicia de transición no son aún plenamente operativos. </w:t>
            </w:r>
          </w:p>
          <w:p w:rsidR="00976505" w:rsidRPr="008454F8" w:rsidRDefault="00976505" w:rsidP="00976505">
            <w:pPr>
              <w:pStyle w:val="SingleTxtG"/>
              <w:spacing w:before="40"/>
              <w:ind w:left="0" w:right="0"/>
            </w:pPr>
            <w:r w:rsidRPr="008454F8">
              <w:t xml:space="preserve">El Estado parte no ha traducido el dictamen. El autor ha tratado de ponerse en contacto con el Ministerio de Derecho y Justicia y el Ministerio de Paz y Reconstrucción. </w:t>
            </w:r>
          </w:p>
          <w:p w:rsidR="00976505" w:rsidRPr="008454F8" w:rsidRDefault="00976505" w:rsidP="00976505">
            <w:pPr>
              <w:pStyle w:val="SingleTxtG"/>
              <w:spacing w:before="40"/>
              <w:ind w:left="0" w:right="0"/>
            </w:pPr>
            <w:r w:rsidRPr="008454F8">
              <w:t>El Estado parte tampoco ha tipificado como delito la desaparición forzada en la legislación de Nepal ni ha prestado al autor servicios de rehabilitación psicológica.</w:t>
            </w:r>
          </w:p>
        </w:tc>
      </w:tr>
      <w:tr w:rsidR="00976505" w:rsidRPr="008454F8" w:rsidTr="009976B8">
        <w:trPr>
          <w:trHeight w:val="304"/>
        </w:trPr>
        <w:tc>
          <w:tcPr>
            <w:tcW w:w="2694" w:type="dxa"/>
            <w:tcBorders>
              <w:top w:val="nil"/>
              <w:bottom w:val="single" w:sz="12" w:space="0" w:color="auto"/>
            </w:tcBorders>
            <w:shd w:val="clear" w:color="auto" w:fill="auto"/>
          </w:tcPr>
          <w:p w:rsidR="00976505" w:rsidRPr="008454F8" w:rsidRDefault="00976505"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976505" w:rsidRPr="008454F8" w:rsidRDefault="00976505" w:rsidP="00976505">
            <w:pPr>
              <w:pStyle w:val="SingleTxtG"/>
              <w:spacing w:before="40"/>
              <w:ind w:left="0" w:right="0"/>
            </w:pPr>
            <w:r w:rsidRPr="008454F8">
              <w:t>Prosigue el diálogo de seguimiento; envío de un recordatorio al Estado parte (observaciones pendientes de presentación desde el 11 de mayo de 2015).</w:t>
            </w:r>
          </w:p>
        </w:tc>
      </w:tr>
    </w:tbl>
    <w:p w:rsidR="00A76B42" w:rsidRPr="00174B55" w:rsidRDefault="00A76B42" w:rsidP="00174B55">
      <w:pPr>
        <w:pStyle w:val="SingleTxtG"/>
        <w:spacing w:line="120" w:lineRule="atLeast"/>
        <w:rPr>
          <w:sz w:val="12"/>
          <w:szCs w:val="2"/>
        </w:rPr>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76505">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976505">
              <w:rPr>
                <w:b/>
              </w:rPr>
              <w:lastRenderedPageBreak/>
              <w:t xml:space="preserve">Comunicación núm. 2111/2011, </w:t>
            </w:r>
            <w:r w:rsidRPr="00CC594F">
              <w:rPr>
                <w:b/>
                <w:i/>
              </w:rPr>
              <w:t xml:space="preserve">Tripathi c. Nepal </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976505" w:rsidRPr="008454F8" w:rsidRDefault="00976505" w:rsidP="00976505">
            <w:pPr>
              <w:pStyle w:val="SingleTxtG"/>
              <w:spacing w:before="40"/>
              <w:ind w:left="0" w:right="0"/>
            </w:pPr>
            <w:r w:rsidRPr="008454F8">
              <w:t>29 de octubre de 2014</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976505" w:rsidRPr="008454F8" w:rsidRDefault="00976505" w:rsidP="00976505">
            <w:pPr>
              <w:pStyle w:val="SingleTxtG"/>
              <w:spacing w:before="40"/>
              <w:ind w:left="0" w:right="0"/>
            </w:pPr>
            <w:r w:rsidRPr="008454F8">
              <w:t>Artículos 6, párrafo 1; 7; 9; 16; y 2, párrafo 3, leído conjuntamente con los artículos 6, párrafo 1; 7; 9; y 16</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976505" w:rsidRPr="008454F8" w:rsidRDefault="00976505" w:rsidP="00174B55">
            <w:pPr>
              <w:pStyle w:val="SingleTxtG"/>
              <w:spacing w:before="40"/>
              <w:ind w:left="0" w:right="0"/>
            </w:pPr>
            <w:r w:rsidRPr="008454F8">
              <w:t>Un recurso efectivo que entrañe, entre otras cosas: a) la realización de una investigación minuciosa y efectiva; b)</w:t>
            </w:r>
            <w:r w:rsidR="00174B55">
              <w:t> </w:t>
            </w:r>
            <w:r w:rsidRPr="008454F8">
              <w:t>la puesta en libertad del Sr. Tripathi si sigue con vida; c) en caso de que el Sr. Tripathi haya fallecido, la entrega de sus restos a su familia; d) el procesamiento, enjuiciamiento y castigo de los responsables de las violaciones cometidas; e) la concesión de una indemnización adecuada; f) la concesión a la autora y su hija de los servicios de rehabilitación psicológica y de tratamiento médico necesarios; y g) la aplicación de medidas de satisfacción apropiadas.</w:t>
            </w:r>
          </w:p>
        </w:tc>
      </w:tr>
      <w:tr w:rsidR="00976505" w:rsidRPr="008454F8" w:rsidTr="009976B8">
        <w:trPr>
          <w:trHeight w:val="240"/>
        </w:trPr>
        <w:tc>
          <w:tcPr>
            <w:tcW w:w="2694" w:type="dxa"/>
            <w:shd w:val="clear" w:color="auto" w:fill="auto"/>
          </w:tcPr>
          <w:p w:rsidR="00976505" w:rsidRPr="008454F8" w:rsidRDefault="00976505" w:rsidP="00174B55">
            <w:pPr>
              <w:pStyle w:val="SingleTxtG"/>
              <w:spacing w:before="40"/>
              <w:ind w:left="0" w:right="0"/>
              <w:jc w:val="left"/>
            </w:pPr>
            <w:r w:rsidRPr="008454F8">
              <w:t>Comunicación presentada por</w:t>
            </w:r>
            <w:r w:rsidR="00174B55">
              <w:t xml:space="preserve"> </w:t>
            </w:r>
            <w:r w:rsidRPr="008454F8">
              <w:t>el Estado parte el:</w:t>
            </w:r>
          </w:p>
        </w:tc>
        <w:tc>
          <w:tcPr>
            <w:tcW w:w="4676" w:type="dxa"/>
            <w:shd w:val="clear" w:color="auto" w:fill="auto"/>
            <w:tcMar>
              <w:right w:w="28" w:type="dxa"/>
            </w:tcMar>
            <w:vAlign w:val="bottom"/>
          </w:tcPr>
          <w:p w:rsidR="00976505" w:rsidRDefault="00976505" w:rsidP="00976505">
            <w:pPr>
              <w:pStyle w:val="SingleTxtG"/>
              <w:spacing w:before="40"/>
              <w:ind w:left="0" w:right="0"/>
            </w:pPr>
            <w:r w:rsidRPr="008454F8">
              <w:t xml:space="preserve">19 de marzo de 2015 </w:t>
            </w:r>
          </w:p>
          <w:p w:rsidR="00976505" w:rsidRPr="008454F8" w:rsidRDefault="00976505" w:rsidP="00976505">
            <w:pPr>
              <w:pStyle w:val="SingleTxtG"/>
              <w:spacing w:before="40"/>
              <w:ind w:left="0" w:right="0"/>
            </w:pPr>
            <w:r w:rsidRPr="008454F8">
              <w:t>El Estado parte informa al Comité de que, en cuanto la Comisión constituida en virtud de la Ley de la Comisión para la Investigación de los Casos de Personas Desaparecidas, y para la Verdad y la Reconciliación, le comunique los hechos, las pruebas y sus recomendaciones, se llevará a los responsables ante la justicia. Además, la familia del Sr. Tripathi ha recibido 300.000 rupias nepalesas en concepto de reparación provisional y tendrá derecho a medidas de indemnización, reparación y rehabilitación, y la esposa y la hija del Sr. Tripathi gozarán de atención gratuita de la salud. El Ministerio del Interior y el Ministerio de Defensa velarán por que los familiares estén protegidos contra todo acto de represalia. El Gabinete del Primer Ministro y el Consejo de Ministros han dado los primeros pasos para redactar una ley en la que se tipificará como delito todo acto de desaparición forzada. El Ministerio de Paz y Reconstrucción traducirá el dictamen del Comité al nepalés.</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Evaluación del Comité:</w:t>
            </w:r>
          </w:p>
        </w:tc>
        <w:tc>
          <w:tcPr>
            <w:tcW w:w="4676" w:type="dxa"/>
            <w:shd w:val="clear" w:color="auto" w:fill="auto"/>
            <w:tcMar>
              <w:right w:w="28" w:type="dxa"/>
            </w:tcMar>
            <w:vAlign w:val="bottom"/>
          </w:tcPr>
          <w:p w:rsidR="00976505" w:rsidRPr="008454F8" w:rsidRDefault="00976505" w:rsidP="008666E3">
            <w:pPr>
              <w:pStyle w:val="SingleTxtG"/>
              <w:spacing w:before="40"/>
              <w:ind w:left="0" w:right="0" w:firstLine="227"/>
            </w:pPr>
            <w:r w:rsidRPr="008454F8">
              <w:t>a)</w:t>
            </w:r>
            <w:r w:rsidRPr="008454F8">
              <w:tab/>
              <w:t>Investigación minuciosa: C1</w:t>
            </w:r>
          </w:p>
          <w:p w:rsidR="00976505" w:rsidRPr="008454F8" w:rsidRDefault="00976505" w:rsidP="008666E3">
            <w:pPr>
              <w:pStyle w:val="SingleTxtG"/>
              <w:spacing w:before="40"/>
              <w:ind w:left="0" w:right="0" w:firstLine="227"/>
            </w:pPr>
            <w:r w:rsidRPr="008454F8">
              <w:t>b)</w:t>
            </w:r>
            <w:r w:rsidRPr="008454F8">
              <w:tab/>
              <w:t>Enjuiciamiento y castigo de los responsables: C1</w:t>
            </w:r>
          </w:p>
          <w:p w:rsidR="00976505" w:rsidRPr="008454F8" w:rsidRDefault="00976505" w:rsidP="008666E3">
            <w:pPr>
              <w:pStyle w:val="SingleTxtG"/>
              <w:spacing w:before="40"/>
              <w:ind w:left="0" w:right="0" w:firstLine="227"/>
            </w:pPr>
            <w:r w:rsidRPr="008454F8">
              <w:t>c)</w:t>
            </w:r>
            <w:r w:rsidRPr="008454F8">
              <w:tab/>
              <w:t>Indemnización adecuada: B2</w:t>
            </w:r>
          </w:p>
          <w:p w:rsidR="00976505" w:rsidRPr="008454F8" w:rsidRDefault="00976505" w:rsidP="008666E3">
            <w:pPr>
              <w:pStyle w:val="SingleTxtG"/>
              <w:spacing w:before="40"/>
              <w:ind w:left="0" w:right="0" w:firstLine="227"/>
            </w:pPr>
            <w:r w:rsidRPr="008454F8">
              <w:t>d)</w:t>
            </w:r>
            <w:r w:rsidRPr="008454F8">
              <w:tab/>
              <w:t>Rehabilitación y tratamiento médico: No se dispone de información</w:t>
            </w:r>
            <w:r w:rsidR="009976B8">
              <w:t>.</w:t>
            </w:r>
          </w:p>
          <w:p w:rsidR="00976505" w:rsidRPr="008454F8" w:rsidRDefault="00976505" w:rsidP="008666E3">
            <w:pPr>
              <w:pStyle w:val="SingleTxtG"/>
              <w:spacing w:before="40"/>
              <w:ind w:left="0" w:right="0" w:firstLine="227"/>
            </w:pPr>
            <w:r w:rsidRPr="008454F8">
              <w:t>e)</w:t>
            </w:r>
            <w:r w:rsidRPr="008454F8">
              <w:tab/>
              <w:t>Medidas apropiadas de satisfacción: C1</w:t>
            </w:r>
          </w:p>
          <w:p w:rsidR="00976505" w:rsidRPr="008454F8" w:rsidRDefault="00976505" w:rsidP="008666E3">
            <w:pPr>
              <w:pStyle w:val="SingleTxtG"/>
              <w:spacing w:before="40"/>
              <w:ind w:left="0" w:right="0" w:firstLine="227"/>
            </w:pPr>
            <w:r w:rsidRPr="008454F8">
              <w:t>f)</w:t>
            </w:r>
            <w:r w:rsidRPr="008454F8">
              <w:tab/>
              <w:t>Publicación del dictamen: No se dispone de información</w:t>
            </w:r>
            <w:r w:rsidR="009976B8">
              <w:t>.</w:t>
            </w:r>
          </w:p>
          <w:p w:rsidR="00976505" w:rsidRPr="008454F8" w:rsidRDefault="00976505" w:rsidP="008666E3">
            <w:pPr>
              <w:pStyle w:val="SingleTxtG"/>
              <w:spacing w:before="40"/>
              <w:ind w:left="0" w:right="0" w:firstLine="227"/>
            </w:pPr>
            <w:r w:rsidRPr="008454F8">
              <w:t>g)</w:t>
            </w:r>
            <w:r w:rsidRPr="008454F8">
              <w:tab/>
              <w:t>No repetición: C1</w:t>
            </w:r>
          </w:p>
        </w:tc>
      </w:tr>
      <w:tr w:rsidR="00174B55" w:rsidRPr="008454F8" w:rsidTr="00174B55">
        <w:trPr>
          <w:trHeight w:val="240"/>
        </w:trPr>
        <w:tc>
          <w:tcPr>
            <w:tcW w:w="2694" w:type="dxa"/>
            <w:tcBorders>
              <w:bottom w:val="nil"/>
            </w:tcBorders>
            <w:shd w:val="clear" w:color="auto" w:fill="auto"/>
          </w:tcPr>
          <w:p w:rsidR="00174B55" w:rsidRPr="008454F8" w:rsidRDefault="00174B55" w:rsidP="008454F8">
            <w:pPr>
              <w:pStyle w:val="SingleTxtG"/>
              <w:spacing w:before="40"/>
              <w:ind w:left="0" w:right="0"/>
              <w:jc w:val="left"/>
            </w:pPr>
            <w:r w:rsidRPr="008454F8">
              <w:t>Comunicación presentada por el abogado de la autora el:</w:t>
            </w:r>
          </w:p>
        </w:tc>
        <w:tc>
          <w:tcPr>
            <w:tcW w:w="4676" w:type="dxa"/>
            <w:tcBorders>
              <w:bottom w:val="nil"/>
            </w:tcBorders>
            <w:shd w:val="clear" w:color="auto" w:fill="auto"/>
            <w:tcMar>
              <w:right w:w="28" w:type="dxa"/>
            </w:tcMar>
            <w:vAlign w:val="bottom"/>
          </w:tcPr>
          <w:p w:rsidR="00174B55" w:rsidRPr="008454F8" w:rsidRDefault="00174B55" w:rsidP="00174B55">
            <w:pPr>
              <w:pStyle w:val="SingleTxtG"/>
              <w:spacing w:before="40"/>
              <w:ind w:left="0" w:right="0"/>
            </w:pPr>
            <w:r w:rsidRPr="008454F8">
              <w:t xml:space="preserve">8 de octubre de 2015 </w:t>
            </w:r>
          </w:p>
          <w:p w:rsidR="00174B55" w:rsidRPr="008454F8" w:rsidRDefault="00174B55" w:rsidP="00174B55">
            <w:pPr>
              <w:pStyle w:val="SingleTxtG"/>
              <w:spacing w:before="40"/>
              <w:ind w:left="0" w:right="0"/>
            </w:pPr>
            <w:r w:rsidRPr="008454F8">
              <w:t>El dictamen del Comité no ha sido traducido al idioma local ni difundido.</w:t>
            </w:r>
          </w:p>
        </w:tc>
      </w:tr>
      <w:tr w:rsidR="00976505" w:rsidRPr="008454F8" w:rsidTr="00174B55">
        <w:trPr>
          <w:trHeight w:val="240"/>
        </w:trPr>
        <w:tc>
          <w:tcPr>
            <w:tcW w:w="2694" w:type="dxa"/>
            <w:tcBorders>
              <w:top w:val="nil"/>
              <w:bottom w:val="nil"/>
            </w:tcBorders>
            <w:shd w:val="clear" w:color="auto" w:fill="auto"/>
          </w:tcPr>
          <w:p w:rsidR="00976505" w:rsidRPr="008454F8" w:rsidRDefault="00976505" w:rsidP="00174B55">
            <w:pPr>
              <w:pStyle w:val="SingleTxtG"/>
              <w:keepNext/>
              <w:keepLines/>
              <w:spacing w:before="40"/>
              <w:ind w:left="0" w:right="0"/>
              <w:jc w:val="left"/>
            </w:pPr>
          </w:p>
        </w:tc>
        <w:tc>
          <w:tcPr>
            <w:tcW w:w="4676" w:type="dxa"/>
            <w:tcBorders>
              <w:top w:val="nil"/>
              <w:bottom w:val="nil"/>
            </w:tcBorders>
            <w:shd w:val="clear" w:color="auto" w:fill="auto"/>
            <w:tcMar>
              <w:right w:w="28" w:type="dxa"/>
            </w:tcMar>
            <w:vAlign w:val="bottom"/>
          </w:tcPr>
          <w:p w:rsidR="00976505" w:rsidRPr="00174B55" w:rsidRDefault="00976505" w:rsidP="00174B55">
            <w:pPr>
              <w:pStyle w:val="SingleTxtG"/>
              <w:keepNext/>
              <w:keepLines/>
              <w:spacing w:before="40"/>
              <w:ind w:left="0" w:right="0"/>
              <w:rPr>
                <w:spacing w:val="-2"/>
              </w:rPr>
            </w:pPr>
            <w:r w:rsidRPr="00174B55">
              <w:rPr>
                <w:spacing w:val="-2"/>
              </w:rPr>
              <w:t>Aunque enviaron numerosas cartas a diversas autoridades, la autora y su hija no han recibido respuesta y no han sido informadas del curso de la investigación sobre la detención arbitraria, la tortura y la desaparición forzada del Sr.</w:t>
            </w:r>
            <w:r w:rsidR="00174B55">
              <w:rPr>
                <w:spacing w:val="-2"/>
              </w:rPr>
              <w:t> </w:t>
            </w:r>
            <w:r w:rsidRPr="00174B55">
              <w:rPr>
                <w:spacing w:val="-2"/>
              </w:rPr>
              <w:t>Tripathi. Por lo que respecta a las medidas adoptadas para localizar, exhumar y entregar los restos del Sr.</w:t>
            </w:r>
            <w:r w:rsidR="00174B55">
              <w:rPr>
                <w:spacing w:val="-2"/>
              </w:rPr>
              <w:t> </w:t>
            </w:r>
            <w:r w:rsidRPr="00174B55">
              <w:rPr>
                <w:spacing w:val="-2"/>
              </w:rPr>
              <w:t xml:space="preserve">Tripathi, el Estado parte no ha adoptado medidas útiles para averiguar su paradero. Se ha puesto de manifiesto la falta de cooperación del Fiscal General para enjuiciar a los responsables. No se ha concedido ninguna indemnización. El Estado parte no ha ofrecido a la autora y su hija tratamiento médico ni medidas adecuadas de rehabilitación psicológica. En cuanto a la celebración, como medida adecuada de satisfacción, de una ceremonia pública, no ha tenido lugar. Por último, la autora no ha recibido ninguna información sobre las medidas adoptadas para tipificar como delito la desaparición forzada en Nepal. </w:t>
            </w:r>
          </w:p>
        </w:tc>
      </w:tr>
      <w:tr w:rsidR="00976505" w:rsidRPr="008454F8" w:rsidTr="009976B8">
        <w:trPr>
          <w:trHeight w:val="240"/>
        </w:trPr>
        <w:tc>
          <w:tcPr>
            <w:tcW w:w="2694" w:type="dxa"/>
            <w:tcBorders>
              <w:top w:val="nil"/>
              <w:bottom w:val="single" w:sz="12" w:space="0" w:color="auto"/>
            </w:tcBorders>
            <w:shd w:val="clear" w:color="auto" w:fill="auto"/>
          </w:tcPr>
          <w:p w:rsidR="00976505" w:rsidRPr="008454F8" w:rsidRDefault="00976505" w:rsidP="008454F8">
            <w:pPr>
              <w:pStyle w:val="SingleTxtG"/>
              <w:spacing w:before="40"/>
              <w:ind w:left="0" w:right="0"/>
              <w:jc w:val="left"/>
            </w:pPr>
            <w:r w:rsidRPr="008454F8">
              <w:t>Decisión del Comit</w:t>
            </w:r>
            <w:r w:rsidR="00174B55">
              <w:t>é:</w:t>
            </w:r>
          </w:p>
        </w:tc>
        <w:tc>
          <w:tcPr>
            <w:tcW w:w="4676" w:type="dxa"/>
            <w:tcBorders>
              <w:top w:val="nil"/>
              <w:bottom w:val="single" w:sz="12" w:space="0" w:color="auto"/>
            </w:tcBorders>
            <w:shd w:val="clear" w:color="auto" w:fill="auto"/>
            <w:tcMar>
              <w:right w:w="28" w:type="dxa"/>
            </w:tcMar>
            <w:vAlign w:val="bottom"/>
          </w:tcPr>
          <w:p w:rsidR="00976505" w:rsidRPr="008454F8" w:rsidRDefault="00976505" w:rsidP="00976505">
            <w:pPr>
              <w:pStyle w:val="SingleTxtG"/>
              <w:spacing w:before="40"/>
              <w:ind w:left="0" w:right="0"/>
            </w:pPr>
            <w:r w:rsidRPr="008454F8">
              <w:t>Prosigue el diálogo de seguimiento.</w:t>
            </w:r>
          </w:p>
        </w:tc>
      </w:tr>
    </w:tbl>
    <w:p w:rsidR="00A76B42" w:rsidRPr="0019108A" w:rsidRDefault="00A76B42" w:rsidP="008454F8">
      <w:pPr>
        <w:pStyle w:val="H23G"/>
      </w:pPr>
      <w:r w:rsidRPr="0019108A">
        <w:tab/>
        <w:t>11.</w:t>
      </w:r>
      <w:r w:rsidRPr="0019108A">
        <w:tab/>
        <w:t>Países Bajos</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76505">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976505">
              <w:rPr>
                <w:b/>
              </w:rPr>
              <w:t xml:space="preserve">Comunicación núm. 2097/2011, </w:t>
            </w:r>
            <w:r w:rsidRPr="00CC594F">
              <w:rPr>
                <w:b/>
                <w:i/>
              </w:rPr>
              <w:t xml:space="preserve">Timmer c. los Países Bajos </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976505" w:rsidRPr="008454F8" w:rsidRDefault="00976505" w:rsidP="00741746">
            <w:pPr>
              <w:pStyle w:val="SingleTxtG"/>
              <w:spacing w:before="40"/>
              <w:ind w:left="0" w:right="0"/>
            </w:pPr>
            <w:r w:rsidRPr="008454F8">
              <w:t>24 de julio de 2014</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976505" w:rsidRPr="008454F8" w:rsidRDefault="00976505" w:rsidP="00741746">
            <w:pPr>
              <w:pStyle w:val="SingleTxtG"/>
              <w:spacing w:before="40"/>
              <w:ind w:left="0" w:right="0"/>
            </w:pPr>
            <w:r w:rsidRPr="008454F8">
              <w:t>Artículo 14, párrafo 5</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976505" w:rsidRPr="008454F8" w:rsidRDefault="00976505" w:rsidP="00741746">
            <w:pPr>
              <w:pStyle w:val="SingleTxtG"/>
              <w:spacing w:before="40"/>
              <w:ind w:left="0" w:right="0"/>
            </w:pPr>
            <w:r w:rsidRPr="008454F8">
              <w:t>Un recurso efectivo que permita que un tribunal superior revise la sentencia condenatoria del autor y la pena impuesta, o la aplicación de otras medidas apropiadas que, junto con una indemnización adecuada, permitan eliminar los efectos perjudiciales causados al autor. El Comité considera asimismo que el Estado parte también debe armonizar el marco jurídico pertinente con las disposiciones del artículo 14, párrafo 5, del Pacto.</w:t>
            </w:r>
          </w:p>
        </w:tc>
      </w:tr>
      <w:tr w:rsidR="00976505" w:rsidRPr="008454F8" w:rsidTr="009976B8">
        <w:trPr>
          <w:trHeight w:val="240"/>
        </w:trPr>
        <w:tc>
          <w:tcPr>
            <w:tcW w:w="2694" w:type="dxa"/>
            <w:shd w:val="clear" w:color="auto" w:fill="auto"/>
          </w:tcPr>
          <w:p w:rsidR="00976505" w:rsidRPr="008454F8" w:rsidRDefault="00976505" w:rsidP="008454F8">
            <w:pPr>
              <w:pStyle w:val="SingleTxtG"/>
              <w:spacing w:before="40"/>
              <w:ind w:left="0" w:right="0"/>
              <w:jc w:val="left"/>
            </w:pPr>
            <w:r w:rsidRPr="008454F8">
              <w:t>Anterior aparición en un informe sobre el seguimiento:</w:t>
            </w:r>
          </w:p>
        </w:tc>
        <w:tc>
          <w:tcPr>
            <w:tcW w:w="4676" w:type="dxa"/>
            <w:shd w:val="clear" w:color="auto" w:fill="auto"/>
            <w:tcMar>
              <w:right w:w="28" w:type="dxa"/>
            </w:tcMar>
            <w:vAlign w:val="bottom"/>
          </w:tcPr>
          <w:p w:rsidR="00976505" w:rsidRPr="008454F8" w:rsidRDefault="00976505" w:rsidP="00741746">
            <w:pPr>
              <w:pStyle w:val="SingleTxtG"/>
              <w:spacing w:before="40"/>
              <w:ind w:left="0" w:right="0"/>
            </w:pPr>
            <w:r w:rsidRPr="008454F8">
              <w:t>CCPR/C/115/3</w:t>
            </w:r>
          </w:p>
        </w:tc>
      </w:tr>
      <w:tr w:rsidR="00976505" w:rsidRPr="008454F8" w:rsidTr="009976B8">
        <w:trPr>
          <w:trHeight w:val="240"/>
        </w:trPr>
        <w:tc>
          <w:tcPr>
            <w:tcW w:w="2694" w:type="dxa"/>
            <w:shd w:val="clear" w:color="auto" w:fill="auto"/>
          </w:tcPr>
          <w:p w:rsidR="00976505" w:rsidRPr="008454F8" w:rsidRDefault="00741746" w:rsidP="008454F8">
            <w:pPr>
              <w:pStyle w:val="SingleTxtG"/>
              <w:spacing w:before="40"/>
              <w:ind w:left="0" w:right="0"/>
              <w:jc w:val="left"/>
            </w:pPr>
            <w:r w:rsidRPr="008454F8">
              <w:t>Comunicación presentada por el abogado del autor el:</w:t>
            </w:r>
          </w:p>
        </w:tc>
        <w:tc>
          <w:tcPr>
            <w:tcW w:w="4676" w:type="dxa"/>
            <w:shd w:val="clear" w:color="auto" w:fill="auto"/>
            <w:tcMar>
              <w:right w:w="28" w:type="dxa"/>
            </w:tcMar>
            <w:vAlign w:val="bottom"/>
          </w:tcPr>
          <w:p w:rsidR="00741746" w:rsidRPr="008454F8" w:rsidRDefault="00741746" w:rsidP="00741746">
            <w:pPr>
              <w:pStyle w:val="SingleTxtG"/>
              <w:spacing w:before="40"/>
              <w:ind w:left="0" w:right="0"/>
            </w:pPr>
            <w:r w:rsidRPr="008454F8">
              <w:t>13 de marzo de 2015</w:t>
            </w:r>
          </w:p>
          <w:p w:rsidR="00976505" w:rsidRPr="008454F8" w:rsidRDefault="00741746" w:rsidP="00741746">
            <w:pPr>
              <w:pStyle w:val="SingleTxtG"/>
              <w:spacing w:before="40"/>
              <w:ind w:left="0" w:right="0"/>
            </w:pPr>
            <w:r w:rsidRPr="008454F8">
              <w:t>Hasta la fecha, se mantiene el sistema de solicitud de recurso</w:t>
            </w:r>
            <w:r>
              <w:rPr>
                <w:rStyle w:val="Refdenotaalpie"/>
              </w:rPr>
              <w:footnoteReference w:id="2"/>
            </w:r>
            <w:r w:rsidRPr="008454F8">
              <w:t>. En febrero de 2015, el procedimiento parlamentario para abolir el sistema de solicitud de recurso de apelación no se había puesto en marcha. Por consiguiente, el dictamen no se ha aplicado todavía.</w:t>
            </w:r>
          </w:p>
        </w:tc>
      </w:tr>
      <w:tr w:rsidR="00741746" w:rsidRPr="008454F8" w:rsidTr="00D646C0">
        <w:trPr>
          <w:trHeight w:val="240"/>
        </w:trPr>
        <w:tc>
          <w:tcPr>
            <w:tcW w:w="2694" w:type="dxa"/>
            <w:tcBorders>
              <w:bottom w:val="nil"/>
            </w:tcBorders>
            <w:shd w:val="clear" w:color="auto" w:fill="auto"/>
          </w:tcPr>
          <w:p w:rsidR="00741746" w:rsidRPr="008454F8" w:rsidRDefault="00741746" w:rsidP="008454F8">
            <w:pPr>
              <w:pStyle w:val="SingleTxtG"/>
              <w:spacing w:before="40"/>
              <w:ind w:left="0" w:right="0"/>
              <w:jc w:val="left"/>
            </w:pPr>
            <w:r w:rsidRPr="008454F8">
              <w:t>Comunicación presentada por el Estado parte el:</w:t>
            </w:r>
          </w:p>
        </w:tc>
        <w:tc>
          <w:tcPr>
            <w:tcW w:w="4676" w:type="dxa"/>
            <w:tcBorders>
              <w:bottom w:val="nil"/>
            </w:tcBorders>
            <w:shd w:val="clear" w:color="auto" w:fill="auto"/>
            <w:tcMar>
              <w:right w:w="28" w:type="dxa"/>
            </w:tcMar>
            <w:vAlign w:val="bottom"/>
          </w:tcPr>
          <w:p w:rsidR="00741746" w:rsidRDefault="00741746" w:rsidP="00741746">
            <w:pPr>
              <w:pStyle w:val="SingleTxtG"/>
              <w:spacing w:before="40"/>
              <w:ind w:left="0" w:right="0"/>
            </w:pPr>
            <w:r w:rsidRPr="008454F8">
              <w:t>2 de abril de 2015</w:t>
            </w:r>
          </w:p>
          <w:p w:rsidR="00741746" w:rsidRPr="00D646C0" w:rsidRDefault="00741746" w:rsidP="00D646C0">
            <w:pPr>
              <w:pStyle w:val="SingleTxtG"/>
              <w:spacing w:before="40" w:after="0"/>
              <w:ind w:left="0" w:right="0"/>
              <w:rPr>
                <w:spacing w:val="-3"/>
              </w:rPr>
            </w:pPr>
            <w:r w:rsidRPr="00D646C0">
              <w:rPr>
                <w:spacing w:val="-3"/>
              </w:rPr>
              <w:t>El Estado parte afirma que, además de las medidas generales ya detalladas, el Gobierno velará por que: a) se reembolse el importe de la multa abonada por el autor; b)</w:t>
            </w:r>
            <w:r w:rsidR="00174B55" w:rsidRPr="00D646C0">
              <w:rPr>
                <w:spacing w:val="-3"/>
              </w:rPr>
              <w:t xml:space="preserve"> </w:t>
            </w:r>
            <w:r w:rsidRPr="00D646C0">
              <w:rPr>
                <w:spacing w:val="-3"/>
              </w:rPr>
              <w:t>se reembolsen al autor las costas judiciales y los gastos relacionados con la tramitación y los procedimientos de solicitud de recurso; y c) el delito objeto de la comunicación sea eliminado de los antecedentes penales del autor.</w:t>
            </w:r>
          </w:p>
        </w:tc>
      </w:tr>
      <w:tr w:rsidR="00741746" w:rsidRPr="008454F8" w:rsidTr="00D646C0">
        <w:trPr>
          <w:trHeight w:val="240"/>
        </w:trPr>
        <w:tc>
          <w:tcPr>
            <w:tcW w:w="2694" w:type="dxa"/>
            <w:tcBorders>
              <w:top w:val="nil"/>
              <w:bottom w:val="nil"/>
            </w:tcBorders>
            <w:shd w:val="clear" w:color="auto" w:fill="auto"/>
          </w:tcPr>
          <w:p w:rsidR="00741746" w:rsidRPr="008454F8" w:rsidRDefault="00741746" w:rsidP="008454F8">
            <w:pPr>
              <w:pStyle w:val="SingleTxtG"/>
              <w:spacing w:before="40"/>
              <w:ind w:left="0" w:right="0"/>
              <w:jc w:val="left"/>
            </w:pPr>
            <w:r w:rsidRPr="008454F8">
              <w:lastRenderedPageBreak/>
              <w:t>Evaluación del Comité:</w:t>
            </w:r>
          </w:p>
        </w:tc>
        <w:tc>
          <w:tcPr>
            <w:tcW w:w="4676" w:type="dxa"/>
            <w:tcBorders>
              <w:top w:val="nil"/>
              <w:bottom w:val="nil"/>
            </w:tcBorders>
            <w:shd w:val="clear" w:color="auto" w:fill="auto"/>
            <w:tcMar>
              <w:right w:w="28" w:type="dxa"/>
            </w:tcMar>
            <w:vAlign w:val="bottom"/>
          </w:tcPr>
          <w:p w:rsidR="00741746" w:rsidRPr="008454F8" w:rsidRDefault="00741746" w:rsidP="008666E3">
            <w:pPr>
              <w:pStyle w:val="SingleTxtG"/>
              <w:spacing w:before="40"/>
              <w:ind w:left="0" w:right="0" w:firstLine="227"/>
            </w:pPr>
            <w:r w:rsidRPr="008454F8">
              <w:t>a)</w:t>
            </w:r>
            <w:r w:rsidRPr="008454F8">
              <w:tab/>
              <w:t>Revisión por un tribunal superior de la sentencia condenatoria y la pena impuesta, y otras medidas: A</w:t>
            </w:r>
          </w:p>
          <w:p w:rsidR="00741746" w:rsidRPr="008454F8" w:rsidRDefault="00741746" w:rsidP="008666E3">
            <w:pPr>
              <w:pStyle w:val="SingleTxtG"/>
              <w:spacing w:before="40"/>
              <w:ind w:left="0" w:right="0" w:firstLine="227"/>
            </w:pPr>
            <w:r w:rsidRPr="008454F8">
              <w:t>b)</w:t>
            </w:r>
            <w:r w:rsidRPr="008454F8">
              <w:tab/>
              <w:t>Indemnización: B1</w:t>
            </w:r>
          </w:p>
          <w:p w:rsidR="00741746" w:rsidRPr="008454F8" w:rsidRDefault="00741746" w:rsidP="008666E3">
            <w:pPr>
              <w:pStyle w:val="SingleTxtG"/>
              <w:spacing w:before="40"/>
              <w:ind w:left="0" w:right="0" w:firstLine="227"/>
            </w:pPr>
            <w:r w:rsidRPr="008454F8">
              <w:t>c)</w:t>
            </w:r>
            <w:r w:rsidRPr="008454F8">
              <w:tab/>
              <w:t>Armonización del marco jurídico pertinente con las disposiciones del artículo 14, párrafo 5: B1</w:t>
            </w:r>
          </w:p>
          <w:p w:rsidR="00741746" w:rsidRPr="008454F8" w:rsidRDefault="00741746" w:rsidP="008666E3">
            <w:pPr>
              <w:pStyle w:val="SingleTxtG"/>
              <w:spacing w:before="40"/>
              <w:ind w:left="0" w:right="0" w:firstLine="227"/>
            </w:pPr>
            <w:r w:rsidRPr="008454F8">
              <w:t>d)</w:t>
            </w:r>
            <w:r w:rsidRPr="008454F8">
              <w:tab/>
              <w:t>Publicación del dictamen: No se dispone de información</w:t>
            </w:r>
            <w:r w:rsidR="001532E8">
              <w:t>.</w:t>
            </w:r>
          </w:p>
          <w:p w:rsidR="00741746" w:rsidRPr="008454F8" w:rsidRDefault="00741746" w:rsidP="008666E3">
            <w:pPr>
              <w:pStyle w:val="SingleTxtG"/>
              <w:spacing w:before="40"/>
              <w:ind w:left="0" w:right="0" w:firstLine="227"/>
            </w:pPr>
            <w:r>
              <w:t>e)</w:t>
            </w:r>
            <w:r>
              <w:tab/>
              <w:t>No repetición: B1</w:t>
            </w:r>
          </w:p>
        </w:tc>
      </w:tr>
      <w:tr w:rsidR="00741746" w:rsidRPr="008454F8" w:rsidTr="009976B8">
        <w:trPr>
          <w:trHeight w:val="240"/>
        </w:trPr>
        <w:tc>
          <w:tcPr>
            <w:tcW w:w="2694" w:type="dxa"/>
            <w:tcBorders>
              <w:top w:val="nil"/>
              <w:bottom w:val="single" w:sz="12" w:space="0" w:color="auto"/>
            </w:tcBorders>
            <w:shd w:val="clear" w:color="auto" w:fill="auto"/>
          </w:tcPr>
          <w:p w:rsidR="00741746" w:rsidRPr="008454F8" w:rsidRDefault="00741746" w:rsidP="008454F8">
            <w:pPr>
              <w:pStyle w:val="SingleTxtG"/>
              <w:spacing w:before="40"/>
              <w:ind w:left="0" w:right="0"/>
              <w:jc w:val="left"/>
            </w:pPr>
            <w:r w:rsidRPr="008454F8">
              <w:t>Decisión del Comité:</w:t>
            </w:r>
          </w:p>
        </w:tc>
        <w:tc>
          <w:tcPr>
            <w:tcW w:w="4676" w:type="dxa"/>
            <w:tcBorders>
              <w:top w:val="nil"/>
              <w:bottom w:val="single" w:sz="12" w:space="0" w:color="auto"/>
            </w:tcBorders>
            <w:shd w:val="clear" w:color="auto" w:fill="auto"/>
            <w:tcMar>
              <w:right w:w="28" w:type="dxa"/>
            </w:tcMar>
            <w:vAlign w:val="bottom"/>
          </w:tcPr>
          <w:p w:rsidR="00741746" w:rsidRPr="008454F8" w:rsidRDefault="00741746" w:rsidP="00741746">
            <w:pPr>
              <w:pStyle w:val="SingleTxtG"/>
              <w:spacing w:before="40"/>
              <w:ind w:left="0" w:right="0"/>
            </w:pPr>
            <w:r w:rsidRPr="008454F8">
              <w:t>Prosigue el diálogo de seguimiento.</w:t>
            </w:r>
          </w:p>
        </w:tc>
      </w:tr>
    </w:tbl>
    <w:p w:rsidR="00A76B42" w:rsidRPr="0019108A" w:rsidRDefault="00A76B42" w:rsidP="008454F8">
      <w:pPr>
        <w:pStyle w:val="H23G"/>
      </w:pPr>
      <w:r w:rsidRPr="0019108A">
        <w:tab/>
        <w:t>12.</w:t>
      </w:r>
      <w:r w:rsidRPr="0019108A">
        <w:tab/>
        <w:t xml:space="preserve">Paraguay </w:t>
      </w:r>
    </w:p>
    <w:tbl>
      <w:tblPr>
        <w:tblW w:w="7371"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D62ECA">
        <w:trPr>
          <w:trHeight w:val="240"/>
        </w:trPr>
        <w:tc>
          <w:tcPr>
            <w:tcW w:w="7371"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741746">
              <w:rPr>
                <w:b/>
              </w:rPr>
              <w:t xml:space="preserve">Comunicación núm. 1828/2008, </w:t>
            </w:r>
            <w:r w:rsidRPr="00CC594F">
              <w:rPr>
                <w:b/>
                <w:i/>
              </w:rPr>
              <w:t>Olmedo c. el Paraguay</w:t>
            </w:r>
            <w:r w:rsidRPr="008454F8">
              <w:rPr>
                <w:bCs/>
                <w:i/>
                <w:sz w:val="16"/>
              </w:rPr>
              <w:t xml:space="preserve"> </w:t>
            </w:r>
          </w:p>
        </w:tc>
      </w:tr>
      <w:tr w:rsidR="00D62ECA" w:rsidRPr="008454F8" w:rsidTr="009976B8">
        <w:trPr>
          <w:trHeight w:val="289"/>
        </w:trPr>
        <w:tc>
          <w:tcPr>
            <w:tcW w:w="2694" w:type="dxa"/>
            <w:shd w:val="clear" w:color="auto" w:fill="auto"/>
          </w:tcPr>
          <w:p w:rsidR="00D62ECA" w:rsidRPr="008454F8" w:rsidRDefault="00D62ECA" w:rsidP="008454F8">
            <w:pPr>
              <w:pStyle w:val="SingleTxtG"/>
              <w:spacing w:before="40"/>
              <w:ind w:left="0" w:right="0"/>
              <w:jc w:val="left"/>
            </w:pPr>
            <w:r w:rsidRPr="008454F8">
              <w:t>Fecha de aprobación del dictamen:</w:t>
            </w:r>
          </w:p>
        </w:tc>
        <w:tc>
          <w:tcPr>
            <w:tcW w:w="4677" w:type="dxa"/>
            <w:shd w:val="clear" w:color="auto" w:fill="auto"/>
            <w:tcMar>
              <w:right w:w="28" w:type="dxa"/>
            </w:tcMar>
            <w:vAlign w:val="bottom"/>
          </w:tcPr>
          <w:p w:rsidR="00D62ECA" w:rsidRPr="008454F8" w:rsidRDefault="00D62ECA" w:rsidP="00D62ECA">
            <w:pPr>
              <w:pStyle w:val="SingleTxtG"/>
              <w:spacing w:before="40"/>
              <w:ind w:left="0" w:right="0"/>
            </w:pPr>
            <w:r w:rsidRPr="008454F8">
              <w:t>22 de marzo de 2012</w:t>
            </w:r>
          </w:p>
        </w:tc>
      </w:tr>
      <w:tr w:rsidR="00D62ECA" w:rsidRPr="008454F8" w:rsidTr="009976B8">
        <w:trPr>
          <w:trHeight w:val="287"/>
        </w:trPr>
        <w:tc>
          <w:tcPr>
            <w:tcW w:w="2694" w:type="dxa"/>
            <w:shd w:val="clear" w:color="auto" w:fill="auto"/>
          </w:tcPr>
          <w:p w:rsidR="00D62ECA" w:rsidRPr="008454F8" w:rsidRDefault="00D62ECA" w:rsidP="008454F8">
            <w:pPr>
              <w:pStyle w:val="SingleTxtG"/>
              <w:spacing w:before="40"/>
              <w:ind w:left="0" w:right="0"/>
              <w:jc w:val="left"/>
            </w:pPr>
            <w:r w:rsidRPr="008454F8">
              <w:t>Violaciones:</w:t>
            </w:r>
          </w:p>
        </w:tc>
        <w:tc>
          <w:tcPr>
            <w:tcW w:w="4677" w:type="dxa"/>
            <w:shd w:val="clear" w:color="auto" w:fill="auto"/>
            <w:tcMar>
              <w:right w:w="28" w:type="dxa"/>
            </w:tcMar>
            <w:vAlign w:val="bottom"/>
          </w:tcPr>
          <w:p w:rsidR="00D62ECA" w:rsidRPr="008454F8" w:rsidRDefault="00D62ECA" w:rsidP="00D62ECA">
            <w:pPr>
              <w:pStyle w:val="SingleTxtG"/>
              <w:spacing w:before="40"/>
              <w:ind w:left="0" w:right="0"/>
            </w:pPr>
            <w:r w:rsidRPr="008454F8">
              <w:t>Artículos 6, párrafo 1; y 2, párrafo 3, leído conjuntamente con el artículo 6, párrafo 1</w:t>
            </w:r>
          </w:p>
        </w:tc>
      </w:tr>
      <w:tr w:rsidR="00D62ECA" w:rsidRPr="008454F8" w:rsidTr="009976B8">
        <w:trPr>
          <w:trHeight w:val="287"/>
        </w:trPr>
        <w:tc>
          <w:tcPr>
            <w:tcW w:w="2694" w:type="dxa"/>
            <w:shd w:val="clear" w:color="auto" w:fill="auto"/>
          </w:tcPr>
          <w:p w:rsidR="00D62ECA" w:rsidRPr="008454F8" w:rsidRDefault="00D62ECA" w:rsidP="008454F8">
            <w:pPr>
              <w:pStyle w:val="SingleTxtG"/>
              <w:spacing w:before="40"/>
              <w:ind w:left="0" w:right="0"/>
              <w:jc w:val="left"/>
            </w:pPr>
            <w:r w:rsidRPr="008454F8">
              <w:t>Reparación:</w:t>
            </w:r>
          </w:p>
        </w:tc>
        <w:tc>
          <w:tcPr>
            <w:tcW w:w="4677" w:type="dxa"/>
            <w:shd w:val="clear" w:color="auto" w:fill="auto"/>
            <w:tcMar>
              <w:right w:w="28" w:type="dxa"/>
            </w:tcMar>
            <w:vAlign w:val="bottom"/>
          </w:tcPr>
          <w:p w:rsidR="00D62ECA" w:rsidRPr="008454F8" w:rsidRDefault="00D62ECA" w:rsidP="00D62ECA">
            <w:pPr>
              <w:pStyle w:val="SingleTxtG"/>
              <w:spacing w:before="40"/>
              <w:ind w:left="0" w:right="0"/>
            </w:pPr>
            <w:r w:rsidRPr="008454F8">
              <w:t>Un recurso efectivo, que entrañe una investigación efectiva y completa de los hechos, el procesamiento y castigo de los culpables y una reparación íntegra que incluya una indemnización adecuada.</w:t>
            </w:r>
          </w:p>
        </w:tc>
      </w:tr>
      <w:tr w:rsidR="00D62ECA" w:rsidRPr="008454F8" w:rsidTr="009976B8">
        <w:trPr>
          <w:trHeight w:val="287"/>
        </w:trPr>
        <w:tc>
          <w:tcPr>
            <w:tcW w:w="2694" w:type="dxa"/>
            <w:shd w:val="clear" w:color="auto" w:fill="auto"/>
          </w:tcPr>
          <w:p w:rsidR="00D62ECA" w:rsidRPr="008454F8" w:rsidRDefault="00D62ECA" w:rsidP="008454F8">
            <w:pPr>
              <w:pStyle w:val="SingleTxtG"/>
              <w:spacing w:before="40"/>
              <w:ind w:left="0" w:right="0"/>
              <w:jc w:val="left"/>
            </w:pPr>
            <w:r w:rsidRPr="008454F8">
              <w:t>Anterior aparición en un informe sobre el seguimiento:</w:t>
            </w:r>
          </w:p>
        </w:tc>
        <w:tc>
          <w:tcPr>
            <w:tcW w:w="4677" w:type="dxa"/>
            <w:shd w:val="clear" w:color="auto" w:fill="auto"/>
            <w:tcMar>
              <w:right w:w="28" w:type="dxa"/>
            </w:tcMar>
            <w:vAlign w:val="bottom"/>
          </w:tcPr>
          <w:p w:rsidR="00D62ECA" w:rsidRPr="008454F8" w:rsidRDefault="00D62ECA" w:rsidP="00D62ECA">
            <w:pPr>
              <w:pStyle w:val="SingleTxtG"/>
              <w:spacing w:before="40"/>
              <w:ind w:left="0" w:right="0"/>
            </w:pPr>
            <w:r w:rsidRPr="008454F8">
              <w:t>A/69/40 (Vol. I)</w:t>
            </w:r>
          </w:p>
        </w:tc>
      </w:tr>
      <w:tr w:rsidR="00D62ECA" w:rsidRPr="008454F8" w:rsidTr="009976B8">
        <w:trPr>
          <w:trHeight w:val="287"/>
        </w:trPr>
        <w:tc>
          <w:tcPr>
            <w:tcW w:w="2694" w:type="dxa"/>
            <w:tcBorders>
              <w:bottom w:val="nil"/>
            </w:tcBorders>
            <w:shd w:val="clear" w:color="auto" w:fill="auto"/>
          </w:tcPr>
          <w:p w:rsidR="00D62ECA" w:rsidRPr="008454F8" w:rsidRDefault="00D62ECA" w:rsidP="008454F8">
            <w:pPr>
              <w:pStyle w:val="SingleTxtG"/>
              <w:spacing w:before="40"/>
              <w:ind w:left="0" w:right="0"/>
              <w:jc w:val="left"/>
            </w:pPr>
            <w:r w:rsidRPr="008454F8">
              <w:t>Comunicación presentada por el abogado del autor el:</w:t>
            </w:r>
          </w:p>
        </w:tc>
        <w:tc>
          <w:tcPr>
            <w:tcW w:w="4677" w:type="dxa"/>
            <w:tcBorders>
              <w:bottom w:val="nil"/>
            </w:tcBorders>
            <w:shd w:val="clear" w:color="auto" w:fill="auto"/>
            <w:tcMar>
              <w:right w:w="28" w:type="dxa"/>
            </w:tcMar>
            <w:vAlign w:val="bottom"/>
          </w:tcPr>
          <w:p w:rsidR="00D62ECA" w:rsidRDefault="00D62ECA" w:rsidP="00D62ECA">
            <w:pPr>
              <w:pStyle w:val="SingleTxtG"/>
              <w:spacing w:before="40"/>
              <w:ind w:left="0" w:right="0"/>
            </w:pPr>
            <w:r w:rsidRPr="008454F8">
              <w:t>7 de agosto de 2015</w:t>
            </w:r>
          </w:p>
          <w:p w:rsidR="00D62ECA" w:rsidRDefault="00D62ECA" w:rsidP="00D62ECA">
            <w:pPr>
              <w:pStyle w:val="SingleTxtG"/>
              <w:spacing w:before="40"/>
              <w:ind w:left="0" w:right="0"/>
            </w:pPr>
            <w:r w:rsidRPr="008454F8">
              <w:t>El abogado del autor sostiene que, en junio de 2012, entabló un diálogo con el Estado parte a fin de llegar a un acuerdo sobre los recursos adecuados y la aplicación del dictamen. Aunque dialogaron sobre diversos proyectos de acuerdo, la comunicación con el Estado parte ha sido esporádica y premiosa. Los principales obstáculos para llegar a un acuerdo tienen que ver con los recursos contra la impunidad, ya que el Estado parte ha entorpecido el avance de las investigaciones administrativas en comisarías de policía y cuarteles militares y se ha negado a reabrir investigaciones penales.</w:t>
            </w:r>
          </w:p>
          <w:p w:rsidR="00D62ECA" w:rsidRPr="008454F8" w:rsidRDefault="00D62ECA" w:rsidP="00D62ECA">
            <w:pPr>
              <w:pStyle w:val="SingleTxtG"/>
              <w:spacing w:before="40"/>
              <w:ind w:left="0" w:right="0"/>
            </w:pPr>
            <w:r w:rsidRPr="008454F8">
              <w:t>Es lamentable que, más de tres años después de la aprobación del dictamen del Comité, las partes no hayan logrado llegar a un acuerdo.</w:t>
            </w:r>
          </w:p>
        </w:tc>
      </w:tr>
      <w:tr w:rsidR="00D62ECA" w:rsidRPr="008454F8" w:rsidTr="009976B8">
        <w:trPr>
          <w:trHeight w:val="287"/>
        </w:trPr>
        <w:tc>
          <w:tcPr>
            <w:tcW w:w="2694" w:type="dxa"/>
            <w:tcBorders>
              <w:top w:val="nil"/>
              <w:bottom w:val="single" w:sz="12" w:space="0" w:color="auto"/>
            </w:tcBorders>
            <w:shd w:val="clear" w:color="auto" w:fill="auto"/>
          </w:tcPr>
          <w:p w:rsidR="00D62ECA" w:rsidRPr="008454F8" w:rsidRDefault="00D62ECA" w:rsidP="008454F8">
            <w:pPr>
              <w:pStyle w:val="SingleTxtG"/>
              <w:spacing w:before="40"/>
              <w:ind w:left="0" w:right="0"/>
              <w:jc w:val="left"/>
            </w:pPr>
            <w:r w:rsidRPr="008454F8">
              <w:t>Decisión del Comité:</w:t>
            </w:r>
          </w:p>
        </w:tc>
        <w:tc>
          <w:tcPr>
            <w:tcW w:w="4677" w:type="dxa"/>
            <w:tcBorders>
              <w:top w:val="nil"/>
              <w:bottom w:val="single" w:sz="12" w:space="0" w:color="auto"/>
            </w:tcBorders>
            <w:shd w:val="clear" w:color="auto" w:fill="auto"/>
            <w:tcMar>
              <w:right w:w="28" w:type="dxa"/>
            </w:tcMar>
            <w:vAlign w:val="bottom"/>
          </w:tcPr>
          <w:p w:rsidR="00D62ECA" w:rsidRPr="008454F8" w:rsidRDefault="00D62ECA" w:rsidP="00D62ECA">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D62ECA">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D62ECA">
              <w:rPr>
                <w:b/>
              </w:rPr>
              <w:t xml:space="preserve">Comunicación núm. 1829/2008, </w:t>
            </w:r>
            <w:r w:rsidRPr="00CC594F">
              <w:rPr>
                <w:b/>
                <w:i/>
              </w:rPr>
              <w:t>Benítez Gamarra c. el Paraguay</w:t>
            </w:r>
          </w:p>
        </w:tc>
      </w:tr>
      <w:tr w:rsidR="00D62ECA" w:rsidRPr="008454F8" w:rsidTr="009976B8">
        <w:trPr>
          <w:trHeight w:val="299"/>
        </w:trPr>
        <w:tc>
          <w:tcPr>
            <w:tcW w:w="2694" w:type="dxa"/>
            <w:tcBorders>
              <w:top w:val="single" w:sz="12" w:space="0" w:color="auto"/>
              <w:bottom w:val="nil"/>
              <w:right w:val="nil"/>
            </w:tcBorders>
            <w:shd w:val="clear" w:color="auto" w:fill="auto"/>
          </w:tcPr>
          <w:p w:rsidR="00D62ECA" w:rsidRPr="008454F8" w:rsidRDefault="00D62ECA" w:rsidP="008454F8">
            <w:pPr>
              <w:pStyle w:val="SingleTxtG"/>
              <w:spacing w:before="40"/>
              <w:ind w:left="0" w:right="0"/>
              <w:jc w:val="left"/>
            </w:pPr>
            <w:r w:rsidRPr="008454F8">
              <w:t>Fecha de aprobación del dictamen:</w:t>
            </w:r>
          </w:p>
        </w:tc>
        <w:tc>
          <w:tcPr>
            <w:tcW w:w="4676" w:type="dxa"/>
            <w:tcBorders>
              <w:top w:val="single" w:sz="12" w:space="0" w:color="auto"/>
              <w:left w:val="nil"/>
              <w:bottom w:val="nil"/>
            </w:tcBorders>
            <w:shd w:val="clear" w:color="auto" w:fill="auto"/>
            <w:tcMar>
              <w:right w:w="28" w:type="dxa"/>
            </w:tcMar>
            <w:vAlign w:val="bottom"/>
          </w:tcPr>
          <w:p w:rsidR="00D62ECA" w:rsidRPr="008454F8" w:rsidRDefault="00D62ECA" w:rsidP="00D62ECA">
            <w:pPr>
              <w:pStyle w:val="SingleTxtG"/>
              <w:spacing w:before="40"/>
              <w:ind w:left="0" w:right="0"/>
            </w:pPr>
            <w:r w:rsidRPr="008454F8">
              <w:t>22 de marzo de 2012</w:t>
            </w:r>
          </w:p>
        </w:tc>
      </w:tr>
      <w:tr w:rsidR="00D62ECA" w:rsidRPr="008454F8" w:rsidTr="009976B8">
        <w:trPr>
          <w:trHeight w:val="298"/>
        </w:trPr>
        <w:tc>
          <w:tcPr>
            <w:tcW w:w="2694" w:type="dxa"/>
            <w:tcBorders>
              <w:top w:val="nil"/>
              <w:bottom w:val="nil"/>
              <w:right w:val="nil"/>
            </w:tcBorders>
            <w:shd w:val="clear" w:color="auto" w:fill="auto"/>
          </w:tcPr>
          <w:p w:rsidR="00D62ECA" w:rsidRPr="008454F8" w:rsidRDefault="00D62ECA" w:rsidP="008454F8">
            <w:pPr>
              <w:pStyle w:val="SingleTxtG"/>
              <w:spacing w:before="40"/>
              <w:ind w:left="0" w:right="0"/>
              <w:jc w:val="left"/>
            </w:pPr>
            <w:r w:rsidRPr="008454F8">
              <w:t>Violaciones:</w:t>
            </w:r>
          </w:p>
        </w:tc>
        <w:tc>
          <w:tcPr>
            <w:tcW w:w="4676" w:type="dxa"/>
            <w:tcBorders>
              <w:top w:val="nil"/>
              <w:left w:val="nil"/>
              <w:bottom w:val="nil"/>
            </w:tcBorders>
            <w:shd w:val="clear" w:color="auto" w:fill="auto"/>
            <w:tcMar>
              <w:right w:w="28" w:type="dxa"/>
            </w:tcMar>
            <w:vAlign w:val="bottom"/>
          </w:tcPr>
          <w:p w:rsidR="00D62ECA" w:rsidRPr="008454F8" w:rsidRDefault="00D62ECA" w:rsidP="00D62ECA">
            <w:pPr>
              <w:pStyle w:val="SingleTxtG"/>
              <w:spacing w:before="40"/>
              <w:ind w:left="0" w:right="0"/>
            </w:pPr>
            <w:r w:rsidRPr="008454F8">
              <w:t>Artículos 7; y 2, párrafo 3, leído conjuntamente con el artículo 7</w:t>
            </w:r>
          </w:p>
        </w:tc>
      </w:tr>
      <w:tr w:rsidR="00D62ECA" w:rsidRPr="008454F8" w:rsidTr="009976B8">
        <w:trPr>
          <w:trHeight w:val="298"/>
        </w:trPr>
        <w:tc>
          <w:tcPr>
            <w:tcW w:w="2694" w:type="dxa"/>
            <w:tcBorders>
              <w:top w:val="nil"/>
              <w:bottom w:val="nil"/>
              <w:right w:val="nil"/>
            </w:tcBorders>
            <w:shd w:val="clear" w:color="auto" w:fill="auto"/>
          </w:tcPr>
          <w:p w:rsidR="00D62ECA" w:rsidRPr="008454F8" w:rsidRDefault="00D62ECA" w:rsidP="00D646C0">
            <w:pPr>
              <w:pStyle w:val="SingleTxtG"/>
              <w:keepNext/>
              <w:keepLines/>
              <w:spacing w:before="40"/>
              <w:ind w:left="0" w:right="0"/>
              <w:jc w:val="left"/>
            </w:pPr>
            <w:r w:rsidRPr="008454F8">
              <w:lastRenderedPageBreak/>
              <w:t>Reparación:</w:t>
            </w:r>
          </w:p>
        </w:tc>
        <w:tc>
          <w:tcPr>
            <w:tcW w:w="4676" w:type="dxa"/>
            <w:tcBorders>
              <w:top w:val="nil"/>
              <w:left w:val="nil"/>
              <w:bottom w:val="nil"/>
            </w:tcBorders>
            <w:shd w:val="clear" w:color="auto" w:fill="auto"/>
            <w:tcMar>
              <w:right w:w="28" w:type="dxa"/>
            </w:tcMar>
            <w:vAlign w:val="bottom"/>
          </w:tcPr>
          <w:p w:rsidR="00D62ECA" w:rsidRPr="008454F8" w:rsidRDefault="00D62ECA" w:rsidP="00D646C0">
            <w:pPr>
              <w:pStyle w:val="SingleTxtG"/>
              <w:keepNext/>
              <w:keepLines/>
              <w:spacing w:before="40"/>
              <w:ind w:left="0" w:right="0"/>
            </w:pPr>
            <w:r w:rsidRPr="008454F8">
              <w:t>Un recurso efectivo que, a diferencia de lo que se ha hecho hasta el momento, entrañe una investigación imparcial, efectiva y completa de los hechos, el procesamiento y castigo de los responsables y una reparación íntegra que incluya una indemnización adecuada.</w:t>
            </w:r>
          </w:p>
        </w:tc>
      </w:tr>
      <w:tr w:rsidR="00D62ECA" w:rsidRPr="008454F8" w:rsidTr="009976B8">
        <w:trPr>
          <w:trHeight w:val="298"/>
        </w:trPr>
        <w:tc>
          <w:tcPr>
            <w:tcW w:w="2694" w:type="dxa"/>
            <w:tcBorders>
              <w:top w:val="nil"/>
              <w:bottom w:val="nil"/>
              <w:right w:val="nil"/>
            </w:tcBorders>
            <w:shd w:val="clear" w:color="auto" w:fill="auto"/>
          </w:tcPr>
          <w:p w:rsidR="00D62ECA" w:rsidRPr="008454F8" w:rsidRDefault="00D62ECA" w:rsidP="008454F8">
            <w:pPr>
              <w:pStyle w:val="SingleTxtG"/>
              <w:spacing w:before="40"/>
              <w:ind w:left="0" w:right="0"/>
              <w:jc w:val="left"/>
            </w:pPr>
            <w:r w:rsidRPr="008454F8">
              <w:t>Anterior aparición en un informe sobre el seguimiento:</w:t>
            </w:r>
          </w:p>
        </w:tc>
        <w:tc>
          <w:tcPr>
            <w:tcW w:w="4676" w:type="dxa"/>
            <w:tcBorders>
              <w:top w:val="nil"/>
              <w:left w:val="nil"/>
              <w:bottom w:val="nil"/>
            </w:tcBorders>
            <w:shd w:val="clear" w:color="auto" w:fill="auto"/>
            <w:tcMar>
              <w:right w:w="28" w:type="dxa"/>
            </w:tcMar>
            <w:vAlign w:val="bottom"/>
          </w:tcPr>
          <w:p w:rsidR="00D62ECA" w:rsidRPr="008454F8" w:rsidRDefault="00D62ECA" w:rsidP="00D62ECA">
            <w:pPr>
              <w:pStyle w:val="SingleTxtG"/>
              <w:spacing w:before="40"/>
              <w:ind w:left="0" w:right="0"/>
            </w:pPr>
            <w:r w:rsidRPr="008454F8">
              <w:t>A/69/40 (Vol. I)</w:t>
            </w:r>
          </w:p>
        </w:tc>
      </w:tr>
      <w:tr w:rsidR="00D62ECA" w:rsidRPr="008454F8" w:rsidTr="009976B8">
        <w:trPr>
          <w:trHeight w:val="298"/>
        </w:trPr>
        <w:tc>
          <w:tcPr>
            <w:tcW w:w="2694" w:type="dxa"/>
            <w:tcBorders>
              <w:top w:val="nil"/>
              <w:bottom w:val="nil"/>
              <w:right w:val="nil"/>
            </w:tcBorders>
            <w:shd w:val="clear" w:color="auto" w:fill="auto"/>
          </w:tcPr>
          <w:p w:rsidR="00D62ECA" w:rsidRPr="008454F8" w:rsidRDefault="00D62ECA" w:rsidP="008454F8">
            <w:pPr>
              <w:pStyle w:val="SingleTxtG"/>
              <w:spacing w:before="40"/>
              <w:ind w:left="0" w:right="0"/>
              <w:jc w:val="left"/>
            </w:pPr>
            <w:r w:rsidRPr="008454F8">
              <w:t>Comunicación presentada por el abogado del autor el:</w:t>
            </w:r>
          </w:p>
        </w:tc>
        <w:tc>
          <w:tcPr>
            <w:tcW w:w="4676" w:type="dxa"/>
            <w:tcBorders>
              <w:top w:val="nil"/>
              <w:left w:val="nil"/>
              <w:bottom w:val="nil"/>
            </w:tcBorders>
            <w:shd w:val="clear" w:color="auto" w:fill="auto"/>
            <w:tcMar>
              <w:right w:w="28" w:type="dxa"/>
            </w:tcMar>
            <w:vAlign w:val="bottom"/>
          </w:tcPr>
          <w:p w:rsidR="00D62ECA" w:rsidRPr="008454F8" w:rsidRDefault="00D62ECA" w:rsidP="00D62ECA">
            <w:pPr>
              <w:pStyle w:val="SingleTxtG"/>
              <w:spacing w:before="40"/>
              <w:ind w:left="0" w:right="0"/>
            </w:pPr>
            <w:r w:rsidRPr="008454F8">
              <w:t>2 de septiembre de 2015</w:t>
            </w:r>
          </w:p>
          <w:p w:rsidR="00D62ECA" w:rsidRPr="008454F8" w:rsidRDefault="00D62ECA" w:rsidP="00D62ECA">
            <w:pPr>
              <w:pStyle w:val="SingleTxtG"/>
              <w:spacing w:before="40"/>
              <w:ind w:left="0" w:right="0"/>
            </w:pPr>
            <w:r w:rsidRPr="008454F8">
              <w:t>Se entabló un diálogo para llegar a un acuerdo con el Estado parte. El Estado parte ha entorpecido el avance de las investigaciones administrativas en comisarías de policía y cuarteles militares y se ha negado a reabrir investigaciones penales. El autor se niega a firmar ningún acuerdo si no hay recursos garantizados contra la impunidad.</w:t>
            </w:r>
          </w:p>
        </w:tc>
      </w:tr>
      <w:tr w:rsidR="00D62ECA" w:rsidRPr="008454F8" w:rsidTr="009976B8">
        <w:trPr>
          <w:trHeight w:val="298"/>
        </w:trPr>
        <w:tc>
          <w:tcPr>
            <w:tcW w:w="2694" w:type="dxa"/>
            <w:tcBorders>
              <w:top w:val="nil"/>
              <w:bottom w:val="single" w:sz="12" w:space="0" w:color="auto"/>
              <w:right w:val="nil"/>
            </w:tcBorders>
            <w:shd w:val="clear" w:color="auto" w:fill="auto"/>
          </w:tcPr>
          <w:p w:rsidR="00D62ECA" w:rsidRPr="008454F8" w:rsidRDefault="00D62ECA" w:rsidP="008454F8">
            <w:pPr>
              <w:pStyle w:val="SingleTxtG"/>
              <w:spacing w:before="40"/>
              <w:ind w:left="0" w:right="0"/>
              <w:jc w:val="left"/>
            </w:pPr>
            <w:r w:rsidRPr="008454F8">
              <w:t>Decisión del Comité:</w:t>
            </w:r>
            <w:r w:rsidRPr="008454F8">
              <w:tab/>
            </w:r>
          </w:p>
        </w:tc>
        <w:tc>
          <w:tcPr>
            <w:tcW w:w="4676" w:type="dxa"/>
            <w:tcBorders>
              <w:top w:val="nil"/>
              <w:left w:val="nil"/>
              <w:bottom w:val="single" w:sz="12" w:space="0" w:color="auto"/>
            </w:tcBorders>
            <w:shd w:val="clear" w:color="auto" w:fill="auto"/>
            <w:tcMar>
              <w:right w:w="28" w:type="dxa"/>
            </w:tcMar>
            <w:vAlign w:val="bottom"/>
          </w:tcPr>
          <w:p w:rsidR="00D62ECA" w:rsidRPr="008454F8" w:rsidRDefault="00D62ECA" w:rsidP="00D62ECA">
            <w:pPr>
              <w:pStyle w:val="SingleTxtG"/>
              <w:spacing w:before="40"/>
              <w:ind w:left="0" w:right="0"/>
            </w:pPr>
            <w:r w:rsidRPr="008454F8">
              <w:t>Prosigue el diálogo de seguimiento.</w:t>
            </w:r>
          </w:p>
        </w:tc>
      </w:tr>
    </w:tbl>
    <w:p w:rsidR="00A76B42" w:rsidRPr="0019108A" w:rsidRDefault="00A76B42" w:rsidP="008454F8">
      <w:pPr>
        <w:pStyle w:val="H23G"/>
      </w:pPr>
      <w:r w:rsidRPr="0019108A">
        <w:tab/>
        <w:t>13.</w:t>
      </w:r>
      <w:r w:rsidRPr="0019108A">
        <w:tab/>
        <w:t>Filipinas</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7532C7">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7532C7">
              <w:rPr>
                <w:b/>
              </w:rPr>
              <w:t xml:space="preserve">Comunicación núm. 868/1999, </w:t>
            </w:r>
            <w:r w:rsidRPr="00CC594F">
              <w:rPr>
                <w:b/>
                <w:i/>
              </w:rPr>
              <w:t>Wilson c. Filipinas</w:t>
            </w:r>
          </w:p>
        </w:tc>
      </w:tr>
      <w:tr w:rsidR="007532C7" w:rsidRPr="008454F8" w:rsidTr="009976B8">
        <w:trPr>
          <w:trHeight w:val="240"/>
        </w:trPr>
        <w:tc>
          <w:tcPr>
            <w:tcW w:w="2694" w:type="dxa"/>
            <w:shd w:val="clear" w:color="auto" w:fill="auto"/>
          </w:tcPr>
          <w:p w:rsidR="007532C7" w:rsidRPr="008454F8" w:rsidRDefault="007532C7"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7532C7" w:rsidRPr="008454F8" w:rsidRDefault="007532C7" w:rsidP="00067B12">
            <w:pPr>
              <w:pStyle w:val="SingleTxtG"/>
              <w:spacing w:before="40"/>
              <w:ind w:left="0" w:right="0"/>
            </w:pPr>
            <w:r w:rsidRPr="008454F8">
              <w:t>30 de octubre de 2003</w:t>
            </w:r>
          </w:p>
        </w:tc>
      </w:tr>
      <w:tr w:rsidR="007532C7" w:rsidRPr="008454F8" w:rsidTr="009976B8">
        <w:trPr>
          <w:trHeight w:val="240"/>
        </w:trPr>
        <w:tc>
          <w:tcPr>
            <w:tcW w:w="2694" w:type="dxa"/>
            <w:shd w:val="clear" w:color="auto" w:fill="auto"/>
          </w:tcPr>
          <w:p w:rsidR="007532C7" w:rsidRPr="008454F8" w:rsidRDefault="007532C7"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7532C7" w:rsidRPr="008454F8" w:rsidRDefault="007532C7" w:rsidP="00067B12">
            <w:pPr>
              <w:pStyle w:val="SingleTxtG"/>
              <w:spacing w:before="40"/>
              <w:ind w:left="0" w:right="0"/>
            </w:pPr>
            <w:r w:rsidRPr="008454F8">
              <w:t>Artículos 7; 9, párrafos 1 a 3; y 10, párrafos 1 y 2</w:t>
            </w:r>
          </w:p>
        </w:tc>
      </w:tr>
      <w:tr w:rsidR="007532C7" w:rsidRPr="008454F8" w:rsidTr="009976B8">
        <w:trPr>
          <w:trHeight w:val="240"/>
        </w:trPr>
        <w:tc>
          <w:tcPr>
            <w:tcW w:w="2694" w:type="dxa"/>
            <w:shd w:val="clear" w:color="auto" w:fill="auto"/>
          </w:tcPr>
          <w:p w:rsidR="007532C7" w:rsidRPr="008454F8" w:rsidRDefault="007532C7"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7532C7" w:rsidRPr="008454F8" w:rsidRDefault="007532C7" w:rsidP="00067B12">
            <w:pPr>
              <w:pStyle w:val="SingleTxtG"/>
              <w:spacing w:before="40"/>
              <w:ind w:left="0" w:right="0"/>
            </w:pPr>
            <w:r w:rsidRPr="008454F8">
              <w:t>Un recurso efectivo. Con respecto a las violaciones del artículo 9, el Estado parte debe indemnizar al autor. La indemnización que ha de concederse por las violaciones de los artículos 7 y 10 del Pacto debe tener debidamente en cuenta la gravedad de los hechos y el daño causado al autor. El Estado parte debe llevar a cabo una investigación exhaustiva e imparcial de los hechos alegados durante la detención del autor y extraer las consecuencias penales y disciplinarias que proceda para los responsables. En cuanto a la imposición de tasas de inmigración y la denegación del visado, el Estado parte debe reembolsar al autor el dinero que le cobró y abonarle las indemnizaciones en metálico pertinentes en el lugar que este determine, sea dentro del territorio del Estado parte o en otro país.</w:t>
            </w:r>
          </w:p>
        </w:tc>
      </w:tr>
      <w:tr w:rsidR="007532C7" w:rsidRPr="008454F8" w:rsidTr="00D646C0">
        <w:trPr>
          <w:trHeight w:val="240"/>
        </w:trPr>
        <w:tc>
          <w:tcPr>
            <w:tcW w:w="2694" w:type="dxa"/>
            <w:tcBorders>
              <w:bottom w:val="nil"/>
            </w:tcBorders>
            <w:shd w:val="clear" w:color="auto" w:fill="auto"/>
          </w:tcPr>
          <w:p w:rsidR="007532C7" w:rsidRPr="008454F8" w:rsidRDefault="007532C7" w:rsidP="008454F8">
            <w:pPr>
              <w:pStyle w:val="SingleTxtG"/>
              <w:spacing w:before="40"/>
              <w:ind w:left="0" w:right="0"/>
              <w:jc w:val="left"/>
            </w:pPr>
            <w:r w:rsidRPr="008454F8">
              <w:t>Anterior aparición en un informe sobre el seguimiento:</w:t>
            </w:r>
          </w:p>
        </w:tc>
        <w:tc>
          <w:tcPr>
            <w:tcW w:w="4676" w:type="dxa"/>
            <w:tcBorders>
              <w:bottom w:val="nil"/>
            </w:tcBorders>
            <w:shd w:val="clear" w:color="auto" w:fill="auto"/>
            <w:tcMar>
              <w:right w:w="28" w:type="dxa"/>
            </w:tcMar>
            <w:vAlign w:val="bottom"/>
          </w:tcPr>
          <w:p w:rsidR="007532C7" w:rsidRPr="008454F8" w:rsidRDefault="007532C7" w:rsidP="00067B12">
            <w:pPr>
              <w:pStyle w:val="SingleTxtG"/>
              <w:spacing w:before="40"/>
              <w:ind w:left="0" w:right="0"/>
            </w:pPr>
            <w:r w:rsidRPr="008454F8">
              <w:t>A/61/40 (Vol. II)</w:t>
            </w:r>
          </w:p>
        </w:tc>
      </w:tr>
      <w:tr w:rsidR="007532C7" w:rsidRPr="008454F8" w:rsidTr="00D646C0">
        <w:trPr>
          <w:trHeight w:val="240"/>
        </w:trPr>
        <w:tc>
          <w:tcPr>
            <w:tcW w:w="2694" w:type="dxa"/>
            <w:tcBorders>
              <w:top w:val="nil"/>
            </w:tcBorders>
            <w:shd w:val="clear" w:color="auto" w:fill="auto"/>
          </w:tcPr>
          <w:p w:rsidR="007532C7" w:rsidRPr="008454F8" w:rsidRDefault="007532C7" w:rsidP="008454F8">
            <w:pPr>
              <w:pStyle w:val="SingleTxtG"/>
              <w:spacing w:before="40"/>
              <w:ind w:left="0" w:right="0"/>
              <w:jc w:val="left"/>
            </w:pPr>
            <w:r w:rsidRPr="008454F8">
              <w:t>Comunicación presentada por la abogada del autor el:</w:t>
            </w:r>
          </w:p>
        </w:tc>
        <w:tc>
          <w:tcPr>
            <w:tcW w:w="4676" w:type="dxa"/>
            <w:tcBorders>
              <w:top w:val="nil"/>
            </w:tcBorders>
            <w:shd w:val="clear" w:color="auto" w:fill="auto"/>
            <w:tcMar>
              <w:right w:w="28" w:type="dxa"/>
            </w:tcMar>
            <w:vAlign w:val="bottom"/>
          </w:tcPr>
          <w:p w:rsidR="007532C7" w:rsidRPr="008454F8" w:rsidRDefault="007532C7" w:rsidP="00067B12">
            <w:pPr>
              <w:pStyle w:val="SingleTxtG"/>
              <w:spacing w:before="40"/>
              <w:ind w:left="0" w:right="0"/>
            </w:pPr>
            <w:r w:rsidRPr="008454F8">
              <w:t>9 de octubre de 2015</w:t>
            </w:r>
          </w:p>
          <w:p w:rsidR="007532C7" w:rsidRPr="008454F8" w:rsidRDefault="007532C7" w:rsidP="00067B12">
            <w:pPr>
              <w:pStyle w:val="SingleTxtG"/>
              <w:spacing w:before="40"/>
              <w:ind w:left="0" w:right="0"/>
            </w:pPr>
            <w:r w:rsidRPr="008454F8">
              <w:t>La abogada del autor recuerda que el Estado parte no ha aplicado el dictamen y que el Comité consideró insatisfactoria la respuesta de Filipinas</w:t>
            </w:r>
            <w:r>
              <w:rPr>
                <w:rStyle w:val="Refdenotaalpie"/>
              </w:rPr>
              <w:footnoteReference w:id="3"/>
            </w:r>
            <w:r w:rsidRPr="008454F8">
              <w:t>.</w:t>
            </w:r>
          </w:p>
          <w:p w:rsidR="007532C7" w:rsidRPr="008454F8" w:rsidRDefault="007532C7" w:rsidP="00067B12">
            <w:pPr>
              <w:pStyle w:val="SingleTxtG"/>
              <w:spacing w:before="40"/>
              <w:ind w:left="0" w:right="0"/>
            </w:pPr>
            <w:r w:rsidRPr="008454F8">
              <w:t xml:space="preserve">En 2009, la abogada del autor solicitó al Tribunal Supremo que emitiera un mandamiento judicial </w:t>
            </w:r>
            <w:r w:rsidRPr="009976B8">
              <w:rPr>
                <w:i/>
              </w:rPr>
              <w:t>(mandamus)</w:t>
            </w:r>
            <w:r w:rsidRPr="008454F8">
              <w:t xml:space="preserve"> que obligara al Gobierno a adoptar medidas para indemnizar al autor con una cantidad proporcionada a las torturas y los malos tratos sufridos. La causa judicial </w:t>
            </w:r>
            <w:r w:rsidRPr="008454F8">
              <w:lastRenderedPageBreak/>
              <w:t>no ha avanzado, a pesar de una solicitud de audiencia presentada en 2012 al Tribunal. La inexistencia de un recurso efectivo está afectando negativamente la salud física y mental de la víctima y ha agravado su sufrimiento.</w:t>
            </w:r>
          </w:p>
          <w:p w:rsidR="007532C7" w:rsidRPr="008454F8" w:rsidRDefault="007532C7" w:rsidP="00067B12">
            <w:pPr>
              <w:pStyle w:val="SingleTxtG"/>
              <w:spacing w:before="40"/>
              <w:ind w:left="0" w:right="0"/>
            </w:pPr>
            <w:r w:rsidRPr="008454F8">
              <w:t>La abogada del autor obtuvo recientemente un informe medicolegal actualizado de un experto en el que se presentan pruebas de que la demora en la obtención de resultados judiciales concretos ha afectado negativamente al bienestar del autor.</w:t>
            </w:r>
          </w:p>
          <w:p w:rsidR="007532C7" w:rsidRPr="008454F8" w:rsidRDefault="007532C7" w:rsidP="00067B12">
            <w:pPr>
              <w:pStyle w:val="SingleTxtG"/>
              <w:spacing w:before="40"/>
              <w:ind w:left="0" w:right="0"/>
            </w:pPr>
            <w:r w:rsidRPr="008454F8">
              <w:t>Aunque es consciente de que tal vez sea poco frecuente o novedoso que el Comité intervenga directamente en procedimientos judiciales internos, la abogada del autor pide al Relator Especial para el seguimiento de los dictámenes que, valiéndose de la carta o el informe de un experto, inste al Tribunal Supremo a fijar una audiencia y presente la posición del Comité sobre la obligación de aplicar sus dictámenes según se expone en su observación general núm. 31 (2004), sobre la índole de la obligación jurídica general impuesta a los Estados partes en el Pacto.</w:t>
            </w:r>
          </w:p>
        </w:tc>
      </w:tr>
      <w:tr w:rsidR="007532C7" w:rsidRPr="008454F8" w:rsidTr="009976B8">
        <w:trPr>
          <w:trHeight w:val="240"/>
        </w:trPr>
        <w:tc>
          <w:tcPr>
            <w:tcW w:w="2694" w:type="dxa"/>
            <w:shd w:val="clear" w:color="auto" w:fill="auto"/>
          </w:tcPr>
          <w:p w:rsidR="007532C7" w:rsidRPr="008454F8" w:rsidRDefault="007532C7" w:rsidP="008454F8">
            <w:pPr>
              <w:pStyle w:val="SingleTxtG"/>
              <w:spacing w:before="40"/>
              <w:ind w:left="0" w:right="0"/>
              <w:jc w:val="left"/>
            </w:pPr>
            <w:r w:rsidRPr="008454F8">
              <w:lastRenderedPageBreak/>
              <w:t>Comunicación presentada por el Estado parte el:</w:t>
            </w:r>
          </w:p>
        </w:tc>
        <w:tc>
          <w:tcPr>
            <w:tcW w:w="4676" w:type="dxa"/>
            <w:shd w:val="clear" w:color="auto" w:fill="auto"/>
            <w:tcMar>
              <w:right w:w="28" w:type="dxa"/>
            </w:tcMar>
            <w:vAlign w:val="bottom"/>
          </w:tcPr>
          <w:p w:rsidR="007532C7" w:rsidRPr="008454F8" w:rsidRDefault="007532C7" w:rsidP="00067B12">
            <w:pPr>
              <w:pStyle w:val="SingleTxtG"/>
              <w:spacing w:before="40"/>
              <w:ind w:left="0" w:right="0"/>
            </w:pPr>
            <w:r w:rsidRPr="008454F8">
              <w:t>11 de febrero de 2016</w:t>
            </w:r>
          </w:p>
          <w:p w:rsidR="007532C7" w:rsidRDefault="007532C7" w:rsidP="00067B12">
            <w:pPr>
              <w:pStyle w:val="SingleTxtG"/>
              <w:spacing w:before="40"/>
              <w:ind w:left="0" w:right="0"/>
            </w:pPr>
            <w:r w:rsidRPr="008454F8">
              <w:t>El Estado parte considera que la propuesta de la abogada del autor de utilizar la Relatoría Especial para el seguimiento de los dictámenes en procedimientos judiciales nacionales supondría una injerencia en los asuntos internos del Estado. El Estado parte recuerda que respondió al dictamen ya en mayo de 2005, expresando su renuencia a aceptar las conclusiones fácticas del Comité, en particular su evaluación de las pruebas relativas al caso del Sr. Wilson.</w:t>
            </w:r>
          </w:p>
          <w:p w:rsidR="007532C7" w:rsidRPr="008454F8" w:rsidRDefault="007532C7" w:rsidP="00067B12">
            <w:pPr>
              <w:pStyle w:val="SingleTxtG"/>
              <w:spacing w:before="40"/>
              <w:ind w:left="0" w:right="0"/>
            </w:pPr>
            <w:r w:rsidRPr="008454F8">
              <w:t>La indemnización está a disposición del autor o su representante en Filipinas.</w:t>
            </w:r>
          </w:p>
          <w:p w:rsidR="007532C7" w:rsidRPr="008454F8" w:rsidRDefault="007532C7" w:rsidP="00067B12">
            <w:pPr>
              <w:pStyle w:val="SingleTxtG"/>
              <w:spacing w:before="40"/>
              <w:ind w:left="0" w:right="0"/>
            </w:pPr>
            <w:r w:rsidRPr="008454F8">
              <w:t>El Estado parte pide al Relator Especial para el seguimiento de los dictámenes que informe al autor de que puede percibir la indemnización, personalmente o por conducto de un representante autorizado, en la Junta de Reclamaciones del Departamento de Justicia de Filipinas.</w:t>
            </w:r>
          </w:p>
        </w:tc>
      </w:tr>
      <w:tr w:rsidR="007532C7" w:rsidRPr="008454F8" w:rsidTr="009976B8">
        <w:trPr>
          <w:trHeight w:val="240"/>
        </w:trPr>
        <w:tc>
          <w:tcPr>
            <w:tcW w:w="2694" w:type="dxa"/>
            <w:shd w:val="clear" w:color="auto" w:fill="auto"/>
          </w:tcPr>
          <w:p w:rsidR="007532C7" w:rsidRPr="008454F8" w:rsidRDefault="007532C7" w:rsidP="008454F8">
            <w:pPr>
              <w:pStyle w:val="SingleTxtG"/>
              <w:spacing w:before="40"/>
              <w:ind w:left="0" w:right="0"/>
              <w:jc w:val="left"/>
            </w:pPr>
            <w:r w:rsidRPr="008454F8">
              <w:t>Evaluación del Comité:</w:t>
            </w:r>
          </w:p>
        </w:tc>
        <w:tc>
          <w:tcPr>
            <w:tcW w:w="4676" w:type="dxa"/>
            <w:shd w:val="clear" w:color="auto" w:fill="auto"/>
            <w:tcMar>
              <w:right w:w="28" w:type="dxa"/>
            </w:tcMar>
            <w:vAlign w:val="bottom"/>
          </w:tcPr>
          <w:p w:rsidR="007532C7" w:rsidRPr="008454F8" w:rsidRDefault="007532C7" w:rsidP="008666E3">
            <w:pPr>
              <w:pStyle w:val="SingleTxtG"/>
              <w:spacing w:before="40"/>
              <w:ind w:left="0" w:right="0" w:firstLine="227"/>
            </w:pPr>
            <w:r w:rsidRPr="008454F8">
              <w:t>a)</w:t>
            </w:r>
            <w:r w:rsidRPr="008454F8">
              <w:tab/>
              <w:t>Recurso efectivo, que comprenda una indemnización y una investigación exhaustiva e imparcial: B2</w:t>
            </w:r>
          </w:p>
          <w:p w:rsidR="007532C7" w:rsidRPr="008454F8" w:rsidRDefault="007532C7" w:rsidP="008666E3">
            <w:pPr>
              <w:pStyle w:val="SingleTxtG"/>
              <w:spacing w:before="40"/>
              <w:ind w:left="0" w:right="0" w:firstLine="227"/>
            </w:pPr>
            <w:r w:rsidRPr="008454F8">
              <w:t>b)</w:t>
            </w:r>
            <w:r w:rsidRPr="008454F8">
              <w:tab/>
              <w:t>Publicación del dictamen: No se dispone de información</w:t>
            </w:r>
            <w:r w:rsidR="009976B8">
              <w:t>.</w:t>
            </w:r>
          </w:p>
          <w:p w:rsidR="007532C7" w:rsidRPr="008454F8" w:rsidRDefault="007532C7" w:rsidP="008666E3">
            <w:pPr>
              <w:pStyle w:val="SingleTxtG"/>
              <w:spacing w:before="40"/>
              <w:ind w:left="0" w:right="0" w:firstLine="227"/>
            </w:pPr>
            <w:r w:rsidRPr="008454F8">
              <w:t>c)</w:t>
            </w:r>
            <w:r w:rsidRPr="008454F8">
              <w:tab/>
              <w:t>No repetición: No se dispone de información</w:t>
            </w:r>
            <w:r w:rsidR="009976B8">
              <w:t>.</w:t>
            </w:r>
          </w:p>
        </w:tc>
      </w:tr>
      <w:tr w:rsidR="007532C7" w:rsidRPr="008454F8" w:rsidTr="009976B8">
        <w:trPr>
          <w:trHeight w:val="240"/>
        </w:trPr>
        <w:tc>
          <w:tcPr>
            <w:tcW w:w="2694" w:type="dxa"/>
            <w:tcBorders>
              <w:bottom w:val="nil"/>
            </w:tcBorders>
            <w:shd w:val="clear" w:color="auto" w:fill="auto"/>
          </w:tcPr>
          <w:p w:rsidR="007532C7" w:rsidRPr="008454F8" w:rsidRDefault="00D646C0" w:rsidP="008454F8">
            <w:pPr>
              <w:pStyle w:val="SingleTxtG"/>
              <w:spacing w:before="40"/>
              <w:ind w:left="0" w:right="0"/>
              <w:jc w:val="left"/>
            </w:pPr>
            <w:r>
              <w:t>Decisión del Comité:</w:t>
            </w:r>
          </w:p>
        </w:tc>
        <w:tc>
          <w:tcPr>
            <w:tcW w:w="4676" w:type="dxa"/>
            <w:tcBorders>
              <w:bottom w:val="nil"/>
            </w:tcBorders>
            <w:shd w:val="clear" w:color="auto" w:fill="auto"/>
            <w:tcMar>
              <w:right w:w="28" w:type="dxa"/>
            </w:tcMar>
            <w:vAlign w:val="bottom"/>
          </w:tcPr>
          <w:p w:rsidR="007532C7" w:rsidRPr="008454F8" w:rsidRDefault="007532C7" w:rsidP="00067B12">
            <w:pPr>
              <w:pStyle w:val="SingleTxtG"/>
              <w:spacing w:before="40"/>
              <w:ind w:left="0" w:right="0"/>
            </w:pPr>
            <w:r w:rsidRPr="008454F8">
              <w:t>Durante el 116</w:t>
            </w:r>
            <w:r>
              <w:t>º</w:t>
            </w:r>
            <w:r w:rsidRPr="008454F8">
              <w:t xml:space="preserve"> período de sesiones del Comité, el Relator Especial para el seguimiento de los dictámenes se reunió con representantes de la Misión Permanente de Filipinas ante la Oficina de las Naciones Unidas y otras organizaciones internacionales en Ginebra para examinar los avances en todos los casos pendientes contra Filipinas, incluido el del Sr. Wilson.</w:t>
            </w:r>
          </w:p>
        </w:tc>
      </w:tr>
      <w:tr w:rsidR="007532C7" w:rsidRPr="008454F8" w:rsidTr="009976B8">
        <w:trPr>
          <w:trHeight w:val="240"/>
        </w:trPr>
        <w:tc>
          <w:tcPr>
            <w:tcW w:w="2694" w:type="dxa"/>
            <w:tcBorders>
              <w:top w:val="nil"/>
              <w:bottom w:val="single" w:sz="12" w:space="0" w:color="auto"/>
            </w:tcBorders>
            <w:shd w:val="clear" w:color="auto" w:fill="auto"/>
          </w:tcPr>
          <w:p w:rsidR="007532C7" w:rsidRPr="008454F8" w:rsidRDefault="00D646C0" w:rsidP="008454F8">
            <w:pPr>
              <w:pStyle w:val="SingleTxtG"/>
              <w:spacing w:before="40"/>
              <w:ind w:left="0" w:right="0"/>
              <w:jc w:val="left"/>
            </w:pPr>
            <w:r>
              <w:t>Decisión del Comité:</w:t>
            </w:r>
          </w:p>
        </w:tc>
        <w:tc>
          <w:tcPr>
            <w:tcW w:w="4676" w:type="dxa"/>
            <w:tcBorders>
              <w:top w:val="nil"/>
              <w:bottom w:val="single" w:sz="12" w:space="0" w:color="auto"/>
            </w:tcBorders>
            <w:shd w:val="clear" w:color="auto" w:fill="auto"/>
            <w:tcMar>
              <w:right w:w="28" w:type="dxa"/>
            </w:tcMar>
            <w:vAlign w:val="bottom"/>
          </w:tcPr>
          <w:p w:rsidR="007532C7" w:rsidRPr="008454F8" w:rsidRDefault="007532C7" w:rsidP="00067B12">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1"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067B12">
        <w:trPr>
          <w:trHeight w:val="240"/>
        </w:trPr>
        <w:tc>
          <w:tcPr>
            <w:tcW w:w="7371"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067B12">
              <w:rPr>
                <w:b/>
              </w:rPr>
              <w:lastRenderedPageBreak/>
              <w:br w:type="page"/>
              <w:t xml:space="preserve">Comunicación núm. 1089/2002, </w:t>
            </w:r>
            <w:r w:rsidRPr="00CC594F">
              <w:rPr>
                <w:b/>
                <w:i/>
              </w:rPr>
              <w:t>Rouse c. Filipinas</w:t>
            </w:r>
          </w:p>
        </w:tc>
      </w:tr>
      <w:tr w:rsidR="00067B12" w:rsidRPr="008454F8" w:rsidTr="009976B8">
        <w:trPr>
          <w:trHeight w:val="240"/>
        </w:trPr>
        <w:tc>
          <w:tcPr>
            <w:tcW w:w="2694" w:type="dxa"/>
            <w:tcBorders>
              <w:top w:val="single" w:sz="12" w:space="0" w:color="auto"/>
              <w:bottom w:val="nil"/>
              <w:right w:val="nil"/>
            </w:tcBorders>
            <w:shd w:val="clear" w:color="auto" w:fill="auto"/>
          </w:tcPr>
          <w:p w:rsidR="00067B12" w:rsidRPr="008454F8" w:rsidRDefault="00067B12" w:rsidP="008454F8">
            <w:pPr>
              <w:pStyle w:val="SingleTxtG"/>
              <w:spacing w:before="40"/>
              <w:ind w:left="0" w:right="0"/>
              <w:jc w:val="left"/>
            </w:pPr>
            <w:r w:rsidRPr="008454F8">
              <w:t>Fecha de aprobación del dictamen:</w:t>
            </w:r>
          </w:p>
        </w:tc>
        <w:tc>
          <w:tcPr>
            <w:tcW w:w="4677" w:type="dxa"/>
            <w:tcBorders>
              <w:top w:val="single" w:sz="12" w:space="0" w:color="auto"/>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25 de julio de 2005</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Violaciones:</w:t>
            </w:r>
          </w:p>
        </w:tc>
        <w:tc>
          <w:tcPr>
            <w:tcW w:w="4677" w:type="dxa"/>
            <w:tcBorders>
              <w:top w:val="nil"/>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Artículos 14, párrafos 1 y 3 c) y e); 7; y 9, párrafo 1</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Reparación:</w:t>
            </w:r>
          </w:p>
        </w:tc>
        <w:tc>
          <w:tcPr>
            <w:tcW w:w="4677" w:type="dxa"/>
            <w:tcBorders>
              <w:top w:val="nil"/>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Un recurso efectivo, que entrañe una indemnización adecuada por el período de detención y encarcelamiento del autor, entre otras cosas.</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Anterior aparición en un informe sobre el seguimiento:</w:t>
            </w:r>
          </w:p>
        </w:tc>
        <w:tc>
          <w:tcPr>
            <w:tcW w:w="4677" w:type="dxa"/>
            <w:tcBorders>
              <w:top w:val="nil"/>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A/69/40 (Vol. I)</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Comunicación presentada por el Estado parte el:</w:t>
            </w:r>
          </w:p>
        </w:tc>
        <w:tc>
          <w:tcPr>
            <w:tcW w:w="4677" w:type="dxa"/>
            <w:tcBorders>
              <w:top w:val="nil"/>
              <w:left w:val="nil"/>
              <w:bottom w:val="nil"/>
            </w:tcBorders>
            <w:shd w:val="clear" w:color="auto" w:fill="auto"/>
            <w:tcMar>
              <w:right w:w="28" w:type="dxa"/>
            </w:tcMar>
            <w:vAlign w:val="bottom"/>
          </w:tcPr>
          <w:p w:rsidR="00067B12" w:rsidRDefault="00067B12" w:rsidP="00067B12">
            <w:pPr>
              <w:pStyle w:val="SingleTxtG"/>
              <w:spacing w:before="40"/>
              <w:ind w:left="0" w:right="0"/>
            </w:pPr>
            <w:r w:rsidRPr="008454F8">
              <w:t>23 de marzo de 2015</w:t>
            </w:r>
          </w:p>
          <w:p w:rsidR="00067B12" w:rsidRPr="008454F8" w:rsidRDefault="00067B12" w:rsidP="00067B12">
            <w:pPr>
              <w:pStyle w:val="SingleTxtG"/>
              <w:spacing w:before="40"/>
              <w:ind w:left="0" w:right="0"/>
            </w:pPr>
            <w:r w:rsidRPr="008454F8">
              <w:t>El Estado parte informa al Comité de que, el 23 de enero de 2015, la Junta de Indultos y Libertad Condicional del Departamento de Justicia recomendó al Presidente de Filipinas que concediese el indulto absoluto a Leon Rouse por haber expirado la pena máxima que se le había impuesto.</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Evaluación del Comité:</w:t>
            </w:r>
          </w:p>
        </w:tc>
        <w:tc>
          <w:tcPr>
            <w:tcW w:w="4677" w:type="dxa"/>
            <w:tcBorders>
              <w:top w:val="nil"/>
              <w:left w:val="nil"/>
              <w:bottom w:val="nil"/>
            </w:tcBorders>
            <w:shd w:val="clear" w:color="auto" w:fill="auto"/>
            <w:tcMar>
              <w:right w:w="28" w:type="dxa"/>
            </w:tcMar>
            <w:vAlign w:val="bottom"/>
          </w:tcPr>
          <w:p w:rsidR="00067B12" w:rsidRPr="008454F8" w:rsidRDefault="00067B12" w:rsidP="008666E3">
            <w:pPr>
              <w:pStyle w:val="SingleTxtG"/>
              <w:spacing w:before="40"/>
              <w:ind w:left="0" w:right="0" w:firstLine="227"/>
            </w:pPr>
            <w:r w:rsidRPr="008454F8">
              <w:t>a)</w:t>
            </w:r>
            <w:r w:rsidRPr="008454F8">
              <w:tab/>
              <w:t>Recurso efectivo, con una indemnización adecuada: C1</w:t>
            </w:r>
          </w:p>
          <w:p w:rsidR="00067B12" w:rsidRPr="008454F8" w:rsidRDefault="00067B12" w:rsidP="008666E3">
            <w:pPr>
              <w:pStyle w:val="SingleTxtG"/>
              <w:spacing w:before="40"/>
              <w:ind w:left="0" w:right="0" w:firstLine="227"/>
            </w:pPr>
            <w:r w:rsidRPr="008454F8">
              <w:t>b)</w:t>
            </w:r>
            <w:r w:rsidRPr="008454F8">
              <w:tab/>
              <w:t>Publicación del dictamen: No se dispone de información</w:t>
            </w:r>
            <w:r w:rsidR="009976B8">
              <w:t>.</w:t>
            </w:r>
            <w:r w:rsidRPr="008454F8">
              <w:t xml:space="preserve"> </w:t>
            </w:r>
          </w:p>
          <w:p w:rsidR="00067B12" w:rsidRPr="008454F8" w:rsidRDefault="00067B12" w:rsidP="008666E3">
            <w:pPr>
              <w:pStyle w:val="SingleTxtG"/>
              <w:spacing w:before="40"/>
              <w:ind w:left="0" w:right="0" w:firstLine="227"/>
            </w:pPr>
            <w:r w:rsidRPr="008454F8">
              <w:t>c)</w:t>
            </w:r>
            <w:r w:rsidRPr="008454F8">
              <w:tab/>
              <w:t>No repetición: No se dispone de información</w:t>
            </w:r>
            <w:r w:rsidR="009976B8">
              <w:t>.</w:t>
            </w:r>
          </w:p>
        </w:tc>
      </w:tr>
      <w:tr w:rsidR="00067B12" w:rsidRPr="008454F8" w:rsidTr="009976B8">
        <w:trPr>
          <w:trHeight w:val="240"/>
        </w:trPr>
        <w:tc>
          <w:tcPr>
            <w:tcW w:w="2694" w:type="dxa"/>
            <w:tcBorders>
              <w:top w:val="nil"/>
              <w:bottom w:val="single" w:sz="12" w:space="0" w:color="auto"/>
              <w:right w:val="nil"/>
            </w:tcBorders>
            <w:shd w:val="clear" w:color="auto" w:fill="auto"/>
          </w:tcPr>
          <w:p w:rsidR="00067B12" w:rsidRPr="008454F8" w:rsidRDefault="00067B12" w:rsidP="008454F8">
            <w:pPr>
              <w:pStyle w:val="SingleTxtG"/>
              <w:spacing w:before="40"/>
              <w:ind w:left="0" w:right="0"/>
              <w:jc w:val="left"/>
            </w:pPr>
            <w:r w:rsidRPr="008454F8">
              <w:t>Decisión del Comité:</w:t>
            </w:r>
            <w:r w:rsidRPr="008454F8">
              <w:tab/>
            </w:r>
          </w:p>
        </w:tc>
        <w:tc>
          <w:tcPr>
            <w:tcW w:w="4677" w:type="dxa"/>
            <w:tcBorders>
              <w:top w:val="nil"/>
              <w:left w:val="nil"/>
              <w:bottom w:val="single" w:sz="12" w:space="0" w:color="auto"/>
            </w:tcBorders>
            <w:shd w:val="clear" w:color="auto" w:fill="auto"/>
            <w:tcMar>
              <w:right w:w="28" w:type="dxa"/>
            </w:tcMar>
            <w:vAlign w:val="bottom"/>
          </w:tcPr>
          <w:p w:rsidR="00067B12" w:rsidRPr="008454F8" w:rsidRDefault="00067B12" w:rsidP="00067B12">
            <w:pPr>
              <w:pStyle w:val="SingleTxtG"/>
              <w:spacing w:before="40"/>
              <w:ind w:left="0" w:right="0"/>
            </w:pPr>
            <w:r w:rsidRPr="008454F8">
              <w:t>Prosigue el diálogo de seguimiento.</w:t>
            </w:r>
          </w:p>
        </w:tc>
      </w:tr>
    </w:tbl>
    <w:p w:rsidR="00A76B42" w:rsidRPr="0019108A" w:rsidRDefault="00A76B42" w:rsidP="008454F8">
      <w:pPr>
        <w:pStyle w:val="H23G"/>
      </w:pPr>
      <w:r w:rsidRPr="0019108A">
        <w:tab/>
        <w:t>14.</w:t>
      </w:r>
      <w:r w:rsidRPr="0019108A">
        <w:tab/>
        <w:t>República de Corea</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067B12">
        <w:trPr>
          <w:trHeight w:val="240"/>
          <w:tblHeader/>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067B12">
              <w:rPr>
                <w:b/>
              </w:rPr>
              <w:t xml:space="preserve">Comunicación núm. 1786/2008, </w:t>
            </w:r>
            <w:r w:rsidRPr="00CC594F">
              <w:rPr>
                <w:b/>
                <w:i/>
              </w:rPr>
              <w:t>Kim y otros c. la República de Corea</w:t>
            </w:r>
            <w:r w:rsidRPr="008454F8">
              <w:rPr>
                <w:bCs/>
                <w:i/>
                <w:sz w:val="16"/>
              </w:rPr>
              <w:t xml:space="preserve"> </w:t>
            </w:r>
          </w:p>
        </w:tc>
      </w:tr>
      <w:tr w:rsidR="00067B12" w:rsidRPr="008454F8" w:rsidTr="009976B8">
        <w:trPr>
          <w:trHeight w:val="240"/>
        </w:trPr>
        <w:tc>
          <w:tcPr>
            <w:tcW w:w="2694" w:type="dxa"/>
            <w:shd w:val="clear" w:color="auto" w:fill="auto"/>
          </w:tcPr>
          <w:p w:rsidR="00067B12" w:rsidRPr="008454F8" w:rsidRDefault="00067B12" w:rsidP="008454F8">
            <w:pPr>
              <w:pStyle w:val="SingleTxtG"/>
              <w:spacing w:before="40"/>
              <w:ind w:left="0" w:right="0"/>
              <w:jc w:val="left"/>
            </w:pPr>
            <w:r w:rsidRPr="008454F8">
              <w:t>Fecha de aprobación del dictamen:</w:t>
            </w:r>
          </w:p>
        </w:tc>
        <w:tc>
          <w:tcPr>
            <w:tcW w:w="4676" w:type="dxa"/>
            <w:shd w:val="clear" w:color="auto" w:fill="auto"/>
            <w:tcMar>
              <w:right w:w="28" w:type="dxa"/>
            </w:tcMar>
            <w:vAlign w:val="bottom"/>
          </w:tcPr>
          <w:p w:rsidR="00067B12" w:rsidRPr="008454F8" w:rsidRDefault="00067B12" w:rsidP="00067B12">
            <w:pPr>
              <w:pStyle w:val="SingleTxtG"/>
              <w:spacing w:before="40"/>
              <w:ind w:left="0" w:right="0"/>
            </w:pPr>
            <w:r w:rsidRPr="008454F8">
              <w:t>25 de octubre de 2012</w:t>
            </w:r>
          </w:p>
        </w:tc>
      </w:tr>
      <w:tr w:rsidR="00067B12" w:rsidRPr="008454F8" w:rsidTr="009976B8">
        <w:trPr>
          <w:trHeight w:val="240"/>
        </w:trPr>
        <w:tc>
          <w:tcPr>
            <w:tcW w:w="2694" w:type="dxa"/>
            <w:shd w:val="clear" w:color="auto" w:fill="auto"/>
          </w:tcPr>
          <w:p w:rsidR="00067B12" w:rsidRPr="008454F8" w:rsidRDefault="00067B12" w:rsidP="008454F8">
            <w:pPr>
              <w:pStyle w:val="SingleTxtG"/>
              <w:spacing w:before="40"/>
              <w:ind w:left="0" w:right="0"/>
              <w:jc w:val="left"/>
            </w:pPr>
            <w:r w:rsidRPr="008454F8">
              <w:t>Violaciones:</w:t>
            </w:r>
          </w:p>
        </w:tc>
        <w:tc>
          <w:tcPr>
            <w:tcW w:w="4676" w:type="dxa"/>
            <w:shd w:val="clear" w:color="auto" w:fill="auto"/>
            <w:tcMar>
              <w:right w:w="28" w:type="dxa"/>
            </w:tcMar>
            <w:vAlign w:val="bottom"/>
          </w:tcPr>
          <w:p w:rsidR="00067B12" w:rsidRPr="008454F8" w:rsidRDefault="00067B12" w:rsidP="00067B12">
            <w:pPr>
              <w:pStyle w:val="SingleTxtG"/>
              <w:spacing w:before="40"/>
              <w:ind w:left="0" w:right="0"/>
            </w:pPr>
            <w:r w:rsidRPr="008454F8">
              <w:t>Artículo 18, párrafo 1</w:t>
            </w:r>
          </w:p>
        </w:tc>
      </w:tr>
      <w:tr w:rsidR="00067B12" w:rsidRPr="008454F8" w:rsidTr="009976B8">
        <w:trPr>
          <w:trHeight w:val="240"/>
        </w:trPr>
        <w:tc>
          <w:tcPr>
            <w:tcW w:w="2694" w:type="dxa"/>
            <w:shd w:val="clear" w:color="auto" w:fill="auto"/>
          </w:tcPr>
          <w:p w:rsidR="00067B12" w:rsidRPr="008454F8" w:rsidRDefault="00067B12" w:rsidP="008454F8">
            <w:pPr>
              <w:pStyle w:val="SingleTxtG"/>
              <w:spacing w:before="40"/>
              <w:ind w:left="0" w:right="0"/>
              <w:jc w:val="left"/>
            </w:pPr>
            <w:r w:rsidRPr="008454F8">
              <w:t>Reparación:</w:t>
            </w:r>
          </w:p>
        </w:tc>
        <w:tc>
          <w:tcPr>
            <w:tcW w:w="4676" w:type="dxa"/>
            <w:shd w:val="clear" w:color="auto" w:fill="auto"/>
            <w:tcMar>
              <w:right w:w="28" w:type="dxa"/>
            </w:tcMar>
            <w:vAlign w:val="bottom"/>
          </w:tcPr>
          <w:p w:rsidR="00067B12" w:rsidRPr="008454F8" w:rsidRDefault="00067B12" w:rsidP="00067B12">
            <w:pPr>
              <w:pStyle w:val="SingleTxtG"/>
              <w:spacing w:before="40"/>
              <w:ind w:left="0" w:right="0"/>
            </w:pPr>
            <w:r w:rsidRPr="008454F8">
              <w:t>Un recurso efectivo que comprenda la cancelación de los antecedentes penales de los autores y la concesión de una indemnización adecuada. El Estado parte tiene la obligación de evitar que se cometan infracciones semejantes del Pacto en el futuro, lo que entraña la adopción de medidas legislativas que garanticen el derecho a la objeción de conciencia.</w:t>
            </w:r>
          </w:p>
        </w:tc>
      </w:tr>
      <w:tr w:rsidR="00067B12" w:rsidRPr="008454F8" w:rsidTr="009976B8">
        <w:trPr>
          <w:trHeight w:val="240"/>
        </w:trPr>
        <w:tc>
          <w:tcPr>
            <w:tcW w:w="2694" w:type="dxa"/>
            <w:shd w:val="clear" w:color="auto" w:fill="auto"/>
          </w:tcPr>
          <w:p w:rsidR="00067B12" w:rsidRPr="008454F8" w:rsidRDefault="00067B12" w:rsidP="008454F8">
            <w:pPr>
              <w:pStyle w:val="SingleTxtG"/>
              <w:spacing w:before="40"/>
              <w:ind w:left="0" w:right="0"/>
              <w:jc w:val="left"/>
            </w:pPr>
            <w:r w:rsidRPr="008454F8">
              <w:t>Anterior aparición en un informe sobre el seguimiento:</w:t>
            </w:r>
          </w:p>
        </w:tc>
        <w:tc>
          <w:tcPr>
            <w:tcW w:w="4676" w:type="dxa"/>
            <w:shd w:val="clear" w:color="auto" w:fill="auto"/>
            <w:tcMar>
              <w:right w:w="28" w:type="dxa"/>
            </w:tcMar>
            <w:vAlign w:val="bottom"/>
          </w:tcPr>
          <w:p w:rsidR="00067B12" w:rsidRPr="008454F8" w:rsidRDefault="00067B12" w:rsidP="00067B12">
            <w:pPr>
              <w:pStyle w:val="SingleTxtG"/>
              <w:spacing w:before="40"/>
              <w:ind w:left="0" w:right="0"/>
            </w:pPr>
            <w:r w:rsidRPr="008454F8">
              <w:t>A/69/40 (Vol. I)</w:t>
            </w:r>
          </w:p>
        </w:tc>
      </w:tr>
      <w:tr w:rsidR="00067B12" w:rsidRPr="008454F8" w:rsidTr="009976B8">
        <w:trPr>
          <w:trHeight w:val="240"/>
        </w:trPr>
        <w:tc>
          <w:tcPr>
            <w:tcW w:w="2694" w:type="dxa"/>
            <w:tcBorders>
              <w:bottom w:val="nil"/>
            </w:tcBorders>
            <w:shd w:val="clear" w:color="auto" w:fill="auto"/>
          </w:tcPr>
          <w:p w:rsidR="00067B12" w:rsidRPr="008454F8" w:rsidRDefault="00067B12" w:rsidP="008454F8">
            <w:pPr>
              <w:pStyle w:val="SingleTxtG"/>
              <w:spacing w:before="40"/>
              <w:ind w:left="0" w:right="0"/>
              <w:jc w:val="left"/>
            </w:pPr>
            <w:r w:rsidRPr="008454F8">
              <w:t>Comunicación presentada por los abogados de los autores</w:t>
            </w:r>
            <w:r w:rsidR="009976B8">
              <w:t xml:space="preserve"> el</w:t>
            </w:r>
            <w:r w:rsidRPr="008454F8">
              <w:t>:</w:t>
            </w:r>
          </w:p>
        </w:tc>
        <w:tc>
          <w:tcPr>
            <w:tcW w:w="4676" w:type="dxa"/>
            <w:tcBorders>
              <w:bottom w:val="nil"/>
            </w:tcBorders>
            <w:shd w:val="clear" w:color="auto" w:fill="auto"/>
            <w:tcMar>
              <w:right w:w="28" w:type="dxa"/>
            </w:tcMar>
            <w:vAlign w:val="bottom"/>
          </w:tcPr>
          <w:p w:rsidR="00067B12" w:rsidRDefault="00067B12" w:rsidP="00067B12">
            <w:pPr>
              <w:pStyle w:val="SingleTxtG"/>
              <w:spacing w:before="40"/>
              <w:ind w:left="0" w:right="0"/>
            </w:pPr>
            <w:r w:rsidRPr="008454F8">
              <w:t>5 de octubre de 2015</w:t>
            </w:r>
          </w:p>
          <w:p w:rsidR="00067B12" w:rsidRPr="008454F8" w:rsidRDefault="00067B12" w:rsidP="00067B12">
            <w:pPr>
              <w:pStyle w:val="SingleTxtG"/>
              <w:spacing w:before="40"/>
              <w:ind w:left="0" w:right="0"/>
            </w:pPr>
            <w:r w:rsidRPr="008454F8">
              <w:t>Los abogados de los autores sostienen que el Estado parte se ha negado a aplicar el dictamen del Comité y que los objetores de conciencia siguen siendo castigados con penas de prisión de un año y seis meses.</w:t>
            </w:r>
          </w:p>
        </w:tc>
      </w:tr>
      <w:tr w:rsidR="00067B12" w:rsidRPr="008454F8" w:rsidTr="009976B8">
        <w:trPr>
          <w:trHeight w:val="240"/>
        </w:trPr>
        <w:tc>
          <w:tcPr>
            <w:tcW w:w="2694" w:type="dxa"/>
            <w:tcBorders>
              <w:top w:val="nil"/>
              <w:bottom w:val="single" w:sz="12" w:space="0" w:color="auto"/>
            </w:tcBorders>
            <w:shd w:val="clear" w:color="auto" w:fill="auto"/>
          </w:tcPr>
          <w:p w:rsidR="00067B12" w:rsidRPr="008454F8" w:rsidRDefault="00067B12" w:rsidP="008454F8">
            <w:pPr>
              <w:pStyle w:val="SingleTxtG"/>
              <w:spacing w:before="40"/>
              <w:ind w:left="0" w:right="0"/>
              <w:jc w:val="left"/>
            </w:pPr>
            <w:r w:rsidRPr="008454F8">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067B12" w:rsidRPr="008454F8" w:rsidRDefault="00067B12" w:rsidP="00067B12">
            <w:pPr>
              <w:pStyle w:val="SingleTxtG"/>
              <w:spacing w:before="40"/>
              <w:ind w:left="0" w:right="0"/>
            </w:pPr>
            <w:r w:rsidRPr="008454F8">
              <w:t>Prosigue el diálogo de seguimiento.</w:t>
            </w:r>
          </w:p>
        </w:tc>
      </w:tr>
    </w:tbl>
    <w:p w:rsidR="00A76B42" w:rsidRPr="0019108A" w:rsidRDefault="00A76B42" w:rsidP="00A76B42">
      <w:pPr>
        <w:pStyle w:val="SingleTxtG"/>
      </w:pP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067B12">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D646C0">
            <w:pPr>
              <w:pStyle w:val="SingleTxtG"/>
              <w:keepNext/>
              <w:keepLines/>
              <w:spacing w:before="80" w:after="80" w:line="200" w:lineRule="exact"/>
              <w:ind w:left="0" w:right="0"/>
              <w:jc w:val="left"/>
              <w:rPr>
                <w:bCs/>
                <w:i/>
                <w:sz w:val="16"/>
              </w:rPr>
            </w:pPr>
            <w:r w:rsidRPr="00067B12">
              <w:rPr>
                <w:b/>
              </w:rPr>
              <w:lastRenderedPageBreak/>
              <w:t xml:space="preserve">Comunicación núm. 1908/2009, </w:t>
            </w:r>
            <w:r w:rsidRPr="00CC594F">
              <w:rPr>
                <w:b/>
                <w:i/>
              </w:rPr>
              <w:t>X c. la República de Corea</w:t>
            </w:r>
            <w:r w:rsidRPr="008454F8">
              <w:rPr>
                <w:bCs/>
                <w:i/>
                <w:sz w:val="16"/>
              </w:rPr>
              <w:t xml:space="preserve"> </w:t>
            </w:r>
          </w:p>
        </w:tc>
      </w:tr>
      <w:tr w:rsidR="00067B12" w:rsidRPr="008454F8" w:rsidTr="009976B8">
        <w:trPr>
          <w:trHeight w:val="240"/>
        </w:trPr>
        <w:tc>
          <w:tcPr>
            <w:tcW w:w="2694" w:type="dxa"/>
            <w:tcBorders>
              <w:top w:val="single" w:sz="12" w:space="0" w:color="auto"/>
              <w:bottom w:val="nil"/>
              <w:right w:val="nil"/>
            </w:tcBorders>
            <w:shd w:val="clear" w:color="auto" w:fill="auto"/>
          </w:tcPr>
          <w:p w:rsidR="00067B12" w:rsidRPr="008454F8" w:rsidRDefault="00067B12" w:rsidP="008454F8">
            <w:pPr>
              <w:pStyle w:val="SingleTxtG"/>
              <w:spacing w:before="40"/>
              <w:ind w:left="0" w:right="0"/>
              <w:jc w:val="left"/>
            </w:pPr>
            <w:r w:rsidRPr="008454F8">
              <w:t>Fecha de aprobación del dictamen:</w:t>
            </w:r>
          </w:p>
        </w:tc>
        <w:tc>
          <w:tcPr>
            <w:tcW w:w="4676" w:type="dxa"/>
            <w:tcBorders>
              <w:top w:val="single" w:sz="12" w:space="0" w:color="auto"/>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25 de marzo de 2014</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Violaciones:</w:t>
            </w:r>
          </w:p>
        </w:tc>
        <w:tc>
          <w:tcPr>
            <w:tcW w:w="4676" w:type="dxa"/>
            <w:tcBorders>
              <w:top w:val="nil"/>
              <w:left w:val="nil"/>
              <w:bottom w:val="nil"/>
            </w:tcBorders>
            <w:shd w:val="clear" w:color="auto" w:fill="auto"/>
            <w:tcMar>
              <w:right w:w="28" w:type="dxa"/>
            </w:tcMar>
            <w:vAlign w:val="bottom"/>
          </w:tcPr>
          <w:p w:rsidR="00067B12" w:rsidRPr="008454F8" w:rsidRDefault="00067B12" w:rsidP="009976B8">
            <w:pPr>
              <w:pStyle w:val="SingleTxtG"/>
              <w:spacing w:before="40"/>
              <w:ind w:left="0" w:right="0"/>
            </w:pPr>
            <w:r w:rsidRPr="008454F8">
              <w:t>Artículos 6, párrafo 1</w:t>
            </w:r>
            <w:r w:rsidR="009976B8">
              <w:t>;</w:t>
            </w:r>
            <w:r w:rsidRPr="008454F8">
              <w:t xml:space="preserve"> y 7</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Reparación:</w:t>
            </w:r>
          </w:p>
        </w:tc>
        <w:tc>
          <w:tcPr>
            <w:tcW w:w="4676" w:type="dxa"/>
            <w:tcBorders>
              <w:top w:val="nil"/>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Un recurso efectivo que entrañe la plena reconsideración de la reclamación del autor. El Estado parte no debe expulsar al autor a un tercer país que a su vez pueda expulsarlo a la República Islámica del Irán.</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Anterior aparición en un informe sobre el seguimiento:</w:t>
            </w:r>
          </w:p>
        </w:tc>
        <w:tc>
          <w:tcPr>
            <w:tcW w:w="4676" w:type="dxa"/>
            <w:tcBorders>
              <w:top w:val="nil"/>
              <w:left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CCPR/C/113/3 y Corr.1</w:t>
            </w:r>
          </w:p>
        </w:tc>
      </w:tr>
      <w:tr w:rsidR="00067B12" w:rsidRPr="008454F8" w:rsidTr="009976B8">
        <w:trPr>
          <w:trHeight w:val="240"/>
        </w:trPr>
        <w:tc>
          <w:tcPr>
            <w:tcW w:w="2694" w:type="dxa"/>
            <w:tcBorders>
              <w:top w:val="nil"/>
              <w:bottom w:val="nil"/>
              <w:right w:val="nil"/>
            </w:tcBorders>
            <w:shd w:val="clear" w:color="auto" w:fill="auto"/>
          </w:tcPr>
          <w:p w:rsidR="00067B12" w:rsidRPr="008454F8" w:rsidRDefault="00067B12" w:rsidP="008454F8">
            <w:pPr>
              <w:pStyle w:val="SingleTxtG"/>
              <w:spacing w:before="40"/>
              <w:ind w:left="0" w:right="0"/>
              <w:jc w:val="left"/>
            </w:pPr>
            <w:r w:rsidRPr="008454F8">
              <w:t>Comunicación presentada por el abogado del autor el:</w:t>
            </w:r>
          </w:p>
        </w:tc>
        <w:tc>
          <w:tcPr>
            <w:tcW w:w="4676" w:type="dxa"/>
            <w:tcBorders>
              <w:top w:val="nil"/>
              <w:left w:val="nil"/>
              <w:bottom w:val="nil"/>
            </w:tcBorders>
            <w:shd w:val="clear" w:color="auto" w:fill="auto"/>
            <w:tcMar>
              <w:right w:w="28" w:type="dxa"/>
            </w:tcMar>
            <w:vAlign w:val="bottom"/>
          </w:tcPr>
          <w:p w:rsidR="00067B12" w:rsidRDefault="00067B12" w:rsidP="00067B12">
            <w:pPr>
              <w:pStyle w:val="SingleTxtG"/>
              <w:spacing w:before="40"/>
              <w:ind w:left="0" w:right="0"/>
            </w:pPr>
            <w:r w:rsidRPr="008454F8">
              <w:t>14 de noviembre de 2015</w:t>
            </w:r>
          </w:p>
          <w:p w:rsidR="00067B12" w:rsidRPr="008454F8" w:rsidRDefault="00067B12" w:rsidP="00067B12">
            <w:pPr>
              <w:pStyle w:val="SingleTxtG"/>
              <w:spacing w:before="40"/>
              <w:ind w:left="0" w:right="0"/>
            </w:pPr>
            <w:r w:rsidRPr="008454F8">
              <w:t>El abogado del autor señala que, si bien se publicó el dictamen del Comité, el Estado parte todavía no ha informado al respecto a los funcionarios encargados de hacer cumplir la ley, en particular a las autoridades de inmigración.</w:t>
            </w:r>
          </w:p>
          <w:p w:rsidR="00067B12" w:rsidRPr="008454F8" w:rsidRDefault="00067B12" w:rsidP="00067B12">
            <w:pPr>
              <w:pStyle w:val="SingleTxtG"/>
              <w:spacing w:before="40"/>
              <w:ind w:left="0" w:right="0"/>
            </w:pPr>
            <w:r w:rsidRPr="008454F8">
              <w:t>Si bien el autor fue reconocido como refugiado, lo que le permite permanecer en la República de Corea, no se le ha concedido una indemnización por su detención arbitraria prolongada, aunque el abogado es consciente de que el Comité no abordó el fondo de esa parte de la reclamación (por no haberse agotado los recursos internos en relación con ella). El autor desea que se le presenten disculpas por su detención prolongada, que le causó una dolencia psíquica y sufrimiento.</w:t>
            </w:r>
          </w:p>
          <w:p w:rsidR="00067B12" w:rsidRPr="008454F8" w:rsidRDefault="00067B12" w:rsidP="00067B12">
            <w:pPr>
              <w:pStyle w:val="SingleTxtG"/>
              <w:spacing w:before="40"/>
              <w:ind w:left="0" w:right="0"/>
            </w:pPr>
            <w:r w:rsidRPr="008454F8">
              <w:t>El abogado del autor también solicita medidas de carácter general, como la limitación del período de detención en casos de inmigración y la revisión judicial.</w:t>
            </w:r>
          </w:p>
        </w:tc>
      </w:tr>
      <w:tr w:rsidR="00067B12" w:rsidRPr="008454F8" w:rsidTr="009976B8">
        <w:trPr>
          <w:trHeight w:val="240"/>
        </w:trPr>
        <w:tc>
          <w:tcPr>
            <w:tcW w:w="2694" w:type="dxa"/>
            <w:tcBorders>
              <w:top w:val="nil"/>
              <w:bottom w:val="single" w:sz="12" w:space="0" w:color="auto"/>
              <w:right w:val="nil"/>
            </w:tcBorders>
            <w:shd w:val="clear" w:color="auto" w:fill="auto"/>
          </w:tcPr>
          <w:p w:rsidR="00067B12" w:rsidRPr="008454F8" w:rsidRDefault="00067B12" w:rsidP="008454F8">
            <w:pPr>
              <w:pStyle w:val="SingleTxtG"/>
              <w:spacing w:before="40"/>
              <w:ind w:left="0" w:right="0"/>
              <w:jc w:val="left"/>
            </w:pPr>
            <w:r w:rsidRPr="008454F8">
              <w:t>Decisión del Comité:</w:t>
            </w:r>
          </w:p>
        </w:tc>
        <w:tc>
          <w:tcPr>
            <w:tcW w:w="4676" w:type="dxa"/>
            <w:tcBorders>
              <w:top w:val="nil"/>
              <w:left w:val="nil"/>
              <w:bottom w:val="single" w:sz="12" w:space="0" w:color="auto"/>
            </w:tcBorders>
            <w:shd w:val="clear" w:color="auto" w:fill="auto"/>
            <w:tcMar>
              <w:right w:w="28" w:type="dxa"/>
            </w:tcMar>
            <w:vAlign w:val="bottom"/>
          </w:tcPr>
          <w:p w:rsidR="00067B12" w:rsidRPr="008454F8" w:rsidRDefault="00067B12" w:rsidP="00067B12">
            <w:pPr>
              <w:pStyle w:val="SingleTxtG"/>
              <w:spacing w:before="40"/>
              <w:ind w:left="0" w:right="0"/>
            </w:pPr>
            <w:r w:rsidRPr="008454F8">
              <w:t>Dar por concluido el diálogo de seguimiento del caso, al concluir que la decisión del Comité se ha aplicado satisfactoriamente.</w:t>
            </w:r>
          </w:p>
        </w:tc>
      </w:tr>
    </w:tbl>
    <w:p w:rsidR="00A76B42" w:rsidRPr="0019108A" w:rsidRDefault="00A76B42" w:rsidP="00A76B42">
      <w:pPr>
        <w:pStyle w:val="SingleTxtG"/>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9976B8">
        <w:trPr>
          <w:trHeight w:val="240"/>
        </w:trPr>
        <w:tc>
          <w:tcPr>
            <w:tcW w:w="7370"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067B12">
              <w:rPr>
                <w:b/>
              </w:rPr>
              <w:t xml:space="preserve">Comunicación núm. 2179/2012, </w:t>
            </w:r>
            <w:r w:rsidRPr="00CC594F">
              <w:rPr>
                <w:b/>
                <w:i/>
              </w:rPr>
              <w:t>Kim y otros c. la República de Corea</w:t>
            </w:r>
            <w:r w:rsidRPr="008454F8">
              <w:rPr>
                <w:bCs/>
                <w:i/>
                <w:sz w:val="16"/>
              </w:rPr>
              <w:t xml:space="preserve"> </w:t>
            </w:r>
          </w:p>
        </w:tc>
      </w:tr>
      <w:tr w:rsidR="00067B12" w:rsidRPr="008454F8" w:rsidTr="009976B8">
        <w:trPr>
          <w:trHeight w:val="240"/>
        </w:trPr>
        <w:tc>
          <w:tcPr>
            <w:tcW w:w="2694" w:type="dxa"/>
            <w:tcBorders>
              <w:bottom w:val="nil"/>
            </w:tcBorders>
            <w:shd w:val="clear" w:color="auto" w:fill="auto"/>
          </w:tcPr>
          <w:p w:rsidR="00067B12" w:rsidRPr="008454F8" w:rsidRDefault="00067B12" w:rsidP="008454F8">
            <w:pPr>
              <w:pStyle w:val="SingleTxtG"/>
              <w:spacing w:before="40"/>
              <w:ind w:left="0" w:right="0"/>
              <w:jc w:val="left"/>
            </w:pPr>
            <w:r w:rsidRPr="008454F8">
              <w:t>Fecha de aprobación del dictamen:</w:t>
            </w:r>
          </w:p>
        </w:tc>
        <w:tc>
          <w:tcPr>
            <w:tcW w:w="4676" w:type="dxa"/>
            <w:tcBorders>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15 de octubre de 2014</w:t>
            </w:r>
          </w:p>
        </w:tc>
      </w:tr>
      <w:tr w:rsidR="00067B12" w:rsidRPr="008454F8" w:rsidTr="009976B8">
        <w:trPr>
          <w:trHeight w:val="240"/>
        </w:trPr>
        <w:tc>
          <w:tcPr>
            <w:tcW w:w="2694" w:type="dxa"/>
            <w:tcBorders>
              <w:top w:val="nil"/>
              <w:bottom w:val="nil"/>
            </w:tcBorders>
            <w:shd w:val="clear" w:color="auto" w:fill="auto"/>
          </w:tcPr>
          <w:p w:rsidR="00067B12" w:rsidRPr="008454F8" w:rsidRDefault="00067B12" w:rsidP="008454F8">
            <w:pPr>
              <w:pStyle w:val="SingleTxtG"/>
              <w:spacing w:before="40"/>
              <w:ind w:left="0" w:right="0"/>
              <w:jc w:val="left"/>
            </w:pPr>
            <w:r w:rsidRPr="008454F8">
              <w:t>Violaciones:</w:t>
            </w:r>
          </w:p>
        </w:tc>
        <w:tc>
          <w:tcPr>
            <w:tcW w:w="4676" w:type="dxa"/>
            <w:tcBorders>
              <w:top w:val="nil"/>
              <w:bottom w:val="nil"/>
            </w:tcBorders>
            <w:shd w:val="clear" w:color="auto" w:fill="auto"/>
            <w:tcMar>
              <w:right w:w="28" w:type="dxa"/>
            </w:tcMar>
            <w:vAlign w:val="bottom"/>
          </w:tcPr>
          <w:p w:rsidR="00067B12" w:rsidRPr="008454F8" w:rsidRDefault="00067B12" w:rsidP="009976B8">
            <w:pPr>
              <w:pStyle w:val="SingleTxtG"/>
              <w:spacing w:before="40"/>
              <w:ind w:left="0" w:right="0"/>
            </w:pPr>
            <w:r w:rsidRPr="008454F8">
              <w:t>Artículos 9, párrafo 1</w:t>
            </w:r>
            <w:r w:rsidR="009976B8">
              <w:t>;</w:t>
            </w:r>
            <w:r w:rsidRPr="008454F8">
              <w:t xml:space="preserve"> y 18, párrafo 1</w:t>
            </w:r>
          </w:p>
        </w:tc>
      </w:tr>
      <w:tr w:rsidR="00067B12" w:rsidRPr="008454F8" w:rsidTr="009976B8">
        <w:trPr>
          <w:trHeight w:val="240"/>
        </w:trPr>
        <w:tc>
          <w:tcPr>
            <w:tcW w:w="2694" w:type="dxa"/>
            <w:tcBorders>
              <w:top w:val="nil"/>
              <w:bottom w:val="nil"/>
            </w:tcBorders>
            <w:shd w:val="clear" w:color="auto" w:fill="auto"/>
          </w:tcPr>
          <w:p w:rsidR="00067B12" w:rsidRPr="008454F8" w:rsidRDefault="00067B12" w:rsidP="008454F8">
            <w:pPr>
              <w:pStyle w:val="SingleTxtG"/>
              <w:spacing w:before="40"/>
              <w:ind w:left="0" w:right="0"/>
              <w:jc w:val="left"/>
            </w:pPr>
            <w:r w:rsidRPr="008454F8">
              <w:t>Reparación:</w:t>
            </w:r>
          </w:p>
        </w:tc>
        <w:tc>
          <w:tcPr>
            <w:tcW w:w="4676" w:type="dxa"/>
            <w:tcBorders>
              <w:top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Un recurso efectivo que comprenda la cancelación de los antecedentes penales de los autores y la concesión de una indemnización adecuada. El Estado parte tiene la obligación de evitar que se cometan infracciones semejantes del Pacto en el futuro, lo que entraña la adopción de medidas legislativas que garanticen el derecho a la objeción de conciencia.</w:t>
            </w:r>
          </w:p>
        </w:tc>
      </w:tr>
      <w:tr w:rsidR="00067B12" w:rsidRPr="008454F8" w:rsidTr="009976B8">
        <w:trPr>
          <w:trHeight w:val="240"/>
        </w:trPr>
        <w:tc>
          <w:tcPr>
            <w:tcW w:w="2694" w:type="dxa"/>
            <w:tcBorders>
              <w:top w:val="nil"/>
              <w:bottom w:val="nil"/>
            </w:tcBorders>
            <w:shd w:val="clear" w:color="auto" w:fill="auto"/>
          </w:tcPr>
          <w:p w:rsidR="00067B12" w:rsidRPr="008454F8" w:rsidRDefault="00067B12" w:rsidP="008454F8">
            <w:pPr>
              <w:pStyle w:val="SingleTxtG"/>
              <w:spacing w:before="40"/>
              <w:ind w:left="0" w:right="0"/>
              <w:jc w:val="left"/>
            </w:pPr>
            <w:r w:rsidRPr="008454F8">
              <w:t>Anterior aparición en un informe sobre el seguimiento:</w:t>
            </w:r>
          </w:p>
        </w:tc>
        <w:tc>
          <w:tcPr>
            <w:tcW w:w="4676" w:type="dxa"/>
            <w:tcBorders>
              <w:top w:val="nil"/>
              <w:bottom w:val="nil"/>
            </w:tcBorders>
            <w:shd w:val="clear" w:color="auto" w:fill="auto"/>
            <w:tcMar>
              <w:right w:w="28" w:type="dxa"/>
            </w:tcMar>
            <w:vAlign w:val="bottom"/>
          </w:tcPr>
          <w:p w:rsidR="00067B12" w:rsidRPr="008454F8" w:rsidRDefault="00067B12" w:rsidP="00067B12">
            <w:pPr>
              <w:pStyle w:val="SingleTxtG"/>
              <w:spacing w:before="40"/>
              <w:ind w:left="0" w:right="0"/>
            </w:pPr>
            <w:r w:rsidRPr="008454F8">
              <w:t>Primera aparición</w:t>
            </w:r>
          </w:p>
        </w:tc>
      </w:tr>
      <w:tr w:rsidR="00067B12" w:rsidRPr="008454F8" w:rsidTr="009976B8">
        <w:trPr>
          <w:trHeight w:val="240"/>
        </w:trPr>
        <w:tc>
          <w:tcPr>
            <w:tcW w:w="2694" w:type="dxa"/>
            <w:tcBorders>
              <w:top w:val="nil"/>
              <w:bottom w:val="nil"/>
            </w:tcBorders>
            <w:shd w:val="clear" w:color="auto" w:fill="auto"/>
          </w:tcPr>
          <w:p w:rsidR="00067B12" w:rsidRPr="008454F8" w:rsidRDefault="00067B12" w:rsidP="00D646C0">
            <w:pPr>
              <w:pStyle w:val="SingleTxtG"/>
              <w:keepNext/>
              <w:keepLines/>
              <w:spacing w:before="40"/>
              <w:ind w:left="0" w:right="0"/>
              <w:jc w:val="left"/>
            </w:pPr>
            <w:r w:rsidRPr="008454F8">
              <w:lastRenderedPageBreak/>
              <w:t>Comunicación presentada por el Estado parte el:</w:t>
            </w:r>
          </w:p>
        </w:tc>
        <w:tc>
          <w:tcPr>
            <w:tcW w:w="4676" w:type="dxa"/>
            <w:tcBorders>
              <w:top w:val="nil"/>
              <w:bottom w:val="nil"/>
            </w:tcBorders>
            <w:shd w:val="clear" w:color="auto" w:fill="auto"/>
            <w:tcMar>
              <w:right w:w="28" w:type="dxa"/>
            </w:tcMar>
            <w:vAlign w:val="bottom"/>
          </w:tcPr>
          <w:p w:rsidR="00067B12" w:rsidRPr="008454F8" w:rsidRDefault="00067B12" w:rsidP="00D646C0">
            <w:pPr>
              <w:pStyle w:val="SingleTxtG"/>
              <w:keepNext/>
              <w:keepLines/>
              <w:spacing w:before="40"/>
              <w:ind w:left="0" w:right="0"/>
            </w:pPr>
            <w:r w:rsidRPr="008454F8">
              <w:t>18 de agosto de 2015</w:t>
            </w:r>
          </w:p>
          <w:p w:rsidR="00067B12" w:rsidRPr="00D646C0" w:rsidRDefault="00067B12" w:rsidP="00D646C0">
            <w:pPr>
              <w:pStyle w:val="SingleTxtG"/>
              <w:keepNext/>
              <w:keepLines/>
              <w:spacing w:before="40"/>
              <w:ind w:left="0" w:right="0"/>
              <w:rPr>
                <w:spacing w:val="-2"/>
              </w:rPr>
            </w:pPr>
            <w:r w:rsidRPr="00D646C0">
              <w:rPr>
                <w:spacing w:val="-2"/>
              </w:rPr>
              <w:t xml:space="preserve">El Estado parte afirma que el Gobierno publicó el dictamen del Comité en su </w:t>
            </w:r>
            <w:r w:rsidR="009976B8" w:rsidRPr="00D646C0">
              <w:rPr>
                <w:i/>
                <w:spacing w:val="-2"/>
              </w:rPr>
              <w:t>B</w:t>
            </w:r>
            <w:r w:rsidRPr="00D646C0">
              <w:rPr>
                <w:i/>
                <w:spacing w:val="-2"/>
              </w:rPr>
              <w:t xml:space="preserve">oletín </w:t>
            </w:r>
            <w:r w:rsidR="009976B8" w:rsidRPr="00D646C0">
              <w:rPr>
                <w:i/>
                <w:spacing w:val="-2"/>
              </w:rPr>
              <w:t>O</w:t>
            </w:r>
            <w:r w:rsidRPr="00D646C0">
              <w:rPr>
                <w:i/>
                <w:spacing w:val="-2"/>
              </w:rPr>
              <w:t>ficial</w:t>
            </w:r>
            <w:r w:rsidRPr="00D646C0">
              <w:rPr>
                <w:spacing w:val="-2"/>
              </w:rPr>
              <w:t xml:space="preserve"> el 30 de julio de 2015. Por lo que respecta a la petición de cancelar los antecedentes penales de los autores, el Estado parte observa que, si bien se eliminarán la columna pertinente y la entrada en la lista de condenados, el material relacionado con los antecedentes penales se mantiene y administra de conformidad con la Ley de Prescripción de Condenas Penales. En cuanto a la indemnización, el Estado parte señala que, en el ordenamiento jurídico vigente, no cabe reconocer fundamento jurídico para la indemnización o reparación de quienes hayan sido condenados por los tribunales. El Estado parte afirma que el Gobierno seguirá siendo prudente con respecto a la introducción de prestaciones sustitutorias para los objetores de conciencia, que afectaría considerablemente a la dotación de personal militar, habida cuenta de la situación de seguridad nacional. No obstante, en el Segundo Plan de Acción Nacional para la Promoción y Protección de los Derechos Humanos (2012-2016) se prevé examinar la introducción de posibles prestaciones sustitutorias.</w:t>
            </w:r>
          </w:p>
        </w:tc>
      </w:tr>
      <w:tr w:rsidR="00067B12" w:rsidRPr="008454F8" w:rsidTr="009976B8">
        <w:trPr>
          <w:trHeight w:val="240"/>
        </w:trPr>
        <w:tc>
          <w:tcPr>
            <w:tcW w:w="2694" w:type="dxa"/>
            <w:tcBorders>
              <w:top w:val="nil"/>
              <w:bottom w:val="nil"/>
            </w:tcBorders>
            <w:shd w:val="clear" w:color="auto" w:fill="auto"/>
          </w:tcPr>
          <w:p w:rsidR="00067B12" w:rsidRPr="008454F8" w:rsidRDefault="00067B12" w:rsidP="008454F8">
            <w:pPr>
              <w:pStyle w:val="SingleTxtG"/>
              <w:spacing w:before="40"/>
              <w:ind w:left="0" w:right="0"/>
              <w:jc w:val="left"/>
            </w:pPr>
            <w:r w:rsidRPr="008454F8">
              <w:t>Evaluación del Comité:</w:t>
            </w:r>
          </w:p>
        </w:tc>
        <w:tc>
          <w:tcPr>
            <w:tcW w:w="4676" w:type="dxa"/>
            <w:tcBorders>
              <w:top w:val="nil"/>
              <w:bottom w:val="nil"/>
            </w:tcBorders>
            <w:shd w:val="clear" w:color="auto" w:fill="auto"/>
            <w:tcMar>
              <w:right w:w="28" w:type="dxa"/>
            </w:tcMar>
            <w:vAlign w:val="bottom"/>
          </w:tcPr>
          <w:p w:rsidR="00067B12" w:rsidRPr="008454F8" w:rsidRDefault="00067B12" w:rsidP="008666E3">
            <w:pPr>
              <w:pStyle w:val="SingleTxtG"/>
              <w:spacing w:before="40"/>
              <w:ind w:left="0" w:right="0" w:firstLine="227"/>
            </w:pPr>
            <w:r w:rsidRPr="008454F8">
              <w:t>a)</w:t>
            </w:r>
            <w:r w:rsidRPr="008454F8">
              <w:tab/>
              <w:t>Cancelación de los antecedentes penales de los autores e indemnización adecuada: C1</w:t>
            </w:r>
          </w:p>
          <w:p w:rsidR="00067B12" w:rsidRPr="008454F8" w:rsidRDefault="00067B12" w:rsidP="008666E3">
            <w:pPr>
              <w:pStyle w:val="SingleTxtG"/>
              <w:spacing w:before="40"/>
              <w:ind w:left="0" w:right="0" w:firstLine="227"/>
            </w:pPr>
            <w:r w:rsidRPr="008454F8">
              <w:t>b)</w:t>
            </w:r>
            <w:r w:rsidRPr="008454F8">
              <w:tab/>
              <w:t>Publicación del dictamen del Comité: A</w:t>
            </w:r>
          </w:p>
          <w:p w:rsidR="00067B12" w:rsidRPr="008454F8" w:rsidRDefault="00067B12" w:rsidP="008666E3">
            <w:pPr>
              <w:pStyle w:val="SingleTxtG"/>
              <w:spacing w:before="40"/>
              <w:ind w:left="0" w:right="0" w:firstLine="227"/>
            </w:pPr>
            <w:r w:rsidRPr="008454F8">
              <w:t>c)</w:t>
            </w:r>
            <w:r w:rsidRPr="008454F8">
              <w:tab/>
              <w:t>Medidas legislativas (no repetición): B2</w:t>
            </w:r>
          </w:p>
        </w:tc>
      </w:tr>
      <w:tr w:rsidR="00067B12" w:rsidRPr="008454F8" w:rsidTr="009976B8">
        <w:trPr>
          <w:trHeight w:val="240"/>
        </w:trPr>
        <w:tc>
          <w:tcPr>
            <w:tcW w:w="2694" w:type="dxa"/>
            <w:tcBorders>
              <w:top w:val="nil"/>
              <w:bottom w:val="single" w:sz="12" w:space="0" w:color="auto"/>
            </w:tcBorders>
            <w:shd w:val="clear" w:color="auto" w:fill="auto"/>
          </w:tcPr>
          <w:p w:rsidR="00067B12" w:rsidRPr="008454F8" w:rsidRDefault="00067B12" w:rsidP="008454F8">
            <w:pPr>
              <w:pStyle w:val="SingleTxtG"/>
              <w:spacing w:before="40"/>
              <w:ind w:left="0" w:right="0"/>
              <w:jc w:val="left"/>
            </w:pPr>
            <w:r w:rsidRPr="008454F8">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067B12" w:rsidRPr="008454F8" w:rsidRDefault="00067B12" w:rsidP="00067B12">
            <w:pPr>
              <w:pStyle w:val="SingleTxtG"/>
              <w:spacing w:before="40"/>
              <w:ind w:left="0" w:right="0"/>
            </w:pPr>
            <w:r w:rsidRPr="008454F8">
              <w:t>Prosigue el diálogo de seguimiento.</w:t>
            </w:r>
          </w:p>
        </w:tc>
      </w:tr>
    </w:tbl>
    <w:p w:rsidR="00A76B42" w:rsidRPr="0019108A" w:rsidRDefault="00A76B42" w:rsidP="008454F8">
      <w:pPr>
        <w:pStyle w:val="H23G"/>
      </w:pPr>
      <w:r w:rsidRPr="0019108A">
        <w:tab/>
        <w:t>15.</w:t>
      </w:r>
      <w:r w:rsidRPr="0019108A">
        <w:tab/>
        <w:t>Federación de Rusia</w:t>
      </w:r>
    </w:p>
    <w:tbl>
      <w:tblPr>
        <w:tblW w:w="7371"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94265C">
        <w:trPr>
          <w:trHeight w:val="240"/>
        </w:trPr>
        <w:tc>
          <w:tcPr>
            <w:tcW w:w="7371" w:type="dxa"/>
            <w:gridSpan w:val="2"/>
            <w:tcBorders>
              <w:top w:val="single" w:sz="4" w:space="0" w:color="auto"/>
              <w:bottom w:val="single" w:sz="12" w:space="0" w:color="auto"/>
            </w:tcBorders>
            <w:shd w:val="clear" w:color="auto" w:fill="auto"/>
            <w:vAlign w:val="bottom"/>
          </w:tcPr>
          <w:p w:rsidR="00A76B42" w:rsidRPr="008454F8" w:rsidRDefault="00A76B42" w:rsidP="008454F8">
            <w:pPr>
              <w:pStyle w:val="SingleTxtG"/>
              <w:spacing w:before="80" w:after="80" w:line="200" w:lineRule="exact"/>
              <w:ind w:left="0" w:right="0"/>
              <w:jc w:val="left"/>
              <w:rPr>
                <w:bCs/>
                <w:i/>
                <w:sz w:val="16"/>
              </w:rPr>
            </w:pPr>
            <w:r w:rsidRPr="0094265C">
              <w:rPr>
                <w:b/>
              </w:rPr>
              <w:t xml:space="preserve">Comunicación núm. 2041/2011, </w:t>
            </w:r>
            <w:r w:rsidRPr="00CC594F">
              <w:rPr>
                <w:b/>
                <w:i/>
              </w:rPr>
              <w:t>Dorofeev c. la Federación de Rusia</w:t>
            </w:r>
          </w:p>
        </w:tc>
      </w:tr>
      <w:tr w:rsidR="003956C6" w:rsidRPr="008454F8" w:rsidTr="009976B8">
        <w:trPr>
          <w:trHeight w:val="240"/>
        </w:trPr>
        <w:tc>
          <w:tcPr>
            <w:tcW w:w="2694" w:type="dxa"/>
            <w:shd w:val="clear" w:color="auto" w:fill="auto"/>
          </w:tcPr>
          <w:p w:rsidR="003956C6" w:rsidRPr="008454F8" w:rsidRDefault="003956C6" w:rsidP="008454F8">
            <w:pPr>
              <w:pStyle w:val="SingleTxtG"/>
              <w:spacing w:before="40"/>
              <w:ind w:left="0" w:right="0"/>
              <w:jc w:val="left"/>
            </w:pPr>
            <w:r w:rsidRPr="008454F8">
              <w:t>Fecha de aprobación del dictamen:</w:t>
            </w:r>
          </w:p>
        </w:tc>
        <w:tc>
          <w:tcPr>
            <w:tcW w:w="4677" w:type="dxa"/>
            <w:shd w:val="clear" w:color="auto" w:fill="auto"/>
            <w:tcMar>
              <w:right w:w="28" w:type="dxa"/>
            </w:tcMar>
            <w:vAlign w:val="bottom"/>
          </w:tcPr>
          <w:p w:rsidR="003956C6" w:rsidRPr="008454F8" w:rsidRDefault="003956C6" w:rsidP="0094265C">
            <w:pPr>
              <w:pStyle w:val="SingleTxtG"/>
              <w:spacing w:before="40"/>
              <w:ind w:left="0" w:right="0"/>
            </w:pPr>
            <w:r w:rsidRPr="008454F8">
              <w:t>11 de julio de 2014</w:t>
            </w:r>
          </w:p>
        </w:tc>
      </w:tr>
      <w:tr w:rsidR="003956C6" w:rsidRPr="008454F8" w:rsidTr="009976B8">
        <w:trPr>
          <w:trHeight w:val="240"/>
        </w:trPr>
        <w:tc>
          <w:tcPr>
            <w:tcW w:w="2694" w:type="dxa"/>
            <w:shd w:val="clear" w:color="auto" w:fill="auto"/>
          </w:tcPr>
          <w:p w:rsidR="003956C6" w:rsidRPr="008454F8" w:rsidRDefault="003956C6" w:rsidP="008454F8">
            <w:pPr>
              <w:pStyle w:val="SingleTxtG"/>
              <w:spacing w:before="40"/>
              <w:ind w:left="0" w:right="0"/>
              <w:jc w:val="left"/>
            </w:pPr>
            <w:r w:rsidRPr="008454F8">
              <w:t>Violaciones:</w:t>
            </w:r>
          </w:p>
        </w:tc>
        <w:tc>
          <w:tcPr>
            <w:tcW w:w="4677" w:type="dxa"/>
            <w:shd w:val="clear" w:color="auto" w:fill="auto"/>
            <w:tcMar>
              <w:right w:w="28" w:type="dxa"/>
            </w:tcMar>
            <w:vAlign w:val="bottom"/>
          </w:tcPr>
          <w:p w:rsidR="003956C6" w:rsidRPr="008454F8" w:rsidRDefault="003956C6" w:rsidP="0094265C">
            <w:pPr>
              <w:pStyle w:val="SingleTxtG"/>
              <w:spacing w:before="40"/>
              <w:ind w:left="0" w:right="0"/>
            </w:pPr>
            <w:r w:rsidRPr="008454F8">
              <w:t>Artículos 14, párrafo 3 d); y 2, párrafo 3, leído conjuntamente con el artículo 14, párrafo 3 d)</w:t>
            </w:r>
          </w:p>
        </w:tc>
      </w:tr>
      <w:tr w:rsidR="003956C6" w:rsidRPr="008454F8" w:rsidTr="009976B8">
        <w:trPr>
          <w:trHeight w:val="240"/>
        </w:trPr>
        <w:tc>
          <w:tcPr>
            <w:tcW w:w="2694" w:type="dxa"/>
            <w:shd w:val="clear" w:color="auto" w:fill="auto"/>
          </w:tcPr>
          <w:p w:rsidR="003956C6" w:rsidRPr="008454F8" w:rsidRDefault="003956C6" w:rsidP="008454F8">
            <w:pPr>
              <w:pStyle w:val="SingleTxtG"/>
              <w:spacing w:before="40"/>
              <w:ind w:left="0" w:right="0"/>
              <w:jc w:val="left"/>
            </w:pPr>
            <w:r w:rsidRPr="008454F8">
              <w:t>Reparación:</w:t>
            </w:r>
          </w:p>
        </w:tc>
        <w:tc>
          <w:tcPr>
            <w:tcW w:w="4677" w:type="dxa"/>
            <w:shd w:val="clear" w:color="auto" w:fill="auto"/>
            <w:tcMar>
              <w:right w:w="28" w:type="dxa"/>
            </w:tcMar>
            <w:vAlign w:val="bottom"/>
          </w:tcPr>
          <w:p w:rsidR="003956C6" w:rsidRPr="008454F8" w:rsidRDefault="003956C6" w:rsidP="0094265C">
            <w:pPr>
              <w:pStyle w:val="SingleTxtG"/>
              <w:spacing w:before="40"/>
              <w:ind w:left="0" w:right="0"/>
            </w:pPr>
            <w:r w:rsidRPr="008454F8">
              <w:t>Un recurso efectivo, que contemple una indemnización adecuada.</w:t>
            </w:r>
          </w:p>
        </w:tc>
      </w:tr>
      <w:tr w:rsidR="003956C6" w:rsidRPr="008454F8" w:rsidTr="009976B8">
        <w:trPr>
          <w:trHeight w:val="240"/>
        </w:trPr>
        <w:tc>
          <w:tcPr>
            <w:tcW w:w="2694" w:type="dxa"/>
            <w:shd w:val="clear" w:color="auto" w:fill="auto"/>
          </w:tcPr>
          <w:p w:rsidR="003956C6" w:rsidRPr="008454F8" w:rsidRDefault="003956C6" w:rsidP="008454F8">
            <w:pPr>
              <w:pStyle w:val="SingleTxtG"/>
              <w:spacing w:before="40"/>
              <w:ind w:left="0" w:right="0"/>
              <w:jc w:val="left"/>
            </w:pPr>
            <w:r w:rsidRPr="008454F8">
              <w:t>Anterior aparición en un informe sobre el seguimiento:</w:t>
            </w:r>
          </w:p>
        </w:tc>
        <w:tc>
          <w:tcPr>
            <w:tcW w:w="4677" w:type="dxa"/>
            <w:shd w:val="clear" w:color="auto" w:fill="auto"/>
            <w:tcMar>
              <w:right w:w="28" w:type="dxa"/>
            </w:tcMar>
            <w:vAlign w:val="bottom"/>
          </w:tcPr>
          <w:p w:rsidR="003956C6" w:rsidRPr="008454F8" w:rsidRDefault="003956C6" w:rsidP="0094265C">
            <w:pPr>
              <w:pStyle w:val="SingleTxtG"/>
              <w:spacing w:before="40"/>
              <w:ind w:left="0" w:right="0"/>
            </w:pPr>
            <w:r w:rsidRPr="008454F8">
              <w:t>Primera aparición</w:t>
            </w:r>
          </w:p>
        </w:tc>
      </w:tr>
      <w:tr w:rsidR="003956C6" w:rsidRPr="008454F8" w:rsidTr="009976B8">
        <w:trPr>
          <w:trHeight w:val="240"/>
        </w:trPr>
        <w:tc>
          <w:tcPr>
            <w:tcW w:w="2694" w:type="dxa"/>
            <w:tcBorders>
              <w:bottom w:val="nil"/>
            </w:tcBorders>
            <w:shd w:val="clear" w:color="auto" w:fill="auto"/>
          </w:tcPr>
          <w:p w:rsidR="003956C6" w:rsidRPr="008454F8" w:rsidRDefault="003956C6" w:rsidP="008454F8">
            <w:pPr>
              <w:pStyle w:val="SingleTxtG"/>
              <w:spacing w:before="40"/>
              <w:ind w:left="0" w:right="0"/>
              <w:jc w:val="left"/>
            </w:pPr>
            <w:r w:rsidRPr="008454F8">
              <w:t>Comunicación presentada por el autor el:</w:t>
            </w:r>
          </w:p>
        </w:tc>
        <w:tc>
          <w:tcPr>
            <w:tcW w:w="4677" w:type="dxa"/>
            <w:tcBorders>
              <w:bottom w:val="nil"/>
            </w:tcBorders>
            <w:shd w:val="clear" w:color="auto" w:fill="auto"/>
            <w:tcMar>
              <w:right w:w="28" w:type="dxa"/>
            </w:tcMar>
            <w:vAlign w:val="bottom"/>
          </w:tcPr>
          <w:p w:rsidR="003956C6" w:rsidRDefault="003956C6" w:rsidP="0094265C">
            <w:pPr>
              <w:pStyle w:val="SingleTxtG"/>
              <w:spacing w:before="40"/>
              <w:ind w:left="0" w:right="0"/>
            </w:pPr>
            <w:r w:rsidRPr="008454F8">
              <w:t>11 de mayo de 2015</w:t>
            </w:r>
          </w:p>
          <w:p w:rsidR="0094265C" w:rsidRPr="008454F8" w:rsidRDefault="0094265C" w:rsidP="0094265C">
            <w:pPr>
              <w:pStyle w:val="SingleTxtG"/>
              <w:spacing w:before="40"/>
              <w:ind w:left="0" w:right="0"/>
            </w:pPr>
            <w:r w:rsidRPr="008454F8">
              <w:t>El autor se queja de que no ha recibido indemnización alguna. El 31 de marzo de 2015, el autor solicitó a la Fiscalía General el inicio de un nuevo procedimiento de casación en relación con la violación de los derechos que lo asisten en virtud del artículo 14, párrafo 3 d). El 13 de abril de 2015, la Fiscalía General rechazó la solicitud, aduciendo que el Comité no había propuesto expresamente que volviera a instruirse el procedimiento de casación. Por consiguiente, el autor pide al Comité que haga comprender al Estado parte que debe autorizarse un nuevo procedimiento de casación.</w:t>
            </w:r>
          </w:p>
        </w:tc>
      </w:tr>
      <w:tr w:rsidR="003956C6" w:rsidRPr="008454F8" w:rsidTr="009976B8">
        <w:trPr>
          <w:trHeight w:val="240"/>
        </w:trPr>
        <w:tc>
          <w:tcPr>
            <w:tcW w:w="2694" w:type="dxa"/>
            <w:tcBorders>
              <w:top w:val="nil"/>
              <w:bottom w:val="single" w:sz="12" w:space="0" w:color="auto"/>
            </w:tcBorders>
            <w:shd w:val="clear" w:color="auto" w:fill="auto"/>
          </w:tcPr>
          <w:p w:rsidR="003956C6" w:rsidRPr="008454F8" w:rsidRDefault="0094265C" w:rsidP="008454F8">
            <w:pPr>
              <w:pStyle w:val="SingleTxtG"/>
              <w:spacing w:before="40"/>
              <w:ind w:left="0" w:right="0"/>
              <w:jc w:val="left"/>
            </w:pPr>
            <w:r w:rsidRPr="008454F8">
              <w:lastRenderedPageBreak/>
              <w:t>Decisión del Comité:</w:t>
            </w:r>
          </w:p>
        </w:tc>
        <w:tc>
          <w:tcPr>
            <w:tcW w:w="4677" w:type="dxa"/>
            <w:tcBorders>
              <w:top w:val="nil"/>
              <w:bottom w:val="single" w:sz="12" w:space="0" w:color="auto"/>
            </w:tcBorders>
            <w:shd w:val="clear" w:color="auto" w:fill="auto"/>
            <w:tcMar>
              <w:right w:w="28" w:type="dxa"/>
            </w:tcMar>
            <w:vAlign w:val="bottom"/>
          </w:tcPr>
          <w:p w:rsidR="003956C6" w:rsidRPr="008454F8" w:rsidRDefault="0094265C" w:rsidP="0094265C">
            <w:pPr>
              <w:pStyle w:val="SingleTxtG"/>
              <w:spacing w:before="40"/>
              <w:ind w:left="0" w:right="0"/>
            </w:pPr>
            <w:r w:rsidRPr="008454F8">
              <w:t>Prosigue el diálogo de seguimiento. El 15 de diciembre de 2015 se envió al Estado parte un recordatorio de que presentara sus observaciones</w:t>
            </w:r>
            <w:r w:rsidR="009976B8">
              <w:t>.</w:t>
            </w:r>
          </w:p>
        </w:tc>
      </w:tr>
    </w:tbl>
    <w:p w:rsidR="00A76B42" w:rsidRPr="0019108A" w:rsidRDefault="00A76B42" w:rsidP="008454F8">
      <w:pPr>
        <w:pStyle w:val="H23G"/>
      </w:pPr>
      <w:r w:rsidRPr="0019108A">
        <w:tab/>
        <w:t>16.</w:t>
      </w:r>
      <w:r w:rsidRPr="0019108A">
        <w:tab/>
        <w:t>España</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A76B42" w:rsidRPr="008454F8" w:rsidTr="00B92FCE">
        <w:trPr>
          <w:trHeight w:val="240"/>
        </w:trPr>
        <w:tc>
          <w:tcPr>
            <w:tcW w:w="7370"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B92FCE">
              <w:rPr>
                <w:b/>
              </w:rPr>
              <w:t xml:space="preserve">Comunicación núm. 2008/2010, </w:t>
            </w:r>
            <w:r w:rsidRPr="00CC594F">
              <w:rPr>
                <w:b/>
                <w:i/>
              </w:rPr>
              <w:t>Aarrass c. España</w:t>
            </w:r>
          </w:p>
        </w:tc>
      </w:tr>
      <w:tr w:rsidR="00B92FCE" w:rsidRPr="008454F8" w:rsidTr="001532E8">
        <w:trPr>
          <w:trHeight w:val="240"/>
        </w:trPr>
        <w:tc>
          <w:tcPr>
            <w:tcW w:w="2694" w:type="dxa"/>
            <w:tcBorders>
              <w:top w:val="single" w:sz="12" w:space="0" w:color="auto"/>
              <w:bottom w:val="nil"/>
            </w:tcBorders>
            <w:shd w:val="clear" w:color="auto" w:fill="auto"/>
          </w:tcPr>
          <w:p w:rsidR="00B92FCE" w:rsidRPr="008454F8" w:rsidRDefault="00B92FCE" w:rsidP="008454F8">
            <w:pPr>
              <w:pStyle w:val="SingleTxtG"/>
              <w:spacing w:before="40"/>
              <w:ind w:left="0" w:right="0"/>
              <w:jc w:val="left"/>
            </w:pPr>
            <w:r w:rsidRPr="008454F8">
              <w:t>Fecha de aprobación del dictamen:</w:t>
            </w:r>
          </w:p>
        </w:tc>
        <w:tc>
          <w:tcPr>
            <w:tcW w:w="4676" w:type="dxa"/>
            <w:tcBorders>
              <w:top w:val="single" w:sz="12" w:space="0" w:color="auto"/>
              <w:bottom w:val="nil"/>
            </w:tcBorders>
            <w:shd w:val="clear" w:color="auto" w:fill="auto"/>
            <w:tcMar>
              <w:right w:w="28" w:type="dxa"/>
            </w:tcMar>
            <w:vAlign w:val="bottom"/>
          </w:tcPr>
          <w:p w:rsidR="00B92FCE" w:rsidRPr="008454F8" w:rsidRDefault="00B92FCE" w:rsidP="00B92FCE">
            <w:pPr>
              <w:pStyle w:val="SingleTxtG"/>
              <w:spacing w:before="40"/>
              <w:ind w:left="0" w:right="0"/>
            </w:pPr>
            <w:r w:rsidRPr="008454F8">
              <w:t>21 de julio de 2014</w:t>
            </w:r>
          </w:p>
        </w:tc>
      </w:tr>
      <w:tr w:rsidR="00B92FCE" w:rsidRPr="008454F8" w:rsidTr="001532E8">
        <w:trPr>
          <w:trHeight w:val="240"/>
        </w:trPr>
        <w:tc>
          <w:tcPr>
            <w:tcW w:w="2694" w:type="dxa"/>
            <w:tcBorders>
              <w:top w:val="nil"/>
            </w:tcBorders>
            <w:shd w:val="clear" w:color="auto" w:fill="auto"/>
          </w:tcPr>
          <w:p w:rsidR="00B92FCE" w:rsidRPr="008454F8" w:rsidRDefault="00B92FCE" w:rsidP="008454F8">
            <w:pPr>
              <w:pStyle w:val="SingleTxtG"/>
              <w:spacing w:before="40"/>
              <w:ind w:left="0" w:right="0"/>
              <w:jc w:val="left"/>
            </w:pPr>
            <w:r w:rsidRPr="008454F8">
              <w:t>Violaciones:</w:t>
            </w:r>
          </w:p>
        </w:tc>
        <w:tc>
          <w:tcPr>
            <w:tcW w:w="4676" w:type="dxa"/>
            <w:tcBorders>
              <w:top w:val="nil"/>
            </w:tcBorders>
            <w:shd w:val="clear" w:color="auto" w:fill="auto"/>
            <w:tcMar>
              <w:right w:w="28" w:type="dxa"/>
            </w:tcMar>
            <w:vAlign w:val="bottom"/>
          </w:tcPr>
          <w:p w:rsidR="00B92FCE" w:rsidRPr="008454F8" w:rsidRDefault="00B92FCE" w:rsidP="00B92FCE">
            <w:pPr>
              <w:pStyle w:val="SingleTxtG"/>
              <w:spacing w:before="40"/>
              <w:ind w:left="0" w:right="0"/>
            </w:pPr>
            <w:r w:rsidRPr="008454F8">
              <w:t>Artículo 7</w:t>
            </w:r>
          </w:p>
        </w:tc>
      </w:tr>
      <w:tr w:rsidR="00B92FCE" w:rsidRPr="008454F8" w:rsidTr="001532E8">
        <w:trPr>
          <w:trHeight w:val="240"/>
        </w:trPr>
        <w:tc>
          <w:tcPr>
            <w:tcW w:w="2694" w:type="dxa"/>
            <w:tcBorders>
              <w:top w:val="nil"/>
            </w:tcBorders>
            <w:shd w:val="clear" w:color="auto" w:fill="auto"/>
          </w:tcPr>
          <w:p w:rsidR="00B92FCE" w:rsidRPr="008454F8" w:rsidRDefault="00B92FCE" w:rsidP="008454F8">
            <w:pPr>
              <w:pStyle w:val="SingleTxtG"/>
              <w:spacing w:before="40"/>
              <w:ind w:left="0" w:right="0"/>
              <w:jc w:val="left"/>
            </w:pPr>
            <w:r w:rsidRPr="008454F8">
              <w:t>Reparación:</w:t>
            </w:r>
          </w:p>
        </w:tc>
        <w:tc>
          <w:tcPr>
            <w:tcW w:w="4676" w:type="dxa"/>
            <w:tcBorders>
              <w:top w:val="nil"/>
            </w:tcBorders>
            <w:shd w:val="clear" w:color="auto" w:fill="auto"/>
            <w:tcMar>
              <w:right w:w="28" w:type="dxa"/>
            </w:tcMar>
            <w:vAlign w:val="bottom"/>
          </w:tcPr>
          <w:p w:rsidR="00B92FCE" w:rsidRPr="008454F8" w:rsidRDefault="00B92FCE" w:rsidP="00B92FCE">
            <w:pPr>
              <w:pStyle w:val="SingleTxtG"/>
              <w:spacing w:before="40"/>
              <w:ind w:left="0" w:right="0"/>
            </w:pPr>
            <w:r w:rsidRPr="008454F8">
              <w:t>Un recurso efectivo, que contemple una indemnización adecuada; y la adopción de todas las medidas posibles para cooperar con las autoridades marroquíes con miras a garantizar una supervisión efectiva del trato que el autor recibe en Marruecos.</w:t>
            </w:r>
          </w:p>
        </w:tc>
      </w:tr>
      <w:tr w:rsidR="00B92FCE" w:rsidRPr="008454F8" w:rsidTr="001532E8">
        <w:trPr>
          <w:trHeight w:val="240"/>
        </w:trPr>
        <w:tc>
          <w:tcPr>
            <w:tcW w:w="2694" w:type="dxa"/>
            <w:tcBorders>
              <w:top w:val="nil"/>
            </w:tcBorders>
            <w:shd w:val="clear" w:color="auto" w:fill="auto"/>
          </w:tcPr>
          <w:p w:rsidR="00B92FCE" w:rsidRPr="008454F8" w:rsidRDefault="00B92FCE" w:rsidP="008454F8">
            <w:pPr>
              <w:pStyle w:val="SingleTxtG"/>
              <w:spacing w:before="40"/>
              <w:ind w:left="0" w:right="0"/>
              <w:jc w:val="left"/>
            </w:pPr>
            <w:r w:rsidRPr="008454F8">
              <w:t>Anterior aparición en un informe sobre el seguimiento:</w:t>
            </w:r>
          </w:p>
        </w:tc>
        <w:tc>
          <w:tcPr>
            <w:tcW w:w="4676" w:type="dxa"/>
            <w:tcBorders>
              <w:top w:val="nil"/>
            </w:tcBorders>
            <w:shd w:val="clear" w:color="auto" w:fill="auto"/>
            <w:tcMar>
              <w:right w:w="28" w:type="dxa"/>
            </w:tcMar>
            <w:vAlign w:val="bottom"/>
          </w:tcPr>
          <w:p w:rsidR="00B92FCE" w:rsidRPr="008454F8" w:rsidRDefault="00B92FCE" w:rsidP="00B92FCE">
            <w:pPr>
              <w:pStyle w:val="SingleTxtG"/>
              <w:spacing w:before="40"/>
              <w:ind w:left="0" w:right="0"/>
            </w:pPr>
            <w:r w:rsidRPr="008454F8">
              <w:t>CCPR/C/115/3</w:t>
            </w:r>
          </w:p>
        </w:tc>
      </w:tr>
      <w:tr w:rsidR="00D646C0" w:rsidRPr="008454F8" w:rsidTr="001532E8">
        <w:trPr>
          <w:trHeight w:val="240"/>
        </w:trPr>
        <w:tc>
          <w:tcPr>
            <w:tcW w:w="2694" w:type="dxa"/>
            <w:tcBorders>
              <w:top w:val="nil"/>
              <w:bottom w:val="nil"/>
            </w:tcBorders>
            <w:shd w:val="clear" w:color="auto" w:fill="auto"/>
          </w:tcPr>
          <w:p w:rsidR="00D646C0" w:rsidRPr="008454F8" w:rsidRDefault="00D646C0" w:rsidP="008454F8">
            <w:pPr>
              <w:pStyle w:val="SingleTxtG"/>
              <w:spacing w:before="40"/>
              <w:ind w:left="0" w:right="0"/>
              <w:jc w:val="left"/>
            </w:pPr>
            <w:r w:rsidRPr="008454F8">
              <w:t>Comunicación presentada por el abogado del autor los días:</w:t>
            </w:r>
          </w:p>
        </w:tc>
        <w:tc>
          <w:tcPr>
            <w:tcW w:w="4676" w:type="dxa"/>
            <w:tcBorders>
              <w:top w:val="nil"/>
              <w:bottom w:val="nil"/>
            </w:tcBorders>
            <w:shd w:val="clear" w:color="auto" w:fill="auto"/>
            <w:tcMar>
              <w:right w:w="28" w:type="dxa"/>
            </w:tcMar>
            <w:vAlign w:val="bottom"/>
          </w:tcPr>
          <w:p w:rsidR="00D646C0" w:rsidRDefault="00D646C0" w:rsidP="00D646C0">
            <w:pPr>
              <w:pStyle w:val="SingleTxtG"/>
              <w:spacing w:before="40"/>
              <w:ind w:left="0" w:right="0"/>
            </w:pPr>
            <w:r w:rsidRPr="008454F8">
              <w:t>30 de marzo y 11 de octubre de 2015</w:t>
            </w:r>
          </w:p>
          <w:p w:rsidR="00D646C0" w:rsidRPr="008454F8" w:rsidRDefault="00D646C0" w:rsidP="00D646C0">
            <w:pPr>
              <w:pStyle w:val="SingleTxtG"/>
              <w:spacing w:before="40"/>
              <w:ind w:left="0" w:right="0"/>
            </w:pPr>
            <w:r w:rsidRPr="008454F8">
              <w:t>Tras la extradición de Ali Aarrass a Marruecos, su abogado informó y alertó en repetidas ocasiones a las autoridades marroquíes sobre el trato infligido a la víctima, la falta de garantías en el procedimiento penal en su contra, la falta de investigación de sus denuncias de tortura, las malas condiciones de reclusión, los problemas de salud del autor y las amenazas y presiones de las que había sido objeto mientras estaba privado de libertad.</w:t>
            </w:r>
          </w:p>
          <w:p w:rsidR="00D646C0" w:rsidRPr="008454F8" w:rsidRDefault="00D646C0" w:rsidP="00D646C0">
            <w:pPr>
              <w:pStyle w:val="SingleTxtG"/>
              <w:spacing w:before="40"/>
              <w:ind w:left="0" w:right="0"/>
            </w:pPr>
            <w:r w:rsidRPr="008454F8">
              <w:t>A pesar de que se habían planteado esas graves irregularidades, el Sr. Aarrass fue condenado a 12 años de prisión.</w:t>
            </w:r>
          </w:p>
          <w:p w:rsidR="00D646C0" w:rsidRPr="008454F8" w:rsidRDefault="00D646C0" w:rsidP="00D646C0">
            <w:pPr>
              <w:pStyle w:val="SingleTxtG"/>
              <w:spacing w:before="40"/>
              <w:ind w:left="0" w:right="0"/>
            </w:pPr>
            <w:r w:rsidRPr="008454F8">
              <w:t xml:space="preserve">El autor interpuso un recurso de casación en el plazo reglamentario, hace dos años, pero todavía no se ha sustanciado. En consecuencia, la víctima no puede solicitar su traslado a Bélgica, ya que la condena en Marruecos aún no es definitiva. </w:t>
            </w:r>
          </w:p>
          <w:p w:rsidR="00D646C0" w:rsidRPr="008454F8" w:rsidRDefault="00D646C0" w:rsidP="00D646C0">
            <w:pPr>
              <w:pStyle w:val="SingleTxtG"/>
              <w:spacing w:before="40"/>
              <w:ind w:left="0" w:right="0"/>
            </w:pPr>
            <w:r w:rsidRPr="008454F8">
              <w:t xml:space="preserve">El Sr. Aarrass inició una huelga de hambre el 10 de julio de 2013 para protestar contra los malos tratos y la intimidación de que era objeto. El 26 de julio de 2013, el autor ya no podía caminar, y su abogado solicitó la asistencia del Ministro de Relaciones Exteriores de Bélgica. Amnistía Internacional emitió una acción urgente en favor de la víctima el 29 de julio de 2013. </w:t>
            </w:r>
          </w:p>
          <w:p w:rsidR="00D646C0" w:rsidRPr="008454F8" w:rsidRDefault="00D646C0" w:rsidP="00D646C0">
            <w:pPr>
              <w:pStyle w:val="SingleTxtG"/>
              <w:spacing w:before="40"/>
              <w:ind w:left="0" w:right="0"/>
            </w:pPr>
            <w:r w:rsidRPr="008454F8">
              <w:t xml:space="preserve">El 19 de mayo de 2014, el Comité contra la Tortura adoptó una decisión en la que se llegaba a la conclusión de que, en el caso de la víctima, se habían violado varias disposiciones de la Convención contra la Tortura y Otros Tratos o Penas Crueles, Inhumanos o Degradantes (comunicación núm. 477/2011, </w:t>
            </w:r>
            <w:r w:rsidRPr="001532E8">
              <w:rPr>
                <w:i/>
              </w:rPr>
              <w:t>Aarrass c. Marruecos</w:t>
            </w:r>
            <w:r w:rsidRPr="008454F8">
              <w:t>). Las autoridades de Marruecos abrieron entonces una investigación sobre los malos tratos infligidos al Sr.</w:t>
            </w:r>
            <w:r>
              <w:t> </w:t>
            </w:r>
            <w:r w:rsidRPr="008454F8">
              <w:t>Aarrass mientras estaba recluido.</w:t>
            </w:r>
          </w:p>
        </w:tc>
      </w:tr>
      <w:tr w:rsidR="00B92FCE" w:rsidRPr="008454F8" w:rsidTr="001532E8">
        <w:trPr>
          <w:trHeight w:val="240"/>
        </w:trPr>
        <w:tc>
          <w:tcPr>
            <w:tcW w:w="2694" w:type="dxa"/>
            <w:tcBorders>
              <w:top w:val="nil"/>
              <w:bottom w:val="nil"/>
            </w:tcBorders>
            <w:shd w:val="clear" w:color="auto" w:fill="auto"/>
          </w:tcPr>
          <w:p w:rsidR="00B92FCE" w:rsidRPr="008454F8" w:rsidRDefault="00B92FCE" w:rsidP="00D646C0">
            <w:pPr>
              <w:pStyle w:val="SingleTxtG"/>
              <w:keepNext/>
              <w:keepLines/>
              <w:spacing w:before="40"/>
              <w:ind w:left="0" w:right="0"/>
              <w:jc w:val="left"/>
            </w:pPr>
          </w:p>
        </w:tc>
        <w:tc>
          <w:tcPr>
            <w:tcW w:w="4676" w:type="dxa"/>
            <w:tcBorders>
              <w:top w:val="nil"/>
              <w:bottom w:val="nil"/>
            </w:tcBorders>
            <w:shd w:val="clear" w:color="auto" w:fill="auto"/>
            <w:tcMar>
              <w:right w:w="28" w:type="dxa"/>
            </w:tcMar>
            <w:vAlign w:val="bottom"/>
          </w:tcPr>
          <w:p w:rsidR="00B92FCE" w:rsidRPr="008454F8" w:rsidRDefault="00B92FCE" w:rsidP="00D646C0">
            <w:pPr>
              <w:pStyle w:val="SingleTxtG"/>
              <w:keepNext/>
              <w:keepLines/>
              <w:spacing w:before="40"/>
              <w:ind w:left="0" w:right="0"/>
            </w:pPr>
            <w:r w:rsidRPr="008454F8">
              <w:t>El 9 de septiembre de 2014, el Tribunal de Apelación de Bruselas, aplicando el procedimiento de urgencia, ordenó a las autoridades belgas que solicitaran a Marruecos permiso para que las autoridades consulares belgas visitaran al Sr. Aarrass una vez por semana en la cárcel.</w:t>
            </w:r>
          </w:p>
          <w:p w:rsidR="00B92FCE" w:rsidRPr="008454F8" w:rsidRDefault="00B92FCE" w:rsidP="00D646C0">
            <w:pPr>
              <w:pStyle w:val="SingleTxtG"/>
              <w:keepNext/>
              <w:keepLines/>
              <w:spacing w:before="40"/>
              <w:ind w:left="0" w:right="0"/>
            </w:pPr>
            <w:r w:rsidRPr="008454F8">
              <w:t xml:space="preserve">El 22 de septiembre de 2014, las autoridades belgas transmitieron oficialmente la solicitud. A pesar de que se enviaron varios recordatorios, no se recibió respuesta alguna. </w:t>
            </w:r>
          </w:p>
          <w:p w:rsidR="00B92FCE" w:rsidRPr="008454F8" w:rsidRDefault="00B92FCE" w:rsidP="00D646C0">
            <w:pPr>
              <w:pStyle w:val="SingleTxtG"/>
              <w:keepNext/>
              <w:keepLines/>
              <w:spacing w:before="40"/>
              <w:ind w:left="0" w:right="0"/>
            </w:pPr>
            <w:r w:rsidRPr="008454F8">
              <w:t xml:space="preserve">El Sr. Aarrass fue sometido a un examen médico el 6 de noviembre de 2014 por orden de las autoridades marroquíes. Había perdido 6 kg. </w:t>
            </w:r>
          </w:p>
          <w:p w:rsidR="00B92FCE" w:rsidRDefault="00B92FCE" w:rsidP="00D646C0">
            <w:pPr>
              <w:pStyle w:val="SingleTxtG"/>
              <w:keepNext/>
              <w:keepLines/>
              <w:spacing w:before="40"/>
              <w:ind w:left="0" w:right="0"/>
            </w:pPr>
            <w:r w:rsidRPr="008454F8">
              <w:t>El abogado del autor encomia la publicación del dictamen por las autoridades españolas, aunque recuerda que la extradición de la víctima podía y debía haber sido denegada, habida cuenta del grave riesgo de tortura alegado.</w:t>
            </w:r>
          </w:p>
          <w:p w:rsidR="00B92FCE" w:rsidRDefault="00B92FCE" w:rsidP="00D646C0">
            <w:pPr>
              <w:pStyle w:val="SingleTxtG"/>
              <w:keepNext/>
              <w:keepLines/>
              <w:spacing w:before="40"/>
              <w:ind w:left="0" w:right="0"/>
            </w:pPr>
            <w:r w:rsidRPr="008454F8">
              <w:t>Consterna al abogado del autor la afirmación de España de que el dictamen del Comité no puede aplicarse directamente y que corresponde a la víctima presentar una solicitud para obtener una indemnización. La víctima se encuentra en un estado de debilidad física y vulnerabilidad a raíz de su reclusión y, por razones económicas, no puede permitirse iniciar acciones judiciales. Según el abogado del autor, la posición de España constituye un obstáculo injustificado y desproporcionado a la indemnización de la víctima, y es incompatible con la obligación de cumplir de buena fe las obligaciones internacionales derivadas de los dictámenes del Comité.</w:t>
            </w:r>
          </w:p>
          <w:p w:rsidR="00B92FCE" w:rsidRPr="008454F8" w:rsidRDefault="00B92FCE" w:rsidP="00D646C0">
            <w:pPr>
              <w:pStyle w:val="SingleTxtG"/>
              <w:keepNext/>
              <w:keepLines/>
              <w:spacing w:before="40"/>
              <w:ind w:left="0" w:right="0"/>
            </w:pPr>
            <w:r w:rsidRPr="008454F8">
              <w:t xml:space="preserve">No puede considerarse que las reuniones que España, según expuso, celebró con las autoridades marroquíes, constituyeran un seguimiento efectivo por ese país. El Estado parte se basó únicamente en una declaración de Marruecos sobre las supuestas buenas condiciones de salud de la víctima. Hubiera debido reunirse con la víctima, o al menos con su abogado, para obtener de primera mano información objetiva sobre su estado. España se limitó a aceptar la información proporcionada por Marruecos, lo que no puede considerarse un seguimiento efectivo de la aplicación del dictamen. </w:t>
            </w:r>
          </w:p>
          <w:p w:rsidR="00B92FCE" w:rsidRPr="008454F8" w:rsidRDefault="00B92FCE" w:rsidP="00D646C0">
            <w:pPr>
              <w:pStyle w:val="SingleTxtG"/>
              <w:keepNext/>
              <w:keepLines/>
              <w:spacing w:before="40"/>
              <w:ind w:left="0" w:right="0"/>
            </w:pPr>
            <w:r w:rsidRPr="008454F8">
              <w:t xml:space="preserve">Además, aunque el Gobierno de España había comunicado al abogado del autor que estaba examinando la mejor manera de aplicar el dictamen, en ningún caso lo informó sobre el procedimiento que había de seguirse para obtener una indemnización, lo que dio lugar a demoras indebidas. </w:t>
            </w:r>
          </w:p>
          <w:p w:rsidR="00B92FCE" w:rsidRDefault="00B92FCE" w:rsidP="00D646C0">
            <w:pPr>
              <w:pStyle w:val="SingleTxtG"/>
              <w:keepNext/>
              <w:keepLines/>
              <w:spacing w:before="40"/>
              <w:ind w:left="0" w:right="0"/>
            </w:pPr>
            <w:r w:rsidRPr="008454F8">
              <w:t xml:space="preserve">El Sr. Aarrass sigue quejándose de actos de acoso, represalias y diversas formas de intimidación en la cárcel. Recientemente señaló que las visitas periódicas de las autoridades consulares españolas eran de vital importancia para evitar nuevos abusos. El abogado del autor solicita al Comité que haga comprender a las autoridades españolas que deben: visitar a la víctima periódicamente para garantizar su bienestar y unas </w:t>
            </w:r>
            <w:r w:rsidRPr="008454F8">
              <w:lastRenderedPageBreak/>
              <w:t>condiciones de reclusión dignas hasta su puesta en libertad; pedir apoyo a las autoridades de Marruecos para velar por la salud física y mental de la víctima; recabar todos los datos médicos de las autoridades penitenciarias marroquíes para mantenerse al corriente del estado de la víctima; visitar a la víctima con un médico español experimentado en el examen forense de víctimas de tortura, que informará al Estado parte y a la víctima; y solicitar información sobre el curso del procedimiento de casación iniciado en Marruecos en 2012 contra la condena y encarcelamiento de la víctima, y sobre la investigación de sus denuncias de tortura.</w:t>
            </w:r>
          </w:p>
          <w:p w:rsidR="00B92FCE" w:rsidRPr="008454F8" w:rsidRDefault="00B92FCE" w:rsidP="00D646C0">
            <w:pPr>
              <w:pStyle w:val="SingleTxtG"/>
              <w:keepNext/>
              <w:keepLines/>
              <w:spacing w:before="40"/>
              <w:ind w:left="0" w:right="0"/>
            </w:pPr>
            <w:r w:rsidRPr="008454F8">
              <w:t xml:space="preserve">A finales de septiembre de 2015, pese a su delicado estado de salud, la víctima fue objeto de un registro violento en su celda. El 5 de octubre de 2015 denunció oficialmente ese registro, pero no ha obtenido respuesta al respecto. Su recurso de casación también sigue pendiente. </w:t>
            </w:r>
          </w:p>
          <w:p w:rsidR="00B92FCE" w:rsidRPr="008454F8" w:rsidRDefault="00B92FCE" w:rsidP="00D646C0">
            <w:pPr>
              <w:pStyle w:val="SingleTxtG"/>
              <w:keepNext/>
              <w:keepLines/>
              <w:spacing w:before="40"/>
              <w:ind w:left="0" w:right="0"/>
            </w:pPr>
            <w:r w:rsidRPr="008454F8">
              <w:t>Al cabo de 72 días, el autor puso fin a su huelga de hambre y se encuentra en estado crítico.</w:t>
            </w:r>
          </w:p>
          <w:p w:rsidR="00B92FCE" w:rsidRPr="008454F8" w:rsidRDefault="00B92FCE" w:rsidP="00D646C0">
            <w:pPr>
              <w:pStyle w:val="SingleTxtG"/>
              <w:keepNext/>
              <w:keepLines/>
              <w:spacing w:before="40"/>
              <w:ind w:left="0" w:right="0"/>
            </w:pPr>
            <w:r w:rsidRPr="008454F8">
              <w:t>En cuanto a la investigación de la denuncia de tortura, el abogado del autor se enteró de que había sido archivada, pero no pudo consultar la decisión pertinente.</w:t>
            </w:r>
          </w:p>
        </w:tc>
      </w:tr>
      <w:tr w:rsidR="00B92FCE" w:rsidRPr="008454F8" w:rsidTr="001532E8">
        <w:trPr>
          <w:trHeight w:val="240"/>
        </w:trPr>
        <w:tc>
          <w:tcPr>
            <w:tcW w:w="2694" w:type="dxa"/>
            <w:tcBorders>
              <w:top w:val="nil"/>
              <w:bottom w:val="single" w:sz="12" w:space="0" w:color="auto"/>
            </w:tcBorders>
            <w:shd w:val="clear" w:color="auto" w:fill="auto"/>
          </w:tcPr>
          <w:p w:rsidR="00B92FCE" w:rsidRPr="008454F8" w:rsidRDefault="00B92FCE" w:rsidP="008454F8">
            <w:pPr>
              <w:pStyle w:val="SingleTxtG"/>
              <w:spacing w:before="40"/>
              <w:ind w:left="0" w:right="0"/>
              <w:jc w:val="left"/>
            </w:pPr>
            <w:r w:rsidRPr="008454F8">
              <w:lastRenderedPageBreak/>
              <w:t>Decisión del Comité:</w:t>
            </w:r>
            <w:r w:rsidRPr="008454F8">
              <w:tab/>
            </w:r>
          </w:p>
        </w:tc>
        <w:tc>
          <w:tcPr>
            <w:tcW w:w="4676" w:type="dxa"/>
            <w:tcBorders>
              <w:top w:val="nil"/>
              <w:bottom w:val="single" w:sz="12" w:space="0" w:color="auto"/>
            </w:tcBorders>
            <w:shd w:val="clear" w:color="auto" w:fill="auto"/>
            <w:tcMar>
              <w:right w:w="28" w:type="dxa"/>
            </w:tcMar>
            <w:vAlign w:val="bottom"/>
          </w:tcPr>
          <w:p w:rsidR="00B92FCE" w:rsidRPr="008454F8" w:rsidRDefault="00B92FCE" w:rsidP="00B92FCE">
            <w:pPr>
              <w:pStyle w:val="SingleTxtG"/>
              <w:spacing w:before="40"/>
              <w:ind w:left="0" w:right="0"/>
            </w:pPr>
            <w:r w:rsidRPr="008454F8">
              <w:t>Prosigue el diálogo de seguimiento.</w:t>
            </w:r>
          </w:p>
        </w:tc>
      </w:tr>
    </w:tbl>
    <w:p w:rsidR="00A76B42" w:rsidRPr="0019108A" w:rsidRDefault="00A76B42" w:rsidP="008454F8">
      <w:pPr>
        <w:pStyle w:val="H23G"/>
      </w:pPr>
      <w:r w:rsidRPr="0019108A">
        <w:tab/>
        <w:t>17.</w:t>
      </w:r>
      <w:r w:rsidRPr="0019108A">
        <w:tab/>
        <w:t>Ucrania</w:t>
      </w:r>
    </w:p>
    <w:tbl>
      <w:tblPr>
        <w:tblW w:w="7371"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57501A">
        <w:trPr>
          <w:trHeight w:val="240"/>
        </w:trPr>
        <w:tc>
          <w:tcPr>
            <w:tcW w:w="7371" w:type="dxa"/>
            <w:gridSpan w:val="2"/>
            <w:tcBorders>
              <w:top w:val="single" w:sz="4" w:space="0" w:color="auto"/>
              <w:bottom w:val="single" w:sz="12" w:space="0" w:color="auto"/>
            </w:tcBorders>
            <w:shd w:val="clear" w:color="auto" w:fill="auto"/>
            <w:vAlign w:val="bottom"/>
          </w:tcPr>
          <w:p w:rsidR="00A76B42" w:rsidRPr="00CC594F" w:rsidRDefault="00A76B42" w:rsidP="008454F8">
            <w:pPr>
              <w:pStyle w:val="SingleTxtG"/>
              <w:spacing w:before="80" w:after="80" w:line="200" w:lineRule="exact"/>
              <w:ind w:left="0" w:right="0"/>
              <w:jc w:val="left"/>
              <w:rPr>
                <w:b/>
                <w:i/>
              </w:rPr>
            </w:pPr>
            <w:r w:rsidRPr="0057501A">
              <w:rPr>
                <w:b/>
              </w:rPr>
              <w:t xml:space="preserve">Comunicación núm. 1405/2005, </w:t>
            </w:r>
            <w:r w:rsidRPr="00CC594F">
              <w:rPr>
                <w:b/>
                <w:i/>
              </w:rPr>
              <w:t>Pustovoit c. Ucrania</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Fecha de aprobación del dictamen:</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20 de marzo de 2014</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Violaciones:</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Artículos 7; 14, párrafo 3 b); y 7, leído conjuntamente con el artículo 14, párrafo 1</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Reparación:</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Un recurso efectivo, que contemple una indemnización, y la introducción de las modificaciones necesarias en las leyes y prácticas del Estado parte.</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Anterior aparición en un informe sobre el seguimiento:</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Primera aparición</w:t>
            </w:r>
          </w:p>
        </w:tc>
      </w:tr>
      <w:tr w:rsidR="00D646C0" w:rsidRPr="008454F8" w:rsidTr="00D646C0">
        <w:trPr>
          <w:trHeight w:val="240"/>
        </w:trPr>
        <w:tc>
          <w:tcPr>
            <w:tcW w:w="2694" w:type="dxa"/>
            <w:tcBorders>
              <w:bottom w:val="nil"/>
            </w:tcBorders>
            <w:shd w:val="clear" w:color="auto" w:fill="auto"/>
          </w:tcPr>
          <w:p w:rsidR="00D646C0" w:rsidRPr="008454F8" w:rsidRDefault="00D646C0" w:rsidP="008454F8">
            <w:pPr>
              <w:pStyle w:val="SingleTxtG"/>
              <w:spacing w:before="40"/>
              <w:ind w:left="0" w:right="0"/>
              <w:jc w:val="left"/>
            </w:pPr>
            <w:r w:rsidRPr="008454F8">
              <w:t>Comunicación presentada por el autor el:</w:t>
            </w:r>
          </w:p>
        </w:tc>
        <w:tc>
          <w:tcPr>
            <w:tcW w:w="4677" w:type="dxa"/>
            <w:tcBorders>
              <w:bottom w:val="nil"/>
            </w:tcBorders>
            <w:shd w:val="clear" w:color="auto" w:fill="auto"/>
            <w:tcMar>
              <w:right w:w="28" w:type="dxa"/>
            </w:tcMar>
            <w:vAlign w:val="bottom"/>
          </w:tcPr>
          <w:p w:rsidR="00D646C0" w:rsidRDefault="00D646C0" w:rsidP="00D646C0">
            <w:pPr>
              <w:pStyle w:val="SingleTxtG"/>
              <w:spacing w:before="40"/>
              <w:ind w:left="0" w:right="0"/>
            </w:pPr>
            <w:r w:rsidRPr="008454F8">
              <w:t>25 de agosto de 2015</w:t>
            </w:r>
          </w:p>
          <w:p w:rsidR="00D646C0" w:rsidRPr="008454F8" w:rsidRDefault="00D646C0" w:rsidP="00D646C0">
            <w:pPr>
              <w:pStyle w:val="SingleTxtG"/>
              <w:spacing w:before="40"/>
              <w:ind w:left="0" w:right="0"/>
            </w:pPr>
            <w:r w:rsidRPr="008454F8">
              <w:t>El autor sostiene que el Estado parte no le proporcionó ni recurso efectivo ni indemnización. Sus solicitudes de asistencia letrada no fueron atendidas. El autor presentó varias denuncias ante diversas instancias judiciales por la inacción del Estado parte: una ante el Tribunal Supremo, el 16 de diciembre de 2014, que desestimó la denuncia por razones de forma; y otra ante el Tribunal de Apelación de Jmelnitsk, en marzo de 2015, que tampoco prosperó. Interpuso además un recurso de casación ante un tribunal superior especializado, que lo desestimó sin examinarlo. El 14 de julio de 2015, el autor presentó otra denuncia ante el Tribunal Supremo, que todavía no ha pronunciado sentencia.</w:t>
            </w:r>
          </w:p>
        </w:tc>
      </w:tr>
      <w:tr w:rsidR="0057501A" w:rsidRPr="008454F8" w:rsidTr="00D646C0">
        <w:trPr>
          <w:trHeight w:val="240"/>
        </w:trPr>
        <w:tc>
          <w:tcPr>
            <w:tcW w:w="2694" w:type="dxa"/>
            <w:tcBorders>
              <w:top w:val="nil"/>
              <w:bottom w:val="nil"/>
            </w:tcBorders>
            <w:shd w:val="clear" w:color="auto" w:fill="auto"/>
          </w:tcPr>
          <w:p w:rsidR="0057501A" w:rsidRPr="008454F8" w:rsidRDefault="0057501A" w:rsidP="00D646C0">
            <w:pPr>
              <w:pStyle w:val="SingleTxtG"/>
              <w:keepNext/>
              <w:keepLines/>
              <w:spacing w:before="40"/>
              <w:ind w:left="0" w:right="0"/>
              <w:jc w:val="left"/>
            </w:pPr>
          </w:p>
        </w:tc>
        <w:tc>
          <w:tcPr>
            <w:tcW w:w="4677" w:type="dxa"/>
            <w:tcBorders>
              <w:top w:val="nil"/>
              <w:bottom w:val="nil"/>
            </w:tcBorders>
            <w:shd w:val="clear" w:color="auto" w:fill="auto"/>
            <w:tcMar>
              <w:right w:w="28" w:type="dxa"/>
            </w:tcMar>
            <w:vAlign w:val="bottom"/>
          </w:tcPr>
          <w:p w:rsidR="0057501A" w:rsidRPr="008454F8" w:rsidRDefault="0057501A" w:rsidP="00D646C0">
            <w:pPr>
              <w:pStyle w:val="SingleTxtG"/>
              <w:keepNext/>
              <w:keepLines/>
              <w:spacing w:before="40"/>
              <w:ind w:left="0" w:right="0"/>
            </w:pPr>
            <w:r w:rsidRPr="008454F8">
              <w:t xml:space="preserve">El autor sostiene también que los documentos en los que se establece que fue torturado y recluido en régimen de aislamiento en el centro de reclusión de Jmelnitsk no se le facilitaron en ningún momento, a pesar de que lo había solicitado a la </w:t>
            </w:r>
            <w:r w:rsidR="001532E8">
              <w:t>f</w:t>
            </w:r>
            <w:r w:rsidRPr="008454F8">
              <w:t>iscalía. El autor pide al Comité que lo ayude a obtener una indemnización y lo informa de que ha solicitado asistencia material al Fondo de Contribuciones Voluntarias de las Naciones Unidas para las Víctimas de la Tortura a fin de adquirir artículos de papelería con los que presentar denuncias.</w:t>
            </w:r>
          </w:p>
        </w:tc>
      </w:tr>
      <w:tr w:rsidR="0057501A" w:rsidRPr="008454F8" w:rsidTr="001532E8">
        <w:trPr>
          <w:trHeight w:val="240"/>
        </w:trPr>
        <w:tc>
          <w:tcPr>
            <w:tcW w:w="2694" w:type="dxa"/>
            <w:tcBorders>
              <w:top w:val="nil"/>
              <w:bottom w:val="single" w:sz="12" w:space="0" w:color="auto"/>
            </w:tcBorders>
            <w:shd w:val="clear" w:color="auto" w:fill="auto"/>
          </w:tcPr>
          <w:p w:rsidR="0057501A" w:rsidRPr="008454F8" w:rsidRDefault="0057501A" w:rsidP="008454F8">
            <w:pPr>
              <w:pStyle w:val="SingleTxtG"/>
              <w:spacing w:before="40"/>
              <w:ind w:left="0" w:right="0"/>
              <w:jc w:val="left"/>
            </w:pPr>
            <w:r w:rsidRPr="008454F8">
              <w:t>Decisión del Comité:</w:t>
            </w:r>
            <w:r w:rsidRPr="008454F8">
              <w:tab/>
            </w:r>
          </w:p>
        </w:tc>
        <w:tc>
          <w:tcPr>
            <w:tcW w:w="4677" w:type="dxa"/>
            <w:tcBorders>
              <w:top w:val="nil"/>
              <w:bottom w:val="single" w:sz="12" w:space="0" w:color="auto"/>
            </w:tcBorders>
            <w:shd w:val="clear" w:color="auto" w:fill="auto"/>
            <w:tcMar>
              <w:right w:w="28" w:type="dxa"/>
            </w:tcMar>
            <w:vAlign w:val="bottom"/>
          </w:tcPr>
          <w:p w:rsidR="0057501A" w:rsidRPr="008454F8" w:rsidRDefault="0057501A" w:rsidP="0057501A">
            <w:pPr>
              <w:pStyle w:val="SingleTxtG"/>
              <w:spacing w:before="40"/>
              <w:ind w:left="0" w:right="0"/>
            </w:pPr>
            <w:r w:rsidRPr="008454F8">
              <w:t>Prosigue el diálogo de seguimiento. El 15 de diciembre de 2015 se envió al Estado parte un recordatorio de que presentara sus observaciones de seguimiento.</w:t>
            </w:r>
          </w:p>
        </w:tc>
      </w:tr>
    </w:tbl>
    <w:p w:rsidR="00A76B42" w:rsidRPr="0019108A" w:rsidRDefault="00A76B42" w:rsidP="008454F8">
      <w:pPr>
        <w:pStyle w:val="H23G"/>
      </w:pPr>
      <w:r w:rsidRPr="0019108A">
        <w:tab/>
        <w:t>18.</w:t>
      </w:r>
      <w:r w:rsidRPr="0019108A">
        <w:tab/>
        <w:t>Uruguay</w:t>
      </w:r>
    </w:p>
    <w:tbl>
      <w:tblPr>
        <w:tblW w:w="7371"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57501A">
        <w:trPr>
          <w:trHeight w:val="240"/>
        </w:trPr>
        <w:tc>
          <w:tcPr>
            <w:tcW w:w="7371" w:type="dxa"/>
            <w:gridSpan w:val="2"/>
            <w:tcBorders>
              <w:top w:val="single" w:sz="4" w:space="0" w:color="auto"/>
              <w:bottom w:val="single" w:sz="12" w:space="0" w:color="auto"/>
            </w:tcBorders>
            <w:shd w:val="clear" w:color="auto" w:fill="auto"/>
            <w:vAlign w:val="bottom"/>
          </w:tcPr>
          <w:p w:rsidR="00A76B42" w:rsidRPr="008454F8" w:rsidRDefault="00A76B42" w:rsidP="00D646C0">
            <w:pPr>
              <w:pStyle w:val="SingleTxtG"/>
              <w:spacing w:before="80" w:after="80" w:line="200" w:lineRule="exact"/>
              <w:ind w:left="0" w:right="0"/>
              <w:jc w:val="left"/>
              <w:rPr>
                <w:bCs/>
                <w:i/>
                <w:sz w:val="16"/>
              </w:rPr>
            </w:pPr>
            <w:r w:rsidRPr="0057501A">
              <w:rPr>
                <w:b/>
              </w:rPr>
              <w:t xml:space="preserve">Comunicaciones núm. 1637/2007, </w:t>
            </w:r>
            <w:r w:rsidRPr="00CC594F">
              <w:rPr>
                <w:b/>
                <w:i/>
              </w:rPr>
              <w:t>Canessa Albareda c. el Uruguay</w:t>
            </w:r>
            <w:r w:rsidRPr="001532E8">
              <w:rPr>
                <w:b/>
              </w:rPr>
              <w:t xml:space="preserve">; núm. 1757/2008, </w:t>
            </w:r>
            <w:r w:rsidRPr="00CC594F">
              <w:rPr>
                <w:b/>
                <w:i/>
              </w:rPr>
              <w:t>Barindelli Bassini y otros c. el Uruguay</w:t>
            </w:r>
            <w:r w:rsidRPr="001532E8">
              <w:rPr>
                <w:b/>
              </w:rPr>
              <w:t xml:space="preserve">; y núm. 1765/2008, </w:t>
            </w:r>
            <w:r w:rsidRPr="00CC594F">
              <w:rPr>
                <w:b/>
                <w:i/>
              </w:rPr>
              <w:t>Torres Rodríguez c.</w:t>
            </w:r>
            <w:r w:rsidR="00D646C0">
              <w:rPr>
                <w:b/>
                <w:i/>
              </w:rPr>
              <w:t> </w:t>
            </w:r>
            <w:r w:rsidRPr="00CC594F">
              <w:rPr>
                <w:b/>
                <w:i/>
              </w:rPr>
              <w:t>el</w:t>
            </w:r>
            <w:r w:rsidR="00D646C0">
              <w:rPr>
                <w:b/>
                <w:i/>
              </w:rPr>
              <w:t> </w:t>
            </w:r>
            <w:r w:rsidRPr="00CC594F">
              <w:rPr>
                <w:b/>
                <w:i/>
              </w:rPr>
              <w:t>Uruguay</w:t>
            </w:r>
          </w:p>
        </w:tc>
      </w:tr>
      <w:tr w:rsidR="0057501A" w:rsidRPr="008454F8" w:rsidTr="001532E8">
        <w:trPr>
          <w:trHeight w:val="240"/>
        </w:trPr>
        <w:tc>
          <w:tcPr>
            <w:tcW w:w="2694" w:type="dxa"/>
            <w:tcBorders>
              <w:top w:val="single" w:sz="12" w:space="0" w:color="auto"/>
              <w:bottom w:val="nil"/>
              <w:right w:val="nil"/>
            </w:tcBorders>
            <w:shd w:val="clear" w:color="auto" w:fill="auto"/>
          </w:tcPr>
          <w:p w:rsidR="0057501A" w:rsidRPr="008454F8" w:rsidRDefault="0057501A" w:rsidP="008454F8">
            <w:pPr>
              <w:pStyle w:val="SingleTxtG"/>
              <w:spacing w:before="40"/>
              <w:ind w:left="0" w:right="0"/>
              <w:jc w:val="left"/>
            </w:pPr>
            <w:r w:rsidRPr="008454F8">
              <w:t>Fecha de aprobación del dictamen:</w:t>
            </w:r>
          </w:p>
        </w:tc>
        <w:tc>
          <w:tcPr>
            <w:tcW w:w="4677" w:type="dxa"/>
            <w:tcBorders>
              <w:top w:val="single" w:sz="12" w:space="0" w:color="auto"/>
              <w:left w:val="nil"/>
              <w:bottom w:val="nil"/>
            </w:tcBorders>
            <w:shd w:val="clear" w:color="auto" w:fill="auto"/>
            <w:tcMar>
              <w:right w:w="28" w:type="dxa"/>
            </w:tcMar>
            <w:vAlign w:val="bottom"/>
          </w:tcPr>
          <w:p w:rsidR="0057501A" w:rsidRPr="008454F8" w:rsidRDefault="0057501A" w:rsidP="00265BB6">
            <w:pPr>
              <w:pStyle w:val="SingleTxtG"/>
              <w:spacing w:before="40"/>
              <w:ind w:left="0" w:right="0"/>
            </w:pPr>
            <w:r w:rsidRPr="008454F8">
              <w:t>24 de octubre de 2011</w:t>
            </w:r>
          </w:p>
        </w:tc>
      </w:tr>
      <w:tr w:rsidR="0057501A" w:rsidRPr="008454F8" w:rsidTr="001532E8">
        <w:trPr>
          <w:trHeight w:val="240"/>
        </w:trPr>
        <w:tc>
          <w:tcPr>
            <w:tcW w:w="2694" w:type="dxa"/>
            <w:tcBorders>
              <w:top w:val="nil"/>
              <w:bottom w:val="nil"/>
              <w:right w:val="nil"/>
            </w:tcBorders>
            <w:shd w:val="clear" w:color="auto" w:fill="auto"/>
          </w:tcPr>
          <w:p w:rsidR="0057501A" w:rsidRPr="008454F8" w:rsidRDefault="0057501A" w:rsidP="008454F8">
            <w:pPr>
              <w:pStyle w:val="SingleTxtG"/>
              <w:spacing w:before="40"/>
              <w:ind w:left="0" w:right="0"/>
              <w:jc w:val="left"/>
            </w:pPr>
            <w:r w:rsidRPr="008454F8">
              <w:t>Violaciones:</w:t>
            </w:r>
          </w:p>
        </w:tc>
        <w:tc>
          <w:tcPr>
            <w:tcW w:w="4677" w:type="dxa"/>
            <w:tcBorders>
              <w:top w:val="nil"/>
              <w:left w:val="nil"/>
              <w:bottom w:val="nil"/>
            </w:tcBorders>
            <w:shd w:val="clear" w:color="auto" w:fill="auto"/>
            <w:tcMar>
              <w:right w:w="28" w:type="dxa"/>
            </w:tcMar>
            <w:vAlign w:val="bottom"/>
          </w:tcPr>
          <w:p w:rsidR="0057501A" w:rsidRPr="008454F8" w:rsidRDefault="0057501A" w:rsidP="00265BB6">
            <w:pPr>
              <w:pStyle w:val="SingleTxtG"/>
              <w:spacing w:before="40"/>
              <w:ind w:left="0" w:right="0"/>
            </w:pPr>
            <w:r w:rsidRPr="008454F8">
              <w:t>Artículo 26, leído conjuntamente con el artículo 2</w:t>
            </w:r>
          </w:p>
        </w:tc>
      </w:tr>
      <w:tr w:rsidR="0057501A" w:rsidRPr="008454F8" w:rsidTr="001532E8">
        <w:trPr>
          <w:trHeight w:val="240"/>
        </w:trPr>
        <w:tc>
          <w:tcPr>
            <w:tcW w:w="2694" w:type="dxa"/>
            <w:tcBorders>
              <w:top w:val="nil"/>
              <w:bottom w:val="nil"/>
              <w:right w:val="nil"/>
            </w:tcBorders>
            <w:shd w:val="clear" w:color="auto" w:fill="auto"/>
          </w:tcPr>
          <w:p w:rsidR="0057501A" w:rsidRPr="008454F8" w:rsidRDefault="0057501A" w:rsidP="008454F8">
            <w:pPr>
              <w:pStyle w:val="SingleTxtG"/>
              <w:spacing w:before="40"/>
              <w:ind w:left="0" w:right="0"/>
              <w:jc w:val="left"/>
            </w:pPr>
            <w:r w:rsidRPr="008454F8">
              <w:t>Reparación:</w:t>
            </w:r>
          </w:p>
        </w:tc>
        <w:tc>
          <w:tcPr>
            <w:tcW w:w="4677" w:type="dxa"/>
            <w:tcBorders>
              <w:top w:val="nil"/>
              <w:left w:val="nil"/>
              <w:bottom w:val="nil"/>
            </w:tcBorders>
            <w:shd w:val="clear" w:color="auto" w:fill="auto"/>
            <w:tcMar>
              <w:right w:w="28" w:type="dxa"/>
            </w:tcMar>
            <w:vAlign w:val="bottom"/>
          </w:tcPr>
          <w:p w:rsidR="0057501A" w:rsidRPr="008454F8" w:rsidRDefault="0057501A" w:rsidP="00265BB6">
            <w:pPr>
              <w:pStyle w:val="SingleTxtG"/>
              <w:spacing w:before="40"/>
              <w:ind w:left="0" w:right="0"/>
            </w:pPr>
            <w:r w:rsidRPr="008454F8">
              <w:t>El Estado parte debe reconocer que ha de conceder a los autores una reparación que contemple una indemnización adecuada por los perjuicios sufridos.</w:t>
            </w:r>
          </w:p>
        </w:tc>
      </w:tr>
      <w:tr w:rsidR="0057501A" w:rsidRPr="008454F8" w:rsidTr="001532E8">
        <w:trPr>
          <w:trHeight w:val="240"/>
        </w:trPr>
        <w:tc>
          <w:tcPr>
            <w:tcW w:w="2694" w:type="dxa"/>
            <w:tcBorders>
              <w:top w:val="nil"/>
              <w:bottom w:val="nil"/>
              <w:right w:val="nil"/>
            </w:tcBorders>
            <w:shd w:val="clear" w:color="auto" w:fill="auto"/>
          </w:tcPr>
          <w:p w:rsidR="0057501A" w:rsidRPr="008454F8" w:rsidRDefault="0057501A" w:rsidP="008454F8">
            <w:pPr>
              <w:pStyle w:val="SingleTxtG"/>
              <w:spacing w:before="40"/>
              <w:ind w:left="0" w:right="0"/>
              <w:jc w:val="left"/>
            </w:pPr>
            <w:r w:rsidRPr="008454F8">
              <w:t>Anterior aparición en un informe sobre el seguimiento:</w:t>
            </w:r>
          </w:p>
        </w:tc>
        <w:tc>
          <w:tcPr>
            <w:tcW w:w="4677" w:type="dxa"/>
            <w:tcBorders>
              <w:top w:val="nil"/>
              <w:left w:val="nil"/>
              <w:bottom w:val="nil"/>
            </w:tcBorders>
            <w:shd w:val="clear" w:color="auto" w:fill="auto"/>
            <w:tcMar>
              <w:right w:w="28" w:type="dxa"/>
            </w:tcMar>
            <w:vAlign w:val="bottom"/>
          </w:tcPr>
          <w:p w:rsidR="0057501A" w:rsidRPr="008454F8" w:rsidRDefault="0057501A" w:rsidP="00265BB6">
            <w:pPr>
              <w:pStyle w:val="SingleTxtG"/>
              <w:spacing w:before="40"/>
              <w:ind w:left="0" w:right="0"/>
            </w:pPr>
            <w:r w:rsidRPr="008454F8">
              <w:t>A/69/40 (Vol. I)</w:t>
            </w:r>
          </w:p>
        </w:tc>
      </w:tr>
      <w:tr w:rsidR="0057501A" w:rsidRPr="008454F8" w:rsidTr="001532E8">
        <w:trPr>
          <w:trHeight w:val="240"/>
        </w:trPr>
        <w:tc>
          <w:tcPr>
            <w:tcW w:w="2694" w:type="dxa"/>
            <w:tcBorders>
              <w:top w:val="nil"/>
              <w:bottom w:val="nil"/>
              <w:right w:val="nil"/>
            </w:tcBorders>
            <w:shd w:val="clear" w:color="auto" w:fill="auto"/>
          </w:tcPr>
          <w:p w:rsidR="0057501A" w:rsidRPr="008454F8" w:rsidRDefault="0057501A" w:rsidP="008454F8">
            <w:pPr>
              <w:pStyle w:val="SingleTxtG"/>
              <w:spacing w:before="40"/>
              <w:ind w:left="0" w:right="0"/>
              <w:jc w:val="left"/>
            </w:pPr>
            <w:r w:rsidRPr="008454F8">
              <w:t>Comunicación presentada por los autores el:</w:t>
            </w:r>
          </w:p>
        </w:tc>
        <w:tc>
          <w:tcPr>
            <w:tcW w:w="4677" w:type="dxa"/>
            <w:tcBorders>
              <w:top w:val="nil"/>
              <w:left w:val="nil"/>
              <w:bottom w:val="nil"/>
            </w:tcBorders>
            <w:shd w:val="clear" w:color="auto" w:fill="auto"/>
            <w:tcMar>
              <w:right w:w="28" w:type="dxa"/>
            </w:tcMar>
            <w:vAlign w:val="bottom"/>
          </w:tcPr>
          <w:p w:rsidR="0057501A" w:rsidRPr="008454F8" w:rsidRDefault="0057501A" w:rsidP="00265BB6">
            <w:pPr>
              <w:pStyle w:val="SingleTxtG"/>
              <w:spacing w:before="40"/>
              <w:ind w:left="0" w:right="0"/>
            </w:pPr>
            <w:r w:rsidRPr="008454F8">
              <w:t>30 de marzo de 2015</w:t>
            </w:r>
          </w:p>
          <w:p w:rsidR="0057501A" w:rsidRPr="008454F8" w:rsidRDefault="0057501A" w:rsidP="00265BB6">
            <w:pPr>
              <w:pStyle w:val="SingleTxtG"/>
              <w:spacing w:before="40"/>
              <w:ind w:left="0" w:right="0"/>
            </w:pPr>
            <w:r w:rsidRPr="008454F8">
              <w:t>Los autores sostienen que, más de tres años después de la aprobación del dictamen del Comité, el Estado parte no ha adoptado ninguna medida para reparar los daños causados por la aplicación de la disposición impugnada.</w:t>
            </w:r>
          </w:p>
        </w:tc>
      </w:tr>
      <w:tr w:rsidR="0057501A" w:rsidRPr="008454F8" w:rsidTr="001532E8">
        <w:trPr>
          <w:trHeight w:val="240"/>
        </w:trPr>
        <w:tc>
          <w:tcPr>
            <w:tcW w:w="2694" w:type="dxa"/>
            <w:tcBorders>
              <w:top w:val="nil"/>
              <w:bottom w:val="single" w:sz="12" w:space="0" w:color="auto"/>
              <w:right w:val="nil"/>
            </w:tcBorders>
            <w:shd w:val="clear" w:color="auto" w:fill="auto"/>
          </w:tcPr>
          <w:p w:rsidR="0057501A" w:rsidRPr="008454F8" w:rsidRDefault="0057501A" w:rsidP="008454F8">
            <w:pPr>
              <w:pStyle w:val="SingleTxtG"/>
              <w:spacing w:before="40"/>
              <w:ind w:left="0" w:right="0"/>
              <w:jc w:val="left"/>
            </w:pPr>
            <w:r w:rsidRPr="008454F8">
              <w:t>Decisión del Comité:</w:t>
            </w:r>
            <w:r w:rsidRPr="008454F8">
              <w:tab/>
            </w:r>
          </w:p>
        </w:tc>
        <w:tc>
          <w:tcPr>
            <w:tcW w:w="4677" w:type="dxa"/>
            <w:tcBorders>
              <w:top w:val="nil"/>
              <w:left w:val="nil"/>
              <w:bottom w:val="single" w:sz="12" w:space="0" w:color="auto"/>
            </w:tcBorders>
            <w:shd w:val="clear" w:color="auto" w:fill="auto"/>
            <w:tcMar>
              <w:right w:w="28" w:type="dxa"/>
            </w:tcMar>
            <w:vAlign w:val="bottom"/>
          </w:tcPr>
          <w:p w:rsidR="0057501A" w:rsidRPr="008454F8" w:rsidRDefault="0057501A" w:rsidP="00265BB6">
            <w:pPr>
              <w:pStyle w:val="SingleTxtG"/>
              <w:spacing w:before="40"/>
              <w:ind w:left="0" w:right="0"/>
            </w:pPr>
            <w:r w:rsidRPr="008454F8">
              <w:t>Prosigue el diálogo de seguimiento.</w:t>
            </w:r>
          </w:p>
        </w:tc>
      </w:tr>
    </w:tbl>
    <w:p w:rsidR="00A76B42" w:rsidRPr="0019108A" w:rsidRDefault="00A76B42" w:rsidP="008454F8">
      <w:pPr>
        <w:pStyle w:val="H23G"/>
      </w:pPr>
      <w:r w:rsidRPr="0019108A">
        <w:tab/>
        <w:t>19.</w:t>
      </w:r>
      <w:r w:rsidRPr="0019108A">
        <w:tab/>
        <w:t>Uzbekistán</w:t>
      </w:r>
    </w:p>
    <w:tbl>
      <w:tblPr>
        <w:tblW w:w="7371"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7"/>
      </w:tblGrid>
      <w:tr w:rsidR="00A76B42" w:rsidRPr="008454F8" w:rsidTr="0057501A">
        <w:trPr>
          <w:trHeight w:val="240"/>
        </w:trPr>
        <w:tc>
          <w:tcPr>
            <w:tcW w:w="7371" w:type="dxa"/>
            <w:gridSpan w:val="2"/>
            <w:tcBorders>
              <w:top w:val="single" w:sz="4" w:space="0" w:color="auto"/>
              <w:bottom w:val="single" w:sz="12" w:space="0" w:color="auto"/>
            </w:tcBorders>
            <w:shd w:val="clear" w:color="auto" w:fill="auto"/>
            <w:vAlign w:val="bottom"/>
          </w:tcPr>
          <w:p w:rsidR="00A76B42" w:rsidRPr="008454F8" w:rsidRDefault="00A76B42" w:rsidP="00D646C0">
            <w:pPr>
              <w:pStyle w:val="SingleTxtG"/>
              <w:spacing w:before="80" w:after="80" w:line="200" w:lineRule="exact"/>
              <w:ind w:left="0" w:right="0"/>
              <w:jc w:val="left"/>
              <w:rPr>
                <w:bCs/>
                <w:i/>
                <w:sz w:val="16"/>
              </w:rPr>
            </w:pPr>
            <w:r w:rsidRPr="0057501A">
              <w:rPr>
                <w:b/>
              </w:rPr>
              <w:t>Comunicaciones núm. 191</w:t>
            </w:r>
            <w:r w:rsidRPr="001532E8">
              <w:rPr>
                <w:b/>
              </w:rPr>
              <w:t xml:space="preserve">4/2009, núm. 1915/2009 y núm. 1916/2009, </w:t>
            </w:r>
            <w:r w:rsidRPr="00CC594F">
              <w:rPr>
                <w:b/>
                <w:i/>
              </w:rPr>
              <w:t>Musaev</w:t>
            </w:r>
            <w:r w:rsidR="00D646C0">
              <w:rPr>
                <w:b/>
                <w:i/>
              </w:rPr>
              <w:t> </w:t>
            </w:r>
            <w:r w:rsidRPr="00CC594F">
              <w:rPr>
                <w:b/>
                <w:i/>
              </w:rPr>
              <w:t>c.</w:t>
            </w:r>
            <w:r w:rsidR="00D646C0">
              <w:rPr>
                <w:b/>
                <w:i/>
              </w:rPr>
              <w:t> </w:t>
            </w:r>
            <w:r w:rsidRPr="00CC594F">
              <w:rPr>
                <w:b/>
                <w:i/>
              </w:rPr>
              <w:t>Uzbekistán</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Fecha de aprobación del dictamen:</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21 de marzo de 2012</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Violaciones:</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Artículos 7; 9; y 14, párrafos 3 b) y g), y 5</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Reparación:</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Un recurso efectivo, que contemple la realización de una investigación imparcial, eficaz y exhaustiva y el inicio de acciones penales contra los responsables; la celebración de un nuevo juicio con todas las garantías consagradas en el Pacto o la puesta en libertad de la víctima; y la concesión a la víctima de un resarcimiento integral que comprenda una indemnización apropiada.</w:t>
            </w:r>
          </w:p>
        </w:tc>
      </w:tr>
      <w:tr w:rsidR="0057501A" w:rsidRPr="008454F8" w:rsidTr="00D646C0">
        <w:trPr>
          <w:trHeight w:val="240"/>
        </w:trPr>
        <w:tc>
          <w:tcPr>
            <w:tcW w:w="2694" w:type="dxa"/>
            <w:tcBorders>
              <w:bottom w:val="nil"/>
            </w:tcBorders>
            <w:shd w:val="clear" w:color="auto" w:fill="auto"/>
          </w:tcPr>
          <w:p w:rsidR="0057501A" w:rsidRPr="008454F8" w:rsidRDefault="0057501A" w:rsidP="008454F8">
            <w:pPr>
              <w:pStyle w:val="SingleTxtG"/>
              <w:spacing w:before="40"/>
              <w:ind w:left="0" w:right="0"/>
              <w:jc w:val="left"/>
            </w:pPr>
            <w:r w:rsidRPr="008454F8">
              <w:t>Anterior aparición en un informe sobre el seguimiento:</w:t>
            </w:r>
          </w:p>
        </w:tc>
        <w:tc>
          <w:tcPr>
            <w:tcW w:w="4677" w:type="dxa"/>
            <w:tcBorders>
              <w:bottom w:val="nil"/>
            </w:tcBorders>
            <w:shd w:val="clear" w:color="auto" w:fill="auto"/>
            <w:tcMar>
              <w:right w:w="28" w:type="dxa"/>
            </w:tcMar>
            <w:vAlign w:val="bottom"/>
          </w:tcPr>
          <w:p w:rsidR="0057501A" w:rsidRPr="008454F8" w:rsidRDefault="0057501A" w:rsidP="0057501A">
            <w:pPr>
              <w:pStyle w:val="SingleTxtG"/>
              <w:spacing w:before="40"/>
              <w:ind w:left="0" w:right="0"/>
            </w:pPr>
            <w:r w:rsidRPr="008454F8">
              <w:t>CCPR/C/115/3</w:t>
            </w:r>
          </w:p>
        </w:tc>
      </w:tr>
      <w:tr w:rsidR="0057501A" w:rsidRPr="008454F8" w:rsidTr="00D646C0">
        <w:trPr>
          <w:trHeight w:val="240"/>
        </w:trPr>
        <w:tc>
          <w:tcPr>
            <w:tcW w:w="2694" w:type="dxa"/>
            <w:tcBorders>
              <w:top w:val="nil"/>
            </w:tcBorders>
            <w:shd w:val="clear" w:color="auto" w:fill="auto"/>
          </w:tcPr>
          <w:p w:rsidR="0057501A" w:rsidRPr="008454F8" w:rsidRDefault="0057501A" w:rsidP="008454F8">
            <w:pPr>
              <w:pStyle w:val="SingleTxtG"/>
              <w:spacing w:before="40"/>
              <w:ind w:left="0" w:right="0"/>
              <w:jc w:val="left"/>
            </w:pPr>
            <w:r w:rsidRPr="008454F8">
              <w:lastRenderedPageBreak/>
              <w:t>Comunicación presentada por el Estado parte el:</w:t>
            </w:r>
          </w:p>
        </w:tc>
        <w:tc>
          <w:tcPr>
            <w:tcW w:w="4677" w:type="dxa"/>
            <w:tcBorders>
              <w:top w:val="nil"/>
            </w:tcBorders>
            <w:shd w:val="clear" w:color="auto" w:fill="auto"/>
            <w:tcMar>
              <w:right w:w="28" w:type="dxa"/>
            </w:tcMar>
            <w:vAlign w:val="bottom"/>
          </w:tcPr>
          <w:p w:rsidR="0057501A" w:rsidRDefault="0057501A" w:rsidP="0057501A">
            <w:pPr>
              <w:pStyle w:val="SingleTxtG"/>
              <w:spacing w:before="40"/>
              <w:ind w:left="0" w:right="0"/>
            </w:pPr>
            <w:r w:rsidRPr="008454F8">
              <w:t>15 de mayo de 2015</w:t>
            </w:r>
          </w:p>
          <w:p w:rsidR="0057501A" w:rsidRPr="008454F8" w:rsidRDefault="0057501A" w:rsidP="0057501A">
            <w:pPr>
              <w:pStyle w:val="SingleTxtG"/>
              <w:spacing w:before="40"/>
              <w:ind w:left="0" w:right="0"/>
            </w:pPr>
            <w:r w:rsidRPr="008454F8">
              <w:t>El Estado parte informa al Comité de que, contrariamente a las afirmaciones no comprobadas de la autora, las medidas aplicadas contra su hijo, Erkin Musaev, fueron castigos reglamentarios legítimos. El Sr. Musaev no acató todas las disposiciones del reglamento penitenciario, por lo que se le impuso un total de 16 sanciones disciplinarias.</w:t>
            </w:r>
          </w:p>
        </w:tc>
      </w:tr>
      <w:tr w:rsidR="0057501A" w:rsidRPr="008454F8" w:rsidTr="001532E8">
        <w:trPr>
          <w:trHeight w:val="240"/>
        </w:trPr>
        <w:tc>
          <w:tcPr>
            <w:tcW w:w="2694" w:type="dxa"/>
            <w:shd w:val="clear" w:color="auto" w:fill="auto"/>
          </w:tcPr>
          <w:p w:rsidR="0057501A" w:rsidRPr="008454F8" w:rsidRDefault="0057501A" w:rsidP="008454F8">
            <w:pPr>
              <w:pStyle w:val="SingleTxtG"/>
              <w:spacing w:before="40"/>
              <w:ind w:left="0" w:right="0"/>
              <w:jc w:val="left"/>
            </w:pPr>
            <w:r w:rsidRPr="008454F8">
              <w:t>Comunicación presentada por la autora el:</w:t>
            </w:r>
          </w:p>
        </w:tc>
        <w:tc>
          <w:tcPr>
            <w:tcW w:w="4677" w:type="dxa"/>
            <w:shd w:val="clear" w:color="auto" w:fill="auto"/>
            <w:tcMar>
              <w:right w:w="28" w:type="dxa"/>
            </w:tcMar>
            <w:vAlign w:val="bottom"/>
          </w:tcPr>
          <w:p w:rsidR="0057501A" w:rsidRPr="008454F8" w:rsidRDefault="0057501A" w:rsidP="0057501A">
            <w:pPr>
              <w:pStyle w:val="SingleTxtG"/>
              <w:spacing w:before="40"/>
              <w:ind w:left="0" w:right="0"/>
            </w:pPr>
            <w:r w:rsidRPr="008454F8">
              <w:t>3 de octubre de 2015</w:t>
            </w:r>
          </w:p>
          <w:p w:rsidR="0057501A" w:rsidRPr="008454F8" w:rsidRDefault="0057501A" w:rsidP="0057501A">
            <w:pPr>
              <w:pStyle w:val="SingleTxtG"/>
              <w:spacing w:before="40"/>
              <w:ind w:left="0" w:right="0"/>
            </w:pPr>
            <w:r w:rsidRPr="008454F8">
              <w:t>La autora afirma que su hijo está sometido a una fuerte presión psicológica por los agentes de policía. Dejó de recibir correspondencia de él tres meses antes del momento de redactar la comunicación, por lo que no dispone de información sobre su situación actual y teme que pudiera haber sido asesinado por orden del Estado parte. La autora solicita asistencia para agilizar el caso, ya que su hijo ha padecido tortura y purga una pena de diez años de prisión.</w:t>
            </w:r>
          </w:p>
        </w:tc>
      </w:tr>
      <w:tr w:rsidR="0057501A" w:rsidRPr="008454F8" w:rsidTr="001532E8">
        <w:trPr>
          <w:trHeight w:val="240"/>
        </w:trPr>
        <w:tc>
          <w:tcPr>
            <w:tcW w:w="2694" w:type="dxa"/>
            <w:tcBorders>
              <w:bottom w:val="nil"/>
            </w:tcBorders>
            <w:shd w:val="clear" w:color="auto" w:fill="auto"/>
          </w:tcPr>
          <w:p w:rsidR="0057501A" w:rsidRPr="008454F8" w:rsidRDefault="0057501A" w:rsidP="00FD5D22">
            <w:pPr>
              <w:pStyle w:val="SingleTxtG"/>
              <w:spacing w:before="40"/>
              <w:ind w:left="0" w:right="0"/>
              <w:jc w:val="left"/>
            </w:pPr>
            <w:r w:rsidRPr="008454F8">
              <w:t>Evaluación del Comité</w:t>
            </w:r>
            <w:r>
              <w:t xml:space="preserve"> </w:t>
            </w:r>
            <w:r w:rsidRPr="008454F8">
              <w:t>(en el</w:t>
            </w:r>
            <w:r w:rsidR="00FD5D22">
              <w:t xml:space="preserve"> </w:t>
            </w:r>
            <w:r w:rsidRPr="008454F8">
              <w:t>113</w:t>
            </w:r>
            <w:r w:rsidR="001532E8" w:rsidRPr="001532E8">
              <w:rPr>
                <w:vertAlign w:val="superscript"/>
              </w:rPr>
              <w:t>er</w:t>
            </w:r>
            <w:r w:rsidRPr="008454F8">
              <w:t xml:space="preserve"> período de sesiones):</w:t>
            </w:r>
          </w:p>
        </w:tc>
        <w:tc>
          <w:tcPr>
            <w:tcW w:w="4677" w:type="dxa"/>
            <w:tcBorders>
              <w:bottom w:val="nil"/>
            </w:tcBorders>
            <w:shd w:val="clear" w:color="auto" w:fill="auto"/>
            <w:tcMar>
              <w:right w:w="28" w:type="dxa"/>
            </w:tcMar>
            <w:vAlign w:val="bottom"/>
          </w:tcPr>
          <w:p w:rsidR="0057501A" w:rsidRPr="008454F8" w:rsidRDefault="0057501A" w:rsidP="008666E3">
            <w:pPr>
              <w:pStyle w:val="SingleTxtG"/>
              <w:spacing w:before="40"/>
              <w:ind w:left="0" w:right="0" w:firstLine="227"/>
            </w:pPr>
            <w:r w:rsidRPr="008454F8">
              <w:t>a)</w:t>
            </w:r>
            <w:r w:rsidRPr="008454F8">
              <w:tab/>
              <w:t>Investigación: C1</w:t>
            </w:r>
          </w:p>
          <w:p w:rsidR="0057501A" w:rsidRPr="008454F8" w:rsidRDefault="0057501A" w:rsidP="008666E3">
            <w:pPr>
              <w:pStyle w:val="SingleTxtG"/>
              <w:spacing w:before="40"/>
              <w:ind w:left="0" w:right="0" w:firstLine="227"/>
            </w:pPr>
            <w:r w:rsidRPr="008454F8">
              <w:t>b)</w:t>
            </w:r>
            <w:r w:rsidRPr="008454F8">
              <w:tab/>
              <w:t>Nuevo juicio o puesta en libertad y resarcimiento integral: C2</w:t>
            </w:r>
          </w:p>
          <w:p w:rsidR="0057501A" w:rsidRPr="008454F8" w:rsidRDefault="0057501A" w:rsidP="008666E3">
            <w:pPr>
              <w:pStyle w:val="SingleTxtG"/>
              <w:spacing w:before="40"/>
              <w:ind w:left="0" w:right="0" w:firstLine="227"/>
            </w:pPr>
            <w:r w:rsidRPr="008454F8">
              <w:t>c)</w:t>
            </w:r>
            <w:r w:rsidRPr="008454F8">
              <w:tab/>
              <w:t>Publicación del dictamen: No se dispone de información</w:t>
            </w:r>
            <w:r w:rsidR="001532E8">
              <w:t>.</w:t>
            </w:r>
            <w:r w:rsidRPr="008454F8">
              <w:t xml:space="preserve"> </w:t>
            </w:r>
          </w:p>
          <w:p w:rsidR="0057501A" w:rsidRPr="008454F8" w:rsidRDefault="0057501A" w:rsidP="008666E3">
            <w:pPr>
              <w:pStyle w:val="SingleTxtG"/>
              <w:spacing w:before="40"/>
              <w:ind w:left="0" w:right="0" w:firstLine="227"/>
            </w:pPr>
            <w:r w:rsidRPr="008454F8">
              <w:t>d)</w:t>
            </w:r>
            <w:r w:rsidRPr="008454F8">
              <w:tab/>
              <w:t>No repetición: C1</w:t>
            </w:r>
          </w:p>
        </w:tc>
      </w:tr>
      <w:tr w:rsidR="0057501A" w:rsidRPr="008454F8" w:rsidTr="001532E8">
        <w:trPr>
          <w:trHeight w:val="240"/>
        </w:trPr>
        <w:tc>
          <w:tcPr>
            <w:tcW w:w="2694" w:type="dxa"/>
            <w:tcBorders>
              <w:top w:val="nil"/>
              <w:bottom w:val="single" w:sz="12" w:space="0" w:color="auto"/>
            </w:tcBorders>
            <w:shd w:val="clear" w:color="auto" w:fill="auto"/>
          </w:tcPr>
          <w:p w:rsidR="0057501A" w:rsidRPr="008454F8" w:rsidRDefault="0057501A" w:rsidP="008454F8">
            <w:pPr>
              <w:pStyle w:val="SingleTxtG"/>
              <w:spacing w:before="40"/>
              <w:ind w:left="0" w:right="0"/>
              <w:jc w:val="left"/>
            </w:pPr>
            <w:r w:rsidRPr="008454F8">
              <w:t>Decisión del Comité:</w:t>
            </w:r>
            <w:r w:rsidRPr="008454F8">
              <w:tab/>
            </w:r>
          </w:p>
        </w:tc>
        <w:tc>
          <w:tcPr>
            <w:tcW w:w="4677" w:type="dxa"/>
            <w:tcBorders>
              <w:top w:val="nil"/>
              <w:bottom w:val="single" w:sz="12" w:space="0" w:color="auto"/>
            </w:tcBorders>
            <w:shd w:val="clear" w:color="auto" w:fill="auto"/>
            <w:tcMar>
              <w:right w:w="28" w:type="dxa"/>
            </w:tcMar>
            <w:vAlign w:val="bottom"/>
          </w:tcPr>
          <w:p w:rsidR="0057501A" w:rsidRPr="008454F8" w:rsidRDefault="0057501A" w:rsidP="0057501A">
            <w:pPr>
              <w:pStyle w:val="SingleTxtG"/>
              <w:spacing w:before="40"/>
              <w:ind w:left="0" w:right="0"/>
            </w:pPr>
            <w:r w:rsidRPr="008454F8">
              <w:t>Prosigue el diálogo de seguimiento.</w:t>
            </w:r>
          </w:p>
        </w:tc>
      </w:tr>
    </w:tbl>
    <w:p w:rsidR="00A76B42" w:rsidRPr="0019108A" w:rsidRDefault="00A76B42" w:rsidP="008454F8">
      <w:pPr>
        <w:pStyle w:val="H1G"/>
      </w:pPr>
      <w:r w:rsidRPr="0019108A">
        <w:tab/>
        <w:t>C.</w:t>
      </w:r>
      <w:r w:rsidR="008454F8">
        <w:tab/>
      </w:r>
      <w:r w:rsidRPr="0019108A">
        <w:t>Reuniones sobre el seguimiento de los dictámenes con representantes</w:t>
      </w:r>
      <w:r w:rsidR="0057501A">
        <w:t> </w:t>
      </w:r>
      <w:r w:rsidRPr="0019108A">
        <w:t>de</w:t>
      </w:r>
      <w:r w:rsidR="0057501A">
        <w:t> </w:t>
      </w:r>
      <w:r w:rsidRPr="0019108A">
        <w:t>los Estados partes</w:t>
      </w:r>
    </w:p>
    <w:p w:rsidR="00A76B42" w:rsidRDefault="00A76B42" w:rsidP="008454F8">
      <w:pPr>
        <w:pStyle w:val="SingleTxtG"/>
      </w:pPr>
      <w:r w:rsidRPr="0019108A">
        <w:t>4.</w:t>
      </w:r>
      <w:r w:rsidRPr="0019108A">
        <w:tab/>
        <w:t>Durante el 116º período de sesiones, el Relator Especial para el seguimiento de los dictámenes se reunió con representantes de Filipinas, Libia y Sri Lanka para examinar la aplicación de los dictámenes del Comité.</w:t>
      </w:r>
    </w:p>
    <w:p w:rsidR="00D4750C" w:rsidRDefault="00D4750C" w:rsidP="008454F8">
      <w:pPr>
        <w:pStyle w:val="SingleTxtG"/>
      </w:pPr>
    </w:p>
    <w:p w:rsidR="00D4750C" w:rsidRDefault="00D4750C" w:rsidP="00D4750C">
      <w:pPr>
        <w:pStyle w:val="HChG"/>
        <w:spacing w:before="0"/>
      </w:pPr>
      <w:r>
        <w:br w:type="page"/>
      </w:r>
      <w:r w:rsidRPr="00295ECA">
        <w:lastRenderedPageBreak/>
        <w:tab/>
      </w:r>
      <w:r w:rsidRPr="00295ECA">
        <w:tab/>
        <w:t>Anex</w:t>
      </w:r>
      <w:r w:rsidR="001532E8">
        <w:t>o</w:t>
      </w:r>
    </w:p>
    <w:p w:rsidR="00D4750C" w:rsidRPr="00D4750C" w:rsidRDefault="00D4750C" w:rsidP="00D4750C">
      <w:pPr>
        <w:pStyle w:val="SingleTxtG"/>
        <w:jc w:val="right"/>
        <w:rPr>
          <w:i/>
        </w:rPr>
      </w:pPr>
      <w:r w:rsidRPr="00D4750C">
        <w:rPr>
          <w:i/>
        </w:rPr>
        <w:t>[Inglés únicamente]</w:t>
      </w:r>
    </w:p>
    <w:p w:rsidR="00D4750C" w:rsidRPr="00295ECA" w:rsidRDefault="00D4750C" w:rsidP="00D4750C">
      <w:pPr>
        <w:pStyle w:val="HChG"/>
      </w:pPr>
      <w:r w:rsidRPr="00295ECA">
        <w:tab/>
      </w:r>
      <w:r w:rsidRPr="00295ECA">
        <w:tab/>
        <w:t>Follow-up activities under the Optional Protocol</w:t>
      </w:r>
      <w:r w:rsidRPr="00A22850">
        <w:rPr>
          <w:rStyle w:val="Refdenotaalpie"/>
          <w:b w:val="0"/>
          <w:bCs/>
          <w:sz w:val="20"/>
          <w:vertAlign w:val="baseline"/>
        </w:rPr>
        <w:footnoteReference w:customMarkFollows="1" w:id="4"/>
        <w:t>*</w:t>
      </w:r>
    </w:p>
    <w:p w:rsidR="00D4750C" w:rsidRPr="00295ECA" w:rsidRDefault="00D4750C" w:rsidP="00D4750C">
      <w:pPr>
        <w:pStyle w:val="SingleTxtG"/>
      </w:pPr>
      <w:r w:rsidRPr="00295ECA">
        <w:t>1.</w:t>
      </w:r>
      <w:r w:rsidRPr="00295ECA">
        <w:tab/>
        <w:t xml:space="preserve">The table below provides a complete picture of the follow-up information provided in the replies of States parties to the Views of the Committee in which it concluded that there had been a violation of the Covenant that were received prior to the 116th session of the Committee (7-31 March 2016). It indicates whether the follow-up replies are considered satisfactory or unsatisfactory in terms of their compliance with the Committee’s Views, or whether the dialogue between the State party and the Special Rapporteur for follow-up on Views continues. </w:t>
      </w:r>
    </w:p>
    <w:p w:rsidR="00D4750C" w:rsidRPr="00295ECA" w:rsidRDefault="00D4750C" w:rsidP="00D4750C">
      <w:pPr>
        <w:pStyle w:val="SingleTxtG"/>
      </w:pPr>
      <w:r w:rsidRPr="00295ECA">
        <w:t>2.</w:t>
      </w:r>
      <w:r w:rsidRPr="00295ECA">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D4750C" w:rsidRDefault="00D4750C" w:rsidP="00D4750C">
      <w:pPr>
        <w:pStyle w:val="SingleTxtG"/>
      </w:pPr>
      <w:r w:rsidRPr="00295ECA">
        <w:t>3.</w:t>
      </w:r>
      <w:r w:rsidRPr="00295ECA">
        <w:tab/>
        <w:t>Follow-up information provided by States parties and by petitioners or their representatives subsequent to the previous interim report on follow-up to Views (CCPR/C/115/3) is published in the present report. Reports on follow-up to Views are no longer part of the Committee’s annual reports, but will be prepared periodically by the Special Rapporteur for follow-up on Views, adopted by the Committee during its October and March sessions, and published on the website of the Office of the United Nations High Commissioner for Human Rights.</w:t>
      </w:r>
    </w:p>
    <w:p w:rsidR="00D4750C" w:rsidRDefault="00D4750C" w:rsidP="00D4750C">
      <w:pPr>
        <w:pStyle w:val="SingleTxtG"/>
      </w:pPr>
    </w:p>
    <w:p w:rsidR="006B2037" w:rsidRDefault="006B2037" w:rsidP="00D4750C">
      <w:pPr>
        <w:pStyle w:val="SingleTxtG"/>
        <w:sectPr w:rsidR="006B2037" w:rsidSect="003B15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tbl>
      <w:tblPr>
        <w:tblW w:w="1235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86"/>
        <w:gridCol w:w="3755"/>
        <w:gridCol w:w="1815"/>
        <w:gridCol w:w="391"/>
        <w:gridCol w:w="400"/>
        <w:gridCol w:w="909"/>
        <w:gridCol w:w="2617"/>
        <w:gridCol w:w="786"/>
      </w:tblGrid>
      <w:tr w:rsidR="006B2037" w:rsidRPr="00295ECA" w:rsidTr="001532E8">
        <w:trPr>
          <w:gridAfter w:val="1"/>
          <w:wAfter w:w="786" w:type="dxa"/>
          <w:trHeight w:val="20"/>
          <w:tblHeader/>
        </w:trPr>
        <w:tc>
          <w:tcPr>
            <w:tcW w:w="1686" w:type="dxa"/>
            <w:tcBorders>
              <w:top w:val="single" w:sz="4" w:space="0" w:color="auto"/>
              <w:bottom w:val="single" w:sz="12" w:space="0" w:color="auto"/>
            </w:tcBorders>
            <w:shd w:val="clear" w:color="auto" w:fill="auto"/>
            <w:noWrap/>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lastRenderedPageBreak/>
              <w:t>State party and number of cases with violation</w:t>
            </w:r>
          </w:p>
        </w:tc>
        <w:tc>
          <w:tcPr>
            <w:tcW w:w="3755" w:type="dxa"/>
            <w:tcBorders>
              <w:top w:val="single" w:sz="4" w:space="0" w:color="auto"/>
              <w:bottom w:val="single" w:sz="12" w:space="0" w:color="auto"/>
            </w:tcBorders>
            <w:shd w:val="clear" w:color="auto" w:fill="auto"/>
            <w:noWrap/>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 xml:space="preserve">Communication number, author </w:t>
            </w:r>
            <w:r w:rsidRPr="00295ECA">
              <w:rPr>
                <w:rFonts w:asciiTheme="majorBidi" w:hAnsiTheme="majorBidi" w:cstheme="majorBidi"/>
                <w:i/>
                <w:sz w:val="16"/>
              </w:rPr>
              <w:br/>
              <w:t>and document symbol of the communication or relevant Committee report</w:t>
            </w:r>
          </w:p>
        </w:tc>
        <w:tc>
          <w:tcPr>
            <w:tcW w:w="1815" w:type="dxa"/>
            <w:tcBorders>
              <w:top w:val="single" w:sz="4" w:space="0" w:color="auto"/>
              <w:bottom w:val="single" w:sz="12" w:space="0" w:color="auto"/>
            </w:tcBorders>
            <w:shd w:val="clear" w:color="auto" w:fill="auto"/>
            <w:noWrap/>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response received from State party</w:t>
            </w:r>
          </w:p>
        </w:tc>
        <w:tc>
          <w:tcPr>
            <w:tcW w:w="391" w:type="dxa"/>
            <w:tcBorders>
              <w:top w:val="single" w:sz="4" w:space="0" w:color="auto"/>
              <w:bottom w:val="single" w:sz="12" w:space="0" w:color="auto"/>
            </w:tcBorders>
            <w:shd w:val="clear" w:color="auto" w:fill="auto"/>
            <w:noWrap/>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p>
        </w:tc>
        <w:tc>
          <w:tcPr>
            <w:tcW w:w="400" w:type="dxa"/>
            <w:tcBorders>
              <w:top w:val="single" w:sz="4" w:space="0" w:color="auto"/>
              <w:bottom w:val="single" w:sz="12" w:space="0" w:color="auto"/>
            </w:tcBorders>
            <w:shd w:val="clear" w:color="auto" w:fill="auto"/>
            <w:noWrap/>
            <w:tcMar>
              <w:left w:w="57" w:type="dxa"/>
              <w:right w:w="57" w:type="dxa"/>
            </w:tcMar>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p>
        </w:tc>
        <w:tc>
          <w:tcPr>
            <w:tcW w:w="909" w:type="dxa"/>
            <w:tcBorders>
              <w:top w:val="single" w:sz="4" w:space="0" w:color="auto"/>
              <w:bottom w:val="single" w:sz="12" w:space="0" w:color="auto"/>
            </w:tcBorders>
            <w:shd w:val="clear" w:color="auto" w:fill="auto"/>
            <w:noWrap/>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No response</w:t>
            </w:r>
          </w:p>
        </w:tc>
        <w:tc>
          <w:tcPr>
            <w:tcW w:w="2617" w:type="dxa"/>
            <w:tcBorders>
              <w:top w:val="single" w:sz="4" w:space="0" w:color="auto"/>
              <w:bottom w:val="single" w:sz="12" w:space="0" w:color="auto"/>
            </w:tcBorders>
            <w:shd w:val="clear" w:color="auto" w:fill="auto"/>
            <w:noWrap/>
            <w:vAlign w:val="bottom"/>
          </w:tcPr>
          <w:p w:rsidR="006B2037" w:rsidRPr="00295ECA" w:rsidRDefault="006B2037" w:rsidP="006B2037">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dialogue ongoing</w:t>
            </w:r>
          </w:p>
        </w:tc>
      </w:tr>
      <w:tr w:rsidR="006B2037" w:rsidRPr="00295ECA" w:rsidTr="001532E8">
        <w:trPr>
          <w:gridAfter w:val="1"/>
          <w:wAfter w:w="786" w:type="dxa"/>
        </w:trPr>
        <w:tc>
          <w:tcPr>
            <w:tcW w:w="1686"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Algeria (39)</w:t>
            </w:r>
          </w:p>
        </w:tc>
        <w:tc>
          <w:tcPr>
            <w:tcW w:w="3755"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992/2001, </w:t>
            </w:r>
            <w:r w:rsidRPr="00295ECA">
              <w:rPr>
                <w:rFonts w:asciiTheme="majorBidi" w:hAnsiTheme="majorBidi" w:cstheme="majorBidi"/>
                <w:i/>
                <w:iCs/>
              </w:rPr>
              <w:t>Bousroual</w:t>
            </w:r>
            <w:r w:rsidRPr="00295ECA">
              <w:rPr>
                <w:rFonts w:asciiTheme="majorBidi" w:hAnsiTheme="majorBidi" w:cstheme="majorBidi"/>
              </w:rPr>
              <w:br/>
              <w:t>A/61/40</w:t>
            </w:r>
          </w:p>
        </w:tc>
        <w:tc>
          <w:tcPr>
            <w:tcW w:w="1815"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single" w:sz="12" w:space="0" w:color="auto"/>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1085/2002, </w:t>
            </w:r>
            <w:r w:rsidRPr="00295ECA">
              <w:rPr>
                <w:rFonts w:asciiTheme="majorBidi" w:hAnsiTheme="majorBidi" w:cstheme="majorBidi"/>
                <w:i/>
                <w:iCs/>
              </w:rPr>
              <w:t>Taright</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1172/2003, </w:t>
            </w:r>
            <w:r w:rsidRPr="00295ECA">
              <w:rPr>
                <w:rFonts w:asciiTheme="majorBidi" w:hAnsiTheme="majorBidi" w:cstheme="majorBidi"/>
                <w:i/>
                <w:iCs/>
              </w:rPr>
              <w:t>Madani</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1173/2003, </w:t>
            </w:r>
            <w:r w:rsidRPr="00295ECA">
              <w:rPr>
                <w:rFonts w:asciiTheme="majorBidi" w:hAnsiTheme="majorBidi" w:cstheme="majorBidi"/>
                <w:i/>
                <w:iCs/>
              </w:rPr>
              <w:t>Benhadj</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1196/2003, </w:t>
            </w:r>
            <w:r w:rsidRPr="00295ECA">
              <w:rPr>
                <w:rFonts w:asciiTheme="majorBidi" w:hAnsiTheme="majorBidi" w:cstheme="majorBidi"/>
                <w:i/>
                <w:iCs/>
              </w:rPr>
              <w:t>Boucherf</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1297/2004, </w:t>
            </w:r>
            <w:r w:rsidRPr="00295ECA">
              <w:rPr>
                <w:rFonts w:asciiTheme="majorBidi" w:hAnsiTheme="majorBidi" w:cstheme="majorBidi"/>
                <w:i/>
                <w:iCs/>
              </w:rPr>
              <w:t>Medjnoune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1327/2004, </w:t>
            </w:r>
            <w:r w:rsidRPr="00295ECA">
              <w:rPr>
                <w:rFonts w:asciiTheme="majorBidi" w:hAnsiTheme="majorBidi" w:cstheme="majorBidi"/>
                <w:i/>
                <w:iCs/>
              </w:rPr>
              <w:t>Grioua</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vMerge w:val="restart"/>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1328/2004, </w:t>
            </w:r>
            <w:r w:rsidRPr="00295ECA">
              <w:rPr>
                <w:rFonts w:asciiTheme="majorBidi" w:hAnsiTheme="majorBidi" w:cstheme="majorBidi"/>
                <w:i/>
                <w:iCs/>
              </w:rPr>
              <w:t>Kimouche</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vMerge/>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1439/2005, </w:t>
            </w:r>
            <w:r w:rsidRPr="00295ECA">
              <w:rPr>
                <w:rFonts w:asciiTheme="majorBidi" w:hAnsiTheme="majorBidi" w:cstheme="majorBidi"/>
                <w:i/>
                <w:iCs/>
              </w:rPr>
              <w:t>Aber</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1495/2006, </w:t>
            </w:r>
            <w:r w:rsidRPr="00295ECA">
              <w:rPr>
                <w:rFonts w:asciiTheme="majorBidi" w:hAnsiTheme="majorBidi" w:cstheme="majorBidi"/>
                <w:i/>
                <w:iCs/>
              </w:rPr>
              <w:t>Madoui</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1588/2007, </w:t>
            </w:r>
            <w:r w:rsidRPr="00295ECA">
              <w:rPr>
                <w:rFonts w:asciiTheme="majorBidi" w:hAnsiTheme="majorBidi" w:cstheme="majorBidi"/>
                <w:i/>
                <w:iCs/>
              </w:rPr>
              <w:t>Benaziza</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1753/2008, </w:t>
            </w:r>
            <w:r w:rsidRPr="00295ECA">
              <w:rPr>
                <w:rFonts w:asciiTheme="majorBidi" w:hAnsiTheme="majorBidi" w:cstheme="majorBidi"/>
                <w:i/>
                <w:iCs/>
              </w:rPr>
              <w:t>Rakik</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1779/2008, </w:t>
            </w:r>
            <w:r w:rsidRPr="00295ECA">
              <w:rPr>
                <w:rFonts w:asciiTheme="majorBidi" w:hAnsiTheme="majorBidi" w:cstheme="majorBidi"/>
                <w:i/>
                <w:iCs/>
              </w:rPr>
              <w:t>Mezine</w:t>
            </w:r>
            <w:r w:rsidRPr="00295ECA">
              <w:rPr>
                <w:rFonts w:asciiTheme="majorBidi" w:hAnsiTheme="majorBidi" w:cstheme="majorBidi"/>
              </w:rPr>
              <w:br/>
              <w:t>A/68/40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1780/2008, </w:t>
            </w:r>
            <w:r w:rsidRPr="00295ECA">
              <w:rPr>
                <w:rFonts w:asciiTheme="majorBidi" w:hAnsiTheme="majorBidi" w:cstheme="majorBidi"/>
                <w:i/>
                <w:iCs/>
              </w:rPr>
              <w:t>Aouabdia et al.</w:t>
            </w:r>
            <w:r w:rsidRPr="00295ECA">
              <w:rPr>
                <w:rFonts w:asciiTheme="majorBidi" w:hAnsiTheme="majorBidi" w:cstheme="majorBidi"/>
              </w:rPr>
              <w:br/>
              <w:t>A/66/40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1781/2008, </w:t>
            </w:r>
            <w:r w:rsidRPr="00295ECA">
              <w:rPr>
                <w:rFonts w:asciiTheme="majorBidi" w:hAnsiTheme="majorBidi" w:cstheme="majorBidi"/>
                <w:i/>
                <w:iCs/>
              </w:rPr>
              <w:t>Berzig</w:t>
            </w:r>
            <w:r w:rsidRPr="00295ECA">
              <w:rPr>
                <w:rFonts w:asciiTheme="majorBidi" w:hAnsiTheme="majorBidi" w:cstheme="majorBidi"/>
              </w:rPr>
              <w:br/>
              <w:t>A/67/40</w:t>
            </w:r>
          </w:p>
        </w:tc>
        <w:tc>
          <w:tcPr>
            <w:tcW w:w="1815"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1791/2008, </w:t>
            </w:r>
            <w:r w:rsidRPr="00295ECA">
              <w:rPr>
                <w:rFonts w:asciiTheme="majorBidi" w:hAnsiTheme="majorBidi" w:cstheme="majorBidi"/>
                <w:i/>
                <w:iCs/>
              </w:rPr>
              <w:t>Sahbi</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1796/2008, </w:t>
            </w:r>
            <w:r w:rsidRPr="00295ECA">
              <w:rPr>
                <w:rFonts w:asciiTheme="majorBidi" w:hAnsiTheme="majorBidi" w:cstheme="majorBidi"/>
                <w:i/>
                <w:iCs/>
              </w:rPr>
              <w:t>Zerrougui</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1798/2008, </w:t>
            </w:r>
            <w:r w:rsidRPr="00295ECA">
              <w:rPr>
                <w:rFonts w:asciiTheme="majorBidi" w:hAnsiTheme="majorBidi" w:cstheme="majorBidi"/>
                <w:i/>
                <w:iCs/>
              </w:rPr>
              <w:t>Azouz</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1806/2008, </w:t>
            </w:r>
            <w:r w:rsidRPr="00295ECA">
              <w:rPr>
                <w:rFonts w:asciiTheme="majorBidi" w:hAnsiTheme="majorBidi" w:cstheme="majorBidi"/>
                <w:i/>
                <w:iCs/>
              </w:rPr>
              <w:t>Saadoun</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1807/2008, </w:t>
            </w:r>
            <w:r w:rsidRPr="00295ECA">
              <w:rPr>
                <w:rFonts w:asciiTheme="majorBidi" w:hAnsiTheme="majorBidi" w:cstheme="majorBidi"/>
                <w:i/>
                <w:iCs/>
              </w:rPr>
              <w:t>Mechani</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1811/2008, </w:t>
            </w:r>
            <w:r w:rsidRPr="00295ECA">
              <w:rPr>
                <w:rFonts w:asciiTheme="majorBidi" w:hAnsiTheme="majorBidi" w:cstheme="majorBidi"/>
                <w:i/>
                <w:iCs/>
              </w:rPr>
              <w:t>Djebbar</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Chihoub</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1831/2008, </w:t>
            </w:r>
            <w:r w:rsidRPr="00295ECA">
              <w:rPr>
                <w:rFonts w:asciiTheme="majorBidi" w:hAnsiTheme="majorBidi" w:cstheme="majorBidi"/>
                <w:i/>
                <w:iCs/>
              </w:rPr>
              <w:t>Larbi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1874/2009, </w:t>
            </w:r>
            <w:r w:rsidRPr="00295ECA">
              <w:rPr>
                <w:rFonts w:asciiTheme="majorBidi" w:hAnsiTheme="majorBidi" w:cstheme="majorBidi"/>
                <w:i/>
                <w:iCs/>
              </w:rPr>
              <w:t>Mihoubi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Del="001D348E"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1884/2009, </w:t>
            </w:r>
            <w:r w:rsidRPr="00295ECA">
              <w:rPr>
                <w:rFonts w:asciiTheme="majorBidi" w:hAnsiTheme="majorBidi" w:cstheme="majorBidi"/>
                <w:i/>
                <w:iCs/>
              </w:rPr>
              <w:t>Faraoun</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Del="001D348E"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1889/2009, </w:t>
            </w:r>
            <w:r w:rsidRPr="00295ECA">
              <w:rPr>
                <w:rFonts w:asciiTheme="majorBidi" w:hAnsiTheme="majorBidi" w:cstheme="majorBidi"/>
                <w:i/>
                <w:iCs/>
              </w:rPr>
              <w:t>Marouf</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Del="001D348E"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1899/2009, </w:t>
            </w:r>
            <w:r w:rsidRPr="00295ECA">
              <w:rPr>
                <w:rFonts w:asciiTheme="majorBidi" w:hAnsiTheme="majorBidi" w:cstheme="majorBidi"/>
                <w:i/>
                <w:iCs/>
              </w:rPr>
              <w:t>Lakhdar-Chaouch</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1900/2009, </w:t>
            </w:r>
            <w:r w:rsidRPr="00295ECA">
              <w:rPr>
                <w:rFonts w:asciiTheme="majorBidi" w:hAnsiTheme="majorBidi" w:cstheme="majorBidi"/>
                <w:i/>
                <w:iCs/>
              </w:rPr>
              <w:t>Mehalli</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1905/2009, </w:t>
            </w:r>
            <w:r w:rsidRPr="00295ECA">
              <w:rPr>
                <w:rFonts w:asciiTheme="majorBidi" w:hAnsiTheme="majorBidi" w:cstheme="majorBidi"/>
                <w:i/>
                <w:iCs/>
              </w:rPr>
              <w:t>Ouaghlissi</w:t>
            </w:r>
            <w:r w:rsidRPr="00295ECA">
              <w:rPr>
                <w:rFonts w:asciiTheme="majorBidi" w:hAnsiTheme="majorBidi" w:cstheme="majorBidi"/>
              </w:rPr>
              <w:br/>
              <w:t>A/67/40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Del="001D348E"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CCPR/C/111/D/1924/2010, </w:t>
            </w:r>
            <w:r w:rsidRPr="00B70E5A">
              <w:rPr>
                <w:rFonts w:asciiTheme="majorBidi" w:hAnsiTheme="majorBidi" w:cstheme="majorBidi"/>
                <w:i/>
                <w:iCs/>
                <w:lang w:val="fr-CH"/>
              </w:rPr>
              <w:t>Boudehane</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lastRenderedPageBreak/>
              <w:t xml:space="preserve">CCPR/C/111/D/1931/2010, </w:t>
            </w:r>
            <w:r w:rsidRPr="00B70E5A">
              <w:rPr>
                <w:rFonts w:asciiTheme="majorBidi" w:hAnsiTheme="majorBidi" w:cstheme="majorBidi"/>
                <w:i/>
                <w:iCs/>
                <w:lang w:val="fr-CH"/>
              </w:rPr>
              <w:t>Bouzenia</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CCPR/C/111/D/1964/2010, </w:t>
            </w:r>
            <w:r w:rsidRPr="00B70E5A">
              <w:rPr>
                <w:rFonts w:asciiTheme="majorBidi" w:hAnsiTheme="majorBidi" w:cstheme="majorBidi"/>
                <w:i/>
                <w:iCs/>
                <w:lang w:val="fr-CH"/>
              </w:rPr>
              <w:t>Fedsi</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CCPR/C/111/D/1974/2010, </w:t>
            </w:r>
            <w:r w:rsidRPr="00B70E5A">
              <w:rPr>
                <w:rFonts w:asciiTheme="majorBidi" w:hAnsiTheme="majorBidi" w:cstheme="majorBidi"/>
                <w:i/>
                <w:iCs/>
                <w:lang w:val="fr-CH"/>
              </w:rPr>
              <w:t>Bouzaout</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CCPR/C/112/D/2026/2011, </w:t>
            </w:r>
            <w:r w:rsidRPr="00B70E5A">
              <w:rPr>
                <w:rFonts w:asciiTheme="majorBidi" w:hAnsiTheme="majorBidi" w:cstheme="majorBidi"/>
                <w:i/>
                <w:iCs/>
                <w:lang w:val="fr-CH"/>
              </w:rPr>
              <w:t>Sassene</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CCPR/C/112/D/2083/2011, </w:t>
            </w:r>
            <w:r w:rsidRPr="00B70E5A">
              <w:rPr>
                <w:rFonts w:asciiTheme="majorBidi" w:hAnsiTheme="majorBidi" w:cstheme="majorBidi"/>
                <w:i/>
                <w:iCs/>
                <w:lang w:val="fr-CH"/>
              </w:rPr>
              <w:t>Kroumi</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CCPR/C/112/D/2086/2011, </w:t>
            </w:r>
            <w:r w:rsidRPr="00B70E5A">
              <w:rPr>
                <w:rFonts w:asciiTheme="majorBidi" w:hAnsiTheme="majorBidi" w:cstheme="majorBidi"/>
                <w:i/>
                <w:iCs/>
                <w:lang w:val="fr-CH"/>
              </w:rPr>
              <w:t>Ayache</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CCPR/C/112/D/2098/2011, </w:t>
            </w:r>
            <w:r w:rsidRPr="00B70E5A">
              <w:rPr>
                <w:rFonts w:asciiTheme="majorBidi" w:hAnsiTheme="majorBidi" w:cstheme="majorBidi"/>
                <w:i/>
                <w:iCs/>
                <w:lang w:val="fr-CH"/>
              </w:rPr>
              <w:t>Ammari</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CCPR/C/112/D/2117/2011, </w:t>
            </w:r>
            <w:r w:rsidRPr="00B70E5A">
              <w:rPr>
                <w:rFonts w:asciiTheme="majorBidi" w:hAnsiTheme="majorBidi" w:cstheme="majorBidi"/>
                <w:i/>
                <w:iCs/>
                <w:lang w:val="fr-CH"/>
              </w:rPr>
              <w:t>Louddi</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CCPR/C/112/D/2132/2012, </w:t>
            </w:r>
            <w:r w:rsidRPr="00295ECA">
              <w:rPr>
                <w:rFonts w:asciiTheme="majorBidi" w:hAnsiTheme="majorBidi" w:cstheme="majorBidi"/>
                <w:i/>
                <w:iCs/>
              </w:rPr>
              <w:t>Kerouane</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CCPR/C/116/D/2297/2013, </w:t>
            </w:r>
            <w:r w:rsidRPr="00295ECA">
              <w:rPr>
                <w:rFonts w:asciiTheme="majorBidi" w:hAnsiTheme="majorBidi" w:cstheme="majorBidi"/>
                <w:i/>
                <w:iCs/>
              </w:rPr>
              <w:t>Chani</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Angola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711/1996, </w:t>
            </w:r>
            <w:r w:rsidRPr="00295ECA">
              <w:rPr>
                <w:rFonts w:asciiTheme="majorBidi" w:hAnsiTheme="majorBidi" w:cstheme="majorBidi"/>
                <w:i/>
                <w:iCs/>
              </w:rPr>
              <w:t>Dias</w:t>
            </w:r>
            <w:r w:rsidRPr="00295ECA">
              <w:rPr>
                <w:rFonts w:asciiTheme="majorBidi" w:hAnsiTheme="majorBidi" w:cstheme="majorBidi"/>
              </w:rPr>
              <w:t xml:space="preserve"> </w:t>
            </w:r>
            <w:r w:rsidRPr="00295ECA">
              <w:rPr>
                <w:rFonts w:asciiTheme="majorBidi" w:hAnsiTheme="majorBidi" w:cstheme="majorBidi"/>
              </w:rPr>
              <w:br/>
              <w:t>A/55/40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1128/2002, </w:t>
            </w:r>
            <w:r w:rsidRPr="00295ECA">
              <w:rPr>
                <w:rFonts w:asciiTheme="majorBidi" w:hAnsiTheme="majorBidi" w:cstheme="majorBidi"/>
                <w:i/>
                <w:iCs/>
              </w:rPr>
              <w:t>Marques</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Argentina (4)</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400/1990, </w:t>
            </w:r>
            <w:r w:rsidRPr="00295ECA">
              <w:rPr>
                <w:rFonts w:asciiTheme="majorBidi" w:hAnsiTheme="majorBidi" w:cstheme="majorBidi"/>
                <w:i/>
                <w:iCs/>
              </w:rPr>
              <w:t>Mónaco de Gallichio</w:t>
            </w:r>
            <w:r w:rsidRPr="00295ECA">
              <w:rPr>
                <w:rFonts w:asciiTheme="majorBidi" w:hAnsiTheme="majorBidi" w:cstheme="majorBidi"/>
              </w:rPr>
              <w:br/>
              <w:t>A/50/40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1458/2006, </w:t>
            </w:r>
            <w:r w:rsidRPr="00295ECA">
              <w:rPr>
                <w:rFonts w:asciiTheme="majorBidi" w:hAnsiTheme="majorBidi" w:cstheme="majorBidi"/>
                <w:i/>
                <w:iCs/>
              </w:rPr>
              <w:t>González et al.</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1608/2007, </w:t>
            </w:r>
            <w:r w:rsidRPr="00295ECA">
              <w:rPr>
                <w:rFonts w:asciiTheme="majorBidi" w:hAnsiTheme="majorBidi" w:cstheme="majorBidi"/>
                <w:i/>
                <w:iCs/>
              </w:rPr>
              <w:t>L.M.R.</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1610/2007, </w:t>
            </w:r>
            <w:r w:rsidRPr="00295ECA">
              <w:rPr>
                <w:rFonts w:asciiTheme="majorBidi" w:hAnsiTheme="majorBidi" w:cstheme="majorBidi"/>
                <w:i/>
                <w:iCs/>
              </w:rPr>
              <w:t>L.N.P.</w:t>
            </w:r>
            <w:r w:rsidRPr="00295ECA">
              <w:rPr>
                <w:rFonts w:asciiTheme="majorBidi" w:hAnsiTheme="majorBidi" w:cstheme="majorBidi"/>
              </w:rPr>
              <w:br/>
              <w:t>A/66/40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(A/69/40).</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Australia (36) </w:t>
            </w: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560/1993, </w:t>
            </w:r>
            <w:r w:rsidRPr="00295ECA">
              <w:rPr>
                <w:rFonts w:asciiTheme="majorBidi" w:hAnsiTheme="majorBidi" w:cstheme="majorBidi"/>
                <w:i/>
                <w:iCs/>
              </w:rPr>
              <w:t>A.</w:t>
            </w:r>
            <w:r w:rsidRPr="00295ECA">
              <w:rPr>
                <w:rFonts w:asciiTheme="majorBidi" w:hAnsiTheme="majorBidi" w:cstheme="majorBidi"/>
              </w:rPr>
              <w:t xml:space="preserve"> </w:t>
            </w:r>
            <w:r w:rsidRPr="00295ECA">
              <w:rPr>
                <w:rFonts w:asciiTheme="majorBidi" w:hAnsiTheme="majorBidi" w:cstheme="majorBidi"/>
              </w:rPr>
              <w:br/>
              <w:t>A/52/40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A/55/40, A/56/40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900/1999, </w:t>
            </w:r>
            <w:r w:rsidRPr="00295ECA">
              <w:rPr>
                <w:rFonts w:asciiTheme="majorBidi" w:hAnsiTheme="majorBidi" w:cstheme="majorBidi"/>
                <w:i/>
                <w:iCs/>
              </w:rPr>
              <w:t>C.</w:t>
            </w:r>
            <w:r w:rsidRPr="00295ECA">
              <w:rPr>
                <w:rFonts w:asciiTheme="majorBidi" w:hAnsiTheme="majorBidi" w:cstheme="majorBidi"/>
              </w:rPr>
              <w:br/>
              <w:t>A/58/40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A/60/40, A/62/40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930/2000, </w:t>
            </w:r>
            <w:r w:rsidRPr="00295ECA">
              <w:rPr>
                <w:rFonts w:asciiTheme="majorBidi" w:hAnsiTheme="majorBidi" w:cstheme="majorBidi"/>
                <w:i/>
                <w:iCs/>
              </w:rPr>
              <w:t>Winata et al.</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CCPR/C/80/FU/1, A/57/40, A/60/40 A/62/40, 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941/2000, </w:t>
            </w:r>
            <w:r w:rsidRPr="00295ECA">
              <w:rPr>
                <w:rFonts w:asciiTheme="majorBidi" w:hAnsiTheme="majorBidi" w:cstheme="majorBidi"/>
                <w:i/>
                <w:iCs/>
              </w:rPr>
              <w:t>Young</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A/60/40, A/62/40, 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1014/2001, </w:t>
            </w:r>
            <w:r w:rsidRPr="00295ECA">
              <w:rPr>
                <w:rFonts w:asciiTheme="majorBidi" w:hAnsiTheme="majorBidi" w:cstheme="majorBidi"/>
                <w:i/>
                <w:iCs/>
              </w:rPr>
              <w:t>Baban et al.</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1020/2001, </w:t>
            </w:r>
            <w:r w:rsidRPr="00295ECA">
              <w:rPr>
                <w:rFonts w:asciiTheme="majorBidi" w:hAnsiTheme="majorBidi" w:cstheme="majorBidi"/>
                <w:i/>
                <w:iCs/>
              </w:rPr>
              <w:t>Cabal and Pasini</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1036/2001, </w:t>
            </w:r>
            <w:r w:rsidRPr="00295ECA">
              <w:rPr>
                <w:rFonts w:asciiTheme="majorBidi" w:hAnsiTheme="majorBidi" w:cstheme="majorBidi"/>
                <w:i/>
                <w:iCs/>
              </w:rPr>
              <w:t>Faure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1050/2002, </w:t>
            </w:r>
            <w:r w:rsidRPr="00295ECA">
              <w:rPr>
                <w:rFonts w:asciiTheme="majorBidi" w:hAnsiTheme="majorBidi" w:cstheme="majorBidi"/>
                <w:i/>
                <w:iCs/>
              </w:rPr>
              <w:t>Rafie</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Safdel</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1069/2002, </w:t>
            </w:r>
            <w:r w:rsidRPr="00295ECA">
              <w:rPr>
                <w:rFonts w:asciiTheme="majorBidi" w:hAnsiTheme="majorBidi" w:cstheme="majorBidi"/>
                <w:i/>
                <w:iCs/>
              </w:rPr>
              <w:t>Bakhitiyari</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1157/2003, </w:t>
            </w:r>
            <w:r w:rsidRPr="00295ECA">
              <w:rPr>
                <w:rFonts w:asciiTheme="majorBidi" w:hAnsiTheme="majorBidi" w:cstheme="majorBidi"/>
                <w:i/>
                <w:iCs/>
              </w:rPr>
              <w:t>Coleman</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1184/2003, </w:t>
            </w:r>
            <w:r w:rsidRPr="00295ECA">
              <w:rPr>
                <w:rFonts w:asciiTheme="majorBidi" w:hAnsiTheme="majorBidi" w:cstheme="majorBidi"/>
                <w:i/>
                <w:iCs/>
              </w:rPr>
              <w:t>Brough</w:t>
            </w:r>
            <w:r w:rsidRPr="00295ECA">
              <w:rPr>
                <w:rFonts w:asciiTheme="majorBidi" w:hAnsiTheme="majorBidi" w:cstheme="majorBidi"/>
              </w:rPr>
              <w:br/>
              <w:t>A/61/40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1255, 1256, 1259, 1260, 1266, 1268, 1270 and 1288/2004, </w:t>
            </w:r>
            <w:r w:rsidRPr="00295ECA">
              <w:rPr>
                <w:rFonts w:asciiTheme="majorBidi" w:hAnsiTheme="majorBidi" w:cstheme="majorBidi"/>
                <w:i/>
                <w:iCs/>
              </w:rPr>
              <w:t>Shams</w:t>
            </w:r>
            <w:r w:rsidRPr="00295ECA">
              <w:rPr>
                <w:rFonts w:asciiTheme="majorBidi" w:hAnsiTheme="majorBidi" w:cstheme="majorBidi"/>
              </w:rPr>
              <w:t xml:space="preserve">, </w:t>
            </w:r>
            <w:r w:rsidRPr="00295ECA">
              <w:rPr>
                <w:rFonts w:asciiTheme="majorBidi" w:hAnsiTheme="majorBidi" w:cstheme="majorBidi"/>
                <w:i/>
                <w:iCs/>
              </w:rPr>
              <w:t>Atvan</w:t>
            </w:r>
            <w:r w:rsidRPr="00295ECA">
              <w:rPr>
                <w:rFonts w:asciiTheme="majorBidi" w:hAnsiTheme="majorBidi" w:cstheme="majorBidi"/>
              </w:rPr>
              <w:t xml:space="preserve">, </w:t>
            </w:r>
            <w:r w:rsidRPr="00295ECA">
              <w:rPr>
                <w:rFonts w:asciiTheme="majorBidi" w:hAnsiTheme="majorBidi" w:cstheme="majorBidi"/>
                <w:i/>
                <w:iCs/>
              </w:rPr>
              <w:t>Shahrooei</w:t>
            </w:r>
            <w:r w:rsidRPr="00295ECA">
              <w:rPr>
                <w:rFonts w:asciiTheme="majorBidi" w:hAnsiTheme="majorBidi" w:cstheme="majorBidi"/>
              </w:rPr>
              <w:t xml:space="preserve">, </w:t>
            </w:r>
            <w:r w:rsidRPr="00295ECA">
              <w:rPr>
                <w:rFonts w:asciiTheme="majorBidi" w:hAnsiTheme="majorBidi" w:cstheme="majorBidi"/>
                <w:i/>
                <w:iCs/>
              </w:rPr>
              <w:t>Saadat</w:t>
            </w:r>
            <w:r w:rsidRPr="00295ECA">
              <w:rPr>
                <w:rFonts w:asciiTheme="majorBidi" w:hAnsiTheme="majorBidi" w:cstheme="majorBidi"/>
              </w:rPr>
              <w:t xml:space="preserve">, </w:t>
            </w:r>
            <w:r w:rsidRPr="00295ECA">
              <w:rPr>
                <w:rFonts w:asciiTheme="majorBidi" w:hAnsiTheme="majorBidi" w:cstheme="majorBidi"/>
                <w:i/>
                <w:iCs/>
              </w:rPr>
              <w:t>Ramezani</w:t>
            </w:r>
            <w:r w:rsidRPr="00295ECA">
              <w:rPr>
                <w:rFonts w:asciiTheme="majorBidi" w:hAnsiTheme="majorBidi" w:cstheme="majorBidi"/>
              </w:rPr>
              <w:t xml:space="preserve">, </w:t>
            </w:r>
            <w:r w:rsidRPr="00295ECA">
              <w:rPr>
                <w:rFonts w:asciiTheme="majorBidi" w:hAnsiTheme="majorBidi" w:cstheme="majorBidi"/>
                <w:i/>
                <w:iCs/>
              </w:rPr>
              <w:t>Boostani</w:t>
            </w:r>
            <w:r w:rsidRPr="00295ECA">
              <w:rPr>
                <w:rFonts w:asciiTheme="majorBidi" w:hAnsiTheme="majorBidi" w:cstheme="majorBidi"/>
              </w:rPr>
              <w:t xml:space="preserve">, </w:t>
            </w:r>
            <w:r w:rsidRPr="00295ECA">
              <w:rPr>
                <w:rFonts w:asciiTheme="majorBidi" w:hAnsiTheme="majorBidi" w:cstheme="majorBidi"/>
                <w:i/>
                <w:iCs/>
              </w:rPr>
              <w:t>Behrooz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Sefed</w:t>
            </w:r>
            <w:r w:rsidRPr="00295ECA">
              <w:rPr>
                <w:rFonts w:asciiTheme="majorBidi" w:hAnsiTheme="majorBidi" w:cstheme="majorBidi"/>
              </w:rPr>
              <w:br/>
              <w:t>A/62/40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1324/2004, </w:t>
            </w:r>
            <w:r w:rsidRPr="00295ECA">
              <w:rPr>
                <w:rFonts w:asciiTheme="majorBidi" w:hAnsiTheme="majorBidi" w:cstheme="majorBidi"/>
                <w:i/>
                <w:iCs/>
              </w:rPr>
              <w:t>Shafiq</w:t>
            </w:r>
            <w:r w:rsidRPr="00295ECA">
              <w:rPr>
                <w:rFonts w:asciiTheme="majorBidi" w:hAnsiTheme="majorBidi" w:cstheme="majorBidi"/>
              </w:rPr>
              <w:br/>
              <w:t>A/62/40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1347/2005, </w:t>
            </w:r>
            <w:r w:rsidRPr="00295ECA">
              <w:rPr>
                <w:rFonts w:asciiTheme="majorBidi" w:hAnsiTheme="majorBidi" w:cstheme="majorBidi"/>
                <w:i/>
                <w:iCs/>
              </w:rPr>
              <w:t>Dudko</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1442/2005, </w:t>
            </w:r>
            <w:r w:rsidRPr="00295ECA">
              <w:rPr>
                <w:rFonts w:asciiTheme="majorBidi" w:hAnsiTheme="majorBidi" w:cstheme="majorBidi"/>
                <w:i/>
                <w:iCs/>
              </w:rPr>
              <w:t>Kwok</w:t>
            </w:r>
            <w:r w:rsidRPr="00295ECA">
              <w:rPr>
                <w:rFonts w:asciiTheme="majorBidi" w:hAnsiTheme="majorBidi" w:cstheme="majorBidi"/>
              </w:rPr>
              <w:br/>
              <w:t xml:space="preserve">A/65/40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w:t>
            </w:r>
            <w:r w:rsidRPr="00295ECA">
              <w:rPr>
                <w:rFonts w:asciiTheme="majorBidi" w:hAnsiTheme="majorBidi" w:cstheme="majorBidi"/>
              </w:rPr>
              <w:br/>
              <w:t>(see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1629/2007, </w:t>
            </w:r>
            <w:r w:rsidRPr="00295ECA">
              <w:rPr>
                <w:rFonts w:asciiTheme="majorBidi" w:hAnsiTheme="majorBidi" w:cstheme="majorBidi"/>
                <w:i/>
                <w:iCs/>
              </w:rPr>
              <w:t>Fardon</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unsatisfactory implementation of the recommendation (A/69/40). </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1557/2007, </w:t>
            </w:r>
            <w:r w:rsidRPr="00295ECA">
              <w:rPr>
                <w:rFonts w:asciiTheme="majorBidi" w:hAnsiTheme="majorBidi" w:cstheme="majorBidi"/>
                <w:i/>
                <w:iCs/>
              </w:rPr>
              <w:t>Nystrom</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A/66/40</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(A/68/40).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1635/2007, </w:t>
            </w:r>
            <w:r w:rsidRPr="00295ECA">
              <w:rPr>
                <w:rFonts w:asciiTheme="majorBidi" w:hAnsiTheme="majorBidi" w:cstheme="majorBidi"/>
                <w:i/>
                <w:iCs/>
              </w:rPr>
              <w:t>Tillman</w:t>
            </w:r>
            <w:r w:rsidRPr="00295ECA">
              <w:rPr>
                <w:rFonts w:asciiTheme="majorBidi" w:hAnsiTheme="majorBidi" w:cstheme="majorBidi"/>
              </w:rPr>
              <w:br/>
              <w:t>A/65/40</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Del="00DB1616"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1885/2009, </w:t>
            </w:r>
            <w:r w:rsidRPr="00295ECA">
              <w:rPr>
                <w:rFonts w:asciiTheme="majorBidi" w:hAnsiTheme="majorBidi" w:cstheme="majorBidi"/>
                <w:i/>
                <w:iCs/>
              </w:rPr>
              <w:t>Horvath</w:t>
            </w:r>
            <w:r w:rsidRPr="00295ECA">
              <w:rPr>
                <w:rFonts w:asciiTheme="majorBidi" w:hAnsiTheme="majorBidi" w:cstheme="majorBidi"/>
              </w:rPr>
              <w:br/>
              <w:t>A/69/40</w:t>
            </w:r>
          </w:p>
        </w:tc>
        <w:tc>
          <w:tcPr>
            <w:tcW w:w="1815" w:type="dxa"/>
            <w:shd w:val="clear" w:color="auto" w:fill="auto"/>
            <w:noWrap/>
          </w:tcPr>
          <w:p w:rsidR="006B2037" w:rsidRPr="00295ECA" w:rsidDel="00DB1616"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CCPR/C/112/D/1968/2010, </w:t>
            </w:r>
            <w:r w:rsidRPr="00295ECA">
              <w:rPr>
                <w:rFonts w:asciiTheme="majorBidi" w:hAnsiTheme="majorBidi" w:cstheme="majorBidi"/>
                <w:i/>
                <w:iCs/>
              </w:rPr>
              <w:t>Blessington</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Elliot</w:t>
            </w:r>
          </w:p>
          <w:p w:rsidR="006B2037" w:rsidRPr="00295ECA" w:rsidDel="00DB1616"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CCPR/C/112/D/1973/2010, </w:t>
            </w:r>
            <w:r w:rsidRPr="00295ECA">
              <w:rPr>
                <w:rFonts w:asciiTheme="majorBidi" w:hAnsiTheme="majorBidi" w:cstheme="majorBidi"/>
                <w:i/>
                <w:iCs/>
              </w:rPr>
              <w:t>Griffiths</w:t>
            </w:r>
          </w:p>
        </w:tc>
        <w:tc>
          <w:tcPr>
            <w:tcW w:w="1815" w:type="dxa"/>
            <w:shd w:val="clear" w:color="auto" w:fill="auto"/>
            <w:noWrap/>
          </w:tcPr>
          <w:p w:rsidR="006B2037" w:rsidRPr="00295ECA" w:rsidDel="00DB1616"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p>
          <w:p w:rsidR="006B2037" w:rsidRPr="00295ECA" w:rsidDel="00FC4C75"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Del="00DB1616"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2094/2011, </w:t>
            </w:r>
            <w:r w:rsidRPr="00295ECA">
              <w:rPr>
                <w:rFonts w:asciiTheme="majorBidi" w:hAnsiTheme="majorBidi" w:cstheme="majorBidi"/>
                <w:i/>
                <w:iCs/>
              </w:rPr>
              <w:t>F.K.A.G.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6B2037" w:rsidRPr="00295ECA" w:rsidDel="00DB1616"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Del="00FC4C75"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Del="00DB1616"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2136/2012, </w:t>
            </w:r>
            <w:r w:rsidRPr="00295ECA">
              <w:rPr>
                <w:rFonts w:asciiTheme="majorBidi" w:hAnsiTheme="majorBidi" w:cstheme="majorBidi"/>
                <w:i/>
                <w:iCs/>
              </w:rPr>
              <w:t>M.M.M.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6B2037" w:rsidRPr="00295ECA" w:rsidDel="00DB1616"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Del="00FC4C75"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CCPR/C/113/D/1875/2009, </w:t>
            </w:r>
            <w:r w:rsidRPr="00295ECA">
              <w:rPr>
                <w:rFonts w:asciiTheme="majorBidi" w:hAnsiTheme="majorBidi" w:cstheme="majorBidi"/>
                <w:i/>
                <w:iCs/>
              </w:rPr>
              <w:t>M.G.C.</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CCPR/C/113/D/1937/2010, </w:t>
            </w:r>
            <w:r w:rsidRPr="00295ECA">
              <w:rPr>
                <w:rFonts w:asciiTheme="majorBidi" w:hAnsiTheme="majorBidi" w:cstheme="majorBidi"/>
                <w:i/>
                <w:iCs/>
              </w:rPr>
              <w:t>Leghaei</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CCPR/C/115/D/2005/2010, </w:t>
            </w:r>
            <w:r w:rsidRPr="00295ECA">
              <w:rPr>
                <w:rFonts w:asciiTheme="majorBidi" w:hAnsiTheme="majorBidi" w:cstheme="majorBidi"/>
                <w:i/>
                <w:iCs/>
              </w:rPr>
              <w:t>Hicks</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CCPR/C/116/D/2229/2012, </w:t>
            </w:r>
            <w:r w:rsidRPr="00295ECA">
              <w:rPr>
                <w:rFonts w:asciiTheme="majorBidi" w:hAnsiTheme="majorBidi" w:cstheme="majorBidi"/>
                <w:i/>
                <w:iCs/>
              </w:rPr>
              <w:t>Nasir</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CCPR/C/116/D/2233/2013, </w:t>
            </w:r>
            <w:r w:rsidRPr="00295ECA">
              <w:rPr>
                <w:rFonts w:asciiTheme="majorBidi" w:hAnsiTheme="majorBidi" w:cstheme="majorBidi"/>
                <w:i/>
                <w:iCs/>
              </w:rPr>
              <w:t>F.J.</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CCPR/C/115/D/2279/2013, </w:t>
            </w:r>
            <w:r w:rsidRPr="00295ECA">
              <w:rPr>
                <w:rFonts w:asciiTheme="majorBidi" w:hAnsiTheme="majorBidi" w:cstheme="majorBidi"/>
                <w:i/>
                <w:iCs/>
              </w:rPr>
              <w:t>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N.</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Austria (4)</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415/1990, </w:t>
            </w:r>
            <w:r w:rsidRPr="00295ECA">
              <w:rPr>
                <w:rFonts w:asciiTheme="majorBidi" w:hAnsiTheme="majorBidi" w:cstheme="majorBidi"/>
                <w:i/>
                <w:iCs/>
              </w:rPr>
              <w:t>Pauger</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A/47/40, A/52/40, 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716/1996, </w:t>
            </w:r>
            <w:r w:rsidRPr="00295ECA">
              <w:rPr>
                <w:rFonts w:asciiTheme="majorBidi" w:hAnsiTheme="majorBidi" w:cstheme="majorBidi"/>
                <w:i/>
                <w:iCs/>
              </w:rPr>
              <w:t>Pauger</w:t>
            </w:r>
            <w:r w:rsidRPr="00295ECA">
              <w:rPr>
                <w:rFonts w:asciiTheme="majorBidi" w:hAnsiTheme="majorBidi" w:cstheme="majorBidi"/>
              </w:rPr>
              <w:br/>
              <w:t>A/54/40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A/55/40, A/57/40, A/66/40, CCPR/C/80/FU/1</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965/2001, </w:t>
            </w:r>
            <w:r w:rsidRPr="00295ECA">
              <w:rPr>
                <w:rFonts w:asciiTheme="majorBidi" w:hAnsiTheme="majorBidi" w:cstheme="majorBidi"/>
                <w:i/>
                <w:iCs/>
              </w:rPr>
              <w:t>Karakurt</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1454/2006, </w:t>
            </w:r>
            <w:r w:rsidRPr="00295ECA">
              <w:rPr>
                <w:rFonts w:asciiTheme="majorBidi" w:hAnsiTheme="majorBidi" w:cstheme="majorBidi"/>
                <w:i/>
                <w:iCs/>
              </w:rPr>
              <w:t>Lederbauer</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Azerbaijan (2)</w:t>
            </w: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1633/2007, </w:t>
            </w:r>
            <w:r w:rsidRPr="00295ECA">
              <w:rPr>
                <w:rFonts w:asciiTheme="majorBidi" w:hAnsiTheme="majorBidi" w:cstheme="majorBidi"/>
                <w:i/>
                <w:iCs/>
              </w:rPr>
              <w:t>Avadanov</w:t>
            </w:r>
            <w:r w:rsidRPr="00295ECA">
              <w:rPr>
                <w:rFonts w:asciiTheme="majorBidi" w:hAnsiTheme="majorBidi" w:cstheme="majorBidi"/>
              </w:rPr>
              <w:br/>
              <w:t>A/66/40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CCPR/C/112/D/1972/2010, </w:t>
            </w:r>
            <w:r w:rsidRPr="00295ECA">
              <w:rPr>
                <w:rFonts w:asciiTheme="majorBidi" w:hAnsiTheme="majorBidi" w:cstheme="majorBidi"/>
                <w:i/>
                <w:iCs/>
              </w:rPr>
              <w:t>Quliyev</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Belarus (86) </w:t>
            </w: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780/1997, </w:t>
            </w:r>
            <w:r w:rsidRPr="00295ECA">
              <w:rPr>
                <w:rFonts w:asciiTheme="majorBidi" w:hAnsiTheme="majorBidi" w:cstheme="majorBidi"/>
                <w:i/>
                <w:iCs/>
              </w:rPr>
              <w:t>Laptsevich</w:t>
            </w:r>
            <w:r w:rsidRPr="00295ECA">
              <w:rPr>
                <w:rFonts w:asciiTheme="majorBidi" w:hAnsiTheme="majorBidi" w:cstheme="majorBidi"/>
              </w:rPr>
              <w:br/>
              <w:t>A/55/40</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814/1998, </w:t>
            </w:r>
            <w:r w:rsidRPr="00295ECA">
              <w:rPr>
                <w:rFonts w:asciiTheme="majorBidi" w:hAnsiTheme="majorBidi" w:cstheme="majorBidi"/>
                <w:i/>
                <w:iCs/>
              </w:rPr>
              <w:t>Pastukhov</w:t>
            </w:r>
            <w:r w:rsidRPr="00295ECA">
              <w:rPr>
                <w:rFonts w:asciiTheme="majorBidi" w:hAnsiTheme="majorBidi" w:cstheme="majorBidi"/>
              </w:rPr>
              <w:br/>
              <w:t>A/58/40</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886/1999, </w:t>
            </w:r>
            <w:r w:rsidRPr="00295ECA">
              <w:rPr>
                <w:rFonts w:asciiTheme="majorBidi" w:hAnsiTheme="majorBidi" w:cstheme="majorBidi"/>
                <w:i/>
                <w:iCs/>
              </w:rPr>
              <w:t>Bondarenko</w:t>
            </w:r>
            <w:r w:rsidRPr="00295ECA">
              <w:rPr>
                <w:rFonts w:asciiTheme="majorBidi" w:hAnsiTheme="majorBidi" w:cstheme="majorBidi"/>
              </w:rPr>
              <w:br/>
              <w:t>A/58/40</w:t>
            </w:r>
            <w:r w:rsidRPr="00295ECA">
              <w:rPr>
                <w:rFonts w:asciiTheme="majorBidi" w:hAnsiTheme="majorBidi" w:cstheme="majorBidi"/>
              </w:rPr>
              <w:br/>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 A/63/40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887/1999, </w:t>
            </w:r>
            <w:r w:rsidRPr="00295ECA">
              <w:rPr>
                <w:rFonts w:asciiTheme="majorBidi" w:hAnsiTheme="majorBidi" w:cstheme="majorBidi"/>
                <w:i/>
                <w:iCs/>
              </w:rPr>
              <w:t>Lyashkevich</w:t>
            </w:r>
            <w:r w:rsidRPr="00295ECA">
              <w:rPr>
                <w:rFonts w:asciiTheme="majorBidi" w:hAnsiTheme="majorBidi" w:cstheme="majorBidi"/>
              </w:rPr>
              <w:br/>
              <w:t>A/58/40</w:t>
            </w:r>
            <w:r w:rsidRPr="00295ECA">
              <w:rPr>
                <w:rFonts w:asciiTheme="majorBidi" w:hAnsiTheme="majorBidi" w:cstheme="majorBidi"/>
              </w:rPr>
              <w:br/>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 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921/2000, </w:t>
            </w:r>
            <w:r w:rsidRPr="00295ECA">
              <w:rPr>
                <w:rFonts w:asciiTheme="majorBidi" w:hAnsiTheme="majorBidi" w:cstheme="majorBidi"/>
                <w:i/>
                <w:iCs/>
              </w:rPr>
              <w:t>Dergachev</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927/2000, </w:t>
            </w:r>
            <w:r w:rsidRPr="00295ECA">
              <w:rPr>
                <w:rFonts w:asciiTheme="majorBidi" w:hAnsiTheme="majorBidi" w:cstheme="majorBidi"/>
                <w:i/>
                <w:iCs/>
              </w:rPr>
              <w:t>Svetik</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1009/2001, </w:t>
            </w:r>
            <w:r w:rsidRPr="00295ECA">
              <w:rPr>
                <w:rFonts w:asciiTheme="majorBidi" w:hAnsiTheme="majorBidi" w:cstheme="majorBidi"/>
                <w:i/>
                <w:iCs/>
              </w:rPr>
              <w:t>Shchetko</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1022/2001, </w:t>
            </w:r>
            <w:r w:rsidRPr="00295ECA">
              <w:rPr>
                <w:rFonts w:asciiTheme="majorBidi" w:hAnsiTheme="majorBidi" w:cstheme="majorBidi"/>
                <w:i/>
                <w:iCs/>
              </w:rPr>
              <w:t>Velichkin</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1039/2001, </w:t>
            </w:r>
            <w:r w:rsidRPr="00295ECA">
              <w:rPr>
                <w:rFonts w:asciiTheme="majorBidi" w:hAnsiTheme="majorBidi" w:cstheme="majorBidi"/>
                <w:i/>
                <w:iCs/>
              </w:rPr>
              <w:t>Zvozskov</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1047/2002, </w:t>
            </w:r>
            <w:r w:rsidRPr="00295ECA">
              <w:rPr>
                <w:rFonts w:asciiTheme="majorBidi" w:hAnsiTheme="majorBidi" w:cstheme="majorBidi"/>
                <w:i/>
                <w:iCs/>
              </w:rPr>
              <w:t>Sinitsin</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1100/2002, </w:t>
            </w:r>
            <w:r w:rsidRPr="00295ECA">
              <w:rPr>
                <w:rFonts w:asciiTheme="majorBidi" w:hAnsiTheme="majorBidi" w:cstheme="majorBidi"/>
                <w:i/>
                <w:iCs/>
              </w:rPr>
              <w:t>Bandazhewsky</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1178/2003, </w:t>
            </w:r>
            <w:r w:rsidRPr="00295ECA">
              <w:rPr>
                <w:rFonts w:asciiTheme="majorBidi" w:hAnsiTheme="majorBidi" w:cstheme="majorBidi"/>
                <w:i/>
                <w:iCs/>
              </w:rPr>
              <w:t>Smantser</w:t>
            </w:r>
            <w:r w:rsidRPr="00295ECA">
              <w:rPr>
                <w:rFonts w:asciiTheme="majorBidi" w:hAnsiTheme="majorBidi" w:cstheme="majorBidi"/>
              </w:rPr>
              <w:br/>
              <w:t>A/64/40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sidDel="00A40D47">
              <w:rPr>
                <w:rFonts w:asciiTheme="majorBidi" w:hAnsiTheme="majorBidi" w:cstheme="majorBidi"/>
              </w:rPr>
              <w:t xml:space="preserve"> </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1207/2003, </w:t>
            </w:r>
            <w:r w:rsidRPr="00295ECA">
              <w:rPr>
                <w:rFonts w:asciiTheme="majorBidi" w:hAnsiTheme="majorBidi" w:cstheme="majorBidi"/>
                <w:i/>
                <w:iCs/>
              </w:rPr>
              <w:t>Malakhovsky</w:t>
            </w:r>
            <w:r w:rsidRPr="00295ECA">
              <w:rPr>
                <w:rFonts w:asciiTheme="majorBidi" w:hAnsiTheme="majorBidi" w:cstheme="majorBidi"/>
              </w:rPr>
              <w:br/>
              <w:t>A/60/40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1226/2003, </w:t>
            </w:r>
            <w:r w:rsidRPr="00295ECA">
              <w:rPr>
                <w:rFonts w:asciiTheme="majorBidi" w:hAnsiTheme="majorBidi" w:cstheme="majorBidi"/>
                <w:i/>
                <w:iCs/>
              </w:rPr>
              <w:t>Korneenko</w:t>
            </w:r>
            <w:r w:rsidRPr="00295ECA">
              <w:rPr>
                <w:rFonts w:asciiTheme="majorBidi" w:hAnsiTheme="majorBidi" w:cstheme="majorBidi"/>
              </w:rPr>
              <w:br/>
              <w:t>A/68/40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1274/2004, </w:t>
            </w:r>
            <w:r w:rsidRPr="00295ECA">
              <w:rPr>
                <w:rFonts w:asciiTheme="majorBidi" w:hAnsiTheme="majorBidi" w:cstheme="majorBidi"/>
                <w:i/>
                <w:iCs/>
              </w:rPr>
              <w:t>Korneenko</w:t>
            </w:r>
            <w:r w:rsidRPr="00295ECA">
              <w:rPr>
                <w:rFonts w:asciiTheme="majorBidi" w:hAnsiTheme="majorBidi" w:cstheme="majorBidi"/>
              </w:rPr>
              <w:br/>
              <w:t>A/62/40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1296/2004, </w:t>
            </w:r>
            <w:r w:rsidRPr="00295ECA">
              <w:rPr>
                <w:rFonts w:asciiTheme="majorBidi" w:hAnsiTheme="majorBidi" w:cstheme="majorBidi"/>
                <w:i/>
                <w:iCs/>
              </w:rPr>
              <w:t>Belyatsky</w:t>
            </w:r>
            <w:r w:rsidRPr="00295ECA">
              <w:rPr>
                <w:rFonts w:asciiTheme="majorBidi" w:hAnsiTheme="majorBidi" w:cstheme="majorBidi"/>
              </w:rPr>
              <w:br/>
              <w:t>A/62/40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1311/2004, </w:t>
            </w:r>
            <w:r w:rsidRPr="00295ECA">
              <w:rPr>
                <w:rFonts w:asciiTheme="majorBidi" w:hAnsiTheme="majorBidi" w:cstheme="majorBidi"/>
                <w:i/>
                <w:iCs/>
              </w:rPr>
              <w:t>Osiyuk</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1316/2004, </w:t>
            </w:r>
            <w:r w:rsidRPr="00295ECA">
              <w:rPr>
                <w:rFonts w:asciiTheme="majorBidi" w:hAnsiTheme="majorBidi" w:cstheme="majorBidi"/>
                <w:i/>
                <w:iCs/>
              </w:rPr>
              <w:t>Gryb</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1354/2005, </w:t>
            </w:r>
            <w:r w:rsidRPr="00295ECA">
              <w:rPr>
                <w:rFonts w:asciiTheme="majorBidi" w:hAnsiTheme="majorBidi" w:cstheme="majorBidi"/>
                <w:i/>
                <w:iCs/>
              </w:rPr>
              <w:t>Sudalenko</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1377/2005, </w:t>
            </w:r>
            <w:r w:rsidRPr="00295ECA">
              <w:rPr>
                <w:rFonts w:asciiTheme="majorBidi" w:hAnsiTheme="majorBidi" w:cstheme="majorBidi"/>
                <w:i/>
                <w:iCs/>
              </w:rPr>
              <w:t>Katsora</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1383/2005, </w:t>
            </w:r>
            <w:r w:rsidRPr="00295ECA">
              <w:rPr>
                <w:rFonts w:asciiTheme="majorBidi" w:hAnsiTheme="majorBidi" w:cstheme="majorBidi"/>
                <w:i/>
                <w:iCs/>
              </w:rPr>
              <w:t>Katsora et al.</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1390/2005, </w:t>
            </w:r>
            <w:r w:rsidRPr="00295ECA">
              <w:rPr>
                <w:rFonts w:asciiTheme="majorBidi" w:hAnsiTheme="majorBidi" w:cstheme="majorBidi"/>
                <w:i/>
                <w:iCs/>
              </w:rPr>
              <w:t>Koreba</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1392/2005, </w:t>
            </w:r>
            <w:r w:rsidRPr="00295ECA">
              <w:rPr>
                <w:rFonts w:asciiTheme="majorBidi" w:hAnsiTheme="majorBidi" w:cstheme="majorBidi"/>
                <w:i/>
                <w:iCs/>
              </w:rPr>
              <w:t>Lukyanchik</w:t>
            </w:r>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1502/2006, </w:t>
            </w:r>
            <w:r w:rsidRPr="00295ECA">
              <w:rPr>
                <w:rFonts w:asciiTheme="majorBidi" w:hAnsiTheme="majorBidi" w:cstheme="majorBidi"/>
                <w:i/>
                <w:iCs/>
              </w:rPr>
              <w:t>Marinich</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1553/2007, </w:t>
            </w:r>
            <w:r w:rsidRPr="00295ECA">
              <w:rPr>
                <w:rFonts w:asciiTheme="majorBidi" w:hAnsiTheme="majorBidi" w:cstheme="majorBidi"/>
                <w:i/>
                <w:iCs/>
              </w:rPr>
              <w:t>Korneenko</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Milinkevich</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Del="00502CBF"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502CB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1592/2007, </w:t>
            </w:r>
            <w:r w:rsidRPr="00295ECA">
              <w:rPr>
                <w:rFonts w:asciiTheme="majorBidi" w:hAnsiTheme="majorBidi" w:cstheme="majorBidi"/>
                <w:i/>
                <w:iCs/>
              </w:rPr>
              <w:t>Pichugina</w:t>
            </w:r>
            <w:r w:rsidRPr="00295ECA">
              <w:rPr>
                <w:rFonts w:asciiTheme="majorBidi" w:hAnsiTheme="majorBidi" w:cstheme="majorBidi"/>
              </w:rPr>
              <w:br/>
              <w:t xml:space="preserve">A/69/40 </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1604/2007, </w:t>
            </w:r>
            <w:r w:rsidRPr="00295ECA">
              <w:rPr>
                <w:rFonts w:asciiTheme="majorBidi" w:hAnsiTheme="majorBidi" w:cstheme="majorBidi"/>
                <w:i/>
                <w:iCs/>
              </w:rPr>
              <w:t>Zalesskaya</w:t>
            </w:r>
            <w:r w:rsidRPr="00295ECA">
              <w:rPr>
                <w:rFonts w:asciiTheme="majorBidi" w:hAnsiTheme="majorBidi" w:cstheme="majorBidi"/>
              </w:rPr>
              <w:br/>
              <w:t>A/66/40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1750/2008, </w:t>
            </w:r>
            <w:r w:rsidRPr="00295ECA">
              <w:rPr>
                <w:rFonts w:asciiTheme="majorBidi" w:hAnsiTheme="majorBidi" w:cstheme="majorBidi"/>
                <w:i/>
                <w:iCs/>
              </w:rPr>
              <w:t>Sudalenko</w:t>
            </w:r>
            <w:r w:rsidRPr="00295ECA">
              <w:rPr>
                <w:rFonts w:asciiTheme="majorBidi" w:hAnsiTheme="majorBidi" w:cstheme="majorBidi"/>
              </w:rPr>
              <w:br/>
              <w:t>A/67/40</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Del="00A40D47"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1772/2008, </w:t>
            </w:r>
            <w:r w:rsidRPr="00295ECA">
              <w:rPr>
                <w:rFonts w:asciiTheme="majorBidi" w:hAnsiTheme="majorBidi" w:cstheme="majorBidi"/>
                <w:i/>
                <w:iCs/>
              </w:rPr>
              <w:t>Belyazeka</w:t>
            </w:r>
            <w:r w:rsidRPr="00295ECA">
              <w:rPr>
                <w:rFonts w:asciiTheme="majorBidi" w:hAnsiTheme="majorBidi" w:cstheme="majorBidi"/>
              </w:rPr>
              <w:br/>
              <w:t>A/67/40</w:t>
            </w:r>
          </w:p>
        </w:tc>
        <w:tc>
          <w:tcPr>
            <w:tcW w:w="1815" w:type="dxa"/>
            <w:tcBorders>
              <w:top w:val="nil"/>
              <w:bottom w:val="nil"/>
            </w:tcBorders>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CCPR/C/112/D/1773/2008, </w:t>
            </w:r>
            <w:r w:rsidRPr="00295ECA">
              <w:rPr>
                <w:rFonts w:asciiTheme="majorBidi" w:hAnsiTheme="majorBidi" w:cstheme="majorBidi"/>
                <w:i/>
                <w:iCs/>
              </w:rPr>
              <w:t>Kozulina</w:t>
            </w:r>
          </w:p>
        </w:tc>
        <w:tc>
          <w:tcPr>
            <w:tcW w:w="1815" w:type="dxa"/>
            <w:tcBorders>
              <w:top w:val="nil"/>
            </w:tcBorders>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1784/2008, </w:t>
            </w:r>
            <w:r w:rsidRPr="00295ECA">
              <w:rPr>
                <w:rFonts w:asciiTheme="majorBidi" w:hAnsiTheme="majorBidi" w:cstheme="majorBidi"/>
                <w:i/>
                <w:iCs/>
              </w:rPr>
              <w:t>Schumilin</w:t>
            </w:r>
            <w:r w:rsidRPr="00295ECA">
              <w:rPr>
                <w:rFonts w:asciiTheme="majorBidi" w:hAnsiTheme="majorBidi" w:cstheme="majorBidi"/>
              </w:rPr>
              <w:br/>
              <w:t>A/68/40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1785/2008, </w:t>
            </w:r>
            <w:r w:rsidRPr="00295ECA">
              <w:rPr>
                <w:rFonts w:asciiTheme="majorBidi" w:hAnsiTheme="majorBidi" w:cstheme="majorBidi"/>
                <w:i/>
                <w:iCs/>
              </w:rPr>
              <w:t>Oleshkevish</w:t>
            </w:r>
            <w:r w:rsidRPr="00295ECA">
              <w:rPr>
                <w:rFonts w:asciiTheme="majorBidi" w:hAnsiTheme="majorBidi" w:cstheme="majorBidi"/>
              </w:rPr>
              <w:br/>
              <w:t>A/68/40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1787/2008, </w:t>
            </w:r>
            <w:r w:rsidRPr="00295ECA">
              <w:rPr>
                <w:rFonts w:asciiTheme="majorBidi" w:hAnsiTheme="majorBidi" w:cstheme="majorBidi"/>
                <w:i/>
                <w:iCs/>
              </w:rPr>
              <w:t>Kovsh (Abramova)</w:t>
            </w:r>
            <w:r w:rsidRPr="00295ECA">
              <w:rPr>
                <w:rFonts w:asciiTheme="majorBidi" w:hAnsiTheme="majorBidi" w:cstheme="majorBidi"/>
              </w:rPr>
              <w:br/>
              <w:t>A/68/40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1790/2008, </w:t>
            </w:r>
            <w:r w:rsidRPr="00295ECA">
              <w:rPr>
                <w:rFonts w:asciiTheme="majorBidi" w:hAnsiTheme="majorBidi" w:cstheme="majorBidi"/>
                <w:i/>
                <w:iCs/>
              </w:rPr>
              <w:t>Govsha et al.</w:t>
            </w:r>
            <w:r w:rsidRPr="00295ECA">
              <w:rPr>
                <w:rFonts w:asciiTheme="majorBidi" w:hAnsiTheme="majorBidi" w:cstheme="majorBidi"/>
              </w:rPr>
              <w:br/>
              <w:t>A/68/40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1820/2008, </w:t>
            </w:r>
            <w:r w:rsidRPr="00295ECA">
              <w:rPr>
                <w:rFonts w:asciiTheme="majorBidi" w:hAnsiTheme="majorBidi" w:cstheme="majorBidi"/>
                <w:i/>
                <w:iCs/>
              </w:rPr>
              <w:t>Krassovskaya</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1808/2008, </w:t>
            </w:r>
            <w:r w:rsidRPr="00295ECA">
              <w:rPr>
                <w:rFonts w:asciiTheme="majorBidi" w:hAnsiTheme="majorBidi" w:cstheme="majorBidi"/>
                <w:i/>
                <w:iCs/>
              </w:rPr>
              <w:t>Kovalenko</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1830/2008, </w:t>
            </w:r>
            <w:r w:rsidRPr="00295ECA">
              <w:rPr>
                <w:rFonts w:asciiTheme="majorBidi" w:hAnsiTheme="majorBidi" w:cstheme="majorBidi"/>
                <w:i/>
                <w:iCs/>
              </w:rPr>
              <w:t>Pivonos</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1835-1837/2008, </w:t>
            </w:r>
            <w:r w:rsidRPr="00295ECA">
              <w:rPr>
                <w:rFonts w:asciiTheme="majorBidi" w:hAnsiTheme="majorBidi" w:cstheme="majorBidi"/>
                <w:i/>
                <w:iCs/>
              </w:rPr>
              <w:t>Yasinovich</w:t>
            </w:r>
            <w:r w:rsidRPr="00295ECA">
              <w:rPr>
                <w:rFonts w:asciiTheme="majorBidi" w:hAnsiTheme="majorBidi" w:cstheme="majorBidi"/>
              </w:rPr>
              <w:br/>
              <w:t>A/68/40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1836/2008, </w:t>
            </w:r>
            <w:r w:rsidRPr="00295ECA">
              <w:rPr>
                <w:rFonts w:asciiTheme="majorBidi" w:hAnsiTheme="majorBidi" w:cstheme="majorBidi"/>
                <w:i/>
                <w:iCs/>
              </w:rPr>
              <w:t>Katsora</w:t>
            </w:r>
            <w:r w:rsidRPr="00295ECA">
              <w:rPr>
                <w:rFonts w:asciiTheme="majorBidi" w:hAnsiTheme="majorBidi" w:cstheme="majorBidi"/>
              </w:rPr>
              <w:br/>
              <w:t>A/68/40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p>
        </w:tc>
      </w:tr>
      <w:tr w:rsidR="006B2037" w:rsidRPr="00295ECA" w:rsidTr="001532E8">
        <w:trPr>
          <w:gridAfter w:val="1"/>
          <w:wAfter w:w="786" w:type="dxa"/>
          <w:trHeight w:val="488"/>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1838/2008, </w:t>
            </w:r>
            <w:r w:rsidRPr="00295ECA">
              <w:rPr>
                <w:rFonts w:asciiTheme="majorBidi" w:hAnsiTheme="majorBidi" w:cstheme="majorBidi"/>
                <w:i/>
                <w:iCs/>
              </w:rPr>
              <w:t>Tulzhenkova</w:t>
            </w:r>
            <w:r w:rsidRPr="00295ECA">
              <w:rPr>
                <w:rFonts w:asciiTheme="majorBidi" w:hAnsiTheme="majorBidi" w:cstheme="majorBidi"/>
              </w:rPr>
              <w:br/>
              <w:t>A/67/40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1839/2008, </w:t>
            </w:r>
            <w:r w:rsidRPr="00295ECA">
              <w:rPr>
                <w:rFonts w:asciiTheme="majorBidi" w:hAnsiTheme="majorBidi" w:cstheme="majorBidi"/>
                <w:i/>
                <w:iCs/>
              </w:rPr>
              <w:t>Komarovsky</w:t>
            </w:r>
            <w:r w:rsidRPr="00295ECA">
              <w:rPr>
                <w:rFonts w:asciiTheme="majorBidi" w:hAnsiTheme="majorBidi" w:cstheme="majorBidi"/>
              </w:rPr>
              <w:br/>
              <w:t>A/69/40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1851/2008, </w:t>
            </w:r>
            <w:r w:rsidRPr="00295ECA">
              <w:rPr>
                <w:rFonts w:asciiTheme="majorBidi" w:hAnsiTheme="majorBidi" w:cstheme="majorBidi"/>
                <w:i/>
                <w:iCs/>
              </w:rPr>
              <w:t>Sekerko</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1864/2009, </w:t>
            </w:r>
            <w:r w:rsidRPr="00295ECA">
              <w:rPr>
                <w:rFonts w:asciiTheme="majorBidi" w:hAnsiTheme="majorBidi" w:cstheme="majorBidi"/>
                <w:i/>
                <w:iCs/>
              </w:rPr>
              <w:t>Kirsanov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1867/2009, 1936, 1975 and 1977-1891/2010, 2010/2010, </w:t>
            </w:r>
            <w:r w:rsidRPr="00295ECA">
              <w:rPr>
                <w:rFonts w:asciiTheme="majorBidi" w:hAnsiTheme="majorBidi" w:cstheme="majorBidi"/>
                <w:i/>
                <w:iCs/>
              </w:rPr>
              <w:t>Levinov</w:t>
            </w:r>
            <w:r w:rsidRPr="00295ECA">
              <w:rPr>
                <w:rFonts w:asciiTheme="majorBidi" w:hAnsiTheme="majorBidi" w:cstheme="majorBidi"/>
              </w:rPr>
              <w:br/>
              <w:t>A/68/40</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CCPR/C/114/D/1902/2009, </w:t>
            </w:r>
            <w:r w:rsidRPr="00295ECA">
              <w:rPr>
                <w:rFonts w:asciiTheme="majorBidi" w:hAnsiTheme="majorBidi" w:cstheme="majorBidi"/>
                <w:i/>
                <w:iCs/>
              </w:rPr>
              <w:t>Bakur</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1903/2009, </w:t>
            </w:r>
            <w:r w:rsidRPr="00295ECA">
              <w:rPr>
                <w:rFonts w:asciiTheme="majorBidi" w:hAnsiTheme="majorBidi" w:cstheme="majorBidi"/>
                <w:i/>
                <w:iCs/>
              </w:rPr>
              <w:t>Youbko</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CCPR/C/112/D/1906/2009, </w:t>
            </w:r>
            <w:r w:rsidRPr="00295ECA">
              <w:rPr>
                <w:rFonts w:asciiTheme="majorBidi" w:hAnsiTheme="majorBidi" w:cstheme="majorBidi"/>
                <w:i/>
                <w:iCs/>
              </w:rPr>
              <w:t>Yuzepchuk</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1910/2009, </w:t>
            </w:r>
            <w:r w:rsidRPr="00295ECA">
              <w:rPr>
                <w:rFonts w:asciiTheme="majorBidi" w:hAnsiTheme="majorBidi" w:cstheme="majorBidi"/>
                <w:i/>
                <w:iCs/>
              </w:rPr>
              <w:t xml:space="preserve">Zhuk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1919-1920/2009, </w:t>
            </w:r>
            <w:r w:rsidRPr="00295ECA">
              <w:rPr>
                <w:rFonts w:asciiTheme="majorBidi" w:hAnsiTheme="majorBidi" w:cstheme="majorBidi"/>
                <w:i/>
                <w:iCs/>
              </w:rPr>
              <w:t xml:space="preserve">Protsko </w:t>
            </w:r>
            <w:r w:rsidRPr="00295ECA">
              <w:rPr>
                <w:rFonts w:asciiTheme="majorBidi" w:hAnsiTheme="majorBidi" w:cstheme="majorBidi"/>
              </w:rPr>
              <w:t xml:space="preserve">and </w:t>
            </w:r>
            <w:r w:rsidRPr="00295ECA">
              <w:rPr>
                <w:rFonts w:asciiTheme="majorBidi" w:hAnsiTheme="majorBidi" w:cstheme="majorBidi"/>
                <w:i/>
                <w:iCs/>
              </w:rPr>
              <w:t xml:space="preserve">Tolchin </w:t>
            </w:r>
            <w:r w:rsidRPr="00295ECA">
              <w:rPr>
                <w:rFonts w:asciiTheme="majorBidi" w:hAnsiTheme="majorBidi" w:cstheme="majorBidi"/>
              </w:rPr>
              <w:br/>
              <w:t xml:space="preserve">A/69/40 </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CCPR/C/112/D/1929/2010, </w:t>
            </w:r>
            <w:r w:rsidRPr="00295ECA">
              <w:rPr>
                <w:rFonts w:asciiTheme="majorBidi" w:hAnsiTheme="majorBidi" w:cstheme="majorBidi"/>
                <w:i/>
                <w:iCs/>
              </w:rPr>
              <w:t>Lozenko</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CCPR/C/112/D/1933/2010, </w:t>
            </w:r>
            <w:r w:rsidRPr="00295ECA">
              <w:rPr>
                <w:rFonts w:asciiTheme="majorBidi" w:hAnsiTheme="majorBidi" w:cstheme="majorBidi"/>
                <w:i/>
                <w:iCs/>
              </w:rPr>
              <w:t>Aleksandrov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CCPR/C/111/D/1934/2010, </w:t>
            </w:r>
            <w:r w:rsidRPr="00295ECA">
              <w:rPr>
                <w:rFonts w:asciiTheme="majorBidi" w:hAnsiTheme="majorBidi" w:cstheme="majorBidi"/>
                <w:i/>
                <w:iCs/>
              </w:rPr>
              <w:t>Bazarov</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1948/2010, </w:t>
            </w:r>
            <w:r w:rsidRPr="00295ECA">
              <w:rPr>
                <w:rFonts w:asciiTheme="majorBidi" w:hAnsiTheme="majorBidi" w:cstheme="majorBidi"/>
                <w:i/>
                <w:iCs/>
              </w:rPr>
              <w:t xml:space="preserve">Turchenyak </w:t>
            </w:r>
            <w:r w:rsidRPr="00295ECA">
              <w:rPr>
                <w:rFonts w:asciiTheme="majorBidi" w:hAnsiTheme="majorBidi" w:cstheme="majorBidi"/>
              </w:rPr>
              <w:br/>
              <w:t xml:space="preserve">A/69/40 </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CCPR/C/112/D/1952/2010, </w:t>
            </w:r>
            <w:r w:rsidRPr="00295ECA">
              <w:rPr>
                <w:rFonts w:asciiTheme="majorBidi" w:hAnsiTheme="majorBidi" w:cstheme="majorBidi"/>
                <w:i/>
                <w:iCs/>
              </w:rPr>
              <w:t>Symonik</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CCPR/C/111/D/1976/2010, </w:t>
            </w:r>
            <w:r w:rsidRPr="00295ECA">
              <w:rPr>
                <w:rFonts w:asciiTheme="majorBidi" w:hAnsiTheme="majorBidi" w:cstheme="majorBidi"/>
                <w:i/>
                <w:iCs/>
              </w:rPr>
              <w:t>Kuznetsov et al.</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CCPR/C/111/D/1985/2010, </w:t>
            </w:r>
            <w:r w:rsidRPr="00295ECA">
              <w:rPr>
                <w:rFonts w:asciiTheme="majorBidi" w:hAnsiTheme="majorBidi" w:cstheme="majorBidi"/>
                <w:i/>
                <w:iCs/>
              </w:rPr>
              <w:t>Koktish</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CCPR/C/111/D/1986/2010, </w:t>
            </w:r>
            <w:r w:rsidRPr="00295ECA">
              <w:rPr>
                <w:rFonts w:asciiTheme="majorBidi" w:hAnsiTheme="majorBidi" w:cstheme="majorBidi"/>
                <w:i/>
                <w:iCs/>
              </w:rPr>
              <w:t>Kozlov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CCPR/C/112/D/1987/2010, </w:t>
            </w:r>
            <w:r w:rsidRPr="00295ECA">
              <w:rPr>
                <w:rFonts w:asciiTheme="majorBidi" w:hAnsiTheme="majorBidi" w:cstheme="majorBidi"/>
                <w:i/>
                <w:iCs/>
              </w:rPr>
              <w:t>Stambrovsky</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CCPR/C/111/D/1991/2010, </w:t>
            </w:r>
            <w:r w:rsidRPr="00295ECA">
              <w:rPr>
                <w:rFonts w:asciiTheme="majorBidi" w:hAnsiTheme="majorBidi" w:cstheme="majorBidi"/>
                <w:i/>
                <w:iCs/>
              </w:rPr>
              <w:t>Volchek</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CCPR/C/111/D/1993/2010, </w:t>
            </w:r>
            <w:r w:rsidRPr="00295ECA">
              <w:rPr>
                <w:rFonts w:asciiTheme="majorBidi" w:hAnsiTheme="majorBidi" w:cstheme="majorBidi"/>
                <w:i/>
                <w:iCs/>
              </w:rPr>
              <w:t>Mikhailovskaya</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Volchek</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CCPR/C/112/D/1999/2010, </w:t>
            </w:r>
            <w:r w:rsidRPr="00295ECA">
              <w:rPr>
                <w:rFonts w:asciiTheme="majorBidi" w:hAnsiTheme="majorBidi" w:cstheme="majorBidi"/>
                <w:i/>
                <w:iCs/>
              </w:rPr>
              <w:t>Evrezov et al.</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CCPR/C/114/D/1950/2010, </w:t>
            </w:r>
            <w:r w:rsidRPr="00295ECA">
              <w:rPr>
                <w:rFonts w:asciiTheme="majorBidi" w:hAnsiTheme="majorBidi" w:cstheme="majorBidi"/>
                <w:i/>
                <w:iCs/>
              </w:rPr>
              <w:t>Timoshenko</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CCPR/C/114/D/1969/2010, </w:t>
            </w:r>
            <w:r w:rsidRPr="00295ECA">
              <w:rPr>
                <w:rFonts w:asciiTheme="majorBidi" w:hAnsiTheme="majorBidi" w:cstheme="majorBidi"/>
                <w:i/>
                <w:iCs/>
              </w:rPr>
              <w:t>Surgan</w:t>
            </w:r>
          </w:p>
        </w:tc>
        <w:tc>
          <w:tcPr>
            <w:tcW w:w="1815"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CCPR/C/114/D/1982/2010, </w:t>
            </w:r>
            <w:r w:rsidRPr="00295ECA">
              <w:rPr>
                <w:rFonts w:asciiTheme="majorBidi" w:hAnsiTheme="majorBidi" w:cstheme="majorBidi"/>
                <w:i/>
                <w:iCs/>
              </w:rPr>
              <w:t>Mikhalchenko</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CCPR/C/114/D/1984/2010, </w:t>
            </w:r>
            <w:r w:rsidRPr="00295ECA">
              <w:rPr>
                <w:rFonts w:asciiTheme="majorBidi" w:hAnsiTheme="majorBidi" w:cstheme="majorBidi"/>
                <w:i/>
                <w:iCs/>
              </w:rPr>
              <w:t>Pugach</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CCPR/C/114/D/1988/2010, </w:t>
            </w:r>
            <w:r w:rsidRPr="00295ECA">
              <w:rPr>
                <w:rFonts w:asciiTheme="majorBidi" w:hAnsiTheme="majorBidi" w:cstheme="majorBidi"/>
                <w:i/>
                <w:iCs/>
              </w:rPr>
              <w:t>Evrezov</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CCPR/C/115/D/1996/2010, </w:t>
            </w:r>
            <w:r w:rsidRPr="00295ECA">
              <w:rPr>
                <w:rFonts w:asciiTheme="majorBidi" w:hAnsiTheme="majorBidi" w:cstheme="majorBidi"/>
                <w:i/>
                <w:iCs/>
              </w:rPr>
              <w:t>Kruk</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CCPR/C/115/D/2011/2010, </w:t>
            </w:r>
            <w:r w:rsidRPr="00295ECA">
              <w:rPr>
                <w:rFonts w:asciiTheme="majorBidi" w:hAnsiTheme="majorBidi" w:cstheme="majorBidi"/>
                <w:i/>
                <w:iCs/>
              </w:rPr>
              <w:t>Romanovsky</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CCPR/C/115/D/2016/2010, </w:t>
            </w:r>
            <w:r w:rsidRPr="00295ECA">
              <w:rPr>
                <w:rFonts w:asciiTheme="majorBidi" w:hAnsiTheme="majorBidi" w:cstheme="majorBidi"/>
                <w:i/>
                <w:iCs/>
              </w:rPr>
              <w:t>Sudalenko</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CCPR/C/114/D/2017/2010, </w:t>
            </w:r>
            <w:r w:rsidRPr="00295ECA">
              <w:rPr>
                <w:rFonts w:asciiTheme="majorBidi" w:hAnsiTheme="majorBidi" w:cstheme="majorBidi"/>
                <w:i/>
                <w:iCs/>
              </w:rPr>
              <w:t>Burdyko</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CCPR/C/115/D/2019/2010, </w:t>
            </w:r>
            <w:r w:rsidRPr="00295ECA">
              <w:rPr>
                <w:rFonts w:asciiTheme="majorBidi" w:hAnsiTheme="majorBidi" w:cstheme="majorBidi"/>
                <w:i/>
                <w:iCs/>
              </w:rPr>
              <w:t>Poplavny</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CCPR/C/112/D/2029/2011, </w:t>
            </w:r>
            <w:r w:rsidRPr="00295ECA">
              <w:rPr>
                <w:rFonts w:asciiTheme="majorBidi" w:hAnsiTheme="majorBidi" w:cstheme="majorBidi"/>
                <w:i/>
                <w:iCs/>
              </w:rPr>
              <w:t>Praded</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CCPR/C/111/D/2030/2010, </w:t>
            </w:r>
            <w:r w:rsidRPr="00295ECA">
              <w:rPr>
                <w:rFonts w:asciiTheme="majorBidi" w:hAnsiTheme="majorBidi" w:cstheme="majorBidi"/>
                <w:i/>
                <w:iCs/>
              </w:rPr>
              <w:t>Poliakov</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CCPR/C/115/D/2076/2011, </w:t>
            </w:r>
            <w:r w:rsidRPr="00295ECA">
              <w:rPr>
                <w:rFonts w:asciiTheme="majorBidi" w:hAnsiTheme="majorBidi" w:cstheme="majorBidi"/>
                <w:i/>
                <w:iCs/>
              </w:rPr>
              <w:t>Derzhavtsev</w:t>
            </w:r>
            <w:r w:rsidRPr="00295ECA">
              <w:rPr>
                <w:rFonts w:asciiTheme="majorBidi" w:hAnsiTheme="majorBidi" w:cstheme="majorBidi"/>
              </w:rPr>
              <w:t xml:space="preserve">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CCPR/C/116/D/2092/2011, </w:t>
            </w:r>
            <w:r w:rsidRPr="00295ECA">
              <w:rPr>
                <w:rFonts w:asciiTheme="majorBidi" w:hAnsiTheme="majorBidi" w:cstheme="majorBidi"/>
                <w:i/>
                <w:iCs/>
              </w:rPr>
              <w:t>Androsenko</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2065/2011, </w:t>
            </w:r>
            <w:r w:rsidRPr="00295ECA">
              <w:rPr>
                <w:rFonts w:asciiTheme="majorBidi" w:hAnsiTheme="majorBidi" w:cstheme="majorBidi"/>
                <w:i/>
                <w:iCs/>
              </w:rPr>
              <w:t>Kvasha</w:t>
            </w:r>
            <w:r w:rsidRPr="00295ECA">
              <w:rPr>
                <w:rFonts w:asciiTheme="majorBidi" w:hAnsiTheme="majorBidi" w:cstheme="majorBidi"/>
              </w:rPr>
              <w:br/>
              <w:t>A/68/40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CCPR/C/111/D/2103/2010, </w:t>
            </w:r>
            <w:r w:rsidRPr="00295ECA">
              <w:rPr>
                <w:rFonts w:asciiTheme="majorBidi" w:hAnsiTheme="majorBidi" w:cstheme="majorBidi"/>
                <w:i/>
                <w:iCs/>
              </w:rPr>
              <w:t>Poliakyov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CCPR/C/112/D/2114/2011, </w:t>
            </w:r>
            <w:r w:rsidRPr="00295ECA">
              <w:rPr>
                <w:rFonts w:asciiTheme="majorBidi" w:hAnsiTheme="majorBidi" w:cstheme="majorBidi"/>
                <w:i/>
                <w:iCs/>
              </w:rPr>
              <w:t>Sudalenko</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CCPR/C/115/D/2133/2012, </w:t>
            </w:r>
            <w:r w:rsidRPr="00295ECA">
              <w:rPr>
                <w:rFonts w:asciiTheme="majorBidi" w:hAnsiTheme="majorBidi" w:cstheme="majorBidi"/>
                <w:i/>
                <w:iCs/>
              </w:rPr>
              <w:t>Statkevich and Matskevich</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2120/2011, </w:t>
            </w:r>
            <w:r w:rsidRPr="00295ECA">
              <w:rPr>
                <w:rFonts w:asciiTheme="majorBidi" w:hAnsiTheme="majorBidi" w:cstheme="majorBidi"/>
                <w:i/>
                <w:iCs/>
              </w:rPr>
              <w:t>Kovalev</w:t>
            </w:r>
            <w:r w:rsidRPr="00295ECA">
              <w:rPr>
                <w:rFonts w:asciiTheme="majorBidi" w:hAnsiTheme="majorBidi" w:cstheme="majorBidi"/>
              </w:rPr>
              <w:br/>
              <w:t>A/68/40</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CCPR/C/112/D/2153/2012, </w:t>
            </w:r>
            <w:r w:rsidRPr="00295ECA">
              <w:rPr>
                <w:rFonts w:asciiTheme="majorBidi" w:hAnsiTheme="majorBidi" w:cstheme="majorBidi"/>
                <w:i/>
                <w:iCs/>
              </w:rPr>
              <w:t>Kalyakin</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CCPR/C/112/D/2156/2012, </w:t>
            </w:r>
            <w:r w:rsidRPr="00295ECA">
              <w:rPr>
                <w:rFonts w:asciiTheme="majorBidi" w:hAnsiTheme="majorBidi" w:cstheme="majorBidi"/>
                <w:i/>
                <w:iCs/>
              </w:rPr>
              <w:t>Nepomnyaschikh</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CCPR/C/112/D/2165/2012, </w:t>
            </w:r>
            <w:r w:rsidRPr="00295ECA">
              <w:rPr>
                <w:rFonts w:asciiTheme="majorBidi" w:hAnsiTheme="majorBidi" w:cstheme="majorBidi"/>
                <w:i/>
                <w:iCs/>
              </w:rPr>
              <w:t>Pinchuk</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CCPR/C/113/D/1949/2010, </w:t>
            </w:r>
            <w:r w:rsidRPr="00B70E5A">
              <w:rPr>
                <w:rFonts w:asciiTheme="majorBidi" w:hAnsiTheme="majorBidi" w:cstheme="majorBidi"/>
                <w:i/>
                <w:iCs/>
                <w:lang w:val="fr-CH"/>
              </w:rPr>
              <w:t>Kozlov et al.</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CCPR/C/113/D/1992/2010, </w:t>
            </w:r>
            <w:r w:rsidRPr="00B70E5A">
              <w:rPr>
                <w:rFonts w:asciiTheme="majorBidi" w:hAnsiTheme="majorBidi" w:cstheme="majorBidi"/>
                <w:i/>
                <w:iCs/>
                <w:lang w:val="fr-CH"/>
              </w:rPr>
              <w:t>Sudalenko</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CCPR/C/113/D/2013/2010, </w:t>
            </w:r>
            <w:r w:rsidRPr="00B70E5A">
              <w:rPr>
                <w:rFonts w:asciiTheme="majorBidi" w:hAnsiTheme="majorBidi" w:cstheme="majorBidi"/>
                <w:i/>
                <w:iCs/>
                <w:lang w:val="fr-CH"/>
              </w:rPr>
              <w:t>Grishkovtsov</w:t>
            </w:r>
          </w:p>
        </w:tc>
        <w:tc>
          <w:tcPr>
            <w:tcW w:w="1815"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p>
        </w:tc>
        <w:tc>
          <w:tcPr>
            <w:tcW w:w="391"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p>
        </w:tc>
        <w:tc>
          <w:tcPr>
            <w:tcW w:w="400"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p>
        </w:tc>
        <w:tc>
          <w:tcPr>
            <w:tcW w:w="909"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CCPR/C/115/D/2289/2013, </w:t>
            </w:r>
            <w:r w:rsidRPr="00295ECA">
              <w:rPr>
                <w:rFonts w:asciiTheme="majorBidi" w:hAnsiTheme="majorBidi" w:cstheme="majorBidi"/>
                <w:i/>
                <w:iCs/>
              </w:rPr>
              <w:t>Selyun</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Belgium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1472/2006, </w:t>
            </w:r>
            <w:r w:rsidRPr="00295ECA">
              <w:rPr>
                <w:rFonts w:asciiTheme="majorBidi" w:hAnsiTheme="majorBidi" w:cstheme="majorBidi"/>
                <w:i/>
                <w:iCs/>
              </w:rPr>
              <w:t>Sayadi</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Benin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CCPR/C/111/D/2055/2011, </w:t>
            </w:r>
            <w:r w:rsidRPr="00295ECA">
              <w:rPr>
                <w:rFonts w:asciiTheme="majorBidi" w:hAnsiTheme="majorBidi" w:cstheme="majorBidi"/>
                <w:i/>
                <w:iCs/>
              </w:rPr>
              <w:t>Zinsou</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Bolivia (Plurinational</w:t>
            </w:r>
            <w:r w:rsidRPr="00295ECA">
              <w:rPr>
                <w:rFonts w:asciiTheme="majorBidi" w:hAnsiTheme="majorBidi" w:cstheme="majorBidi"/>
              </w:rPr>
              <w:br/>
              <w:t>State of) (1)</w:t>
            </w: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176/1984, </w:t>
            </w:r>
            <w:r w:rsidRPr="00295ECA">
              <w:rPr>
                <w:rFonts w:asciiTheme="majorBidi" w:hAnsiTheme="majorBidi" w:cstheme="majorBidi"/>
                <w:i/>
                <w:iCs/>
              </w:rPr>
              <w:t>Peñarrieta</w:t>
            </w:r>
            <w:r w:rsidRPr="00295ECA">
              <w:rPr>
                <w:rFonts w:asciiTheme="majorBidi" w:hAnsiTheme="majorBidi" w:cstheme="majorBidi"/>
              </w:rPr>
              <w:br/>
              <w:t>A/43/40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Bosnia and Herzegovina (9)</w:t>
            </w:r>
          </w:p>
        </w:tc>
        <w:tc>
          <w:tcPr>
            <w:tcW w:w="375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1917-1918-1925/2008, </w:t>
            </w:r>
            <w:r w:rsidRPr="00B70E5A">
              <w:rPr>
                <w:rFonts w:asciiTheme="majorBidi" w:hAnsiTheme="majorBidi" w:cstheme="majorBidi"/>
                <w:i/>
                <w:iCs/>
              </w:rPr>
              <w:t>Prutina et al.</w:t>
            </w:r>
            <w:r w:rsidRPr="00B70E5A">
              <w:rPr>
                <w:rFonts w:asciiTheme="majorBidi" w:hAnsiTheme="majorBidi" w:cstheme="majorBidi"/>
              </w:rPr>
              <w:br/>
              <w:t>A/68/40</w:t>
            </w:r>
          </w:p>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1955/2010, </w:t>
            </w:r>
            <w:r w:rsidRPr="00B70E5A">
              <w:rPr>
                <w:rFonts w:asciiTheme="majorBidi" w:hAnsiTheme="majorBidi" w:cstheme="majorBidi"/>
                <w:i/>
                <w:iCs/>
              </w:rPr>
              <w:t>Al-Gertani</w:t>
            </w:r>
            <w:r w:rsidRPr="00B70E5A">
              <w:rPr>
                <w:rFonts w:asciiTheme="majorBidi" w:hAnsiTheme="majorBidi" w:cstheme="majorBidi"/>
              </w:rPr>
              <w:t xml:space="preserve"> </w:t>
            </w:r>
            <w:r w:rsidRPr="00B70E5A">
              <w:rPr>
                <w:rFonts w:asciiTheme="majorBidi" w:hAnsiTheme="majorBidi" w:cstheme="majorBidi"/>
              </w:rPr>
              <w:br/>
              <w:t>A/69/40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CCPR/C/111/D/1956/2010, </w:t>
            </w:r>
            <w:r w:rsidRPr="00295ECA">
              <w:rPr>
                <w:rFonts w:asciiTheme="majorBidi" w:hAnsiTheme="majorBidi" w:cstheme="majorBidi"/>
                <w:i/>
                <w:iCs/>
              </w:rPr>
              <w:t>Duric</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CCPR/C/112/D/1966/2010, </w:t>
            </w:r>
            <w:r w:rsidRPr="00295ECA">
              <w:rPr>
                <w:rFonts w:asciiTheme="majorBidi" w:hAnsiTheme="majorBidi" w:cstheme="majorBidi"/>
                <w:i/>
                <w:iCs/>
              </w:rPr>
              <w:t>Hero</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CCPR/C/112/D/1970/2010, </w:t>
            </w:r>
            <w:r w:rsidRPr="00295ECA">
              <w:rPr>
                <w:rFonts w:asciiTheme="majorBidi" w:hAnsiTheme="majorBidi" w:cstheme="majorBidi"/>
                <w:i/>
                <w:iCs/>
              </w:rPr>
              <w:t>Kožljak</w:t>
            </w:r>
          </w:p>
        </w:tc>
        <w:tc>
          <w:tcPr>
            <w:tcW w:w="181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CCPR/C/113/3</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tc>
        <w:tc>
          <w:tcPr>
            <w:tcW w:w="391"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400"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909"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1997/2010, </w:t>
            </w:r>
            <w:r w:rsidRPr="00B70E5A">
              <w:rPr>
                <w:rFonts w:asciiTheme="majorBidi" w:hAnsiTheme="majorBidi" w:cstheme="majorBidi"/>
                <w:i/>
                <w:iCs/>
                <w:lang w:val="fr-CH"/>
              </w:rPr>
              <w:t xml:space="preserve">Rizvanović et al. </w:t>
            </w:r>
            <w:r w:rsidRPr="00B70E5A">
              <w:rPr>
                <w:rFonts w:asciiTheme="majorBidi" w:hAnsiTheme="majorBidi" w:cstheme="majorBidi"/>
                <w:lang w:val="fr-CH"/>
              </w:rPr>
              <w:br/>
              <w:t>A/69/40</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t xml:space="preserve">CCPR/C/111/D/2003/2010, </w:t>
            </w:r>
            <w:r w:rsidRPr="00B70E5A">
              <w:rPr>
                <w:rFonts w:asciiTheme="majorBidi" w:hAnsiTheme="majorBidi" w:cstheme="majorBidi"/>
                <w:i/>
                <w:iCs/>
                <w:lang w:val="fr-CH"/>
              </w:rPr>
              <w:t>Selimović et al.</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CCPR/C/113/D/2022/2011, </w:t>
            </w:r>
            <w:r w:rsidRPr="00B70E5A">
              <w:rPr>
                <w:rFonts w:asciiTheme="majorBidi" w:hAnsiTheme="majorBidi" w:cstheme="majorBidi"/>
                <w:i/>
                <w:iCs/>
                <w:lang w:val="fr-CH"/>
              </w:rPr>
              <w:t>Hamulić et al.</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CCPR/C/113/D/2028/2011,</w:t>
            </w:r>
            <w:r w:rsidRPr="00B70E5A">
              <w:rPr>
                <w:rFonts w:asciiTheme="majorBidi" w:hAnsiTheme="majorBidi" w:cstheme="majorBidi"/>
                <w:i/>
                <w:iCs/>
                <w:lang w:val="fr-CH"/>
              </w:rPr>
              <w:t xml:space="preserve"> Ičić et al.</w:t>
            </w:r>
          </w:p>
        </w:tc>
        <w:tc>
          <w:tcPr>
            <w:tcW w:w="1815"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CCPR/C/113/3, CCPR/C/115/3</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br/>
            </w:r>
            <w:r w:rsidRPr="00295ECA">
              <w:rPr>
                <w:rFonts w:asciiTheme="majorBidi" w:hAnsiTheme="majorBidi" w:cstheme="majorBidi"/>
              </w:rPr>
              <w:b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Bulgaria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2073/2011, </w:t>
            </w:r>
            <w:r w:rsidRPr="00295ECA">
              <w:rPr>
                <w:rFonts w:asciiTheme="majorBidi" w:hAnsiTheme="majorBidi" w:cstheme="majorBidi"/>
                <w:i/>
                <w:iCs/>
              </w:rPr>
              <w:t>Naidenova et al.</w:t>
            </w:r>
            <w:r w:rsidRPr="00295ECA">
              <w:rPr>
                <w:rFonts w:asciiTheme="majorBidi" w:hAnsiTheme="majorBidi" w:cstheme="majorBidi"/>
                <w:i/>
                <w:iCs/>
              </w:rPr>
              <w:br/>
            </w:r>
            <w:r w:rsidRPr="00295ECA">
              <w:rPr>
                <w:rFonts w:asciiTheme="majorBidi" w:hAnsiTheme="majorBidi" w:cstheme="majorBidi"/>
              </w:rP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Burkina Faso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1159/2003, </w:t>
            </w:r>
            <w:r w:rsidRPr="00295ECA">
              <w:rPr>
                <w:rFonts w:asciiTheme="majorBidi" w:hAnsiTheme="majorBidi" w:cstheme="majorBidi"/>
                <w:i/>
                <w:iCs/>
              </w:rPr>
              <w:t>Sankara et al.</w:t>
            </w:r>
            <w:r w:rsidRPr="00295ECA">
              <w:rPr>
                <w:rFonts w:asciiTheme="majorBidi" w:hAnsiTheme="majorBidi" w:cstheme="majorBidi"/>
              </w:rPr>
              <w:br/>
              <w:t>A/61/40</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Committee’s recommendation. (A/63/40)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Cameroon (8)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458/1991, </w:t>
            </w:r>
            <w:r w:rsidRPr="00295ECA">
              <w:rPr>
                <w:rFonts w:asciiTheme="majorBidi" w:hAnsiTheme="majorBidi" w:cstheme="majorBidi"/>
                <w:i/>
                <w:iCs/>
              </w:rPr>
              <w:t>Mukong</w:t>
            </w:r>
            <w:r w:rsidRPr="00295ECA">
              <w:rPr>
                <w:rFonts w:asciiTheme="majorBidi" w:hAnsiTheme="majorBidi" w:cstheme="majorBidi"/>
              </w:rPr>
              <w:br/>
              <w:t>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630/1995, </w:t>
            </w:r>
            <w:r w:rsidRPr="00295ECA">
              <w:rPr>
                <w:rFonts w:asciiTheme="majorBidi" w:hAnsiTheme="majorBidi" w:cstheme="majorBidi"/>
                <w:i/>
                <w:iCs/>
              </w:rPr>
              <w:t>Mazou</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State party reported that it had reinstated the author to the judiciary and that it had offered him compensation, which he refused to accept because he considered it to be inadequate. The follow-up dialogue in the case was closed as the Committee deemed that the State party had complied with the Views (A/59/40).</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1134/2002, </w:t>
            </w:r>
            <w:r w:rsidRPr="00295ECA">
              <w:rPr>
                <w:rFonts w:asciiTheme="majorBidi" w:hAnsiTheme="majorBidi" w:cstheme="majorBidi"/>
                <w:i/>
                <w:iCs/>
              </w:rPr>
              <w:t>Gorji-Dinka</w:t>
            </w:r>
            <w:r w:rsidRPr="00295ECA">
              <w:rPr>
                <w:rFonts w:asciiTheme="majorBidi" w:hAnsiTheme="majorBidi" w:cstheme="majorBidi"/>
              </w:rPr>
              <w:br/>
              <w:t>A/60/40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1186/2003, </w:t>
            </w:r>
            <w:r w:rsidRPr="00295ECA">
              <w:rPr>
                <w:rFonts w:asciiTheme="majorBidi" w:hAnsiTheme="majorBidi" w:cstheme="majorBidi"/>
                <w:i/>
                <w:iCs/>
              </w:rPr>
              <w:t>Titiahongo</w:t>
            </w:r>
            <w:r w:rsidRPr="00295ECA">
              <w:rPr>
                <w:rFonts w:asciiTheme="majorBidi" w:hAnsiTheme="majorBidi" w:cstheme="majorBidi"/>
              </w:rPr>
              <w:br/>
              <w:t>A/63/40</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1353/2005, </w:t>
            </w:r>
            <w:r w:rsidRPr="00295ECA">
              <w:rPr>
                <w:rFonts w:asciiTheme="majorBidi" w:hAnsiTheme="majorBidi" w:cstheme="majorBidi"/>
                <w:i/>
                <w:iCs/>
              </w:rPr>
              <w:t>Afuson</w:t>
            </w:r>
            <w:r w:rsidRPr="00295ECA">
              <w:rPr>
                <w:rFonts w:asciiTheme="majorBidi" w:hAnsiTheme="majorBidi" w:cstheme="majorBidi"/>
              </w:rPr>
              <w:br/>
              <w:t>A/62/40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sidDel="00A938A7">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1397/2005, </w:t>
            </w:r>
            <w:r w:rsidRPr="00295ECA">
              <w:rPr>
                <w:rFonts w:asciiTheme="majorBidi" w:hAnsiTheme="majorBidi" w:cstheme="majorBidi"/>
                <w:i/>
                <w:iCs/>
              </w:rPr>
              <w:t>Engo</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938A7"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1813/2008, </w:t>
            </w:r>
            <w:r w:rsidRPr="00295ECA">
              <w:rPr>
                <w:rFonts w:asciiTheme="majorBidi" w:hAnsiTheme="majorBidi" w:cstheme="majorBidi"/>
                <w:i/>
                <w:iCs/>
              </w:rPr>
              <w:t>Akwanga</w:t>
            </w:r>
            <w:r w:rsidRPr="00295ECA">
              <w:rPr>
                <w:rFonts w:asciiTheme="majorBidi" w:hAnsiTheme="majorBidi" w:cstheme="majorBidi"/>
              </w:rPr>
              <w:br/>
              <w:t>A/66/40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CCPR/C/112/D/1965/2010, </w:t>
            </w:r>
            <w:r w:rsidRPr="00295ECA">
              <w:rPr>
                <w:rFonts w:asciiTheme="majorBidi" w:hAnsiTheme="majorBidi" w:cstheme="majorBidi"/>
                <w:i/>
                <w:iCs/>
              </w:rPr>
              <w:t>Monika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40D47"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Canada (15)</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27/1978, </w:t>
            </w:r>
            <w:r w:rsidRPr="00295ECA">
              <w:rPr>
                <w:rFonts w:asciiTheme="majorBidi" w:hAnsiTheme="majorBidi" w:cstheme="majorBidi"/>
                <w:i/>
                <w:iCs/>
              </w:rPr>
              <w:t>Pinkney</w:t>
            </w:r>
            <w:r w:rsidRPr="00295ECA">
              <w:rPr>
                <w:rFonts w:asciiTheme="majorBidi" w:hAnsiTheme="majorBidi" w:cstheme="majorBidi"/>
              </w:rPr>
              <w:br/>
              <w:t>Fourteenth session</w:t>
            </w:r>
            <w:r w:rsidRPr="00295ECA">
              <w:rPr>
                <w:rFonts w:asciiTheme="majorBidi" w:hAnsiTheme="majorBidi" w:cstheme="majorBidi"/>
                <w:i/>
                <w:iCs/>
                <w:sz w:val="18"/>
                <w:vertAlign w:val="superscript"/>
              </w:rPr>
              <w:t>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167/1984, </w:t>
            </w:r>
            <w:r w:rsidRPr="00295ECA">
              <w:rPr>
                <w:rFonts w:asciiTheme="majorBidi" w:hAnsiTheme="majorBidi" w:cstheme="majorBidi"/>
                <w:i/>
                <w:iCs/>
              </w:rPr>
              <w:t>Lubicon Lake Band</w:t>
            </w:r>
            <w:r w:rsidRPr="00295ECA">
              <w:rPr>
                <w:rFonts w:asciiTheme="majorBidi" w:hAnsiTheme="majorBidi" w:cstheme="majorBidi"/>
              </w:rPr>
              <w:t xml:space="preserve"> </w:t>
            </w:r>
            <w:r w:rsidRPr="00295ECA">
              <w:rPr>
                <w:rFonts w:asciiTheme="majorBidi" w:hAnsiTheme="majorBidi" w:cstheme="majorBidi"/>
              </w:rPr>
              <w:br/>
              <w:t>A/45/40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694/1996, </w:t>
            </w:r>
            <w:r w:rsidRPr="00295ECA">
              <w:rPr>
                <w:rFonts w:asciiTheme="majorBidi" w:hAnsiTheme="majorBidi" w:cstheme="majorBidi"/>
                <w:i/>
                <w:iCs/>
              </w:rPr>
              <w:t>Waldman</w:t>
            </w:r>
            <w:r w:rsidRPr="00295ECA">
              <w:rPr>
                <w:rFonts w:asciiTheme="majorBidi" w:hAnsiTheme="majorBidi" w:cstheme="majorBidi"/>
              </w:rPr>
              <w:br/>
              <w:t>A/55/40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 A/56/40, A/57/40, A/59/40, 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829/1998, </w:t>
            </w:r>
            <w:r w:rsidRPr="00295ECA">
              <w:rPr>
                <w:rFonts w:asciiTheme="majorBidi" w:hAnsiTheme="majorBidi" w:cstheme="majorBidi"/>
                <w:i/>
                <w:iCs/>
              </w:rPr>
              <w:t>Judge</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1051/2002, </w:t>
            </w:r>
            <w:r w:rsidRPr="00295ECA">
              <w:rPr>
                <w:rFonts w:asciiTheme="majorBidi" w:hAnsiTheme="majorBidi" w:cstheme="majorBidi"/>
                <w:i/>
                <w:iCs/>
              </w:rPr>
              <w:t>Ahani</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b</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1465/2006, </w:t>
            </w:r>
            <w:r w:rsidRPr="00295ECA">
              <w:rPr>
                <w:rFonts w:asciiTheme="majorBidi" w:hAnsiTheme="majorBidi" w:cstheme="majorBidi"/>
                <w:i/>
                <w:iCs/>
              </w:rPr>
              <w:t>Kaba</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1467/2006, </w:t>
            </w:r>
            <w:r w:rsidRPr="00295ECA">
              <w:rPr>
                <w:rFonts w:asciiTheme="majorBidi" w:hAnsiTheme="majorBidi" w:cstheme="majorBidi"/>
                <w:i/>
                <w:iCs/>
              </w:rPr>
              <w:t>Dumont</w:t>
            </w:r>
            <w:r w:rsidRPr="00295ECA">
              <w:rPr>
                <w:rFonts w:asciiTheme="majorBidi" w:hAnsiTheme="majorBidi" w:cstheme="majorBidi"/>
              </w:rPr>
              <w:br/>
              <w:t>A/65/40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(A/69/40).</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1544/2007, </w:t>
            </w:r>
            <w:r w:rsidRPr="00295ECA">
              <w:rPr>
                <w:rFonts w:asciiTheme="majorBidi" w:hAnsiTheme="majorBidi" w:cstheme="majorBidi"/>
                <w:i/>
                <w:iCs/>
              </w:rPr>
              <w:t>Hamida</w:t>
            </w:r>
            <w:r w:rsidRPr="00295ECA">
              <w:rPr>
                <w:rFonts w:asciiTheme="majorBidi" w:hAnsiTheme="majorBidi" w:cstheme="majorBidi"/>
              </w:rPr>
              <w:br/>
              <w:t>A/65/40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1763/2008, </w:t>
            </w:r>
            <w:r w:rsidRPr="00295ECA">
              <w:rPr>
                <w:rFonts w:asciiTheme="majorBidi" w:hAnsiTheme="majorBidi" w:cstheme="majorBidi"/>
                <w:i/>
                <w:iCs/>
              </w:rPr>
              <w:t>Pillai et al.</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(see A/68/40).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1792/2008, </w:t>
            </w:r>
            <w:r w:rsidRPr="00295ECA">
              <w:rPr>
                <w:rFonts w:asciiTheme="majorBidi" w:hAnsiTheme="majorBidi" w:cstheme="majorBidi"/>
                <w:i/>
                <w:iCs/>
              </w:rPr>
              <w:t>Dauphin</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1881/2009, </w:t>
            </w:r>
            <w:r w:rsidRPr="00295ECA">
              <w:rPr>
                <w:rFonts w:asciiTheme="majorBidi" w:hAnsiTheme="majorBidi" w:cstheme="majorBidi"/>
                <w:i/>
                <w:iCs/>
              </w:rPr>
              <w:t>Masih</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1898/2009, </w:t>
            </w:r>
            <w:r w:rsidRPr="00295ECA">
              <w:rPr>
                <w:rFonts w:asciiTheme="majorBidi" w:hAnsiTheme="majorBidi" w:cstheme="majorBidi"/>
                <w:i/>
                <w:iCs/>
              </w:rPr>
              <w:t>Choudhary</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6B2037" w:rsidRPr="00295ECA" w:rsidDel="00C66EF5"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1912/2009, </w:t>
            </w:r>
            <w:r w:rsidRPr="00295ECA">
              <w:rPr>
                <w:rFonts w:asciiTheme="majorBidi" w:hAnsiTheme="majorBidi" w:cstheme="majorBidi"/>
                <w:i/>
                <w:iCs/>
              </w:rPr>
              <w:t>Thuraisamy</w:t>
            </w:r>
            <w:r w:rsidRPr="00295ECA">
              <w:rPr>
                <w:rFonts w:asciiTheme="majorBidi" w:hAnsiTheme="majorBidi" w:cstheme="majorBidi"/>
              </w:rPr>
              <w:t xml:space="preserve"> </w:t>
            </w:r>
            <w:r w:rsidRPr="00295ECA">
              <w:rPr>
                <w:rFonts w:asciiTheme="majorBidi" w:hAnsiTheme="majorBidi" w:cstheme="majorBidi"/>
              </w:rPr>
              <w:br/>
              <w:t>A/68/40</w:t>
            </w:r>
          </w:p>
        </w:tc>
        <w:tc>
          <w:tcPr>
            <w:tcW w:w="1815" w:type="dxa"/>
            <w:shd w:val="clear" w:color="auto" w:fill="auto"/>
            <w:noWrap/>
          </w:tcPr>
          <w:p w:rsidR="006B2037" w:rsidRPr="00295ECA" w:rsidDel="00C66EF5"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1959/2010, </w:t>
            </w:r>
            <w:r w:rsidRPr="00295ECA">
              <w:rPr>
                <w:rFonts w:asciiTheme="majorBidi" w:hAnsiTheme="majorBidi" w:cstheme="majorBidi"/>
                <w:i/>
                <w:iCs/>
              </w:rPr>
              <w:t>Warsame</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CCPR/C/113/D/2091/2011, </w:t>
            </w:r>
            <w:r w:rsidRPr="00295ECA">
              <w:rPr>
                <w:rFonts w:asciiTheme="majorBidi" w:hAnsiTheme="majorBidi" w:cstheme="majorBidi"/>
                <w:i/>
                <w:iCs/>
              </w:rPr>
              <w:t>A.H.G.</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Mar>
              <w:right w:w="-1" w:type="dxa"/>
            </w:tcMar>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Central African Republic (1)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1587/2007 </w:t>
            </w:r>
            <w:r w:rsidRPr="00295ECA">
              <w:rPr>
                <w:rFonts w:asciiTheme="majorBidi" w:hAnsiTheme="majorBidi" w:cstheme="majorBidi"/>
                <w:i/>
                <w:iCs/>
              </w:rPr>
              <w:t>Mamour</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Colombia (17)</w:t>
            </w: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45/1979, </w:t>
            </w:r>
            <w:r w:rsidRPr="00B70E5A">
              <w:rPr>
                <w:rFonts w:asciiTheme="majorBidi" w:hAnsiTheme="majorBidi" w:cstheme="majorBidi"/>
                <w:i/>
                <w:iCs/>
              </w:rPr>
              <w:t>Suárez de Guerrero</w:t>
            </w:r>
            <w:r w:rsidRPr="00B70E5A">
              <w:rPr>
                <w:rFonts w:asciiTheme="majorBidi" w:hAnsiTheme="majorBidi" w:cstheme="majorBidi"/>
              </w:rPr>
              <w:br/>
              <w:t>Fifteenth session</w:t>
            </w:r>
            <w:r w:rsidRPr="00B70E5A">
              <w:rPr>
                <w:rFonts w:asciiTheme="majorBidi" w:hAnsiTheme="majorBidi" w:cstheme="majorBidi"/>
                <w:i/>
                <w:iCs/>
                <w:sz w:val="18"/>
                <w:vertAlign w:val="superscript"/>
              </w:rPr>
              <w:t>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46/1979, </w:t>
            </w:r>
            <w:r w:rsidRPr="00295ECA">
              <w:rPr>
                <w:rFonts w:asciiTheme="majorBidi" w:hAnsiTheme="majorBidi" w:cstheme="majorBidi"/>
                <w:i/>
                <w:iCs/>
              </w:rPr>
              <w:t>Fals Borda</w:t>
            </w:r>
            <w:r w:rsidRPr="00295ECA">
              <w:rPr>
                <w:rFonts w:asciiTheme="majorBidi" w:hAnsiTheme="majorBidi" w:cstheme="majorBidi"/>
              </w:rPr>
              <w:t xml:space="preserve"> </w:t>
            </w:r>
            <w:r w:rsidRPr="00295ECA">
              <w:rPr>
                <w:rFonts w:asciiTheme="majorBidi" w:hAnsiTheme="majorBidi" w:cstheme="majorBidi"/>
              </w:rPr>
              <w:br/>
              <w:t>Sixteenth session</w:t>
            </w:r>
            <w:r w:rsidRPr="00295ECA">
              <w:rPr>
                <w:rFonts w:asciiTheme="majorBidi" w:hAnsiTheme="majorBidi" w:cstheme="majorBidi"/>
                <w:i/>
                <w:iCs/>
                <w:sz w:val="18"/>
                <w:vertAlign w:val="superscript"/>
              </w:rPr>
              <w:t>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64/1979, </w:t>
            </w:r>
            <w:r w:rsidRPr="00295ECA">
              <w:rPr>
                <w:rFonts w:asciiTheme="majorBidi" w:hAnsiTheme="majorBidi" w:cstheme="majorBidi"/>
                <w:i/>
                <w:iCs/>
              </w:rPr>
              <w:t>Salgar de Montejo</w:t>
            </w:r>
            <w:r w:rsidRPr="00295ECA">
              <w:rPr>
                <w:rFonts w:asciiTheme="majorBidi" w:hAnsiTheme="majorBidi" w:cstheme="majorBidi"/>
              </w:rPr>
              <w:br/>
              <w:t>Fifteenth session</w:t>
            </w:r>
            <w:r w:rsidRPr="00295ECA">
              <w:rPr>
                <w:rFonts w:asciiTheme="majorBidi" w:hAnsiTheme="majorBidi" w:cstheme="majorBidi"/>
                <w:i/>
                <w:iCs/>
                <w:sz w:val="18"/>
                <w:vertAlign w:val="superscript"/>
              </w:rPr>
              <w:t>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161/1983, </w:t>
            </w:r>
            <w:r w:rsidRPr="00295ECA">
              <w:rPr>
                <w:rFonts w:asciiTheme="majorBidi" w:hAnsiTheme="majorBidi" w:cstheme="majorBidi"/>
                <w:i/>
                <w:iCs/>
              </w:rPr>
              <w:t>Herrera Rubio</w:t>
            </w:r>
            <w:r w:rsidRPr="00295ECA">
              <w:rPr>
                <w:rFonts w:asciiTheme="majorBidi" w:hAnsiTheme="majorBidi" w:cstheme="majorBidi"/>
              </w:rPr>
              <w:t xml:space="preserve"> </w:t>
            </w:r>
            <w:r w:rsidRPr="00295ECA">
              <w:rPr>
                <w:rFonts w:asciiTheme="majorBidi" w:hAnsiTheme="majorBidi" w:cstheme="majorBidi"/>
              </w:rPr>
              <w:br/>
              <w:t>Thirty-first session</w:t>
            </w:r>
            <w:r w:rsidRPr="00295ECA">
              <w:rPr>
                <w:rFonts w:asciiTheme="majorBidi" w:hAnsiTheme="majorBidi" w:cstheme="majorBidi"/>
                <w:i/>
                <w:iCs/>
                <w:sz w:val="18"/>
                <w:vertAlign w:val="superscript"/>
              </w:rPr>
              <w:t>c</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181/1984, </w:t>
            </w:r>
            <w:r w:rsidRPr="00295ECA">
              <w:rPr>
                <w:rFonts w:asciiTheme="majorBidi" w:hAnsiTheme="majorBidi" w:cstheme="majorBidi"/>
                <w:i/>
                <w:iCs/>
              </w:rPr>
              <w:t>Sanjuán Arévalo brothers</w:t>
            </w:r>
            <w:r w:rsidRPr="00295ECA">
              <w:rPr>
                <w:rFonts w:asciiTheme="majorBidi" w:hAnsiTheme="majorBidi" w:cstheme="majorBidi"/>
              </w:rPr>
              <w:br/>
              <w:t>A/45/40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A/64/40, 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195/1985, </w:t>
            </w:r>
            <w:r w:rsidRPr="00295ECA">
              <w:rPr>
                <w:rFonts w:asciiTheme="majorBidi" w:hAnsiTheme="majorBidi" w:cstheme="majorBidi"/>
                <w:i/>
                <w:iCs/>
              </w:rPr>
              <w:t>Delgado</w:t>
            </w:r>
            <w:r w:rsidRPr="00295ECA">
              <w:rPr>
                <w:rFonts w:asciiTheme="majorBidi" w:hAnsiTheme="majorBidi" w:cstheme="majorBidi"/>
              </w:rPr>
              <w:t xml:space="preserve"> </w:t>
            </w:r>
            <w:r w:rsidRPr="00295ECA">
              <w:rPr>
                <w:rFonts w:asciiTheme="majorBidi" w:hAnsiTheme="majorBidi" w:cstheme="majorBidi"/>
                <w:i/>
                <w:iCs/>
              </w:rPr>
              <w:t>Páez</w:t>
            </w:r>
            <w:r w:rsidRPr="00295ECA">
              <w:rPr>
                <w:rFonts w:asciiTheme="majorBidi" w:hAnsiTheme="majorBidi" w:cstheme="majorBidi"/>
              </w:rPr>
              <w:br/>
              <w:t>A/45/40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514/1992, </w:t>
            </w:r>
            <w:r w:rsidRPr="00295ECA">
              <w:rPr>
                <w:rFonts w:asciiTheme="majorBidi" w:hAnsiTheme="majorBidi" w:cstheme="majorBidi"/>
                <w:i/>
                <w:iCs/>
              </w:rPr>
              <w:t>Fei</w:t>
            </w:r>
            <w:r w:rsidRPr="00295ECA">
              <w:rPr>
                <w:rFonts w:asciiTheme="majorBidi" w:hAnsiTheme="majorBidi" w:cstheme="majorBidi"/>
              </w:rPr>
              <w:br/>
              <w:t>A/50/40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612/1995, </w:t>
            </w:r>
            <w:r w:rsidRPr="00295ECA">
              <w:rPr>
                <w:rFonts w:asciiTheme="majorBidi" w:hAnsiTheme="majorBidi" w:cstheme="majorBidi"/>
                <w:i/>
                <w:iCs/>
              </w:rPr>
              <w:t>Arhuacos</w:t>
            </w:r>
            <w:r w:rsidRPr="00295ECA">
              <w:rPr>
                <w:rFonts w:asciiTheme="majorBidi" w:hAnsiTheme="majorBidi" w:cstheme="majorBidi"/>
              </w:rPr>
              <w:br/>
              <w:t>A/52/40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687/1996, </w:t>
            </w:r>
            <w:r w:rsidRPr="00295ECA">
              <w:rPr>
                <w:rFonts w:asciiTheme="majorBidi" w:hAnsiTheme="majorBidi" w:cstheme="majorBidi"/>
                <w:i/>
                <w:iCs/>
              </w:rPr>
              <w:t>Rojas</w:t>
            </w:r>
            <w:r w:rsidRPr="00295ECA">
              <w:rPr>
                <w:rFonts w:asciiTheme="majorBidi" w:hAnsiTheme="majorBidi" w:cstheme="majorBidi"/>
              </w:rPr>
              <w:t xml:space="preserve"> </w:t>
            </w:r>
            <w:r w:rsidRPr="00295ECA">
              <w:rPr>
                <w:rFonts w:asciiTheme="majorBidi" w:hAnsiTheme="majorBidi" w:cstheme="majorBidi"/>
                <w:i/>
                <w:iCs/>
              </w:rPr>
              <w:t>García</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778/1997, </w:t>
            </w:r>
            <w:r w:rsidRPr="00295ECA">
              <w:rPr>
                <w:rFonts w:asciiTheme="majorBidi" w:hAnsiTheme="majorBidi" w:cstheme="majorBidi"/>
                <w:i/>
                <w:iCs/>
              </w:rPr>
              <w:t>Coronel et al.</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848/1999, </w:t>
            </w:r>
            <w:r w:rsidRPr="00295ECA">
              <w:rPr>
                <w:rFonts w:asciiTheme="majorBidi" w:hAnsiTheme="majorBidi" w:cstheme="majorBidi"/>
                <w:i/>
                <w:iCs/>
              </w:rPr>
              <w:t>Rodríguez</w:t>
            </w:r>
            <w:r w:rsidRPr="00295ECA">
              <w:rPr>
                <w:rFonts w:asciiTheme="majorBidi" w:hAnsiTheme="majorBidi" w:cstheme="majorBidi"/>
              </w:rPr>
              <w:t xml:space="preserve"> </w:t>
            </w:r>
            <w:r w:rsidRPr="00295ECA">
              <w:rPr>
                <w:rFonts w:asciiTheme="majorBidi" w:hAnsiTheme="majorBidi" w:cstheme="majorBidi"/>
                <w:i/>
                <w:iCs/>
              </w:rPr>
              <w:t>Orejuela</w:t>
            </w:r>
            <w:r w:rsidRPr="00295ECA">
              <w:rPr>
                <w:rFonts w:asciiTheme="majorBidi" w:hAnsiTheme="majorBidi" w:cstheme="majorBidi"/>
              </w:rPr>
              <w:t>,</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859/1999, </w:t>
            </w:r>
            <w:r w:rsidRPr="00295ECA">
              <w:rPr>
                <w:rFonts w:asciiTheme="majorBidi" w:hAnsiTheme="majorBidi" w:cstheme="majorBidi"/>
                <w:i/>
                <w:iCs/>
              </w:rPr>
              <w:t>Jiménez</w:t>
            </w:r>
            <w:r w:rsidRPr="00295ECA">
              <w:rPr>
                <w:rFonts w:asciiTheme="majorBidi" w:hAnsiTheme="majorBidi" w:cstheme="majorBidi"/>
              </w:rPr>
              <w:t xml:space="preserve"> </w:t>
            </w:r>
            <w:r w:rsidRPr="00295ECA">
              <w:rPr>
                <w:rFonts w:asciiTheme="majorBidi" w:hAnsiTheme="majorBidi" w:cstheme="majorBidi"/>
                <w:i/>
                <w:iCs/>
              </w:rPr>
              <w:t>Vaca</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A/61/40,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1298/2004, </w:t>
            </w:r>
            <w:r w:rsidRPr="00295ECA">
              <w:rPr>
                <w:rFonts w:asciiTheme="majorBidi" w:hAnsiTheme="majorBidi" w:cstheme="majorBidi"/>
                <w:i/>
                <w:iCs/>
              </w:rPr>
              <w:t>Becerra</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1361/2005, </w:t>
            </w:r>
            <w:r w:rsidRPr="00295ECA">
              <w:rPr>
                <w:rFonts w:asciiTheme="majorBidi" w:hAnsiTheme="majorBidi" w:cstheme="majorBidi"/>
                <w:i/>
                <w:iCs/>
              </w:rPr>
              <w:t>Casadiego</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1611/2007, </w:t>
            </w:r>
            <w:r w:rsidRPr="00295ECA">
              <w:rPr>
                <w:rFonts w:asciiTheme="majorBidi" w:hAnsiTheme="majorBidi" w:cstheme="majorBidi"/>
                <w:i/>
                <w:iCs/>
              </w:rPr>
              <w:t>Bonilla</w:t>
            </w:r>
            <w:r w:rsidRPr="00295ECA">
              <w:rPr>
                <w:rFonts w:asciiTheme="majorBidi" w:hAnsiTheme="majorBidi" w:cstheme="majorBidi"/>
              </w:rPr>
              <w:t xml:space="preserve"> </w:t>
            </w:r>
            <w:r w:rsidRPr="00295ECA">
              <w:rPr>
                <w:rFonts w:asciiTheme="majorBidi" w:hAnsiTheme="majorBidi" w:cstheme="majorBidi"/>
                <w:i/>
                <w:iCs/>
              </w:rPr>
              <w:t>Lerma</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1641/2007, </w:t>
            </w:r>
            <w:r w:rsidRPr="00295ECA">
              <w:rPr>
                <w:rFonts w:asciiTheme="majorBidi" w:hAnsiTheme="majorBidi" w:cstheme="majorBidi"/>
                <w:i/>
                <w:iCs/>
              </w:rPr>
              <w:t>Calderón</w:t>
            </w:r>
            <w:r w:rsidRPr="00295ECA">
              <w:rPr>
                <w:rFonts w:asciiTheme="majorBidi" w:hAnsiTheme="majorBidi" w:cstheme="majorBidi"/>
              </w:rPr>
              <w:t xml:space="preserve"> </w:t>
            </w:r>
            <w:r w:rsidRPr="00295ECA">
              <w:rPr>
                <w:rFonts w:asciiTheme="majorBidi" w:hAnsiTheme="majorBidi" w:cstheme="majorBidi"/>
                <w:i/>
                <w:iCs/>
              </w:rPr>
              <w:t>Bruges</w:t>
            </w:r>
            <w:r w:rsidRPr="00295ECA">
              <w:rPr>
                <w:rFonts w:asciiTheme="majorBidi" w:hAnsiTheme="majorBidi" w:cstheme="majorBidi"/>
              </w:rPr>
              <w:br/>
              <w:t>A/67/40</w:t>
            </w:r>
          </w:p>
        </w:tc>
        <w:tc>
          <w:tcPr>
            <w:tcW w:w="1815" w:type="dxa"/>
            <w:tcBorders>
              <w:bottom w:val="nil"/>
            </w:tcBorders>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CCPR/C/114/D/2134/2012, </w:t>
            </w:r>
            <w:r w:rsidRPr="00B70E5A">
              <w:rPr>
                <w:rFonts w:asciiTheme="majorBidi" w:hAnsiTheme="majorBidi" w:cstheme="majorBidi"/>
              </w:rPr>
              <w:br/>
            </w:r>
            <w:r w:rsidRPr="00B70E5A">
              <w:rPr>
                <w:rFonts w:asciiTheme="majorBidi" w:hAnsiTheme="majorBidi" w:cstheme="majorBidi"/>
                <w:i/>
                <w:iCs/>
              </w:rPr>
              <w:t>Molina Arias et al.</w:t>
            </w:r>
          </w:p>
        </w:tc>
        <w:tc>
          <w:tcPr>
            <w:tcW w:w="181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Côte d’Ivoire (1)</w:t>
            </w: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1759/2008, </w:t>
            </w:r>
            <w:r w:rsidRPr="00295ECA">
              <w:rPr>
                <w:rFonts w:asciiTheme="majorBidi" w:hAnsiTheme="majorBidi" w:cstheme="majorBidi"/>
                <w:i/>
                <w:iCs/>
              </w:rPr>
              <w:t>Traoré</w:t>
            </w:r>
            <w:r w:rsidRPr="00295ECA">
              <w:rPr>
                <w:rFonts w:asciiTheme="majorBidi" w:hAnsiTheme="majorBidi" w:cstheme="majorBidi"/>
              </w:rPr>
              <w:br/>
              <w:t>A/67/40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Croatia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727/1996, </w:t>
            </w:r>
            <w:r w:rsidRPr="00295ECA">
              <w:rPr>
                <w:rFonts w:asciiTheme="majorBidi" w:hAnsiTheme="majorBidi" w:cstheme="majorBidi"/>
                <w:i/>
                <w:iCs/>
              </w:rPr>
              <w:t>Paraga</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1510/2006, </w:t>
            </w:r>
            <w:r w:rsidRPr="00295ECA">
              <w:rPr>
                <w:rFonts w:asciiTheme="majorBidi" w:hAnsiTheme="majorBidi" w:cstheme="majorBidi"/>
                <w:i/>
                <w:iCs/>
              </w:rPr>
              <w:t>Vojnović</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A/65/40, A/66/40 </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Czechia (27)</w:t>
            </w:r>
            <w:r w:rsidRPr="00295ECA">
              <w:rPr>
                <w:rFonts w:asciiTheme="majorBidi" w:hAnsiTheme="majorBidi" w:cstheme="majorBidi"/>
                <w:i/>
                <w:iCs/>
                <w:sz w:val="18"/>
                <w:szCs w:val="18"/>
                <w:vertAlign w:val="superscript"/>
              </w:rPr>
              <w:t>d</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516/1992, </w:t>
            </w:r>
            <w:r w:rsidRPr="00295ECA">
              <w:rPr>
                <w:rFonts w:asciiTheme="majorBidi" w:hAnsiTheme="majorBidi" w:cstheme="majorBidi"/>
                <w:i/>
                <w:iCs/>
              </w:rPr>
              <w:t>Simunek et al.</w:t>
            </w:r>
            <w:r w:rsidRPr="00295ECA">
              <w:rPr>
                <w:rFonts w:asciiTheme="majorBidi" w:hAnsiTheme="majorBidi" w:cstheme="majorBidi"/>
              </w:rPr>
              <w:br/>
              <w:t>A/50/40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A/57/40, A/58/40, 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586/1994, </w:t>
            </w:r>
            <w:r w:rsidRPr="00295ECA">
              <w:rPr>
                <w:rFonts w:asciiTheme="majorBidi" w:hAnsiTheme="majorBidi" w:cstheme="majorBidi"/>
                <w:i/>
                <w:iCs/>
              </w:rPr>
              <w:t>Adam</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A/53/40, A/54/40, A/57/40, 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747/1997, </w:t>
            </w:r>
            <w:r w:rsidRPr="00295ECA">
              <w:rPr>
                <w:rFonts w:asciiTheme="majorBidi" w:hAnsiTheme="majorBidi" w:cstheme="majorBidi"/>
              </w:rPr>
              <w:br/>
            </w:r>
            <w:r w:rsidRPr="00295ECA">
              <w:rPr>
                <w:rFonts w:asciiTheme="majorBidi" w:hAnsiTheme="majorBidi" w:cstheme="majorBidi"/>
                <w:i/>
                <w:iCs/>
              </w:rPr>
              <w:t>Des Fours</w:t>
            </w:r>
            <w:r w:rsidRPr="00295ECA">
              <w:rPr>
                <w:rFonts w:asciiTheme="majorBidi" w:hAnsiTheme="majorBidi" w:cstheme="majorBidi"/>
              </w:rPr>
              <w:t xml:space="preserve"> </w:t>
            </w:r>
            <w:r w:rsidRPr="00295ECA">
              <w:rPr>
                <w:rFonts w:asciiTheme="majorBidi" w:hAnsiTheme="majorBidi" w:cstheme="majorBidi"/>
                <w:i/>
                <w:iCs/>
              </w:rPr>
              <w:t>Walderode</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757/1997, </w:t>
            </w:r>
            <w:r w:rsidRPr="00295ECA">
              <w:rPr>
                <w:rFonts w:asciiTheme="majorBidi" w:hAnsiTheme="majorBidi" w:cstheme="majorBidi"/>
                <w:i/>
                <w:iCs/>
              </w:rPr>
              <w:t>Pezoldova</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and</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765/1997, </w:t>
            </w:r>
            <w:r w:rsidRPr="00295ECA">
              <w:rPr>
                <w:rFonts w:asciiTheme="majorBidi" w:hAnsiTheme="majorBidi" w:cstheme="majorBidi"/>
                <w:i/>
                <w:iCs/>
              </w:rPr>
              <w:t>Fábryová</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823/1998, </w:t>
            </w:r>
            <w:r w:rsidRPr="00295ECA">
              <w:rPr>
                <w:rFonts w:asciiTheme="majorBidi" w:hAnsiTheme="majorBidi" w:cstheme="majorBidi"/>
                <w:i/>
                <w:iCs/>
              </w:rPr>
              <w:t>Czernin</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857/1999, </w:t>
            </w:r>
            <w:r w:rsidRPr="00295ECA">
              <w:rPr>
                <w:rFonts w:asciiTheme="majorBidi" w:hAnsiTheme="majorBidi" w:cstheme="majorBidi"/>
                <w:i/>
                <w:iCs/>
              </w:rPr>
              <w:t>Blazek et al.</w:t>
            </w:r>
            <w:r w:rsidRPr="00295ECA">
              <w:rPr>
                <w:rFonts w:asciiTheme="majorBidi" w:hAnsiTheme="majorBidi" w:cstheme="majorBidi"/>
              </w:rPr>
              <w:br/>
              <w:t>A/56/40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945/2000, </w:t>
            </w:r>
            <w:r w:rsidRPr="00295ECA">
              <w:rPr>
                <w:rFonts w:asciiTheme="majorBidi" w:hAnsiTheme="majorBidi" w:cstheme="majorBidi"/>
                <w:i/>
                <w:iCs/>
              </w:rPr>
              <w:t>Marik</w:t>
            </w:r>
            <w:r w:rsidRPr="00295ECA">
              <w:rPr>
                <w:rFonts w:asciiTheme="majorBidi" w:hAnsiTheme="majorBidi" w:cstheme="majorBidi"/>
              </w:rPr>
              <w:br/>
              <w:t>A/60/40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946/2000, </w:t>
            </w:r>
            <w:r w:rsidRPr="00295ECA">
              <w:rPr>
                <w:rFonts w:asciiTheme="majorBidi" w:hAnsiTheme="majorBidi" w:cstheme="majorBidi"/>
                <w:i/>
                <w:iCs/>
              </w:rPr>
              <w:t>Patera</w:t>
            </w:r>
            <w:r w:rsidRPr="00295ECA">
              <w:rPr>
                <w:rFonts w:asciiTheme="majorBidi" w:hAnsiTheme="majorBidi" w:cstheme="majorBidi"/>
              </w:rPr>
              <w:br/>
              <w:t>A/57/40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1054/2002, </w:t>
            </w:r>
            <w:r w:rsidRPr="00295ECA">
              <w:rPr>
                <w:rFonts w:asciiTheme="majorBidi" w:hAnsiTheme="majorBidi" w:cstheme="majorBidi"/>
                <w:i/>
                <w:iCs/>
              </w:rPr>
              <w:t>Kriz</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1445/2006, </w:t>
            </w:r>
            <w:r w:rsidRPr="00295ECA">
              <w:rPr>
                <w:rFonts w:asciiTheme="majorBidi" w:hAnsiTheme="majorBidi" w:cstheme="majorBidi"/>
                <w:i/>
                <w:iCs/>
              </w:rPr>
              <w:t>Polacek</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1448/2006, </w:t>
            </w:r>
            <w:r w:rsidRPr="00295ECA">
              <w:rPr>
                <w:rFonts w:asciiTheme="majorBidi" w:hAnsiTheme="majorBidi" w:cstheme="majorBidi"/>
                <w:i/>
                <w:iCs/>
              </w:rPr>
              <w:t>Kohoutek</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1463/2006, </w:t>
            </w:r>
            <w:r w:rsidRPr="00295ECA">
              <w:rPr>
                <w:rFonts w:asciiTheme="majorBidi" w:hAnsiTheme="majorBidi" w:cstheme="majorBidi"/>
                <w:i/>
                <w:iCs/>
              </w:rPr>
              <w:t>Gratzinger</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1479/2006, </w:t>
            </w:r>
            <w:r w:rsidRPr="00295ECA">
              <w:rPr>
                <w:rFonts w:asciiTheme="majorBidi" w:hAnsiTheme="majorBidi" w:cstheme="majorBidi"/>
                <w:i/>
                <w:iCs/>
              </w:rPr>
              <w:t>Persan</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1484/2006, </w:t>
            </w:r>
            <w:r w:rsidRPr="00295ECA">
              <w:rPr>
                <w:rFonts w:asciiTheme="majorBidi" w:hAnsiTheme="majorBidi" w:cstheme="majorBidi"/>
                <w:i/>
                <w:iCs/>
              </w:rPr>
              <w:t>Lnenicka</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1485/2006, </w:t>
            </w:r>
            <w:r w:rsidRPr="00295ECA">
              <w:rPr>
                <w:rFonts w:asciiTheme="majorBidi" w:hAnsiTheme="majorBidi" w:cstheme="majorBidi"/>
                <w:i/>
                <w:iCs/>
              </w:rPr>
              <w:t>Vlcek</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1488/2006, </w:t>
            </w:r>
            <w:r w:rsidRPr="00295ECA">
              <w:rPr>
                <w:rFonts w:asciiTheme="majorBidi" w:hAnsiTheme="majorBidi" w:cstheme="majorBidi"/>
                <w:i/>
                <w:iCs/>
              </w:rPr>
              <w:t>Süsser</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de-DE"/>
              </w:rPr>
            </w:pPr>
            <w:r w:rsidRPr="00B70E5A">
              <w:rPr>
                <w:rFonts w:asciiTheme="majorBidi" w:hAnsiTheme="majorBidi" w:cstheme="majorBidi"/>
                <w:lang w:val="de-DE"/>
              </w:rPr>
              <w:t xml:space="preserve">1491/2006, </w:t>
            </w:r>
            <w:r w:rsidRPr="00B70E5A">
              <w:rPr>
                <w:rFonts w:asciiTheme="majorBidi" w:hAnsiTheme="majorBidi" w:cstheme="majorBidi"/>
                <w:i/>
                <w:iCs/>
                <w:lang w:val="de-DE"/>
              </w:rPr>
              <w:t>Fürst Blücher von Wahlstatt</w:t>
            </w:r>
            <w:r w:rsidRPr="00B70E5A">
              <w:rPr>
                <w:rFonts w:asciiTheme="majorBidi" w:hAnsiTheme="majorBidi" w:cstheme="majorBidi"/>
                <w:lang w:val="de-DE"/>
              </w:rPr>
              <w:br/>
              <w:t>A/65/40</w:t>
            </w:r>
          </w:p>
        </w:tc>
        <w:tc>
          <w:tcPr>
            <w:tcW w:w="181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de-DE"/>
              </w:rPr>
            </w:pPr>
          </w:p>
        </w:tc>
        <w:tc>
          <w:tcPr>
            <w:tcW w:w="391"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de-DE"/>
              </w:rPr>
            </w:pPr>
          </w:p>
        </w:tc>
        <w:tc>
          <w:tcPr>
            <w:tcW w:w="400"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de-DE"/>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1497/2006, </w:t>
            </w:r>
            <w:r w:rsidRPr="00295ECA">
              <w:rPr>
                <w:rFonts w:asciiTheme="majorBidi" w:hAnsiTheme="majorBidi" w:cstheme="majorBidi"/>
                <w:i/>
                <w:iCs/>
              </w:rPr>
              <w:t>Preiss</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1508/2006, </w:t>
            </w:r>
            <w:r w:rsidRPr="00295ECA">
              <w:rPr>
                <w:rFonts w:asciiTheme="majorBidi" w:hAnsiTheme="majorBidi" w:cstheme="majorBidi"/>
                <w:i/>
                <w:iCs/>
              </w:rPr>
              <w:t>Amundson</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1586/2007, </w:t>
            </w:r>
            <w:r w:rsidRPr="00295ECA">
              <w:rPr>
                <w:rFonts w:asciiTheme="majorBidi" w:hAnsiTheme="majorBidi" w:cstheme="majorBidi"/>
                <w:i/>
                <w:iCs/>
              </w:rPr>
              <w:t>Lange</w:t>
            </w:r>
            <w:r w:rsidRPr="00295ECA">
              <w:rPr>
                <w:rFonts w:asciiTheme="majorBidi" w:hAnsiTheme="majorBidi" w:cstheme="majorBidi"/>
              </w:rPr>
              <w:br/>
              <w:t>A/66/40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1533/2006, </w:t>
            </w:r>
            <w:r w:rsidRPr="00295ECA">
              <w:rPr>
                <w:rFonts w:asciiTheme="majorBidi" w:hAnsiTheme="majorBidi" w:cstheme="majorBidi"/>
                <w:i/>
                <w:iCs/>
              </w:rPr>
              <w:t>Ondracka</w:t>
            </w:r>
            <w:r w:rsidRPr="00295ECA">
              <w:rPr>
                <w:rFonts w:asciiTheme="majorBidi" w:hAnsiTheme="majorBidi" w:cstheme="majorBidi"/>
              </w:rPr>
              <w:br/>
              <w:t>A/63/40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1563/2007, </w:t>
            </w:r>
            <w:r w:rsidRPr="00295ECA">
              <w:rPr>
                <w:rFonts w:asciiTheme="majorBidi" w:hAnsiTheme="majorBidi" w:cstheme="majorBidi"/>
                <w:i/>
                <w:iCs/>
              </w:rPr>
              <w:t>Jünglingová</w:t>
            </w:r>
            <w:r w:rsidRPr="00295ECA">
              <w:rPr>
                <w:rFonts w:asciiTheme="majorBidi" w:hAnsiTheme="majorBidi" w:cstheme="majorBidi"/>
              </w:rPr>
              <w:br/>
              <w:t>A/67/40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1581/2007, </w:t>
            </w:r>
            <w:r w:rsidRPr="00295ECA">
              <w:rPr>
                <w:rFonts w:asciiTheme="majorBidi" w:hAnsiTheme="majorBidi" w:cstheme="majorBidi"/>
                <w:i/>
                <w:iCs/>
              </w:rPr>
              <w:t>Drda</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1615/2007, </w:t>
            </w:r>
            <w:r w:rsidRPr="00295ECA">
              <w:rPr>
                <w:rFonts w:asciiTheme="majorBidi" w:hAnsiTheme="majorBidi" w:cstheme="majorBidi"/>
                <w:i/>
                <w:iCs/>
              </w:rPr>
              <w:t>Zavrel</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1742/2007, </w:t>
            </w:r>
            <w:r w:rsidRPr="00295ECA">
              <w:rPr>
                <w:rFonts w:asciiTheme="majorBidi" w:hAnsiTheme="majorBidi" w:cstheme="majorBidi"/>
                <w:i/>
                <w:iCs/>
              </w:rPr>
              <w:t>Gschwind</w:t>
            </w:r>
            <w:r w:rsidRPr="00295ECA">
              <w:rPr>
                <w:rFonts w:asciiTheme="majorBidi" w:hAnsiTheme="majorBidi" w:cstheme="majorBidi"/>
              </w:rPr>
              <w:br/>
              <w:t xml:space="preserve">A/65/40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1847/2008, </w:t>
            </w:r>
            <w:r w:rsidRPr="00295ECA">
              <w:rPr>
                <w:rFonts w:asciiTheme="majorBidi" w:hAnsiTheme="majorBidi" w:cstheme="majorBidi"/>
                <w:i/>
                <w:iCs/>
              </w:rPr>
              <w:t>Klain and Klain</w:t>
            </w:r>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Democratic Republic of the Congo (16)</w:t>
            </w:r>
            <w:r w:rsidRPr="00295ECA">
              <w:rPr>
                <w:rFonts w:asciiTheme="majorBidi" w:hAnsiTheme="majorBidi" w:cstheme="majorBidi"/>
                <w:i/>
                <w:iCs/>
                <w:sz w:val="18"/>
                <w:vertAlign w:val="superscript"/>
              </w:rPr>
              <w:t>e</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16/1977, </w:t>
            </w:r>
            <w:r w:rsidRPr="00295ECA">
              <w:rPr>
                <w:rFonts w:asciiTheme="majorBidi" w:hAnsiTheme="majorBidi" w:cstheme="majorBidi"/>
                <w:i/>
                <w:iCs/>
              </w:rPr>
              <w:t>Mbenge</w:t>
            </w:r>
            <w:r w:rsidRPr="00295ECA">
              <w:rPr>
                <w:rFonts w:asciiTheme="majorBidi" w:hAnsiTheme="majorBidi" w:cstheme="majorBidi"/>
              </w:rPr>
              <w:br/>
              <w:t>Eighteenth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90/1981, </w:t>
            </w:r>
            <w:r w:rsidRPr="00295ECA">
              <w:rPr>
                <w:rFonts w:asciiTheme="majorBidi" w:hAnsiTheme="majorBidi" w:cstheme="majorBidi"/>
                <w:i/>
                <w:iCs/>
              </w:rPr>
              <w:t>Luyeye</w:t>
            </w:r>
            <w:r w:rsidRPr="00295ECA">
              <w:rPr>
                <w:rFonts w:asciiTheme="majorBidi" w:hAnsiTheme="majorBidi" w:cstheme="majorBidi"/>
              </w:rPr>
              <w:br/>
              <w:t>Nineteenth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124/1982, </w:t>
            </w:r>
            <w:r w:rsidRPr="00295ECA">
              <w:rPr>
                <w:rFonts w:asciiTheme="majorBidi" w:hAnsiTheme="majorBidi" w:cstheme="majorBidi"/>
                <w:i/>
                <w:iCs/>
              </w:rPr>
              <w:t>Muteba</w:t>
            </w:r>
            <w:r w:rsidRPr="00295ECA">
              <w:rPr>
                <w:rFonts w:asciiTheme="majorBidi" w:hAnsiTheme="majorBidi" w:cstheme="majorBidi"/>
              </w:rPr>
              <w:br/>
              <w:t>Twenty-second session</w:t>
            </w:r>
            <w:r w:rsidRPr="00295ECA">
              <w:rPr>
                <w:rFonts w:asciiTheme="majorBidi" w:hAnsiTheme="majorBidi" w:cstheme="majorBidi"/>
                <w:i/>
                <w:iCs/>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138/1983, </w:t>
            </w:r>
            <w:r w:rsidRPr="00295ECA">
              <w:rPr>
                <w:rFonts w:asciiTheme="majorBidi" w:hAnsiTheme="majorBidi" w:cstheme="majorBidi"/>
                <w:i/>
                <w:iCs/>
              </w:rPr>
              <w:t>Mpandanjila et al.</w:t>
            </w:r>
            <w:r w:rsidRPr="00295ECA">
              <w:rPr>
                <w:rFonts w:asciiTheme="majorBidi" w:hAnsiTheme="majorBidi" w:cstheme="majorBidi"/>
              </w:rPr>
              <w:br/>
              <w:t>Twenty-seventh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157/1983, </w:t>
            </w:r>
            <w:r w:rsidRPr="00295ECA">
              <w:rPr>
                <w:rFonts w:asciiTheme="majorBidi" w:hAnsiTheme="majorBidi" w:cstheme="majorBidi"/>
                <w:i/>
                <w:iCs/>
              </w:rPr>
              <w:t>Mpaka Nsusu</w:t>
            </w:r>
            <w:r w:rsidRPr="00295ECA">
              <w:rPr>
                <w:rFonts w:asciiTheme="majorBidi" w:hAnsiTheme="majorBidi" w:cstheme="majorBidi"/>
              </w:rPr>
              <w:br/>
              <w:t>Twenty-seventh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194/1985, </w:t>
            </w:r>
            <w:r w:rsidRPr="00295ECA">
              <w:rPr>
                <w:rFonts w:asciiTheme="majorBidi" w:hAnsiTheme="majorBidi" w:cstheme="majorBidi"/>
                <w:i/>
                <w:iCs/>
              </w:rPr>
              <w:t>Miango</w:t>
            </w:r>
            <w:r w:rsidRPr="00295ECA">
              <w:rPr>
                <w:rFonts w:asciiTheme="majorBidi" w:hAnsiTheme="majorBidi" w:cstheme="majorBidi"/>
              </w:rPr>
              <w:br/>
              <w:t>Thirty-first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241/1987, </w:t>
            </w:r>
            <w:r w:rsidRPr="00295ECA">
              <w:rPr>
                <w:rFonts w:asciiTheme="majorBidi" w:hAnsiTheme="majorBidi" w:cstheme="majorBidi"/>
                <w:i/>
                <w:iCs/>
              </w:rPr>
              <w:t>Birindwa</w:t>
            </w:r>
            <w:r w:rsidRPr="00295ECA">
              <w:rPr>
                <w:rFonts w:asciiTheme="majorBidi" w:hAnsiTheme="majorBidi" w:cstheme="majorBidi"/>
              </w:rPr>
              <w:br/>
              <w:t>A/45/40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242/1987, </w:t>
            </w:r>
            <w:r w:rsidRPr="00295ECA">
              <w:rPr>
                <w:rFonts w:asciiTheme="majorBidi" w:hAnsiTheme="majorBidi" w:cstheme="majorBidi"/>
                <w:i/>
                <w:iCs/>
              </w:rPr>
              <w:t>Tshisekedi</w:t>
            </w:r>
            <w:r w:rsidRPr="00295ECA">
              <w:rPr>
                <w:rFonts w:asciiTheme="majorBidi" w:hAnsiTheme="majorBidi" w:cstheme="majorBidi"/>
              </w:rPr>
              <w:br/>
              <w:t>A/45/40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366/1989, </w:t>
            </w:r>
            <w:r w:rsidRPr="00295ECA">
              <w:rPr>
                <w:rFonts w:asciiTheme="majorBidi" w:hAnsiTheme="majorBidi" w:cstheme="majorBidi"/>
                <w:i/>
                <w:iCs/>
              </w:rPr>
              <w:t>Kanana</w:t>
            </w:r>
            <w:r w:rsidRPr="00295ECA">
              <w:rPr>
                <w:rFonts w:asciiTheme="majorBidi" w:hAnsiTheme="majorBidi" w:cstheme="majorBidi"/>
              </w:rPr>
              <w:br/>
              <w:t>A/49/40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542/1993, </w:t>
            </w:r>
            <w:r w:rsidRPr="00295ECA">
              <w:rPr>
                <w:rFonts w:asciiTheme="majorBidi" w:hAnsiTheme="majorBidi" w:cstheme="majorBidi"/>
                <w:i/>
                <w:iCs/>
              </w:rPr>
              <w:t>Tshishimbi</w:t>
            </w:r>
            <w:r w:rsidRPr="00295ECA">
              <w:rPr>
                <w:rFonts w:asciiTheme="majorBidi" w:hAnsiTheme="majorBidi" w:cstheme="majorBidi"/>
              </w:rPr>
              <w:br/>
              <w:t>A/51/40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641/1995, </w:t>
            </w:r>
            <w:r w:rsidRPr="00295ECA">
              <w:rPr>
                <w:rFonts w:asciiTheme="majorBidi" w:hAnsiTheme="majorBidi" w:cstheme="majorBidi"/>
                <w:i/>
                <w:iCs/>
              </w:rPr>
              <w:t>Gedumbe</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933/2000, </w:t>
            </w:r>
            <w:r w:rsidRPr="00B70E5A">
              <w:rPr>
                <w:rFonts w:asciiTheme="majorBidi" w:hAnsiTheme="majorBidi" w:cstheme="majorBidi"/>
                <w:i/>
                <w:iCs/>
              </w:rPr>
              <w:t>Mundyo Busyo et al.</w:t>
            </w:r>
            <w:r w:rsidRPr="00B70E5A">
              <w:rPr>
                <w:rFonts w:asciiTheme="majorBidi" w:hAnsiTheme="majorBidi" w:cstheme="majorBidi"/>
              </w:rPr>
              <w:t>(68 judges)</w:t>
            </w:r>
            <w:r w:rsidRPr="00B70E5A">
              <w:rPr>
                <w:rFonts w:asciiTheme="majorBidi" w:hAnsiTheme="majorBidi" w:cstheme="majorBidi"/>
              </w:rPr>
              <w:br/>
              <w:t>A/58/40</w:t>
            </w:r>
          </w:p>
        </w:tc>
        <w:tc>
          <w:tcPr>
            <w:tcW w:w="181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962/2001, </w:t>
            </w:r>
            <w:r w:rsidRPr="00295ECA">
              <w:rPr>
                <w:rFonts w:asciiTheme="majorBidi" w:hAnsiTheme="majorBidi" w:cstheme="majorBidi"/>
                <w:i/>
                <w:iCs/>
              </w:rPr>
              <w:t>Mulezi</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1177/2003, </w:t>
            </w:r>
            <w:r w:rsidRPr="00295ECA">
              <w:rPr>
                <w:rFonts w:asciiTheme="majorBidi" w:hAnsiTheme="majorBidi" w:cstheme="majorBidi"/>
                <w:i/>
                <w:iCs/>
              </w:rPr>
              <w:t>Wenga and Shandwe</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1890/2009, </w:t>
            </w:r>
            <w:r w:rsidRPr="00295ECA">
              <w:rPr>
                <w:rFonts w:asciiTheme="majorBidi" w:hAnsiTheme="majorBidi" w:cstheme="majorBidi"/>
                <w:i/>
                <w:iCs/>
              </w:rPr>
              <w:t>Kitenge</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CCPR/C/115/D/2214/2012, </w:t>
            </w:r>
            <w:r w:rsidRPr="00295ECA">
              <w:rPr>
                <w:rFonts w:asciiTheme="majorBidi" w:hAnsiTheme="majorBidi" w:cstheme="majorBidi"/>
                <w:i/>
                <w:iCs/>
              </w:rPr>
              <w:t>Lumbala</w:t>
            </w:r>
            <w:r w:rsidRPr="00295ECA">
              <w:rPr>
                <w:rFonts w:asciiTheme="majorBidi" w:hAnsiTheme="majorBidi" w:cstheme="majorBidi"/>
              </w:rPr>
              <w:t xml:space="preserve"> </w:t>
            </w:r>
            <w:r w:rsidRPr="00295ECA">
              <w:rPr>
                <w:rFonts w:asciiTheme="majorBidi" w:hAnsiTheme="majorBidi" w:cstheme="majorBidi"/>
                <w:i/>
                <w:iCs/>
              </w:rPr>
              <w:t>Tshidika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Denmark (10)</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1554/2007, </w:t>
            </w:r>
            <w:r w:rsidRPr="00295ECA">
              <w:rPr>
                <w:rFonts w:asciiTheme="majorBidi" w:hAnsiTheme="majorBidi" w:cstheme="majorBidi"/>
                <w:i/>
                <w:iCs/>
              </w:rPr>
              <w:t>El-Hichou</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Height w:val="2345"/>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2007/2010, </w:t>
            </w:r>
            <w:r w:rsidRPr="00B70E5A">
              <w:rPr>
                <w:rFonts w:asciiTheme="majorBidi" w:hAnsiTheme="majorBidi" w:cstheme="majorBidi"/>
                <w:i/>
                <w:iCs/>
                <w:lang w:val="fr-CH"/>
              </w:rPr>
              <w:t>X</w:t>
            </w:r>
            <w:r w:rsidRPr="00B70E5A">
              <w:rPr>
                <w:rFonts w:asciiTheme="majorBidi" w:hAnsiTheme="majorBidi" w:cstheme="majorBidi"/>
                <w:lang w:val="fr-CH"/>
              </w:rPr>
              <w:br/>
              <w:t>A/69/40</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CCPR/C/112/D/2243/2013, </w:t>
            </w:r>
            <w:r w:rsidRPr="00B70E5A">
              <w:rPr>
                <w:rFonts w:asciiTheme="majorBidi" w:hAnsiTheme="majorBidi" w:cstheme="majorBidi"/>
                <w:i/>
                <w:iCs/>
                <w:lang w:val="fr-CH"/>
              </w:rPr>
              <w:t>Husseini</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CCPR/C/113/D/2001/2010, </w:t>
            </w:r>
            <w:r w:rsidRPr="00B70E5A">
              <w:rPr>
                <w:rFonts w:asciiTheme="majorBidi" w:hAnsiTheme="majorBidi" w:cstheme="majorBidi"/>
                <w:i/>
                <w:iCs/>
                <w:lang w:val="fr-CH"/>
              </w:rPr>
              <w:t>Q</w:t>
            </w:r>
          </w:p>
        </w:tc>
        <w:tc>
          <w:tcPr>
            <w:tcW w:w="181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CCPR/C/113/3</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tc>
        <w:tc>
          <w:tcPr>
            <w:tcW w:w="391"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400"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909"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at the 115th session with a note of satisfactory implementation of the Committee’s recommendation.</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CCPR/C/114/D/2389/2014, </w:t>
            </w:r>
            <w:r w:rsidRPr="00295ECA">
              <w:rPr>
                <w:rFonts w:asciiTheme="majorBidi" w:hAnsiTheme="majorBidi" w:cstheme="majorBidi"/>
                <w:i/>
                <w:iCs/>
              </w:rPr>
              <w:t>X</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Del="00345D7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CCPR/C/116/D/2409/2014, </w:t>
            </w:r>
            <w:r w:rsidRPr="00B70E5A">
              <w:rPr>
                <w:rFonts w:asciiTheme="majorBidi" w:hAnsiTheme="majorBidi" w:cstheme="majorBidi"/>
                <w:i/>
                <w:iCs/>
                <w:lang w:val="fr-CH"/>
              </w:rPr>
              <w:t>Ali et al.</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Del="00345D7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CCPR/C/114/D/2360/2014, </w:t>
            </w:r>
            <w:r w:rsidRPr="00295ECA">
              <w:rPr>
                <w:rFonts w:asciiTheme="majorBidi" w:hAnsiTheme="majorBidi" w:cstheme="majorBidi"/>
                <w:i/>
                <w:iCs/>
              </w:rPr>
              <w:t>Jasin</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Del="00345D7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CCPR/C/114/D/2343/2014, </w:t>
            </w:r>
            <w:r w:rsidRPr="00295ECA">
              <w:rPr>
                <w:rFonts w:asciiTheme="majorBidi" w:hAnsiTheme="majorBidi" w:cstheme="majorBidi"/>
                <w:i/>
                <w:iCs/>
              </w:rPr>
              <w:t>H.E.A.K.</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Del="00345D7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CCPR/C/115/D/2258/2013, </w:t>
            </w:r>
            <w:r w:rsidRPr="00295ECA">
              <w:rPr>
                <w:rFonts w:asciiTheme="majorBidi" w:hAnsiTheme="majorBidi" w:cstheme="majorBidi"/>
                <w:i/>
                <w:iCs/>
              </w:rPr>
              <w:t>Rasappu and Rasappu</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CCPR/C/114/D/2288/2013, </w:t>
            </w:r>
            <w:r w:rsidRPr="00295ECA">
              <w:rPr>
                <w:rFonts w:asciiTheme="majorBidi" w:hAnsiTheme="majorBidi" w:cstheme="majorBidi"/>
                <w:i/>
                <w:iCs/>
              </w:rPr>
              <w:t>Omo-Amenaghawon et al.</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Dominican Republic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193/1985, </w:t>
            </w:r>
            <w:r w:rsidRPr="00295ECA">
              <w:rPr>
                <w:rFonts w:asciiTheme="majorBidi" w:hAnsiTheme="majorBidi" w:cstheme="majorBidi"/>
                <w:i/>
                <w:iCs/>
              </w:rPr>
              <w:t>Giry</w:t>
            </w:r>
            <w:r w:rsidRPr="00295ECA">
              <w:rPr>
                <w:rFonts w:asciiTheme="majorBidi" w:hAnsiTheme="majorBidi" w:cstheme="majorBidi"/>
              </w:rPr>
              <w:br/>
              <w:t>A/45/40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449/1991, </w:t>
            </w:r>
            <w:r w:rsidRPr="00295ECA">
              <w:rPr>
                <w:rFonts w:asciiTheme="majorBidi" w:hAnsiTheme="majorBidi" w:cstheme="majorBidi"/>
                <w:i/>
                <w:iCs/>
              </w:rPr>
              <w:t>Mojica</w:t>
            </w:r>
            <w:r w:rsidRPr="00295ECA">
              <w:rPr>
                <w:rFonts w:asciiTheme="majorBidi" w:hAnsiTheme="majorBidi" w:cstheme="majorBidi"/>
              </w:rPr>
              <w:br/>
              <w:t>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Ecuador (3)</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277/1988, </w:t>
            </w:r>
            <w:r w:rsidRPr="00295ECA">
              <w:rPr>
                <w:rFonts w:asciiTheme="majorBidi" w:hAnsiTheme="majorBidi" w:cstheme="majorBidi"/>
                <w:i/>
                <w:iCs/>
              </w:rPr>
              <w:t>Terán Jijón</w:t>
            </w:r>
            <w:r w:rsidRPr="00295ECA">
              <w:rPr>
                <w:rFonts w:asciiTheme="majorBidi" w:hAnsiTheme="majorBidi" w:cstheme="majorBidi"/>
              </w:rPr>
              <w:br/>
              <w:t>A/47/40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319/1988, </w:t>
            </w:r>
            <w:r w:rsidRPr="00295ECA">
              <w:rPr>
                <w:rFonts w:asciiTheme="majorBidi" w:hAnsiTheme="majorBidi" w:cstheme="majorBidi"/>
                <w:i/>
                <w:iCs/>
              </w:rPr>
              <w:t>Cañón García</w:t>
            </w:r>
            <w:r w:rsidRPr="00295ECA">
              <w:rPr>
                <w:rFonts w:asciiTheme="majorBidi" w:hAnsiTheme="majorBidi" w:cstheme="majorBidi"/>
              </w:rPr>
              <w:br/>
              <w:t>A/47/40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CCPR/C/116/D/2244/2013, </w:t>
            </w:r>
            <w:r w:rsidRPr="00295ECA">
              <w:rPr>
                <w:rFonts w:asciiTheme="majorBidi" w:hAnsiTheme="majorBidi" w:cstheme="majorBidi"/>
                <w:i/>
                <w:iCs/>
              </w:rPr>
              <w:t>Dassum and Dassum</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Equatorial Guinea (3)</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414/1990, </w:t>
            </w:r>
            <w:r w:rsidRPr="00295ECA">
              <w:rPr>
                <w:rFonts w:asciiTheme="majorBidi" w:hAnsiTheme="majorBidi" w:cstheme="majorBidi"/>
                <w:i/>
                <w:iCs/>
              </w:rPr>
              <w:t>Primo</w:t>
            </w:r>
            <w:r w:rsidRPr="00295ECA">
              <w:rPr>
                <w:rFonts w:asciiTheme="majorBidi" w:hAnsiTheme="majorBidi" w:cstheme="majorBidi"/>
              </w:rPr>
              <w:t xml:space="preserve"> </w:t>
            </w:r>
            <w:r w:rsidRPr="00295ECA">
              <w:rPr>
                <w:rFonts w:asciiTheme="majorBidi" w:hAnsiTheme="majorBidi" w:cstheme="majorBidi"/>
                <w:i/>
                <w:iCs/>
              </w:rPr>
              <w:t>Essono</w:t>
            </w:r>
            <w:r w:rsidRPr="00295ECA">
              <w:rPr>
                <w:rFonts w:asciiTheme="majorBidi" w:hAnsiTheme="majorBidi" w:cstheme="majorBidi"/>
              </w:rPr>
              <w:br/>
              <w:t>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468/1991, </w:t>
            </w:r>
            <w:r w:rsidRPr="00295ECA">
              <w:rPr>
                <w:rFonts w:asciiTheme="majorBidi" w:hAnsiTheme="majorBidi" w:cstheme="majorBidi"/>
                <w:i/>
                <w:iCs/>
              </w:rPr>
              <w:t>Oló</w:t>
            </w:r>
            <w:r w:rsidRPr="00295ECA">
              <w:rPr>
                <w:rFonts w:asciiTheme="majorBidi" w:hAnsiTheme="majorBidi" w:cstheme="majorBidi"/>
              </w:rPr>
              <w:t xml:space="preserve"> </w:t>
            </w:r>
            <w:r w:rsidRPr="00295ECA">
              <w:rPr>
                <w:rFonts w:asciiTheme="majorBidi" w:hAnsiTheme="majorBidi" w:cstheme="majorBidi"/>
                <w:i/>
                <w:iCs/>
              </w:rPr>
              <w:t>Bahamonde</w:t>
            </w:r>
            <w:r w:rsidRPr="00295ECA">
              <w:rPr>
                <w:rFonts w:asciiTheme="majorBidi" w:hAnsiTheme="majorBidi" w:cstheme="majorBidi"/>
              </w:rPr>
              <w:br/>
              <w:t>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1152 and 1190/2003, </w:t>
            </w:r>
            <w:r w:rsidRPr="00295ECA">
              <w:rPr>
                <w:rFonts w:asciiTheme="majorBidi" w:hAnsiTheme="majorBidi" w:cstheme="majorBidi"/>
              </w:rPr>
              <w:br/>
            </w:r>
            <w:r w:rsidRPr="00295ECA">
              <w:rPr>
                <w:rFonts w:asciiTheme="majorBidi" w:hAnsiTheme="majorBidi" w:cstheme="majorBidi"/>
                <w:i/>
                <w:iCs/>
              </w:rPr>
              <w:t>Ndong et al. and Mic Abogo</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Estonia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CCPR/C/115/D/2040/2011, </w:t>
            </w:r>
            <w:r w:rsidRPr="00295ECA">
              <w:rPr>
                <w:rFonts w:asciiTheme="majorBidi" w:hAnsiTheme="majorBidi" w:cstheme="majorBidi"/>
                <w:i/>
                <w:iCs/>
              </w:rPr>
              <w:t>Zeynalov</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Finland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779/1997, </w:t>
            </w:r>
            <w:r w:rsidRPr="00295ECA">
              <w:rPr>
                <w:rFonts w:asciiTheme="majorBidi" w:hAnsiTheme="majorBidi" w:cstheme="majorBidi"/>
                <w:i/>
                <w:iCs/>
              </w:rPr>
              <w:t>Äärelä</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France (6)</w:t>
            </w: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1620/2007, </w:t>
            </w:r>
            <w:r w:rsidRPr="00295ECA">
              <w:rPr>
                <w:rFonts w:asciiTheme="majorBidi" w:hAnsiTheme="majorBidi" w:cstheme="majorBidi"/>
                <w:i/>
                <w:iCs/>
              </w:rPr>
              <w:t>J.O.</w:t>
            </w:r>
            <w:r w:rsidRPr="00295ECA">
              <w:rPr>
                <w:rFonts w:asciiTheme="majorBidi" w:hAnsiTheme="majorBidi" w:cstheme="majorBidi"/>
              </w:rPr>
              <w:br/>
              <w:t>A/66/40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1760/2008, </w:t>
            </w:r>
            <w:r w:rsidRPr="00295ECA">
              <w:rPr>
                <w:rFonts w:asciiTheme="majorBidi" w:hAnsiTheme="majorBidi" w:cstheme="majorBidi"/>
                <w:i/>
                <w:iCs/>
              </w:rPr>
              <w:t>Cochet</w:t>
            </w:r>
            <w:r w:rsidRPr="00295ECA">
              <w:rPr>
                <w:rFonts w:asciiTheme="majorBidi" w:hAnsiTheme="majorBidi" w:cstheme="majorBidi"/>
              </w:rPr>
              <w:br/>
              <w:t>A/66/40</w:t>
            </w:r>
          </w:p>
        </w:tc>
        <w:tc>
          <w:tcPr>
            <w:tcW w:w="1815" w:type="dxa"/>
            <w:tcBorders>
              <w:top w:val="nil"/>
              <w:bottom w:val="nil"/>
            </w:tcBorders>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1852/2008, </w:t>
            </w:r>
            <w:r w:rsidRPr="00295ECA">
              <w:rPr>
                <w:rFonts w:asciiTheme="majorBidi" w:hAnsiTheme="majorBidi" w:cstheme="majorBidi"/>
                <w:i/>
                <w:iCs/>
              </w:rPr>
              <w:t>Singh</w:t>
            </w:r>
            <w:r w:rsidRPr="00295ECA">
              <w:rPr>
                <w:rFonts w:asciiTheme="majorBidi" w:hAnsiTheme="majorBidi" w:cstheme="majorBidi"/>
              </w:rPr>
              <w:br/>
              <w:t>A/68/40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1876/2009, </w:t>
            </w:r>
            <w:r w:rsidRPr="00295ECA">
              <w:rPr>
                <w:rFonts w:asciiTheme="majorBidi" w:hAnsiTheme="majorBidi" w:cstheme="majorBidi"/>
                <w:i/>
                <w:iCs/>
              </w:rPr>
              <w:t>Singh</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1928/2010, </w:t>
            </w:r>
            <w:r w:rsidRPr="00295ECA">
              <w:rPr>
                <w:rFonts w:asciiTheme="majorBidi" w:hAnsiTheme="majorBidi" w:cstheme="majorBidi"/>
                <w:i/>
                <w:iCs/>
              </w:rPr>
              <w:t>Singh</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1960/2010, </w:t>
            </w:r>
            <w:r w:rsidRPr="00295ECA">
              <w:rPr>
                <w:rFonts w:asciiTheme="majorBidi" w:hAnsiTheme="majorBidi" w:cstheme="majorBidi"/>
                <w:i/>
                <w:iCs/>
              </w:rPr>
              <w:t>Ory</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Georgia (3)</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626/1995, </w:t>
            </w:r>
            <w:r w:rsidRPr="00295ECA">
              <w:rPr>
                <w:rFonts w:asciiTheme="majorBidi" w:hAnsiTheme="majorBidi" w:cstheme="majorBidi"/>
                <w:i/>
                <w:iCs/>
              </w:rPr>
              <w:t>Gelbekhiani</w:t>
            </w:r>
            <w:r w:rsidRPr="00295ECA">
              <w:rPr>
                <w:rFonts w:asciiTheme="majorBidi" w:hAnsiTheme="majorBidi" w:cstheme="majorBidi"/>
              </w:rPr>
              <w:br/>
              <w:t>A/53/40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627/1995, </w:t>
            </w:r>
            <w:r w:rsidRPr="00295ECA">
              <w:rPr>
                <w:rFonts w:asciiTheme="majorBidi" w:hAnsiTheme="majorBidi" w:cstheme="majorBidi"/>
                <w:i/>
                <w:iCs/>
              </w:rPr>
              <w:t>Dokvadze</w:t>
            </w:r>
            <w:r w:rsidRPr="00295ECA">
              <w:rPr>
                <w:rFonts w:asciiTheme="majorBidi" w:hAnsiTheme="majorBidi" w:cstheme="majorBidi"/>
              </w:rPr>
              <w:br/>
              <w:t>A/53/40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975/2001, </w:t>
            </w:r>
            <w:r w:rsidRPr="00295ECA">
              <w:rPr>
                <w:rFonts w:asciiTheme="majorBidi" w:hAnsiTheme="majorBidi" w:cstheme="majorBidi"/>
                <w:i/>
                <w:iCs/>
              </w:rPr>
              <w:t>Ratiani</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Germany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1482/2006, </w:t>
            </w:r>
            <w:r w:rsidRPr="00295ECA">
              <w:rPr>
                <w:rFonts w:asciiTheme="majorBidi" w:hAnsiTheme="majorBidi" w:cstheme="majorBidi"/>
                <w:i/>
                <w:iCs/>
              </w:rPr>
              <w:t>Gerlach</w:t>
            </w:r>
            <w:r w:rsidRPr="00295ECA">
              <w:rPr>
                <w:rFonts w:asciiTheme="majorBidi" w:hAnsiTheme="majorBidi" w:cstheme="majorBidi"/>
              </w:rPr>
              <w:br/>
              <w:t xml:space="preserve">A/63/40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Ghana (1)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2177/2012, </w:t>
            </w:r>
            <w:r w:rsidRPr="00295ECA">
              <w:rPr>
                <w:rFonts w:asciiTheme="majorBidi" w:hAnsiTheme="majorBidi" w:cstheme="majorBidi"/>
                <w:i/>
                <w:iCs/>
              </w:rPr>
              <w:t>Johnson</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Greece (4)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1070/2002, </w:t>
            </w:r>
            <w:r w:rsidRPr="00295ECA">
              <w:rPr>
                <w:rFonts w:asciiTheme="majorBidi" w:hAnsiTheme="majorBidi" w:cstheme="majorBidi"/>
                <w:i/>
                <w:iCs/>
              </w:rPr>
              <w:t>Kouldis</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1486/2006, </w:t>
            </w:r>
            <w:r w:rsidRPr="00295ECA">
              <w:rPr>
                <w:rFonts w:asciiTheme="majorBidi" w:hAnsiTheme="majorBidi" w:cstheme="majorBidi"/>
                <w:i/>
                <w:iCs/>
              </w:rPr>
              <w:t>Kalamiotis</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1558/2007, </w:t>
            </w:r>
            <w:r w:rsidRPr="00295ECA">
              <w:rPr>
                <w:rFonts w:asciiTheme="majorBidi" w:hAnsiTheme="majorBidi" w:cstheme="majorBidi"/>
                <w:i/>
                <w:iCs/>
              </w:rPr>
              <w:t>Katsaris</w:t>
            </w:r>
            <w:r w:rsidRPr="00295ECA">
              <w:rPr>
                <w:rFonts w:asciiTheme="majorBidi" w:hAnsiTheme="majorBidi" w:cstheme="majorBidi"/>
              </w:rPr>
              <w:br/>
              <w:t>A/68/40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1799/2008, </w:t>
            </w:r>
            <w:r w:rsidRPr="00295ECA">
              <w:rPr>
                <w:rFonts w:asciiTheme="majorBidi" w:hAnsiTheme="majorBidi" w:cstheme="majorBidi"/>
                <w:i/>
                <w:iCs/>
              </w:rPr>
              <w:t>Georgopoulos et al.</w:t>
            </w:r>
            <w:r w:rsidRPr="00295ECA">
              <w:rPr>
                <w:rFonts w:asciiTheme="majorBidi" w:hAnsiTheme="majorBidi" w:cstheme="majorBidi"/>
              </w:rPr>
              <w:br/>
              <w:t>A/65/40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Guyana (9)</w:t>
            </w: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676/1996, </w:t>
            </w:r>
            <w:r w:rsidRPr="00295ECA">
              <w:rPr>
                <w:rFonts w:asciiTheme="majorBidi" w:hAnsiTheme="majorBidi" w:cstheme="majorBidi"/>
                <w:i/>
                <w:iCs/>
              </w:rPr>
              <w:t>Yasseen and Thomas</w:t>
            </w:r>
            <w:r w:rsidRPr="00295ECA">
              <w:rPr>
                <w:rFonts w:asciiTheme="majorBidi" w:hAnsiTheme="majorBidi" w:cstheme="majorBidi"/>
              </w:rPr>
              <w:br/>
              <w:t>A/53/40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728/1996, </w:t>
            </w:r>
            <w:r w:rsidRPr="00295ECA">
              <w:rPr>
                <w:rFonts w:asciiTheme="majorBidi" w:hAnsiTheme="majorBidi" w:cstheme="majorBidi"/>
                <w:i/>
                <w:iCs/>
              </w:rPr>
              <w:t>Sahadeo</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sidDel="00C07474">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811/1998, </w:t>
            </w:r>
            <w:r w:rsidRPr="00295ECA">
              <w:rPr>
                <w:rFonts w:asciiTheme="majorBidi" w:hAnsiTheme="majorBidi" w:cstheme="majorBidi"/>
                <w:i/>
                <w:iCs/>
              </w:rPr>
              <w:t>Mulai</w:t>
            </w:r>
            <w:r w:rsidRPr="00295ECA">
              <w:rPr>
                <w:rFonts w:asciiTheme="majorBidi" w:hAnsiTheme="majorBidi" w:cstheme="majorBidi"/>
              </w:rPr>
              <w:t xml:space="preserve">, </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812/1998, </w:t>
            </w:r>
            <w:r w:rsidRPr="00295ECA">
              <w:rPr>
                <w:rFonts w:asciiTheme="majorBidi" w:hAnsiTheme="majorBidi" w:cstheme="majorBidi"/>
                <w:i/>
                <w:iCs/>
              </w:rPr>
              <w:t>Persaud</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862/1999, </w:t>
            </w:r>
            <w:r w:rsidRPr="00295ECA">
              <w:rPr>
                <w:rFonts w:asciiTheme="majorBidi" w:hAnsiTheme="majorBidi" w:cstheme="majorBidi"/>
                <w:i/>
                <w:iCs/>
              </w:rPr>
              <w:t>Hussain and Hussain</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838/1998, </w:t>
            </w:r>
            <w:r w:rsidRPr="00295ECA">
              <w:rPr>
                <w:rFonts w:asciiTheme="majorBidi" w:hAnsiTheme="majorBidi" w:cstheme="majorBidi"/>
                <w:i/>
                <w:iCs/>
              </w:rPr>
              <w:t>Hendriks</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867/1999, </w:t>
            </w:r>
            <w:r w:rsidRPr="00295ECA">
              <w:rPr>
                <w:rFonts w:asciiTheme="majorBidi" w:hAnsiTheme="majorBidi" w:cstheme="majorBidi"/>
                <w:i/>
                <w:iCs/>
              </w:rPr>
              <w:t>Smartt</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912/2000, </w:t>
            </w:r>
            <w:r w:rsidRPr="00295ECA">
              <w:rPr>
                <w:rFonts w:asciiTheme="majorBidi" w:hAnsiTheme="majorBidi" w:cstheme="majorBidi"/>
                <w:i/>
                <w:iCs/>
              </w:rPr>
              <w:t>Ganga</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913/2000, </w:t>
            </w:r>
            <w:r w:rsidRPr="00295ECA">
              <w:rPr>
                <w:rFonts w:asciiTheme="majorBidi" w:hAnsiTheme="majorBidi" w:cstheme="majorBidi"/>
                <w:i/>
                <w:iCs/>
              </w:rPr>
              <w:t>Chan</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Hungary (3)</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410/1990, </w:t>
            </w:r>
            <w:r w:rsidRPr="00295ECA">
              <w:rPr>
                <w:rFonts w:asciiTheme="majorBidi" w:hAnsiTheme="majorBidi" w:cstheme="majorBidi"/>
                <w:i/>
                <w:iCs/>
              </w:rPr>
              <w:t>Párkányi</w:t>
            </w:r>
            <w:r w:rsidRPr="00295ECA">
              <w:rPr>
                <w:rFonts w:asciiTheme="majorBidi" w:hAnsiTheme="majorBidi" w:cstheme="majorBidi"/>
              </w:rPr>
              <w:br/>
              <w:t>A/47/40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521/1992, </w:t>
            </w:r>
            <w:r w:rsidRPr="00295ECA">
              <w:rPr>
                <w:rFonts w:asciiTheme="majorBidi" w:hAnsiTheme="majorBidi" w:cstheme="majorBidi"/>
                <w:i/>
                <w:iCs/>
              </w:rPr>
              <w:t>Kulomin</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852/1999, </w:t>
            </w:r>
            <w:r w:rsidRPr="00295ECA">
              <w:rPr>
                <w:rFonts w:asciiTheme="majorBidi" w:hAnsiTheme="majorBidi" w:cstheme="majorBidi"/>
                <w:i/>
                <w:iCs/>
              </w:rPr>
              <w:t>Borisenko</w:t>
            </w:r>
            <w:r w:rsidRPr="00295ECA">
              <w:rPr>
                <w:rFonts w:asciiTheme="majorBidi" w:hAnsiTheme="majorBidi" w:cstheme="majorBidi"/>
              </w:rPr>
              <w:br/>
              <w:t>A/58/40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Iceland (1) </w:t>
            </w: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1306/2004, </w:t>
            </w:r>
            <w:r w:rsidRPr="00295ECA">
              <w:rPr>
                <w:rFonts w:asciiTheme="majorBidi" w:hAnsiTheme="majorBidi" w:cstheme="majorBidi"/>
                <w:i/>
                <w:iCs/>
              </w:rPr>
              <w:t>Haraldsson and Sveinsson</w:t>
            </w:r>
            <w:r w:rsidRPr="00295ECA">
              <w:rPr>
                <w:rFonts w:asciiTheme="majorBidi" w:hAnsiTheme="majorBidi" w:cstheme="majorBidi"/>
              </w:rPr>
              <w:t>, A/62/40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A/67/40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a partly satisfactory implementation of the recommendation (see A/67/40, chap. VI).</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Ireland (1)</w:t>
            </w: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CCPR/C/116/2324/2013, </w:t>
            </w:r>
            <w:r w:rsidRPr="00295ECA">
              <w:rPr>
                <w:rFonts w:asciiTheme="majorBidi" w:hAnsiTheme="majorBidi" w:cstheme="majorBidi"/>
                <w:i/>
                <w:iCs/>
              </w:rPr>
              <w:t>Mellet</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Italy (1)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699/1996, </w:t>
            </w:r>
            <w:r w:rsidRPr="00295ECA">
              <w:rPr>
                <w:rFonts w:asciiTheme="majorBidi" w:hAnsiTheme="majorBidi" w:cstheme="majorBidi"/>
                <w:i/>
                <w:iCs/>
              </w:rPr>
              <w:t>Maleki</w:t>
            </w:r>
            <w:r w:rsidRPr="00295ECA">
              <w:rPr>
                <w:rFonts w:asciiTheme="majorBidi" w:hAnsiTheme="majorBidi" w:cstheme="majorBidi"/>
              </w:rPr>
              <w:br/>
              <w:t>A/54/40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Jamaica (98)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92 cases</w:t>
            </w:r>
            <w:r w:rsidRPr="00295ECA">
              <w:rPr>
                <w:rFonts w:asciiTheme="majorBidi" w:hAnsiTheme="majorBidi" w:cstheme="majorBidi"/>
                <w:i/>
                <w:iCs/>
                <w:sz w:val="18"/>
                <w:vertAlign w:val="superscript"/>
              </w:rPr>
              <w:t>g</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695/1996, </w:t>
            </w:r>
            <w:r w:rsidRPr="00295ECA">
              <w:rPr>
                <w:rFonts w:asciiTheme="majorBidi" w:hAnsiTheme="majorBidi" w:cstheme="majorBidi"/>
                <w:i/>
                <w:iCs/>
              </w:rPr>
              <w:t>Simpson</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 xml:space="preserve">A/59/40, A/63/40, </w:t>
            </w:r>
            <w:r w:rsidRPr="00295ECA">
              <w:rPr>
                <w:rFonts w:asciiTheme="majorBidi" w:hAnsiTheme="majorBidi" w:cstheme="majorBidi"/>
              </w:rPr>
              <w:br/>
              <w:t>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792/1998, </w:t>
            </w:r>
            <w:r w:rsidRPr="00295ECA">
              <w:rPr>
                <w:rFonts w:asciiTheme="majorBidi" w:hAnsiTheme="majorBidi" w:cstheme="majorBidi"/>
                <w:i/>
                <w:iCs/>
              </w:rPr>
              <w:t>Higginson</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793/1998, </w:t>
            </w:r>
            <w:r w:rsidRPr="00295ECA">
              <w:rPr>
                <w:rFonts w:asciiTheme="majorBidi" w:hAnsiTheme="majorBidi" w:cstheme="majorBidi"/>
                <w:i/>
                <w:iCs/>
              </w:rPr>
              <w:t>Pryce</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796/1998, </w:t>
            </w:r>
            <w:r w:rsidRPr="00295ECA">
              <w:rPr>
                <w:rFonts w:asciiTheme="majorBidi" w:hAnsiTheme="majorBidi" w:cstheme="majorBidi"/>
                <w:i/>
                <w:iCs/>
              </w:rPr>
              <w:t>Reece</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797/1998, </w:t>
            </w:r>
            <w:r w:rsidRPr="00295ECA">
              <w:rPr>
                <w:rFonts w:asciiTheme="majorBidi" w:hAnsiTheme="majorBidi" w:cstheme="majorBidi"/>
                <w:i/>
                <w:iCs/>
              </w:rPr>
              <w:t>Lobban</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798/1998, </w:t>
            </w:r>
            <w:r w:rsidRPr="00295ECA">
              <w:rPr>
                <w:rFonts w:asciiTheme="majorBidi" w:hAnsiTheme="majorBidi" w:cstheme="majorBidi"/>
                <w:i/>
                <w:iCs/>
              </w:rPr>
              <w:t>Howell</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Kazakhstan (7)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CCPR/C/111/D/2009/2010, </w:t>
            </w:r>
            <w:r w:rsidRPr="00295ECA">
              <w:rPr>
                <w:rFonts w:asciiTheme="majorBidi" w:hAnsiTheme="majorBidi" w:cstheme="majorBidi"/>
                <w:i/>
                <w:iCs/>
              </w:rPr>
              <w:t>Ilyasov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2024/2011, </w:t>
            </w:r>
            <w:r w:rsidRPr="00295ECA">
              <w:rPr>
                <w:rFonts w:asciiTheme="majorBidi" w:hAnsiTheme="majorBidi" w:cstheme="majorBidi"/>
                <w:i/>
                <w:iCs/>
              </w:rPr>
              <w:t>Israil</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2104/2011, </w:t>
            </w:r>
            <w:r w:rsidRPr="00295ECA">
              <w:rPr>
                <w:rFonts w:asciiTheme="majorBidi" w:hAnsiTheme="majorBidi" w:cstheme="majorBidi"/>
                <w:i/>
                <w:iCs/>
              </w:rPr>
              <w:t>Valetov</w:t>
            </w:r>
            <w:r w:rsidRPr="00295ECA">
              <w:rPr>
                <w:rFonts w:asciiTheme="majorBidi" w:hAnsiTheme="majorBidi" w:cstheme="majorBidi"/>
              </w:rPr>
              <w:br/>
              <w:t>A/69/40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CCPR/C/112/D/2131/2012, </w:t>
            </w:r>
            <w:r w:rsidRPr="00295ECA">
              <w:rPr>
                <w:rFonts w:asciiTheme="majorBidi" w:hAnsiTheme="majorBidi" w:cstheme="majorBidi"/>
                <w:i/>
                <w:iCs/>
              </w:rPr>
              <w:t>Leven</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CCPR/C/112/D/2137/2012, </w:t>
            </w:r>
            <w:r w:rsidRPr="00295ECA">
              <w:rPr>
                <w:rFonts w:asciiTheme="majorBidi" w:hAnsiTheme="majorBidi" w:cstheme="majorBidi"/>
                <w:i/>
                <w:iCs/>
              </w:rPr>
              <w:t>Toregozhina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CCPR/C/116/D/2129/2012, </w:t>
            </w:r>
            <w:r w:rsidRPr="00295ECA">
              <w:rPr>
                <w:rFonts w:asciiTheme="majorBidi" w:hAnsiTheme="majorBidi" w:cstheme="majorBidi"/>
                <w:i/>
                <w:iCs/>
              </w:rPr>
              <w:t>Esergepov</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CCPR/C/115/D/2304/2013, </w:t>
            </w:r>
            <w:r w:rsidRPr="00295ECA">
              <w:rPr>
                <w:rFonts w:asciiTheme="majorBidi" w:hAnsiTheme="majorBidi" w:cstheme="majorBidi"/>
                <w:i/>
                <w:iCs/>
              </w:rPr>
              <w:t>Dzhakishev</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Kyrgyzstan (17)</w:t>
            </w: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1275/2004, </w:t>
            </w:r>
            <w:r w:rsidRPr="00295ECA">
              <w:rPr>
                <w:rFonts w:asciiTheme="majorBidi" w:hAnsiTheme="majorBidi" w:cstheme="majorBidi"/>
                <w:i/>
                <w:iCs/>
              </w:rPr>
              <w:t>Umetaliev and Tashtanbekova</w:t>
            </w:r>
            <w:r w:rsidRPr="00295ECA">
              <w:rPr>
                <w:rFonts w:asciiTheme="majorBidi" w:hAnsiTheme="majorBidi" w:cstheme="majorBidi"/>
              </w:rPr>
              <w:br/>
              <w:t>A/64/40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1312/2004, </w:t>
            </w:r>
            <w:r w:rsidRPr="00295ECA">
              <w:rPr>
                <w:rFonts w:asciiTheme="majorBidi" w:hAnsiTheme="majorBidi" w:cstheme="majorBidi"/>
                <w:i/>
                <w:iCs/>
              </w:rPr>
              <w:t>Latifulin</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1338/2005, </w:t>
            </w:r>
            <w:r w:rsidRPr="00295ECA">
              <w:rPr>
                <w:rFonts w:asciiTheme="majorBidi" w:hAnsiTheme="majorBidi" w:cstheme="majorBidi"/>
                <w:i/>
                <w:iCs/>
              </w:rPr>
              <w:t>Kaldarov</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1369/2005, </w:t>
            </w:r>
            <w:r w:rsidRPr="00295ECA">
              <w:rPr>
                <w:rFonts w:asciiTheme="majorBidi" w:hAnsiTheme="majorBidi" w:cstheme="majorBidi"/>
                <w:i/>
                <w:iCs/>
              </w:rPr>
              <w:t>Kulov</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1402/2005, </w:t>
            </w:r>
            <w:r w:rsidRPr="00295ECA">
              <w:rPr>
                <w:rFonts w:asciiTheme="majorBidi" w:hAnsiTheme="majorBidi" w:cstheme="majorBidi"/>
                <w:i/>
                <w:iCs/>
              </w:rPr>
              <w:t>Krasnov</w:t>
            </w:r>
            <w:r w:rsidRPr="00295ECA">
              <w:rPr>
                <w:rFonts w:asciiTheme="majorBidi" w:hAnsiTheme="majorBidi" w:cstheme="majorBidi"/>
              </w:rPr>
              <w:t xml:space="preserve"> </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 1462, 1476 and 1477/2006, </w:t>
            </w:r>
            <w:r w:rsidRPr="00295ECA">
              <w:rPr>
                <w:rFonts w:asciiTheme="majorBidi" w:hAnsiTheme="majorBidi" w:cstheme="majorBidi"/>
                <w:i/>
                <w:iCs/>
              </w:rPr>
              <w:t>Maksudov, Rakhimov, Tashbaev, Pirmatov</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1470/2006, </w:t>
            </w:r>
            <w:r w:rsidRPr="00295ECA">
              <w:rPr>
                <w:rFonts w:asciiTheme="majorBidi" w:hAnsiTheme="majorBidi" w:cstheme="majorBidi"/>
                <w:i/>
                <w:iCs/>
              </w:rPr>
              <w:t>Toktakunov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satisfactory implementation of the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1503/2006, </w:t>
            </w:r>
            <w:r w:rsidRPr="00295ECA">
              <w:rPr>
                <w:rFonts w:asciiTheme="majorBidi" w:hAnsiTheme="majorBidi" w:cstheme="majorBidi"/>
                <w:i/>
                <w:iCs/>
              </w:rPr>
              <w:t>Akhadov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FE630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1545/2007, </w:t>
            </w:r>
            <w:r w:rsidRPr="00295ECA">
              <w:rPr>
                <w:rFonts w:asciiTheme="majorBidi" w:hAnsiTheme="majorBidi" w:cstheme="majorBidi"/>
                <w:i/>
                <w:iCs/>
              </w:rPr>
              <w:t>Gunan</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1547/2007, </w:t>
            </w:r>
            <w:r w:rsidRPr="00295ECA">
              <w:rPr>
                <w:rFonts w:asciiTheme="majorBidi" w:hAnsiTheme="majorBidi" w:cstheme="majorBidi"/>
                <w:i/>
                <w:iCs/>
              </w:rPr>
              <w:t>Torobekov</w:t>
            </w:r>
            <w:r w:rsidRPr="00295ECA">
              <w:rPr>
                <w:rFonts w:asciiTheme="majorBidi" w:hAnsiTheme="majorBidi" w:cstheme="majorBidi"/>
              </w:rPr>
              <w:br/>
              <w:t>A/67/40</w:t>
            </w:r>
          </w:p>
        </w:tc>
        <w:tc>
          <w:tcPr>
            <w:tcW w:w="1815" w:type="dxa"/>
            <w:shd w:val="clear" w:color="auto" w:fill="auto"/>
            <w:noWrap/>
          </w:tcPr>
          <w:p w:rsidR="006B2037" w:rsidRPr="00295ECA" w:rsidDel="00FC2E6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1756/2008, </w:t>
            </w:r>
            <w:r w:rsidRPr="00295ECA">
              <w:rPr>
                <w:rFonts w:asciiTheme="majorBidi" w:hAnsiTheme="majorBidi" w:cstheme="majorBidi"/>
                <w:i/>
                <w:iCs/>
              </w:rPr>
              <w:t>Moidunov and Zhumbaeva</w:t>
            </w:r>
            <w:r w:rsidRPr="00295ECA">
              <w:rPr>
                <w:rFonts w:asciiTheme="majorBidi" w:hAnsiTheme="majorBidi" w:cstheme="majorBidi"/>
              </w:rPr>
              <w:br/>
              <w:t>A/66/40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CCPR/C/113/D/2054/2011, </w:t>
            </w:r>
            <w:r w:rsidRPr="00295ECA">
              <w:rPr>
                <w:rFonts w:asciiTheme="majorBidi" w:hAnsiTheme="majorBidi" w:cstheme="majorBidi"/>
                <w:i/>
                <w:iCs/>
              </w:rPr>
              <w:t>Ernazarov</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CCPR/C/115/D/2052/2011, </w:t>
            </w:r>
            <w:r w:rsidRPr="00295ECA">
              <w:rPr>
                <w:rFonts w:asciiTheme="majorBidi" w:hAnsiTheme="majorBidi" w:cstheme="majorBidi"/>
                <w:i/>
                <w:iCs/>
              </w:rPr>
              <w:t>Akmatov</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CCPR/C/116/D/2231/2012, </w:t>
            </w:r>
            <w:r w:rsidRPr="00295ECA">
              <w:rPr>
                <w:rFonts w:asciiTheme="majorBidi" w:hAnsiTheme="majorBidi" w:cstheme="majorBidi"/>
                <w:i/>
                <w:iCs/>
              </w:rPr>
              <w:t>Askarov</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Latvia (2)</w:t>
            </w: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884/1999, </w:t>
            </w:r>
            <w:r w:rsidRPr="00295ECA">
              <w:rPr>
                <w:rFonts w:asciiTheme="majorBidi" w:hAnsiTheme="majorBidi" w:cstheme="majorBidi"/>
                <w:i/>
                <w:iCs/>
              </w:rPr>
              <w:t>Ignatane</w:t>
            </w:r>
            <w:r w:rsidRPr="00295ECA">
              <w:rPr>
                <w:rFonts w:asciiTheme="majorBidi" w:hAnsiTheme="majorBidi" w:cstheme="majorBidi"/>
              </w:rPr>
              <w:br/>
              <w:t xml:space="preserve">A/56/40 </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1621/2007, </w:t>
            </w:r>
            <w:r w:rsidRPr="00295ECA">
              <w:rPr>
                <w:rFonts w:asciiTheme="majorBidi" w:hAnsiTheme="majorBidi" w:cstheme="majorBidi"/>
                <w:i/>
                <w:iCs/>
              </w:rPr>
              <w:t>Raihman</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Libya (20)</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440/1990, </w:t>
            </w:r>
            <w:r w:rsidRPr="00295ECA">
              <w:rPr>
                <w:rFonts w:asciiTheme="majorBidi" w:hAnsiTheme="majorBidi" w:cstheme="majorBidi"/>
                <w:i/>
                <w:iCs/>
              </w:rPr>
              <w:t>El-Megreisi</w:t>
            </w:r>
            <w:r w:rsidRPr="00295ECA">
              <w:rPr>
                <w:rFonts w:asciiTheme="majorBidi" w:hAnsiTheme="majorBidi" w:cstheme="majorBidi"/>
              </w:rPr>
              <w:br/>
              <w:t>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1107/2002, </w:t>
            </w:r>
            <w:r w:rsidRPr="00295ECA">
              <w:rPr>
                <w:rFonts w:asciiTheme="majorBidi" w:hAnsiTheme="majorBidi" w:cstheme="majorBidi"/>
                <w:i/>
                <w:iCs/>
              </w:rPr>
              <w:t>El Ghar</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1143/2002, </w:t>
            </w:r>
            <w:r w:rsidRPr="00295ECA">
              <w:rPr>
                <w:rFonts w:asciiTheme="majorBidi" w:hAnsiTheme="majorBidi" w:cstheme="majorBidi"/>
                <w:i/>
                <w:iCs/>
              </w:rPr>
              <w:t>Dernawi</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1295/2004, </w:t>
            </w:r>
            <w:r w:rsidRPr="00295ECA">
              <w:rPr>
                <w:rFonts w:asciiTheme="majorBidi" w:hAnsiTheme="majorBidi" w:cstheme="majorBidi"/>
                <w:i/>
                <w:iCs/>
              </w:rPr>
              <w:t>El Awani</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1422/2005, </w:t>
            </w:r>
            <w:r w:rsidRPr="00295ECA">
              <w:rPr>
                <w:rFonts w:asciiTheme="majorBidi" w:hAnsiTheme="majorBidi" w:cstheme="majorBidi"/>
                <w:i/>
                <w:iCs/>
              </w:rPr>
              <w:t>El Hassy</w:t>
            </w:r>
            <w:r w:rsidRPr="00295ECA">
              <w:rPr>
                <w:rFonts w:asciiTheme="majorBidi" w:hAnsiTheme="majorBidi" w:cstheme="majorBidi"/>
              </w:rPr>
              <w:br/>
              <w:t>A/63/40</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1640/2007, </w:t>
            </w:r>
            <w:r w:rsidRPr="00295ECA">
              <w:rPr>
                <w:rFonts w:asciiTheme="majorBidi" w:hAnsiTheme="majorBidi" w:cstheme="majorBidi"/>
                <w:i/>
                <w:iCs/>
              </w:rPr>
              <w:t>El Abani</w:t>
            </w:r>
            <w:r w:rsidRPr="00295ECA">
              <w:rPr>
                <w:rFonts w:asciiTheme="majorBidi" w:hAnsiTheme="majorBidi" w:cstheme="majorBidi"/>
              </w:rPr>
              <w:br/>
              <w:t>A/65/40</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1751/2008, </w:t>
            </w:r>
            <w:r w:rsidRPr="00295ECA">
              <w:rPr>
                <w:rFonts w:asciiTheme="majorBidi" w:hAnsiTheme="majorBidi" w:cstheme="majorBidi"/>
                <w:i/>
                <w:iCs/>
              </w:rPr>
              <w:t>Aboussedra et al.</w:t>
            </w:r>
            <w:r w:rsidRPr="00295ECA">
              <w:rPr>
                <w:rFonts w:asciiTheme="majorBidi" w:hAnsiTheme="majorBidi" w:cstheme="majorBidi"/>
              </w:rPr>
              <w:br/>
              <w:t>A/66/40</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1755/2008, </w:t>
            </w:r>
            <w:r w:rsidRPr="00295ECA">
              <w:rPr>
                <w:rFonts w:asciiTheme="majorBidi" w:hAnsiTheme="majorBidi" w:cstheme="majorBidi"/>
                <w:i/>
                <w:iCs/>
              </w:rPr>
              <w:t>El Hagog Jumaa</w:t>
            </w:r>
            <w:r w:rsidRPr="00295ECA">
              <w:rPr>
                <w:rFonts w:asciiTheme="majorBidi" w:hAnsiTheme="majorBidi" w:cstheme="majorBidi"/>
              </w:rPr>
              <w:br/>
              <w:t>A/67/40</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1776/2008, </w:t>
            </w:r>
            <w:r w:rsidRPr="00295ECA">
              <w:rPr>
                <w:rFonts w:asciiTheme="majorBidi" w:hAnsiTheme="majorBidi" w:cstheme="majorBidi"/>
                <w:i/>
                <w:iCs/>
              </w:rPr>
              <w:t>Ali Bashasha and Hussein Bashasha</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Del="002B1CCD"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1782/2008, </w:t>
            </w:r>
            <w:r w:rsidRPr="00295ECA">
              <w:rPr>
                <w:rFonts w:asciiTheme="majorBidi" w:hAnsiTheme="majorBidi" w:cstheme="majorBidi"/>
                <w:i/>
                <w:iCs/>
              </w:rPr>
              <w:t>Aboufaied</w:t>
            </w:r>
            <w:r w:rsidRPr="00295ECA">
              <w:rPr>
                <w:rFonts w:asciiTheme="majorBidi" w:hAnsiTheme="majorBidi" w:cstheme="majorBidi"/>
              </w:rPr>
              <w:br/>
              <w:t>A/67/40</w:t>
            </w:r>
            <w:r w:rsidRPr="00295ECA">
              <w:rPr>
                <w:rFonts w:asciiTheme="majorBidi" w:hAnsiTheme="majorBidi" w:cstheme="majorBidi"/>
              </w:rPr>
              <w:br/>
              <w:t>A/66/40</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Del="002B1CCD"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1804/2008, </w:t>
            </w:r>
            <w:r w:rsidRPr="00295ECA">
              <w:rPr>
                <w:rFonts w:asciiTheme="majorBidi" w:hAnsiTheme="majorBidi" w:cstheme="majorBidi"/>
                <w:i/>
                <w:iCs/>
              </w:rPr>
              <w:t>Il Khwildy</w:t>
            </w:r>
            <w:r w:rsidRPr="00295ECA">
              <w:rPr>
                <w:rFonts w:asciiTheme="majorBidi" w:hAnsiTheme="majorBidi" w:cstheme="majorBidi"/>
              </w:rPr>
              <w:br/>
              <w:t>A/68/40</w:t>
            </w:r>
          </w:p>
        </w:tc>
        <w:tc>
          <w:tcPr>
            <w:tcW w:w="1815" w:type="dxa"/>
            <w:tcBorders>
              <w:bottom w:val="nil"/>
            </w:tcBorders>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Del="002B1CCD"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1805/2008, </w:t>
            </w:r>
            <w:r w:rsidRPr="00295ECA">
              <w:rPr>
                <w:rFonts w:asciiTheme="majorBidi" w:hAnsiTheme="majorBidi" w:cstheme="majorBidi"/>
                <w:i/>
                <w:iCs/>
              </w:rPr>
              <w:t>Benali</w:t>
            </w:r>
            <w:r w:rsidRPr="00295ECA">
              <w:rPr>
                <w:rFonts w:asciiTheme="majorBidi" w:hAnsiTheme="majorBidi" w:cstheme="majorBidi"/>
              </w:rPr>
              <w:br/>
              <w:t>A/68/40</w:t>
            </w:r>
          </w:p>
        </w:tc>
        <w:tc>
          <w:tcPr>
            <w:tcW w:w="1815" w:type="dxa"/>
            <w:tcBorders>
              <w:top w:val="nil"/>
              <w:bottom w:val="nil"/>
            </w:tcBorders>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Del="002B1CCD"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1832/2008, </w:t>
            </w:r>
            <w:r w:rsidRPr="00B70E5A">
              <w:rPr>
                <w:rFonts w:asciiTheme="majorBidi" w:hAnsiTheme="majorBidi" w:cstheme="majorBidi"/>
                <w:i/>
                <w:iCs/>
              </w:rPr>
              <w:t>Al Khazmi</w:t>
            </w:r>
            <w:r w:rsidRPr="00B70E5A">
              <w:rPr>
                <w:rFonts w:asciiTheme="majorBidi" w:hAnsiTheme="majorBidi" w:cstheme="majorBidi"/>
              </w:rPr>
              <w:t xml:space="preserve"> </w:t>
            </w:r>
            <w:r w:rsidRPr="00B70E5A">
              <w:rPr>
                <w:rFonts w:asciiTheme="majorBidi" w:hAnsiTheme="majorBidi" w:cstheme="majorBidi"/>
              </w:rPr>
              <w:br/>
              <w:t>A/69/40</w:t>
            </w:r>
          </w:p>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CCPR/C/111/D/1860/2009, </w:t>
            </w:r>
            <w:r w:rsidRPr="00B70E5A">
              <w:rPr>
                <w:rFonts w:asciiTheme="majorBidi" w:hAnsiTheme="majorBidi" w:cstheme="majorBidi"/>
                <w:i/>
                <w:iCs/>
              </w:rPr>
              <w:t>Al Rabassi</w:t>
            </w:r>
          </w:p>
        </w:tc>
        <w:tc>
          <w:tcPr>
            <w:tcW w:w="1815" w:type="dxa"/>
            <w:tcBorders>
              <w:top w:val="nil"/>
            </w:tcBorders>
            <w:shd w:val="clear" w:color="auto" w:fill="auto"/>
            <w:noWrap/>
          </w:tcPr>
          <w:p w:rsidR="006B2037" w:rsidRPr="00B70E5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Del="002B1CCD"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1880/2009, </w:t>
            </w:r>
            <w:r w:rsidRPr="00B70E5A">
              <w:rPr>
                <w:rFonts w:asciiTheme="majorBidi" w:hAnsiTheme="majorBidi" w:cstheme="majorBidi"/>
                <w:i/>
                <w:iCs/>
              </w:rPr>
              <w:t>Nenova et al.</w:t>
            </w:r>
            <w:r w:rsidRPr="00B70E5A">
              <w:rPr>
                <w:rFonts w:asciiTheme="majorBidi" w:hAnsiTheme="majorBidi" w:cstheme="majorBidi"/>
              </w:rPr>
              <w:br/>
              <w:t>A/67/40</w:t>
            </w:r>
          </w:p>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CCPR/C/111/D/1882/2009, </w:t>
            </w:r>
            <w:r w:rsidRPr="00B70E5A">
              <w:rPr>
                <w:rFonts w:asciiTheme="majorBidi" w:hAnsiTheme="majorBidi" w:cstheme="majorBidi"/>
                <w:i/>
                <w:iCs/>
              </w:rPr>
              <w:t>Al Daquel</w:t>
            </w:r>
          </w:p>
        </w:tc>
        <w:tc>
          <w:tcPr>
            <w:tcW w:w="1815" w:type="dxa"/>
            <w:shd w:val="clear" w:color="auto" w:fill="auto"/>
            <w:noWrap/>
          </w:tcPr>
          <w:p w:rsidR="006B2037" w:rsidRPr="00B70E5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1913/2009, </w:t>
            </w:r>
            <w:r w:rsidRPr="00B70E5A">
              <w:rPr>
                <w:rFonts w:asciiTheme="majorBidi" w:hAnsiTheme="majorBidi" w:cstheme="majorBidi"/>
                <w:i/>
                <w:iCs/>
              </w:rPr>
              <w:t>Abushala</w:t>
            </w:r>
            <w:r w:rsidRPr="00B70E5A">
              <w:rPr>
                <w:rFonts w:asciiTheme="majorBidi" w:hAnsiTheme="majorBidi" w:cstheme="majorBidi"/>
              </w:rPr>
              <w:br/>
              <w:t>A/68/40</w:t>
            </w:r>
          </w:p>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CCPR/C/111/D/1958/2010, </w:t>
            </w:r>
            <w:r w:rsidRPr="00B70E5A">
              <w:rPr>
                <w:rFonts w:asciiTheme="majorBidi" w:hAnsiTheme="majorBidi" w:cstheme="majorBidi"/>
                <w:i/>
                <w:iCs/>
              </w:rPr>
              <w:t>El Hojouj et al.</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CCPR/C/112/D/2046/2011, </w:t>
            </w:r>
            <w:r w:rsidRPr="00295ECA">
              <w:rPr>
                <w:rFonts w:asciiTheme="majorBidi" w:hAnsiTheme="majorBidi" w:cstheme="majorBidi"/>
                <w:i/>
                <w:iCs/>
              </w:rPr>
              <w:t>Hmeed</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2006/2010, </w:t>
            </w:r>
            <w:r w:rsidRPr="00295ECA">
              <w:rPr>
                <w:rFonts w:asciiTheme="majorBidi" w:hAnsiTheme="majorBidi" w:cstheme="majorBidi"/>
                <w:i/>
                <w:iCs/>
              </w:rPr>
              <w:t>Almegaryaf and Matar</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Del="00A23ED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Lithuania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2155/2012, </w:t>
            </w:r>
            <w:r w:rsidRPr="00295ECA">
              <w:rPr>
                <w:rFonts w:asciiTheme="majorBidi" w:hAnsiTheme="majorBidi" w:cstheme="majorBidi"/>
                <w:i/>
                <w:iCs/>
              </w:rPr>
              <w:t>Paksas</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Madagascar (4)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49/1979, </w:t>
            </w:r>
            <w:r w:rsidRPr="00295ECA">
              <w:rPr>
                <w:rFonts w:asciiTheme="majorBidi" w:hAnsiTheme="majorBidi" w:cstheme="majorBidi"/>
                <w:i/>
                <w:iCs/>
              </w:rPr>
              <w:t>Marais</w:t>
            </w:r>
            <w:r w:rsidRPr="00295ECA">
              <w:rPr>
                <w:rFonts w:asciiTheme="majorBidi" w:hAnsiTheme="majorBidi" w:cstheme="majorBidi"/>
              </w:rPr>
              <w:br/>
              <w:t>Eighteenth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h</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115/1982, </w:t>
            </w:r>
            <w:r w:rsidRPr="00295ECA">
              <w:rPr>
                <w:rFonts w:asciiTheme="majorBidi" w:hAnsiTheme="majorBidi" w:cstheme="majorBidi"/>
                <w:i/>
                <w:iCs/>
              </w:rPr>
              <w:t>Wight</w:t>
            </w:r>
            <w:r w:rsidRPr="00295ECA">
              <w:rPr>
                <w:rFonts w:asciiTheme="majorBidi" w:hAnsiTheme="majorBidi" w:cstheme="majorBidi"/>
              </w:rPr>
              <w:br/>
              <w:t>Twenty-fourth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h</w:t>
            </w:r>
            <w:r w:rsidRPr="00295ECA" w:rsidDel="00D55A13">
              <w:rPr>
                <w:rFonts w:asciiTheme="majorBidi" w:hAnsiTheme="majorBidi" w:cstheme="majorBidi"/>
                <w:i/>
                <w:iCs/>
                <w:sz w:val="18"/>
                <w:vertAlign w:val="superscript"/>
              </w:rPr>
              <w:t xml:space="preserve"> </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132/1982, </w:t>
            </w:r>
            <w:r w:rsidRPr="00295ECA">
              <w:rPr>
                <w:rFonts w:asciiTheme="majorBidi" w:hAnsiTheme="majorBidi" w:cstheme="majorBidi"/>
                <w:i/>
                <w:iCs/>
              </w:rPr>
              <w:t>Jaona</w:t>
            </w:r>
            <w:r w:rsidRPr="00295ECA">
              <w:rPr>
                <w:rFonts w:asciiTheme="majorBidi" w:hAnsiTheme="majorBidi" w:cstheme="majorBidi"/>
              </w:rPr>
              <w:br/>
              <w:t>Twenty-fourth session</w:t>
            </w:r>
            <w:r w:rsidRPr="00295ECA">
              <w:rPr>
                <w:rFonts w:asciiTheme="majorBidi" w:hAnsiTheme="majorBidi" w:cstheme="majorBidi"/>
                <w:i/>
                <w:iCs/>
                <w:sz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155/1983, </w:t>
            </w:r>
            <w:r w:rsidRPr="00295ECA">
              <w:rPr>
                <w:rFonts w:asciiTheme="majorBidi" w:hAnsiTheme="majorBidi" w:cstheme="majorBidi"/>
                <w:i/>
                <w:iCs/>
              </w:rPr>
              <w:t>Hammel</w:t>
            </w:r>
            <w:r w:rsidRPr="00295ECA">
              <w:rPr>
                <w:rFonts w:asciiTheme="majorBidi" w:hAnsiTheme="majorBidi" w:cstheme="majorBidi"/>
              </w:rPr>
              <w:br/>
              <w:t>A/42/40</w:t>
            </w:r>
            <w:r w:rsidRPr="00295ECA">
              <w:rPr>
                <w:rFonts w:asciiTheme="majorBidi" w:hAnsiTheme="majorBidi" w:cstheme="majorBidi"/>
                <w:i/>
                <w:iCs/>
                <w:vertAlign w:val="superscript"/>
              </w:rPr>
              <w:t xml:space="preserve">c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Mauritius (1)</w:t>
            </w: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1744/2007, </w:t>
            </w:r>
            <w:r w:rsidRPr="00295ECA">
              <w:rPr>
                <w:rFonts w:asciiTheme="majorBidi" w:hAnsiTheme="majorBidi" w:cstheme="majorBidi"/>
                <w:i/>
                <w:iCs/>
              </w:rPr>
              <w:t>Narrain et al.</w:t>
            </w:r>
            <w:r w:rsidRPr="00295ECA">
              <w:rPr>
                <w:rFonts w:asciiTheme="majorBidi" w:hAnsiTheme="majorBidi" w:cstheme="majorBidi"/>
              </w:rPr>
              <w:br/>
              <w:t>A/68/40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Nepal (12)</w:t>
            </w: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1469/2006, </w:t>
            </w:r>
            <w:r w:rsidRPr="00295ECA">
              <w:rPr>
                <w:rFonts w:asciiTheme="majorBidi" w:hAnsiTheme="majorBidi" w:cstheme="majorBidi"/>
                <w:i/>
                <w:iCs/>
              </w:rPr>
              <w:t>Sharma</w:t>
            </w:r>
            <w:r w:rsidRPr="00295ECA">
              <w:rPr>
                <w:rFonts w:asciiTheme="majorBidi" w:hAnsiTheme="majorBidi" w:cstheme="majorBidi"/>
              </w:rPr>
              <w:br/>
              <w:t>A/64/40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 A/66/40, A/67/40, 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1761/2008, </w:t>
            </w:r>
            <w:r w:rsidRPr="00295ECA">
              <w:rPr>
                <w:rFonts w:asciiTheme="majorBidi" w:hAnsiTheme="majorBidi" w:cstheme="majorBidi"/>
                <w:i/>
                <w:iCs/>
              </w:rPr>
              <w:t>Giri et al.</w:t>
            </w:r>
            <w:r w:rsidRPr="00295ECA">
              <w:rPr>
                <w:rFonts w:asciiTheme="majorBidi" w:hAnsiTheme="majorBidi" w:cstheme="majorBidi"/>
              </w:rPr>
              <w:br/>
              <w:t>A/66/40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1863/2009, </w:t>
            </w:r>
            <w:r w:rsidRPr="00295ECA">
              <w:rPr>
                <w:rFonts w:asciiTheme="majorBidi" w:hAnsiTheme="majorBidi" w:cstheme="majorBidi"/>
                <w:i/>
                <w:iCs/>
              </w:rPr>
              <w:t>Maharjan</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1865/2009, </w:t>
            </w:r>
            <w:r w:rsidRPr="00295ECA">
              <w:rPr>
                <w:rFonts w:asciiTheme="majorBidi" w:hAnsiTheme="majorBidi" w:cstheme="majorBidi"/>
                <w:i/>
                <w:iCs/>
              </w:rPr>
              <w:t>Sedhai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1870/2009, </w:t>
            </w:r>
            <w:r w:rsidRPr="00295ECA">
              <w:rPr>
                <w:rFonts w:asciiTheme="majorBidi" w:hAnsiTheme="majorBidi" w:cstheme="majorBidi"/>
                <w:i/>
                <w:iCs/>
              </w:rPr>
              <w:t>Sobhraj</w:t>
            </w:r>
            <w:r w:rsidRPr="00295ECA">
              <w:rPr>
                <w:rFonts w:asciiTheme="majorBidi" w:hAnsiTheme="majorBidi" w:cstheme="majorBidi"/>
              </w:rPr>
              <w:t xml:space="preserve"> </w:t>
            </w:r>
            <w:r w:rsidRPr="00295ECA">
              <w:rPr>
                <w:rFonts w:asciiTheme="majorBidi" w:hAnsiTheme="majorBidi" w:cstheme="majorBidi"/>
              </w:rPr>
              <w:br/>
              <w:t>A/65/40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CCPR/C/112/D/2018/2010, </w:t>
            </w:r>
            <w:r w:rsidRPr="00295ECA">
              <w:rPr>
                <w:rFonts w:asciiTheme="majorBidi" w:hAnsiTheme="majorBidi" w:cstheme="majorBidi"/>
                <w:i/>
                <w:iCs/>
              </w:rPr>
              <w:t>Chaulagain</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CCPR/C/112/D/2031/2011, </w:t>
            </w:r>
            <w:r w:rsidRPr="00295ECA">
              <w:rPr>
                <w:rFonts w:asciiTheme="majorBidi" w:hAnsiTheme="majorBidi" w:cstheme="majorBidi"/>
                <w:i/>
                <w:iCs/>
              </w:rPr>
              <w:t>Bhandari</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CCPR/C/112/D/2051/2011, </w:t>
            </w:r>
            <w:r w:rsidRPr="00295ECA">
              <w:rPr>
                <w:rFonts w:asciiTheme="majorBidi" w:hAnsiTheme="majorBidi" w:cstheme="majorBidi"/>
                <w:i/>
                <w:iCs/>
              </w:rPr>
              <w:t>Basnet</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CCPR/C/112/D/2111/2011, </w:t>
            </w:r>
            <w:r w:rsidRPr="00B70E5A">
              <w:rPr>
                <w:rFonts w:asciiTheme="majorBidi" w:hAnsiTheme="majorBidi" w:cstheme="majorBidi"/>
                <w:i/>
                <w:iCs/>
                <w:lang w:val="fr-CH"/>
              </w:rPr>
              <w:t>Tripathi et al.</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CCPR/C/113/D/2000/2010, </w:t>
            </w:r>
            <w:r w:rsidRPr="00295ECA">
              <w:rPr>
                <w:rFonts w:asciiTheme="majorBidi" w:hAnsiTheme="majorBidi" w:cstheme="majorBidi"/>
                <w:i/>
                <w:iCs/>
              </w:rPr>
              <w:t>Katwal</w:t>
            </w:r>
            <w:r w:rsidRPr="00295ECA">
              <w:rPr>
                <w:rFonts w:asciiTheme="majorBidi" w:hAnsiTheme="majorBidi" w:cstheme="majorBidi"/>
              </w:rPr>
              <w:t xml:space="preserve">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CCPR/C/114/D/2038/2011, </w:t>
            </w:r>
            <w:r w:rsidRPr="00B70E5A">
              <w:rPr>
                <w:rFonts w:asciiTheme="majorBidi" w:hAnsiTheme="majorBidi" w:cstheme="majorBidi"/>
                <w:i/>
                <w:iCs/>
                <w:lang w:val="fr-CH"/>
              </w:rPr>
              <w:t>Tharu et al.</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CCPR/C/115/D/2077/2011, </w:t>
            </w:r>
            <w:r w:rsidRPr="00295ECA">
              <w:rPr>
                <w:rFonts w:asciiTheme="majorBidi" w:hAnsiTheme="majorBidi" w:cstheme="majorBidi"/>
                <w:i/>
                <w:iCs/>
              </w:rPr>
              <w:t>A.S.</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Netherlands (6)</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786/1997, </w:t>
            </w:r>
            <w:r w:rsidRPr="00295ECA">
              <w:rPr>
                <w:rFonts w:asciiTheme="majorBidi" w:hAnsiTheme="majorBidi" w:cstheme="majorBidi"/>
                <w:i/>
                <w:iCs/>
              </w:rPr>
              <w:t>Vos</w:t>
            </w:r>
            <w:r w:rsidRPr="00295ECA">
              <w:rPr>
                <w:rFonts w:asciiTheme="majorBidi" w:hAnsiTheme="majorBidi" w:cstheme="majorBidi"/>
              </w:rPr>
              <w:br/>
              <w:t>A/54/40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976/2001, </w:t>
            </w:r>
            <w:r w:rsidRPr="00295ECA">
              <w:rPr>
                <w:rFonts w:asciiTheme="majorBidi" w:hAnsiTheme="majorBidi" w:cstheme="majorBidi"/>
                <w:i/>
                <w:iCs/>
              </w:rPr>
              <w:t>Derksen</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1238/2003, </w:t>
            </w:r>
            <w:r w:rsidRPr="00295ECA">
              <w:rPr>
                <w:rFonts w:asciiTheme="majorBidi" w:hAnsiTheme="majorBidi" w:cstheme="majorBidi"/>
                <w:i/>
                <w:iCs/>
              </w:rPr>
              <w:t>Jongenburger Veerman</w:t>
            </w:r>
            <w:r w:rsidRPr="00295ECA">
              <w:rPr>
                <w:rFonts w:asciiTheme="majorBidi" w:hAnsiTheme="majorBidi" w:cstheme="majorBidi"/>
              </w:rPr>
              <w:br/>
              <w:t>A/61/40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1564/2007, </w:t>
            </w:r>
            <w:r w:rsidRPr="00295ECA">
              <w:rPr>
                <w:rFonts w:asciiTheme="majorBidi" w:hAnsiTheme="majorBidi" w:cstheme="majorBidi"/>
                <w:i/>
                <w:iCs/>
              </w:rPr>
              <w:t>X.H.L.</w:t>
            </w:r>
            <w:r w:rsidRPr="00295ECA">
              <w:rPr>
                <w:rFonts w:asciiTheme="majorBidi" w:hAnsiTheme="majorBidi" w:cstheme="majorBidi"/>
              </w:rPr>
              <w:br/>
              <w:t>A/66/40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1797/2008, </w:t>
            </w:r>
            <w:r w:rsidRPr="00B70E5A">
              <w:rPr>
                <w:rFonts w:asciiTheme="majorBidi" w:hAnsiTheme="majorBidi" w:cstheme="majorBidi"/>
                <w:i/>
                <w:iCs/>
                <w:lang w:val="fr-CH"/>
              </w:rPr>
              <w:t>Mennen</w:t>
            </w:r>
            <w:r w:rsidRPr="00B70E5A">
              <w:rPr>
                <w:rFonts w:asciiTheme="majorBidi" w:hAnsiTheme="majorBidi" w:cstheme="majorBidi"/>
                <w:lang w:val="fr-CH"/>
              </w:rPr>
              <w:br/>
              <w:t>A/65/40</w:t>
            </w:r>
          </w:p>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CCPR/C/111/D/2097/2011, </w:t>
            </w:r>
            <w:r w:rsidRPr="00B70E5A">
              <w:rPr>
                <w:rFonts w:asciiTheme="majorBidi" w:hAnsiTheme="majorBidi" w:cstheme="majorBidi"/>
                <w:i/>
                <w:iCs/>
                <w:lang w:val="fr-CH"/>
              </w:rPr>
              <w:t>Timmer</w:t>
            </w:r>
          </w:p>
        </w:tc>
        <w:tc>
          <w:tcPr>
            <w:tcW w:w="1815" w:type="dxa"/>
            <w:tcBorders>
              <w:top w:val="nil"/>
            </w:tcBorders>
            <w:shd w:val="clear" w:color="auto" w:fill="auto"/>
            <w:noWrap/>
          </w:tcPr>
          <w:p w:rsidR="006B2037" w:rsidRPr="00B70E5A" w:rsidRDefault="006B2037" w:rsidP="006B2037">
            <w:pPr>
              <w:pStyle w:val="SingleTxtG"/>
              <w:keepNext/>
              <w:keepLines/>
              <w:spacing w:before="40" w:line="220" w:lineRule="exact"/>
              <w:ind w:left="0" w:right="113"/>
              <w:jc w:val="left"/>
              <w:rPr>
                <w:rFonts w:asciiTheme="majorBidi" w:hAnsiTheme="majorBidi" w:cstheme="majorBidi"/>
                <w:lang w:val="fr-CH"/>
              </w:rPr>
            </w:pP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lang w:val="fr-CH"/>
              </w:rPr>
              <w:br/>
            </w: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New Zealand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1368/2005, </w:t>
            </w:r>
            <w:r w:rsidRPr="00295ECA">
              <w:rPr>
                <w:rFonts w:asciiTheme="majorBidi" w:hAnsiTheme="majorBidi" w:cstheme="majorBidi"/>
                <w:i/>
                <w:iCs/>
              </w:rPr>
              <w:t>Britton</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1512/2006, </w:t>
            </w:r>
            <w:r w:rsidRPr="00295ECA">
              <w:rPr>
                <w:rFonts w:asciiTheme="majorBidi" w:hAnsiTheme="majorBidi" w:cstheme="majorBidi"/>
                <w:i/>
                <w:iCs/>
              </w:rPr>
              <w:t>Dean</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sidDel="00FE630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Nicaragua (1)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328/1988, </w:t>
            </w:r>
            <w:r w:rsidRPr="00295ECA">
              <w:rPr>
                <w:rFonts w:asciiTheme="majorBidi" w:hAnsiTheme="majorBidi" w:cstheme="majorBidi"/>
                <w:i/>
                <w:iCs/>
              </w:rPr>
              <w:t>Zelaya</w:t>
            </w:r>
            <w:r w:rsidRPr="00295ECA">
              <w:rPr>
                <w:rFonts w:asciiTheme="majorBidi" w:hAnsiTheme="majorBidi" w:cstheme="majorBidi"/>
              </w:rPr>
              <w:t xml:space="preserve"> </w:t>
            </w:r>
            <w:r w:rsidRPr="00295ECA">
              <w:rPr>
                <w:rFonts w:asciiTheme="majorBidi" w:hAnsiTheme="majorBidi" w:cstheme="majorBidi"/>
                <w:i/>
                <w:iCs/>
              </w:rPr>
              <w:t>Blanco</w:t>
            </w:r>
            <w:r w:rsidRPr="00295ECA">
              <w:rPr>
                <w:rFonts w:asciiTheme="majorBidi" w:hAnsiTheme="majorBidi" w:cstheme="majorBidi"/>
              </w:rPr>
              <w:br/>
              <w:t>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A/56/40, A/57/40,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Norway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1155/2003, </w:t>
            </w:r>
            <w:r w:rsidRPr="00295ECA">
              <w:rPr>
                <w:rFonts w:asciiTheme="majorBidi" w:hAnsiTheme="majorBidi" w:cstheme="majorBidi"/>
                <w:i/>
                <w:iCs/>
              </w:rPr>
              <w:t>Leirvag</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1542/2007, </w:t>
            </w:r>
            <w:r w:rsidRPr="00295ECA">
              <w:rPr>
                <w:rFonts w:asciiTheme="majorBidi" w:hAnsiTheme="majorBidi" w:cstheme="majorBidi"/>
                <w:i/>
                <w:iCs/>
              </w:rPr>
              <w:t>Aboushanif</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(A/69/40). </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Panama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289/1988, </w:t>
            </w:r>
            <w:r w:rsidRPr="00295ECA">
              <w:rPr>
                <w:rFonts w:asciiTheme="majorBidi" w:hAnsiTheme="majorBidi" w:cstheme="majorBidi"/>
                <w:i/>
                <w:iCs/>
              </w:rPr>
              <w:t>Wolf</w:t>
            </w:r>
            <w:r w:rsidRPr="00295ECA">
              <w:rPr>
                <w:rFonts w:asciiTheme="majorBidi" w:hAnsiTheme="majorBidi" w:cstheme="majorBidi"/>
              </w:rPr>
              <w:br/>
              <w:t>A/47/40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473/1991, </w:t>
            </w:r>
            <w:r w:rsidRPr="00295ECA">
              <w:rPr>
                <w:rFonts w:asciiTheme="majorBidi" w:hAnsiTheme="majorBidi" w:cstheme="majorBidi"/>
                <w:i/>
                <w:iCs/>
              </w:rPr>
              <w:t>Barroso</w:t>
            </w:r>
            <w:r w:rsidRPr="00295ECA">
              <w:rPr>
                <w:rFonts w:asciiTheme="majorBidi" w:hAnsiTheme="majorBidi" w:cstheme="majorBidi"/>
              </w:rPr>
              <w:br/>
              <w:t>A/50/40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Paraguay (3)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1407/2005, </w:t>
            </w:r>
            <w:r w:rsidRPr="00295ECA">
              <w:rPr>
                <w:rFonts w:asciiTheme="majorBidi" w:hAnsiTheme="majorBidi" w:cstheme="majorBidi"/>
                <w:i/>
                <w:iCs/>
              </w:rPr>
              <w:t>Asensi</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1828/2008, </w:t>
            </w:r>
            <w:r w:rsidRPr="00295ECA">
              <w:rPr>
                <w:rFonts w:asciiTheme="majorBidi" w:hAnsiTheme="majorBidi" w:cstheme="majorBidi"/>
                <w:i/>
                <w:iCs/>
              </w:rPr>
              <w:t>Domínguez</w:t>
            </w:r>
            <w:r w:rsidRPr="00295ECA">
              <w:rPr>
                <w:rFonts w:asciiTheme="majorBidi" w:hAnsiTheme="majorBidi" w:cstheme="majorBidi"/>
              </w:rPr>
              <w:br/>
              <w:t>A/67/40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Del="00620F03"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1829/2008, </w:t>
            </w:r>
            <w:r w:rsidRPr="00295ECA">
              <w:rPr>
                <w:rFonts w:asciiTheme="majorBidi" w:hAnsiTheme="majorBidi" w:cstheme="majorBidi"/>
                <w:i/>
                <w:iCs/>
              </w:rPr>
              <w:t>Benítez</w:t>
            </w:r>
            <w:r w:rsidRPr="00295ECA">
              <w:rPr>
                <w:rFonts w:asciiTheme="majorBidi" w:hAnsiTheme="majorBidi" w:cstheme="majorBidi"/>
              </w:rPr>
              <w:t xml:space="preserve"> </w:t>
            </w:r>
            <w:r w:rsidRPr="00295ECA">
              <w:rPr>
                <w:rFonts w:asciiTheme="majorBidi" w:hAnsiTheme="majorBidi" w:cstheme="majorBidi"/>
                <w:i/>
                <w:iCs/>
              </w:rPr>
              <w:t>Gamarra</w:t>
            </w:r>
            <w:r w:rsidRPr="00295ECA">
              <w:rPr>
                <w:rFonts w:asciiTheme="majorBidi" w:hAnsiTheme="majorBidi" w:cstheme="majorBidi"/>
              </w:rPr>
              <w:br/>
              <w:t>A/67/40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Del="00620F03"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Peru (15) </w:t>
            </w: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202/1986, </w:t>
            </w:r>
            <w:r w:rsidRPr="00295ECA">
              <w:rPr>
                <w:rFonts w:asciiTheme="majorBidi" w:hAnsiTheme="majorBidi" w:cstheme="majorBidi"/>
                <w:i/>
                <w:iCs/>
              </w:rPr>
              <w:t>Ato del Avellanal</w:t>
            </w:r>
            <w:r w:rsidRPr="00295ECA">
              <w:rPr>
                <w:rFonts w:asciiTheme="majorBidi" w:hAnsiTheme="majorBidi" w:cstheme="majorBidi"/>
              </w:rPr>
              <w:br/>
              <w:t>A/44/40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A/62/40, A/63/40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203/1986, </w:t>
            </w:r>
            <w:r w:rsidRPr="00295ECA">
              <w:rPr>
                <w:rFonts w:asciiTheme="majorBidi" w:hAnsiTheme="majorBidi" w:cstheme="majorBidi"/>
                <w:i/>
                <w:iCs/>
              </w:rPr>
              <w:t>Muñoz</w:t>
            </w:r>
            <w:r w:rsidRPr="00295ECA">
              <w:rPr>
                <w:rFonts w:asciiTheme="majorBidi" w:hAnsiTheme="majorBidi" w:cstheme="majorBidi"/>
              </w:rPr>
              <w:t xml:space="preserve"> </w:t>
            </w:r>
            <w:r w:rsidRPr="00295ECA">
              <w:rPr>
                <w:rFonts w:asciiTheme="majorBidi" w:hAnsiTheme="majorBidi" w:cstheme="majorBidi"/>
                <w:i/>
                <w:iCs/>
              </w:rPr>
              <w:t>Hermosa</w:t>
            </w:r>
            <w:r w:rsidRPr="00295ECA">
              <w:rPr>
                <w:rFonts w:asciiTheme="majorBidi" w:hAnsiTheme="majorBidi" w:cstheme="majorBidi"/>
              </w:rPr>
              <w:br/>
              <w:t>A/44/40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263/1987, </w:t>
            </w:r>
            <w:r w:rsidRPr="00295ECA">
              <w:rPr>
                <w:rFonts w:asciiTheme="majorBidi" w:hAnsiTheme="majorBidi" w:cstheme="majorBidi"/>
                <w:i/>
                <w:iCs/>
              </w:rPr>
              <w:t>González del Río</w:t>
            </w:r>
            <w:r w:rsidRPr="00295ECA">
              <w:rPr>
                <w:rFonts w:asciiTheme="majorBidi" w:hAnsiTheme="majorBidi" w:cstheme="majorBidi"/>
              </w:rPr>
              <w:br/>
              <w:t>A/48/40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309/1988, </w:t>
            </w:r>
            <w:r w:rsidRPr="00295ECA">
              <w:rPr>
                <w:rFonts w:asciiTheme="majorBidi" w:hAnsiTheme="majorBidi" w:cstheme="majorBidi"/>
                <w:i/>
                <w:iCs/>
              </w:rPr>
              <w:t>Orihuela Valenzuela</w:t>
            </w:r>
            <w:r w:rsidRPr="00295ECA">
              <w:rPr>
                <w:rFonts w:asciiTheme="majorBidi" w:hAnsiTheme="majorBidi" w:cstheme="majorBidi"/>
              </w:rPr>
              <w:br/>
              <w:t>A/48/40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540/1993, </w:t>
            </w:r>
            <w:r w:rsidRPr="00295ECA">
              <w:rPr>
                <w:rFonts w:asciiTheme="majorBidi" w:hAnsiTheme="majorBidi" w:cstheme="majorBidi"/>
                <w:i/>
                <w:iCs/>
              </w:rPr>
              <w:t>Celis</w:t>
            </w:r>
            <w:r w:rsidRPr="00295ECA">
              <w:rPr>
                <w:rFonts w:asciiTheme="majorBidi" w:hAnsiTheme="majorBidi" w:cstheme="majorBidi"/>
              </w:rPr>
              <w:t xml:space="preserve"> </w:t>
            </w:r>
            <w:r w:rsidRPr="00295ECA">
              <w:rPr>
                <w:rFonts w:asciiTheme="majorBidi" w:hAnsiTheme="majorBidi" w:cstheme="majorBidi"/>
                <w:i/>
                <w:iCs/>
              </w:rPr>
              <w:t>Laureano</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577/1994, </w:t>
            </w:r>
            <w:r w:rsidRPr="00295ECA">
              <w:rPr>
                <w:rFonts w:asciiTheme="majorBidi" w:hAnsiTheme="majorBidi" w:cstheme="majorBidi"/>
                <w:i/>
                <w:iCs/>
              </w:rPr>
              <w:t>Polay</w:t>
            </w:r>
            <w:r w:rsidRPr="00295ECA">
              <w:rPr>
                <w:rFonts w:asciiTheme="majorBidi" w:hAnsiTheme="majorBidi" w:cstheme="majorBidi"/>
              </w:rPr>
              <w:t xml:space="preserve"> </w:t>
            </w:r>
            <w:r w:rsidRPr="00295ECA">
              <w:rPr>
                <w:rFonts w:asciiTheme="majorBidi" w:hAnsiTheme="majorBidi" w:cstheme="majorBidi"/>
                <w:i/>
                <w:iCs/>
              </w:rPr>
              <w:t>Campos</w:t>
            </w:r>
            <w:r w:rsidRPr="00295ECA">
              <w:rPr>
                <w:rFonts w:asciiTheme="majorBidi" w:hAnsiTheme="majorBidi" w:cstheme="majorBidi"/>
              </w:rPr>
              <w:br/>
              <w:t>A/53/40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678/1996, </w:t>
            </w:r>
            <w:r w:rsidRPr="00295ECA">
              <w:rPr>
                <w:rFonts w:asciiTheme="majorBidi" w:hAnsiTheme="majorBidi" w:cstheme="majorBidi"/>
                <w:i/>
                <w:iCs/>
              </w:rPr>
              <w:t>Gutiérrez</w:t>
            </w:r>
            <w:r w:rsidRPr="00295ECA">
              <w:rPr>
                <w:rFonts w:asciiTheme="majorBidi" w:hAnsiTheme="majorBidi" w:cstheme="majorBidi"/>
              </w:rPr>
              <w:t xml:space="preserve"> </w:t>
            </w:r>
            <w:r w:rsidRPr="00295ECA">
              <w:rPr>
                <w:rFonts w:asciiTheme="majorBidi" w:hAnsiTheme="majorBidi" w:cstheme="majorBidi"/>
                <w:i/>
                <w:iCs/>
              </w:rPr>
              <w:t>Vivanco</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A/64/40,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688/1996, </w:t>
            </w:r>
            <w:r w:rsidRPr="00295ECA">
              <w:rPr>
                <w:rFonts w:asciiTheme="majorBidi" w:hAnsiTheme="majorBidi" w:cstheme="majorBidi"/>
                <w:i/>
                <w:iCs/>
              </w:rPr>
              <w:t>Arredondo</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906/1999, </w:t>
            </w:r>
            <w:r w:rsidRPr="00295ECA">
              <w:rPr>
                <w:rFonts w:asciiTheme="majorBidi" w:hAnsiTheme="majorBidi" w:cstheme="majorBidi"/>
                <w:i/>
                <w:iCs/>
              </w:rPr>
              <w:t>Vargas-Machuca</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981/2001, </w:t>
            </w:r>
            <w:r w:rsidRPr="00295ECA">
              <w:rPr>
                <w:rFonts w:asciiTheme="majorBidi" w:hAnsiTheme="majorBidi" w:cstheme="majorBidi"/>
                <w:i/>
                <w:iCs/>
              </w:rPr>
              <w:t>Gómez</w:t>
            </w:r>
            <w:r w:rsidRPr="00295ECA">
              <w:rPr>
                <w:rFonts w:asciiTheme="majorBidi" w:hAnsiTheme="majorBidi" w:cstheme="majorBidi"/>
              </w:rPr>
              <w:t xml:space="preserve"> </w:t>
            </w:r>
            <w:r w:rsidRPr="00295ECA">
              <w:rPr>
                <w:rFonts w:asciiTheme="majorBidi" w:hAnsiTheme="majorBidi" w:cstheme="majorBidi"/>
                <w:i/>
                <w:iCs/>
              </w:rPr>
              <w:t>Casafranca</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1058/2002, </w:t>
            </w:r>
            <w:r w:rsidRPr="00295ECA">
              <w:rPr>
                <w:rFonts w:asciiTheme="majorBidi" w:hAnsiTheme="majorBidi" w:cstheme="majorBidi"/>
                <w:i/>
                <w:iCs/>
              </w:rPr>
              <w:t>Vargas</w:t>
            </w:r>
            <w:r w:rsidRPr="00295ECA">
              <w:rPr>
                <w:rFonts w:asciiTheme="majorBidi" w:hAnsiTheme="majorBidi" w:cstheme="majorBidi"/>
              </w:rPr>
              <w:br/>
              <w:t>A/61/40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1125/2002, </w:t>
            </w:r>
            <w:r w:rsidRPr="00295ECA">
              <w:rPr>
                <w:rFonts w:asciiTheme="majorBidi" w:hAnsiTheme="majorBidi" w:cstheme="majorBidi"/>
                <w:i/>
                <w:iCs/>
              </w:rPr>
              <w:t>Quispe</w:t>
            </w:r>
            <w:r w:rsidRPr="00295ECA">
              <w:rPr>
                <w:rFonts w:asciiTheme="majorBidi" w:hAnsiTheme="majorBidi" w:cstheme="majorBidi"/>
              </w:rPr>
              <w:br/>
              <w:t>A/61/40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1126/2002, </w:t>
            </w:r>
            <w:r w:rsidRPr="00295ECA">
              <w:rPr>
                <w:rFonts w:asciiTheme="majorBidi" w:hAnsiTheme="majorBidi" w:cstheme="majorBidi"/>
                <w:i/>
                <w:iCs/>
              </w:rPr>
              <w:t>Carranza</w:t>
            </w:r>
            <w:r w:rsidRPr="00295ECA">
              <w:rPr>
                <w:rFonts w:asciiTheme="majorBidi" w:hAnsiTheme="majorBidi" w:cstheme="majorBidi"/>
              </w:rPr>
              <w:br/>
              <w:t>A/61/40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A/68/40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1153/2003, </w:t>
            </w:r>
            <w:r w:rsidRPr="00295ECA">
              <w:rPr>
                <w:rFonts w:asciiTheme="majorBidi" w:hAnsiTheme="majorBidi" w:cstheme="majorBidi"/>
                <w:i/>
                <w:iCs/>
              </w:rPr>
              <w:t>K.N.L.H.</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A/63/40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1457/2006, </w:t>
            </w:r>
            <w:r w:rsidRPr="00295ECA">
              <w:rPr>
                <w:rFonts w:asciiTheme="majorBidi" w:hAnsiTheme="majorBidi" w:cstheme="majorBidi"/>
                <w:i/>
                <w:iCs/>
              </w:rPr>
              <w:t>Poma</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Philippines (11)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788/1997, </w:t>
            </w:r>
            <w:r w:rsidRPr="00295ECA">
              <w:rPr>
                <w:rFonts w:asciiTheme="majorBidi" w:hAnsiTheme="majorBidi" w:cstheme="majorBidi"/>
                <w:i/>
                <w:iCs/>
              </w:rPr>
              <w:t>Cagas</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868/1999, </w:t>
            </w:r>
            <w:r w:rsidRPr="00295ECA">
              <w:rPr>
                <w:rFonts w:asciiTheme="majorBidi" w:hAnsiTheme="majorBidi" w:cstheme="majorBidi"/>
                <w:i/>
                <w:iCs/>
              </w:rPr>
              <w:t>Wilson</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869/1999, </w:t>
            </w:r>
            <w:r w:rsidRPr="00295ECA">
              <w:rPr>
                <w:rFonts w:asciiTheme="majorBidi" w:hAnsiTheme="majorBidi" w:cstheme="majorBidi"/>
                <w:i/>
                <w:iCs/>
              </w:rPr>
              <w:t>Piandiong et al.</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N/A</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1089/2002, </w:t>
            </w:r>
            <w:r w:rsidRPr="00295ECA">
              <w:rPr>
                <w:rFonts w:asciiTheme="majorBidi" w:hAnsiTheme="majorBidi" w:cstheme="majorBidi"/>
                <w:i/>
                <w:iCs/>
              </w:rPr>
              <w:t>Rouse</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1320/2004, </w:t>
            </w:r>
            <w:r w:rsidRPr="00295ECA">
              <w:rPr>
                <w:rFonts w:asciiTheme="majorBidi" w:hAnsiTheme="majorBidi" w:cstheme="majorBidi"/>
                <w:i/>
                <w:iCs/>
              </w:rPr>
              <w:t>Pimentel et al.</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A/66/40,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an unsatisfactory implementation of its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1421/2005, </w:t>
            </w:r>
            <w:r w:rsidRPr="00295ECA">
              <w:rPr>
                <w:rFonts w:asciiTheme="majorBidi" w:hAnsiTheme="majorBidi" w:cstheme="majorBidi"/>
                <w:i/>
                <w:iCs/>
              </w:rPr>
              <w:t>Larrañaga</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1466/2006, </w:t>
            </w:r>
            <w:r w:rsidRPr="00295ECA">
              <w:rPr>
                <w:rFonts w:asciiTheme="majorBidi" w:hAnsiTheme="majorBidi" w:cstheme="majorBidi"/>
                <w:i/>
                <w:iCs/>
              </w:rPr>
              <w:t>Lumanog and Santos</w:t>
            </w:r>
            <w:r w:rsidRPr="00295ECA">
              <w:rPr>
                <w:rFonts w:asciiTheme="majorBidi" w:hAnsiTheme="majorBidi" w:cstheme="majorBidi"/>
              </w:rPr>
              <w:br/>
              <w:t>A/63/40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1559/2007, </w:t>
            </w:r>
            <w:r w:rsidRPr="00295ECA">
              <w:rPr>
                <w:rFonts w:asciiTheme="majorBidi" w:hAnsiTheme="majorBidi" w:cstheme="majorBidi"/>
                <w:i/>
                <w:iCs/>
              </w:rPr>
              <w:t>Hernandez</w:t>
            </w:r>
            <w:r w:rsidRPr="00295ECA">
              <w:rPr>
                <w:rFonts w:asciiTheme="majorBidi" w:hAnsiTheme="majorBidi" w:cstheme="majorBidi"/>
              </w:rPr>
              <w:br/>
              <w:t>A/65/40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1560/2007, </w:t>
            </w:r>
            <w:r w:rsidRPr="00295ECA">
              <w:rPr>
                <w:rFonts w:asciiTheme="majorBidi" w:hAnsiTheme="majorBidi" w:cstheme="majorBidi"/>
                <w:i/>
                <w:iCs/>
              </w:rPr>
              <w:t>Marcellana and Gumanoy</w:t>
            </w:r>
            <w:r w:rsidRPr="00295ECA">
              <w:rPr>
                <w:rFonts w:asciiTheme="majorBidi" w:hAnsiTheme="majorBidi" w:cstheme="majorBidi"/>
              </w:rPr>
              <w:br/>
              <w:t>A/64/40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1619/2007, </w:t>
            </w:r>
            <w:r w:rsidRPr="00295ECA">
              <w:rPr>
                <w:rFonts w:asciiTheme="majorBidi" w:hAnsiTheme="majorBidi" w:cstheme="majorBidi"/>
                <w:i/>
                <w:iCs/>
              </w:rPr>
              <w:t>Pestaño</w:t>
            </w:r>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1815/2008, </w:t>
            </w:r>
            <w:r w:rsidRPr="00295ECA">
              <w:rPr>
                <w:rFonts w:asciiTheme="majorBidi" w:hAnsiTheme="majorBidi" w:cstheme="majorBidi"/>
                <w:i/>
                <w:iCs/>
              </w:rPr>
              <w:t>Adonis</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Portugal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1123/2002, </w:t>
            </w:r>
            <w:r w:rsidRPr="00295ECA">
              <w:rPr>
                <w:rFonts w:asciiTheme="majorBidi" w:hAnsiTheme="majorBidi" w:cstheme="majorBidi"/>
                <w:i/>
                <w:iCs/>
              </w:rPr>
              <w:t>Correia de Matos</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Republic of Korea (12)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518/1992, </w:t>
            </w:r>
            <w:r w:rsidRPr="00295ECA">
              <w:rPr>
                <w:rFonts w:asciiTheme="majorBidi" w:hAnsiTheme="majorBidi" w:cstheme="majorBidi"/>
                <w:i/>
                <w:iCs/>
              </w:rPr>
              <w:t>Sohn</w:t>
            </w:r>
            <w:r w:rsidRPr="00295ECA">
              <w:rPr>
                <w:rFonts w:asciiTheme="majorBidi" w:hAnsiTheme="majorBidi" w:cstheme="majorBidi"/>
              </w:rPr>
              <w:br/>
              <w:t>A/50/40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574/1994, </w:t>
            </w:r>
            <w:r w:rsidRPr="00295ECA">
              <w:rPr>
                <w:rFonts w:asciiTheme="majorBidi" w:hAnsiTheme="majorBidi" w:cstheme="majorBidi"/>
                <w:i/>
                <w:iCs/>
              </w:rPr>
              <w:t>Kim</w:t>
            </w:r>
            <w:r w:rsidRPr="00295ECA">
              <w:rPr>
                <w:rFonts w:asciiTheme="majorBidi" w:hAnsiTheme="majorBidi" w:cstheme="majorBidi"/>
                <w:i/>
                <w:iCs/>
              </w:rPr>
              <w:br/>
            </w:r>
            <w:r w:rsidRPr="00295ECA">
              <w:rPr>
                <w:rFonts w:asciiTheme="majorBidi" w:hAnsiTheme="majorBidi" w:cstheme="majorBidi"/>
              </w:rPr>
              <w:t>A/54/40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628/1995, </w:t>
            </w:r>
            <w:r w:rsidRPr="00295ECA">
              <w:rPr>
                <w:rFonts w:asciiTheme="majorBidi" w:hAnsiTheme="majorBidi" w:cstheme="majorBidi"/>
                <w:i/>
                <w:iCs/>
              </w:rPr>
              <w:t>Park</w:t>
            </w:r>
            <w:r w:rsidRPr="00295ECA">
              <w:rPr>
                <w:rFonts w:asciiTheme="majorBidi" w:hAnsiTheme="majorBidi" w:cstheme="majorBidi"/>
              </w:rPr>
              <w:br/>
              <w:t>A/54/40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878/1999, </w:t>
            </w:r>
            <w:r w:rsidRPr="00295ECA">
              <w:rPr>
                <w:rFonts w:asciiTheme="majorBidi" w:hAnsiTheme="majorBidi" w:cstheme="majorBidi"/>
                <w:i/>
                <w:iCs/>
              </w:rPr>
              <w:t>Kang</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926/2000, </w:t>
            </w:r>
            <w:r w:rsidRPr="00295ECA">
              <w:rPr>
                <w:rFonts w:asciiTheme="majorBidi" w:hAnsiTheme="majorBidi" w:cstheme="majorBidi"/>
                <w:i/>
                <w:iCs/>
              </w:rPr>
              <w:t>Shin</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1119/2002, </w:t>
            </w:r>
            <w:r w:rsidRPr="00295ECA">
              <w:rPr>
                <w:rFonts w:asciiTheme="majorBidi" w:hAnsiTheme="majorBidi" w:cstheme="majorBidi"/>
                <w:i/>
                <w:iCs/>
              </w:rPr>
              <w:t>Lee</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 and 1322/2004, </w:t>
            </w:r>
            <w:r w:rsidRPr="00295ECA">
              <w:rPr>
                <w:rFonts w:asciiTheme="majorBidi" w:hAnsiTheme="majorBidi" w:cstheme="majorBidi"/>
                <w:i/>
                <w:iCs/>
              </w:rPr>
              <w:t>Yoon,</w:t>
            </w:r>
            <w:r w:rsidRPr="00295ECA">
              <w:rPr>
                <w:rFonts w:asciiTheme="majorBidi" w:hAnsiTheme="majorBidi" w:cstheme="majorBidi"/>
                <w:i/>
                <w:iCs/>
              </w:rPr>
              <w:br/>
              <w:t>Yeo-Bzum and Choi,</w:t>
            </w:r>
            <w:r w:rsidRPr="00295ECA">
              <w:rPr>
                <w:rFonts w:asciiTheme="majorBidi" w:hAnsiTheme="majorBidi" w:cstheme="majorBidi"/>
                <w:i/>
                <w:iCs/>
              </w:rPr>
              <w:br/>
              <w:t>Myung-Jin</w:t>
            </w:r>
            <w:r w:rsidRPr="00295ECA">
              <w:rPr>
                <w:rFonts w:asciiTheme="majorBidi" w:hAnsiTheme="majorBidi" w:cstheme="majorBidi"/>
                <w:i/>
                <w:iCs/>
              </w:rPr>
              <w:br/>
            </w:r>
            <w:r w:rsidRPr="00295ECA">
              <w:rPr>
                <w:rFonts w:asciiTheme="majorBidi" w:hAnsiTheme="majorBidi" w:cstheme="majorBidi"/>
              </w:rPr>
              <w:t>A/62/40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r w:rsidRPr="00295ECA">
              <w:rPr>
                <w:rFonts w:asciiTheme="majorBidi" w:hAnsiTheme="majorBidi" w:cstheme="majorBidi"/>
              </w:rPr>
              <w:br/>
              <w:t>A/64/40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1593 to 1603/2007, </w:t>
            </w:r>
            <w:r w:rsidRPr="00295ECA">
              <w:rPr>
                <w:rFonts w:asciiTheme="majorBidi" w:hAnsiTheme="majorBidi" w:cstheme="majorBidi"/>
                <w:i/>
                <w:iCs/>
              </w:rPr>
              <w:t>Jung et al.</w:t>
            </w:r>
            <w:r w:rsidRPr="00295ECA">
              <w:rPr>
                <w:rFonts w:asciiTheme="majorBidi" w:hAnsiTheme="majorBidi" w:cstheme="majorBidi"/>
              </w:rPr>
              <w:br/>
              <w:t>A/65/40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1642-1741/2007, </w:t>
            </w:r>
            <w:r w:rsidRPr="00295ECA">
              <w:rPr>
                <w:rFonts w:asciiTheme="majorBidi" w:hAnsiTheme="majorBidi" w:cstheme="majorBidi"/>
                <w:i/>
                <w:iCs/>
              </w:rPr>
              <w:t>Jeong et al.</w:t>
            </w:r>
            <w:r w:rsidRPr="00295ECA">
              <w:rPr>
                <w:rFonts w:asciiTheme="majorBidi" w:hAnsiTheme="majorBidi" w:cstheme="majorBidi"/>
              </w:rPr>
              <w:br/>
              <w:t>A/66/40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1786/2008, </w:t>
            </w:r>
            <w:r w:rsidRPr="00295ECA">
              <w:rPr>
                <w:rFonts w:asciiTheme="majorBidi" w:hAnsiTheme="majorBidi" w:cstheme="majorBidi"/>
                <w:i/>
                <w:iCs/>
              </w:rPr>
              <w:t>Kim et al.</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1908/2009, </w:t>
            </w:r>
            <w:r w:rsidRPr="00295ECA">
              <w:rPr>
                <w:rFonts w:asciiTheme="majorBidi" w:hAnsiTheme="majorBidi" w:cstheme="majorBidi"/>
                <w:i/>
                <w:iCs/>
              </w:rPr>
              <w:t>X.</w:t>
            </w:r>
            <w:r w:rsidRPr="00295ECA">
              <w:rPr>
                <w:rFonts w:asciiTheme="majorBidi" w:hAnsiTheme="majorBidi" w:cstheme="majorBidi"/>
              </w:rPr>
              <w:br/>
              <w:t xml:space="preserve">A/69/40 </w:t>
            </w:r>
          </w:p>
          <w:p w:rsidR="006B2037" w:rsidRPr="00295ECA" w:rsidRDefault="006B2037" w:rsidP="006B2037">
            <w:pPr>
              <w:pStyle w:val="SingleTxtG"/>
              <w:spacing w:before="40" w:line="220" w:lineRule="exact"/>
              <w:ind w:left="0" w:right="113"/>
              <w:jc w:val="left"/>
              <w:rPr>
                <w:rFonts w:asciiTheme="majorBidi" w:hAnsiTheme="majorBidi" w:cstheme="majorBidi"/>
              </w:rPr>
            </w:pP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CCPR/C/112/D/2179/2012, </w:t>
            </w:r>
            <w:r w:rsidRPr="00295ECA">
              <w:rPr>
                <w:rFonts w:asciiTheme="majorBidi" w:hAnsiTheme="majorBidi" w:cstheme="majorBidi"/>
                <w:i/>
                <w:iCs/>
              </w:rPr>
              <w:t>Young-kwan Kim</w:t>
            </w:r>
            <w:r w:rsidRPr="00295ECA">
              <w:rPr>
                <w:rFonts w:asciiTheme="majorBidi" w:hAnsiTheme="majorBidi" w:cstheme="majorBidi"/>
              </w:rPr>
              <w:t xml:space="preserve"> </w:t>
            </w:r>
            <w:r w:rsidRPr="00295ECA">
              <w:rPr>
                <w:rFonts w:asciiTheme="majorBidi" w:hAnsiTheme="majorBidi" w:cstheme="majorBidi"/>
                <w:i/>
                <w:iCs/>
              </w:rPr>
              <w:t>et al.</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closed at the 116th session with a finding of satisfactory implementation of the Committee’s recommendation</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Romania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1158/2003, </w:t>
            </w:r>
            <w:r w:rsidRPr="00295ECA">
              <w:rPr>
                <w:rFonts w:asciiTheme="majorBidi" w:hAnsiTheme="majorBidi" w:cstheme="majorBidi"/>
                <w:i/>
                <w:iCs/>
              </w:rPr>
              <w:t>Blaga</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Russian Federation (29)</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712/1996, </w:t>
            </w:r>
            <w:r w:rsidRPr="00295ECA">
              <w:rPr>
                <w:rFonts w:asciiTheme="majorBidi" w:hAnsiTheme="majorBidi" w:cstheme="majorBidi"/>
                <w:i/>
                <w:iCs/>
              </w:rPr>
              <w:t>Smirnova</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763/1997, </w:t>
            </w:r>
            <w:r w:rsidRPr="00295ECA">
              <w:rPr>
                <w:rFonts w:asciiTheme="majorBidi" w:hAnsiTheme="majorBidi" w:cstheme="majorBidi"/>
                <w:i/>
                <w:iCs/>
              </w:rPr>
              <w:t>Lantsov</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770/1997, </w:t>
            </w:r>
            <w:r w:rsidRPr="00295ECA">
              <w:rPr>
                <w:rFonts w:asciiTheme="majorBidi" w:hAnsiTheme="majorBidi" w:cstheme="majorBidi"/>
                <w:i/>
                <w:iCs/>
              </w:rPr>
              <w:t>Gridin</w:t>
            </w:r>
            <w:r w:rsidRPr="00295ECA">
              <w:rPr>
                <w:rFonts w:asciiTheme="majorBidi" w:hAnsiTheme="majorBidi" w:cstheme="majorBidi"/>
              </w:rPr>
              <w:br/>
              <w:t>A/55/40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888/1999, </w:t>
            </w:r>
            <w:r w:rsidRPr="00295ECA">
              <w:rPr>
                <w:rFonts w:asciiTheme="majorBidi" w:hAnsiTheme="majorBidi" w:cstheme="majorBidi"/>
                <w:i/>
                <w:iCs/>
              </w:rPr>
              <w:t>Telitsin</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815/1997, </w:t>
            </w:r>
            <w:r w:rsidRPr="00295ECA">
              <w:rPr>
                <w:rFonts w:asciiTheme="majorBidi" w:hAnsiTheme="majorBidi" w:cstheme="majorBidi"/>
                <w:i/>
                <w:iCs/>
              </w:rPr>
              <w:t>Dugin</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889/1999, </w:t>
            </w:r>
            <w:r w:rsidRPr="00295ECA">
              <w:rPr>
                <w:rFonts w:asciiTheme="majorBidi" w:hAnsiTheme="majorBidi" w:cstheme="majorBidi"/>
                <w:i/>
                <w:iCs/>
              </w:rPr>
              <w:t>Zheikov</w:t>
            </w:r>
            <w:r w:rsidRPr="00295ECA">
              <w:rPr>
                <w:rFonts w:asciiTheme="majorBidi" w:hAnsiTheme="majorBidi" w:cstheme="majorBidi"/>
              </w:rPr>
              <w:br/>
              <w:t>A/61/40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1218/2003, </w:t>
            </w:r>
            <w:r w:rsidRPr="00295ECA">
              <w:rPr>
                <w:rFonts w:asciiTheme="majorBidi" w:hAnsiTheme="majorBidi" w:cstheme="majorBidi"/>
                <w:i/>
                <w:iCs/>
              </w:rPr>
              <w:t>Platanov</w:t>
            </w:r>
            <w:r w:rsidRPr="00295ECA">
              <w:rPr>
                <w:rFonts w:asciiTheme="majorBidi" w:hAnsiTheme="majorBidi" w:cstheme="majorBidi"/>
              </w:rPr>
              <w:br/>
              <w:t>A/61/40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1232/2003, </w:t>
            </w:r>
            <w:r w:rsidRPr="00295ECA">
              <w:rPr>
                <w:rFonts w:asciiTheme="majorBidi" w:hAnsiTheme="majorBidi" w:cstheme="majorBidi"/>
                <w:i/>
                <w:iCs/>
              </w:rPr>
              <w:t>Pustovalov</w:t>
            </w:r>
            <w:r w:rsidRPr="00295ECA">
              <w:rPr>
                <w:rFonts w:asciiTheme="majorBidi" w:hAnsiTheme="majorBidi" w:cstheme="majorBidi"/>
              </w:rPr>
              <w:br/>
              <w:t>A/65/40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1278/2004, </w:t>
            </w:r>
            <w:r w:rsidRPr="00295ECA">
              <w:rPr>
                <w:rFonts w:asciiTheme="majorBidi" w:hAnsiTheme="majorBidi" w:cstheme="majorBidi"/>
                <w:i/>
                <w:iCs/>
              </w:rPr>
              <w:t>Reshnetnikov</w:t>
            </w:r>
            <w:r w:rsidRPr="00295ECA">
              <w:rPr>
                <w:rFonts w:asciiTheme="majorBidi" w:hAnsiTheme="majorBidi" w:cstheme="majorBidi"/>
              </w:rPr>
              <w:br/>
              <w:t>A/64/40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1304/2004, </w:t>
            </w:r>
            <w:r w:rsidRPr="00295ECA">
              <w:rPr>
                <w:rFonts w:asciiTheme="majorBidi" w:hAnsiTheme="majorBidi" w:cstheme="majorBidi"/>
                <w:i/>
                <w:iCs/>
              </w:rPr>
              <w:t>Khoroshenko</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Height w:val="396"/>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1310/2004, </w:t>
            </w:r>
            <w:r w:rsidRPr="00295ECA">
              <w:rPr>
                <w:rFonts w:asciiTheme="majorBidi" w:hAnsiTheme="majorBidi" w:cstheme="majorBidi"/>
                <w:i/>
                <w:iCs/>
              </w:rPr>
              <w:t>Babkin</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 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Height w:val="396"/>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1410/2005, </w:t>
            </w:r>
            <w:r w:rsidRPr="00295ECA">
              <w:rPr>
                <w:rFonts w:asciiTheme="majorBidi" w:hAnsiTheme="majorBidi" w:cstheme="majorBidi"/>
                <w:i/>
                <w:iCs/>
              </w:rPr>
              <w:t>Yevdokimov and Rezanov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1447/2006, </w:t>
            </w:r>
            <w:r w:rsidRPr="00295ECA">
              <w:rPr>
                <w:rFonts w:asciiTheme="majorBidi" w:hAnsiTheme="majorBidi" w:cstheme="majorBidi"/>
                <w:i/>
                <w:iCs/>
              </w:rPr>
              <w:t>Amirov</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1548/2007, </w:t>
            </w:r>
            <w:r w:rsidRPr="00295ECA">
              <w:rPr>
                <w:rFonts w:asciiTheme="majorBidi" w:hAnsiTheme="majorBidi" w:cstheme="majorBidi"/>
                <w:i/>
                <w:iCs/>
              </w:rPr>
              <w:t>Kholodov</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1577/2007, </w:t>
            </w:r>
            <w:r w:rsidRPr="00295ECA">
              <w:rPr>
                <w:rFonts w:asciiTheme="majorBidi" w:hAnsiTheme="majorBidi" w:cstheme="majorBidi"/>
                <w:i/>
                <w:iCs/>
              </w:rPr>
              <w:t>Usaev</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1605/2007, </w:t>
            </w:r>
            <w:r w:rsidRPr="00295ECA">
              <w:rPr>
                <w:rFonts w:asciiTheme="majorBidi" w:hAnsiTheme="majorBidi" w:cstheme="majorBidi"/>
                <w:i/>
                <w:iCs/>
              </w:rPr>
              <w:t>Zyuskin</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1628/2007, </w:t>
            </w:r>
            <w:r w:rsidRPr="00295ECA">
              <w:rPr>
                <w:rFonts w:asciiTheme="majorBidi" w:hAnsiTheme="majorBidi" w:cstheme="majorBidi"/>
                <w:i/>
                <w:iCs/>
              </w:rPr>
              <w:t>Pavlyuchenkov</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1795/2008, </w:t>
            </w:r>
            <w:r w:rsidRPr="00295ECA">
              <w:rPr>
                <w:rFonts w:asciiTheme="majorBidi" w:hAnsiTheme="majorBidi" w:cstheme="majorBidi"/>
                <w:i/>
                <w:iCs/>
              </w:rPr>
              <w:t>Zhirnov</w:t>
            </w:r>
            <w:r w:rsidRPr="00295ECA">
              <w:rPr>
                <w:rFonts w:asciiTheme="majorBidi" w:hAnsiTheme="majorBidi" w:cstheme="majorBidi"/>
              </w:rPr>
              <w:br/>
              <w:t xml:space="preserve">A/69/40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1856/2008, </w:t>
            </w:r>
            <w:r w:rsidRPr="00295ECA">
              <w:rPr>
                <w:rFonts w:asciiTheme="majorBidi" w:hAnsiTheme="majorBidi" w:cstheme="majorBidi"/>
                <w:i/>
                <w:iCs/>
              </w:rPr>
              <w:t>Sevostyanov</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1866/2009, </w:t>
            </w:r>
            <w:r w:rsidRPr="00295ECA">
              <w:rPr>
                <w:rFonts w:asciiTheme="majorBidi" w:hAnsiTheme="majorBidi" w:cstheme="majorBidi"/>
                <w:i/>
                <w:iCs/>
              </w:rPr>
              <w:t>Chebotareva</w:t>
            </w:r>
            <w:r w:rsidRPr="00295ECA">
              <w:rPr>
                <w:rFonts w:asciiTheme="majorBidi" w:hAnsiTheme="majorBidi" w:cstheme="majorBidi"/>
              </w:rPr>
              <w:br/>
              <w:t>A/67/40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1873/2009, </w:t>
            </w:r>
            <w:r w:rsidRPr="00295ECA">
              <w:rPr>
                <w:rFonts w:asciiTheme="majorBidi" w:hAnsiTheme="majorBidi" w:cstheme="majorBidi"/>
                <w:i/>
                <w:iCs/>
              </w:rPr>
              <w:t>Alekseev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(24/02) </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1932/2010, </w:t>
            </w:r>
            <w:r w:rsidRPr="00295ECA">
              <w:rPr>
                <w:rFonts w:asciiTheme="majorBidi" w:hAnsiTheme="majorBidi" w:cstheme="majorBidi"/>
                <w:i/>
                <w:iCs/>
              </w:rPr>
              <w:t>Fedotova</w:t>
            </w:r>
            <w:r w:rsidRPr="00295ECA">
              <w:rPr>
                <w:rFonts w:asciiTheme="majorBidi" w:hAnsiTheme="majorBidi" w:cstheme="majorBidi"/>
              </w:rPr>
              <w:br/>
              <w:t>A/68/40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2041/2011, </w:t>
            </w:r>
            <w:r w:rsidRPr="00295ECA">
              <w:rPr>
                <w:rFonts w:asciiTheme="majorBidi" w:hAnsiTheme="majorBidi" w:cstheme="majorBidi"/>
                <w:i/>
                <w:iCs/>
              </w:rPr>
              <w:t>Dorofeev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2126/2011, </w:t>
            </w:r>
            <w:r w:rsidRPr="00295ECA">
              <w:rPr>
                <w:rFonts w:asciiTheme="majorBidi" w:hAnsiTheme="majorBidi" w:cstheme="majorBidi"/>
                <w:i/>
                <w:iCs/>
              </w:rPr>
              <w:t>Kesmatulla</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CCPR/C/116/D/1941/2010, </w:t>
            </w:r>
            <w:r w:rsidRPr="00295ECA">
              <w:rPr>
                <w:rFonts w:asciiTheme="majorBidi" w:hAnsiTheme="majorBidi" w:cstheme="majorBidi"/>
                <w:i/>
                <w:iCs/>
              </w:rPr>
              <w:t>Neporozhnev</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CCPR/C/114/D/2036/2011, </w:t>
            </w:r>
            <w:r w:rsidRPr="00295ECA">
              <w:rPr>
                <w:rFonts w:asciiTheme="majorBidi" w:hAnsiTheme="majorBidi" w:cstheme="majorBidi"/>
                <w:i/>
                <w:iCs/>
              </w:rPr>
              <w:t>Yusupova</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CCPR/C/116/D/2059/2011, </w:t>
            </w:r>
            <w:r w:rsidRPr="00295ECA">
              <w:rPr>
                <w:rFonts w:asciiTheme="majorBidi" w:hAnsiTheme="majorBidi" w:cstheme="majorBidi"/>
                <w:i/>
                <w:iCs/>
              </w:rPr>
              <w:t>Y.M.</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CCPR/C/116/D/2099/2011, </w:t>
            </w:r>
            <w:r w:rsidRPr="00295ECA">
              <w:rPr>
                <w:rFonts w:asciiTheme="majorBidi" w:hAnsiTheme="majorBidi" w:cstheme="majorBidi"/>
                <w:i/>
                <w:iCs/>
              </w:rPr>
              <w:t>Polskikh</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CCPR/C/115/D/2141/2012, </w:t>
            </w:r>
            <w:r w:rsidRPr="00295ECA">
              <w:rPr>
                <w:rFonts w:asciiTheme="majorBidi" w:hAnsiTheme="majorBidi" w:cstheme="majorBidi"/>
                <w:i/>
                <w:iCs/>
              </w:rPr>
              <w:t>Kostenko</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Saint Vincent and the Grenadines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806/1998, </w:t>
            </w:r>
            <w:r w:rsidRPr="00295ECA">
              <w:rPr>
                <w:rFonts w:asciiTheme="majorBidi" w:hAnsiTheme="majorBidi" w:cstheme="majorBidi"/>
                <w:i/>
                <w:iCs/>
              </w:rPr>
              <w:t>Thompson</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Serbia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1556/2007, </w:t>
            </w:r>
            <w:r w:rsidRPr="00295ECA">
              <w:rPr>
                <w:rFonts w:asciiTheme="majorBidi" w:hAnsiTheme="majorBidi" w:cstheme="majorBidi"/>
                <w:i/>
                <w:iCs/>
              </w:rPr>
              <w:t>Novaković</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Sierra Leone (3)</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839/1998, </w:t>
            </w:r>
            <w:r w:rsidRPr="00295ECA">
              <w:rPr>
                <w:rFonts w:asciiTheme="majorBidi" w:hAnsiTheme="majorBidi" w:cstheme="majorBidi"/>
                <w:i/>
                <w:iCs/>
              </w:rPr>
              <w:t>Mansaraj et al.</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840/1998, </w:t>
            </w:r>
            <w:r w:rsidRPr="00295ECA">
              <w:rPr>
                <w:rFonts w:asciiTheme="majorBidi" w:hAnsiTheme="majorBidi" w:cstheme="majorBidi"/>
                <w:i/>
                <w:iCs/>
              </w:rPr>
              <w:t>Gborie et al.</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841/1998, </w:t>
            </w:r>
            <w:r w:rsidRPr="00295ECA">
              <w:rPr>
                <w:rFonts w:asciiTheme="majorBidi" w:hAnsiTheme="majorBidi" w:cstheme="majorBidi"/>
                <w:i/>
                <w:iCs/>
              </w:rPr>
              <w:t>Sesay et al.</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South Africa (1)</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1818/2008, </w:t>
            </w:r>
            <w:r w:rsidRPr="00295ECA">
              <w:rPr>
                <w:rFonts w:asciiTheme="majorBidi" w:hAnsiTheme="majorBidi" w:cstheme="majorBidi"/>
                <w:i/>
                <w:iCs/>
              </w:rPr>
              <w:t>McCallum</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Spain (25) </w:t>
            </w: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493/1992, </w:t>
            </w:r>
            <w:r w:rsidRPr="00295ECA">
              <w:rPr>
                <w:rFonts w:asciiTheme="majorBidi" w:hAnsiTheme="majorBidi" w:cstheme="majorBidi"/>
                <w:i/>
                <w:iCs/>
              </w:rPr>
              <w:t>Griffin</w:t>
            </w:r>
            <w:r w:rsidRPr="00295ECA">
              <w:rPr>
                <w:rFonts w:asciiTheme="majorBidi" w:hAnsiTheme="majorBidi" w:cstheme="majorBidi"/>
              </w:rPr>
              <w:br/>
              <w:t>A/50/40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A/58/40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526/1993, </w:t>
            </w:r>
            <w:r w:rsidRPr="00295ECA">
              <w:rPr>
                <w:rFonts w:asciiTheme="majorBidi" w:hAnsiTheme="majorBidi" w:cstheme="majorBidi"/>
                <w:i/>
                <w:iCs/>
              </w:rPr>
              <w:t>Hill</w:t>
            </w:r>
            <w:r w:rsidRPr="00295ECA">
              <w:rPr>
                <w:rFonts w:asciiTheme="majorBidi" w:hAnsiTheme="majorBidi" w:cstheme="majorBidi"/>
              </w:rPr>
              <w:br/>
              <w:t>A/52/40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A/56/40, A/58/40, A/59/40, A/60/40, A/61/40, A/64/40, A/68/40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701/1996, </w:t>
            </w:r>
            <w:r w:rsidRPr="00295ECA">
              <w:rPr>
                <w:rFonts w:asciiTheme="majorBidi" w:hAnsiTheme="majorBidi" w:cstheme="majorBidi"/>
                <w:i/>
                <w:iCs/>
              </w:rPr>
              <w:t>Gómez</w:t>
            </w:r>
            <w:r w:rsidRPr="00295ECA">
              <w:rPr>
                <w:rFonts w:asciiTheme="majorBidi" w:hAnsiTheme="majorBidi" w:cstheme="majorBidi"/>
              </w:rPr>
              <w:t xml:space="preserve"> </w:t>
            </w:r>
            <w:r w:rsidRPr="00295ECA">
              <w:rPr>
                <w:rFonts w:asciiTheme="majorBidi" w:hAnsiTheme="majorBidi" w:cstheme="majorBidi"/>
                <w:i/>
                <w:iCs/>
              </w:rPr>
              <w:t>Vásquez</w:t>
            </w:r>
            <w:r w:rsidRPr="00295ECA">
              <w:rPr>
                <w:rFonts w:asciiTheme="majorBidi" w:hAnsiTheme="majorBidi" w:cstheme="majorBidi"/>
              </w:rPr>
              <w:br/>
              <w:t>A/55/40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A/58/40, A/60/40, A/61/40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864/1999, </w:t>
            </w:r>
            <w:r w:rsidRPr="00295ECA">
              <w:rPr>
                <w:rFonts w:asciiTheme="majorBidi" w:hAnsiTheme="majorBidi" w:cstheme="majorBidi"/>
                <w:i/>
                <w:iCs/>
              </w:rPr>
              <w:t>Ruiz</w:t>
            </w:r>
            <w:r w:rsidRPr="00295ECA">
              <w:rPr>
                <w:rFonts w:asciiTheme="majorBidi" w:hAnsiTheme="majorBidi" w:cstheme="majorBidi"/>
              </w:rPr>
              <w:t xml:space="preserve"> </w:t>
            </w:r>
            <w:r w:rsidRPr="00295ECA">
              <w:rPr>
                <w:rFonts w:asciiTheme="majorBidi" w:hAnsiTheme="majorBidi" w:cstheme="majorBidi"/>
                <w:i/>
                <w:iCs/>
              </w:rPr>
              <w:t>Agudo</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986/2001, </w:t>
            </w:r>
            <w:r w:rsidRPr="00295ECA">
              <w:rPr>
                <w:rFonts w:asciiTheme="majorBidi" w:hAnsiTheme="majorBidi" w:cstheme="majorBidi"/>
                <w:i/>
                <w:iCs/>
              </w:rPr>
              <w:t>Semey</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1006/2001, </w:t>
            </w:r>
            <w:r w:rsidRPr="00295ECA">
              <w:rPr>
                <w:rFonts w:asciiTheme="majorBidi" w:hAnsiTheme="majorBidi" w:cstheme="majorBidi"/>
                <w:i/>
                <w:iCs/>
              </w:rPr>
              <w:t>Muñoz</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1007/2001, </w:t>
            </w:r>
            <w:r w:rsidRPr="00295ECA">
              <w:rPr>
                <w:rFonts w:asciiTheme="majorBidi" w:hAnsiTheme="majorBidi" w:cstheme="majorBidi"/>
                <w:i/>
                <w:iCs/>
              </w:rPr>
              <w:t>Sineiro</w:t>
            </w:r>
            <w:r w:rsidRPr="00295ECA">
              <w:rPr>
                <w:rFonts w:asciiTheme="majorBidi" w:hAnsiTheme="majorBidi" w:cstheme="majorBidi"/>
              </w:rPr>
              <w:t xml:space="preserve"> </w:t>
            </w:r>
            <w:r w:rsidRPr="00295ECA">
              <w:rPr>
                <w:rFonts w:asciiTheme="majorBidi" w:hAnsiTheme="majorBidi" w:cstheme="majorBidi"/>
                <w:i/>
                <w:iCs/>
              </w:rPr>
              <w:t>Fernando</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1073/2002, </w:t>
            </w:r>
            <w:r w:rsidRPr="00295ECA">
              <w:rPr>
                <w:rFonts w:asciiTheme="majorBidi" w:hAnsiTheme="majorBidi" w:cstheme="majorBidi"/>
                <w:i/>
                <w:iCs/>
              </w:rPr>
              <w:t>Terón</w:t>
            </w:r>
            <w:r w:rsidRPr="00295ECA">
              <w:rPr>
                <w:rFonts w:asciiTheme="majorBidi" w:hAnsiTheme="majorBidi" w:cstheme="majorBidi"/>
              </w:rPr>
              <w:t xml:space="preserve"> </w:t>
            </w:r>
            <w:r w:rsidRPr="00295ECA">
              <w:rPr>
                <w:rFonts w:asciiTheme="majorBidi" w:hAnsiTheme="majorBidi" w:cstheme="majorBidi"/>
                <w:i/>
                <w:iCs/>
              </w:rPr>
              <w:t>Jesús</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Height w:val="263"/>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1095/2002, </w:t>
            </w:r>
            <w:r w:rsidRPr="00295ECA">
              <w:rPr>
                <w:rFonts w:asciiTheme="majorBidi" w:hAnsiTheme="majorBidi" w:cstheme="majorBidi"/>
                <w:i/>
                <w:iCs/>
              </w:rPr>
              <w:t>Gomariz</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Height w:val="263"/>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1101/2002, </w:t>
            </w:r>
            <w:r w:rsidRPr="00295ECA">
              <w:rPr>
                <w:rFonts w:asciiTheme="majorBidi" w:hAnsiTheme="majorBidi" w:cstheme="majorBidi"/>
                <w:i/>
                <w:iCs/>
              </w:rPr>
              <w:t>Alba</w:t>
            </w:r>
            <w:r w:rsidRPr="00295ECA">
              <w:rPr>
                <w:rFonts w:asciiTheme="majorBidi" w:hAnsiTheme="majorBidi" w:cstheme="majorBidi"/>
              </w:rPr>
              <w:t xml:space="preserve"> </w:t>
            </w:r>
            <w:r w:rsidRPr="00295ECA">
              <w:rPr>
                <w:rFonts w:asciiTheme="majorBidi" w:hAnsiTheme="majorBidi" w:cstheme="majorBidi"/>
                <w:i/>
                <w:iCs/>
              </w:rPr>
              <w:t>Cabriada</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1104/2002, </w:t>
            </w:r>
            <w:r w:rsidRPr="00295ECA">
              <w:rPr>
                <w:rFonts w:asciiTheme="majorBidi" w:hAnsiTheme="majorBidi" w:cstheme="majorBidi"/>
                <w:i/>
                <w:iCs/>
              </w:rPr>
              <w:t>Martínez</w:t>
            </w:r>
            <w:r w:rsidRPr="00295ECA">
              <w:rPr>
                <w:rFonts w:asciiTheme="majorBidi" w:hAnsiTheme="majorBidi" w:cstheme="majorBidi"/>
              </w:rPr>
              <w:t xml:space="preserve"> </w:t>
            </w:r>
            <w:r w:rsidRPr="00295ECA">
              <w:rPr>
                <w:rFonts w:asciiTheme="majorBidi" w:hAnsiTheme="majorBidi" w:cstheme="majorBidi"/>
                <w:i/>
                <w:iCs/>
              </w:rPr>
              <w:t>Fernández</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1122/2002, </w:t>
            </w:r>
            <w:r w:rsidRPr="00295ECA">
              <w:rPr>
                <w:rFonts w:asciiTheme="majorBidi" w:hAnsiTheme="majorBidi" w:cstheme="majorBidi"/>
                <w:i/>
                <w:iCs/>
              </w:rPr>
              <w:t>Lagunas</w:t>
            </w:r>
            <w:r w:rsidRPr="00295ECA">
              <w:rPr>
                <w:rFonts w:asciiTheme="majorBidi" w:hAnsiTheme="majorBidi" w:cstheme="majorBidi"/>
              </w:rPr>
              <w:t xml:space="preserve"> </w:t>
            </w:r>
            <w:r w:rsidRPr="00295ECA">
              <w:rPr>
                <w:rFonts w:asciiTheme="majorBidi" w:hAnsiTheme="majorBidi" w:cstheme="majorBidi"/>
                <w:i/>
                <w:iCs/>
              </w:rPr>
              <w:t>Castedo</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1211/2003, </w:t>
            </w:r>
            <w:r w:rsidRPr="00295ECA">
              <w:rPr>
                <w:rFonts w:asciiTheme="majorBidi" w:hAnsiTheme="majorBidi" w:cstheme="majorBidi"/>
                <w:i/>
                <w:iCs/>
              </w:rPr>
              <w:t>Oliveró</w:t>
            </w:r>
            <w:r w:rsidRPr="00295ECA">
              <w:rPr>
                <w:rFonts w:asciiTheme="majorBidi" w:hAnsiTheme="majorBidi" w:cstheme="majorBidi"/>
              </w:rPr>
              <w:br/>
              <w:t>A/61/40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1325/2004, </w:t>
            </w:r>
            <w:r w:rsidRPr="00295ECA">
              <w:rPr>
                <w:rFonts w:asciiTheme="majorBidi" w:hAnsiTheme="majorBidi" w:cstheme="majorBidi"/>
                <w:i/>
                <w:iCs/>
              </w:rPr>
              <w:t>Conde</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1332/2004, </w:t>
            </w:r>
            <w:r w:rsidRPr="00295ECA">
              <w:rPr>
                <w:rFonts w:asciiTheme="majorBidi" w:hAnsiTheme="majorBidi" w:cstheme="majorBidi"/>
                <w:i/>
                <w:iCs/>
              </w:rPr>
              <w:t>Garcia et al.</w:t>
            </w:r>
            <w:r w:rsidRPr="00295ECA">
              <w:rPr>
                <w:rFonts w:asciiTheme="majorBidi" w:hAnsiTheme="majorBidi" w:cstheme="majorBidi"/>
              </w:rPr>
              <w:br/>
              <w:t>A/62/40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1351 and 1352/2005, </w:t>
            </w:r>
            <w:r w:rsidRPr="00295ECA">
              <w:rPr>
                <w:rFonts w:asciiTheme="majorBidi" w:hAnsiTheme="majorBidi" w:cstheme="majorBidi"/>
                <w:i/>
                <w:iCs/>
              </w:rPr>
              <w:t>Hens and Corujo</w:t>
            </w:r>
            <w:r w:rsidRPr="00295ECA">
              <w:rPr>
                <w:rFonts w:asciiTheme="majorBidi" w:hAnsiTheme="majorBidi" w:cstheme="majorBidi"/>
              </w:rPr>
              <w:br/>
              <w:t>A/63/40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1363/2005, </w:t>
            </w:r>
            <w:r w:rsidRPr="00295ECA">
              <w:rPr>
                <w:rFonts w:asciiTheme="majorBidi" w:hAnsiTheme="majorBidi" w:cstheme="majorBidi"/>
                <w:i/>
                <w:iCs/>
              </w:rPr>
              <w:t>Gayoso</w:t>
            </w:r>
            <w:r w:rsidRPr="00295ECA">
              <w:rPr>
                <w:rFonts w:asciiTheme="majorBidi" w:hAnsiTheme="majorBidi" w:cstheme="majorBidi"/>
              </w:rPr>
              <w:t xml:space="preserve"> </w:t>
            </w:r>
            <w:r w:rsidRPr="00295ECA">
              <w:rPr>
                <w:rFonts w:asciiTheme="majorBidi" w:hAnsiTheme="majorBidi" w:cstheme="majorBidi"/>
                <w:i/>
                <w:iCs/>
              </w:rPr>
              <w:t>Martínez</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1364/2005, </w:t>
            </w:r>
            <w:r w:rsidRPr="00295ECA">
              <w:rPr>
                <w:rFonts w:asciiTheme="majorBidi" w:hAnsiTheme="majorBidi" w:cstheme="majorBidi"/>
                <w:i/>
                <w:iCs/>
              </w:rPr>
              <w:t>Carpintero</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1381/2005, </w:t>
            </w:r>
            <w:r w:rsidRPr="00295ECA">
              <w:rPr>
                <w:rFonts w:asciiTheme="majorBidi" w:hAnsiTheme="majorBidi" w:cstheme="majorBidi"/>
                <w:i/>
                <w:iCs/>
              </w:rPr>
              <w:t>Hachuel</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1473/2006, </w:t>
            </w:r>
            <w:r w:rsidRPr="00295ECA">
              <w:rPr>
                <w:rFonts w:asciiTheme="majorBidi" w:hAnsiTheme="majorBidi" w:cstheme="majorBidi"/>
                <w:i/>
                <w:iCs/>
              </w:rPr>
              <w:t>Morales</w:t>
            </w:r>
            <w:r w:rsidRPr="00295ECA">
              <w:rPr>
                <w:rFonts w:asciiTheme="majorBidi" w:hAnsiTheme="majorBidi" w:cstheme="majorBidi"/>
              </w:rPr>
              <w:t xml:space="preserve"> </w:t>
            </w:r>
            <w:r w:rsidRPr="00295ECA">
              <w:rPr>
                <w:rFonts w:asciiTheme="majorBidi" w:hAnsiTheme="majorBidi" w:cstheme="majorBidi"/>
                <w:i/>
                <w:iCs/>
              </w:rPr>
              <w:t>Tornel</w:t>
            </w:r>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1493/2006, </w:t>
            </w:r>
            <w:r w:rsidRPr="00295ECA">
              <w:rPr>
                <w:rFonts w:asciiTheme="majorBidi" w:hAnsiTheme="majorBidi" w:cstheme="majorBidi"/>
                <w:i/>
                <w:iCs/>
              </w:rPr>
              <w:t>Williams</w:t>
            </w:r>
            <w:r w:rsidRPr="00295ECA">
              <w:rPr>
                <w:rFonts w:asciiTheme="majorBidi" w:hAnsiTheme="majorBidi" w:cstheme="majorBidi"/>
              </w:rPr>
              <w:t xml:space="preserve"> </w:t>
            </w:r>
            <w:r w:rsidRPr="00295ECA">
              <w:rPr>
                <w:rFonts w:asciiTheme="majorBidi" w:hAnsiTheme="majorBidi" w:cstheme="majorBidi"/>
                <w:i/>
                <w:iCs/>
              </w:rPr>
              <w:t>Lecraft</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was closed during the ninety-ninth session, in the light of the measures taken by the State party (A/66/40).</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1531/2006 </w:t>
            </w:r>
            <w:r w:rsidRPr="00295ECA">
              <w:rPr>
                <w:rFonts w:asciiTheme="majorBidi" w:hAnsiTheme="majorBidi" w:cstheme="majorBidi"/>
                <w:i/>
                <w:iCs/>
              </w:rPr>
              <w:t>Cunillera</w:t>
            </w:r>
            <w:r w:rsidRPr="00295ECA">
              <w:rPr>
                <w:rFonts w:asciiTheme="majorBidi" w:hAnsiTheme="majorBidi" w:cstheme="majorBidi"/>
              </w:rPr>
              <w:t xml:space="preserve"> </w:t>
            </w:r>
            <w:r w:rsidRPr="00295ECA">
              <w:rPr>
                <w:rFonts w:asciiTheme="majorBidi" w:hAnsiTheme="majorBidi" w:cstheme="majorBidi"/>
                <w:i/>
                <w:iCs/>
              </w:rPr>
              <w:t>Arias</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1945/2010, </w:t>
            </w:r>
            <w:r w:rsidRPr="00B70E5A">
              <w:rPr>
                <w:rFonts w:asciiTheme="majorBidi" w:hAnsiTheme="majorBidi" w:cstheme="majorBidi"/>
                <w:i/>
                <w:iCs/>
              </w:rPr>
              <w:t>Achabal</w:t>
            </w:r>
            <w:r w:rsidRPr="00B70E5A">
              <w:rPr>
                <w:rFonts w:asciiTheme="majorBidi" w:hAnsiTheme="majorBidi" w:cstheme="majorBidi"/>
              </w:rPr>
              <w:t xml:space="preserve"> </w:t>
            </w:r>
            <w:r w:rsidRPr="00B70E5A">
              <w:rPr>
                <w:rFonts w:asciiTheme="majorBidi" w:hAnsiTheme="majorBidi" w:cstheme="majorBidi"/>
                <w:i/>
                <w:iCs/>
              </w:rPr>
              <w:t>Puertas</w:t>
            </w:r>
            <w:r w:rsidRPr="00B70E5A">
              <w:rPr>
                <w:rFonts w:asciiTheme="majorBidi" w:hAnsiTheme="majorBidi" w:cstheme="majorBidi"/>
              </w:rPr>
              <w:br/>
              <w:t>A/68/40</w:t>
            </w:r>
          </w:p>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CCPR/C/111/D/2008/2010</w:t>
            </w:r>
            <w:r w:rsidRPr="00B70E5A">
              <w:rPr>
                <w:rFonts w:asciiTheme="majorBidi" w:hAnsiTheme="majorBidi" w:cstheme="majorBidi"/>
              </w:rPr>
              <w:br/>
            </w:r>
            <w:r w:rsidRPr="00B70E5A">
              <w:rPr>
                <w:rFonts w:asciiTheme="majorBidi" w:hAnsiTheme="majorBidi" w:cstheme="majorBidi"/>
                <w:i/>
                <w:iCs/>
              </w:rPr>
              <w:t>Aarrass</w:t>
            </w:r>
          </w:p>
        </w:tc>
        <w:tc>
          <w:tcPr>
            <w:tcW w:w="1815" w:type="dxa"/>
            <w:tcBorders>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tc>
        <w:tc>
          <w:tcPr>
            <w:tcW w:w="391" w:type="dxa"/>
            <w:tcBorders>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400" w:type="dxa"/>
            <w:tcBorders>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909" w:type="dxa"/>
            <w:tcBorders>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Sri Lanka (15)</w:t>
            </w: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916/2000, </w:t>
            </w:r>
            <w:r w:rsidRPr="00295ECA">
              <w:rPr>
                <w:rFonts w:asciiTheme="majorBidi" w:hAnsiTheme="majorBidi" w:cstheme="majorBidi"/>
                <w:i/>
                <w:iCs/>
              </w:rPr>
              <w:t>Jayawardena</w:t>
            </w:r>
            <w:r w:rsidRPr="00295ECA">
              <w:rPr>
                <w:rFonts w:asciiTheme="majorBidi" w:hAnsiTheme="majorBidi" w:cstheme="majorBidi"/>
              </w:rPr>
              <w:br/>
              <w:t>A/57/40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A/60/40, A/61/40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950/2000, </w:t>
            </w:r>
            <w:r w:rsidRPr="00295ECA">
              <w:rPr>
                <w:rFonts w:asciiTheme="majorBidi" w:hAnsiTheme="majorBidi" w:cstheme="majorBidi"/>
                <w:i/>
                <w:iCs/>
              </w:rPr>
              <w:t>Sarma</w:t>
            </w:r>
            <w:r w:rsidRPr="00295ECA">
              <w:rPr>
                <w:rFonts w:asciiTheme="majorBidi" w:hAnsiTheme="majorBidi" w:cstheme="majorBidi"/>
              </w:rPr>
              <w:br/>
              <w:t>A/58/40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A/63/40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909/2000, </w:t>
            </w:r>
            <w:r w:rsidRPr="00295ECA">
              <w:rPr>
                <w:rFonts w:asciiTheme="majorBidi" w:hAnsiTheme="majorBidi" w:cstheme="majorBidi"/>
                <w:i/>
                <w:iCs/>
              </w:rPr>
              <w:t>Kankanamge</w:t>
            </w:r>
            <w:r w:rsidRPr="00295ECA">
              <w:rPr>
                <w:rFonts w:asciiTheme="majorBidi" w:hAnsiTheme="majorBidi" w:cstheme="majorBidi"/>
              </w:rPr>
              <w:br/>
              <w:t>A/59/40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1033/2001, </w:t>
            </w:r>
            <w:r w:rsidRPr="00295ECA">
              <w:rPr>
                <w:rFonts w:asciiTheme="majorBidi" w:hAnsiTheme="majorBidi" w:cstheme="majorBidi"/>
                <w:i/>
                <w:iCs/>
              </w:rPr>
              <w:t>Nallaratnam</w:t>
            </w:r>
            <w:r w:rsidRPr="00295ECA">
              <w:rPr>
                <w:rFonts w:asciiTheme="majorBidi" w:hAnsiTheme="majorBidi" w:cstheme="majorBidi"/>
              </w:rPr>
              <w:br/>
              <w:t>A/59/40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A/64/40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1189/2003, </w:t>
            </w:r>
            <w:r w:rsidRPr="00295ECA">
              <w:rPr>
                <w:rFonts w:asciiTheme="majorBidi" w:hAnsiTheme="majorBidi" w:cstheme="majorBidi"/>
                <w:i/>
                <w:iCs/>
              </w:rPr>
              <w:t>Fernando</w:t>
            </w:r>
            <w:r w:rsidRPr="00295ECA">
              <w:rPr>
                <w:rFonts w:asciiTheme="majorBidi" w:hAnsiTheme="majorBidi" w:cstheme="majorBidi"/>
              </w:rPr>
              <w:br/>
              <w:t>A/60/40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1249/2004, </w:t>
            </w:r>
            <w:r w:rsidRPr="00B70E5A">
              <w:rPr>
                <w:rFonts w:asciiTheme="majorBidi" w:hAnsiTheme="majorBidi" w:cstheme="majorBidi"/>
                <w:i/>
                <w:iCs/>
                <w:lang w:val="fr-CH"/>
              </w:rPr>
              <w:t>Immaculate Joseph et al.</w:t>
            </w:r>
            <w:r w:rsidRPr="00B70E5A">
              <w:rPr>
                <w:rFonts w:asciiTheme="majorBidi" w:hAnsiTheme="majorBidi" w:cstheme="majorBidi"/>
                <w:lang w:val="fr-CH"/>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1250/2004, </w:t>
            </w:r>
            <w:r w:rsidRPr="00295ECA">
              <w:rPr>
                <w:rFonts w:asciiTheme="majorBidi" w:hAnsiTheme="majorBidi" w:cstheme="majorBidi"/>
                <w:i/>
                <w:iCs/>
              </w:rPr>
              <w:t>Rajapakse</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1373/2005, </w:t>
            </w:r>
            <w:r w:rsidRPr="00295ECA">
              <w:rPr>
                <w:rFonts w:asciiTheme="majorBidi" w:hAnsiTheme="majorBidi" w:cstheme="majorBidi"/>
                <w:i/>
                <w:iCs/>
              </w:rPr>
              <w:t>Dissanakye</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1376/2005, </w:t>
            </w:r>
            <w:r w:rsidRPr="00295ECA">
              <w:rPr>
                <w:rFonts w:asciiTheme="majorBidi" w:hAnsiTheme="majorBidi" w:cstheme="majorBidi"/>
                <w:i/>
                <w:iCs/>
              </w:rPr>
              <w:t>Bandaranayake</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1406/2005, </w:t>
            </w:r>
            <w:r w:rsidRPr="00295ECA">
              <w:rPr>
                <w:rFonts w:asciiTheme="majorBidi" w:hAnsiTheme="majorBidi" w:cstheme="majorBidi"/>
                <w:i/>
                <w:iCs/>
              </w:rPr>
              <w:t>Weerawanza</w:t>
            </w:r>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1426/2005, </w:t>
            </w:r>
            <w:r w:rsidRPr="00295ECA">
              <w:rPr>
                <w:rFonts w:asciiTheme="majorBidi" w:hAnsiTheme="majorBidi" w:cstheme="majorBidi"/>
                <w:i/>
                <w:iCs/>
              </w:rPr>
              <w:t>Dingiri</w:t>
            </w:r>
            <w:r w:rsidRPr="00295ECA">
              <w:rPr>
                <w:rFonts w:asciiTheme="majorBidi" w:hAnsiTheme="majorBidi" w:cstheme="majorBidi"/>
              </w:rPr>
              <w:t xml:space="preserve"> </w:t>
            </w:r>
            <w:r w:rsidRPr="00295ECA">
              <w:rPr>
                <w:rFonts w:asciiTheme="majorBidi" w:hAnsiTheme="majorBidi" w:cstheme="majorBidi"/>
                <w:i/>
                <w:iCs/>
              </w:rPr>
              <w:t>Banda</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1432/2005, </w:t>
            </w:r>
            <w:r w:rsidRPr="00295ECA">
              <w:rPr>
                <w:rFonts w:asciiTheme="majorBidi" w:hAnsiTheme="majorBidi" w:cstheme="majorBidi"/>
                <w:i/>
                <w:iCs/>
              </w:rPr>
              <w:t>Gunaratna</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1436/2005, </w:t>
            </w:r>
            <w:r w:rsidRPr="00295ECA">
              <w:rPr>
                <w:rFonts w:asciiTheme="majorBidi" w:hAnsiTheme="majorBidi" w:cstheme="majorBidi"/>
                <w:i/>
                <w:iCs/>
              </w:rPr>
              <w:t>Sathasivam</w:t>
            </w:r>
            <w:r w:rsidRPr="00295ECA">
              <w:rPr>
                <w:rFonts w:asciiTheme="majorBidi" w:hAnsiTheme="majorBidi" w:cstheme="majorBidi"/>
              </w:rPr>
              <w:br/>
              <w:t>A/63/40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1862/2009, </w:t>
            </w:r>
            <w:r w:rsidRPr="00B70E5A">
              <w:rPr>
                <w:rFonts w:asciiTheme="majorBidi" w:hAnsiTheme="majorBidi" w:cstheme="majorBidi"/>
                <w:i/>
                <w:iCs/>
                <w:lang w:val="fr-CH"/>
              </w:rPr>
              <w:t>Pathmini Peiris et al.</w:t>
            </w:r>
            <w:r w:rsidRPr="00B70E5A">
              <w:rPr>
                <w:rFonts w:asciiTheme="majorBidi" w:hAnsiTheme="majorBidi" w:cstheme="majorBidi"/>
                <w:lang w:val="fr-CH"/>
              </w:rPr>
              <w:br/>
              <w:t>A/67/40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CCPR/C/113/D/2087/2011, </w:t>
            </w:r>
            <w:r w:rsidRPr="00295ECA">
              <w:rPr>
                <w:rFonts w:asciiTheme="majorBidi" w:hAnsiTheme="majorBidi" w:cstheme="majorBidi"/>
                <w:i/>
                <w:iCs/>
              </w:rPr>
              <w:t>Guneththige</w:t>
            </w:r>
          </w:p>
        </w:tc>
        <w:tc>
          <w:tcPr>
            <w:tcW w:w="1815" w:type="dxa"/>
            <w:tcBorders>
              <w:top w:val="nil"/>
              <w:bottom w:val="nil"/>
            </w:tcBorders>
            <w:shd w:val="clear" w:color="auto" w:fill="auto"/>
            <w:noWrap/>
          </w:tcPr>
          <w:p w:rsidR="006B2037" w:rsidRPr="00295ECA" w:rsidDel="0013405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Suriname (8)</w:t>
            </w: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146/1983, </w:t>
            </w:r>
            <w:r w:rsidRPr="00295ECA">
              <w:rPr>
                <w:rFonts w:asciiTheme="majorBidi" w:hAnsiTheme="majorBidi" w:cstheme="majorBidi"/>
                <w:i/>
                <w:iCs/>
              </w:rPr>
              <w:t>Baboeram</w:t>
            </w:r>
            <w:r w:rsidRPr="00295ECA">
              <w:rPr>
                <w:rFonts w:asciiTheme="majorBidi" w:hAnsiTheme="majorBidi" w:cstheme="majorBidi"/>
              </w:rPr>
              <w:br/>
              <w:t>Twenty-fourth session</w:t>
            </w:r>
            <w:r w:rsidRPr="00295ECA">
              <w:rPr>
                <w:rFonts w:asciiTheme="majorBidi" w:hAnsiTheme="majorBidi" w:cstheme="majorBidi"/>
                <w:i/>
                <w:iCs/>
                <w:sz w:val="18"/>
                <w:szCs w:val="18"/>
                <w:vertAlign w:val="superscript"/>
              </w:rPr>
              <w:t>c</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 to 154/1983, </w:t>
            </w:r>
            <w:r w:rsidRPr="00295ECA">
              <w:rPr>
                <w:rFonts w:asciiTheme="majorBidi" w:hAnsiTheme="majorBidi" w:cstheme="majorBidi"/>
                <w:i/>
                <w:iCs/>
              </w:rPr>
              <w:t>Kamperveen,</w:t>
            </w:r>
            <w:r w:rsidRPr="00295ECA">
              <w:rPr>
                <w:rFonts w:asciiTheme="majorBidi" w:hAnsiTheme="majorBidi" w:cstheme="majorBidi"/>
                <w:i/>
                <w:iCs/>
              </w:rPr>
              <w:br/>
              <w:t>Riedewald, Leckie, Demrawsingh, Sohansingh, Rahman, Hoost</w:t>
            </w:r>
            <w:r w:rsidRPr="00295ECA">
              <w:rPr>
                <w:rFonts w:asciiTheme="majorBidi" w:hAnsiTheme="majorBidi" w:cstheme="majorBidi"/>
              </w:rPr>
              <w:br/>
              <w:t>Twenty-fourth session</w:t>
            </w:r>
            <w:r w:rsidRPr="00295ECA">
              <w:rPr>
                <w:rFonts w:asciiTheme="majorBidi" w:hAnsiTheme="majorBidi" w:cstheme="majorBidi"/>
                <w:i/>
                <w:iCs/>
                <w:vertAlign w:val="superscript"/>
              </w:rPr>
              <w:t>c</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Sweden (3)</w:t>
            </w: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1416/2005, </w:t>
            </w:r>
            <w:r w:rsidRPr="00295ECA">
              <w:rPr>
                <w:rFonts w:asciiTheme="majorBidi" w:hAnsiTheme="majorBidi" w:cstheme="majorBidi"/>
                <w:i/>
                <w:iCs/>
              </w:rPr>
              <w:t>Alzery</w:t>
            </w:r>
            <w:r w:rsidRPr="00295ECA">
              <w:rPr>
                <w:rFonts w:asciiTheme="majorBidi" w:hAnsiTheme="majorBidi" w:cstheme="majorBidi"/>
              </w:rPr>
              <w:br/>
              <w:t>A/62/40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1833/2008, </w:t>
            </w:r>
            <w:r w:rsidRPr="00295ECA">
              <w:rPr>
                <w:rFonts w:asciiTheme="majorBidi" w:hAnsiTheme="majorBidi" w:cstheme="majorBidi"/>
                <w:i/>
                <w:iCs/>
              </w:rPr>
              <w:t>X.</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(A/69/40). </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2149/2012, </w:t>
            </w:r>
            <w:r w:rsidRPr="00295ECA">
              <w:rPr>
                <w:rFonts w:asciiTheme="majorBidi" w:hAnsiTheme="majorBidi" w:cstheme="majorBidi"/>
                <w:i/>
                <w:iCs/>
              </w:rPr>
              <w:t>Islam</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Tajikistan (22)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964/2001, </w:t>
            </w:r>
            <w:r w:rsidRPr="00295ECA">
              <w:rPr>
                <w:rFonts w:asciiTheme="majorBidi" w:hAnsiTheme="majorBidi" w:cstheme="majorBidi"/>
                <w:i/>
                <w:iCs/>
              </w:rPr>
              <w:t>Saidov</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973/2001, </w:t>
            </w:r>
            <w:r w:rsidRPr="00295ECA">
              <w:rPr>
                <w:rFonts w:asciiTheme="majorBidi" w:hAnsiTheme="majorBidi" w:cstheme="majorBidi"/>
                <w:i/>
                <w:iCs/>
              </w:rPr>
              <w:t>Khalilova</w:t>
            </w:r>
            <w:r w:rsidRPr="00295ECA">
              <w:rPr>
                <w:rFonts w:asciiTheme="majorBidi" w:hAnsiTheme="majorBidi" w:cstheme="majorBidi"/>
              </w:rPr>
              <w:br/>
              <w:t>A/60/40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985/2001, </w:t>
            </w:r>
            <w:r w:rsidRPr="00295ECA">
              <w:rPr>
                <w:rFonts w:asciiTheme="majorBidi" w:hAnsiTheme="majorBidi" w:cstheme="majorBidi"/>
                <w:i/>
                <w:iCs/>
              </w:rPr>
              <w:t>Aliboev</w:t>
            </w:r>
            <w:r w:rsidRPr="00295ECA">
              <w:rPr>
                <w:rFonts w:asciiTheme="majorBidi" w:hAnsiTheme="majorBidi" w:cstheme="majorBidi"/>
              </w:rPr>
              <w:br/>
              <w:t xml:space="preserve">A/61/40 </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 A/67/40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1042/2002, </w:t>
            </w:r>
            <w:r w:rsidRPr="00295ECA">
              <w:rPr>
                <w:rFonts w:asciiTheme="majorBidi" w:hAnsiTheme="majorBidi" w:cstheme="majorBidi"/>
                <w:i/>
                <w:iCs/>
              </w:rPr>
              <w:t>Boimurudov</w:t>
            </w:r>
            <w:r w:rsidRPr="00295ECA">
              <w:rPr>
                <w:rFonts w:asciiTheme="majorBidi" w:hAnsiTheme="majorBidi" w:cstheme="majorBidi"/>
              </w:rPr>
              <w:br/>
              <w:t>A/61/40</w:t>
            </w:r>
          </w:p>
        </w:tc>
        <w:tc>
          <w:tcPr>
            <w:tcW w:w="1815"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 A/67/40</w:t>
            </w:r>
          </w:p>
        </w:tc>
        <w:tc>
          <w:tcPr>
            <w:tcW w:w="391"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1044/2002, </w:t>
            </w:r>
            <w:r w:rsidRPr="00295ECA">
              <w:rPr>
                <w:rFonts w:asciiTheme="majorBidi" w:hAnsiTheme="majorBidi" w:cstheme="majorBidi"/>
                <w:i/>
                <w:iCs/>
              </w:rPr>
              <w:t>Nazriev</w:t>
            </w:r>
            <w:r w:rsidRPr="00295ECA">
              <w:rPr>
                <w:rFonts w:asciiTheme="majorBidi" w:hAnsiTheme="majorBidi" w:cstheme="majorBidi"/>
              </w:rPr>
              <w:br/>
              <w:t>A/61/40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1096/2002, </w:t>
            </w:r>
            <w:r w:rsidRPr="00295ECA">
              <w:rPr>
                <w:rFonts w:asciiTheme="majorBidi" w:hAnsiTheme="majorBidi" w:cstheme="majorBidi"/>
                <w:i/>
                <w:iCs/>
              </w:rPr>
              <w:t>Kurbonov</w:t>
            </w:r>
            <w:r w:rsidRPr="00295ECA">
              <w:rPr>
                <w:rFonts w:asciiTheme="majorBidi" w:hAnsiTheme="majorBidi" w:cstheme="majorBidi"/>
              </w:rPr>
              <w:br/>
              <w:t xml:space="preserve">A/59/40 </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A/59/40, A/60/40, A/62/40, A/67/40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1108 and 1121/2002, </w:t>
            </w:r>
            <w:r w:rsidRPr="00295ECA">
              <w:rPr>
                <w:rFonts w:asciiTheme="majorBidi" w:hAnsiTheme="majorBidi" w:cstheme="majorBidi"/>
                <w:i/>
                <w:iCs/>
              </w:rPr>
              <w:t>Karimov, Askarov and Davlatov</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close the follow-up dialogue concerning the case of Mr. A. Davlatov and to suspend the dialogue, with a finding of unsatisfactory implementation of its recommendation, concerning Mr. Karimov, Mr. Askarov and Mr. N. Davlatov (see A/67/40, chap. VI).</w:t>
            </w:r>
          </w:p>
        </w:tc>
        <w:tc>
          <w:tcPr>
            <w:tcW w:w="786" w:type="dxa"/>
            <w:shd w:val="clear" w:color="auto" w:fill="auto"/>
          </w:tcPr>
          <w:p w:rsidR="006B2037" w:rsidRPr="00295ECA" w:rsidRDefault="006B2037" w:rsidP="006B2037">
            <w:pPr>
              <w:pStyle w:val="SingleTxtG"/>
              <w:spacing w:before="40" w:line="220" w:lineRule="exact"/>
              <w:ind w:left="0" w:right="113"/>
              <w:jc w:val="left"/>
              <w:rPr>
                <w:rFonts w:asciiTheme="majorBidi" w:hAnsiTheme="majorBidi" w:cstheme="majorBidi"/>
              </w:rPr>
            </w:pP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1117/2002, </w:t>
            </w:r>
            <w:r w:rsidRPr="00295ECA">
              <w:rPr>
                <w:rFonts w:asciiTheme="majorBidi" w:hAnsiTheme="majorBidi" w:cstheme="majorBidi"/>
                <w:i/>
                <w:iCs/>
              </w:rPr>
              <w:t>Khomidova</w:t>
            </w:r>
            <w:r w:rsidRPr="00295ECA">
              <w:rPr>
                <w:rFonts w:asciiTheme="majorBidi" w:hAnsiTheme="majorBidi" w:cstheme="majorBidi"/>
              </w:rPr>
              <w:br/>
              <w:t>A/59/40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A/67/40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1195/2003, </w:t>
            </w:r>
            <w:r w:rsidRPr="00295ECA">
              <w:rPr>
                <w:rFonts w:asciiTheme="majorBidi" w:hAnsiTheme="majorBidi" w:cstheme="majorBidi"/>
                <w:i/>
                <w:iCs/>
              </w:rPr>
              <w:t>Dunaev</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1200/2003, </w:t>
            </w:r>
            <w:r w:rsidRPr="00295ECA">
              <w:rPr>
                <w:rFonts w:asciiTheme="majorBidi" w:hAnsiTheme="majorBidi" w:cstheme="majorBidi"/>
                <w:i/>
                <w:iCs/>
              </w:rPr>
              <w:t>Sattorova</w:t>
            </w:r>
            <w:r w:rsidRPr="00295ECA">
              <w:rPr>
                <w:rFonts w:asciiTheme="majorBidi" w:hAnsiTheme="majorBidi" w:cstheme="majorBidi"/>
              </w:rPr>
              <w:br/>
              <w:t>A/64/40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1208/2003, </w:t>
            </w:r>
            <w:r w:rsidRPr="00295ECA">
              <w:rPr>
                <w:rFonts w:asciiTheme="majorBidi" w:hAnsiTheme="majorBidi" w:cstheme="majorBidi"/>
                <w:i/>
                <w:iCs/>
              </w:rPr>
              <w:t>B. Kurbanov</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w:t>
            </w:r>
          </w:p>
        </w:tc>
        <w:tc>
          <w:tcPr>
            <w:tcW w:w="391"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1209/2003, 1231/2003 and 1241/2004, </w:t>
            </w:r>
            <w:r w:rsidRPr="00295ECA">
              <w:rPr>
                <w:rFonts w:asciiTheme="majorBidi" w:hAnsiTheme="majorBidi" w:cstheme="majorBidi"/>
                <w:i/>
                <w:iCs/>
              </w:rPr>
              <w:t xml:space="preserve">Rakhmatov, Safarov and Salimov and </w:t>
            </w:r>
            <w:r w:rsidRPr="00295ECA">
              <w:rPr>
                <w:rFonts w:asciiTheme="majorBidi" w:hAnsiTheme="majorBidi" w:cstheme="majorBidi"/>
                <w:i/>
                <w:iCs/>
              </w:rPr>
              <w:br/>
              <w:t>Mukhammadiev</w:t>
            </w:r>
            <w:r w:rsidRPr="00295ECA">
              <w:rPr>
                <w:rFonts w:asciiTheme="majorBidi" w:hAnsiTheme="majorBidi" w:cstheme="majorBidi"/>
              </w:rPr>
              <w:br/>
              <w:t>A/63/40</w:t>
            </w:r>
          </w:p>
        </w:tc>
        <w:tc>
          <w:tcPr>
            <w:tcW w:w="1815" w:type="dxa"/>
            <w:shd w:val="clear" w:color="auto" w:fill="auto"/>
            <w:noWrap/>
          </w:tcPr>
          <w:p w:rsidR="006B2037" w:rsidRPr="00295ECA" w:rsidDel="00E4001B"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1263/2004 and 1264/2004, </w:t>
            </w:r>
            <w:r w:rsidRPr="00295ECA">
              <w:rPr>
                <w:rFonts w:asciiTheme="majorBidi" w:hAnsiTheme="majorBidi" w:cstheme="majorBidi"/>
              </w:rPr>
              <w:br/>
            </w:r>
            <w:r w:rsidRPr="00295ECA">
              <w:rPr>
                <w:rFonts w:asciiTheme="majorBidi" w:hAnsiTheme="majorBidi" w:cstheme="majorBidi"/>
                <w:i/>
                <w:iCs/>
              </w:rPr>
              <w:t>Khuseynov and Butaev</w:t>
            </w:r>
            <w:r w:rsidRPr="00295ECA">
              <w:rPr>
                <w:rFonts w:asciiTheme="majorBidi" w:hAnsiTheme="majorBidi" w:cstheme="majorBidi"/>
              </w:rPr>
              <w:br/>
              <w:t>A/64/40</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sidDel="004C3E9F">
              <w:rPr>
                <w:rFonts w:asciiTheme="majorBidi" w:hAnsiTheme="majorBidi" w:cstheme="majorBidi"/>
              </w:rPr>
              <w:t xml:space="preserve"> </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1276/2004, </w:t>
            </w:r>
            <w:r w:rsidRPr="00295ECA">
              <w:rPr>
                <w:rFonts w:asciiTheme="majorBidi" w:hAnsiTheme="majorBidi" w:cstheme="majorBidi"/>
                <w:i/>
                <w:iCs/>
              </w:rPr>
              <w:t>Idiev</w:t>
            </w:r>
            <w:r w:rsidRPr="00295ECA">
              <w:rPr>
                <w:rFonts w:asciiTheme="majorBidi" w:hAnsiTheme="majorBidi" w:cstheme="majorBidi"/>
              </w:rPr>
              <w:br/>
              <w:t>A/64/40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1348/2005, </w:t>
            </w:r>
            <w:r w:rsidRPr="00295ECA">
              <w:rPr>
                <w:rFonts w:asciiTheme="majorBidi" w:hAnsiTheme="majorBidi" w:cstheme="majorBidi"/>
                <w:i/>
                <w:iCs/>
              </w:rPr>
              <w:t>Ashurov</w:t>
            </w:r>
            <w:r w:rsidRPr="00295ECA">
              <w:rPr>
                <w:rFonts w:asciiTheme="majorBidi" w:hAnsiTheme="majorBidi" w:cstheme="majorBidi"/>
              </w:rPr>
              <w:br/>
              <w:t>A/62/40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Del="004C3E9F"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1401/2005, </w:t>
            </w:r>
            <w:r w:rsidRPr="00295ECA">
              <w:rPr>
                <w:rFonts w:asciiTheme="majorBidi" w:hAnsiTheme="majorBidi" w:cstheme="majorBidi"/>
                <w:i/>
                <w:iCs/>
              </w:rPr>
              <w:t>Kirpo</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1499/2006, </w:t>
            </w:r>
            <w:r w:rsidRPr="00295ECA">
              <w:rPr>
                <w:rFonts w:asciiTheme="majorBidi" w:hAnsiTheme="majorBidi" w:cstheme="majorBidi"/>
                <w:i/>
                <w:iCs/>
              </w:rPr>
              <w:t>Iskandarov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1519/2006, </w:t>
            </w:r>
            <w:r w:rsidRPr="00295ECA">
              <w:rPr>
                <w:rFonts w:asciiTheme="majorBidi" w:hAnsiTheme="majorBidi" w:cstheme="majorBidi"/>
                <w:i/>
                <w:iCs/>
              </w:rPr>
              <w:t>Khostikoev</w:t>
            </w:r>
            <w:r w:rsidRPr="00295ECA">
              <w:rPr>
                <w:rFonts w:asciiTheme="majorBidi" w:hAnsiTheme="majorBidi" w:cstheme="majorBidi"/>
              </w:rPr>
              <w:br/>
              <w:t>A/65/40</w:t>
            </w:r>
          </w:p>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Togo (4)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422 to 424/1990, </w:t>
            </w:r>
            <w:r w:rsidRPr="00295ECA">
              <w:rPr>
                <w:rFonts w:asciiTheme="majorBidi" w:hAnsiTheme="majorBidi" w:cstheme="majorBidi"/>
              </w:rPr>
              <w:br/>
            </w:r>
            <w:r w:rsidRPr="00295ECA">
              <w:rPr>
                <w:rFonts w:asciiTheme="majorBidi" w:hAnsiTheme="majorBidi" w:cstheme="majorBidi"/>
                <w:i/>
                <w:iCs/>
              </w:rPr>
              <w:t>Aduayom et al.</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505/1992, </w:t>
            </w:r>
            <w:r w:rsidRPr="00295ECA">
              <w:rPr>
                <w:rFonts w:asciiTheme="majorBidi" w:hAnsiTheme="majorBidi" w:cstheme="majorBidi"/>
                <w:i/>
                <w:iCs/>
              </w:rPr>
              <w:t>Ackla</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Trinidad and Tobago (23)</w:t>
            </w: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232/1987, </w:t>
            </w:r>
            <w:r w:rsidRPr="00295ECA">
              <w:rPr>
                <w:rFonts w:asciiTheme="majorBidi" w:hAnsiTheme="majorBidi" w:cstheme="majorBidi"/>
                <w:i/>
                <w:iCs/>
              </w:rPr>
              <w:t>Pinto</w:t>
            </w:r>
            <w:r w:rsidRPr="00295ECA">
              <w:rPr>
                <w:rFonts w:asciiTheme="majorBidi" w:hAnsiTheme="majorBidi" w:cstheme="majorBidi"/>
              </w:rPr>
              <w:br/>
              <w:t>A/45/40</w:t>
            </w:r>
            <w:r w:rsidRPr="00295ECA">
              <w:rPr>
                <w:rFonts w:asciiTheme="majorBidi" w:hAnsiTheme="majorBidi" w:cstheme="majorBidi"/>
              </w:rPr>
              <w:br/>
              <w:t xml:space="preserve">and 512/1992, </w:t>
            </w:r>
            <w:r w:rsidRPr="00295ECA">
              <w:rPr>
                <w:rFonts w:asciiTheme="majorBidi" w:hAnsiTheme="majorBidi" w:cstheme="majorBidi"/>
                <w:i/>
                <w:iCs/>
              </w:rPr>
              <w:t>Pinto</w:t>
            </w:r>
            <w:r w:rsidRPr="00295ECA">
              <w:rPr>
                <w:rFonts w:asciiTheme="majorBidi" w:hAnsiTheme="majorBidi" w:cstheme="majorBidi"/>
              </w:rPr>
              <w:br/>
              <w:t>A/51/40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362/1989, </w:t>
            </w:r>
            <w:r w:rsidRPr="00295ECA">
              <w:rPr>
                <w:rFonts w:asciiTheme="majorBidi" w:hAnsiTheme="majorBidi" w:cstheme="majorBidi"/>
                <w:i/>
                <w:iCs/>
              </w:rPr>
              <w:t>Soogrim</w:t>
            </w:r>
            <w:r w:rsidRPr="00295ECA">
              <w:rPr>
                <w:rFonts w:asciiTheme="majorBidi" w:hAnsiTheme="majorBidi" w:cstheme="majorBidi"/>
              </w:rPr>
              <w:br/>
              <w:t>A/48/40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 xml:space="preserve">A/53/40, A/58/40 </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434/1990, </w:t>
            </w:r>
            <w:r w:rsidRPr="00295ECA">
              <w:rPr>
                <w:rFonts w:asciiTheme="majorBidi" w:hAnsiTheme="majorBidi" w:cstheme="majorBidi"/>
                <w:i/>
                <w:iCs/>
              </w:rPr>
              <w:t>Seerattan</w:t>
            </w:r>
            <w:r w:rsidRPr="00295ECA">
              <w:rPr>
                <w:rFonts w:asciiTheme="majorBidi" w:hAnsiTheme="majorBidi" w:cstheme="majorBidi"/>
              </w:rPr>
              <w:br/>
              <w:t>A/51/40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523/1992, </w:t>
            </w:r>
            <w:r w:rsidRPr="00295ECA">
              <w:rPr>
                <w:rFonts w:asciiTheme="majorBidi" w:hAnsiTheme="majorBidi" w:cstheme="majorBidi"/>
                <w:i/>
                <w:iCs/>
              </w:rPr>
              <w:t>Neptune</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533/1993, </w:t>
            </w:r>
            <w:r w:rsidRPr="00295ECA">
              <w:rPr>
                <w:rFonts w:asciiTheme="majorBidi" w:hAnsiTheme="majorBidi" w:cstheme="majorBidi"/>
                <w:i/>
                <w:iCs/>
              </w:rPr>
              <w:t>Elahie</w:t>
            </w:r>
            <w:r w:rsidRPr="00295ECA">
              <w:rPr>
                <w:rFonts w:asciiTheme="majorBidi" w:hAnsiTheme="majorBidi" w:cstheme="majorBidi"/>
              </w:rPr>
              <w:br/>
              <w:t>A/52/40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554/1993, </w:t>
            </w:r>
            <w:r w:rsidRPr="00295ECA">
              <w:rPr>
                <w:rFonts w:asciiTheme="majorBidi" w:hAnsiTheme="majorBidi" w:cstheme="majorBidi"/>
                <w:i/>
                <w:iCs/>
              </w:rPr>
              <w:t>La Vende</w:t>
            </w:r>
            <w:r w:rsidRPr="00295ECA">
              <w:rPr>
                <w:rFonts w:asciiTheme="majorBidi" w:hAnsiTheme="majorBidi" w:cstheme="majorBidi"/>
              </w:rPr>
              <w:br/>
              <w:t>A/53/40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555/1993, </w:t>
            </w:r>
            <w:r w:rsidRPr="00295ECA">
              <w:rPr>
                <w:rFonts w:asciiTheme="majorBidi" w:hAnsiTheme="majorBidi" w:cstheme="majorBidi"/>
                <w:i/>
                <w:iCs/>
              </w:rPr>
              <w:t>Bickaroo</w:t>
            </w:r>
            <w:r w:rsidRPr="00295ECA">
              <w:rPr>
                <w:rFonts w:asciiTheme="majorBidi" w:hAnsiTheme="majorBidi" w:cstheme="majorBidi"/>
              </w:rPr>
              <w:br/>
              <w:t>A/53/40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569/1996, </w:t>
            </w:r>
            <w:r w:rsidRPr="00295ECA">
              <w:rPr>
                <w:rFonts w:asciiTheme="majorBidi" w:hAnsiTheme="majorBidi" w:cstheme="majorBidi"/>
                <w:i/>
                <w:iCs/>
              </w:rPr>
              <w:t>Mathews</w:t>
            </w:r>
            <w:r w:rsidRPr="00295ECA">
              <w:rPr>
                <w:rFonts w:asciiTheme="majorBidi" w:hAnsiTheme="majorBidi" w:cstheme="majorBidi"/>
              </w:rPr>
              <w:br/>
              <w:t>A/43/40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580/1994, </w:t>
            </w:r>
            <w:r w:rsidRPr="00295ECA">
              <w:rPr>
                <w:rFonts w:asciiTheme="majorBidi" w:hAnsiTheme="majorBidi" w:cstheme="majorBidi"/>
                <w:i/>
                <w:iCs/>
              </w:rPr>
              <w:t>Ashby</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594/1992, </w:t>
            </w:r>
            <w:r w:rsidRPr="00295ECA">
              <w:rPr>
                <w:rFonts w:asciiTheme="majorBidi" w:hAnsiTheme="majorBidi" w:cstheme="majorBidi"/>
                <w:i/>
                <w:iCs/>
              </w:rPr>
              <w:t>Phillip</w:t>
            </w:r>
            <w:r w:rsidRPr="00295ECA">
              <w:rPr>
                <w:rFonts w:asciiTheme="majorBidi" w:hAnsiTheme="majorBidi" w:cstheme="majorBidi"/>
              </w:rPr>
              <w:br/>
              <w:t>A/54/40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672/1995, </w:t>
            </w:r>
            <w:r w:rsidRPr="00295ECA">
              <w:rPr>
                <w:rFonts w:asciiTheme="majorBidi" w:hAnsiTheme="majorBidi" w:cstheme="majorBidi"/>
                <w:i/>
                <w:iCs/>
              </w:rPr>
              <w:t>Smart</w:t>
            </w:r>
            <w:r w:rsidRPr="00295ECA">
              <w:rPr>
                <w:rFonts w:asciiTheme="majorBidi" w:hAnsiTheme="majorBidi" w:cstheme="majorBidi"/>
              </w:rPr>
              <w:br/>
              <w:t>A/53/40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677/1996, </w:t>
            </w:r>
            <w:r w:rsidRPr="00295ECA">
              <w:rPr>
                <w:rFonts w:asciiTheme="majorBidi" w:hAnsiTheme="majorBidi" w:cstheme="majorBidi"/>
                <w:i/>
                <w:iCs/>
              </w:rPr>
              <w:t>Teesdale</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683/1996, </w:t>
            </w:r>
            <w:r w:rsidRPr="00295ECA">
              <w:rPr>
                <w:rFonts w:asciiTheme="majorBidi" w:hAnsiTheme="majorBidi" w:cstheme="majorBidi"/>
                <w:i/>
                <w:iCs/>
              </w:rPr>
              <w:t>Wanza</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684/1996, </w:t>
            </w:r>
            <w:r w:rsidRPr="00295ECA">
              <w:rPr>
                <w:rFonts w:asciiTheme="majorBidi" w:hAnsiTheme="majorBidi" w:cstheme="majorBidi"/>
                <w:i/>
                <w:iCs/>
              </w:rPr>
              <w:t>Sahadath</w:t>
            </w:r>
            <w:r w:rsidRPr="00295ECA">
              <w:rPr>
                <w:rFonts w:asciiTheme="majorBidi" w:hAnsiTheme="majorBidi" w:cstheme="majorBidi"/>
              </w:rPr>
              <w:br/>
              <w:t>A/57/40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721/1996, </w:t>
            </w:r>
            <w:r w:rsidRPr="00295ECA">
              <w:rPr>
                <w:rFonts w:asciiTheme="majorBidi" w:hAnsiTheme="majorBidi" w:cstheme="majorBidi"/>
                <w:i/>
                <w:iCs/>
              </w:rPr>
              <w:t>Boodoo</w:t>
            </w:r>
            <w:r w:rsidRPr="00295ECA">
              <w:rPr>
                <w:rFonts w:asciiTheme="majorBidi" w:hAnsiTheme="majorBidi" w:cstheme="majorBidi"/>
              </w:rPr>
              <w:br/>
              <w:t>A/57/40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752/1997, </w:t>
            </w:r>
            <w:r w:rsidRPr="00295ECA">
              <w:rPr>
                <w:rFonts w:asciiTheme="majorBidi" w:hAnsiTheme="majorBidi" w:cstheme="majorBidi"/>
                <w:i/>
                <w:iCs/>
              </w:rPr>
              <w:t>Henry</w:t>
            </w:r>
            <w:r w:rsidRPr="00295ECA">
              <w:rPr>
                <w:rFonts w:asciiTheme="majorBidi" w:hAnsiTheme="majorBidi" w:cstheme="majorBidi"/>
              </w:rPr>
              <w:br/>
              <w:t>A/54/40</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818/1998, </w:t>
            </w:r>
            <w:r w:rsidRPr="00295ECA">
              <w:rPr>
                <w:rFonts w:asciiTheme="majorBidi" w:hAnsiTheme="majorBidi" w:cstheme="majorBidi"/>
                <w:i/>
                <w:iCs/>
              </w:rPr>
              <w:t>Sextus</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845/1998, </w:t>
            </w:r>
            <w:r w:rsidRPr="00295ECA">
              <w:rPr>
                <w:rFonts w:asciiTheme="majorBidi" w:hAnsiTheme="majorBidi" w:cstheme="majorBidi"/>
                <w:i/>
                <w:iCs/>
              </w:rPr>
              <w:t>Kennedy</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A/58/40 </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899/1999, </w:t>
            </w:r>
            <w:r w:rsidRPr="00295ECA">
              <w:rPr>
                <w:rFonts w:asciiTheme="majorBidi" w:hAnsiTheme="majorBidi" w:cstheme="majorBidi"/>
                <w:i/>
                <w:iCs/>
              </w:rPr>
              <w:t>Francis et al.</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908/2000, </w:t>
            </w:r>
            <w:r w:rsidRPr="00295ECA">
              <w:rPr>
                <w:rFonts w:asciiTheme="majorBidi" w:hAnsiTheme="majorBidi" w:cstheme="majorBidi"/>
                <w:i/>
                <w:iCs/>
              </w:rPr>
              <w:t>Evans</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928/2000, </w:t>
            </w:r>
            <w:r w:rsidRPr="00295ECA">
              <w:rPr>
                <w:rFonts w:asciiTheme="majorBidi" w:hAnsiTheme="majorBidi" w:cstheme="majorBidi"/>
                <w:i/>
                <w:iCs/>
              </w:rPr>
              <w:t>Sooklal</w:t>
            </w:r>
            <w:r w:rsidRPr="00295ECA">
              <w:rPr>
                <w:rFonts w:asciiTheme="majorBidi" w:hAnsiTheme="majorBidi" w:cstheme="majorBidi"/>
              </w:rPr>
              <w:br/>
              <w:t>A/57/40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938/2000, </w:t>
            </w:r>
            <w:r w:rsidRPr="00295ECA">
              <w:rPr>
                <w:rFonts w:asciiTheme="majorBidi" w:hAnsiTheme="majorBidi" w:cstheme="majorBidi"/>
                <w:i/>
                <w:iCs/>
              </w:rPr>
              <w:t>Siewpersaud et al.</w:t>
            </w:r>
            <w:r w:rsidRPr="00295ECA">
              <w:rPr>
                <w:rFonts w:asciiTheme="majorBidi" w:hAnsiTheme="majorBidi" w:cstheme="majorBidi"/>
              </w:rPr>
              <w:br/>
              <w:t>A/59/40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r w:rsidRPr="00295ECA">
              <w:rPr>
                <w:rFonts w:asciiTheme="majorBidi" w:hAnsiTheme="majorBidi" w:cstheme="majorBidi"/>
              </w:rPr>
              <w:br/>
              <w:t>A/53/40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Turkey (2)</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1853/2008 and 1854/2008, </w:t>
            </w:r>
            <w:r w:rsidRPr="00295ECA">
              <w:rPr>
                <w:rFonts w:asciiTheme="majorBidi" w:hAnsiTheme="majorBidi" w:cstheme="majorBidi"/>
                <w:i/>
                <w:iCs/>
              </w:rPr>
              <w:t>Atasoy and Sarkut</w:t>
            </w:r>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6B2037" w:rsidRPr="00295ECA" w:rsidDel="001F0473"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Turkmenistan (10)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1450/2006, </w:t>
            </w:r>
            <w:r w:rsidRPr="00295ECA">
              <w:rPr>
                <w:rFonts w:asciiTheme="majorBidi" w:hAnsiTheme="majorBidi" w:cstheme="majorBidi"/>
                <w:i/>
                <w:iCs/>
              </w:rPr>
              <w:t>Komarovsky</w:t>
            </w:r>
            <w:r w:rsidRPr="00295ECA">
              <w:rPr>
                <w:rFonts w:asciiTheme="majorBidi" w:hAnsiTheme="majorBidi" w:cstheme="majorBidi"/>
              </w:rPr>
              <w:br/>
              <w:t>A/63/40</w:t>
            </w:r>
          </w:p>
        </w:tc>
        <w:tc>
          <w:tcPr>
            <w:tcW w:w="1815" w:type="dxa"/>
            <w:shd w:val="clear" w:color="auto" w:fill="auto"/>
            <w:noWrap/>
          </w:tcPr>
          <w:p w:rsidR="006B2037" w:rsidRPr="00295ECA" w:rsidDel="001F0473"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1460/2006, </w:t>
            </w:r>
            <w:r w:rsidRPr="00295ECA">
              <w:rPr>
                <w:rFonts w:asciiTheme="majorBidi" w:hAnsiTheme="majorBidi" w:cstheme="majorBidi"/>
                <w:i/>
                <w:iCs/>
              </w:rPr>
              <w:t>Yklymova</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1530/2006, </w:t>
            </w:r>
            <w:r w:rsidRPr="00295ECA">
              <w:rPr>
                <w:rFonts w:asciiTheme="majorBidi" w:hAnsiTheme="majorBidi" w:cstheme="majorBidi"/>
                <w:i/>
                <w:iCs/>
              </w:rPr>
              <w:t>Bozbey</w:t>
            </w:r>
            <w:r w:rsidRPr="00295ECA">
              <w:rPr>
                <w:rFonts w:asciiTheme="majorBidi" w:hAnsiTheme="majorBidi" w:cstheme="majorBidi"/>
              </w:rPr>
              <w:br/>
              <w:t>A/66/40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1883/2009, </w:t>
            </w:r>
            <w:r w:rsidRPr="00295ECA">
              <w:rPr>
                <w:rFonts w:asciiTheme="majorBidi" w:hAnsiTheme="majorBidi" w:cstheme="majorBidi"/>
                <w:i/>
                <w:iCs/>
              </w:rPr>
              <w:t>Orazova</w:t>
            </w:r>
            <w:r w:rsidRPr="00295ECA">
              <w:rPr>
                <w:rFonts w:asciiTheme="majorBidi" w:hAnsiTheme="majorBidi" w:cstheme="majorBidi"/>
              </w:rPr>
              <w:br/>
              <w:t>A/67/40</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CCPR/C/112/D/2069/2011, </w:t>
            </w:r>
            <w:r w:rsidRPr="00295ECA">
              <w:rPr>
                <w:rFonts w:asciiTheme="majorBidi" w:hAnsiTheme="majorBidi" w:cstheme="majorBidi"/>
                <w:i/>
                <w:iCs/>
              </w:rPr>
              <w:t>Shikhmuradov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CCPR/C/113/D/2079/2011, </w:t>
            </w:r>
            <w:r w:rsidRPr="00295ECA">
              <w:rPr>
                <w:rFonts w:asciiTheme="majorBidi" w:hAnsiTheme="majorBidi" w:cstheme="majorBidi"/>
                <w:i/>
                <w:iCs/>
              </w:rPr>
              <w:t>Khadzhiev</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CCPR/C/113/D/2218/2012, </w:t>
            </w:r>
            <w:r w:rsidRPr="00295ECA">
              <w:rPr>
                <w:rFonts w:asciiTheme="majorBidi" w:hAnsiTheme="majorBidi" w:cstheme="majorBidi"/>
                <w:i/>
                <w:iCs/>
              </w:rPr>
              <w:t>Abdullayev</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CCPR/C/115/D/2221/2012, </w:t>
            </w:r>
            <w:r w:rsidRPr="00295ECA">
              <w:rPr>
                <w:rFonts w:asciiTheme="majorBidi" w:hAnsiTheme="majorBidi" w:cstheme="majorBidi"/>
                <w:i/>
                <w:iCs/>
              </w:rPr>
              <w:t>Hudaybergenov</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CCPR/C/115/D/2222/2012, </w:t>
            </w:r>
            <w:r w:rsidRPr="00295ECA">
              <w:rPr>
                <w:rFonts w:asciiTheme="majorBidi" w:hAnsiTheme="majorBidi" w:cstheme="majorBidi"/>
                <w:i/>
                <w:iCs/>
              </w:rPr>
              <w:t>Hudaybergenov</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CCPR/C/115/D/2223/2012, </w:t>
            </w:r>
            <w:r w:rsidRPr="00295ECA">
              <w:rPr>
                <w:rFonts w:asciiTheme="majorBidi" w:hAnsiTheme="majorBidi" w:cstheme="majorBidi"/>
                <w:i/>
                <w:iCs/>
              </w:rPr>
              <w:t>Japparow</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Ukraine (5)</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781/1997, </w:t>
            </w:r>
            <w:r w:rsidRPr="00295ECA">
              <w:rPr>
                <w:rFonts w:asciiTheme="majorBidi" w:hAnsiTheme="majorBidi" w:cstheme="majorBidi"/>
                <w:i/>
                <w:iCs/>
              </w:rPr>
              <w:t>Aliev</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1405/2005, </w:t>
            </w:r>
            <w:r w:rsidRPr="00295ECA">
              <w:rPr>
                <w:rFonts w:asciiTheme="majorBidi" w:hAnsiTheme="majorBidi" w:cstheme="majorBidi"/>
                <w:i/>
                <w:iCs/>
              </w:rPr>
              <w:t>Pustovoit</w:t>
            </w:r>
            <w:r w:rsidRPr="00295ECA">
              <w:rPr>
                <w:rFonts w:asciiTheme="majorBidi" w:hAnsiTheme="majorBidi" w:cstheme="majorBidi"/>
              </w:rPr>
              <w:br/>
              <w:t>A/69/40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1412/2005, </w:t>
            </w:r>
            <w:r w:rsidRPr="00295ECA">
              <w:rPr>
                <w:rFonts w:asciiTheme="majorBidi" w:hAnsiTheme="majorBidi" w:cstheme="majorBidi"/>
                <w:i/>
                <w:iCs/>
              </w:rPr>
              <w:t>Butovenko</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1535/2006, </w:t>
            </w:r>
            <w:r w:rsidRPr="00295ECA">
              <w:rPr>
                <w:rFonts w:asciiTheme="majorBidi" w:hAnsiTheme="majorBidi" w:cstheme="majorBidi"/>
                <w:i/>
                <w:iCs/>
              </w:rPr>
              <w:t>Shchetka</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1803/2008, </w:t>
            </w:r>
            <w:r w:rsidRPr="00295ECA">
              <w:rPr>
                <w:rFonts w:asciiTheme="majorBidi" w:hAnsiTheme="majorBidi" w:cstheme="majorBidi"/>
                <w:i/>
                <w:iCs/>
              </w:rPr>
              <w:t>Bulgakov</w:t>
            </w:r>
            <w:r w:rsidRPr="00295ECA">
              <w:rPr>
                <w:rFonts w:asciiTheme="majorBidi" w:hAnsiTheme="majorBidi" w:cstheme="majorBidi"/>
              </w:rPr>
              <w:br/>
              <w:t>A/68/40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Uruguay (39) </w:t>
            </w: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 [5/1977, </w:t>
            </w:r>
            <w:r w:rsidRPr="00295ECA">
              <w:rPr>
                <w:rFonts w:asciiTheme="majorBidi" w:hAnsiTheme="majorBidi" w:cstheme="majorBidi"/>
                <w:i/>
                <w:iCs/>
              </w:rPr>
              <w:t>Massera</w:t>
            </w:r>
            <w:r w:rsidRPr="00295ECA">
              <w:rPr>
                <w:rFonts w:asciiTheme="majorBidi" w:hAnsiTheme="majorBidi" w:cstheme="majorBidi"/>
              </w:rPr>
              <w:br/>
              <w:t>Seventh session</w:t>
            </w:r>
            <w:r w:rsidRPr="00295ECA">
              <w:rPr>
                <w:rFonts w:asciiTheme="majorBidi" w:hAnsiTheme="majorBidi" w:cstheme="majorBidi"/>
              </w:rPr>
              <w:br/>
              <w:t xml:space="preserve">43/1979, </w:t>
            </w:r>
            <w:r w:rsidRPr="00295ECA">
              <w:rPr>
                <w:rFonts w:asciiTheme="majorBidi" w:hAnsiTheme="majorBidi" w:cstheme="majorBidi"/>
                <w:i/>
                <w:iCs/>
              </w:rPr>
              <w:t>Caldas</w:t>
            </w:r>
            <w:r w:rsidRPr="00295ECA">
              <w:rPr>
                <w:rFonts w:asciiTheme="majorBidi" w:hAnsiTheme="majorBidi" w:cstheme="majorBidi"/>
              </w:rPr>
              <w:br/>
              <w:t>Nineteenth session</w:t>
            </w:r>
            <w:r w:rsidRPr="00295ECA">
              <w:rPr>
                <w:rFonts w:asciiTheme="majorBidi" w:hAnsiTheme="majorBidi" w:cstheme="majorBidi"/>
              </w:rPr>
              <w:br/>
              <w:t xml:space="preserve">63/1979, </w:t>
            </w:r>
            <w:r w:rsidRPr="00295ECA">
              <w:rPr>
                <w:rFonts w:asciiTheme="majorBidi" w:hAnsiTheme="majorBidi" w:cstheme="majorBidi"/>
                <w:i/>
                <w:iCs/>
              </w:rPr>
              <w:t>Antonaccio</w:t>
            </w:r>
            <w:r w:rsidRPr="00295ECA">
              <w:rPr>
                <w:rFonts w:asciiTheme="majorBidi" w:hAnsiTheme="majorBidi" w:cstheme="majorBidi"/>
              </w:rPr>
              <w:br/>
              <w:t>Fourteenth session</w:t>
            </w:r>
            <w:r w:rsidRPr="00295ECA">
              <w:rPr>
                <w:rFonts w:asciiTheme="majorBidi" w:hAnsiTheme="majorBidi" w:cstheme="majorBidi"/>
              </w:rPr>
              <w:br/>
              <w:t xml:space="preserve">73/1980, </w:t>
            </w:r>
            <w:r w:rsidRPr="00295ECA">
              <w:rPr>
                <w:rFonts w:asciiTheme="majorBidi" w:hAnsiTheme="majorBidi" w:cstheme="majorBidi"/>
                <w:i/>
                <w:iCs/>
              </w:rPr>
              <w:t>Izquierdo</w:t>
            </w:r>
            <w:r w:rsidRPr="00295ECA">
              <w:rPr>
                <w:rFonts w:asciiTheme="majorBidi" w:hAnsiTheme="majorBidi" w:cstheme="majorBidi"/>
              </w:rPr>
              <w:br/>
              <w:t>Fifteenth session</w:t>
            </w:r>
            <w:r w:rsidRPr="00295ECA">
              <w:rPr>
                <w:rFonts w:asciiTheme="majorBidi" w:hAnsiTheme="majorBidi" w:cstheme="majorBidi"/>
              </w:rPr>
              <w:br/>
              <w:t xml:space="preserve">80/1980, </w:t>
            </w:r>
            <w:r w:rsidRPr="00295ECA">
              <w:rPr>
                <w:rFonts w:asciiTheme="majorBidi" w:hAnsiTheme="majorBidi" w:cstheme="majorBidi"/>
                <w:i/>
                <w:iCs/>
              </w:rPr>
              <w:t>Vasiliskis</w:t>
            </w:r>
            <w:r w:rsidRPr="00295ECA">
              <w:rPr>
                <w:rFonts w:asciiTheme="majorBidi" w:hAnsiTheme="majorBidi" w:cstheme="majorBidi"/>
              </w:rPr>
              <w:br/>
              <w:t>Eighteenth session</w:t>
            </w:r>
            <w:r w:rsidRPr="00295ECA">
              <w:rPr>
                <w:rFonts w:asciiTheme="majorBidi" w:hAnsiTheme="majorBidi" w:cstheme="majorBidi"/>
              </w:rPr>
              <w:br/>
              <w:t xml:space="preserve">83/1981, </w:t>
            </w:r>
            <w:r w:rsidRPr="00295ECA">
              <w:rPr>
                <w:rFonts w:asciiTheme="majorBidi" w:hAnsiTheme="majorBidi" w:cstheme="majorBidi"/>
                <w:i/>
                <w:iCs/>
              </w:rPr>
              <w:t>Machado</w:t>
            </w:r>
            <w:r w:rsidRPr="00295ECA">
              <w:rPr>
                <w:rFonts w:asciiTheme="majorBidi" w:hAnsiTheme="majorBidi" w:cstheme="majorBidi"/>
              </w:rPr>
              <w:br/>
              <w:t>Twentieth session</w:t>
            </w:r>
            <w:r w:rsidRPr="00295ECA">
              <w:rPr>
                <w:rFonts w:asciiTheme="majorBidi" w:hAnsiTheme="majorBidi" w:cstheme="majorBidi"/>
              </w:rPr>
              <w:br/>
              <w:t xml:space="preserve">84/1981, </w:t>
            </w:r>
            <w:r w:rsidRPr="00295ECA">
              <w:rPr>
                <w:rFonts w:asciiTheme="majorBidi" w:hAnsiTheme="majorBidi" w:cstheme="majorBidi"/>
                <w:i/>
                <w:iCs/>
              </w:rPr>
              <w:t>Dermit</w:t>
            </w:r>
            <w:r w:rsidRPr="00295ECA">
              <w:rPr>
                <w:rFonts w:asciiTheme="majorBidi" w:hAnsiTheme="majorBidi" w:cstheme="majorBidi"/>
              </w:rPr>
              <w:t xml:space="preserve"> </w:t>
            </w:r>
            <w:r w:rsidRPr="00295ECA">
              <w:rPr>
                <w:rFonts w:asciiTheme="majorBidi" w:hAnsiTheme="majorBidi" w:cstheme="majorBidi"/>
                <w:i/>
                <w:iCs/>
              </w:rPr>
              <w:t>Barbato</w:t>
            </w:r>
            <w:r w:rsidRPr="00295ECA">
              <w:rPr>
                <w:rFonts w:asciiTheme="majorBidi" w:hAnsiTheme="majorBidi" w:cstheme="majorBidi"/>
              </w:rPr>
              <w:br/>
              <w:t>Seventeenth session</w:t>
            </w:r>
            <w:r w:rsidRPr="00295ECA">
              <w:rPr>
                <w:rFonts w:asciiTheme="majorBidi" w:hAnsiTheme="majorBidi" w:cstheme="majorBidi"/>
              </w:rPr>
              <w:br/>
              <w:t xml:space="preserve">85/1981, </w:t>
            </w:r>
            <w:r w:rsidRPr="00295ECA">
              <w:rPr>
                <w:rFonts w:asciiTheme="majorBidi" w:hAnsiTheme="majorBidi" w:cstheme="majorBidi"/>
                <w:i/>
                <w:iCs/>
              </w:rPr>
              <w:t>Romero</w:t>
            </w:r>
            <w:r w:rsidRPr="00295ECA">
              <w:rPr>
                <w:rFonts w:asciiTheme="majorBidi" w:hAnsiTheme="majorBidi" w:cstheme="majorBidi"/>
              </w:rPr>
              <w:br/>
              <w:t>Twenty-first session</w:t>
            </w:r>
            <w:r w:rsidRPr="00295ECA">
              <w:rPr>
                <w:rFonts w:asciiTheme="majorBidi" w:hAnsiTheme="majorBidi" w:cstheme="majorBidi"/>
              </w:rPr>
              <w:br/>
              <w:t xml:space="preserve">88/1981, </w:t>
            </w:r>
            <w:r w:rsidRPr="00295ECA">
              <w:rPr>
                <w:rFonts w:asciiTheme="majorBidi" w:hAnsiTheme="majorBidi" w:cstheme="majorBidi"/>
                <w:i/>
                <w:iCs/>
              </w:rPr>
              <w:t>Bequio</w:t>
            </w:r>
            <w:r w:rsidRPr="00295ECA">
              <w:rPr>
                <w:rFonts w:asciiTheme="majorBidi" w:hAnsiTheme="majorBidi" w:cstheme="majorBidi"/>
              </w:rPr>
              <w:br/>
              <w:t>Eighteenth session</w:t>
            </w:r>
            <w:r w:rsidRPr="00295ECA">
              <w:rPr>
                <w:rFonts w:asciiTheme="majorBidi" w:hAnsiTheme="majorBidi" w:cstheme="majorBidi"/>
              </w:rPr>
              <w:br/>
              <w:t xml:space="preserve">92/1981, </w:t>
            </w:r>
            <w:r w:rsidRPr="00295ECA">
              <w:rPr>
                <w:rFonts w:asciiTheme="majorBidi" w:hAnsiTheme="majorBidi" w:cstheme="majorBidi"/>
                <w:i/>
                <w:iCs/>
              </w:rPr>
              <w:t>Nieto</w:t>
            </w:r>
            <w:r w:rsidRPr="00295ECA">
              <w:rPr>
                <w:rFonts w:asciiTheme="majorBidi" w:hAnsiTheme="majorBidi" w:cstheme="majorBidi"/>
              </w:rPr>
              <w:br/>
              <w:t>Nineteenth session</w:t>
            </w:r>
            <w:r w:rsidRPr="00295ECA">
              <w:rPr>
                <w:rFonts w:asciiTheme="majorBidi" w:hAnsiTheme="majorBidi" w:cstheme="majorBidi"/>
              </w:rPr>
              <w:br/>
              <w:t xml:space="preserve">103/1981, </w:t>
            </w:r>
            <w:r w:rsidRPr="00295ECA">
              <w:rPr>
                <w:rFonts w:asciiTheme="majorBidi" w:hAnsiTheme="majorBidi" w:cstheme="majorBidi"/>
                <w:i/>
                <w:iCs/>
              </w:rPr>
              <w:t>Scarone</w:t>
            </w:r>
            <w:r w:rsidRPr="00295ECA">
              <w:rPr>
                <w:rFonts w:asciiTheme="majorBidi" w:hAnsiTheme="majorBidi" w:cstheme="majorBidi"/>
              </w:rPr>
              <w:br/>
            </w:r>
            <w:r w:rsidRPr="00295ECA">
              <w:rPr>
                <w:rFonts w:asciiTheme="majorBidi" w:hAnsiTheme="majorBidi" w:cstheme="majorBidi"/>
              </w:rPr>
              <w:lastRenderedPageBreak/>
              <w:t>Twentieth session</w:t>
            </w:r>
            <w:r w:rsidRPr="00295ECA">
              <w:rPr>
                <w:rFonts w:asciiTheme="majorBidi" w:hAnsiTheme="majorBidi" w:cstheme="majorBidi"/>
              </w:rPr>
              <w:br/>
              <w:t xml:space="preserve">105/1981, </w:t>
            </w:r>
            <w:r w:rsidRPr="00295ECA">
              <w:rPr>
                <w:rFonts w:asciiTheme="majorBidi" w:hAnsiTheme="majorBidi" w:cstheme="majorBidi"/>
                <w:i/>
                <w:iCs/>
              </w:rPr>
              <w:t>Cabreira</w:t>
            </w:r>
            <w:r w:rsidRPr="00295ECA">
              <w:rPr>
                <w:rFonts w:asciiTheme="majorBidi" w:hAnsiTheme="majorBidi" w:cstheme="majorBidi"/>
              </w:rPr>
              <w:br/>
              <w:t>Nineteenth session</w:t>
            </w:r>
            <w:r w:rsidRPr="00295ECA">
              <w:rPr>
                <w:rFonts w:asciiTheme="majorBidi" w:hAnsiTheme="majorBidi" w:cstheme="majorBidi"/>
              </w:rPr>
              <w:br/>
              <w:t xml:space="preserve">109/1981, </w:t>
            </w:r>
            <w:r w:rsidRPr="00295ECA">
              <w:rPr>
                <w:rFonts w:asciiTheme="majorBidi" w:hAnsiTheme="majorBidi" w:cstheme="majorBidi"/>
                <w:i/>
                <w:iCs/>
              </w:rPr>
              <w:t>Voituret</w:t>
            </w:r>
            <w:r w:rsidRPr="00295ECA">
              <w:rPr>
                <w:rFonts w:asciiTheme="majorBidi" w:hAnsiTheme="majorBidi" w:cstheme="majorBidi"/>
              </w:rPr>
              <w:br/>
              <w:t>Twenty-first session</w:t>
            </w:r>
            <w:r w:rsidRPr="00295ECA">
              <w:rPr>
                <w:rFonts w:asciiTheme="majorBidi" w:hAnsiTheme="majorBidi" w:cstheme="majorBidi"/>
              </w:rPr>
              <w:br/>
              <w:t xml:space="preserve">123/1982, </w:t>
            </w:r>
            <w:r w:rsidRPr="00295ECA">
              <w:rPr>
                <w:rFonts w:asciiTheme="majorBidi" w:hAnsiTheme="majorBidi" w:cstheme="majorBidi"/>
                <w:i/>
                <w:iCs/>
              </w:rPr>
              <w:t>Lluberas</w:t>
            </w:r>
            <w:r w:rsidRPr="00295ECA">
              <w:rPr>
                <w:rFonts w:asciiTheme="majorBidi" w:hAnsiTheme="majorBidi" w:cstheme="majorBidi"/>
              </w:rPr>
              <w:br/>
              <w:t>Twenty-first session]</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t>43 follow-up replies</w:t>
            </w:r>
            <w:r w:rsidRPr="00295ECA">
              <w:rPr>
                <w:rFonts w:asciiTheme="majorBidi" w:hAnsiTheme="majorBidi" w:cstheme="majorBidi"/>
              </w:rPr>
              <w:br/>
              <w:t xml:space="preserve">received </w:t>
            </w:r>
            <w:r w:rsidRPr="00295ECA">
              <w:rPr>
                <w:rFonts w:asciiTheme="majorBidi" w:hAnsiTheme="majorBidi" w:cstheme="majorBidi"/>
              </w:rPr>
              <w:br/>
              <w:t>A/59/40</w:t>
            </w:r>
            <w:r w:rsidRPr="00295ECA">
              <w:rPr>
                <w:rFonts w:asciiTheme="majorBidi" w:hAnsiTheme="majorBidi" w:cstheme="majorBidi"/>
                <w:i/>
                <w:iCs/>
                <w:sz w:val="18"/>
                <w:vertAlign w:val="superscript"/>
              </w:rPr>
              <w:t>i</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B70E5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B. [103/1981, </w:t>
            </w:r>
            <w:r w:rsidRPr="00B70E5A">
              <w:rPr>
                <w:rFonts w:asciiTheme="majorBidi" w:hAnsiTheme="majorBidi" w:cstheme="majorBidi"/>
                <w:i/>
                <w:iCs/>
              </w:rPr>
              <w:t>Scarone</w:t>
            </w:r>
            <w:r w:rsidRPr="00B70E5A">
              <w:rPr>
                <w:rFonts w:asciiTheme="majorBidi" w:hAnsiTheme="majorBidi" w:cstheme="majorBidi"/>
              </w:rPr>
              <w:br/>
              <w:t xml:space="preserve">73/1980, </w:t>
            </w:r>
            <w:r w:rsidRPr="00B70E5A">
              <w:rPr>
                <w:rFonts w:asciiTheme="majorBidi" w:hAnsiTheme="majorBidi" w:cstheme="majorBidi"/>
                <w:i/>
                <w:iCs/>
              </w:rPr>
              <w:t>Izquierdo</w:t>
            </w:r>
            <w:r w:rsidRPr="00B70E5A">
              <w:rPr>
                <w:rFonts w:asciiTheme="majorBidi" w:hAnsiTheme="majorBidi" w:cstheme="majorBidi"/>
              </w:rPr>
              <w:br/>
              <w:t xml:space="preserve">92/1981, </w:t>
            </w:r>
            <w:r w:rsidRPr="00B70E5A">
              <w:rPr>
                <w:rFonts w:asciiTheme="majorBidi" w:hAnsiTheme="majorBidi" w:cstheme="majorBidi"/>
                <w:i/>
                <w:iCs/>
              </w:rPr>
              <w:t>Nieto</w:t>
            </w:r>
            <w:r w:rsidRPr="00B70E5A">
              <w:rPr>
                <w:rFonts w:asciiTheme="majorBidi" w:hAnsiTheme="majorBidi" w:cstheme="majorBidi"/>
              </w:rPr>
              <w:br/>
              <w:t xml:space="preserve">85/1981, </w:t>
            </w:r>
            <w:r w:rsidRPr="00B70E5A">
              <w:rPr>
                <w:rFonts w:asciiTheme="majorBidi" w:hAnsiTheme="majorBidi" w:cstheme="majorBidi"/>
                <w:i/>
                <w:iCs/>
              </w:rPr>
              <w:t>Romero</w:t>
            </w:r>
            <w:r w:rsidRPr="00B70E5A">
              <w:rPr>
                <w:rFonts w:asciiTheme="majorBidi" w:hAnsiTheme="majorBidi" w:cstheme="majorBidi"/>
              </w:rPr>
              <w:t>]</w:t>
            </w:r>
          </w:p>
        </w:tc>
        <w:tc>
          <w:tcPr>
            <w:tcW w:w="1815"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r>
      <w:tr w:rsidR="006B2037" w:rsidRPr="00295ECA" w:rsidTr="001532E8">
        <w:trPr>
          <w:gridAfter w:val="1"/>
          <w:wAfter w:w="786" w:type="dxa"/>
        </w:trPr>
        <w:tc>
          <w:tcPr>
            <w:tcW w:w="1686" w:type="dxa"/>
            <w:tcBorders>
              <w:top w:val="nil"/>
              <w:bottom w:val="nil"/>
            </w:tcBorders>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 [63/1979, </w:t>
            </w:r>
            <w:r w:rsidRPr="00295ECA">
              <w:rPr>
                <w:rFonts w:asciiTheme="majorBidi" w:hAnsiTheme="majorBidi" w:cstheme="majorBidi"/>
                <w:i/>
                <w:iCs/>
              </w:rPr>
              <w:t>Antonaccio</w:t>
            </w:r>
            <w:r w:rsidRPr="00295ECA">
              <w:rPr>
                <w:rFonts w:asciiTheme="majorBidi" w:hAnsiTheme="majorBidi" w:cstheme="majorBidi"/>
              </w:rPr>
              <w:br/>
              <w:t xml:space="preserve">80/1980, </w:t>
            </w:r>
            <w:r w:rsidRPr="00295ECA">
              <w:rPr>
                <w:rFonts w:asciiTheme="majorBidi" w:hAnsiTheme="majorBidi" w:cstheme="majorBidi"/>
                <w:i/>
                <w:iCs/>
              </w:rPr>
              <w:t>Vasiliskis</w:t>
            </w:r>
            <w:r w:rsidRPr="00295ECA">
              <w:rPr>
                <w:rFonts w:asciiTheme="majorBidi" w:hAnsiTheme="majorBidi" w:cstheme="majorBidi"/>
              </w:rPr>
              <w:br/>
              <w:t xml:space="preserve">123/1982, </w:t>
            </w:r>
            <w:r w:rsidRPr="00295ECA">
              <w:rPr>
                <w:rFonts w:asciiTheme="majorBidi" w:hAnsiTheme="majorBidi" w:cstheme="majorBidi"/>
                <w:i/>
                <w:iCs/>
              </w:rPr>
              <w:t>Lluberas</w:t>
            </w:r>
            <w:r w:rsidRPr="00295ECA">
              <w:rPr>
                <w:rFonts w:asciiTheme="majorBidi" w:hAnsiTheme="majorBidi" w:cstheme="majorBidi"/>
              </w:rPr>
              <w:t>]</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D. [4/1977, </w:t>
            </w:r>
            <w:r w:rsidRPr="00295ECA">
              <w:rPr>
                <w:rFonts w:asciiTheme="majorBidi" w:hAnsiTheme="majorBidi" w:cstheme="majorBidi"/>
                <w:i/>
                <w:iCs/>
              </w:rPr>
              <w:t>Ramirez</w:t>
            </w:r>
            <w:r w:rsidRPr="00295ECA">
              <w:rPr>
                <w:rFonts w:asciiTheme="majorBidi" w:hAnsiTheme="majorBidi" w:cstheme="majorBidi"/>
              </w:rPr>
              <w:br/>
              <w:t>Fourth session</w:t>
            </w:r>
            <w:r w:rsidRPr="00295ECA">
              <w:rPr>
                <w:rFonts w:asciiTheme="majorBidi" w:hAnsiTheme="majorBidi" w:cstheme="majorBidi"/>
              </w:rPr>
              <w:br/>
              <w:t xml:space="preserve">6/1977, </w:t>
            </w:r>
            <w:r w:rsidRPr="00295ECA">
              <w:rPr>
                <w:rFonts w:asciiTheme="majorBidi" w:hAnsiTheme="majorBidi" w:cstheme="majorBidi"/>
                <w:i/>
                <w:iCs/>
              </w:rPr>
              <w:t>Sequeiro</w:t>
            </w:r>
            <w:r w:rsidRPr="00295ECA">
              <w:rPr>
                <w:rFonts w:asciiTheme="majorBidi" w:hAnsiTheme="majorBidi" w:cstheme="majorBidi"/>
              </w:rPr>
              <w:br/>
              <w:t>Sixth session</w:t>
            </w:r>
            <w:r w:rsidRPr="00295ECA">
              <w:rPr>
                <w:rFonts w:asciiTheme="majorBidi" w:hAnsiTheme="majorBidi" w:cstheme="majorBidi"/>
              </w:rPr>
              <w:br/>
              <w:t xml:space="preserve">25/1978, </w:t>
            </w:r>
            <w:r w:rsidRPr="00295ECA">
              <w:rPr>
                <w:rFonts w:asciiTheme="majorBidi" w:hAnsiTheme="majorBidi" w:cstheme="majorBidi"/>
                <w:i/>
                <w:iCs/>
              </w:rPr>
              <w:t>Massiotti</w:t>
            </w:r>
            <w:r w:rsidRPr="00295ECA">
              <w:rPr>
                <w:rFonts w:asciiTheme="majorBidi" w:hAnsiTheme="majorBidi" w:cstheme="majorBidi"/>
              </w:rPr>
              <w:br/>
              <w:t>Sixteenth session</w:t>
            </w:r>
            <w:r w:rsidRPr="00295ECA">
              <w:rPr>
                <w:rFonts w:asciiTheme="majorBidi" w:hAnsiTheme="majorBidi" w:cstheme="majorBidi"/>
              </w:rPr>
              <w:br/>
              <w:t xml:space="preserve">28/1978, </w:t>
            </w:r>
            <w:r w:rsidRPr="00295ECA">
              <w:rPr>
                <w:rFonts w:asciiTheme="majorBidi" w:hAnsiTheme="majorBidi" w:cstheme="majorBidi"/>
                <w:i/>
                <w:iCs/>
              </w:rPr>
              <w:t>Weisz</w:t>
            </w:r>
            <w:r w:rsidRPr="00295ECA">
              <w:rPr>
                <w:rFonts w:asciiTheme="majorBidi" w:hAnsiTheme="majorBidi" w:cstheme="majorBidi"/>
              </w:rPr>
              <w:t xml:space="preserve"> </w:t>
            </w:r>
            <w:r w:rsidRPr="00295ECA">
              <w:rPr>
                <w:rFonts w:asciiTheme="majorBidi" w:hAnsiTheme="majorBidi" w:cstheme="majorBidi"/>
              </w:rPr>
              <w:br/>
              <w:t>Eleventh session</w:t>
            </w:r>
            <w:r w:rsidRPr="00295ECA">
              <w:rPr>
                <w:rFonts w:asciiTheme="majorBidi" w:hAnsiTheme="majorBidi" w:cstheme="majorBidi"/>
              </w:rPr>
              <w:br/>
              <w:t xml:space="preserve">32/1978, </w:t>
            </w:r>
            <w:r w:rsidRPr="00295ECA">
              <w:rPr>
                <w:rFonts w:asciiTheme="majorBidi" w:hAnsiTheme="majorBidi" w:cstheme="majorBidi"/>
                <w:i/>
                <w:iCs/>
              </w:rPr>
              <w:t>Touron</w:t>
            </w:r>
            <w:r w:rsidRPr="00295ECA">
              <w:rPr>
                <w:rFonts w:asciiTheme="majorBidi" w:hAnsiTheme="majorBidi" w:cstheme="majorBidi"/>
              </w:rPr>
              <w:br/>
              <w:t xml:space="preserve">Twelfth session </w:t>
            </w:r>
            <w:r w:rsidRPr="00295ECA">
              <w:rPr>
                <w:rFonts w:asciiTheme="majorBidi" w:hAnsiTheme="majorBidi" w:cstheme="majorBidi"/>
              </w:rPr>
              <w:br/>
              <w:t xml:space="preserve">33/1978, </w:t>
            </w:r>
            <w:r w:rsidRPr="00295ECA">
              <w:rPr>
                <w:rFonts w:asciiTheme="majorBidi" w:hAnsiTheme="majorBidi" w:cstheme="majorBidi"/>
                <w:i/>
                <w:iCs/>
              </w:rPr>
              <w:t>Carballal</w:t>
            </w:r>
            <w:r w:rsidRPr="00295ECA">
              <w:rPr>
                <w:rFonts w:asciiTheme="majorBidi" w:hAnsiTheme="majorBidi" w:cstheme="majorBidi"/>
              </w:rPr>
              <w:br/>
              <w:t>Twelfth session</w:t>
            </w:r>
            <w:r w:rsidRPr="00295ECA">
              <w:rPr>
                <w:rFonts w:asciiTheme="majorBidi" w:hAnsiTheme="majorBidi" w:cstheme="majorBidi"/>
              </w:rPr>
              <w:br/>
              <w:t xml:space="preserve">37/1978, </w:t>
            </w:r>
            <w:r w:rsidRPr="00295ECA">
              <w:rPr>
                <w:rFonts w:asciiTheme="majorBidi" w:hAnsiTheme="majorBidi" w:cstheme="majorBidi"/>
                <w:i/>
                <w:iCs/>
              </w:rPr>
              <w:t>De Boston</w:t>
            </w:r>
            <w:r w:rsidRPr="00295ECA">
              <w:rPr>
                <w:rFonts w:asciiTheme="majorBidi" w:hAnsiTheme="majorBidi" w:cstheme="majorBidi"/>
              </w:rPr>
              <w:br/>
              <w:t>Twelfth session</w:t>
            </w:r>
            <w:r w:rsidRPr="00295ECA">
              <w:rPr>
                <w:rFonts w:asciiTheme="majorBidi" w:hAnsiTheme="majorBidi" w:cstheme="majorBidi"/>
              </w:rPr>
              <w:br/>
              <w:t xml:space="preserve">44/1979, </w:t>
            </w:r>
            <w:r w:rsidRPr="00295ECA">
              <w:rPr>
                <w:rFonts w:asciiTheme="majorBidi" w:hAnsiTheme="majorBidi" w:cstheme="majorBidi"/>
                <w:i/>
                <w:iCs/>
              </w:rPr>
              <w:t>Pietraroia</w:t>
            </w:r>
            <w:r w:rsidRPr="00295ECA">
              <w:rPr>
                <w:rFonts w:asciiTheme="majorBidi" w:hAnsiTheme="majorBidi" w:cstheme="majorBidi"/>
              </w:rPr>
              <w:t xml:space="preserve"> </w:t>
            </w:r>
            <w:r w:rsidRPr="00295ECA">
              <w:rPr>
                <w:rFonts w:asciiTheme="majorBidi" w:hAnsiTheme="majorBidi" w:cstheme="majorBidi"/>
              </w:rPr>
              <w:br/>
              <w:t>Twelfth session</w:t>
            </w:r>
            <w:r w:rsidRPr="00295ECA">
              <w:rPr>
                <w:rFonts w:asciiTheme="majorBidi" w:hAnsiTheme="majorBidi" w:cstheme="majorBidi"/>
              </w:rPr>
              <w:br/>
              <w:t xml:space="preserve">52/1979, </w:t>
            </w:r>
            <w:r w:rsidRPr="00295ECA">
              <w:rPr>
                <w:rFonts w:asciiTheme="majorBidi" w:hAnsiTheme="majorBidi" w:cstheme="majorBidi"/>
                <w:i/>
                <w:iCs/>
              </w:rPr>
              <w:t>Lopez</w:t>
            </w:r>
            <w:r w:rsidRPr="00295ECA">
              <w:rPr>
                <w:rFonts w:asciiTheme="majorBidi" w:hAnsiTheme="majorBidi" w:cstheme="majorBidi"/>
              </w:rPr>
              <w:t xml:space="preserve"> </w:t>
            </w:r>
            <w:r w:rsidRPr="00295ECA">
              <w:rPr>
                <w:rFonts w:asciiTheme="majorBidi" w:hAnsiTheme="majorBidi" w:cstheme="majorBidi"/>
                <w:i/>
                <w:iCs/>
              </w:rPr>
              <w:t>Burgos</w:t>
            </w:r>
            <w:r w:rsidRPr="00295ECA">
              <w:rPr>
                <w:rFonts w:asciiTheme="majorBidi" w:hAnsiTheme="majorBidi" w:cstheme="majorBidi"/>
              </w:rPr>
              <w:br/>
              <w:t>Thirteenth session</w:t>
            </w:r>
            <w:r w:rsidRPr="00295ECA">
              <w:rPr>
                <w:rFonts w:asciiTheme="majorBidi" w:hAnsiTheme="majorBidi" w:cstheme="majorBidi"/>
              </w:rPr>
              <w:br/>
              <w:t xml:space="preserve">56/1979, </w:t>
            </w:r>
            <w:r w:rsidRPr="00295ECA">
              <w:rPr>
                <w:rFonts w:asciiTheme="majorBidi" w:hAnsiTheme="majorBidi" w:cstheme="majorBidi"/>
                <w:i/>
                <w:iCs/>
              </w:rPr>
              <w:t>Celiberti</w:t>
            </w:r>
            <w:r w:rsidRPr="00295ECA">
              <w:rPr>
                <w:rFonts w:asciiTheme="majorBidi" w:hAnsiTheme="majorBidi" w:cstheme="majorBidi"/>
              </w:rPr>
              <w:br/>
              <w:t>Thirteenth session</w:t>
            </w:r>
            <w:r w:rsidRPr="00295ECA">
              <w:rPr>
                <w:rFonts w:asciiTheme="majorBidi" w:hAnsiTheme="majorBidi" w:cstheme="majorBidi"/>
              </w:rPr>
              <w:br/>
              <w:t xml:space="preserve">66/1980, </w:t>
            </w:r>
            <w:r w:rsidRPr="00295ECA">
              <w:rPr>
                <w:rFonts w:asciiTheme="majorBidi" w:hAnsiTheme="majorBidi" w:cstheme="majorBidi"/>
                <w:i/>
                <w:iCs/>
              </w:rPr>
              <w:t>Schweizer</w:t>
            </w:r>
            <w:r w:rsidRPr="00295ECA">
              <w:rPr>
                <w:rFonts w:asciiTheme="majorBidi" w:hAnsiTheme="majorBidi" w:cstheme="majorBidi"/>
              </w:rPr>
              <w:br/>
              <w:t>Seventeenth session</w:t>
            </w:r>
            <w:r w:rsidRPr="00295ECA">
              <w:rPr>
                <w:rFonts w:asciiTheme="majorBidi" w:hAnsiTheme="majorBidi" w:cstheme="majorBidi"/>
              </w:rPr>
              <w:br/>
              <w:t xml:space="preserve">70/1980, </w:t>
            </w:r>
            <w:r w:rsidRPr="00295ECA">
              <w:rPr>
                <w:rFonts w:asciiTheme="majorBidi" w:hAnsiTheme="majorBidi" w:cstheme="majorBidi"/>
                <w:i/>
                <w:iCs/>
              </w:rPr>
              <w:t>Simones</w:t>
            </w:r>
            <w:r w:rsidRPr="00295ECA">
              <w:rPr>
                <w:rFonts w:asciiTheme="majorBidi" w:hAnsiTheme="majorBidi" w:cstheme="majorBidi"/>
              </w:rPr>
              <w:br/>
            </w:r>
            <w:r w:rsidRPr="00295ECA">
              <w:rPr>
                <w:rFonts w:asciiTheme="majorBidi" w:hAnsiTheme="majorBidi" w:cstheme="majorBidi"/>
              </w:rPr>
              <w:lastRenderedPageBreak/>
              <w:t>Fifteenth session</w:t>
            </w:r>
            <w:r w:rsidRPr="00295ECA">
              <w:rPr>
                <w:rFonts w:asciiTheme="majorBidi" w:hAnsiTheme="majorBidi" w:cstheme="majorBidi"/>
              </w:rPr>
              <w:br/>
              <w:t xml:space="preserve">74/1980, </w:t>
            </w:r>
            <w:r w:rsidRPr="00295ECA">
              <w:rPr>
                <w:rFonts w:asciiTheme="majorBidi" w:hAnsiTheme="majorBidi" w:cstheme="majorBidi"/>
                <w:i/>
                <w:iCs/>
              </w:rPr>
              <w:t>Estrella</w:t>
            </w:r>
            <w:r w:rsidRPr="00295ECA">
              <w:rPr>
                <w:rFonts w:asciiTheme="majorBidi" w:hAnsiTheme="majorBidi" w:cstheme="majorBidi"/>
              </w:rPr>
              <w:br/>
              <w:t>Eighteenth session</w:t>
            </w:r>
            <w:r w:rsidRPr="00295ECA">
              <w:rPr>
                <w:rFonts w:asciiTheme="majorBidi" w:hAnsiTheme="majorBidi" w:cstheme="majorBidi"/>
              </w:rPr>
              <w:br/>
              <w:t xml:space="preserve">110/1981, </w:t>
            </w:r>
            <w:r w:rsidRPr="00295ECA">
              <w:rPr>
                <w:rFonts w:asciiTheme="majorBidi" w:hAnsiTheme="majorBidi" w:cstheme="majorBidi"/>
                <w:i/>
                <w:iCs/>
              </w:rPr>
              <w:t>Viana</w:t>
            </w:r>
            <w:r w:rsidRPr="00295ECA">
              <w:rPr>
                <w:rFonts w:asciiTheme="majorBidi" w:hAnsiTheme="majorBidi" w:cstheme="majorBidi"/>
              </w:rPr>
              <w:br/>
              <w:t>Twenty-first session</w:t>
            </w:r>
            <w:r w:rsidRPr="00295ECA">
              <w:rPr>
                <w:rFonts w:asciiTheme="majorBidi" w:hAnsiTheme="majorBidi" w:cstheme="majorBidi"/>
              </w:rPr>
              <w:br/>
              <w:t xml:space="preserve">139/1983, </w:t>
            </w:r>
            <w:r w:rsidRPr="00295ECA">
              <w:rPr>
                <w:rFonts w:asciiTheme="majorBidi" w:hAnsiTheme="majorBidi" w:cstheme="majorBidi"/>
                <w:i/>
                <w:iCs/>
              </w:rPr>
              <w:t>Conteris</w:t>
            </w:r>
            <w:r w:rsidRPr="00295ECA">
              <w:rPr>
                <w:rFonts w:asciiTheme="majorBidi" w:hAnsiTheme="majorBidi" w:cstheme="majorBidi"/>
              </w:rPr>
              <w:br/>
              <w:t>Twenty-fifth session</w:t>
            </w:r>
            <w:r w:rsidRPr="00295ECA">
              <w:rPr>
                <w:rFonts w:asciiTheme="majorBidi" w:hAnsiTheme="majorBidi" w:cstheme="majorBidi"/>
              </w:rPr>
              <w:br/>
              <w:t xml:space="preserve">147/1983, </w:t>
            </w:r>
            <w:r w:rsidRPr="00295ECA">
              <w:rPr>
                <w:rFonts w:asciiTheme="majorBidi" w:hAnsiTheme="majorBidi" w:cstheme="majorBidi"/>
                <w:i/>
                <w:iCs/>
              </w:rPr>
              <w:t>Gilboa</w:t>
            </w:r>
            <w:r w:rsidRPr="00295ECA">
              <w:rPr>
                <w:rFonts w:asciiTheme="majorBidi" w:hAnsiTheme="majorBidi" w:cstheme="majorBidi"/>
              </w:rPr>
              <w:br/>
              <w:t>Twenty-sixth session</w:t>
            </w:r>
            <w:r w:rsidRPr="00295ECA">
              <w:rPr>
                <w:rFonts w:asciiTheme="majorBidi" w:hAnsiTheme="majorBidi" w:cstheme="majorBidi"/>
              </w:rPr>
              <w:br/>
              <w:t xml:space="preserve">162/1983, </w:t>
            </w:r>
            <w:r w:rsidRPr="00295ECA">
              <w:rPr>
                <w:rFonts w:asciiTheme="majorBidi" w:hAnsiTheme="majorBidi" w:cstheme="majorBidi"/>
                <w:i/>
                <w:iCs/>
              </w:rPr>
              <w:t>Acosta</w:t>
            </w:r>
            <w:r w:rsidRPr="00295ECA">
              <w:rPr>
                <w:rFonts w:asciiTheme="majorBidi" w:hAnsiTheme="majorBidi" w:cstheme="majorBidi"/>
              </w:rPr>
              <w:br/>
              <w:t>Thirty-fourth session]</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E. [30/1978, </w:t>
            </w:r>
            <w:r w:rsidRPr="00295ECA">
              <w:rPr>
                <w:rFonts w:asciiTheme="majorBidi" w:hAnsiTheme="majorBidi" w:cstheme="majorBidi"/>
                <w:i/>
                <w:iCs/>
              </w:rPr>
              <w:t>Bleier</w:t>
            </w:r>
            <w:r w:rsidRPr="00295ECA">
              <w:rPr>
                <w:rFonts w:asciiTheme="majorBidi" w:hAnsiTheme="majorBidi" w:cstheme="majorBidi"/>
              </w:rPr>
              <w:br/>
              <w:t>Fifteenth session</w:t>
            </w:r>
            <w:r w:rsidRPr="00295ECA">
              <w:rPr>
                <w:rFonts w:asciiTheme="majorBidi" w:hAnsiTheme="majorBidi" w:cstheme="majorBidi"/>
              </w:rPr>
              <w:br/>
              <w:t xml:space="preserve">84/1981, </w:t>
            </w:r>
            <w:r w:rsidRPr="00295ECA">
              <w:rPr>
                <w:rFonts w:asciiTheme="majorBidi" w:hAnsiTheme="majorBidi" w:cstheme="majorBidi"/>
                <w:i/>
                <w:iCs/>
              </w:rPr>
              <w:t>Dermit</w:t>
            </w:r>
            <w:r w:rsidRPr="00295ECA">
              <w:rPr>
                <w:rFonts w:asciiTheme="majorBidi" w:hAnsiTheme="majorBidi" w:cstheme="majorBidi"/>
              </w:rPr>
              <w:t xml:space="preserve"> </w:t>
            </w:r>
            <w:r w:rsidRPr="00295ECA">
              <w:rPr>
                <w:rFonts w:asciiTheme="majorBidi" w:hAnsiTheme="majorBidi" w:cstheme="majorBidi"/>
                <w:i/>
                <w:iCs/>
              </w:rPr>
              <w:t>Barbato</w:t>
            </w:r>
            <w:r w:rsidRPr="00295ECA">
              <w:rPr>
                <w:rFonts w:asciiTheme="majorBidi" w:hAnsiTheme="majorBidi" w:cstheme="majorBidi"/>
              </w:rPr>
              <w:br/>
              <w:t>Seventeenth session</w:t>
            </w:r>
            <w:r w:rsidRPr="00295ECA">
              <w:rPr>
                <w:rFonts w:asciiTheme="majorBidi" w:hAnsiTheme="majorBidi" w:cstheme="majorBidi"/>
              </w:rPr>
              <w:br/>
              <w:t xml:space="preserve">107/1981, </w:t>
            </w:r>
            <w:r w:rsidRPr="00295ECA">
              <w:rPr>
                <w:rFonts w:asciiTheme="majorBidi" w:hAnsiTheme="majorBidi" w:cstheme="majorBidi"/>
                <w:i/>
                <w:iCs/>
              </w:rPr>
              <w:t>Quinteros</w:t>
            </w:r>
            <w:r w:rsidRPr="00295ECA">
              <w:rPr>
                <w:rFonts w:asciiTheme="majorBidi" w:hAnsiTheme="majorBidi" w:cstheme="majorBidi"/>
              </w:rPr>
              <w:br/>
              <w:t>Nineteenth session]</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159/1983, </w:t>
            </w:r>
            <w:r w:rsidRPr="00295ECA">
              <w:rPr>
                <w:rFonts w:asciiTheme="majorBidi" w:hAnsiTheme="majorBidi" w:cstheme="majorBidi"/>
                <w:i/>
                <w:iCs/>
              </w:rPr>
              <w:t>Cariboni</w:t>
            </w:r>
            <w:r w:rsidRPr="00295ECA">
              <w:rPr>
                <w:rFonts w:asciiTheme="majorBidi" w:hAnsiTheme="majorBidi" w:cstheme="majorBidi"/>
              </w:rPr>
              <w:br/>
              <w:t>A/43/40</w:t>
            </w:r>
            <w:r w:rsidRPr="00295ECA">
              <w:rPr>
                <w:rFonts w:asciiTheme="majorBidi" w:hAnsiTheme="majorBidi" w:cstheme="majorBidi"/>
                <w:i/>
                <w:iCs/>
                <w:sz w:val="18"/>
                <w:szCs w:val="18"/>
                <w:vertAlign w:val="superscript"/>
              </w:rPr>
              <w:t>c</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322/1988, </w:t>
            </w:r>
            <w:r w:rsidRPr="00295ECA">
              <w:rPr>
                <w:rFonts w:asciiTheme="majorBidi" w:hAnsiTheme="majorBidi" w:cstheme="majorBidi"/>
                <w:i/>
                <w:iCs/>
              </w:rPr>
              <w:t>Rodríguez</w:t>
            </w:r>
            <w:r w:rsidRPr="00295ECA">
              <w:rPr>
                <w:rFonts w:asciiTheme="majorBidi" w:hAnsiTheme="majorBidi" w:cstheme="majorBidi"/>
              </w:rPr>
              <w:br/>
              <w:t>A/51/40, A/49/40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1887/2009, </w:t>
            </w:r>
            <w:r w:rsidRPr="00295ECA">
              <w:rPr>
                <w:rFonts w:asciiTheme="majorBidi" w:hAnsiTheme="majorBidi" w:cstheme="majorBidi"/>
                <w:i/>
                <w:iCs/>
              </w:rPr>
              <w:t>Peirano</w:t>
            </w:r>
            <w:r w:rsidRPr="00295ECA">
              <w:rPr>
                <w:rFonts w:asciiTheme="majorBidi" w:hAnsiTheme="majorBidi" w:cstheme="majorBidi"/>
              </w:rPr>
              <w:t xml:space="preserve"> </w:t>
            </w:r>
            <w:r w:rsidRPr="00295ECA">
              <w:rPr>
                <w:rFonts w:asciiTheme="majorBidi" w:hAnsiTheme="majorBidi" w:cstheme="majorBidi"/>
                <w:i/>
                <w:iCs/>
              </w:rPr>
              <w:t>Basso</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1637/2007, 1757/2008 and 1765/2008, </w:t>
            </w:r>
            <w:r w:rsidRPr="00295ECA">
              <w:rPr>
                <w:rFonts w:asciiTheme="majorBidi" w:hAnsiTheme="majorBidi" w:cstheme="majorBidi"/>
                <w:i/>
                <w:iCs/>
              </w:rPr>
              <w:t>Canessa Albareda et al.</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Uzbekistan (34)</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907/2000, </w:t>
            </w:r>
            <w:r w:rsidRPr="00295ECA">
              <w:rPr>
                <w:rFonts w:asciiTheme="majorBidi" w:hAnsiTheme="majorBidi" w:cstheme="majorBidi"/>
                <w:i/>
                <w:iCs/>
              </w:rPr>
              <w:t>Siragev</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911/2000, </w:t>
            </w:r>
            <w:r w:rsidRPr="00295ECA">
              <w:rPr>
                <w:rFonts w:asciiTheme="majorBidi" w:hAnsiTheme="majorBidi" w:cstheme="majorBidi"/>
                <w:i/>
                <w:iCs/>
              </w:rPr>
              <w:t>Nazarov</w:t>
            </w:r>
            <w:r w:rsidRPr="00295ECA">
              <w:rPr>
                <w:rFonts w:asciiTheme="majorBidi" w:hAnsiTheme="majorBidi" w:cstheme="majorBidi"/>
              </w:rPr>
              <w:br/>
              <w:t>A/59/40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915/2000, </w:t>
            </w:r>
            <w:r w:rsidRPr="00295ECA">
              <w:rPr>
                <w:rFonts w:asciiTheme="majorBidi" w:hAnsiTheme="majorBidi" w:cstheme="majorBidi"/>
                <w:i/>
                <w:iCs/>
              </w:rPr>
              <w:t>Ruzmetov</w:t>
            </w:r>
            <w:r w:rsidRPr="00295ECA">
              <w:rPr>
                <w:rFonts w:asciiTheme="majorBidi" w:hAnsiTheme="majorBidi" w:cstheme="majorBidi"/>
              </w:rPr>
              <w:br/>
              <w:t>A/61/40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917/2000, </w:t>
            </w:r>
            <w:r w:rsidRPr="00295ECA">
              <w:rPr>
                <w:rFonts w:asciiTheme="majorBidi" w:hAnsiTheme="majorBidi" w:cstheme="majorBidi"/>
                <w:i/>
                <w:iCs/>
              </w:rPr>
              <w:t>Arutyunyan</w:t>
            </w:r>
            <w:r w:rsidRPr="00295ECA">
              <w:rPr>
                <w:rFonts w:asciiTheme="majorBidi" w:hAnsiTheme="majorBidi" w:cstheme="majorBidi"/>
              </w:rPr>
              <w:br/>
              <w:t>A/59/40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931/2000, </w:t>
            </w:r>
            <w:r w:rsidRPr="00295ECA">
              <w:rPr>
                <w:rFonts w:asciiTheme="majorBidi" w:hAnsiTheme="majorBidi" w:cstheme="majorBidi"/>
                <w:i/>
                <w:iCs/>
              </w:rPr>
              <w:t>Hudoyberganova</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959/2000, </w:t>
            </w:r>
            <w:r w:rsidRPr="00295ECA">
              <w:rPr>
                <w:rFonts w:asciiTheme="majorBidi" w:hAnsiTheme="majorBidi" w:cstheme="majorBidi"/>
                <w:i/>
                <w:iCs/>
              </w:rPr>
              <w:t>Bazarov</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971/2001, </w:t>
            </w:r>
            <w:r w:rsidRPr="00295ECA">
              <w:rPr>
                <w:rFonts w:asciiTheme="majorBidi" w:hAnsiTheme="majorBidi" w:cstheme="majorBidi"/>
                <w:i/>
                <w:iCs/>
              </w:rPr>
              <w:t>Arutyuniantz</w:t>
            </w:r>
            <w:r w:rsidRPr="00295ECA">
              <w:rPr>
                <w:rFonts w:asciiTheme="majorBidi" w:hAnsiTheme="majorBidi" w:cstheme="majorBidi"/>
              </w:rPr>
              <w:br/>
              <w:t>A/60/40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1017/2001, </w:t>
            </w:r>
            <w:r w:rsidRPr="00295ECA">
              <w:rPr>
                <w:rFonts w:asciiTheme="majorBidi" w:hAnsiTheme="majorBidi" w:cstheme="majorBidi"/>
                <w:i/>
                <w:iCs/>
              </w:rPr>
              <w:t>Strakhov</w:t>
            </w:r>
            <w:r w:rsidRPr="00295ECA">
              <w:rPr>
                <w:rFonts w:asciiTheme="majorBidi" w:hAnsiTheme="majorBidi" w:cstheme="majorBidi"/>
              </w:rPr>
              <w:t xml:space="preserve"> and 1066/2002, </w:t>
            </w:r>
            <w:r w:rsidRPr="00295ECA">
              <w:rPr>
                <w:rFonts w:asciiTheme="majorBidi" w:hAnsiTheme="majorBidi" w:cstheme="majorBidi"/>
                <w:i/>
                <w:iCs/>
              </w:rPr>
              <w:t>Fayzulaev</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1041/2002, </w:t>
            </w:r>
            <w:r w:rsidRPr="00295ECA">
              <w:rPr>
                <w:rFonts w:asciiTheme="majorBidi" w:hAnsiTheme="majorBidi" w:cstheme="majorBidi"/>
                <w:i/>
                <w:iCs/>
              </w:rPr>
              <w:t>Tulayganov</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1043/2002, </w:t>
            </w:r>
            <w:r w:rsidRPr="00295ECA">
              <w:rPr>
                <w:rFonts w:asciiTheme="majorBidi" w:hAnsiTheme="majorBidi" w:cstheme="majorBidi"/>
                <w:i/>
                <w:iCs/>
              </w:rPr>
              <w:t>Chikiunov</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1057/2002, </w:t>
            </w:r>
            <w:r w:rsidRPr="00295ECA">
              <w:rPr>
                <w:rFonts w:asciiTheme="majorBidi" w:hAnsiTheme="majorBidi" w:cstheme="majorBidi"/>
                <w:i/>
                <w:iCs/>
              </w:rPr>
              <w:t>Korvetov</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1071/2002, </w:t>
            </w:r>
            <w:r w:rsidRPr="00295ECA">
              <w:rPr>
                <w:rFonts w:asciiTheme="majorBidi" w:hAnsiTheme="majorBidi" w:cstheme="majorBidi"/>
                <w:i/>
                <w:iCs/>
              </w:rPr>
              <w:t>Agabekov</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1140/2002, </w:t>
            </w:r>
            <w:r w:rsidRPr="00295ECA">
              <w:rPr>
                <w:rFonts w:asciiTheme="majorBidi" w:hAnsiTheme="majorBidi" w:cstheme="majorBidi"/>
                <w:i/>
                <w:iCs/>
              </w:rPr>
              <w:t>Khudayberganov</w:t>
            </w:r>
            <w:r w:rsidRPr="00295ECA">
              <w:rPr>
                <w:rFonts w:asciiTheme="majorBidi" w:hAnsiTheme="majorBidi" w:cstheme="majorBidi"/>
              </w:rPr>
              <w:br/>
              <w:t>A/62/40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1150/2002, </w:t>
            </w:r>
            <w:r w:rsidRPr="00295ECA">
              <w:rPr>
                <w:rFonts w:asciiTheme="majorBidi" w:hAnsiTheme="majorBidi" w:cstheme="majorBidi"/>
                <w:i/>
                <w:iCs/>
              </w:rPr>
              <w:t>Uteev</w:t>
            </w:r>
            <w:r w:rsidRPr="00295ECA">
              <w:rPr>
                <w:rFonts w:asciiTheme="majorBidi" w:hAnsiTheme="majorBidi" w:cstheme="majorBidi"/>
              </w:rPr>
              <w:br/>
              <w:t>A/63/40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1163/2003, </w:t>
            </w:r>
            <w:r w:rsidRPr="00295ECA">
              <w:rPr>
                <w:rFonts w:asciiTheme="majorBidi" w:hAnsiTheme="majorBidi" w:cstheme="majorBidi"/>
                <w:i/>
                <w:iCs/>
              </w:rPr>
              <w:t>Isaev and Karimov</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1225/2003, </w:t>
            </w:r>
            <w:r w:rsidRPr="00295ECA">
              <w:rPr>
                <w:rFonts w:asciiTheme="majorBidi" w:hAnsiTheme="majorBidi" w:cstheme="majorBidi"/>
                <w:i/>
                <w:iCs/>
              </w:rPr>
              <w:t>Eshonov</w:t>
            </w:r>
            <w:r w:rsidRPr="00295ECA">
              <w:rPr>
                <w:rFonts w:asciiTheme="majorBidi" w:hAnsiTheme="majorBidi" w:cstheme="majorBidi"/>
              </w:rPr>
              <w:br/>
              <w:t>A/65/40</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1280/2004, </w:t>
            </w:r>
            <w:r w:rsidRPr="00295ECA">
              <w:rPr>
                <w:rFonts w:asciiTheme="majorBidi" w:hAnsiTheme="majorBidi" w:cstheme="majorBidi"/>
                <w:i/>
                <w:iCs/>
              </w:rPr>
              <w:t>Tolipkhudzhaev</w:t>
            </w:r>
            <w:r w:rsidRPr="00295ECA">
              <w:rPr>
                <w:rFonts w:asciiTheme="majorBidi" w:hAnsiTheme="majorBidi" w:cstheme="majorBidi"/>
              </w:rPr>
              <w:br/>
              <w:t>A/64/40</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1284/2004, </w:t>
            </w:r>
            <w:r w:rsidRPr="00295ECA">
              <w:rPr>
                <w:rFonts w:asciiTheme="majorBidi" w:hAnsiTheme="majorBidi" w:cstheme="majorBidi"/>
                <w:i/>
                <w:iCs/>
              </w:rPr>
              <w:t>Kodirov</w:t>
            </w:r>
            <w:r w:rsidRPr="00295ECA">
              <w:rPr>
                <w:rFonts w:asciiTheme="majorBidi" w:hAnsiTheme="majorBidi" w:cstheme="majorBidi"/>
              </w:rPr>
              <w:br/>
              <w:t>A/65/40</w:t>
            </w:r>
          </w:p>
        </w:tc>
        <w:tc>
          <w:tcPr>
            <w:tcW w:w="1815"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Del="004C3E9F"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1334/2004, </w:t>
            </w:r>
            <w:r w:rsidRPr="00295ECA">
              <w:rPr>
                <w:rFonts w:asciiTheme="majorBidi" w:hAnsiTheme="majorBidi" w:cstheme="majorBidi"/>
                <w:i/>
                <w:iCs/>
              </w:rPr>
              <w:t>Mavlonov and Sa’di</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1378/2005, </w:t>
            </w:r>
            <w:r w:rsidRPr="00295ECA">
              <w:rPr>
                <w:rFonts w:asciiTheme="majorBidi" w:hAnsiTheme="majorBidi" w:cstheme="majorBidi"/>
                <w:i/>
                <w:iCs/>
              </w:rPr>
              <w:t>Kasimov</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1382/2005, </w:t>
            </w:r>
            <w:r w:rsidRPr="00295ECA">
              <w:rPr>
                <w:rFonts w:asciiTheme="majorBidi" w:hAnsiTheme="majorBidi" w:cstheme="majorBidi"/>
                <w:i/>
                <w:iCs/>
              </w:rPr>
              <w:t>Salikh</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1418/2005, </w:t>
            </w:r>
            <w:r w:rsidRPr="00295ECA">
              <w:rPr>
                <w:rFonts w:asciiTheme="majorBidi" w:hAnsiTheme="majorBidi" w:cstheme="majorBidi"/>
                <w:i/>
                <w:iCs/>
              </w:rPr>
              <w:t>Iskiyaev</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1449/2006, </w:t>
            </w:r>
            <w:r w:rsidRPr="00295ECA">
              <w:rPr>
                <w:rFonts w:asciiTheme="majorBidi" w:hAnsiTheme="majorBidi" w:cstheme="majorBidi"/>
                <w:i/>
                <w:iCs/>
              </w:rPr>
              <w:t>Umarov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1478/2006, </w:t>
            </w:r>
            <w:r w:rsidRPr="00295ECA">
              <w:rPr>
                <w:rFonts w:asciiTheme="majorBidi" w:hAnsiTheme="majorBidi" w:cstheme="majorBidi"/>
                <w:i/>
                <w:iCs/>
              </w:rPr>
              <w:t>Kungurov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1552/2007, </w:t>
            </w:r>
            <w:r w:rsidRPr="00295ECA">
              <w:rPr>
                <w:rFonts w:asciiTheme="majorBidi" w:hAnsiTheme="majorBidi" w:cstheme="majorBidi"/>
                <w:i/>
                <w:iCs/>
              </w:rPr>
              <w:t>Lyashkevich</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1585/2007, </w:t>
            </w:r>
            <w:r w:rsidRPr="00295ECA">
              <w:rPr>
                <w:rFonts w:asciiTheme="majorBidi" w:hAnsiTheme="majorBidi" w:cstheme="majorBidi"/>
                <w:i/>
                <w:iCs/>
              </w:rPr>
              <w:t>Batyrov</w:t>
            </w:r>
            <w:r w:rsidRPr="00295ECA">
              <w:rPr>
                <w:rFonts w:asciiTheme="majorBidi" w:hAnsiTheme="majorBidi" w:cstheme="majorBidi"/>
              </w:rPr>
              <w:br/>
              <w:t>A/64/40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1589/2007, </w:t>
            </w:r>
            <w:r w:rsidRPr="00295ECA">
              <w:rPr>
                <w:rFonts w:asciiTheme="majorBidi" w:hAnsiTheme="majorBidi" w:cstheme="majorBidi"/>
                <w:i/>
                <w:iCs/>
              </w:rPr>
              <w:t>Gapirjanov</w:t>
            </w:r>
            <w:r w:rsidRPr="00295ECA">
              <w:rPr>
                <w:rFonts w:asciiTheme="majorBidi" w:hAnsiTheme="majorBidi" w:cstheme="majorBidi"/>
              </w:rPr>
              <w:br/>
              <w:t>A/65/40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1769/2008, </w:t>
            </w:r>
            <w:r w:rsidRPr="00295ECA">
              <w:rPr>
                <w:rFonts w:asciiTheme="majorBidi" w:hAnsiTheme="majorBidi" w:cstheme="majorBidi"/>
                <w:i/>
                <w:iCs/>
              </w:rPr>
              <w:t>Ismailov</w:t>
            </w:r>
            <w:r w:rsidRPr="00295ECA">
              <w:rPr>
                <w:rFonts w:asciiTheme="majorBidi" w:hAnsiTheme="majorBidi" w:cstheme="majorBidi"/>
              </w:rPr>
              <w:br/>
              <w:t>A/66/40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1914-1915-1916/2009, </w:t>
            </w:r>
            <w:r w:rsidRPr="00295ECA">
              <w:rPr>
                <w:rFonts w:asciiTheme="majorBidi" w:hAnsiTheme="majorBidi" w:cstheme="majorBidi"/>
                <w:i/>
                <w:iCs/>
              </w:rPr>
              <w:t>Musaev</w:t>
            </w:r>
            <w:r w:rsidRPr="00295ECA">
              <w:rPr>
                <w:rFonts w:asciiTheme="majorBidi" w:hAnsiTheme="majorBidi" w:cstheme="majorBidi"/>
              </w:rPr>
              <w:br/>
              <w:t>A/67/40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CCPR/C/116/D/2044/2011,</w:t>
            </w:r>
            <w:r w:rsidRPr="00295ECA">
              <w:rPr>
                <w:rFonts w:asciiTheme="majorBidi" w:hAnsiTheme="majorBidi" w:cstheme="majorBidi"/>
              </w:rPr>
              <w:br/>
            </w:r>
            <w:r w:rsidRPr="00295ECA">
              <w:rPr>
                <w:rFonts w:asciiTheme="majorBidi" w:hAnsiTheme="majorBidi" w:cstheme="majorBidi"/>
                <w:i/>
                <w:iCs/>
              </w:rPr>
              <w:t>T.V. and A.G.</w:t>
            </w:r>
          </w:p>
        </w:tc>
        <w:tc>
          <w:tcPr>
            <w:tcW w:w="1815"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CCPR/C/114/D/2234/2013, </w:t>
            </w:r>
            <w:r w:rsidRPr="00295ECA">
              <w:rPr>
                <w:rFonts w:asciiTheme="majorBidi" w:hAnsiTheme="majorBidi" w:cstheme="majorBidi"/>
                <w:i/>
                <w:iCs/>
              </w:rPr>
              <w:t>M.T.</w:t>
            </w:r>
          </w:p>
        </w:tc>
        <w:tc>
          <w:tcPr>
            <w:tcW w:w="1815"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6B2037" w:rsidRPr="00295ECA" w:rsidDel="00A6733F" w:rsidRDefault="006B2037" w:rsidP="006B2037">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Venezuela (Bolivarian</w:t>
            </w:r>
            <w:r w:rsidRPr="00295ECA">
              <w:rPr>
                <w:rFonts w:asciiTheme="majorBidi" w:hAnsiTheme="majorBidi" w:cstheme="majorBidi"/>
              </w:rPr>
              <w:br/>
              <w:t>Republic of) (3)</w:t>
            </w:r>
          </w:p>
        </w:tc>
        <w:tc>
          <w:tcPr>
            <w:tcW w:w="375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156/1983, </w:t>
            </w:r>
            <w:r w:rsidRPr="00295ECA">
              <w:rPr>
                <w:rFonts w:asciiTheme="majorBidi" w:hAnsiTheme="majorBidi" w:cstheme="majorBidi"/>
                <w:i/>
                <w:iCs/>
              </w:rPr>
              <w:t>Solórzano</w:t>
            </w:r>
            <w:r w:rsidRPr="00295ECA">
              <w:rPr>
                <w:rFonts w:asciiTheme="majorBidi" w:hAnsiTheme="majorBidi" w:cstheme="majorBidi"/>
              </w:rPr>
              <w:br/>
              <w:t>A/41/40</w:t>
            </w:r>
            <w:r w:rsidRPr="00295ECA">
              <w:rPr>
                <w:rFonts w:asciiTheme="majorBidi" w:hAnsiTheme="majorBidi" w:cstheme="majorBidi"/>
                <w:i/>
                <w:iCs/>
                <w:sz w:val="18"/>
                <w:szCs w:val="18"/>
                <w:vertAlign w:val="superscript"/>
              </w:rPr>
              <w:t>c</w:t>
            </w:r>
          </w:p>
        </w:tc>
        <w:tc>
          <w:tcPr>
            <w:tcW w:w="1815"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6B2037" w:rsidRPr="00295ECA" w:rsidDel="00A6733F" w:rsidRDefault="006B2037" w:rsidP="006B2037">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6B2037" w:rsidRPr="00295ECA" w:rsidRDefault="006B2037" w:rsidP="006B2037">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1940/2010, </w:t>
            </w:r>
            <w:r w:rsidRPr="00295ECA">
              <w:rPr>
                <w:rFonts w:asciiTheme="majorBidi" w:hAnsiTheme="majorBidi" w:cstheme="majorBidi"/>
                <w:i/>
                <w:iCs/>
              </w:rPr>
              <w:t>Cedeño</w:t>
            </w:r>
            <w:r w:rsidRPr="00295ECA">
              <w:rPr>
                <w:rFonts w:asciiTheme="majorBidi" w:hAnsiTheme="majorBidi" w:cstheme="majorBidi"/>
              </w:rPr>
              <w:br/>
              <w:t>A/68/40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CCPR/C/112/D/2085/2011</w:t>
            </w:r>
            <w:r w:rsidRPr="00B70E5A">
              <w:rPr>
                <w:rFonts w:asciiTheme="majorBidi" w:hAnsiTheme="majorBidi" w:cstheme="majorBidi"/>
              </w:rPr>
              <w:br/>
            </w:r>
            <w:r w:rsidRPr="00B70E5A">
              <w:rPr>
                <w:rFonts w:asciiTheme="majorBidi" w:hAnsiTheme="majorBidi" w:cstheme="majorBidi"/>
                <w:i/>
                <w:iCs/>
              </w:rPr>
              <w:t>García Bolívar</w:t>
            </w:r>
          </w:p>
        </w:tc>
        <w:tc>
          <w:tcPr>
            <w:tcW w:w="1815"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B70E5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Zambia (6)</w:t>
            </w: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390/1990, </w:t>
            </w:r>
            <w:r w:rsidRPr="00295ECA">
              <w:rPr>
                <w:rFonts w:asciiTheme="majorBidi" w:hAnsiTheme="majorBidi" w:cstheme="majorBidi"/>
                <w:i/>
                <w:iCs/>
              </w:rPr>
              <w:t>Lubuto</w:t>
            </w:r>
            <w:r w:rsidRPr="00295ECA">
              <w:rPr>
                <w:rFonts w:asciiTheme="majorBidi" w:hAnsiTheme="majorBidi" w:cstheme="majorBidi"/>
              </w:rPr>
              <w:br/>
              <w:t>A/51/40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821/1998, </w:t>
            </w:r>
            <w:r w:rsidRPr="00295ECA">
              <w:rPr>
                <w:rFonts w:asciiTheme="majorBidi" w:hAnsiTheme="majorBidi" w:cstheme="majorBidi"/>
                <w:i/>
                <w:iCs/>
              </w:rPr>
              <w:t>Chongwe</w:t>
            </w:r>
            <w:r w:rsidRPr="00295ECA">
              <w:rPr>
                <w:rFonts w:asciiTheme="majorBidi" w:hAnsiTheme="majorBidi" w:cstheme="majorBidi"/>
              </w:rPr>
              <w:br/>
              <w:t>A/56/40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A/59/40, A/61/40, A/64/40, A/66/40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856/1999, </w:t>
            </w:r>
            <w:r w:rsidRPr="00295ECA">
              <w:rPr>
                <w:rFonts w:asciiTheme="majorBidi" w:hAnsiTheme="majorBidi" w:cstheme="majorBidi"/>
                <w:i/>
                <w:iCs/>
              </w:rPr>
              <w:t>Chambala</w:t>
            </w:r>
            <w:r w:rsidRPr="00295ECA">
              <w:rPr>
                <w:rFonts w:asciiTheme="majorBidi" w:hAnsiTheme="majorBidi" w:cstheme="majorBidi"/>
              </w:rPr>
              <w:br/>
              <w:t>A/58/40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1132/2002, </w:t>
            </w:r>
            <w:r w:rsidRPr="00295ECA">
              <w:rPr>
                <w:rFonts w:asciiTheme="majorBidi" w:hAnsiTheme="majorBidi" w:cstheme="majorBidi"/>
                <w:i/>
                <w:iCs/>
              </w:rPr>
              <w:t>Chisanga</w:t>
            </w:r>
            <w:r w:rsidRPr="00295ECA">
              <w:rPr>
                <w:rFonts w:asciiTheme="majorBidi" w:hAnsiTheme="majorBidi" w:cstheme="majorBidi"/>
              </w:rPr>
              <w:br/>
              <w:t>A/61/40</w:t>
            </w:r>
          </w:p>
        </w:tc>
        <w:tc>
          <w:tcPr>
            <w:tcW w:w="181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A/63/40, A/64/40, A/65/40</w:t>
            </w: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sidDel="002B6D25">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1303/2004, </w:t>
            </w:r>
            <w:r w:rsidRPr="00295ECA">
              <w:rPr>
                <w:rFonts w:asciiTheme="majorBidi" w:hAnsiTheme="majorBidi" w:cstheme="majorBidi"/>
                <w:i/>
                <w:iCs/>
              </w:rPr>
              <w:t>Chiti</w:t>
            </w:r>
            <w:r w:rsidRPr="00295ECA">
              <w:rPr>
                <w:rFonts w:asciiTheme="majorBidi" w:hAnsiTheme="majorBidi" w:cstheme="majorBidi"/>
              </w:rPr>
              <w:br/>
              <w:t>A/68/40</w:t>
            </w:r>
          </w:p>
        </w:tc>
        <w:tc>
          <w:tcPr>
            <w:tcW w:w="1815" w:type="dxa"/>
            <w:shd w:val="clear" w:color="auto" w:fill="auto"/>
            <w:noWrap/>
          </w:tcPr>
          <w:p w:rsidR="006B2037" w:rsidRPr="00295ECA" w:rsidDel="0013405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6B2037" w:rsidRPr="00295ECA" w:rsidTr="001532E8">
        <w:trPr>
          <w:gridAfter w:val="1"/>
          <w:wAfter w:w="786" w:type="dxa"/>
        </w:trPr>
        <w:tc>
          <w:tcPr>
            <w:tcW w:w="1686"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1859/2009, </w:t>
            </w:r>
            <w:r w:rsidRPr="00295ECA">
              <w:rPr>
                <w:rFonts w:asciiTheme="majorBidi" w:hAnsiTheme="majorBidi" w:cstheme="majorBidi"/>
                <w:i/>
                <w:iCs/>
              </w:rPr>
              <w:t>Kamoyo</w:t>
            </w:r>
            <w:r w:rsidRPr="00295ECA">
              <w:rPr>
                <w:rFonts w:asciiTheme="majorBidi" w:hAnsiTheme="majorBidi" w:cstheme="majorBidi"/>
              </w:rPr>
              <w:br/>
              <w:t>A/67/40</w:t>
            </w:r>
          </w:p>
        </w:tc>
        <w:tc>
          <w:tcPr>
            <w:tcW w:w="1815" w:type="dxa"/>
            <w:shd w:val="clear" w:color="auto" w:fill="auto"/>
            <w:noWrap/>
          </w:tcPr>
          <w:p w:rsidR="006B2037" w:rsidRPr="00295ECA" w:rsidDel="0013405A" w:rsidRDefault="006B2037" w:rsidP="006B2037">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6B2037" w:rsidRPr="00295ECA" w:rsidRDefault="006B2037" w:rsidP="006B2037">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bl>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a</w:t>
      </w:r>
      <w:r w:rsidRPr="00295ECA">
        <w:rPr>
          <w:sz w:val="18"/>
          <w:lang w:eastAsia="en-US"/>
        </w:rPr>
        <w:t xml:space="preserve">  See Selected Decisions of the Human Rights Committee under the Optional Protocol (vol. 1) (United Nations publication, Sales No. E.84.XIV.2).</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b</w:t>
      </w:r>
      <w:r w:rsidRPr="00295ECA">
        <w:rPr>
          <w:sz w:val="18"/>
          <w:lang w:eastAsia="en-US"/>
        </w:rPr>
        <w:t xml:space="preserve">  The State party went some way to implementing the Views: the Committee has not specifically said implementation is satisfactory.</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c</w:t>
      </w:r>
      <w:r w:rsidRPr="00295ECA">
        <w:rPr>
          <w:sz w:val="18"/>
          <w:lang w:eastAsia="en-US"/>
        </w:rPr>
        <w:t xml:space="preserve">  See Selected Decisions of the Human Rights Committee under the Optional Protocol (vol. 2) (United Nations publication, Sales No. E.89.XIV.1).</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d</w:t>
      </w:r>
      <w:r w:rsidRPr="00295ECA">
        <w:rPr>
          <w:sz w:val="18"/>
          <w:lang w:eastAsia="en-US"/>
        </w:rPr>
        <w:t xml:space="preserve">  For all of these property cases, see also follow-up to concluding observations for the State party’s reply in A/59/40.</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e</w:t>
      </w:r>
      <w:r w:rsidRPr="00295ECA">
        <w:rPr>
          <w:sz w:val="18"/>
          <w:lang w:eastAsia="en-US"/>
        </w:rPr>
        <w:t xml:space="preserve">  See A/59/40 for details of follow-up consultations.</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lastRenderedPageBreak/>
        <w:t>f</w:t>
      </w:r>
      <w:r w:rsidRPr="00295ECA">
        <w:rPr>
          <w:sz w:val="18"/>
          <w:lang w:eastAsia="en-US"/>
        </w:rPr>
        <w:t xml:space="preserve">  The State party has not replied in writing, but it has met several times with the Special Rapporteur.</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g</w:t>
      </w:r>
      <w:r w:rsidRPr="00295ECA">
        <w:rPr>
          <w:sz w:val="18"/>
          <w:lang w:eastAsia="en-US"/>
        </w:rPr>
        <w:t xml:space="preserve">  See A/59/40. Twenty-five detailed replies were received, of which 19 indicated that the State party would not implement the Committee’s recommendations; in 2, that it would investigate; in 1, that the author would be released (592/1994, Clive Johnson; see A/54/40). There were 36 general replies indicating that death sentences had been commuted. There were no follow-up replies in 31 cases.</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h</w:t>
      </w:r>
      <w:r w:rsidRPr="00295ECA">
        <w:rPr>
          <w:sz w:val="18"/>
          <w:lang w:eastAsia="en-US"/>
        </w:rPr>
        <w:t xml:space="preserve">  According to the information provided in A/52/40, the author had been released. No further has been information provided.</w:t>
      </w:r>
    </w:p>
    <w:p w:rsidR="006B2037" w:rsidRPr="00295ECA" w:rsidRDefault="006B2037" w:rsidP="001532E8">
      <w:pPr>
        <w:pStyle w:val="SingleTxtG"/>
        <w:spacing w:before="120" w:after="0"/>
        <w:ind w:left="1701" w:right="1985" w:firstLine="170"/>
        <w:jc w:val="left"/>
        <w:rPr>
          <w:sz w:val="18"/>
          <w:lang w:eastAsia="en-US"/>
        </w:rPr>
      </w:pPr>
      <w:r w:rsidRPr="00295ECA">
        <w:rPr>
          <w:i/>
          <w:iCs/>
          <w:sz w:val="18"/>
          <w:vertAlign w:val="superscript"/>
          <w:lang w:eastAsia="en-US"/>
        </w:rPr>
        <w:t>i</w:t>
      </w:r>
      <w:r w:rsidRPr="00295ECA">
        <w:rPr>
          <w:sz w:val="18"/>
          <w:lang w:eastAsia="en-US"/>
        </w:rPr>
        <w:t xml:space="preserve">  Follow-up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 all the individuals imprisoned under “measures of security”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 Lopez’s case on 21 November 1990 by paying him $200,000. The suit filed by Lilian Celiberti is still pending. Besides the aforementioned cases, no other victim has filed a lawsuit against the State claiming compensation. Regarding the list of cases under 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D4750C" w:rsidRPr="006B2037" w:rsidRDefault="006B2037" w:rsidP="006B2037">
      <w:pPr>
        <w:pStyle w:val="SingleTxtG"/>
        <w:suppressAutoHyphens/>
        <w:spacing w:before="240" w:after="0"/>
        <w:jc w:val="center"/>
        <w:rPr>
          <w:u w:val="single"/>
        </w:rPr>
      </w:pPr>
      <w:r>
        <w:rPr>
          <w:u w:val="single"/>
        </w:rPr>
        <w:tab/>
      </w:r>
      <w:r>
        <w:rPr>
          <w:u w:val="single"/>
        </w:rPr>
        <w:tab/>
      </w:r>
      <w:r>
        <w:rPr>
          <w:u w:val="single"/>
        </w:rPr>
        <w:tab/>
      </w:r>
    </w:p>
    <w:sectPr w:rsidR="00D4750C" w:rsidRPr="006B2037" w:rsidSect="006B2037">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2E8" w:rsidRDefault="001532E8"/>
  </w:endnote>
  <w:endnote w:type="continuationSeparator" w:id="0">
    <w:p w:rsidR="001532E8" w:rsidRDefault="001532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B0500000000000000"/>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3B15DD" w:rsidRDefault="001532E8" w:rsidP="003B15DD">
    <w:pPr>
      <w:pStyle w:val="Piedepgina"/>
      <w:tabs>
        <w:tab w:val="right" w:pos="9638"/>
      </w:tabs>
    </w:pPr>
    <w:r w:rsidRPr="003B15DD">
      <w:rPr>
        <w:b/>
        <w:sz w:val="18"/>
      </w:rPr>
      <w:fldChar w:fldCharType="begin"/>
    </w:r>
    <w:r w:rsidRPr="003B15DD">
      <w:rPr>
        <w:b/>
        <w:sz w:val="18"/>
      </w:rPr>
      <w:instrText xml:space="preserve"> PAGE  \* MERGEFORMAT </w:instrText>
    </w:r>
    <w:r w:rsidRPr="003B15DD">
      <w:rPr>
        <w:b/>
        <w:sz w:val="18"/>
      </w:rPr>
      <w:fldChar w:fldCharType="separate"/>
    </w:r>
    <w:r w:rsidR="00217EB9">
      <w:rPr>
        <w:b/>
        <w:noProof/>
        <w:sz w:val="18"/>
      </w:rPr>
      <w:t>2</w:t>
    </w:r>
    <w:r w:rsidRPr="003B15DD">
      <w:rPr>
        <w:b/>
        <w:sz w:val="18"/>
      </w:rPr>
      <w:fldChar w:fldCharType="end"/>
    </w:r>
    <w:r>
      <w:rPr>
        <w:b/>
        <w:sz w:val="18"/>
      </w:rPr>
      <w:tab/>
    </w:r>
    <w:r>
      <w:t>GE.16-22530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3B15DD" w:rsidRDefault="001532E8" w:rsidP="003B15DD">
    <w:pPr>
      <w:pStyle w:val="Piedepgina"/>
      <w:tabs>
        <w:tab w:val="right" w:pos="9638"/>
      </w:tabs>
      <w:rPr>
        <w:b/>
        <w:sz w:val="18"/>
      </w:rPr>
    </w:pPr>
    <w:r>
      <w:t>GE.16-22530</w:t>
    </w:r>
    <w:r>
      <w:tab/>
    </w:r>
    <w:r w:rsidRPr="003B15DD">
      <w:rPr>
        <w:b/>
        <w:sz w:val="18"/>
      </w:rPr>
      <w:fldChar w:fldCharType="begin"/>
    </w:r>
    <w:r w:rsidRPr="003B15DD">
      <w:rPr>
        <w:b/>
        <w:sz w:val="18"/>
      </w:rPr>
      <w:instrText xml:space="preserve"> PAGE  \* MERGEFORMAT </w:instrText>
    </w:r>
    <w:r w:rsidRPr="003B15DD">
      <w:rPr>
        <w:b/>
        <w:sz w:val="18"/>
      </w:rPr>
      <w:fldChar w:fldCharType="separate"/>
    </w:r>
    <w:r w:rsidR="00217EB9">
      <w:rPr>
        <w:b/>
        <w:noProof/>
        <w:sz w:val="18"/>
      </w:rPr>
      <w:t>3</w:t>
    </w:r>
    <w:r w:rsidRPr="003B15D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3B15DD" w:rsidRDefault="001532E8" w:rsidP="003B15DD">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16-22530  (S)    220317    280317</w:t>
    </w:r>
    <w:r>
      <w:rPr>
        <w:sz w:val="20"/>
      </w:rPr>
      <w:br/>
    </w:r>
    <w:r w:rsidRPr="003B15DD">
      <w:rPr>
        <w:rFonts w:ascii="C39T30Lfz" w:hAnsi="C39T30Lfz"/>
        <w:sz w:val="56"/>
      </w:rPr>
      <w:t></w:t>
    </w:r>
    <w:r w:rsidRPr="003B15DD">
      <w:rPr>
        <w:rFonts w:ascii="C39T30Lfz" w:hAnsi="C39T30Lfz"/>
        <w:sz w:val="56"/>
      </w:rPr>
      <w:t></w:t>
    </w:r>
    <w:r w:rsidRPr="003B15DD">
      <w:rPr>
        <w:rFonts w:ascii="C39T30Lfz" w:hAnsi="C39T30Lfz"/>
        <w:sz w:val="56"/>
      </w:rPr>
      <w:t></w:t>
    </w:r>
    <w:r w:rsidRPr="003B15DD">
      <w:rPr>
        <w:rFonts w:ascii="C39T30Lfz" w:hAnsi="C39T30Lfz"/>
        <w:sz w:val="56"/>
      </w:rPr>
      <w:t></w:t>
    </w:r>
    <w:r w:rsidRPr="003B15DD">
      <w:rPr>
        <w:rFonts w:ascii="C39T30Lfz" w:hAnsi="C39T30Lfz"/>
        <w:sz w:val="56"/>
      </w:rPr>
      <w:t></w:t>
    </w:r>
    <w:r w:rsidRPr="003B15DD">
      <w:rPr>
        <w:rFonts w:ascii="C39T30Lfz" w:hAnsi="C39T30Lfz"/>
        <w:sz w:val="56"/>
      </w:rPr>
      <w:t></w:t>
    </w:r>
    <w:r w:rsidRPr="003B15DD">
      <w:rPr>
        <w:rFonts w:ascii="C39T30Lfz" w:hAnsi="C39T30Lfz"/>
        <w:sz w:val="56"/>
      </w:rPr>
      <w:t></w:t>
    </w:r>
    <w:r w:rsidRPr="003B15DD">
      <w:rPr>
        <w:rFonts w:ascii="C39T30Lfz" w:hAnsi="C39T30Lfz"/>
        <w:sz w:val="56"/>
      </w:rPr>
      <w:t></w:t>
    </w:r>
    <w:r w:rsidRPr="003B15D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117/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7/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6B2037" w:rsidRDefault="001532E8" w:rsidP="006B2037">
    <w:pPr>
      <w:pStyle w:val="Piedepgina"/>
    </w:pPr>
    <w:r>
      <w:rPr>
        <w:noProof/>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532E8" w:rsidRPr="003B15DD" w:rsidRDefault="001532E8" w:rsidP="006B2037">
                          <w:pPr>
                            <w:pStyle w:val="Piedepgina"/>
                            <w:tabs>
                              <w:tab w:val="right" w:pos="9638"/>
                            </w:tabs>
                          </w:pPr>
                          <w:r w:rsidRPr="003B15DD">
                            <w:rPr>
                              <w:b/>
                              <w:sz w:val="18"/>
                            </w:rPr>
                            <w:fldChar w:fldCharType="begin"/>
                          </w:r>
                          <w:r w:rsidRPr="003B15DD">
                            <w:rPr>
                              <w:b/>
                              <w:sz w:val="18"/>
                            </w:rPr>
                            <w:instrText xml:space="preserve"> PAGE  \* MERGEFORMAT </w:instrText>
                          </w:r>
                          <w:r w:rsidRPr="003B15DD">
                            <w:rPr>
                              <w:b/>
                              <w:sz w:val="18"/>
                            </w:rPr>
                            <w:fldChar w:fldCharType="separate"/>
                          </w:r>
                          <w:r w:rsidR="00217EB9">
                            <w:rPr>
                              <w:b/>
                              <w:noProof/>
                              <w:sz w:val="18"/>
                            </w:rPr>
                            <w:t>80</w:t>
                          </w:r>
                          <w:r w:rsidRPr="003B15DD">
                            <w:rPr>
                              <w:b/>
                              <w:sz w:val="18"/>
                            </w:rPr>
                            <w:fldChar w:fldCharType="end"/>
                          </w:r>
                          <w:r>
                            <w:rPr>
                              <w:b/>
                              <w:sz w:val="18"/>
                            </w:rPr>
                            <w:tab/>
                          </w:r>
                          <w:r>
                            <w:t>GE.16-22530</w:t>
                          </w:r>
                        </w:p>
                        <w:p w:rsidR="001532E8" w:rsidRDefault="001532E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1532E8" w:rsidRPr="003B15DD" w:rsidRDefault="001532E8" w:rsidP="006B2037">
                    <w:pPr>
                      <w:pStyle w:val="Piedepgina"/>
                      <w:tabs>
                        <w:tab w:val="right" w:pos="9638"/>
                      </w:tabs>
                    </w:pPr>
                    <w:r w:rsidRPr="003B15DD">
                      <w:rPr>
                        <w:b/>
                        <w:sz w:val="18"/>
                      </w:rPr>
                      <w:fldChar w:fldCharType="begin"/>
                    </w:r>
                    <w:r w:rsidRPr="003B15DD">
                      <w:rPr>
                        <w:b/>
                        <w:sz w:val="18"/>
                      </w:rPr>
                      <w:instrText xml:space="preserve"> PAGE  \* MERGEFORMAT </w:instrText>
                    </w:r>
                    <w:r w:rsidRPr="003B15DD">
                      <w:rPr>
                        <w:b/>
                        <w:sz w:val="18"/>
                      </w:rPr>
                      <w:fldChar w:fldCharType="separate"/>
                    </w:r>
                    <w:r w:rsidR="00217EB9">
                      <w:rPr>
                        <w:b/>
                        <w:noProof/>
                        <w:sz w:val="18"/>
                      </w:rPr>
                      <w:t>80</w:t>
                    </w:r>
                    <w:r w:rsidRPr="003B15DD">
                      <w:rPr>
                        <w:b/>
                        <w:sz w:val="18"/>
                      </w:rPr>
                      <w:fldChar w:fldCharType="end"/>
                    </w:r>
                    <w:r>
                      <w:rPr>
                        <w:b/>
                        <w:sz w:val="18"/>
                      </w:rPr>
                      <w:tab/>
                    </w:r>
                    <w:r>
                      <w:t>GE.16-22530</w:t>
                    </w:r>
                  </w:p>
                  <w:p w:rsidR="001532E8" w:rsidRDefault="001532E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6B2037" w:rsidRDefault="001532E8" w:rsidP="006B2037">
    <w:pPr>
      <w:pStyle w:val="Piedepgina"/>
    </w:pPr>
    <w:r>
      <w:rPr>
        <w:noProof/>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532E8" w:rsidRPr="003B15DD" w:rsidRDefault="001532E8" w:rsidP="006B2037">
                          <w:pPr>
                            <w:pStyle w:val="Piedepgina"/>
                            <w:tabs>
                              <w:tab w:val="right" w:pos="9638"/>
                            </w:tabs>
                            <w:rPr>
                              <w:b/>
                              <w:sz w:val="18"/>
                            </w:rPr>
                          </w:pPr>
                          <w:r>
                            <w:t>GE.16-22530</w:t>
                          </w:r>
                          <w:r>
                            <w:tab/>
                          </w:r>
                          <w:r w:rsidRPr="003B15DD">
                            <w:rPr>
                              <w:b/>
                              <w:sz w:val="18"/>
                            </w:rPr>
                            <w:fldChar w:fldCharType="begin"/>
                          </w:r>
                          <w:r w:rsidRPr="003B15DD">
                            <w:rPr>
                              <w:b/>
                              <w:sz w:val="18"/>
                            </w:rPr>
                            <w:instrText xml:space="preserve"> PAGE  \* MERGEFORMAT </w:instrText>
                          </w:r>
                          <w:r w:rsidRPr="003B15DD">
                            <w:rPr>
                              <w:b/>
                              <w:sz w:val="18"/>
                            </w:rPr>
                            <w:fldChar w:fldCharType="separate"/>
                          </w:r>
                          <w:r w:rsidR="00217EB9">
                            <w:rPr>
                              <w:b/>
                              <w:noProof/>
                              <w:sz w:val="18"/>
                            </w:rPr>
                            <w:t>79</w:t>
                          </w:r>
                          <w:r w:rsidRPr="003B15DD">
                            <w:rPr>
                              <w:b/>
                              <w:sz w:val="18"/>
                            </w:rPr>
                            <w:fldChar w:fldCharType="end"/>
                          </w:r>
                        </w:p>
                        <w:p w:rsidR="001532E8" w:rsidRDefault="001532E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1532E8" w:rsidRPr="003B15DD" w:rsidRDefault="001532E8" w:rsidP="006B2037">
                    <w:pPr>
                      <w:pStyle w:val="Piedepgina"/>
                      <w:tabs>
                        <w:tab w:val="right" w:pos="9638"/>
                      </w:tabs>
                      <w:rPr>
                        <w:b/>
                        <w:sz w:val="18"/>
                      </w:rPr>
                    </w:pPr>
                    <w:r>
                      <w:t>GE.16-22530</w:t>
                    </w:r>
                    <w:r>
                      <w:tab/>
                    </w:r>
                    <w:r w:rsidRPr="003B15DD">
                      <w:rPr>
                        <w:b/>
                        <w:sz w:val="18"/>
                      </w:rPr>
                      <w:fldChar w:fldCharType="begin"/>
                    </w:r>
                    <w:r w:rsidRPr="003B15DD">
                      <w:rPr>
                        <w:b/>
                        <w:sz w:val="18"/>
                      </w:rPr>
                      <w:instrText xml:space="preserve"> PAGE  \* MERGEFORMAT </w:instrText>
                    </w:r>
                    <w:r w:rsidRPr="003B15DD">
                      <w:rPr>
                        <w:b/>
                        <w:sz w:val="18"/>
                      </w:rPr>
                      <w:fldChar w:fldCharType="separate"/>
                    </w:r>
                    <w:r w:rsidR="00217EB9">
                      <w:rPr>
                        <w:b/>
                        <w:noProof/>
                        <w:sz w:val="18"/>
                      </w:rPr>
                      <w:t>79</w:t>
                    </w:r>
                    <w:r w:rsidRPr="003B15DD">
                      <w:rPr>
                        <w:b/>
                        <w:sz w:val="18"/>
                      </w:rPr>
                      <w:fldChar w:fldCharType="end"/>
                    </w:r>
                  </w:p>
                  <w:p w:rsidR="001532E8" w:rsidRDefault="001532E8"/>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2E8" w:rsidRPr="001075E9" w:rsidRDefault="001532E8" w:rsidP="001075E9">
      <w:pPr>
        <w:tabs>
          <w:tab w:val="right" w:pos="2155"/>
        </w:tabs>
        <w:spacing w:after="80" w:line="240" w:lineRule="auto"/>
        <w:ind w:left="680"/>
        <w:rPr>
          <w:u w:val="single"/>
        </w:rPr>
      </w:pPr>
      <w:r>
        <w:rPr>
          <w:u w:val="single"/>
        </w:rPr>
        <w:tab/>
      </w:r>
    </w:p>
  </w:footnote>
  <w:footnote w:type="continuationSeparator" w:id="0">
    <w:p w:rsidR="001532E8" w:rsidRDefault="001532E8" w:rsidP="00AE0E02">
      <w:pPr>
        <w:tabs>
          <w:tab w:val="right" w:pos="2155"/>
        </w:tabs>
        <w:spacing w:after="80" w:line="240" w:lineRule="auto"/>
        <w:ind w:left="680"/>
        <w:rPr>
          <w:u w:val="single"/>
        </w:rPr>
      </w:pPr>
      <w:r>
        <w:rPr>
          <w:u w:val="single"/>
        </w:rPr>
        <w:tab/>
      </w:r>
    </w:p>
  </w:footnote>
  <w:footnote w:id="1">
    <w:p w:rsidR="001532E8" w:rsidRPr="008454F8" w:rsidRDefault="001532E8">
      <w:pPr>
        <w:pStyle w:val="Textonotapie"/>
        <w:rPr>
          <w:sz w:val="20"/>
        </w:rPr>
      </w:pPr>
      <w:r>
        <w:tab/>
      </w:r>
      <w:r w:rsidRPr="008454F8">
        <w:rPr>
          <w:rStyle w:val="Refdenotaalpie"/>
          <w:sz w:val="20"/>
          <w:vertAlign w:val="baseline"/>
        </w:rPr>
        <w:t>*</w:t>
      </w:r>
      <w:r w:rsidRPr="008454F8">
        <w:rPr>
          <w:rStyle w:val="Refdenotaalpie"/>
          <w:vertAlign w:val="baseline"/>
        </w:rPr>
        <w:tab/>
      </w:r>
      <w:r w:rsidRPr="0019108A">
        <w:rPr>
          <w:lang w:val="es-ES_tradnl"/>
        </w:rPr>
        <w:t>Aprobado por el Comité en su 117º período de sesiones (20 de junio a 15 de julio de 2016).</w:t>
      </w:r>
    </w:p>
  </w:footnote>
  <w:footnote w:id="2">
    <w:p w:rsidR="001532E8" w:rsidRDefault="001532E8" w:rsidP="00741746">
      <w:pPr>
        <w:pStyle w:val="Textonotapie"/>
        <w:widowControl w:val="0"/>
        <w:tabs>
          <w:tab w:val="clear" w:pos="1021"/>
          <w:tab w:val="right" w:pos="1020"/>
        </w:tabs>
        <w:suppressAutoHyphens/>
      </w:pPr>
      <w:r>
        <w:tab/>
      </w:r>
      <w:r>
        <w:rPr>
          <w:rStyle w:val="Refdenotaalpie"/>
        </w:rPr>
        <w:footnoteRef/>
      </w:r>
      <w:r>
        <w:tab/>
      </w:r>
      <w:r w:rsidRPr="0019108A">
        <w:rPr>
          <w:lang w:val="es-ES_tradnl"/>
        </w:rPr>
        <w:t>En su anterior información de seguimiento (véase CCPR/C/115/3), el Estado parte comunicó que había iniciado el proceso de actualización de su Código de Procedimiento Penal, también en lo relativo a la propuesta de abolir el sistema de solicitud de recurso.</w:t>
      </w:r>
    </w:p>
  </w:footnote>
  <w:footnote w:id="3">
    <w:p w:rsidR="001532E8" w:rsidRDefault="001532E8" w:rsidP="007532C7">
      <w:pPr>
        <w:pStyle w:val="Textonotapie"/>
        <w:widowControl w:val="0"/>
        <w:tabs>
          <w:tab w:val="clear" w:pos="1021"/>
          <w:tab w:val="right" w:pos="1020"/>
        </w:tabs>
        <w:suppressAutoHyphens/>
      </w:pPr>
      <w:r>
        <w:tab/>
      </w:r>
      <w:r>
        <w:rPr>
          <w:rStyle w:val="Refdenotaalpie"/>
        </w:rPr>
        <w:footnoteRef/>
      </w:r>
      <w:r>
        <w:tab/>
      </w:r>
      <w:r w:rsidRPr="0019108A">
        <w:rPr>
          <w:lang w:val="es-ES_tradnl"/>
        </w:rPr>
        <w:t>Véase A/62/40 (Vol.</w:t>
      </w:r>
      <w:r w:rsidRPr="0019108A">
        <w:t xml:space="preserve"> </w:t>
      </w:r>
      <w:r w:rsidRPr="0019108A">
        <w:rPr>
          <w:lang w:val="es-ES_tradnl"/>
        </w:rPr>
        <w:t>II).</w:t>
      </w:r>
    </w:p>
  </w:footnote>
  <w:footnote w:id="4">
    <w:p w:rsidR="001532E8" w:rsidRPr="007107EC" w:rsidRDefault="001532E8" w:rsidP="00D4750C">
      <w:pPr>
        <w:pStyle w:val="Textonotapie"/>
      </w:pPr>
      <w:r>
        <w:tab/>
      </w:r>
      <w:r w:rsidRPr="00625B7B">
        <w:rPr>
          <w:sz w:val="20"/>
        </w:rPr>
        <w:t>*</w:t>
      </w:r>
      <w:r>
        <w:tab/>
        <w:t>The present a</w:t>
      </w:r>
      <w:r w:rsidRPr="005B21C2">
        <w:t>nnex is being circulated in the language of submission only.</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3B15DD" w:rsidRDefault="00F53B8E">
    <w:pPr>
      <w:pStyle w:val="Encabezado"/>
    </w:pPr>
    <w:fldSimple w:instr=" TITLE  \* MERGEFORMAT ">
      <w:r w:rsidR="00217EB9">
        <w:t>CCPR/C/117/3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3B15DD" w:rsidRDefault="00F53B8E" w:rsidP="003B15DD">
    <w:pPr>
      <w:pStyle w:val="Encabezado"/>
      <w:jc w:val="right"/>
    </w:pPr>
    <w:fldSimple w:instr=" TITLE  \* MERGEFORMAT ">
      <w:r w:rsidR="00217EB9">
        <w:t>CCPR/C/117/3</w:t>
      </w:r>
    </w:fldSimple>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6B2037" w:rsidRDefault="001532E8" w:rsidP="006B2037">
    <w:r>
      <w:rPr>
        <w:noProof/>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1532E8" w:rsidRPr="003B15DD" w:rsidRDefault="00F53B8E" w:rsidP="006B2037">
                          <w:pPr>
                            <w:pStyle w:val="Encabezado"/>
                          </w:pPr>
                          <w:fldSimple w:instr=" TITLE  \* MERGEFORMAT ">
                            <w:r w:rsidR="00217EB9">
                              <w:t>CCPR/C/117/3</w:t>
                            </w:r>
                          </w:fldSimple>
                        </w:p>
                        <w:p w:rsidR="001532E8" w:rsidRDefault="001532E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1532E8" w:rsidRPr="003B15DD" w:rsidRDefault="00F53B8E" w:rsidP="006B2037">
                    <w:pPr>
                      <w:pStyle w:val="Encabezado"/>
                    </w:pPr>
                    <w:fldSimple w:instr=" TITLE  \* MERGEFORMAT ">
                      <w:r w:rsidR="00217EB9">
                        <w:t>CCPR/C/117/3</w:t>
                      </w:r>
                    </w:fldSimple>
                  </w:p>
                  <w:p w:rsidR="001532E8" w:rsidRDefault="001532E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8" w:rsidRPr="006B2037" w:rsidRDefault="001532E8" w:rsidP="006B2037">
    <w:r>
      <w:rPr>
        <w:noProof/>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532E8" w:rsidRPr="003B15DD" w:rsidRDefault="00F53B8E" w:rsidP="006B2037">
                          <w:pPr>
                            <w:pStyle w:val="Encabezado"/>
                            <w:jc w:val="right"/>
                          </w:pPr>
                          <w:fldSimple w:instr=" TITLE  \* MERGEFORMAT ">
                            <w:r w:rsidR="00217EB9">
                              <w:t>CCPR/C/117/3</w:t>
                            </w:r>
                          </w:fldSimple>
                        </w:p>
                        <w:p w:rsidR="001532E8" w:rsidRDefault="001532E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1532E8" w:rsidRPr="003B15DD" w:rsidRDefault="00F53B8E" w:rsidP="006B2037">
                    <w:pPr>
                      <w:pStyle w:val="Encabezado"/>
                      <w:jc w:val="right"/>
                    </w:pPr>
                    <w:fldSimple w:instr=" TITLE  \* MERGEFORMAT ">
                      <w:r w:rsidR="00217EB9">
                        <w:t>CCPR/C/117/3</w:t>
                      </w:r>
                    </w:fldSimple>
                  </w:p>
                  <w:p w:rsidR="001532E8" w:rsidRDefault="001532E8"/>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1114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9B5C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8607D2"/>
    <w:multiLevelType w:val="hybridMultilevel"/>
    <w:tmpl w:val="81868E1C"/>
    <w:lvl w:ilvl="0" w:tplc="3D066152">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D504B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7"/>
  </w:num>
  <w:num w:numId="3">
    <w:abstractNumId w:val="24"/>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0"/>
  </w:num>
  <w:num w:numId="19">
    <w:abstractNumId w:val="19"/>
  </w:num>
  <w:num w:numId="20">
    <w:abstractNumId w:val="12"/>
  </w:num>
  <w:num w:numId="21">
    <w:abstractNumId w:val="14"/>
  </w:num>
  <w:num w:numId="22">
    <w:abstractNumId w:val="25"/>
  </w:num>
  <w:num w:numId="23">
    <w:abstractNumId w:val="11"/>
  </w:num>
  <w:num w:numId="24">
    <w:abstractNumId w:val="15"/>
  </w:num>
  <w:num w:numId="25">
    <w:abstractNumId w:val="18"/>
  </w:num>
  <w:num w:numId="2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BA"/>
    <w:rsid w:val="00006BB9"/>
    <w:rsid w:val="00033EF3"/>
    <w:rsid w:val="0005274F"/>
    <w:rsid w:val="00067B12"/>
    <w:rsid w:val="00081EEC"/>
    <w:rsid w:val="000A36A2"/>
    <w:rsid w:val="000B57E7"/>
    <w:rsid w:val="000F09DF"/>
    <w:rsid w:val="000F61B2"/>
    <w:rsid w:val="001075E9"/>
    <w:rsid w:val="001532E8"/>
    <w:rsid w:val="00160FF7"/>
    <w:rsid w:val="00174B55"/>
    <w:rsid w:val="00180183"/>
    <w:rsid w:val="0018563F"/>
    <w:rsid w:val="00196389"/>
    <w:rsid w:val="001A1F00"/>
    <w:rsid w:val="001C7A89"/>
    <w:rsid w:val="00217EB9"/>
    <w:rsid w:val="0022765D"/>
    <w:rsid w:val="00265BB6"/>
    <w:rsid w:val="002A061F"/>
    <w:rsid w:val="002A1D43"/>
    <w:rsid w:val="002A2EFC"/>
    <w:rsid w:val="002A6FA7"/>
    <w:rsid w:val="002B53BF"/>
    <w:rsid w:val="002C0E18"/>
    <w:rsid w:val="002C33BB"/>
    <w:rsid w:val="002D5AAC"/>
    <w:rsid w:val="002D7C8D"/>
    <w:rsid w:val="002E092A"/>
    <w:rsid w:val="002F13FE"/>
    <w:rsid w:val="00301299"/>
    <w:rsid w:val="00322004"/>
    <w:rsid w:val="003402C2"/>
    <w:rsid w:val="0036261E"/>
    <w:rsid w:val="00381C24"/>
    <w:rsid w:val="003956C6"/>
    <w:rsid w:val="003958D0"/>
    <w:rsid w:val="003A66BA"/>
    <w:rsid w:val="003B15DD"/>
    <w:rsid w:val="003E1F6E"/>
    <w:rsid w:val="003E352C"/>
    <w:rsid w:val="003E45A9"/>
    <w:rsid w:val="004039A7"/>
    <w:rsid w:val="00411A36"/>
    <w:rsid w:val="00454E07"/>
    <w:rsid w:val="004744DF"/>
    <w:rsid w:val="004875CF"/>
    <w:rsid w:val="004E4B46"/>
    <w:rsid w:val="0050108D"/>
    <w:rsid w:val="00534343"/>
    <w:rsid w:val="00563EE5"/>
    <w:rsid w:val="0056787C"/>
    <w:rsid w:val="00572E19"/>
    <w:rsid w:val="0057501A"/>
    <w:rsid w:val="0058578B"/>
    <w:rsid w:val="00593764"/>
    <w:rsid w:val="005B3E01"/>
    <w:rsid w:val="005F0B42"/>
    <w:rsid w:val="00614642"/>
    <w:rsid w:val="00655A21"/>
    <w:rsid w:val="00660CE8"/>
    <w:rsid w:val="006808A9"/>
    <w:rsid w:val="006B2037"/>
    <w:rsid w:val="006F35EE"/>
    <w:rsid w:val="007014AC"/>
    <w:rsid w:val="007021FF"/>
    <w:rsid w:val="0070257F"/>
    <w:rsid w:val="007076CB"/>
    <w:rsid w:val="00721764"/>
    <w:rsid w:val="00741746"/>
    <w:rsid w:val="007532C7"/>
    <w:rsid w:val="007967DF"/>
    <w:rsid w:val="007A0D9C"/>
    <w:rsid w:val="00803DCD"/>
    <w:rsid w:val="00821656"/>
    <w:rsid w:val="00834B71"/>
    <w:rsid w:val="008454F8"/>
    <w:rsid w:val="0086445C"/>
    <w:rsid w:val="008666E3"/>
    <w:rsid w:val="00887BA6"/>
    <w:rsid w:val="008A08D7"/>
    <w:rsid w:val="008A13F9"/>
    <w:rsid w:val="008D5DB6"/>
    <w:rsid w:val="00906890"/>
    <w:rsid w:val="00916396"/>
    <w:rsid w:val="0094265C"/>
    <w:rsid w:val="00951972"/>
    <w:rsid w:val="00963777"/>
    <w:rsid w:val="00976505"/>
    <w:rsid w:val="009946B1"/>
    <w:rsid w:val="009976B8"/>
    <w:rsid w:val="009B452A"/>
    <w:rsid w:val="009B4E5E"/>
    <w:rsid w:val="009D7E32"/>
    <w:rsid w:val="00A17DFD"/>
    <w:rsid w:val="00A22850"/>
    <w:rsid w:val="00A76B42"/>
    <w:rsid w:val="00A81257"/>
    <w:rsid w:val="00A917B3"/>
    <w:rsid w:val="00AB4B51"/>
    <w:rsid w:val="00AE0E02"/>
    <w:rsid w:val="00AE4CC4"/>
    <w:rsid w:val="00B10CC7"/>
    <w:rsid w:val="00B511D3"/>
    <w:rsid w:val="00B62458"/>
    <w:rsid w:val="00B92FCE"/>
    <w:rsid w:val="00BD33EE"/>
    <w:rsid w:val="00C14225"/>
    <w:rsid w:val="00C2215B"/>
    <w:rsid w:val="00C27ECE"/>
    <w:rsid w:val="00C33381"/>
    <w:rsid w:val="00C56FC7"/>
    <w:rsid w:val="00C60F0C"/>
    <w:rsid w:val="00C65971"/>
    <w:rsid w:val="00C76505"/>
    <w:rsid w:val="00C805C9"/>
    <w:rsid w:val="00CA1679"/>
    <w:rsid w:val="00CC594F"/>
    <w:rsid w:val="00D16716"/>
    <w:rsid w:val="00D4750C"/>
    <w:rsid w:val="00D5042C"/>
    <w:rsid w:val="00D62ECA"/>
    <w:rsid w:val="00D646C0"/>
    <w:rsid w:val="00D809C0"/>
    <w:rsid w:val="00D80BBB"/>
    <w:rsid w:val="00D90138"/>
    <w:rsid w:val="00DE44AD"/>
    <w:rsid w:val="00E34B50"/>
    <w:rsid w:val="00E73F76"/>
    <w:rsid w:val="00EA164F"/>
    <w:rsid w:val="00EF1360"/>
    <w:rsid w:val="00EF3220"/>
    <w:rsid w:val="00F25DC9"/>
    <w:rsid w:val="00F37024"/>
    <w:rsid w:val="00F44B33"/>
    <w:rsid w:val="00F53B8E"/>
    <w:rsid w:val="00F84F6A"/>
    <w:rsid w:val="00F94155"/>
    <w:rsid w:val="00FB0ACE"/>
    <w:rsid w:val="00FB7F39"/>
    <w:rsid w:val="00FD2EF7"/>
    <w:rsid w:val="00FD4AD6"/>
    <w:rsid w:val="00FD5D2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6BF202B-2845-41CD-BB9C-A9875A349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link w:val="Ttulo1Car"/>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link w:val="TextonotaalfinalCar"/>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A76B42"/>
    <w:rPr>
      <w:sz w:val="18"/>
      <w:lang w:val="es-ES" w:eastAsia="es-ES"/>
    </w:rPr>
  </w:style>
  <w:style w:type="character" w:customStyle="1" w:styleId="SingleTxtGChar">
    <w:name w:val="_ Single Txt_G Char"/>
    <w:link w:val="SingleTxtG"/>
    <w:rsid w:val="00A76B42"/>
    <w:rPr>
      <w:lang w:val="es-ES" w:eastAsia="es-ES"/>
    </w:rPr>
  </w:style>
  <w:style w:type="character" w:customStyle="1" w:styleId="EncabezadoCar">
    <w:name w:val="Encabezado Car"/>
    <w:aliases w:val="6_G Car"/>
    <w:basedOn w:val="Fuentedeprrafopredeter"/>
    <w:link w:val="Encabezado"/>
    <w:rsid w:val="006B2037"/>
    <w:rPr>
      <w:b/>
      <w:sz w:val="18"/>
      <w:lang w:val="es-ES" w:eastAsia="es-ES"/>
    </w:rPr>
  </w:style>
  <w:style w:type="character" w:customStyle="1" w:styleId="PiedepginaCar">
    <w:name w:val="Pie de página Car"/>
    <w:aliases w:val="3_G Car"/>
    <w:basedOn w:val="Fuentedeprrafopredeter"/>
    <w:link w:val="Piedepgina"/>
    <w:rsid w:val="006B2037"/>
    <w:rPr>
      <w:sz w:val="16"/>
      <w:lang w:val="es-ES" w:eastAsia="es-ES"/>
    </w:rPr>
  </w:style>
  <w:style w:type="paragraph" w:customStyle="1" w:styleId="ParaNoG">
    <w:name w:val="_ParaNo._G"/>
    <w:basedOn w:val="SingleTxtG"/>
    <w:rsid w:val="006B2037"/>
    <w:pPr>
      <w:numPr>
        <w:numId w:val="18"/>
      </w:numPr>
      <w:suppressAutoHyphens/>
    </w:pPr>
    <w:rPr>
      <w:rFonts w:eastAsia="SimSun"/>
      <w:lang w:val="en-GB" w:eastAsia="zh-CN"/>
    </w:rPr>
  </w:style>
  <w:style w:type="character" w:customStyle="1" w:styleId="TextonotaalfinalCar">
    <w:name w:val="Texto nota al final Car"/>
    <w:aliases w:val="2_G Car"/>
    <w:basedOn w:val="Fuentedeprrafopredeter"/>
    <w:link w:val="Textonotaalfinal"/>
    <w:rsid w:val="006B2037"/>
    <w:rPr>
      <w:sz w:val="18"/>
      <w:lang w:val="es-ES" w:eastAsia="es-ES"/>
    </w:rPr>
  </w:style>
  <w:style w:type="character" w:customStyle="1" w:styleId="Ttulo1Car">
    <w:name w:val="Título 1 Car"/>
    <w:aliases w:val="Table_G Car"/>
    <w:basedOn w:val="Fuentedeprrafopredeter"/>
    <w:link w:val="Ttulo1"/>
    <w:rsid w:val="006B2037"/>
    <w:rPr>
      <w:rFonts w:cs="Arial"/>
      <w:bCs/>
      <w:szCs w:val="32"/>
      <w:lang w:val="es-ES" w:eastAsia="es-ES"/>
    </w:rPr>
  </w:style>
  <w:style w:type="character" w:customStyle="1" w:styleId="Ttulo2Car">
    <w:name w:val="Título 2 Car"/>
    <w:basedOn w:val="Fuentedeprrafopredeter"/>
    <w:link w:val="Ttulo2"/>
    <w:rsid w:val="006B2037"/>
    <w:rPr>
      <w:rFonts w:cs="Arial"/>
      <w:bCs/>
      <w:iCs/>
      <w:szCs w:val="28"/>
      <w:lang w:val="es-ES" w:eastAsia="es-ES"/>
    </w:rPr>
  </w:style>
  <w:style w:type="character" w:customStyle="1" w:styleId="Ttulo3Car">
    <w:name w:val="Título 3 Car"/>
    <w:basedOn w:val="Fuentedeprrafopredeter"/>
    <w:link w:val="Ttulo3"/>
    <w:rsid w:val="006B2037"/>
    <w:rPr>
      <w:rFonts w:ascii="Arial" w:hAnsi="Arial" w:cs="Arial"/>
      <w:b/>
      <w:bCs/>
      <w:sz w:val="26"/>
      <w:szCs w:val="26"/>
      <w:lang w:val="es-ES" w:eastAsia="es-ES"/>
    </w:rPr>
  </w:style>
  <w:style w:type="character" w:customStyle="1" w:styleId="Ttulo4Car">
    <w:name w:val="Título 4 Car"/>
    <w:basedOn w:val="Fuentedeprrafopredeter"/>
    <w:link w:val="Ttulo4"/>
    <w:rsid w:val="006B2037"/>
    <w:rPr>
      <w:b/>
      <w:bCs/>
      <w:sz w:val="28"/>
      <w:szCs w:val="28"/>
      <w:lang w:val="es-ES" w:eastAsia="es-ES"/>
    </w:rPr>
  </w:style>
  <w:style w:type="character" w:customStyle="1" w:styleId="Ttulo5Car">
    <w:name w:val="Título 5 Car"/>
    <w:basedOn w:val="Fuentedeprrafopredeter"/>
    <w:link w:val="Ttulo5"/>
    <w:rsid w:val="006B2037"/>
    <w:rPr>
      <w:b/>
      <w:bCs/>
      <w:i/>
      <w:iCs/>
      <w:sz w:val="26"/>
      <w:szCs w:val="26"/>
      <w:lang w:val="es-ES" w:eastAsia="es-ES"/>
    </w:rPr>
  </w:style>
  <w:style w:type="character" w:customStyle="1" w:styleId="Ttulo6Car">
    <w:name w:val="Título 6 Car"/>
    <w:basedOn w:val="Fuentedeprrafopredeter"/>
    <w:link w:val="Ttulo6"/>
    <w:rsid w:val="006B2037"/>
    <w:rPr>
      <w:b/>
      <w:bCs/>
      <w:sz w:val="22"/>
      <w:szCs w:val="22"/>
      <w:lang w:val="es-ES" w:eastAsia="es-ES"/>
    </w:rPr>
  </w:style>
  <w:style w:type="character" w:customStyle="1" w:styleId="Ttulo7Car">
    <w:name w:val="Título 7 Car"/>
    <w:basedOn w:val="Fuentedeprrafopredeter"/>
    <w:link w:val="Ttulo7"/>
    <w:rsid w:val="006B2037"/>
    <w:rPr>
      <w:sz w:val="24"/>
      <w:szCs w:val="24"/>
      <w:lang w:val="es-ES" w:eastAsia="es-ES"/>
    </w:rPr>
  </w:style>
  <w:style w:type="character" w:customStyle="1" w:styleId="Ttulo8Car">
    <w:name w:val="Título 8 Car"/>
    <w:basedOn w:val="Fuentedeprrafopredeter"/>
    <w:link w:val="Ttulo8"/>
    <w:rsid w:val="006B2037"/>
    <w:rPr>
      <w:i/>
      <w:iCs/>
      <w:sz w:val="24"/>
      <w:szCs w:val="24"/>
      <w:lang w:val="es-ES" w:eastAsia="es-ES"/>
    </w:rPr>
  </w:style>
  <w:style w:type="character" w:customStyle="1" w:styleId="Ttulo9Car">
    <w:name w:val="Título 9 Car"/>
    <w:basedOn w:val="Fuentedeprrafopredeter"/>
    <w:link w:val="Ttulo9"/>
    <w:rsid w:val="006B2037"/>
    <w:rPr>
      <w:rFonts w:ascii="Arial" w:hAnsi="Arial" w:cs="Arial"/>
      <w:sz w:val="22"/>
      <w:szCs w:val="22"/>
      <w:lang w:val="es-ES" w:eastAsia="es-ES"/>
    </w:rPr>
  </w:style>
  <w:style w:type="character" w:styleId="Ttulodellibro">
    <w:name w:val="Book Title"/>
    <w:basedOn w:val="Fuentedeprrafopredeter"/>
    <w:uiPriority w:val="33"/>
    <w:rsid w:val="006B2037"/>
    <w:rPr>
      <w:b/>
      <w:bCs/>
      <w:smallCaps/>
      <w:spacing w:val="5"/>
    </w:rPr>
  </w:style>
  <w:style w:type="paragraph" w:customStyle="1" w:styleId="Rvision1">
    <w:name w:val="Révision1"/>
    <w:hidden/>
    <w:semiHidden/>
    <w:rsid w:val="006B2037"/>
    <w:rPr>
      <w:rFonts w:eastAsia="SimSun"/>
      <w:sz w:val="24"/>
      <w:szCs w:val="24"/>
    </w:rPr>
  </w:style>
  <w:style w:type="paragraph" w:styleId="Revisin">
    <w:name w:val="Revision"/>
    <w:hidden/>
    <w:uiPriority w:val="99"/>
    <w:semiHidden/>
    <w:rsid w:val="006B2037"/>
    <w:rPr>
      <w:rFonts w:eastAsia="MS Minch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873BF-9C67-4B8C-8D40-7BB771C70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80</Pages>
  <Words>18051</Words>
  <Characters>99285</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CCPR/C/117/3</vt:lpstr>
    </vt:vector>
  </TitlesOfParts>
  <Company/>
  <LinksUpToDate>false</LinksUpToDate>
  <CharactersWithSpaces>117102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CCPR/C/117/3</dc:title>
  <dc:subject/>
  <dc:creator>Juan-Carlos KOROL</dc:creator>
  <cp:keywords/>
  <cp:lastModifiedBy>Maria  DE LA PLAZA</cp:lastModifiedBy>
  <cp:revision>3</cp:revision>
  <cp:lastPrinted>2017-03-28T12:30:00Z</cp:lastPrinted>
  <dcterms:created xsi:type="dcterms:W3CDTF">2017-03-28T12:30:00Z</dcterms:created>
  <dcterms:modified xsi:type="dcterms:W3CDTF">2017-03-28T12:31:00Z</dcterms:modified>
</cp:coreProperties>
</file>