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rPr>
          <w:b/>
        </w:rPr>
      </w:pPr>
      <w:r>
        <w:rPr>
          <w:b/>
        </w:rPr>
        <w:t>Двадцать девятая сессия</w:t>
      </w:r>
    </w:p>
    <w:p w:rsidR="00000000" w:rsidRDefault="00000000">
      <w:pPr>
        <w:spacing w:line="120" w:lineRule="exact"/>
        <w:rPr>
          <w:b/>
          <w:sz w:val="10"/>
        </w:rPr>
      </w:pPr>
    </w:p>
    <w:p w:rsidR="00000000" w:rsidRDefault="00000000">
      <w:pPr>
        <w:pStyle w:val="H23"/>
      </w:pPr>
      <w:r>
        <w:t>Краткий отчет о 627-м заседании,</w:t>
      </w:r>
    </w:p>
    <w:p w:rsidR="00000000" w:rsidRDefault="00000000">
      <w:r>
        <w:t>состоявшемся в Центральных учреждениях, Нью-Йорк, во вторник, 15 июля 2003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</w:pPr>
      <w:r>
        <w:tab/>
      </w:r>
      <w:r>
        <w:rPr>
          <w:i/>
        </w:rPr>
        <w:t>Второй периодический доклад Марокко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периодический доклад Марокко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(CEDAW/C/MOR/2 и CEDAW/PSWG/2003/II/CRP.2/Add.3)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М</w:t>
      </w:r>
      <w:r>
        <w:t>а</w:t>
      </w:r>
      <w:r>
        <w:t>рокко вновь занимает места за столом Ком</w:t>
      </w:r>
      <w:r>
        <w:t>и</w:t>
      </w:r>
      <w:r>
        <w:t>тета.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10–14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задавать вопр</w:t>
      </w:r>
      <w:r>
        <w:t>о</w:t>
      </w:r>
      <w:r>
        <w:t>сы по статьям 10–14 Конвенции.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что, как указано в докладе, договорная система основана на принципе, согла</w:t>
      </w:r>
      <w:r>
        <w:t>с</w:t>
      </w:r>
      <w:r>
        <w:t>но которому при прочих равных факторах неправ</w:t>
      </w:r>
      <w:r>
        <w:t>о</w:t>
      </w:r>
      <w:r>
        <w:t>мерно проводить различие между рабо</w:t>
      </w:r>
      <w:r>
        <w:t>т</w:t>
      </w:r>
      <w:r>
        <w:t>никами-мужчинами и работниками-женщинами исключ</w:t>
      </w:r>
      <w:r>
        <w:t>и</w:t>
      </w:r>
      <w:r>
        <w:t>тельно по признаку пола. В Конвенции, однако, п</w:t>
      </w:r>
      <w:r>
        <w:t>о</w:t>
      </w:r>
      <w:r>
        <w:t>лучение равной оплаты за труд равной ценности рассматривается как одно из прав человека. Было бы полезно узнать, содержатся ли в новом Трудовом кодексе положения, запрещающие дискриминацию в отношении женщин в сфере занятости. Она спр</w:t>
      </w:r>
      <w:r>
        <w:t>а</w:t>
      </w:r>
      <w:r>
        <w:t>шивает, применяется ли система контрактов для всех видов занятости, включая занятость неполный рабочий день, работу в неформальном секторе и в сфере сельского хозяйства. В связи с этим она о</w:t>
      </w:r>
      <w:r>
        <w:t>т</w:t>
      </w:r>
      <w:r>
        <w:t>мечает как важное достижение введение в действие в сельском хозяйстве системы, предусматривающей минимальный уровень заработной пл</w:t>
      </w:r>
      <w:r>
        <w:t>а</w:t>
      </w:r>
      <w:r>
        <w:t xml:space="preserve">ты. 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спрашивает, являе</w:t>
      </w:r>
      <w:r>
        <w:t>т</w:t>
      </w:r>
      <w:r>
        <w:t>ся ли обучение девочек бесплатным на всех уровнях системы образования. Она хотела бы также знать, почему увеличилось число учащихся, выбывающих из школы, были ли приняты меры, с тем чтобы п</w:t>
      </w:r>
      <w:r>
        <w:t>о</w:t>
      </w:r>
      <w:r>
        <w:t>ложить конец этой тенденции, и был ли достигнут 80</w:t>
      </w:r>
      <w:r>
        <w:noBreakHyphen/>
        <w:t>процентный целевой показатель набора учащи</w:t>
      </w:r>
      <w:r>
        <w:t>х</w:t>
      </w:r>
      <w:r>
        <w:t>ся в школы.</w:t>
      </w:r>
    </w:p>
    <w:p w:rsidR="00000000" w:rsidRDefault="00000000">
      <w:pPr>
        <w:pStyle w:val="DualTxt"/>
      </w:pPr>
      <w:r>
        <w:t>5.</w:t>
      </w:r>
      <w:r>
        <w:tab/>
        <w:t>Кроме того, она спрашивает, были ли приняты меры для улучшения положения женщин, занятых домашним трудом, и было ли введено в действие законодательство о борьбе с сексуальными домог</w:t>
      </w:r>
      <w:r>
        <w:t>а</w:t>
      </w:r>
      <w:r>
        <w:t>тельствами. И наконец, она спрашивает, был ли принят Трудовой кодекс или он пока так и остается законопрое</w:t>
      </w:r>
      <w:r>
        <w:t>к</w:t>
      </w:r>
      <w:r>
        <w:t>том.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согласна с тем, что в целях улучшения положения женщин необходимо делать акцент на вопросах образования. Она хотела бы получить более подробную информацию об ус</w:t>
      </w:r>
      <w:r>
        <w:t>и</w:t>
      </w:r>
      <w:r>
        <w:t>лиях, нацеленных на повышение уровня образов</w:t>
      </w:r>
      <w:r>
        <w:t>а</w:t>
      </w:r>
      <w:r>
        <w:t>ния женщин, особенно в сельских районах.</w:t>
      </w:r>
    </w:p>
    <w:p w:rsidR="00000000" w:rsidRDefault="00000000">
      <w:pPr>
        <w:pStyle w:val="DualTxt"/>
      </w:pPr>
      <w:r>
        <w:t>7.</w:t>
      </w:r>
      <w:r>
        <w:tab/>
        <w:t>Она с удовлетворением отмечает, что прав</w:t>
      </w:r>
      <w:r>
        <w:t>и</w:t>
      </w:r>
      <w:r>
        <w:t>тельство неуклонно придерживается положений конвенций Международной организации труда; она надеется, что приверженность правительства скоро найдет свое отражение в политике в вопросах тр</w:t>
      </w:r>
      <w:r>
        <w:t>у</w:t>
      </w:r>
      <w:r>
        <w:t>да. Она хотела бы также получить более подробную информацию относительно профессиональной по</w:t>
      </w:r>
      <w:r>
        <w:t>д</w:t>
      </w:r>
      <w:r>
        <w:t>готовки по вопросам равенства полов, а также о м</w:t>
      </w:r>
      <w:r>
        <w:t>е</w:t>
      </w:r>
      <w:r>
        <w:t>рах, принимаемых в целях улучшения положения трудящихся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какие меры предп</w:t>
      </w:r>
      <w:r>
        <w:t>о</w:t>
      </w:r>
      <w:r>
        <w:t>лагается принять в целях улучшения положения сельских женщин, включая, в частности, програ</w:t>
      </w:r>
      <w:r>
        <w:t>м</w:t>
      </w:r>
      <w:r>
        <w:t>мы кредитования, а также в целях сокращения уровня сегрегации по признаку пола в сфере зан</w:t>
      </w:r>
      <w:r>
        <w:t>я</w:t>
      </w:r>
      <w:r>
        <w:t>тости.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интересуется, рассматриваются ли в Марокко права женщин как права человека, в частности в контексте формирования культуры прав человека. Она хотела бы также знать, делается ли акцент на гендерных аспектах в пособиях для уч</w:t>
      </w:r>
      <w:r>
        <w:t>и</w:t>
      </w:r>
      <w:r>
        <w:t>телей, преподающих родной язык, историю, ге</w:t>
      </w:r>
      <w:r>
        <w:t>о</w:t>
      </w:r>
      <w:r>
        <w:t>графию, общественные науки и ислам, и отмечает, что обеспечить всесторонний учет вопросов ге</w:t>
      </w:r>
      <w:r>
        <w:t>н</w:t>
      </w:r>
      <w:r>
        <w:t>дерной проблематики в контексте ислама будет весьма непростой задачей. Она спрашивает, осущ</w:t>
      </w:r>
      <w:r>
        <w:t>е</w:t>
      </w:r>
      <w:r>
        <w:t>ствляются ли меры в целях ликвидации дискрим</w:t>
      </w:r>
      <w:r>
        <w:t>и</w:t>
      </w:r>
      <w:r>
        <w:t>национных по своему характеру стереотипов на о</w:t>
      </w:r>
      <w:r>
        <w:t>с</w:t>
      </w:r>
      <w:r>
        <w:t>нове принципа, согласно которому права женщин являются правами человека, и пропагандируется ли в материалах учебных программ по вопросам прав человека положительный образ женщин и девочек. И наконец, она спрашивает, какова доля женщин среди лиц, обучающихся грамоте, и, кроме того, а</w:t>
      </w:r>
      <w:r>
        <w:t>к</w:t>
      </w:r>
      <w:r>
        <w:t>центируются ли права женщин в процессе обучения грамоте как права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вносит предложение о том, что, возможно, правительство могло бы рассмотреть в</w:t>
      </w:r>
      <w:r>
        <w:t>о</w:t>
      </w:r>
      <w:r>
        <w:t>прос об утверждении программы, предусматр</w:t>
      </w:r>
      <w:r>
        <w:t>и</w:t>
      </w:r>
      <w:r>
        <w:t>вающей посменную работу врачей в сельской мес</w:t>
      </w:r>
      <w:r>
        <w:t>т</w:t>
      </w:r>
      <w:r>
        <w:t>ности, с целью уменьшить серьезный разрыв между сельскими районами и городами в плане возможн</w:t>
      </w:r>
      <w:r>
        <w:t>о</w:t>
      </w:r>
      <w:r>
        <w:t>стей получ</w:t>
      </w:r>
      <w:r>
        <w:t>е</w:t>
      </w:r>
      <w:r>
        <w:t>ния врачебной помощи.</w:t>
      </w:r>
    </w:p>
    <w:p w:rsidR="00000000" w:rsidRDefault="00000000">
      <w:pPr>
        <w:pStyle w:val="DualTxt"/>
      </w:pPr>
      <w:r>
        <w:t>11.</w:t>
      </w:r>
      <w:r>
        <w:tab/>
        <w:t>Она приветствует тот факт, что в Марокко п</w:t>
      </w:r>
      <w:r>
        <w:t>о</w:t>
      </w:r>
      <w:r>
        <w:t>кончено с практикой проведения калечащих опер</w:t>
      </w:r>
      <w:r>
        <w:t>а</w:t>
      </w:r>
      <w:r>
        <w:t>ций на женских половых органах.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н Лулишки</w:t>
      </w:r>
      <w:r>
        <w:t xml:space="preserve"> (Марокко) говорит, что новый Трудовой кодекс был принят недавно по заверш</w:t>
      </w:r>
      <w:r>
        <w:t>е</w:t>
      </w:r>
      <w:r>
        <w:t>нии длительного процесса с участием многих заи</w:t>
      </w:r>
      <w:r>
        <w:t>н</w:t>
      </w:r>
      <w:r>
        <w:t>тересованных сторон. Итоговый документ тщател</w:t>
      </w:r>
      <w:r>
        <w:t>ь</w:t>
      </w:r>
      <w:r>
        <w:t>но проработан и будет способствовать развитию концепции прав человека, в частности прав же</w:t>
      </w:r>
      <w:r>
        <w:t>н</w:t>
      </w:r>
      <w:r>
        <w:t>щин. Хотя обучение в школах бесплатное, есть мн</w:t>
      </w:r>
      <w:r>
        <w:t>о</w:t>
      </w:r>
      <w:r>
        <w:t>го дополнительных видов расходов, связанных с учебой в школе, таких, как расходы на одежду, учебники и канцелярские принадлежности, а также транспорт. Местные органы власти в отдаленных районах обеспечивают детей питанием, а доноры, равно как и международные и национальные непр</w:t>
      </w:r>
      <w:r>
        <w:t>а</w:t>
      </w:r>
      <w:r>
        <w:t>вительственные организации, стараются уменьшить бремя расходов, связанных с посещением школ, для малоимущих уч</w:t>
      </w:r>
      <w:r>
        <w:t>а</w:t>
      </w:r>
      <w:r>
        <w:t>щихся.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Идрисси</w:t>
      </w:r>
      <w:r>
        <w:t xml:space="preserve"> (Марокко) говорит, что, хотя право на труд закреплено в Конституции Марокко, реализовать его на практике сложно, пока стране не удастся добиться более высокого уровня эконом</w:t>
      </w:r>
      <w:r>
        <w:t>и</w:t>
      </w:r>
      <w:r>
        <w:t>ческого развития и фактической демократизации общества. В Кодексе законов о личном статусе г</w:t>
      </w:r>
      <w:r>
        <w:t>о</w:t>
      </w:r>
      <w:r>
        <w:t>ворится о необходимости установления равной з</w:t>
      </w:r>
      <w:r>
        <w:t>а</w:t>
      </w:r>
      <w:r>
        <w:t>работной платы для женщин и мужчин; значит, в этом секторе нет дискриминации. Невозможно по</w:t>
      </w:r>
      <w:r>
        <w:t>д</w:t>
      </w:r>
      <w:r>
        <w:t>считать число людей, занятых в неформальном се</w:t>
      </w:r>
      <w:r>
        <w:t>к</w:t>
      </w:r>
      <w:r>
        <w:t>торе, либо установить уровень их заработной пл</w:t>
      </w:r>
      <w:r>
        <w:t>а</w:t>
      </w:r>
      <w:r>
        <w:t>ты. В частном секторе уровень заработной платы определяется в договоре между работодателем и работником, и на крупных предприятиях есть во</w:t>
      </w:r>
      <w:r>
        <w:t>з</w:t>
      </w:r>
      <w:r>
        <w:t>можность добиться в этом плане равных условий. На менее крупных предприятиях вероятность до</w:t>
      </w:r>
      <w:r>
        <w:t>с</w:t>
      </w:r>
      <w:r>
        <w:t>тижения равных условий снижается. Предприн</w:t>
      </w:r>
      <w:r>
        <w:t>и</w:t>
      </w:r>
      <w:r>
        <w:t>маются усилия в целях повышения осведомленн</w:t>
      </w:r>
      <w:r>
        <w:t>о</w:t>
      </w:r>
      <w:r>
        <w:t>сти женщин в этих вопросах, поскольку они, как правило, лишены возможности участвовать в пер</w:t>
      </w:r>
      <w:r>
        <w:t>е</w:t>
      </w:r>
      <w:r>
        <w:t>говорах о заключении трудовых соглаш</w:t>
      </w:r>
      <w:r>
        <w:t>е</w:t>
      </w:r>
      <w:r>
        <w:t>ний.</w:t>
      </w:r>
    </w:p>
    <w:p w:rsidR="00000000" w:rsidRDefault="00000000">
      <w:pPr>
        <w:pStyle w:val="DualTxt"/>
      </w:pPr>
      <w:r>
        <w:t>14.</w:t>
      </w:r>
      <w:r>
        <w:tab/>
        <w:t>В статье 9 нового Трудового кодекса запрещ</w:t>
      </w:r>
      <w:r>
        <w:t>а</w:t>
      </w:r>
      <w:r>
        <w:t>ется дискриминация по многим признакам, в том числе по признаку расовой, религиозной прина</w:t>
      </w:r>
      <w:r>
        <w:t>д</w:t>
      </w:r>
      <w:r>
        <w:t>лежности, по признаку пола, гражданского статуса, партийной и профсоюзной принадлежности. В</w:t>
      </w:r>
      <w:r>
        <w:t>и</w:t>
      </w:r>
      <w:r>
        <w:t>новные в нарушении положений этой статьи по</w:t>
      </w:r>
      <w:r>
        <w:t>д</w:t>
      </w:r>
      <w:r>
        <w:t>вергаются штрафу в размере от 15 000 до 25 000 дирхамов, размер которого удваивается в случае повторного нарушения. Правительство орг</w:t>
      </w:r>
      <w:r>
        <w:t>а</w:t>
      </w:r>
      <w:r>
        <w:t>низовало программы профессиональной подготовки и повышения осведомленности для лиц, занима</w:t>
      </w:r>
      <w:r>
        <w:t>ю</w:t>
      </w:r>
      <w:r>
        <w:t>щихся вопросами контроля за осуществлением тр</w:t>
      </w:r>
      <w:r>
        <w:t>у</w:t>
      </w:r>
      <w:r>
        <w:t>дового законодательства, в частности инспекторов по вопросам труда, которые призваны, в частности, защищать права человека, в частности уделяя вн</w:t>
      </w:r>
      <w:r>
        <w:t>и</w:t>
      </w:r>
      <w:r>
        <w:t>мание гендерным аспектам. Кроме того, в составе различных управлений в министерствах действуют координаторы, деятельность которых финансируе</w:t>
      </w:r>
      <w:r>
        <w:t>т</w:t>
      </w:r>
      <w:r>
        <w:t>ся, в частности, Фондом Организации Объедине</w:t>
      </w:r>
      <w:r>
        <w:t>н</w:t>
      </w:r>
      <w:r>
        <w:t>ных Наций для развития в интересах женщин (ЮНИФЕМ). Хотя исключительно важная роль сельских женщин в процессе развития общепр</w:t>
      </w:r>
      <w:r>
        <w:t>и</w:t>
      </w:r>
      <w:r>
        <w:t>знанна, еще предстоит многое сделать в этой обла</w:t>
      </w:r>
      <w:r>
        <w:t>с</w:t>
      </w:r>
      <w:r>
        <w:t>ти в неформальном, частном и аграрном се</w:t>
      </w:r>
      <w:r>
        <w:t>к</w:t>
      </w:r>
      <w:r>
        <w:t>торах.</w:t>
      </w:r>
    </w:p>
    <w:p w:rsidR="00000000" w:rsidRDefault="00000000">
      <w:pPr>
        <w:pStyle w:val="DualTxt"/>
      </w:pPr>
      <w:r>
        <w:t>15.</w:t>
      </w:r>
      <w:r>
        <w:tab/>
        <w:t>Статья 4 Трудового кодекса посвящена важной категории — работе на дому, однако меры для пра</w:t>
      </w:r>
      <w:r>
        <w:t>к</w:t>
      </w:r>
      <w:r>
        <w:t>тической реализации этих положений еще четко не определены. Продолжительность отпуска по бер</w:t>
      </w:r>
      <w:r>
        <w:t>е</w:t>
      </w:r>
      <w:r>
        <w:t>менности и родам для работающих матерей была увеличена с 12 до 14 недель, и матери имеют право на часовой перерыв в течение рабочего дня для кормления ребенка до достижения им одного года. Предприятия, на которых заняты 50 или более женщин, обязаны организовывать для женщин сп</w:t>
      </w:r>
      <w:r>
        <w:t>е</w:t>
      </w:r>
      <w:r>
        <w:t>циальные комнаты для отдыха и кормления грудных детей, а также обеспечивать удобные сиденья для беременных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Азизи </w:t>
      </w:r>
      <w:r>
        <w:t>(Марокко) говорит, что министе</w:t>
      </w:r>
      <w:r>
        <w:t>р</w:t>
      </w:r>
      <w:r>
        <w:t>ство сельского хозяйства и ряд других министерств и ведомств осуществляют программы в интересах трудоустройства сельских женщин, а также в эксп</w:t>
      </w:r>
      <w:r>
        <w:t>е</w:t>
      </w:r>
      <w:r>
        <w:t>риментальном порядке реализуют программы в ц</w:t>
      </w:r>
      <w:r>
        <w:t>е</w:t>
      </w:r>
      <w:r>
        <w:t>лях сокращения масштабов нищеты и маргинализ</w:t>
      </w:r>
      <w:r>
        <w:t>а</w:t>
      </w:r>
      <w:r>
        <w:t>ции. Такие программы, включающие професси</w:t>
      </w:r>
      <w:r>
        <w:t>о</w:t>
      </w:r>
      <w:r>
        <w:t>нальную подготовку, распространение информации, обеспечение особых условий в плане кредитования для женщин, а также создание женских предпр</w:t>
      </w:r>
      <w:r>
        <w:t>и</w:t>
      </w:r>
      <w:r>
        <w:t>ятий, оказывают существенное влияние на жизнь марокка</w:t>
      </w:r>
      <w:r>
        <w:t>н</w:t>
      </w:r>
      <w:r>
        <w:t>ских женщин.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Чакир </w:t>
      </w:r>
      <w:r>
        <w:t>говорит, что правительство ее страны приняло меры с целью сократить число учащихся, выбывающих из школы, и обеспечить реализацию права на образование. В период 2000–2003 годов школы посещали около 92 процентов д</w:t>
      </w:r>
      <w:r>
        <w:t>е</w:t>
      </w:r>
      <w:r>
        <w:t>тей в возрасте от 6 до 11 лет, и она надеется, что в наступающем учебном году этот показатель удастся довести до 94 процентов; за тот же период число детей в возрасте от 12 до 14 лет, посещавших шк</w:t>
      </w:r>
      <w:r>
        <w:t>о</w:t>
      </w:r>
      <w:r>
        <w:t>лы, составило 66,5 процента, а учащихся в возрасте 15–17 лет — 41 процент.</w:t>
      </w:r>
    </w:p>
    <w:p w:rsidR="00000000" w:rsidRDefault="00000000">
      <w:pPr>
        <w:pStyle w:val="DualTxt"/>
      </w:pPr>
      <w:r>
        <w:t>18.</w:t>
      </w:r>
      <w:r>
        <w:tab/>
        <w:t>С 2000 года в целях интеграции девочек в си</w:t>
      </w:r>
      <w:r>
        <w:t>с</w:t>
      </w:r>
      <w:r>
        <w:t>тему школьного образования государственными программами питания, стипендий, а также оплаты питания и проживания учащихся были охвачены 95 000 девочек, особе</w:t>
      </w:r>
      <w:r>
        <w:t>н</w:t>
      </w:r>
      <w:r>
        <w:t>но из сельских районов.</w:t>
      </w:r>
    </w:p>
    <w:p w:rsidR="00000000" w:rsidRDefault="00000000">
      <w:pPr>
        <w:pStyle w:val="DualTxt"/>
      </w:pPr>
      <w:r>
        <w:t>19.</w:t>
      </w:r>
      <w:r>
        <w:tab/>
        <w:t>Национальная программа Марокко в области образования базируется на четырех основопол</w:t>
      </w:r>
      <w:r>
        <w:t>а</w:t>
      </w:r>
      <w:r>
        <w:t>гающих принципах: религиозная терпимость, ув</w:t>
      </w:r>
      <w:r>
        <w:t>а</w:t>
      </w:r>
      <w:r>
        <w:t>жение к представителям всех наций, права человека и гражданская ответственность. Правительство ее страны приступило к проведению кампании обуч</w:t>
      </w:r>
      <w:r>
        <w:t>е</w:t>
      </w:r>
      <w:r>
        <w:t>ния грамоте, в первую очередь ориентированной на женщин, показатель неграмотности среди которых составляет 62 процента.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Баккар</w:t>
      </w:r>
      <w:r>
        <w:t xml:space="preserve"> говорит, что правительство ее страны и местные общины совместными усилиями стараются расширить возможности получения м</w:t>
      </w:r>
      <w:r>
        <w:t>е</w:t>
      </w:r>
      <w:r>
        <w:t>дицинского обслуживания для лиц, проживающих в не имеющих выхода к морю районах, в том числе за счет создания в общинах центров медицинского о</w:t>
      </w:r>
      <w:r>
        <w:t>б</w:t>
      </w:r>
      <w:r>
        <w:t>служивания и областных больниц. Правительство содействует тому, чтобы врачи отрабатывали по три года в сельских районах, которые министерство здравоохранения считает зоной приоритетного внимания, освобождая этих врачей от конкурсных экзаменов в системе гражданской службы. За п</w:t>
      </w:r>
      <w:r>
        <w:t>о</w:t>
      </w:r>
      <w:r>
        <w:t>следние годы на работу в сельской местности было н</w:t>
      </w:r>
      <w:r>
        <w:t>а</w:t>
      </w:r>
      <w:r>
        <w:t xml:space="preserve">правлено более 300 врачей.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выражает озабоченность в связи с действующим в Марокко Кодексом законов о личном статусе, который «уходит корнями в и</w:t>
      </w:r>
      <w:r>
        <w:t>с</w:t>
      </w:r>
      <w:r>
        <w:t>ламское право, главным образом маликитскую ветвь ислама…» (CEDAW/PSWG/2003/II/CRP.2/ Add.3, пункт 38), и говорит, что некоторые толков</w:t>
      </w:r>
      <w:r>
        <w:t>а</w:t>
      </w:r>
      <w:r>
        <w:t>ния ислама препятствуют реформированию закон</w:t>
      </w:r>
      <w:r>
        <w:t>о</w:t>
      </w:r>
      <w:r>
        <w:t>дательства о семье. Марокко следует разъяснить те аспекты законов о личном статусе, которые не о</w:t>
      </w:r>
      <w:r>
        <w:t>с</w:t>
      </w:r>
      <w:r>
        <w:t>нованы на положен</w:t>
      </w:r>
      <w:r>
        <w:t>и</w:t>
      </w:r>
      <w:r>
        <w:t>ях маликитской религиозно-правовой школы или шариата, а также возможности отмены законов, основанных на постулатах ислама, и внесения в них поправок. Примерно 13 процентов девушек в возрасте от 15 до 19 лет замужем и, сл</w:t>
      </w:r>
      <w:r>
        <w:t>е</w:t>
      </w:r>
      <w:r>
        <w:t>довательно, могут подвергнуться насилию со ст</w:t>
      </w:r>
      <w:r>
        <w:t>о</w:t>
      </w:r>
      <w:r>
        <w:t>роны супруга уже в молодом возрасте. Следует представить более подробную информацию относ</w:t>
      </w:r>
      <w:r>
        <w:t>и</w:t>
      </w:r>
      <w:r>
        <w:t>тельно прав женщин на развод и других дискрим</w:t>
      </w:r>
      <w:r>
        <w:t>и</w:t>
      </w:r>
      <w:r>
        <w:t>национных по своему характеру законов и видов практики, в том числе, например, относительно ст</w:t>
      </w:r>
      <w:r>
        <w:t>а</w:t>
      </w:r>
      <w:r>
        <w:t>тьи 12 Кодекса законов о личном статусе, пред</w:t>
      </w:r>
      <w:r>
        <w:t>у</w:t>
      </w:r>
      <w:r>
        <w:t>сматривающей, что женщины в возрасте до 21 года, у которых отцы умерли, могут вступать в брак лишь будучи представленн</w:t>
      </w:r>
      <w:r>
        <w:t>ы</w:t>
      </w:r>
      <w:r>
        <w:t>ми опекуном-мужчиной.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в до</w:t>
      </w:r>
      <w:r>
        <w:t>к</w:t>
      </w:r>
      <w:r>
        <w:t>ладе делегация не представила адекватной инфо</w:t>
      </w:r>
      <w:r>
        <w:t>р</w:t>
      </w:r>
      <w:r>
        <w:t>мации по статьям 15 и 16, и интересуется, связано ли это с тем, что у членов делегации имеются ог</w:t>
      </w:r>
      <w:r>
        <w:t>о</w:t>
      </w:r>
      <w:r>
        <w:t>ворки в связи с этими статьями. Положение Кодекса законов о личном статусе в отношении вали, опек</w:t>
      </w:r>
      <w:r>
        <w:t>у</w:t>
      </w:r>
      <w:r>
        <w:t>на по вопросам вступления в брак, не подкрепляе</w:t>
      </w:r>
      <w:r>
        <w:t>т</w:t>
      </w:r>
      <w:r>
        <w:t>ся положениями Корана. Любое брачное соглаш</w:t>
      </w:r>
      <w:r>
        <w:t>е</w:t>
      </w:r>
      <w:r>
        <w:t>ние, заключенное без согласия обеих сторон, явл</w:t>
      </w:r>
      <w:r>
        <w:t>я</w:t>
      </w:r>
      <w:r>
        <w:t>ется нарушением норм как мусульманского, так и современного светского права. В отсутствие бра</w:t>
      </w:r>
      <w:r>
        <w:t>ч</w:t>
      </w:r>
      <w:r>
        <w:t>ного контракта, определяющего права сторон, в случае развода или смерти супруга женщины стр</w:t>
      </w:r>
      <w:r>
        <w:t>а</w:t>
      </w:r>
      <w:r>
        <w:t>дают от господствующих в обществе несправедл</w:t>
      </w:r>
      <w:r>
        <w:t>и</w:t>
      </w:r>
      <w:r>
        <w:t>вых законов в вопросах собственности и наследс</w:t>
      </w:r>
      <w:r>
        <w:t>т</w:t>
      </w:r>
      <w:r>
        <w:t>ва. При этом стихи Корана, посвященные женщ</w:t>
      </w:r>
      <w:r>
        <w:t>и</w:t>
      </w:r>
      <w:r>
        <w:t>нам, никак не должны препятствовать тому, чтобы законодатели способствовали надлежащему разделу совместного имущества и принимали соответс</w:t>
      </w:r>
      <w:r>
        <w:t>т</w:t>
      </w:r>
      <w:r>
        <w:t>вующие законы во избежание подобной несправе</w:t>
      </w:r>
      <w:r>
        <w:t>д</w:t>
      </w:r>
      <w:r>
        <w:t>ливости в этих вопросах.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>, отмечая, что Конституция Марокко гарантирует равенство мужчин и женщин перед законом, спрашивает, какие меры были пр</w:t>
      </w:r>
      <w:r>
        <w:t>и</w:t>
      </w:r>
      <w:r>
        <w:t>няты в целях обеспечения равноправия, в том числе в отношении гражданских, экономических, кул</w:t>
      </w:r>
      <w:r>
        <w:t>ь</w:t>
      </w:r>
      <w:r>
        <w:t>турных и социальных прав. По имеющимся соо</w:t>
      </w:r>
      <w:r>
        <w:t>б</w:t>
      </w:r>
      <w:r>
        <w:t>щениям, случается, что одинокие матери бросают либо убивают своих новорожденных детей, а му</w:t>
      </w:r>
      <w:r>
        <w:t>ж</w:t>
      </w:r>
      <w:r>
        <w:t>чины могут оказаться в тюрьме, если признают себя отцом ребенка незамужней женщины. Было бы п</w:t>
      </w:r>
      <w:r>
        <w:t>о</w:t>
      </w:r>
      <w:r>
        <w:t>лезно получить более подробную информацию о любых усилиях, нацеленных на изменение полож</w:t>
      </w:r>
      <w:r>
        <w:t>е</w:t>
      </w:r>
      <w:r>
        <w:t>ний Кодекса законов о личном статусе в отношении одиноких матерей.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неравенство прав в браке негативно сказывается на самовосприятии женщин и подрывает их независимость. Она хотела бы получить больше информации о мерах, прин</w:t>
      </w:r>
      <w:r>
        <w:t>и</w:t>
      </w:r>
      <w:r>
        <w:t>маемых правительством в целях реформирования Кодекса законов о личном статусе «мудавана», что необходимо для улучшения положения женщин и дальнейшего развития Марокко.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спрашивает, принимало ли пр</w:t>
      </w:r>
      <w:r>
        <w:t>а</w:t>
      </w:r>
      <w:r>
        <w:t>вительство Марокко меры в целях координации с различными министерствами законодательства по вопросам прав женщин, и предлагает учредить сп</w:t>
      </w:r>
      <w:r>
        <w:t>е</w:t>
      </w:r>
      <w:r>
        <w:t>циальную комиссию в составе групп специалистов, жертв сексуального насилия, в том числе незако</w:t>
      </w:r>
      <w:r>
        <w:t>н</w:t>
      </w:r>
      <w:r>
        <w:t>ной торговли людьми, а также неправительстве</w:t>
      </w:r>
      <w:r>
        <w:t>н</w:t>
      </w:r>
      <w:r>
        <w:t>ных организаций с целью формирования соглас</w:t>
      </w:r>
      <w:r>
        <w:t>о</w:t>
      </w:r>
      <w:r>
        <w:t>ванного плана действий по борьбе с насилием в о</w:t>
      </w:r>
      <w:r>
        <w:t>т</w:t>
      </w:r>
      <w:r>
        <w:t>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с сожалением констатирует, что и через шесть лет после рассмотрения первон</w:t>
      </w:r>
      <w:r>
        <w:t>а</w:t>
      </w:r>
      <w:r>
        <w:t>чального доклада Марокко в стране сохраняются проявления дискриминации в отношении женщин в вопросах заключения брака, развода и получения опеки над детьми и по-прежнему считается, что возглавлять домашние хозяйства могут только му</w:t>
      </w:r>
      <w:r>
        <w:t>ж</w:t>
      </w:r>
      <w:r>
        <w:t>чины. Культурные обычаи не должны использоват</w:t>
      </w:r>
      <w:r>
        <w:t>ь</w:t>
      </w:r>
      <w:r>
        <w:t>ся как предлог для нарушения неотъемлемых прав человека.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Лулишки</w:t>
      </w:r>
      <w:r>
        <w:t xml:space="preserve"> (Марокко) высоко оценивает деятельность Комитета как важного форума, кот</w:t>
      </w:r>
      <w:r>
        <w:t>о</w:t>
      </w:r>
      <w:r>
        <w:t>рый в полной мере отражает разнообразие культур, религий и политических систем мира и помогает преодолеть непонимание. Касаясь вопроса о во</w:t>
      </w:r>
      <w:r>
        <w:t>з</w:t>
      </w:r>
      <w:r>
        <w:t>можности внесения поправок в законы, сформул</w:t>
      </w:r>
      <w:r>
        <w:t>и</w:t>
      </w:r>
      <w:r>
        <w:t>рованные на основе постулатов ислама, он указыв</w:t>
      </w:r>
      <w:r>
        <w:t>а</w:t>
      </w:r>
      <w:r>
        <w:t>ет, что дискриминация никак не связана с религией, основополагающим принципом которой является равенство всех людей вне зависимости от пола или расы. Необходимо сделать все возможное для того, чтобы обновить законодательство в соответствии с велениями времени и содействовать достижению равенства между мужчинами и женщинами. В ко</w:t>
      </w:r>
      <w:r>
        <w:t>н</w:t>
      </w:r>
      <w:r>
        <w:t>тексте мер, принятых в последнее время правител</w:t>
      </w:r>
      <w:r>
        <w:t>ь</w:t>
      </w:r>
      <w:r>
        <w:t>ством и гражданским обществом его страны в целях борьбы с насилием в отношении женщин, требуется обеспечить бóльшую координацию между разли</w:t>
      </w:r>
      <w:r>
        <w:t>ч</w:t>
      </w:r>
      <w:r>
        <w:t>ными институтами и механизм</w:t>
      </w:r>
      <w:r>
        <w:t>а</w:t>
      </w:r>
      <w:r>
        <w:t>ми.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Идрисси</w:t>
      </w:r>
      <w:r>
        <w:t xml:space="preserve"> (Марокко) подчеркивает, что ислам является религией терпимости; законы ш</w:t>
      </w:r>
      <w:r>
        <w:t>а</w:t>
      </w:r>
      <w:r>
        <w:t>риата абсолютно совместимы с нормами в области прав человека. Разумеется, проблемы с осущест</w:t>
      </w:r>
      <w:r>
        <w:t>в</w:t>
      </w:r>
      <w:r>
        <w:t>лением положений Конвенции остаются, но прав</w:t>
      </w:r>
      <w:r>
        <w:t>и</w:t>
      </w:r>
      <w:r>
        <w:t>тельство ее страны полностью отдает себе отчет в этих проблемах и решительно настроено на то, чт</w:t>
      </w:r>
      <w:r>
        <w:t>о</w:t>
      </w:r>
      <w:r>
        <w:t>бы справиться с ними. Эти проблемы существуют, главным образом, в вопросах семейных прав и прав супругов, включая вопросы развода и опеки над детьми. Она отмечает, что Кодекс законов о личном статусе 1957–1958 годов был принят в целях соде</w:t>
      </w:r>
      <w:r>
        <w:t>й</w:t>
      </w:r>
      <w:r>
        <w:t>ствия практической реализации основанных на принципах ислама гарантий терпимости и социал</w:t>
      </w:r>
      <w:r>
        <w:t>ь</w:t>
      </w:r>
      <w:r>
        <w:t>ной солидарности; впоследствии Кодекс пересма</w:t>
      </w:r>
      <w:r>
        <w:t>т</w:t>
      </w:r>
      <w:r>
        <w:t>ривался в 1965, 1981, 1983 и 1993 годах. Консульт</w:t>
      </w:r>
      <w:r>
        <w:t>а</w:t>
      </w:r>
      <w:r>
        <w:t>тивный комитет по пересмотру Кодекса законов о личном статусе, в состав которого входят предст</w:t>
      </w:r>
      <w:r>
        <w:t>а</w:t>
      </w:r>
      <w:r>
        <w:t>вители религиозных, профессиональных, правовых, женских групп и групп гражданского общества, б</w:t>
      </w:r>
      <w:r>
        <w:t>у</w:t>
      </w:r>
      <w:r>
        <w:t>дет добиваться национального консенсуса, на осн</w:t>
      </w:r>
      <w:r>
        <w:t>о</w:t>
      </w:r>
      <w:r>
        <w:t>ве которого им будут вынесены дальнейшие рек</w:t>
      </w:r>
      <w:r>
        <w:t>о</w:t>
      </w:r>
      <w:r>
        <w:t>мендации в отношении защиты прав женщин как неотъемлемого компонента поощрения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29.</w:t>
      </w:r>
      <w:r>
        <w:tab/>
        <w:t>Был достигнут прогресс в отношении прав женщин, вытекающих из брачных и семейных о</w:t>
      </w:r>
      <w:r>
        <w:t>т</w:t>
      </w:r>
      <w:r>
        <w:t>ношений. Теперь муж не может просто отречься от своей жены без каких-либо объяснений. Теперь эти вопросы решает суд; сначала должна быть сделана попытка добиться примирения, и женщина имеет право присутствовать во время судебного разбир</w:t>
      </w:r>
      <w:r>
        <w:t>а</w:t>
      </w:r>
      <w:r>
        <w:t>тельства. Кроме того, все браки, разводы и брачные отношения теперь должны регистрироваться в Б</w:t>
      </w:r>
      <w:r>
        <w:t>ю</w:t>
      </w:r>
      <w:r>
        <w:t>ро записей актов гражданского состояния, а в в</w:t>
      </w:r>
      <w:r>
        <w:t>о</w:t>
      </w:r>
      <w:r>
        <w:t>просах опеки над детьми в полной мере учитывае</w:t>
      </w:r>
      <w:r>
        <w:t>т</w:t>
      </w:r>
      <w:r>
        <w:t>ся необходимость защиты интересов ребенка в с</w:t>
      </w:r>
      <w:r>
        <w:t>о</w:t>
      </w:r>
      <w:r>
        <w:t>ответствии со статьей 3 Конвенции о правах ребе</w:t>
      </w:r>
      <w:r>
        <w:t>н</w:t>
      </w:r>
      <w:r>
        <w:t>ка. Поэтому даже если женщина вновь выходит з</w:t>
      </w:r>
      <w:r>
        <w:t>а</w:t>
      </w:r>
      <w:r>
        <w:t>муж, она сохраняет право попечения над всеми своими детьми от предыдущего брака; кроме того, вторым кандидатом после матери на право пол</w:t>
      </w:r>
      <w:r>
        <w:t>у</w:t>
      </w:r>
      <w:r>
        <w:t>чить опеку над детьми имеет отец, а не семья мат</w:t>
      </w:r>
      <w:r>
        <w:t>е</w:t>
      </w:r>
      <w:r>
        <w:t>ри.</w:t>
      </w:r>
    </w:p>
    <w:p w:rsidR="00000000" w:rsidRDefault="00000000">
      <w:pPr>
        <w:pStyle w:val="DualTxt"/>
      </w:pPr>
      <w:r>
        <w:t>30.</w:t>
      </w:r>
      <w:r>
        <w:tab/>
        <w:t>Его Величество король Мохаммед VI и прав</w:t>
      </w:r>
      <w:r>
        <w:t>и</w:t>
      </w:r>
      <w:r>
        <w:t>тельство остаются привержены делу поощрения прав женщин и продолжат работу в целях повыш</w:t>
      </w:r>
      <w:r>
        <w:t>е</w:t>
      </w:r>
      <w:r>
        <w:t>ния осведомленности по гендерным вопросам, р</w:t>
      </w:r>
      <w:r>
        <w:t>у</w:t>
      </w:r>
      <w:r>
        <w:t>ководствуясь рекомендациями консультативного комитета.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Керриш</w:t>
      </w:r>
      <w:r>
        <w:t xml:space="preserve"> (Марокко) говорит, что первая кампания за ликвидацию насилия в отношении женщин была начата в 1999 году и явилась отраж</w:t>
      </w:r>
      <w:r>
        <w:t>е</w:t>
      </w:r>
      <w:r>
        <w:t>нием воли правительства ее страны к тому, чтобы приподнять завесу молчания в связи с этой пробл</w:t>
      </w:r>
      <w:r>
        <w:t>е</w:t>
      </w:r>
      <w:r>
        <w:t>мой. Предпринимаемые на национальном уровне усилия по борьбе с насилием в отношении женщин сосредоточены на выработке четкой политики, о</w:t>
      </w:r>
      <w:r>
        <w:t>р</w:t>
      </w:r>
      <w:r>
        <w:t>ганизации и координации мероприятий в целях удовлетворения потребностей женщин, подвер</w:t>
      </w:r>
      <w:r>
        <w:t>г</w:t>
      </w:r>
      <w:r>
        <w:t>шихся насилию, на реализации мероприятий по созданию потенциала, сборе статистических да</w:t>
      </w:r>
      <w:r>
        <w:t>н</w:t>
      </w:r>
      <w:r>
        <w:t>ных и выработке показателей для оценки результ</w:t>
      </w:r>
      <w:r>
        <w:t>а</w:t>
      </w:r>
      <w:r>
        <w:t>тов. Так, например, было проведено обследование в связи с положением в городе Касабланка, в пол</w:t>
      </w:r>
      <w:r>
        <w:t>и</w:t>
      </w:r>
      <w:r>
        <w:t>цейских участках были назначены координаторы по оказанию помощи в случаях бытового насилия, о</w:t>
      </w:r>
      <w:r>
        <w:t>р</w:t>
      </w:r>
      <w:r>
        <w:t>ганы полиции ежемесячно готовят статистические данные о случаях насилия в отношении женщин. Для сотрудников полиции, судей и представителей других групп, занимающихся проблемой насилия в отношении женщин, организована специальная подготовка; в этих целях было подготовлено и ра</w:t>
      </w:r>
      <w:r>
        <w:t>с</w:t>
      </w:r>
      <w:r>
        <w:t>пространено среди журналистов специальное рук</w:t>
      </w:r>
      <w:r>
        <w:t>о</w:t>
      </w:r>
      <w:r>
        <w:t>водство, а в больницах были организованы специ</w:t>
      </w:r>
      <w:r>
        <w:t>а</w:t>
      </w:r>
      <w:r>
        <w:t>лизированные приемные отделения для женщин, ставших жертвами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Идрисси</w:t>
      </w:r>
      <w:r>
        <w:t xml:space="preserve"> (Марокко) говорит, что коне</w:t>
      </w:r>
      <w:r>
        <w:t>ч</w:t>
      </w:r>
      <w:r>
        <w:t>ная цель реформирования Кодекса законов о ли</w:t>
      </w:r>
      <w:r>
        <w:t>ч</w:t>
      </w:r>
      <w:r>
        <w:t>ном статусе заключается в том, чтобы заменить его Кодексом законов о семье. Что касается вопроса о полигамии, то она отмечает, что ни Коран, ни К</w:t>
      </w:r>
      <w:r>
        <w:t>о</w:t>
      </w:r>
      <w:r>
        <w:t>декс законов о личном статусе не оправдывают п</w:t>
      </w:r>
      <w:r>
        <w:t>о</w:t>
      </w:r>
      <w:r>
        <w:t>лигамию. Ислам рассматривает брак как контрак</w:t>
      </w:r>
      <w:r>
        <w:t>т</w:t>
      </w:r>
      <w:r>
        <w:t>ные отношения между мужчиной и женщиной, и в брачный контракт может быть включено положение о моног</w:t>
      </w:r>
      <w:r>
        <w:t>а</w:t>
      </w:r>
      <w:r>
        <w:t>мии.</w:t>
      </w:r>
    </w:p>
    <w:p w:rsidR="00000000" w:rsidRDefault="00000000">
      <w:pPr>
        <w:pStyle w:val="DualTxt"/>
      </w:pPr>
      <w:r>
        <w:t>33.</w:t>
      </w:r>
      <w:r>
        <w:tab/>
        <w:t>На самом деле полигамия встречается лишь в отдаленных горных и сельских районах, где роль гражданской администрации невелика и сложно обеспечить осуществление законов на практике. Однако по новым нормам необходимо в течение 30 дней сообщать в целях регистрации информацию личного характера, в частности информацию о р</w:t>
      </w:r>
      <w:r>
        <w:t>о</w:t>
      </w:r>
      <w:r>
        <w:t>ждении детей. Правительство ее страны намерено увеличить с 15 до 18 лет минимальный возраст вступления в брак в соответствии со статьей 1 Ко</w:t>
      </w:r>
      <w:r>
        <w:t>н</w:t>
      </w:r>
      <w:r>
        <w:t>венции о правах ребенка. Что касается развода, то она говорит, что женщина может обратиться в суд с заявлением о расторжении брака. В Кодексе законов о личном статусе 1957–1958 годов уже предусмо</w:t>
      </w:r>
      <w:r>
        <w:t>т</w:t>
      </w:r>
      <w:r>
        <w:t>рено, что мужчина может включить в брачный ко</w:t>
      </w:r>
      <w:r>
        <w:t>н</w:t>
      </w:r>
      <w:r>
        <w:t>тракт положение, согласно которому женщина м</w:t>
      </w:r>
      <w:r>
        <w:t>о</w:t>
      </w:r>
      <w:r>
        <w:t>жет, если пожелает, обратиться с просьбой о ра</w:t>
      </w:r>
      <w:r>
        <w:t>с</w:t>
      </w:r>
      <w:r>
        <w:t>торжении брака в случае нарушения брачного ко</w:t>
      </w:r>
      <w:r>
        <w:t>н</w:t>
      </w:r>
      <w:r>
        <w:t>тракта. На практике же это положение практически никогда не применяется. Реформа судебной сист</w:t>
      </w:r>
      <w:r>
        <w:t>е</w:t>
      </w:r>
      <w:r>
        <w:t>мы, в частности положения о назначении судей для приведения в исполнение приговоров, а также н</w:t>
      </w:r>
      <w:r>
        <w:t>а</w:t>
      </w:r>
      <w:r>
        <w:t>значении судей для рассмотрения дел, регулиру</w:t>
      </w:r>
      <w:r>
        <w:t>е</w:t>
      </w:r>
      <w:r>
        <w:t>мых нормами семейного права, должны способс</w:t>
      </w:r>
      <w:r>
        <w:t>т</w:t>
      </w:r>
      <w:r>
        <w:t>вовать улучшению положения в этой области.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подчеркивает, что в своем в</w:t>
      </w:r>
      <w:r>
        <w:t>ы</w:t>
      </w:r>
      <w:r>
        <w:t>ступлении, сделанном ранее, она ни в коем случае не подразумевала, что положения ислама могут быть несовместимы с защитой прав женщин; она лишь просила разъяснить, каким образом обеспеч</w:t>
      </w:r>
      <w:r>
        <w:t>и</w:t>
      </w:r>
      <w:r>
        <w:t>вается защита прав человека в стране, где действует система мусульманского права.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Идрисси</w:t>
      </w:r>
      <w:r>
        <w:t xml:space="preserve"> (Марокко) заверяет г-жу Гн</w:t>
      </w:r>
      <w:r>
        <w:t>а</w:t>
      </w:r>
      <w:r>
        <w:t>каджу в том, что ее делегация приветствует вопр</w:t>
      </w:r>
      <w:r>
        <w:t>о</w:t>
      </w:r>
      <w:r>
        <w:t>сы членов Комитета в контексте откровенного и и</w:t>
      </w:r>
      <w:r>
        <w:t>с</w:t>
      </w:r>
      <w:r>
        <w:t>креннего диалога между ними и приверженности обеих сторон делу поощрения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Председатель</w:t>
      </w:r>
      <w:r>
        <w:t xml:space="preserve"> благодарит делегацию за ди</w:t>
      </w:r>
      <w:r>
        <w:t>а</w:t>
      </w:r>
      <w:r>
        <w:t>лог с членами Комитета. При этом она выражает озабоченность в связи с тем, что положение же</w:t>
      </w:r>
      <w:r>
        <w:t>н</w:t>
      </w:r>
      <w:r>
        <w:t>щин улучшается медленно, и подчеркивает, что г</w:t>
      </w:r>
      <w:r>
        <w:t>о</w:t>
      </w:r>
      <w:r>
        <w:t>сударство-участник должно принять неотложные меры для обеспечения юридического и фактическ</w:t>
      </w:r>
      <w:r>
        <w:t>о</w:t>
      </w:r>
      <w:r>
        <w:t>го осуществления положений Конвенции. Оно должно укрепить свои национальные механизмы защиты прав женщин; признать существование н</w:t>
      </w:r>
      <w:r>
        <w:t>а</w:t>
      </w:r>
      <w:r>
        <w:t>силия в отношении женщин как явления и бороться с ним в соответствии с положениями Конвенции и общей рекомендацией 19 Комитета в сотрудничес</w:t>
      </w:r>
      <w:r>
        <w:t>т</w:t>
      </w:r>
      <w:r>
        <w:t>ве с неправительственными организациями; нак</w:t>
      </w:r>
      <w:r>
        <w:t>а</w:t>
      </w:r>
      <w:r>
        <w:t>зать виновных и обеспечить защиту и возможности реабилитации для жертв насилия. Требуется поко</w:t>
      </w:r>
      <w:r>
        <w:t>н</w:t>
      </w:r>
      <w:r>
        <w:t>чить со стереотипными представлениями о роли мужчин и женщин, которые являются первоприч</w:t>
      </w:r>
      <w:r>
        <w:t>и</w:t>
      </w:r>
      <w:r>
        <w:t>ной дискриминационных по своему характеру в</w:t>
      </w:r>
      <w:r>
        <w:t>и</w:t>
      </w:r>
      <w:r>
        <w:t>дов практики и отношения. Приветствуя усилия по борьбе с неграмотностью, она, тем не менее, выск</w:t>
      </w:r>
      <w:r>
        <w:t>а</w:t>
      </w:r>
      <w:r>
        <w:t>зывает разочарование в отношении достигнутых р</w:t>
      </w:r>
      <w:r>
        <w:t>е</w:t>
      </w:r>
      <w:r>
        <w:t>зультатов, особенно в отношении женщин. Необх</w:t>
      </w:r>
      <w:r>
        <w:t>о</w:t>
      </w:r>
      <w:r>
        <w:t>димо представлять данные с разбивкой по признаку пола, и следует осуществлять меры не только в сфере просвещения по вопросам гендерной пр</w:t>
      </w:r>
      <w:r>
        <w:t>о</w:t>
      </w:r>
      <w:r>
        <w:t>блематики в рамках системы образования, но и ве</w:t>
      </w:r>
      <w:r>
        <w:t>с</w:t>
      </w:r>
      <w:r>
        <w:t>ти подготовку учителей по гендерной тематике и обеспечивать отражение гендерных аспектов в учебных матери</w:t>
      </w:r>
      <w:r>
        <w:t>а</w:t>
      </w:r>
      <w:r>
        <w:t>лах.</w:t>
      </w:r>
    </w:p>
    <w:p w:rsidR="00000000" w:rsidRDefault="00000000">
      <w:pPr>
        <w:pStyle w:val="DualTxt"/>
      </w:pPr>
      <w:r>
        <w:t>37.</w:t>
      </w:r>
      <w:r>
        <w:tab/>
        <w:t>Оратор приветствует усилия, нацеленные на увеличение представленности женщин на руков</w:t>
      </w:r>
      <w:r>
        <w:t>о</w:t>
      </w:r>
      <w:r>
        <w:t>дящих должностях в сфере политики, и подчерк</w:t>
      </w:r>
      <w:r>
        <w:t>и</w:t>
      </w:r>
      <w:r>
        <w:t>вает, что, хотя зачастую введение квот вызывает с</w:t>
      </w:r>
      <w:r>
        <w:t>о</w:t>
      </w:r>
      <w:r>
        <w:t>противление, государство-участник должно насто</w:t>
      </w:r>
      <w:r>
        <w:t>я</w:t>
      </w:r>
      <w:r>
        <w:t>тельно добиваться того, чтобы женщины были ад</w:t>
      </w:r>
      <w:r>
        <w:t>е</w:t>
      </w:r>
      <w:r>
        <w:t>кватно представлены на политической арене. Н</w:t>
      </w:r>
      <w:r>
        <w:t>е</w:t>
      </w:r>
      <w:r>
        <w:t>смотря на достигнутый прогресс, необходимы дальнейшие усилия для активизации участия же</w:t>
      </w:r>
      <w:r>
        <w:t>н</w:t>
      </w:r>
      <w:r>
        <w:t>щин в экономической деятельности, работе суде</w:t>
      </w:r>
      <w:r>
        <w:t>б</w:t>
      </w:r>
      <w:r>
        <w:t>ных и дипломатических органов, особенно на должностях директивного уровня. Принятие нового трудового законодательства, равно как и ратифик</w:t>
      </w:r>
      <w:r>
        <w:t>а</w:t>
      </w:r>
      <w:r>
        <w:t>ция соответствующих конвенций Международной организации труда вызывают удовлетворение, одн</w:t>
      </w:r>
      <w:r>
        <w:t>а</w:t>
      </w:r>
      <w:r>
        <w:t>ко необходимо принять дальнейшие меры в целях расширения возможностей занятости для сельских женщин и удовлетворения потребностей женщин, работающих в неформальном секторе и занятых р</w:t>
      </w:r>
      <w:r>
        <w:t>а</w:t>
      </w:r>
      <w:r>
        <w:t>ботой по дому.</w:t>
      </w:r>
    </w:p>
    <w:p w:rsidR="00000000" w:rsidRDefault="00000000">
      <w:pPr>
        <w:pStyle w:val="DualTxt"/>
      </w:pPr>
      <w:r>
        <w:t>38.</w:t>
      </w:r>
      <w:r>
        <w:tab/>
        <w:t>По-прежнему вызывает озабоченность пол</w:t>
      </w:r>
      <w:r>
        <w:t>о</w:t>
      </w:r>
      <w:r>
        <w:t>жение женщин в том, что касается реализации их прав в вопросах заключения и расторжения брака и опеки. Необходимо привести Кодекс законов о ли</w:t>
      </w:r>
      <w:r>
        <w:t>ч</w:t>
      </w:r>
      <w:r>
        <w:t>ном статусе в соответствие с общепризнанными нормами в области прав женщин, которые вполне согласуются с постулатами ислама. Результатом дальнейшего проведения реформы в законодател</w:t>
      </w:r>
      <w:r>
        <w:t>ь</w:t>
      </w:r>
      <w:r>
        <w:t>ной и политической сферах будет фактическая ли</w:t>
      </w:r>
      <w:r>
        <w:t>к</w:t>
      </w:r>
      <w:r>
        <w:t>видация дискриминации в отношении женщин. Оратор приветствует тот факт, что государство-участник сняло свою оговорку к статье 16, и рек</w:t>
      </w:r>
      <w:r>
        <w:t>о</w:t>
      </w:r>
      <w:r>
        <w:t>мендует ему снять также и оговорку к статье 9 Ко</w:t>
      </w:r>
      <w:r>
        <w:t>н</w:t>
      </w:r>
      <w:r>
        <w:t>венции. Подобные меры, равно как и принятие Ф</w:t>
      </w:r>
      <w:r>
        <w:t>а</w:t>
      </w:r>
      <w:r>
        <w:t>культативного протокола к Конвенции и поддержка поправки к пункту 1 статьи 20 Конвенции, будут ярким свидетельством политической воли госуда</w:t>
      </w:r>
      <w:r>
        <w:t>р</w:t>
      </w:r>
      <w:r>
        <w:t>ства-участника к достижению равноправия между мужчинами и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Лулишки</w:t>
      </w:r>
      <w:r>
        <w:t xml:space="preserve"> (Марокко) благодарит Комитет за приверженность делу реализации прав женщин в Марокко. Он признает, что, несмотря на достигн</w:t>
      </w:r>
      <w:r>
        <w:t>у</w:t>
      </w:r>
      <w:r>
        <w:t>тый прогресс, многое еще предстоит сделать, и г</w:t>
      </w:r>
      <w:r>
        <w:t>о</w:t>
      </w:r>
      <w:r>
        <w:t>ворит, что замечания членов Комитета будут пер</w:t>
      </w:r>
      <w:r>
        <w:t>е</w:t>
      </w:r>
      <w:r>
        <w:t>даны правительству его страны. Для того чтобы женщины смогли играть в жизни общества прина</w:t>
      </w:r>
      <w:r>
        <w:t>д</w:t>
      </w:r>
      <w:r>
        <w:t>лежащую им по праву роль, будут продолжены ус</w:t>
      </w:r>
      <w:r>
        <w:t>и</w:t>
      </w:r>
      <w:r>
        <w:t>лия в целях повышения осведомленности по ге</w:t>
      </w:r>
      <w:r>
        <w:t>н</w:t>
      </w:r>
      <w:r>
        <w:t>дерным вопросам и процесс эффективного осущ</w:t>
      </w:r>
      <w:r>
        <w:t>е</w:t>
      </w:r>
      <w:r>
        <w:t>ствления реформы. Его делегация будет рекоменд</w:t>
      </w:r>
      <w:r>
        <w:t>о</w:t>
      </w:r>
      <w:r>
        <w:t>вать ратифицировать Факультативный протокол к Конвенции и принять поправку к пункту 1 статьи 20 и надеется на продолжение диалога с Комит</w:t>
      </w:r>
      <w:r>
        <w:t>е</w:t>
      </w:r>
      <w:r>
        <w:t>том.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 55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NO&gt;&gt;N0343023R&lt;&lt;ODS JOB NO&gt;&gt;</w:t>
      </w:r>
    </w:p>
    <w:p w:rsidR="00000000" w:rsidRDefault="00000000">
      <w:pPr>
        <w:pStyle w:val="CommentText"/>
      </w:pPr>
      <w:r>
        <w:t>&lt;&lt;ODS DOC SYMBOL1&gt;&gt;CEDAW/C/SR.627&lt;&lt;ODS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03-43023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*0343023*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17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08/2005 18:41:50"/>
    <w:docVar w:name="DocCategory" w:val="SROthers"/>
    <w:docVar w:name="DocType" w:val="Final"/>
    <w:docVar w:name="JobNo" w:val="0343023R"/>
    <w:docVar w:name="OandT" w:val=" "/>
    <w:docVar w:name="Symbol1" w:val="CEDAW/C/SR.62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3530</Words>
  <Characters>20124</Characters>
  <Application>Microsoft Office Word</Application>
  <DocSecurity>4</DocSecurity>
  <Lines>167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24713</CharactersWithSpaces>
  <SharedDoc>false</SharedDoc>
  <HLinks>
    <vt:vector size="6" baseType="variant">
      <vt:variant>
        <vt:i4>4522087</vt:i4>
      </vt:variant>
      <vt:variant>
        <vt:i4>50070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2005-08-16T19:44:00Z</cp:lastPrinted>
  <dcterms:created xsi:type="dcterms:W3CDTF">2005-08-16T19:44:00Z</dcterms:created>
  <dcterms:modified xsi:type="dcterms:W3CDTF">2005-08-16T20:04:00Z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0343023</vt:lpwstr>
  </property>
  <property fmtid="{D5CDD505-2E9C-101B-9397-08002B2CF9AE}" pid="3" name="Symbol1">
    <vt:lpwstr>CEDAW/C/SR.627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Грязнова</vt:lpwstr>
  </property>
</Properties>
</file>