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A7D" w:rsidRDefault="00F14A7D" w:rsidP="00F14A7D">
      <w:pPr>
        <w:spacing w:line="60" w:lineRule="exact"/>
        <w:rPr>
          <w:sz w:val="6"/>
        </w:rPr>
        <w:sectPr w:rsidR="00F14A7D" w:rsidSect="00F14A7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p>
    <w:p w:rsidR="00F14A7D" w:rsidRDefault="00F14A7D" w:rsidP="00F14A7D">
      <w:pPr>
        <w:spacing w:line="60" w:lineRule="exact"/>
        <w:rPr>
          <w:sz w:val="6"/>
        </w:rPr>
      </w:pPr>
    </w:p>
    <w:p w:rsidR="00F45CBD" w:rsidRDefault="00F45CBD" w:rsidP="00F45CBD">
      <w:pPr>
        <w:spacing w:line="60" w:lineRule="exact"/>
        <w:rPr>
          <w:sz w:val="6"/>
        </w:rPr>
        <w:sectPr w:rsidR="00F45CBD" w:rsidSect="00F45CBD">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F45CBD" w:rsidRDefault="00F45CBD" w:rsidP="00F45CBD">
      <w:pPr>
        <w:spacing w:line="60" w:lineRule="exact"/>
        <w:rPr>
          <w:sz w:val="6"/>
        </w:rPr>
      </w:pPr>
    </w:p>
    <w:p w:rsidR="00F45CBD" w:rsidRDefault="00F45CBD" w:rsidP="00F45C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F45CBD" w:rsidRPr="002D2505" w:rsidRDefault="00F45CBD" w:rsidP="00F45CBD">
      <w:pPr>
        <w:pStyle w:val="SingleTxt"/>
        <w:spacing w:after="60"/>
        <w:ind w:left="0"/>
        <w:rPr>
          <w:rFonts w:ascii="SimHei" w:eastAsia="SimHei" w:hint="eastAsia"/>
          <w:color w:val="FF0000"/>
        </w:rPr>
      </w:pPr>
      <w:r w:rsidRPr="002D2505">
        <w:rPr>
          <w:rFonts w:ascii="SimHei" w:eastAsia="SimHei" w:hint="eastAsia"/>
          <w:color w:val="FF0000"/>
        </w:rPr>
        <w:t>第三十七届会议</w:t>
      </w:r>
    </w:p>
    <w:p w:rsidR="00F45CBD" w:rsidRDefault="00F45CBD" w:rsidP="00F45CBD">
      <w:pPr>
        <w:pStyle w:val="SingleTxt"/>
        <w:spacing w:after="60"/>
        <w:ind w:left="0"/>
        <w:rPr>
          <w:rFonts w:hint="eastAsia"/>
        </w:rPr>
      </w:pPr>
      <w:r>
        <w:rPr>
          <w:rFonts w:hint="eastAsia"/>
        </w:rPr>
        <w:t>2007年1月15日至2月2日</w:t>
      </w:r>
    </w:p>
    <w:p w:rsidR="00F45CBD" w:rsidRPr="002D2505" w:rsidRDefault="00F45CBD" w:rsidP="00F45CBD">
      <w:pPr>
        <w:pStyle w:val="SingleTxt"/>
        <w:spacing w:after="0" w:line="120" w:lineRule="exact"/>
        <w:rPr>
          <w:rFonts w:hint="eastAsia"/>
          <w:sz w:val="10"/>
        </w:rPr>
      </w:pPr>
    </w:p>
    <w:p w:rsidR="00F45CBD" w:rsidRPr="002D2505" w:rsidRDefault="00F45CBD" w:rsidP="00F45CBD">
      <w:pPr>
        <w:pStyle w:val="SingleTxt"/>
        <w:spacing w:after="0" w:line="120" w:lineRule="exact"/>
        <w:rPr>
          <w:rFonts w:hint="eastAsia"/>
          <w:sz w:val="10"/>
        </w:rPr>
      </w:pPr>
    </w:p>
    <w:p w:rsidR="00F45CBD" w:rsidRPr="002D2505" w:rsidRDefault="00F45CBD" w:rsidP="00F45CBD">
      <w:pPr>
        <w:pStyle w:val="SingleTxt"/>
        <w:spacing w:after="0" w:line="120" w:lineRule="exact"/>
        <w:rPr>
          <w:rFonts w:hint="eastAsia"/>
          <w:sz w:val="10"/>
        </w:rPr>
      </w:pPr>
    </w:p>
    <w:p w:rsidR="00F45CBD" w:rsidRDefault="00F45CBD" w:rsidP="00F45CB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消除对妇女歧视委员会的结论意见：纳米比亚</w:t>
      </w:r>
    </w:p>
    <w:p w:rsidR="00F45CBD" w:rsidRPr="002D2505" w:rsidRDefault="00F45CBD" w:rsidP="00F45CBD">
      <w:pPr>
        <w:pStyle w:val="SingleTxt"/>
        <w:spacing w:after="0" w:line="120" w:lineRule="exact"/>
        <w:rPr>
          <w:rFonts w:hint="eastAsia"/>
          <w:sz w:val="10"/>
        </w:rPr>
      </w:pPr>
    </w:p>
    <w:p w:rsidR="00F45CBD" w:rsidRPr="002D2505" w:rsidRDefault="00F45CBD" w:rsidP="00F45CBD">
      <w:pPr>
        <w:pStyle w:val="SingleTxt"/>
        <w:spacing w:after="0" w:line="120" w:lineRule="exact"/>
        <w:rPr>
          <w:rFonts w:hint="eastAsia"/>
          <w:sz w:val="10"/>
        </w:rPr>
      </w:pPr>
    </w:p>
    <w:p w:rsidR="00F45CBD" w:rsidRDefault="00F45CBD" w:rsidP="00F45CBD">
      <w:pPr>
        <w:pStyle w:val="SingleTxt"/>
        <w:rPr>
          <w:rFonts w:hint="eastAsia"/>
        </w:rPr>
      </w:pPr>
      <w:r>
        <w:rPr>
          <w:rFonts w:hint="eastAsia"/>
        </w:rPr>
        <w:t>1.</w:t>
      </w:r>
      <w:r>
        <w:rPr>
          <w:rFonts w:hint="eastAsia"/>
        </w:rPr>
        <w:tab/>
        <w:t>2007年1月17日，委员会第759次和第760次会议（见CEDAW/C/SR.759和760）审议了纳米比亚的第二次和第三次合并定期报告（CEDAW/C/NAM/2-3）。委员会的议题和问题清单见CEDAW/C/NAM/Q/3号文件，纳米比亚的答复见CEDAW/　C/NAM/Q/3/Add.1。</w:t>
      </w:r>
    </w:p>
    <w:p w:rsidR="00F45CBD" w:rsidRDefault="00F45CBD" w:rsidP="00F45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导言</w:t>
      </w:r>
    </w:p>
    <w:p w:rsidR="00F45CBD" w:rsidRPr="002D2505" w:rsidRDefault="00F45CBD" w:rsidP="00F45CBD">
      <w:pPr>
        <w:pStyle w:val="SingleTxt"/>
        <w:spacing w:after="0" w:line="120" w:lineRule="exact"/>
        <w:rPr>
          <w:rFonts w:hint="eastAsia"/>
          <w:sz w:val="10"/>
        </w:rPr>
      </w:pPr>
    </w:p>
    <w:p w:rsidR="00F45CBD" w:rsidRDefault="00F45CBD" w:rsidP="00F45CBD">
      <w:pPr>
        <w:pStyle w:val="SingleTxt"/>
        <w:rPr>
          <w:rFonts w:hint="eastAsia"/>
        </w:rPr>
      </w:pPr>
      <w:r>
        <w:rPr>
          <w:rFonts w:hint="eastAsia"/>
        </w:rPr>
        <w:t>2.</w:t>
      </w:r>
      <w:r>
        <w:rPr>
          <w:rFonts w:hint="eastAsia"/>
        </w:rPr>
        <w:tab/>
        <w:t>委员会对缔约国按委员会编写报告准则编写并提交第二次和第三次合并定期报告表示感谢</w:t>
      </w:r>
      <w:r w:rsidRPr="002D2505">
        <w:rPr>
          <w:rFonts w:hint="eastAsia"/>
          <w:spacing w:val="-2"/>
        </w:rPr>
        <w:t>，但对报告没有提及委员会的一般性建议表示遗憾。委员会还赞赏该国所做的口头报告，其中详细说明了纳米比亚执行《公约》的最新情况。委员会注意到该缔约国对会前工作组提出的议题和问题清单作了书面答复，并对委员会提出的问题作了口头答复，但</w:t>
      </w:r>
      <w:r>
        <w:rPr>
          <w:rFonts w:hint="eastAsia"/>
        </w:rPr>
        <w:t>对这些答复没有充分解答委员会的问题表示遗憾。</w:t>
      </w:r>
    </w:p>
    <w:p w:rsidR="00F45CBD" w:rsidRDefault="00F45CBD" w:rsidP="00F45CBD">
      <w:pPr>
        <w:pStyle w:val="SingleTxt"/>
        <w:rPr>
          <w:rFonts w:hint="eastAsia"/>
        </w:rPr>
      </w:pPr>
      <w:r>
        <w:rPr>
          <w:rFonts w:hint="eastAsia"/>
        </w:rPr>
        <w:t>3.</w:t>
      </w:r>
      <w:r>
        <w:rPr>
          <w:rFonts w:hint="eastAsia"/>
        </w:rPr>
        <w:tab/>
        <w:t>委员会称赞缔约国派遣由该国两性平等和儿童福利部长率领的高级别代表团，并对该代表团与委员会成员之间展开的建设性对话表示赞赏。</w:t>
      </w:r>
    </w:p>
    <w:p w:rsidR="00F45CBD" w:rsidRDefault="00F45CBD" w:rsidP="00F45CBD">
      <w:pPr>
        <w:pStyle w:val="SingleTxt"/>
        <w:rPr>
          <w:rFonts w:hint="eastAsia"/>
        </w:rPr>
      </w:pPr>
      <w:r>
        <w:rPr>
          <w:rFonts w:hint="eastAsia"/>
        </w:rPr>
        <w:t>4.</w:t>
      </w:r>
      <w:r>
        <w:rPr>
          <w:rFonts w:hint="eastAsia"/>
        </w:rPr>
        <w:tab/>
        <w:t>委员会满意地注意到，报告提及了《北京行动纲要》的执行工作。</w:t>
      </w:r>
    </w:p>
    <w:p w:rsidR="00F45CBD" w:rsidRDefault="00F45CBD" w:rsidP="00F45CBD">
      <w:pPr>
        <w:pStyle w:val="SingleTxt"/>
        <w:rPr>
          <w:rFonts w:hint="eastAsia"/>
        </w:rPr>
      </w:pPr>
      <w:r>
        <w:rPr>
          <w:rFonts w:hint="eastAsia"/>
        </w:rPr>
        <w:t>5.</w:t>
      </w:r>
      <w:r>
        <w:rPr>
          <w:rFonts w:hint="eastAsia"/>
        </w:rPr>
        <w:tab/>
        <w:t>委员会赞赏地注意到，政府机构和非政府组织参与了报告的编写工作。</w:t>
      </w:r>
    </w:p>
    <w:p w:rsidR="00F45CBD" w:rsidRDefault="00F45CBD" w:rsidP="00F45CBD">
      <w:pPr>
        <w:pStyle w:val="SingleTxt"/>
        <w:rPr>
          <w:rFonts w:hint="eastAsia"/>
        </w:rPr>
      </w:pPr>
      <w:r>
        <w:rPr>
          <w:rFonts w:hint="eastAsia"/>
        </w:rPr>
        <w:t>6.</w:t>
      </w:r>
      <w:r>
        <w:rPr>
          <w:rFonts w:hint="eastAsia"/>
        </w:rPr>
        <w:tab/>
        <w:t>委员会赞扬缔约国早在2000年5月就批准了《消除对妇女一切形式歧视公约任择议定书》。</w:t>
      </w:r>
    </w:p>
    <w:p w:rsidR="00F45CBD" w:rsidRDefault="00F45CBD" w:rsidP="00F45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积极方面</w:t>
      </w:r>
    </w:p>
    <w:p w:rsidR="00F45CBD" w:rsidRPr="002D2505" w:rsidRDefault="00F45CBD" w:rsidP="00F45CBD">
      <w:pPr>
        <w:pStyle w:val="SingleTxt"/>
        <w:spacing w:after="0" w:line="120" w:lineRule="exact"/>
        <w:rPr>
          <w:rFonts w:hint="eastAsia"/>
          <w:sz w:val="10"/>
        </w:rPr>
      </w:pPr>
    </w:p>
    <w:p w:rsidR="00F45CBD" w:rsidRDefault="00F45CBD" w:rsidP="00F45CBD">
      <w:pPr>
        <w:pStyle w:val="SingleTxt"/>
        <w:spacing w:after="160"/>
        <w:rPr>
          <w:rFonts w:hint="eastAsia"/>
        </w:rPr>
      </w:pPr>
      <w:r>
        <w:rPr>
          <w:rFonts w:hint="eastAsia"/>
        </w:rPr>
        <w:t>7.</w:t>
      </w:r>
      <w:r>
        <w:rPr>
          <w:rFonts w:hint="eastAsia"/>
        </w:rPr>
        <w:tab/>
        <w:t>委员会赞扬缔约国近期开展了广泛的法律改革，制订各项政策，以消除针对妇女的歧视并推动两性平等。委员会尤其欢迎《婚姻双方平等法》（1996年第1号法）、《平等权利行动（就业）法》（1998年第29号法）、《打击强奸法》（2000年第8号法）、《公用土地改革法》（2002年第5号法）、《抚养法》（2003年第9号法）以及《家庭暴力法》（2004年第4号法）。《婚姻双方平等法》废除了以往公证婚姻中丈夫的婚姻特权；《平等权利行动（就业）法》鼓励妇女加入正规劳动群体；《打击强奸法》保护强奸和性凌虐行为受害者并对犯罪者实施更严厉的刑罚；《公用土地改革法》规定男女在申请和获得公用地区土地权利方面享有平等机会；《抚养法》规定男女在抚养子女方面享有平等的权利和义务；《家庭暴力法》规定了家庭暴力案件中的保护措施。委员会还对1997年国家两性平等政策表示欢迎。该政策提出了开展和协调两性平等活动的框架与原则。</w:t>
      </w:r>
    </w:p>
    <w:p w:rsidR="00F45CBD" w:rsidRDefault="00F45CBD" w:rsidP="00F45CBD">
      <w:pPr>
        <w:pStyle w:val="SingleTxt"/>
        <w:spacing w:after="160"/>
        <w:rPr>
          <w:rFonts w:hint="eastAsia"/>
        </w:rPr>
      </w:pPr>
      <w:r>
        <w:rPr>
          <w:rFonts w:hint="eastAsia"/>
        </w:rPr>
        <w:t>8.</w:t>
      </w:r>
      <w:r>
        <w:rPr>
          <w:rFonts w:hint="eastAsia"/>
        </w:rPr>
        <w:tab/>
        <w:t>委员会赞赏地注意到，2000年，妇女事务局升格成为机构完善的两性平等和儿童福利部。</w:t>
      </w:r>
    </w:p>
    <w:p w:rsidR="00F45CBD" w:rsidRDefault="00F45CBD" w:rsidP="00F45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60"/>
        <w:ind w:left="2534" w:right="1260" w:hanging="1267"/>
        <w:rPr>
          <w:rFonts w:hint="eastAsia"/>
        </w:rPr>
      </w:pPr>
      <w:r>
        <w:rPr>
          <w:rFonts w:hint="eastAsia"/>
        </w:rPr>
        <w:t>主要关切领域和建议</w:t>
      </w:r>
    </w:p>
    <w:p w:rsidR="00F45CBD" w:rsidRDefault="00F45CBD" w:rsidP="00F45CBD">
      <w:pPr>
        <w:pStyle w:val="SingleTxt"/>
        <w:spacing w:after="160"/>
        <w:rPr>
          <w:rFonts w:hint="eastAsia"/>
        </w:rPr>
      </w:pPr>
      <w:r>
        <w:rPr>
          <w:rFonts w:hint="eastAsia"/>
        </w:rPr>
        <w:t>9.</w:t>
      </w:r>
      <w:r>
        <w:rPr>
          <w:rFonts w:hint="eastAsia"/>
        </w:rPr>
        <w:tab/>
      </w:r>
      <w:r w:rsidRPr="002D2505">
        <w:rPr>
          <w:rFonts w:ascii="SimHei" w:eastAsia="SimHei" w:hint="eastAsia"/>
          <w:color w:val="FF0000"/>
        </w:rPr>
        <w:t>委员会回顾缔约国有义务系统、持续地执行《公约》的所有规定，认为缔约国从现在起直至提交下次定期报告这段时间，需要优先重视本结论意见提出的关切问题和建议。因此，委员会吁请缔约国在执行活动中重点注意这些领域，并在下次定期报告中汇报已采取的行动和取得的成果。委员会还吁请缔约国将本结论意见提交各有关部委和议会，确保这些意见能得到充分落实</w:t>
      </w:r>
      <w:r>
        <w:rPr>
          <w:rFonts w:hint="eastAsia"/>
        </w:rPr>
        <w:t>。</w:t>
      </w:r>
    </w:p>
    <w:p w:rsidR="00F45CBD" w:rsidRDefault="00F45CBD" w:rsidP="00F45CBD">
      <w:pPr>
        <w:pStyle w:val="SingleTxt"/>
        <w:spacing w:after="160"/>
        <w:rPr>
          <w:rFonts w:hint="eastAsia"/>
        </w:rPr>
      </w:pPr>
      <w:r>
        <w:rPr>
          <w:rFonts w:hint="eastAsia"/>
        </w:rPr>
        <w:t>10.</w:t>
      </w:r>
      <w:r>
        <w:rPr>
          <w:rFonts w:hint="eastAsia"/>
        </w:rPr>
        <w:tab/>
        <w:t>委员会遗憾地注意到，报告没有提供信息，介绍已建立哪些机制，监测旨在加强妇女权力和两性平等的法律、政策和方案的影响。委员会又遗憾地注意到，按性别、族裔、年龄和城乡地区分列的统计资料非常有限，因此难以评估妇女实际状况以及妇女在《公约》所述各领域享受人权方面的长期进展和趋势。委员会还关切地注意到，报告没有说明为落实2001年开展的优点、弱点、机会和威胁分析结果而采取了哪些措施，开展这项分析是为了确定缔约国有效实施社会性别问题主流化战略的现有能力的性质和程度。</w:t>
      </w:r>
    </w:p>
    <w:p w:rsidR="00F45CBD" w:rsidRDefault="00F45CBD" w:rsidP="00F45CBD">
      <w:pPr>
        <w:pStyle w:val="SingleTxt"/>
        <w:spacing w:after="160"/>
        <w:rPr>
          <w:rFonts w:hint="eastAsia"/>
        </w:rPr>
      </w:pPr>
      <w:r>
        <w:rPr>
          <w:rFonts w:hint="eastAsia"/>
        </w:rPr>
        <w:t>11.</w:t>
      </w:r>
      <w:r>
        <w:rPr>
          <w:rFonts w:hint="eastAsia"/>
        </w:rPr>
        <w:tab/>
      </w:r>
      <w:r w:rsidRPr="002D2505">
        <w:rPr>
          <w:rFonts w:ascii="SimHei" w:eastAsia="SimHei" w:hint="eastAsia"/>
          <w:color w:val="FF0000"/>
        </w:rPr>
        <w:t>委员会吁请缔约国改进《公约》所述各领域的数据收集工作，按性别、族裔、年龄以及酌情按城乡地区分列，以评价妇女现况及其享有人权的实际情况，并跟踪长期趋势。委员会还吁请缔约国通过可衡量的指标来监测法律、政策和方案的影响力，并评价实现妇女事实上平等的进展情况。委员会鼓励缔约国在制定有效执行《公约》的法律、政策和方案时使用这些数据和指标。委员会请缔约国将这类统计数据和分析纳入下次报告。委员会进一步吁请缔约国采取步骤，落实优点、弱点、机会和威胁分析的结果，以确保在缔约国各项方案和政策中有效和系统地实施社会性别平等主流化战略</w:t>
      </w:r>
      <w:r>
        <w:rPr>
          <w:rFonts w:hint="eastAsia"/>
        </w:rPr>
        <w:t>。</w:t>
      </w:r>
    </w:p>
    <w:p w:rsidR="00F45CBD" w:rsidRDefault="00F45CBD" w:rsidP="00F45CBD">
      <w:pPr>
        <w:pStyle w:val="SingleTxt"/>
        <w:spacing w:after="160"/>
        <w:rPr>
          <w:rFonts w:hint="eastAsia"/>
        </w:rPr>
      </w:pPr>
      <w:r>
        <w:rPr>
          <w:rFonts w:hint="eastAsia"/>
        </w:rPr>
        <w:t>12.</w:t>
      </w:r>
      <w:r>
        <w:rPr>
          <w:rFonts w:hint="eastAsia"/>
        </w:rPr>
        <w:tab/>
        <w:t>委员会关切地注意到，《公约》、《任择议定书》的规定以及委员会一般性建议并不广为人知，包括法官、律师和检察官以及妇女本身。没有任何法院裁决提及《公约》，便是一个例证。</w:t>
      </w:r>
    </w:p>
    <w:p w:rsidR="00F45CBD" w:rsidRDefault="00F45CBD" w:rsidP="00F45CBD">
      <w:pPr>
        <w:pStyle w:val="SingleTxt"/>
        <w:spacing w:after="160"/>
        <w:rPr>
          <w:rFonts w:hint="eastAsia"/>
        </w:rPr>
      </w:pPr>
      <w:r>
        <w:rPr>
          <w:rFonts w:hint="eastAsia"/>
        </w:rPr>
        <w:t>13.</w:t>
      </w:r>
      <w:r>
        <w:rPr>
          <w:rFonts w:hint="eastAsia"/>
        </w:rPr>
        <w:tab/>
      </w:r>
      <w:r w:rsidRPr="002D2505">
        <w:rPr>
          <w:rFonts w:ascii="SimHei" w:eastAsia="SimHei" w:hint="eastAsia"/>
          <w:color w:val="FF0000"/>
        </w:rPr>
        <w:t>委员会吁请缔约国采取措施，宣传《公约》、《任择议定书》所规定的程序以及委员会一般性建议，并为检察官、法官、监察员和律师实施涉及《公约》和《任择议定书》各有关方面的方案。委员会还建议以妇女为对象，包括农村妇女以及从事妇女问题工作的非政府组织，长期开展提高认识和法律扫盲运动，鼓励妇女利用《公约》规定的程序和侵权补救办法，并增强她们在这方面的能力</w:t>
      </w:r>
      <w:r>
        <w:rPr>
          <w:rFonts w:hint="eastAsia"/>
        </w:rPr>
        <w:t>。</w:t>
      </w:r>
    </w:p>
    <w:p w:rsidR="00F45CBD" w:rsidRDefault="00F45CBD" w:rsidP="00F45CBD">
      <w:pPr>
        <w:pStyle w:val="SingleTxt"/>
        <w:spacing w:after="160"/>
        <w:rPr>
          <w:rFonts w:hint="eastAsia"/>
        </w:rPr>
      </w:pPr>
      <w:r>
        <w:rPr>
          <w:rFonts w:hint="eastAsia"/>
        </w:rPr>
        <w:t>14.</w:t>
      </w:r>
      <w:r>
        <w:rPr>
          <w:rFonts w:hint="eastAsia"/>
        </w:rPr>
        <w:tab/>
        <w:t>委员会欢迎颁布了鼓励妇女加入劳动群体的《平等权利行动（就业）法》（1998年第29号法）以及确保更多妇女参与决策进程的《地方权力法》（1992年第23号法），但是关切地注意到，这些临时特别措施只限于就业和妇女在地方上的政治代表权问题。</w:t>
      </w:r>
    </w:p>
    <w:p w:rsidR="00F45CBD" w:rsidRDefault="00F45CBD" w:rsidP="00F45CBD">
      <w:pPr>
        <w:pStyle w:val="SingleTxt"/>
        <w:spacing w:after="160"/>
        <w:rPr>
          <w:rFonts w:hint="eastAsia"/>
        </w:rPr>
      </w:pPr>
      <w:r>
        <w:rPr>
          <w:rFonts w:hint="eastAsia"/>
        </w:rPr>
        <w:t>15.</w:t>
      </w:r>
      <w:r>
        <w:rPr>
          <w:rFonts w:hint="eastAsia"/>
        </w:rPr>
        <w:tab/>
      </w:r>
      <w:r w:rsidRPr="002D2505">
        <w:rPr>
          <w:rFonts w:ascii="SimHei" w:eastAsia="SimHei" w:hint="eastAsia"/>
          <w:color w:val="FF0000"/>
        </w:rPr>
        <w:t>委员会建议缔约国按照《公约》第四条第1款和一般性建议25，在所有政治、经济、社会和文化生活相关领域采取暂行特别措施，以便加速实现妇女与男子事实上平等</w:t>
      </w:r>
      <w:r>
        <w:rPr>
          <w:rFonts w:hint="eastAsia"/>
        </w:rPr>
        <w:t>。</w:t>
      </w:r>
    </w:p>
    <w:p w:rsidR="00F45CBD" w:rsidRDefault="00F45CBD" w:rsidP="00F45CBD">
      <w:pPr>
        <w:pStyle w:val="SingleTxt"/>
        <w:spacing w:after="160"/>
        <w:rPr>
          <w:rFonts w:hint="eastAsia"/>
        </w:rPr>
      </w:pPr>
      <w:r>
        <w:rPr>
          <w:rFonts w:hint="eastAsia"/>
        </w:rPr>
        <w:t>16.</w:t>
      </w:r>
      <w:r>
        <w:rPr>
          <w:rFonts w:hint="eastAsia"/>
        </w:rPr>
        <w:tab/>
        <w:t>委员会对在男女的家庭和社会作用和责任问题上仍然存在顽固的父权态度和定型观念表示关切。委员会还对《传统权力法》（2000年第25号法）表示关切。该法规定传统权力当局有权监督和确保习俗法得以遵守，这可能给妇女带来消极影响，因为此类法律可能助长那些有害于妇女、歧视妇女的习俗和文化及传统做法得以继续沿用。</w:t>
      </w:r>
    </w:p>
    <w:p w:rsidR="00F45CBD" w:rsidRDefault="00F45CBD" w:rsidP="00F45CBD">
      <w:pPr>
        <w:pStyle w:val="SingleTxt"/>
        <w:spacing w:after="160"/>
        <w:rPr>
          <w:rFonts w:hint="eastAsia"/>
        </w:rPr>
      </w:pPr>
      <w:r>
        <w:rPr>
          <w:rFonts w:hint="eastAsia"/>
        </w:rPr>
        <w:t>17.</w:t>
      </w:r>
      <w:r>
        <w:rPr>
          <w:rFonts w:hint="eastAsia"/>
        </w:rPr>
        <w:tab/>
      </w:r>
      <w:r w:rsidRPr="002D2505">
        <w:rPr>
          <w:rFonts w:ascii="SimHei" w:eastAsia="SimHei" w:hint="eastAsia"/>
          <w:color w:val="FF0000"/>
        </w:rPr>
        <w:t>委员会吁请缔约国采取措施，推动改变广泛存在的有关男女角色的定型观念。这方面的努力应包括根据《公约》第二条(f)款和第五条(a)款，以妇女、男子、女孩和男孩为对象，全面开展提高认识和教育运动，消除关于两性在家庭和社会中的传统角色的定型观念。委员会敦请缔约国认真监督这些措施的影响，并在下次定期报告中报告取得的成果。委员会还吁请缔约国研究《传统权力法》（2000年第25号法）和《社区法院法》（2003年10月）的执行所产生的影响，以确保废止有害于并歧视妇女的习俗和文化与传统做法</w:t>
      </w:r>
      <w:r>
        <w:rPr>
          <w:rFonts w:hint="eastAsia"/>
        </w:rPr>
        <w:t>。</w:t>
      </w:r>
    </w:p>
    <w:p w:rsidR="00F45CBD" w:rsidRDefault="00F45CBD" w:rsidP="00F45CBD">
      <w:pPr>
        <w:pStyle w:val="SingleTxt"/>
        <w:spacing w:after="160"/>
        <w:rPr>
          <w:rFonts w:hint="eastAsia"/>
        </w:rPr>
      </w:pPr>
      <w:r>
        <w:rPr>
          <w:rFonts w:hint="eastAsia"/>
        </w:rPr>
        <w:t>18.</w:t>
      </w:r>
      <w:r>
        <w:rPr>
          <w:rFonts w:hint="eastAsia"/>
        </w:rPr>
        <w:tab/>
        <w:t>委员会注意到缔约国在处理针对妇女的暴力方面所采取的各种法律和其他措施，但关切地注意到，针对妇女的暴力仍是一个严重问题。委员会还关切地注意到，没有提供统计数据和信息，因此，无法衡量缔约国旨在防止和处理针对妇女的暴力的法律和政策措施的影响和成效。</w:t>
      </w:r>
    </w:p>
    <w:p w:rsidR="00F45CBD" w:rsidRDefault="00F45CBD" w:rsidP="00F45CBD">
      <w:pPr>
        <w:pStyle w:val="SingleTxt"/>
        <w:spacing w:after="160"/>
        <w:rPr>
          <w:rFonts w:hint="eastAsia"/>
        </w:rPr>
      </w:pPr>
      <w:r>
        <w:rPr>
          <w:rFonts w:hint="eastAsia"/>
        </w:rPr>
        <w:t>19.</w:t>
      </w:r>
      <w:r>
        <w:rPr>
          <w:rFonts w:hint="eastAsia"/>
        </w:rPr>
        <w:tab/>
      </w:r>
      <w:r w:rsidRPr="002D2505">
        <w:rPr>
          <w:rFonts w:ascii="SimHei" w:eastAsia="SimHei" w:hint="eastAsia"/>
          <w:color w:val="FF0000"/>
        </w:rPr>
        <w:t>委员会吁请缔约国采取步骤，充分执行和实施关于制止针对妇女暴力的法律，并确保女性暴力受害者能够受益于现有法律框架。委员会还吁请缔约国确保有效起诉和恰当惩罚所有针对妇女的暴力行为。委员会要求缔约国设立有效收集关于各种针对妇女暴力的资料的系统，在下次报告中提供统计数据和信息，说明向警方及其他相关当局举报的暴力案件数以及定罪案件数。委员会进一步吁请缔约国建立监测和评估机制，以便定期评估相关法律及其实施工作以及旨在防止和处理针对妇女暴力的方案的影响和成效</w:t>
      </w:r>
      <w:r>
        <w:rPr>
          <w:rFonts w:hint="eastAsia"/>
        </w:rPr>
        <w:t>。</w:t>
      </w:r>
    </w:p>
    <w:p w:rsidR="00F45CBD" w:rsidRDefault="00F45CBD" w:rsidP="00F45CBD">
      <w:pPr>
        <w:pStyle w:val="SingleTxt"/>
        <w:spacing w:after="160"/>
        <w:rPr>
          <w:rFonts w:hint="eastAsia"/>
        </w:rPr>
      </w:pPr>
      <w:r>
        <w:rPr>
          <w:rFonts w:hint="eastAsia"/>
        </w:rPr>
        <w:t>20.</w:t>
      </w:r>
      <w:r>
        <w:rPr>
          <w:rFonts w:hint="eastAsia"/>
        </w:rPr>
        <w:tab/>
        <w:t>委员会遗憾地注意到，报告未充分提供关于贩运妇女和女孩问题的信息。</w:t>
      </w:r>
    </w:p>
    <w:p w:rsidR="00F45CBD" w:rsidRDefault="00F45CBD" w:rsidP="00F45CBD">
      <w:pPr>
        <w:pStyle w:val="SingleTxt"/>
        <w:spacing w:after="160"/>
        <w:rPr>
          <w:rFonts w:hint="eastAsia"/>
        </w:rPr>
      </w:pPr>
      <w:r>
        <w:rPr>
          <w:rFonts w:hint="eastAsia"/>
        </w:rPr>
        <w:t>21.</w:t>
      </w:r>
      <w:r>
        <w:rPr>
          <w:rFonts w:hint="eastAsia"/>
        </w:rPr>
        <w:tab/>
      </w:r>
      <w:r w:rsidRPr="002D2505">
        <w:rPr>
          <w:rFonts w:ascii="SimHei" w:eastAsia="SimHei" w:hint="eastAsia"/>
          <w:color w:val="FF0000"/>
        </w:rPr>
        <w:t>委员会要求缔约国开展研究，以评估该国贩运妇女和女孩的严重程度，并在下次定期报告中综合评估贩运的严重程度及其根源，以及为消除妇女和女孩易遭贩运的弱点而采取的措施。此类信息应按年龄和地区分列，还应包括关于已采取的措施的影响以及取得的成果的信息</w:t>
      </w:r>
      <w:r>
        <w:rPr>
          <w:rFonts w:hint="eastAsia"/>
        </w:rPr>
        <w:t>。</w:t>
      </w:r>
    </w:p>
    <w:p w:rsidR="00F45CBD" w:rsidRDefault="00F45CBD" w:rsidP="00F45CBD">
      <w:pPr>
        <w:pStyle w:val="SingleTxt"/>
        <w:spacing w:after="160"/>
        <w:rPr>
          <w:rFonts w:hint="eastAsia"/>
        </w:rPr>
      </w:pPr>
      <w:r>
        <w:rPr>
          <w:rFonts w:hint="eastAsia"/>
        </w:rPr>
        <w:t>22.</w:t>
      </w:r>
      <w:r>
        <w:rPr>
          <w:rFonts w:hint="eastAsia"/>
        </w:rPr>
        <w:tab/>
        <w:t>委员会对正规教育女孩辍学率高表示关切。委员会还关切地注意到，学生妊娠政策中规定，怀孕学生生产后至少须育儿一年才能恢复正常上学，这可能妨碍女孩在生育后重续学业。委员会遗憾地注意到，关于女孩教育的统计资料和信息不足。</w:t>
      </w:r>
    </w:p>
    <w:p w:rsidR="00F45CBD" w:rsidRDefault="00F45CBD" w:rsidP="00F45CBD">
      <w:pPr>
        <w:pStyle w:val="SingleTxt"/>
        <w:spacing w:after="160"/>
        <w:rPr>
          <w:rFonts w:hint="eastAsia"/>
        </w:rPr>
      </w:pPr>
      <w:r>
        <w:rPr>
          <w:rFonts w:hint="eastAsia"/>
        </w:rPr>
        <w:t>23.</w:t>
      </w:r>
      <w:r>
        <w:rPr>
          <w:rFonts w:hint="eastAsia"/>
        </w:rPr>
        <w:tab/>
      </w:r>
      <w:r w:rsidRPr="00B94A7E">
        <w:rPr>
          <w:rFonts w:ascii="SimHei" w:eastAsia="SimHei" w:hint="eastAsia"/>
          <w:color w:val="FF0000"/>
        </w:rPr>
        <w:t>委员会建议缔约国采取措施，保证女孩留在学校，并监测学生妊娠政策对女孩生育后重返学校率的影响。委员会要求缔约国高度优先重视人口和家庭生活教育方案的执行工作。委员会吁请缔约国在下次报告中按性别、族裔和区域分列统计资料，并提供有关女孩教育的信息，分析实现目标方面的长期趋势和进展情况</w:t>
      </w:r>
      <w:r>
        <w:rPr>
          <w:rFonts w:hint="eastAsia"/>
        </w:rPr>
        <w:t>。</w:t>
      </w:r>
    </w:p>
    <w:p w:rsidR="00F45CBD" w:rsidRDefault="00F45CBD" w:rsidP="00F45CBD">
      <w:pPr>
        <w:pStyle w:val="SingleTxt"/>
        <w:spacing w:after="160"/>
        <w:rPr>
          <w:rFonts w:hint="eastAsia"/>
        </w:rPr>
      </w:pPr>
      <w:r>
        <w:rPr>
          <w:rFonts w:hint="eastAsia"/>
        </w:rPr>
        <w:t>24.</w:t>
      </w:r>
      <w:r>
        <w:rPr>
          <w:rFonts w:hint="eastAsia"/>
        </w:rPr>
        <w:tab/>
        <w:t>委员会对妇女缺乏充足的保健服务，包括性保健和生殖保健服务表示关切。委员会仍然感到关切的是，危害妇女生命和健康的不安全非法堕胎现象非常普遍。委员会又关切地注意到，患有艾滋病毒/艾滋病的妇女人数逐步上升，占报告的所有新发艾滋病毒病例的53％。委员会还关切地指出，孕妇死亡率上升，并且在此方面没有可靠的资料。</w:t>
      </w:r>
    </w:p>
    <w:p w:rsidR="00F45CBD" w:rsidRDefault="00F45CBD" w:rsidP="00F45CBD">
      <w:pPr>
        <w:pStyle w:val="SingleTxt"/>
        <w:spacing w:after="160"/>
        <w:rPr>
          <w:rFonts w:hint="eastAsia"/>
        </w:rPr>
      </w:pPr>
      <w:r>
        <w:rPr>
          <w:rFonts w:hint="eastAsia"/>
        </w:rPr>
        <w:t>25.</w:t>
      </w:r>
      <w:r>
        <w:rPr>
          <w:rFonts w:hint="eastAsia"/>
        </w:rPr>
        <w:tab/>
      </w:r>
      <w:r w:rsidRPr="002D2505">
        <w:rPr>
          <w:rFonts w:ascii="SimHei" w:eastAsia="SimHei" w:hint="eastAsia"/>
          <w:color w:val="FF0000"/>
        </w:rPr>
        <w:t>委员会敦促缔约国按照关于妇女和保健问题的《公约》第十二条和委员会一般性建议24采取切实措施，加强妇女保健服务，特别是性保健和生殖保健服务。委员会还建议采取措施，提高对可负担的避孕方法的认识，增加这些方法的使用，这样妇女和男子能够就生育数量和生育间隔做出知情选择，并能够按照本国立法安全堕胎。委员会进一步建议，应针对男女青少年，广泛开展性教育，特别是要重视预防早孕和控制性传播疾病及艾滋病毒/艾滋病的问题。委员会还吁请缔约国确保有效执行其2004-2009年国家战略计划（第三个中期计划），有效监督执行工作的成果，并且妥善处理造成妇女感染艾滋病毒的社会和经济因素。委员会敦促缔约国改善孕妇保健服务，包括产前、产后、产科和分娩服务。委员会鼓励缔约国采取措施，确保准确记录孕妇死亡数目，并就此方面向联合国儿童基金会（儿童基金会）、联合国人口基金（人口基金）以及世界卫生组织（世卫组织）寻求帮助</w:t>
      </w:r>
      <w:r>
        <w:rPr>
          <w:rFonts w:hint="eastAsia"/>
        </w:rPr>
        <w:t>。</w:t>
      </w:r>
    </w:p>
    <w:p w:rsidR="00F45CBD" w:rsidRDefault="00F45CBD" w:rsidP="00F45CBD">
      <w:pPr>
        <w:pStyle w:val="SingleTxt"/>
        <w:spacing w:after="160"/>
        <w:rPr>
          <w:rFonts w:hint="eastAsia"/>
        </w:rPr>
      </w:pPr>
      <w:r>
        <w:rPr>
          <w:rFonts w:hint="eastAsia"/>
        </w:rPr>
        <w:t>26.</w:t>
      </w:r>
      <w:r>
        <w:rPr>
          <w:rFonts w:hint="eastAsia"/>
        </w:rPr>
        <w:tab/>
        <w:t>委员会对农村地区妇女状况、特别是少数族裔妇女状况表示关切。这些妇女经常缺乏保健和教育服务，无法参与决策进程，缺少经济生存的手段和机会。委员会还对妇女在地区议会中代表比例不足感到关切。</w:t>
      </w:r>
    </w:p>
    <w:p w:rsidR="00F45CBD" w:rsidRDefault="00F45CBD" w:rsidP="00F45CBD">
      <w:pPr>
        <w:pStyle w:val="SingleTxt"/>
        <w:spacing w:after="160"/>
        <w:rPr>
          <w:rFonts w:hint="eastAsia"/>
        </w:rPr>
      </w:pPr>
      <w:r>
        <w:rPr>
          <w:rFonts w:hint="eastAsia"/>
        </w:rPr>
        <w:t>27.</w:t>
      </w:r>
      <w:r>
        <w:rPr>
          <w:rFonts w:hint="eastAsia"/>
        </w:rPr>
        <w:tab/>
      </w:r>
      <w:r w:rsidRPr="002D2505">
        <w:rPr>
          <w:rFonts w:ascii="SimHei" w:eastAsia="SimHei" w:hint="eastAsia"/>
          <w:color w:val="FF0000"/>
        </w:rPr>
        <w:t>委员会建议缔约国按照《公约》第十四条的规定，特别重视所有族裔农村妇女的状况，以确保农村妇女能够获得教育和保健服务以及信贷和土地，并能够充分参与决策进程，特别是地区议会。委员会还敦促缔约国宣传《公用土地改革法》（2002年第5号法），并确保设立监测该法执行工作的机制</w:t>
      </w:r>
      <w:r>
        <w:rPr>
          <w:rFonts w:hint="eastAsia"/>
        </w:rPr>
        <w:t>。</w:t>
      </w:r>
    </w:p>
    <w:p w:rsidR="00F45CBD" w:rsidRDefault="00F45CBD" w:rsidP="00F45CBD">
      <w:pPr>
        <w:pStyle w:val="SingleTxt"/>
        <w:spacing w:after="160"/>
        <w:rPr>
          <w:rFonts w:hint="eastAsia"/>
        </w:rPr>
      </w:pPr>
      <w:r>
        <w:rPr>
          <w:rFonts w:hint="eastAsia"/>
        </w:rPr>
        <w:t>28.</w:t>
      </w:r>
      <w:r>
        <w:rPr>
          <w:rFonts w:hint="eastAsia"/>
        </w:rPr>
        <w:tab/>
        <w:t>委员会欢迎颁布《婚姻双方平等法》（1996年第1号法）。该法赋予公证婚姻和习俗婚姻中的夫妻平等的子女监护权。但委员会关切的是，该法没有处理习俗婚姻中两性在财产方面的不平等问题。委员会又感到关切的是，纳米比亚法律不要求习俗婚姻登记。委员会还感到关切的是，尽管《婚姻双方平等法》规定男女法定结婚年龄是18岁，但仍然有早婚现象。</w:t>
      </w:r>
    </w:p>
    <w:p w:rsidR="00F45CBD" w:rsidRDefault="00F45CBD" w:rsidP="00F45CBD">
      <w:pPr>
        <w:pStyle w:val="SingleTxt"/>
        <w:spacing w:after="160"/>
        <w:rPr>
          <w:rFonts w:hint="eastAsia"/>
        </w:rPr>
      </w:pPr>
      <w:r>
        <w:rPr>
          <w:rFonts w:hint="eastAsia"/>
        </w:rPr>
        <w:t>29.</w:t>
      </w:r>
      <w:r>
        <w:rPr>
          <w:rFonts w:hint="eastAsia"/>
        </w:rPr>
        <w:tab/>
      </w:r>
      <w:r w:rsidRPr="002D2505">
        <w:rPr>
          <w:rFonts w:ascii="SimHei" w:eastAsia="SimHei" w:hint="eastAsia"/>
          <w:color w:val="FF0000"/>
        </w:rPr>
        <w:t>委员会吁请缔约国审查《婚姻双方平等法》（1996年第1号法），以期消除习俗婚姻在两性的财产权利方面歧视妇女的问题，使习俗婚姻财产权利与公证婚姻财产权利相同。委员会还吁请缔约国采取一切必要措施，包括与传统领袖、妇女和民间社会组织协商，以便起草关于习俗婚姻登记的法案。委员会建议缔约国采取措施，确保法定结婚年龄的规定得到遵守</w:t>
      </w:r>
      <w:r>
        <w:rPr>
          <w:rFonts w:hint="eastAsia"/>
        </w:rPr>
        <w:t>。</w:t>
      </w:r>
    </w:p>
    <w:p w:rsidR="00F45CBD" w:rsidRDefault="00F45CBD" w:rsidP="00F45CBD">
      <w:pPr>
        <w:pStyle w:val="SingleTxt"/>
        <w:spacing w:after="160"/>
        <w:rPr>
          <w:rFonts w:hint="eastAsia"/>
        </w:rPr>
      </w:pPr>
      <w:r>
        <w:rPr>
          <w:rFonts w:hint="eastAsia"/>
        </w:rPr>
        <w:t>30.</w:t>
      </w:r>
      <w:r>
        <w:rPr>
          <w:rFonts w:hint="eastAsia"/>
        </w:rPr>
        <w:tab/>
      </w:r>
      <w:r w:rsidRPr="002D2505">
        <w:rPr>
          <w:rFonts w:ascii="SimHei" w:eastAsia="SimHei" w:hint="eastAsia"/>
          <w:color w:val="FF0000"/>
        </w:rPr>
        <w:t>委员会鼓励缔约国尽快接受《公约》关于委员会会议时间的第二十条第1款的修正案</w:t>
      </w:r>
      <w:r>
        <w:rPr>
          <w:rFonts w:hint="eastAsia"/>
        </w:rPr>
        <w:t>。</w:t>
      </w:r>
    </w:p>
    <w:p w:rsidR="00F45CBD" w:rsidRDefault="00F45CBD" w:rsidP="00F45CBD">
      <w:pPr>
        <w:pStyle w:val="SingleTxt"/>
        <w:spacing w:after="160"/>
        <w:rPr>
          <w:rFonts w:hint="eastAsia"/>
        </w:rPr>
      </w:pPr>
      <w:r>
        <w:rPr>
          <w:rFonts w:hint="eastAsia"/>
        </w:rPr>
        <w:t>31.</w:t>
      </w:r>
      <w:r>
        <w:rPr>
          <w:rFonts w:hint="eastAsia"/>
        </w:rPr>
        <w:tab/>
      </w:r>
      <w:r w:rsidRPr="002D2505">
        <w:rPr>
          <w:rFonts w:ascii="SimHei" w:eastAsia="SimHei" w:hint="eastAsia"/>
          <w:color w:val="FF0000"/>
        </w:rPr>
        <w:t>委员会敦促缔约国在履行《公约》义务的过程中充分实施《北京宣言和行动纲要》，因为这项文书加强了《公约》各项规定。委员会要求缔约国在下次定期报告中说明此方面的情况</w:t>
      </w:r>
      <w:r>
        <w:rPr>
          <w:rFonts w:hint="eastAsia"/>
        </w:rPr>
        <w:t>。</w:t>
      </w:r>
    </w:p>
    <w:p w:rsidR="00F45CBD" w:rsidRDefault="00F45CBD" w:rsidP="00F45CBD">
      <w:pPr>
        <w:pStyle w:val="SingleTxt"/>
        <w:spacing w:after="160"/>
        <w:rPr>
          <w:rFonts w:hint="eastAsia"/>
        </w:rPr>
      </w:pPr>
      <w:r>
        <w:rPr>
          <w:rFonts w:hint="eastAsia"/>
        </w:rPr>
        <w:t>32.</w:t>
      </w:r>
      <w:r>
        <w:rPr>
          <w:rFonts w:hint="eastAsia"/>
        </w:rPr>
        <w:tab/>
      </w:r>
      <w:r w:rsidRPr="002D2505">
        <w:rPr>
          <w:rFonts w:ascii="SimHei" w:eastAsia="SimHei" w:hint="eastAsia"/>
          <w:color w:val="FF0000"/>
        </w:rPr>
        <w:t>委员会还强调，全面、有效执行《公约》对于实现千年发展目标不可或缺。委员会呼吁在所有旨在实现千年发展目标的工作中融入两性平等观念，明确体现《公约》的规定，并要求缔约国在下次定期报告中说明此方面的情况</w:t>
      </w:r>
      <w:r>
        <w:rPr>
          <w:rFonts w:hint="eastAsia"/>
        </w:rPr>
        <w:t>。</w:t>
      </w:r>
    </w:p>
    <w:p w:rsidR="00F45CBD" w:rsidRDefault="00F45CBD" w:rsidP="00F45CBD">
      <w:pPr>
        <w:pStyle w:val="SingleTxt"/>
        <w:spacing w:after="160"/>
        <w:rPr>
          <w:rFonts w:hint="eastAsia"/>
        </w:rPr>
      </w:pPr>
      <w:r>
        <w:rPr>
          <w:rFonts w:hint="eastAsia"/>
        </w:rPr>
        <w:t>33.</w:t>
      </w:r>
      <w:r>
        <w:rPr>
          <w:rFonts w:hint="eastAsia"/>
        </w:rPr>
        <w:tab/>
      </w:r>
      <w:r w:rsidRPr="002D2505">
        <w:rPr>
          <w:rFonts w:ascii="SimHei" w:eastAsia="SimHei" w:hint="eastAsia"/>
          <w:color w:val="FF0000"/>
        </w:rPr>
        <w:t>委员会指出，各国遵守七项主要国际人权文书，</w:t>
      </w:r>
      <w:r w:rsidRPr="00392CFA">
        <w:rPr>
          <w:rStyle w:val="FootnoteReference"/>
          <w:rFonts w:ascii="SimHei" w:eastAsia="SimHei"/>
          <w:color w:val="FF0000"/>
        </w:rPr>
        <w:footnoteReference w:id="1"/>
      </w:r>
      <w:r w:rsidRPr="002D2505">
        <w:rPr>
          <w:rFonts w:ascii="SimHei" w:eastAsia="SimHei" w:hint="eastAsia"/>
          <w:color w:val="FF0000"/>
        </w:rPr>
        <w:t xml:space="preserve"> 这有助于增进妇女在生活所有方面享受人权和基本自由。因此，委员会鼓励纳米比亚政府考虑批准其尚未成为缔约国的条约，即《保护所有移徙工人及其家庭成员权利国际公约》</w:t>
      </w:r>
      <w:r>
        <w:rPr>
          <w:rFonts w:hint="eastAsia"/>
        </w:rPr>
        <w:t>。</w:t>
      </w:r>
    </w:p>
    <w:p w:rsidR="00F45CBD" w:rsidRDefault="00F45CBD" w:rsidP="00F45CBD">
      <w:pPr>
        <w:pStyle w:val="SingleTxt"/>
        <w:spacing w:after="160"/>
        <w:rPr>
          <w:rFonts w:hint="eastAsia"/>
        </w:rPr>
      </w:pPr>
      <w:r>
        <w:rPr>
          <w:rFonts w:hint="eastAsia"/>
        </w:rPr>
        <w:t>34.</w:t>
      </w:r>
      <w:r>
        <w:rPr>
          <w:rFonts w:hint="eastAsia"/>
        </w:rPr>
        <w:tab/>
      </w:r>
      <w:r w:rsidRPr="002D2505">
        <w:rPr>
          <w:rFonts w:ascii="SimHei" w:eastAsia="SimHei" w:hint="eastAsia"/>
          <w:color w:val="FF0000"/>
        </w:rPr>
        <w:t>委员会请纳米比亚在国内广泛宣传本结论意见，帮助人民，包括政府官员、政治人物、议员、妇女组织和人权组织，了解为确保妇女法律上和事实上平等而采取的步骤以及在这方面需要采取的进一步步骤。委员会请缔约国继续广泛宣传《公约》、其任择议定书、委员会一般性建议、《北京宣言和行动纲要》和主题为“2000年妇女：二十一世纪两性平等、发展与和平”的大会第二十三届特别会议成果，特别是向妇女组织和人权组织宣传这些文书</w:t>
      </w:r>
      <w:r>
        <w:rPr>
          <w:rFonts w:hint="eastAsia"/>
        </w:rPr>
        <w:t>。</w:t>
      </w:r>
    </w:p>
    <w:p w:rsidR="00F45CBD" w:rsidRDefault="00F45CBD" w:rsidP="00F45CBD">
      <w:pPr>
        <w:pStyle w:val="SingleTxt"/>
        <w:spacing w:after="160"/>
        <w:rPr>
          <w:rFonts w:hint="eastAsia"/>
        </w:rPr>
      </w:pPr>
      <w:r>
        <w:rPr>
          <w:rFonts w:hint="eastAsia"/>
        </w:rPr>
        <w:t>35.</w:t>
      </w:r>
      <w:r>
        <w:rPr>
          <w:rFonts w:hint="eastAsia"/>
        </w:rPr>
        <w:tab/>
      </w:r>
      <w:r w:rsidRPr="002D2505">
        <w:rPr>
          <w:rFonts w:ascii="SimHei" w:eastAsia="SimHei" w:hint="eastAsia"/>
          <w:color w:val="FF0000"/>
        </w:rPr>
        <w:t>委员会请缔约国在根据《公约》第十八条提交的下次定期报告时对本结论意见中表示的关切问题作出答复。鉴于缔约国第四次定期报告本应于2005年12月提交，第五次定期报告应于2009年12月提交，委员会请缔约国在2009年提交这两份报告的合并报告</w:t>
      </w:r>
      <w:r>
        <w:rPr>
          <w:rFonts w:hint="eastAsia"/>
        </w:rPr>
        <w:t>。</w:t>
      </w:r>
    </w:p>
    <w:p w:rsidR="00F45CBD" w:rsidRPr="002D2505" w:rsidRDefault="00F45CBD" w:rsidP="00F45CBD">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EA31C3" w:rsidRPr="00F45CBD" w:rsidRDefault="00EA31C3" w:rsidP="00F14A7D">
      <w:pPr>
        <w:pStyle w:val="SingleTxt"/>
      </w:pPr>
    </w:p>
    <w:sectPr w:rsidR="00EA31C3" w:rsidRPr="00F45CBD" w:rsidSect="00F14A7D">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1:47:00Z" w:initials="Start">
    <w:p w:rsidR="00FF0853" w:rsidRDefault="00FF0853" w:rsidP="00F45CB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NO&gt;&gt;N0724337C&lt;&lt;ODS JOB NO&gt;&gt;</w:t>
      </w:r>
    </w:p>
    <w:p w:rsidR="00FF0853" w:rsidRDefault="00FF0853" w:rsidP="00F45CBD">
      <w:pPr>
        <w:pStyle w:val="CommentText"/>
      </w:pPr>
      <w:r>
        <w:t>&lt;&lt;ODS DOC SYMBOL1&gt;&gt;CEDAW/C/NAM/CO/3&lt;&lt;ODS DOC SYMBOL1&gt;&gt;</w:t>
      </w:r>
    </w:p>
    <w:p w:rsidR="00FF0853" w:rsidRDefault="00FF0853" w:rsidP="00F45C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C42" w:rsidRDefault="00D40C42" w:rsidP="00F14A7D">
      <w:pPr>
        <w:pStyle w:val="Footer"/>
      </w:pPr>
      <w:r>
        <w:separator/>
      </w:r>
    </w:p>
  </w:endnote>
  <w:endnote w:type="continuationSeparator" w:id="0">
    <w:p w:rsidR="00D40C42" w:rsidRDefault="00D40C42" w:rsidP="00F14A7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F0853" w:rsidTr="00F14A7D">
      <w:tblPrEx>
        <w:tblCellMar>
          <w:top w:w="0" w:type="dxa"/>
          <w:bottom w:w="0" w:type="dxa"/>
        </w:tblCellMar>
      </w:tblPrEx>
      <w:tc>
        <w:tcPr>
          <w:tcW w:w="5033" w:type="dxa"/>
          <w:shd w:val="clear" w:color="auto" w:fill="auto"/>
          <w:vAlign w:val="bottom"/>
        </w:tcPr>
        <w:p w:rsidR="00FF0853" w:rsidRPr="00F14A7D" w:rsidRDefault="00FF0853" w:rsidP="00F14A7D">
          <w:pPr>
            <w:pStyle w:val="Footer"/>
            <w:jc w:val="left"/>
          </w:pPr>
          <w:r>
            <w:fldChar w:fldCharType="begin"/>
          </w:r>
          <w:r>
            <w:instrText xml:space="preserve"> PAGE  \* MERGEFORMAT </w:instrText>
          </w:r>
          <w:r>
            <w:fldChar w:fldCharType="separate"/>
          </w:r>
          <w:r>
            <w:t>1</w:t>
          </w:r>
          <w:r>
            <w:fldChar w:fldCharType="end"/>
          </w:r>
        </w:p>
      </w:tc>
      <w:tc>
        <w:tcPr>
          <w:tcW w:w="5033" w:type="dxa"/>
          <w:shd w:val="clear" w:color="auto" w:fill="auto"/>
          <w:vAlign w:val="bottom"/>
        </w:tcPr>
        <w:p w:rsidR="00FF0853" w:rsidRPr="00F14A7D" w:rsidRDefault="00FF0853" w:rsidP="00F14A7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07-24337</w:t>
          </w:r>
          <w:r>
            <w:rPr>
              <w:b w:val="0"/>
              <w:sz w:val="14"/>
            </w:rPr>
            <w:fldChar w:fldCharType="end"/>
          </w:r>
        </w:p>
      </w:tc>
    </w:tr>
  </w:tbl>
  <w:p w:rsidR="00FF0853" w:rsidRPr="00F14A7D" w:rsidRDefault="00FF0853" w:rsidP="00F14A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F0853" w:rsidTr="00F14A7D">
      <w:tblPrEx>
        <w:tblCellMar>
          <w:top w:w="0" w:type="dxa"/>
          <w:bottom w:w="0" w:type="dxa"/>
        </w:tblCellMar>
      </w:tblPrEx>
      <w:tc>
        <w:tcPr>
          <w:tcW w:w="5033" w:type="dxa"/>
          <w:shd w:val="clear" w:color="auto" w:fill="auto"/>
          <w:vAlign w:val="bottom"/>
        </w:tcPr>
        <w:p w:rsidR="00FF0853" w:rsidRPr="00F14A7D" w:rsidRDefault="00FF0853" w:rsidP="00F14A7D">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07-24337</w:t>
          </w:r>
          <w:r>
            <w:rPr>
              <w:b w:val="0"/>
              <w:sz w:val="14"/>
            </w:rPr>
            <w:fldChar w:fldCharType="end"/>
          </w:r>
        </w:p>
      </w:tc>
      <w:tc>
        <w:tcPr>
          <w:tcW w:w="5033" w:type="dxa"/>
          <w:shd w:val="clear" w:color="auto" w:fill="auto"/>
          <w:vAlign w:val="bottom"/>
        </w:tcPr>
        <w:p w:rsidR="00FF0853" w:rsidRPr="00F14A7D" w:rsidRDefault="00FF0853" w:rsidP="00F14A7D">
          <w:pPr>
            <w:pStyle w:val="Footer"/>
            <w:jc w:val="right"/>
          </w:pPr>
          <w:r>
            <w:fldChar w:fldCharType="begin"/>
          </w:r>
          <w:r>
            <w:instrText xml:space="preserve"> PAGE  \* MERGEFORMAT </w:instrText>
          </w:r>
          <w:r>
            <w:fldChar w:fldCharType="separate"/>
          </w:r>
          <w:r>
            <w:t>1</w:t>
          </w:r>
          <w:r>
            <w:fldChar w:fldCharType="end"/>
          </w:r>
        </w:p>
      </w:tc>
    </w:tr>
  </w:tbl>
  <w:p w:rsidR="00FF0853" w:rsidRPr="00F14A7D" w:rsidRDefault="00FF0853" w:rsidP="00F14A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853" w:rsidRDefault="00FF0853" w:rsidP="00F14A7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07-24337 (C)</w:t>
    </w:r>
    <w:r>
      <w:rPr>
        <w:b w:val="0"/>
        <w:sz w:val="21"/>
      </w:rPr>
      <w:fldChar w:fldCharType="end"/>
    </w:r>
    <w:r>
      <w:rPr>
        <w:b w:val="0"/>
        <w:sz w:val="21"/>
      </w:rPr>
      <w:t xml:space="preserve">    220207    260207</w:t>
    </w:r>
  </w:p>
  <w:p w:rsidR="00FF0853" w:rsidRPr="00F14A7D" w:rsidRDefault="00FF0853" w:rsidP="00F14A7D">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*0724337*</w:t>
    </w:r>
    <w:r>
      <w:rPr>
        <w:rFonts w:ascii="Barcode 3 of 9 by request" w:hAnsi="Barcode 3 of 9 by request"/>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F0853" w:rsidTr="00F45CBD">
      <w:tblPrEx>
        <w:tblCellMar>
          <w:top w:w="0" w:type="dxa"/>
          <w:bottom w:w="0" w:type="dxa"/>
        </w:tblCellMar>
      </w:tblPrEx>
      <w:tc>
        <w:tcPr>
          <w:tcW w:w="5033" w:type="dxa"/>
          <w:shd w:val="clear" w:color="auto" w:fill="auto"/>
          <w:vAlign w:val="bottom"/>
        </w:tcPr>
        <w:p w:rsidR="00FF0853" w:rsidRPr="001C5ACA" w:rsidRDefault="00FF0853" w:rsidP="00F45CBD">
          <w:pPr>
            <w:pStyle w:val="Footer"/>
            <w:jc w:val="left"/>
          </w:pPr>
          <w:r>
            <w:fldChar w:fldCharType="begin"/>
          </w:r>
          <w:r>
            <w:instrText xml:space="preserve"> PAGE  \* MERGEFORMAT </w:instrText>
          </w:r>
          <w:r>
            <w:fldChar w:fldCharType="separate"/>
          </w:r>
          <w:r w:rsidR="00C10E52">
            <w:t>6</w:t>
          </w:r>
          <w:r>
            <w:fldChar w:fldCharType="end"/>
          </w:r>
        </w:p>
      </w:tc>
      <w:tc>
        <w:tcPr>
          <w:tcW w:w="5033" w:type="dxa"/>
          <w:shd w:val="clear" w:color="auto" w:fill="auto"/>
          <w:vAlign w:val="bottom"/>
        </w:tcPr>
        <w:p w:rsidR="00FF0853" w:rsidRPr="001C5ACA" w:rsidRDefault="00FF0853" w:rsidP="00F45CB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07-24337</w:t>
          </w:r>
          <w:r>
            <w:rPr>
              <w:b w:val="0"/>
              <w:sz w:val="14"/>
            </w:rPr>
            <w:fldChar w:fldCharType="end"/>
          </w:r>
        </w:p>
      </w:tc>
    </w:tr>
  </w:tbl>
  <w:p w:rsidR="00FF0853" w:rsidRPr="001C5ACA" w:rsidRDefault="00FF0853" w:rsidP="00F45CB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F0853" w:rsidTr="00F45CBD">
      <w:tblPrEx>
        <w:tblCellMar>
          <w:top w:w="0" w:type="dxa"/>
          <w:bottom w:w="0" w:type="dxa"/>
        </w:tblCellMar>
      </w:tblPrEx>
      <w:tc>
        <w:tcPr>
          <w:tcW w:w="5033" w:type="dxa"/>
          <w:shd w:val="clear" w:color="auto" w:fill="auto"/>
          <w:vAlign w:val="bottom"/>
        </w:tcPr>
        <w:p w:rsidR="00FF0853" w:rsidRPr="001C5ACA" w:rsidRDefault="00FF0853" w:rsidP="00F45CBD">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07-24337</w:t>
          </w:r>
          <w:r>
            <w:rPr>
              <w:b w:val="0"/>
              <w:sz w:val="14"/>
            </w:rPr>
            <w:fldChar w:fldCharType="end"/>
          </w:r>
        </w:p>
      </w:tc>
      <w:tc>
        <w:tcPr>
          <w:tcW w:w="5033" w:type="dxa"/>
          <w:shd w:val="clear" w:color="auto" w:fill="auto"/>
          <w:vAlign w:val="bottom"/>
        </w:tcPr>
        <w:p w:rsidR="00FF0853" w:rsidRPr="001C5ACA" w:rsidRDefault="00FF0853" w:rsidP="00F45CBD">
          <w:pPr>
            <w:pStyle w:val="Footer"/>
            <w:jc w:val="right"/>
          </w:pPr>
          <w:r>
            <w:fldChar w:fldCharType="begin"/>
          </w:r>
          <w:r>
            <w:instrText xml:space="preserve"> PAGE  \* MERGEFORMAT </w:instrText>
          </w:r>
          <w:r>
            <w:fldChar w:fldCharType="separate"/>
          </w:r>
          <w:r w:rsidR="00C10E52">
            <w:t>5</w:t>
          </w:r>
          <w:r>
            <w:fldChar w:fldCharType="end"/>
          </w:r>
        </w:p>
      </w:tc>
    </w:tr>
  </w:tbl>
  <w:p w:rsidR="00FF0853" w:rsidRPr="001C5ACA" w:rsidRDefault="00FF0853" w:rsidP="00F45CB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853" w:rsidRDefault="00FF0853" w:rsidP="00F45CB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07-24337 (C)</w:t>
    </w:r>
    <w:r>
      <w:rPr>
        <w:b w:val="0"/>
        <w:sz w:val="21"/>
      </w:rPr>
      <w:fldChar w:fldCharType="end"/>
    </w:r>
  </w:p>
  <w:p w:rsidR="00FF0853" w:rsidRPr="001C5ACA" w:rsidRDefault="00FF0853" w:rsidP="00F45CBD">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*0724337*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C42" w:rsidRPr="00392CFA" w:rsidRDefault="00D40C42" w:rsidP="00392CFA">
      <w:pPr>
        <w:pStyle w:val="Footer"/>
        <w:spacing w:after="80"/>
        <w:ind w:left="792"/>
        <w:rPr>
          <w:sz w:val="16"/>
        </w:rPr>
      </w:pPr>
      <w:r w:rsidRPr="00392CFA">
        <w:rPr>
          <w:sz w:val="16"/>
        </w:rPr>
        <w:t>__________________</w:t>
      </w:r>
    </w:p>
  </w:footnote>
  <w:footnote w:type="continuationSeparator" w:id="0">
    <w:p w:rsidR="00D40C42" w:rsidRPr="00392CFA" w:rsidRDefault="00D40C42" w:rsidP="00392CFA">
      <w:pPr>
        <w:pStyle w:val="Footer"/>
        <w:spacing w:after="80"/>
        <w:ind w:left="792"/>
        <w:rPr>
          <w:sz w:val="16"/>
        </w:rPr>
      </w:pPr>
      <w:r w:rsidRPr="00392CFA">
        <w:rPr>
          <w:sz w:val="16"/>
        </w:rPr>
        <w:t>__________________</w:t>
      </w:r>
    </w:p>
  </w:footnote>
  <w:footnote w:id="1">
    <w:p w:rsidR="00FF0853" w:rsidRPr="002D2505" w:rsidRDefault="00FF0853" w:rsidP="00392CFA">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D2505">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0853" w:rsidTr="00F14A7D">
      <w:tblPrEx>
        <w:tblCellMar>
          <w:top w:w="0" w:type="dxa"/>
          <w:bottom w:w="0" w:type="dxa"/>
        </w:tblCellMar>
      </w:tblPrEx>
      <w:trPr>
        <w:trHeight w:hRule="exact" w:val="864"/>
      </w:trPr>
      <w:tc>
        <w:tcPr>
          <w:tcW w:w="4838" w:type="dxa"/>
          <w:shd w:val="clear" w:color="auto" w:fill="auto"/>
          <w:vAlign w:val="bottom"/>
        </w:tcPr>
        <w:p w:rsidR="00FF0853" w:rsidRPr="00F14A7D" w:rsidRDefault="00FF0853" w:rsidP="00F14A7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CEDAW/C/NAM/CO/3</w:t>
          </w:r>
          <w:r>
            <w:rPr>
              <w:b/>
              <w:sz w:val="17"/>
            </w:rPr>
            <w:fldChar w:fldCharType="end"/>
          </w:r>
        </w:p>
      </w:tc>
      <w:tc>
        <w:tcPr>
          <w:tcW w:w="5033" w:type="dxa"/>
          <w:shd w:val="clear" w:color="auto" w:fill="auto"/>
          <w:vAlign w:val="bottom"/>
        </w:tcPr>
        <w:p w:rsidR="00FF0853" w:rsidRDefault="00FF0853" w:rsidP="00F14A7D">
          <w:pPr>
            <w:pStyle w:val="Header"/>
          </w:pPr>
        </w:p>
      </w:tc>
    </w:tr>
  </w:tbl>
  <w:p w:rsidR="00FF0853" w:rsidRPr="00F14A7D" w:rsidRDefault="00FF0853" w:rsidP="00F14A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0853" w:rsidTr="00F14A7D">
      <w:tblPrEx>
        <w:tblCellMar>
          <w:top w:w="0" w:type="dxa"/>
          <w:bottom w:w="0" w:type="dxa"/>
        </w:tblCellMar>
      </w:tblPrEx>
      <w:trPr>
        <w:trHeight w:hRule="exact" w:val="864"/>
      </w:trPr>
      <w:tc>
        <w:tcPr>
          <w:tcW w:w="4838" w:type="dxa"/>
          <w:shd w:val="clear" w:color="auto" w:fill="auto"/>
          <w:vAlign w:val="bottom"/>
        </w:tcPr>
        <w:p w:rsidR="00FF0853" w:rsidRDefault="00FF0853" w:rsidP="00F14A7D">
          <w:pPr>
            <w:pStyle w:val="Header"/>
          </w:pPr>
        </w:p>
      </w:tc>
      <w:tc>
        <w:tcPr>
          <w:tcW w:w="5033" w:type="dxa"/>
          <w:shd w:val="clear" w:color="auto" w:fill="auto"/>
          <w:vAlign w:val="bottom"/>
        </w:tcPr>
        <w:p w:rsidR="00FF0853" w:rsidRPr="00F14A7D" w:rsidRDefault="00FF0853" w:rsidP="00F14A7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CEDAW/C/NAM/CO/3</w:t>
          </w:r>
          <w:r>
            <w:rPr>
              <w:b/>
              <w:sz w:val="17"/>
            </w:rPr>
            <w:fldChar w:fldCharType="end"/>
          </w:r>
        </w:p>
      </w:tc>
    </w:tr>
  </w:tbl>
  <w:p w:rsidR="00FF0853" w:rsidRPr="00F14A7D" w:rsidRDefault="00FF0853" w:rsidP="00F14A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F0853" w:rsidTr="00F14A7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F0853" w:rsidRDefault="00FF0853" w:rsidP="00F14A7D">
          <w:pPr>
            <w:pStyle w:val="Header"/>
            <w:spacing w:after="120"/>
          </w:pPr>
        </w:p>
      </w:tc>
      <w:tc>
        <w:tcPr>
          <w:tcW w:w="1872" w:type="dxa"/>
          <w:tcBorders>
            <w:bottom w:val="single" w:sz="4" w:space="0" w:color="auto"/>
          </w:tcBorders>
          <w:shd w:val="clear" w:color="auto" w:fill="auto"/>
          <w:vAlign w:val="bottom"/>
        </w:tcPr>
        <w:p w:rsidR="00FF0853" w:rsidRPr="00F14A7D" w:rsidRDefault="00FF0853" w:rsidP="00F14A7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F0853" w:rsidRDefault="00FF0853" w:rsidP="00F14A7D">
          <w:pPr>
            <w:pStyle w:val="Header"/>
            <w:spacing w:after="120"/>
          </w:pPr>
        </w:p>
      </w:tc>
      <w:tc>
        <w:tcPr>
          <w:tcW w:w="6523" w:type="dxa"/>
          <w:gridSpan w:val="3"/>
          <w:tcBorders>
            <w:bottom w:val="single" w:sz="4" w:space="0" w:color="auto"/>
          </w:tcBorders>
          <w:shd w:val="clear" w:color="auto" w:fill="auto"/>
          <w:vAlign w:val="bottom"/>
        </w:tcPr>
        <w:p w:rsidR="00FF0853" w:rsidRPr="00F14A7D" w:rsidRDefault="00FF0853" w:rsidP="00F14A7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/C/NAM/CO/3</w:t>
          </w:r>
        </w:p>
      </w:tc>
    </w:tr>
    <w:tr w:rsidR="00FF0853" w:rsidRPr="00F14A7D" w:rsidTr="00F14A7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F0853" w:rsidRDefault="00FF0853" w:rsidP="00F14A7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F0853" w:rsidRPr="00F14A7D" w:rsidRDefault="00FF0853" w:rsidP="00F14A7D">
          <w:pPr>
            <w:pStyle w:val="Header"/>
            <w:spacing w:before="109"/>
            <w:ind w:left="-72"/>
          </w:pPr>
        </w:p>
      </w:tc>
      <w:tc>
        <w:tcPr>
          <w:tcW w:w="5227" w:type="dxa"/>
          <w:gridSpan w:val="3"/>
          <w:tcBorders>
            <w:top w:val="single" w:sz="4" w:space="0" w:color="auto"/>
            <w:bottom w:val="single" w:sz="12" w:space="0" w:color="auto"/>
          </w:tcBorders>
          <w:shd w:val="clear" w:color="auto" w:fill="auto"/>
        </w:tcPr>
        <w:p w:rsidR="00FF0853" w:rsidRPr="00F14A7D" w:rsidRDefault="00FF0853" w:rsidP="00F14A7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F0853" w:rsidRPr="00F14A7D" w:rsidRDefault="00FF0853" w:rsidP="00F14A7D">
          <w:pPr>
            <w:pStyle w:val="Header"/>
            <w:spacing w:before="109"/>
          </w:pPr>
        </w:p>
      </w:tc>
      <w:tc>
        <w:tcPr>
          <w:tcW w:w="3180" w:type="dxa"/>
          <w:gridSpan w:val="2"/>
          <w:tcBorders>
            <w:top w:val="single" w:sz="4" w:space="0" w:color="auto"/>
            <w:bottom w:val="single" w:sz="12" w:space="0" w:color="auto"/>
          </w:tcBorders>
          <w:shd w:val="clear" w:color="auto" w:fill="auto"/>
        </w:tcPr>
        <w:p w:rsidR="00FF0853" w:rsidRDefault="00FF0853" w:rsidP="00F14A7D">
          <w:pPr>
            <w:spacing w:line="240" w:lineRule="exact"/>
            <w:rPr>
              <w:rFonts w:ascii="Times New Roman"/>
            </w:rPr>
          </w:pPr>
        </w:p>
        <w:p w:rsidR="00FF0853" w:rsidRDefault="00FF0853" w:rsidP="00F14A7D">
          <w:pPr>
            <w:spacing w:line="240" w:lineRule="exact"/>
            <w:rPr>
              <w:rFonts w:ascii="Times New Roman"/>
            </w:rPr>
          </w:pPr>
          <w:r>
            <w:rPr>
              <w:rFonts w:ascii="Times New Roman"/>
            </w:rPr>
            <w:t>2 February 2007</w:t>
          </w:r>
        </w:p>
        <w:p w:rsidR="00FF0853" w:rsidRDefault="00FF0853" w:rsidP="00F14A7D">
          <w:pPr>
            <w:spacing w:line="240" w:lineRule="exact"/>
            <w:rPr>
              <w:rFonts w:ascii="Times New Roman"/>
            </w:rPr>
          </w:pPr>
          <w:r>
            <w:rPr>
              <w:rFonts w:ascii="Times New Roman"/>
            </w:rPr>
            <w:t>Chinese</w:t>
          </w:r>
        </w:p>
        <w:p w:rsidR="00FF0853" w:rsidRPr="00F14A7D" w:rsidRDefault="00FF0853" w:rsidP="00F14A7D">
          <w:pPr>
            <w:spacing w:line="240" w:lineRule="exact"/>
            <w:rPr>
              <w:rFonts w:ascii="Times New Roman"/>
            </w:rPr>
          </w:pPr>
          <w:r>
            <w:rPr>
              <w:rFonts w:ascii="Times New Roman"/>
            </w:rPr>
            <w:t>Original: English</w:t>
          </w:r>
        </w:p>
      </w:tc>
    </w:tr>
  </w:tbl>
  <w:p w:rsidR="00FF0853" w:rsidRPr="00F14A7D" w:rsidRDefault="00FF0853" w:rsidP="00F14A7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0853" w:rsidTr="00F45CBD">
      <w:tblPrEx>
        <w:tblCellMar>
          <w:top w:w="0" w:type="dxa"/>
          <w:bottom w:w="0" w:type="dxa"/>
        </w:tblCellMar>
      </w:tblPrEx>
      <w:trPr>
        <w:trHeight w:hRule="exact" w:val="864"/>
      </w:trPr>
      <w:tc>
        <w:tcPr>
          <w:tcW w:w="4838" w:type="dxa"/>
          <w:shd w:val="clear" w:color="auto" w:fill="auto"/>
          <w:vAlign w:val="bottom"/>
        </w:tcPr>
        <w:p w:rsidR="00FF0853" w:rsidRPr="001C5ACA" w:rsidRDefault="00FF0853" w:rsidP="00F45CB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CEDAW/C/NAM/CO/3</w:t>
          </w:r>
          <w:r>
            <w:rPr>
              <w:b/>
              <w:sz w:val="17"/>
            </w:rPr>
            <w:fldChar w:fldCharType="end"/>
          </w:r>
        </w:p>
      </w:tc>
      <w:tc>
        <w:tcPr>
          <w:tcW w:w="5033" w:type="dxa"/>
          <w:shd w:val="clear" w:color="auto" w:fill="auto"/>
          <w:vAlign w:val="bottom"/>
        </w:tcPr>
        <w:p w:rsidR="00FF0853" w:rsidRDefault="00FF0853" w:rsidP="00F45CBD">
          <w:pPr>
            <w:pStyle w:val="Header"/>
          </w:pPr>
        </w:p>
      </w:tc>
    </w:tr>
  </w:tbl>
  <w:p w:rsidR="00FF0853" w:rsidRPr="001C5ACA" w:rsidRDefault="00FF0853" w:rsidP="00F45CB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0853" w:rsidTr="00F45CBD">
      <w:tblPrEx>
        <w:tblCellMar>
          <w:top w:w="0" w:type="dxa"/>
          <w:bottom w:w="0" w:type="dxa"/>
        </w:tblCellMar>
      </w:tblPrEx>
      <w:trPr>
        <w:trHeight w:hRule="exact" w:val="864"/>
      </w:trPr>
      <w:tc>
        <w:tcPr>
          <w:tcW w:w="4838" w:type="dxa"/>
          <w:shd w:val="clear" w:color="auto" w:fill="auto"/>
          <w:vAlign w:val="bottom"/>
        </w:tcPr>
        <w:p w:rsidR="00FF0853" w:rsidRDefault="00FF0853" w:rsidP="00F45CBD">
          <w:pPr>
            <w:pStyle w:val="Header"/>
          </w:pPr>
        </w:p>
      </w:tc>
      <w:tc>
        <w:tcPr>
          <w:tcW w:w="5033" w:type="dxa"/>
          <w:shd w:val="clear" w:color="auto" w:fill="auto"/>
          <w:vAlign w:val="bottom"/>
        </w:tcPr>
        <w:p w:rsidR="00FF0853" w:rsidRPr="001C5ACA" w:rsidRDefault="00FF0853" w:rsidP="00F45CB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CEDAW/C/NAM/CO/3</w:t>
          </w:r>
          <w:r>
            <w:rPr>
              <w:b/>
              <w:sz w:val="17"/>
            </w:rPr>
            <w:fldChar w:fldCharType="end"/>
          </w:r>
        </w:p>
      </w:tc>
    </w:tr>
  </w:tbl>
  <w:p w:rsidR="00FF0853" w:rsidRPr="001C5ACA" w:rsidRDefault="00FF0853" w:rsidP="00F45CB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F0853" w:rsidTr="00F45CB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F0853" w:rsidRDefault="00FF0853" w:rsidP="00F45CBD">
          <w:pPr>
            <w:pStyle w:val="Header"/>
            <w:spacing w:after="120"/>
          </w:pPr>
        </w:p>
      </w:tc>
      <w:tc>
        <w:tcPr>
          <w:tcW w:w="1872" w:type="dxa"/>
          <w:tcBorders>
            <w:bottom w:val="single" w:sz="4" w:space="0" w:color="auto"/>
          </w:tcBorders>
          <w:shd w:val="clear" w:color="auto" w:fill="auto"/>
          <w:vAlign w:val="bottom"/>
        </w:tcPr>
        <w:p w:rsidR="00FF0853" w:rsidRDefault="00FF0853" w:rsidP="00F45CBD">
          <w:pPr>
            <w:pStyle w:val="Header"/>
            <w:spacing w:after="120"/>
          </w:pPr>
        </w:p>
      </w:tc>
      <w:tc>
        <w:tcPr>
          <w:tcW w:w="245" w:type="dxa"/>
          <w:tcBorders>
            <w:bottom w:val="single" w:sz="4" w:space="0" w:color="auto"/>
          </w:tcBorders>
          <w:shd w:val="clear" w:color="auto" w:fill="auto"/>
          <w:vAlign w:val="bottom"/>
        </w:tcPr>
        <w:p w:rsidR="00FF0853" w:rsidRDefault="00FF0853" w:rsidP="00F45CBD">
          <w:pPr>
            <w:pStyle w:val="Header"/>
            <w:spacing w:after="120"/>
          </w:pPr>
        </w:p>
      </w:tc>
      <w:tc>
        <w:tcPr>
          <w:tcW w:w="6523" w:type="dxa"/>
          <w:gridSpan w:val="3"/>
          <w:tcBorders>
            <w:bottom w:val="single" w:sz="4" w:space="0" w:color="auto"/>
          </w:tcBorders>
          <w:shd w:val="clear" w:color="auto" w:fill="auto"/>
          <w:vAlign w:val="bottom"/>
        </w:tcPr>
        <w:p w:rsidR="00FF0853" w:rsidRPr="001C5ACA" w:rsidRDefault="00FF0853" w:rsidP="00F45CB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/C/NAM/CO/3</w:t>
          </w:r>
        </w:p>
      </w:tc>
    </w:tr>
    <w:tr w:rsidR="00FF0853" w:rsidRPr="001C5ACA" w:rsidTr="00F45CB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F0853" w:rsidRPr="001C5ACA" w:rsidRDefault="00FF0853" w:rsidP="00F45CBD">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FF0853" w:rsidRPr="001C5ACA" w:rsidRDefault="00FF0853" w:rsidP="00F45CBD">
          <w:pPr>
            <w:pStyle w:val="Header"/>
            <w:spacing w:before="109"/>
          </w:pPr>
        </w:p>
      </w:tc>
      <w:tc>
        <w:tcPr>
          <w:tcW w:w="245" w:type="dxa"/>
          <w:tcBorders>
            <w:top w:val="single" w:sz="4" w:space="0" w:color="auto"/>
            <w:bottom w:val="single" w:sz="12" w:space="0" w:color="auto"/>
          </w:tcBorders>
          <w:shd w:val="clear" w:color="auto" w:fill="auto"/>
        </w:tcPr>
        <w:p w:rsidR="00FF0853" w:rsidRPr="001C5ACA" w:rsidRDefault="00FF0853" w:rsidP="00F45CBD">
          <w:pPr>
            <w:pStyle w:val="Header"/>
            <w:spacing w:before="109"/>
          </w:pPr>
        </w:p>
      </w:tc>
      <w:tc>
        <w:tcPr>
          <w:tcW w:w="3180" w:type="dxa"/>
          <w:gridSpan w:val="2"/>
          <w:tcBorders>
            <w:top w:val="single" w:sz="4" w:space="0" w:color="auto"/>
            <w:bottom w:val="single" w:sz="12" w:space="0" w:color="auto"/>
          </w:tcBorders>
          <w:shd w:val="clear" w:color="auto" w:fill="auto"/>
        </w:tcPr>
        <w:p w:rsidR="00FF0853" w:rsidRDefault="00FF0853" w:rsidP="00F45CBD">
          <w:pPr>
            <w:spacing w:before="240" w:line="240" w:lineRule="exact"/>
            <w:rPr>
              <w:rFonts w:ascii="Times New Roman"/>
            </w:rPr>
          </w:pPr>
        </w:p>
        <w:p w:rsidR="00FF0853" w:rsidRDefault="00FF0853" w:rsidP="00F45CBD">
          <w:pPr>
            <w:spacing w:line="240" w:lineRule="exact"/>
            <w:rPr>
              <w:rFonts w:ascii="Times New Roman"/>
            </w:rPr>
          </w:pPr>
          <w:r>
            <w:rPr>
              <w:rFonts w:ascii="Times New Roman"/>
            </w:rPr>
            <w:t>2 February 2007</w:t>
          </w:r>
        </w:p>
        <w:p w:rsidR="00FF0853" w:rsidRDefault="00FF0853" w:rsidP="00F45CBD">
          <w:pPr>
            <w:spacing w:line="240" w:lineRule="exact"/>
            <w:rPr>
              <w:rFonts w:ascii="Times New Roman"/>
            </w:rPr>
          </w:pPr>
          <w:r>
            <w:rPr>
              <w:rFonts w:ascii="Times New Roman"/>
            </w:rPr>
            <w:t>Chinese</w:t>
          </w:r>
        </w:p>
        <w:p w:rsidR="00FF0853" w:rsidRPr="001C5ACA" w:rsidRDefault="00FF0853" w:rsidP="00F45CBD">
          <w:pPr>
            <w:spacing w:line="240" w:lineRule="exact"/>
            <w:rPr>
              <w:rFonts w:ascii="Times New Roman"/>
            </w:rPr>
          </w:pPr>
          <w:r>
            <w:rPr>
              <w:rFonts w:ascii="Times New Roman"/>
            </w:rPr>
            <w:t>Original: English</w:t>
          </w:r>
        </w:p>
      </w:tc>
    </w:tr>
  </w:tbl>
  <w:p w:rsidR="00FF0853" w:rsidRPr="001C5ACA" w:rsidRDefault="00FF0853" w:rsidP="00F45CB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37*"/>
    <w:docVar w:name="CreationDt" w:val="26/02/2007 11:34:02"/>
    <w:docVar w:name="DocCategory" w:val="Doc"/>
    <w:docVar w:name="DocType" w:val="Final"/>
    <w:docVar w:name="FooterJN" w:val="07-24337"/>
    <w:docVar w:name="jobn" w:val="07-24337 (C)"/>
    <w:docVar w:name="jobnDT" w:val="07-24337 (C)   260207"/>
    <w:docVar w:name="jobnDTDT" w:val="07-24337 (C)   260207   260207"/>
    <w:docVar w:name="JobNo" w:val="0724337C"/>
    <w:docVar w:name="OandT" w:val="Wang xq"/>
    <w:docVar w:name="sss1" w:val="CEDAW/C/NAM/CO/3"/>
    <w:docVar w:name="sss2" w:val="-"/>
    <w:docVar w:name="Symbol1" w:val="CEDAW/C/NAM/CO/3"/>
    <w:docVar w:name="Symbol2" w:val="-"/>
  </w:docVars>
  <w:rsids>
    <w:rsidRoot w:val="00785C07"/>
    <w:rsid w:val="000125BC"/>
    <w:rsid w:val="00021A2B"/>
    <w:rsid w:val="00035642"/>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97F43"/>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2CFA"/>
    <w:rsid w:val="00394A02"/>
    <w:rsid w:val="003C7B20"/>
    <w:rsid w:val="003E4565"/>
    <w:rsid w:val="003E748F"/>
    <w:rsid w:val="003E7612"/>
    <w:rsid w:val="003F0715"/>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91992"/>
    <w:rsid w:val="006A654B"/>
    <w:rsid w:val="006E2924"/>
    <w:rsid w:val="006E7A26"/>
    <w:rsid w:val="006F2B3D"/>
    <w:rsid w:val="007319E0"/>
    <w:rsid w:val="00737B00"/>
    <w:rsid w:val="0075155C"/>
    <w:rsid w:val="00753A05"/>
    <w:rsid w:val="00761190"/>
    <w:rsid w:val="00776537"/>
    <w:rsid w:val="00783A25"/>
    <w:rsid w:val="00785C07"/>
    <w:rsid w:val="007E1B5E"/>
    <w:rsid w:val="007F2278"/>
    <w:rsid w:val="00805783"/>
    <w:rsid w:val="00806F57"/>
    <w:rsid w:val="00806F90"/>
    <w:rsid w:val="00824C19"/>
    <w:rsid w:val="008378D1"/>
    <w:rsid w:val="00846462"/>
    <w:rsid w:val="0086691F"/>
    <w:rsid w:val="00884C8F"/>
    <w:rsid w:val="008C3296"/>
    <w:rsid w:val="008C3F0E"/>
    <w:rsid w:val="008F2BB5"/>
    <w:rsid w:val="008F5472"/>
    <w:rsid w:val="008F5D0F"/>
    <w:rsid w:val="009122E0"/>
    <w:rsid w:val="00913351"/>
    <w:rsid w:val="0091792C"/>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52DCF"/>
    <w:rsid w:val="00A72E47"/>
    <w:rsid w:val="00A95404"/>
    <w:rsid w:val="00A968C5"/>
    <w:rsid w:val="00AA3C28"/>
    <w:rsid w:val="00AB1F8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0E52"/>
    <w:rsid w:val="00C1391A"/>
    <w:rsid w:val="00C14CE6"/>
    <w:rsid w:val="00C2725D"/>
    <w:rsid w:val="00C42033"/>
    <w:rsid w:val="00CB2B1E"/>
    <w:rsid w:val="00CC3E8B"/>
    <w:rsid w:val="00CC4E84"/>
    <w:rsid w:val="00CD5641"/>
    <w:rsid w:val="00CE64AC"/>
    <w:rsid w:val="00CF7718"/>
    <w:rsid w:val="00D177F1"/>
    <w:rsid w:val="00D323B5"/>
    <w:rsid w:val="00D40C42"/>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14A7D"/>
    <w:rsid w:val="00F40463"/>
    <w:rsid w:val="00F45CBD"/>
    <w:rsid w:val="00F50336"/>
    <w:rsid w:val="00F62E3F"/>
    <w:rsid w:val="00F67F90"/>
    <w:rsid w:val="00F77B3E"/>
    <w:rsid w:val="00F833CB"/>
    <w:rsid w:val="00F87754"/>
    <w:rsid w:val="00F90A4B"/>
    <w:rsid w:val="00FC1CE4"/>
    <w:rsid w:val="00FD594E"/>
    <w:rsid w:val="00FD75B9"/>
    <w:rsid w:val="00FE5FE8"/>
    <w:rsid w:val="00FF08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766</Words>
  <Characters>4370</Characters>
  <Application>Microsoft Office Word</Application>
  <DocSecurity>4</DocSecurity>
  <Lines>36</Lines>
  <Paragraphs>10</Paragraphs>
  <ScaleCrop>false</ScaleCrop>
  <Company>United Nations</Company>
  <LinksUpToDate>false</LinksUpToDate>
  <CharactersWithSpaces>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Xiuqin.Wang</cp:lastModifiedBy>
  <cp:revision>9</cp:revision>
  <cp:lastPrinted>2007-02-26T10:47:00Z</cp:lastPrinted>
  <dcterms:created xsi:type="dcterms:W3CDTF">2007-02-26T10:48:00Z</dcterms:created>
  <dcterms:modified xsi:type="dcterms:W3CDTF">2007-02-26T10:49:00Z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0724337</vt:lpwstr>
  </property>
  <property fmtid="{D5CDD505-2E9C-101B-9397-08002B2CF9AE}" pid="3" name="Symbol1">
    <vt:lpwstr>CEDAW/C/NAM/CO/3</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