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4CD1" w:rsidRPr="00BD2495" w:rsidRDefault="00004CD1" w:rsidP="00004CD1">
      <w:pPr>
        <w:spacing w:line="240" w:lineRule="auto"/>
        <w:rPr>
          <w:sz w:val="6"/>
        </w:rPr>
        <w:sectPr w:rsidR="00004CD1" w:rsidRPr="00BD2495" w:rsidSect="0080499F">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9" w:h="16834" w:code="1"/>
          <w:pgMar w:top="1742" w:right="936" w:bottom="1898" w:left="936" w:header="576" w:footer="1030" w:gutter="0"/>
          <w:cols w:space="708"/>
          <w:noEndnote/>
          <w:titlePg/>
          <w:docGrid w:linePitch="360"/>
        </w:sectPr>
      </w:pPr>
      <w:r w:rsidRPr="00BD2495">
        <w:rPr>
          <w:rStyle w:val="CommentReference"/>
          <w:szCs w:val="20"/>
        </w:rPr>
        <w:commentReference w:id="0"/>
      </w:r>
      <w:bookmarkStart w:id="1" w:name="_GoBack"/>
      <w:bookmarkEnd w:id="1"/>
    </w:p>
    <w:p w:rsidR="00004CD1" w:rsidRPr="00BD2495" w:rsidRDefault="00004CD1" w:rsidP="00004CD1">
      <w:pPr>
        <w:pStyle w:val="H1"/>
      </w:pPr>
      <w:r w:rsidRPr="00BD2495">
        <w:lastRenderedPageBreak/>
        <w:t>Comité para la Eliminación de la Discriminación Racial</w:t>
      </w:r>
    </w:p>
    <w:p w:rsidR="00004CD1" w:rsidRPr="00BD2495" w:rsidRDefault="00047B3E" w:rsidP="00004CD1">
      <w:pPr>
        <w:pStyle w:val="H23"/>
      </w:pPr>
      <w:r w:rsidRPr="00BD2495">
        <w:t>88º</w:t>
      </w:r>
      <w:r w:rsidR="00004CD1" w:rsidRPr="00BD2495">
        <w:t xml:space="preserve"> período de sesiones</w:t>
      </w:r>
    </w:p>
    <w:p w:rsidR="00047B3E" w:rsidRPr="00BD2495" w:rsidRDefault="00047B3E" w:rsidP="00047B3E">
      <w:pPr>
        <w:tabs>
          <w:tab w:val="left" w:pos="475"/>
          <w:tab w:val="left" w:pos="965"/>
          <w:tab w:val="left" w:pos="1440"/>
          <w:tab w:val="left" w:pos="1915"/>
          <w:tab w:val="left" w:pos="2405"/>
          <w:tab w:val="left" w:pos="2880"/>
          <w:tab w:val="left" w:pos="3355"/>
        </w:tabs>
      </w:pPr>
      <w:r w:rsidRPr="00BD2495">
        <w:t>23 de noviembre a 11 de diciembre de 2015</w:t>
      </w:r>
    </w:p>
    <w:p w:rsidR="00047B3E" w:rsidRPr="00BD2495" w:rsidRDefault="00047B3E" w:rsidP="00047B3E">
      <w:pPr>
        <w:tabs>
          <w:tab w:val="left" w:pos="475"/>
          <w:tab w:val="left" w:pos="965"/>
          <w:tab w:val="left" w:pos="1440"/>
          <w:tab w:val="left" w:pos="1915"/>
          <w:tab w:val="left" w:pos="2405"/>
          <w:tab w:val="left" w:pos="2880"/>
          <w:tab w:val="left" w:pos="3355"/>
        </w:tabs>
      </w:pPr>
      <w:r w:rsidRPr="00BD2495">
        <w:t>Tema 4 del programa provisional</w:t>
      </w:r>
    </w:p>
    <w:p w:rsidR="00004CD1" w:rsidRPr="00BD2495" w:rsidRDefault="00047B3E" w:rsidP="00047B3E">
      <w:pPr>
        <w:rPr>
          <w:b/>
        </w:rPr>
      </w:pPr>
      <w:r w:rsidRPr="00BD2495">
        <w:rPr>
          <w:b/>
        </w:rPr>
        <w:t xml:space="preserve">Examen de los informes, </w:t>
      </w:r>
      <w:r w:rsidR="00AE5CDD">
        <w:rPr>
          <w:b/>
        </w:rPr>
        <w:t xml:space="preserve">las </w:t>
      </w:r>
      <w:r w:rsidRPr="00BD2495">
        <w:rPr>
          <w:b/>
        </w:rPr>
        <w:t xml:space="preserve">observaciones </w:t>
      </w:r>
      <w:r w:rsidR="00AE5CDD">
        <w:rPr>
          <w:b/>
        </w:rPr>
        <w:t>y la</w:t>
      </w:r>
      <w:r w:rsidR="00845AC9">
        <w:rPr>
          <w:b/>
        </w:rPr>
        <w:t xml:space="preserve"> información</w:t>
      </w:r>
      <w:r w:rsidR="00845AC9">
        <w:rPr>
          <w:b/>
        </w:rPr>
        <w:br/>
      </w:r>
      <w:r w:rsidRPr="00BD2495">
        <w:rPr>
          <w:b/>
        </w:rPr>
        <w:t>presentados</w:t>
      </w:r>
      <w:r w:rsidR="00845AC9">
        <w:rPr>
          <w:b/>
        </w:rPr>
        <w:t xml:space="preserve"> </w:t>
      </w:r>
      <w:r w:rsidRPr="00BD2495">
        <w:rPr>
          <w:b/>
        </w:rPr>
        <w:t xml:space="preserve">por los Estados </w:t>
      </w:r>
      <w:r w:rsidR="00845AC9">
        <w:rPr>
          <w:b/>
        </w:rPr>
        <w:t>partes en virtud del artículo 9</w:t>
      </w:r>
      <w:r w:rsidR="00845AC9">
        <w:rPr>
          <w:b/>
        </w:rPr>
        <w:br/>
      </w:r>
      <w:r w:rsidRPr="00BD2495">
        <w:rPr>
          <w:b/>
        </w:rPr>
        <w:t>de la Convención</w:t>
      </w:r>
    </w:p>
    <w:p w:rsidR="00047B3E" w:rsidRPr="00BD2495" w:rsidRDefault="00047B3E" w:rsidP="00047B3E">
      <w:pPr>
        <w:spacing w:line="120" w:lineRule="exact"/>
        <w:rPr>
          <w:b/>
          <w:sz w:val="10"/>
        </w:rPr>
      </w:pPr>
    </w:p>
    <w:p w:rsidR="00047B3E" w:rsidRPr="00BD2495" w:rsidRDefault="00047B3E" w:rsidP="00047B3E">
      <w:pPr>
        <w:spacing w:line="120" w:lineRule="exact"/>
        <w:rPr>
          <w:sz w:val="10"/>
        </w:rPr>
      </w:pPr>
    </w:p>
    <w:p w:rsidR="00047B3E" w:rsidRPr="00BD2495" w:rsidRDefault="00047B3E" w:rsidP="00047B3E">
      <w:pPr>
        <w:spacing w:line="120" w:lineRule="exact"/>
        <w:rPr>
          <w:sz w:val="10"/>
        </w:rPr>
      </w:pPr>
    </w:p>
    <w:p w:rsidR="00047B3E" w:rsidRPr="00BD2495" w:rsidRDefault="00047B3E" w:rsidP="00047B3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D2495">
        <w:tab/>
      </w:r>
      <w:r w:rsidRPr="00BD2495">
        <w:tab/>
        <w:t>Lista de temas relativa a los informes periódicos sexto a octavo combinados de Lituania (CERD/C/LTU/6-8)</w:t>
      </w:r>
    </w:p>
    <w:p w:rsidR="00047B3E" w:rsidRPr="00BD2495" w:rsidRDefault="00047B3E" w:rsidP="00047B3E">
      <w:pPr>
        <w:pStyle w:val="SingleTxt"/>
        <w:spacing w:after="0" w:line="120" w:lineRule="exact"/>
        <w:rPr>
          <w:sz w:val="10"/>
        </w:rPr>
      </w:pPr>
    </w:p>
    <w:p w:rsidR="00047B3E" w:rsidRPr="00BD2495" w:rsidRDefault="00047B3E" w:rsidP="00047B3E">
      <w:pPr>
        <w:pStyle w:val="SingleTxt"/>
        <w:spacing w:after="0" w:line="120" w:lineRule="exact"/>
        <w:rPr>
          <w:sz w:val="10"/>
        </w:rPr>
      </w:pPr>
    </w:p>
    <w:p w:rsidR="00047B3E" w:rsidRPr="00BD2495" w:rsidRDefault="00047B3E" w:rsidP="00047B3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10"/>
        </w:rPr>
      </w:pPr>
      <w:r w:rsidRPr="00BD2495">
        <w:tab/>
      </w:r>
      <w:r w:rsidRPr="00BD2495">
        <w:tab/>
        <w:t>Nota del Relator para el país</w:t>
      </w:r>
    </w:p>
    <w:p w:rsidR="00AE187A" w:rsidRPr="00BD2495" w:rsidRDefault="00AE187A" w:rsidP="00047B3E">
      <w:pPr>
        <w:pStyle w:val="SingleTxt"/>
        <w:spacing w:after="0" w:line="120" w:lineRule="exact"/>
        <w:rPr>
          <w:sz w:val="10"/>
        </w:rPr>
      </w:pPr>
    </w:p>
    <w:p w:rsidR="00047B3E" w:rsidRPr="00BD2495" w:rsidRDefault="00047B3E" w:rsidP="00047B3E">
      <w:pPr>
        <w:pStyle w:val="SingleTxt"/>
        <w:spacing w:after="0" w:line="120" w:lineRule="exact"/>
        <w:rPr>
          <w:sz w:val="10"/>
        </w:rPr>
      </w:pPr>
    </w:p>
    <w:tbl>
      <w:tblPr>
        <w:tblW w:w="7560" w:type="dxa"/>
        <w:tblInd w:w="1263" w:type="dxa"/>
        <w:tblBorders>
          <w:top w:val="single" w:sz="2" w:space="0" w:color="000000"/>
          <w:left w:val="single" w:sz="2" w:space="0" w:color="000000"/>
          <w:bottom w:val="single" w:sz="2" w:space="0" w:color="000000"/>
          <w:right w:val="single" w:sz="2" w:space="0" w:color="000000"/>
        </w:tblBorders>
        <w:tblLayout w:type="fixed"/>
        <w:tblCellMar>
          <w:left w:w="0" w:type="dxa"/>
          <w:right w:w="0" w:type="dxa"/>
        </w:tblCellMar>
        <w:tblLook w:val="0000" w:firstRow="0" w:lastRow="0" w:firstColumn="0" w:lastColumn="0" w:noHBand="0" w:noVBand="0"/>
      </w:tblPr>
      <w:tblGrid>
        <w:gridCol w:w="126"/>
        <w:gridCol w:w="7308"/>
        <w:gridCol w:w="126"/>
      </w:tblGrid>
      <w:tr w:rsidR="00047B3E" w:rsidRPr="00BD2495" w:rsidTr="003033B3">
        <w:tc>
          <w:tcPr>
            <w:tcW w:w="126" w:type="dxa"/>
            <w:shd w:val="clear" w:color="auto" w:fill="auto"/>
          </w:tcPr>
          <w:p w:rsidR="00047B3E" w:rsidRPr="00BD2495" w:rsidRDefault="00047B3E" w:rsidP="00047B3E">
            <w:pPr>
              <w:pStyle w:val="SingleTxt"/>
              <w:ind w:left="0"/>
            </w:pPr>
          </w:p>
        </w:tc>
        <w:tc>
          <w:tcPr>
            <w:tcW w:w="7308" w:type="dxa"/>
            <w:shd w:val="clear" w:color="auto" w:fill="auto"/>
          </w:tcPr>
          <w:p w:rsidR="00AE5CDD" w:rsidRPr="00894496" w:rsidRDefault="00AE5CDD" w:rsidP="00AE5C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0" w:right="0"/>
              <w:rPr>
                <w:sz w:val="10"/>
              </w:rPr>
            </w:pPr>
          </w:p>
          <w:p w:rsidR="00047B3E" w:rsidRPr="00BD2495" w:rsidRDefault="00AE5CDD" w:rsidP="00047B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tab/>
            </w:r>
            <w:r w:rsidRPr="00BD2495">
              <w:t>El Comité para la Eliminación de la Discriminación Racial decidió en su 76º período de sesiones (A/65/18, párr. 85) que el Relator para el país enviaría al Estado parte en cuestión una breve lista de temas con miras a orientar y centrar el diálogo entre la delegación del Estado parte y el Comité durante el examen del informe del Estado parte. El presente documento contiene una lista de temas con esa finalidad. La lista no es exhaustiva: durante el diálogo con el Estado parte podrán abordarse otros asuntos. No se requieren respuestas por escrito</w:t>
            </w:r>
            <w:r w:rsidRPr="00BD2495">
              <w:rPr>
                <w:lang w:val="en-GB"/>
              </w:rPr>
              <w:t>.</w:t>
            </w:r>
          </w:p>
        </w:tc>
        <w:tc>
          <w:tcPr>
            <w:tcW w:w="126" w:type="dxa"/>
            <w:shd w:val="clear" w:color="auto" w:fill="auto"/>
          </w:tcPr>
          <w:p w:rsidR="00047B3E" w:rsidRPr="00BD2495" w:rsidRDefault="00047B3E" w:rsidP="00047B3E">
            <w:pPr>
              <w:pStyle w:val="SingleTxt"/>
            </w:pPr>
          </w:p>
        </w:tc>
      </w:tr>
      <w:tr w:rsidR="00047B3E" w:rsidRPr="00BD2495" w:rsidTr="003033B3">
        <w:trPr>
          <w:trHeight w:hRule="exact" w:val="115"/>
        </w:trPr>
        <w:tc>
          <w:tcPr>
            <w:tcW w:w="126" w:type="dxa"/>
            <w:shd w:val="clear" w:color="auto" w:fill="auto"/>
          </w:tcPr>
          <w:p w:rsidR="00047B3E" w:rsidRPr="00BD2495" w:rsidRDefault="00047B3E" w:rsidP="00047B3E">
            <w:pPr>
              <w:pStyle w:val="SingleTxt"/>
            </w:pPr>
          </w:p>
        </w:tc>
        <w:tc>
          <w:tcPr>
            <w:tcW w:w="7308" w:type="dxa"/>
            <w:shd w:val="clear" w:color="auto" w:fill="auto"/>
          </w:tcPr>
          <w:p w:rsidR="00047B3E" w:rsidRPr="00BD2495" w:rsidRDefault="00047B3E" w:rsidP="00047B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p>
        </w:tc>
        <w:tc>
          <w:tcPr>
            <w:tcW w:w="126" w:type="dxa"/>
            <w:shd w:val="clear" w:color="auto" w:fill="auto"/>
          </w:tcPr>
          <w:p w:rsidR="00047B3E" w:rsidRPr="00BD2495" w:rsidRDefault="00047B3E" w:rsidP="00047B3E">
            <w:pPr>
              <w:pStyle w:val="SingleTxt"/>
              <w:ind w:left="0"/>
            </w:pPr>
          </w:p>
        </w:tc>
      </w:tr>
    </w:tbl>
    <w:p w:rsidR="00047B3E" w:rsidRPr="00BD2495" w:rsidRDefault="00047B3E" w:rsidP="00BD2495">
      <w:pPr>
        <w:pStyle w:val="SingleTxt"/>
        <w:spacing w:after="0" w:line="120" w:lineRule="exact"/>
        <w:rPr>
          <w:sz w:val="10"/>
        </w:rPr>
      </w:pPr>
    </w:p>
    <w:p w:rsidR="00BD2495" w:rsidRPr="00BD2495" w:rsidRDefault="00BD2495" w:rsidP="00047B3E">
      <w:pPr>
        <w:pStyle w:val="SingleTxt"/>
        <w:spacing w:after="0" w:line="120" w:lineRule="exact"/>
        <w:rPr>
          <w:sz w:val="10"/>
        </w:rPr>
      </w:pPr>
    </w:p>
    <w:p w:rsidR="00047B3E" w:rsidRPr="00BD2495" w:rsidRDefault="00047B3E" w:rsidP="00047B3E">
      <w:pPr>
        <w:pStyle w:val="SingleTxt"/>
        <w:spacing w:after="0" w:line="120" w:lineRule="exact"/>
        <w:rPr>
          <w:sz w:val="10"/>
        </w:rPr>
      </w:pPr>
    </w:p>
    <w:p w:rsidR="00047B3E" w:rsidRPr="00BD2495" w:rsidRDefault="00047B3E" w:rsidP="00047B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D2495">
        <w:tab/>
        <w:t>1.</w:t>
      </w:r>
      <w:r w:rsidRPr="00BD2495">
        <w:tab/>
        <w:t xml:space="preserve">La Convención en el derecho interno y los marcos institucional y normativo para su aplicación (arts. 1, 2, 4, 6 y 7) </w:t>
      </w:r>
    </w:p>
    <w:p w:rsidR="00047B3E" w:rsidRPr="00BD2495" w:rsidRDefault="00047B3E" w:rsidP="00047B3E">
      <w:pPr>
        <w:pStyle w:val="SingleTxt"/>
        <w:spacing w:after="0" w:line="120" w:lineRule="exact"/>
        <w:rPr>
          <w:sz w:val="10"/>
        </w:rPr>
      </w:pPr>
    </w:p>
    <w:p w:rsidR="00047B3E" w:rsidRPr="00BD2495" w:rsidRDefault="00047B3E" w:rsidP="00047B3E">
      <w:pPr>
        <w:pStyle w:val="SingleTxt"/>
      </w:pPr>
      <w:r w:rsidRPr="00BD2495">
        <w:tab/>
        <w:t>a)</w:t>
      </w:r>
      <w:r w:rsidRPr="00BD2495">
        <w:tab/>
        <w:t>Información sobre la aplicación de los artículos 60, 169, 170 y 312 del Código Penal de Lituania (CERD/C/LTU/CO/4-5, párr. 12; CERD/C/LTU/6-8, párr. 125);</w:t>
      </w:r>
    </w:p>
    <w:p w:rsidR="00047B3E" w:rsidRPr="00BD2495" w:rsidRDefault="00047B3E" w:rsidP="00047B3E">
      <w:pPr>
        <w:pStyle w:val="SingleTxt"/>
      </w:pPr>
      <w:r w:rsidRPr="00BD2495">
        <w:tab/>
        <w:t>b)</w:t>
      </w:r>
      <w:r w:rsidRPr="00BD2495">
        <w:tab/>
        <w:t xml:space="preserve">Avances en la aprobación de la ley sobre minorías nacionales (CERD/C/LTU/CO/4-5, párr. 11; CERD/C/LTU/6-8, párr. 7); </w:t>
      </w:r>
    </w:p>
    <w:p w:rsidR="00047B3E" w:rsidRPr="00BD2495" w:rsidRDefault="00047B3E" w:rsidP="00047B3E">
      <w:pPr>
        <w:pStyle w:val="SingleTxt"/>
      </w:pPr>
      <w:r w:rsidRPr="00BD2495">
        <w:tab/>
        <w:t>c)</w:t>
      </w:r>
      <w:r w:rsidRPr="00BD2495">
        <w:tab/>
        <w:t>Avances en la aprobación del proyecto de ley sobre el Defensor del Pueblo del Seimas para la creación de la oficina del defensor de pueblo como una institución nacional independiente de derechos humanos (CERD/C/LTU/CO/4-5, párr. 10; CERD/C/LTU/6-8, párr. 6)</w:t>
      </w:r>
      <w:r w:rsidR="005647BD" w:rsidRPr="00BD2495">
        <w:t>;</w:t>
      </w:r>
    </w:p>
    <w:p w:rsidR="00047B3E" w:rsidRPr="00BD2495" w:rsidRDefault="00047B3E" w:rsidP="00047B3E">
      <w:pPr>
        <w:pStyle w:val="SingleTxt"/>
      </w:pPr>
      <w:r w:rsidRPr="00BD2495">
        <w:tab/>
        <w:t>d)</w:t>
      </w:r>
      <w:r w:rsidRPr="00BD2495">
        <w:tab/>
        <w:t xml:space="preserve">Información actualizada sobre la aplicación, </w:t>
      </w:r>
      <w:r w:rsidR="005647BD" w:rsidRPr="00BD2495">
        <w:t xml:space="preserve">el </w:t>
      </w:r>
      <w:r w:rsidRPr="00BD2495">
        <w:t xml:space="preserve">impacto y </w:t>
      </w:r>
      <w:r w:rsidR="005647BD" w:rsidRPr="00BD2495">
        <w:t xml:space="preserve">la </w:t>
      </w:r>
      <w:r w:rsidRPr="00BD2495">
        <w:t xml:space="preserve">evaluación del Programa </w:t>
      </w:r>
      <w:r w:rsidR="005647BD" w:rsidRPr="00BD2495">
        <w:t>N</w:t>
      </w:r>
      <w:r w:rsidRPr="00BD2495">
        <w:t xml:space="preserve">acional contra la </w:t>
      </w:r>
      <w:r w:rsidR="005647BD" w:rsidRPr="00BD2495">
        <w:t>D</w:t>
      </w:r>
      <w:r w:rsidRPr="00BD2495">
        <w:t xml:space="preserve">iscriminación para 2009-2011 y el Plan de Acción Interinstitucional para la Promoción de la </w:t>
      </w:r>
      <w:r w:rsidR="005647BD" w:rsidRPr="00BD2495">
        <w:t>N</w:t>
      </w:r>
      <w:r w:rsidRPr="00BD2495">
        <w:t>o Discriminación para 2012-2014 (CERD/C/LTU/6-8, párrs. 87 y 97)</w:t>
      </w:r>
      <w:r w:rsidR="005647BD" w:rsidRPr="00BD2495">
        <w:t>;</w:t>
      </w:r>
    </w:p>
    <w:p w:rsidR="00047B3E" w:rsidRPr="00BD2495" w:rsidRDefault="00047B3E" w:rsidP="00047B3E">
      <w:pPr>
        <w:pStyle w:val="SingleTxt"/>
      </w:pPr>
      <w:r w:rsidRPr="00BD2495">
        <w:lastRenderedPageBreak/>
        <w:tab/>
        <w:t>e)</w:t>
      </w:r>
      <w:r w:rsidRPr="00BD2495">
        <w:tab/>
        <w:t xml:space="preserve">Información actualizada sobre el resultado de </w:t>
      </w:r>
      <w:r w:rsidR="005647BD" w:rsidRPr="00BD2495">
        <w:t xml:space="preserve">las </w:t>
      </w:r>
      <w:r w:rsidRPr="00BD2495">
        <w:t xml:space="preserve">denuncias recibidas, </w:t>
      </w:r>
      <w:r w:rsidR="005647BD" w:rsidRPr="00BD2495">
        <w:t xml:space="preserve">las </w:t>
      </w:r>
      <w:r w:rsidRPr="00BD2495">
        <w:t xml:space="preserve">investigaciones realizadas, </w:t>
      </w:r>
      <w:r w:rsidR="005647BD" w:rsidRPr="00BD2495">
        <w:t xml:space="preserve">las </w:t>
      </w:r>
      <w:r w:rsidRPr="00BD2495">
        <w:t xml:space="preserve">condenas y sanciones impuestas por tribunales y </w:t>
      </w:r>
      <w:r w:rsidR="005647BD" w:rsidRPr="00BD2495">
        <w:t xml:space="preserve">las </w:t>
      </w:r>
      <w:r w:rsidRPr="00BD2495">
        <w:t xml:space="preserve">decisiones tomadas por los diversos órganos de derechos humanos </w:t>
      </w:r>
      <w:r w:rsidR="005647BD" w:rsidRPr="00BD2495">
        <w:t>en relación con</w:t>
      </w:r>
      <w:r w:rsidRPr="00BD2495">
        <w:t xml:space="preserve"> denuncias de actos de discriminación racial </w:t>
      </w:r>
      <w:r w:rsidR="005647BD" w:rsidRPr="00BD2495">
        <w:t>en los años</w:t>
      </w:r>
      <w:r w:rsidRPr="00BD2495">
        <w:t xml:space="preserve"> 2013 y 2014 (CERD/C/LTU/CO/4-5, párr. 14; CERD/C/LTU/6-8, párrs. 129</w:t>
      </w:r>
      <w:r w:rsidR="005647BD" w:rsidRPr="00BD2495">
        <w:t xml:space="preserve"> a </w:t>
      </w:r>
      <w:r w:rsidRPr="00BD2495">
        <w:t>135 y 188</w:t>
      </w:r>
      <w:r w:rsidR="005647BD" w:rsidRPr="00BD2495">
        <w:t xml:space="preserve"> a </w:t>
      </w:r>
      <w:r w:rsidRPr="00BD2495">
        <w:t>194)</w:t>
      </w:r>
      <w:r w:rsidR="005647BD" w:rsidRPr="00BD2495">
        <w:t>;</w:t>
      </w:r>
    </w:p>
    <w:p w:rsidR="00047B3E" w:rsidRPr="00BD2495" w:rsidRDefault="00047B3E" w:rsidP="00047B3E">
      <w:pPr>
        <w:pStyle w:val="SingleTxt"/>
      </w:pPr>
      <w:r w:rsidRPr="00BD2495">
        <w:tab/>
        <w:t>f)</w:t>
      </w:r>
      <w:r w:rsidRPr="00BD2495">
        <w:tab/>
        <w:t xml:space="preserve">Medidas </w:t>
      </w:r>
      <w:r w:rsidR="005647BD" w:rsidRPr="00BD2495">
        <w:t>destinadas a</w:t>
      </w:r>
      <w:r w:rsidRPr="00BD2495">
        <w:t xml:space="preserve"> facilitar la presentación de denuncias por actos de discriminación racial y a proteger a los denunciantes y </w:t>
      </w:r>
      <w:r w:rsidR="005647BD" w:rsidRPr="00BD2495">
        <w:t xml:space="preserve">las </w:t>
      </w:r>
      <w:r w:rsidRPr="00BD2495">
        <w:t xml:space="preserve">víctimas de </w:t>
      </w:r>
      <w:r w:rsidR="005647BD" w:rsidRPr="00BD2495">
        <w:t xml:space="preserve">posibles </w:t>
      </w:r>
      <w:r w:rsidRPr="00BD2495">
        <w:t>represalias (CERD/C/LTU/CO/4-5, párr. 14); información actualizada sobre la representación de miembros de grupos minoritarios en la policía y en el poder judicial (CERD/C/LTU/CO/4-5, párr. 14)</w:t>
      </w:r>
      <w:r w:rsidR="005647BD" w:rsidRPr="00BD2495">
        <w:t>;</w:t>
      </w:r>
    </w:p>
    <w:p w:rsidR="00047B3E" w:rsidRPr="00BD2495" w:rsidRDefault="005647BD" w:rsidP="00047B3E">
      <w:pPr>
        <w:pStyle w:val="SingleTxt"/>
      </w:pPr>
      <w:r w:rsidRPr="00BD2495">
        <w:tab/>
      </w:r>
      <w:r w:rsidR="00047B3E" w:rsidRPr="00BD2495">
        <w:t>g)</w:t>
      </w:r>
      <w:r w:rsidR="00047B3E" w:rsidRPr="00BD2495">
        <w:tab/>
        <w:t xml:space="preserve">Información actualizada sobre la eficacia de las diversas medidas adoptadas para luchar contra la discriminación racial en los medios de comunicación, en particular </w:t>
      </w:r>
      <w:r w:rsidRPr="00BD2495">
        <w:t xml:space="preserve">contra </w:t>
      </w:r>
      <w:r w:rsidR="00047B3E" w:rsidRPr="00BD2495">
        <w:t>las declaraciones racistas y discriminatorias en Internet (CERD/C/LTU/6-8, párrs. 225</w:t>
      </w:r>
      <w:r w:rsidRPr="00BD2495">
        <w:t xml:space="preserve"> a </w:t>
      </w:r>
      <w:r w:rsidR="00047B3E" w:rsidRPr="00BD2495">
        <w:t>229); seguimiento de las decisiones adoptadas por el Inspector de Ética Periodística durante la fase previa a la investigación en los casos de discriminación racial (CERD/C/LTU/6-8, párrs. 196</w:t>
      </w:r>
      <w:r w:rsidRPr="00BD2495">
        <w:t xml:space="preserve"> a </w:t>
      </w:r>
      <w:r w:rsidR="00047B3E" w:rsidRPr="00BD2495">
        <w:t>198);</w:t>
      </w:r>
    </w:p>
    <w:p w:rsidR="00047B3E" w:rsidRPr="00BD2495" w:rsidRDefault="00047B3E" w:rsidP="00047B3E">
      <w:pPr>
        <w:pStyle w:val="SingleTxt"/>
      </w:pPr>
      <w:r w:rsidRPr="00BD2495">
        <w:tab/>
        <w:t>h)</w:t>
      </w:r>
      <w:r w:rsidRPr="00BD2495">
        <w:tab/>
      </w:r>
      <w:r w:rsidR="005647BD" w:rsidRPr="00BD2495">
        <w:t>Impacto de lo</w:t>
      </w:r>
      <w:r w:rsidRPr="00BD2495">
        <w:t>s divers</w:t>
      </w:r>
      <w:r w:rsidR="005647BD" w:rsidRPr="00BD2495">
        <w:t>o</w:t>
      </w:r>
      <w:r w:rsidRPr="00BD2495">
        <w:t xml:space="preserve">s </w:t>
      </w:r>
      <w:r w:rsidR="005647BD" w:rsidRPr="00BD2495">
        <w:t>proyectos</w:t>
      </w:r>
      <w:r w:rsidR="00BD2495" w:rsidRPr="00BD2495">
        <w:t xml:space="preserve"> </w:t>
      </w:r>
      <w:r w:rsidR="005647BD" w:rsidRPr="00BD2495">
        <w:t xml:space="preserve">e </w:t>
      </w:r>
      <w:r w:rsidRPr="00BD2495">
        <w:t>iniciativas dirigidos a fomentar el entendimiento mutuo y la tolerancia entre los no ciudadanos y el resto de la población lituana (CERD/C/LTU/CO/4-5, párr. 21; CERD/C/LTU/6-8, párrs. 220</w:t>
      </w:r>
      <w:r w:rsidR="005647BD" w:rsidRPr="00BD2495">
        <w:t xml:space="preserve"> a </w:t>
      </w:r>
      <w:r w:rsidRPr="00BD2495">
        <w:t>224).</w:t>
      </w:r>
    </w:p>
    <w:p w:rsidR="005647BD" w:rsidRPr="00BD2495" w:rsidRDefault="005647BD" w:rsidP="005647BD">
      <w:pPr>
        <w:pStyle w:val="SingleTxt"/>
        <w:spacing w:after="0" w:line="120" w:lineRule="exact"/>
        <w:rPr>
          <w:sz w:val="10"/>
        </w:rPr>
      </w:pPr>
    </w:p>
    <w:p w:rsidR="00047B3E" w:rsidRPr="00BD2495" w:rsidRDefault="00047B3E" w:rsidP="005647B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D2495">
        <w:tab/>
        <w:t>2.</w:t>
      </w:r>
      <w:r w:rsidRPr="00BD2495">
        <w:tab/>
        <w:t>Situación de los grupos y minorías étnicas y nacionales, en particular los romaníes</w:t>
      </w:r>
      <w:r w:rsidR="005647BD" w:rsidRPr="00BD2495">
        <w:t> </w:t>
      </w:r>
      <w:r w:rsidRPr="00BD2495">
        <w:t>(art. 5)</w:t>
      </w:r>
    </w:p>
    <w:p w:rsidR="005647BD" w:rsidRPr="00BD2495" w:rsidRDefault="005647BD" w:rsidP="005647BD">
      <w:pPr>
        <w:pStyle w:val="SingleTxt"/>
        <w:spacing w:after="0" w:line="120" w:lineRule="exact"/>
        <w:rPr>
          <w:sz w:val="10"/>
        </w:rPr>
      </w:pPr>
    </w:p>
    <w:p w:rsidR="00047B3E" w:rsidRPr="00BD2495" w:rsidRDefault="00047B3E" w:rsidP="00047B3E">
      <w:pPr>
        <w:pStyle w:val="SingleTxt"/>
      </w:pPr>
      <w:r w:rsidRPr="00BD2495">
        <w:tab/>
        <w:t>a)</w:t>
      </w:r>
      <w:r w:rsidRPr="00BD2495">
        <w:tab/>
        <w:t>Información actualizada sobre los resultados de la aplicación de la estrategia para la formulación de la política sobre minorías nacionales hasta 2015 y su evaluación correspondiente (CERD/C/LTU/6-8, párr</w:t>
      </w:r>
      <w:r w:rsidR="005647BD" w:rsidRPr="00BD2495">
        <w:t xml:space="preserve">s. 61 a </w:t>
      </w:r>
      <w:r w:rsidRPr="00BD2495">
        <w:t xml:space="preserve">65), </w:t>
      </w:r>
      <w:r w:rsidR="005647BD" w:rsidRPr="00BD2495">
        <w:t>y</w:t>
      </w:r>
      <w:r w:rsidRPr="00BD2495">
        <w:t xml:space="preserve"> avances en la adopción de la estrategia para la formulación de la política sobre minorías nacionales para 2015-2021 (CERD/C/LTU/6-8, párr. 98);</w:t>
      </w:r>
    </w:p>
    <w:p w:rsidR="00047B3E" w:rsidRPr="00BD2495" w:rsidRDefault="00047B3E" w:rsidP="00047B3E">
      <w:pPr>
        <w:pStyle w:val="SingleTxt"/>
      </w:pPr>
      <w:r w:rsidRPr="00BD2495">
        <w:tab/>
        <w:t>b)</w:t>
      </w:r>
      <w:r w:rsidRPr="00BD2495">
        <w:tab/>
        <w:t xml:space="preserve">Situación de las mujeres pertenecientes a minorías y </w:t>
      </w:r>
      <w:r w:rsidR="005647BD" w:rsidRPr="00BD2495">
        <w:t xml:space="preserve">las </w:t>
      </w:r>
      <w:r w:rsidRPr="00BD2495">
        <w:t xml:space="preserve">mujeres migrantes; información actualizada sobre las conclusiones y </w:t>
      </w:r>
      <w:r w:rsidR="005647BD" w:rsidRPr="00BD2495">
        <w:t xml:space="preserve">las </w:t>
      </w:r>
      <w:r w:rsidRPr="00BD2495">
        <w:t>medidas para el seguimiento del estudio sobre la situación de las mujeres de diversos grupos, incluidas las mujeres pertenecientes a minorías étnicas y mujeres migrantes, pendiente desde junio de 2014 (CERD/C/LTU/CO/4-5, párr. 18; CERD/C/LTU/6-8, párr. 66)</w:t>
      </w:r>
      <w:r w:rsidR="005647BD" w:rsidRPr="00BD2495">
        <w:t>;</w:t>
      </w:r>
    </w:p>
    <w:p w:rsidR="00047B3E" w:rsidRPr="00BD2495" w:rsidRDefault="005647BD" w:rsidP="00047B3E">
      <w:pPr>
        <w:pStyle w:val="SingleTxt"/>
      </w:pPr>
      <w:r w:rsidRPr="00BD2495">
        <w:tab/>
      </w:r>
      <w:r w:rsidR="00047B3E" w:rsidRPr="00BD2495">
        <w:t>c)</w:t>
      </w:r>
      <w:r w:rsidR="00047B3E" w:rsidRPr="00BD2495">
        <w:tab/>
        <w:t>Resultados concretos alcanzados por el plan de acción para la integración de los romaníes en lo relativo a la integración de los romaníes en el mercado laboral (CERD/C/LTU/CO/4-5, párr. 15; CERD/C/LTU/6-8, párr</w:t>
      </w:r>
      <w:r w:rsidRPr="00BD2495">
        <w:t xml:space="preserve">s. 43 y </w:t>
      </w:r>
      <w:r w:rsidR="00047B3E" w:rsidRPr="00BD2495">
        <w:t>44 y 166</w:t>
      </w:r>
      <w:r w:rsidRPr="00BD2495">
        <w:t xml:space="preserve"> y </w:t>
      </w:r>
      <w:r w:rsidR="00047B3E" w:rsidRPr="00BD2495">
        <w:t>167)</w:t>
      </w:r>
      <w:r w:rsidRPr="00BD2495">
        <w:t>;</w:t>
      </w:r>
      <w:r w:rsidR="00047B3E" w:rsidRPr="00BD2495">
        <w:t xml:space="preserve"> </w:t>
      </w:r>
    </w:p>
    <w:p w:rsidR="00047B3E" w:rsidRPr="00BD2495" w:rsidRDefault="00047B3E" w:rsidP="00047B3E">
      <w:pPr>
        <w:pStyle w:val="SingleTxt"/>
      </w:pPr>
      <w:r w:rsidRPr="00BD2495">
        <w:tab/>
        <w:t>d)</w:t>
      </w:r>
      <w:r w:rsidRPr="00BD2495">
        <w:tab/>
        <w:t>Resultados concretos y evaluación de las diversas iniciativas emprendidas para mejorar la educación de los niños romaníes,</w:t>
      </w:r>
      <w:r w:rsidR="00852083">
        <w:t xml:space="preserve"> </w:t>
      </w:r>
      <w:r w:rsidR="005647BD" w:rsidRPr="00BD2495">
        <w:t xml:space="preserve">en otras cosas </w:t>
      </w:r>
      <w:r w:rsidRPr="00BD2495">
        <w:t>su tasa de asistencia</w:t>
      </w:r>
      <w:r w:rsidR="005647BD" w:rsidRPr="00BD2495">
        <w:t>, particularmente</w:t>
      </w:r>
      <w:r w:rsidRPr="00BD2495">
        <w:t xml:space="preserve"> en la educación secundaria (CERD/C/LTU/6-8, párr</w:t>
      </w:r>
      <w:r w:rsidR="00845AC9">
        <w:t>s. 40 a</w:t>
      </w:r>
      <w:r w:rsidR="005647BD" w:rsidRPr="00BD2495">
        <w:t xml:space="preserve"> </w:t>
      </w:r>
      <w:r w:rsidRPr="00BD2495">
        <w:t>42, 51</w:t>
      </w:r>
      <w:r w:rsidR="005647BD" w:rsidRPr="00BD2495">
        <w:t xml:space="preserve"> a </w:t>
      </w:r>
      <w:r w:rsidRPr="00BD2495">
        <w:t>55 y 177</w:t>
      </w:r>
      <w:r w:rsidR="00AE187A" w:rsidRPr="00BD2495">
        <w:t xml:space="preserve"> y </w:t>
      </w:r>
      <w:r w:rsidRPr="00BD2495">
        <w:t xml:space="preserve">178); información actualizada sobre la aprobación y </w:t>
      </w:r>
      <w:r w:rsidR="00AE187A" w:rsidRPr="00BD2495">
        <w:t xml:space="preserve">la </w:t>
      </w:r>
      <w:r w:rsidRPr="00BD2495">
        <w:t xml:space="preserve">aplicación del plan de acción </w:t>
      </w:r>
      <w:r w:rsidR="00AE187A" w:rsidRPr="00BD2495">
        <w:t xml:space="preserve">dirigido a </w:t>
      </w:r>
      <w:r w:rsidRPr="00BD2495">
        <w:t>aumentar la inclusión social para 2014-2020</w:t>
      </w:r>
      <w:r w:rsidR="00AE187A" w:rsidRPr="00BD2495">
        <w:t>,</w:t>
      </w:r>
      <w:r w:rsidRPr="00BD2495">
        <w:t xml:space="preserve"> en lo referente a la situación de los romaníes en materia de vivienda (CERD/C/LTU/6-8, párr. 172)</w:t>
      </w:r>
      <w:r w:rsidR="00AE187A" w:rsidRPr="00BD2495">
        <w:t>;</w:t>
      </w:r>
    </w:p>
    <w:p w:rsidR="00047B3E" w:rsidRPr="00BD2495" w:rsidRDefault="00047B3E" w:rsidP="00047B3E">
      <w:pPr>
        <w:pStyle w:val="SingleTxt"/>
      </w:pPr>
      <w:r w:rsidRPr="00BD2495">
        <w:tab/>
        <w:t>e)</w:t>
      </w:r>
      <w:r w:rsidRPr="00BD2495">
        <w:tab/>
        <w:t xml:space="preserve">Información actualizada sobre las medidas adoptadas, desde la aprobación de la nueva Ley de Ciudadanía de 2011 y la ratificación de la Convención para Reducir los Casos de Apatridia en 2013, para resolver los problemas de </w:t>
      </w:r>
      <w:r w:rsidR="00AE187A" w:rsidRPr="00BD2495">
        <w:t>indocumentación</w:t>
      </w:r>
      <w:r w:rsidRPr="00BD2495">
        <w:t xml:space="preserve"> y apatridia a los que se enfrentan algunos romaníes (CERD/C/LTU/CO/4-5, párrs. 15 y 19; CERD/C/LTU/6-8, párrs. 69</w:t>
      </w:r>
      <w:r w:rsidR="00AE187A" w:rsidRPr="00BD2495">
        <w:t xml:space="preserve"> a </w:t>
      </w:r>
      <w:r w:rsidRPr="00BD2495">
        <w:t>72); impacto y evaluación de las medidas y campañas de concienciación dirigidas a promover la tolerancia hacia los romaníes (CERD/C/LTU/6-8, párr. 50).</w:t>
      </w:r>
    </w:p>
    <w:p w:rsidR="00047B3E" w:rsidRPr="00BD2495" w:rsidRDefault="00AE187A" w:rsidP="0071118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rPr>
      </w:pPr>
      <w:r w:rsidRPr="00BD2495">
        <w:rPr>
          <w:bCs/>
        </w:rPr>
        <w:lastRenderedPageBreak/>
        <w:tab/>
      </w:r>
      <w:r w:rsidR="00047B3E" w:rsidRPr="00BD2495">
        <w:rPr>
          <w:bCs/>
        </w:rPr>
        <w:t>3.</w:t>
      </w:r>
      <w:r w:rsidR="00047B3E" w:rsidRPr="00BD2495">
        <w:rPr>
          <w:bCs/>
        </w:rPr>
        <w:tab/>
      </w:r>
      <w:r w:rsidR="00047B3E" w:rsidRPr="00BD2495">
        <w:t>Migrantes, en particular los refugiados, ap</w:t>
      </w:r>
      <w:r w:rsidR="00711184">
        <w:t>átridas y solicitantes</w:t>
      </w:r>
      <w:r w:rsidR="00711184">
        <w:br/>
      </w:r>
      <w:r w:rsidRPr="00BD2495">
        <w:t>de asilo (arts. </w:t>
      </w:r>
      <w:r w:rsidR="00711184">
        <w:t>2 </w:t>
      </w:r>
      <w:r w:rsidR="00047B3E" w:rsidRPr="00BD2495">
        <w:t>y 5)</w:t>
      </w:r>
      <w:r w:rsidR="00047B3E" w:rsidRPr="00BD2495">
        <w:rPr>
          <w:bCs/>
        </w:rPr>
        <w:t xml:space="preserve"> </w:t>
      </w:r>
    </w:p>
    <w:p w:rsidR="00AE187A" w:rsidRPr="00BD2495" w:rsidRDefault="00AE187A" w:rsidP="00711184">
      <w:pPr>
        <w:pStyle w:val="SingleTxt"/>
        <w:keepNext/>
        <w:keepLines/>
        <w:spacing w:after="0" w:line="120" w:lineRule="exact"/>
        <w:rPr>
          <w:sz w:val="10"/>
        </w:rPr>
      </w:pPr>
    </w:p>
    <w:p w:rsidR="00047B3E" w:rsidRPr="00BD2495" w:rsidRDefault="00047B3E" w:rsidP="00711184">
      <w:pPr>
        <w:pStyle w:val="SingleTxt"/>
        <w:keepNext/>
        <w:keepLines/>
      </w:pPr>
      <w:r w:rsidRPr="00BD2495">
        <w:tab/>
        <w:t>a)</w:t>
      </w:r>
      <w:r w:rsidRPr="00BD2495">
        <w:tab/>
        <w:t>Información, incluidos</w:t>
      </w:r>
      <w:r w:rsidR="00AE187A" w:rsidRPr="00BD2495">
        <w:t xml:space="preserve"> datos estadísticos</w:t>
      </w:r>
      <w:r w:rsidRPr="00BD2495">
        <w:t xml:space="preserve">, sobre el disfrute </w:t>
      </w:r>
      <w:r w:rsidR="00AE187A" w:rsidRPr="00BD2495">
        <w:t>específico</w:t>
      </w:r>
      <w:r w:rsidRPr="00BD2495">
        <w:t xml:space="preserve"> por los migrantes del derecho a la vivienda y a la educación y del acceso al empleo (CERD/C/LTU/6-8, párrs</w:t>
      </w:r>
      <w:r w:rsidR="00AE187A" w:rsidRPr="00BD2495">
        <w:t>. 144 a 150);</w:t>
      </w:r>
    </w:p>
    <w:p w:rsidR="00047B3E" w:rsidRPr="00BD2495" w:rsidRDefault="00AE187A" w:rsidP="00711184">
      <w:pPr>
        <w:pStyle w:val="SingleTxt"/>
        <w:keepNext/>
        <w:keepLines/>
      </w:pPr>
      <w:r w:rsidRPr="00BD2495">
        <w:tab/>
      </w:r>
      <w:r w:rsidR="00047B3E" w:rsidRPr="00BD2495">
        <w:t>b)</w:t>
      </w:r>
      <w:r w:rsidR="00047B3E" w:rsidRPr="00BD2495">
        <w:tab/>
        <w:t xml:space="preserve">Medidas para la mejora de las condiciones de acogida de los </w:t>
      </w:r>
      <w:r w:rsidR="00852083" w:rsidRPr="00BD2495">
        <w:t>solicitantes</w:t>
      </w:r>
      <w:r w:rsidR="00047B3E" w:rsidRPr="00BD2495">
        <w:t xml:space="preserve"> de asilo y de los migrantes en situación irregular en el Centro de Inscripción de Extranjeros de Pabrade (CERD/C/LTU/6-8, párrs. 160</w:t>
      </w:r>
      <w:r w:rsidRPr="00BD2495">
        <w:t xml:space="preserve"> y </w:t>
      </w:r>
      <w:r w:rsidR="00047B3E" w:rsidRPr="00BD2495">
        <w:t xml:space="preserve">161; A/HRC/WG.6/12/LTU/3, párr. 48); aplicación efectiva del principio de no devolución </w:t>
      </w:r>
      <w:r w:rsidRPr="00BD2495">
        <w:t>(A/HRC/WG.6/12/LTU/3, párrs. 46 y 47);</w:t>
      </w:r>
    </w:p>
    <w:p w:rsidR="00047B3E" w:rsidRPr="00BD2495" w:rsidRDefault="00AE187A" w:rsidP="00711184">
      <w:pPr>
        <w:pStyle w:val="SingleTxt"/>
        <w:keepNext/>
        <w:keepLines/>
      </w:pPr>
      <w:r w:rsidRPr="00BD2495">
        <w:tab/>
      </w:r>
      <w:r w:rsidR="00047B3E" w:rsidRPr="00BD2495">
        <w:t>c)</w:t>
      </w:r>
      <w:r w:rsidR="00047B3E" w:rsidRPr="00BD2495">
        <w:tab/>
        <w:t>Información actualizada sobre la situación de apatrid</w:t>
      </w:r>
      <w:r w:rsidRPr="00BD2495">
        <w:t>ia en el Estado parte </w:t>
      </w:r>
      <w:r w:rsidR="00047B3E" w:rsidRPr="00BD2495">
        <w:t>tras la aprobación de la nueva Ley de Ciudadanía y la ratificación de la Convención para Reducir los Casos de Apatridia (CERD/C/LTU/CO/4-5, párr</w:t>
      </w:r>
      <w:r w:rsidRPr="00BD2495">
        <w:t>. 19; CERD/C/LTU/6</w:t>
      </w:r>
      <w:r w:rsidRPr="00BD2495">
        <w:noBreakHyphen/>
        <w:t>8, párrs. 69 a 72);</w:t>
      </w:r>
    </w:p>
    <w:p w:rsidR="00047B3E" w:rsidRPr="00BD2495" w:rsidRDefault="00AE187A" w:rsidP="004C50BD">
      <w:pPr>
        <w:pStyle w:val="SingleTxt"/>
        <w:tabs>
          <w:tab w:val="left" w:pos="7650"/>
        </w:tabs>
      </w:pPr>
      <w:r w:rsidRPr="00BD2495">
        <w:tab/>
      </w:r>
      <w:r w:rsidR="00047B3E" w:rsidRPr="00BD2495">
        <w:t>d)</w:t>
      </w:r>
      <w:r w:rsidR="00047B3E" w:rsidRPr="00BD2495">
        <w:tab/>
        <w:t>Datos estadísticos sobre las víctimas de la trata de migrantes en el Estado parte</w:t>
      </w:r>
      <w:r w:rsidRPr="00BD2495">
        <w:t>;</w:t>
      </w:r>
      <w:r w:rsidR="00047B3E" w:rsidRPr="00BD2495">
        <w:t xml:space="preserve"> avances en la adopción y aplicación del proyecto de ley</w:t>
      </w:r>
      <w:r w:rsidR="004C50BD">
        <w:t xml:space="preserve"> núm.</w:t>
      </w:r>
      <w:r w:rsidR="00047B3E" w:rsidRPr="00BD2495">
        <w:t xml:space="preserve"> XXIP-552; información actualizada sobre el resultado de las inves</w:t>
      </w:r>
      <w:r w:rsidRPr="00BD2495">
        <w:t>tigaciones de casos de trata de </w:t>
      </w:r>
      <w:r w:rsidR="00047B3E" w:rsidRPr="00BD2495">
        <w:t>seres humanos y de casos pendientes; impacto de las iniciativas de formación sobre la reducción de la trata de seres humanos (CERD/C/LTU/CO/4-5, párr</w:t>
      </w:r>
      <w:r w:rsidRPr="00BD2495">
        <w:t xml:space="preserve">. 20; CERD/C/LTU/6-8, párrs. 73 a </w:t>
      </w:r>
      <w:r w:rsidR="00047B3E" w:rsidRPr="00BD2495">
        <w:t>81).</w:t>
      </w:r>
    </w:p>
    <w:p w:rsidR="00047B3E" w:rsidRPr="00047B3E" w:rsidRDefault="00AE187A" w:rsidP="00047B3E">
      <w:pPr>
        <w:pStyle w:val="SingleTxt"/>
      </w:pPr>
      <w:r w:rsidRPr="00BD2495">
        <w:rPr>
          <w:noProof/>
          <w:w w:val="100"/>
          <w:lang w:val="en-US"/>
        </w:rPr>
        <mc:AlternateContent>
          <mc:Choice Requires="wps">
            <w:drawing>
              <wp:anchor distT="0" distB="0" distL="114300" distR="114300" simplePos="0" relativeHeight="251659264" behindDoc="0" locked="0" layoutInCell="1" allowOverlap="1" wp14:anchorId="3DFB79C5" wp14:editId="737B4EDC">
                <wp:simplePos x="0" y="0"/>
                <wp:positionH relativeFrom="column">
                  <wp:posOffset>2669540</wp:posOffset>
                </wp:positionH>
                <wp:positionV relativeFrom="paragraph">
                  <wp:posOffset>304800</wp:posOffset>
                </wp:positionV>
                <wp:extent cx="914400" cy="0"/>
                <wp:effectExtent l="0" t="0" r="19050" b="19050"/>
                <wp:wrapNone/>
                <wp:docPr id="6" name="Straight Connector 6"/>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6"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Co&#10;TfRG2QEAAAwEAAAOAAAAAAAAAAAAAAAAAC4CAABkcnMvZTJvRG9jLnhtbFBLAQItABQABgAIAAAA&#10;IQCFoHiC3wAAAAkBAAAPAAAAAAAAAAAAAAAAADMEAABkcnMvZG93bnJldi54bWxQSwUGAAAAAAQA&#10;BADzAAAAPwUAAAAA&#10;" strokecolor="#010000" strokeweight=".25pt"/>
            </w:pict>
          </mc:Fallback>
        </mc:AlternateContent>
      </w:r>
    </w:p>
    <w:p w:rsidR="00047B3E" w:rsidRPr="00047B3E" w:rsidRDefault="00047B3E" w:rsidP="00047B3E">
      <w:pPr>
        <w:pStyle w:val="SingleTxt"/>
      </w:pPr>
    </w:p>
    <w:sectPr w:rsidR="00047B3E" w:rsidRPr="00047B3E" w:rsidSect="0080499F">
      <w:endnotePr>
        <w:numFmt w:val="decimal"/>
      </w:endnotePr>
      <w:type w:val="continuous"/>
      <w:pgSz w:w="11909" w:h="16834" w:code="1"/>
      <w:pgMar w:top="1742" w:right="936" w:bottom="1898" w:left="936"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0-20T14:14:00Z" w:initials="Start">
    <w:p w:rsidR="00004CD1" w:rsidRPr="00047B3E" w:rsidRDefault="00004CD1">
      <w:pPr>
        <w:pStyle w:val="CommentText"/>
        <w:rPr>
          <w:lang w:val="en-US"/>
        </w:rPr>
      </w:pPr>
      <w:r>
        <w:fldChar w:fldCharType="begin"/>
      </w:r>
      <w:r w:rsidRPr="00047B3E">
        <w:rPr>
          <w:rStyle w:val="CommentReference"/>
          <w:lang w:val="en-US"/>
        </w:rPr>
        <w:instrText xml:space="preserve"> </w:instrText>
      </w:r>
      <w:r w:rsidRPr="00047B3E">
        <w:rPr>
          <w:lang w:val="en-US"/>
        </w:rPr>
        <w:instrText>PAGE \# "'Page: '#'</w:instrText>
      </w:r>
      <w:r w:rsidRPr="00047B3E">
        <w:rPr>
          <w:lang w:val="en-US"/>
        </w:rPr>
        <w:br/>
        <w:instrText>'"</w:instrText>
      </w:r>
      <w:r w:rsidRPr="00047B3E">
        <w:rPr>
          <w:rStyle w:val="CommentReference"/>
          <w:lang w:val="en-US"/>
        </w:rPr>
        <w:instrText xml:space="preserve"> </w:instrText>
      </w:r>
      <w:r>
        <w:fldChar w:fldCharType="end"/>
      </w:r>
      <w:r>
        <w:rPr>
          <w:rStyle w:val="CommentReference"/>
        </w:rPr>
        <w:annotationRef/>
      </w:r>
      <w:r w:rsidRPr="00047B3E">
        <w:rPr>
          <w:lang w:val="en-US"/>
        </w:rPr>
        <w:t>&lt;&lt;ODS JOB NO&gt;&gt;N1522735S&lt;&lt;ODS JOB NO&gt;&gt;</w:t>
      </w:r>
    </w:p>
    <w:p w:rsidR="00004CD1" w:rsidRPr="00047B3E" w:rsidRDefault="00004CD1">
      <w:pPr>
        <w:pStyle w:val="CommentText"/>
        <w:rPr>
          <w:lang w:val="fr-CH"/>
        </w:rPr>
      </w:pPr>
      <w:r w:rsidRPr="00047B3E">
        <w:rPr>
          <w:lang w:val="fr-CH"/>
        </w:rPr>
        <w:t>&lt;&lt;ODS DOC SYMBOL1&gt;&gt;CERD/C/LTU/Q/6-8&lt;&lt;ODS DOC SYMBOL1&gt;&gt;</w:t>
      </w:r>
    </w:p>
    <w:p w:rsidR="00004CD1" w:rsidRDefault="00004CD1">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00ACE" w:rsidRDefault="00600ACE" w:rsidP="008F1E8F">
      <w:pPr>
        <w:spacing w:line="240" w:lineRule="auto"/>
      </w:pPr>
      <w:r>
        <w:separator/>
      </w:r>
    </w:p>
  </w:endnote>
  <w:endnote w:type="continuationSeparator" w:id="0">
    <w:p w:rsidR="00600ACE" w:rsidRDefault="00600ACE" w:rsidP="008F1E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004CD1" w:rsidTr="00004CD1">
      <w:trPr>
        <w:jc w:val="center"/>
      </w:trPr>
      <w:tc>
        <w:tcPr>
          <w:tcW w:w="5126" w:type="dxa"/>
          <w:shd w:val="clear" w:color="auto" w:fill="auto"/>
        </w:tcPr>
        <w:p w:rsidR="00004CD1" w:rsidRPr="00004CD1" w:rsidRDefault="00004CD1" w:rsidP="00004CD1">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CA1378">
            <w:rPr>
              <w:b w:val="0"/>
              <w:color w:val="000000"/>
              <w:w w:val="103"/>
              <w:sz w:val="14"/>
            </w:rPr>
            <w:t>GE.15-16345</w:t>
          </w:r>
          <w:r>
            <w:rPr>
              <w:b w:val="0"/>
              <w:color w:val="000000"/>
              <w:w w:val="103"/>
              <w:sz w:val="14"/>
            </w:rPr>
            <w:fldChar w:fldCharType="end"/>
          </w:r>
        </w:p>
      </w:tc>
      <w:tc>
        <w:tcPr>
          <w:tcW w:w="5127" w:type="dxa"/>
          <w:shd w:val="clear" w:color="auto" w:fill="auto"/>
        </w:tcPr>
        <w:p w:rsidR="00004CD1" w:rsidRPr="00004CD1" w:rsidRDefault="00004CD1" w:rsidP="00004CD1">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CA1378">
            <w:rPr>
              <w:color w:val="000000"/>
              <w:w w:val="103"/>
            </w:rPr>
            <w:t>2</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CA1378">
            <w:rPr>
              <w:color w:val="000000"/>
              <w:w w:val="103"/>
            </w:rPr>
            <w:t>3</w:t>
          </w:r>
          <w:r>
            <w:rPr>
              <w:color w:val="000000"/>
              <w:w w:val="103"/>
            </w:rPr>
            <w:fldChar w:fldCharType="end"/>
          </w:r>
        </w:p>
      </w:tc>
    </w:tr>
  </w:tbl>
  <w:p w:rsidR="00004CD1" w:rsidRPr="00004CD1" w:rsidRDefault="00004CD1" w:rsidP="00004CD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004CD1" w:rsidTr="00004CD1">
      <w:trPr>
        <w:jc w:val="center"/>
      </w:trPr>
      <w:tc>
        <w:tcPr>
          <w:tcW w:w="5126" w:type="dxa"/>
          <w:shd w:val="clear" w:color="auto" w:fill="auto"/>
        </w:tcPr>
        <w:p w:rsidR="00004CD1" w:rsidRPr="00004CD1" w:rsidRDefault="00004CD1" w:rsidP="00004CD1">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CA1378">
            <w:rPr>
              <w:color w:val="000000"/>
              <w:w w:val="103"/>
            </w:rPr>
            <w:t>3</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CA1378">
            <w:rPr>
              <w:color w:val="000000"/>
              <w:w w:val="103"/>
            </w:rPr>
            <w:t>3</w:t>
          </w:r>
          <w:r>
            <w:rPr>
              <w:color w:val="000000"/>
              <w:w w:val="103"/>
            </w:rPr>
            <w:fldChar w:fldCharType="end"/>
          </w:r>
        </w:p>
      </w:tc>
      <w:tc>
        <w:tcPr>
          <w:tcW w:w="5127" w:type="dxa"/>
          <w:shd w:val="clear" w:color="auto" w:fill="auto"/>
        </w:tcPr>
        <w:p w:rsidR="00004CD1" w:rsidRPr="00004CD1" w:rsidRDefault="00004CD1" w:rsidP="00004CD1">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CA1378">
            <w:rPr>
              <w:b w:val="0"/>
              <w:color w:val="000000"/>
              <w:w w:val="103"/>
              <w:sz w:val="14"/>
            </w:rPr>
            <w:t>GE.15-16345</w:t>
          </w:r>
          <w:r>
            <w:rPr>
              <w:b w:val="0"/>
              <w:color w:val="000000"/>
              <w:w w:val="103"/>
              <w:sz w:val="14"/>
            </w:rPr>
            <w:fldChar w:fldCharType="end"/>
          </w:r>
        </w:p>
      </w:tc>
    </w:tr>
  </w:tbl>
  <w:p w:rsidR="00004CD1" w:rsidRPr="00004CD1" w:rsidRDefault="00004CD1" w:rsidP="00004CD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4CD1" w:rsidRPr="00004CD1" w:rsidRDefault="00004CD1" w:rsidP="00004CD1">
    <w:pPr>
      <w:pStyle w:val="Footer"/>
      <w:spacing w:line="120" w:lineRule="exact"/>
      <w:rPr>
        <w:b w:val="0"/>
        <w:sz w:val="10"/>
      </w:rPr>
    </w:pPr>
    <w:r>
      <w:rPr>
        <w:b w:val="0"/>
        <w:sz w:val="10"/>
      </w:rPr>
      <w:drawing>
        <wp:anchor distT="0" distB="0" distL="114300" distR="114300" simplePos="0" relativeHeight="251658240" behindDoc="0" locked="0" layoutInCell="1" allowOverlap="1" wp14:anchorId="59853112" wp14:editId="65B85867">
          <wp:simplePos x="0" y="0"/>
          <wp:positionH relativeFrom="column">
            <wp:posOffset>5669280</wp:posOffset>
          </wp:positionH>
          <wp:positionV relativeFrom="paragraph">
            <wp:posOffset>-283210</wp:posOffset>
          </wp:positionV>
          <wp:extent cx="694690" cy="694690"/>
          <wp:effectExtent l="0" t="0" r="0" b="0"/>
          <wp:wrapNone/>
          <wp:docPr id="3" name="Picture 3" descr="http://undocs.org/m2/QRCode2.ashx?DS=CERD/C/LTU/Q/6-8&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RD/C/LTU/Q/6-8&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59"/>
      <w:gridCol w:w="5127"/>
    </w:tblGrid>
    <w:tr w:rsidR="00004CD1" w:rsidTr="00004CD1">
      <w:tc>
        <w:tcPr>
          <w:tcW w:w="3859" w:type="dxa"/>
        </w:tcPr>
        <w:p w:rsidR="00004CD1" w:rsidRDefault="00004CD1" w:rsidP="00004CD1">
          <w:pPr>
            <w:pStyle w:val="ReleaseDate"/>
          </w:pPr>
          <w:r>
            <w:t>GE.15-16345 (S)</w:t>
          </w:r>
          <w:r w:rsidR="005647BD">
            <w:t xml:space="preserve">    14</w:t>
          </w:r>
          <w:r w:rsidR="00D6098A">
            <w:t>1015    21</w:t>
          </w:r>
          <w:r>
            <w:t>1015</w:t>
          </w:r>
        </w:p>
        <w:p w:rsidR="00004CD1" w:rsidRPr="00004CD1" w:rsidRDefault="00004CD1" w:rsidP="00004CD1">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*1516345*</w:t>
          </w:r>
        </w:p>
      </w:tc>
      <w:tc>
        <w:tcPr>
          <w:tcW w:w="5127" w:type="dxa"/>
        </w:tcPr>
        <w:p w:rsidR="00004CD1" w:rsidRDefault="00004CD1" w:rsidP="00004CD1">
          <w:pPr>
            <w:pStyle w:val="Footer"/>
            <w:jc w:val="right"/>
            <w:rPr>
              <w:b w:val="0"/>
              <w:sz w:val="20"/>
            </w:rPr>
          </w:pPr>
          <w:r>
            <w:rPr>
              <w:b w:val="0"/>
              <w:sz w:val="20"/>
            </w:rPr>
            <w:drawing>
              <wp:inline distT="0" distB="0" distL="0" distR="0" wp14:anchorId="6C245197" wp14:editId="485AF675">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004CD1" w:rsidRPr="00004CD1" w:rsidRDefault="00004CD1" w:rsidP="00004CD1">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00ACE" w:rsidRDefault="00600ACE" w:rsidP="008F1E8F">
      <w:pPr>
        <w:spacing w:line="240" w:lineRule="auto"/>
      </w:pPr>
      <w:r>
        <w:separator/>
      </w:r>
    </w:p>
  </w:footnote>
  <w:footnote w:type="continuationSeparator" w:id="0">
    <w:p w:rsidR="00600ACE" w:rsidRDefault="00600ACE" w:rsidP="008F1E8F">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004CD1" w:rsidTr="00004CD1">
      <w:trPr>
        <w:trHeight w:hRule="exact" w:val="864"/>
        <w:jc w:val="center"/>
      </w:trPr>
      <w:tc>
        <w:tcPr>
          <w:tcW w:w="4882" w:type="dxa"/>
          <w:shd w:val="clear" w:color="auto" w:fill="auto"/>
          <w:vAlign w:val="bottom"/>
        </w:tcPr>
        <w:p w:rsidR="00004CD1" w:rsidRPr="00004CD1" w:rsidRDefault="00004CD1" w:rsidP="00004CD1">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CA1378">
            <w:rPr>
              <w:b/>
              <w:color w:val="000000"/>
            </w:rPr>
            <w:t>CERD/C/LTU/Q/6-8</w:t>
          </w:r>
          <w:r>
            <w:rPr>
              <w:b/>
              <w:color w:val="000000"/>
            </w:rPr>
            <w:fldChar w:fldCharType="end"/>
          </w:r>
        </w:p>
      </w:tc>
      <w:tc>
        <w:tcPr>
          <w:tcW w:w="5127" w:type="dxa"/>
          <w:shd w:val="clear" w:color="auto" w:fill="auto"/>
          <w:vAlign w:val="bottom"/>
        </w:tcPr>
        <w:p w:rsidR="00004CD1" w:rsidRDefault="00004CD1" w:rsidP="00004CD1">
          <w:pPr>
            <w:pStyle w:val="Header"/>
          </w:pPr>
        </w:p>
      </w:tc>
    </w:tr>
  </w:tbl>
  <w:p w:rsidR="00004CD1" w:rsidRPr="00004CD1" w:rsidRDefault="00004CD1" w:rsidP="00004CD1">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004CD1" w:rsidTr="00004CD1">
      <w:trPr>
        <w:trHeight w:hRule="exact" w:val="864"/>
        <w:jc w:val="center"/>
      </w:trPr>
      <w:tc>
        <w:tcPr>
          <w:tcW w:w="4882" w:type="dxa"/>
          <w:shd w:val="clear" w:color="auto" w:fill="auto"/>
          <w:vAlign w:val="bottom"/>
        </w:tcPr>
        <w:p w:rsidR="00004CD1" w:rsidRDefault="00004CD1" w:rsidP="00004CD1">
          <w:pPr>
            <w:pStyle w:val="Header"/>
          </w:pPr>
        </w:p>
      </w:tc>
      <w:tc>
        <w:tcPr>
          <w:tcW w:w="5127" w:type="dxa"/>
          <w:shd w:val="clear" w:color="auto" w:fill="auto"/>
          <w:vAlign w:val="bottom"/>
        </w:tcPr>
        <w:p w:rsidR="00004CD1" w:rsidRPr="00004CD1" w:rsidRDefault="00004CD1" w:rsidP="00004CD1">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CA1378">
            <w:rPr>
              <w:b/>
              <w:color w:val="000000"/>
            </w:rPr>
            <w:t>CERD/C/LTU/Q/6-8</w:t>
          </w:r>
          <w:r>
            <w:rPr>
              <w:b/>
              <w:color w:val="000000"/>
            </w:rPr>
            <w:fldChar w:fldCharType="end"/>
          </w:r>
        </w:p>
      </w:tc>
    </w:tr>
  </w:tbl>
  <w:p w:rsidR="00004CD1" w:rsidRPr="00004CD1" w:rsidRDefault="00004CD1" w:rsidP="00004CD1">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280"/>
      <w:gridCol w:w="18"/>
    </w:tblGrid>
    <w:tr w:rsidR="00004CD1" w:rsidTr="00004CD1">
      <w:trPr>
        <w:trHeight w:hRule="exact" w:val="864"/>
      </w:trPr>
      <w:tc>
        <w:tcPr>
          <w:tcW w:w="1267" w:type="dxa"/>
          <w:tcBorders>
            <w:bottom w:val="single" w:sz="4" w:space="0" w:color="auto"/>
          </w:tcBorders>
          <w:shd w:val="clear" w:color="auto" w:fill="auto"/>
          <w:vAlign w:val="bottom"/>
        </w:tcPr>
        <w:p w:rsidR="00004CD1" w:rsidRDefault="00004CD1" w:rsidP="00004CD1">
          <w:pPr>
            <w:pStyle w:val="Header"/>
            <w:spacing w:after="120"/>
          </w:pPr>
        </w:p>
      </w:tc>
      <w:tc>
        <w:tcPr>
          <w:tcW w:w="2059" w:type="dxa"/>
          <w:tcBorders>
            <w:bottom w:val="single" w:sz="4" w:space="0" w:color="auto"/>
          </w:tcBorders>
          <w:shd w:val="clear" w:color="auto" w:fill="auto"/>
          <w:vAlign w:val="bottom"/>
        </w:tcPr>
        <w:p w:rsidR="00004CD1" w:rsidRPr="00004CD1" w:rsidRDefault="00004CD1" w:rsidP="00004CD1">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004CD1" w:rsidRDefault="00004CD1" w:rsidP="00004CD1">
          <w:pPr>
            <w:pStyle w:val="Header"/>
            <w:spacing w:after="120"/>
          </w:pPr>
        </w:p>
      </w:tc>
      <w:tc>
        <w:tcPr>
          <w:tcW w:w="6653" w:type="dxa"/>
          <w:gridSpan w:val="4"/>
          <w:tcBorders>
            <w:bottom w:val="single" w:sz="4" w:space="0" w:color="auto"/>
          </w:tcBorders>
          <w:shd w:val="clear" w:color="auto" w:fill="auto"/>
          <w:vAlign w:val="bottom"/>
        </w:tcPr>
        <w:p w:rsidR="00004CD1" w:rsidRPr="00004CD1" w:rsidRDefault="00004CD1" w:rsidP="00004CD1">
          <w:pPr>
            <w:spacing w:after="80" w:line="240" w:lineRule="auto"/>
            <w:jc w:val="right"/>
            <w:rPr>
              <w:position w:val="-4"/>
            </w:rPr>
          </w:pPr>
          <w:r>
            <w:rPr>
              <w:position w:val="-4"/>
              <w:sz w:val="40"/>
            </w:rPr>
            <w:t>CERD</w:t>
          </w:r>
          <w:r>
            <w:rPr>
              <w:position w:val="-4"/>
            </w:rPr>
            <w:t>/C/LTU/Q/6-8</w:t>
          </w:r>
        </w:p>
      </w:tc>
    </w:tr>
    <w:tr w:rsidR="00004CD1" w:rsidRPr="00004CD1" w:rsidTr="00004CD1">
      <w:trPr>
        <w:gridAfter w:val="1"/>
        <w:wAfter w:w="18" w:type="dxa"/>
        <w:trHeight w:hRule="exact" w:val="2880"/>
      </w:trPr>
      <w:tc>
        <w:tcPr>
          <w:tcW w:w="1267" w:type="dxa"/>
          <w:tcBorders>
            <w:top w:val="single" w:sz="4" w:space="0" w:color="auto"/>
            <w:bottom w:val="single" w:sz="12" w:space="0" w:color="auto"/>
          </w:tcBorders>
          <w:shd w:val="clear" w:color="auto" w:fill="auto"/>
        </w:tcPr>
        <w:p w:rsidR="00004CD1" w:rsidRPr="00004CD1" w:rsidRDefault="00004CD1" w:rsidP="00004CD1">
          <w:pPr>
            <w:pStyle w:val="Header"/>
            <w:spacing w:before="120"/>
            <w:jc w:val="center"/>
          </w:pPr>
          <w:r>
            <w:t xml:space="preserve"> </w:t>
          </w:r>
          <w:r>
            <w:drawing>
              <wp:inline distT="0" distB="0" distL="0" distR="0" wp14:anchorId="28282B38" wp14:editId="280EC415">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004CD1" w:rsidRPr="00004CD1" w:rsidRDefault="00004CD1" w:rsidP="00004CD1">
          <w:pPr>
            <w:pStyle w:val="XLarge"/>
            <w:spacing w:before="109"/>
            <w:rPr>
              <w:sz w:val="34"/>
            </w:rPr>
          </w:pPr>
          <w:r>
            <w:rPr>
              <w:sz w:val="34"/>
            </w:rPr>
            <w:t>Convención Internacional sobre</w:t>
          </w:r>
          <w:r>
            <w:rPr>
              <w:sz w:val="34"/>
            </w:rPr>
            <w:br/>
            <w:t>la Eliminación de Todas las Formas</w:t>
          </w:r>
          <w:r>
            <w:rPr>
              <w:sz w:val="34"/>
            </w:rPr>
            <w:br/>
            <w:t>de Discriminación Racial</w:t>
          </w:r>
        </w:p>
      </w:tc>
      <w:tc>
        <w:tcPr>
          <w:tcW w:w="245" w:type="dxa"/>
          <w:tcBorders>
            <w:top w:val="single" w:sz="4" w:space="0" w:color="auto"/>
            <w:bottom w:val="single" w:sz="12" w:space="0" w:color="auto"/>
          </w:tcBorders>
          <w:shd w:val="clear" w:color="auto" w:fill="auto"/>
        </w:tcPr>
        <w:p w:rsidR="00004CD1" w:rsidRPr="00047B3E" w:rsidRDefault="00004CD1" w:rsidP="00004CD1">
          <w:pPr>
            <w:pStyle w:val="Header"/>
            <w:spacing w:before="109"/>
            <w:rPr>
              <w:lang w:val="es-ES"/>
            </w:rPr>
          </w:pPr>
        </w:p>
      </w:tc>
      <w:tc>
        <w:tcPr>
          <w:tcW w:w="3280" w:type="dxa"/>
          <w:tcBorders>
            <w:top w:val="single" w:sz="4" w:space="0" w:color="auto"/>
            <w:bottom w:val="single" w:sz="12" w:space="0" w:color="auto"/>
          </w:tcBorders>
          <w:shd w:val="clear" w:color="auto" w:fill="auto"/>
        </w:tcPr>
        <w:p w:rsidR="00004CD1" w:rsidRDefault="00004CD1" w:rsidP="00004CD1">
          <w:pPr>
            <w:pStyle w:val="Distribution"/>
            <w:spacing w:before="240"/>
          </w:pPr>
          <w:r>
            <w:t>Distr. general</w:t>
          </w:r>
        </w:p>
        <w:p w:rsidR="00004CD1" w:rsidRDefault="00004CD1" w:rsidP="00004CD1">
          <w:pPr>
            <w:pStyle w:val="Publication"/>
          </w:pPr>
          <w:r>
            <w:t>5 de octubre de 2015</w:t>
          </w:r>
        </w:p>
        <w:p w:rsidR="00004CD1" w:rsidRDefault="00004CD1" w:rsidP="00004CD1">
          <w:r>
            <w:t>Español</w:t>
          </w:r>
        </w:p>
        <w:p w:rsidR="00004CD1" w:rsidRDefault="00004CD1" w:rsidP="00004CD1">
          <w:pPr>
            <w:pStyle w:val="Original"/>
          </w:pPr>
          <w:r>
            <w:t>Original: inglés</w:t>
          </w:r>
          <w:r w:rsidR="00047B3E">
            <w:br/>
            <w:t>Español, francés e inglés únicamente</w:t>
          </w:r>
        </w:p>
        <w:p w:rsidR="00004CD1" w:rsidRPr="00004CD1" w:rsidRDefault="00004CD1" w:rsidP="00004CD1"/>
      </w:tc>
    </w:tr>
  </w:tbl>
  <w:p w:rsidR="00004CD1" w:rsidRPr="00047B3E" w:rsidRDefault="00004CD1" w:rsidP="00004CD1">
    <w:pPr>
      <w:pStyle w:val="Header"/>
      <w:rPr>
        <w:sz w:val="2"/>
        <w:lang w:val="es-E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3">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4">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5">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1"/>
  </w:num>
  <w:num w:numId="3">
    <w:abstractNumId w:val="3"/>
  </w:num>
  <w:num w:numId="4">
    <w:abstractNumId w:val="5"/>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12289"/>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enableOpenTypeFeatures" w:uri="http://schemas.microsoft.com/office/word" w:val="1"/>
    <w:compatSetting w:name="doNotFlipMirrorIndents" w:uri="http://schemas.microsoft.com/office/word" w:val="1"/>
  </w:compat>
  <w:docVars>
    <w:docVar w:name="Barcode" w:val="*1516345*"/>
    <w:docVar w:name="CreationDt" w:val="10/20/2015 2:14: PM"/>
    <w:docVar w:name="DocCategory" w:val="Doc"/>
    <w:docVar w:name="DocType" w:val="Final"/>
    <w:docVar w:name="DutyStation" w:val="Geneva"/>
    <w:docVar w:name="FooterJN" w:val="GE.15-16345"/>
    <w:docVar w:name="jobn" w:val="GE.15-16345 (S)"/>
    <w:docVar w:name="jobnDT" w:val="GE.15-16345 (S)   201015"/>
    <w:docVar w:name="jobnDTDT" w:val="GE.15-16345 (S)   201015   201015"/>
    <w:docVar w:name="JobNo" w:val="GE.1516345S"/>
    <w:docVar w:name="JobNo2" w:val="15227352:14: PM"/>
    <w:docVar w:name="LocalDrive" w:val="0"/>
    <w:docVar w:name="OandT" w:val="Hm"/>
    <w:docVar w:name="PaperSize" w:val="A4"/>
    <w:docVar w:name="sss1" w:val="CERD/C/LTU/Q/6-8"/>
    <w:docVar w:name="sss2" w:val="-"/>
    <w:docVar w:name="Symbol1" w:val="CERD/C/LTU/Q/6-8"/>
    <w:docVar w:name="Symbol2" w:val="-"/>
  </w:docVars>
  <w:rsids>
    <w:rsidRoot w:val="00600ACE"/>
    <w:rsid w:val="0000104C"/>
    <w:rsid w:val="00001CC4"/>
    <w:rsid w:val="000025A2"/>
    <w:rsid w:val="00002B98"/>
    <w:rsid w:val="0000430F"/>
    <w:rsid w:val="00004CD1"/>
    <w:rsid w:val="00005995"/>
    <w:rsid w:val="0001023A"/>
    <w:rsid w:val="00011ED9"/>
    <w:rsid w:val="000145F1"/>
    <w:rsid w:val="0001710A"/>
    <w:rsid w:val="00023216"/>
    <w:rsid w:val="00025DF8"/>
    <w:rsid w:val="00026454"/>
    <w:rsid w:val="000271D6"/>
    <w:rsid w:val="00033058"/>
    <w:rsid w:val="000336E0"/>
    <w:rsid w:val="0003430A"/>
    <w:rsid w:val="000349DD"/>
    <w:rsid w:val="00035AAF"/>
    <w:rsid w:val="00040B8F"/>
    <w:rsid w:val="00043D79"/>
    <w:rsid w:val="00044517"/>
    <w:rsid w:val="00047B3E"/>
    <w:rsid w:val="0005203D"/>
    <w:rsid w:val="000534EB"/>
    <w:rsid w:val="00054DB8"/>
    <w:rsid w:val="0006088E"/>
    <w:rsid w:val="00061177"/>
    <w:rsid w:val="000637D6"/>
    <w:rsid w:val="000667E7"/>
    <w:rsid w:val="00067D9C"/>
    <w:rsid w:val="000724E5"/>
    <w:rsid w:val="0007540F"/>
    <w:rsid w:val="00076C30"/>
    <w:rsid w:val="00076E01"/>
    <w:rsid w:val="000806AC"/>
    <w:rsid w:val="000871C1"/>
    <w:rsid w:val="0009032B"/>
    <w:rsid w:val="00095062"/>
    <w:rsid w:val="000A0C7C"/>
    <w:rsid w:val="000A1971"/>
    <w:rsid w:val="000A53F1"/>
    <w:rsid w:val="000A6B28"/>
    <w:rsid w:val="000B0965"/>
    <w:rsid w:val="000B2A4E"/>
    <w:rsid w:val="000B71D9"/>
    <w:rsid w:val="000C1009"/>
    <w:rsid w:val="000C4DCC"/>
    <w:rsid w:val="000C6904"/>
    <w:rsid w:val="000D11F7"/>
    <w:rsid w:val="000D1E48"/>
    <w:rsid w:val="000D21E6"/>
    <w:rsid w:val="000D4A11"/>
    <w:rsid w:val="000D64ED"/>
    <w:rsid w:val="000D686E"/>
    <w:rsid w:val="000E5000"/>
    <w:rsid w:val="000E66F5"/>
    <w:rsid w:val="000E67FD"/>
    <w:rsid w:val="000E6FEB"/>
    <w:rsid w:val="000F5982"/>
    <w:rsid w:val="000F7375"/>
    <w:rsid w:val="00101405"/>
    <w:rsid w:val="00102135"/>
    <w:rsid w:val="001023C5"/>
    <w:rsid w:val="00107739"/>
    <w:rsid w:val="001109AD"/>
    <w:rsid w:val="00111CCB"/>
    <w:rsid w:val="001179C3"/>
    <w:rsid w:val="0012119F"/>
    <w:rsid w:val="001259AF"/>
    <w:rsid w:val="00127EBE"/>
    <w:rsid w:val="00135E50"/>
    <w:rsid w:val="00140F45"/>
    <w:rsid w:val="00143B7C"/>
    <w:rsid w:val="00144177"/>
    <w:rsid w:val="0014610D"/>
    <w:rsid w:val="001471F6"/>
    <w:rsid w:val="00147CC5"/>
    <w:rsid w:val="00152E53"/>
    <w:rsid w:val="00153EA2"/>
    <w:rsid w:val="00153FD7"/>
    <w:rsid w:val="00154204"/>
    <w:rsid w:val="001561B2"/>
    <w:rsid w:val="0015662C"/>
    <w:rsid w:val="001571BC"/>
    <w:rsid w:val="001701FE"/>
    <w:rsid w:val="00170784"/>
    <w:rsid w:val="00174971"/>
    <w:rsid w:val="0017756D"/>
    <w:rsid w:val="00177A61"/>
    <w:rsid w:val="0018579A"/>
    <w:rsid w:val="00186A14"/>
    <w:rsid w:val="00187C4A"/>
    <w:rsid w:val="00190B00"/>
    <w:rsid w:val="00195EFF"/>
    <w:rsid w:val="001A2E38"/>
    <w:rsid w:val="001A2FAC"/>
    <w:rsid w:val="001A546F"/>
    <w:rsid w:val="001A72EA"/>
    <w:rsid w:val="001B2FC3"/>
    <w:rsid w:val="001B4AB9"/>
    <w:rsid w:val="001B4AD2"/>
    <w:rsid w:val="001B56CE"/>
    <w:rsid w:val="001B5CC5"/>
    <w:rsid w:val="001B5DD4"/>
    <w:rsid w:val="001C00F4"/>
    <w:rsid w:val="001C1FA6"/>
    <w:rsid w:val="001C2044"/>
    <w:rsid w:val="001C2D40"/>
    <w:rsid w:val="001C2E87"/>
    <w:rsid w:val="001C4833"/>
    <w:rsid w:val="001D04E3"/>
    <w:rsid w:val="001D0CA8"/>
    <w:rsid w:val="001D4A0C"/>
    <w:rsid w:val="001D681C"/>
    <w:rsid w:val="001E04C4"/>
    <w:rsid w:val="001E2641"/>
    <w:rsid w:val="001E290A"/>
    <w:rsid w:val="001E4835"/>
    <w:rsid w:val="001F0EC3"/>
    <w:rsid w:val="001F1D4C"/>
    <w:rsid w:val="001F2FC0"/>
    <w:rsid w:val="001F74B0"/>
    <w:rsid w:val="00200A61"/>
    <w:rsid w:val="002042C8"/>
    <w:rsid w:val="0020684C"/>
    <w:rsid w:val="002070C6"/>
    <w:rsid w:val="00211015"/>
    <w:rsid w:val="00214AF3"/>
    <w:rsid w:val="00217E05"/>
    <w:rsid w:val="0022060C"/>
    <w:rsid w:val="002277C7"/>
    <w:rsid w:val="002345EA"/>
    <w:rsid w:val="00240653"/>
    <w:rsid w:val="00242088"/>
    <w:rsid w:val="0024283D"/>
    <w:rsid w:val="00244CF4"/>
    <w:rsid w:val="00247894"/>
    <w:rsid w:val="00251995"/>
    <w:rsid w:val="0025615B"/>
    <w:rsid w:val="00260DF5"/>
    <w:rsid w:val="00261CCA"/>
    <w:rsid w:val="002639B8"/>
    <w:rsid w:val="002652F7"/>
    <w:rsid w:val="002660F3"/>
    <w:rsid w:val="00266F6B"/>
    <w:rsid w:val="00272964"/>
    <w:rsid w:val="00273280"/>
    <w:rsid w:val="002744AC"/>
    <w:rsid w:val="00276848"/>
    <w:rsid w:val="00283B0F"/>
    <w:rsid w:val="002841B4"/>
    <w:rsid w:val="0028737C"/>
    <w:rsid w:val="00295FD6"/>
    <w:rsid w:val="00297ED1"/>
    <w:rsid w:val="002A2E26"/>
    <w:rsid w:val="002A7DDE"/>
    <w:rsid w:val="002B0F08"/>
    <w:rsid w:val="002B105C"/>
    <w:rsid w:val="002B1378"/>
    <w:rsid w:val="002B1548"/>
    <w:rsid w:val="002B2680"/>
    <w:rsid w:val="002B6B53"/>
    <w:rsid w:val="002B7407"/>
    <w:rsid w:val="002C2CAF"/>
    <w:rsid w:val="002C345B"/>
    <w:rsid w:val="002C379E"/>
    <w:rsid w:val="002C3E79"/>
    <w:rsid w:val="002D3F35"/>
    <w:rsid w:val="002D422C"/>
    <w:rsid w:val="002D56D8"/>
    <w:rsid w:val="002E1262"/>
    <w:rsid w:val="002E2A29"/>
    <w:rsid w:val="002E6792"/>
    <w:rsid w:val="002F0A5D"/>
    <w:rsid w:val="002F4C08"/>
    <w:rsid w:val="003033B3"/>
    <w:rsid w:val="003034FD"/>
    <w:rsid w:val="00303A2A"/>
    <w:rsid w:val="00323F27"/>
    <w:rsid w:val="00327A13"/>
    <w:rsid w:val="00330167"/>
    <w:rsid w:val="00332BD8"/>
    <w:rsid w:val="003359DE"/>
    <w:rsid w:val="003363C7"/>
    <w:rsid w:val="00343253"/>
    <w:rsid w:val="003452B8"/>
    <w:rsid w:val="0034771F"/>
    <w:rsid w:val="00347865"/>
    <w:rsid w:val="0035601E"/>
    <w:rsid w:val="003626AF"/>
    <w:rsid w:val="00363CCE"/>
    <w:rsid w:val="00364682"/>
    <w:rsid w:val="00364F73"/>
    <w:rsid w:val="00365806"/>
    <w:rsid w:val="00367739"/>
    <w:rsid w:val="0037312C"/>
    <w:rsid w:val="0037429E"/>
    <w:rsid w:val="003754AD"/>
    <w:rsid w:val="00375801"/>
    <w:rsid w:val="003779EE"/>
    <w:rsid w:val="00377C84"/>
    <w:rsid w:val="00383890"/>
    <w:rsid w:val="003926E1"/>
    <w:rsid w:val="00393F05"/>
    <w:rsid w:val="00396585"/>
    <w:rsid w:val="003965EE"/>
    <w:rsid w:val="00397636"/>
    <w:rsid w:val="003A1259"/>
    <w:rsid w:val="003A5CE7"/>
    <w:rsid w:val="003B145C"/>
    <w:rsid w:val="003B613E"/>
    <w:rsid w:val="003C12C7"/>
    <w:rsid w:val="003C2AA1"/>
    <w:rsid w:val="003C2D96"/>
    <w:rsid w:val="003C473B"/>
    <w:rsid w:val="003C4940"/>
    <w:rsid w:val="003C5008"/>
    <w:rsid w:val="003C67B3"/>
    <w:rsid w:val="003D0989"/>
    <w:rsid w:val="003D1093"/>
    <w:rsid w:val="003D2D4A"/>
    <w:rsid w:val="003E5AAE"/>
    <w:rsid w:val="003E60D2"/>
    <w:rsid w:val="003E7A69"/>
    <w:rsid w:val="003F2A56"/>
    <w:rsid w:val="003F3052"/>
    <w:rsid w:val="003F3C3C"/>
    <w:rsid w:val="00400307"/>
    <w:rsid w:val="00400A6A"/>
    <w:rsid w:val="00403D85"/>
    <w:rsid w:val="00404990"/>
    <w:rsid w:val="0040564F"/>
    <w:rsid w:val="004057C7"/>
    <w:rsid w:val="004072AB"/>
    <w:rsid w:val="004211F7"/>
    <w:rsid w:val="00423CFD"/>
    <w:rsid w:val="0042642D"/>
    <w:rsid w:val="00431501"/>
    <w:rsid w:val="004318E8"/>
    <w:rsid w:val="00433FB5"/>
    <w:rsid w:val="00434234"/>
    <w:rsid w:val="004374B8"/>
    <w:rsid w:val="00437612"/>
    <w:rsid w:val="004411D4"/>
    <w:rsid w:val="00443CA4"/>
    <w:rsid w:val="004450AF"/>
    <w:rsid w:val="004452B0"/>
    <w:rsid w:val="004465F9"/>
    <w:rsid w:val="00451290"/>
    <w:rsid w:val="0045204A"/>
    <w:rsid w:val="0045650A"/>
    <w:rsid w:val="00456674"/>
    <w:rsid w:val="00460AD1"/>
    <w:rsid w:val="00465121"/>
    <w:rsid w:val="00466635"/>
    <w:rsid w:val="00467907"/>
    <w:rsid w:val="004700F4"/>
    <w:rsid w:val="004713D8"/>
    <w:rsid w:val="00471F9B"/>
    <w:rsid w:val="00474035"/>
    <w:rsid w:val="00474F6E"/>
    <w:rsid w:val="00476219"/>
    <w:rsid w:val="004762F7"/>
    <w:rsid w:val="004806A1"/>
    <w:rsid w:val="00480D83"/>
    <w:rsid w:val="004836F3"/>
    <w:rsid w:val="00484133"/>
    <w:rsid w:val="004843EE"/>
    <w:rsid w:val="00486DF8"/>
    <w:rsid w:val="00490E18"/>
    <w:rsid w:val="00491613"/>
    <w:rsid w:val="0049207E"/>
    <w:rsid w:val="00496527"/>
    <w:rsid w:val="004A146B"/>
    <w:rsid w:val="004A3174"/>
    <w:rsid w:val="004A7C6C"/>
    <w:rsid w:val="004B2460"/>
    <w:rsid w:val="004B47A3"/>
    <w:rsid w:val="004B7559"/>
    <w:rsid w:val="004C1BCD"/>
    <w:rsid w:val="004C50BD"/>
    <w:rsid w:val="004C75AE"/>
    <w:rsid w:val="004C7731"/>
    <w:rsid w:val="004C7EA8"/>
    <w:rsid w:val="004D4AC0"/>
    <w:rsid w:val="004D6407"/>
    <w:rsid w:val="004D779E"/>
    <w:rsid w:val="004E4F87"/>
    <w:rsid w:val="004E6C35"/>
    <w:rsid w:val="004E757B"/>
    <w:rsid w:val="004F14EE"/>
    <w:rsid w:val="004F4843"/>
    <w:rsid w:val="004F4A39"/>
    <w:rsid w:val="0050020B"/>
    <w:rsid w:val="00500463"/>
    <w:rsid w:val="005053EA"/>
    <w:rsid w:val="005056C9"/>
    <w:rsid w:val="0050627B"/>
    <w:rsid w:val="00506C71"/>
    <w:rsid w:val="00506F95"/>
    <w:rsid w:val="00507265"/>
    <w:rsid w:val="00507434"/>
    <w:rsid w:val="00511D5E"/>
    <w:rsid w:val="005130D6"/>
    <w:rsid w:val="0052077B"/>
    <w:rsid w:val="00522CE1"/>
    <w:rsid w:val="00523F4C"/>
    <w:rsid w:val="00524C14"/>
    <w:rsid w:val="00531F88"/>
    <w:rsid w:val="00533E81"/>
    <w:rsid w:val="00534962"/>
    <w:rsid w:val="00534D37"/>
    <w:rsid w:val="00535721"/>
    <w:rsid w:val="0054067F"/>
    <w:rsid w:val="00542A52"/>
    <w:rsid w:val="00543025"/>
    <w:rsid w:val="005434BC"/>
    <w:rsid w:val="0054650A"/>
    <w:rsid w:val="005466CD"/>
    <w:rsid w:val="0054783D"/>
    <w:rsid w:val="00550243"/>
    <w:rsid w:val="00552359"/>
    <w:rsid w:val="00552711"/>
    <w:rsid w:val="00556B04"/>
    <w:rsid w:val="00556CEB"/>
    <w:rsid w:val="00562263"/>
    <w:rsid w:val="005625F8"/>
    <w:rsid w:val="00562CA9"/>
    <w:rsid w:val="005647BD"/>
    <w:rsid w:val="00565717"/>
    <w:rsid w:val="00567942"/>
    <w:rsid w:val="00571A1C"/>
    <w:rsid w:val="00571DC3"/>
    <w:rsid w:val="00571F2A"/>
    <w:rsid w:val="005737E7"/>
    <w:rsid w:val="00573ECA"/>
    <w:rsid w:val="00576731"/>
    <w:rsid w:val="0058043D"/>
    <w:rsid w:val="00582B10"/>
    <w:rsid w:val="00585931"/>
    <w:rsid w:val="00587E23"/>
    <w:rsid w:val="005906B3"/>
    <w:rsid w:val="00595DE1"/>
    <w:rsid w:val="00596535"/>
    <w:rsid w:val="00596BFD"/>
    <w:rsid w:val="00597B0E"/>
    <w:rsid w:val="005A1929"/>
    <w:rsid w:val="005A651B"/>
    <w:rsid w:val="005B68DB"/>
    <w:rsid w:val="005C547D"/>
    <w:rsid w:val="005D3721"/>
    <w:rsid w:val="005D63A4"/>
    <w:rsid w:val="005E4F7D"/>
    <w:rsid w:val="005E6371"/>
    <w:rsid w:val="005E6B39"/>
    <w:rsid w:val="005E7C8B"/>
    <w:rsid w:val="005F4603"/>
    <w:rsid w:val="005F6986"/>
    <w:rsid w:val="00600ACE"/>
    <w:rsid w:val="00601523"/>
    <w:rsid w:val="006111BB"/>
    <w:rsid w:val="0061177D"/>
    <w:rsid w:val="00612DA1"/>
    <w:rsid w:val="00614C74"/>
    <w:rsid w:val="00616088"/>
    <w:rsid w:val="006169F5"/>
    <w:rsid w:val="00620953"/>
    <w:rsid w:val="00626449"/>
    <w:rsid w:val="00630C54"/>
    <w:rsid w:val="00630CE1"/>
    <w:rsid w:val="00631114"/>
    <w:rsid w:val="0063405C"/>
    <w:rsid w:val="00636DA1"/>
    <w:rsid w:val="00637AB0"/>
    <w:rsid w:val="00641130"/>
    <w:rsid w:val="006429E9"/>
    <w:rsid w:val="00643833"/>
    <w:rsid w:val="00645DF2"/>
    <w:rsid w:val="006463C7"/>
    <w:rsid w:val="006471BF"/>
    <w:rsid w:val="006510D7"/>
    <w:rsid w:val="00651574"/>
    <w:rsid w:val="006533BB"/>
    <w:rsid w:val="00653EF9"/>
    <w:rsid w:val="00664183"/>
    <w:rsid w:val="00666B35"/>
    <w:rsid w:val="006671BC"/>
    <w:rsid w:val="00671096"/>
    <w:rsid w:val="00672CCA"/>
    <w:rsid w:val="00677761"/>
    <w:rsid w:val="006807E7"/>
    <w:rsid w:val="00680FD1"/>
    <w:rsid w:val="00682F18"/>
    <w:rsid w:val="006878DB"/>
    <w:rsid w:val="0069047A"/>
    <w:rsid w:val="006956F4"/>
    <w:rsid w:val="00696921"/>
    <w:rsid w:val="006A3096"/>
    <w:rsid w:val="006A3806"/>
    <w:rsid w:val="006B08F8"/>
    <w:rsid w:val="006B7D41"/>
    <w:rsid w:val="006C3274"/>
    <w:rsid w:val="006C3A65"/>
    <w:rsid w:val="006C4163"/>
    <w:rsid w:val="006C6173"/>
    <w:rsid w:val="006D3321"/>
    <w:rsid w:val="006E0E95"/>
    <w:rsid w:val="006E0EF0"/>
    <w:rsid w:val="006E296C"/>
    <w:rsid w:val="006E3436"/>
    <w:rsid w:val="006E39F5"/>
    <w:rsid w:val="006E66D5"/>
    <w:rsid w:val="006E689B"/>
    <w:rsid w:val="006F171A"/>
    <w:rsid w:val="006F36E2"/>
    <w:rsid w:val="006F4381"/>
    <w:rsid w:val="006F5827"/>
    <w:rsid w:val="0070417F"/>
    <w:rsid w:val="0070602F"/>
    <w:rsid w:val="007070B8"/>
    <w:rsid w:val="00711184"/>
    <w:rsid w:val="007137B2"/>
    <w:rsid w:val="007142B6"/>
    <w:rsid w:val="00716C1C"/>
    <w:rsid w:val="0072046A"/>
    <w:rsid w:val="00723B89"/>
    <w:rsid w:val="007253D7"/>
    <w:rsid w:val="00732348"/>
    <w:rsid w:val="0073329F"/>
    <w:rsid w:val="0073710F"/>
    <w:rsid w:val="0074000F"/>
    <w:rsid w:val="007401AE"/>
    <w:rsid w:val="00742E2E"/>
    <w:rsid w:val="007502C6"/>
    <w:rsid w:val="00750DA9"/>
    <w:rsid w:val="00754308"/>
    <w:rsid w:val="007549E2"/>
    <w:rsid w:val="00754F43"/>
    <w:rsid w:val="007577D7"/>
    <w:rsid w:val="00765F44"/>
    <w:rsid w:val="00776DCA"/>
    <w:rsid w:val="00777C17"/>
    <w:rsid w:val="00777C5C"/>
    <w:rsid w:val="00781040"/>
    <w:rsid w:val="00781DFE"/>
    <w:rsid w:val="00793FFF"/>
    <w:rsid w:val="007A384D"/>
    <w:rsid w:val="007A7681"/>
    <w:rsid w:val="007B04E8"/>
    <w:rsid w:val="007B2E44"/>
    <w:rsid w:val="007B3555"/>
    <w:rsid w:val="007B4E24"/>
    <w:rsid w:val="007B5BC1"/>
    <w:rsid w:val="007B6129"/>
    <w:rsid w:val="007C51E9"/>
    <w:rsid w:val="007C566A"/>
    <w:rsid w:val="007C7D32"/>
    <w:rsid w:val="007D0893"/>
    <w:rsid w:val="007D4943"/>
    <w:rsid w:val="007D59F4"/>
    <w:rsid w:val="007E282F"/>
    <w:rsid w:val="007E31CA"/>
    <w:rsid w:val="007E322D"/>
    <w:rsid w:val="007E4015"/>
    <w:rsid w:val="007E4B86"/>
    <w:rsid w:val="007E5F23"/>
    <w:rsid w:val="007E647A"/>
    <w:rsid w:val="007E671C"/>
    <w:rsid w:val="007F42D3"/>
    <w:rsid w:val="007F5AF9"/>
    <w:rsid w:val="00801B3F"/>
    <w:rsid w:val="0080499F"/>
    <w:rsid w:val="00813690"/>
    <w:rsid w:val="00813C40"/>
    <w:rsid w:val="00815287"/>
    <w:rsid w:val="00815EA8"/>
    <w:rsid w:val="00817D11"/>
    <w:rsid w:val="00821E34"/>
    <w:rsid w:val="00823340"/>
    <w:rsid w:val="00823BE3"/>
    <w:rsid w:val="00824B02"/>
    <w:rsid w:val="00824EA5"/>
    <w:rsid w:val="008305DF"/>
    <w:rsid w:val="00832268"/>
    <w:rsid w:val="00833B57"/>
    <w:rsid w:val="00834163"/>
    <w:rsid w:val="00834408"/>
    <w:rsid w:val="0083457C"/>
    <w:rsid w:val="00837A70"/>
    <w:rsid w:val="00845AC9"/>
    <w:rsid w:val="008463C4"/>
    <w:rsid w:val="008466A7"/>
    <w:rsid w:val="00850504"/>
    <w:rsid w:val="0085192D"/>
    <w:rsid w:val="00852083"/>
    <w:rsid w:val="008521F6"/>
    <w:rsid w:val="008539AC"/>
    <w:rsid w:val="00860B12"/>
    <w:rsid w:val="0086143E"/>
    <w:rsid w:val="008620C3"/>
    <w:rsid w:val="0086249C"/>
    <w:rsid w:val="00863869"/>
    <w:rsid w:val="00871928"/>
    <w:rsid w:val="00872139"/>
    <w:rsid w:val="00875415"/>
    <w:rsid w:val="00875F65"/>
    <w:rsid w:val="00880535"/>
    <w:rsid w:val="0089324E"/>
    <w:rsid w:val="00894D50"/>
    <w:rsid w:val="00897EE4"/>
    <w:rsid w:val="008A2A83"/>
    <w:rsid w:val="008A2C2B"/>
    <w:rsid w:val="008A5EA2"/>
    <w:rsid w:val="008A680C"/>
    <w:rsid w:val="008B30AC"/>
    <w:rsid w:val="008B3D57"/>
    <w:rsid w:val="008B59F9"/>
    <w:rsid w:val="008B5FC3"/>
    <w:rsid w:val="008B789B"/>
    <w:rsid w:val="008C1BC4"/>
    <w:rsid w:val="008C70A0"/>
    <w:rsid w:val="008D0F57"/>
    <w:rsid w:val="008D17EE"/>
    <w:rsid w:val="008D1C04"/>
    <w:rsid w:val="008D2AE1"/>
    <w:rsid w:val="008D436B"/>
    <w:rsid w:val="008D53A0"/>
    <w:rsid w:val="008E18C7"/>
    <w:rsid w:val="008E2B2E"/>
    <w:rsid w:val="008E37CD"/>
    <w:rsid w:val="008E41D0"/>
    <w:rsid w:val="008F1890"/>
    <w:rsid w:val="008F1E8F"/>
    <w:rsid w:val="008F2959"/>
    <w:rsid w:val="008F7AE0"/>
    <w:rsid w:val="008F7DC0"/>
    <w:rsid w:val="00900BCE"/>
    <w:rsid w:val="0090577F"/>
    <w:rsid w:val="00906D4E"/>
    <w:rsid w:val="009108CF"/>
    <w:rsid w:val="00912204"/>
    <w:rsid w:val="00913197"/>
    <w:rsid w:val="0091591F"/>
    <w:rsid w:val="009178EA"/>
    <w:rsid w:val="00917F05"/>
    <w:rsid w:val="00917F62"/>
    <w:rsid w:val="009226E3"/>
    <w:rsid w:val="00925606"/>
    <w:rsid w:val="00926916"/>
    <w:rsid w:val="0092733C"/>
    <w:rsid w:val="00927C68"/>
    <w:rsid w:val="0093190E"/>
    <w:rsid w:val="00931AC8"/>
    <w:rsid w:val="00934B5B"/>
    <w:rsid w:val="00935619"/>
    <w:rsid w:val="00935AD9"/>
    <w:rsid w:val="00936752"/>
    <w:rsid w:val="00936782"/>
    <w:rsid w:val="00937166"/>
    <w:rsid w:val="00942639"/>
    <w:rsid w:val="0094747E"/>
    <w:rsid w:val="00950936"/>
    <w:rsid w:val="00952BAE"/>
    <w:rsid w:val="009540A8"/>
    <w:rsid w:val="00961828"/>
    <w:rsid w:val="0098045D"/>
    <w:rsid w:val="0098055D"/>
    <w:rsid w:val="00984E6C"/>
    <w:rsid w:val="00991572"/>
    <w:rsid w:val="00995BD2"/>
    <w:rsid w:val="009A54AA"/>
    <w:rsid w:val="009A73EA"/>
    <w:rsid w:val="009A7735"/>
    <w:rsid w:val="009B1C06"/>
    <w:rsid w:val="009B26B8"/>
    <w:rsid w:val="009B26E0"/>
    <w:rsid w:val="009B6140"/>
    <w:rsid w:val="009C0D3E"/>
    <w:rsid w:val="009C31A4"/>
    <w:rsid w:val="009C3306"/>
    <w:rsid w:val="009C3952"/>
    <w:rsid w:val="009C558E"/>
    <w:rsid w:val="009D32AC"/>
    <w:rsid w:val="009D5257"/>
    <w:rsid w:val="009D6DC5"/>
    <w:rsid w:val="009D7DE0"/>
    <w:rsid w:val="009E11DA"/>
    <w:rsid w:val="009E300B"/>
    <w:rsid w:val="009E5765"/>
    <w:rsid w:val="009E6D58"/>
    <w:rsid w:val="009F0782"/>
    <w:rsid w:val="009F3F73"/>
    <w:rsid w:val="009F6D65"/>
    <w:rsid w:val="009F701F"/>
    <w:rsid w:val="009F75FD"/>
    <w:rsid w:val="009F793E"/>
    <w:rsid w:val="00A01177"/>
    <w:rsid w:val="00A0166A"/>
    <w:rsid w:val="00A01C7B"/>
    <w:rsid w:val="00A02FF4"/>
    <w:rsid w:val="00A058FF"/>
    <w:rsid w:val="00A10FDF"/>
    <w:rsid w:val="00A127B1"/>
    <w:rsid w:val="00A138BA"/>
    <w:rsid w:val="00A17B2C"/>
    <w:rsid w:val="00A21683"/>
    <w:rsid w:val="00A24508"/>
    <w:rsid w:val="00A26619"/>
    <w:rsid w:val="00A3163E"/>
    <w:rsid w:val="00A4039A"/>
    <w:rsid w:val="00A5353F"/>
    <w:rsid w:val="00A5537A"/>
    <w:rsid w:val="00A607E7"/>
    <w:rsid w:val="00A627D6"/>
    <w:rsid w:val="00A64A88"/>
    <w:rsid w:val="00A64E36"/>
    <w:rsid w:val="00A65B90"/>
    <w:rsid w:val="00A65C9E"/>
    <w:rsid w:val="00A6761C"/>
    <w:rsid w:val="00A71D7C"/>
    <w:rsid w:val="00A81007"/>
    <w:rsid w:val="00A84D3A"/>
    <w:rsid w:val="00A8503D"/>
    <w:rsid w:val="00A86FEA"/>
    <w:rsid w:val="00A875E5"/>
    <w:rsid w:val="00A9599A"/>
    <w:rsid w:val="00AA0543"/>
    <w:rsid w:val="00AA3114"/>
    <w:rsid w:val="00AA7DC9"/>
    <w:rsid w:val="00AB0ED1"/>
    <w:rsid w:val="00AB7836"/>
    <w:rsid w:val="00AC3F53"/>
    <w:rsid w:val="00AC5CBF"/>
    <w:rsid w:val="00AC6AD9"/>
    <w:rsid w:val="00AD0BE5"/>
    <w:rsid w:val="00AD37F0"/>
    <w:rsid w:val="00AD5D6A"/>
    <w:rsid w:val="00AD778A"/>
    <w:rsid w:val="00AE187A"/>
    <w:rsid w:val="00AE52EC"/>
    <w:rsid w:val="00AE5CDD"/>
    <w:rsid w:val="00AE6D02"/>
    <w:rsid w:val="00AF0741"/>
    <w:rsid w:val="00AF1C63"/>
    <w:rsid w:val="00AF7054"/>
    <w:rsid w:val="00B11C44"/>
    <w:rsid w:val="00B151F5"/>
    <w:rsid w:val="00B232EC"/>
    <w:rsid w:val="00B2358F"/>
    <w:rsid w:val="00B30002"/>
    <w:rsid w:val="00B308D0"/>
    <w:rsid w:val="00B34BCE"/>
    <w:rsid w:val="00B35DD0"/>
    <w:rsid w:val="00B367B0"/>
    <w:rsid w:val="00B42469"/>
    <w:rsid w:val="00B426AB"/>
    <w:rsid w:val="00B44E52"/>
    <w:rsid w:val="00B47A82"/>
    <w:rsid w:val="00B57DFF"/>
    <w:rsid w:val="00B6163A"/>
    <w:rsid w:val="00B63CDA"/>
    <w:rsid w:val="00B645EF"/>
    <w:rsid w:val="00B7700F"/>
    <w:rsid w:val="00B77D31"/>
    <w:rsid w:val="00B8368A"/>
    <w:rsid w:val="00B91514"/>
    <w:rsid w:val="00B9503A"/>
    <w:rsid w:val="00BA68A6"/>
    <w:rsid w:val="00BB0959"/>
    <w:rsid w:val="00BB23DE"/>
    <w:rsid w:val="00BC0F7D"/>
    <w:rsid w:val="00BC2142"/>
    <w:rsid w:val="00BC31B5"/>
    <w:rsid w:val="00BC40A4"/>
    <w:rsid w:val="00BC5963"/>
    <w:rsid w:val="00BC60F3"/>
    <w:rsid w:val="00BC6A42"/>
    <w:rsid w:val="00BC7B5B"/>
    <w:rsid w:val="00BD2495"/>
    <w:rsid w:val="00BD4396"/>
    <w:rsid w:val="00BD47B9"/>
    <w:rsid w:val="00BE0EA5"/>
    <w:rsid w:val="00BE2BF9"/>
    <w:rsid w:val="00BE32B5"/>
    <w:rsid w:val="00BE41BC"/>
    <w:rsid w:val="00BF1D37"/>
    <w:rsid w:val="00BF32B0"/>
    <w:rsid w:val="00BF438B"/>
    <w:rsid w:val="00BF5A1E"/>
    <w:rsid w:val="00C0050E"/>
    <w:rsid w:val="00C00E64"/>
    <w:rsid w:val="00C00E6C"/>
    <w:rsid w:val="00C02367"/>
    <w:rsid w:val="00C053A0"/>
    <w:rsid w:val="00C10265"/>
    <w:rsid w:val="00C127DC"/>
    <w:rsid w:val="00C13749"/>
    <w:rsid w:val="00C13D38"/>
    <w:rsid w:val="00C13D48"/>
    <w:rsid w:val="00C154A9"/>
    <w:rsid w:val="00C161D9"/>
    <w:rsid w:val="00C22EDA"/>
    <w:rsid w:val="00C24049"/>
    <w:rsid w:val="00C242E4"/>
    <w:rsid w:val="00C2551F"/>
    <w:rsid w:val="00C2704A"/>
    <w:rsid w:val="00C30F22"/>
    <w:rsid w:val="00C32D88"/>
    <w:rsid w:val="00C35339"/>
    <w:rsid w:val="00C36A7F"/>
    <w:rsid w:val="00C41651"/>
    <w:rsid w:val="00C468A1"/>
    <w:rsid w:val="00C51D2E"/>
    <w:rsid w:val="00C55BFC"/>
    <w:rsid w:val="00C56024"/>
    <w:rsid w:val="00C6016B"/>
    <w:rsid w:val="00C71D8C"/>
    <w:rsid w:val="00C72875"/>
    <w:rsid w:val="00C72AD9"/>
    <w:rsid w:val="00C7369D"/>
    <w:rsid w:val="00C8131F"/>
    <w:rsid w:val="00C833E6"/>
    <w:rsid w:val="00C847F0"/>
    <w:rsid w:val="00C859E1"/>
    <w:rsid w:val="00C86A01"/>
    <w:rsid w:val="00C903E1"/>
    <w:rsid w:val="00C91CE9"/>
    <w:rsid w:val="00C92DF7"/>
    <w:rsid w:val="00C94035"/>
    <w:rsid w:val="00C9498D"/>
    <w:rsid w:val="00C94BB6"/>
    <w:rsid w:val="00C95408"/>
    <w:rsid w:val="00C95E8C"/>
    <w:rsid w:val="00CA12C8"/>
    <w:rsid w:val="00CA1378"/>
    <w:rsid w:val="00CA2127"/>
    <w:rsid w:val="00CA5568"/>
    <w:rsid w:val="00CA5A12"/>
    <w:rsid w:val="00CB5C47"/>
    <w:rsid w:val="00CC1FF9"/>
    <w:rsid w:val="00CC5750"/>
    <w:rsid w:val="00CC67D4"/>
    <w:rsid w:val="00CC6DBC"/>
    <w:rsid w:val="00CD1545"/>
    <w:rsid w:val="00CD2C4C"/>
    <w:rsid w:val="00CD4760"/>
    <w:rsid w:val="00CD57FF"/>
    <w:rsid w:val="00CD5ACA"/>
    <w:rsid w:val="00CD7F4C"/>
    <w:rsid w:val="00CE0045"/>
    <w:rsid w:val="00CE1381"/>
    <w:rsid w:val="00CE2A43"/>
    <w:rsid w:val="00CE4E1A"/>
    <w:rsid w:val="00CF0C46"/>
    <w:rsid w:val="00D00E66"/>
    <w:rsid w:val="00D02C41"/>
    <w:rsid w:val="00D037B1"/>
    <w:rsid w:val="00D051A5"/>
    <w:rsid w:val="00D10D1C"/>
    <w:rsid w:val="00D139B1"/>
    <w:rsid w:val="00D15615"/>
    <w:rsid w:val="00D1714E"/>
    <w:rsid w:val="00D2412C"/>
    <w:rsid w:val="00D27113"/>
    <w:rsid w:val="00D27C55"/>
    <w:rsid w:val="00D30E8B"/>
    <w:rsid w:val="00D316E6"/>
    <w:rsid w:val="00D32925"/>
    <w:rsid w:val="00D36FEB"/>
    <w:rsid w:val="00D40561"/>
    <w:rsid w:val="00D42CA0"/>
    <w:rsid w:val="00D42E58"/>
    <w:rsid w:val="00D450BF"/>
    <w:rsid w:val="00D5080B"/>
    <w:rsid w:val="00D535F0"/>
    <w:rsid w:val="00D60200"/>
    <w:rsid w:val="00D6098A"/>
    <w:rsid w:val="00D621E4"/>
    <w:rsid w:val="00D66326"/>
    <w:rsid w:val="00D75748"/>
    <w:rsid w:val="00D75DCF"/>
    <w:rsid w:val="00D81FDD"/>
    <w:rsid w:val="00D82D56"/>
    <w:rsid w:val="00D83A97"/>
    <w:rsid w:val="00D84103"/>
    <w:rsid w:val="00D93984"/>
    <w:rsid w:val="00D95982"/>
    <w:rsid w:val="00DA0BDF"/>
    <w:rsid w:val="00DA0F47"/>
    <w:rsid w:val="00DA1417"/>
    <w:rsid w:val="00DA212D"/>
    <w:rsid w:val="00DA4419"/>
    <w:rsid w:val="00DA5058"/>
    <w:rsid w:val="00DA7865"/>
    <w:rsid w:val="00DA7DFA"/>
    <w:rsid w:val="00DB2B5E"/>
    <w:rsid w:val="00DB2EA7"/>
    <w:rsid w:val="00DC0389"/>
    <w:rsid w:val="00DC070F"/>
    <w:rsid w:val="00DC425C"/>
    <w:rsid w:val="00DC4B85"/>
    <w:rsid w:val="00DC52AB"/>
    <w:rsid w:val="00DC6A91"/>
    <w:rsid w:val="00DD5564"/>
    <w:rsid w:val="00DD5908"/>
    <w:rsid w:val="00DD5DA8"/>
    <w:rsid w:val="00DD76B9"/>
    <w:rsid w:val="00DE6AD7"/>
    <w:rsid w:val="00DE7D2F"/>
    <w:rsid w:val="00DF00C0"/>
    <w:rsid w:val="00DF33AF"/>
    <w:rsid w:val="00DF4C48"/>
    <w:rsid w:val="00DF74B2"/>
    <w:rsid w:val="00DF7A50"/>
    <w:rsid w:val="00E0123F"/>
    <w:rsid w:val="00E01FF9"/>
    <w:rsid w:val="00E04ABB"/>
    <w:rsid w:val="00E054C0"/>
    <w:rsid w:val="00E05743"/>
    <w:rsid w:val="00E119D6"/>
    <w:rsid w:val="00E11A78"/>
    <w:rsid w:val="00E1561C"/>
    <w:rsid w:val="00E22845"/>
    <w:rsid w:val="00E241A1"/>
    <w:rsid w:val="00E26954"/>
    <w:rsid w:val="00E31D49"/>
    <w:rsid w:val="00E35244"/>
    <w:rsid w:val="00E42271"/>
    <w:rsid w:val="00E427B7"/>
    <w:rsid w:val="00E50390"/>
    <w:rsid w:val="00E51BC9"/>
    <w:rsid w:val="00E54F48"/>
    <w:rsid w:val="00E606CA"/>
    <w:rsid w:val="00E6115F"/>
    <w:rsid w:val="00E65BE8"/>
    <w:rsid w:val="00E70B1D"/>
    <w:rsid w:val="00E72F59"/>
    <w:rsid w:val="00E73276"/>
    <w:rsid w:val="00E73409"/>
    <w:rsid w:val="00E73A8A"/>
    <w:rsid w:val="00E75679"/>
    <w:rsid w:val="00E774C3"/>
    <w:rsid w:val="00E8075A"/>
    <w:rsid w:val="00E82666"/>
    <w:rsid w:val="00E8338A"/>
    <w:rsid w:val="00E84B10"/>
    <w:rsid w:val="00E875CB"/>
    <w:rsid w:val="00E926C5"/>
    <w:rsid w:val="00E932A5"/>
    <w:rsid w:val="00E96210"/>
    <w:rsid w:val="00EA2C66"/>
    <w:rsid w:val="00EA425E"/>
    <w:rsid w:val="00EA60AF"/>
    <w:rsid w:val="00EB158E"/>
    <w:rsid w:val="00EB3BF0"/>
    <w:rsid w:val="00EB48D9"/>
    <w:rsid w:val="00EB5A41"/>
    <w:rsid w:val="00EC0D8B"/>
    <w:rsid w:val="00EC3D06"/>
    <w:rsid w:val="00ED0E31"/>
    <w:rsid w:val="00ED1F10"/>
    <w:rsid w:val="00ED3CA7"/>
    <w:rsid w:val="00ED4905"/>
    <w:rsid w:val="00ED6290"/>
    <w:rsid w:val="00ED7A82"/>
    <w:rsid w:val="00EE1800"/>
    <w:rsid w:val="00EE3038"/>
    <w:rsid w:val="00EE707B"/>
    <w:rsid w:val="00EF4A6F"/>
    <w:rsid w:val="00EF5CB7"/>
    <w:rsid w:val="00EF68AA"/>
    <w:rsid w:val="00F03369"/>
    <w:rsid w:val="00F061A0"/>
    <w:rsid w:val="00F06B9B"/>
    <w:rsid w:val="00F07B3F"/>
    <w:rsid w:val="00F11159"/>
    <w:rsid w:val="00F118F9"/>
    <w:rsid w:val="00F14B66"/>
    <w:rsid w:val="00F16127"/>
    <w:rsid w:val="00F20CFF"/>
    <w:rsid w:val="00F21DF3"/>
    <w:rsid w:val="00F249E4"/>
    <w:rsid w:val="00F254E2"/>
    <w:rsid w:val="00F274AF"/>
    <w:rsid w:val="00F3021B"/>
    <w:rsid w:val="00F3034B"/>
    <w:rsid w:val="00F35068"/>
    <w:rsid w:val="00F35B3D"/>
    <w:rsid w:val="00F378BF"/>
    <w:rsid w:val="00F40902"/>
    <w:rsid w:val="00F44608"/>
    <w:rsid w:val="00F446FD"/>
    <w:rsid w:val="00F448BB"/>
    <w:rsid w:val="00F44E91"/>
    <w:rsid w:val="00F45262"/>
    <w:rsid w:val="00F47FCF"/>
    <w:rsid w:val="00F532D8"/>
    <w:rsid w:val="00F55A8D"/>
    <w:rsid w:val="00F564E9"/>
    <w:rsid w:val="00F60962"/>
    <w:rsid w:val="00F61A78"/>
    <w:rsid w:val="00F624F3"/>
    <w:rsid w:val="00F659BF"/>
    <w:rsid w:val="00F66F3D"/>
    <w:rsid w:val="00F73315"/>
    <w:rsid w:val="00F82AFC"/>
    <w:rsid w:val="00F82B13"/>
    <w:rsid w:val="00F8623C"/>
    <w:rsid w:val="00F9064B"/>
    <w:rsid w:val="00F918A1"/>
    <w:rsid w:val="00F91BA8"/>
    <w:rsid w:val="00F920FD"/>
    <w:rsid w:val="00F92E1F"/>
    <w:rsid w:val="00F936E2"/>
    <w:rsid w:val="00F93DB3"/>
    <w:rsid w:val="00FA1384"/>
    <w:rsid w:val="00FA4010"/>
    <w:rsid w:val="00FA4383"/>
    <w:rsid w:val="00FA5E33"/>
    <w:rsid w:val="00FB22DA"/>
    <w:rsid w:val="00FB255D"/>
    <w:rsid w:val="00FB2CE9"/>
    <w:rsid w:val="00FC4C00"/>
    <w:rsid w:val="00FD0A87"/>
    <w:rsid w:val="00FD17C3"/>
    <w:rsid w:val="00FD1A5F"/>
    <w:rsid w:val="00FD6A19"/>
    <w:rsid w:val="00FD76C7"/>
    <w:rsid w:val="00FE0627"/>
    <w:rsid w:val="00FE1345"/>
    <w:rsid w:val="00FE6520"/>
    <w:rsid w:val="00FF2087"/>
    <w:rsid w:val="00FF2C05"/>
    <w:rsid w:val="00FF3B6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3B145C"/>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276848"/>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004CD1"/>
    <w:pPr>
      <w:spacing w:line="240" w:lineRule="auto"/>
    </w:pPr>
    <w:rPr>
      <w:szCs w:val="20"/>
    </w:rPr>
  </w:style>
  <w:style w:type="character" w:customStyle="1" w:styleId="CommentTextChar">
    <w:name w:val="Comment Text Char"/>
    <w:basedOn w:val="DefaultParagraphFont"/>
    <w:link w:val="CommentText"/>
    <w:rsid w:val="00004CD1"/>
    <w:rPr>
      <w:rFonts w:ascii="Times New Roman" w:hAnsi="Times New Roman"/>
      <w:spacing w:val="4"/>
      <w:w w:val="103"/>
      <w:lang w:val="es-ES"/>
    </w:rPr>
  </w:style>
  <w:style w:type="paragraph" w:styleId="CommentSubject">
    <w:name w:val="annotation subject"/>
    <w:basedOn w:val="CommentText"/>
    <w:next w:val="CommentText"/>
    <w:link w:val="CommentSubjectChar"/>
    <w:rsid w:val="00004CD1"/>
    <w:rPr>
      <w:b/>
      <w:bCs/>
    </w:rPr>
  </w:style>
  <w:style w:type="character" w:customStyle="1" w:styleId="CommentSubjectChar">
    <w:name w:val="Comment Subject Char"/>
    <w:basedOn w:val="CommentTextChar"/>
    <w:link w:val="CommentSubject"/>
    <w:rsid w:val="00004CD1"/>
    <w:rPr>
      <w:rFonts w:ascii="Times New Roman" w:hAnsi="Times New Roman"/>
      <w:b/>
      <w:bCs/>
      <w:spacing w:val="4"/>
      <w:w w:val="103"/>
      <w:lang w:val="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3B145C"/>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276848"/>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004CD1"/>
    <w:pPr>
      <w:spacing w:line="240" w:lineRule="auto"/>
    </w:pPr>
    <w:rPr>
      <w:szCs w:val="20"/>
    </w:rPr>
  </w:style>
  <w:style w:type="character" w:customStyle="1" w:styleId="CommentTextChar">
    <w:name w:val="Comment Text Char"/>
    <w:basedOn w:val="DefaultParagraphFont"/>
    <w:link w:val="CommentText"/>
    <w:rsid w:val="00004CD1"/>
    <w:rPr>
      <w:rFonts w:ascii="Times New Roman" w:hAnsi="Times New Roman"/>
      <w:spacing w:val="4"/>
      <w:w w:val="103"/>
      <w:lang w:val="es-ES"/>
    </w:rPr>
  </w:style>
  <w:style w:type="paragraph" w:styleId="CommentSubject">
    <w:name w:val="annotation subject"/>
    <w:basedOn w:val="CommentText"/>
    <w:next w:val="CommentText"/>
    <w:link w:val="CommentSubjectChar"/>
    <w:rsid w:val="00004CD1"/>
    <w:rPr>
      <w:b/>
      <w:bCs/>
    </w:rPr>
  </w:style>
  <w:style w:type="character" w:customStyle="1" w:styleId="CommentSubjectChar">
    <w:name w:val="Comment Subject Char"/>
    <w:basedOn w:val="CommentTextChar"/>
    <w:link w:val="CommentSubject"/>
    <w:rsid w:val="00004CD1"/>
    <w:rPr>
      <w:rFonts w:ascii="Times New Roman" w:hAnsi="Times New Roman"/>
      <w:b/>
      <w:bCs/>
      <w:spacing w:val="4"/>
      <w:w w:val="103"/>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7626DA-97AF-40E9-AB2F-9560E1C828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1016</Words>
  <Characters>5793</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Spanish Text Processing Unit</vt:lpstr>
    </vt:vector>
  </TitlesOfParts>
  <Company>DCM</Company>
  <LinksUpToDate>false</LinksUpToDate>
  <CharactersWithSpaces>6796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Spanish Text Processing Unit</dc:title>
  <dc:subject/>
  <dc:creator>Horten</dc:creator>
  <cp:keywords/>
  <dc:description/>
  <cp:lastModifiedBy>Maruchi Zeballos</cp:lastModifiedBy>
  <cp:revision>3</cp:revision>
  <cp:lastPrinted>2015-10-21T07:32:00Z</cp:lastPrinted>
  <dcterms:created xsi:type="dcterms:W3CDTF">2015-10-21T07:32:00Z</dcterms:created>
  <dcterms:modified xsi:type="dcterms:W3CDTF">2015-10-21T07:32:00Z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1516345</vt:lpwstr>
  </property>
  <property fmtid="{D5CDD505-2E9C-101B-9397-08002B2CF9AE}" pid="3" name="ODSRefJobNo">
    <vt:lpwstr>1522735</vt:lpwstr>
  </property>
  <property fmtid="{D5CDD505-2E9C-101B-9397-08002B2CF9AE}" pid="4" name="Symbol1">
    <vt:lpwstr>CERD/C/LTU/Q/6-8</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5 de octubre de 2015</vt:lpwstr>
  </property>
  <property fmtid="{D5CDD505-2E9C-101B-9397-08002B2CF9AE}" pid="8" name="Original">
    <vt:lpwstr>inglés</vt:lpwstr>
  </property>
  <property fmtid="{D5CDD505-2E9C-101B-9397-08002B2CF9AE}" pid="9" name="Release Date">
    <vt:lpwstr>201015</vt:lpwstr>
  </property>
  <property fmtid="{D5CDD505-2E9C-101B-9397-08002B2CF9AE}" pid="10" name="Comment">
    <vt:lpwstr/>
  </property>
  <property fmtid="{D5CDD505-2E9C-101B-9397-08002B2CF9AE}" pid="11" name="DraftPages">
    <vt:lpwstr> </vt:lpwstr>
  </property>
  <property fmtid="{D5CDD505-2E9C-101B-9397-08002B2CF9AE}" pid="12" name="Operator">
    <vt:lpwstr>Hm</vt:lpwstr>
  </property>
  <property fmtid="{D5CDD505-2E9C-101B-9397-08002B2CF9AE}" pid="13" name="Translator">
    <vt:lpwstr>Hm</vt:lpwstr>
  </property>
</Properties>
</file>