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82481C">
        <w:trPr>
          <w:trHeight w:hRule="exact" w:val="1076"/>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82481C" w:rsidRDefault="000D30CF" w:rsidP="00B6553F">
            <w:pPr>
              <w:spacing w:after="80" w:line="300" w:lineRule="exact"/>
              <w:rPr>
                <w:b/>
                <w:sz w:val="24"/>
                <w:szCs w:val="24"/>
              </w:rPr>
            </w:pPr>
            <w:r w:rsidRPr="0082481C">
              <w:rPr>
                <w:sz w:val="28"/>
                <w:szCs w:val="28"/>
              </w:rPr>
              <w:t>United Nations</w:t>
            </w:r>
          </w:p>
        </w:tc>
        <w:tc>
          <w:tcPr>
            <w:tcW w:w="6378" w:type="dxa"/>
            <w:gridSpan w:val="2"/>
            <w:tcBorders>
              <w:bottom w:val="single" w:sz="4" w:space="0" w:color="auto"/>
            </w:tcBorders>
            <w:vAlign w:val="bottom"/>
          </w:tcPr>
          <w:p w:rsidR="00B56E9C" w:rsidRPr="0082481C" w:rsidRDefault="00FD615B" w:rsidP="00A27FEE">
            <w:pPr>
              <w:jc w:val="right"/>
            </w:pPr>
            <w:r w:rsidRPr="0082481C">
              <w:rPr>
                <w:sz w:val="40"/>
              </w:rPr>
              <w:t>CAT</w:t>
            </w:r>
            <w:r w:rsidR="007A3672" w:rsidRPr="0082481C">
              <w:t>/C/CAN</w:t>
            </w:r>
            <w:r w:rsidR="00D450CF" w:rsidRPr="0082481C">
              <w:t>/Q/</w:t>
            </w:r>
            <w:r w:rsidR="007A3672" w:rsidRPr="0082481C">
              <w:t>6</w:t>
            </w:r>
          </w:p>
        </w:tc>
      </w:tr>
      <w:tr w:rsidR="00B56E9C" w:rsidRPr="004D2719">
        <w:trPr>
          <w:cantSplit/>
          <w:trHeight w:hRule="exact" w:val="2835"/>
        </w:trPr>
        <w:tc>
          <w:tcPr>
            <w:tcW w:w="1276" w:type="dxa"/>
            <w:tcBorders>
              <w:top w:val="single" w:sz="4" w:space="0" w:color="auto"/>
              <w:bottom w:val="single" w:sz="12" w:space="0" w:color="auto"/>
            </w:tcBorders>
          </w:tcPr>
          <w:p w:rsidR="00B56E9C" w:rsidRPr="0082481C" w:rsidRDefault="003C5F9B" w:rsidP="00B6553F">
            <w:pPr>
              <w:spacing w:before="120"/>
            </w:pPr>
            <w:r w:rsidRPr="0082481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D2719" w:rsidRDefault="003C5F9B" w:rsidP="00267F5F">
            <w:pPr>
              <w:spacing w:before="120" w:line="380" w:lineRule="exact"/>
              <w:rPr>
                <w:sz w:val="34"/>
              </w:rPr>
            </w:pPr>
            <w:r w:rsidRPr="004D2719">
              <w:rPr>
                <w:b/>
                <w:sz w:val="34"/>
                <w:szCs w:val="40"/>
              </w:rPr>
              <w:t>Convention against Torture</w:t>
            </w:r>
            <w:r w:rsidRPr="004D2719">
              <w:rPr>
                <w:b/>
                <w:sz w:val="34"/>
                <w:szCs w:val="40"/>
              </w:rPr>
              <w:br/>
              <w:t>and Other Cruel, Inhuman</w:t>
            </w:r>
            <w:r w:rsidRPr="004D2719">
              <w:rPr>
                <w:b/>
                <w:sz w:val="34"/>
                <w:szCs w:val="40"/>
              </w:rPr>
              <w:br/>
              <w:t>or Degrading Treatment</w:t>
            </w:r>
            <w:r w:rsidRPr="004D2719">
              <w:rPr>
                <w:b/>
                <w:sz w:val="34"/>
                <w:szCs w:val="40"/>
              </w:rPr>
              <w:br/>
              <w:t>or Punishment</w:t>
            </w:r>
          </w:p>
        </w:tc>
        <w:tc>
          <w:tcPr>
            <w:tcW w:w="2835" w:type="dxa"/>
            <w:tcBorders>
              <w:top w:val="single" w:sz="4" w:space="0" w:color="auto"/>
              <w:bottom w:val="single" w:sz="12" w:space="0" w:color="auto"/>
            </w:tcBorders>
          </w:tcPr>
          <w:p w:rsidR="00FD615B" w:rsidRPr="004D2719" w:rsidRDefault="00B522E9" w:rsidP="00D064AA">
            <w:pPr>
              <w:spacing w:before="240" w:line="240" w:lineRule="exact"/>
              <w:rPr>
                <w:lang w:val="en-US"/>
              </w:rPr>
            </w:pPr>
            <w:r w:rsidRPr="004D2719">
              <w:rPr>
                <w:lang w:val="en-US"/>
              </w:rPr>
              <w:t xml:space="preserve">Distr.: </w:t>
            </w:r>
            <w:r w:rsidR="00D064AA">
              <w:rPr>
                <w:lang w:val="en-US"/>
              </w:rPr>
              <w:t>General</w:t>
            </w:r>
          </w:p>
          <w:p w:rsidR="00FD615B" w:rsidRDefault="00A20CA6" w:rsidP="00FD615B">
            <w:pPr>
              <w:spacing w:line="240" w:lineRule="exact"/>
              <w:rPr>
                <w:lang w:val="en-US"/>
              </w:rPr>
            </w:pPr>
            <w:r>
              <w:rPr>
                <w:lang w:val="en-US"/>
              </w:rPr>
              <w:t>4 January 2012</w:t>
            </w:r>
          </w:p>
          <w:p w:rsidR="00D064AA" w:rsidRPr="004D2719" w:rsidRDefault="00D064AA" w:rsidP="00FD615B">
            <w:pPr>
              <w:spacing w:line="240" w:lineRule="exact"/>
              <w:rPr>
                <w:lang w:val="en-US"/>
              </w:rPr>
            </w:pPr>
          </w:p>
          <w:p w:rsidR="00B56E9C" w:rsidRPr="004D2719" w:rsidRDefault="00FD615B" w:rsidP="00FD615B">
            <w:pPr>
              <w:spacing w:line="240" w:lineRule="exact"/>
              <w:rPr>
                <w:lang w:val="en-US"/>
              </w:rPr>
            </w:pPr>
            <w:r w:rsidRPr="004D2719">
              <w:rPr>
                <w:lang w:val="en-US"/>
              </w:rPr>
              <w:t xml:space="preserve">Original: </w:t>
            </w:r>
            <w:r w:rsidR="00B522E9" w:rsidRPr="004D2719">
              <w:rPr>
                <w:lang w:val="en-US"/>
              </w:rPr>
              <w:t>English</w:t>
            </w:r>
          </w:p>
        </w:tc>
      </w:tr>
    </w:tbl>
    <w:p w:rsidR="00DB2BA9" w:rsidRPr="0082481C" w:rsidRDefault="00DB2BA9" w:rsidP="00DB2BA9">
      <w:pPr>
        <w:spacing w:before="120"/>
        <w:rPr>
          <w:b/>
          <w:sz w:val="24"/>
          <w:szCs w:val="24"/>
        </w:rPr>
      </w:pPr>
      <w:r w:rsidRPr="0082481C">
        <w:rPr>
          <w:b/>
          <w:sz w:val="24"/>
          <w:szCs w:val="24"/>
        </w:rPr>
        <w:t>Committee against Torture</w:t>
      </w:r>
    </w:p>
    <w:p w:rsidR="00DB2BA9" w:rsidRPr="0082481C" w:rsidRDefault="00167967" w:rsidP="00DB2BA9">
      <w:pPr>
        <w:rPr>
          <w:b/>
        </w:rPr>
      </w:pPr>
      <w:r w:rsidRPr="0082481C">
        <w:rPr>
          <w:b/>
        </w:rPr>
        <w:t>Forty-seven</w:t>
      </w:r>
      <w:r w:rsidR="00DB2BA9" w:rsidRPr="0082481C">
        <w:rPr>
          <w:b/>
        </w:rPr>
        <w:t>th session</w:t>
      </w:r>
    </w:p>
    <w:p w:rsidR="00DB2BA9" w:rsidRPr="0082481C" w:rsidRDefault="00167967" w:rsidP="00DB2BA9">
      <w:r w:rsidRPr="0082481C">
        <w:t>31 October–25 November</w:t>
      </w:r>
      <w:r w:rsidR="00DB2BA9" w:rsidRPr="0082481C">
        <w:t xml:space="preserve"> 2011</w:t>
      </w:r>
    </w:p>
    <w:p w:rsidR="00A079D3" w:rsidRPr="0082481C" w:rsidRDefault="00DB2BA9" w:rsidP="00050D84">
      <w:pPr>
        <w:pStyle w:val="HChG"/>
      </w:pPr>
      <w:r w:rsidRPr="0082481C">
        <w:tab/>
      </w:r>
      <w:r w:rsidRPr="0082481C">
        <w:tab/>
      </w:r>
      <w:r w:rsidR="00AB1530" w:rsidRPr="0082481C">
        <w:t>L</w:t>
      </w:r>
      <w:r w:rsidR="00A079D3" w:rsidRPr="0082481C">
        <w:t>ist of issues to be considered in connection with the consi</w:t>
      </w:r>
      <w:r w:rsidR="00167967" w:rsidRPr="0082481C">
        <w:t xml:space="preserve">deration of the </w:t>
      </w:r>
      <w:r w:rsidR="007A3672" w:rsidRPr="0082481C">
        <w:t>sixth</w:t>
      </w:r>
      <w:r w:rsidR="00A079D3" w:rsidRPr="0082481C">
        <w:t xml:space="preserve"> periodic repo</w:t>
      </w:r>
      <w:r w:rsidR="00CF13C8" w:rsidRPr="0082481C">
        <w:t>rt</w:t>
      </w:r>
      <w:r w:rsidR="00A079D3" w:rsidRPr="0082481C">
        <w:t xml:space="preserve"> of </w:t>
      </w:r>
      <w:smartTag w:uri="urn:schemas-microsoft-com:office:smarttags" w:element="place">
        <w:smartTag w:uri="urn:schemas-microsoft-com:office:smarttags" w:element="country-region">
          <w:r w:rsidR="007A3672" w:rsidRPr="0082481C">
            <w:t>Canada</w:t>
          </w:r>
        </w:smartTag>
      </w:smartTag>
      <w:r w:rsidR="007A3672" w:rsidRPr="0082481C">
        <w:t xml:space="preserve"> (CAT/C/CAN/6</w:t>
      </w:r>
      <w:r w:rsidR="00A079D3" w:rsidRPr="0082481C">
        <w:t>)</w:t>
      </w:r>
    </w:p>
    <w:p w:rsidR="007A48D8" w:rsidRPr="0082481C" w:rsidRDefault="007A48D8" w:rsidP="001B4222">
      <w:pPr>
        <w:pStyle w:val="H23G"/>
        <w:rPr>
          <w:rFonts w:eastAsia="Malgun Gothic"/>
        </w:rPr>
      </w:pPr>
      <w:r w:rsidRPr="0082481C">
        <w:rPr>
          <w:rFonts w:eastAsia="Malgun Gothic"/>
        </w:rPr>
        <w:tab/>
      </w:r>
      <w:r w:rsidRPr="0082481C">
        <w:rPr>
          <w:rFonts w:eastAsia="Malgun Gothic"/>
        </w:rPr>
        <w:tab/>
        <w:t>Article 2</w:t>
      </w:r>
      <w:r w:rsidRPr="0082481C">
        <w:rPr>
          <w:rFonts w:eastAsia="Malgun Gothic"/>
          <w:bCs/>
          <w:vertAlign w:val="superscript"/>
        </w:rPr>
        <w:footnoteReference w:id="2"/>
      </w:r>
    </w:p>
    <w:p w:rsidR="007A48D8" w:rsidRPr="0082481C" w:rsidRDefault="001B4222" w:rsidP="001B4222">
      <w:pPr>
        <w:pStyle w:val="SingleTxtG"/>
        <w:rPr>
          <w:rFonts w:eastAsia="Malgun Gothic"/>
        </w:rPr>
      </w:pPr>
      <w:r w:rsidRPr="0082481C">
        <w:rPr>
          <w:rFonts w:eastAsia="Malgun Gothic"/>
        </w:rPr>
        <w:t>1.</w:t>
      </w:r>
      <w:r w:rsidRPr="0082481C">
        <w:rPr>
          <w:rFonts w:eastAsia="Malgun Gothic"/>
        </w:rPr>
        <w:tab/>
      </w:r>
      <w:r w:rsidR="007A48D8" w:rsidRPr="0082481C">
        <w:rPr>
          <w:rFonts w:eastAsia="Malgun Gothic"/>
        </w:rPr>
        <w:t>The State party’s report covers the period from August 2004 to December 2007.</w:t>
      </w:r>
      <w:r w:rsidR="007A48D8" w:rsidRPr="0082481C">
        <w:rPr>
          <w:rFonts w:eastAsia="Malgun Gothic"/>
          <w:sz w:val="18"/>
          <w:vertAlign w:val="superscript"/>
        </w:rPr>
        <w:footnoteReference w:id="3"/>
      </w:r>
      <w:r w:rsidR="007A48D8" w:rsidRPr="0082481C">
        <w:rPr>
          <w:rFonts w:eastAsia="Malgun Gothic"/>
        </w:rPr>
        <w:t xml:space="preserve"> Please update the Committee with detailed information on the relevant new developments in the legal and institutional framework as well as the relevant new political, administrative and other measures taken to prevent acts of torture, including any national human rights plans or programmes, and the resources allocated thereto, their means, objectives and results. </w:t>
      </w:r>
    </w:p>
    <w:p w:rsidR="007A48D8" w:rsidRPr="0082481C" w:rsidRDefault="001B4222" w:rsidP="001B4222">
      <w:pPr>
        <w:pStyle w:val="SingleTxtG"/>
        <w:rPr>
          <w:rFonts w:eastAsia="Malgun Gothic"/>
          <w:bCs/>
        </w:rPr>
      </w:pPr>
      <w:r w:rsidRPr="0082481C">
        <w:rPr>
          <w:rFonts w:eastAsia="Malgun Gothic"/>
          <w:bCs/>
        </w:rPr>
        <w:t>2.</w:t>
      </w:r>
      <w:r w:rsidRPr="0082481C">
        <w:rPr>
          <w:rFonts w:eastAsia="Malgun Gothic"/>
          <w:bCs/>
        </w:rPr>
        <w:tab/>
      </w:r>
      <w:r w:rsidR="007A48D8" w:rsidRPr="0082481C">
        <w:rPr>
          <w:rFonts w:eastAsia="Malgun Gothic"/>
        </w:rPr>
        <w:t xml:space="preserve">Please provide updated information on the legal safeguards and other measures taken to ensure that all detained persons are afforded, in practice, fundamental legal safeguards from the very outset of detention, including the right of access to a lawyer and a medical doctor of their own choice, as well as the right to inform a relative, to be informed of their rights and be promptly presented to a judge. Please specify the functioning and financing of the legal aid system implemented in </w:t>
      </w:r>
      <w:smartTag w:uri="urn:schemas-microsoft-com:office:smarttags" w:element="place">
        <w:smartTag w:uri="urn:schemas-microsoft-com:office:smarttags" w:element="country-region">
          <w:r w:rsidR="007A48D8" w:rsidRPr="0082481C">
            <w:rPr>
              <w:rFonts w:eastAsia="Malgun Gothic"/>
            </w:rPr>
            <w:t>Canada</w:t>
          </w:r>
        </w:smartTag>
      </w:smartTag>
      <w:r w:rsidR="007A48D8" w:rsidRPr="0082481C">
        <w:rPr>
          <w:rFonts w:eastAsia="Malgun Gothic"/>
        </w:rPr>
        <w:t>. Is a statement of detainee rights available at all places of detention for consultation by detainees?</w:t>
      </w:r>
      <w:r w:rsidR="007A48D8" w:rsidRPr="0082481C">
        <w:rPr>
          <w:rFonts w:eastAsia="Malgun Gothic"/>
          <w:sz w:val="18"/>
          <w:vertAlign w:val="superscript"/>
        </w:rPr>
        <w:t xml:space="preserve"> </w:t>
      </w:r>
      <w:r w:rsidR="007A48D8" w:rsidRPr="0082481C">
        <w:rPr>
          <w:rFonts w:eastAsia="Malgun Gothic"/>
          <w:sz w:val="18"/>
          <w:vertAlign w:val="superscript"/>
        </w:rPr>
        <w:footnoteReference w:id="4"/>
      </w:r>
    </w:p>
    <w:p w:rsidR="007A48D8" w:rsidRPr="0082481C" w:rsidRDefault="001B4222" w:rsidP="00D51326">
      <w:pPr>
        <w:pStyle w:val="SingleTxtG"/>
        <w:rPr>
          <w:rFonts w:eastAsia="Malgun Gothic"/>
        </w:rPr>
      </w:pPr>
      <w:r w:rsidRPr="0082481C">
        <w:rPr>
          <w:rFonts w:eastAsia="Malgun Gothic"/>
        </w:rPr>
        <w:t>3.</w:t>
      </w:r>
      <w:r w:rsidRPr="0082481C">
        <w:rPr>
          <w:rFonts w:eastAsia="Malgun Gothic"/>
        </w:rPr>
        <w:tab/>
      </w:r>
      <w:r w:rsidR="007A48D8" w:rsidRPr="0082481C">
        <w:rPr>
          <w:rFonts w:eastAsia="Malgun Gothic"/>
        </w:rPr>
        <w:t xml:space="preserve">Please inform the Committee of the status of proposed new legislation, Bill C-4, and the impact thereof on the State party’s compliance with the Convention, in particular in relation to the mandatory detention of any groups of individuals, including children, who enter </w:t>
      </w:r>
      <w:smartTag w:uri="urn:schemas-microsoft-com:office:smarttags" w:element="place">
        <w:smartTag w:uri="urn:schemas-microsoft-com:office:smarttags" w:element="country-region">
          <w:r w:rsidR="007A48D8" w:rsidRPr="0082481C">
            <w:rPr>
              <w:rFonts w:eastAsia="Malgun Gothic"/>
            </w:rPr>
            <w:t>Canada</w:t>
          </w:r>
        </w:smartTag>
      </w:smartTag>
      <w:r w:rsidR="007A48D8" w:rsidRPr="0082481C">
        <w:rPr>
          <w:rFonts w:eastAsia="Malgun Gothic"/>
        </w:rPr>
        <w:t xml:space="preserve"> irregularly.</w:t>
      </w:r>
    </w:p>
    <w:p w:rsidR="007A48D8" w:rsidRPr="0082481C" w:rsidRDefault="001B4222" w:rsidP="0089029A">
      <w:pPr>
        <w:pStyle w:val="SingleTxtG"/>
        <w:rPr>
          <w:rFonts w:eastAsia="Malgun Gothic"/>
          <w:lang w:eastAsia="ko-KR"/>
        </w:rPr>
      </w:pPr>
      <w:r w:rsidRPr="0082481C">
        <w:rPr>
          <w:rFonts w:eastAsia="Malgun Gothic"/>
          <w:lang w:eastAsia="ko-KR"/>
        </w:rPr>
        <w:t>4.</w:t>
      </w:r>
      <w:r w:rsidRPr="0082481C">
        <w:rPr>
          <w:rFonts w:eastAsia="Malgun Gothic"/>
          <w:lang w:eastAsia="ko-KR"/>
        </w:rPr>
        <w:tab/>
      </w:r>
      <w:r w:rsidR="007A48D8" w:rsidRPr="0082481C">
        <w:rPr>
          <w:rFonts w:eastAsia="Malgun Gothic"/>
          <w:lang w:eastAsia="ko-KR"/>
        </w:rPr>
        <w:t xml:space="preserve">Please specify the steps taken by the Canadian authorities to implement the recommendations of the </w:t>
      </w:r>
      <w:r w:rsidR="0089029A" w:rsidRPr="0082481C">
        <w:rPr>
          <w:rFonts w:eastAsia="Malgun Gothic"/>
          <w:lang w:eastAsia="ko-KR"/>
        </w:rPr>
        <w:t xml:space="preserve">United Nations </w:t>
      </w:r>
      <w:r w:rsidR="007A48D8" w:rsidRPr="0082481C">
        <w:rPr>
          <w:rFonts w:eastAsia="Malgun Gothic"/>
          <w:lang w:eastAsia="ko-KR"/>
        </w:rPr>
        <w:t xml:space="preserve">human rights mechanisms, including </w:t>
      </w:r>
      <w:r w:rsidR="0089029A" w:rsidRPr="0082481C">
        <w:rPr>
          <w:rFonts w:eastAsia="Malgun Gothic"/>
          <w:lang w:eastAsia="ko-KR"/>
        </w:rPr>
        <w:t xml:space="preserve">paragraph 5(b) </w:t>
      </w:r>
      <w:r w:rsidR="007A48D8" w:rsidRPr="0082481C">
        <w:rPr>
          <w:rFonts w:eastAsia="Malgun Gothic"/>
          <w:lang w:eastAsia="ko-KR"/>
        </w:rPr>
        <w:t>the Committee</w:t>
      </w:r>
      <w:r w:rsidR="0089029A" w:rsidRPr="0082481C">
        <w:rPr>
          <w:rFonts w:eastAsia="Malgun Gothic"/>
          <w:lang w:eastAsia="ko-KR"/>
        </w:rPr>
        <w:t>’s recommendations</w:t>
      </w:r>
      <w:r w:rsidR="007A48D8" w:rsidRPr="0082481C">
        <w:rPr>
          <w:rFonts w:eastAsia="Malgun Gothic"/>
          <w:lang w:eastAsia="ko-KR"/>
        </w:rPr>
        <w:t xml:space="preserve">, in relation to </w:t>
      </w:r>
      <w:r w:rsidR="007A48D8" w:rsidRPr="0082481C">
        <w:rPr>
          <w:rFonts w:eastAsia="Malgun Gothic"/>
          <w:lang w:val="en-US" w:eastAsia="ko-KR"/>
        </w:rPr>
        <w:t>the use of security certificates under the Immigration and Refugee Protection Act</w:t>
      </w:r>
      <w:r w:rsidR="008A62BA" w:rsidRPr="0082481C">
        <w:rPr>
          <w:rFonts w:eastAsia="Malgun Gothic"/>
          <w:lang w:val="en-US" w:eastAsia="ko-KR"/>
        </w:rPr>
        <w:t xml:space="preserve"> </w:t>
      </w:r>
      <w:r w:rsidR="008A62BA" w:rsidRPr="0082481C">
        <w:rPr>
          <w:rFonts w:eastAsia="Malgun Gothic"/>
        </w:rPr>
        <w:t>(IRPA)</w:t>
      </w:r>
      <w:r w:rsidR="007A48D8" w:rsidRPr="0082481C">
        <w:rPr>
          <w:rFonts w:eastAsia="Malgun Gothic"/>
          <w:lang w:eastAsia="ko-KR"/>
        </w:rPr>
        <w:t>.</w:t>
      </w:r>
      <w:r w:rsidR="007A48D8" w:rsidRPr="0082481C">
        <w:rPr>
          <w:rFonts w:eastAsia="Malgun Gothic"/>
          <w:sz w:val="18"/>
          <w:vertAlign w:val="superscript"/>
          <w:lang w:eastAsia="ko-KR"/>
        </w:rPr>
        <w:footnoteReference w:id="5"/>
      </w:r>
      <w:r w:rsidR="007A48D8" w:rsidRPr="0082481C">
        <w:rPr>
          <w:rFonts w:eastAsia="Malgun Gothic"/>
          <w:lang w:eastAsia="ko-KR"/>
        </w:rPr>
        <w:t xml:space="preserve"> In particular, with regard to the amendments to the </w:t>
      </w:r>
      <w:r w:rsidR="008A62BA" w:rsidRPr="0082481C">
        <w:rPr>
          <w:rFonts w:eastAsia="Malgun Gothic"/>
        </w:rPr>
        <w:t>IRPA</w:t>
      </w:r>
      <w:r w:rsidR="007A48D8" w:rsidRPr="0082481C">
        <w:rPr>
          <w:rFonts w:eastAsia="Malgun Gothic"/>
        </w:rPr>
        <w:t xml:space="preserve"> which were made following</w:t>
      </w:r>
      <w:r w:rsidR="007A48D8" w:rsidRPr="0082481C">
        <w:rPr>
          <w:rFonts w:eastAsia="Malgun Gothic"/>
          <w:lang w:eastAsia="ko-KR"/>
        </w:rPr>
        <w:t xml:space="preserve"> the Supreme Court’s judgement in </w:t>
      </w:r>
      <w:r w:rsidR="007A48D8" w:rsidRPr="0082481C">
        <w:rPr>
          <w:rFonts w:eastAsia="Malgun Gothic"/>
          <w:i/>
          <w:lang w:eastAsia="ko-KR"/>
        </w:rPr>
        <w:t xml:space="preserve">Charkaoui </w:t>
      </w:r>
      <w:r w:rsidR="007A48D8" w:rsidRPr="0082481C">
        <w:rPr>
          <w:rFonts w:eastAsia="Malgun Gothic"/>
          <w:iCs/>
          <w:lang w:eastAsia="ko-KR"/>
        </w:rPr>
        <w:t>v.</w:t>
      </w:r>
      <w:r w:rsidR="007A48D8" w:rsidRPr="0082481C">
        <w:rPr>
          <w:rFonts w:eastAsia="Malgun Gothic"/>
          <w:i/>
          <w:lang w:eastAsia="ko-KR"/>
        </w:rPr>
        <w:t xml:space="preserve"> Minister of Citizenship and Immigration et al.</w:t>
      </w:r>
      <w:r w:rsidR="007A48D8" w:rsidRPr="0082481C">
        <w:rPr>
          <w:rFonts w:eastAsia="Malgun Gothic"/>
          <w:lang w:eastAsia="ko-KR"/>
        </w:rPr>
        <w:t xml:space="preserve"> (CAT/C/CAN/6, paras.16-17), please provide information on: </w:t>
      </w:r>
      <w:r w:rsidR="007A48D8" w:rsidRPr="0082481C">
        <w:rPr>
          <w:rFonts w:eastAsia="Malgun Gothic"/>
          <w:sz w:val="18"/>
          <w:vertAlign w:val="superscript"/>
          <w:lang w:eastAsia="ko-KR"/>
        </w:rPr>
        <w:footnoteReference w:id="6"/>
      </w:r>
    </w:p>
    <w:p w:rsidR="007A48D8" w:rsidRPr="0082481C" w:rsidRDefault="001B4222" w:rsidP="00D51326">
      <w:pPr>
        <w:pStyle w:val="SingleTxtG"/>
        <w:ind w:firstLine="567"/>
        <w:rPr>
          <w:rFonts w:eastAsia="Malgun Gothic"/>
          <w:lang w:eastAsia="ko-KR"/>
        </w:rPr>
      </w:pPr>
      <w:r w:rsidRPr="0082481C">
        <w:rPr>
          <w:rFonts w:eastAsia="Malgun Gothic"/>
          <w:lang w:eastAsia="ko-KR"/>
        </w:rPr>
        <w:t>(a)</w:t>
      </w:r>
      <w:r w:rsidRPr="0082481C">
        <w:rPr>
          <w:rFonts w:eastAsia="Malgun Gothic"/>
          <w:lang w:eastAsia="ko-KR"/>
        </w:rPr>
        <w:tab/>
      </w:r>
      <w:r w:rsidR="007A48D8" w:rsidRPr="0082481C">
        <w:rPr>
          <w:rFonts w:eastAsia="Malgun Gothic"/>
          <w:lang w:eastAsia="ko-KR"/>
        </w:rPr>
        <w:t xml:space="preserve">Whether detention of persons suspected of terrorism or any other criminal </w:t>
      </w:r>
      <w:r w:rsidR="0089029A" w:rsidRPr="0082481C">
        <w:rPr>
          <w:rFonts w:eastAsia="Malgun Gothic"/>
          <w:lang w:eastAsia="ko-KR"/>
        </w:rPr>
        <w:t xml:space="preserve">offence </w:t>
      </w:r>
      <w:r w:rsidR="007A48D8" w:rsidRPr="0082481C">
        <w:rPr>
          <w:rFonts w:eastAsia="Malgun Gothic"/>
          <w:lang w:eastAsia="ko-KR"/>
        </w:rPr>
        <w:t xml:space="preserve">is imposed in </w:t>
      </w:r>
      <w:r w:rsidR="0089029A" w:rsidRPr="0082481C">
        <w:rPr>
          <w:rFonts w:eastAsia="Malgun Gothic"/>
          <w:lang w:eastAsia="ko-KR"/>
        </w:rPr>
        <w:t xml:space="preserve">the </w:t>
      </w:r>
      <w:r w:rsidR="007A48D8" w:rsidRPr="0082481C">
        <w:rPr>
          <w:rFonts w:eastAsia="Malgun Gothic"/>
          <w:lang w:eastAsia="ko-KR"/>
        </w:rPr>
        <w:t xml:space="preserve">framework of criminal procedures and in accordance with </w:t>
      </w:r>
      <w:r w:rsidR="004E0D4F" w:rsidRPr="0082481C">
        <w:rPr>
          <w:rFonts w:eastAsia="Malgun Gothic"/>
          <w:lang w:eastAsia="ko-KR"/>
        </w:rPr>
        <w:t xml:space="preserve">the </w:t>
      </w:r>
      <w:r w:rsidR="007A48D8" w:rsidRPr="0082481C">
        <w:rPr>
          <w:rFonts w:eastAsia="Malgun Gothic"/>
          <w:lang w:eastAsia="ko-KR"/>
        </w:rPr>
        <w:t>corresponding safeguards enshrined in international standards. If not, please indicate to what extent the State party consider</w:t>
      </w:r>
      <w:r w:rsidR="00C52869" w:rsidRPr="0082481C">
        <w:rPr>
          <w:rFonts w:eastAsia="Malgun Gothic"/>
          <w:lang w:eastAsia="ko-KR"/>
        </w:rPr>
        <w:t>s</w:t>
      </w:r>
      <w:r w:rsidR="007A48D8" w:rsidRPr="0082481C">
        <w:rPr>
          <w:rFonts w:eastAsia="Malgun Gothic"/>
          <w:lang w:eastAsia="ko-KR"/>
        </w:rPr>
        <w:t xml:space="preserve"> changing its policy of using administrative detention and immigration law to detain terrorism suspect</w:t>
      </w:r>
      <w:r w:rsidR="0089029A" w:rsidRPr="0082481C">
        <w:rPr>
          <w:rFonts w:eastAsia="Malgun Gothic"/>
          <w:lang w:eastAsia="ko-KR"/>
        </w:rPr>
        <w:t>s</w:t>
      </w:r>
      <w:r w:rsidR="007A48D8" w:rsidRPr="0082481C">
        <w:rPr>
          <w:rFonts w:eastAsia="Malgun Gothic"/>
          <w:lang w:eastAsia="ko-KR"/>
        </w:rPr>
        <w:t>;</w:t>
      </w:r>
    </w:p>
    <w:p w:rsidR="0035287E" w:rsidRPr="0082481C" w:rsidRDefault="001B4222" w:rsidP="0089029A">
      <w:pPr>
        <w:pStyle w:val="SingleTxtG"/>
        <w:ind w:firstLine="567"/>
        <w:rPr>
          <w:rFonts w:eastAsia="Malgun Gothic"/>
          <w:lang w:eastAsia="ko-KR"/>
        </w:rPr>
      </w:pPr>
      <w:r w:rsidRPr="0082481C">
        <w:rPr>
          <w:rFonts w:eastAsia="Malgun Gothic"/>
          <w:bCs/>
          <w:lang w:val="en-US" w:eastAsia="ko-KR"/>
        </w:rPr>
        <w:t>(b)</w:t>
      </w:r>
      <w:r w:rsidRPr="0082481C">
        <w:rPr>
          <w:rFonts w:eastAsia="Malgun Gothic"/>
          <w:bCs/>
          <w:lang w:val="en-US" w:eastAsia="ko-KR"/>
        </w:rPr>
        <w:tab/>
      </w:r>
      <w:r w:rsidR="007A48D8" w:rsidRPr="0082481C">
        <w:rPr>
          <w:rFonts w:eastAsia="Malgun Gothic"/>
          <w:lang w:eastAsia="ko-KR"/>
        </w:rPr>
        <w:t xml:space="preserve">Whether a maximum length of administrative detention under security certificates has been determined. If not, please provide detailed information on measures taken to ensure that indefinite </w:t>
      </w:r>
      <w:r w:rsidR="0089029A" w:rsidRPr="0082481C">
        <w:rPr>
          <w:rFonts w:eastAsia="Malgun Gothic"/>
          <w:lang w:eastAsia="ko-KR"/>
        </w:rPr>
        <w:t>pretrial</w:t>
      </w:r>
      <w:r w:rsidR="007A48D8" w:rsidRPr="0082481C">
        <w:rPr>
          <w:rFonts w:eastAsia="Malgun Gothic"/>
          <w:lang w:eastAsia="ko-KR"/>
        </w:rPr>
        <w:t xml:space="preserve"> detention without charge or trial is prohibited;</w:t>
      </w:r>
    </w:p>
    <w:p w:rsidR="007A48D8" w:rsidRPr="0082481C" w:rsidRDefault="001B4222" w:rsidP="001B4222">
      <w:pPr>
        <w:pStyle w:val="SingleTxtG"/>
        <w:ind w:firstLine="567"/>
        <w:rPr>
          <w:rFonts w:eastAsia="Malgun Gothic"/>
          <w:lang w:eastAsia="ko-KR"/>
        </w:rPr>
      </w:pPr>
      <w:r w:rsidRPr="0082481C">
        <w:rPr>
          <w:rFonts w:eastAsia="Malgun Gothic"/>
          <w:lang w:eastAsia="ko-KR"/>
        </w:rPr>
        <w:t>(c)</w:t>
      </w:r>
      <w:r w:rsidRPr="0082481C">
        <w:rPr>
          <w:rFonts w:eastAsia="Malgun Gothic"/>
          <w:lang w:eastAsia="ko-KR"/>
        </w:rPr>
        <w:tab/>
      </w:r>
      <w:r w:rsidR="007A48D8" w:rsidRPr="0082481C">
        <w:rPr>
          <w:rFonts w:eastAsia="Malgun Gothic"/>
          <w:lang w:eastAsia="ko-KR"/>
        </w:rPr>
        <w:t>Whether the detention of foreign nationals who are not permanent residents remains mandatory. If so, does the State party consider reviewing its practice so that the detention is decided on a case-by-case basis?</w:t>
      </w:r>
    </w:p>
    <w:p w:rsidR="0035287E" w:rsidRPr="0082481C" w:rsidRDefault="001B4222" w:rsidP="0035287E">
      <w:pPr>
        <w:pStyle w:val="SingleTxtG"/>
        <w:ind w:firstLine="567"/>
        <w:rPr>
          <w:rFonts w:eastAsia="Malgun Gothic"/>
          <w:lang w:eastAsia="ko-KR"/>
        </w:rPr>
      </w:pPr>
      <w:r w:rsidRPr="0082481C">
        <w:rPr>
          <w:rFonts w:eastAsia="Malgun Gothic"/>
          <w:lang w:eastAsia="ko-KR"/>
        </w:rPr>
        <w:t>(d)</w:t>
      </w:r>
      <w:r w:rsidRPr="0082481C">
        <w:rPr>
          <w:rFonts w:eastAsia="Malgun Gothic"/>
          <w:lang w:eastAsia="ko-KR"/>
        </w:rPr>
        <w:tab/>
      </w:r>
      <w:r w:rsidR="007A48D8" w:rsidRPr="0082481C">
        <w:rPr>
          <w:rFonts w:eastAsia="Malgun Gothic"/>
          <w:lang w:eastAsia="ko-KR"/>
        </w:rPr>
        <w:t xml:space="preserve">The basis on which the security certificates is reviewed. Please indicate whether the information and evidence used can be accessed by the person concerned; </w:t>
      </w:r>
    </w:p>
    <w:p w:rsidR="007A48D8" w:rsidRPr="0082481C" w:rsidRDefault="001B4222" w:rsidP="00C52869">
      <w:pPr>
        <w:pStyle w:val="SingleTxtG"/>
        <w:ind w:firstLine="567"/>
        <w:rPr>
          <w:rFonts w:eastAsia="Malgun Gothic"/>
          <w:lang w:eastAsia="ko-KR"/>
        </w:rPr>
      </w:pPr>
      <w:r w:rsidRPr="0082481C">
        <w:rPr>
          <w:rFonts w:eastAsia="Malgun Gothic"/>
          <w:lang w:eastAsia="ko-KR"/>
        </w:rPr>
        <w:t>(e)</w:t>
      </w:r>
      <w:r w:rsidRPr="0082481C">
        <w:rPr>
          <w:rFonts w:eastAsia="Malgun Gothic"/>
          <w:lang w:eastAsia="ko-KR"/>
        </w:rPr>
        <w:tab/>
      </w:r>
      <w:r w:rsidR="007A48D8" w:rsidRPr="0082481C">
        <w:rPr>
          <w:rFonts w:eastAsia="Malgun Gothic"/>
          <w:lang w:eastAsia="ko-KR"/>
        </w:rPr>
        <w:t xml:space="preserve">The State party’s position on concerns raised in the </w:t>
      </w:r>
      <w:r w:rsidR="0089029A" w:rsidRPr="0082481C">
        <w:rPr>
          <w:rFonts w:eastAsia="Malgun Gothic"/>
          <w:lang w:eastAsia="ko-KR"/>
        </w:rPr>
        <w:t>universal periodic review</w:t>
      </w:r>
      <w:r w:rsidR="004D2719">
        <w:rPr>
          <w:rFonts w:eastAsia="Malgun Gothic"/>
          <w:lang w:eastAsia="ko-KR"/>
        </w:rPr>
        <w:t xml:space="preserve"> </w:t>
      </w:r>
      <w:r w:rsidR="007A48D8" w:rsidRPr="0082481C">
        <w:rPr>
          <w:rFonts w:eastAsia="Malgun Gothic"/>
          <w:lang w:eastAsia="ko-KR"/>
        </w:rPr>
        <w:t>process that special advocates have very limited ability to conduct cross-examinations or to seek evidence independently;</w:t>
      </w:r>
      <w:r w:rsidR="007A48D8" w:rsidRPr="0082481C">
        <w:rPr>
          <w:rFonts w:eastAsia="Malgun Gothic"/>
          <w:vertAlign w:val="superscript"/>
          <w:lang w:eastAsia="ko-KR"/>
        </w:rPr>
        <w:footnoteReference w:id="7"/>
      </w:r>
      <w:r w:rsidR="007A48D8" w:rsidRPr="0082481C">
        <w:rPr>
          <w:rFonts w:eastAsia="Malgun Gothic"/>
          <w:lang w:eastAsia="ko-KR"/>
        </w:rPr>
        <w:t xml:space="preserve"> </w:t>
      </w:r>
    </w:p>
    <w:p w:rsidR="007A48D8" w:rsidRPr="0082481C" w:rsidRDefault="001B4222" w:rsidP="001B4222">
      <w:pPr>
        <w:pStyle w:val="SingleTxtG"/>
        <w:ind w:firstLine="555"/>
        <w:rPr>
          <w:rFonts w:eastAsia="Malgun Gothic"/>
          <w:lang w:eastAsia="ko-KR"/>
        </w:rPr>
      </w:pPr>
      <w:r w:rsidRPr="0082481C">
        <w:rPr>
          <w:rFonts w:eastAsia="Malgun Gothic"/>
          <w:lang w:eastAsia="ko-KR"/>
        </w:rPr>
        <w:t>(f)</w:t>
      </w:r>
      <w:r w:rsidRPr="0082481C">
        <w:rPr>
          <w:rFonts w:eastAsia="Malgun Gothic"/>
          <w:lang w:eastAsia="ko-KR"/>
        </w:rPr>
        <w:tab/>
      </w:r>
      <w:r w:rsidR="007A48D8" w:rsidRPr="0082481C">
        <w:rPr>
          <w:rFonts w:eastAsia="Malgun Gothic"/>
          <w:lang w:eastAsia="ko-KR"/>
        </w:rPr>
        <w:t>Any other measures taken or envisaged to fully comply with the aforementioned Supreme Court’s judgement.</w:t>
      </w:r>
      <w:r w:rsidR="004D2719">
        <w:rPr>
          <w:rFonts w:eastAsia="Malgun Gothic"/>
          <w:lang w:eastAsia="ko-KR"/>
        </w:rPr>
        <w:t xml:space="preserve"> </w:t>
      </w:r>
      <w:r w:rsidR="007A48D8" w:rsidRPr="0082481C">
        <w:rPr>
          <w:rFonts w:eastAsia="Malgun Gothic"/>
          <w:lang w:eastAsia="ko-KR"/>
        </w:rPr>
        <w:t xml:space="preserve">Please provide updated information </w:t>
      </w:r>
      <w:r w:rsidR="00C52869" w:rsidRPr="0082481C">
        <w:rPr>
          <w:rFonts w:eastAsia="Malgun Gothic"/>
          <w:lang w:eastAsia="ko-KR"/>
        </w:rPr>
        <w:t xml:space="preserve">as to </w:t>
      </w:r>
      <w:r w:rsidR="007A48D8" w:rsidRPr="0082481C">
        <w:rPr>
          <w:rFonts w:eastAsia="Malgun Gothic"/>
          <w:lang w:eastAsia="ko-KR"/>
        </w:rPr>
        <w:t>whether there have been any cases where an extended period of detention under this regime was judicially found to have reached a point where it amounted to cruel and inhumane treatment.</w:t>
      </w:r>
    </w:p>
    <w:p w:rsidR="007A48D8" w:rsidRPr="0082481C" w:rsidRDefault="001B4222" w:rsidP="00C52869">
      <w:pPr>
        <w:pStyle w:val="SingleTxtG"/>
        <w:rPr>
          <w:rFonts w:eastAsia="Malgun Gothic"/>
        </w:rPr>
      </w:pPr>
      <w:r w:rsidRPr="0082481C">
        <w:rPr>
          <w:rFonts w:eastAsia="Malgun Gothic"/>
        </w:rPr>
        <w:t>5.</w:t>
      </w:r>
      <w:r w:rsidRPr="0082481C">
        <w:rPr>
          <w:rFonts w:eastAsia="Malgun Gothic"/>
        </w:rPr>
        <w:tab/>
      </w:r>
      <w:r w:rsidR="007A48D8" w:rsidRPr="0082481C">
        <w:rPr>
          <w:rFonts w:eastAsia="Malgun Gothic"/>
        </w:rPr>
        <w:t xml:space="preserve">In light of </w:t>
      </w:r>
      <w:r w:rsidR="007A48D8" w:rsidRPr="0082481C">
        <w:rPr>
          <w:rFonts w:eastAsia="Malgun Gothic"/>
          <w:lang w:val="en-US"/>
        </w:rPr>
        <w:t xml:space="preserve">State party’s acceptance of the recommendation made in the course of the </w:t>
      </w:r>
      <w:r w:rsidR="0089029A" w:rsidRPr="0082481C">
        <w:rPr>
          <w:rFonts w:eastAsia="Malgun Gothic"/>
          <w:lang w:val="en-US"/>
        </w:rPr>
        <w:t>universal periodic review</w:t>
      </w:r>
      <w:r w:rsidR="0089029A" w:rsidRPr="0082481C">
        <w:rPr>
          <w:rFonts w:eastAsia="Malgun Gothic"/>
          <w:b/>
          <w:bCs/>
          <w:lang w:val="en-US"/>
        </w:rPr>
        <w:t xml:space="preserve"> </w:t>
      </w:r>
      <w:r w:rsidR="007A48D8" w:rsidRPr="0082481C">
        <w:rPr>
          <w:rFonts w:eastAsia="Malgun Gothic"/>
          <w:lang w:val="en-US"/>
        </w:rPr>
        <w:t>to</w:t>
      </w:r>
      <w:r w:rsidR="007A48D8" w:rsidRPr="0082481C">
        <w:rPr>
          <w:rFonts w:eastAsia="Malgun Gothic"/>
        </w:rPr>
        <w:t xml:space="preserve"> prevent and otherwise combat violence against women, in particular aboriginal women, please provide detailed information on: </w:t>
      </w:r>
      <w:r w:rsidR="007A48D8" w:rsidRPr="0082481C">
        <w:rPr>
          <w:rFonts w:eastAsia="Malgun Gothic"/>
          <w:vertAlign w:val="superscript"/>
        </w:rPr>
        <w:footnoteReference w:id="8"/>
      </w:r>
    </w:p>
    <w:p w:rsidR="007A48D8" w:rsidRPr="0082481C" w:rsidRDefault="001B4222" w:rsidP="001B4222">
      <w:pPr>
        <w:pStyle w:val="SingleTxtG"/>
        <w:ind w:firstLine="567"/>
        <w:rPr>
          <w:rFonts w:eastAsia="Malgun Gothic"/>
          <w:lang w:eastAsia="ko-KR"/>
        </w:rPr>
      </w:pPr>
      <w:r w:rsidRPr="0082481C">
        <w:rPr>
          <w:rFonts w:eastAsia="Malgun Gothic"/>
          <w:lang w:eastAsia="ko-KR"/>
        </w:rPr>
        <w:t>(a)</w:t>
      </w:r>
      <w:r w:rsidRPr="0082481C">
        <w:rPr>
          <w:rFonts w:eastAsia="Malgun Gothic"/>
          <w:lang w:eastAsia="ko-KR"/>
        </w:rPr>
        <w:tab/>
      </w:r>
      <w:r w:rsidR="007A48D8" w:rsidRPr="0082481C">
        <w:rPr>
          <w:rFonts w:eastAsia="Malgun Gothic"/>
          <w:lang w:eastAsia="ko-KR"/>
        </w:rPr>
        <w:t>Measures taken to ensure that reports of violence against women are independently, promptly and thoroughly investigated, and that perpetrators are prosecuted and appropriately punished;</w:t>
      </w:r>
    </w:p>
    <w:p w:rsidR="007A48D8" w:rsidRPr="0082481C" w:rsidRDefault="001B4222" w:rsidP="00E6388A">
      <w:pPr>
        <w:pStyle w:val="SingleTxtG"/>
        <w:ind w:firstLine="567"/>
        <w:rPr>
          <w:rFonts w:eastAsia="Malgun Gothic"/>
          <w:lang w:eastAsia="ko-KR"/>
        </w:rPr>
      </w:pPr>
      <w:r w:rsidRPr="0082481C">
        <w:rPr>
          <w:rFonts w:eastAsia="Malgun Gothic"/>
          <w:lang w:eastAsia="ko-KR"/>
        </w:rPr>
        <w:t>(b)</w:t>
      </w:r>
      <w:r w:rsidRPr="0082481C">
        <w:rPr>
          <w:rFonts w:eastAsia="Malgun Gothic"/>
          <w:lang w:eastAsia="ko-KR"/>
        </w:rPr>
        <w:tab/>
      </w:r>
      <w:r w:rsidR="007A48D8" w:rsidRPr="0082481C">
        <w:rPr>
          <w:rFonts w:eastAsia="Malgun Gothic"/>
          <w:lang w:eastAsia="ko-KR"/>
        </w:rPr>
        <w:t>The outcomes</w:t>
      </w:r>
      <w:r w:rsidR="00E6388A" w:rsidRPr="0082481C">
        <w:rPr>
          <w:rFonts w:eastAsia="Malgun Gothic"/>
          <w:lang w:eastAsia="ko-KR"/>
        </w:rPr>
        <w:t xml:space="preserve"> </w:t>
      </w:r>
      <w:r w:rsidR="007A48D8" w:rsidRPr="0082481C">
        <w:rPr>
          <w:rFonts w:eastAsia="Malgun Gothic"/>
          <w:lang w:eastAsia="ko-KR"/>
        </w:rPr>
        <w:t>of the investigation into the cases of aboriginal women who have gone missing or been murdered. Please indicate whether the State party has carried out an analysis of those cases to address root causes and has taken the necessary steps to remedy the deficiencies in the system</w:t>
      </w:r>
      <w:r w:rsidR="00E6388A" w:rsidRPr="0082481C">
        <w:rPr>
          <w:rFonts w:eastAsia="Malgun Gothic"/>
          <w:sz w:val="18"/>
          <w:vertAlign w:val="superscript"/>
        </w:rPr>
        <w:footnoteReference w:id="9"/>
      </w:r>
      <w:r w:rsidR="007A48D8" w:rsidRPr="0082481C">
        <w:rPr>
          <w:rFonts w:eastAsia="Malgun Gothic"/>
          <w:lang w:eastAsia="ko-KR"/>
        </w:rPr>
        <w:t xml:space="preserve"> (.</w:t>
      </w:r>
      <w:r w:rsidR="007A48D8" w:rsidRPr="0082481C">
        <w:rPr>
          <w:rFonts w:eastAsia="Malgun Gothic"/>
          <w:vertAlign w:val="superscript"/>
          <w:lang w:eastAsia="ko-KR"/>
        </w:rPr>
        <w:t xml:space="preserve"> </w:t>
      </w:r>
    </w:p>
    <w:p w:rsidR="007A48D8" w:rsidRPr="0082481C" w:rsidRDefault="001B4222" w:rsidP="001B4222">
      <w:pPr>
        <w:pStyle w:val="SingleTxtG"/>
        <w:ind w:firstLine="567"/>
        <w:rPr>
          <w:rFonts w:eastAsia="Malgun Gothic"/>
          <w:lang w:eastAsia="ko-KR"/>
        </w:rPr>
      </w:pPr>
      <w:r w:rsidRPr="0082481C">
        <w:rPr>
          <w:rFonts w:eastAsia="Malgun Gothic"/>
          <w:lang w:eastAsia="ko-KR"/>
        </w:rPr>
        <w:t>(c)</w:t>
      </w:r>
      <w:r w:rsidRPr="0082481C">
        <w:rPr>
          <w:rFonts w:eastAsia="Malgun Gothic"/>
          <w:lang w:eastAsia="ko-KR"/>
        </w:rPr>
        <w:tab/>
      </w:r>
      <w:r w:rsidR="007A48D8" w:rsidRPr="0082481C">
        <w:rPr>
          <w:rFonts w:eastAsia="Malgun Gothic"/>
          <w:lang w:eastAsia="ko-KR"/>
        </w:rPr>
        <w:t>Data, including statistical data, on complaints, investigations, prosecutions, convictions and penalties imposed for acts of violence against women, in particular women from religious and ethnic minorities, as well as on any compensation provided to victims.</w:t>
      </w:r>
    </w:p>
    <w:p w:rsidR="007A48D8" w:rsidRPr="0082481C" w:rsidRDefault="001B4222" w:rsidP="00050D84">
      <w:pPr>
        <w:pStyle w:val="SingleTxtG"/>
        <w:rPr>
          <w:rFonts w:eastAsia="Malgun Gothic"/>
        </w:rPr>
      </w:pPr>
      <w:r w:rsidRPr="0082481C">
        <w:rPr>
          <w:rFonts w:eastAsia="Malgun Gothic"/>
        </w:rPr>
        <w:t>6.</w:t>
      </w:r>
      <w:r w:rsidRPr="0082481C">
        <w:rPr>
          <w:rFonts w:eastAsia="Malgun Gothic"/>
        </w:rPr>
        <w:tab/>
      </w:r>
      <w:r w:rsidR="007A48D8" w:rsidRPr="0082481C">
        <w:rPr>
          <w:rFonts w:eastAsia="Malgun Gothic"/>
        </w:rPr>
        <w:t xml:space="preserve">Please provide detailed information on measures taken to enact legislation specifically addressing allegedly routine domestic violence, making it a criminal </w:t>
      </w:r>
      <w:r w:rsidR="0089029A" w:rsidRPr="0082481C">
        <w:rPr>
          <w:rFonts w:eastAsia="Malgun Gothic"/>
        </w:rPr>
        <w:t xml:space="preserve">offence </w:t>
      </w:r>
      <w:r w:rsidR="007A48D8" w:rsidRPr="0082481C">
        <w:rPr>
          <w:rFonts w:eastAsia="Malgun Gothic"/>
        </w:rPr>
        <w:t>and ensuring that victims of domestic violence have access to immediate means of redress and protection and that perpetrators are prosecuted and appropriately punished.</w:t>
      </w:r>
      <w:r w:rsidR="007A48D8" w:rsidRPr="0082481C">
        <w:rPr>
          <w:rFonts w:eastAsia="Malgun Gothic"/>
          <w:sz w:val="18"/>
          <w:vertAlign w:val="superscript"/>
        </w:rPr>
        <w:footnoteReference w:id="10"/>
      </w:r>
      <w:r w:rsidR="007A48D8" w:rsidRPr="0082481C">
        <w:rPr>
          <w:rFonts w:eastAsia="Malgun Gothic"/>
        </w:rPr>
        <w:t xml:space="preserve"> Please identify factors impeding such legislation. </w:t>
      </w:r>
      <w:r w:rsidR="00050D84" w:rsidRPr="0082481C">
        <w:rPr>
          <w:rFonts w:eastAsia="Malgun Gothic"/>
        </w:rPr>
        <w:t>P</w:t>
      </w:r>
      <w:r w:rsidR="007A48D8" w:rsidRPr="0082481C">
        <w:rPr>
          <w:rFonts w:eastAsia="Malgun Gothic"/>
        </w:rPr>
        <w:t xml:space="preserve">lease </w:t>
      </w:r>
      <w:r w:rsidR="00050D84" w:rsidRPr="0082481C">
        <w:rPr>
          <w:rFonts w:eastAsia="Malgun Gothic"/>
        </w:rPr>
        <w:t xml:space="preserve">also </w:t>
      </w:r>
      <w:r w:rsidR="007A48D8" w:rsidRPr="0082481C">
        <w:rPr>
          <w:rFonts w:eastAsia="Malgun Gothic"/>
        </w:rPr>
        <w:t>provide statistical data on complaints, investigations, prosecutions, convictions and penalties imposed for acts of domestic violence, disaggregated by province, ethnicity, and age.</w:t>
      </w:r>
    </w:p>
    <w:p w:rsidR="007A48D8" w:rsidRPr="0082481C" w:rsidRDefault="001B4222" w:rsidP="001B4222">
      <w:pPr>
        <w:pStyle w:val="SingleTxtG"/>
        <w:rPr>
          <w:rFonts w:eastAsia="Malgun Gothic"/>
        </w:rPr>
      </w:pPr>
      <w:r w:rsidRPr="0082481C">
        <w:rPr>
          <w:rFonts w:eastAsia="Malgun Gothic"/>
        </w:rPr>
        <w:t>7.</w:t>
      </w:r>
      <w:r w:rsidRPr="0082481C">
        <w:rPr>
          <w:rFonts w:eastAsia="Malgun Gothic"/>
        </w:rPr>
        <w:tab/>
      </w:r>
      <w:r w:rsidR="007A48D8" w:rsidRPr="0082481C">
        <w:rPr>
          <w:rFonts w:eastAsia="Malgun Gothic"/>
        </w:rPr>
        <w:t>Please provide information on steps taken to further increase the protection and assistance provided to victims of trafficking, including prevention measures, social reintegration, access to health care and psychological assistance, in a culturally appropriate and coordinated manner, including by enhancing cooperation with non-governmental organizations and the countries of origin.</w:t>
      </w:r>
      <w:r w:rsidR="007A48D8" w:rsidRPr="0082481C">
        <w:rPr>
          <w:rFonts w:eastAsia="Malgun Gothic"/>
          <w:sz w:val="18"/>
          <w:vertAlign w:val="superscript"/>
        </w:rPr>
        <w:footnoteReference w:id="11"/>
      </w:r>
      <w:r w:rsidR="007A48D8" w:rsidRPr="0082481C">
        <w:rPr>
          <w:rFonts w:eastAsia="Malgun Gothic"/>
        </w:rPr>
        <w:t xml:space="preserve"> Please provide statistical data on complaints, investigations, prosecutions and convictions for acts of trafficking.</w:t>
      </w:r>
    </w:p>
    <w:p w:rsidR="007A48D8" w:rsidRPr="0082481C" w:rsidRDefault="001B4222" w:rsidP="001B4222">
      <w:pPr>
        <w:pStyle w:val="SingleTxtG"/>
        <w:rPr>
          <w:rFonts w:eastAsia="Malgun Gothic"/>
        </w:rPr>
      </w:pPr>
      <w:r w:rsidRPr="0082481C">
        <w:rPr>
          <w:rFonts w:eastAsia="Malgun Gothic"/>
        </w:rPr>
        <w:t>8.</w:t>
      </w:r>
      <w:r w:rsidRPr="0082481C">
        <w:rPr>
          <w:rFonts w:eastAsia="Malgun Gothic"/>
        </w:rPr>
        <w:tab/>
      </w:r>
      <w:r w:rsidR="007A48D8" w:rsidRPr="0082481C">
        <w:rPr>
          <w:rFonts w:eastAsia="Malgun Gothic"/>
        </w:rPr>
        <w:t>Please provide updated information and statistical data, disaggregated by crime, geographical location, ethnicity, age and gender, on complaints relating to torture, attempted torture and complicity or participation in torture and acts amounting to cruel, inhuman or degrading treatment, which have been filed during the reporting period, as well as related investigations, prosecutions, convictions and penal and disciplinary sentences.</w:t>
      </w:r>
    </w:p>
    <w:p w:rsidR="007A48D8" w:rsidRPr="0082481C" w:rsidRDefault="007A48D8" w:rsidP="001B4222">
      <w:pPr>
        <w:pStyle w:val="H23G"/>
        <w:rPr>
          <w:rFonts w:eastAsia="Malgun Gothic"/>
          <w:lang w:eastAsia="ko-KR"/>
        </w:rPr>
      </w:pPr>
      <w:r w:rsidRPr="0082481C">
        <w:rPr>
          <w:rFonts w:eastAsia="Malgun Gothic"/>
        </w:rPr>
        <w:tab/>
      </w:r>
      <w:r w:rsidRPr="0082481C">
        <w:rPr>
          <w:rFonts w:eastAsia="Malgun Gothic"/>
        </w:rPr>
        <w:tab/>
        <w:t>Article 3</w:t>
      </w:r>
    </w:p>
    <w:p w:rsidR="007A48D8" w:rsidRPr="0082481C" w:rsidRDefault="001B4222" w:rsidP="004702E1">
      <w:pPr>
        <w:pStyle w:val="SingleTxtG"/>
        <w:rPr>
          <w:rFonts w:eastAsia="Malgun Gothic"/>
        </w:rPr>
      </w:pPr>
      <w:r w:rsidRPr="0082481C">
        <w:rPr>
          <w:rFonts w:eastAsia="Malgun Gothic"/>
        </w:rPr>
        <w:t>9.</w:t>
      </w:r>
      <w:r w:rsidRPr="0082481C">
        <w:rPr>
          <w:rFonts w:eastAsia="Malgun Gothic"/>
        </w:rPr>
        <w:tab/>
      </w:r>
      <w:r w:rsidR="007A48D8" w:rsidRPr="0082481C">
        <w:rPr>
          <w:rFonts w:eastAsia="Malgun Gothic"/>
        </w:rPr>
        <w:t xml:space="preserve">In light of </w:t>
      </w:r>
      <w:r w:rsidR="005703E2" w:rsidRPr="0082481C">
        <w:rPr>
          <w:rFonts w:eastAsia="Malgun Gothic"/>
        </w:rPr>
        <w:t xml:space="preserve">paragraph 5(a) </w:t>
      </w:r>
      <w:r w:rsidR="007A48D8" w:rsidRPr="0082481C">
        <w:rPr>
          <w:rFonts w:eastAsia="Malgun Gothic"/>
        </w:rPr>
        <w:t xml:space="preserve">the Committee’s previous recommendations and </w:t>
      </w:r>
      <w:r w:rsidR="005D500D" w:rsidRPr="0082481C">
        <w:rPr>
          <w:rFonts w:eastAsia="Malgun Gothic"/>
          <w:bCs/>
        </w:rPr>
        <w:t>follow</w:t>
      </w:r>
      <w:r w:rsidR="007A48D8" w:rsidRPr="0082481C">
        <w:rPr>
          <w:rFonts w:eastAsia="Malgun Gothic"/>
          <w:bCs/>
        </w:rPr>
        <w:t xml:space="preserve">-up </w:t>
      </w:r>
      <w:r w:rsidR="005D500D" w:rsidRPr="0082481C">
        <w:rPr>
          <w:rFonts w:eastAsia="Malgun Gothic"/>
          <w:bCs/>
        </w:rPr>
        <w:t xml:space="preserve">letter </w:t>
      </w:r>
      <w:r w:rsidR="007A48D8" w:rsidRPr="0082481C">
        <w:rPr>
          <w:rFonts w:eastAsia="Malgun Gothic"/>
          <w:bCs/>
        </w:rPr>
        <w:t>of 29 April 2009</w:t>
      </w:r>
      <w:r w:rsidR="007A48D8" w:rsidRPr="0082481C">
        <w:rPr>
          <w:rFonts w:eastAsia="Malgun Gothic"/>
        </w:rPr>
        <w:t xml:space="preserve">, please provide updated information on steps taken to unconditionally respect the absolute nature of article 3 of the Convention in all circumstances and to fully incorporate the provisions of </w:t>
      </w:r>
      <w:r w:rsidR="007E1BBC" w:rsidRPr="0082481C">
        <w:rPr>
          <w:rFonts w:eastAsia="Malgun Gothic"/>
        </w:rPr>
        <w:t xml:space="preserve">this </w:t>
      </w:r>
      <w:r w:rsidR="007A48D8" w:rsidRPr="0082481C">
        <w:rPr>
          <w:rFonts w:eastAsia="Malgun Gothic"/>
        </w:rPr>
        <w:t>article</w:t>
      </w:r>
      <w:r w:rsidR="004D2719">
        <w:rPr>
          <w:rFonts w:eastAsia="Malgun Gothic"/>
        </w:rPr>
        <w:t xml:space="preserve"> </w:t>
      </w:r>
      <w:r w:rsidR="007A48D8" w:rsidRPr="0082481C">
        <w:rPr>
          <w:rFonts w:eastAsia="Malgun Gothic"/>
        </w:rPr>
        <w:t xml:space="preserve">into the State party's domestic law. How does </w:t>
      </w:r>
      <w:smartTag w:uri="urn:schemas-microsoft-com:office:smarttags" w:element="place">
        <w:smartTag w:uri="urn:schemas-microsoft-com:office:smarttags" w:element="country-region">
          <w:r w:rsidR="007A48D8" w:rsidRPr="0082481C">
            <w:rPr>
              <w:rFonts w:eastAsia="Malgun Gothic"/>
            </w:rPr>
            <w:t>Canada</w:t>
          </w:r>
        </w:smartTag>
      </w:smartTag>
      <w:r w:rsidR="007A48D8" w:rsidRPr="0082481C">
        <w:rPr>
          <w:rFonts w:eastAsia="Malgun Gothic"/>
        </w:rPr>
        <w:t xml:space="preserve"> comply with its obligation under article 3 of the Convention, while its law provides legislative exceptions to the principle of non-refoulement?</w:t>
      </w:r>
      <w:r w:rsidR="007A48D8" w:rsidRPr="0082481C">
        <w:rPr>
          <w:rFonts w:eastAsia="Malgun Gothic"/>
          <w:sz w:val="18"/>
          <w:vertAlign w:val="superscript"/>
        </w:rPr>
        <w:footnoteReference w:id="12"/>
      </w:r>
      <w:r w:rsidR="007A48D8" w:rsidRPr="0082481C">
        <w:rPr>
          <w:rFonts w:eastAsia="Malgun Gothic"/>
        </w:rPr>
        <w:t xml:space="preserve"> </w:t>
      </w:r>
    </w:p>
    <w:p w:rsidR="007A48D8" w:rsidRPr="0082481C" w:rsidRDefault="001B4222" w:rsidP="00741D28">
      <w:pPr>
        <w:pStyle w:val="SingleTxtG"/>
        <w:rPr>
          <w:rFonts w:eastAsia="Malgun Gothic"/>
        </w:rPr>
      </w:pPr>
      <w:r w:rsidRPr="0082481C">
        <w:rPr>
          <w:rFonts w:eastAsia="Malgun Gothic"/>
        </w:rPr>
        <w:t>10.</w:t>
      </w:r>
      <w:r w:rsidRPr="0082481C">
        <w:rPr>
          <w:rFonts w:eastAsia="Malgun Gothic"/>
        </w:rPr>
        <w:tab/>
      </w:r>
      <w:r w:rsidR="007A48D8" w:rsidRPr="0082481C">
        <w:rPr>
          <w:rFonts w:eastAsia="Malgun Gothic"/>
        </w:rPr>
        <w:t xml:space="preserve">Considering the State party’s policy of resorting to </w:t>
      </w:r>
      <w:r w:rsidR="00D51326">
        <w:rPr>
          <w:rFonts w:eastAsia="Malgun Gothic"/>
        </w:rPr>
        <w:t>the</w:t>
      </w:r>
      <w:r w:rsidR="00322510" w:rsidRPr="0082481C">
        <w:rPr>
          <w:rFonts w:eastAsia="Malgun Gothic"/>
        </w:rPr>
        <w:t xml:space="preserve"> </w:t>
      </w:r>
      <w:r w:rsidR="007A48D8" w:rsidRPr="0082481C">
        <w:rPr>
          <w:rFonts w:eastAsia="Malgun Gothic"/>
        </w:rPr>
        <w:t>immigration process to remove or expel individuals rather than in the framework of criminal procedure, please provide detailed information on cases of expulsion or removal initiated under</w:t>
      </w:r>
      <w:r w:rsidR="002A4E9D" w:rsidRPr="0082481C">
        <w:rPr>
          <w:rFonts w:eastAsia="Malgun Gothic"/>
        </w:rPr>
        <w:t xml:space="preserve"> the</w:t>
      </w:r>
      <w:r w:rsidR="007A48D8" w:rsidRPr="0082481C">
        <w:rPr>
          <w:rFonts w:eastAsia="Malgun Gothic"/>
        </w:rPr>
        <w:t xml:space="preserve"> Immigration and Refugee Protection Act (IRPA) on security grounds. Does the State party envisage removing the exclusions in the Immigration and Refugee Protection Act, namely the blanket exclusion of the status of refugees and the explicit exclusion of certain categories of persons posing security or criminal risks, thereby extending to currently excluded persons entitlement to the status of protected person, and protection against refoulement on account of risk of torture?</w:t>
      </w:r>
      <w:r w:rsidR="007A48D8" w:rsidRPr="0082481C">
        <w:rPr>
          <w:rFonts w:eastAsia="Malgun Gothic"/>
          <w:vertAlign w:val="superscript"/>
        </w:rPr>
        <w:footnoteReference w:id="13"/>
      </w:r>
    </w:p>
    <w:p w:rsidR="007A48D8" w:rsidRPr="0082481C" w:rsidRDefault="001B4222" w:rsidP="002A4E9D">
      <w:pPr>
        <w:pStyle w:val="SingleTxtG"/>
        <w:rPr>
          <w:rFonts w:eastAsia="Malgun Gothic"/>
        </w:rPr>
      </w:pPr>
      <w:r w:rsidRPr="0082481C">
        <w:rPr>
          <w:rFonts w:eastAsia="Malgun Gothic"/>
        </w:rPr>
        <w:t>11.</w:t>
      </w:r>
      <w:r w:rsidRPr="0082481C">
        <w:rPr>
          <w:rFonts w:eastAsia="Malgun Gothic"/>
        </w:rPr>
        <w:tab/>
      </w:r>
      <w:r w:rsidR="007A48D8" w:rsidRPr="0082481C">
        <w:rPr>
          <w:rFonts w:eastAsia="Malgun Gothic"/>
        </w:rPr>
        <w:t xml:space="preserve">Please provide detailed information on (a) </w:t>
      </w:r>
      <w:r w:rsidR="002A4E9D" w:rsidRPr="0082481C">
        <w:rPr>
          <w:rFonts w:eastAsia="Malgun Gothic"/>
        </w:rPr>
        <w:t>the</w:t>
      </w:r>
      <w:r w:rsidR="007A48D8" w:rsidRPr="0082481C">
        <w:rPr>
          <w:rFonts w:eastAsia="Malgun Gothic"/>
        </w:rPr>
        <w:t xml:space="preserve"> extent </w:t>
      </w:r>
      <w:r w:rsidR="002A4E9D" w:rsidRPr="0082481C">
        <w:rPr>
          <w:rFonts w:eastAsia="Malgun Gothic"/>
        </w:rPr>
        <w:t xml:space="preserve">to which </w:t>
      </w:r>
      <w:r w:rsidR="007A48D8" w:rsidRPr="0082481C">
        <w:rPr>
          <w:rFonts w:eastAsia="Malgun Gothic"/>
        </w:rPr>
        <w:t>the State party provides for judicial review of the merits, rather than merely of the reasonableness, of decisions to expel an individual where there are substantial grounds for believing that the person faces a risk of torture,</w:t>
      </w:r>
      <w:r w:rsidR="007A48D8" w:rsidRPr="0082481C">
        <w:rPr>
          <w:rFonts w:eastAsia="Malgun Gothic"/>
          <w:bCs/>
          <w:sz w:val="18"/>
          <w:vertAlign w:val="superscript"/>
        </w:rPr>
        <w:footnoteReference w:id="14"/>
      </w:r>
      <w:r w:rsidR="007A48D8" w:rsidRPr="0082481C">
        <w:rPr>
          <w:rFonts w:eastAsia="Malgun Gothic"/>
        </w:rPr>
        <w:t xml:space="preserve"> and (b) efforts made to improve the Pre-Removal Risk Assessment (PRRA) program (State party’s report, paras.31 and 33).</w:t>
      </w:r>
      <w:r w:rsidR="004D2719">
        <w:rPr>
          <w:rFonts w:eastAsia="Malgun Gothic"/>
        </w:rPr>
        <w:t xml:space="preserve"> </w:t>
      </w:r>
    </w:p>
    <w:p w:rsidR="007A48D8" w:rsidRPr="0082481C" w:rsidRDefault="001B4222" w:rsidP="0063505E">
      <w:pPr>
        <w:pStyle w:val="SingleTxtG"/>
        <w:rPr>
          <w:rFonts w:eastAsia="Malgun Gothic"/>
        </w:rPr>
      </w:pPr>
      <w:r w:rsidRPr="0082481C">
        <w:rPr>
          <w:rFonts w:eastAsia="Malgun Gothic"/>
        </w:rPr>
        <w:t>12.</w:t>
      </w:r>
      <w:r w:rsidRPr="0082481C">
        <w:rPr>
          <w:rFonts w:eastAsia="Malgun Gothic"/>
        </w:rPr>
        <w:tab/>
      </w:r>
      <w:r w:rsidR="007A48D8" w:rsidRPr="0082481C">
        <w:rPr>
          <w:rFonts w:eastAsia="Malgun Gothic"/>
        </w:rPr>
        <w:t xml:space="preserve">With reference to paragraph 42 of the State party’s report and in light of </w:t>
      </w:r>
      <w:r w:rsidR="002A4E9D" w:rsidRPr="0082481C">
        <w:rPr>
          <w:rFonts w:eastAsia="Malgun Gothic"/>
        </w:rPr>
        <w:t xml:space="preserve">paragraph 5(a) of the </w:t>
      </w:r>
      <w:r w:rsidR="007A48D8" w:rsidRPr="0082481C">
        <w:rPr>
          <w:rFonts w:eastAsia="Malgun Gothic"/>
        </w:rPr>
        <w:t xml:space="preserve">Committee’s previous </w:t>
      </w:r>
      <w:r w:rsidR="004A6816" w:rsidRPr="0082481C">
        <w:rPr>
          <w:rFonts w:eastAsia="Malgun Gothic"/>
        </w:rPr>
        <w:t>recommendations</w:t>
      </w:r>
      <w:r w:rsidR="007A48D8" w:rsidRPr="0082481C">
        <w:rPr>
          <w:rFonts w:eastAsia="Malgun Gothic"/>
        </w:rPr>
        <w:t xml:space="preserve"> , please clarify the issues of diplomatic assurances in the State party,</w:t>
      </w:r>
      <w:r w:rsidR="007A48D8" w:rsidRPr="0082481C">
        <w:rPr>
          <w:rFonts w:eastAsia="Malgun Gothic"/>
          <w:iCs/>
        </w:rPr>
        <w:t xml:space="preserve"> inter alia</w:t>
      </w:r>
      <w:r w:rsidR="007A48D8" w:rsidRPr="0082481C">
        <w:rPr>
          <w:rFonts w:eastAsia="Malgun Gothic"/>
        </w:rPr>
        <w:t xml:space="preserve"> (a) the minimum requirements for diplomatic assurances or guarantees, (b) steps taken to guarantee effective post-return monitoring arrangements and the legal enforceability of the assurances or guarantees given, and (c) all cases where diplomatic assurances have been provided and all cases where assurances have not been honoured, if any, since the consideration of the previous report.</w:t>
      </w:r>
      <w:r w:rsidR="007A48D8" w:rsidRPr="0082481C">
        <w:rPr>
          <w:rFonts w:eastAsia="Malgun Gothic"/>
          <w:sz w:val="18"/>
          <w:vertAlign w:val="superscript"/>
        </w:rPr>
        <w:footnoteReference w:id="15"/>
      </w:r>
      <w:r w:rsidR="004D2719">
        <w:rPr>
          <w:rFonts w:eastAsia="Malgun Gothic"/>
        </w:rPr>
        <w:t xml:space="preserve"> </w:t>
      </w:r>
    </w:p>
    <w:p w:rsidR="007A48D8" w:rsidRPr="0082481C" w:rsidRDefault="001B4222" w:rsidP="001B4222">
      <w:pPr>
        <w:pStyle w:val="SingleTxtG"/>
        <w:rPr>
          <w:rFonts w:eastAsia="Malgun Gothic"/>
        </w:rPr>
      </w:pPr>
      <w:r w:rsidRPr="0082481C">
        <w:rPr>
          <w:rFonts w:eastAsia="Malgun Gothic"/>
        </w:rPr>
        <w:t>13.</w:t>
      </w:r>
      <w:r w:rsidRPr="0082481C">
        <w:rPr>
          <w:rFonts w:eastAsia="Malgun Gothic"/>
        </w:rPr>
        <w:tab/>
      </w:r>
      <w:r w:rsidR="007A48D8" w:rsidRPr="0082481C">
        <w:rPr>
          <w:rFonts w:eastAsia="Malgun Gothic"/>
        </w:rPr>
        <w:t xml:space="preserve">Please provide information about whether the State party appealed the Supreme Court decision in </w:t>
      </w:r>
      <w:r w:rsidR="007A48D8" w:rsidRPr="0082481C">
        <w:rPr>
          <w:rFonts w:eastAsia="Malgun Gothic"/>
          <w:i/>
          <w:iCs/>
        </w:rPr>
        <w:t xml:space="preserve">Amnesty International Canada et al. </w:t>
      </w:r>
      <w:r w:rsidR="007A48D8" w:rsidRPr="0082481C">
        <w:rPr>
          <w:rFonts w:eastAsia="Malgun Gothic"/>
        </w:rPr>
        <w:t>v</w:t>
      </w:r>
      <w:r w:rsidR="007A48D8" w:rsidRPr="0082481C">
        <w:rPr>
          <w:rFonts w:eastAsia="Malgun Gothic"/>
          <w:i/>
          <w:iCs/>
        </w:rPr>
        <w:t xml:space="preserve"> Chief of the Defence Staff for the Canadian Forces et al.</w:t>
      </w:r>
      <w:r w:rsidR="007A48D8" w:rsidRPr="0082481C">
        <w:rPr>
          <w:rFonts w:eastAsia="Malgun Gothic"/>
        </w:rPr>
        <w:t xml:space="preserve"> to decline an obligation of non-refoulement under international human rights law and its own Charter of Rights and Freedoms in circumstances where there may be a risk of torture to detainees that its forces in Afghanistan wish to transfer to Afghan authorities?</w:t>
      </w:r>
      <w:r w:rsidR="007A48D8" w:rsidRPr="0082481C">
        <w:rPr>
          <w:rFonts w:eastAsia="Malgun Gothic"/>
          <w:sz w:val="18"/>
          <w:vertAlign w:val="superscript"/>
        </w:rPr>
        <w:footnoteReference w:id="16"/>
      </w:r>
    </w:p>
    <w:p w:rsidR="007A48D8" w:rsidRPr="0082481C" w:rsidRDefault="001B4222" w:rsidP="001B4222">
      <w:pPr>
        <w:pStyle w:val="SingleTxtG"/>
      </w:pPr>
      <w:r w:rsidRPr="0082481C">
        <w:t>14.</w:t>
      </w:r>
      <w:r w:rsidRPr="0082481C">
        <w:tab/>
      </w:r>
      <w:r w:rsidR="007A48D8" w:rsidRPr="0082481C">
        <w:rPr>
          <w:rFonts w:eastAsia="Malgun Gothic"/>
        </w:rPr>
        <w:t xml:space="preserve">Please provide an update on the cases of (a) Mostafa Dadar (CAT/C/35/D/258/2004) who was removed to Iran despite a finding of a violation of the Convention, (b) Bachan Singh Sogi (CAT/C/39/D/297/2006) who was removed to India on security grounds despite the Committee’s repeated requests for interim measures, (c) </w:t>
      </w:r>
      <w:r w:rsidR="007A48D8" w:rsidRPr="0082481C">
        <w:rPr>
          <w:rFonts w:ascii="Roman" w:eastAsia="Malgun Gothic" w:hAnsi="Roman" w:cs="Roman"/>
          <w:color w:val="000000"/>
          <w:lang w:eastAsia="ko-KR"/>
        </w:rPr>
        <w:t>Ivan Apaolaza Sancho who was chained to his seat on the flight while deported to Spain after being detained for 16 months without charge in Canada</w:t>
      </w:r>
      <w:r w:rsidR="0035287E" w:rsidRPr="0082481C">
        <w:rPr>
          <w:rFonts w:ascii="Roman" w:eastAsia="Malgun Gothic" w:hAnsi="Roman" w:cs="Roman"/>
          <w:color w:val="000000"/>
          <w:lang w:eastAsia="ko-KR"/>
        </w:rPr>
        <w:t>,</w:t>
      </w:r>
      <w:r w:rsidR="007A48D8" w:rsidRPr="0082481C">
        <w:rPr>
          <w:rFonts w:ascii="Roman" w:eastAsia="Malgun Gothic" w:hAnsi="Roman" w:cs="Roman"/>
          <w:color w:val="000000"/>
          <w:sz w:val="24"/>
          <w:szCs w:val="24"/>
          <w:lang w:eastAsia="ko-KR"/>
        </w:rPr>
        <w:t xml:space="preserve"> </w:t>
      </w:r>
      <w:r w:rsidR="007A48D8" w:rsidRPr="0082481C">
        <w:rPr>
          <w:rFonts w:eastAsia="Malgun Gothic"/>
        </w:rPr>
        <w:t xml:space="preserve">and (d) Adel Benhmuda </w:t>
      </w:r>
      <w:r w:rsidR="007A48D8" w:rsidRPr="0082481C">
        <w:rPr>
          <w:rFonts w:eastAsia="Malgun Gothic"/>
          <w:spacing w:val="-3"/>
        </w:rPr>
        <w:t xml:space="preserve">who was deported to Libya in 2008 with his family, including two children born in Canada, and </w:t>
      </w:r>
      <w:r w:rsidR="007A48D8" w:rsidRPr="0082481C">
        <w:rPr>
          <w:rFonts w:eastAsia="Malgun Gothic"/>
        </w:rPr>
        <w:t>was allegedly ill-treated in a prison</w:t>
      </w:r>
      <w:r w:rsidR="007A48D8" w:rsidRPr="0082481C">
        <w:rPr>
          <w:rFonts w:eastAsia="Malgun Gothic"/>
          <w:spacing w:val="-3"/>
        </w:rPr>
        <w:t>.</w:t>
      </w:r>
      <w:r w:rsidR="007A48D8" w:rsidRPr="0082481C">
        <w:rPr>
          <w:rFonts w:eastAsia="Malgun Gothic"/>
          <w:sz w:val="18"/>
          <w:vertAlign w:val="superscript"/>
        </w:rPr>
        <w:footnoteReference w:id="17"/>
      </w:r>
      <w:r w:rsidR="007A48D8" w:rsidRPr="0082481C">
        <w:rPr>
          <w:rFonts w:eastAsia="Malgun Gothic"/>
        </w:rPr>
        <w:t xml:space="preserve"> Please explain the procedure followed, guarantees received and monitoring mechanisms, and how such practice is compatible with the State party’s non-refoulement obligation under the Convention. To what extent has</w:t>
      </w:r>
      <w:r w:rsidR="007A48D8" w:rsidRPr="0082481C">
        <w:t xml:space="preserve"> the State party conducted investigations into all allegations of violation of article 3 of the Convention and provided remedies to them?</w:t>
      </w:r>
    </w:p>
    <w:p w:rsidR="007A48D8" w:rsidRPr="0082481C" w:rsidRDefault="001B4222" w:rsidP="001B4222">
      <w:pPr>
        <w:pStyle w:val="SingleTxtG"/>
        <w:rPr>
          <w:rFonts w:eastAsia="Malgun Gothic"/>
          <w:bCs/>
        </w:rPr>
      </w:pPr>
      <w:r w:rsidRPr="0082481C">
        <w:rPr>
          <w:rFonts w:eastAsia="Malgun Gothic"/>
          <w:bCs/>
        </w:rPr>
        <w:t>15.</w:t>
      </w:r>
      <w:r w:rsidRPr="0082481C">
        <w:rPr>
          <w:rFonts w:eastAsia="Malgun Gothic"/>
          <w:bCs/>
        </w:rPr>
        <w:tab/>
      </w:r>
      <w:r w:rsidR="007A48D8" w:rsidRPr="0082481C">
        <w:rPr>
          <w:rFonts w:eastAsia="Malgun Gothic"/>
        </w:rPr>
        <w:t>Please provide data, disaggregated by age, sex and nationality on:</w:t>
      </w:r>
    </w:p>
    <w:p w:rsidR="007A48D8" w:rsidRPr="0082481C" w:rsidRDefault="001B4222" w:rsidP="001B4222">
      <w:pPr>
        <w:pStyle w:val="SingleTxtG"/>
        <w:ind w:firstLine="567"/>
        <w:rPr>
          <w:rFonts w:eastAsia="Malgun Gothic"/>
          <w:lang w:eastAsia="ko-KR"/>
        </w:rPr>
      </w:pPr>
      <w:r w:rsidRPr="0082481C">
        <w:rPr>
          <w:rFonts w:eastAsia="Malgun Gothic"/>
          <w:lang w:eastAsia="ko-KR"/>
        </w:rPr>
        <w:t>(a)</w:t>
      </w:r>
      <w:r w:rsidRPr="0082481C">
        <w:rPr>
          <w:rFonts w:eastAsia="Malgun Gothic"/>
          <w:lang w:eastAsia="ko-KR"/>
        </w:rPr>
        <w:tab/>
      </w:r>
      <w:r w:rsidR="007A48D8" w:rsidRPr="0082481C">
        <w:rPr>
          <w:rFonts w:eastAsia="Malgun Gothic"/>
          <w:lang w:eastAsia="ko-KR"/>
        </w:rPr>
        <w:t>The number of asylum requests registered and approved;</w:t>
      </w:r>
    </w:p>
    <w:p w:rsidR="007A48D8" w:rsidRPr="0082481C" w:rsidRDefault="001B4222" w:rsidP="002A4E9D">
      <w:pPr>
        <w:pStyle w:val="SingleTxtG"/>
        <w:ind w:firstLine="567"/>
        <w:rPr>
          <w:rFonts w:eastAsia="Malgun Gothic"/>
          <w:lang w:eastAsia="ko-KR"/>
        </w:rPr>
      </w:pPr>
      <w:r w:rsidRPr="0082481C">
        <w:rPr>
          <w:rFonts w:eastAsia="Malgun Gothic"/>
          <w:lang w:eastAsia="ko-KR"/>
        </w:rPr>
        <w:t>(b)</w:t>
      </w:r>
      <w:r w:rsidRPr="0082481C">
        <w:rPr>
          <w:rFonts w:eastAsia="Malgun Gothic"/>
          <w:lang w:eastAsia="ko-KR"/>
        </w:rPr>
        <w:tab/>
      </w:r>
      <w:r w:rsidR="007A48D8" w:rsidRPr="0082481C">
        <w:rPr>
          <w:rFonts w:eastAsia="Malgun Gothic"/>
          <w:lang w:eastAsia="ko-KR"/>
        </w:rPr>
        <w:t xml:space="preserve">The number of </w:t>
      </w:r>
      <w:r w:rsidR="002A4E9D" w:rsidRPr="0082481C">
        <w:rPr>
          <w:rFonts w:eastAsia="Malgun Gothic"/>
          <w:lang w:eastAsia="ko-KR"/>
        </w:rPr>
        <w:t>asylum-</w:t>
      </w:r>
      <w:r w:rsidR="007A48D8" w:rsidRPr="0082481C">
        <w:rPr>
          <w:rFonts w:eastAsia="Malgun Gothic"/>
          <w:lang w:eastAsia="ko-KR"/>
        </w:rPr>
        <w:t xml:space="preserve">seekers whose requests were granted because they had been tortured or might be tortured if they were returned to their country of origin; </w:t>
      </w:r>
    </w:p>
    <w:p w:rsidR="007A48D8" w:rsidRPr="0082481C" w:rsidRDefault="001B4222" w:rsidP="001B4222">
      <w:pPr>
        <w:pStyle w:val="SingleTxtG"/>
        <w:ind w:firstLine="567"/>
        <w:rPr>
          <w:rFonts w:eastAsia="Malgun Gothic"/>
          <w:lang w:eastAsia="ko-KR"/>
        </w:rPr>
      </w:pPr>
      <w:r w:rsidRPr="0082481C">
        <w:rPr>
          <w:rFonts w:eastAsia="Malgun Gothic"/>
          <w:lang w:eastAsia="ko-KR"/>
        </w:rPr>
        <w:t>(c)</w:t>
      </w:r>
      <w:r w:rsidRPr="0082481C">
        <w:rPr>
          <w:rFonts w:eastAsia="Malgun Gothic"/>
          <w:lang w:eastAsia="ko-KR"/>
        </w:rPr>
        <w:tab/>
      </w:r>
      <w:r w:rsidR="007A48D8" w:rsidRPr="0082481C">
        <w:rPr>
          <w:rFonts w:eastAsia="Malgun Gothic"/>
          <w:lang w:eastAsia="ko-KR"/>
        </w:rPr>
        <w:t>The number of forcible deportations or expulsions (please indicate how many of them involved rejected asylum-seekers), and the countries to which these persons were expelled.</w:t>
      </w:r>
    </w:p>
    <w:p w:rsidR="007A48D8" w:rsidRPr="0082481C" w:rsidRDefault="001B4222" w:rsidP="001B4222">
      <w:pPr>
        <w:pStyle w:val="H23G"/>
        <w:rPr>
          <w:rFonts w:eastAsia="Malgun Gothic"/>
          <w:lang w:eastAsia="ko-KR"/>
        </w:rPr>
      </w:pPr>
      <w:r w:rsidRPr="0082481C">
        <w:rPr>
          <w:rFonts w:eastAsia="Malgun Gothic"/>
        </w:rPr>
        <w:tab/>
      </w:r>
      <w:r w:rsidRPr="0082481C">
        <w:rPr>
          <w:rFonts w:eastAsia="Malgun Gothic"/>
        </w:rPr>
        <w:tab/>
      </w:r>
      <w:r w:rsidR="007A48D8" w:rsidRPr="0082481C">
        <w:rPr>
          <w:rFonts w:eastAsia="Malgun Gothic"/>
        </w:rPr>
        <w:t>Article 4</w:t>
      </w:r>
    </w:p>
    <w:p w:rsidR="007A48D8" w:rsidRPr="0082481C" w:rsidRDefault="001B4222" w:rsidP="007D50C6">
      <w:pPr>
        <w:pStyle w:val="SingleTxtG"/>
        <w:rPr>
          <w:rFonts w:eastAsia="Malgun Gothic"/>
        </w:rPr>
      </w:pPr>
      <w:r w:rsidRPr="0082481C">
        <w:rPr>
          <w:rFonts w:eastAsia="Malgun Gothic"/>
        </w:rPr>
        <w:t>16.</w:t>
      </w:r>
      <w:r w:rsidRPr="0082481C">
        <w:rPr>
          <w:rFonts w:eastAsia="Malgun Gothic"/>
        </w:rPr>
        <w:tab/>
      </w:r>
      <w:r w:rsidR="007A48D8" w:rsidRPr="0082481C">
        <w:rPr>
          <w:rFonts w:eastAsia="Malgun Gothic"/>
        </w:rPr>
        <w:t xml:space="preserve">What is the competency at the provincial level with regard to enforcement and prosecution of </w:t>
      </w:r>
      <w:r w:rsidR="002A4E9D" w:rsidRPr="0082481C">
        <w:rPr>
          <w:rFonts w:eastAsia="Malgun Gothic"/>
        </w:rPr>
        <w:t xml:space="preserve">offences </w:t>
      </w:r>
      <w:r w:rsidR="007D50C6" w:rsidRPr="0082481C">
        <w:rPr>
          <w:rFonts w:eastAsia="Malgun Gothic"/>
        </w:rPr>
        <w:t xml:space="preserve">set out in </w:t>
      </w:r>
      <w:r w:rsidR="007A48D8" w:rsidRPr="0082481C">
        <w:rPr>
          <w:rFonts w:eastAsia="Malgun Gothic"/>
        </w:rPr>
        <w:t xml:space="preserve">the main provisions of the Convention which have been incorporated into federal law? What are the penalties for the crime of torture, attempted torture and complicity or participation in torture and which provisions of the </w:t>
      </w:r>
      <w:r w:rsidR="00050D84" w:rsidRPr="0082481C">
        <w:rPr>
          <w:rFonts w:eastAsia="Malgun Gothic"/>
        </w:rPr>
        <w:t xml:space="preserve">Penal Code </w:t>
      </w:r>
      <w:r w:rsidR="007A48D8" w:rsidRPr="0082481C">
        <w:rPr>
          <w:rFonts w:eastAsia="Malgun Gothic"/>
        </w:rPr>
        <w:t>apply?</w:t>
      </w:r>
    </w:p>
    <w:p w:rsidR="007A48D8" w:rsidRPr="0082481C" w:rsidRDefault="001B4222" w:rsidP="001B4222">
      <w:pPr>
        <w:pStyle w:val="H23G"/>
        <w:rPr>
          <w:rFonts w:eastAsia="Malgun Gothic"/>
          <w:lang w:eastAsia="ko-KR"/>
        </w:rPr>
      </w:pPr>
      <w:r w:rsidRPr="0082481C">
        <w:rPr>
          <w:rFonts w:eastAsia="Malgun Gothic"/>
        </w:rPr>
        <w:tab/>
      </w:r>
      <w:r w:rsidRPr="0082481C">
        <w:rPr>
          <w:rFonts w:eastAsia="Malgun Gothic"/>
        </w:rPr>
        <w:tab/>
      </w:r>
      <w:r w:rsidR="007A48D8" w:rsidRPr="0082481C">
        <w:rPr>
          <w:rFonts w:eastAsia="Malgun Gothic"/>
        </w:rPr>
        <w:t>Articles 5, 7 and 8</w:t>
      </w:r>
    </w:p>
    <w:p w:rsidR="007A48D8" w:rsidRPr="0082481C" w:rsidRDefault="001B4222" w:rsidP="001B4222">
      <w:pPr>
        <w:pStyle w:val="SingleTxtG"/>
        <w:rPr>
          <w:rFonts w:eastAsia="Malgun Gothic"/>
        </w:rPr>
      </w:pPr>
      <w:r w:rsidRPr="0082481C">
        <w:rPr>
          <w:rFonts w:eastAsia="Malgun Gothic"/>
        </w:rPr>
        <w:t>17.</w:t>
      </w:r>
      <w:r w:rsidRPr="0082481C">
        <w:rPr>
          <w:rFonts w:eastAsia="Malgun Gothic"/>
        </w:rPr>
        <w:tab/>
      </w:r>
      <w:r w:rsidR="007A48D8" w:rsidRPr="0082481C">
        <w:rPr>
          <w:rFonts w:eastAsia="Malgun Gothic"/>
        </w:rPr>
        <w:t xml:space="preserve">Please provide (a) detailed information on how the State party has exercised its universal jurisdiction over persons responsible for acts of torture, wherever they occurred and regardless of the nationality of the perpetrator or victim, and (b) specific examples and texts of any decisions on the subject, including the outcomes of reviews by </w:t>
      </w:r>
      <w:r w:rsidR="007A48D8" w:rsidRPr="0082481C">
        <w:rPr>
          <w:rFonts w:eastAsia="Malgun Gothic"/>
          <w:lang w:eastAsia="ko-KR"/>
        </w:rPr>
        <w:t>the Program Coordinating Operations Committee (PCOC)</w:t>
      </w:r>
      <w:r w:rsidR="007A48D8" w:rsidRPr="0082481C">
        <w:rPr>
          <w:rFonts w:eastAsia="Malgun Gothic"/>
          <w:sz w:val="18"/>
          <w:vertAlign w:val="superscript"/>
        </w:rPr>
        <w:footnoteReference w:id="18"/>
      </w:r>
      <w:r w:rsidR="007A48D8" w:rsidRPr="0082481C">
        <w:rPr>
          <w:rFonts w:eastAsia="Malgun Gothic"/>
          <w:lang w:eastAsia="ko-KR"/>
        </w:rPr>
        <w:t xml:space="preserve"> and the two cases referred to in paragraph 49 of the State party’s report.</w:t>
      </w:r>
      <w:r w:rsidR="007A48D8" w:rsidRPr="0082481C">
        <w:rPr>
          <w:rFonts w:eastAsia="Malgun Gothic"/>
        </w:rPr>
        <w:t xml:space="preserve"> In that regard, please comment on reports before the Committee that Canada has chosen the path of deportation rather than criminal prosecution against perpetrators of international crimes and has failed to take effective measures to exercise its universal jurisdiction over persons responsible for acts of torture, while its law, through provisions in the Criminal Code and the Crimes against Humanity and War Crimes Act, provides for universal jurisdiction and thus allows domestic prosecution.</w:t>
      </w:r>
    </w:p>
    <w:p w:rsidR="007A48D8" w:rsidRPr="0082481C" w:rsidRDefault="001B4222" w:rsidP="00050D84">
      <w:pPr>
        <w:pStyle w:val="SingleTxtG"/>
        <w:rPr>
          <w:rFonts w:eastAsia="Malgun Gothic"/>
        </w:rPr>
      </w:pPr>
      <w:r w:rsidRPr="0082481C">
        <w:rPr>
          <w:rFonts w:eastAsia="Malgun Gothic"/>
        </w:rPr>
        <w:t>18.</w:t>
      </w:r>
      <w:r w:rsidRPr="0082481C">
        <w:rPr>
          <w:rFonts w:eastAsia="Malgun Gothic"/>
        </w:rPr>
        <w:tab/>
      </w:r>
      <w:r w:rsidR="007A48D8" w:rsidRPr="0082481C">
        <w:rPr>
          <w:rFonts w:eastAsia="Malgun Gothic"/>
        </w:rPr>
        <w:t xml:space="preserve">Please provide information on whether the State party has rejected, for any reason, requests for extradition by </w:t>
      </w:r>
      <w:r w:rsidR="00050D84" w:rsidRPr="0082481C">
        <w:rPr>
          <w:rFonts w:eastAsia="Malgun Gothic"/>
        </w:rPr>
        <w:t>another</w:t>
      </w:r>
      <w:r w:rsidR="007A48D8" w:rsidRPr="0082481C">
        <w:rPr>
          <w:rFonts w:eastAsia="Malgun Gothic"/>
        </w:rPr>
        <w:t xml:space="preserve"> </w:t>
      </w:r>
      <w:r w:rsidR="002A4E9D" w:rsidRPr="0082481C">
        <w:rPr>
          <w:rFonts w:eastAsia="Malgun Gothic"/>
        </w:rPr>
        <w:t xml:space="preserve">State </w:t>
      </w:r>
      <w:r w:rsidR="00050D84" w:rsidRPr="0082481C">
        <w:rPr>
          <w:rFonts w:eastAsia="Malgun Gothic"/>
        </w:rPr>
        <w:t xml:space="preserve">of </w:t>
      </w:r>
      <w:r w:rsidR="007A48D8" w:rsidRPr="0082481C">
        <w:rPr>
          <w:rFonts w:eastAsia="Malgun Gothic"/>
        </w:rPr>
        <w:t xml:space="preserve">an individual suspected of having committed an </w:t>
      </w:r>
      <w:r w:rsidR="002A4E9D" w:rsidRPr="0082481C">
        <w:rPr>
          <w:rFonts w:eastAsia="Malgun Gothic"/>
        </w:rPr>
        <w:t xml:space="preserve">offence </w:t>
      </w:r>
      <w:r w:rsidR="007A48D8" w:rsidRPr="0082481C">
        <w:rPr>
          <w:rFonts w:eastAsia="Malgun Gothic"/>
        </w:rPr>
        <w:t xml:space="preserve">of torture, and </w:t>
      </w:r>
      <w:r w:rsidR="00050D84" w:rsidRPr="0082481C">
        <w:t>has started prosecution proceedings as a result.</w:t>
      </w:r>
      <w:r w:rsidR="007A48D8" w:rsidRPr="0082481C">
        <w:rPr>
          <w:rFonts w:eastAsia="Malgun Gothic"/>
        </w:rPr>
        <w:t>. Please provide information on any new cases that have reached trial and with what result.</w:t>
      </w:r>
    </w:p>
    <w:p w:rsidR="007A48D8" w:rsidRPr="0082481C" w:rsidRDefault="001B4222" w:rsidP="001B4222">
      <w:pPr>
        <w:pStyle w:val="H23G"/>
        <w:rPr>
          <w:rFonts w:eastAsia="Malgun Gothic"/>
        </w:rPr>
      </w:pPr>
      <w:r w:rsidRPr="0082481C">
        <w:rPr>
          <w:rFonts w:eastAsia="Malgun Gothic"/>
        </w:rPr>
        <w:tab/>
      </w:r>
      <w:r w:rsidRPr="0082481C">
        <w:rPr>
          <w:rFonts w:eastAsia="Malgun Gothic"/>
        </w:rPr>
        <w:tab/>
      </w:r>
      <w:r w:rsidR="007A48D8" w:rsidRPr="0082481C">
        <w:rPr>
          <w:rFonts w:eastAsia="Malgun Gothic"/>
        </w:rPr>
        <w:t>Article 10</w:t>
      </w:r>
    </w:p>
    <w:p w:rsidR="007A48D8" w:rsidRPr="0082481C" w:rsidRDefault="001B4222" w:rsidP="001B4222">
      <w:pPr>
        <w:pStyle w:val="SingleTxtG"/>
        <w:rPr>
          <w:rFonts w:eastAsia="Malgun Gothic"/>
        </w:rPr>
      </w:pPr>
      <w:r w:rsidRPr="0082481C">
        <w:rPr>
          <w:rFonts w:eastAsia="Malgun Gothic"/>
        </w:rPr>
        <w:t>19.</w:t>
      </w:r>
      <w:r w:rsidRPr="0082481C">
        <w:rPr>
          <w:rFonts w:eastAsia="Malgun Gothic"/>
        </w:rPr>
        <w:tab/>
      </w:r>
      <w:r w:rsidR="007A48D8" w:rsidRPr="0082481C">
        <w:rPr>
          <w:rFonts w:eastAsia="Malgun Gothic"/>
        </w:rPr>
        <w:t>Please provide updated information on:</w:t>
      </w:r>
    </w:p>
    <w:p w:rsidR="007A48D8" w:rsidRPr="0082481C" w:rsidRDefault="001B4222" w:rsidP="001B4222">
      <w:pPr>
        <w:pStyle w:val="SingleTxtG"/>
        <w:ind w:firstLine="567"/>
        <w:rPr>
          <w:rFonts w:eastAsia="Malgun Gothic"/>
          <w:lang w:eastAsia="ko-KR"/>
        </w:rPr>
      </w:pPr>
      <w:r w:rsidRPr="0082481C">
        <w:rPr>
          <w:rFonts w:eastAsia="Malgun Gothic"/>
          <w:lang w:eastAsia="ko-KR"/>
        </w:rPr>
        <w:t>(a)</w:t>
      </w:r>
      <w:r w:rsidRPr="0082481C">
        <w:rPr>
          <w:rFonts w:eastAsia="Malgun Gothic"/>
          <w:lang w:eastAsia="ko-KR"/>
        </w:rPr>
        <w:tab/>
      </w:r>
      <w:r w:rsidR="007A48D8" w:rsidRPr="0082481C">
        <w:rPr>
          <w:rFonts w:eastAsia="Malgun Gothic"/>
          <w:lang w:eastAsia="ko-KR"/>
        </w:rPr>
        <w:t>Educational and training programmes of law enforcement personnel, penitentiary staff and staff of detention centres, members of the judiciary and prosecutors as well as consular officers on the State party’s obligations under the Convention;</w:t>
      </w:r>
    </w:p>
    <w:p w:rsidR="007A48D8" w:rsidRPr="0082481C" w:rsidRDefault="001B4222" w:rsidP="0063505E">
      <w:pPr>
        <w:pStyle w:val="SingleTxtG"/>
        <w:ind w:firstLine="567"/>
        <w:rPr>
          <w:rFonts w:eastAsia="Malgun Gothic"/>
          <w:lang w:eastAsia="ko-KR"/>
        </w:rPr>
      </w:pPr>
      <w:r w:rsidRPr="0082481C">
        <w:rPr>
          <w:rFonts w:eastAsia="Malgun Gothic"/>
          <w:lang w:eastAsia="ko-KR"/>
        </w:rPr>
        <w:t>(b)</w:t>
      </w:r>
      <w:r w:rsidRPr="0082481C">
        <w:rPr>
          <w:rFonts w:eastAsia="Malgun Gothic"/>
          <w:lang w:eastAsia="ko-KR"/>
        </w:rPr>
        <w:tab/>
      </w:r>
      <w:r w:rsidR="007A48D8" w:rsidRPr="0082481C">
        <w:rPr>
          <w:rFonts w:eastAsia="Malgun Gothic"/>
          <w:lang w:eastAsia="ko-KR"/>
        </w:rPr>
        <w:t xml:space="preserve">The training of forensic doctors and medical personnel, especially on the use of the Istanbul Protocol; </w:t>
      </w:r>
    </w:p>
    <w:p w:rsidR="007A48D8" w:rsidRPr="0082481C" w:rsidRDefault="001B4222" w:rsidP="001B4222">
      <w:pPr>
        <w:pStyle w:val="SingleTxtG"/>
        <w:ind w:firstLine="567"/>
        <w:rPr>
          <w:rFonts w:eastAsia="Malgun Gothic"/>
          <w:lang w:eastAsia="ko-KR"/>
        </w:rPr>
      </w:pPr>
      <w:r w:rsidRPr="0082481C">
        <w:rPr>
          <w:rFonts w:eastAsia="Malgun Gothic"/>
          <w:lang w:eastAsia="ko-KR"/>
        </w:rPr>
        <w:t>(c)</w:t>
      </w:r>
      <w:r w:rsidRPr="0082481C">
        <w:rPr>
          <w:rFonts w:eastAsia="Malgun Gothic"/>
          <w:lang w:eastAsia="ko-KR"/>
        </w:rPr>
        <w:tab/>
      </w:r>
      <w:r w:rsidR="007A48D8" w:rsidRPr="0082481C">
        <w:rPr>
          <w:rFonts w:eastAsia="Malgun Gothic"/>
          <w:lang w:eastAsia="ko-KR"/>
        </w:rPr>
        <w:t>Steps taken to develop and implement a methodology to evaluate the implementation of its training/educational programmes and its effectiveness and impact on the reduction of cases of torture and ill-treatment. Please provide information on the content and implementation of such methodology as well as on the results of the implemented measures.</w:t>
      </w:r>
    </w:p>
    <w:p w:rsidR="007A48D8" w:rsidRPr="0082481C" w:rsidRDefault="00B74B47" w:rsidP="001B4222">
      <w:pPr>
        <w:pStyle w:val="H23G"/>
        <w:rPr>
          <w:rFonts w:eastAsia="Malgun Gothic"/>
        </w:rPr>
      </w:pPr>
      <w:r w:rsidRPr="0082481C">
        <w:rPr>
          <w:rFonts w:eastAsia="Malgun Gothic"/>
        </w:rPr>
        <w:tab/>
      </w:r>
      <w:r w:rsidRPr="0082481C">
        <w:rPr>
          <w:rFonts w:eastAsia="Malgun Gothic"/>
        </w:rPr>
        <w:tab/>
      </w:r>
      <w:r w:rsidR="007A48D8" w:rsidRPr="0082481C">
        <w:rPr>
          <w:rFonts w:eastAsia="Malgun Gothic"/>
        </w:rPr>
        <w:t xml:space="preserve">Article 11 </w:t>
      </w:r>
    </w:p>
    <w:p w:rsidR="007A48D8" w:rsidRPr="0082481C" w:rsidRDefault="001B4222" w:rsidP="00B74B47">
      <w:pPr>
        <w:pStyle w:val="SingleTxtG"/>
        <w:rPr>
          <w:rFonts w:eastAsia="Malgun Gothic"/>
        </w:rPr>
      </w:pPr>
      <w:r w:rsidRPr="0082481C">
        <w:rPr>
          <w:rFonts w:eastAsia="Malgun Gothic"/>
        </w:rPr>
        <w:t>20.</w:t>
      </w:r>
      <w:r w:rsidRPr="0082481C">
        <w:rPr>
          <w:rFonts w:eastAsia="Malgun Gothic"/>
        </w:rPr>
        <w:tab/>
      </w:r>
      <w:r w:rsidR="007A48D8" w:rsidRPr="0082481C">
        <w:rPr>
          <w:rFonts w:eastAsia="Malgun Gothic"/>
        </w:rPr>
        <w:t>Please indicate how the State party has kept under systematic review interrogation rules, instructions, methods and practices as well as arrangements for the custody and treatment of persons subjected to any form of arrest, detention or imprisonment with a view to preventing any cases of torture. Please indicate any relevant amendments to these rules and instructions.</w:t>
      </w:r>
    </w:p>
    <w:p w:rsidR="007A48D8" w:rsidRPr="0082481C" w:rsidRDefault="001B4222" w:rsidP="00050D84">
      <w:pPr>
        <w:pStyle w:val="SingleTxtG"/>
        <w:rPr>
          <w:rFonts w:eastAsia="Malgun Gothic"/>
        </w:rPr>
      </w:pPr>
      <w:r w:rsidRPr="0082481C">
        <w:rPr>
          <w:rFonts w:eastAsia="Malgun Gothic"/>
        </w:rPr>
        <w:t>21.</w:t>
      </w:r>
      <w:r w:rsidRPr="0082481C">
        <w:rPr>
          <w:rFonts w:eastAsia="Malgun Gothic"/>
        </w:rPr>
        <w:tab/>
      </w:r>
      <w:r w:rsidR="007A48D8" w:rsidRPr="0082481C">
        <w:rPr>
          <w:rFonts w:eastAsia="Malgun Gothic"/>
        </w:rPr>
        <w:t>Please provide updated information on the impact of various program</w:t>
      </w:r>
      <w:r w:rsidR="00E82D50" w:rsidRPr="0082481C">
        <w:rPr>
          <w:rFonts w:eastAsia="Malgun Gothic"/>
        </w:rPr>
        <w:t>me</w:t>
      </w:r>
      <w:r w:rsidR="007A48D8" w:rsidRPr="0082481C">
        <w:rPr>
          <w:rFonts w:eastAsia="Malgun Gothic"/>
        </w:rPr>
        <w:t xml:space="preserve">s, including </w:t>
      </w:r>
      <w:r w:rsidR="007A48D8" w:rsidRPr="0082481C">
        <w:rPr>
          <w:rFonts w:eastAsia="Malgun Gothic"/>
          <w:lang w:eastAsia="ko-KR"/>
        </w:rPr>
        <w:t>the Segregation Intervention Strategy (SIS),</w:t>
      </w:r>
      <w:r w:rsidR="007A48D8" w:rsidRPr="0082481C">
        <w:rPr>
          <w:rFonts w:eastAsia="Malgun Gothic"/>
        </w:rPr>
        <w:t xml:space="preserve"> undertaken by the State party in reducing major inter-prisoner violent incidents in detention facilities.</w:t>
      </w:r>
      <w:r w:rsidR="007A48D8" w:rsidRPr="0082481C">
        <w:rPr>
          <w:rFonts w:eastAsia="Malgun Gothic"/>
          <w:sz w:val="18"/>
          <w:vertAlign w:val="superscript"/>
        </w:rPr>
        <w:footnoteReference w:id="19"/>
      </w:r>
      <w:r w:rsidR="007A48D8" w:rsidRPr="0082481C">
        <w:rPr>
          <w:rFonts w:eastAsia="Malgun Gothic"/>
        </w:rPr>
        <w:t xml:space="preserve"> </w:t>
      </w:r>
      <w:r w:rsidR="00050D84" w:rsidRPr="0082481C">
        <w:rPr>
          <w:rFonts w:eastAsia="Malgun Gothic"/>
        </w:rPr>
        <w:t>P</w:t>
      </w:r>
      <w:r w:rsidR="007A48D8" w:rsidRPr="0082481C">
        <w:rPr>
          <w:rFonts w:eastAsia="Malgun Gothic"/>
        </w:rPr>
        <w:t xml:space="preserve">lease </w:t>
      </w:r>
      <w:r w:rsidR="00050D84" w:rsidRPr="0082481C">
        <w:rPr>
          <w:rFonts w:eastAsia="Malgun Gothic"/>
        </w:rPr>
        <w:t xml:space="preserve">also </w:t>
      </w:r>
      <w:r w:rsidR="007A48D8" w:rsidRPr="0082481C">
        <w:rPr>
          <w:rFonts w:eastAsia="Malgun Gothic"/>
        </w:rPr>
        <w:t>provide (a) statistical data on complaints, investigations, prosecutions, convictions and penalties imposed for such incidents, and (b) the number of prisoners in Canadian prison facilities as well as the degree to which the number of prisoners in each facility exceeds design capacities.</w:t>
      </w:r>
    </w:p>
    <w:p w:rsidR="007A48D8" w:rsidRPr="0082481C" w:rsidRDefault="001B4222" w:rsidP="00B74B47">
      <w:pPr>
        <w:pStyle w:val="SingleTxtG"/>
        <w:rPr>
          <w:rFonts w:eastAsia="Malgun Gothic"/>
        </w:rPr>
      </w:pPr>
      <w:r w:rsidRPr="0082481C">
        <w:rPr>
          <w:rFonts w:eastAsia="Malgun Gothic"/>
        </w:rPr>
        <w:t>22.</w:t>
      </w:r>
      <w:r w:rsidRPr="0082481C">
        <w:rPr>
          <w:rFonts w:eastAsia="Malgun Gothic"/>
        </w:rPr>
        <w:tab/>
      </w:r>
      <w:r w:rsidR="007A48D8" w:rsidRPr="0082481C">
        <w:rPr>
          <w:rFonts w:eastAsia="Malgun Gothic"/>
        </w:rPr>
        <w:t xml:space="preserve">Please </w:t>
      </w:r>
      <w:r w:rsidR="007A48D8" w:rsidRPr="0082481C">
        <w:rPr>
          <w:rFonts w:eastAsia="Malgun Gothic"/>
          <w:lang w:eastAsia="ko-KR"/>
        </w:rPr>
        <w:t>provide information</w:t>
      </w:r>
      <w:r w:rsidR="007A48D8" w:rsidRPr="0082481C">
        <w:rPr>
          <w:rFonts w:eastAsia="Malgun Gothic"/>
        </w:rPr>
        <w:t xml:space="preserve"> on the progress made in implementing </w:t>
      </w:r>
      <w:r w:rsidR="0082481C" w:rsidRPr="0082481C">
        <w:rPr>
          <w:rFonts w:eastAsia="Malgun Gothic"/>
        </w:rPr>
        <w:t xml:space="preserve">the </w:t>
      </w:r>
      <w:r w:rsidR="007A48D8" w:rsidRPr="0082481C">
        <w:rPr>
          <w:rFonts w:eastAsia="Malgun Gothic"/>
        </w:rPr>
        <w:t xml:space="preserve">109 recommendations of the Report of the Correctional Service of Canada (CSC) Independent Review Panel, released in 2007 (State party’s report, para.66). </w:t>
      </w:r>
    </w:p>
    <w:p w:rsidR="007A48D8" w:rsidRPr="0082481C" w:rsidRDefault="001B4222" w:rsidP="00B74B47">
      <w:pPr>
        <w:pStyle w:val="SingleTxtG"/>
        <w:rPr>
          <w:rFonts w:eastAsia="Malgun Gothic"/>
        </w:rPr>
      </w:pPr>
      <w:r w:rsidRPr="0082481C">
        <w:rPr>
          <w:rFonts w:eastAsia="Malgun Gothic"/>
        </w:rPr>
        <w:t>23.</w:t>
      </w:r>
      <w:r w:rsidRPr="0082481C">
        <w:rPr>
          <w:rFonts w:eastAsia="Malgun Gothic"/>
        </w:rPr>
        <w:tab/>
      </w:r>
      <w:r w:rsidR="007A48D8" w:rsidRPr="0082481C">
        <w:rPr>
          <w:rFonts w:eastAsia="Malgun Gothic"/>
        </w:rPr>
        <w:t>Please address the situation of women prisoner</w:t>
      </w:r>
      <w:r w:rsidR="001D7DDA" w:rsidRPr="0082481C">
        <w:rPr>
          <w:rFonts w:eastAsia="Malgun Gothic"/>
        </w:rPr>
        <w:t>s</w:t>
      </w:r>
      <w:r w:rsidR="007A48D8" w:rsidRPr="0082481C">
        <w:rPr>
          <w:rFonts w:eastAsia="Malgun Gothic"/>
        </w:rPr>
        <w:t xml:space="preserve"> and the State party’s cross-gender staffing policy in correctional services system. Please provide updated information on whether an external redress and oversight mechanism for federal women prisoners has been established and whether girls are continued to be held in mixed-sex youth detention </w:t>
      </w:r>
      <w:r w:rsidR="001D7DDA" w:rsidRPr="0082481C">
        <w:rPr>
          <w:rFonts w:eastAsia="Malgun Gothic"/>
        </w:rPr>
        <w:t>centres</w:t>
      </w:r>
      <w:r w:rsidR="007A48D8" w:rsidRPr="0082481C">
        <w:rPr>
          <w:rFonts w:eastAsia="Malgun Gothic"/>
        </w:rPr>
        <w:t>.</w:t>
      </w:r>
      <w:r w:rsidR="007A48D8" w:rsidRPr="0082481C">
        <w:rPr>
          <w:rFonts w:eastAsia="Malgun Gothic"/>
          <w:sz w:val="18"/>
          <w:vertAlign w:val="superscript"/>
        </w:rPr>
        <w:footnoteReference w:id="20"/>
      </w:r>
      <w:r w:rsidR="007A48D8" w:rsidRPr="0082481C">
        <w:rPr>
          <w:rFonts w:eastAsia="Malgun Gothic"/>
        </w:rPr>
        <w:t xml:space="preserve"> </w:t>
      </w:r>
    </w:p>
    <w:p w:rsidR="007A48D8" w:rsidRPr="0082481C" w:rsidRDefault="00B74B47" w:rsidP="00B74B47">
      <w:pPr>
        <w:pStyle w:val="H23G"/>
        <w:rPr>
          <w:rFonts w:eastAsia="Malgun Gothic"/>
          <w:lang w:eastAsia="ko-KR"/>
        </w:rPr>
      </w:pPr>
      <w:r w:rsidRPr="0082481C">
        <w:rPr>
          <w:rFonts w:eastAsia="Malgun Gothic"/>
        </w:rPr>
        <w:tab/>
      </w:r>
      <w:r w:rsidRPr="0082481C">
        <w:rPr>
          <w:rFonts w:eastAsia="Malgun Gothic"/>
        </w:rPr>
        <w:tab/>
      </w:r>
      <w:r w:rsidR="007A48D8" w:rsidRPr="0082481C">
        <w:rPr>
          <w:rFonts w:eastAsia="Malgun Gothic"/>
        </w:rPr>
        <w:t>Article</w:t>
      </w:r>
      <w:r w:rsidR="007A48D8" w:rsidRPr="0082481C">
        <w:rPr>
          <w:rFonts w:eastAsia="Malgun Gothic"/>
          <w:lang w:eastAsia="ko-KR"/>
        </w:rPr>
        <w:t>s</w:t>
      </w:r>
      <w:r w:rsidR="007A48D8" w:rsidRPr="0082481C">
        <w:rPr>
          <w:rFonts w:eastAsia="Malgun Gothic"/>
        </w:rPr>
        <w:t xml:space="preserve"> 12</w:t>
      </w:r>
      <w:r w:rsidR="007A48D8" w:rsidRPr="0082481C">
        <w:rPr>
          <w:rFonts w:eastAsia="Malgun Gothic"/>
          <w:lang w:eastAsia="ko-KR"/>
        </w:rPr>
        <w:t xml:space="preserve"> and 13</w:t>
      </w:r>
    </w:p>
    <w:p w:rsidR="007A48D8" w:rsidRPr="0082481C" w:rsidRDefault="00186E69" w:rsidP="0063505E">
      <w:pPr>
        <w:pStyle w:val="SingleTxtG"/>
        <w:rPr>
          <w:rFonts w:eastAsia="Malgun Gothic"/>
        </w:rPr>
      </w:pPr>
      <w:r w:rsidRPr="0082481C">
        <w:rPr>
          <w:rFonts w:eastAsia="Malgun Gothic"/>
          <w:color w:val="1F497D"/>
        </w:rPr>
        <w:t>24</w:t>
      </w:r>
      <w:r w:rsidR="001B4222" w:rsidRPr="0082481C">
        <w:rPr>
          <w:rFonts w:eastAsia="Malgun Gothic"/>
          <w:color w:val="1F497D"/>
        </w:rPr>
        <w:t>.</w:t>
      </w:r>
      <w:r w:rsidR="001B4222" w:rsidRPr="0082481C">
        <w:rPr>
          <w:rFonts w:eastAsia="Malgun Gothic"/>
        </w:rPr>
        <w:tab/>
      </w:r>
      <w:r w:rsidR="007A48D8" w:rsidRPr="0082481C">
        <w:rPr>
          <w:rFonts w:eastAsia="Malgun Gothic"/>
        </w:rPr>
        <w:t>In light of</w:t>
      </w:r>
      <w:r w:rsidR="001D7DDA" w:rsidRPr="0082481C">
        <w:rPr>
          <w:rFonts w:eastAsia="Malgun Gothic"/>
        </w:rPr>
        <w:t xml:space="preserve"> paragraph 5(i) of</w:t>
      </w:r>
      <w:r w:rsidR="007A48D8" w:rsidRPr="0082481C">
        <w:rPr>
          <w:rFonts w:eastAsia="Malgun Gothic"/>
        </w:rPr>
        <w:t xml:space="preserve"> the Committee’s previous </w:t>
      </w:r>
      <w:r w:rsidR="00241142" w:rsidRPr="0082481C">
        <w:rPr>
          <w:rFonts w:eastAsia="Malgun Gothic"/>
        </w:rPr>
        <w:t>recommendations</w:t>
      </w:r>
      <w:r w:rsidR="007A48D8" w:rsidRPr="0082481C">
        <w:rPr>
          <w:rFonts w:eastAsia="Malgun Gothic"/>
        </w:rPr>
        <w:t>, please provide updated information on:</w:t>
      </w:r>
    </w:p>
    <w:p w:rsidR="007A48D8" w:rsidRPr="0082481C" w:rsidRDefault="001B4222" w:rsidP="001D7DDA">
      <w:pPr>
        <w:pStyle w:val="SingleTxtG"/>
        <w:ind w:firstLine="567"/>
        <w:rPr>
          <w:rFonts w:eastAsia="Malgun Gothic"/>
          <w:lang w:eastAsia="ko-KR"/>
        </w:rPr>
      </w:pPr>
      <w:r w:rsidRPr="0082481C">
        <w:rPr>
          <w:rFonts w:eastAsia="Malgun Gothic"/>
          <w:lang w:eastAsia="ko-KR"/>
        </w:rPr>
        <w:t>(a)</w:t>
      </w:r>
      <w:r w:rsidRPr="0082481C">
        <w:rPr>
          <w:rFonts w:eastAsia="Malgun Gothic"/>
          <w:lang w:eastAsia="ko-KR"/>
        </w:rPr>
        <w:tab/>
      </w:r>
      <w:r w:rsidR="007A48D8" w:rsidRPr="0082481C">
        <w:rPr>
          <w:rFonts w:eastAsia="Malgun Gothic"/>
          <w:lang w:eastAsia="ko-KR"/>
        </w:rPr>
        <w:t>The competence of the Commission for Public Complaints Against the Royal Canadian Mounted Police (RCMP) to investigate and report on all activities of the RCMP falling within its complaint mandate;</w:t>
      </w:r>
    </w:p>
    <w:p w:rsidR="007A48D8" w:rsidRPr="0082481C" w:rsidRDefault="001B4222" w:rsidP="00B74B47">
      <w:pPr>
        <w:pStyle w:val="SingleTxtG"/>
        <w:ind w:firstLine="567"/>
        <w:rPr>
          <w:rFonts w:eastAsia="Malgun Gothic"/>
          <w:lang w:eastAsia="ko-KR"/>
        </w:rPr>
      </w:pPr>
      <w:r w:rsidRPr="0082481C">
        <w:rPr>
          <w:rFonts w:eastAsia="Malgun Gothic"/>
          <w:lang w:eastAsia="ko-KR"/>
        </w:rPr>
        <w:t>(b)</w:t>
      </w:r>
      <w:r w:rsidRPr="0082481C">
        <w:rPr>
          <w:rFonts w:eastAsia="Malgun Gothic"/>
          <w:lang w:eastAsia="ko-KR"/>
        </w:rPr>
        <w:tab/>
      </w:r>
      <w:r w:rsidR="007A48D8" w:rsidRPr="0082481C">
        <w:rPr>
          <w:rFonts w:eastAsia="Malgun Gothic"/>
          <w:lang w:eastAsia="ko-KR"/>
        </w:rPr>
        <w:t>Measures taken to ensure that external, independent mechanisms exist for the investigation of complaints regarding the conduct of law enforcement personnel in all jurisdictions.</w:t>
      </w:r>
      <w:r w:rsidR="007A48D8" w:rsidRPr="0082481C">
        <w:rPr>
          <w:rFonts w:eastAsia="Malgun Gothic"/>
          <w:sz w:val="18"/>
          <w:vertAlign w:val="superscript"/>
          <w:lang w:eastAsia="ko-KR"/>
        </w:rPr>
        <w:footnoteReference w:id="21"/>
      </w:r>
    </w:p>
    <w:p w:rsidR="007A48D8" w:rsidRPr="0082481C" w:rsidRDefault="00186E69" w:rsidP="00B74B47">
      <w:pPr>
        <w:pStyle w:val="SingleTxtG"/>
        <w:rPr>
          <w:rFonts w:eastAsia="Malgun Gothic"/>
        </w:rPr>
      </w:pPr>
      <w:r w:rsidRPr="0082481C">
        <w:rPr>
          <w:rFonts w:eastAsia="Malgun Gothic"/>
          <w:color w:val="1F497D"/>
        </w:rPr>
        <w:t>25</w:t>
      </w:r>
      <w:r w:rsidR="001B4222" w:rsidRPr="0082481C">
        <w:rPr>
          <w:rFonts w:eastAsia="Malgun Gothic"/>
          <w:color w:val="1F497D"/>
        </w:rPr>
        <w:t>.</w:t>
      </w:r>
      <w:r w:rsidR="001B4222" w:rsidRPr="0082481C">
        <w:rPr>
          <w:rFonts w:eastAsia="Malgun Gothic"/>
        </w:rPr>
        <w:tab/>
      </w:r>
      <w:r w:rsidR="007A48D8" w:rsidRPr="0082481C">
        <w:rPr>
          <w:rFonts w:eastAsia="Malgun Gothic"/>
        </w:rPr>
        <w:t>Please provide detailed information about the status of implementing several recommendations made by Justice Dennis O’Connor following of the Commission of Inquiry into the case of Maher Arar (State party</w:t>
      </w:r>
      <w:r w:rsidR="004A6816" w:rsidRPr="0082481C">
        <w:rPr>
          <w:rFonts w:eastAsia="Malgun Gothic"/>
        </w:rPr>
        <w:t>’s</w:t>
      </w:r>
      <w:r w:rsidR="007A48D8" w:rsidRPr="0082481C">
        <w:rPr>
          <w:rFonts w:eastAsia="Malgun Gothic"/>
        </w:rPr>
        <w:t xml:space="preserve"> report, para.20), in particular as to the establishment of a comprehensive review and oversight mechanism for security and intelligence operations in Canada. Has the State party prepared an implementation plan with a timeline for all of these recommendations? What measures would prevent Canadian officials from repeating the acts that led to this transfer and alleged complicity in the abuses while he was in custody in </w:t>
      </w:r>
      <w:smartTag w:uri="urn:schemas-microsoft-com:office:smarttags" w:element="place">
        <w:smartTag w:uri="urn:schemas-microsoft-com:office:smarttags" w:element="country-region">
          <w:r w:rsidR="007A48D8" w:rsidRPr="0082481C">
            <w:rPr>
              <w:rFonts w:eastAsia="Malgun Gothic"/>
            </w:rPr>
            <w:t>Syria</w:t>
          </w:r>
        </w:smartTag>
      </w:smartTag>
      <w:r w:rsidR="007A48D8" w:rsidRPr="0082481C">
        <w:rPr>
          <w:rFonts w:eastAsia="Malgun Gothic"/>
        </w:rPr>
        <w:t>.</w:t>
      </w:r>
      <w:r w:rsidR="007A48D8" w:rsidRPr="0082481C">
        <w:rPr>
          <w:rFonts w:eastAsia="Malgun Gothic"/>
          <w:sz w:val="18"/>
          <w:vertAlign w:val="superscript"/>
          <w:lang w:eastAsia="ko-KR"/>
        </w:rPr>
        <w:footnoteReference w:id="22"/>
      </w:r>
      <w:r w:rsidR="007A48D8" w:rsidRPr="0082481C">
        <w:rPr>
          <w:rFonts w:eastAsia="Malgun Gothic"/>
          <w:lang w:eastAsia="ko-KR"/>
        </w:rPr>
        <w:t xml:space="preserve"> </w:t>
      </w:r>
    </w:p>
    <w:p w:rsidR="007A48D8" w:rsidRPr="0082481C" w:rsidRDefault="00186E69" w:rsidP="0063505E">
      <w:pPr>
        <w:pStyle w:val="SingleTxtG"/>
        <w:rPr>
          <w:rFonts w:eastAsia="Malgun Gothic"/>
        </w:rPr>
      </w:pPr>
      <w:r w:rsidRPr="0082481C">
        <w:rPr>
          <w:rFonts w:eastAsia="Malgun Gothic"/>
          <w:color w:val="1F497D"/>
        </w:rPr>
        <w:t>26</w:t>
      </w:r>
      <w:r w:rsidR="001B4222" w:rsidRPr="0082481C">
        <w:rPr>
          <w:rFonts w:eastAsia="Malgun Gothic"/>
          <w:color w:val="1F497D"/>
        </w:rPr>
        <w:t>.</w:t>
      </w:r>
      <w:r w:rsidR="001B4222" w:rsidRPr="0082481C">
        <w:rPr>
          <w:rFonts w:eastAsia="Malgun Gothic"/>
        </w:rPr>
        <w:tab/>
      </w:r>
      <w:r w:rsidR="007A48D8" w:rsidRPr="0082481C">
        <w:rPr>
          <w:rFonts w:eastAsia="Malgun Gothic"/>
        </w:rPr>
        <w:t xml:space="preserve">Please provide information about the outcomes of the inquiry into the case of three Arab-Canadians, carried out by former Supreme Court Justice Frank Iaccobucci, and the efforts made by the State party to guarantee the </w:t>
      </w:r>
      <w:r w:rsidR="007A48D8" w:rsidRPr="0082481C">
        <w:rPr>
          <w:rFonts w:eastAsia="Malgun Gothic"/>
          <w:lang w:eastAsia="ko-KR"/>
        </w:rPr>
        <w:t xml:space="preserve">independent, public and </w:t>
      </w:r>
      <w:r w:rsidR="007A48D8" w:rsidRPr="0082481C">
        <w:rPr>
          <w:rFonts w:eastAsia="Malgun Gothic"/>
        </w:rPr>
        <w:t>transpar</w:t>
      </w:r>
      <w:r w:rsidR="007A48D8" w:rsidRPr="0082481C">
        <w:rPr>
          <w:rFonts w:eastAsia="Malgun Gothic"/>
          <w:lang w:eastAsia="ko-KR"/>
        </w:rPr>
        <w:t>ent in</w:t>
      </w:r>
      <w:r w:rsidR="007A48D8" w:rsidRPr="0082481C">
        <w:rPr>
          <w:rFonts w:eastAsia="Malgun Gothic"/>
        </w:rPr>
        <w:t>quiry and to implement his recommendations. According to the information before the Committee, the men affected and their lawyers were shut out of the process</w:t>
      </w:r>
      <w:r w:rsidR="007A48D8" w:rsidRPr="0082481C">
        <w:rPr>
          <w:rFonts w:eastAsia="Malgun Gothic"/>
          <w:lang w:eastAsia="ko-KR"/>
        </w:rPr>
        <w:t xml:space="preserve"> </w:t>
      </w:r>
      <w:r w:rsidR="007A48D8" w:rsidRPr="0082481C">
        <w:rPr>
          <w:rFonts w:eastAsia="Malgun Gothic"/>
        </w:rPr>
        <w:t>and have had no access to information.</w:t>
      </w:r>
      <w:r w:rsidR="007A48D8" w:rsidRPr="0082481C">
        <w:rPr>
          <w:rFonts w:eastAsia="Malgun Gothic"/>
          <w:lang w:eastAsia="ko-KR"/>
        </w:rPr>
        <w:t xml:space="preserve"> Please comment on this allegation and also outline </w:t>
      </w:r>
      <w:r w:rsidR="007A48D8" w:rsidRPr="0082481C">
        <w:rPr>
          <w:rFonts w:eastAsia="Malgun Gothic"/>
          <w:bCs/>
        </w:rPr>
        <w:t xml:space="preserve">any relevant cases in this regard, including the </w:t>
      </w:r>
      <w:r w:rsidR="007A48D8" w:rsidRPr="0082481C">
        <w:rPr>
          <w:rFonts w:eastAsia="Malgun Gothic"/>
          <w:bCs/>
          <w:i/>
          <w:iCs/>
        </w:rPr>
        <w:t>Khadr</w:t>
      </w:r>
      <w:r w:rsidR="007A48D8" w:rsidRPr="0082481C">
        <w:rPr>
          <w:rFonts w:eastAsia="Malgun Gothic"/>
          <w:bCs/>
        </w:rPr>
        <w:t xml:space="preserve"> case mentioned in the Committee’s </w:t>
      </w:r>
      <w:r w:rsidR="0063505E" w:rsidRPr="0082481C">
        <w:rPr>
          <w:rFonts w:eastAsia="Malgun Gothic"/>
          <w:bCs/>
        </w:rPr>
        <w:t>follow</w:t>
      </w:r>
      <w:r w:rsidR="007A48D8" w:rsidRPr="0082481C">
        <w:rPr>
          <w:rFonts w:eastAsia="Malgun Gothic"/>
          <w:bCs/>
        </w:rPr>
        <w:t xml:space="preserve">-up </w:t>
      </w:r>
      <w:r w:rsidR="0063505E" w:rsidRPr="0082481C">
        <w:rPr>
          <w:rFonts w:eastAsia="Malgun Gothic"/>
          <w:bCs/>
        </w:rPr>
        <w:t xml:space="preserve">letter </w:t>
      </w:r>
      <w:r w:rsidR="007A48D8" w:rsidRPr="0082481C">
        <w:rPr>
          <w:rFonts w:eastAsia="Malgun Gothic"/>
          <w:bCs/>
        </w:rPr>
        <w:t>of 29 April 2009, and any measures taken to remedy rights of nationals to whom access was improperly restricted while in detention</w:t>
      </w:r>
      <w:r w:rsidR="007A48D8" w:rsidRPr="0082481C">
        <w:rPr>
          <w:rFonts w:eastAsia="Malgun Gothic"/>
          <w:lang w:eastAsia="ko-KR"/>
        </w:rPr>
        <w:t xml:space="preserve">. </w:t>
      </w:r>
    </w:p>
    <w:p w:rsidR="007A48D8" w:rsidRPr="0082481C" w:rsidRDefault="00B74B47" w:rsidP="00B74B47">
      <w:pPr>
        <w:pStyle w:val="H23G"/>
        <w:rPr>
          <w:rFonts w:eastAsia="Malgun Gothic"/>
        </w:rPr>
      </w:pPr>
      <w:r w:rsidRPr="0082481C">
        <w:rPr>
          <w:rFonts w:eastAsia="Malgun Gothic"/>
        </w:rPr>
        <w:tab/>
      </w:r>
      <w:r w:rsidRPr="0082481C">
        <w:rPr>
          <w:rFonts w:eastAsia="Malgun Gothic"/>
        </w:rPr>
        <w:tab/>
      </w:r>
      <w:r w:rsidR="007A48D8" w:rsidRPr="0082481C">
        <w:rPr>
          <w:rFonts w:eastAsia="Malgun Gothic"/>
        </w:rPr>
        <w:t xml:space="preserve">Article 14 </w:t>
      </w:r>
    </w:p>
    <w:p w:rsidR="007A48D8" w:rsidRPr="0082481C" w:rsidRDefault="00186E69" w:rsidP="0063505E">
      <w:pPr>
        <w:pStyle w:val="SingleTxtG"/>
        <w:rPr>
          <w:rFonts w:eastAsia="Malgun Gothic"/>
        </w:rPr>
      </w:pPr>
      <w:r w:rsidRPr="0082481C">
        <w:rPr>
          <w:rFonts w:eastAsia="Malgun Gothic"/>
          <w:color w:val="1F497D"/>
        </w:rPr>
        <w:t>27</w:t>
      </w:r>
      <w:r w:rsidR="001B4222" w:rsidRPr="0082481C">
        <w:rPr>
          <w:rFonts w:eastAsia="Malgun Gothic"/>
          <w:color w:val="1F497D"/>
        </w:rPr>
        <w:t>.</w:t>
      </w:r>
      <w:r w:rsidR="001B4222" w:rsidRPr="0082481C">
        <w:rPr>
          <w:rFonts w:eastAsia="Malgun Gothic"/>
        </w:rPr>
        <w:tab/>
      </w:r>
      <w:r w:rsidR="007A48D8" w:rsidRPr="0082481C">
        <w:rPr>
          <w:rFonts w:eastAsia="Malgun Gothic"/>
        </w:rPr>
        <w:t xml:space="preserve">In light of </w:t>
      </w:r>
      <w:r w:rsidR="001D7DDA" w:rsidRPr="0082481C">
        <w:rPr>
          <w:rFonts w:eastAsia="Malgun Gothic"/>
        </w:rPr>
        <w:t xml:space="preserve">paragraph 5(f) of </w:t>
      </w:r>
      <w:r w:rsidR="007A48D8" w:rsidRPr="0082481C">
        <w:rPr>
          <w:rFonts w:eastAsia="Malgun Gothic"/>
        </w:rPr>
        <w:t>the Committee’s previous</w:t>
      </w:r>
      <w:r w:rsidR="0063505E" w:rsidRPr="0082481C">
        <w:rPr>
          <w:rFonts w:eastAsia="Malgun Gothic"/>
        </w:rPr>
        <w:t xml:space="preserve"> </w:t>
      </w:r>
      <w:r w:rsidR="004A6816" w:rsidRPr="0082481C">
        <w:rPr>
          <w:rFonts w:eastAsia="Malgun Gothic"/>
        </w:rPr>
        <w:t>recommendations</w:t>
      </w:r>
      <w:r w:rsidR="007A48D8" w:rsidRPr="0082481C">
        <w:rPr>
          <w:rFonts w:eastAsia="Malgun Gothic"/>
        </w:rPr>
        <w:t>, please provide updated information on measures taken to ensure the provision of compensation through its civil jurisdiction to all victims of torture.</w:t>
      </w:r>
      <w:r w:rsidR="007A48D8" w:rsidRPr="0082481C">
        <w:rPr>
          <w:rFonts w:eastAsia="Malgun Gothic"/>
          <w:sz w:val="18"/>
          <w:vertAlign w:val="superscript"/>
        </w:rPr>
        <w:footnoteReference w:id="23"/>
      </w:r>
      <w:r w:rsidR="007A48D8" w:rsidRPr="0082481C">
        <w:rPr>
          <w:rFonts w:eastAsia="Malgun Gothic"/>
        </w:rPr>
        <w:t xml:space="preserve"> Please include the number of requests filed, the number granted, and the amounts ordered and those actually provided in each case.</w:t>
      </w:r>
    </w:p>
    <w:p w:rsidR="006D6682" w:rsidRPr="0082481C" w:rsidRDefault="006D6682" w:rsidP="00B74B47">
      <w:pPr>
        <w:pStyle w:val="H23G"/>
        <w:rPr>
          <w:rFonts w:eastAsia="Malgun Gothic"/>
        </w:rPr>
      </w:pPr>
      <w:r w:rsidRPr="0082481C">
        <w:rPr>
          <w:rFonts w:eastAsia="Malgun Gothic"/>
        </w:rPr>
        <w:tab/>
      </w:r>
      <w:r w:rsidRPr="0082481C">
        <w:rPr>
          <w:rFonts w:eastAsia="Malgun Gothic"/>
        </w:rPr>
        <w:tab/>
        <w:t>Article 16</w:t>
      </w:r>
    </w:p>
    <w:p w:rsidR="006D6682" w:rsidRPr="0082481C" w:rsidRDefault="006D6682" w:rsidP="005B1BDC">
      <w:pPr>
        <w:rPr>
          <w:rFonts w:eastAsia="Malgun Gothic"/>
        </w:rPr>
      </w:pPr>
    </w:p>
    <w:p w:rsidR="00186E69" w:rsidRPr="0082481C" w:rsidRDefault="00186E69" w:rsidP="00186E69">
      <w:pPr>
        <w:pStyle w:val="SingleTxtG"/>
        <w:rPr>
          <w:rFonts w:eastAsia="Malgun Gothic"/>
        </w:rPr>
      </w:pPr>
      <w:r w:rsidRPr="0082481C">
        <w:rPr>
          <w:rFonts w:eastAsia="Malgun Gothic"/>
          <w:color w:val="1F497D"/>
        </w:rPr>
        <w:t>28.</w:t>
      </w:r>
      <w:r w:rsidRPr="0082481C">
        <w:rPr>
          <w:rFonts w:eastAsia="Malgun Gothic"/>
        </w:rPr>
        <w:tab/>
        <w:t>Please provide information on measures taken to adopt legislation to remove the existing authorization of the use of “reasonable force” in disciplining children and explicitly prohibit all forms of violence against children within the family, in schools and in other institutions where children may be placed.</w:t>
      </w:r>
      <w:r w:rsidRPr="0082481C">
        <w:rPr>
          <w:rFonts w:eastAsia="Malgun Gothic"/>
          <w:sz w:val="18"/>
          <w:vertAlign w:val="superscript"/>
        </w:rPr>
        <w:footnoteReference w:id="24"/>
      </w:r>
      <w:r w:rsidRPr="0082481C">
        <w:rPr>
          <w:rFonts w:eastAsia="Malgun Gothic"/>
        </w:rPr>
        <w:t xml:space="preserve"> Has this led to </w:t>
      </w:r>
      <w:smartTag w:uri="urn:schemas-microsoft-com:office:smarttags" w:element="place">
        <w:smartTag w:uri="urn:schemas-microsoft-com:office:smarttags" w:element="country-region">
          <w:r w:rsidRPr="0082481C">
            <w:rPr>
              <w:rFonts w:eastAsia="Malgun Gothic"/>
            </w:rPr>
            <w:t>Canada</w:t>
          </w:r>
        </w:smartTag>
      </w:smartTag>
      <w:r w:rsidRPr="0082481C">
        <w:rPr>
          <w:rFonts w:eastAsia="Malgun Gothic"/>
        </w:rPr>
        <w:t>’s repeal of Section 43 of the Criminal Code, as recommended repeatedly by the Committee on the Rights of the Child (CRC/C/15/Add.215, para.32)?</w:t>
      </w:r>
      <w:r w:rsidRPr="0082481C">
        <w:rPr>
          <w:rFonts w:eastAsia="Malgun Gothic"/>
          <w:sz w:val="18"/>
          <w:vertAlign w:val="superscript"/>
        </w:rPr>
        <w:footnoteReference w:id="25"/>
      </w:r>
      <w:r w:rsidR="00F77602" w:rsidRPr="0082481C">
        <w:rPr>
          <w:rFonts w:eastAsia="Malgun Gothic"/>
        </w:rPr>
        <w:t xml:space="preserve"> </w:t>
      </w:r>
      <w:r w:rsidRPr="0082481C">
        <w:rPr>
          <w:rFonts w:eastAsia="Malgun Gothic"/>
        </w:rPr>
        <w:t>What prosecutions, convictions and remedial measures have been taken against those found responsible and how has the State party ensured that those responsible are removed from schools and institutions so the alleged acts cannot be repeated?</w:t>
      </w:r>
    </w:p>
    <w:p w:rsidR="00186E69" w:rsidRPr="0082481C" w:rsidRDefault="00186E69" w:rsidP="0063505E">
      <w:pPr>
        <w:pStyle w:val="SingleTxtG"/>
        <w:rPr>
          <w:rFonts w:eastAsia="Malgun Gothic"/>
        </w:rPr>
      </w:pPr>
      <w:r w:rsidRPr="0082481C">
        <w:rPr>
          <w:rFonts w:eastAsia="Malgun Gothic"/>
          <w:color w:val="1F497D"/>
        </w:rPr>
        <w:t>29.</w:t>
      </w:r>
      <w:r w:rsidRPr="0082481C">
        <w:rPr>
          <w:rFonts w:eastAsia="Malgun Gothic"/>
        </w:rPr>
        <w:tab/>
        <w:t xml:space="preserve">In light of </w:t>
      </w:r>
      <w:r w:rsidR="001D7DDA" w:rsidRPr="0082481C">
        <w:rPr>
          <w:rFonts w:eastAsia="Malgun Gothic"/>
        </w:rPr>
        <w:t xml:space="preserve">paragraph 5(h) of </w:t>
      </w:r>
      <w:r w:rsidRPr="0082481C">
        <w:rPr>
          <w:rFonts w:eastAsia="Malgun Gothic"/>
        </w:rPr>
        <w:t xml:space="preserve">the Committee’s previous </w:t>
      </w:r>
      <w:r w:rsidR="00050D84" w:rsidRPr="0082481C">
        <w:rPr>
          <w:rFonts w:eastAsia="Malgun Gothic"/>
        </w:rPr>
        <w:t>recommendations</w:t>
      </w:r>
      <w:r w:rsidRPr="0082481C">
        <w:rPr>
          <w:rFonts w:eastAsia="Malgun Gothic"/>
        </w:rPr>
        <w:t xml:space="preserve"> and the State party’s acceptance of the recommendation made in the course of the </w:t>
      </w:r>
      <w:r w:rsidR="001D7DDA" w:rsidRPr="0082481C">
        <w:rPr>
          <w:rFonts w:eastAsia="Malgun Gothic"/>
        </w:rPr>
        <w:t xml:space="preserve">universal periodic review </w:t>
      </w:r>
      <w:r w:rsidRPr="0082481C">
        <w:rPr>
          <w:rFonts w:eastAsia="Malgun Gothic"/>
        </w:rPr>
        <w:t>(A/HRC/11/17/Add.1, para.55), please provide detailed information on whether the State party has conducted a public and independent study and a policy review of continued allegations of use of excessive force by the police, including inappropriate use of chemical, irritant, incapacitating and mechanical weapons, often in the context of crowd control at federal and provincial levels.</w:t>
      </w:r>
      <w:r w:rsidRPr="0082481C">
        <w:rPr>
          <w:rFonts w:eastAsia="Malgun Gothic"/>
          <w:sz w:val="18"/>
          <w:vertAlign w:val="superscript"/>
        </w:rPr>
        <w:footnoteReference w:id="26"/>
      </w:r>
      <w:r w:rsidRPr="0082481C">
        <w:rPr>
          <w:rFonts w:eastAsia="Malgun Gothic"/>
          <w:vertAlign w:val="superscript"/>
        </w:rPr>
        <w:t xml:space="preserve"> </w:t>
      </w:r>
      <w:r w:rsidRPr="0082481C">
        <w:rPr>
          <w:rFonts w:eastAsia="Malgun Gothic"/>
        </w:rPr>
        <w:t>Furthermore, please provide information on:</w:t>
      </w:r>
    </w:p>
    <w:p w:rsidR="00186E69" w:rsidRPr="0082481C" w:rsidRDefault="00186E69" w:rsidP="00D26C82">
      <w:pPr>
        <w:pStyle w:val="SingleTxtG"/>
        <w:ind w:firstLine="567"/>
        <w:rPr>
          <w:rFonts w:eastAsia="Malgun Gothic"/>
          <w:lang w:eastAsia="ko-KR"/>
        </w:rPr>
      </w:pPr>
      <w:r w:rsidRPr="0082481C">
        <w:rPr>
          <w:rFonts w:eastAsia="Malgun Gothic"/>
          <w:lang w:eastAsia="ko-KR"/>
        </w:rPr>
        <w:t>(a)</w:t>
      </w:r>
      <w:r w:rsidRPr="0082481C">
        <w:rPr>
          <w:rFonts w:eastAsia="Malgun Gothic"/>
          <w:lang w:eastAsia="ko-KR"/>
        </w:rPr>
        <w:tab/>
        <w:t xml:space="preserve">The outcomes of the investigation into allegations of police misconduct and </w:t>
      </w:r>
      <w:r w:rsidR="00D26C82" w:rsidRPr="0082481C">
        <w:rPr>
          <w:rFonts w:eastAsia="Malgun Gothic"/>
          <w:lang w:eastAsia="ko-KR"/>
        </w:rPr>
        <w:t>ill-treatment</w:t>
      </w:r>
      <w:r w:rsidRPr="0082481C">
        <w:rPr>
          <w:rFonts w:eastAsia="Malgun Gothic"/>
          <w:lang w:eastAsia="ko-KR"/>
        </w:rPr>
        <w:t xml:space="preserve"> during land-related protests at </w:t>
      </w:r>
      <w:smartTag w:uri="urn:schemas-microsoft-com:office:smarttags" w:element="place">
        <w:smartTag w:uri="urn:schemas-microsoft-com:office:smarttags" w:element="City">
          <w:r w:rsidRPr="0082481C">
            <w:rPr>
              <w:rFonts w:eastAsia="Malgun Gothic"/>
              <w:lang w:eastAsia="ko-KR"/>
            </w:rPr>
            <w:t>Tyendinaga</w:t>
          </w:r>
        </w:smartTag>
        <w:r w:rsidRPr="0082481C">
          <w:rPr>
            <w:rFonts w:eastAsia="Malgun Gothic"/>
            <w:lang w:eastAsia="ko-KR"/>
          </w:rPr>
          <w:t xml:space="preserve">, </w:t>
        </w:r>
        <w:smartTag w:uri="urn:schemas-microsoft-com:office:smarttags" w:element="State">
          <w:r w:rsidRPr="0082481C">
            <w:rPr>
              <w:rFonts w:eastAsia="Malgun Gothic"/>
              <w:lang w:eastAsia="ko-KR"/>
            </w:rPr>
            <w:t>Ontario</w:t>
          </w:r>
        </w:smartTag>
      </w:smartTag>
      <w:r w:rsidRPr="0082481C">
        <w:rPr>
          <w:rFonts w:eastAsia="Malgun Gothic"/>
          <w:lang w:eastAsia="ko-KR"/>
        </w:rPr>
        <w:t xml:space="preserve">. </w:t>
      </w:r>
      <w:r w:rsidR="00050D84" w:rsidRPr="0082481C">
        <w:rPr>
          <w:rFonts w:eastAsia="Malgun Gothic"/>
          <w:lang w:eastAsia="ko-KR"/>
        </w:rPr>
        <w:t>P</w:t>
      </w:r>
      <w:r w:rsidRPr="0082481C">
        <w:rPr>
          <w:rFonts w:eastAsia="Malgun Gothic"/>
          <w:lang w:eastAsia="ko-KR"/>
        </w:rPr>
        <w:t xml:space="preserve">lease </w:t>
      </w:r>
      <w:r w:rsidR="00050D84" w:rsidRPr="0082481C">
        <w:rPr>
          <w:rFonts w:eastAsia="Malgun Gothic"/>
          <w:lang w:eastAsia="ko-KR"/>
        </w:rPr>
        <w:t xml:space="preserve">also </w:t>
      </w:r>
      <w:r w:rsidRPr="0082481C">
        <w:rPr>
          <w:rFonts w:eastAsia="Malgun Gothic"/>
          <w:lang w:eastAsia="ko-KR"/>
        </w:rPr>
        <w:t>indicate steps taken to implement the recommendations of the Ipperwash Inquiry following its examination in the killing of an unarmed indigenous man involved in a land protest by an Ontario Provincial Police sharpshooter;</w:t>
      </w:r>
      <w:r w:rsidR="004D2719">
        <w:rPr>
          <w:rFonts w:eastAsia="Malgun Gothic"/>
          <w:lang w:eastAsia="ko-KR"/>
        </w:rPr>
        <w:t xml:space="preserve"> </w:t>
      </w:r>
    </w:p>
    <w:p w:rsidR="00186E69" w:rsidRPr="0082481C" w:rsidRDefault="00186E69" w:rsidP="00186E69">
      <w:pPr>
        <w:pStyle w:val="SingleTxtG"/>
        <w:ind w:firstLine="567"/>
        <w:rPr>
          <w:rFonts w:eastAsia="Malgun Gothic"/>
          <w:lang w:eastAsia="ko-KR"/>
        </w:rPr>
      </w:pPr>
      <w:r w:rsidRPr="0082481C">
        <w:rPr>
          <w:rFonts w:eastAsia="Malgun Gothic"/>
          <w:lang w:eastAsia="ko-KR"/>
        </w:rPr>
        <w:t>(b)</w:t>
      </w:r>
      <w:r w:rsidRPr="0082481C">
        <w:rPr>
          <w:rFonts w:eastAsia="Malgun Gothic"/>
          <w:lang w:eastAsia="ko-KR"/>
        </w:rPr>
        <w:tab/>
        <w:t xml:space="preserve">The policing response to large scale public protests in </w:t>
      </w:r>
      <w:smartTag w:uri="urn:schemas-microsoft-com:office:smarttags" w:element="City">
        <w:r w:rsidRPr="0082481C">
          <w:rPr>
            <w:rFonts w:eastAsia="Malgun Gothic"/>
            <w:lang w:eastAsia="ko-KR"/>
          </w:rPr>
          <w:t>Toronto</w:t>
        </w:r>
      </w:smartTag>
      <w:r w:rsidRPr="0082481C">
        <w:rPr>
          <w:rFonts w:eastAsia="Malgun Gothic"/>
          <w:lang w:eastAsia="ko-KR"/>
        </w:rPr>
        <w:t xml:space="preserve"> when </w:t>
      </w:r>
      <w:smartTag w:uri="urn:schemas-microsoft-com:office:smarttags" w:element="place">
        <w:smartTag w:uri="urn:schemas-microsoft-com:office:smarttags" w:element="country-region">
          <w:r w:rsidRPr="0082481C">
            <w:rPr>
              <w:rFonts w:eastAsia="Malgun Gothic"/>
              <w:lang w:eastAsia="ko-KR"/>
            </w:rPr>
            <w:t>Canada</w:t>
          </w:r>
        </w:smartTag>
      </w:smartTag>
      <w:r w:rsidRPr="0082481C">
        <w:rPr>
          <w:rFonts w:eastAsia="Malgun Gothic"/>
          <w:lang w:eastAsia="ko-KR"/>
        </w:rPr>
        <w:t xml:space="preserve"> hosted the G8 and G20 Summits in June 2010. Please indicate to what extent the State party has carried out a public inquiry to examine all aspects of the security operation; </w:t>
      </w:r>
    </w:p>
    <w:p w:rsidR="00186E69" w:rsidRPr="0082481C" w:rsidRDefault="00186E69" w:rsidP="00186E69">
      <w:pPr>
        <w:pStyle w:val="SingleTxtG"/>
        <w:ind w:firstLine="567"/>
        <w:rPr>
          <w:rFonts w:eastAsia="Malgun Gothic"/>
          <w:lang w:eastAsia="ko-KR"/>
        </w:rPr>
      </w:pPr>
      <w:r w:rsidRPr="0082481C">
        <w:rPr>
          <w:rFonts w:eastAsia="Malgun Gothic"/>
          <w:lang w:eastAsia="ko-KR"/>
        </w:rPr>
        <w:t>(c)</w:t>
      </w:r>
      <w:r w:rsidRPr="0082481C">
        <w:rPr>
          <w:rFonts w:eastAsia="Malgun Gothic"/>
          <w:lang w:eastAsia="ko-KR"/>
        </w:rPr>
        <w:tab/>
        <w:t xml:space="preserve">The outcomes of investigation into </w:t>
      </w:r>
      <w:r w:rsidR="00C52869" w:rsidRPr="0082481C">
        <w:rPr>
          <w:rFonts w:eastAsia="Malgun Gothic"/>
          <w:lang w:eastAsia="ko-KR"/>
        </w:rPr>
        <w:t xml:space="preserve">the </w:t>
      </w:r>
      <w:r w:rsidRPr="0082481C">
        <w:rPr>
          <w:rFonts w:eastAsia="Malgun Gothic"/>
          <w:lang w:eastAsia="ko-KR"/>
        </w:rPr>
        <w:t xml:space="preserve">death of individuals after being tasered, including the case of Robert Dziekanski who died after being hit by a Taser gun from the Royal Canadian Mounted Police (RCMP) on 14 October 2007 at Vancouver International Airport; </w:t>
      </w:r>
    </w:p>
    <w:p w:rsidR="00186E69" w:rsidRPr="0082481C" w:rsidRDefault="00186E69" w:rsidP="001D7DDA">
      <w:pPr>
        <w:pStyle w:val="SingleTxtG"/>
        <w:ind w:firstLine="567"/>
        <w:rPr>
          <w:rFonts w:eastAsia="Malgun Gothic"/>
          <w:lang w:eastAsia="ko-KR"/>
        </w:rPr>
      </w:pPr>
      <w:r w:rsidRPr="0082481C">
        <w:rPr>
          <w:rFonts w:eastAsia="Malgun Gothic"/>
          <w:lang w:eastAsia="ko-KR"/>
        </w:rPr>
        <w:t>(d)</w:t>
      </w:r>
      <w:r w:rsidRPr="0082481C">
        <w:rPr>
          <w:rFonts w:eastAsia="Malgun Gothic"/>
          <w:lang w:eastAsia="ko-KR"/>
        </w:rPr>
        <w:tab/>
        <w:t xml:space="preserve">The State party’s view on reports before the Committee regarding the lack of training of law enforcement personnel on </w:t>
      </w:r>
      <w:r w:rsidR="007D50C6" w:rsidRPr="0082481C">
        <w:rPr>
          <w:rFonts w:eastAsia="Malgun Gothic"/>
          <w:lang w:eastAsia="ko-KR"/>
        </w:rPr>
        <w:t xml:space="preserve">the </w:t>
      </w:r>
      <w:r w:rsidRPr="0082481C">
        <w:rPr>
          <w:rFonts w:eastAsia="Malgun Gothic"/>
          <w:lang w:eastAsia="ko-KR"/>
        </w:rPr>
        <w:t xml:space="preserve">use of tasers; </w:t>
      </w:r>
    </w:p>
    <w:p w:rsidR="00186E69" w:rsidRPr="0082481C" w:rsidRDefault="00186E69" w:rsidP="00186E69">
      <w:pPr>
        <w:pStyle w:val="SingleTxtG"/>
        <w:ind w:firstLine="567"/>
        <w:rPr>
          <w:rFonts w:eastAsia="Malgun Gothic"/>
          <w:lang w:eastAsia="ko-KR"/>
        </w:rPr>
      </w:pPr>
      <w:r w:rsidRPr="0082481C">
        <w:rPr>
          <w:rFonts w:eastAsia="Malgun Gothic"/>
          <w:lang w:eastAsia="ko-KR"/>
        </w:rPr>
        <w:t>(e)</w:t>
      </w:r>
      <w:r w:rsidRPr="0082481C">
        <w:rPr>
          <w:rFonts w:eastAsia="Malgun Gothic"/>
          <w:lang w:eastAsia="ko-KR"/>
        </w:rPr>
        <w:tab/>
        <w:t xml:space="preserve">Statistical data on any complaints, investigations, prosecutions, convictions and penalties imposed for alleged excessive use of force by law enforcement personnel. </w:t>
      </w:r>
    </w:p>
    <w:p w:rsidR="007A48D8" w:rsidRPr="0082481C" w:rsidRDefault="007A48D8" w:rsidP="00B74B47">
      <w:pPr>
        <w:pStyle w:val="H23G"/>
        <w:rPr>
          <w:rFonts w:eastAsia="Malgun Gothic"/>
        </w:rPr>
      </w:pPr>
      <w:r w:rsidRPr="0082481C">
        <w:rPr>
          <w:rFonts w:eastAsia="Malgun Gothic"/>
        </w:rPr>
        <w:tab/>
      </w:r>
      <w:r w:rsidRPr="0082481C">
        <w:rPr>
          <w:rFonts w:eastAsia="Malgun Gothic"/>
        </w:rPr>
        <w:tab/>
        <w:t>Other issues</w:t>
      </w:r>
    </w:p>
    <w:p w:rsidR="007A48D8" w:rsidRPr="0082481C" w:rsidRDefault="001B4222" w:rsidP="00050D84">
      <w:pPr>
        <w:pStyle w:val="SingleTxtG"/>
        <w:rPr>
          <w:rFonts w:eastAsia="Malgun Gothic"/>
        </w:rPr>
      </w:pPr>
      <w:r w:rsidRPr="0082481C">
        <w:rPr>
          <w:rFonts w:eastAsia="Malgun Gothic"/>
        </w:rPr>
        <w:t>30.</w:t>
      </w:r>
      <w:r w:rsidRPr="0082481C">
        <w:rPr>
          <w:rFonts w:eastAsia="Malgun Gothic"/>
        </w:rPr>
        <w:tab/>
      </w:r>
      <w:r w:rsidR="007A48D8" w:rsidRPr="0082481C">
        <w:rPr>
          <w:rFonts w:eastAsia="Malgun Gothic"/>
        </w:rPr>
        <w:t>Please update the Committee with information on whether and how the Anti-terrorism Act and other anti-terrorism measures have affected human rights safeguards in law and practice and how those measures comply with the State party’s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7A48D8" w:rsidRPr="0082481C" w:rsidRDefault="001B4222" w:rsidP="006A08F5">
      <w:pPr>
        <w:pStyle w:val="SingleTxtG"/>
        <w:rPr>
          <w:rFonts w:eastAsia="Malgun Gothic"/>
        </w:rPr>
      </w:pPr>
      <w:r w:rsidRPr="0082481C">
        <w:rPr>
          <w:rFonts w:eastAsia="Malgun Gothic"/>
        </w:rPr>
        <w:t>31.</w:t>
      </w:r>
      <w:r w:rsidRPr="0082481C">
        <w:rPr>
          <w:rFonts w:eastAsia="Malgun Gothic"/>
        </w:rPr>
        <w:tab/>
      </w:r>
      <w:r w:rsidR="007A48D8" w:rsidRPr="0082481C">
        <w:rPr>
          <w:rFonts w:eastAsia="Malgun Gothic"/>
        </w:rPr>
        <w:t xml:space="preserve">With reference to paragraphs 13-14 of the State party’s report, please </w:t>
      </w:r>
      <w:r w:rsidR="006A08F5" w:rsidRPr="0082481C">
        <w:rPr>
          <w:rFonts w:eastAsia="Malgun Gothic"/>
        </w:rPr>
        <w:t xml:space="preserve">inform </w:t>
      </w:r>
      <w:r w:rsidR="007A48D8" w:rsidRPr="0082481C">
        <w:rPr>
          <w:rFonts w:eastAsia="Malgun Gothic"/>
        </w:rPr>
        <w:t xml:space="preserve">whether the amended Anti-terrorism Act includes an explicit anti-discrimination clause and a more precise definition of terrorism, as recommended by the </w:t>
      </w:r>
      <w:hyperlink r:id="rId8" w:tooltip="The CERD monitors the International Convention on the Elimination of All Forms of Racial Discrimination." w:history="1">
        <w:r w:rsidR="007A48D8" w:rsidRPr="0082481C">
          <w:rPr>
            <w:rFonts w:eastAsia="Malgun Gothic"/>
          </w:rPr>
          <w:t xml:space="preserve">Committee on the Elimination of Racial Discrimination </w:t>
        </w:r>
      </w:hyperlink>
      <w:r w:rsidR="007A48D8" w:rsidRPr="0082481C">
        <w:rPr>
          <w:rFonts w:eastAsia="Malgun Gothic"/>
        </w:rPr>
        <w:t>(</w:t>
      </w:r>
      <w:hyperlink r:id="rId9" w:history="1">
        <w:r w:rsidR="007A48D8" w:rsidRPr="0082481C">
          <w:rPr>
            <w:rFonts w:eastAsia="Malgun Gothic"/>
          </w:rPr>
          <w:t>CERD/C/CAN/CO/18</w:t>
        </w:r>
      </w:hyperlink>
      <w:r w:rsidR="007A48D8" w:rsidRPr="0082481C">
        <w:rPr>
          <w:rFonts w:eastAsia="Malgun Gothic"/>
        </w:rPr>
        <w:t xml:space="preserve">, para.14) and the </w:t>
      </w:r>
      <w:hyperlink r:id="rId10" w:tooltip="The Human Rights Committee monitors the International Covenant on Civil and Political Rights." w:history="1">
        <w:r w:rsidR="007A48D8" w:rsidRPr="0082481C">
          <w:rPr>
            <w:rFonts w:eastAsia="Malgun Gothic"/>
          </w:rPr>
          <w:t>Human Rights Committee</w:t>
        </w:r>
      </w:hyperlink>
      <w:r w:rsidR="007A48D8" w:rsidRPr="0082481C">
        <w:rPr>
          <w:rFonts w:eastAsia="Malgun Gothic"/>
        </w:rPr>
        <w:t xml:space="preserve"> (</w:t>
      </w:r>
      <w:hyperlink r:id="rId11" w:history="1">
        <w:r w:rsidR="007A48D8" w:rsidRPr="0082481C">
          <w:rPr>
            <w:rFonts w:eastAsia="Malgun Gothic"/>
          </w:rPr>
          <w:t>CCPR/C/CAN/CO/5</w:t>
        </w:r>
      </w:hyperlink>
      <w:r w:rsidR="007A48D8" w:rsidRPr="0082481C">
        <w:rPr>
          <w:rFonts w:eastAsia="Malgun Gothic"/>
        </w:rPr>
        <w:t>, para.12</w:t>
      </w:r>
      <w:r w:rsidR="007A48D8" w:rsidRPr="0082481C">
        <w:rPr>
          <w:rFonts w:eastAsia="Malgun Gothic"/>
          <w:sz w:val="18"/>
          <w:szCs w:val="18"/>
        </w:rPr>
        <w:t>)</w:t>
      </w:r>
      <w:r w:rsidR="007A48D8" w:rsidRPr="0082481C">
        <w:rPr>
          <w:rFonts w:eastAsia="Malgun Gothic"/>
        </w:rPr>
        <w:t>.</w:t>
      </w:r>
      <w:r w:rsidR="007A48D8" w:rsidRPr="0082481C">
        <w:rPr>
          <w:rFonts w:eastAsia="Malgun Gothic"/>
          <w:sz w:val="18"/>
          <w:vertAlign w:val="superscript"/>
        </w:rPr>
        <w:t xml:space="preserve"> </w:t>
      </w:r>
      <w:r w:rsidR="007A48D8" w:rsidRPr="0082481C">
        <w:rPr>
          <w:rFonts w:eastAsia="Malgun Gothic"/>
          <w:sz w:val="18"/>
          <w:vertAlign w:val="superscript"/>
        </w:rPr>
        <w:footnoteReference w:id="27"/>
      </w:r>
      <w:r w:rsidR="007A48D8" w:rsidRPr="0082481C">
        <w:rPr>
          <w:rFonts w:eastAsia="Malgun Gothic"/>
        </w:rPr>
        <w:t xml:space="preserve"> </w:t>
      </w:r>
    </w:p>
    <w:p w:rsidR="007A48D8" w:rsidRPr="0082481C" w:rsidRDefault="001B4222" w:rsidP="00B74B47">
      <w:pPr>
        <w:pStyle w:val="SingleTxtG"/>
        <w:rPr>
          <w:rFonts w:eastAsia="Malgun Gothic"/>
          <w:bCs/>
        </w:rPr>
      </w:pPr>
      <w:r w:rsidRPr="0082481C">
        <w:rPr>
          <w:rFonts w:eastAsia="Malgun Gothic"/>
          <w:bCs/>
        </w:rPr>
        <w:t>32.</w:t>
      </w:r>
      <w:r w:rsidRPr="0082481C">
        <w:rPr>
          <w:rFonts w:eastAsia="Malgun Gothic"/>
          <w:bCs/>
        </w:rPr>
        <w:tab/>
      </w:r>
      <w:r w:rsidR="007A48D8" w:rsidRPr="0082481C">
        <w:rPr>
          <w:rFonts w:eastAsia="Malgun Gothic"/>
        </w:rPr>
        <w:t>What measures have been taken to ensure independent review of all cases of Canadian citizens</w:t>
      </w:r>
      <w:r w:rsidR="007A48D8" w:rsidRPr="0082481C">
        <w:rPr>
          <w:rFonts w:eastAsia="Malgun Gothic"/>
          <w:bCs/>
        </w:rPr>
        <w:t xml:space="preserve"> </w:t>
      </w:r>
      <w:r w:rsidR="007A48D8" w:rsidRPr="0082481C">
        <w:rPr>
          <w:rFonts w:eastAsia="Malgun Gothic"/>
        </w:rPr>
        <w:t>who are suspected terrorists or suspected of possessing information relating to terrorism, and</w:t>
      </w:r>
      <w:r w:rsidR="007A48D8" w:rsidRPr="0082481C">
        <w:rPr>
          <w:rFonts w:eastAsia="Malgun Gothic"/>
          <w:bCs/>
        </w:rPr>
        <w:t xml:space="preserve"> </w:t>
      </w:r>
      <w:r w:rsidR="007A48D8" w:rsidRPr="0082481C">
        <w:rPr>
          <w:rFonts w:eastAsia="Malgun Gothic"/>
        </w:rPr>
        <w:t>who have been detained in countries where it is feared they have undergone or may undergo</w:t>
      </w:r>
      <w:r w:rsidR="007A48D8" w:rsidRPr="0082481C">
        <w:rPr>
          <w:rFonts w:eastAsia="Malgun Gothic"/>
          <w:bCs/>
        </w:rPr>
        <w:t xml:space="preserve"> </w:t>
      </w:r>
      <w:r w:rsidR="007A48D8" w:rsidRPr="0082481C">
        <w:rPr>
          <w:rFonts w:eastAsia="Malgun Gothic"/>
        </w:rPr>
        <w:t>torture or ill-treatment?</w:t>
      </w:r>
      <w:r w:rsidR="007A48D8" w:rsidRPr="0082481C">
        <w:rPr>
          <w:rFonts w:eastAsia="Malgun Gothic"/>
          <w:sz w:val="18"/>
          <w:vertAlign w:val="superscript"/>
        </w:rPr>
        <w:footnoteReference w:id="28"/>
      </w:r>
    </w:p>
    <w:p w:rsidR="007A48D8" w:rsidRPr="0082481C" w:rsidRDefault="001B4222" w:rsidP="006A08F5">
      <w:pPr>
        <w:pStyle w:val="SingleTxtG"/>
        <w:rPr>
          <w:rFonts w:eastAsia="Malgun Gothic"/>
        </w:rPr>
      </w:pPr>
      <w:r w:rsidRPr="0082481C">
        <w:rPr>
          <w:rFonts w:eastAsia="Malgun Gothic"/>
        </w:rPr>
        <w:t>33.</w:t>
      </w:r>
      <w:r w:rsidRPr="0082481C">
        <w:rPr>
          <w:rFonts w:eastAsia="Malgun Gothic"/>
        </w:rPr>
        <w:tab/>
      </w:r>
      <w:r w:rsidR="007A48D8" w:rsidRPr="0082481C">
        <w:rPr>
          <w:rFonts w:eastAsia="Malgun Gothic"/>
        </w:rPr>
        <w:t xml:space="preserve">In light of </w:t>
      </w:r>
      <w:r w:rsidR="0063505E" w:rsidRPr="0082481C">
        <w:rPr>
          <w:rFonts w:eastAsia="Malgun Gothic"/>
        </w:rPr>
        <w:t xml:space="preserve">paragraph 5(j) of the </w:t>
      </w:r>
      <w:r w:rsidR="007A48D8" w:rsidRPr="0082481C">
        <w:rPr>
          <w:rFonts w:eastAsia="Malgun Gothic"/>
        </w:rPr>
        <w:t>recommendations made by the Committee</w:t>
      </w:r>
      <w:r w:rsidR="004D2719">
        <w:rPr>
          <w:rFonts w:eastAsia="Malgun Gothic"/>
        </w:rPr>
        <w:t xml:space="preserve"> </w:t>
      </w:r>
      <w:r w:rsidR="007A48D8" w:rsidRPr="0082481C">
        <w:rPr>
          <w:rFonts w:eastAsia="Malgun Gothic"/>
        </w:rPr>
        <w:t xml:space="preserve">and by the </w:t>
      </w:r>
      <w:r w:rsidR="004A6816" w:rsidRPr="0082481C">
        <w:rPr>
          <w:rFonts w:eastAsia="Malgun Gothic"/>
        </w:rPr>
        <w:t xml:space="preserve">Working Group </w:t>
      </w:r>
      <w:r w:rsidR="001D7DDA" w:rsidRPr="0082481C">
        <w:rPr>
          <w:rFonts w:eastAsia="Malgun Gothic"/>
        </w:rPr>
        <w:t>o</w:t>
      </w:r>
      <w:r w:rsidR="004A6816" w:rsidRPr="0082481C">
        <w:rPr>
          <w:rFonts w:eastAsia="Malgun Gothic"/>
        </w:rPr>
        <w:t>n</w:t>
      </w:r>
      <w:r w:rsidR="001D7DDA" w:rsidRPr="0082481C">
        <w:rPr>
          <w:rFonts w:eastAsia="Malgun Gothic"/>
        </w:rPr>
        <w:t xml:space="preserve"> the </w:t>
      </w:r>
      <w:r w:rsidR="004A6816" w:rsidRPr="0082481C">
        <w:rPr>
          <w:rFonts w:eastAsia="Malgun Gothic"/>
        </w:rPr>
        <w:t>U</w:t>
      </w:r>
      <w:r w:rsidR="001D7DDA" w:rsidRPr="0082481C">
        <w:rPr>
          <w:rFonts w:eastAsia="Malgun Gothic"/>
        </w:rPr>
        <w:t xml:space="preserve">niversal </w:t>
      </w:r>
      <w:r w:rsidR="004A6816" w:rsidRPr="0082481C">
        <w:rPr>
          <w:rFonts w:eastAsia="Malgun Gothic"/>
        </w:rPr>
        <w:t>P</w:t>
      </w:r>
      <w:r w:rsidR="001D7DDA" w:rsidRPr="0082481C">
        <w:rPr>
          <w:rFonts w:eastAsia="Malgun Gothic"/>
        </w:rPr>
        <w:t xml:space="preserve">eriodic </w:t>
      </w:r>
      <w:r w:rsidR="004A6816" w:rsidRPr="0082481C">
        <w:rPr>
          <w:rFonts w:eastAsia="Malgun Gothic"/>
        </w:rPr>
        <w:t>Review</w:t>
      </w:r>
      <w:r w:rsidR="007A48D8" w:rsidRPr="0082481C">
        <w:rPr>
          <w:rFonts w:eastAsia="Malgun Gothic"/>
        </w:rPr>
        <w:t xml:space="preserve"> (A/HRC/11/17, para.86</w:t>
      </w:r>
      <w:r w:rsidR="00050D84" w:rsidRPr="0082481C">
        <w:rPr>
          <w:rFonts w:eastAsia="Malgun Gothic"/>
        </w:rPr>
        <w:t xml:space="preserve"> </w:t>
      </w:r>
      <w:r w:rsidR="007A48D8" w:rsidRPr="0082481C">
        <w:rPr>
          <w:rFonts w:eastAsia="Malgun Gothic"/>
        </w:rPr>
        <w:t>(2)) as well as the State party’s pledges made to the Human Rights Council in 2006, please update the Committee with the outcome of the long outstanding discussion on whether to ratify the Optional Protocol to the Convention. If the State party has not yet made a decision, please indicate (a) the outcome of the analysis on the implications of the ratification of the Optional Protocol in Canada and (b) steps taken to</w:t>
      </w:r>
      <w:r w:rsidR="004D2719">
        <w:rPr>
          <w:rFonts w:eastAsia="Malgun Gothic"/>
        </w:rPr>
        <w:t xml:space="preserve"> </w:t>
      </w:r>
      <w:r w:rsidR="007A48D8" w:rsidRPr="0082481C">
        <w:rPr>
          <w:rFonts w:eastAsia="Malgun Gothic"/>
        </w:rPr>
        <w:t>set up or designate a national mechanism which would conduct periodic visits to places of deprivation of liberty in order to prevent torture or other cruel, inhuman or degrading treatment or punishment.</w:t>
      </w:r>
      <w:r w:rsidR="007A48D8" w:rsidRPr="0082481C">
        <w:rPr>
          <w:rFonts w:eastAsia="Malgun Gothic"/>
          <w:sz w:val="18"/>
          <w:vertAlign w:val="superscript"/>
        </w:rPr>
        <w:footnoteReference w:id="29"/>
      </w:r>
      <w:r w:rsidR="007A48D8" w:rsidRPr="0082481C">
        <w:rPr>
          <w:rFonts w:eastAsia="Malgun Gothic"/>
        </w:rPr>
        <w:t xml:space="preserve"> </w:t>
      </w:r>
    </w:p>
    <w:p w:rsidR="007A48D8" w:rsidRPr="007A48D8" w:rsidRDefault="001B4222" w:rsidP="00B74B47">
      <w:pPr>
        <w:pStyle w:val="SingleTxtG"/>
        <w:rPr>
          <w:rFonts w:eastAsia="Malgun Gothic"/>
          <w:u w:val="single"/>
        </w:rPr>
      </w:pPr>
      <w:r w:rsidRPr="0082481C">
        <w:rPr>
          <w:rFonts w:eastAsia="Malgun Gothic"/>
        </w:rPr>
        <w:t>34.</w:t>
      </w:r>
      <w:r w:rsidRPr="0082481C">
        <w:rPr>
          <w:rFonts w:eastAsia="Malgun Gothic"/>
        </w:rPr>
        <w:tab/>
      </w:r>
      <w:r w:rsidR="007A48D8" w:rsidRPr="0082481C">
        <w:rPr>
          <w:rFonts w:eastAsia="Malgun Gothic"/>
        </w:rPr>
        <w:t>Please indicate if there is any legislation in place aimed at preventing and prohibiting the production, trade, export and use of equipment specifically designed to inflict torture or other cruel, inhuman or degrading treatment. If so, please provide information about the content and implementation of such legislation.</w:t>
      </w:r>
      <w:r w:rsidR="007A48D8" w:rsidRPr="0082481C">
        <w:rPr>
          <w:rFonts w:eastAsia="Malgun Gothic"/>
          <w:b/>
          <w:bCs/>
        </w:rPr>
        <w:t xml:space="preserve"> </w:t>
      </w:r>
      <w:r w:rsidR="007A48D8" w:rsidRPr="0082481C">
        <w:rPr>
          <w:rFonts w:eastAsia="Malgun Gothic"/>
        </w:rPr>
        <w:t xml:space="preserve">If not, please indicate whether the adoption of such legislation is under consideration and </w:t>
      </w:r>
      <w:r w:rsidR="00F77602" w:rsidRPr="0082481C">
        <w:rPr>
          <w:rFonts w:eastAsia="Malgun Gothic"/>
        </w:rPr>
        <w:t xml:space="preserve">whether </w:t>
      </w:r>
      <w:r w:rsidR="007A48D8" w:rsidRPr="0082481C">
        <w:rPr>
          <w:rFonts w:eastAsia="Malgun Gothic"/>
        </w:rPr>
        <w:t>any steps have been taken to demonstrate this commitment.</w:t>
      </w:r>
      <w:r w:rsidR="007A48D8" w:rsidRPr="007A48D8">
        <w:rPr>
          <w:rFonts w:eastAsia="Malgun Gothic"/>
        </w:rPr>
        <w:t xml:space="preserve"> </w:t>
      </w:r>
    </w:p>
    <w:p w:rsidR="00534F68" w:rsidRPr="00D51160" w:rsidRDefault="007A48D8" w:rsidP="007A48D8">
      <w:pPr>
        <w:pStyle w:val="H1G"/>
        <w:keepNext w:val="0"/>
        <w:keepLines w:val="0"/>
        <w:spacing w:before="240" w:after="0" w:line="240" w:lineRule="atLeast"/>
        <w:ind w:firstLine="0"/>
        <w:jc w:val="center"/>
        <w:rPr>
          <w:b w:val="0"/>
          <w:u w:val="single"/>
        </w:rPr>
      </w:pPr>
      <w:r w:rsidRPr="00D51160">
        <w:rPr>
          <w:b w:val="0"/>
          <w:u w:val="single"/>
        </w:rPr>
        <w:tab/>
      </w:r>
      <w:r w:rsidRPr="00D51160">
        <w:rPr>
          <w:b w:val="0"/>
          <w:u w:val="single"/>
        </w:rPr>
        <w:tab/>
      </w:r>
      <w:r w:rsidRPr="00D51160">
        <w:rPr>
          <w:b w:val="0"/>
          <w:u w:val="single"/>
        </w:rPr>
        <w:tab/>
      </w:r>
    </w:p>
    <w:sectPr w:rsidR="00534F68" w:rsidRPr="00D51160" w:rsidSect="00FD615B">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F00" w:rsidRDefault="009F3F00"/>
  </w:endnote>
  <w:endnote w:type="continuationSeparator" w:id="0">
    <w:p w:rsidR="009F3F00" w:rsidRDefault="009F3F00"/>
  </w:endnote>
  <w:endnote w:type="continuationNotice" w:id="1">
    <w:p w:rsidR="009F3F00" w:rsidRDefault="009F3F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Roman">
    <w:panose1 w:val="00000000000000000000"/>
    <w:charset w:val="FF"/>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B97" w:rsidRPr="00FD615B" w:rsidRDefault="00727B97"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D51160">
      <w:rPr>
        <w:b/>
        <w:noProof/>
        <w:sz w:val="18"/>
      </w:rPr>
      <w:t>8</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B97" w:rsidRPr="00FD615B" w:rsidRDefault="00727B97"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D51160">
      <w:rPr>
        <w:b/>
        <w:noProof/>
        <w:sz w:val="18"/>
      </w:rPr>
      <w:t>7</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B97" w:rsidRPr="00FD615B" w:rsidRDefault="00727B9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w:t>
    </w:r>
    <w:r w:rsidR="00614767">
      <w:t>2</w:t>
    </w:r>
    <w:r>
      <w:t>-</w:t>
    </w:r>
    <w:r w:rsidR="00D51160">
      <w:t>40042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F00" w:rsidRPr="000B175B" w:rsidRDefault="009F3F00" w:rsidP="000B175B">
      <w:pPr>
        <w:tabs>
          <w:tab w:val="right" w:pos="2155"/>
        </w:tabs>
        <w:spacing w:after="80"/>
        <w:ind w:left="680"/>
        <w:rPr>
          <w:u w:val="single"/>
        </w:rPr>
      </w:pPr>
      <w:r>
        <w:rPr>
          <w:u w:val="single"/>
        </w:rPr>
        <w:tab/>
      </w:r>
    </w:p>
  </w:footnote>
  <w:footnote w:type="continuationSeparator" w:id="0">
    <w:p w:rsidR="009F3F00" w:rsidRPr="00FC68B7" w:rsidRDefault="009F3F00" w:rsidP="00FC68B7">
      <w:pPr>
        <w:tabs>
          <w:tab w:val="left" w:pos="2155"/>
        </w:tabs>
        <w:spacing w:after="80"/>
        <w:ind w:left="680"/>
        <w:rPr>
          <w:u w:val="single"/>
        </w:rPr>
      </w:pPr>
      <w:r>
        <w:rPr>
          <w:u w:val="single"/>
        </w:rPr>
        <w:tab/>
      </w:r>
    </w:p>
  </w:footnote>
  <w:footnote w:type="continuationNotice" w:id="1">
    <w:p w:rsidR="009F3F00" w:rsidRDefault="009F3F00"/>
  </w:footnote>
  <w:footnote w:id="2">
    <w:p w:rsidR="00727B97" w:rsidRDefault="00727B97" w:rsidP="004D2719">
      <w:pPr>
        <w:pStyle w:val="FootnoteText"/>
        <w:adjustRightInd w:val="0"/>
        <w:snapToGrid w:val="0"/>
        <w:spacing w:after="20"/>
        <w:ind w:firstLine="0"/>
      </w:pPr>
      <w:r w:rsidRPr="00D0501B">
        <w:rPr>
          <w:szCs w:val="18"/>
          <w:vertAlign w:val="superscript"/>
          <w:lang w:val="en-US"/>
        </w:rPr>
        <w:footnoteRef/>
      </w:r>
      <w:r w:rsidRPr="00D0501B">
        <w:rPr>
          <w:szCs w:val="18"/>
          <w:lang w:val="en-US"/>
        </w:rPr>
        <w:t xml:space="preserve"> The issues raised under article 2 could imply also different articles of the Convention, including but not limited to article 16. As </w:t>
      </w:r>
      <w:r>
        <w:rPr>
          <w:szCs w:val="18"/>
          <w:lang w:val="en-US"/>
        </w:rPr>
        <w:t>g</w:t>
      </w:r>
      <w:r w:rsidRPr="00D0501B">
        <w:rPr>
          <w:szCs w:val="18"/>
          <w:lang w:val="en-US"/>
        </w:rPr>
        <w:t xml:space="preserve">eneral </w:t>
      </w:r>
      <w:r>
        <w:rPr>
          <w:szCs w:val="18"/>
          <w:lang w:val="en-US"/>
        </w:rPr>
        <w:t>c</w:t>
      </w:r>
      <w:r w:rsidRPr="00D0501B">
        <w:rPr>
          <w:szCs w:val="18"/>
          <w:lang w:val="en-US"/>
        </w:rPr>
        <w:t>ommen</w:t>
      </w:r>
      <w:r>
        <w:rPr>
          <w:szCs w:val="18"/>
          <w:lang w:val="en-US"/>
        </w:rPr>
        <w:t>t</w:t>
      </w:r>
      <w:r w:rsidRPr="00D0501B">
        <w:rPr>
          <w:szCs w:val="18"/>
          <w:lang w:val="en-US"/>
        </w:rPr>
        <w:t xml:space="preserve"> </w:t>
      </w:r>
      <w:r>
        <w:rPr>
          <w:szCs w:val="18"/>
          <w:lang w:val="en-US"/>
        </w:rPr>
        <w:t>No.2</w:t>
      </w:r>
      <w:r w:rsidRPr="00D0501B">
        <w:rPr>
          <w:szCs w:val="18"/>
          <w:lang w:val="en-US"/>
        </w:rPr>
        <w:t>, paragraph 3, states "</w:t>
      </w:r>
      <w:r>
        <w:rPr>
          <w:szCs w:val="18"/>
          <w:lang w:val="en-US"/>
        </w:rPr>
        <w:t>t</w:t>
      </w:r>
      <w:r w:rsidRPr="00D0501B">
        <w:rPr>
          <w:szCs w:val="18"/>
          <w:lang w:val="en-US"/>
        </w:rPr>
        <w: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w:t>
      </w:r>
      <w:r>
        <w:rPr>
          <w:szCs w:val="18"/>
          <w:lang w:val="en-US"/>
        </w:rPr>
        <w:t xml:space="preserve"> </w:t>
      </w:r>
      <w:r w:rsidRPr="00D0501B">
        <w:rPr>
          <w:szCs w:val="18"/>
          <w:lang w:val="en-US"/>
        </w:rPr>
        <w:t xml:space="preserve">... In practice, the definitional threshold between ill-treatment and torture is often not clear." See further </w:t>
      </w:r>
      <w:r>
        <w:rPr>
          <w:szCs w:val="18"/>
          <w:lang w:val="en-US"/>
        </w:rPr>
        <w:t>c</w:t>
      </w:r>
      <w:r w:rsidRPr="00D0501B">
        <w:rPr>
          <w:szCs w:val="18"/>
          <w:lang w:val="en-US"/>
        </w:rPr>
        <w:t xml:space="preserve">hapter V of the same </w:t>
      </w:r>
      <w:r>
        <w:rPr>
          <w:szCs w:val="18"/>
          <w:lang w:val="en-US"/>
        </w:rPr>
        <w:t>g</w:t>
      </w:r>
      <w:r w:rsidRPr="00D0501B">
        <w:rPr>
          <w:szCs w:val="18"/>
          <w:lang w:val="en-US"/>
        </w:rPr>
        <w:t xml:space="preserve">eneral </w:t>
      </w:r>
      <w:r>
        <w:rPr>
          <w:szCs w:val="18"/>
          <w:lang w:val="en-US"/>
        </w:rPr>
        <w:t>c</w:t>
      </w:r>
      <w:r w:rsidRPr="00D0501B">
        <w:rPr>
          <w:szCs w:val="18"/>
          <w:lang w:val="en-US"/>
        </w:rPr>
        <w:t>omment.</w:t>
      </w:r>
    </w:p>
  </w:footnote>
  <w:footnote w:id="3">
    <w:p w:rsidR="00727B97" w:rsidRPr="004D2719" w:rsidRDefault="00727B97" w:rsidP="00AB1530">
      <w:pPr>
        <w:pStyle w:val="FootnoteText"/>
        <w:adjustRightInd w:val="0"/>
        <w:snapToGrid w:val="0"/>
        <w:spacing w:after="20"/>
        <w:ind w:firstLine="0"/>
        <w:rPr>
          <w:lang w:val="en-US"/>
        </w:rPr>
      </w:pPr>
      <w:r w:rsidRPr="00D0501B">
        <w:rPr>
          <w:rStyle w:val="FootnoteReference"/>
        </w:rPr>
        <w:footnoteRef/>
      </w:r>
      <w:r w:rsidRPr="004D2719">
        <w:rPr>
          <w:lang w:val="en-US"/>
        </w:rPr>
        <w:t xml:space="preserve"> CAT/C/CAN/6, para.1. </w:t>
      </w:r>
    </w:p>
  </w:footnote>
  <w:footnote w:id="4">
    <w:p w:rsidR="00727B97" w:rsidRPr="00381768" w:rsidRDefault="00727B97" w:rsidP="00AB1530">
      <w:pPr>
        <w:pStyle w:val="FootnoteText"/>
        <w:adjustRightInd w:val="0"/>
        <w:snapToGrid w:val="0"/>
        <w:spacing w:after="20"/>
        <w:ind w:firstLine="0"/>
        <w:rPr>
          <w:lang w:val="es-ES"/>
        </w:rPr>
      </w:pPr>
      <w:r w:rsidRPr="00D0501B">
        <w:rPr>
          <w:rStyle w:val="FootnoteReference"/>
          <w:szCs w:val="18"/>
        </w:rPr>
        <w:footnoteRef/>
      </w:r>
      <w:r w:rsidRPr="00381768">
        <w:rPr>
          <w:szCs w:val="18"/>
          <w:lang w:val="es-ES"/>
        </w:rPr>
        <w:t xml:space="preserve"> E/CN.4/2006/7/Add.2, para.68; A/HRC/WG.6/4/CAN/2, para.51.</w:t>
      </w:r>
    </w:p>
  </w:footnote>
  <w:footnote w:id="5">
    <w:p w:rsidR="00727B97" w:rsidRPr="00A20CA6" w:rsidRDefault="00727B97" w:rsidP="00AB1530">
      <w:pPr>
        <w:pStyle w:val="FootnoteText"/>
        <w:adjustRightInd w:val="0"/>
        <w:snapToGrid w:val="0"/>
        <w:spacing w:after="20"/>
        <w:ind w:firstLine="0"/>
        <w:rPr>
          <w:rStyle w:val="FootnoteTextChar"/>
        </w:rPr>
      </w:pPr>
      <w:r w:rsidRPr="00A20CA6">
        <w:rPr>
          <w:rStyle w:val="FootnoteReference"/>
        </w:rPr>
        <w:footnoteRef/>
      </w:r>
      <w:r w:rsidRPr="00A20CA6">
        <w:rPr>
          <w:rStyle w:val="FootnoteReference"/>
        </w:rPr>
        <w:t xml:space="preserve"> </w:t>
      </w:r>
      <w:r w:rsidRPr="00A20CA6">
        <w:rPr>
          <w:rStyle w:val="FootnoteTextChar"/>
        </w:rPr>
        <w:t>CCPR/C/CAN/CO/5, paras.14-15; E/CN.4/2006/7/Add.2, para.92(b)</w:t>
      </w:r>
    </w:p>
  </w:footnote>
  <w:footnote w:id="6">
    <w:p w:rsidR="00727B97" w:rsidRPr="00A20CA6" w:rsidRDefault="00727B97" w:rsidP="00C52869">
      <w:pPr>
        <w:pStyle w:val="FootnoteText"/>
        <w:adjustRightInd w:val="0"/>
        <w:snapToGrid w:val="0"/>
        <w:spacing w:after="20"/>
        <w:ind w:firstLine="0"/>
        <w:rPr>
          <w:rStyle w:val="FootnoteTextChar"/>
        </w:rPr>
      </w:pPr>
      <w:r w:rsidRPr="00A20CA6">
        <w:rPr>
          <w:rStyle w:val="FootnoteReference"/>
        </w:rPr>
        <w:footnoteRef/>
      </w:r>
      <w:r w:rsidRPr="00A20CA6">
        <w:rPr>
          <w:rStyle w:val="FootnoteTextChar"/>
        </w:rPr>
        <w:t xml:space="preserve"> CAT follow-up letter of 29 April 2009; A/HRC/WG.6/4/CAN/3, para.67; A/HRC/WG.6/4/CAN/2, para. 51; E/CN.4/2006/7/Add.2, paras. 63-64 and 86; A/HRC/16/52/Add.1, para.17.</w:t>
      </w:r>
    </w:p>
  </w:footnote>
  <w:footnote w:id="7">
    <w:p w:rsidR="00727B97" w:rsidRPr="00A20CA6" w:rsidRDefault="00727B97" w:rsidP="00AB1530">
      <w:pPr>
        <w:pStyle w:val="FootnoteText"/>
        <w:adjustRightInd w:val="0"/>
        <w:snapToGrid w:val="0"/>
        <w:spacing w:after="20"/>
        <w:ind w:firstLine="0"/>
        <w:rPr>
          <w:rStyle w:val="FootnoteTextChar"/>
        </w:rPr>
      </w:pPr>
      <w:r w:rsidRPr="00A20CA6">
        <w:rPr>
          <w:rStyle w:val="FootnoteReference"/>
        </w:rPr>
        <w:footnoteRef/>
      </w:r>
      <w:r w:rsidRPr="00A20CA6">
        <w:rPr>
          <w:rStyle w:val="FootnoteTextChar"/>
        </w:rPr>
        <w:t xml:space="preserve"> CAT/C/CAN/6, paras. 16 and 81; A/HRC/WG.6/4/CAN/3, para.67.</w:t>
      </w:r>
    </w:p>
  </w:footnote>
  <w:footnote w:id="8">
    <w:p w:rsidR="00727B97" w:rsidRPr="00A20CA6" w:rsidRDefault="00727B97" w:rsidP="00AB1530">
      <w:pPr>
        <w:pStyle w:val="FootnoteText"/>
        <w:adjustRightInd w:val="0"/>
        <w:snapToGrid w:val="0"/>
        <w:spacing w:after="20"/>
        <w:ind w:firstLine="0"/>
        <w:rPr>
          <w:rStyle w:val="FootnoteTextChar"/>
        </w:rPr>
      </w:pPr>
      <w:r w:rsidRPr="00A20CA6">
        <w:rPr>
          <w:rStyle w:val="FootnoteReference"/>
        </w:rPr>
        <w:footnoteRef/>
      </w:r>
      <w:r w:rsidRPr="00A20CA6">
        <w:rPr>
          <w:rStyle w:val="FootnoteReference"/>
        </w:rPr>
        <w:t xml:space="preserve"> </w:t>
      </w:r>
      <w:r w:rsidRPr="00A20CA6">
        <w:rPr>
          <w:rStyle w:val="FootnoteTextChar"/>
        </w:rPr>
        <w:t>A/HRC/11/17/Add.1, paras. 45-50; A/HRC/11/17, paras. 11, 20-24, 29, 36 and 86; A/HRC/WG.6/4/CAN/3, paras. 22-24; A/HRC/WG.6/4/CAN/2, paras.14-16; CEDAW/C/CAN/CO/7, paras. 29-32.</w:t>
      </w:r>
    </w:p>
  </w:footnote>
  <w:footnote w:id="9">
    <w:p w:rsidR="00727B97" w:rsidRPr="00E6388A" w:rsidRDefault="00727B97" w:rsidP="00E6388A">
      <w:pPr>
        <w:pStyle w:val="FootnoteText"/>
        <w:adjustRightInd w:val="0"/>
        <w:snapToGrid w:val="0"/>
        <w:spacing w:after="20"/>
        <w:ind w:firstLine="0"/>
      </w:pPr>
      <w:r w:rsidRPr="00A20CA6">
        <w:rPr>
          <w:rStyle w:val="FootnoteReference"/>
        </w:rPr>
        <w:footnoteRef/>
      </w:r>
      <w:r w:rsidRPr="00A20CA6">
        <w:rPr>
          <w:rStyle w:val="FootnoteReference"/>
        </w:rPr>
        <w:t xml:space="preserve"> </w:t>
      </w:r>
      <w:r w:rsidRPr="00A20CA6">
        <w:rPr>
          <w:rStyle w:val="FootnoteTextChar"/>
          <w:rFonts w:eastAsia="Malgun Gothic"/>
        </w:rPr>
        <w:t>A/HRC/11/17, para.33; CEDAW/C/CAN/CO/7, para.32.</w:t>
      </w:r>
    </w:p>
  </w:footnote>
  <w:footnote w:id="10">
    <w:p w:rsidR="00727B97" w:rsidRPr="00A20CA6" w:rsidRDefault="00727B97" w:rsidP="00AB1530">
      <w:pPr>
        <w:pStyle w:val="FootnoteText"/>
        <w:adjustRightInd w:val="0"/>
        <w:snapToGrid w:val="0"/>
        <w:spacing w:after="20"/>
        <w:ind w:firstLine="0"/>
        <w:rPr>
          <w:rStyle w:val="FootnoteTextChar"/>
        </w:rPr>
      </w:pPr>
      <w:r w:rsidRPr="00A20CA6">
        <w:rPr>
          <w:rStyle w:val="FootnoteReference"/>
        </w:rPr>
        <w:footnoteRef/>
      </w:r>
      <w:r w:rsidRPr="00A20CA6">
        <w:rPr>
          <w:rStyle w:val="FootnoteReference"/>
        </w:rPr>
        <w:t xml:space="preserve"> </w:t>
      </w:r>
      <w:r w:rsidRPr="00A20CA6">
        <w:rPr>
          <w:rStyle w:val="FootnoteTextChar"/>
        </w:rPr>
        <w:t xml:space="preserve">A/HRC/WG.6/4/CAN/2, paras.14-15; A/HRC/11/17, paras.20, 22, 29, 36 and 86(33); A/HRC/11/17/Add.1, paras.47-48; CEDAW/C/CAN/CO/7, para. 30. </w:t>
      </w:r>
    </w:p>
  </w:footnote>
  <w:footnote w:id="11">
    <w:p w:rsidR="00727B97" w:rsidRPr="00A20CA6" w:rsidRDefault="00727B97" w:rsidP="00AB1530">
      <w:pPr>
        <w:pStyle w:val="FootnoteText"/>
        <w:adjustRightInd w:val="0"/>
        <w:snapToGrid w:val="0"/>
        <w:spacing w:after="20"/>
        <w:ind w:firstLine="0"/>
        <w:rPr>
          <w:rStyle w:val="FootnoteTextChar"/>
        </w:rPr>
      </w:pPr>
      <w:r w:rsidRPr="00A20CA6">
        <w:rPr>
          <w:rStyle w:val="FootnoteReference"/>
        </w:rPr>
        <w:footnoteRef/>
      </w:r>
      <w:r w:rsidRPr="00A20CA6">
        <w:rPr>
          <w:rStyle w:val="FootnoteTextChar"/>
        </w:rPr>
        <w:t xml:space="preserve"> A/HRC/11/17, paras. 25, 86(16) and (39); A/HRC/11/17/Add.1, para. 52; CRC/C/15/Add.215, para. 53.</w:t>
      </w:r>
    </w:p>
  </w:footnote>
  <w:footnote w:id="12">
    <w:p w:rsidR="00727B97" w:rsidRPr="00A20CA6" w:rsidRDefault="00727B97" w:rsidP="00AB1530">
      <w:pPr>
        <w:pStyle w:val="FootnoteText"/>
        <w:adjustRightInd w:val="0"/>
        <w:snapToGrid w:val="0"/>
        <w:spacing w:after="20"/>
        <w:ind w:firstLine="0"/>
        <w:rPr>
          <w:rStyle w:val="FootnoteTextChar"/>
        </w:rPr>
      </w:pPr>
      <w:r w:rsidRPr="00A20CA6">
        <w:rPr>
          <w:rStyle w:val="FootnoteReference"/>
        </w:rPr>
        <w:footnoteRef/>
      </w:r>
      <w:r w:rsidRPr="00A20CA6">
        <w:rPr>
          <w:rStyle w:val="FootnoteTextChar"/>
        </w:rPr>
        <w:t xml:space="preserve"> A/HRC/11/17, paras. 42 and 86(31).</w:t>
      </w:r>
    </w:p>
  </w:footnote>
  <w:footnote w:id="13">
    <w:p w:rsidR="00727B97" w:rsidRDefault="00727B97" w:rsidP="00AB1530">
      <w:pPr>
        <w:pStyle w:val="FootnoteText"/>
        <w:adjustRightInd w:val="0"/>
        <w:snapToGrid w:val="0"/>
        <w:spacing w:after="20"/>
        <w:ind w:firstLine="0"/>
      </w:pPr>
      <w:r w:rsidRPr="00A20CA6">
        <w:rPr>
          <w:rStyle w:val="FootnoteReference"/>
        </w:rPr>
        <w:footnoteRef/>
      </w:r>
      <w:r w:rsidRPr="00A20CA6">
        <w:rPr>
          <w:rStyle w:val="FootnoteReference"/>
        </w:rPr>
        <w:t xml:space="preserve"> </w:t>
      </w:r>
      <w:r w:rsidRPr="00A20CA6">
        <w:rPr>
          <w:rStyle w:val="FootnoteTextChar"/>
        </w:rPr>
        <w:t>CAT/C/CR/34/CAN, para. 5(b).</w:t>
      </w:r>
    </w:p>
  </w:footnote>
  <w:footnote w:id="14">
    <w:p w:rsidR="00727B97" w:rsidRDefault="00727B97" w:rsidP="009E1482">
      <w:pPr>
        <w:pStyle w:val="FootnoteText"/>
        <w:adjustRightInd w:val="0"/>
        <w:snapToGrid w:val="0"/>
        <w:spacing w:after="20"/>
        <w:ind w:firstLine="0"/>
      </w:pPr>
      <w:r w:rsidRPr="00D0501B">
        <w:rPr>
          <w:rStyle w:val="FootnoteReference"/>
        </w:rPr>
        <w:footnoteRef/>
      </w:r>
      <w:r w:rsidRPr="00D0501B">
        <w:t xml:space="preserve"> </w:t>
      </w:r>
      <w:r>
        <w:t>Ibid., para. 5</w:t>
      </w:r>
      <w:r w:rsidRPr="00D0501B">
        <w:t>(c).</w:t>
      </w:r>
    </w:p>
  </w:footnote>
  <w:footnote w:id="15">
    <w:p w:rsidR="00727B97" w:rsidRDefault="00727B97" w:rsidP="00AB1530">
      <w:pPr>
        <w:pStyle w:val="FootnoteText"/>
        <w:adjustRightInd w:val="0"/>
        <w:snapToGrid w:val="0"/>
        <w:spacing w:after="20"/>
        <w:ind w:firstLine="0"/>
      </w:pPr>
      <w:r w:rsidRPr="00D0501B">
        <w:rPr>
          <w:rStyle w:val="FootnoteReference"/>
        </w:rPr>
        <w:footnoteRef/>
      </w:r>
      <w:r w:rsidRPr="00D0501B">
        <w:rPr>
          <w:rStyle w:val="FootnoteReference"/>
        </w:rPr>
        <w:t xml:space="preserve"> </w:t>
      </w:r>
      <w:r w:rsidRPr="00D0501B">
        <w:t>The Committee’s follow-up letter of 29 April 2009</w:t>
      </w:r>
      <w:r w:rsidRPr="00D0501B">
        <w:rPr>
          <w:rStyle w:val="FootnoteReference"/>
        </w:rPr>
        <w:t xml:space="preserve">; </w:t>
      </w:r>
      <w:r>
        <w:rPr>
          <w:rStyle w:val="FootnoteReference"/>
          <w:vertAlign w:val="baseline"/>
        </w:rPr>
        <w:t>CAT/C/CAN/6</w:t>
      </w:r>
      <w:r w:rsidRPr="008A62BA">
        <w:rPr>
          <w:rStyle w:val="FootnoteReference"/>
          <w:vertAlign w:val="baseline"/>
        </w:rPr>
        <w:t>, para.38</w:t>
      </w:r>
      <w:r>
        <w:rPr>
          <w:rStyle w:val="FootnoteReference"/>
          <w:vertAlign w:val="baseline"/>
        </w:rPr>
        <w:t>.</w:t>
      </w:r>
    </w:p>
  </w:footnote>
  <w:footnote w:id="16">
    <w:p w:rsidR="00727B97" w:rsidRDefault="00727B97" w:rsidP="009E1482">
      <w:pPr>
        <w:pStyle w:val="FootnoteText"/>
        <w:adjustRightInd w:val="0"/>
        <w:snapToGrid w:val="0"/>
        <w:spacing w:after="20"/>
        <w:ind w:firstLine="0"/>
      </w:pPr>
      <w:r w:rsidRPr="00D0501B">
        <w:rPr>
          <w:rStyle w:val="FootnoteReference"/>
        </w:rPr>
        <w:footnoteRef/>
      </w:r>
      <w:r w:rsidRPr="00D0501B">
        <w:t xml:space="preserve"> </w:t>
      </w:r>
      <w:r>
        <w:t>Ibid.</w:t>
      </w:r>
    </w:p>
  </w:footnote>
  <w:footnote w:id="17">
    <w:p w:rsidR="00727B97" w:rsidRDefault="00727B97" w:rsidP="00AB1530">
      <w:pPr>
        <w:pStyle w:val="FootnoteText"/>
        <w:adjustRightInd w:val="0"/>
        <w:snapToGrid w:val="0"/>
        <w:spacing w:after="20"/>
        <w:ind w:firstLine="0"/>
      </w:pPr>
      <w:r w:rsidRPr="00D0501B">
        <w:rPr>
          <w:rStyle w:val="FootnoteReference"/>
          <w:szCs w:val="18"/>
        </w:rPr>
        <w:footnoteRef/>
      </w:r>
      <w:r w:rsidRPr="00D0501B">
        <w:t xml:space="preserve"> </w:t>
      </w:r>
      <w:r w:rsidRPr="00050D84">
        <w:rPr>
          <w:iCs/>
        </w:rPr>
        <w:t>See also th</w:t>
      </w:r>
      <w:r w:rsidRPr="00D0501B">
        <w:t>e case of Mansour Ahani (A/HRC/WG.6/4/CAN/2, para.53; CCPR/C/80/D/1051/2002).</w:t>
      </w:r>
    </w:p>
  </w:footnote>
  <w:footnote w:id="18">
    <w:p w:rsidR="00727B97" w:rsidRDefault="00727B97" w:rsidP="00AB1530">
      <w:pPr>
        <w:pStyle w:val="FootnoteText"/>
        <w:adjustRightInd w:val="0"/>
        <w:snapToGrid w:val="0"/>
        <w:spacing w:after="20"/>
        <w:ind w:firstLine="0"/>
      </w:pPr>
      <w:r w:rsidRPr="00D0501B">
        <w:rPr>
          <w:rStyle w:val="FootnoteReference"/>
        </w:rPr>
        <w:footnoteRef/>
      </w:r>
      <w:r w:rsidRPr="00D0501B">
        <w:t xml:space="preserve"> </w:t>
      </w:r>
      <w:r>
        <w:t>CAT/C/CAN/6</w:t>
      </w:r>
      <w:r w:rsidRPr="00D0501B">
        <w:t>, paras. 44-45.</w:t>
      </w:r>
    </w:p>
  </w:footnote>
  <w:footnote w:id="19">
    <w:p w:rsidR="00727B97" w:rsidRDefault="00727B97" w:rsidP="00AB1530">
      <w:pPr>
        <w:pStyle w:val="FootnoteText"/>
        <w:adjustRightInd w:val="0"/>
        <w:snapToGrid w:val="0"/>
        <w:spacing w:after="20"/>
        <w:ind w:firstLine="0"/>
      </w:pPr>
      <w:r w:rsidRPr="00D0501B">
        <w:rPr>
          <w:rStyle w:val="FootnoteReference"/>
        </w:rPr>
        <w:footnoteRef/>
      </w:r>
      <w:r w:rsidRPr="00D0501B">
        <w:t xml:space="preserve"> </w:t>
      </w:r>
      <w:r>
        <w:t>CAT/C/CAN/6</w:t>
      </w:r>
      <w:r w:rsidRPr="00D0501B">
        <w:t>, para.64; CAT/C/CR/34/CAN, para. 5(g)</w:t>
      </w:r>
      <w:r>
        <w:t>;</w:t>
      </w:r>
      <w:r w:rsidRPr="00D0501B">
        <w:rPr>
          <w:szCs w:val="18"/>
        </w:rPr>
        <w:t xml:space="preserve"> Follow-up letter of 29 April 2009.</w:t>
      </w:r>
    </w:p>
  </w:footnote>
  <w:footnote w:id="20">
    <w:p w:rsidR="00727B97" w:rsidRDefault="00727B97" w:rsidP="00AB1530">
      <w:pPr>
        <w:pStyle w:val="NoSpacing"/>
        <w:adjustRightInd w:val="0"/>
        <w:snapToGrid w:val="0"/>
        <w:spacing w:before="0" w:after="20" w:line="220" w:lineRule="exact"/>
        <w:ind w:left="1134" w:right="1134"/>
      </w:pPr>
      <w:r w:rsidRPr="00D0501B">
        <w:rPr>
          <w:rStyle w:val="FootnoteReference"/>
        </w:rPr>
        <w:footnoteRef/>
      </w:r>
      <w:r w:rsidRPr="00D0501B">
        <w:t xml:space="preserve"> CEDAW/C/CAN/CO/7, para. 34; </w:t>
      </w:r>
      <w:r>
        <w:t>CAT/C/CAN/6</w:t>
      </w:r>
      <w:r w:rsidRPr="00D0501B">
        <w:t xml:space="preserve">, paras.70-72; A/HRC/WG.6/4/CAN/2, paras.12 and </w:t>
      </w:r>
      <w:r>
        <w:t>16; A/HRC/WG.6/4/CAN/3, para.23.</w:t>
      </w:r>
    </w:p>
  </w:footnote>
  <w:footnote w:id="21">
    <w:p w:rsidR="00727B97" w:rsidRDefault="00727B97" w:rsidP="00AB1530">
      <w:pPr>
        <w:pStyle w:val="FootnoteText"/>
        <w:adjustRightInd w:val="0"/>
        <w:snapToGrid w:val="0"/>
        <w:spacing w:after="20"/>
        <w:ind w:firstLine="0"/>
      </w:pPr>
      <w:r w:rsidRPr="00D0501B">
        <w:rPr>
          <w:rStyle w:val="FootnoteReference"/>
        </w:rPr>
        <w:footnoteRef/>
      </w:r>
      <w:r w:rsidRPr="0035287E">
        <w:rPr>
          <w:lang w:val="es-ES"/>
        </w:rPr>
        <w:t xml:space="preserve"> CAT/C/CAN/6, paras.97-99; E/CN.4/2006/7/Add.2, para. </w:t>
      </w:r>
      <w:r w:rsidRPr="00F4537D">
        <w:t>72.</w:t>
      </w:r>
    </w:p>
  </w:footnote>
  <w:footnote w:id="22">
    <w:p w:rsidR="00727B97" w:rsidRDefault="00727B97" w:rsidP="00AB1530">
      <w:pPr>
        <w:pStyle w:val="FootnoteText"/>
        <w:adjustRightInd w:val="0"/>
        <w:snapToGrid w:val="0"/>
        <w:spacing w:after="20"/>
        <w:ind w:firstLine="0"/>
      </w:pPr>
      <w:r w:rsidRPr="00D0501B">
        <w:rPr>
          <w:rStyle w:val="FootnoteReference"/>
          <w:szCs w:val="18"/>
        </w:rPr>
        <w:footnoteRef/>
      </w:r>
      <w:r>
        <w:rPr>
          <w:szCs w:val="18"/>
        </w:rPr>
        <w:t xml:space="preserve"> </w:t>
      </w:r>
      <w:r w:rsidRPr="00F40AB6">
        <w:rPr>
          <w:szCs w:val="18"/>
        </w:rPr>
        <w:t>CAT/C/CR/34/CAN</w:t>
      </w:r>
      <w:r w:rsidRPr="00F4537D">
        <w:rPr>
          <w:szCs w:val="18"/>
          <w:lang w:eastAsia="ko-KR"/>
        </w:rPr>
        <w:t xml:space="preserve">, para.4(b); </w:t>
      </w:r>
      <w:r w:rsidRPr="00F4537D">
        <w:rPr>
          <w:szCs w:val="18"/>
        </w:rPr>
        <w:t xml:space="preserve">A/HRC/WG.6/4/CAN/3, para. </w:t>
      </w:r>
      <w:r w:rsidRPr="00D0501B">
        <w:rPr>
          <w:szCs w:val="18"/>
        </w:rPr>
        <w:t xml:space="preserve">64; </w:t>
      </w:r>
      <w:r w:rsidRPr="00D0501B">
        <w:rPr>
          <w:szCs w:val="18"/>
          <w:lang w:eastAsia="ko-KR"/>
        </w:rPr>
        <w:t>CCPR</w:t>
      </w:r>
      <w:r w:rsidRPr="00A27FEE">
        <w:rPr>
          <w:szCs w:val="18"/>
        </w:rPr>
        <w:t>/C/CAN/CO/5</w:t>
      </w:r>
      <w:r w:rsidRPr="00A27FEE">
        <w:rPr>
          <w:szCs w:val="18"/>
          <w:lang w:eastAsia="ko-KR"/>
        </w:rPr>
        <w:t>,</w:t>
      </w:r>
      <w:r w:rsidRPr="00D0501B">
        <w:rPr>
          <w:szCs w:val="18"/>
          <w:lang w:eastAsia="ko-KR"/>
        </w:rPr>
        <w:t xml:space="preserve"> para.16</w:t>
      </w:r>
      <w:r>
        <w:rPr>
          <w:szCs w:val="18"/>
          <w:lang w:eastAsia="ko-KR"/>
        </w:rPr>
        <w:t>.</w:t>
      </w:r>
    </w:p>
  </w:footnote>
  <w:footnote w:id="23">
    <w:p w:rsidR="00727B97" w:rsidRDefault="00727B97" w:rsidP="00AB1530">
      <w:pPr>
        <w:pStyle w:val="FootnoteText"/>
        <w:adjustRightInd w:val="0"/>
        <w:snapToGrid w:val="0"/>
        <w:spacing w:after="20"/>
        <w:ind w:firstLine="0"/>
      </w:pPr>
      <w:r w:rsidRPr="00D0501B">
        <w:rPr>
          <w:rStyle w:val="FootnoteReference"/>
        </w:rPr>
        <w:footnoteRef/>
      </w:r>
      <w:r w:rsidRPr="00D0501B">
        <w:t xml:space="preserve"> CCPR/C/CAN/CO/5, para.13; A/HRC/WG.6/4/CAN/2, para.49</w:t>
      </w:r>
      <w:r>
        <w:t>.</w:t>
      </w:r>
    </w:p>
  </w:footnote>
  <w:footnote w:id="24">
    <w:p w:rsidR="00727B97" w:rsidRDefault="00727B97" w:rsidP="00AB1530">
      <w:pPr>
        <w:autoSpaceDE w:val="0"/>
        <w:autoSpaceDN w:val="0"/>
        <w:adjustRightInd w:val="0"/>
        <w:snapToGrid w:val="0"/>
        <w:spacing w:after="20" w:line="220" w:lineRule="exact"/>
        <w:ind w:left="1134" w:right="1134"/>
      </w:pPr>
      <w:r w:rsidRPr="00D0501B">
        <w:rPr>
          <w:rStyle w:val="FootnoteReference"/>
        </w:rPr>
        <w:footnoteRef/>
      </w:r>
      <w:r w:rsidRPr="00D0501B">
        <w:rPr>
          <w:sz w:val="18"/>
        </w:rPr>
        <w:t xml:space="preserve"> C</w:t>
      </w:r>
      <w:r>
        <w:rPr>
          <w:sz w:val="18"/>
        </w:rPr>
        <w:t>RC/C/15/Add.215, para.33.</w:t>
      </w:r>
    </w:p>
  </w:footnote>
  <w:footnote w:id="25">
    <w:p w:rsidR="00727B97" w:rsidRDefault="00727B97" w:rsidP="00AB1530">
      <w:pPr>
        <w:pStyle w:val="NoSpacing"/>
        <w:adjustRightInd w:val="0"/>
        <w:snapToGrid w:val="0"/>
        <w:spacing w:before="0" w:after="20" w:line="220" w:lineRule="exact"/>
        <w:ind w:left="1134" w:right="1134"/>
      </w:pPr>
      <w:r w:rsidRPr="00D0501B">
        <w:rPr>
          <w:rStyle w:val="FootnoteReference"/>
          <w:szCs w:val="18"/>
        </w:rPr>
        <w:footnoteRef/>
      </w:r>
      <w:r w:rsidRPr="00D0501B">
        <w:rPr>
          <w:szCs w:val="18"/>
        </w:rPr>
        <w:t xml:space="preserve"> A/HRC/WG.6/4/CAN/3, para.24; A/HRC/11/17, recommendation 33.</w:t>
      </w:r>
    </w:p>
  </w:footnote>
  <w:footnote w:id="26">
    <w:p w:rsidR="00727B97" w:rsidRDefault="00727B97" w:rsidP="00AB1530">
      <w:pPr>
        <w:pStyle w:val="referencestext"/>
        <w:snapToGrid w:val="0"/>
        <w:spacing w:after="20" w:line="220" w:lineRule="exact"/>
        <w:ind w:left="1134" w:right="1134"/>
      </w:pPr>
      <w:r w:rsidRPr="00D0501B">
        <w:rPr>
          <w:rStyle w:val="FootnoteReference"/>
          <w:color w:val="auto"/>
          <w:szCs w:val="18"/>
        </w:rPr>
        <w:footnoteRef/>
      </w:r>
      <w:r>
        <w:rPr>
          <w:color w:val="auto"/>
          <w:szCs w:val="18"/>
        </w:rPr>
        <w:t xml:space="preserve"> A/HRC/11/17, paras.</w:t>
      </w:r>
      <w:r w:rsidRPr="00D0501B">
        <w:rPr>
          <w:color w:val="auto"/>
          <w:szCs w:val="18"/>
        </w:rPr>
        <w:t>21, 25, 34 and 86(32); A/HRC/WG.6/4/CAN/2, par</w:t>
      </w:r>
      <w:r>
        <w:rPr>
          <w:color w:val="auto"/>
          <w:szCs w:val="18"/>
        </w:rPr>
        <w:t>a.20; A/HRC/WG.6/4/CAN/3, para.</w:t>
      </w:r>
      <w:r w:rsidRPr="00D0501B">
        <w:rPr>
          <w:color w:val="auto"/>
          <w:szCs w:val="18"/>
        </w:rPr>
        <w:t xml:space="preserve">25; </w:t>
      </w:r>
      <w:r w:rsidRPr="00A27FEE">
        <w:rPr>
          <w:color w:val="auto"/>
          <w:szCs w:val="18"/>
        </w:rPr>
        <w:t>E/CN.4/2006/7/Add.2</w:t>
      </w:r>
      <w:r w:rsidRPr="00D0501B">
        <w:rPr>
          <w:color w:val="auto"/>
          <w:szCs w:val="18"/>
        </w:rPr>
        <w:t>, paras. 71-72</w:t>
      </w:r>
      <w:r>
        <w:rPr>
          <w:color w:val="auto"/>
          <w:szCs w:val="18"/>
        </w:rPr>
        <w:t>.</w:t>
      </w:r>
    </w:p>
  </w:footnote>
  <w:footnote w:id="27">
    <w:p w:rsidR="00727B97" w:rsidRDefault="00727B97" w:rsidP="00AB1530">
      <w:pPr>
        <w:pStyle w:val="FootnoteText"/>
        <w:adjustRightInd w:val="0"/>
        <w:snapToGrid w:val="0"/>
        <w:spacing w:after="20"/>
        <w:ind w:firstLine="0"/>
      </w:pPr>
      <w:r w:rsidRPr="00D0501B">
        <w:rPr>
          <w:rStyle w:val="FootnoteReference"/>
          <w:szCs w:val="18"/>
        </w:rPr>
        <w:footnoteRef/>
      </w:r>
      <w:r w:rsidRPr="00D0501B">
        <w:rPr>
          <w:szCs w:val="18"/>
        </w:rPr>
        <w:t xml:space="preserve"> A/HRC/WG.6/4/CAN/2, paras. 49-50; A/HRC/WG.6/4/CAN/3, para.62. </w:t>
      </w:r>
    </w:p>
  </w:footnote>
  <w:footnote w:id="28">
    <w:p w:rsidR="00727B97" w:rsidRDefault="00727B97" w:rsidP="00AB1530">
      <w:pPr>
        <w:pStyle w:val="FootnoteText"/>
        <w:adjustRightInd w:val="0"/>
        <w:snapToGrid w:val="0"/>
        <w:spacing w:after="20"/>
        <w:ind w:firstLine="0"/>
      </w:pPr>
      <w:r w:rsidRPr="00D0501B">
        <w:rPr>
          <w:rStyle w:val="FootnoteReference"/>
        </w:rPr>
        <w:footnoteRef/>
      </w:r>
      <w:r>
        <w:t xml:space="preserve"> </w:t>
      </w:r>
      <w:r w:rsidRPr="00D0501B">
        <w:t>A/HRC/WG.6/4/CAN/2, para. 52.</w:t>
      </w:r>
    </w:p>
  </w:footnote>
  <w:footnote w:id="29">
    <w:p w:rsidR="00727B97" w:rsidRDefault="00727B97" w:rsidP="00AB1530">
      <w:pPr>
        <w:pStyle w:val="FootnoteText"/>
        <w:adjustRightInd w:val="0"/>
        <w:snapToGrid w:val="0"/>
        <w:spacing w:after="20"/>
        <w:ind w:firstLine="0"/>
      </w:pPr>
      <w:r w:rsidRPr="00D0501B">
        <w:rPr>
          <w:rStyle w:val="FootnoteReference"/>
          <w:szCs w:val="18"/>
        </w:rPr>
        <w:footnoteRef/>
      </w:r>
      <w:r>
        <w:t xml:space="preserve"> </w:t>
      </w:r>
      <w:r w:rsidRPr="00D0501B">
        <w:t>CAT/C/CAN/6, paras.9-10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B97" w:rsidRPr="00CD1EFB" w:rsidRDefault="00727B97" w:rsidP="00CD1EFB">
    <w:pPr>
      <w:pStyle w:val="Header"/>
      <w:rPr>
        <w:lang w:val="en-US"/>
      </w:rPr>
    </w:pPr>
    <w:r>
      <w:rPr>
        <w:lang w:val="en-US"/>
      </w:rPr>
      <w:t>CAT/C/CAN/Q/6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B97" w:rsidRPr="00CD1EFB" w:rsidRDefault="00727B97" w:rsidP="002A4E9D">
    <w:pPr>
      <w:pStyle w:val="Header"/>
      <w:jc w:val="right"/>
      <w:rPr>
        <w:lang w:val="en-US"/>
      </w:rPr>
    </w:pPr>
    <w:r>
      <w:rPr>
        <w:lang w:val="en-US"/>
      </w:rPr>
      <w:t>CAT/C/CAN</w:t>
    </w:r>
    <w:r w:rsidRPr="00CD1EFB">
      <w:rPr>
        <w:lang w:val="en-US"/>
      </w:rPr>
      <w:t>/Q/</w:t>
    </w:r>
    <w:r>
      <w:rPr>
        <w:lang w:val="en-US"/>
      </w:rPr>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B97" w:rsidRDefault="00727B97">
    <w:pPr>
      <w:pStyle w:val="Header"/>
    </w:pPr>
    <w:r>
      <w:t xml:space="preserve"> </w:t>
    </w:r>
  </w:p>
  <w:p w:rsidR="00727B97" w:rsidRDefault="00727B9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CDB1548"/>
    <w:multiLevelType w:val="hybridMultilevel"/>
    <w:tmpl w:val="B7D0509C"/>
    <w:lvl w:ilvl="0" w:tplc="014AE9AA">
      <w:start w:val="1"/>
      <w:numFmt w:val="decimal"/>
      <w:pStyle w:val="LOIQ1"/>
      <w:lvlText w:val="%1."/>
      <w:lvlJc w:val="left"/>
      <w:pPr>
        <w:ind w:left="1854" w:hanging="360"/>
      </w:pPr>
      <w:rPr>
        <w:rFonts w:cs="Times New Roman"/>
      </w:rPr>
    </w:lvl>
    <w:lvl w:ilvl="1" w:tplc="08090019">
      <w:start w:val="1"/>
      <w:numFmt w:val="lowerLetter"/>
      <w:lvlText w:val="%2."/>
      <w:lvlJc w:val="left"/>
      <w:pPr>
        <w:ind w:left="2574" w:hanging="360"/>
      </w:pPr>
      <w:rPr>
        <w:rFonts w:cs="Times New Roman"/>
      </w:rPr>
    </w:lvl>
    <w:lvl w:ilvl="2" w:tplc="0809001B">
      <w:start w:val="1"/>
      <w:numFmt w:val="lowerRoman"/>
      <w:lvlText w:val="%3."/>
      <w:lvlJc w:val="right"/>
      <w:pPr>
        <w:ind w:left="3294" w:hanging="180"/>
      </w:pPr>
      <w:rPr>
        <w:rFonts w:cs="Times New Roman"/>
      </w:rPr>
    </w:lvl>
    <w:lvl w:ilvl="3" w:tplc="0809000F">
      <w:start w:val="1"/>
      <w:numFmt w:val="decimal"/>
      <w:lvlText w:val="%4."/>
      <w:lvlJc w:val="left"/>
      <w:pPr>
        <w:ind w:left="4014" w:hanging="360"/>
      </w:pPr>
      <w:rPr>
        <w:rFonts w:cs="Times New Roman"/>
      </w:rPr>
    </w:lvl>
    <w:lvl w:ilvl="4" w:tplc="08090019">
      <w:start w:val="1"/>
      <w:numFmt w:val="lowerLetter"/>
      <w:lvlText w:val="%5."/>
      <w:lvlJc w:val="left"/>
      <w:pPr>
        <w:ind w:left="4734" w:hanging="360"/>
      </w:pPr>
      <w:rPr>
        <w:rFonts w:cs="Times New Roman"/>
      </w:rPr>
    </w:lvl>
    <w:lvl w:ilvl="5" w:tplc="0809001B">
      <w:start w:val="1"/>
      <w:numFmt w:val="lowerRoman"/>
      <w:lvlText w:val="%6."/>
      <w:lvlJc w:val="right"/>
      <w:pPr>
        <w:ind w:left="5454" w:hanging="180"/>
      </w:pPr>
      <w:rPr>
        <w:rFonts w:cs="Times New Roman"/>
      </w:rPr>
    </w:lvl>
    <w:lvl w:ilvl="6" w:tplc="0809000F">
      <w:start w:val="1"/>
      <w:numFmt w:val="decimal"/>
      <w:lvlText w:val="%7."/>
      <w:lvlJc w:val="left"/>
      <w:pPr>
        <w:ind w:left="6174" w:hanging="360"/>
      </w:pPr>
      <w:rPr>
        <w:rFonts w:cs="Times New Roman"/>
      </w:rPr>
    </w:lvl>
    <w:lvl w:ilvl="7" w:tplc="08090019">
      <w:start w:val="1"/>
      <w:numFmt w:val="lowerLetter"/>
      <w:lvlText w:val="%8."/>
      <w:lvlJc w:val="left"/>
      <w:pPr>
        <w:ind w:left="6894" w:hanging="360"/>
      </w:pPr>
      <w:rPr>
        <w:rFonts w:cs="Times New Roman"/>
      </w:rPr>
    </w:lvl>
    <w:lvl w:ilvl="8" w:tplc="0809001B">
      <w:start w:val="1"/>
      <w:numFmt w:val="lowerRoman"/>
      <w:lvlText w:val="%9."/>
      <w:lvlJc w:val="right"/>
      <w:pPr>
        <w:ind w:left="7614" w:hanging="180"/>
      </w:pPr>
      <w:rPr>
        <w:rFonts w:cs="Times New Roman"/>
      </w:rPr>
    </w:lvl>
  </w:abstractNum>
  <w:abstractNum w:abstractNumId="6">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7">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8">
    <w:nsid w:val="629A6866"/>
    <w:multiLevelType w:val="hybridMultilevel"/>
    <w:tmpl w:val="8DF8DD50"/>
    <w:lvl w:ilvl="0" w:tplc="BF885248">
      <w:start w:val="1"/>
      <w:numFmt w:val="lowerLetter"/>
      <w:pStyle w:val="LOIa"/>
      <w:lvlText w:val="(%1)"/>
      <w:lvlJc w:val="left"/>
      <w:pPr>
        <w:ind w:left="2061" w:hanging="360"/>
      </w:pPr>
      <w:rPr>
        <w:rFonts w:cs="Times New Roman" w:hint="default"/>
      </w:rPr>
    </w:lvl>
    <w:lvl w:ilvl="1" w:tplc="04090019">
      <w:start w:val="1"/>
      <w:numFmt w:val="upperLetter"/>
      <w:lvlText w:val="%2."/>
      <w:lvlJc w:val="left"/>
      <w:pPr>
        <w:ind w:left="2501" w:hanging="400"/>
      </w:pPr>
      <w:rPr>
        <w:rFonts w:cs="Times New Roman"/>
      </w:rPr>
    </w:lvl>
    <w:lvl w:ilvl="2" w:tplc="0409001B">
      <w:start w:val="1"/>
      <w:numFmt w:val="lowerRoman"/>
      <w:lvlText w:val="%3."/>
      <w:lvlJc w:val="right"/>
      <w:pPr>
        <w:ind w:left="2901" w:hanging="400"/>
      </w:pPr>
      <w:rPr>
        <w:rFonts w:cs="Times New Roman"/>
      </w:rPr>
    </w:lvl>
    <w:lvl w:ilvl="3" w:tplc="0409000F">
      <w:start w:val="1"/>
      <w:numFmt w:val="decimal"/>
      <w:lvlText w:val="%4."/>
      <w:lvlJc w:val="left"/>
      <w:pPr>
        <w:ind w:left="3301" w:hanging="400"/>
      </w:pPr>
      <w:rPr>
        <w:rFonts w:cs="Times New Roman"/>
      </w:rPr>
    </w:lvl>
    <w:lvl w:ilvl="4" w:tplc="04090019">
      <w:start w:val="1"/>
      <w:numFmt w:val="upperLetter"/>
      <w:lvlText w:val="%5."/>
      <w:lvlJc w:val="left"/>
      <w:pPr>
        <w:ind w:left="3701" w:hanging="400"/>
      </w:pPr>
      <w:rPr>
        <w:rFonts w:cs="Times New Roman"/>
      </w:rPr>
    </w:lvl>
    <w:lvl w:ilvl="5" w:tplc="0409001B">
      <w:start w:val="1"/>
      <w:numFmt w:val="lowerRoman"/>
      <w:lvlText w:val="%6."/>
      <w:lvlJc w:val="right"/>
      <w:pPr>
        <w:ind w:left="4101" w:hanging="400"/>
      </w:pPr>
      <w:rPr>
        <w:rFonts w:cs="Times New Roman"/>
      </w:rPr>
    </w:lvl>
    <w:lvl w:ilvl="6" w:tplc="0409000F">
      <w:start w:val="1"/>
      <w:numFmt w:val="decimal"/>
      <w:lvlText w:val="%7."/>
      <w:lvlJc w:val="left"/>
      <w:pPr>
        <w:ind w:left="4501" w:hanging="400"/>
      </w:pPr>
      <w:rPr>
        <w:rFonts w:cs="Times New Roman"/>
      </w:rPr>
    </w:lvl>
    <w:lvl w:ilvl="7" w:tplc="04090019">
      <w:start w:val="1"/>
      <w:numFmt w:val="upperLetter"/>
      <w:lvlText w:val="%8."/>
      <w:lvlJc w:val="left"/>
      <w:pPr>
        <w:ind w:left="4901" w:hanging="400"/>
      </w:pPr>
      <w:rPr>
        <w:rFonts w:cs="Times New Roman"/>
      </w:rPr>
    </w:lvl>
    <w:lvl w:ilvl="8" w:tplc="0409001B">
      <w:start w:val="1"/>
      <w:numFmt w:val="lowerRoman"/>
      <w:lvlText w:val="%9."/>
      <w:lvlJc w:val="right"/>
      <w:pPr>
        <w:ind w:left="5301" w:hanging="400"/>
      </w:pPr>
      <w:rPr>
        <w:rFonts w:cs="Times New Roman"/>
      </w:r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2"/>
  </w:num>
  <w:num w:numId="4">
    <w:abstractNumId w:val="3"/>
  </w:num>
  <w:num w:numId="5">
    <w:abstractNumId w:val="4"/>
  </w:num>
  <w:num w:numId="6">
    <w:abstractNumId w:val="7"/>
  </w:num>
  <w:num w:numId="7">
    <w:abstractNumId w:val="1"/>
  </w:num>
  <w:num w:numId="8">
    <w:abstractNumId w:val="6"/>
  </w:num>
  <w:num w:numId="9">
    <w:abstractNumId w:val="5"/>
  </w:num>
  <w:num w:numId="10">
    <w:abstractNumId w:val="8"/>
  </w:num>
  <w:num w:numId="11">
    <w:abstractNumId w:val="8"/>
    <w:lvlOverride w:ilvl="0">
      <w:startOverride w:val="1"/>
    </w:lvlOverride>
  </w:num>
  <w:num w:numId="12">
    <w:abstractNumId w:val="8"/>
    <w:lvlOverride w:ilvl="0">
      <w:startOverride w:val="1"/>
    </w:lvlOverride>
  </w:num>
  <w:num w:numId="13">
    <w:abstractNumId w:val="8"/>
    <w:lvlOverride w:ilvl="0">
      <w:startOverride w:val="1"/>
    </w:lvlOverride>
  </w:num>
  <w:num w:numId="14">
    <w:abstractNumId w:val="8"/>
    <w:lvlOverride w:ilvl="0">
      <w:startOverride w:val="1"/>
    </w:lvlOverride>
  </w:num>
  <w:num w:numId="15">
    <w:abstractNumId w:val="8"/>
    <w:lvlOverride w:ilvl="0">
      <w:startOverride w:val="1"/>
    </w:lvlOverride>
  </w:num>
  <w:num w:numId="16">
    <w:abstractNumId w:val="8"/>
    <w:lvlOverride w:ilvl="0">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21707"/>
    <w:rsid w:val="00024A21"/>
    <w:rsid w:val="00032187"/>
    <w:rsid w:val="00043BF4"/>
    <w:rsid w:val="00050D84"/>
    <w:rsid w:val="00050F6B"/>
    <w:rsid w:val="00054EED"/>
    <w:rsid w:val="00057E97"/>
    <w:rsid w:val="00072C8C"/>
    <w:rsid w:val="000733B5"/>
    <w:rsid w:val="00077365"/>
    <w:rsid w:val="00081815"/>
    <w:rsid w:val="000931C0"/>
    <w:rsid w:val="00094B47"/>
    <w:rsid w:val="000A3E40"/>
    <w:rsid w:val="000B0A8F"/>
    <w:rsid w:val="000B175B"/>
    <w:rsid w:val="000B3382"/>
    <w:rsid w:val="000B3A0F"/>
    <w:rsid w:val="000B4EF7"/>
    <w:rsid w:val="000C2C03"/>
    <w:rsid w:val="000C2D2E"/>
    <w:rsid w:val="000D30CF"/>
    <w:rsid w:val="000E0415"/>
    <w:rsid w:val="001103AA"/>
    <w:rsid w:val="00112A63"/>
    <w:rsid w:val="001450BD"/>
    <w:rsid w:val="00153179"/>
    <w:rsid w:val="00165322"/>
    <w:rsid w:val="00165F3A"/>
    <w:rsid w:val="001671C5"/>
    <w:rsid w:val="00167967"/>
    <w:rsid w:val="001810D6"/>
    <w:rsid w:val="00183227"/>
    <w:rsid w:val="00184864"/>
    <w:rsid w:val="00186E69"/>
    <w:rsid w:val="00197B02"/>
    <w:rsid w:val="001A040B"/>
    <w:rsid w:val="001B1FE3"/>
    <w:rsid w:val="001B4222"/>
    <w:rsid w:val="001B4B04"/>
    <w:rsid w:val="001C32AB"/>
    <w:rsid w:val="001C6663"/>
    <w:rsid w:val="001C7895"/>
    <w:rsid w:val="001D0B77"/>
    <w:rsid w:val="001D0C8C"/>
    <w:rsid w:val="001D26DF"/>
    <w:rsid w:val="001D3A03"/>
    <w:rsid w:val="001D7DDA"/>
    <w:rsid w:val="001F2F53"/>
    <w:rsid w:val="001F71F5"/>
    <w:rsid w:val="00202DA8"/>
    <w:rsid w:val="0021047E"/>
    <w:rsid w:val="00211E0B"/>
    <w:rsid w:val="00241142"/>
    <w:rsid w:val="00256FCB"/>
    <w:rsid w:val="002656DD"/>
    <w:rsid w:val="00267CF0"/>
    <w:rsid w:val="00267F5F"/>
    <w:rsid w:val="002834B6"/>
    <w:rsid w:val="00286B4D"/>
    <w:rsid w:val="002955D6"/>
    <w:rsid w:val="00297799"/>
    <w:rsid w:val="002A4E9D"/>
    <w:rsid w:val="002B3C39"/>
    <w:rsid w:val="002B466B"/>
    <w:rsid w:val="002F175C"/>
    <w:rsid w:val="002F1A00"/>
    <w:rsid w:val="002F4A6E"/>
    <w:rsid w:val="00304126"/>
    <w:rsid w:val="00306938"/>
    <w:rsid w:val="003079B4"/>
    <w:rsid w:val="00322510"/>
    <w:rsid w:val="003229D8"/>
    <w:rsid w:val="00346274"/>
    <w:rsid w:val="00346488"/>
    <w:rsid w:val="00352709"/>
    <w:rsid w:val="0035287E"/>
    <w:rsid w:val="00352F9F"/>
    <w:rsid w:val="00371178"/>
    <w:rsid w:val="00381768"/>
    <w:rsid w:val="003A10DB"/>
    <w:rsid w:val="003A6810"/>
    <w:rsid w:val="003C2CC4"/>
    <w:rsid w:val="003C5F9B"/>
    <w:rsid w:val="003D4B23"/>
    <w:rsid w:val="00406F20"/>
    <w:rsid w:val="004077D0"/>
    <w:rsid w:val="00410C89"/>
    <w:rsid w:val="00416EAF"/>
    <w:rsid w:val="00426B9B"/>
    <w:rsid w:val="004325CB"/>
    <w:rsid w:val="00442A83"/>
    <w:rsid w:val="004437F2"/>
    <w:rsid w:val="00445BD2"/>
    <w:rsid w:val="0045339F"/>
    <w:rsid w:val="0045495B"/>
    <w:rsid w:val="00455672"/>
    <w:rsid w:val="004702E1"/>
    <w:rsid w:val="00475072"/>
    <w:rsid w:val="00480FA4"/>
    <w:rsid w:val="00491830"/>
    <w:rsid w:val="004A6816"/>
    <w:rsid w:val="004B3269"/>
    <w:rsid w:val="004B4C23"/>
    <w:rsid w:val="004B7802"/>
    <w:rsid w:val="004D0D0F"/>
    <w:rsid w:val="004D0FCD"/>
    <w:rsid w:val="004D2719"/>
    <w:rsid w:val="004E0D4F"/>
    <w:rsid w:val="004E3717"/>
    <w:rsid w:val="005045AB"/>
    <w:rsid w:val="0052136D"/>
    <w:rsid w:val="00524668"/>
    <w:rsid w:val="0052775E"/>
    <w:rsid w:val="00534F68"/>
    <w:rsid w:val="005420F2"/>
    <w:rsid w:val="00544481"/>
    <w:rsid w:val="005628B6"/>
    <w:rsid w:val="005649D2"/>
    <w:rsid w:val="00567F83"/>
    <w:rsid w:val="005703E2"/>
    <w:rsid w:val="005731C3"/>
    <w:rsid w:val="00576543"/>
    <w:rsid w:val="0057703F"/>
    <w:rsid w:val="00590400"/>
    <w:rsid w:val="005932A8"/>
    <w:rsid w:val="005B1BDC"/>
    <w:rsid w:val="005B3DB3"/>
    <w:rsid w:val="005C06A9"/>
    <w:rsid w:val="005D0FDF"/>
    <w:rsid w:val="005D500D"/>
    <w:rsid w:val="005F1353"/>
    <w:rsid w:val="005F26A5"/>
    <w:rsid w:val="005F7B75"/>
    <w:rsid w:val="006001EE"/>
    <w:rsid w:val="00601CD5"/>
    <w:rsid w:val="00605042"/>
    <w:rsid w:val="00606478"/>
    <w:rsid w:val="00611FC4"/>
    <w:rsid w:val="00614767"/>
    <w:rsid w:val="006176FB"/>
    <w:rsid w:val="00631539"/>
    <w:rsid w:val="0063505E"/>
    <w:rsid w:val="00635DD8"/>
    <w:rsid w:val="00640B26"/>
    <w:rsid w:val="00652D0A"/>
    <w:rsid w:val="00662BB6"/>
    <w:rsid w:val="00664290"/>
    <w:rsid w:val="0066626D"/>
    <w:rsid w:val="00684C21"/>
    <w:rsid w:val="006A08F5"/>
    <w:rsid w:val="006B29DA"/>
    <w:rsid w:val="006B2B77"/>
    <w:rsid w:val="006C19AB"/>
    <w:rsid w:val="006C1A7E"/>
    <w:rsid w:val="006C7BD2"/>
    <w:rsid w:val="006D0671"/>
    <w:rsid w:val="006D37AF"/>
    <w:rsid w:val="006D51D0"/>
    <w:rsid w:val="006D6682"/>
    <w:rsid w:val="006E564B"/>
    <w:rsid w:val="006E717E"/>
    <w:rsid w:val="006E7191"/>
    <w:rsid w:val="006F0A49"/>
    <w:rsid w:val="006F0DCA"/>
    <w:rsid w:val="006F5689"/>
    <w:rsid w:val="00703577"/>
    <w:rsid w:val="0072632A"/>
    <w:rsid w:val="00727B97"/>
    <w:rsid w:val="007309F0"/>
    <w:rsid w:val="007327D5"/>
    <w:rsid w:val="007404C0"/>
    <w:rsid w:val="00741D28"/>
    <w:rsid w:val="007629C8"/>
    <w:rsid w:val="007A3672"/>
    <w:rsid w:val="007A48D8"/>
    <w:rsid w:val="007B1AC9"/>
    <w:rsid w:val="007B6BA5"/>
    <w:rsid w:val="007C3390"/>
    <w:rsid w:val="007C36FB"/>
    <w:rsid w:val="007C4F4B"/>
    <w:rsid w:val="007C5CDB"/>
    <w:rsid w:val="007D50C6"/>
    <w:rsid w:val="007D6BBE"/>
    <w:rsid w:val="007E1BBC"/>
    <w:rsid w:val="007E2DA1"/>
    <w:rsid w:val="007E3F0B"/>
    <w:rsid w:val="007E7672"/>
    <w:rsid w:val="007F6611"/>
    <w:rsid w:val="00822A0E"/>
    <w:rsid w:val="008242D7"/>
    <w:rsid w:val="0082481C"/>
    <w:rsid w:val="008257B1"/>
    <w:rsid w:val="00843086"/>
    <w:rsid w:val="00843767"/>
    <w:rsid w:val="00846F22"/>
    <w:rsid w:val="008679D9"/>
    <w:rsid w:val="0087487A"/>
    <w:rsid w:val="0089029A"/>
    <w:rsid w:val="008979B1"/>
    <w:rsid w:val="008A62BA"/>
    <w:rsid w:val="008A6B25"/>
    <w:rsid w:val="008A6C4F"/>
    <w:rsid w:val="008A75AF"/>
    <w:rsid w:val="008B2335"/>
    <w:rsid w:val="008B4A4D"/>
    <w:rsid w:val="008E0678"/>
    <w:rsid w:val="008E4285"/>
    <w:rsid w:val="00903EF0"/>
    <w:rsid w:val="009223CA"/>
    <w:rsid w:val="0093227A"/>
    <w:rsid w:val="00940F93"/>
    <w:rsid w:val="00945D3C"/>
    <w:rsid w:val="009552B9"/>
    <w:rsid w:val="00960263"/>
    <w:rsid w:val="009615A0"/>
    <w:rsid w:val="00965A6C"/>
    <w:rsid w:val="009760F3"/>
    <w:rsid w:val="009A0E8D"/>
    <w:rsid w:val="009A1939"/>
    <w:rsid w:val="009A6D40"/>
    <w:rsid w:val="009B26E7"/>
    <w:rsid w:val="009B504A"/>
    <w:rsid w:val="009C5B59"/>
    <w:rsid w:val="009E1482"/>
    <w:rsid w:val="009F28F0"/>
    <w:rsid w:val="009F3F00"/>
    <w:rsid w:val="009F773D"/>
    <w:rsid w:val="00A00A3F"/>
    <w:rsid w:val="00A01489"/>
    <w:rsid w:val="00A069A6"/>
    <w:rsid w:val="00A079D3"/>
    <w:rsid w:val="00A20CA6"/>
    <w:rsid w:val="00A26928"/>
    <w:rsid w:val="00A27FEE"/>
    <w:rsid w:val="00A338F1"/>
    <w:rsid w:val="00A5214F"/>
    <w:rsid w:val="00A54E32"/>
    <w:rsid w:val="00A618E1"/>
    <w:rsid w:val="00A65347"/>
    <w:rsid w:val="00A65A69"/>
    <w:rsid w:val="00A72F22"/>
    <w:rsid w:val="00A7360F"/>
    <w:rsid w:val="00A74207"/>
    <w:rsid w:val="00A748A6"/>
    <w:rsid w:val="00A769F4"/>
    <w:rsid w:val="00A776B4"/>
    <w:rsid w:val="00A92AA2"/>
    <w:rsid w:val="00A94361"/>
    <w:rsid w:val="00A94975"/>
    <w:rsid w:val="00AA293C"/>
    <w:rsid w:val="00AB1530"/>
    <w:rsid w:val="00AE0D8C"/>
    <w:rsid w:val="00AE1CCA"/>
    <w:rsid w:val="00AF2A0B"/>
    <w:rsid w:val="00B27190"/>
    <w:rsid w:val="00B30179"/>
    <w:rsid w:val="00B502F4"/>
    <w:rsid w:val="00B522E9"/>
    <w:rsid w:val="00B54F31"/>
    <w:rsid w:val="00B56E4A"/>
    <w:rsid w:val="00B56E9C"/>
    <w:rsid w:val="00B641C2"/>
    <w:rsid w:val="00B64B1F"/>
    <w:rsid w:val="00B6553F"/>
    <w:rsid w:val="00B74B47"/>
    <w:rsid w:val="00B77D05"/>
    <w:rsid w:val="00B81206"/>
    <w:rsid w:val="00B81E12"/>
    <w:rsid w:val="00B82ED6"/>
    <w:rsid w:val="00B917CA"/>
    <w:rsid w:val="00B92937"/>
    <w:rsid w:val="00B97532"/>
    <w:rsid w:val="00B97EE2"/>
    <w:rsid w:val="00BA10BB"/>
    <w:rsid w:val="00BC40F4"/>
    <w:rsid w:val="00BC74E9"/>
    <w:rsid w:val="00BF22A0"/>
    <w:rsid w:val="00BF68A8"/>
    <w:rsid w:val="00C050C2"/>
    <w:rsid w:val="00C11A03"/>
    <w:rsid w:val="00C1674D"/>
    <w:rsid w:val="00C17B63"/>
    <w:rsid w:val="00C42634"/>
    <w:rsid w:val="00C463DD"/>
    <w:rsid w:val="00C4724C"/>
    <w:rsid w:val="00C52869"/>
    <w:rsid w:val="00C5632E"/>
    <w:rsid w:val="00C629A0"/>
    <w:rsid w:val="00C639D4"/>
    <w:rsid w:val="00C745C3"/>
    <w:rsid w:val="00C81CB8"/>
    <w:rsid w:val="00CB56F9"/>
    <w:rsid w:val="00CB690A"/>
    <w:rsid w:val="00CB7D87"/>
    <w:rsid w:val="00CC5297"/>
    <w:rsid w:val="00CD1EFB"/>
    <w:rsid w:val="00CD440E"/>
    <w:rsid w:val="00CD6FE0"/>
    <w:rsid w:val="00CE0BBC"/>
    <w:rsid w:val="00CE4A8F"/>
    <w:rsid w:val="00CE4E2A"/>
    <w:rsid w:val="00CF13C8"/>
    <w:rsid w:val="00D064AA"/>
    <w:rsid w:val="00D2031B"/>
    <w:rsid w:val="00D21697"/>
    <w:rsid w:val="00D22020"/>
    <w:rsid w:val="00D25FE2"/>
    <w:rsid w:val="00D26C82"/>
    <w:rsid w:val="00D332DE"/>
    <w:rsid w:val="00D35970"/>
    <w:rsid w:val="00D43252"/>
    <w:rsid w:val="00D450CF"/>
    <w:rsid w:val="00D47706"/>
    <w:rsid w:val="00D47EEA"/>
    <w:rsid w:val="00D51160"/>
    <w:rsid w:val="00D51326"/>
    <w:rsid w:val="00D71416"/>
    <w:rsid w:val="00D72F90"/>
    <w:rsid w:val="00D73A59"/>
    <w:rsid w:val="00D93CC8"/>
    <w:rsid w:val="00D95303"/>
    <w:rsid w:val="00D978C6"/>
    <w:rsid w:val="00DA0B19"/>
    <w:rsid w:val="00DA3C1C"/>
    <w:rsid w:val="00DB2BA9"/>
    <w:rsid w:val="00DC1764"/>
    <w:rsid w:val="00DD2532"/>
    <w:rsid w:val="00DF17EA"/>
    <w:rsid w:val="00E029B5"/>
    <w:rsid w:val="00E0487E"/>
    <w:rsid w:val="00E06587"/>
    <w:rsid w:val="00E161E6"/>
    <w:rsid w:val="00E27207"/>
    <w:rsid w:val="00E27346"/>
    <w:rsid w:val="00E32EFC"/>
    <w:rsid w:val="00E6388A"/>
    <w:rsid w:val="00E66EB7"/>
    <w:rsid w:val="00E71BC8"/>
    <w:rsid w:val="00E7260F"/>
    <w:rsid w:val="00E82D50"/>
    <w:rsid w:val="00E920DF"/>
    <w:rsid w:val="00E96630"/>
    <w:rsid w:val="00EB0C20"/>
    <w:rsid w:val="00ED6911"/>
    <w:rsid w:val="00ED7A2A"/>
    <w:rsid w:val="00EF1D7F"/>
    <w:rsid w:val="00F11AB5"/>
    <w:rsid w:val="00F34539"/>
    <w:rsid w:val="00F425F9"/>
    <w:rsid w:val="00F4537D"/>
    <w:rsid w:val="00F47617"/>
    <w:rsid w:val="00F62D9B"/>
    <w:rsid w:val="00F64144"/>
    <w:rsid w:val="00F668E3"/>
    <w:rsid w:val="00F77602"/>
    <w:rsid w:val="00F93781"/>
    <w:rsid w:val="00FA5869"/>
    <w:rsid w:val="00FB087F"/>
    <w:rsid w:val="00FB613B"/>
    <w:rsid w:val="00FB68FB"/>
    <w:rsid w:val="00FC68B7"/>
    <w:rsid w:val="00FD615B"/>
    <w:rsid w:val="00FE106A"/>
    <w:rsid w:val="00FE1F1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1"/>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locked/>
    <w:rsid w:val="007A48D8"/>
    <w:rPr>
      <w:rFonts w:cs="Times New Roman"/>
      <w:sz w:val="18"/>
      <w:lang w:val="x-none" w:eastAsia="en-US"/>
    </w:rPr>
  </w:style>
  <w:style w:type="paragraph" w:customStyle="1" w:styleId="NoSpacing">
    <w:name w:val="No Spacing"/>
    <w:aliases w:val="references"/>
    <w:rsid w:val="007A48D8"/>
    <w:pPr>
      <w:suppressAutoHyphens/>
      <w:spacing w:before="120" w:after="80"/>
    </w:pPr>
    <w:rPr>
      <w:rFonts w:eastAsia="Malgun Gothic"/>
      <w:sz w:val="18"/>
      <w:lang w:val="en-GB" w:eastAsia="ko-KR"/>
    </w:rPr>
  </w:style>
  <w:style w:type="paragraph" w:customStyle="1" w:styleId="referencestext">
    <w:name w:val="references_text"/>
    <w:basedOn w:val="Normal"/>
    <w:link w:val="referencestextChar"/>
    <w:rsid w:val="007A48D8"/>
    <w:pPr>
      <w:suppressAutoHyphens w:val="0"/>
      <w:autoSpaceDE w:val="0"/>
      <w:autoSpaceDN w:val="0"/>
      <w:adjustRightInd w:val="0"/>
      <w:spacing w:line="240" w:lineRule="auto"/>
      <w:ind w:left="680"/>
    </w:pPr>
    <w:rPr>
      <w:rFonts w:eastAsia="Malgun Gothic"/>
      <w:color w:val="0F243E"/>
      <w:sz w:val="18"/>
      <w:lang w:eastAsia="ko-KR"/>
    </w:rPr>
  </w:style>
  <w:style w:type="character" w:customStyle="1" w:styleId="referencestextChar">
    <w:name w:val="references_text Char"/>
    <w:link w:val="referencestext"/>
    <w:locked/>
    <w:rsid w:val="007A48D8"/>
    <w:rPr>
      <w:rFonts w:eastAsia="Malgun Gothic"/>
      <w:color w:val="0F243E"/>
      <w:sz w:val="18"/>
      <w:lang w:val="en-GB" w:eastAsia="ko-KR" w:bidi="ar-SA"/>
    </w:rPr>
  </w:style>
  <w:style w:type="character" w:styleId="Strong">
    <w:name w:val="Strong"/>
    <w:qFormat/>
    <w:rsid w:val="007A48D8"/>
    <w:rPr>
      <w:b/>
    </w:rPr>
  </w:style>
  <w:style w:type="paragraph" w:customStyle="1" w:styleId="LOIQ1">
    <w:name w:val="LOI_Q 1."/>
    <w:basedOn w:val="SingleTxtG"/>
    <w:rsid w:val="007A48D8"/>
    <w:pPr>
      <w:numPr>
        <w:numId w:val="9"/>
      </w:numPr>
      <w:adjustRightInd w:val="0"/>
      <w:ind w:left="1701" w:firstLine="0"/>
    </w:pPr>
    <w:rPr>
      <w:rFonts w:eastAsia="Malgun Gothic"/>
    </w:rPr>
  </w:style>
  <w:style w:type="paragraph" w:customStyle="1" w:styleId="LOI1">
    <w:name w:val="LOI_1."/>
    <w:basedOn w:val="LOIQ1"/>
    <w:link w:val="LOI1Char"/>
    <w:rsid w:val="007A48D8"/>
    <w:pPr>
      <w:snapToGrid w:val="0"/>
      <w:ind w:left="1134"/>
    </w:pPr>
  </w:style>
  <w:style w:type="character" w:customStyle="1" w:styleId="LOI1Char">
    <w:name w:val="LOI_1. Char"/>
    <w:link w:val="LOI1"/>
    <w:locked/>
    <w:rsid w:val="007A48D8"/>
    <w:rPr>
      <w:rFonts w:eastAsia="Malgun Gothic"/>
      <w:lang w:val="en-GB" w:eastAsia="en-US" w:bidi="ar-SA"/>
    </w:rPr>
  </w:style>
  <w:style w:type="paragraph" w:customStyle="1" w:styleId="LOIa">
    <w:name w:val="LOI_a)"/>
    <w:basedOn w:val="Normal"/>
    <w:link w:val="LOIaChar"/>
    <w:rsid w:val="007A48D8"/>
    <w:pPr>
      <w:numPr>
        <w:numId w:val="10"/>
      </w:numPr>
      <w:adjustRightInd w:val="0"/>
      <w:snapToGrid w:val="0"/>
      <w:ind w:right="1134"/>
    </w:pPr>
    <w:rPr>
      <w:rFonts w:eastAsia="Malgun Gothic"/>
      <w:lang w:eastAsia="ko-KR"/>
    </w:rPr>
  </w:style>
  <w:style w:type="character" w:customStyle="1" w:styleId="LOIaChar">
    <w:name w:val="LOI_a) Char"/>
    <w:link w:val="LOIa"/>
    <w:locked/>
    <w:rsid w:val="007A48D8"/>
    <w:rPr>
      <w:rFonts w:eastAsia="Malgun Gothic"/>
      <w:lang w:val="en-GB" w:eastAsia="ko-KR" w:bidi="ar-SA"/>
    </w:rPr>
  </w:style>
  <w:style w:type="character" w:customStyle="1" w:styleId="HeaderChar">
    <w:name w:val="Header Char"/>
    <w:aliases w:val="6_G Char"/>
    <w:link w:val="Header"/>
    <w:uiPriority w:val="99"/>
    <w:rsid w:val="00A27FEE"/>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erd/index.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iversalhumanrightsindex.org/hrsearch/displayDocumentVersions.do;jsessionid=36BA01FF2C52583FCE0FB02992EAD593?lang=en&amp;docId=84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2.ohchr.org/english/bodies/hrc/index.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universalhumanrightsindex.org/hrsearch/displayDocumentVersions.do;jsessionid=36BA01FF2C52583FCE0FB02992EAD593?lang=en&amp;docId=112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3417</Words>
  <Characters>19378</Characters>
  <Application>Microsoft Office Word</Application>
  <DocSecurity>4</DocSecurity>
  <Lines>317</Lines>
  <Paragraphs>92</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22703</CharactersWithSpaces>
  <SharedDoc>false</SharedDoc>
  <HLinks>
    <vt:vector size="24" baseType="variant">
      <vt:variant>
        <vt:i4>6619257</vt:i4>
      </vt:variant>
      <vt:variant>
        <vt:i4>9</vt:i4>
      </vt:variant>
      <vt:variant>
        <vt:i4>0</vt:i4>
      </vt:variant>
      <vt:variant>
        <vt:i4>5</vt:i4>
      </vt:variant>
      <vt:variant>
        <vt:lpwstr>http://www.universalhumanrightsindex.org/hrsearch/displayDocumentVersions.do;jsessionid=36BA01FF2C52583FCE0FB02992EAD593?lang=en&amp;docId=845</vt:lpwstr>
      </vt:variant>
      <vt:variant>
        <vt:lpwstr/>
      </vt:variant>
      <vt:variant>
        <vt:i4>2490489</vt:i4>
      </vt:variant>
      <vt:variant>
        <vt:i4>6</vt:i4>
      </vt:variant>
      <vt:variant>
        <vt:i4>0</vt:i4>
      </vt:variant>
      <vt:variant>
        <vt:i4>5</vt:i4>
      </vt:variant>
      <vt:variant>
        <vt:lpwstr>http://www2.ohchr.org/english/bodies/hrc/index.htm</vt:lpwstr>
      </vt:variant>
      <vt:variant>
        <vt:lpwstr/>
      </vt:variant>
      <vt:variant>
        <vt:i4>7012476</vt:i4>
      </vt:variant>
      <vt:variant>
        <vt:i4>3</vt:i4>
      </vt:variant>
      <vt:variant>
        <vt:i4>0</vt:i4>
      </vt:variant>
      <vt:variant>
        <vt:i4>5</vt:i4>
      </vt:variant>
      <vt:variant>
        <vt:lpwstr>http://www.universalhumanrightsindex.org/hrsearch/displayDocumentVersions.do;jsessionid=36BA01FF2C52583FCE0FB02992EAD593?lang=en&amp;docId=1122</vt:lpwstr>
      </vt:variant>
      <vt:variant>
        <vt:lpwstr/>
      </vt:variant>
      <vt:variant>
        <vt:i4>3276905</vt:i4>
      </vt:variant>
      <vt:variant>
        <vt:i4>0</vt:i4>
      </vt:variant>
      <vt:variant>
        <vt:i4>0</vt:i4>
      </vt:variant>
      <vt:variant>
        <vt:i4>5</vt:i4>
      </vt:variant>
      <vt:variant>
        <vt:lpwstr>http://www2.ohchr.org/english/bodies/cerd/index.htm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2011-12-14T14:19:00Z</cp:lastPrinted>
  <dcterms:created xsi:type="dcterms:W3CDTF">2012-01-13T08:09:00Z</dcterms:created>
  <dcterms:modified xsi:type="dcterms:W3CDTF">2012-01-13T08:09:00Z</dcterms:modified>
</cp:coreProperties>
</file>