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D065C51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DE97E7B" w14:textId="77777777" w:rsidR="002D5AAC" w:rsidRDefault="002D5AAC" w:rsidP="001914E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1A600AA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28743447" w14:textId="0F6B332F" w:rsidR="002D5AAC" w:rsidRDefault="001914E4" w:rsidP="001914E4">
            <w:pPr>
              <w:jc w:val="right"/>
            </w:pPr>
            <w:r w:rsidRPr="001914E4">
              <w:rPr>
                <w:sz w:val="40"/>
              </w:rPr>
              <w:t>CCPR</w:t>
            </w:r>
            <w:r>
              <w:t>/C/CYP/CO/5</w:t>
            </w:r>
          </w:p>
        </w:tc>
      </w:tr>
      <w:tr w:rsidR="002D5AAC" w:rsidRPr="001914E4" w14:paraId="327676C2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8103EB5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F2EE619" wp14:editId="553E382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24270D5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26652DB" w14:textId="77777777" w:rsidR="002D5AAC" w:rsidRPr="001914E4" w:rsidRDefault="001914E4" w:rsidP="00BC3629">
            <w:pPr>
              <w:spacing w:before="240"/>
              <w:rPr>
                <w:lang w:val="en-US"/>
              </w:rPr>
            </w:pPr>
            <w:r w:rsidRPr="001914E4">
              <w:rPr>
                <w:lang w:val="en-US"/>
              </w:rPr>
              <w:t>Distr.: General</w:t>
            </w:r>
          </w:p>
          <w:p w14:paraId="2DF30A40" w14:textId="77777777" w:rsidR="001914E4" w:rsidRPr="001914E4" w:rsidRDefault="001914E4" w:rsidP="001914E4">
            <w:pPr>
              <w:spacing w:line="240" w:lineRule="exact"/>
              <w:rPr>
                <w:lang w:val="en-US"/>
              </w:rPr>
            </w:pPr>
            <w:r w:rsidRPr="001914E4">
              <w:rPr>
                <w:lang w:val="en-US"/>
              </w:rPr>
              <w:t>11 September 2023</w:t>
            </w:r>
          </w:p>
          <w:p w14:paraId="0F2AE348" w14:textId="77777777" w:rsidR="001914E4" w:rsidRPr="001914E4" w:rsidRDefault="001914E4" w:rsidP="001914E4">
            <w:pPr>
              <w:spacing w:line="240" w:lineRule="exact"/>
              <w:rPr>
                <w:lang w:val="en-US"/>
              </w:rPr>
            </w:pPr>
            <w:r w:rsidRPr="001914E4">
              <w:rPr>
                <w:lang w:val="en-US"/>
              </w:rPr>
              <w:t>Russian</w:t>
            </w:r>
          </w:p>
          <w:p w14:paraId="39EF755E" w14:textId="5F08B650" w:rsidR="001914E4" w:rsidRPr="001914E4" w:rsidRDefault="001914E4" w:rsidP="001914E4">
            <w:pPr>
              <w:spacing w:line="240" w:lineRule="exact"/>
              <w:rPr>
                <w:lang w:val="en-US"/>
              </w:rPr>
            </w:pPr>
            <w:r w:rsidRPr="001914E4">
              <w:rPr>
                <w:lang w:val="en-US"/>
              </w:rPr>
              <w:t>Original: English</w:t>
            </w:r>
          </w:p>
        </w:tc>
      </w:tr>
    </w:tbl>
    <w:p w14:paraId="36C7C55A" w14:textId="77777777" w:rsidR="001914E4" w:rsidRPr="001914E4" w:rsidRDefault="001914E4" w:rsidP="001914E4">
      <w:pPr>
        <w:spacing w:before="120"/>
        <w:rPr>
          <w:b/>
          <w:bCs/>
          <w:sz w:val="24"/>
          <w:szCs w:val="24"/>
        </w:rPr>
      </w:pPr>
      <w:r w:rsidRPr="001914E4">
        <w:rPr>
          <w:b/>
          <w:bCs/>
          <w:sz w:val="24"/>
          <w:szCs w:val="24"/>
        </w:rPr>
        <w:t>Комитет по правам человека</w:t>
      </w:r>
    </w:p>
    <w:p w14:paraId="28EACE36" w14:textId="77777777" w:rsidR="001914E4" w:rsidRPr="00CD0888" w:rsidRDefault="001914E4" w:rsidP="001914E4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пятому периодическому докладу Кипра</w:t>
      </w:r>
      <w:r w:rsidRPr="00583BD2">
        <w:rPr>
          <w:b w:val="0"/>
          <w:bCs/>
          <w:sz w:val="20"/>
          <w:szCs w:val="14"/>
        </w:rPr>
        <w:footnoteReference w:customMarkFollows="1" w:id="1"/>
        <w:t>*</w:t>
      </w:r>
    </w:p>
    <w:p w14:paraId="52F5B027" w14:textId="77777777" w:rsidR="001914E4" w:rsidRPr="00CD0888" w:rsidRDefault="001914E4" w:rsidP="001914E4">
      <w:pPr>
        <w:pStyle w:val="SingleTxtG"/>
      </w:pPr>
      <w:bookmarkStart w:id="0" w:name="_Hlk102133385"/>
      <w:r>
        <w:t>1.</w:t>
      </w:r>
      <w:r>
        <w:tab/>
        <w:t>Комитет рассмотрел пятый периодический доклад Кипра на своих</w:t>
      </w:r>
      <w:r w:rsidRPr="00583BD2">
        <w:rPr>
          <w:rStyle w:val="aa"/>
        </w:rPr>
        <w:footnoteReference w:id="2"/>
      </w:r>
      <w:r>
        <w:t xml:space="preserve"> 3999-м и 4000-м заседаниях</w:t>
      </w:r>
      <w:r w:rsidRPr="00583BD2">
        <w:rPr>
          <w:rStyle w:val="aa"/>
        </w:rPr>
        <w:footnoteReference w:id="3"/>
      </w:r>
      <w:r>
        <w:t>, состоявшихся 28 и 30 июня 2023 года. На своем 4028-м заседании, состоявшемся 20 июля 2023 года, он принял настоящие заключительные замечания.</w:t>
      </w:r>
    </w:p>
    <w:p w14:paraId="3673AD66" w14:textId="036A5D83" w:rsidR="001914E4" w:rsidRPr="00CD0888" w:rsidRDefault="001914E4" w:rsidP="001914E4">
      <w:pPr>
        <w:pStyle w:val="H1G"/>
      </w:pPr>
      <w:r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  <w:bookmarkEnd w:id="0"/>
    </w:p>
    <w:p w14:paraId="0ECFE4BF" w14:textId="77777777" w:rsidR="001914E4" w:rsidRPr="00CD0888" w:rsidRDefault="001914E4" w:rsidP="001914E4">
      <w:pPr>
        <w:pStyle w:val="SingleTxtG"/>
      </w:pPr>
      <w:r>
        <w:t>2.</w:t>
      </w:r>
      <w:r>
        <w:tab/>
        <w:t>Комитет выражает признательность государству-участнику за согласие следовать упрощенной процедуре представления докладов и за представление своего пятого периодического доклада в ответ на препровожденный до представления доклада перечень вопросов, который был подготовлен в рамках этой процедуры</w:t>
      </w:r>
      <w:r w:rsidRPr="00583BD2">
        <w:rPr>
          <w:rStyle w:val="aa"/>
        </w:rPr>
        <w:footnoteReference w:id="4"/>
      </w:r>
      <w:r>
        <w:t>. Он выражает признательность за возможность возобновить конструктивный диалог с делегацией государства-участника по мерам, принятым в течение отчетного периода для выполнения положений Пакта. Комитет благодарит государство-участник за устные ответы делегации, а также за представленную ему в письменном виде дополнительную информацию.</w:t>
      </w:r>
    </w:p>
    <w:p w14:paraId="588719D3" w14:textId="1AC926E2" w:rsidR="001914E4" w:rsidRPr="00CD0888" w:rsidRDefault="001914E4" w:rsidP="001914E4">
      <w:pPr>
        <w:pStyle w:val="H1G"/>
      </w:pPr>
      <w:r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51F69475" w14:textId="77777777" w:rsidR="001914E4" w:rsidRPr="00CD0888" w:rsidRDefault="001914E4" w:rsidP="001914E4">
      <w:pPr>
        <w:pStyle w:val="SingleTxtG"/>
      </w:pPr>
      <w:r>
        <w:t>3.</w:t>
      </w:r>
      <w:r>
        <w:tab/>
        <w:t xml:space="preserve">Комитет приветствует принятие государством-участником следующих законодательных мер: </w:t>
      </w:r>
    </w:p>
    <w:p w14:paraId="7BAA406A" w14:textId="36B02771" w:rsidR="001914E4" w:rsidRPr="00CD0888" w:rsidRDefault="001914E4" w:rsidP="001914E4">
      <w:pPr>
        <w:pStyle w:val="SingleTxtG"/>
      </w:pPr>
      <w:r>
        <w:tab/>
      </w:r>
      <w:r>
        <w:t>a)</w:t>
      </w:r>
      <w:r>
        <w:tab/>
        <w:t>Закон о внесении изменений в Уголовный кодекс (</w:t>
      </w:r>
      <w:r>
        <w:t>№ </w:t>
      </w:r>
      <w:r>
        <w:t>87(I)/2015), согласно которому публичное подстрекательство к насилию или ненависти в отношении группы лиц или члена такой группы по признаку их сексуальной ориентации или гендерной идентичности является уголовным преступлением;</w:t>
      </w:r>
    </w:p>
    <w:p w14:paraId="4D7622A2" w14:textId="76238AFF" w:rsidR="001914E4" w:rsidRPr="00CD0888" w:rsidRDefault="001914E4" w:rsidP="001914E4">
      <w:pPr>
        <w:pStyle w:val="SingleTxtG"/>
      </w:pPr>
      <w:r>
        <w:tab/>
      </w:r>
      <w:r>
        <w:t>b)</w:t>
      </w:r>
      <w:r>
        <w:tab/>
        <w:t>Закон о внесении изменений в Уголовный кодекс (</w:t>
      </w:r>
      <w:r>
        <w:t>№ </w:t>
      </w:r>
      <w:r>
        <w:t>31(I)/2017), который предусматривает, что суд на стадии вынесения приговора может принимать во внимание в качестве отягчающего обстоятельства такую мотивацию, как предвзятое отношение к группе лиц или члену такой группы по признаку расы, цвета кожи, национального или этнического происхождения, религии или других убеждений, родства, сексуальной ориентации или гендерной идентичности;</w:t>
      </w:r>
    </w:p>
    <w:p w14:paraId="481B9211" w14:textId="43D44BEE" w:rsidR="001914E4" w:rsidRPr="00CD0888" w:rsidRDefault="001914E4" w:rsidP="001914E4">
      <w:pPr>
        <w:pStyle w:val="SingleTxtG"/>
      </w:pPr>
      <w:r>
        <w:tab/>
      </w:r>
      <w:r>
        <w:t>c)</w:t>
      </w:r>
      <w:r>
        <w:tab/>
        <w:t>Поправка к Закону о правах арестованных и задержанных лиц (</w:t>
      </w:r>
      <w:r>
        <w:t>№ </w:t>
      </w:r>
      <w:r>
        <w:t xml:space="preserve">22(I)/2017) (вносит изменения в Закон </w:t>
      </w:r>
      <w:r>
        <w:t>№ </w:t>
      </w:r>
      <w:r>
        <w:t xml:space="preserve">163(I)/2005), которая предусматривает право на информацию, право на доступ к адвокату, право на информирование третьей </w:t>
      </w:r>
      <w:r>
        <w:lastRenderedPageBreak/>
        <w:t>стороны при лишении свободы, а также право на общение с третьими лицами и консульскими учреждениями при лишении свободы;</w:t>
      </w:r>
      <w:bookmarkStart w:id="1" w:name="_Hlk145075004"/>
      <w:bookmarkStart w:id="2" w:name="_Hlk145074979"/>
      <w:bookmarkEnd w:id="1"/>
    </w:p>
    <w:p w14:paraId="64BF819F" w14:textId="53B0831D" w:rsidR="001914E4" w:rsidRPr="00CD0888" w:rsidRDefault="001914E4" w:rsidP="001914E4">
      <w:pPr>
        <w:pStyle w:val="SingleTxtG"/>
      </w:pPr>
      <w:bookmarkStart w:id="3" w:name="_Hlk145075335"/>
      <w:bookmarkEnd w:id="2"/>
      <w:r>
        <w:tab/>
      </w:r>
      <w:r>
        <w:t>d)</w:t>
      </w:r>
      <w:r>
        <w:tab/>
        <w:t>Поправка к Закону о правах арестованных и задержанных лиц (</w:t>
      </w:r>
      <w:r>
        <w:t>№ </w:t>
      </w:r>
      <w:r>
        <w:t xml:space="preserve">111(I)/2018) (вносит изменения в Закон </w:t>
      </w:r>
      <w:r>
        <w:t>№ </w:t>
      </w:r>
      <w:r>
        <w:t>163(I)/2005), которая усиливает некоторые аспекты презумпции невиновности и права присутствовать на судебном заседании в уголовном процессе;</w:t>
      </w:r>
      <w:bookmarkStart w:id="4" w:name="_Hlk145075348"/>
      <w:bookmarkEnd w:id="4"/>
    </w:p>
    <w:bookmarkEnd w:id="3"/>
    <w:p w14:paraId="21DC9CBC" w14:textId="35A2BF1C" w:rsidR="001914E4" w:rsidRPr="00CD0888" w:rsidRDefault="001914E4" w:rsidP="001914E4">
      <w:pPr>
        <w:pStyle w:val="SingleTxtG"/>
      </w:pPr>
      <w:r>
        <w:tab/>
      </w:r>
      <w:r>
        <w:t>e)</w:t>
      </w:r>
      <w:r>
        <w:tab/>
        <w:t>Поправка к Закону о правах подозреваемых, арестованных и задержанных лиц (</w:t>
      </w:r>
      <w:r>
        <w:t>№ </w:t>
      </w:r>
      <w:r>
        <w:t xml:space="preserve">71(I)/2019) (вносит изменения в Закон </w:t>
      </w:r>
      <w:r>
        <w:t>№ </w:t>
      </w:r>
      <w:r>
        <w:t>163(I)/2005), предусматривающая оказание юридической помощи подозреваемым и обвиняемым;</w:t>
      </w:r>
      <w:bookmarkStart w:id="5" w:name="_Hlk145076585"/>
      <w:bookmarkStart w:id="6" w:name="_Hlk145075994"/>
      <w:bookmarkStart w:id="7" w:name="_Hlk145075986"/>
      <w:bookmarkEnd w:id="5"/>
      <w:bookmarkEnd w:id="6"/>
    </w:p>
    <w:bookmarkEnd w:id="7"/>
    <w:p w14:paraId="2775A852" w14:textId="3F8A6B44" w:rsidR="001914E4" w:rsidRPr="00CD0888" w:rsidRDefault="001914E4" w:rsidP="001914E4">
      <w:pPr>
        <w:pStyle w:val="SingleTxtG"/>
      </w:pPr>
      <w:r>
        <w:tab/>
      </w:r>
      <w:r>
        <w:t>f)</w:t>
      </w:r>
      <w:r>
        <w:tab/>
        <w:t>Поправка к Закону о насилии в семье (профилактика и защита жертв) (</w:t>
      </w:r>
      <w:r>
        <w:t>№ </w:t>
      </w:r>
      <w:r>
        <w:t xml:space="preserve">95(I)/2019) (вносит изменения в Закон </w:t>
      </w:r>
      <w:r>
        <w:t>№ </w:t>
      </w:r>
      <w:r>
        <w:t xml:space="preserve">119(I)2000), которая предусматривает, что суд может принять решение о месте, отличном от зала суда, для дачи показаний ребенком-жертвой; </w:t>
      </w:r>
      <w:bookmarkStart w:id="8" w:name="_Hlk145076604"/>
      <w:bookmarkEnd w:id="8"/>
    </w:p>
    <w:p w14:paraId="67C72B54" w14:textId="3C41DE3B" w:rsidR="001914E4" w:rsidRPr="00CD0888" w:rsidRDefault="001914E4" w:rsidP="001914E4">
      <w:pPr>
        <w:pStyle w:val="SingleTxtG"/>
      </w:pPr>
      <w:r>
        <w:tab/>
      </w:r>
      <w:r>
        <w:t>g)</w:t>
      </w:r>
      <w:r>
        <w:tab/>
        <w:t>Поправка к Закону о предотвращении и пресечении торговли людьми и их эксплуатации, а также о защите жертв (</w:t>
      </w:r>
      <w:r>
        <w:t>№ </w:t>
      </w:r>
      <w:r>
        <w:t xml:space="preserve">117 (I)/2019) (вносит изменения в Закон </w:t>
      </w:r>
      <w:r>
        <w:t>№ </w:t>
      </w:r>
      <w:r>
        <w:t>60 (I)/2014), устанавливающая уголовную ответственность за торговлю людьми в целях сексуальной и трудовой эксплуатации и увеличивающая предусмотренное наказание с 10 до 25 лет лишения свободы за преступления с участием совершеннолетней жертвы;</w:t>
      </w:r>
    </w:p>
    <w:p w14:paraId="5ED611AD" w14:textId="45F73EB2" w:rsidR="001914E4" w:rsidRPr="00CD0888" w:rsidRDefault="001914E4" w:rsidP="001914E4">
      <w:pPr>
        <w:pStyle w:val="SingleTxtG"/>
      </w:pPr>
      <w:r>
        <w:tab/>
      </w:r>
      <w:r>
        <w:t>h)</w:t>
      </w:r>
      <w:r>
        <w:tab/>
        <w:t>Закон о борьбе с сексизмом и сексизмом в Интернете (</w:t>
      </w:r>
      <w:r>
        <w:t>№ </w:t>
      </w:r>
      <w:r>
        <w:t>209(I)/2020), устанавливающий уголовную ответственность за сексизм во всех его проявлениях как в общественной, так и в частной сферах;</w:t>
      </w:r>
    </w:p>
    <w:p w14:paraId="557103B8" w14:textId="392D1485" w:rsidR="001914E4" w:rsidRPr="00CD0888" w:rsidRDefault="001914E4" w:rsidP="001914E4">
      <w:pPr>
        <w:pStyle w:val="SingleTxtG"/>
      </w:pPr>
      <w:r>
        <w:tab/>
      </w:r>
      <w:r>
        <w:t>i)</w:t>
      </w:r>
      <w:r>
        <w:tab/>
        <w:t>Поправка в Закон о радио- и телевещании (</w:t>
      </w:r>
      <w:r>
        <w:t>№ </w:t>
      </w:r>
      <w:r>
        <w:t xml:space="preserve">197(I)/2021) (вносит изменения в Закон </w:t>
      </w:r>
      <w:r>
        <w:t>№ </w:t>
      </w:r>
      <w:r>
        <w:t xml:space="preserve">7(I)/1998), который приводит законодательство в соответствие с Директивой 2010/13/EU Европейского парламента и Совета от 10 марта 2010 года (Директива об аудиовизуальных </w:t>
      </w:r>
      <w:proofErr w:type="spellStart"/>
      <w:r>
        <w:t>медиауслугах</w:t>
      </w:r>
      <w:proofErr w:type="spellEnd"/>
      <w:r>
        <w:t>);</w:t>
      </w:r>
    </w:p>
    <w:p w14:paraId="6BA89CEE" w14:textId="117914B3" w:rsidR="001914E4" w:rsidRPr="00CD0888" w:rsidRDefault="001914E4" w:rsidP="001914E4">
      <w:pPr>
        <w:pStyle w:val="SingleTxtG"/>
      </w:pPr>
      <w:r>
        <w:tab/>
      </w:r>
      <w:r>
        <w:t>j)</w:t>
      </w:r>
      <w:r>
        <w:tab/>
        <w:t>Закон о защите от домогательств и преследований (</w:t>
      </w:r>
      <w:r>
        <w:t>№ </w:t>
      </w:r>
      <w:r>
        <w:t>114(I)/2021);</w:t>
      </w:r>
    </w:p>
    <w:p w14:paraId="3E9956AA" w14:textId="6D1BDD75" w:rsidR="001914E4" w:rsidRPr="00CD0888" w:rsidRDefault="001914E4" w:rsidP="001914E4">
      <w:pPr>
        <w:pStyle w:val="SingleTxtG"/>
      </w:pPr>
      <w:r>
        <w:tab/>
      </w:r>
      <w:r>
        <w:t>k)</w:t>
      </w:r>
      <w:r>
        <w:tab/>
        <w:t>Закон о всеобъемлющем сексуальном образовании (</w:t>
      </w:r>
      <w:r>
        <w:t>№ </w:t>
      </w:r>
      <w:r>
        <w:t>205(Ι)/2022);</w:t>
      </w:r>
    </w:p>
    <w:p w14:paraId="1B9E8982" w14:textId="610BC7D0" w:rsidR="001914E4" w:rsidRPr="00CD0888" w:rsidRDefault="001914E4" w:rsidP="001914E4">
      <w:pPr>
        <w:pStyle w:val="SingleTxtG"/>
      </w:pPr>
      <w:r>
        <w:tab/>
      </w:r>
      <w:r>
        <w:t>l)</w:t>
      </w:r>
      <w:r>
        <w:tab/>
        <w:t>Закон о внесении изменений в Уголовный кодекс (</w:t>
      </w:r>
      <w:r>
        <w:t>№ </w:t>
      </w:r>
      <w:r>
        <w:t>39(I)/2023), запрещающий конверсионную практику и устанавливающий уголовную ответственность за любую форму конверсионной терапии, направленной на изменение или подавление сексуальной ориентации, гендерной идентичности человека или ее выражения.</w:t>
      </w:r>
    </w:p>
    <w:p w14:paraId="2C0DFA39" w14:textId="64AE1B4A" w:rsidR="001914E4" w:rsidRPr="00CD0888" w:rsidRDefault="001914E4" w:rsidP="001914E4">
      <w:pPr>
        <w:pStyle w:val="SingleTxtG"/>
      </w:pPr>
      <w:r>
        <w:t>4.</w:t>
      </w:r>
      <w:r>
        <w:tab/>
        <w:t>Комитет также приветствует ратификацию государством-участником 11</w:t>
      </w:r>
      <w:r>
        <w:t> </w:t>
      </w:r>
      <w:r>
        <w:t>сентября 2017 года Факультативного протокола к Конвенции о правах ребенка, касающегося процедуры сообщений.</w:t>
      </w:r>
    </w:p>
    <w:p w14:paraId="2F4526D0" w14:textId="133A5D4B" w:rsidR="001914E4" w:rsidRPr="00CD0888" w:rsidRDefault="001914E4" w:rsidP="001914E4">
      <w:pPr>
        <w:pStyle w:val="H1G"/>
      </w:pPr>
      <w:r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</w:rPr>
        <w:t> </w:t>
      </w:r>
      <w:r>
        <w:rPr>
          <w:bCs/>
        </w:rPr>
        <w:t>рекомендации</w:t>
      </w:r>
    </w:p>
    <w:p w14:paraId="0AEEC5B1" w14:textId="77777777" w:rsidR="001914E4" w:rsidRPr="00CD0888" w:rsidRDefault="001914E4" w:rsidP="001914E4">
      <w:pPr>
        <w:pStyle w:val="H23G"/>
      </w:pPr>
      <w:r>
        <w:tab/>
      </w:r>
      <w:r>
        <w:tab/>
      </w:r>
      <w:r>
        <w:rPr>
          <w:bCs/>
        </w:rPr>
        <w:t>Конституционная и правовая основа применения Пакта</w:t>
      </w:r>
    </w:p>
    <w:p w14:paraId="0522DFC3" w14:textId="77777777" w:rsidR="001914E4" w:rsidRPr="00CD0888" w:rsidRDefault="001914E4" w:rsidP="001914E4">
      <w:pPr>
        <w:pStyle w:val="SingleTxtG"/>
      </w:pPr>
      <w:r>
        <w:t>5.</w:t>
      </w:r>
      <w:r>
        <w:tab/>
        <w:t>Комитет приветствует принятие в 2021 году первой Национальной стратегии по защите и поощрению прав человека, а также создание в 2019 году в Министерстве юстиции и общественного порядка Отдела по правам человека, которому поручено следить за положением с правами человека в государстве-участнике и выполнением его международных обязательств по уважению, защите и осуществлению гарантированных прав человека. Вместе с тем он обеспокоен редким применением Пакта национальной судебной системой и низким уровнем информированности населения о первом Факультативном протоколе к Пакту и о возможности частных лиц обращаться с Комитет с заявлениями о нарушении их прав в соответствии с Пактом (статья 2).</w:t>
      </w:r>
    </w:p>
    <w:p w14:paraId="25EEE1C1" w14:textId="77777777" w:rsidR="001914E4" w:rsidRPr="00CD0888" w:rsidRDefault="001914E4" w:rsidP="001914E4">
      <w:pPr>
        <w:pStyle w:val="SingleTxtG"/>
        <w:rPr>
          <w:b/>
          <w:bCs/>
        </w:rPr>
      </w:pPr>
      <w:r>
        <w:lastRenderedPageBreak/>
        <w:t>6.</w:t>
      </w:r>
      <w:r>
        <w:tab/>
      </w:r>
      <w:r>
        <w:rPr>
          <w:b/>
          <w:bCs/>
        </w:rPr>
        <w:t>Комитет призывает государство-участник принять соответствующие меры по информированию широкой общественности о первом Факультативном протоколе и действующих механизмах подачи в Комитет индивидуальных жалоб на нарушения Пакта.</w:t>
      </w:r>
      <w:r>
        <w:t xml:space="preserve"> </w:t>
      </w:r>
      <w:r>
        <w:rPr>
          <w:b/>
          <w:bCs/>
        </w:rPr>
        <w:t>Государству-участнику следует ввести в действие эффективные процедуры, доступные на греческом, турецком языках и языках меньшинств, для оказания помощи заявителям в обращении в суд в связи с нарушениями их прав в соответствии с первым Факультативным протоколом.</w:t>
      </w:r>
      <w:r>
        <w:t xml:space="preserve"> </w:t>
      </w:r>
      <w:r>
        <w:rPr>
          <w:b/>
          <w:bCs/>
        </w:rPr>
        <w:t>Кроме того, государству-участнику следует повысить уровень осведомленности о Пакте среди адвокатов, прокуроров и судей, чтобы обеспечить, по возможности, ссылки на его положения в национальных судах и их применение.</w:t>
      </w:r>
    </w:p>
    <w:p w14:paraId="58577F81" w14:textId="77777777" w:rsidR="001914E4" w:rsidRPr="00CD0888" w:rsidRDefault="001914E4" w:rsidP="001914E4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2FC36243" w14:textId="3A7F1BCF" w:rsidR="001914E4" w:rsidRPr="00CD0888" w:rsidRDefault="001914E4" w:rsidP="001914E4">
      <w:pPr>
        <w:pStyle w:val="SingleTxtG"/>
      </w:pPr>
      <w:r>
        <w:t>7.</w:t>
      </w:r>
      <w:r>
        <w:tab/>
        <w:t>Комитет приветствует повторную аккредитацию в 2022 году Глобальным альянсом национальных учреждений по правам человека Управления комиссара по административным вопросам и правам человека со статусом «А». Тем не менее он по</w:t>
      </w:r>
      <w:r w:rsidR="00C41588">
        <w:noBreakHyphen/>
      </w:r>
      <w:r>
        <w:t>прежнему обеспокоен нехваткой персонала, говорящего на турецком языке, а также заявленной необходимостью адекватного финансирования и расширения официального сотрудничества с гражданским обществом (ст</w:t>
      </w:r>
      <w:r w:rsidR="00C41588">
        <w:t>атья</w:t>
      </w:r>
      <w:r>
        <w:t xml:space="preserve"> 2).</w:t>
      </w:r>
    </w:p>
    <w:p w14:paraId="759D7B7A" w14:textId="77777777" w:rsidR="001914E4" w:rsidRPr="00CD0888" w:rsidRDefault="001914E4" w:rsidP="001914E4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Государству-участнику следует продолжать свои усилия, в том числе путем выполнения рекомендаций Глобального альянса национальных правозащитных учреждений, для обеспечения того, чтобы Управление комиссара по административным вопросам и правам человека полностью соответствовало принципам, касающимся статуса национальных учреждений, занимающихся поощрением и защитой прав человека (Парижские принципы), и могло эффективно и независимо выполнять свой мандат, в том числе путем обеспечения наличия у него людских, финансовых и технических ресурсов, необходимых для эффективного выполнения его задач.</w:t>
      </w:r>
      <w:r>
        <w:t xml:space="preserve"> </w:t>
      </w:r>
      <w:r>
        <w:rPr>
          <w:b/>
          <w:bCs/>
        </w:rPr>
        <w:t>В этой связи Комитет призывает государство-участник принять меры для обеспечения присутствия и участия в работе персонала, говорящего на турецком языке.</w:t>
      </w:r>
    </w:p>
    <w:p w14:paraId="3597010A" w14:textId="77777777" w:rsidR="001914E4" w:rsidRPr="00CD0888" w:rsidRDefault="001914E4" w:rsidP="001914E4">
      <w:pPr>
        <w:pStyle w:val="H23G"/>
      </w:pPr>
      <w:r>
        <w:tab/>
      </w:r>
      <w:r>
        <w:tab/>
      </w:r>
      <w:r>
        <w:rPr>
          <w:bCs/>
        </w:rPr>
        <w:t>Недискриминация, язык ненависти и преступления на почве ненависти</w:t>
      </w:r>
    </w:p>
    <w:p w14:paraId="7D0FB113" w14:textId="47F5A919" w:rsidR="001914E4" w:rsidRPr="00CD0888" w:rsidRDefault="001914E4" w:rsidP="001914E4">
      <w:pPr>
        <w:pStyle w:val="SingleTxtG"/>
      </w:pPr>
      <w:r>
        <w:t>9.</w:t>
      </w:r>
      <w:r>
        <w:tab/>
        <w:t>Комитет приветствует законодательные и институциональные шаги, предпринятые государством-участником для борьбы с дискриминацией и преступлениями на почве ненависти в отношении уязвимых групп населения, включая лесбиянок, геев, бисексуалов и трансгендеров, общин турок-киприотов и рома, и повышения осведомленности о них, и с удовлетворением отмечает создание в 2021</w:t>
      </w:r>
      <w:r>
        <w:t> </w:t>
      </w:r>
      <w:r>
        <w:t>году межведомственной рабочей группы по преступлениям на почве ненависти на Кипре. Однако Комитет обеспокоен недавними случаями насилия и дискриминации в отношении представителей расовых и этнических меньшинств, а также лесбиянок, геев, бисексуалов и транссексуалов, особенно в сельских районах (статьи 2, 18–20 и</w:t>
      </w:r>
      <w:r>
        <w:t> </w:t>
      </w:r>
      <w:r>
        <w:t>26).</w:t>
      </w:r>
    </w:p>
    <w:p w14:paraId="5E091AF0" w14:textId="0D4E632A" w:rsidR="001914E4" w:rsidRPr="00CD0888" w:rsidRDefault="001914E4" w:rsidP="001914E4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 xml:space="preserve">Государству-участнику следует активизировать свои усилия по борьбе с ненавистническими высказываниями и подстрекательством к дискриминации или насилию, в частности по признакам расы, этнической принадлежности, религии или сексуальной ориентации и гендерной идентичности, уделяя особое внимание сельским районам, в соответствии со статьями 19 и 20 Пакта и замечанием общего порядка </w:t>
      </w:r>
      <w:r>
        <w:rPr>
          <w:b/>
          <w:bCs/>
        </w:rPr>
        <w:t>№ </w:t>
      </w:r>
      <w:r>
        <w:rPr>
          <w:b/>
          <w:bCs/>
        </w:rPr>
        <w:t>34</w:t>
      </w:r>
      <w:r w:rsidR="00C41588">
        <w:rPr>
          <w:b/>
          <w:bCs/>
        </w:rPr>
        <w:t> </w:t>
      </w:r>
      <w:r>
        <w:rPr>
          <w:b/>
          <w:bCs/>
        </w:rPr>
        <w:t>(2011) Комитета о свободе мнений и их выражения.</w:t>
      </w:r>
      <w:r>
        <w:t xml:space="preserve"> </w:t>
      </w:r>
      <w:r>
        <w:rPr>
          <w:b/>
          <w:bCs/>
        </w:rPr>
        <w:t>Государству-участнику необходимо, среди прочего:</w:t>
      </w:r>
    </w:p>
    <w:p w14:paraId="1E5B5EE7" w14:textId="366504D1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оперативно разработать и принять предложенный национальный план действий по борьбе с дискриминацией по признаку сексуальной ориентации, возраста, инвалидности, этнической принадлежности и религии, обеспечив проведение эффективных консультаций с гражданским обществом;</w:t>
      </w:r>
    </w:p>
    <w:p w14:paraId="3254851B" w14:textId="5C768C82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принять эффективные меры по предотвращению использования онлайн и офлайн языка ненависти и наказанию за него, а также улучшить сбор дезагрегированных данных о дискриминации, проявлениях ненависти и преступлениях на почве ненависти;</w:t>
      </w:r>
    </w:p>
    <w:p w14:paraId="6F8337B2" w14:textId="4AF9351D" w:rsidR="001914E4" w:rsidRPr="00CD0888" w:rsidRDefault="001914E4" w:rsidP="001914E4">
      <w:pPr>
        <w:pStyle w:val="SingleTxtG"/>
        <w:rPr>
          <w:b/>
          <w:bCs/>
        </w:rPr>
      </w:pPr>
      <w:r>
        <w:lastRenderedPageBreak/>
        <w:tab/>
      </w:r>
      <w:r>
        <w:t>c)</w:t>
      </w:r>
      <w:r>
        <w:tab/>
      </w:r>
      <w:r>
        <w:rPr>
          <w:b/>
          <w:bCs/>
        </w:rPr>
        <w:t>усилить информационно-просветительскую работу, направленную на поощрение уважения прав человека и разнообразия и искоренение предрассудков, основанных на расе, этнической принадлежности, религии, сексуальной ориентации или гендерной идентичности;</w:t>
      </w:r>
    </w:p>
    <w:p w14:paraId="17FC8E2B" w14:textId="557763DD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>поощрять информирование о преступлениях на почве ненависти и обеспечить оперативное, тщательное и беспристрастное расследование таких преступлений, преследование виновных и, в случае признания их вины, их соответствующее наказание, а также полное возмещение ущерба жертвам;</w:t>
      </w:r>
    </w:p>
    <w:p w14:paraId="4EE6CDAE" w14:textId="603EF651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e)</w:t>
      </w:r>
      <w:r>
        <w:tab/>
      </w:r>
      <w:r>
        <w:rPr>
          <w:b/>
          <w:bCs/>
        </w:rPr>
        <w:t>укреплять сотрудничество между соответствующими заинтересованными сторонами, включая гражданское общество, и обеспечить надлежащую подготовку национальных и местных органов власти, сотрудников правоохранительных органов, судей и прокуроров, а также работников СМИ по вопросам борьбы с разжиганием ненависти и преступлениями на почве ненависти и поощрению принципов равенства и разнообразия.</w:t>
      </w:r>
    </w:p>
    <w:p w14:paraId="076D5FAF" w14:textId="77777777" w:rsidR="001914E4" w:rsidRPr="00CD0888" w:rsidRDefault="001914E4" w:rsidP="001914E4">
      <w:pPr>
        <w:pStyle w:val="H23G"/>
      </w:pPr>
      <w:r>
        <w:tab/>
      </w:r>
      <w:r>
        <w:tab/>
      </w:r>
      <w:r>
        <w:rPr>
          <w:bCs/>
        </w:rPr>
        <w:t>Дискриминация по признаку гражданства</w:t>
      </w:r>
    </w:p>
    <w:p w14:paraId="09FC7D64" w14:textId="77777777" w:rsidR="001914E4" w:rsidRPr="00CD0888" w:rsidRDefault="001914E4" w:rsidP="001914E4">
      <w:pPr>
        <w:pStyle w:val="SingleTxtG"/>
      </w:pPr>
      <w:r>
        <w:t>11.</w:t>
      </w:r>
      <w:r>
        <w:tab/>
        <w:t>Ссылаясь на свои предыдущие заключительные замечания</w:t>
      </w:r>
      <w:r w:rsidRPr="00583BD2">
        <w:rPr>
          <w:rStyle w:val="aa"/>
        </w:rPr>
        <w:footnoteReference w:id="5"/>
      </w:r>
      <w:r>
        <w:t>, Комитет по-прежнему обеспокоен тем, что заявления на получение гражданства продолжают отклоняться или существенно задерживаться, в частности, заявления лиц, имеющих статус защищенных в соответствии с Конвенцией о статусе беженцев, и заявления детей турок-киприотов, которые родились и проживают в северной части страны. Кроме того, его беспокойство вызывают сообщения о том, что процедуры натурализации недостаточно прозрачны и применяются произвольно, что приводит, например, к отказу в приеме заявлений от лиц, ранее получавших государственные пособия, таких как инвалиды и жертвы пыток или торговли людьми (статьи 2 и 26).</w:t>
      </w:r>
    </w:p>
    <w:p w14:paraId="36631D60" w14:textId="77777777" w:rsidR="001914E4" w:rsidRPr="00CD0888" w:rsidRDefault="001914E4" w:rsidP="001914E4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В свете предыдущих рекомендаций Комитета</w:t>
      </w:r>
      <w:r w:rsidRPr="00583BD2">
        <w:rPr>
          <w:rStyle w:val="aa"/>
        </w:rPr>
        <w:footnoteReference w:id="6"/>
      </w:r>
      <w:r>
        <w:rPr>
          <w:b/>
          <w:bCs/>
        </w:rPr>
        <w:t xml:space="preserve"> государству-участнику следует усилить меры по обеспечению того, чтобы законы о гражданстве применялись без дискриминации на основе четко определенных юридических критериев.</w:t>
      </w:r>
      <w:r>
        <w:t xml:space="preserve"> </w:t>
      </w:r>
      <w:r>
        <w:rPr>
          <w:b/>
          <w:bCs/>
        </w:rPr>
        <w:t>Оно должно обеспечить прозрачность процедур натурализации, доступ заявителей к информации о требованиях для получения гражданства и получение ими решения по заявлению о предоставлении гражданства в разумные сроки.</w:t>
      </w:r>
    </w:p>
    <w:p w14:paraId="136AC09F" w14:textId="77777777" w:rsidR="001914E4" w:rsidRPr="00CD0888" w:rsidRDefault="001914E4" w:rsidP="001914E4">
      <w:pPr>
        <w:pStyle w:val="H23G"/>
      </w:pPr>
      <w:r>
        <w:tab/>
      </w:r>
      <w:r>
        <w:tab/>
      </w:r>
      <w:r>
        <w:rPr>
          <w:bCs/>
        </w:rPr>
        <w:t>Гендерное равноправие</w:t>
      </w:r>
    </w:p>
    <w:p w14:paraId="016C57F3" w14:textId="7D53ECA5" w:rsidR="001914E4" w:rsidRPr="00CD0888" w:rsidRDefault="001914E4" w:rsidP="001914E4">
      <w:pPr>
        <w:pStyle w:val="SingleTxtG"/>
      </w:pPr>
      <w:r>
        <w:t>13.</w:t>
      </w:r>
      <w:r>
        <w:tab/>
        <w:t>Комитет приветствует принятие Национального плана действий по обеспечению равенства между мужчинами и женщинами (2019–2023</w:t>
      </w:r>
      <w:r>
        <w:t xml:space="preserve"> годы</w:t>
      </w:r>
      <w:r>
        <w:t xml:space="preserve">) и отмечает меры, принятые государством-участником для увеличения представительства женщин в политической жизни и поощрения гендерного равенства среди рабочей силы и в рамках мирного процесса. Тем не менее Комитет по-прежнему обеспокоен недостаточной представленностью женщин на руководящих должностях, в том числе на должностях высокого уровня в государственном и частном секторах, а также высоким уровнем безработицы среди женщин по сравнению с мужчинами. Отмечая сокращение в последние годы гендерного разрыва в оплате труда </w:t>
      </w:r>
      <w:proofErr w:type="gramStart"/>
      <w:r>
        <w:t>и</w:t>
      </w:r>
      <w:proofErr w:type="gramEnd"/>
      <w:r>
        <w:t xml:space="preserve"> предложение принять законодательство, способствующее прозрачности оплаты труда, Комитет выражает обеспокоенность по поводу сохраняющегося разрыва в оплате труда между мужчинами и женщинами (статьи 2, 3, 25 и 26).</w:t>
      </w:r>
    </w:p>
    <w:p w14:paraId="3476C3FE" w14:textId="77777777" w:rsidR="001914E4" w:rsidRPr="00CD0888" w:rsidRDefault="001914E4" w:rsidP="001914E4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Государству-участнику следует активизировать свои усилия по обеспечению равенства между мужчинами и женщинами во всех сферах общества и жизни, в частности, путем принятия ощутимых мер по увеличению представительства женщин на руководящих должностях на всех уровнях в государственном и частном секторах.</w:t>
      </w:r>
      <w:r>
        <w:t xml:space="preserve"> </w:t>
      </w:r>
      <w:r>
        <w:rPr>
          <w:b/>
          <w:bCs/>
        </w:rPr>
        <w:t xml:space="preserve">Ему необходимо рассмотреть возможность введения установленной законом квоты и системы гендерного паритета при выдвижении кандидатур в государственные органы, с целью увеличения </w:t>
      </w:r>
      <w:r>
        <w:rPr>
          <w:b/>
          <w:bCs/>
        </w:rPr>
        <w:lastRenderedPageBreak/>
        <w:t>представительства женщин на руководящих должностях на всех уровнях исполнительной, законодательной и судебной ветвей власти.</w:t>
      </w:r>
      <w:r>
        <w:t xml:space="preserve"> </w:t>
      </w:r>
      <w:r>
        <w:rPr>
          <w:b/>
          <w:bCs/>
        </w:rPr>
        <w:t>Государству-участнику также следует предпринять дальнейшие шаги для устранения препятствий в законодательстве и практике, мешающих женщинам стремиться быть избранными или избираться на государственные должности, в том числе путем поощрения гендерного паритета в избирательных списках политических партий.</w:t>
      </w:r>
      <w:r>
        <w:t xml:space="preserve"> </w:t>
      </w:r>
      <w:r>
        <w:rPr>
          <w:b/>
          <w:bCs/>
        </w:rPr>
        <w:t>Ему необходимо удвоить усилия по сокращению разрыва в оплате труда мужчин и женщин и снижению уровня женской безработицы.</w:t>
      </w:r>
    </w:p>
    <w:p w14:paraId="4B49C263" w14:textId="77777777" w:rsidR="001914E4" w:rsidRPr="00CD0888" w:rsidRDefault="001914E4" w:rsidP="001914E4">
      <w:pPr>
        <w:pStyle w:val="H23G"/>
      </w:pPr>
      <w:r>
        <w:tab/>
      </w:r>
      <w:r>
        <w:tab/>
      </w:r>
      <w:r>
        <w:rPr>
          <w:bCs/>
        </w:rPr>
        <w:t>Насилие в отношении женщин, включая насилие в семье</w:t>
      </w:r>
    </w:p>
    <w:p w14:paraId="67B33082" w14:textId="51CCEEFF" w:rsidR="001914E4" w:rsidRPr="00CD0888" w:rsidRDefault="001914E4" w:rsidP="001914E4">
      <w:pPr>
        <w:pStyle w:val="SingleTxtG"/>
      </w:pPr>
      <w:r>
        <w:t>15.</w:t>
      </w:r>
      <w:r>
        <w:tab/>
        <w:t>Комитет приветствует различные меры, принятые государством-участником для борьбы с насилием в отношении женщин, включая принятие Закона о предупреждении и пресечении насилия в отношении женщин и насилия в семье и связанных с этим вопросах (</w:t>
      </w:r>
      <w:r>
        <w:t>№ </w:t>
      </w:r>
      <w:r>
        <w:t xml:space="preserve">115(Ι)/2021) и последующей поправки (Закон </w:t>
      </w:r>
      <w:r>
        <w:t>№ </w:t>
      </w:r>
      <w:r>
        <w:t>117(I)/2022), предусматривающей определение фемицида как отдельного и особого вида преступления. Он также высоко оценивает создание государством-участником национального координационного органа по предотвращению и пресечению насилия в отношении женщин, который подготовил первую Национальную стратегию и Национальный план действий (2023–2028 годы) по предотвращению и пресечению насилия в отношении женщин, утвержденные Советом министров в феврале 2023 года. Однако Комитет обеспокоен тем, что случаи насилия в отношении женщин, включая бытовое насилие, все еще недостаточно регистрируются, особенно среди этнических меньшинств и иностранных граждан, и что показатели привлечения к ответственности и осуждения за бытовое насилие остаются низкими (статьи 2, 3, 7 и 23).</w:t>
      </w:r>
    </w:p>
    <w:p w14:paraId="6058D9F8" w14:textId="77777777" w:rsidR="001914E4" w:rsidRPr="00CD0888" w:rsidRDefault="001914E4" w:rsidP="001914E4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Государству-участнику следует продолжать усилия по борьбе с гендерным насилием, в частности, принять все необходимые меры для обеспечения эффективной реализации новых Национальной стратегии и Национального плана действий (2023–2028 годы) по предотвращению и пресечению насилия в отношении женщин.</w:t>
      </w:r>
      <w:r>
        <w:t xml:space="preserve"> </w:t>
      </w:r>
      <w:r>
        <w:rPr>
          <w:b/>
          <w:bCs/>
        </w:rPr>
        <w:t>Ему следует также:</w:t>
      </w:r>
    </w:p>
    <w:p w14:paraId="4BAEEAC4" w14:textId="307FCF3D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активизировать работу по систематическому информированию женщин об их праве и возможностях сообщать о насилии и получить защиту, помощь и возмещение ущерба, особенно женщин, принадлежащих к этническим меньшинствам, и женщин, являющихся иностранными гражданами;</w:t>
      </w:r>
    </w:p>
    <w:p w14:paraId="10713BB8" w14:textId="323E29FF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продолжить работу по организации обучения по вопросам прав женщин и гендерного насилия для всех заинтересованных сторон и рассмотреть возможность внедрения обязательных программ обучения, в частности, для национальных и местных органов власти, сотрудников правоохранительных органов, судей и прокуроров;</w:t>
      </w:r>
    </w:p>
    <w:p w14:paraId="630CC581" w14:textId="15DDDAC4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удвоить усилия по обеспечению быстрого и эффективного расследования случаев насилия в отношении женщин, судебного преследования виновных и, в случае признания их вины, их надлежащего наказания, а также доступа жертв к эффективным средствам правовой и иной защиты;</w:t>
      </w:r>
    </w:p>
    <w:p w14:paraId="7C01C086" w14:textId="7B1E5918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>расширить существующую систему сбора полных дезагрегированных данных о домашнем насилии, чтобы включить в нее информацию о жалобах, расследованиях, судебных преследованиях, вынесенных обвинительных приговорах и назначенных наказаниях по делам о гендерном насилии.</w:t>
      </w:r>
    </w:p>
    <w:p w14:paraId="6A43CCA3" w14:textId="77777777" w:rsidR="001914E4" w:rsidRPr="00CD0888" w:rsidRDefault="001914E4" w:rsidP="001914E4">
      <w:pPr>
        <w:pStyle w:val="H23G"/>
      </w:pPr>
      <w:r>
        <w:tab/>
      </w:r>
      <w:r>
        <w:tab/>
      </w:r>
      <w:r>
        <w:rPr>
          <w:bCs/>
        </w:rPr>
        <w:t>Насильственное исчезновение и пропавшие без вести лица</w:t>
      </w:r>
    </w:p>
    <w:p w14:paraId="460E8213" w14:textId="77777777" w:rsidR="001914E4" w:rsidRPr="00CD0888" w:rsidRDefault="001914E4" w:rsidP="001914E4">
      <w:pPr>
        <w:pStyle w:val="SingleTxtG"/>
      </w:pPr>
      <w:r>
        <w:t>17.</w:t>
      </w:r>
      <w:r>
        <w:tab/>
        <w:t>Комитет отмечает усилия государства-участника по установлению личности исчезнувших греков и турок-киприотов и расследованию их исчезновения. Однако он обеспокоен тем, что в последнее время не было случаев судебного преследования лиц, ответственных за нарушения прав человека, в результате которых люди пропадали без вести, включая возможные насильственные исчезновения, а также тем, что не существует специальной программы, обеспечивающей надлежащее возмещение ущерба родственникам жертв (статьи 2, 3, 6, 7 и 23).</w:t>
      </w:r>
    </w:p>
    <w:p w14:paraId="35A0EC38" w14:textId="77777777" w:rsidR="001914E4" w:rsidRPr="00CD0888" w:rsidRDefault="001914E4" w:rsidP="001914E4">
      <w:pPr>
        <w:pStyle w:val="SingleTxtG"/>
        <w:rPr>
          <w:b/>
          <w:bCs/>
        </w:rPr>
      </w:pPr>
      <w:r>
        <w:lastRenderedPageBreak/>
        <w:t>18.</w:t>
      </w:r>
      <w:r>
        <w:tab/>
      </w:r>
      <w:r>
        <w:rPr>
          <w:b/>
          <w:bCs/>
        </w:rPr>
        <w:t>В свете предыдущих рекомендаций Комитета</w:t>
      </w:r>
      <w:r w:rsidRPr="00274CCA">
        <w:rPr>
          <w:rStyle w:val="aa"/>
        </w:rPr>
        <w:footnoteReference w:id="7"/>
      </w:r>
      <w:r>
        <w:rPr>
          <w:b/>
          <w:bCs/>
        </w:rPr>
        <w:t xml:space="preserve"> государству-участнику следует продолжать усилия по поддержке работы Комитета по пропавшим без вести лицам.</w:t>
      </w:r>
      <w:r>
        <w:t xml:space="preserve"> </w:t>
      </w:r>
      <w:r>
        <w:rPr>
          <w:b/>
          <w:bCs/>
        </w:rPr>
        <w:t>Комитет настоятельно призывает государство-участник предпринять конкретные шаги, чтобы обеспечить семьям жертв полное возмещение ущерба, включая адекватную компенсацию, реабилитацию, сатисфакцию и гарантии неповторения.</w:t>
      </w:r>
      <w:r>
        <w:t xml:space="preserve"> </w:t>
      </w:r>
      <w:r>
        <w:rPr>
          <w:b/>
          <w:bCs/>
        </w:rPr>
        <w:t>Следует также рассмотреть вопрос о создании комиссии по установлению истины и примирению или аналогичного механизма, а также ратифицировать Международную конвенцию для защиты всех лиц от насильственных исчезновений.</w:t>
      </w:r>
    </w:p>
    <w:p w14:paraId="7992E799" w14:textId="77777777" w:rsidR="001914E4" w:rsidRPr="00CD0888" w:rsidRDefault="001914E4" w:rsidP="001914E4">
      <w:pPr>
        <w:pStyle w:val="H23G"/>
      </w:pPr>
      <w:r>
        <w:tab/>
      </w:r>
      <w:r>
        <w:tab/>
      </w:r>
      <w:r>
        <w:rPr>
          <w:bCs/>
        </w:rPr>
        <w:t>Запрещение пыток и других жестоких, бесчеловечных и унижающих достоинство видов обращения</w:t>
      </w:r>
    </w:p>
    <w:p w14:paraId="13CBCED2" w14:textId="291BC2D2" w:rsidR="001914E4" w:rsidRPr="00CD0888" w:rsidRDefault="001914E4" w:rsidP="001914E4">
      <w:pPr>
        <w:pStyle w:val="SingleTxtG"/>
      </w:pPr>
      <w:r>
        <w:t>19.</w:t>
      </w:r>
      <w:r>
        <w:tab/>
        <w:t xml:space="preserve">Отмечая принятие в 2017 году Закона </w:t>
      </w:r>
      <w:r>
        <w:t>№ </w:t>
      </w:r>
      <w:r>
        <w:t xml:space="preserve">12(III)/2017, предусматривающего более строгие наказания за преступления, связанные с пытками и жестоким обращением, и усилия государства-участника по обеспечению эффективного и беспристрастного расследования, Комитет по-прежнему обеспокоен ограниченным объемом данных о жалобах на пытки и жестокое обращение, а также малым количеством расследований, судебных преследований, приговоров и наказаний в связи с такими деяниями. Кроме того, он обеспокоен сообщениями о нехватке сотрудников в Независимом органе по расследованию заявлений и жалоб на действия полиции, а также недостатком </w:t>
      </w:r>
      <w:r w:rsidRPr="00011CD9">
        <w:t xml:space="preserve">предоставленной Комитету </w:t>
      </w:r>
      <w:r>
        <w:t>информации об эффективных средствах правовой защиты, включая соответствующую компенсацию, выделенную жертвам (статьи 7 и 10).</w:t>
      </w:r>
    </w:p>
    <w:p w14:paraId="0CCA1A0C" w14:textId="77777777" w:rsidR="001914E4" w:rsidRPr="00583BD2" w:rsidRDefault="001914E4" w:rsidP="001914E4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Государству-участнику следует активизировать свои усилия по искоренению пыток и жестокого обращения.</w:t>
      </w:r>
      <w:r>
        <w:t xml:space="preserve"> </w:t>
      </w:r>
      <w:r>
        <w:rPr>
          <w:b/>
          <w:bCs/>
        </w:rPr>
        <w:t>В связи с этим ему следует:</w:t>
      </w:r>
    </w:p>
    <w:p w14:paraId="4055E3F9" w14:textId="564CE5A4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обеспечить быстрое, независимое и тщательное расследование всех случаев пыток, жестокого обращения и смерти в заключении, преследование виновных и, в случае признания их вины, надлежащее наказание и надлежащие санкции, а также полное возмещение ущерба жертвам, включая реабилитацию и адекватную компенсацию;</w:t>
      </w:r>
    </w:p>
    <w:p w14:paraId="3A17A857" w14:textId="2D82EA62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гарантировать, чтобы все лица, лишенные свободы, были осведомлены о независимом и эффективном механизме подачи жалоб для расследования утверждений о пытках и жестоком обращении и имели доступ к нему, а также имели доступ к средствам правовой защиты, указанным в пункте</w:t>
      </w:r>
      <w:r>
        <w:rPr>
          <w:b/>
          <w:bCs/>
        </w:rPr>
        <w:t> </w:t>
      </w:r>
      <w:r>
        <w:rPr>
          <w:b/>
          <w:bCs/>
        </w:rPr>
        <w:t>3 статьи 2 Пакта;</w:t>
      </w:r>
    </w:p>
    <w:p w14:paraId="38A1E620" w14:textId="6996320E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принять конкретные меры по обеспечению Независимого органа по расследованию заявлений и жалоб на действия полиции достаточными кадровыми и финансовыми ресурсами для эффективного и независимого выполнения возложенных на него задач;</w:t>
      </w:r>
    </w:p>
    <w:p w14:paraId="36062F45" w14:textId="420B41A4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>продолжить свои усилия по проведению регулярной подготовки судей, прокуроров, адвокатов и сотрудников правоохранительных органов по вопросам прав человека, в том числе по Руководству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и Принципами эффективного ведения опроса в ходе расследования и сбора информации (Принципы Мендеса).</w:t>
      </w:r>
      <w:bookmarkStart w:id="9" w:name="_Hlk139464296"/>
      <w:bookmarkEnd w:id="9"/>
    </w:p>
    <w:p w14:paraId="26503525" w14:textId="77777777" w:rsidR="001914E4" w:rsidRPr="00CD0888" w:rsidRDefault="001914E4" w:rsidP="001914E4">
      <w:pPr>
        <w:pStyle w:val="H23G"/>
      </w:pPr>
      <w:r>
        <w:tab/>
      </w:r>
      <w:r>
        <w:tab/>
      </w:r>
      <w:r>
        <w:rPr>
          <w:bCs/>
        </w:rPr>
        <w:t>Условия содержания под стражей</w:t>
      </w:r>
    </w:p>
    <w:p w14:paraId="6E13A66E" w14:textId="77777777" w:rsidR="001914E4" w:rsidRPr="00CD0888" w:rsidRDefault="001914E4" w:rsidP="001914E4">
      <w:pPr>
        <w:pStyle w:val="SingleTxtG"/>
      </w:pPr>
      <w:r>
        <w:t>21.</w:t>
      </w:r>
      <w:r>
        <w:tab/>
        <w:t xml:space="preserve">Приветствуя меры, принятые государством-участником для расширения возможностей и улучшения условий содержания в местах лишения свободы, Комитет по-прежнему обеспокоен их сохраняющейся переполненностью и плохими материальными условиями, такими как низкий уровень гигиены, отсутствие естественного освещения, грязные матрасы и подушки. Он также отмечает, что хотя </w:t>
      </w:r>
      <w:r>
        <w:lastRenderedPageBreak/>
        <w:t>число сообщаемых актов насилия в тюрьмах значительно снизилось, многие случаи насилия могли быть не зарегистрированы (статьи 6, 7 и 10).</w:t>
      </w:r>
    </w:p>
    <w:p w14:paraId="02E4A993" w14:textId="77777777" w:rsidR="001914E4" w:rsidRPr="00CD0888" w:rsidRDefault="001914E4" w:rsidP="001914E4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В свете предыдущих рекомендаций Комитета</w:t>
      </w:r>
      <w:r w:rsidRPr="00583BD2">
        <w:rPr>
          <w:rStyle w:val="aa"/>
        </w:rPr>
        <w:footnoteReference w:id="8"/>
      </w:r>
      <w:r>
        <w:rPr>
          <w:b/>
          <w:bCs/>
        </w:rPr>
        <w:t xml:space="preserve"> Государству-участнику следует активизировать свои усилия по обеспечению того, чтобы условия содержания под стражей полностью соответствовали применимым международным правозащитным нормам, включая Минимальные стандартные правила обращения с заключенными Организации Объединенных Наций (Правила Нельсона Манделы).</w:t>
      </w:r>
      <w:r>
        <w:t xml:space="preserve"> </w:t>
      </w:r>
      <w:r>
        <w:rPr>
          <w:b/>
          <w:bCs/>
        </w:rPr>
        <w:t>Ему необходимо принять дополнительные меры, чтобы значительно снизить переполненность всех мест содержания под стражей, в частности путем более широкого применения мер, не связанных с лишением свободы, в качестве альтернативы тюремному заключению.</w:t>
      </w:r>
      <w:r>
        <w:t xml:space="preserve"> </w:t>
      </w:r>
      <w:r>
        <w:rPr>
          <w:b/>
          <w:bCs/>
        </w:rPr>
        <w:t>Государству-участнику следует активизировать усилия по предотвращению и пресечению насилия между заключенными, в том числе путем поощрения сообщений о таком насилии и обеспечения расследования всех случаев насилия в тюрьмах, а также привлечения виновных к ответственности и, в случае признания их вины, их надлежащего наказания.</w:t>
      </w:r>
    </w:p>
    <w:p w14:paraId="194A1730" w14:textId="77777777" w:rsidR="001914E4" w:rsidRPr="00CD0888" w:rsidRDefault="001914E4" w:rsidP="001914E4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</w:t>
      </w:r>
    </w:p>
    <w:p w14:paraId="4A685B6A" w14:textId="77777777" w:rsidR="001914E4" w:rsidRPr="00CD0888" w:rsidRDefault="001914E4" w:rsidP="001914E4">
      <w:pPr>
        <w:pStyle w:val="SingleTxtG"/>
      </w:pPr>
      <w:r>
        <w:t>23.</w:t>
      </w:r>
      <w:r>
        <w:tab/>
        <w:t>Комитет обеспокоен сообщениями, свидетельствующими о чрезмерном применении предварительного заключения как в законодательстве, так и на практике, а также тем, что мигранты, ожидающие депортации, содержатся под стражей вне судебного контроля и в течение длительных периодов времени. Кроме того, он обеспокоен тем, что мигранты, ожидающие постановления о депортации, содержатся под стражей вместе с задержанными, обвиняемыми в совершении уголовных преступлений (статьи 9 и 13).</w:t>
      </w:r>
    </w:p>
    <w:p w14:paraId="2087CD39" w14:textId="4A19939B" w:rsidR="001914E4" w:rsidRPr="00CD0888" w:rsidRDefault="001914E4" w:rsidP="001914E4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 xml:space="preserve">В свете замечания общего порядка </w:t>
      </w:r>
      <w:r>
        <w:rPr>
          <w:b/>
          <w:bCs/>
        </w:rPr>
        <w:t>№ </w:t>
      </w:r>
      <w:r>
        <w:rPr>
          <w:b/>
          <w:bCs/>
        </w:rPr>
        <w:t>35 (2014) Комитета о свободе и личной неприкосновенности государству-участнику следует:</w:t>
      </w:r>
    </w:p>
    <w:p w14:paraId="14D8C3C6" w14:textId="12667796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обеспечить соблюдение установленных законом ограничений на продолжительность предварительного заключения;</w:t>
      </w:r>
    </w:p>
    <w:p w14:paraId="5ADB4205" w14:textId="00068200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расширить доступность и использование альтернатив досудебному содержанию под стражей с учетом Минимальных стандартных правил Организации Объединенных Наций в отношении мер, не связанных с тюремным заключением (Токийские правила);</w:t>
      </w:r>
    </w:p>
    <w:p w14:paraId="28809169" w14:textId="14B5D893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обеспечить, чтобы лица, ожидающие депортации, содержались под стражей в течение минимально необходимого периода времени, и по возможности использовать альтернативы содержанию под стражей мигрантов и лиц, ищущих убежища;</w:t>
      </w:r>
    </w:p>
    <w:p w14:paraId="67572995" w14:textId="1F423714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>гарантировать раздельное содержание лиц, находящихся в предварительном заключении, и осужденных.</w:t>
      </w:r>
    </w:p>
    <w:p w14:paraId="15E31B10" w14:textId="77777777" w:rsidR="001914E4" w:rsidRPr="00CD0888" w:rsidRDefault="001914E4" w:rsidP="001914E4">
      <w:pPr>
        <w:pStyle w:val="H23G"/>
      </w:pPr>
      <w:r>
        <w:tab/>
      </w:r>
      <w:r>
        <w:tab/>
      </w:r>
      <w:r>
        <w:rPr>
          <w:bCs/>
        </w:rPr>
        <w:t>Ликвидация рабства, принудительного труда и торговли людьми</w:t>
      </w:r>
      <w:r>
        <w:t xml:space="preserve"> </w:t>
      </w:r>
    </w:p>
    <w:p w14:paraId="4491F7CC" w14:textId="7D29FA88" w:rsidR="001914E4" w:rsidRPr="00CD0888" w:rsidRDefault="001914E4" w:rsidP="001914E4">
      <w:pPr>
        <w:pStyle w:val="SingleTxtG"/>
      </w:pPr>
      <w:r>
        <w:t>25.</w:t>
      </w:r>
      <w:r>
        <w:tab/>
        <w:t>Комитет приветствует усилия, предпринимаемые государством-участником для борьбы с торговлей людьми и ее предотвращения, включая внесение в 2019 году поправок в Закон о предупреждении и пресечении торговли людьми и их эксплуатации, а также защите жертв, которые значительно ужесточили наказания за преступления, связанные с торговлей людьми, предусмотренные этим законом, а</w:t>
      </w:r>
      <w:r>
        <w:t> </w:t>
      </w:r>
      <w:r>
        <w:t>также создание в 2016 году Национального механизма перенаправления жертв. Однако он обеспокоен сохраняющейся распространенностью торговли людьми, особенно женщинами и девочками, в целях сексуальной и трудовой эксплуатации, сообщениями о пробелах в выявлении жертв торговли людьми и малым количеством расследований, осуждений и наказаний, вынесенных преступникам (статьи 2, 7, 8 и</w:t>
      </w:r>
      <w:r>
        <w:t> </w:t>
      </w:r>
      <w:r>
        <w:t>26).</w:t>
      </w:r>
    </w:p>
    <w:p w14:paraId="2EDC35C9" w14:textId="77777777" w:rsidR="001914E4" w:rsidRPr="00CD0888" w:rsidRDefault="001914E4" w:rsidP="001914E4">
      <w:pPr>
        <w:pStyle w:val="SingleTxtG"/>
        <w:rPr>
          <w:b/>
          <w:bCs/>
        </w:rPr>
      </w:pPr>
      <w:r>
        <w:lastRenderedPageBreak/>
        <w:t>26.</w:t>
      </w:r>
      <w:r>
        <w:tab/>
      </w:r>
      <w:r>
        <w:rPr>
          <w:b/>
          <w:bCs/>
        </w:rPr>
        <w:t>Государству-участнику следует и далее активизировать свои усилия по пресечению, предупреждению и искоренению торговли людьми и наказанию за нее, а также обеспечить надлежащую защиту жертв.</w:t>
      </w:r>
      <w:r>
        <w:t xml:space="preserve"> </w:t>
      </w:r>
      <w:r>
        <w:rPr>
          <w:b/>
          <w:bCs/>
        </w:rPr>
        <w:t>В частности, ему следует:</w:t>
      </w:r>
    </w:p>
    <w:p w14:paraId="51083058" w14:textId="4E7D2D04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принять национальный план действий на период 2023–2026 годов и предпринять необходимые шаги для обеспечения его полного и эффективного выполнения;</w:t>
      </w:r>
    </w:p>
    <w:p w14:paraId="42336F05" w14:textId="3334C4CD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гарантировать выделение достаточных финансовых, технических и кадровых ресурсов всем соответствующим учреждениям, включая Национальный механизм перенаправления жертв, отвечающим за предотвращение и пресечение торговли людьми и наказание за нее, а также для обеспечения защиты жертв и помощи им;</w:t>
      </w:r>
    </w:p>
    <w:p w14:paraId="4A36DE7E" w14:textId="0A6EB7DB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продолжать и укреплять профилактические и информационно-просветительские кампании с целью повышения осведомленности населения о негативных последствиях торговли людьми, а также соответствующие обучение и специализацию государственных служащих и других заинтересованных сторон;</w:t>
      </w:r>
    </w:p>
    <w:p w14:paraId="36027326" w14:textId="548FF5B1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>удвоить усилия по выявлению жертв торговли людьми и предоставлять им надлежащие средства защиты и помощь;</w:t>
      </w:r>
    </w:p>
    <w:p w14:paraId="17083773" w14:textId="31D17CCA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e)</w:t>
      </w:r>
      <w:r>
        <w:tab/>
      </w:r>
      <w:r>
        <w:rPr>
          <w:b/>
          <w:bCs/>
        </w:rPr>
        <w:t>обеспечить тщательное расследование всех случаев торговли людьми, преследование виновных и, в случае признания их вины, их надлежащее наказание и адекватные санкции, а также полное возмещение ущерба жертвам, независимо от того, сотрудничают ли они с правоохранительными органами в ходе следствия и уголовного разбирательства.</w:t>
      </w:r>
    </w:p>
    <w:p w14:paraId="3143E48F" w14:textId="77777777" w:rsidR="001914E4" w:rsidRPr="00CD0888" w:rsidRDefault="001914E4" w:rsidP="001914E4">
      <w:pPr>
        <w:pStyle w:val="H23G"/>
      </w:pPr>
      <w:r>
        <w:tab/>
      </w:r>
      <w:r>
        <w:tab/>
      </w:r>
      <w:r>
        <w:rPr>
          <w:bCs/>
        </w:rPr>
        <w:t>Свобода передвижения</w:t>
      </w:r>
    </w:p>
    <w:p w14:paraId="14A41B1E" w14:textId="77777777" w:rsidR="001914E4" w:rsidRPr="00CD0888" w:rsidRDefault="001914E4" w:rsidP="001914E4">
      <w:pPr>
        <w:pStyle w:val="SingleTxtG"/>
      </w:pPr>
      <w:r>
        <w:t>27.</w:t>
      </w:r>
      <w:r>
        <w:tab/>
        <w:t xml:space="preserve">Отмечая усилия государства-участника по взаимодействию с лидерами турок-киприотов для обеспечения более тесных контактов между двумя частями острова, включая открытие в 2018 году двух новых пропускных пунктов, Комитет по-прежнему обеспокоен тем, что барьеры для </w:t>
      </w:r>
      <w:proofErr w:type="spellStart"/>
      <w:r>
        <w:t>межобщинных</w:t>
      </w:r>
      <w:proofErr w:type="spellEnd"/>
      <w:r>
        <w:t xml:space="preserve"> контактов сохраняются и что по-прежнему необходимы дополнительные пропускные пункты – например, в районе </w:t>
      </w:r>
      <w:proofErr w:type="spellStart"/>
      <w:r>
        <w:t>Коккина</w:t>
      </w:r>
      <w:proofErr w:type="spellEnd"/>
      <w:r>
        <w:t xml:space="preserve"> – для обеспечения более прямого передвижения между районами в северной и южной частях острова. Он также обеспокоен поправками, внесенными в 2014 году в Закон о беженцах, которые накладывают ограничения на передвижение беженцев, подлежащих международной защите, не позволяя им посещать северную часть острова (статьи 2 и 12).</w:t>
      </w:r>
    </w:p>
    <w:p w14:paraId="76B10737" w14:textId="715AE056" w:rsidR="001914E4" w:rsidRPr="00CD0888" w:rsidRDefault="001914E4" w:rsidP="001914E4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В свете предыдущих рекомендаций Комитета</w:t>
      </w:r>
      <w:r w:rsidRPr="00583BD2">
        <w:rPr>
          <w:rStyle w:val="aa"/>
        </w:rPr>
        <w:footnoteReference w:id="9"/>
      </w:r>
      <w:r>
        <w:rPr>
          <w:b/>
          <w:bCs/>
        </w:rPr>
        <w:t xml:space="preserve"> государству-участнику следует активизировать усилия по открытию новых пропускных пунктов и принять дополнительные меры по облегчению доступа жителей, пересекающих границу между северной и южной частями острова.</w:t>
      </w:r>
      <w:r>
        <w:t xml:space="preserve"> </w:t>
      </w:r>
      <w:r>
        <w:rPr>
          <w:b/>
          <w:bCs/>
        </w:rPr>
        <w:t xml:space="preserve">Ему также следует рассмотреть возможность пересмотра Закона о беженцах и положений, ограничивающих передвижение беженцев, подлежащих международной защите, с целью обеспечения соответствия этих положений обязательствам государства-участника по Пакту и в свете замечаний общего порядка Комитета </w:t>
      </w:r>
      <w:r>
        <w:rPr>
          <w:b/>
          <w:bCs/>
        </w:rPr>
        <w:t>№ </w:t>
      </w:r>
      <w:r>
        <w:rPr>
          <w:b/>
          <w:bCs/>
        </w:rPr>
        <w:t xml:space="preserve">15 (1986) и </w:t>
      </w:r>
      <w:r>
        <w:rPr>
          <w:b/>
          <w:bCs/>
        </w:rPr>
        <w:t>№ </w:t>
      </w:r>
      <w:r>
        <w:rPr>
          <w:b/>
          <w:bCs/>
        </w:rPr>
        <w:t>27 (1999).</w:t>
      </w:r>
    </w:p>
    <w:p w14:paraId="006EC777" w14:textId="77777777" w:rsidR="001914E4" w:rsidRPr="00CD0888" w:rsidRDefault="001914E4" w:rsidP="001914E4">
      <w:pPr>
        <w:pStyle w:val="H23G"/>
      </w:pPr>
      <w:r>
        <w:tab/>
      </w:r>
      <w:r>
        <w:tab/>
      </w:r>
      <w:r>
        <w:rPr>
          <w:bCs/>
        </w:rPr>
        <w:t>Обращение с иностранцами, включая мигрантов, беженцев и просителей убежища</w:t>
      </w:r>
    </w:p>
    <w:p w14:paraId="34E6C4B9" w14:textId="77777777" w:rsidR="001914E4" w:rsidRPr="00CD0888" w:rsidRDefault="001914E4" w:rsidP="001914E4">
      <w:pPr>
        <w:pStyle w:val="SingleTxtG"/>
      </w:pPr>
      <w:r>
        <w:t>29.</w:t>
      </w:r>
      <w:r>
        <w:tab/>
        <w:t>Комитет признает значительный вклад государства-участника в прием большого числа лиц, ищущих убежище, и беженцев и предоставление им помощи и защиты. Однако он обеспокоен сообщениями, указывающими на: a) увеличение числа задержаний лиц, ищущих убежища; b) ограниченные возможности приема этих лиц; c) то, что не все просители убежища в центре приема «</w:t>
      </w:r>
      <w:proofErr w:type="spellStart"/>
      <w:r>
        <w:t>Пурнара</w:t>
      </w:r>
      <w:proofErr w:type="spellEnd"/>
      <w:r>
        <w:t xml:space="preserve">» проходят оценку уязвимости; d) то, что просители убежища, включая детей, часто остаются в центре </w:t>
      </w:r>
      <w:r>
        <w:lastRenderedPageBreak/>
        <w:t>«</w:t>
      </w:r>
      <w:proofErr w:type="spellStart"/>
      <w:r>
        <w:t>Пурнара</w:t>
      </w:r>
      <w:proofErr w:type="spellEnd"/>
      <w:r>
        <w:t>» в течение нескольких недель или месяцев; и e) неудовлетворительные условия в пунктах приема. Кроме того, приветствуя создание «безопасных зон» для несопровождаемых несовершеннолетних лиц в центре «</w:t>
      </w:r>
      <w:proofErr w:type="spellStart"/>
      <w:r>
        <w:t>Пурнара</w:t>
      </w:r>
      <w:proofErr w:type="spellEnd"/>
      <w:r>
        <w:t>», Комитет обеспокоен тем, что эти «безопасные зоны» не подходят для долгосрочного размещения несопровождаемых несовершеннолетних лиц (статьи 2, 7, 9, 10 и 13).</w:t>
      </w:r>
    </w:p>
    <w:p w14:paraId="1415B24C" w14:textId="77777777" w:rsidR="001914E4" w:rsidRPr="00583BD2" w:rsidRDefault="001914E4" w:rsidP="001914E4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Государству-участнику следует принять все необходимые меры для усиления защиты беженцев и просителей убежища.</w:t>
      </w:r>
      <w:r>
        <w:t xml:space="preserve"> </w:t>
      </w:r>
      <w:r>
        <w:rPr>
          <w:b/>
          <w:bCs/>
        </w:rPr>
        <w:t>С этой целью ему следует:</w:t>
      </w:r>
    </w:p>
    <w:p w14:paraId="1F65B85C" w14:textId="4CAD2407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 xml:space="preserve">обеспечить, чтобы помещение под стражу мигрантов и лиц, ищущих убежища, использовалось лишь в качестве крайней меры, было разумным, необходимым и соразмерным, в соответствии с замечанием общего порядка </w:t>
      </w:r>
      <w:r>
        <w:rPr>
          <w:b/>
          <w:bCs/>
        </w:rPr>
        <w:t>№ </w:t>
      </w:r>
      <w:r>
        <w:rPr>
          <w:b/>
          <w:bCs/>
        </w:rPr>
        <w:t>35 (2014) Комитета о свободе и личной неприкосновенности, и чтобы на практике использовались альтернативы задержанию;</w:t>
      </w:r>
    </w:p>
    <w:p w14:paraId="1C5E59BC" w14:textId="38CFBDC2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принять конкретные меры по улучшению условий жизни и обращения с людьми в центрах размещения лиц, ищущих убежище, обеспечив соответствие этих центров международным стандартам;</w:t>
      </w:r>
    </w:p>
    <w:p w14:paraId="6AA534E2" w14:textId="64D3DC1F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 xml:space="preserve">улучшить защиту и помощь для несопровождаемых детей в свете Замечания общего порядка </w:t>
      </w:r>
      <w:r>
        <w:rPr>
          <w:b/>
          <w:bCs/>
        </w:rPr>
        <w:t>№ </w:t>
      </w:r>
      <w:r>
        <w:rPr>
          <w:b/>
          <w:bCs/>
        </w:rPr>
        <w:t>17 (1989) Комитета, а также обеспечить размещение всех детей в местах, обеспечивающих им доступ к здравоохранению, образованию и досугу;</w:t>
      </w:r>
    </w:p>
    <w:p w14:paraId="5EEAB168" w14:textId="2EB08840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>принимать дальнейшие меры по обеспечению того, чтобы оценка возраста проводилась только в случае серьезных сомнений в возрасте соответствующего лица;</w:t>
      </w:r>
    </w:p>
    <w:p w14:paraId="6CA4C922" w14:textId="4567C3CF" w:rsidR="001914E4" w:rsidRPr="00CD0888" w:rsidRDefault="001914E4" w:rsidP="001914E4">
      <w:pPr>
        <w:pStyle w:val="SingleTxtG"/>
        <w:rPr>
          <w:b/>
          <w:bCs/>
        </w:rPr>
      </w:pPr>
      <w:r>
        <w:tab/>
      </w:r>
      <w:r>
        <w:t>e)</w:t>
      </w:r>
      <w:r>
        <w:tab/>
      </w:r>
      <w:r>
        <w:rPr>
          <w:b/>
          <w:bCs/>
        </w:rPr>
        <w:t>усилить меры по обеспечению раннего выявления, направления, оказания помощи и поддержки всем уязвимым лицам, ищущим убежище, в том числе путем учреждения официальной и комплексной процедуры выявления, оценки и удовлетворения, особых потребностей уязвимых лиц, ищущих убежище.</w:t>
      </w:r>
    </w:p>
    <w:p w14:paraId="08C4FBD7" w14:textId="77777777" w:rsidR="001914E4" w:rsidRPr="00CD0888" w:rsidRDefault="001914E4" w:rsidP="001914E4">
      <w:pPr>
        <w:pStyle w:val="H23G"/>
      </w:pPr>
      <w:r>
        <w:tab/>
      </w:r>
      <w:r>
        <w:tab/>
      </w:r>
      <w:r>
        <w:rPr>
          <w:bCs/>
        </w:rPr>
        <w:t>Недопустимость принудительного возвращения</w:t>
      </w:r>
    </w:p>
    <w:p w14:paraId="07FE1C88" w14:textId="77777777" w:rsidR="001914E4" w:rsidRPr="00CD0888" w:rsidRDefault="001914E4" w:rsidP="001914E4">
      <w:pPr>
        <w:pStyle w:val="SingleTxtG"/>
      </w:pPr>
      <w:r>
        <w:t>31.</w:t>
      </w:r>
      <w:r>
        <w:tab/>
        <w:t xml:space="preserve">Комитет высоко оценивает приверженность государства-участника принципу </w:t>
      </w:r>
      <w:proofErr w:type="spellStart"/>
      <w:r>
        <w:t>невыдворения</w:t>
      </w:r>
      <w:proofErr w:type="spellEnd"/>
      <w:r>
        <w:t xml:space="preserve">. Однако он обеспокоен многочисленными сообщениями о выдворении мигрантов, как в море, так и на «зеленой линии», что не соответствует международному обязательству о </w:t>
      </w:r>
      <w:proofErr w:type="spellStart"/>
      <w:r>
        <w:t>невыдворении</w:t>
      </w:r>
      <w:proofErr w:type="spellEnd"/>
      <w:r>
        <w:t xml:space="preserve"> (статьи 6, 7 и 13).</w:t>
      </w:r>
    </w:p>
    <w:p w14:paraId="3A995470" w14:textId="77777777" w:rsidR="001914E4" w:rsidRPr="00CD0888" w:rsidRDefault="001914E4" w:rsidP="001914E4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В свете предыдущих рекомендаций Комитета</w:t>
      </w:r>
      <w:r w:rsidRPr="00583BD2">
        <w:rPr>
          <w:rStyle w:val="aa"/>
        </w:rPr>
        <w:footnoteReference w:id="10"/>
      </w:r>
      <w:r>
        <w:rPr>
          <w:b/>
          <w:bCs/>
        </w:rPr>
        <w:t xml:space="preserve"> государству-участнику следует активизировать усилия по соблюдению в законодательстве и на практике принципа </w:t>
      </w:r>
      <w:proofErr w:type="spellStart"/>
      <w:r>
        <w:rPr>
          <w:b/>
          <w:bCs/>
        </w:rPr>
        <w:t>невыдворения</w:t>
      </w:r>
      <w:proofErr w:type="spellEnd"/>
      <w:r>
        <w:rPr>
          <w:b/>
          <w:bCs/>
        </w:rPr>
        <w:t>, обеспечив, чтобы просители убежища не выдавались, не депортировались и не высылались в страну, где есть серьезные основания полагать, что существует реальная опасность причинения непоправимого вреда, например, предусмотренного статьями 6 и 7 Пакта.</w:t>
      </w:r>
      <w:r>
        <w:t xml:space="preserve"> </w:t>
      </w:r>
      <w:r>
        <w:rPr>
          <w:b/>
          <w:bCs/>
        </w:rPr>
        <w:t>Оно также должно принять меры по обеспечению проведения независимых и эффективных расследований по заявлениям о недопуске мигрантов, в том числе лиц, которые могут нуждаться в международной защите.</w:t>
      </w:r>
    </w:p>
    <w:p w14:paraId="27492E05" w14:textId="77777777" w:rsidR="001914E4" w:rsidRPr="00CD0888" w:rsidRDefault="001914E4" w:rsidP="001914E4">
      <w:pPr>
        <w:pStyle w:val="H23G"/>
      </w:pPr>
      <w:r>
        <w:tab/>
      </w:r>
      <w:r>
        <w:tab/>
      </w:r>
      <w:r>
        <w:rPr>
          <w:bCs/>
        </w:rPr>
        <w:t>Система отправления правосудия в отношении несовершеннолетних</w:t>
      </w:r>
    </w:p>
    <w:p w14:paraId="3D774DC8" w14:textId="3F3DB24B" w:rsidR="001914E4" w:rsidRPr="00CD0888" w:rsidRDefault="001914E4" w:rsidP="001914E4">
      <w:pPr>
        <w:pStyle w:val="SingleTxtG"/>
      </w:pPr>
      <w:r>
        <w:t>33.</w:t>
      </w:r>
      <w:r>
        <w:tab/>
        <w:t>Комитет приветствует принятие в 2021 году Закона о детях, находящихся в конфликте с законом (</w:t>
      </w:r>
      <w:r>
        <w:t>№ </w:t>
      </w:r>
      <w:r>
        <w:t>55(I)/2021), предусматривающего создание системы уголовного правосудия, дружественной к детям, находящимся в конфликте с законом. Однако Комитет по-прежнему обеспокоен сохраняющимися пробелами в применении вышеупомянутого закона и сообщениями о том, что несовершеннолетние, содержащиеся под стражей до суда, не полностью отделены от осужденных несовершеннолетних (статьи 14 и 24).</w:t>
      </w:r>
    </w:p>
    <w:p w14:paraId="24EFD4F0" w14:textId="77777777" w:rsidR="001914E4" w:rsidRPr="00CD0888" w:rsidRDefault="001914E4" w:rsidP="001914E4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 xml:space="preserve">Государству-участнику следует активизировать усилия по обеспечению эффективного применения Закона о детях, находящихся в конфликте с законом, </w:t>
      </w:r>
      <w:r>
        <w:rPr>
          <w:b/>
          <w:bCs/>
        </w:rPr>
        <w:lastRenderedPageBreak/>
        <w:t>в том числе путем создания специализированных судебных учреждений и предоставления им достаточных ресурсов, включая назначение подготовленных специальных судей.</w:t>
      </w:r>
      <w:r>
        <w:t xml:space="preserve"> </w:t>
      </w:r>
      <w:r>
        <w:rPr>
          <w:b/>
          <w:bCs/>
        </w:rPr>
        <w:t>Кроме того, следует продолжать усилия по обеспечению того, чтобы предварительное заключение несовершеннолетних использовалось только в исключительных случаях и в качестве крайней меры, а также чтобы несовершеннолетние, содержащиеся в предварительном заключении, всегда содержались отдельно от осужденных несовершеннолетних заключенных.</w:t>
      </w:r>
    </w:p>
    <w:p w14:paraId="1FC8C884" w14:textId="2C1A7777" w:rsidR="001914E4" w:rsidRPr="00CD0888" w:rsidRDefault="001914E4" w:rsidP="001914E4">
      <w:pPr>
        <w:pStyle w:val="H23G"/>
      </w:pPr>
      <w:r>
        <w:tab/>
      </w:r>
      <w:r>
        <w:tab/>
      </w:r>
      <w:r>
        <w:rPr>
          <w:bCs/>
        </w:rPr>
        <w:t>Свобода</w:t>
      </w:r>
      <w:r>
        <w:rPr>
          <w:bCs/>
        </w:rPr>
        <w:t xml:space="preserve"> мысли, совести, убеждений и религии</w:t>
      </w:r>
      <w:r>
        <w:t xml:space="preserve"> </w:t>
      </w:r>
    </w:p>
    <w:p w14:paraId="74C134CF" w14:textId="77777777" w:rsidR="001914E4" w:rsidRPr="00CD0888" w:rsidRDefault="001914E4" w:rsidP="001914E4">
      <w:pPr>
        <w:pStyle w:val="SingleTxtG"/>
      </w:pPr>
      <w:r>
        <w:t>35.</w:t>
      </w:r>
      <w:r>
        <w:tab/>
        <w:t>Отмечая наличие прочной правовой базы для защиты права на свободу мысли, совести и религии, Комитет по-прежнему обеспокоен сообщениями, свидетельствующими о наличии необоснованных ограничений на осуществление на практике этого права религиозными меньшинствами, в частности мусульманами и иудеями. Он обеспокоен сообщениями о том, что: a) доступ к местам отправления культа, включая мечеть Хала Султан Текке, ограничен; b) власти продолжают проводить вскрытия умерших членов еврейской общины в случаях смерти, не вызывающей подозрений; и в) неоднократные обращения за разрешением, которое позволит Главному раввинату Кипра выдавать свидетельства о браке, смерти и разводе, остаются без ответа. Кроме того, Комитет по-прежнему обеспокоен тем, что не была пересмотрена статья 2 Конституции, согласно которой признаются только те религиозные группы, которые насчитывали более 1000 членов на дату вступления Конституции в силу в 1960 году, что означает, что равное признание предоставляется не всем религиозным общинам (статьи 2, 18 и 26).</w:t>
      </w:r>
    </w:p>
    <w:p w14:paraId="3313E6A1" w14:textId="77777777" w:rsidR="001914E4" w:rsidRPr="00CD0888" w:rsidRDefault="001914E4" w:rsidP="001914E4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В свете предыдущих рекомендаций Комитета</w:t>
      </w:r>
      <w:r w:rsidRPr="00583BD2">
        <w:rPr>
          <w:rStyle w:val="aa"/>
        </w:rPr>
        <w:footnoteReference w:id="11"/>
      </w:r>
      <w:r>
        <w:t xml:space="preserve"> </w:t>
      </w:r>
      <w:r>
        <w:rPr>
          <w:b/>
          <w:bCs/>
        </w:rPr>
        <w:t>государству-участнику следует активизировать усилия по обеспечению полного соответствия своего законодательства и практики требованиям статьи 18 Пакта, в том числе путем принятия незамедлительных мер по устранению необоснованных ограничений на доступ к местам отправления культа.</w:t>
      </w:r>
      <w:r>
        <w:t xml:space="preserve"> </w:t>
      </w:r>
      <w:r>
        <w:rPr>
          <w:b/>
          <w:bCs/>
        </w:rPr>
        <w:t>Ему также следует рассмотреть вопрос о пересмотре статьи 2 Конституции и обеспечить полное осуществление свободы вероисповедания всеми религиозными общинами.</w:t>
      </w:r>
    </w:p>
    <w:p w14:paraId="1D838B07" w14:textId="77777777" w:rsidR="001914E4" w:rsidRPr="00CD0888" w:rsidRDefault="001914E4" w:rsidP="001914E4">
      <w:pPr>
        <w:pStyle w:val="SingleTxtG"/>
      </w:pPr>
      <w:r>
        <w:t>37.</w:t>
      </w:r>
      <w:r>
        <w:tab/>
        <w:t>Комитет приветствует усилия государства-участника по соблюдению религиозной свободы учащихся путем предоставления им разумных условий для исповедания своей веры. Тем не менее, он по-прежнему обеспокоен сообщениями о том, что дети, принадлежащие к религиозным меньшинствам, подвергаются социальному давлению, которое вынуждает их участвовать в осуществляемых Греческой православной церковью религиозных службах и религиозном обучении в школе (статьи 2, 18 и 26).</w:t>
      </w:r>
    </w:p>
    <w:p w14:paraId="5A794B88" w14:textId="751C99DE" w:rsidR="001914E4" w:rsidRPr="00CD0888" w:rsidRDefault="001914E4" w:rsidP="001914E4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Государству-участнику следует обеспечить, чтобы каждый учащийся имел право участвовать или не участвовать в религиозном образовании в школе, а</w:t>
      </w:r>
      <w:r>
        <w:rPr>
          <w:b/>
          <w:bCs/>
        </w:rPr>
        <w:t> </w:t>
      </w:r>
      <w:r>
        <w:rPr>
          <w:b/>
          <w:bCs/>
        </w:rPr>
        <w:t>также чтобы освобождения были легкодоступны и не были связаны с обременительными административными процедурами.</w:t>
      </w:r>
      <w:r>
        <w:t xml:space="preserve"> </w:t>
      </w:r>
      <w:r>
        <w:rPr>
          <w:b/>
          <w:bCs/>
        </w:rPr>
        <w:t>Ему необходимо усилить меры по воспитанию уважения и терпимости к религиозному разнообразию в школьной среде.</w:t>
      </w:r>
      <w:r>
        <w:t xml:space="preserve"> </w:t>
      </w:r>
    </w:p>
    <w:p w14:paraId="7A537EE3" w14:textId="77777777" w:rsidR="001914E4" w:rsidRPr="00CD0888" w:rsidRDefault="001914E4" w:rsidP="001914E4">
      <w:pPr>
        <w:pStyle w:val="H23G"/>
      </w:pPr>
      <w:r>
        <w:tab/>
      </w:r>
      <w:r>
        <w:tab/>
      </w:r>
      <w:r>
        <w:rPr>
          <w:bCs/>
        </w:rPr>
        <w:t>Свобода выражения</w:t>
      </w:r>
      <w:r>
        <w:t xml:space="preserve"> </w:t>
      </w:r>
    </w:p>
    <w:p w14:paraId="7037CC8A" w14:textId="06A26B5A" w:rsidR="001914E4" w:rsidRPr="00CD0888" w:rsidRDefault="001914E4" w:rsidP="001914E4">
      <w:pPr>
        <w:pStyle w:val="SingleTxtG"/>
      </w:pPr>
      <w:r>
        <w:t>39.</w:t>
      </w:r>
      <w:r>
        <w:tab/>
        <w:t>Комитет приветствует вступление в силу в 2020 году Закона о праве на доступ к информации государственного сектора (</w:t>
      </w:r>
      <w:r>
        <w:t>№ </w:t>
      </w:r>
      <w:r>
        <w:t>184(I)/2017). Однако он обеспокоен тем, что государство-участник не изменило и не отменило Закон о порядке стандартизации географических названий Республики, который предусматривает уголовную ответственность за публикации, использующие неофициальные географические названия, и тем, что этот закон может быть использован для ограничения свободы выражения мнений, как, например, в 2019 году, когда Генеральный контролер, сославшись на этот закон, пригрозил лишить субсидий газету «</w:t>
      </w:r>
      <w:proofErr w:type="spellStart"/>
      <w:r>
        <w:t>Сайпрус</w:t>
      </w:r>
      <w:proofErr w:type="spellEnd"/>
      <w:r>
        <w:t xml:space="preserve"> Мэйл» после того, как газета использовала </w:t>
      </w:r>
      <w:proofErr w:type="spellStart"/>
      <w:r>
        <w:t>турецкоязычное</w:t>
      </w:r>
      <w:proofErr w:type="spellEnd"/>
      <w:r>
        <w:t xml:space="preserve"> название деревни на севере Кипра. </w:t>
      </w:r>
      <w:r>
        <w:lastRenderedPageBreak/>
        <w:t>Кроме того, Комитет обеспокоен тем, что государство-участник не сообщило о каких-либо мерах, принятых для расследования или судебного преследования угроз в адрес авторов многоязычного глоссария чувствительных фраз под названием «Слова, имеющие значение», опубликованного в 2018 году (статьи 19 и 20).</w:t>
      </w:r>
      <w:bookmarkStart w:id="10" w:name="_Hlk139548052"/>
      <w:bookmarkEnd w:id="10"/>
    </w:p>
    <w:p w14:paraId="27AEB090" w14:textId="4958C6DF" w:rsidR="001914E4" w:rsidRPr="00CD0888" w:rsidRDefault="001914E4" w:rsidP="001914E4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В свете предыдущих рекомендаций Комитета</w:t>
      </w:r>
      <w:r w:rsidRPr="00583BD2">
        <w:rPr>
          <w:rStyle w:val="aa"/>
        </w:rPr>
        <w:footnoteReference w:id="12"/>
      </w:r>
      <w:r>
        <w:rPr>
          <w:b/>
          <w:bCs/>
        </w:rPr>
        <w:t xml:space="preserve"> государству-участнику следует отменить уголовные положения Закона о порядке стандартизации географических названий Республики.</w:t>
      </w:r>
      <w:r>
        <w:t xml:space="preserve"> </w:t>
      </w:r>
      <w:r>
        <w:rPr>
          <w:b/>
          <w:bCs/>
        </w:rPr>
        <w:t xml:space="preserve">Он также должен проверить другие положения закона на предмет того, что они служат законной общественной цели, необходимы и соразмерны преследуемым целям и предусматривают наименее ограничительные меры, возможные для достижения этих целей, как указано в Замечании общего порядка </w:t>
      </w:r>
      <w:r>
        <w:rPr>
          <w:b/>
          <w:bCs/>
        </w:rPr>
        <w:t>№ </w:t>
      </w:r>
      <w:r>
        <w:rPr>
          <w:b/>
          <w:bCs/>
        </w:rPr>
        <w:t>34 (2011) Комитета о свободе мнений и их выражения.</w:t>
      </w:r>
      <w:r>
        <w:t xml:space="preserve"> </w:t>
      </w:r>
      <w:r>
        <w:rPr>
          <w:b/>
          <w:bCs/>
        </w:rPr>
        <w:t>Государству-участнику следует провести оперативное, эффективное и беспристрастное расследование утверждений об угрозах или насилии в отношении журналистов, в том числе авторов книги «Слова, которые имеют значение», обеспечить преследование виновных и, в случае признания их вины, соответствующее наказание, а также предоставить жертвам эффективные средства правовой защиты, включая компенсацию.</w:t>
      </w:r>
    </w:p>
    <w:p w14:paraId="73B84379" w14:textId="77777777" w:rsidR="001914E4" w:rsidRPr="00583BD2" w:rsidRDefault="001914E4" w:rsidP="001914E4">
      <w:pPr>
        <w:pStyle w:val="H23G"/>
      </w:pPr>
      <w:r>
        <w:tab/>
      </w:r>
      <w:r>
        <w:tab/>
      </w:r>
      <w:r>
        <w:rPr>
          <w:bCs/>
        </w:rPr>
        <w:t>Права ребенка</w:t>
      </w:r>
      <w:r>
        <w:t xml:space="preserve"> </w:t>
      </w:r>
    </w:p>
    <w:p w14:paraId="7F017DE0" w14:textId="0C8F3F36" w:rsidR="001914E4" w:rsidRPr="00CD0888" w:rsidRDefault="001914E4" w:rsidP="001914E4">
      <w:pPr>
        <w:pStyle w:val="SingleTxtG"/>
      </w:pPr>
      <w:r>
        <w:t>41.</w:t>
      </w:r>
      <w:r>
        <w:tab/>
        <w:t>Комитет обеспокоен препятствиями, с которыми сталкиваются некоторые дети, родившиеся на Кипре, при получении кипрского гражданства. В частности, дети родителей из третьих стран, собственное гражданство которых не может быть предоставлено детям, а также дети родителей-киприотов и родителей-</w:t>
      </w:r>
      <w:proofErr w:type="spellStart"/>
      <w:r>
        <w:t>некиприотов</w:t>
      </w:r>
      <w:proofErr w:type="spellEnd"/>
      <w:r>
        <w:t>, которые въехали в страну или находятся в ней незаконно, не могут получить кипрское гражданство, если Совет министров не примет иного решения. В этой связи сообщается, что почти все заявления, требующие одобрения Совета министров, откладываются или отклоняются, в результате чего дети, имеющие де-юре право на кипрское гражданство, оказываются де-факто лицами без гражданства (статьи 23, 24 и</w:t>
      </w:r>
      <w:r>
        <w:t> </w:t>
      </w:r>
      <w:r>
        <w:t>26).</w:t>
      </w:r>
    </w:p>
    <w:p w14:paraId="77470391" w14:textId="25658FC8" w:rsidR="001914E4" w:rsidRPr="00CD0888" w:rsidRDefault="001914E4" w:rsidP="001914E4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Государству-участнику следует пересмотреть требования в отношении получения кипрского гражданства всеми детьми, родившимися на Кипре, и</w:t>
      </w:r>
      <w:r>
        <w:rPr>
          <w:b/>
          <w:bCs/>
        </w:rPr>
        <w:t> </w:t>
      </w:r>
      <w:r>
        <w:rPr>
          <w:b/>
          <w:bCs/>
        </w:rPr>
        <w:t>способствовать приобретению гражданства детьми, которые в противном случае были бы апатридами, независимо от гражданства, места жительства, правового или семейного положения их родителей, уделяя особое внимание детям, рожденным в семьях беженцев, просителей убежища, мигрантов или апатридов.</w:t>
      </w:r>
      <w:r>
        <w:t xml:space="preserve"> </w:t>
      </w:r>
      <w:r>
        <w:rPr>
          <w:b/>
          <w:bCs/>
        </w:rPr>
        <w:t xml:space="preserve">Государству-участнику следует рассмотреть возможность ратификации Конвенции о статусе апатридов, Конвенции о сокращении </w:t>
      </w:r>
      <w:proofErr w:type="spellStart"/>
      <w:r>
        <w:rPr>
          <w:b/>
          <w:bCs/>
        </w:rPr>
        <w:t>безгражданства</w:t>
      </w:r>
      <w:proofErr w:type="spellEnd"/>
      <w:r>
        <w:rPr>
          <w:b/>
          <w:bCs/>
        </w:rPr>
        <w:t xml:space="preserve">, Европейской конвенции о гражданстве и Конвенции Совета Европы о недопущении </w:t>
      </w:r>
      <w:proofErr w:type="spellStart"/>
      <w:r>
        <w:rPr>
          <w:b/>
          <w:bCs/>
        </w:rPr>
        <w:t>безгражданства</w:t>
      </w:r>
      <w:proofErr w:type="spellEnd"/>
      <w:r>
        <w:rPr>
          <w:b/>
          <w:bCs/>
        </w:rPr>
        <w:t xml:space="preserve"> в связи с правопреемством государств.</w:t>
      </w:r>
    </w:p>
    <w:p w14:paraId="7A60C1FD" w14:textId="77777777" w:rsidR="001914E4" w:rsidRPr="00CD0888" w:rsidRDefault="001914E4" w:rsidP="001914E4">
      <w:pPr>
        <w:pStyle w:val="H23G"/>
      </w:pPr>
      <w:r>
        <w:tab/>
      </w:r>
      <w:r>
        <w:tab/>
      </w:r>
      <w:r>
        <w:rPr>
          <w:bCs/>
        </w:rPr>
        <w:t>Право на участие в общественной жизни</w:t>
      </w:r>
    </w:p>
    <w:p w14:paraId="6CFF11E6" w14:textId="77777777" w:rsidR="001914E4" w:rsidRPr="00CD0888" w:rsidRDefault="001914E4" w:rsidP="001914E4">
      <w:pPr>
        <w:pStyle w:val="SingleTxtG"/>
      </w:pPr>
      <w:r>
        <w:t>43.</w:t>
      </w:r>
      <w:r>
        <w:tab/>
        <w:t xml:space="preserve">Комитет обеспокоен, особенно учитывая крайне низкий процент турок-киприотов, пользующихся своим правом голоса, сообщениями о препятствиях, мешающих реализации избирательных прав турок-киприотов, таких как удаленность от избирательных участков, отсутствие доступа к информации и, как следствие, ограниченное представительство турок-киприотов. Он также обеспокоен тем, что, в то время как греки-киприоты, проживающие в северной части острова, могут выставлять свои кандидатуры на выборах в районе, находящемся под фактическим контролем правительства, туркам-киприотам, проживающим в том же районе, это запрещено. Кроме того, Комитет обеспокоен сообщениями о том, что лица с интеллектуальной и психосоциальной инвалидностью не получают должной помощи, поддержки и подготовки для осуществления своего права голосовать и выставлять свою кандидатуру на выборах, а некоторые из них также лишены этих прав на законных основаниях. Он также обеспокоен сообщениями о том, что другие инвалиды не </w:t>
      </w:r>
      <w:r>
        <w:lastRenderedPageBreak/>
        <w:t xml:space="preserve">получают необходимой поддержки для полноценного участия в избирательных процессах (статьи 2, 25 и 26). </w:t>
      </w:r>
    </w:p>
    <w:p w14:paraId="105EA2AA" w14:textId="5BDCF9CF" w:rsidR="001914E4" w:rsidRPr="00CD0888" w:rsidRDefault="001914E4" w:rsidP="001914E4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Государству-участнику следует незамедлительно принять меры по устранению всех барьеров в законодательстве и на практике, препятствующих туркам-киприотам и инвалидам, включая лиц с интеллектуальной и психосоциальной инвалидностью, осуществлять свое право голосовать и выставлять свою кандидатуру на выборах, в полной мере реализуя право каждого гражданина на участие в общественных делах без дискриминации и гарантируя полноценное участие в политической жизни турок-киприотов, а</w:t>
      </w:r>
      <w:r>
        <w:rPr>
          <w:b/>
          <w:bCs/>
        </w:rPr>
        <w:t> </w:t>
      </w:r>
      <w:r>
        <w:rPr>
          <w:b/>
          <w:bCs/>
        </w:rPr>
        <w:t>также всех лиц с ограниченными возможностями.</w:t>
      </w:r>
    </w:p>
    <w:p w14:paraId="1992FBD9" w14:textId="77777777" w:rsidR="001914E4" w:rsidRPr="00CD0888" w:rsidRDefault="001914E4" w:rsidP="001914E4">
      <w:pPr>
        <w:pStyle w:val="H23G"/>
      </w:pPr>
      <w:r>
        <w:tab/>
      </w:r>
      <w:r>
        <w:tab/>
      </w:r>
      <w:r>
        <w:rPr>
          <w:bCs/>
        </w:rPr>
        <w:t>Права меньшинств</w:t>
      </w:r>
    </w:p>
    <w:p w14:paraId="36D46E21" w14:textId="0B01F790" w:rsidR="001914E4" w:rsidRPr="00CD0888" w:rsidRDefault="001914E4" w:rsidP="001914E4">
      <w:pPr>
        <w:pStyle w:val="SingleTxtG"/>
      </w:pPr>
      <w:r>
        <w:t>45.</w:t>
      </w:r>
      <w:r>
        <w:tab/>
        <w:t>Комитет приветствует представление Европейской комиссии в 2021 году Национальных стратегических рамок для рома на период 2021–2030 годов. Однако он по-прежнему обеспокоен низким числом турок-киприотов на государственной службе государства-участника, включая полицию и судебные органы, а также отсутствием предусмотренных конкретных мер, направленных на изменение этой ситуации (статьи</w:t>
      </w:r>
      <w:r>
        <w:t> </w:t>
      </w:r>
      <w:r>
        <w:t>2, 26 и 27).</w:t>
      </w:r>
    </w:p>
    <w:p w14:paraId="0E91A79B" w14:textId="77777777" w:rsidR="001914E4" w:rsidRPr="00CD0888" w:rsidRDefault="001914E4" w:rsidP="001914E4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В свете предыдущих рекомендаций Комитета</w:t>
      </w:r>
      <w:r w:rsidRPr="00583BD2">
        <w:rPr>
          <w:rStyle w:val="aa"/>
        </w:rPr>
        <w:footnoteReference w:id="13"/>
      </w:r>
      <w:r>
        <w:rPr>
          <w:b/>
          <w:bCs/>
        </w:rPr>
        <w:t xml:space="preserve"> государству-участнику следует продолжать и активизировать усилия по искоренению экономических, социальных, языковых и культурных барьеров, с которыми сталкиваются турки-киприоты и другие меньшинства, в том числе путем принятия конкретных мер, таких как временные специальные меры, для интеграции турок-киприотов в гражданскую службу и судебную систему.</w:t>
      </w:r>
      <w:r>
        <w:t xml:space="preserve"> </w:t>
      </w:r>
    </w:p>
    <w:p w14:paraId="04D7A0F5" w14:textId="6FACBE6E" w:rsidR="001914E4" w:rsidRPr="00CD0888" w:rsidRDefault="001914E4" w:rsidP="001914E4">
      <w:pPr>
        <w:pStyle w:val="H1G"/>
      </w:pPr>
      <w:r>
        <w:rPr>
          <w:bCs/>
        </w:rPr>
        <w:tab/>
      </w:r>
      <w:r>
        <w:rPr>
          <w:bCs/>
        </w:rPr>
        <w:t>D.</w:t>
      </w:r>
      <w:r>
        <w:tab/>
      </w:r>
      <w:r>
        <w:rPr>
          <w:bCs/>
        </w:rPr>
        <w:t>Распространение информации и последующие действия</w:t>
      </w:r>
      <w:r>
        <w:t xml:space="preserve"> </w:t>
      </w:r>
    </w:p>
    <w:p w14:paraId="5F467A98" w14:textId="77777777" w:rsidR="001914E4" w:rsidRPr="00CD0888" w:rsidRDefault="001914E4" w:rsidP="001914E4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двух Факультативных протоколов к нему, его пятого периодического доклада и настоящих заключительных замечаний с целью повышения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перевод периодического доклада и настоящих заключительных замечаний на официальные языки и языки меньшинств государства-участника.</w:t>
      </w:r>
    </w:p>
    <w:p w14:paraId="2DD9FDC6" w14:textId="77777777" w:rsidR="001914E4" w:rsidRPr="00CD0888" w:rsidRDefault="001914E4" w:rsidP="001914E4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к 27 июля 2026 года информацию о выполнении рекомендаций Комитета, сформулированных выше в пунктах 10 (недискриминация, язык ненависти и преступления на почве ненависти), 24 (свобода и личная неприкосновенность) и 44 (право на участие в общественной жизни).</w:t>
      </w:r>
    </w:p>
    <w:p w14:paraId="1EE965A1" w14:textId="4B5536D2" w:rsidR="001914E4" w:rsidRPr="00CD0888" w:rsidRDefault="001914E4" w:rsidP="001914E4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В соответствии с прогнозируемым циклом обзора Комитета государство-участник получит в 2029 году перечень вопросов Комитета до представления доклада и должно будет представить в течение одного года свои ответы, которые будут представлять собой его шестой периодический доклад.</w:t>
      </w:r>
      <w:r>
        <w:t xml:space="preserve"> </w:t>
      </w:r>
      <w:r>
        <w:rPr>
          <w:b/>
          <w:bCs/>
        </w:rPr>
        <w:t>Комитет также просит государство-участник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</w:t>
      </w:r>
      <w:r>
        <w:rPr>
          <w:b/>
          <w:bCs/>
        </w:rPr>
        <w:t> </w:t>
      </w:r>
      <w:r>
        <w:rPr>
          <w:b/>
          <w:bCs/>
        </w:rPr>
        <w:t>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2031 году в Женеве.</w:t>
      </w:r>
    </w:p>
    <w:p w14:paraId="06253102" w14:textId="3727BA9F" w:rsidR="00381C24" w:rsidRPr="001914E4" w:rsidRDefault="001914E4" w:rsidP="001914E4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1914E4" w:rsidSect="001914E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369F8" w14:textId="77777777" w:rsidR="00B416FB" w:rsidRPr="00A312BC" w:rsidRDefault="00B416FB" w:rsidP="00A312BC"/>
  </w:endnote>
  <w:endnote w:type="continuationSeparator" w:id="0">
    <w:p w14:paraId="38218F14" w14:textId="77777777" w:rsidR="00B416FB" w:rsidRPr="00A312BC" w:rsidRDefault="00B416F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ACA8A" w14:textId="43B770CA" w:rsidR="001914E4" w:rsidRPr="001914E4" w:rsidRDefault="001914E4">
    <w:pPr>
      <w:pStyle w:val="a8"/>
    </w:pPr>
    <w:r w:rsidRPr="001914E4">
      <w:rPr>
        <w:b/>
        <w:sz w:val="18"/>
      </w:rPr>
      <w:fldChar w:fldCharType="begin"/>
    </w:r>
    <w:r w:rsidRPr="001914E4">
      <w:rPr>
        <w:b/>
        <w:sz w:val="18"/>
      </w:rPr>
      <w:instrText xml:space="preserve"> PAGE  \* MERGEFORMAT </w:instrText>
    </w:r>
    <w:r w:rsidRPr="001914E4">
      <w:rPr>
        <w:b/>
        <w:sz w:val="18"/>
      </w:rPr>
      <w:fldChar w:fldCharType="separate"/>
    </w:r>
    <w:r w:rsidRPr="001914E4">
      <w:rPr>
        <w:b/>
        <w:noProof/>
        <w:sz w:val="18"/>
      </w:rPr>
      <w:t>2</w:t>
    </w:r>
    <w:r w:rsidRPr="001914E4">
      <w:rPr>
        <w:b/>
        <w:sz w:val="18"/>
      </w:rPr>
      <w:fldChar w:fldCharType="end"/>
    </w:r>
    <w:r>
      <w:rPr>
        <w:b/>
        <w:sz w:val="18"/>
      </w:rPr>
      <w:tab/>
    </w:r>
    <w:r>
      <w:t>GE.23-15079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2D49F" w14:textId="639F69E6" w:rsidR="001914E4" w:rsidRPr="001914E4" w:rsidRDefault="001914E4" w:rsidP="001914E4">
    <w:pPr>
      <w:pStyle w:val="a8"/>
      <w:tabs>
        <w:tab w:val="clear" w:pos="9639"/>
        <w:tab w:val="right" w:pos="9638"/>
      </w:tabs>
      <w:rPr>
        <w:b/>
        <w:sz w:val="18"/>
      </w:rPr>
    </w:pPr>
    <w:r>
      <w:t>GE.23-15079</w:t>
    </w:r>
    <w:r>
      <w:tab/>
    </w:r>
    <w:r w:rsidRPr="001914E4">
      <w:rPr>
        <w:b/>
        <w:sz w:val="18"/>
      </w:rPr>
      <w:fldChar w:fldCharType="begin"/>
    </w:r>
    <w:r w:rsidRPr="001914E4">
      <w:rPr>
        <w:b/>
        <w:sz w:val="18"/>
      </w:rPr>
      <w:instrText xml:space="preserve"> PAGE  \* MERGEFORMAT </w:instrText>
    </w:r>
    <w:r w:rsidRPr="001914E4">
      <w:rPr>
        <w:b/>
        <w:sz w:val="18"/>
      </w:rPr>
      <w:fldChar w:fldCharType="separate"/>
    </w:r>
    <w:r w:rsidRPr="001914E4">
      <w:rPr>
        <w:b/>
        <w:noProof/>
        <w:sz w:val="18"/>
      </w:rPr>
      <w:t>3</w:t>
    </w:r>
    <w:r w:rsidRPr="001914E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12B41" w14:textId="2C1CAE91" w:rsidR="00042B72" w:rsidRPr="00C41588" w:rsidRDefault="001914E4" w:rsidP="001914E4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8B05854" wp14:editId="67BE2C3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23-15079 </w:t>
    </w:r>
    <w:r w:rsidR="00927ED8">
      <w:rPr>
        <w:lang w:val="en-US"/>
      </w:rPr>
      <w:t xml:space="preserve"> </w:t>
    </w:r>
    <w:r>
      <w:t xml:space="preserve">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D7F2D72" wp14:editId="61BEBCE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41588">
      <w:t xml:space="preserve">  </w:t>
    </w:r>
    <w:r w:rsidR="00927ED8">
      <w:rPr>
        <w:lang w:val="en-US"/>
      </w:rPr>
      <w:t xml:space="preserve"> </w:t>
    </w:r>
    <w:r w:rsidR="00C41588">
      <w:rPr>
        <w:lang w:val="en-US"/>
      </w:rPr>
      <w:t xml:space="preserve">151123  </w:t>
    </w:r>
    <w:r w:rsidR="00927ED8">
      <w:rPr>
        <w:lang w:val="en-US"/>
      </w:rPr>
      <w:t xml:space="preserve"> </w:t>
    </w:r>
    <w:r w:rsidR="00C41588">
      <w:rPr>
        <w:lang w:val="en-US"/>
      </w:rPr>
      <w:t>221123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D1FA9" w14:textId="77777777" w:rsidR="00B416FB" w:rsidRPr="001075E9" w:rsidRDefault="00B416F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9E06CD9" w14:textId="77777777" w:rsidR="00B416FB" w:rsidRDefault="00B416F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AEC9D03" w14:textId="77777777" w:rsidR="001914E4" w:rsidRPr="00CD0888" w:rsidRDefault="001914E4" w:rsidP="001914E4">
      <w:pPr>
        <w:pStyle w:val="ad"/>
      </w:pPr>
      <w:r>
        <w:tab/>
      </w:r>
      <w:r w:rsidRPr="001914E4">
        <w:rPr>
          <w:sz w:val="20"/>
        </w:rPr>
        <w:t>*</w:t>
      </w:r>
      <w:r>
        <w:tab/>
        <w:t xml:space="preserve">Принято Комитетом на его сто тридцать восьмой сессии (26 июня — 26 июля 2023 года). </w:t>
      </w:r>
    </w:p>
  </w:footnote>
  <w:footnote w:id="2">
    <w:p w14:paraId="62507FE3" w14:textId="524A3795" w:rsidR="001914E4" w:rsidRPr="00CD0888" w:rsidRDefault="001914E4" w:rsidP="001914E4">
      <w:pPr>
        <w:pStyle w:val="ad"/>
      </w:pPr>
      <w:r>
        <w:tab/>
      </w:r>
      <w:r w:rsidRPr="004B6B73">
        <w:rPr>
          <w:rStyle w:val="aa"/>
        </w:rPr>
        <w:footnoteRef/>
      </w:r>
      <w:r>
        <w:tab/>
      </w:r>
      <w:hyperlink r:id="rId1" w:history="1">
        <w:r w:rsidRPr="001914E4">
          <w:rPr>
            <w:rStyle w:val="af1"/>
          </w:rPr>
          <w:t>CCPR/C/CYP/5</w:t>
        </w:r>
      </w:hyperlink>
      <w:r>
        <w:t>.</w:t>
      </w:r>
    </w:p>
  </w:footnote>
  <w:footnote w:id="3">
    <w:p w14:paraId="454714C9" w14:textId="184D9EC2" w:rsidR="001914E4" w:rsidRPr="00CD0888" w:rsidRDefault="001914E4" w:rsidP="001914E4">
      <w:pPr>
        <w:pStyle w:val="ad"/>
      </w:pPr>
      <w:r>
        <w:tab/>
      </w:r>
      <w:r w:rsidRPr="00596BEE">
        <w:rPr>
          <w:rStyle w:val="aa"/>
        </w:rPr>
        <w:footnoteRef/>
      </w:r>
      <w:r>
        <w:tab/>
        <w:t xml:space="preserve">См. </w:t>
      </w:r>
      <w:hyperlink r:id="rId2" w:history="1">
        <w:r w:rsidRPr="001914E4">
          <w:rPr>
            <w:rStyle w:val="af1"/>
          </w:rPr>
          <w:t>CCPR/C/SR.3999</w:t>
        </w:r>
      </w:hyperlink>
      <w:r>
        <w:t xml:space="preserve"> и </w:t>
      </w:r>
      <w:hyperlink r:id="rId3" w:history="1">
        <w:r w:rsidRPr="001914E4">
          <w:rPr>
            <w:rStyle w:val="af1"/>
          </w:rPr>
          <w:t>CCPR/C/SR.4000</w:t>
        </w:r>
      </w:hyperlink>
      <w:r>
        <w:t>.</w:t>
      </w:r>
    </w:p>
  </w:footnote>
  <w:footnote w:id="4">
    <w:p w14:paraId="52F53D62" w14:textId="157BBB9F" w:rsidR="001914E4" w:rsidRPr="005D2F78" w:rsidRDefault="001914E4" w:rsidP="001914E4">
      <w:pPr>
        <w:pStyle w:val="ad"/>
        <w:rPr>
          <w:lang w:val="en-US"/>
        </w:rPr>
      </w:pPr>
      <w:r>
        <w:tab/>
      </w:r>
      <w:r w:rsidRPr="004B6B73">
        <w:rPr>
          <w:rStyle w:val="aa"/>
        </w:rPr>
        <w:footnoteRef/>
      </w:r>
      <w:r w:rsidRPr="005D2F78">
        <w:rPr>
          <w:lang w:val="en-US"/>
        </w:rPr>
        <w:tab/>
      </w:r>
      <w:hyperlink r:id="rId4" w:history="1">
        <w:r w:rsidRPr="005D2F78">
          <w:rPr>
            <w:rStyle w:val="af1"/>
            <w:lang w:val="en-US"/>
          </w:rPr>
          <w:t>CCPR/C/CYP/QPR/5</w:t>
        </w:r>
      </w:hyperlink>
      <w:r w:rsidRPr="005D2F78">
        <w:rPr>
          <w:lang w:val="en-US"/>
        </w:rPr>
        <w:t>.</w:t>
      </w:r>
    </w:p>
  </w:footnote>
  <w:footnote w:id="5">
    <w:p w14:paraId="2540B4B1" w14:textId="10E807CC" w:rsidR="001914E4" w:rsidRPr="001914E4" w:rsidRDefault="001914E4" w:rsidP="001914E4">
      <w:pPr>
        <w:pStyle w:val="ad"/>
        <w:rPr>
          <w:lang w:val="en-US"/>
        </w:rPr>
      </w:pPr>
      <w:r w:rsidRPr="005D2F78">
        <w:rPr>
          <w:lang w:val="en-US"/>
        </w:rPr>
        <w:tab/>
      </w:r>
      <w:r w:rsidRPr="004B6B73">
        <w:rPr>
          <w:rStyle w:val="aa"/>
        </w:rPr>
        <w:footnoteRef/>
      </w:r>
      <w:r w:rsidRPr="001914E4">
        <w:rPr>
          <w:lang w:val="en-US"/>
        </w:rPr>
        <w:tab/>
      </w:r>
      <w:hyperlink r:id="rId5" w:history="1">
        <w:r w:rsidRPr="001914E4">
          <w:rPr>
            <w:rStyle w:val="af1"/>
            <w:lang w:val="en-US"/>
          </w:rPr>
          <w:t>CCPR/C/CYP/CO/4</w:t>
        </w:r>
      </w:hyperlink>
      <w:r w:rsidRPr="001914E4">
        <w:rPr>
          <w:lang w:val="en-US"/>
        </w:rPr>
        <w:t xml:space="preserve">, </w:t>
      </w:r>
      <w:r>
        <w:t>п</w:t>
      </w:r>
      <w:r w:rsidRPr="001914E4">
        <w:rPr>
          <w:lang w:val="en-US"/>
        </w:rPr>
        <w:t xml:space="preserve">. </w:t>
      </w:r>
      <w:r w:rsidRPr="001914E4">
        <w:rPr>
          <w:lang w:val="en-US"/>
        </w:rPr>
        <w:t xml:space="preserve">6. </w:t>
      </w:r>
    </w:p>
  </w:footnote>
  <w:footnote w:id="6">
    <w:p w14:paraId="3E60A6D8" w14:textId="77777777" w:rsidR="001914E4" w:rsidRPr="00CD0888" w:rsidRDefault="001914E4" w:rsidP="001914E4">
      <w:pPr>
        <w:pStyle w:val="ad"/>
      </w:pPr>
      <w:r w:rsidRPr="001914E4">
        <w:rPr>
          <w:lang w:val="en-US"/>
        </w:rPr>
        <w:tab/>
      </w:r>
      <w:r w:rsidRPr="004B6B73">
        <w:rPr>
          <w:rStyle w:val="aa"/>
        </w:rPr>
        <w:footnoteRef/>
      </w:r>
      <w:r>
        <w:tab/>
        <w:t>Там же, п. 6.</w:t>
      </w:r>
    </w:p>
  </w:footnote>
  <w:footnote w:id="7">
    <w:p w14:paraId="1CED7D52" w14:textId="77777777" w:rsidR="001914E4" w:rsidRPr="00CD0888" w:rsidRDefault="001914E4" w:rsidP="001914E4">
      <w:pPr>
        <w:pStyle w:val="ad"/>
      </w:pPr>
      <w:r w:rsidRPr="00C02159">
        <w:tab/>
      </w:r>
      <w:r w:rsidRPr="004B6B73">
        <w:rPr>
          <w:rStyle w:val="aa"/>
        </w:rPr>
        <w:footnoteRef/>
      </w:r>
      <w:r>
        <w:tab/>
        <w:t>Там же, п. 10.</w:t>
      </w:r>
    </w:p>
  </w:footnote>
  <w:footnote w:id="8">
    <w:p w14:paraId="5DED65E3" w14:textId="77777777" w:rsidR="001914E4" w:rsidRPr="00CD0888" w:rsidRDefault="001914E4" w:rsidP="001914E4">
      <w:pPr>
        <w:pStyle w:val="ad"/>
      </w:pPr>
      <w:r>
        <w:tab/>
      </w:r>
      <w:r w:rsidRPr="004B6B73">
        <w:rPr>
          <w:rStyle w:val="aa"/>
        </w:rPr>
        <w:footnoteRef/>
      </w:r>
      <w:r>
        <w:tab/>
        <w:t>Там же, п. 15.</w:t>
      </w:r>
    </w:p>
  </w:footnote>
  <w:footnote w:id="9">
    <w:p w14:paraId="776AB105" w14:textId="77777777" w:rsidR="001914E4" w:rsidRPr="00CD0888" w:rsidRDefault="001914E4" w:rsidP="001914E4">
      <w:pPr>
        <w:pStyle w:val="ad"/>
      </w:pPr>
      <w:r>
        <w:tab/>
      </w:r>
      <w:r w:rsidRPr="004B6B73">
        <w:rPr>
          <w:rStyle w:val="aa"/>
        </w:rPr>
        <w:footnoteRef/>
      </w:r>
      <w:r>
        <w:tab/>
        <w:t>Там же, п. 17.</w:t>
      </w:r>
    </w:p>
  </w:footnote>
  <w:footnote w:id="10">
    <w:p w14:paraId="5315FACF" w14:textId="77777777" w:rsidR="001914E4" w:rsidRPr="00CD0888" w:rsidRDefault="001914E4" w:rsidP="001914E4">
      <w:pPr>
        <w:pStyle w:val="ad"/>
      </w:pPr>
      <w:r>
        <w:tab/>
      </w:r>
      <w:r w:rsidRPr="004B6B73">
        <w:rPr>
          <w:rStyle w:val="aa"/>
        </w:rPr>
        <w:footnoteRef/>
      </w:r>
      <w:r>
        <w:tab/>
        <w:t>Там же, п. 13.</w:t>
      </w:r>
    </w:p>
  </w:footnote>
  <w:footnote w:id="11">
    <w:p w14:paraId="0D43C9EB" w14:textId="77777777" w:rsidR="001914E4" w:rsidRPr="00CD0888" w:rsidRDefault="001914E4" w:rsidP="001914E4">
      <w:pPr>
        <w:pStyle w:val="ad"/>
      </w:pPr>
      <w:r>
        <w:tab/>
      </w:r>
      <w:r w:rsidRPr="004B6B73">
        <w:rPr>
          <w:rStyle w:val="aa"/>
        </w:rPr>
        <w:footnoteRef/>
      </w:r>
      <w:r>
        <w:tab/>
        <w:t>Там же, п. 18.</w:t>
      </w:r>
    </w:p>
  </w:footnote>
  <w:footnote w:id="12">
    <w:p w14:paraId="7CA5F35D" w14:textId="77777777" w:rsidR="001914E4" w:rsidRPr="00CD0888" w:rsidRDefault="001914E4" w:rsidP="001914E4">
      <w:pPr>
        <w:pStyle w:val="ad"/>
      </w:pPr>
      <w:r w:rsidRPr="00076551">
        <w:tab/>
      </w:r>
      <w:r w:rsidRPr="004B6B73">
        <w:rPr>
          <w:rStyle w:val="aa"/>
        </w:rPr>
        <w:footnoteRef/>
      </w:r>
      <w:r>
        <w:tab/>
        <w:t>Там же, п. 21.</w:t>
      </w:r>
    </w:p>
  </w:footnote>
  <w:footnote w:id="13">
    <w:p w14:paraId="0576436E" w14:textId="77777777" w:rsidR="001914E4" w:rsidRPr="00CD0888" w:rsidRDefault="001914E4" w:rsidP="001914E4">
      <w:pPr>
        <w:pStyle w:val="ad"/>
      </w:pPr>
      <w:r w:rsidRPr="00207894">
        <w:tab/>
      </w:r>
      <w:r w:rsidRPr="004B6B73">
        <w:rPr>
          <w:rStyle w:val="aa"/>
        </w:rPr>
        <w:footnoteRef/>
      </w:r>
      <w:r>
        <w:tab/>
        <w:t>Там же, п. 23.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20DBE" w14:textId="539EFBC0" w:rsidR="001914E4" w:rsidRPr="001914E4" w:rsidRDefault="001914E4">
    <w:pPr>
      <w:pStyle w:val="a5"/>
    </w:pPr>
    <w:fldSimple w:instr=" TITLE  \* MERGEFORMAT ">
      <w:r w:rsidR="005D2F78">
        <w:t>CCPR/C/CYP/CO/5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B1ABD" w14:textId="7576AC13" w:rsidR="001914E4" w:rsidRPr="001914E4" w:rsidRDefault="001914E4" w:rsidP="001914E4">
    <w:pPr>
      <w:pStyle w:val="a5"/>
      <w:jc w:val="right"/>
    </w:pPr>
    <w:fldSimple w:instr=" TITLE  \* MERGEFORMAT ">
      <w:r w:rsidR="005D2F78">
        <w:t>CCPR/C/CYP/CO/5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6FB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14E4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513F3"/>
    <w:rsid w:val="005709E0"/>
    <w:rsid w:val="00572E19"/>
    <w:rsid w:val="005749AF"/>
    <w:rsid w:val="005961C8"/>
    <w:rsid w:val="005D2F7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27ED8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416FB"/>
    <w:rsid w:val="00B539E7"/>
    <w:rsid w:val="00B62458"/>
    <w:rsid w:val="00BC18B2"/>
    <w:rsid w:val="00BC3629"/>
    <w:rsid w:val="00BD33EE"/>
    <w:rsid w:val="00BF1A04"/>
    <w:rsid w:val="00C0177C"/>
    <w:rsid w:val="00C106D6"/>
    <w:rsid w:val="00C41588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3B8E29"/>
  <w15:docId w15:val="{58299CFC-C4E1-44DE-A376-A637DC062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1914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CPR/C/SR.4000" TargetMode="External"/><Relationship Id="rId2" Type="http://schemas.openxmlformats.org/officeDocument/2006/relationships/hyperlink" Target="http://undocs.org/ru/CCPR/C/SR.3999" TargetMode="External"/><Relationship Id="rId1" Type="http://schemas.openxmlformats.org/officeDocument/2006/relationships/hyperlink" Target="http://undocs.org/ru/CCPR/C/CYP/5" TargetMode="External"/><Relationship Id="rId5" Type="http://schemas.openxmlformats.org/officeDocument/2006/relationships/hyperlink" Target="http://undocs.org/ru/CCPR/C/CYP/CO/4" TargetMode="External"/><Relationship Id="rId4" Type="http://schemas.openxmlformats.org/officeDocument/2006/relationships/hyperlink" Target="http://undocs.org/ru/CCPR/C/CYP/QPR/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6</TotalTime>
  <Pages>12</Pages>
  <Words>5002</Words>
  <Characters>34531</Characters>
  <Application>Microsoft Office Word</Application>
  <DocSecurity>0</DocSecurity>
  <Lines>607</Lines>
  <Paragraphs>121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CCPR/C/CYP/CO/5</vt:lpstr>
      <vt:lpstr>A/</vt:lpstr>
      <vt:lpstr>A/</vt:lpstr>
    </vt:vector>
  </TitlesOfParts>
  <Company>DCM</Company>
  <LinksUpToDate>false</LinksUpToDate>
  <CharactersWithSpaces>39505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CCPR/C/CYP/CO/5</dc:title>
  <dc:subject/>
  <dc:creator>Larisa MAYKOVSKAYA</dc:creator>
  <cp:keywords/>
  <cp:lastModifiedBy>Larisa MAYKOVSKAYA</cp:lastModifiedBy>
  <cp:revision>3</cp:revision>
  <cp:lastPrinted>2023-11-22T10:15:00Z</cp:lastPrinted>
  <dcterms:created xsi:type="dcterms:W3CDTF">2023-11-22T10:15:00Z</dcterms:created>
  <dcterms:modified xsi:type="dcterms:W3CDTF">2023-11-22T10:16:00Z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