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0461D" w:rsidP="007405BE">
            <w:pPr>
              <w:jc w:val="right"/>
            </w:pPr>
            <w:r w:rsidRPr="0090461D">
              <w:rPr>
                <w:sz w:val="40"/>
              </w:rPr>
              <w:t>CCPR</w:t>
            </w:r>
            <w:r>
              <w:t>/C/10</w:t>
            </w:r>
            <w:r w:rsidR="00ED1321">
              <w:t>8</w:t>
            </w:r>
            <w:r>
              <w:t>/</w:t>
            </w:r>
            <w:r w:rsidR="00ED1321" w:rsidRPr="003F5EAD">
              <w: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EE2DB4"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90461D" w:rsidP="0090461D">
            <w:pPr>
              <w:spacing w:before="240" w:line="240" w:lineRule="exact"/>
            </w:pPr>
            <w:r>
              <w:t xml:space="preserve">Distr.: </w:t>
            </w:r>
            <w:r w:rsidR="00ED1321">
              <w:t>General</w:t>
            </w:r>
          </w:p>
          <w:p w:rsidR="0090461D" w:rsidRDefault="00137901" w:rsidP="0090461D">
            <w:pPr>
              <w:spacing w:line="240" w:lineRule="exact"/>
            </w:pPr>
            <w:r>
              <w:t>2</w:t>
            </w:r>
            <w:r w:rsidR="007C6F44">
              <w:t>1</w:t>
            </w:r>
            <w:r w:rsidR="0086176C">
              <w:t xml:space="preserve"> </w:t>
            </w:r>
            <w:r>
              <w:t>October</w:t>
            </w:r>
            <w:r w:rsidR="0090461D">
              <w:t xml:space="preserve"> 2013</w:t>
            </w:r>
          </w:p>
          <w:p w:rsidR="0090461D" w:rsidRDefault="0090461D" w:rsidP="0090461D">
            <w:pPr>
              <w:spacing w:line="240" w:lineRule="exact"/>
            </w:pPr>
          </w:p>
          <w:p w:rsidR="0090461D" w:rsidRDefault="0090461D" w:rsidP="0090461D">
            <w:pPr>
              <w:spacing w:line="240" w:lineRule="exact"/>
            </w:pPr>
            <w:r>
              <w:t>Original: English</w:t>
            </w:r>
          </w:p>
        </w:tc>
      </w:tr>
    </w:tbl>
    <w:p w:rsidR="008071F3" w:rsidRDefault="008071F3" w:rsidP="008071F3">
      <w:pPr>
        <w:autoSpaceDE w:val="0"/>
        <w:autoSpaceDN w:val="0"/>
        <w:adjustRightInd w:val="0"/>
        <w:spacing w:before="120"/>
        <w:rPr>
          <w:b/>
          <w:bCs/>
          <w:sz w:val="24"/>
          <w:szCs w:val="24"/>
        </w:rPr>
      </w:pPr>
      <w:r>
        <w:rPr>
          <w:b/>
          <w:bCs/>
          <w:sz w:val="24"/>
          <w:szCs w:val="24"/>
        </w:rPr>
        <w:t>Human Rights Committee</w:t>
      </w:r>
    </w:p>
    <w:p w:rsidR="008071F3" w:rsidRPr="007405BE" w:rsidRDefault="008071F3" w:rsidP="008071F3">
      <w:pPr>
        <w:pStyle w:val="HChG"/>
      </w:pPr>
      <w:r>
        <w:tab/>
      </w:r>
      <w:r>
        <w:tab/>
      </w:r>
      <w:r w:rsidR="002B76A8">
        <w:t>Note by the Human Rights Committee on the procedure for f</w:t>
      </w:r>
      <w:r w:rsidR="007405BE" w:rsidRPr="007F1BCD">
        <w:t>ollow-up to concluding observations</w:t>
      </w:r>
      <w:r w:rsidR="00A542A2" w:rsidRPr="007F1BCD">
        <w:rPr>
          <w:rStyle w:val="FootnoteReference"/>
          <w:sz w:val="20"/>
          <w:vertAlign w:val="baseline"/>
        </w:rPr>
        <w:footnoteReference w:customMarkFollows="1" w:id="2"/>
        <w:t>*</w:t>
      </w:r>
    </w:p>
    <w:p w:rsidR="007405BE" w:rsidRPr="00FA0634" w:rsidRDefault="008071F3" w:rsidP="007405BE">
      <w:pPr>
        <w:pStyle w:val="H1G"/>
        <w:rPr>
          <w:sz w:val="20"/>
        </w:rPr>
      </w:pPr>
      <w:r>
        <w:tab/>
      </w:r>
      <w:r>
        <w:tab/>
      </w:r>
      <w:r w:rsidR="007405BE" w:rsidRPr="00FA0634">
        <w:rPr>
          <w:sz w:val="20"/>
        </w:rPr>
        <w:t>Introduction</w:t>
      </w:r>
    </w:p>
    <w:p w:rsidR="007405BE" w:rsidRDefault="007405BE" w:rsidP="007405BE">
      <w:pPr>
        <w:pStyle w:val="SingleTxtG"/>
        <w:rPr>
          <w:rFonts w:eastAsia="Calibri"/>
        </w:rPr>
      </w:pPr>
      <w:r>
        <w:t>1.</w:t>
      </w:r>
      <w:r>
        <w:tab/>
        <w:t>The Human Rights Committee initiated the process</w:t>
      </w:r>
      <w:r w:rsidR="00331132">
        <w:t xml:space="preserve"> of follow-up to concluding observations</w:t>
      </w:r>
      <w:r>
        <w:t xml:space="preserve"> in 2001. In 2003, the </w:t>
      </w:r>
      <w:r w:rsidR="005B446E">
        <w:t>i</w:t>
      </w:r>
      <w:r>
        <w:t>nter-</w:t>
      </w:r>
      <w:r w:rsidR="005B446E">
        <w:t>c</w:t>
      </w:r>
      <w:r>
        <w:t xml:space="preserve">ommittee </w:t>
      </w:r>
      <w:r w:rsidR="005B446E">
        <w:t>m</w:t>
      </w:r>
      <w:r>
        <w:t>eeting</w:t>
      </w:r>
      <w:r w:rsidR="005B446E">
        <w:t xml:space="preserve"> of the human rights treaty bodies</w:t>
      </w:r>
      <w:r>
        <w:t xml:space="preserve"> recommended that all treaty bodies should examine the possibility of setting</w:t>
      </w:r>
      <w:r w:rsidR="005B446E">
        <w:t xml:space="preserve"> </w:t>
      </w:r>
      <w:r>
        <w:t xml:space="preserve">up a procedure </w:t>
      </w:r>
      <w:r w:rsidRPr="00FE7BC4">
        <w:t>of</w:t>
      </w:r>
      <w:r>
        <w:t xml:space="preserve"> follow-up to concluding observations</w:t>
      </w:r>
      <w:r w:rsidR="005B446E">
        <w:t>;</w:t>
      </w:r>
      <w:r>
        <w:t xml:space="preserve"> in 2009, </w:t>
      </w:r>
      <w:r w:rsidR="005B446E">
        <w:t xml:space="preserve">it </w:t>
      </w:r>
      <w:r>
        <w:t>re-emphasized this recommendation</w:t>
      </w:r>
      <w:r w:rsidR="005B446E">
        <w:t>,</w:t>
      </w:r>
      <w:r>
        <w:t xml:space="preserve"> stating that follow-up procedures were an integral part of the reporting procedure. </w:t>
      </w:r>
    </w:p>
    <w:p w:rsidR="007405BE" w:rsidRDefault="007405BE" w:rsidP="007405BE">
      <w:pPr>
        <w:pStyle w:val="SingleTxtG"/>
      </w:pPr>
      <w:r>
        <w:t>2.</w:t>
      </w:r>
      <w:r>
        <w:tab/>
        <w:t>Since then, the Committee has defined rules and guidelines on the development of the follow-up process. Th</w:t>
      </w:r>
      <w:r w:rsidR="00602791">
        <w:t>e present</w:t>
      </w:r>
      <w:r>
        <w:t xml:space="preserve"> document</w:t>
      </w:r>
      <w:r w:rsidR="008E6A37">
        <w:t>, adopted by the Committee at its 108th session,</w:t>
      </w:r>
      <w:r>
        <w:t xml:space="preserve"> </w:t>
      </w:r>
      <w:r w:rsidR="00602791">
        <w:t xml:space="preserve">is </w:t>
      </w:r>
      <w:r>
        <w:t>aim</w:t>
      </w:r>
      <w:r w:rsidR="00602791">
        <w:t>ed</w:t>
      </w:r>
      <w:r>
        <w:t xml:space="preserve"> at systematizing the practice</w:t>
      </w:r>
      <w:r w:rsidR="009411F0">
        <w:t xml:space="preserve"> developed</w:t>
      </w:r>
      <w:r>
        <w:t xml:space="preserve">. </w:t>
      </w:r>
    </w:p>
    <w:p w:rsidR="007405BE" w:rsidRPr="00FA0634" w:rsidRDefault="007405BE" w:rsidP="007405BE">
      <w:pPr>
        <w:pStyle w:val="H1G"/>
        <w:rPr>
          <w:sz w:val="20"/>
        </w:rPr>
      </w:pPr>
      <w:r>
        <w:tab/>
      </w:r>
      <w:r>
        <w:tab/>
      </w:r>
      <w:r w:rsidRPr="00FA0634">
        <w:rPr>
          <w:sz w:val="20"/>
        </w:rPr>
        <w:t>The Special Rapporteur for follow-up to concluding observations</w:t>
      </w:r>
    </w:p>
    <w:p w:rsidR="007405BE" w:rsidRDefault="007405BE" w:rsidP="007405BE">
      <w:pPr>
        <w:pStyle w:val="SingleTxtG"/>
        <w:rPr>
          <w:rFonts w:eastAsia="Calibri"/>
        </w:rPr>
      </w:pPr>
      <w:r>
        <w:t>3.</w:t>
      </w:r>
      <w:r>
        <w:tab/>
        <w:t>The Human Rights Committee has one mandate</w:t>
      </w:r>
      <w:r w:rsidR="00602791">
        <w:t xml:space="preserve"> </w:t>
      </w:r>
      <w:r>
        <w:t xml:space="preserve">holder in charge of the follow-up procedure: the Special Rapporteur </w:t>
      </w:r>
      <w:r w:rsidR="003B7077">
        <w:t xml:space="preserve">for </w:t>
      </w:r>
      <w:r>
        <w:t xml:space="preserve">follow-up to concluding observations. The Special Rapporteur centralizes the functions of </w:t>
      </w:r>
      <w:r w:rsidR="003B7077">
        <w:t>the</w:t>
      </w:r>
      <w:r>
        <w:t xml:space="preserve"> mandate. However, a </w:t>
      </w:r>
      <w:r w:rsidRPr="00FE7BC4">
        <w:t>Deputy Special Rapporteur</w:t>
      </w:r>
      <w:r>
        <w:t xml:space="preserve"> is nominated to intervene</w:t>
      </w:r>
      <w:r w:rsidR="003B7077">
        <w:t>,</w:t>
      </w:r>
      <w:r>
        <w:t xml:space="preserve"> at the request of the Special Rapporteur, whenever necessary (</w:t>
      </w:r>
      <w:r w:rsidR="003B7077">
        <w:t>for example,</w:t>
      </w:r>
      <w:r>
        <w:t xml:space="preserve"> </w:t>
      </w:r>
      <w:r w:rsidR="00041B46">
        <w:t>if</w:t>
      </w:r>
      <w:r>
        <w:t xml:space="preserve"> the Special Rapporteur</w:t>
      </w:r>
      <w:r w:rsidR="00041B46">
        <w:t xml:space="preserve"> is unavailable</w:t>
      </w:r>
      <w:r>
        <w:t xml:space="preserve">, or when he or she is not in a position to deal with a particular State party). The Special Rapporteur and the Deputy are nominated by the Committee every two years. </w:t>
      </w:r>
    </w:p>
    <w:p w:rsidR="007405BE" w:rsidRPr="00FA0634" w:rsidRDefault="007405BE" w:rsidP="007405BE">
      <w:pPr>
        <w:pStyle w:val="H1G"/>
        <w:rPr>
          <w:sz w:val="20"/>
        </w:rPr>
      </w:pPr>
      <w:r>
        <w:tab/>
      </w:r>
      <w:r>
        <w:tab/>
      </w:r>
      <w:r w:rsidRPr="00FA0634">
        <w:rPr>
          <w:sz w:val="20"/>
        </w:rPr>
        <w:t>Functions of the Special Rapporteur for follow-up to concluding observations</w:t>
      </w:r>
    </w:p>
    <w:p w:rsidR="007405BE" w:rsidRDefault="007405BE" w:rsidP="007405BE">
      <w:pPr>
        <w:pStyle w:val="SingleTxtG"/>
        <w:rPr>
          <w:rFonts w:eastAsia="Calibri"/>
        </w:rPr>
      </w:pPr>
      <w:r>
        <w:t>4.</w:t>
      </w:r>
      <w:r>
        <w:tab/>
        <w:t xml:space="preserve">The </w:t>
      </w:r>
      <w:r w:rsidR="00037782">
        <w:t xml:space="preserve">mandate of the </w:t>
      </w:r>
      <w:r>
        <w:t xml:space="preserve">Special Rapporteur extends from the adoption of concluding observations </w:t>
      </w:r>
      <w:r w:rsidR="00037782">
        <w:t xml:space="preserve">to </w:t>
      </w:r>
      <w:r>
        <w:t xml:space="preserve">the </w:t>
      </w:r>
      <w:r w:rsidR="009411F0" w:rsidRPr="00FE7BC4">
        <w:t>discontinua</w:t>
      </w:r>
      <w:r w:rsidR="009411F0">
        <w:t>tion</w:t>
      </w:r>
      <w:r w:rsidR="009411F0" w:rsidRPr="00FE7BC4">
        <w:t xml:space="preserve"> </w:t>
      </w:r>
      <w:r w:rsidRPr="00FE7BC4">
        <w:t>o</w:t>
      </w:r>
      <w:r>
        <w:t>f the follow-up procedure (see para</w:t>
      </w:r>
      <w:r w:rsidR="00037782">
        <w:t>s</w:t>
      </w:r>
      <w:r>
        <w:t>. 2</w:t>
      </w:r>
      <w:r w:rsidR="00D65532">
        <w:t>5</w:t>
      </w:r>
      <w:r w:rsidR="009411F0">
        <w:t>–</w:t>
      </w:r>
      <w:r>
        <w:t>2</w:t>
      </w:r>
      <w:r w:rsidR="00D65532">
        <w:t>8</w:t>
      </w:r>
      <w:r w:rsidR="00037782">
        <w:t xml:space="preserve"> below</w:t>
      </w:r>
      <w:r>
        <w:t>).</w:t>
      </w:r>
    </w:p>
    <w:p w:rsidR="007405BE" w:rsidRDefault="007405BE" w:rsidP="007405BE">
      <w:pPr>
        <w:pStyle w:val="SingleTxtG"/>
      </w:pPr>
      <w:r>
        <w:t>5.</w:t>
      </w:r>
      <w:r>
        <w:tab/>
        <w:t>The Special Rapporteur analyses information provided by States parties on the recommendations included in the follow-up procedure</w:t>
      </w:r>
      <w:r w:rsidR="00333FA4">
        <w:t>,</w:t>
      </w:r>
      <w:r>
        <w:t xml:space="preserve"> assess</w:t>
      </w:r>
      <w:r w:rsidR="002979B6">
        <w:t>es</w:t>
      </w:r>
      <w:r>
        <w:t xml:space="preserve"> its content and </w:t>
      </w:r>
      <w:r w:rsidR="00333FA4">
        <w:t>submits</w:t>
      </w:r>
      <w:r w:rsidR="00333FA4" w:rsidRPr="00333FA4">
        <w:t xml:space="preserve"> </w:t>
      </w:r>
      <w:r w:rsidR="00333FA4">
        <w:t>the</w:t>
      </w:r>
      <w:r w:rsidRPr="00333FA4">
        <w:t xml:space="preserve"> analysis</w:t>
      </w:r>
      <w:r>
        <w:t xml:space="preserve"> to the plenary of the Committee in the </w:t>
      </w:r>
      <w:r w:rsidR="002979B6" w:rsidRPr="00C632C9">
        <w:t>f</w:t>
      </w:r>
      <w:r w:rsidRPr="00C632C9">
        <w:t>ollow-up progress report</w:t>
      </w:r>
      <w:r>
        <w:t xml:space="preserve">. </w:t>
      </w:r>
    </w:p>
    <w:p w:rsidR="007405BE" w:rsidRDefault="007405BE" w:rsidP="007405BE">
      <w:pPr>
        <w:pStyle w:val="H23G"/>
      </w:pPr>
      <w:r>
        <w:tab/>
      </w:r>
      <w:r>
        <w:tab/>
        <w:t>Criteria to identify follow-up recommendations</w:t>
      </w:r>
    </w:p>
    <w:p w:rsidR="007405BE" w:rsidRDefault="007405BE" w:rsidP="007405BE">
      <w:pPr>
        <w:pStyle w:val="SingleTxtG"/>
        <w:rPr>
          <w:rFonts w:eastAsia="Calibri"/>
        </w:rPr>
      </w:pPr>
      <w:r>
        <w:t>6.</w:t>
      </w:r>
      <w:r>
        <w:tab/>
        <w:t xml:space="preserve">The Human Rights Committee has established two main criteria in selecting the recommendations to be included in the follow-up procedure </w:t>
      </w:r>
      <w:r w:rsidRPr="00333FA4">
        <w:t>(the “follow-up recommendations</w:t>
      </w:r>
      <w:r>
        <w:t>”)</w:t>
      </w:r>
      <w:r w:rsidR="002979B6">
        <w:t>:</w:t>
      </w:r>
      <w:r>
        <w:t xml:space="preserve"> </w:t>
      </w:r>
    </w:p>
    <w:p w:rsidR="007405BE" w:rsidRDefault="007405BE" w:rsidP="007405BE">
      <w:pPr>
        <w:pStyle w:val="SingleTxtG"/>
      </w:pPr>
      <w:r>
        <w:tab/>
        <w:t>(</w:t>
      </w:r>
      <w:r w:rsidR="002979B6">
        <w:t>a</w:t>
      </w:r>
      <w:r>
        <w:t>)</w:t>
      </w:r>
      <w:r>
        <w:tab/>
        <w:t>The recommendation is implementable within a year after its adoption</w:t>
      </w:r>
      <w:r w:rsidR="002979B6">
        <w:t>;</w:t>
      </w:r>
      <w:r>
        <w:t xml:space="preserve"> </w:t>
      </w:r>
    </w:p>
    <w:p w:rsidR="007405BE" w:rsidRDefault="007405BE" w:rsidP="007405BE">
      <w:pPr>
        <w:pStyle w:val="SingleTxtG"/>
      </w:pPr>
      <w:r>
        <w:tab/>
        <w:t>(</w:t>
      </w:r>
      <w:r w:rsidR="002979B6">
        <w:t>b</w:t>
      </w:r>
      <w:r>
        <w:t>)</w:t>
      </w:r>
      <w:r>
        <w:tab/>
        <w:t xml:space="preserve">The recommendation requires </w:t>
      </w:r>
      <w:r w:rsidRPr="00377345">
        <w:t>immediate attention because of</w:t>
      </w:r>
      <w:r>
        <w:t xml:space="preserve">: </w:t>
      </w:r>
    </w:p>
    <w:p w:rsidR="007405BE" w:rsidRDefault="007405BE" w:rsidP="002979B6">
      <w:pPr>
        <w:pStyle w:val="Bullet1G"/>
        <w:numPr>
          <w:ilvl w:val="0"/>
          <w:numId w:val="0"/>
        </w:numPr>
        <w:ind w:left="1701"/>
      </w:pPr>
      <w:r>
        <w:t>(</w:t>
      </w:r>
      <w:r w:rsidR="002979B6">
        <w:t>i</w:t>
      </w:r>
      <w:r>
        <w:t>)</w:t>
      </w:r>
      <w:r>
        <w:tab/>
        <w:t xml:space="preserve">The level of gravity of the </w:t>
      </w:r>
      <w:r w:rsidRPr="00A50F9B">
        <w:t>referred</w:t>
      </w:r>
      <w:r>
        <w:t xml:space="preserve"> situation;</w:t>
      </w:r>
    </w:p>
    <w:p w:rsidR="007405BE" w:rsidRDefault="007405BE" w:rsidP="002979B6">
      <w:pPr>
        <w:pStyle w:val="Bullet1G"/>
        <w:numPr>
          <w:ilvl w:val="0"/>
          <w:numId w:val="0"/>
        </w:numPr>
        <w:ind w:left="1701"/>
      </w:pPr>
      <w:r>
        <w:t>(</w:t>
      </w:r>
      <w:r w:rsidR="002979B6">
        <w:t>ii</w:t>
      </w:r>
      <w:r>
        <w:t>)</w:t>
      </w:r>
      <w:r>
        <w:tab/>
        <w:t xml:space="preserve">The emergency of the situation. Such </w:t>
      </w:r>
      <w:r w:rsidRPr="00A50F9B">
        <w:t>emergency</w:t>
      </w:r>
      <w:r>
        <w:t xml:space="preserve"> occurs when: </w:t>
      </w:r>
    </w:p>
    <w:p w:rsidR="007405BE" w:rsidRDefault="00E777C9" w:rsidP="002979B6">
      <w:pPr>
        <w:pStyle w:val="Bullet2G"/>
        <w:numPr>
          <w:ilvl w:val="0"/>
          <w:numId w:val="0"/>
        </w:numPr>
        <w:ind w:left="2268" w:hanging="170"/>
      </w:pPr>
      <w:r>
        <w:t>•</w:t>
      </w:r>
      <w:r>
        <w:tab/>
      </w:r>
      <w:r w:rsidR="007405BE">
        <w:t xml:space="preserve">The lack of intervention constitutes a major obstacle for the implementation of the Covenant </w:t>
      </w:r>
    </w:p>
    <w:p w:rsidR="007405BE" w:rsidRDefault="007405BE" w:rsidP="002979B6">
      <w:pPr>
        <w:pStyle w:val="Bullet2G"/>
        <w:numPr>
          <w:ilvl w:val="0"/>
          <w:numId w:val="0"/>
        </w:numPr>
        <w:ind w:left="2268" w:hanging="170"/>
      </w:pPr>
      <w:r>
        <w:t>•</w:t>
      </w:r>
      <w:r>
        <w:tab/>
        <w:t xml:space="preserve">The lack of intervention could threaten the life or security of one or various persons, or </w:t>
      </w:r>
    </w:p>
    <w:p w:rsidR="007405BE" w:rsidRDefault="007405BE" w:rsidP="002979B6">
      <w:pPr>
        <w:pStyle w:val="Bullet2G"/>
        <w:numPr>
          <w:ilvl w:val="0"/>
          <w:numId w:val="0"/>
        </w:numPr>
        <w:ind w:left="2268" w:hanging="170"/>
      </w:pPr>
      <w:r>
        <w:t>•</w:t>
      </w:r>
      <w:r>
        <w:tab/>
        <w:t>The issue has been pending for a long time and has not been addressed by the State party (</w:t>
      </w:r>
      <w:r w:rsidR="00377345">
        <w:t xml:space="preserve">for </w:t>
      </w:r>
      <w:r>
        <w:t>example</w:t>
      </w:r>
      <w:r w:rsidR="00377345">
        <w:t>,</w:t>
      </w:r>
      <w:r>
        <w:t xml:space="preserve"> a bill has been pending adoption for an unreasonable length of time) </w:t>
      </w:r>
    </w:p>
    <w:p w:rsidR="007405BE" w:rsidRDefault="007405BE" w:rsidP="007405BE">
      <w:pPr>
        <w:pStyle w:val="H23G"/>
      </w:pPr>
      <w:r>
        <w:tab/>
      </w:r>
      <w:r>
        <w:tab/>
        <w:t>Number of selected recommendations</w:t>
      </w:r>
    </w:p>
    <w:p w:rsidR="007405BE" w:rsidRDefault="007405BE" w:rsidP="007405BE">
      <w:pPr>
        <w:pStyle w:val="SingleTxtG"/>
        <w:rPr>
          <w:rFonts w:eastAsia="Calibri"/>
        </w:rPr>
      </w:pPr>
      <w:r>
        <w:t>7.</w:t>
      </w:r>
      <w:r>
        <w:tab/>
        <w:t xml:space="preserve">The Human Rights Committee includes a minimum of </w:t>
      </w:r>
      <w:r w:rsidR="00377345">
        <w:t>two</w:t>
      </w:r>
      <w:r>
        <w:t xml:space="preserve"> and a maximum of </w:t>
      </w:r>
      <w:r w:rsidR="00377345">
        <w:t>four</w:t>
      </w:r>
      <w:r>
        <w:t xml:space="preserve"> recommendations in the follow-up procedure. The recommendations under the follow-up procedure are indicated in the Committee’s concluding observations.</w:t>
      </w:r>
    </w:p>
    <w:p w:rsidR="007405BE" w:rsidRDefault="007405BE" w:rsidP="007405BE">
      <w:pPr>
        <w:pStyle w:val="H23G"/>
      </w:pPr>
      <w:r>
        <w:tab/>
      </w:r>
      <w:r>
        <w:tab/>
        <w:t>Deadline for</w:t>
      </w:r>
      <w:r w:rsidR="00377345">
        <w:t xml:space="preserve"> the follow-up report of the</w:t>
      </w:r>
      <w:r>
        <w:t xml:space="preserve"> State party</w:t>
      </w:r>
    </w:p>
    <w:p w:rsidR="007405BE" w:rsidRDefault="007405BE" w:rsidP="007405BE">
      <w:pPr>
        <w:pStyle w:val="SingleTxtG"/>
        <w:rPr>
          <w:rFonts w:eastAsia="Calibri"/>
        </w:rPr>
      </w:pPr>
      <w:r>
        <w:t>8.</w:t>
      </w:r>
      <w:r>
        <w:tab/>
        <w:t xml:space="preserve">States parties have one year to reply to the selected recommendations. The first reply received from States parties in the context of the follow-up procedure is called the </w:t>
      </w:r>
      <w:r w:rsidR="00377345">
        <w:t>f</w:t>
      </w:r>
      <w:r>
        <w:t>ollow-up report.</w:t>
      </w:r>
    </w:p>
    <w:p w:rsidR="007405BE" w:rsidRDefault="007405BE" w:rsidP="007405BE">
      <w:pPr>
        <w:pStyle w:val="H23G"/>
      </w:pPr>
      <w:r>
        <w:tab/>
      </w:r>
      <w:r>
        <w:tab/>
        <w:t>Guidelines on the drafting of follow-up reports/</w:t>
      </w:r>
      <w:r w:rsidR="00AB2C21">
        <w:t xml:space="preserve">follow-up </w:t>
      </w:r>
      <w:r>
        <w:t>replies by States parties</w:t>
      </w:r>
    </w:p>
    <w:p w:rsidR="007405BE" w:rsidRDefault="007405BE" w:rsidP="007405BE">
      <w:pPr>
        <w:pStyle w:val="SingleTxtG"/>
        <w:rPr>
          <w:rFonts w:eastAsia="Calibri"/>
        </w:rPr>
      </w:pPr>
      <w:r>
        <w:t>9.</w:t>
      </w:r>
      <w:r>
        <w:tab/>
        <w:t>When sending the concluding observations to the States parties, the Committee provides guidelines to States parties on the drafting of follow-up reports/follow-up replies</w:t>
      </w:r>
      <w:r w:rsidR="00377345">
        <w:t>.</w:t>
      </w:r>
      <w:r>
        <w:rPr>
          <w:rStyle w:val="FootnoteReference"/>
          <w:bCs/>
          <w:color w:val="000000"/>
        </w:rPr>
        <w:footnoteReference w:id="3"/>
      </w:r>
      <w:r>
        <w:t xml:space="preserve"> </w:t>
      </w:r>
      <w:r w:rsidRPr="00D65532">
        <w:t>The guidelines</w:t>
      </w:r>
      <w:r w:rsidR="00AB2C21">
        <w:t>, which are also</w:t>
      </w:r>
      <w:r w:rsidRPr="00D65532">
        <w:t xml:space="preserve"> posted on the web</w:t>
      </w:r>
      <w:r w:rsidR="00ED09BC" w:rsidRPr="00D65532">
        <w:t xml:space="preserve"> </w:t>
      </w:r>
      <w:r w:rsidRPr="00D65532">
        <w:t>page</w:t>
      </w:r>
      <w:r w:rsidR="00F74300" w:rsidRPr="00D65532">
        <w:t xml:space="preserve"> of the Committee</w:t>
      </w:r>
      <w:r w:rsidR="00AB2C21">
        <w:t>, are as follows</w:t>
      </w:r>
      <w:r w:rsidRPr="00D65532">
        <w:t>:</w:t>
      </w:r>
      <w:r>
        <w:t xml:space="preserve"> </w:t>
      </w:r>
    </w:p>
    <w:p w:rsidR="007405BE" w:rsidRDefault="007405BE" w:rsidP="00F74300">
      <w:pPr>
        <w:pStyle w:val="SingleTxtG"/>
      </w:pPr>
      <w:r>
        <w:tab/>
        <w:t>(</w:t>
      </w:r>
      <w:r w:rsidR="00ED09BC">
        <w:t>a</w:t>
      </w:r>
      <w:r>
        <w:t>)</w:t>
      </w:r>
      <w:r>
        <w:tab/>
        <w:t>The follow-up report shall be concise and focus on the recommendations identified by the Committee in the framework of the follow-up procedure only</w:t>
      </w:r>
      <w:r w:rsidR="00F74300">
        <w:t>;</w:t>
      </w:r>
      <w:r>
        <w:t xml:space="preserve"> </w:t>
      </w:r>
    </w:p>
    <w:p w:rsidR="007405BE" w:rsidRDefault="007405BE" w:rsidP="00F74300">
      <w:pPr>
        <w:pStyle w:val="SingleTxtG"/>
      </w:pPr>
      <w:r>
        <w:tab/>
        <w:t>(</w:t>
      </w:r>
      <w:r w:rsidR="00ED09BC">
        <w:t>b</w:t>
      </w:r>
      <w:r>
        <w:t>)</w:t>
      </w:r>
      <w:r>
        <w:tab/>
        <w:t>The follow-up report should in general not exceed a maximum length of 3,500 words</w:t>
      </w:r>
      <w:r w:rsidR="00F74300">
        <w:t>;</w:t>
      </w:r>
    </w:p>
    <w:p w:rsidR="007405BE" w:rsidRDefault="007405BE" w:rsidP="00F74300">
      <w:pPr>
        <w:pStyle w:val="SingleTxtG"/>
      </w:pPr>
      <w:r>
        <w:tab/>
        <w:t>(</w:t>
      </w:r>
      <w:r w:rsidR="00ED09BC">
        <w:t>c</w:t>
      </w:r>
      <w:r>
        <w:t>)</w:t>
      </w:r>
      <w:r>
        <w:tab/>
        <w:t xml:space="preserve">The State party shall provide information on all the measures taken subsequent to the issuance of the </w:t>
      </w:r>
      <w:r w:rsidR="00F74300">
        <w:t>c</w:t>
      </w:r>
      <w:r>
        <w:t xml:space="preserve">oncluding </w:t>
      </w:r>
      <w:r w:rsidR="00F74300">
        <w:t>o</w:t>
      </w:r>
      <w:r>
        <w:t xml:space="preserve">bservations </w:t>
      </w:r>
      <w:r w:rsidR="0019526D">
        <w:t>relating</w:t>
      </w:r>
      <w:r w:rsidR="00F74300">
        <w:t xml:space="preserve"> to </w:t>
      </w:r>
      <w:r>
        <w:t xml:space="preserve">the </w:t>
      </w:r>
      <w:r w:rsidRPr="00DB7C42">
        <w:t>respective recommendations</w:t>
      </w:r>
      <w:r>
        <w:t>, specifying their dates of adoption and status of implementation</w:t>
      </w:r>
      <w:r w:rsidR="0019526D">
        <w:t>;</w:t>
      </w:r>
    </w:p>
    <w:p w:rsidR="007405BE" w:rsidRDefault="007405BE" w:rsidP="0019526D">
      <w:pPr>
        <w:pStyle w:val="SingleTxtG"/>
      </w:pPr>
      <w:r>
        <w:tab/>
        <w:t>(</w:t>
      </w:r>
      <w:r w:rsidR="00ED09BC">
        <w:t>d</w:t>
      </w:r>
      <w:r>
        <w:t>)</w:t>
      </w:r>
      <w:r>
        <w:tab/>
        <w:t xml:space="preserve">The follow-up report shall be submitted within the deadline stipulated in the </w:t>
      </w:r>
      <w:r w:rsidR="0019526D">
        <w:t>c</w:t>
      </w:r>
      <w:r>
        <w:t xml:space="preserve">oncluding </w:t>
      </w:r>
      <w:r w:rsidR="0019526D">
        <w:t>o</w:t>
      </w:r>
      <w:r>
        <w:t>bservations, which will be one year after their adoption</w:t>
      </w:r>
      <w:r w:rsidR="0019526D">
        <w:t>;</w:t>
      </w:r>
    </w:p>
    <w:p w:rsidR="007405BE" w:rsidRDefault="007405BE" w:rsidP="0019526D">
      <w:pPr>
        <w:pStyle w:val="SingleTxtG"/>
      </w:pPr>
      <w:r>
        <w:tab/>
        <w:t>(</w:t>
      </w:r>
      <w:r w:rsidR="00ED09BC">
        <w:t>e</w:t>
      </w:r>
      <w:r>
        <w:t>)</w:t>
      </w:r>
      <w:r>
        <w:tab/>
        <w:t xml:space="preserve">The State party shall submit the follow-up report in one of the official </w:t>
      </w:r>
      <w:r w:rsidR="0019526D">
        <w:t xml:space="preserve">United Nations </w:t>
      </w:r>
      <w:r>
        <w:t>languages</w:t>
      </w:r>
      <w:r w:rsidR="0019526D">
        <w:t>;</w:t>
      </w:r>
    </w:p>
    <w:p w:rsidR="007405BE" w:rsidRDefault="007405BE" w:rsidP="0019526D">
      <w:pPr>
        <w:pStyle w:val="SingleTxtG"/>
      </w:pPr>
      <w:r>
        <w:tab/>
        <w:t>(</w:t>
      </w:r>
      <w:r w:rsidR="00ED09BC">
        <w:t>f</w:t>
      </w:r>
      <w:r>
        <w:t>)</w:t>
      </w:r>
      <w:r>
        <w:tab/>
        <w:t>The State party shall send an electronic version of its report in Word to the following e</w:t>
      </w:r>
      <w:r w:rsidR="0019526D">
        <w:t>-</w:t>
      </w:r>
      <w:r>
        <w:t xml:space="preserve">mail address: </w:t>
      </w:r>
      <w:hyperlink r:id="rId8" w:history="1">
        <w:r>
          <w:rPr>
            <w:rStyle w:val="Hyperlink"/>
            <w:bCs/>
          </w:rPr>
          <w:t>ccpr@ohchr.org</w:t>
        </w:r>
      </w:hyperlink>
      <w:r w:rsidR="00ED09BC">
        <w:t>;</w:t>
      </w:r>
      <w:r>
        <w:t xml:space="preserve"> </w:t>
      </w:r>
    </w:p>
    <w:p w:rsidR="007405BE" w:rsidRDefault="007405BE" w:rsidP="00ED09BC">
      <w:pPr>
        <w:pStyle w:val="SingleTxtG"/>
      </w:pPr>
      <w:r>
        <w:tab/>
        <w:t>(</w:t>
      </w:r>
      <w:r w:rsidR="00ED09BC">
        <w:t>g</w:t>
      </w:r>
      <w:r>
        <w:t>)</w:t>
      </w:r>
      <w:r>
        <w:tab/>
        <w:t>When considering the follow-up report, if the Committee considers that further information is necessary, it will request the State party to provide additional information within a new deadline to be established by the Committee or to include the additional information in the next periodic report.</w:t>
      </w:r>
    </w:p>
    <w:p w:rsidR="007405BE" w:rsidRDefault="007405BE" w:rsidP="007405BE">
      <w:pPr>
        <w:pStyle w:val="H23G"/>
      </w:pPr>
      <w:r>
        <w:tab/>
      </w:r>
      <w:r>
        <w:tab/>
        <w:t xml:space="preserve">Deadline for the submission of follow-up reports by </w:t>
      </w:r>
      <w:r w:rsidR="00ED09BC">
        <w:t>n</w:t>
      </w:r>
      <w:r>
        <w:t xml:space="preserve">ational </w:t>
      </w:r>
      <w:r w:rsidR="00ED09BC">
        <w:t>h</w:t>
      </w:r>
      <w:r>
        <w:t xml:space="preserve">uman </w:t>
      </w:r>
      <w:r w:rsidR="00ED09BC">
        <w:t>r</w:t>
      </w:r>
      <w:r>
        <w:t xml:space="preserve">ights </w:t>
      </w:r>
      <w:r w:rsidR="00ED09BC">
        <w:t>i</w:t>
      </w:r>
      <w:r>
        <w:t xml:space="preserve">nstitutions, </w:t>
      </w:r>
      <w:r w:rsidR="00ED09BC">
        <w:t xml:space="preserve">non-governmental organizations </w:t>
      </w:r>
      <w:r>
        <w:t>and other organizations</w:t>
      </w:r>
    </w:p>
    <w:p w:rsidR="007405BE" w:rsidRDefault="007405BE" w:rsidP="007405BE">
      <w:pPr>
        <w:pStyle w:val="SingleTxtG"/>
        <w:rPr>
          <w:rFonts w:eastAsia="Calibri"/>
        </w:rPr>
      </w:pPr>
      <w:r>
        <w:t>10.</w:t>
      </w:r>
      <w:r>
        <w:tab/>
        <w:t xml:space="preserve">All stakeholders have one year after the adoption of the concluding observations to provide their comments to the Committee. However, two options should be distinguished: </w:t>
      </w:r>
    </w:p>
    <w:p w:rsidR="007405BE" w:rsidRPr="007405BE" w:rsidRDefault="007405BE" w:rsidP="00E777C9">
      <w:pPr>
        <w:pStyle w:val="SingleTxtG"/>
        <w:ind w:firstLine="567"/>
      </w:pPr>
      <w:r w:rsidRPr="007405BE">
        <w:rPr>
          <w:rFonts w:eastAsia="Calibri"/>
        </w:rPr>
        <w:t>(</w:t>
      </w:r>
      <w:r w:rsidR="00ED09BC">
        <w:rPr>
          <w:rFonts w:eastAsia="Calibri"/>
        </w:rPr>
        <w:t>a</w:t>
      </w:r>
      <w:r w:rsidRPr="007405BE">
        <w:rPr>
          <w:rFonts w:eastAsia="Calibri"/>
        </w:rPr>
        <w:t>)</w:t>
      </w:r>
      <w:r w:rsidRPr="007405BE">
        <w:rPr>
          <w:rFonts w:eastAsia="Calibri"/>
        </w:rPr>
        <w:tab/>
      </w:r>
      <w:r w:rsidRPr="007405BE">
        <w:t>If stakeholders w</w:t>
      </w:r>
      <w:r w:rsidR="001D2106">
        <w:t>ish</w:t>
      </w:r>
      <w:r w:rsidRPr="007405BE">
        <w:t xml:space="preserve"> to comment on the implementation of the prioritized recommendations without taking into account the follow-up report</w:t>
      </w:r>
      <w:r w:rsidR="00ED09BC">
        <w:t xml:space="preserve"> of the State party</w:t>
      </w:r>
      <w:r w:rsidRPr="007405BE">
        <w:t>, they can do so at any time before the expiration of the one</w:t>
      </w:r>
      <w:r w:rsidR="00ED09BC">
        <w:t>-</w:t>
      </w:r>
      <w:r w:rsidRPr="007405BE">
        <w:t xml:space="preserve">year deadline by which the State party is supposed to </w:t>
      </w:r>
      <w:r w:rsidR="00ED09BC">
        <w:t>submit</w:t>
      </w:r>
      <w:r w:rsidR="00ED09BC" w:rsidRPr="007405BE">
        <w:t xml:space="preserve"> </w:t>
      </w:r>
      <w:r w:rsidRPr="007405BE">
        <w:t xml:space="preserve">its follow-up report. If stakeholders provide information but the State party does not, the information provided will be mentioned in the </w:t>
      </w:r>
      <w:r w:rsidR="001D2106">
        <w:t>subsequent</w:t>
      </w:r>
      <w:r w:rsidR="001D2106" w:rsidRPr="007405BE">
        <w:t xml:space="preserve"> </w:t>
      </w:r>
      <w:r w:rsidRPr="007405BE">
        <w:t>follow-up table (it will however not be analysed until the receipt of the State party’s report)</w:t>
      </w:r>
      <w:r w:rsidR="00ED09BC">
        <w:t>;</w:t>
      </w:r>
    </w:p>
    <w:p w:rsidR="007405BE" w:rsidRPr="007405BE" w:rsidRDefault="007405BE" w:rsidP="00E777C9">
      <w:pPr>
        <w:pStyle w:val="SingleTxtG"/>
        <w:ind w:firstLine="567"/>
      </w:pPr>
      <w:r w:rsidRPr="007405BE">
        <w:rPr>
          <w:rFonts w:eastAsia="Calibri"/>
        </w:rPr>
        <w:t>(</w:t>
      </w:r>
      <w:r w:rsidR="00ED09BC">
        <w:rPr>
          <w:rFonts w:eastAsia="Calibri"/>
        </w:rPr>
        <w:t>b</w:t>
      </w:r>
      <w:r w:rsidRPr="007405BE">
        <w:rPr>
          <w:rFonts w:eastAsia="Calibri"/>
        </w:rPr>
        <w:t>)</w:t>
      </w:r>
      <w:r w:rsidRPr="007405BE">
        <w:rPr>
          <w:rFonts w:eastAsia="Calibri"/>
        </w:rPr>
        <w:tab/>
      </w:r>
      <w:r w:rsidR="002B76A8">
        <w:t>S</w:t>
      </w:r>
      <w:r w:rsidRPr="007405BE">
        <w:t>takeholders</w:t>
      </w:r>
      <w:r w:rsidR="002B76A8">
        <w:t>, including</w:t>
      </w:r>
      <w:r w:rsidRPr="007405BE">
        <w:t xml:space="preserve"> </w:t>
      </w:r>
      <w:r w:rsidR="002B76A8">
        <w:t>non-governmental organizations</w:t>
      </w:r>
      <w:r w:rsidR="002B76A8" w:rsidRPr="007405BE">
        <w:t xml:space="preserve"> </w:t>
      </w:r>
      <w:r w:rsidR="002B76A8">
        <w:t>(</w:t>
      </w:r>
      <w:r w:rsidR="002B76A8" w:rsidRPr="007405BE">
        <w:t>NGOs</w:t>
      </w:r>
      <w:r w:rsidR="002B76A8">
        <w:t xml:space="preserve">), </w:t>
      </w:r>
      <w:r w:rsidR="001D2106" w:rsidRPr="005E10C9">
        <w:t>w</w:t>
      </w:r>
      <w:r w:rsidR="001D2106">
        <w:t>ish</w:t>
      </w:r>
      <w:r w:rsidR="002B76A8">
        <w:t>ing</w:t>
      </w:r>
      <w:r w:rsidR="001D2106" w:rsidRPr="007405BE">
        <w:t xml:space="preserve"> </w:t>
      </w:r>
      <w:r w:rsidRPr="007405BE">
        <w:t xml:space="preserve">to provide specific comments to the reply submitted by the State party should be given </w:t>
      </w:r>
      <w:r w:rsidR="002B76A8">
        <w:t>a deadline of one month</w:t>
      </w:r>
      <w:r w:rsidRPr="007405BE">
        <w:t xml:space="preserve"> </w:t>
      </w:r>
      <w:r w:rsidR="002B76A8">
        <w:t>(</w:t>
      </w:r>
      <w:r w:rsidRPr="005E10C9">
        <w:t>from the posting of the State party’s reply on the website</w:t>
      </w:r>
      <w:r w:rsidR="002B76A8">
        <w:t>) to do so</w:t>
      </w:r>
      <w:r w:rsidRPr="005E10C9">
        <w:t>.</w:t>
      </w:r>
      <w:r w:rsidRPr="007405BE">
        <w:t xml:space="preserve"> These deadlines must be clearly indicated on the web</w:t>
      </w:r>
      <w:r w:rsidR="00ED09BC">
        <w:t xml:space="preserve"> </w:t>
      </w:r>
      <w:r w:rsidRPr="007405BE">
        <w:t>pages of the Committee.</w:t>
      </w:r>
    </w:p>
    <w:p w:rsidR="007405BE" w:rsidRDefault="007405BE" w:rsidP="007405BE">
      <w:pPr>
        <w:pStyle w:val="H23G"/>
      </w:pPr>
      <w:r>
        <w:tab/>
      </w:r>
      <w:r>
        <w:tab/>
        <w:t xml:space="preserve">Guidelines on the submission of follow-up reports by </w:t>
      </w:r>
      <w:r w:rsidR="00ED09BC">
        <w:t>n</w:t>
      </w:r>
      <w:r>
        <w:t xml:space="preserve">ational </w:t>
      </w:r>
      <w:r w:rsidR="00ED09BC">
        <w:t>h</w:t>
      </w:r>
      <w:r>
        <w:t xml:space="preserve">uman </w:t>
      </w:r>
      <w:r w:rsidR="00ED09BC">
        <w:t>r</w:t>
      </w:r>
      <w:r>
        <w:t xml:space="preserve">ights </w:t>
      </w:r>
      <w:r w:rsidR="00ED09BC">
        <w:t>i</w:t>
      </w:r>
      <w:r>
        <w:t xml:space="preserve">nstitutions, </w:t>
      </w:r>
      <w:r w:rsidR="00ED09BC">
        <w:t xml:space="preserve">non-governmental organizations </w:t>
      </w:r>
      <w:r>
        <w:t>and other organizations</w:t>
      </w:r>
    </w:p>
    <w:p w:rsidR="007405BE" w:rsidRDefault="007405BE" w:rsidP="007405BE">
      <w:pPr>
        <w:pStyle w:val="SingleTxtG"/>
        <w:rPr>
          <w:rFonts w:eastAsia="Calibri"/>
        </w:rPr>
      </w:pPr>
      <w:r w:rsidRPr="007405BE">
        <w:rPr>
          <w:rStyle w:val="SingleTxtGChar"/>
        </w:rPr>
        <w:t>11.</w:t>
      </w:r>
      <w:r w:rsidRPr="007405BE">
        <w:rPr>
          <w:rStyle w:val="SingleTxtGChar"/>
        </w:rPr>
        <w:tab/>
        <w:t xml:space="preserve">National </w:t>
      </w:r>
      <w:r w:rsidR="00ED09BC">
        <w:rPr>
          <w:rStyle w:val="SingleTxtGChar"/>
        </w:rPr>
        <w:t>h</w:t>
      </w:r>
      <w:r w:rsidRPr="007405BE">
        <w:rPr>
          <w:rStyle w:val="SingleTxtGChar"/>
        </w:rPr>
        <w:t xml:space="preserve">uman </w:t>
      </w:r>
      <w:r w:rsidR="00ED09BC">
        <w:rPr>
          <w:rStyle w:val="SingleTxtGChar"/>
        </w:rPr>
        <w:t>r</w:t>
      </w:r>
      <w:r w:rsidRPr="007405BE">
        <w:rPr>
          <w:rStyle w:val="SingleTxtGChar"/>
        </w:rPr>
        <w:t xml:space="preserve">ights </w:t>
      </w:r>
      <w:r w:rsidR="00ED09BC">
        <w:rPr>
          <w:rStyle w:val="SingleTxtGChar"/>
        </w:rPr>
        <w:t>i</w:t>
      </w:r>
      <w:r w:rsidRPr="007405BE">
        <w:rPr>
          <w:rStyle w:val="SingleTxtGChar"/>
        </w:rPr>
        <w:t xml:space="preserve">nstitutions, NGOs </w:t>
      </w:r>
      <w:r w:rsidR="00F55DA2">
        <w:rPr>
          <w:rStyle w:val="SingleTxtGChar"/>
        </w:rPr>
        <w:t>and</w:t>
      </w:r>
      <w:r w:rsidR="00F55DA2" w:rsidRPr="007405BE">
        <w:rPr>
          <w:rStyle w:val="SingleTxtGChar"/>
        </w:rPr>
        <w:t xml:space="preserve"> </w:t>
      </w:r>
      <w:r w:rsidRPr="007405BE">
        <w:rPr>
          <w:rStyle w:val="SingleTxtGChar"/>
        </w:rPr>
        <w:t>other organizations c</w:t>
      </w:r>
      <w:r>
        <w:t xml:space="preserve">an submit alternative follow-up reports. </w:t>
      </w:r>
      <w:r w:rsidRPr="00F55DA2">
        <w:t>Guidelines on drafting such submissions are posted on the website of the Committee</w:t>
      </w:r>
      <w:r w:rsidR="00E45838">
        <w:t>, and are as follows</w:t>
      </w:r>
      <w:r>
        <w:t>:</w:t>
      </w:r>
    </w:p>
    <w:p w:rsidR="007405BE" w:rsidRDefault="007405BE" w:rsidP="00E777C9">
      <w:pPr>
        <w:pStyle w:val="Bullet1G"/>
        <w:numPr>
          <w:numberingChange w:id="0" w:author="Suzanne Starcevic" w:date="2013-10-21T13:35:00Z" w:original="•"/>
        </w:numPr>
        <w:tabs>
          <w:tab w:val="clear" w:pos="1701"/>
        </w:tabs>
        <w:ind w:left="1843"/>
      </w:pPr>
      <w:r>
        <w:t xml:space="preserve">Alternative follow-up reports shall be concise and focus on the recommendations identified by the Committee in the framework of the follow-up procedure only. </w:t>
      </w:r>
    </w:p>
    <w:p w:rsidR="007405BE" w:rsidRDefault="007405BE" w:rsidP="00E777C9">
      <w:pPr>
        <w:pStyle w:val="Bullet1G"/>
        <w:numPr>
          <w:numberingChange w:id="1" w:author="Suzanne Starcevic" w:date="2013-10-21T13:35:00Z" w:original="•"/>
        </w:numPr>
        <w:tabs>
          <w:tab w:val="clear" w:pos="1701"/>
        </w:tabs>
        <w:ind w:left="1843"/>
      </w:pPr>
      <w:r>
        <w:t>Alternative follow-up reports shall in general not exceed a maximum length of 3,500 words.</w:t>
      </w:r>
    </w:p>
    <w:p w:rsidR="007405BE" w:rsidRDefault="007405BE" w:rsidP="00E777C9">
      <w:pPr>
        <w:pStyle w:val="Bullet1G"/>
        <w:numPr>
          <w:numberingChange w:id="2" w:author="Suzanne Starcevic" w:date="2013-10-21T13:35:00Z" w:original="•"/>
        </w:numPr>
        <w:tabs>
          <w:tab w:val="clear" w:pos="1701"/>
        </w:tabs>
        <w:ind w:left="1843"/>
      </w:pPr>
      <w:r>
        <w:t xml:space="preserve">Stakeholders shall provide information on the measures taken by the State party to implement the follow-up recommendations subsequent to the issuance of the </w:t>
      </w:r>
      <w:r w:rsidR="00416D5F">
        <w:t>c</w:t>
      </w:r>
      <w:r>
        <w:t xml:space="preserve">oncluding </w:t>
      </w:r>
      <w:r w:rsidR="00416D5F">
        <w:t>o</w:t>
      </w:r>
      <w:r>
        <w:t>bservations, and assess their impact and coherence.</w:t>
      </w:r>
    </w:p>
    <w:p w:rsidR="007405BE" w:rsidRDefault="007405BE" w:rsidP="00E777C9">
      <w:pPr>
        <w:pStyle w:val="Bullet1G"/>
        <w:numPr>
          <w:numberingChange w:id="3" w:author="Suzanne Starcevic" w:date="2013-10-21T13:35:00Z" w:original="•"/>
        </w:numPr>
        <w:tabs>
          <w:tab w:val="clear" w:pos="1701"/>
        </w:tabs>
        <w:ind w:left="1843"/>
      </w:pPr>
      <w:r>
        <w:t>Stakeholders shall submit their alternative follow-up reports in one of the official U</w:t>
      </w:r>
      <w:r w:rsidR="00416D5F">
        <w:t>nited Nations</w:t>
      </w:r>
      <w:r>
        <w:t xml:space="preserve"> languages.</w:t>
      </w:r>
    </w:p>
    <w:p w:rsidR="007405BE" w:rsidRDefault="007405BE" w:rsidP="00E777C9">
      <w:pPr>
        <w:pStyle w:val="Bullet1G"/>
        <w:numPr>
          <w:numberingChange w:id="4" w:author="Suzanne Starcevic" w:date="2013-10-21T13:35:00Z" w:original="•"/>
        </w:numPr>
        <w:tabs>
          <w:tab w:val="clear" w:pos="1701"/>
        </w:tabs>
        <w:ind w:left="1843"/>
      </w:pPr>
      <w:r>
        <w:t xml:space="preserve">Alternative follow-up reports shall be transmitted to the </w:t>
      </w:r>
      <w:r w:rsidR="008326CD">
        <w:t>s</w:t>
      </w:r>
      <w:r>
        <w:t>ecretariat of the Committee in electronic format (Word) at the following e</w:t>
      </w:r>
      <w:r w:rsidR="00416D5F">
        <w:t>-</w:t>
      </w:r>
      <w:r>
        <w:t xml:space="preserve">mail address: </w:t>
      </w:r>
      <w:r>
        <w:fldChar w:fldCharType="begin"/>
      </w:r>
      <w:r>
        <w:instrText xml:space="preserve"> HYPERLINK "mailto:ccpr@ohchr.org" </w:instrText>
      </w:r>
      <w:r>
        <w:fldChar w:fldCharType="separate"/>
      </w:r>
      <w:r>
        <w:rPr>
          <w:rStyle w:val="Hyperlink"/>
          <w:bCs/>
        </w:rPr>
        <w:t>ccpr@ohchr.org</w:t>
      </w:r>
      <w:r>
        <w:fldChar w:fldCharType="end"/>
      </w:r>
      <w:r w:rsidR="00416D5F">
        <w:t>.</w:t>
      </w:r>
      <w:r>
        <w:t xml:space="preserve"> </w:t>
      </w:r>
    </w:p>
    <w:p w:rsidR="007405BE" w:rsidRDefault="007405BE" w:rsidP="007405BE">
      <w:pPr>
        <w:pStyle w:val="SingleTxtG"/>
      </w:pPr>
      <w:r>
        <w:t>12.</w:t>
      </w:r>
      <w:r>
        <w:tab/>
        <w:t>The Centre</w:t>
      </w:r>
      <w:r w:rsidR="00416D5F">
        <w:t xml:space="preserve"> for Civil and Political Rights</w:t>
      </w:r>
      <w:r>
        <w:t xml:space="preserve"> established a format for NGO reports</w:t>
      </w:r>
      <w:r w:rsidR="00160801">
        <w:t xml:space="preserve"> that</w:t>
      </w:r>
      <w:r>
        <w:t xml:space="preserve"> includes criteria of evaluation quite similar to those adopted by the Human Rights Committee in 201</w:t>
      </w:r>
      <w:r w:rsidR="00C203D1">
        <w:t>2</w:t>
      </w:r>
      <w:r w:rsidR="009B4724">
        <w:t>.</w:t>
      </w:r>
      <w:r>
        <w:t xml:space="preserve"> Contact information </w:t>
      </w:r>
      <w:r w:rsidR="000A6A12">
        <w:t xml:space="preserve">for </w:t>
      </w:r>
      <w:r>
        <w:t xml:space="preserve">the </w:t>
      </w:r>
      <w:r w:rsidR="000A6A12">
        <w:t>s</w:t>
      </w:r>
      <w:r>
        <w:t xml:space="preserve">ecretariat of the Human Rights Committee and </w:t>
      </w:r>
      <w:r w:rsidR="000A6A12">
        <w:t>for</w:t>
      </w:r>
      <w:r>
        <w:t xml:space="preserve"> the Centre is provided on the web</w:t>
      </w:r>
      <w:r w:rsidR="009E61AD">
        <w:t>site</w:t>
      </w:r>
      <w:r>
        <w:t xml:space="preserve"> of the Committee.</w:t>
      </w:r>
    </w:p>
    <w:p w:rsidR="007405BE" w:rsidRDefault="007405BE" w:rsidP="007405BE">
      <w:pPr>
        <w:pStyle w:val="H23G"/>
      </w:pPr>
      <w:r>
        <w:tab/>
      </w:r>
      <w:r>
        <w:tab/>
        <w:t>Analysis o</w:t>
      </w:r>
      <w:r w:rsidRPr="00DE2CEF">
        <w:t>f the follow-up reports/follow-up replies and follow-up progress report</w:t>
      </w:r>
    </w:p>
    <w:p w:rsidR="007405BE" w:rsidRDefault="007405BE" w:rsidP="007405BE">
      <w:pPr>
        <w:pStyle w:val="SingleTxtG"/>
        <w:rPr>
          <w:rFonts w:eastAsia="Calibri"/>
        </w:rPr>
      </w:pPr>
      <w:r>
        <w:t>13.</w:t>
      </w:r>
      <w:r>
        <w:tab/>
        <w:t xml:space="preserve">Upon receipt of the State party’s report, and once the deadline for </w:t>
      </w:r>
      <w:r w:rsidR="000A6A12">
        <w:t xml:space="preserve">information from </w:t>
      </w:r>
      <w:r>
        <w:t xml:space="preserve">other stakeholders </w:t>
      </w:r>
      <w:r w:rsidR="000A6A12">
        <w:t>has passed</w:t>
      </w:r>
      <w:r>
        <w:t xml:space="preserve">, the </w:t>
      </w:r>
      <w:r w:rsidR="008326CD">
        <w:t>s</w:t>
      </w:r>
      <w:r>
        <w:t>ecretariat drafts a preliminary analysis of the report. The preliminary analysis includes the following points:</w:t>
      </w:r>
    </w:p>
    <w:p w:rsidR="007405BE" w:rsidRPr="007405BE" w:rsidRDefault="007405BE" w:rsidP="00E777C9">
      <w:pPr>
        <w:pStyle w:val="SingleTxtG"/>
        <w:ind w:firstLine="567"/>
      </w:pPr>
      <w:r w:rsidRPr="007405BE">
        <w:rPr>
          <w:rFonts w:eastAsia="Calibri"/>
        </w:rPr>
        <w:t>(</w:t>
      </w:r>
      <w:r w:rsidR="000A6A12">
        <w:rPr>
          <w:rFonts w:eastAsia="Calibri"/>
        </w:rPr>
        <w:t>a</w:t>
      </w:r>
      <w:r w:rsidRPr="007405BE">
        <w:rPr>
          <w:rFonts w:eastAsia="Calibri"/>
        </w:rPr>
        <w:t>)</w:t>
      </w:r>
      <w:r w:rsidRPr="007405BE">
        <w:rPr>
          <w:rFonts w:eastAsia="Calibri"/>
        </w:rPr>
        <w:tab/>
      </w:r>
      <w:r w:rsidRPr="007405BE">
        <w:t xml:space="preserve">A summary of the information provided by the State party; </w:t>
      </w:r>
    </w:p>
    <w:p w:rsidR="007405BE" w:rsidRPr="007405BE" w:rsidRDefault="007405BE" w:rsidP="00E777C9">
      <w:pPr>
        <w:pStyle w:val="SingleTxtG"/>
        <w:ind w:firstLine="567"/>
      </w:pPr>
      <w:r w:rsidRPr="007405BE">
        <w:rPr>
          <w:rFonts w:eastAsia="Calibri"/>
        </w:rPr>
        <w:t>(</w:t>
      </w:r>
      <w:r w:rsidR="000A6A12">
        <w:rPr>
          <w:rFonts w:eastAsia="Calibri"/>
        </w:rPr>
        <w:t>b</w:t>
      </w:r>
      <w:r w:rsidRPr="007405BE">
        <w:rPr>
          <w:rFonts w:eastAsia="Calibri"/>
        </w:rPr>
        <w:t>)</w:t>
      </w:r>
      <w:r w:rsidRPr="007405BE">
        <w:rPr>
          <w:rFonts w:eastAsia="Calibri"/>
        </w:rPr>
        <w:tab/>
      </w:r>
      <w:r w:rsidRPr="007405BE">
        <w:t xml:space="preserve">A summary of the information provided by other stakeholders; </w:t>
      </w:r>
    </w:p>
    <w:p w:rsidR="007405BE" w:rsidRPr="007405BE" w:rsidRDefault="007405BE" w:rsidP="00E777C9">
      <w:pPr>
        <w:pStyle w:val="SingleTxtG"/>
        <w:ind w:firstLine="567"/>
      </w:pPr>
      <w:r w:rsidRPr="007405BE">
        <w:rPr>
          <w:rFonts w:eastAsia="Calibri"/>
        </w:rPr>
        <w:t>(</w:t>
      </w:r>
      <w:r w:rsidR="000A6A12">
        <w:rPr>
          <w:rFonts w:eastAsia="Calibri"/>
        </w:rPr>
        <w:t>c</w:t>
      </w:r>
      <w:r w:rsidRPr="007405BE">
        <w:rPr>
          <w:rFonts w:eastAsia="Calibri"/>
        </w:rPr>
        <w:t>)</w:t>
      </w:r>
      <w:r w:rsidRPr="007405BE">
        <w:rPr>
          <w:rFonts w:eastAsia="Calibri"/>
        </w:rPr>
        <w:tab/>
      </w:r>
      <w:r w:rsidRPr="007405BE">
        <w:t xml:space="preserve">A proposed evaluation; </w:t>
      </w:r>
    </w:p>
    <w:p w:rsidR="007405BE" w:rsidRPr="007405BE" w:rsidRDefault="007405BE" w:rsidP="00E777C9">
      <w:pPr>
        <w:pStyle w:val="SingleTxtG"/>
        <w:ind w:firstLine="567"/>
      </w:pPr>
      <w:r w:rsidRPr="007405BE">
        <w:rPr>
          <w:rFonts w:eastAsia="Calibri"/>
        </w:rPr>
        <w:t>(</w:t>
      </w:r>
      <w:r w:rsidR="000A6A12">
        <w:rPr>
          <w:rFonts w:eastAsia="Calibri"/>
        </w:rPr>
        <w:t>d</w:t>
      </w:r>
      <w:r w:rsidRPr="007405BE">
        <w:rPr>
          <w:rFonts w:eastAsia="Calibri"/>
        </w:rPr>
        <w:t>)</w:t>
      </w:r>
      <w:r w:rsidRPr="007405BE">
        <w:rPr>
          <w:rFonts w:eastAsia="Calibri"/>
        </w:rPr>
        <w:tab/>
      </w:r>
      <w:r w:rsidRPr="007405BE">
        <w:t>A recommendation as to the action to be taken by the Committee in the context of the follow-up procedure.</w:t>
      </w:r>
    </w:p>
    <w:p w:rsidR="007405BE" w:rsidRDefault="007405BE" w:rsidP="007405BE">
      <w:pPr>
        <w:pStyle w:val="SingleTxtG"/>
      </w:pPr>
      <w:r>
        <w:t>14.</w:t>
      </w:r>
      <w:r>
        <w:tab/>
        <w:t xml:space="preserve">Once the preliminary analysis is approved by the Special Rapporteur </w:t>
      </w:r>
      <w:r w:rsidR="000A6A12">
        <w:t xml:space="preserve">for </w:t>
      </w:r>
      <w:r>
        <w:t xml:space="preserve">follow-up to concluding observations, it is included in the </w:t>
      </w:r>
      <w:r w:rsidR="000A6A12">
        <w:t>f</w:t>
      </w:r>
      <w:r>
        <w:t>ollow-up progress report</w:t>
      </w:r>
      <w:r w:rsidR="000A6A12">
        <w:t>,</w:t>
      </w:r>
      <w:r>
        <w:t xml:space="preserve"> which will be analysed, discussed and adopted at the </w:t>
      </w:r>
      <w:r w:rsidR="00C22D55">
        <w:t>subsequent</w:t>
      </w:r>
      <w:r w:rsidR="00DE2CEF">
        <w:t xml:space="preserve"> </w:t>
      </w:r>
      <w:r>
        <w:t xml:space="preserve">session of the Committee, in a public meeting of the plenary. The Human Rights Committee adopts two follow-up progress reports per year (one at the March session and one at the October session). </w:t>
      </w:r>
    </w:p>
    <w:p w:rsidR="007405BE" w:rsidRDefault="007405BE" w:rsidP="007405BE">
      <w:pPr>
        <w:pStyle w:val="SingleTxtG"/>
      </w:pPr>
      <w:r>
        <w:t>15.</w:t>
      </w:r>
      <w:r>
        <w:tab/>
        <w:t xml:space="preserve">The </w:t>
      </w:r>
      <w:r w:rsidR="00293F2F">
        <w:t>f</w:t>
      </w:r>
      <w:r>
        <w:t xml:space="preserve">ollow-up progress report reflects the information provided by all State parties that </w:t>
      </w:r>
      <w:r w:rsidR="00293F2F">
        <w:t xml:space="preserve">submitted </w:t>
      </w:r>
      <w:r>
        <w:t xml:space="preserve">their follow-up report during the period under consideration. </w:t>
      </w:r>
      <w:r w:rsidR="001900FD">
        <w:t>T</w:t>
      </w:r>
      <w:r>
        <w:t xml:space="preserve">he follow-up progress report </w:t>
      </w:r>
      <w:r w:rsidR="00293F2F">
        <w:t>is subject to a limit of</w:t>
      </w:r>
      <w:r>
        <w:t xml:space="preserve"> 10,700 words and </w:t>
      </w:r>
      <w:r w:rsidRPr="00DE2CEF">
        <w:t>has</w:t>
      </w:r>
      <w:r>
        <w:t xml:space="preserve"> the following structure:</w:t>
      </w:r>
    </w:p>
    <w:tbl>
      <w:tblPr>
        <w:tblW w:w="7370" w:type="dxa"/>
        <w:tblInd w:w="1134" w:type="dxa"/>
        <w:tblBorders>
          <w:top w:val="single" w:sz="4" w:space="0" w:color="auto"/>
        </w:tblBorders>
        <w:tblCellMar>
          <w:left w:w="0" w:type="dxa"/>
        </w:tblCellMar>
        <w:tblLook w:val="04A0"/>
      </w:tblPr>
      <w:tblGrid>
        <w:gridCol w:w="3664"/>
        <w:gridCol w:w="3706"/>
      </w:tblGrid>
      <w:tr w:rsidR="007405BE" w:rsidRPr="007405BE" w:rsidTr="00AD0A35">
        <w:trPr>
          <w:trHeight w:val="240"/>
          <w:tblHeader/>
        </w:trPr>
        <w:tc>
          <w:tcPr>
            <w:tcW w:w="3664" w:type="dxa"/>
            <w:tcBorders>
              <w:top w:val="single" w:sz="4" w:space="0" w:color="auto"/>
              <w:bottom w:val="single" w:sz="12" w:space="0" w:color="auto"/>
            </w:tcBorders>
            <w:shd w:val="clear" w:color="auto" w:fill="auto"/>
            <w:vAlign w:val="bottom"/>
          </w:tcPr>
          <w:p w:rsidR="007405BE" w:rsidRPr="00293F2F" w:rsidRDefault="001900FD" w:rsidP="007405BE">
            <w:pPr>
              <w:suppressAutoHyphens w:val="0"/>
              <w:autoSpaceDE w:val="0"/>
              <w:autoSpaceDN w:val="0"/>
              <w:adjustRightInd w:val="0"/>
              <w:spacing w:before="80" w:after="80" w:line="200" w:lineRule="exact"/>
              <w:rPr>
                <w:bCs/>
                <w:i/>
                <w:sz w:val="16"/>
                <w:highlight w:val="yellow"/>
              </w:rPr>
            </w:pPr>
            <w:r>
              <w:rPr>
                <w:bCs/>
                <w:i/>
                <w:sz w:val="16"/>
              </w:rPr>
              <w:t xml:space="preserve">Name of the </w:t>
            </w:r>
            <w:r w:rsidR="007405BE" w:rsidRPr="001900FD">
              <w:rPr>
                <w:bCs/>
                <w:i/>
                <w:sz w:val="16"/>
              </w:rPr>
              <w:t xml:space="preserve">State party considered under the </w:t>
            </w:r>
            <w:r w:rsidR="00B83D68" w:rsidRPr="001900FD">
              <w:rPr>
                <w:bCs/>
                <w:i/>
                <w:sz w:val="16"/>
              </w:rPr>
              <w:t>follow-up</w:t>
            </w:r>
            <w:r w:rsidR="007405BE" w:rsidRPr="001900FD">
              <w:rPr>
                <w:bCs/>
                <w:i/>
                <w:sz w:val="16"/>
              </w:rPr>
              <w:t xml:space="preserve"> procedure</w:t>
            </w:r>
          </w:p>
        </w:tc>
        <w:tc>
          <w:tcPr>
            <w:tcW w:w="3706" w:type="dxa"/>
            <w:tcBorders>
              <w:top w:val="single" w:sz="4" w:space="0" w:color="auto"/>
              <w:bottom w:val="single" w:sz="12" w:space="0" w:color="auto"/>
            </w:tcBorders>
            <w:shd w:val="clear" w:color="auto" w:fill="auto"/>
            <w:vAlign w:val="bottom"/>
          </w:tcPr>
          <w:p w:rsidR="007405BE" w:rsidRPr="00293F2F" w:rsidRDefault="007405BE" w:rsidP="007405BE">
            <w:pPr>
              <w:suppressAutoHyphens w:val="0"/>
              <w:autoSpaceDE w:val="0"/>
              <w:autoSpaceDN w:val="0"/>
              <w:adjustRightInd w:val="0"/>
              <w:spacing w:before="80" w:after="80" w:line="200" w:lineRule="exact"/>
              <w:rPr>
                <w:bCs/>
                <w:i/>
                <w:sz w:val="16"/>
                <w:highlight w:val="yellow"/>
              </w:rPr>
            </w:pPr>
          </w:p>
        </w:tc>
      </w:tr>
      <w:tr w:rsidR="007405BE" w:rsidRPr="007405BE" w:rsidTr="00AD0A35">
        <w:trPr>
          <w:trHeight w:val="240"/>
        </w:trPr>
        <w:tc>
          <w:tcPr>
            <w:tcW w:w="3664" w:type="dxa"/>
            <w:tcBorders>
              <w:top w:val="single" w:sz="12" w:space="0" w:color="auto"/>
            </w:tcBorders>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C</w:t>
            </w:r>
            <w:r w:rsidR="000D420C">
              <w:rPr>
                <w:bCs/>
              </w:rPr>
              <w:t>oncluding observations</w:t>
            </w:r>
          </w:p>
        </w:tc>
        <w:tc>
          <w:tcPr>
            <w:tcW w:w="3706" w:type="dxa"/>
            <w:tcBorders>
              <w:top w:val="single" w:sz="12" w:space="0" w:color="auto"/>
            </w:tcBorders>
            <w:shd w:val="clear" w:color="auto" w:fill="auto"/>
          </w:tcPr>
          <w:p w:rsidR="007405BE" w:rsidRPr="007405BE" w:rsidRDefault="00293F2F" w:rsidP="007405BE">
            <w:pPr>
              <w:suppressAutoHyphens w:val="0"/>
              <w:autoSpaceDE w:val="0"/>
              <w:autoSpaceDN w:val="0"/>
              <w:adjustRightInd w:val="0"/>
              <w:spacing w:before="40" w:after="120" w:line="220" w:lineRule="exact"/>
              <w:rPr>
                <w:bCs/>
              </w:rPr>
            </w:pPr>
            <w:r>
              <w:rPr>
                <w:bCs/>
              </w:rPr>
              <w:t>Document symbol</w:t>
            </w:r>
            <w:r w:rsidR="007405BE" w:rsidRPr="007405BE">
              <w:rPr>
                <w:bCs/>
              </w:rPr>
              <w:t xml:space="preserve"> of the </w:t>
            </w:r>
            <w:r>
              <w:rPr>
                <w:bCs/>
              </w:rPr>
              <w:t>concluding observations</w:t>
            </w:r>
            <w:r w:rsidRPr="007405BE">
              <w:rPr>
                <w:bCs/>
              </w:rPr>
              <w:t xml:space="preserve"> </w:t>
            </w:r>
            <w:r w:rsidR="007405BE" w:rsidRPr="007405BE">
              <w:rPr>
                <w:bCs/>
              </w:rPr>
              <w:t>and date of adoption</w:t>
            </w:r>
          </w:p>
        </w:tc>
      </w:tr>
      <w:tr w:rsidR="007405BE" w:rsidRPr="007405BE" w:rsidTr="00AD0A35">
        <w:trPr>
          <w:trHeight w:val="240"/>
        </w:trPr>
        <w:tc>
          <w:tcPr>
            <w:tcW w:w="3664"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Follow-up paragraphs</w:t>
            </w:r>
          </w:p>
        </w:tc>
        <w:tc>
          <w:tcPr>
            <w:tcW w:w="3706"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 xml:space="preserve">Number of the </w:t>
            </w:r>
            <w:r w:rsidR="00B83D68">
              <w:rPr>
                <w:bCs/>
              </w:rPr>
              <w:t>follow-up</w:t>
            </w:r>
            <w:r w:rsidRPr="007405BE">
              <w:rPr>
                <w:bCs/>
              </w:rPr>
              <w:t xml:space="preserve"> paragraphs included in the procedure</w:t>
            </w:r>
          </w:p>
        </w:tc>
      </w:tr>
      <w:tr w:rsidR="007405BE" w:rsidRPr="007405BE" w:rsidTr="00AD0A35">
        <w:trPr>
          <w:trHeight w:val="240"/>
        </w:trPr>
        <w:tc>
          <w:tcPr>
            <w:tcW w:w="3664"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 xml:space="preserve">First </w:t>
            </w:r>
            <w:r w:rsidR="003D4E16">
              <w:rPr>
                <w:bCs/>
              </w:rPr>
              <w:t xml:space="preserve">reply from the </w:t>
            </w:r>
            <w:r w:rsidRPr="007405BE">
              <w:rPr>
                <w:bCs/>
              </w:rPr>
              <w:t>State party</w:t>
            </w:r>
          </w:p>
        </w:tc>
        <w:tc>
          <w:tcPr>
            <w:tcW w:w="3706"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Due date and actual date of submission</w:t>
            </w:r>
          </w:p>
        </w:tc>
      </w:tr>
      <w:tr w:rsidR="007405BE" w:rsidRPr="007405BE" w:rsidTr="00AD0A35">
        <w:trPr>
          <w:trHeight w:val="240"/>
        </w:trPr>
        <w:tc>
          <w:tcPr>
            <w:tcW w:w="3664"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Action taken by the Committee</w:t>
            </w:r>
          </w:p>
        </w:tc>
        <w:tc>
          <w:tcPr>
            <w:tcW w:w="3706"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Letters sent; meetings held with the S</w:t>
            </w:r>
            <w:r w:rsidR="00DE2CEF">
              <w:rPr>
                <w:bCs/>
              </w:rPr>
              <w:t>tate party</w:t>
            </w:r>
          </w:p>
        </w:tc>
      </w:tr>
      <w:tr w:rsidR="007405BE" w:rsidRPr="007405BE" w:rsidTr="00AD0A35">
        <w:trPr>
          <w:trHeight w:val="240"/>
        </w:trPr>
        <w:tc>
          <w:tcPr>
            <w:tcW w:w="3664"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NGO information</w:t>
            </w:r>
          </w:p>
        </w:tc>
        <w:tc>
          <w:tcPr>
            <w:tcW w:w="3706"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NGO reports received</w:t>
            </w:r>
          </w:p>
        </w:tc>
      </w:tr>
      <w:tr w:rsidR="00AD0A35" w:rsidRPr="007405BE" w:rsidTr="00B767B6">
        <w:trPr>
          <w:trHeight w:val="240"/>
        </w:trPr>
        <w:tc>
          <w:tcPr>
            <w:tcW w:w="7370" w:type="dxa"/>
            <w:gridSpan w:val="2"/>
            <w:shd w:val="clear" w:color="auto" w:fill="auto"/>
          </w:tcPr>
          <w:p w:rsidR="00AD0A35" w:rsidRPr="007405BE" w:rsidRDefault="00AD0A35" w:rsidP="007405BE">
            <w:pPr>
              <w:suppressAutoHyphens w:val="0"/>
              <w:autoSpaceDE w:val="0"/>
              <w:autoSpaceDN w:val="0"/>
              <w:adjustRightInd w:val="0"/>
              <w:spacing w:before="40" w:after="120" w:line="220" w:lineRule="exact"/>
              <w:rPr>
                <w:bCs/>
              </w:rPr>
            </w:pPr>
            <w:r>
              <w:rPr>
                <w:bCs/>
              </w:rPr>
              <w:t>Text of the first follow-up</w:t>
            </w:r>
            <w:r w:rsidRPr="007405BE">
              <w:rPr>
                <w:bCs/>
              </w:rPr>
              <w:t xml:space="preserve"> </w:t>
            </w:r>
            <w:r>
              <w:rPr>
                <w:bCs/>
              </w:rPr>
              <w:t>p</w:t>
            </w:r>
            <w:r w:rsidRPr="007405BE">
              <w:rPr>
                <w:bCs/>
              </w:rPr>
              <w:t>aragraph</w:t>
            </w:r>
            <w:r>
              <w:rPr>
                <w:bCs/>
              </w:rPr>
              <w:t xml:space="preserve">. </w:t>
            </w:r>
            <w:r w:rsidRPr="007405BE">
              <w:rPr>
                <w:bCs/>
              </w:rPr>
              <w:t xml:space="preserve">The whole recommendation part of the paragraph is reproduced. </w:t>
            </w:r>
          </w:p>
        </w:tc>
      </w:tr>
      <w:tr w:rsidR="007405BE" w:rsidRPr="007405BE" w:rsidTr="00AD0A35">
        <w:trPr>
          <w:trHeight w:val="240"/>
        </w:trPr>
        <w:tc>
          <w:tcPr>
            <w:tcW w:w="3664"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Summary of State party’s reply</w:t>
            </w:r>
          </w:p>
        </w:tc>
        <w:tc>
          <w:tcPr>
            <w:tcW w:w="3706"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Summary drafted by the secretariat</w:t>
            </w:r>
          </w:p>
        </w:tc>
      </w:tr>
      <w:tr w:rsidR="007405BE" w:rsidRPr="007405BE" w:rsidTr="00AD0A35">
        <w:trPr>
          <w:trHeight w:val="240"/>
        </w:trPr>
        <w:tc>
          <w:tcPr>
            <w:tcW w:w="3664"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Summary of NGO submissions</w:t>
            </w:r>
          </w:p>
        </w:tc>
        <w:tc>
          <w:tcPr>
            <w:tcW w:w="3706"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Summary drafted by the secretariat</w:t>
            </w:r>
          </w:p>
        </w:tc>
      </w:tr>
      <w:tr w:rsidR="007405BE" w:rsidRPr="007405BE" w:rsidTr="00AD0A35">
        <w:trPr>
          <w:trHeight w:val="240"/>
        </w:trPr>
        <w:tc>
          <w:tcPr>
            <w:tcW w:w="3664"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 xml:space="preserve">Committee’s evaluation </w:t>
            </w:r>
          </w:p>
        </w:tc>
        <w:tc>
          <w:tcPr>
            <w:tcW w:w="3706"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Analysis of the Committee with regard to the paragraph under consideration, including the assessment criteria applied</w:t>
            </w:r>
          </w:p>
        </w:tc>
      </w:tr>
      <w:tr w:rsidR="007405BE" w:rsidRPr="007405BE" w:rsidTr="00AD0A35">
        <w:trPr>
          <w:trHeight w:val="240"/>
        </w:trPr>
        <w:tc>
          <w:tcPr>
            <w:tcW w:w="7370" w:type="dxa"/>
            <w:gridSpan w:val="2"/>
            <w:shd w:val="clear" w:color="auto" w:fill="auto"/>
          </w:tcPr>
          <w:p w:rsidR="007405BE" w:rsidRPr="007405BE" w:rsidRDefault="009E61AD" w:rsidP="007405BE">
            <w:pPr>
              <w:suppressAutoHyphens w:val="0"/>
              <w:autoSpaceDE w:val="0"/>
              <w:autoSpaceDN w:val="0"/>
              <w:adjustRightInd w:val="0"/>
              <w:spacing w:before="40" w:after="120" w:line="220" w:lineRule="exact"/>
              <w:rPr>
                <w:bCs/>
              </w:rPr>
            </w:pPr>
            <w:r>
              <w:rPr>
                <w:bCs/>
              </w:rPr>
              <w:t>The same</w:t>
            </w:r>
            <w:r w:rsidR="00D06F1B" w:rsidRPr="00D06F1B">
              <w:rPr>
                <w:bCs/>
              </w:rPr>
              <w:t xml:space="preserve"> information </w:t>
            </w:r>
            <w:r>
              <w:rPr>
                <w:bCs/>
              </w:rPr>
              <w:t xml:space="preserve">is provided </w:t>
            </w:r>
            <w:r w:rsidR="00D06F1B" w:rsidRPr="00D06F1B">
              <w:rPr>
                <w:bCs/>
              </w:rPr>
              <w:t xml:space="preserve">for each of the follow-up paragraphs </w:t>
            </w:r>
          </w:p>
        </w:tc>
      </w:tr>
      <w:tr w:rsidR="007405BE" w:rsidRPr="007405BE" w:rsidTr="00AD0A35">
        <w:trPr>
          <w:trHeight w:val="240"/>
        </w:trPr>
        <w:tc>
          <w:tcPr>
            <w:tcW w:w="3664" w:type="dxa"/>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Recommended action</w:t>
            </w:r>
          </w:p>
        </w:tc>
        <w:tc>
          <w:tcPr>
            <w:tcW w:w="3706" w:type="dxa"/>
            <w:shd w:val="clear" w:color="auto" w:fill="auto"/>
          </w:tcPr>
          <w:p w:rsidR="007405BE" w:rsidRPr="007405BE" w:rsidRDefault="008D6A4A" w:rsidP="007405BE">
            <w:pPr>
              <w:suppressAutoHyphens w:val="0"/>
              <w:autoSpaceDE w:val="0"/>
              <w:autoSpaceDN w:val="0"/>
              <w:adjustRightInd w:val="0"/>
              <w:spacing w:before="40" w:after="120" w:line="220" w:lineRule="exact"/>
              <w:rPr>
                <w:bCs/>
              </w:rPr>
            </w:pPr>
            <w:r w:rsidRPr="007405BE">
              <w:rPr>
                <w:bCs/>
              </w:rPr>
              <w:t>Descri</w:t>
            </w:r>
            <w:r>
              <w:rPr>
                <w:bCs/>
              </w:rPr>
              <w:t>ption of</w:t>
            </w:r>
            <w:r w:rsidRPr="007405BE">
              <w:rPr>
                <w:bCs/>
              </w:rPr>
              <w:t xml:space="preserve"> </w:t>
            </w:r>
            <w:r w:rsidR="007405BE" w:rsidRPr="007405BE">
              <w:rPr>
                <w:bCs/>
              </w:rPr>
              <w:t>the measure recommended by the Special Rapporteur</w:t>
            </w:r>
            <w:r w:rsidR="00B854DB">
              <w:rPr>
                <w:bCs/>
              </w:rPr>
              <w:t xml:space="preserve"> for follow-up to concluding observations</w:t>
            </w:r>
            <w:r w:rsidR="007405BE" w:rsidRPr="007405BE">
              <w:rPr>
                <w:bCs/>
              </w:rPr>
              <w:t xml:space="preserve"> and adopted by the Committee</w:t>
            </w:r>
          </w:p>
          <w:p w:rsidR="007405BE" w:rsidRPr="007405BE" w:rsidRDefault="007405BE" w:rsidP="007405BE">
            <w:pPr>
              <w:suppressAutoHyphens w:val="0"/>
              <w:autoSpaceDE w:val="0"/>
              <w:autoSpaceDN w:val="0"/>
              <w:adjustRightInd w:val="0"/>
              <w:spacing w:before="40" w:after="120" w:line="220" w:lineRule="exact"/>
              <w:rPr>
                <w:bCs/>
              </w:rPr>
            </w:pPr>
            <w:r w:rsidRPr="007405BE">
              <w:rPr>
                <w:bCs/>
              </w:rPr>
              <w:t>Options:</w:t>
            </w:r>
          </w:p>
          <w:p w:rsidR="007405BE" w:rsidRPr="007405BE" w:rsidRDefault="008D6A4A" w:rsidP="008D6A4A">
            <w:pPr>
              <w:suppressAutoHyphens w:val="0"/>
              <w:autoSpaceDE w:val="0"/>
              <w:autoSpaceDN w:val="0"/>
              <w:adjustRightInd w:val="0"/>
              <w:spacing w:before="40" w:after="120" w:line="220" w:lineRule="exact"/>
              <w:ind w:left="567" w:hanging="567"/>
              <w:rPr>
                <w:bCs/>
              </w:rPr>
            </w:pPr>
            <w:r>
              <w:rPr>
                <w:rFonts w:ascii="Arial" w:eastAsia="Calibri" w:hAnsi="Arial" w:cs="Arial"/>
                <w:bCs/>
              </w:rPr>
              <w:t xml:space="preserve">     •</w:t>
            </w:r>
            <w:r w:rsidR="007405BE" w:rsidRPr="007405BE">
              <w:rPr>
                <w:rFonts w:eastAsia="Calibri"/>
                <w:bCs/>
              </w:rPr>
              <w:tab/>
            </w:r>
            <w:r w:rsidR="007405BE" w:rsidRPr="007405BE">
              <w:rPr>
                <w:bCs/>
              </w:rPr>
              <w:t>Letter to be sent to the S</w:t>
            </w:r>
            <w:r>
              <w:rPr>
                <w:bCs/>
              </w:rPr>
              <w:t>tate party</w:t>
            </w:r>
          </w:p>
          <w:p w:rsidR="007405BE" w:rsidRPr="007405BE" w:rsidRDefault="008D6A4A" w:rsidP="008D6A4A">
            <w:pPr>
              <w:suppressAutoHyphens w:val="0"/>
              <w:autoSpaceDE w:val="0"/>
              <w:autoSpaceDN w:val="0"/>
              <w:adjustRightInd w:val="0"/>
              <w:spacing w:before="40" w:after="120" w:line="220" w:lineRule="exact"/>
              <w:ind w:left="567" w:hanging="567"/>
              <w:rPr>
                <w:bCs/>
              </w:rPr>
            </w:pPr>
            <w:r>
              <w:rPr>
                <w:rFonts w:ascii="Arial" w:eastAsia="Calibri" w:hAnsi="Arial" w:cs="Arial"/>
                <w:bCs/>
              </w:rPr>
              <w:t xml:space="preserve">     •</w:t>
            </w:r>
            <w:r w:rsidR="007405BE" w:rsidRPr="007405BE">
              <w:rPr>
                <w:rFonts w:eastAsia="Calibri"/>
                <w:bCs/>
              </w:rPr>
              <w:tab/>
            </w:r>
            <w:r w:rsidR="007405BE" w:rsidRPr="007405BE">
              <w:rPr>
                <w:bCs/>
              </w:rPr>
              <w:t>Request of a meeting with the S</w:t>
            </w:r>
            <w:r>
              <w:rPr>
                <w:bCs/>
              </w:rPr>
              <w:t>tate party</w:t>
            </w:r>
          </w:p>
          <w:p w:rsidR="007405BE" w:rsidRPr="007405BE" w:rsidRDefault="008D6A4A" w:rsidP="008D6A4A">
            <w:pPr>
              <w:suppressAutoHyphens w:val="0"/>
              <w:autoSpaceDE w:val="0"/>
              <w:autoSpaceDN w:val="0"/>
              <w:adjustRightInd w:val="0"/>
              <w:spacing w:before="40" w:after="120" w:line="220" w:lineRule="exact"/>
              <w:ind w:left="567" w:hanging="567"/>
              <w:rPr>
                <w:bCs/>
              </w:rPr>
            </w:pPr>
            <w:r>
              <w:rPr>
                <w:rFonts w:ascii="Arial" w:eastAsia="Calibri" w:hAnsi="Arial" w:cs="Arial"/>
                <w:bCs/>
              </w:rPr>
              <w:t xml:space="preserve">     •</w:t>
            </w:r>
            <w:r w:rsidR="007405BE" w:rsidRPr="007405BE">
              <w:rPr>
                <w:rFonts w:eastAsia="Calibri"/>
                <w:bCs/>
              </w:rPr>
              <w:tab/>
            </w:r>
            <w:r w:rsidR="00B83D68">
              <w:rPr>
                <w:bCs/>
              </w:rPr>
              <w:t>Follow-up</w:t>
            </w:r>
            <w:r w:rsidR="007405BE" w:rsidRPr="007405BE">
              <w:rPr>
                <w:bCs/>
              </w:rPr>
              <w:t xml:space="preserve"> procedure to be discontinued</w:t>
            </w:r>
          </w:p>
        </w:tc>
      </w:tr>
      <w:tr w:rsidR="007405BE" w:rsidRPr="007405BE" w:rsidTr="00AD0A35">
        <w:trPr>
          <w:trHeight w:val="240"/>
        </w:trPr>
        <w:tc>
          <w:tcPr>
            <w:tcW w:w="3664" w:type="dxa"/>
            <w:tcBorders>
              <w:bottom w:val="single" w:sz="12" w:space="0" w:color="auto"/>
            </w:tcBorders>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Next periodic report</w:t>
            </w:r>
          </w:p>
        </w:tc>
        <w:tc>
          <w:tcPr>
            <w:tcW w:w="3706" w:type="dxa"/>
            <w:tcBorders>
              <w:bottom w:val="single" w:sz="12" w:space="0" w:color="auto"/>
            </w:tcBorders>
            <w:shd w:val="clear" w:color="auto" w:fill="auto"/>
          </w:tcPr>
          <w:p w:rsidR="007405BE" w:rsidRPr="007405BE" w:rsidRDefault="007405BE" w:rsidP="007405BE">
            <w:pPr>
              <w:suppressAutoHyphens w:val="0"/>
              <w:autoSpaceDE w:val="0"/>
              <w:autoSpaceDN w:val="0"/>
              <w:adjustRightInd w:val="0"/>
              <w:spacing w:before="40" w:after="120" w:line="220" w:lineRule="exact"/>
              <w:rPr>
                <w:bCs/>
              </w:rPr>
            </w:pPr>
            <w:r w:rsidRPr="007405BE">
              <w:rPr>
                <w:bCs/>
              </w:rPr>
              <w:t xml:space="preserve">Due date (as decided in the last paragraph of the </w:t>
            </w:r>
            <w:r w:rsidR="008D6A4A">
              <w:rPr>
                <w:bCs/>
              </w:rPr>
              <w:t>concluding observations</w:t>
            </w:r>
            <w:r w:rsidR="008D6A4A" w:rsidRPr="007405BE">
              <w:rPr>
                <w:bCs/>
              </w:rPr>
              <w:t xml:space="preserve"> </w:t>
            </w:r>
            <w:r w:rsidRPr="007405BE">
              <w:rPr>
                <w:bCs/>
              </w:rPr>
              <w:t>under consideration)</w:t>
            </w:r>
          </w:p>
        </w:tc>
      </w:tr>
    </w:tbl>
    <w:p w:rsidR="007405BE" w:rsidRDefault="007405BE" w:rsidP="007405BE">
      <w:pPr>
        <w:pStyle w:val="H23G"/>
      </w:pPr>
      <w:r>
        <w:tab/>
      </w:r>
      <w:r>
        <w:tab/>
        <w:t>Criteria to monitor the implementation of follow-up recommendations</w:t>
      </w:r>
    </w:p>
    <w:p w:rsidR="007405BE" w:rsidRDefault="007405BE" w:rsidP="007405BE">
      <w:pPr>
        <w:pStyle w:val="SingleTxtG"/>
        <w:rPr>
          <w:rFonts w:eastAsia="Calibri"/>
        </w:rPr>
      </w:pPr>
      <w:r>
        <w:t>16.</w:t>
      </w:r>
      <w:r>
        <w:tab/>
        <w:t xml:space="preserve">When </w:t>
      </w:r>
      <w:r w:rsidR="009E61AD">
        <w:t>reviewing</w:t>
      </w:r>
      <w:r>
        <w:t xml:space="preserve"> follow-up reports</w:t>
      </w:r>
      <w:r w:rsidR="00223D60">
        <w:t xml:space="preserve"> of States parties</w:t>
      </w:r>
      <w:r>
        <w:t xml:space="preserve">, the Committee </w:t>
      </w:r>
      <w:r w:rsidRPr="00DE2CEF">
        <w:t>assesses</w:t>
      </w:r>
      <w:r>
        <w:t xml:space="preserve">: </w:t>
      </w:r>
    </w:p>
    <w:p w:rsidR="007405BE" w:rsidRPr="007405BE" w:rsidRDefault="007405BE" w:rsidP="00E777C9">
      <w:pPr>
        <w:pStyle w:val="SingleTxtG"/>
        <w:ind w:firstLine="567"/>
      </w:pPr>
      <w:r w:rsidRPr="007405BE">
        <w:t>(</w:t>
      </w:r>
      <w:r w:rsidR="00223D60">
        <w:t>a</w:t>
      </w:r>
      <w:r w:rsidRPr="007405BE">
        <w:t>)</w:t>
      </w:r>
      <w:r w:rsidRPr="007405BE">
        <w:tab/>
        <w:t>The degree of collaboration of the State party in the context of the procedure</w:t>
      </w:r>
      <w:r w:rsidR="00223D60">
        <w:t>;</w:t>
      </w:r>
      <w:r w:rsidRPr="007405BE">
        <w:t xml:space="preserve"> </w:t>
      </w:r>
    </w:p>
    <w:p w:rsidR="007405BE" w:rsidRPr="007405BE" w:rsidRDefault="007405BE" w:rsidP="00E777C9">
      <w:pPr>
        <w:pStyle w:val="SingleTxtG"/>
        <w:ind w:firstLine="567"/>
      </w:pPr>
      <w:r w:rsidRPr="007405BE">
        <w:t>(</w:t>
      </w:r>
      <w:r w:rsidR="00223D60">
        <w:t>b</w:t>
      </w:r>
      <w:r w:rsidRPr="007405BE">
        <w:t>)</w:t>
      </w:r>
      <w:r w:rsidRPr="007405BE">
        <w:tab/>
        <w:t xml:space="preserve">The nature and impact of the measures taken on the implementation of the selected recommendations. </w:t>
      </w:r>
    </w:p>
    <w:p w:rsidR="007405BE" w:rsidRDefault="007405BE" w:rsidP="007405BE">
      <w:pPr>
        <w:pStyle w:val="SingleTxtG"/>
      </w:pPr>
      <w:r>
        <w:t>17.</w:t>
      </w:r>
      <w:r>
        <w:tab/>
        <w:t>In October 2011, the Human Rights Committee adopted a set of criteria to assess the replies received from States parties. These criteria were defined taking into account the need to reflect the variety of situations included in the follow-up reports and replies received. Their adoption also followed a process of consultation with NGOs involved in the follow-up process of the Committee (the consultation was carried out by the</w:t>
      </w:r>
      <w:r w:rsidRPr="000927AB">
        <w:t xml:space="preserve"> Centre</w:t>
      </w:r>
      <w:r w:rsidR="000927AB">
        <w:t xml:space="preserve"> for Civil and Political Rights</w:t>
      </w:r>
      <w:r>
        <w:rPr>
          <w:rStyle w:val="FootnoteReference"/>
          <w:bCs/>
          <w:color w:val="000000"/>
        </w:rPr>
        <w:footnoteReference w:id="4"/>
      </w:r>
      <w:r>
        <w:t xml:space="preserve">). </w:t>
      </w:r>
      <w:r w:rsidR="00C367BB">
        <w:t xml:space="preserve">The </w:t>
      </w:r>
      <w:r w:rsidR="00FB2700">
        <w:t>replies are assessed</w:t>
      </w:r>
      <w:r w:rsidR="00C367BB">
        <w:t xml:space="preserve"> as follows:</w:t>
      </w:r>
    </w:p>
    <w:tbl>
      <w:tblPr>
        <w:tblW w:w="7370" w:type="dxa"/>
        <w:tblInd w:w="1134" w:type="dxa"/>
        <w:tblLayout w:type="fixed"/>
        <w:tblCellMar>
          <w:left w:w="0" w:type="dxa"/>
          <w:right w:w="0" w:type="dxa"/>
        </w:tblCellMar>
        <w:tblLook w:val="01E0"/>
      </w:tblPr>
      <w:tblGrid>
        <w:gridCol w:w="866"/>
        <w:gridCol w:w="6504"/>
      </w:tblGrid>
      <w:tr w:rsidR="007405BE" w:rsidTr="007405BE">
        <w:trPr>
          <w:cantSplit/>
        </w:trPr>
        <w:tc>
          <w:tcPr>
            <w:tcW w:w="866" w:type="dxa"/>
            <w:tcBorders>
              <w:top w:val="single" w:sz="4" w:space="0" w:color="auto"/>
              <w:left w:val="nil"/>
              <w:bottom w:val="single" w:sz="12" w:space="0" w:color="auto"/>
              <w:right w:val="nil"/>
            </w:tcBorders>
            <w:vAlign w:val="bottom"/>
          </w:tcPr>
          <w:p w:rsidR="007405BE" w:rsidRDefault="007405BE">
            <w:pPr>
              <w:spacing w:before="80" w:after="80" w:line="200" w:lineRule="exact"/>
              <w:ind w:right="113"/>
              <w:rPr>
                <w:i/>
                <w:sz w:val="22"/>
                <w:szCs w:val="22"/>
              </w:rPr>
            </w:pPr>
          </w:p>
        </w:tc>
        <w:tc>
          <w:tcPr>
            <w:tcW w:w="6504" w:type="dxa"/>
            <w:tcBorders>
              <w:top w:val="single" w:sz="4" w:space="0" w:color="auto"/>
              <w:left w:val="nil"/>
              <w:bottom w:val="single" w:sz="12" w:space="0" w:color="auto"/>
              <w:right w:val="nil"/>
            </w:tcBorders>
            <w:vAlign w:val="bottom"/>
          </w:tcPr>
          <w:p w:rsidR="007405BE" w:rsidRPr="009D622E" w:rsidRDefault="007405BE" w:rsidP="00FB2700">
            <w:pPr>
              <w:spacing w:before="80" w:after="80" w:line="200" w:lineRule="exact"/>
              <w:ind w:right="113"/>
              <w:rPr>
                <w:i/>
                <w:sz w:val="22"/>
                <w:szCs w:val="22"/>
              </w:rPr>
            </w:pPr>
            <w:r w:rsidRPr="009D622E">
              <w:rPr>
                <w:i/>
              </w:rPr>
              <w:t xml:space="preserve">Assessment </w:t>
            </w:r>
            <w:r w:rsidR="00FB2700">
              <w:rPr>
                <w:i/>
              </w:rPr>
              <w:t>of replies</w:t>
            </w:r>
          </w:p>
        </w:tc>
      </w:tr>
      <w:tr w:rsidR="007405BE" w:rsidTr="007405BE">
        <w:trPr>
          <w:cantSplit/>
        </w:trPr>
        <w:tc>
          <w:tcPr>
            <w:tcW w:w="7370" w:type="dxa"/>
            <w:gridSpan w:val="2"/>
            <w:tcBorders>
              <w:top w:val="single" w:sz="12" w:space="0" w:color="auto"/>
              <w:left w:val="nil"/>
              <w:bottom w:val="nil"/>
              <w:right w:val="nil"/>
            </w:tcBorders>
          </w:tcPr>
          <w:p w:rsidR="007405BE" w:rsidRDefault="007405BE">
            <w:pPr>
              <w:spacing w:before="40" w:after="120" w:line="276" w:lineRule="auto"/>
              <w:ind w:right="113"/>
              <w:rPr>
                <w:b/>
                <w:sz w:val="22"/>
                <w:szCs w:val="22"/>
              </w:rPr>
            </w:pPr>
            <w:r>
              <w:rPr>
                <w:b/>
              </w:rPr>
              <w:t>Reply/action satisfactory</w:t>
            </w:r>
          </w:p>
        </w:tc>
      </w:tr>
      <w:tr w:rsidR="007405BE" w:rsidTr="007405BE">
        <w:trPr>
          <w:cantSplit/>
        </w:trPr>
        <w:tc>
          <w:tcPr>
            <w:tcW w:w="866" w:type="dxa"/>
          </w:tcPr>
          <w:p w:rsidR="007405BE" w:rsidRDefault="007405BE">
            <w:pPr>
              <w:spacing w:before="40" w:after="120" w:line="276" w:lineRule="auto"/>
              <w:ind w:right="113"/>
              <w:rPr>
                <w:sz w:val="22"/>
                <w:szCs w:val="22"/>
              </w:rPr>
            </w:pPr>
            <w:r>
              <w:t>A</w:t>
            </w:r>
          </w:p>
        </w:tc>
        <w:tc>
          <w:tcPr>
            <w:tcW w:w="6504" w:type="dxa"/>
          </w:tcPr>
          <w:p w:rsidR="007405BE" w:rsidRDefault="007405BE">
            <w:pPr>
              <w:spacing w:before="40" w:after="120" w:line="276" w:lineRule="auto"/>
              <w:ind w:right="113"/>
              <w:rPr>
                <w:sz w:val="22"/>
                <w:szCs w:val="22"/>
              </w:rPr>
            </w:pPr>
            <w:r>
              <w:t>Reply largely satisfactory</w:t>
            </w:r>
          </w:p>
        </w:tc>
      </w:tr>
      <w:tr w:rsidR="007405BE" w:rsidTr="007405BE">
        <w:trPr>
          <w:cantSplit/>
        </w:trPr>
        <w:tc>
          <w:tcPr>
            <w:tcW w:w="7370" w:type="dxa"/>
            <w:gridSpan w:val="2"/>
          </w:tcPr>
          <w:p w:rsidR="007405BE" w:rsidRDefault="007405BE">
            <w:pPr>
              <w:spacing w:before="40" w:after="120" w:line="276" w:lineRule="auto"/>
              <w:ind w:right="113"/>
              <w:rPr>
                <w:b/>
                <w:sz w:val="22"/>
                <w:szCs w:val="22"/>
              </w:rPr>
            </w:pPr>
            <w:r>
              <w:rPr>
                <w:b/>
              </w:rPr>
              <w:t>Reply/action partially satisfactory</w:t>
            </w:r>
          </w:p>
        </w:tc>
      </w:tr>
      <w:tr w:rsidR="007405BE" w:rsidTr="007405BE">
        <w:trPr>
          <w:cantSplit/>
        </w:trPr>
        <w:tc>
          <w:tcPr>
            <w:tcW w:w="866" w:type="dxa"/>
          </w:tcPr>
          <w:p w:rsidR="007405BE" w:rsidRDefault="007405BE">
            <w:pPr>
              <w:spacing w:before="40" w:after="120" w:line="276" w:lineRule="auto"/>
              <w:ind w:right="113"/>
              <w:rPr>
                <w:sz w:val="22"/>
                <w:szCs w:val="22"/>
              </w:rPr>
            </w:pPr>
            <w:r>
              <w:t>B1</w:t>
            </w:r>
          </w:p>
        </w:tc>
        <w:tc>
          <w:tcPr>
            <w:tcW w:w="6504" w:type="dxa"/>
          </w:tcPr>
          <w:p w:rsidR="007405BE" w:rsidRDefault="007405BE">
            <w:pPr>
              <w:spacing w:before="40" w:after="120" w:line="276" w:lineRule="auto"/>
              <w:ind w:right="113"/>
              <w:rPr>
                <w:sz w:val="22"/>
                <w:szCs w:val="22"/>
              </w:rPr>
            </w:pPr>
            <w:r>
              <w:t>Substantive action taken, but additional information required</w:t>
            </w:r>
          </w:p>
        </w:tc>
      </w:tr>
      <w:tr w:rsidR="007405BE" w:rsidTr="007405BE">
        <w:trPr>
          <w:cantSplit/>
        </w:trPr>
        <w:tc>
          <w:tcPr>
            <w:tcW w:w="866" w:type="dxa"/>
          </w:tcPr>
          <w:p w:rsidR="007405BE" w:rsidRDefault="007405BE">
            <w:pPr>
              <w:spacing w:before="40" w:after="120" w:line="276" w:lineRule="auto"/>
              <w:ind w:right="113"/>
              <w:rPr>
                <w:sz w:val="22"/>
                <w:szCs w:val="22"/>
              </w:rPr>
            </w:pPr>
            <w:r>
              <w:t>B2</w:t>
            </w:r>
          </w:p>
        </w:tc>
        <w:tc>
          <w:tcPr>
            <w:tcW w:w="6504" w:type="dxa"/>
          </w:tcPr>
          <w:p w:rsidR="007405BE" w:rsidRDefault="007405BE">
            <w:pPr>
              <w:spacing w:before="40" w:after="120" w:line="276" w:lineRule="auto"/>
              <w:ind w:right="113"/>
              <w:rPr>
                <w:sz w:val="22"/>
                <w:szCs w:val="22"/>
              </w:rPr>
            </w:pPr>
            <w:r>
              <w:t>Initial action taken, but additional information required</w:t>
            </w:r>
          </w:p>
        </w:tc>
      </w:tr>
      <w:tr w:rsidR="007405BE" w:rsidTr="007405BE">
        <w:trPr>
          <w:cantSplit/>
        </w:trPr>
        <w:tc>
          <w:tcPr>
            <w:tcW w:w="7370" w:type="dxa"/>
            <w:gridSpan w:val="2"/>
          </w:tcPr>
          <w:p w:rsidR="007405BE" w:rsidRDefault="007405BE">
            <w:pPr>
              <w:spacing w:before="40" w:after="120" w:line="276" w:lineRule="auto"/>
              <w:ind w:right="113"/>
              <w:rPr>
                <w:b/>
                <w:sz w:val="22"/>
                <w:szCs w:val="22"/>
              </w:rPr>
            </w:pPr>
            <w:r>
              <w:rPr>
                <w:b/>
              </w:rPr>
              <w:t>Reply/action not satisfactory</w:t>
            </w:r>
          </w:p>
        </w:tc>
      </w:tr>
      <w:tr w:rsidR="007405BE" w:rsidTr="007405BE">
        <w:trPr>
          <w:cantSplit/>
        </w:trPr>
        <w:tc>
          <w:tcPr>
            <w:tcW w:w="866" w:type="dxa"/>
          </w:tcPr>
          <w:p w:rsidR="007405BE" w:rsidRDefault="007405BE">
            <w:pPr>
              <w:spacing w:before="40" w:after="120" w:line="276" w:lineRule="auto"/>
              <w:ind w:right="113"/>
              <w:rPr>
                <w:sz w:val="22"/>
                <w:szCs w:val="22"/>
              </w:rPr>
            </w:pPr>
            <w:r>
              <w:t>C1</w:t>
            </w:r>
          </w:p>
        </w:tc>
        <w:tc>
          <w:tcPr>
            <w:tcW w:w="6504" w:type="dxa"/>
          </w:tcPr>
          <w:p w:rsidR="007405BE" w:rsidRDefault="007405BE">
            <w:pPr>
              <w:spacing w:before="40" w:after="120" w:line="276" w:lineRule="auto"/>
              <w:ind w:right="113"/>
              <w:rPr>
                <w:sz w:val="22"/>
                <w:szCs w:val="22"/>
              </w:rPr>
            </w:pPr>
            <w:r>
              <w:t>Reply received but actions taken do not implement the recommendation</w:t>
            </w:r>
          </w:p>
        </w:tc>
      </w:tr>
      <w:tr w:rsidR="007405BE" w:rsidTr="007405BE">
        <w:trPr>
          <w:cantSplit/>
        </w:trPr>
        <w:tc>
          <w:tcPr>
            <w:tcW w:w="866" w:type="dxa"/>
          </w:tcPr>
          <w:p w:rsidR="007405BE" w:rsidRDefault="007405BE">
            <w:pPr>
              <w:spacing w:before="40" w:after="120" w:line="276" w:lineRule="auto"/>
              <w:ind w:right="113"/>
              <w:rPr>
                <w:sz w:val="22"/>
                <w:szCs w:val="22"/>
              </w:rPr>
            </w:pPr>
            <w:r>
              <w:t>C2</w:t>
            </w:r>
          </w:p>
        </w:tc>
        <w:tc>
          <w:tcPr>
            <w:tcW w:w="6504" w:type="dxa"/>
          </w:tcPr>
          <w:p w:rsidR="007405BE" w:rsidRDefault="007405BE">
            <w:pPr>
              <w:spacing w:before="40" w:after="120" w:line="276" w:lineRule="auto"/>
              <w:ind w:right="113"/>
              <w:rPr>
                <w:sz w:val="22"/>
                <w:szCs w:val="22"/>
              </w:rPr>
            </w:pPr>
            <w:r>
              <w:t>Reply received but not relevant to the recommendation</w:t>
            </w:r>
          </w:p>
        </w:tc>
      </w:tr>
      <w:tr w:rsidR="007405BE" w:rsidTr="007405BE">
        <w:trPr>
          <w:cantSplit/>
        </w:trPr>
        <w:tc>
          <w:tcPr>
            <w:tcW w:w="7370" w:type="dxa"/>
            <w:gridSpan w:val="2"/>
          </w:tcPr>
          <w:p w:rsidR="007405BE" w:rsidRDefault="007405BE">
            <w:pPr>
              <w:spacing w:before="40" w:after="120" w:line="276" w:lineRule="auto"/>
              <w:ind w:right="113"/>
              <w:rPr>
                <w:b/>
                <w:sz w:val="22"/>
                <w:szCs w:val="22"/>
              </w:rPr>
            </w:pPr>
            <w:r>
              <w:rPr>
                <w:b/>
              </w:rPr>
              <w:t>No cooperation with the Committee</w:t>
            </w:r>
          </w:p>
        </w:tc>
      </w:tr>
      <w:tr w:rsidR="007405BE" w:rsidTr="007405BE">
        <w:trPr>
          <w:cantSplit/>
        </w:trPr>
        <w:tc>
          <w:tcPr>
            <w:tcW w:w="866" w:type="dxa"/>
          </w:tcPr>
          <w:p w:rsidR="007405BE" w:rsidRDefault="007405BE">
            <w:pPr>
              <w:spacing w:before="40" w:after="120" w:line="276" w:lineRule="auto"/>
              <w:ind w:right="113"/>
              <w:rPr>
                <w:sz w:val="22"/>
                <w:szCs w:val="22"/>
              </w:rPr>
            </w:pPr>
            <w:r>
              <w:t>D1</w:t>
            </w:r>
          </w:p>
        </w:tc>
        <w:tc>
          <w:tcPr>
            <w:tcW w:w="6504" w:type="dxa"/>
          </w:tcPr>
          <w:p w:rsidR="007405BE" w:rsidRDefault="007405BE">
            <w:pPr>
              <w:spacing w:before="40" w:after="120" w:line="276" w:lineRule="auto"/>
              <w:ind w:right="113"/>
              <w:rPr>
                <w:sz w:val="22"/>
                <w:szCs w:val="22"/>
              </w:rPr>
            </w:pPr>
            <w:r>
              <w:t xml:space="preserve">No reply to one or more of the follow-up recommendations or part of a follow-up recommendation  </w:t>
            </w:r>
          </w:p>
        </w:tc>
      </w:tr>
      <w:tr w:rsidR="007405BE" w:rsidTr="007405BE">
        <w:trPr>
          <w:cantSplit/>
        </w:trPr>
        <w:tc>
          <w:tcPr>
            <w:tcW w:w="866" w:type="dxa"/>
          </w:tcPr>
          <w:p w:rsidR="007405BE" w:rsidRDefault="007405BE">
            <w:pPr>
              <w:spacing w:before="40" w:after="120" w:line="276" w:lineRule="auto"/>
              <w:ind w:right="113"/>
              <w:rPr>
                <w:sz w:val="22"/>
                <w:szCs w:val="22"/>
              </w:rPr>
            </w:pPr>
            <w:r>
              <w:t>D2</w:t>
            </w:r>
          </w:p>
        </w:tc>
        <w:tc>
          <w:tcPr>
            <w:tcW w:w="6504" w:type="dxa"/>
          </w:tcPr>
          <w:p w:rsidR="007405BE" w:rsidRDefault="007405BE">
            <w:pPr>
              <w:spacing w:before="40" w:after="120" w:line="276" w:lineRule="auto"/>
              <w:ind w:right="113"/>
              <w:rPr>
                <w:sz w:val="22"/>
                <w:szCs w:val="22"/>
              </w:rPr>
            </w:pPr>
            <w:r>
              <w:t>No reply received after reminder(s)</w:t>
            </w:r>
          </w:p>
        </w:tc>
      </w:tr>
      <w:tr w:rsidR="007405BE" w:rsidTr="007405BE">
        <w:trPr>
          <w:cantSplit/>
        </w:trPr>
        <w:tc>
          <w:tcPr>
            <w:tcW w:w="7370" w:type="dxa"/>
            <w:gridSpan w:val="2"/>
          </w:tcPr>
          <w:p w:rsidR="007405BE" w:rsidRDefault="007405BE">
            <w:pPr>
              <w:spacing w:before="40" w:after="120" w:line="276" w:lineRule="auto"/>
              <w:ind w:right="113"/>
              <w:rPr>
                <w:b/>
                <w:sz w:val="22"/>
                <w:szCs w:val="22"/>
              </w:rPr>
            </w:pPr>
            <w:r>
              <w:rPr>
                <w:b/>
              </w:rPr>
              <w:t>The measures taken are contrary to the recommendations of the Committee</w:t>
            </w:r>
          </w:p>
        </w:tc>
      </w:tr>
      <w:tr w:rsidR="007405BE" w:rsidTr="007405BE">
        <w:trPr>
          <w:cantSplit/>
        </w:trPr>
        <w:tc>
          <w:tcPr>
            <w:tcW w:w="866" w:type="dxa"/>
            <w:tcBorders>
              <w:top w:val="nil"/>
              <w:left w:val="nil"/>
              <w:bottom w:val="single" w:sz="12" w:space="0" w:color="auto"/>
              <w:right w:val="nil"/>
            </w:tcBorders>
          </w:tcPr>
          <w:p w:rsidR="007405BE" w:rsidRDefault="007405BE">
            <w:pPr>
              <w:spacing w:before="40" w:after="120" w:line="276" w:lineRule="auto"/>
              <w:ind w:right="113"/>
              <w:rPr>
                <w:sz w:val="22"/>
                <w:szCs w:val="22"/>
              </w:rPr>
            </w:pPr>
            <w:r>
              <w:t>E</w:t>
            </w:r>
          </w:p>
        </w:tc>
        <w:tc>
          <w:tcPr>
            <w:tcW w:w="6504" w:type="dxa"/>
            <w:tcBorders>
              <w:top w:val="nil"/>
              <w:left w:val="nil"/>
              <w:bottom w:val="single" w:sz="12" w:space="0" w:color="auto"/>
              <w:right w:val="nil"/>
            </w:tcBorders>
          </w:tcPr>
          <w:p w:rsidR="007405BE" w:rsidRDefault="007405BE">
            <w:pPr>
              <w:spacing w:before="40" w:after="120" w:line="276" w:lineRule="auto"/>
              <w:ind w:right="113"/>
              <w:rPr>
                <w:sz w:val="22"/>
                <w:szCs w:val="22"/>
              </w:rPr>
            </w:pPr>
            <w:r>
              <w:t>The reply indicates that the measures taken go against the recommendations of the Committee</w:t>
            </w:r>
          </w:p>
        </w:tc>
      </w:tr>
    </w:tbl>
    <w:p w:rsidR="00DD01CC" w:rsidRPr="00DD01CC" w:rsidRDefault="00110731" w:rsidP="00110731">
      <w:pPr>
        <w:pStyle w:val="SingleTxtG"/>
        <w:spacing w:before="120"/>
        <w:rPr>
          <w:lang w:val="en-US"/>
        </w:rPr>
      </w:pPr>
      <w:r>
        <w:rPr>
          <w:lang w:val="en-US"/>
        </w:rPr>
        <w:t>18.</w:t>
      </w:r>
      <w:r>
        <w:rPr>
          <w:lang w:val="en-US"/>
        </w:rPr>
        <w:tab/>
      </w:r>
      <w:r w:rsidR="00C367BB">
        <w:rPr>
          <w:lang w:val="en-US"/>
        </w:rPr>
        <w:t>During the</w:t>
      </w:r>
      <w:r w:rsidR="00041B46">
        <w:rPr>
          <w:lang w:val="en-US"/>
        </w:rPr>
        <w:t xml:space="preserve"> evaluation of the</w:t>
      </w:r>
      <w:r w:rsidR="00C367BB">
        <w:rPr>
          <w:lang w:val="en-US"/>
        </w:rPr>
        <w:t xml:space="preserve"> replies, the criteria are applied as follows</w:t>
      </w:r>
      <w:r w:rsidR="009D622E">
        <w:rPr>
          <w:lang w:val="en-US"/>
        </w:rPr>
        <w:t xml:space="preserve">: </w:t>
      </w:r>
    </w:p>
    <w:p w:rsidR="007405BE" w:rsidRDefault="007405BE" w:rsidP="007405BE">
      <w:pPr>
        <w:pStyle w:val="Bullet1G"/>
        <w:numPr>
          <w:numberingChange w:id="5" w:author="Suzanne Starcevic" w:date="2013-10-21T13:35:00Z" w:original="•"/>
        </w:numPr>
        <w:rPr>
          <w:lang w:val="en-US"/>
        </w:rPr>
      </w:pPr>
      <w:r>
        <w:rPr>
          <w:b/>
          <w:lang w:val="en-US"/>
        </w:rPr>
        <w:t>Reply/action satisfactory:</w:t>
      </w:r>
      <w:r>
        <w:rPr>
          <w:w w:val="103"/>
          <w:lang w:val="en-US"/>
        </w:rPr>
        <w:t xml:space="preserve"> </w:t>
      </w:r>
      <w:r w:rsidR="00B854DB">
        <w:rPr>
          <w:w w:val="103"/>
        </w:rPr>
        <w:t xml:space="preserve">The </w:t>
      </w:r>
      <w:r>
        <w:rPr>
          <w:w w:val="103"/>
        </w:rPr>
        <w:t>State party has provided evidence of significant action taken towards the implementation of the recommendation made by the Committee</w:t>
      </w:r>
      <w:r w:rsidR="00B854DB">
        <w:rPr>
          <w:w w:val="103"/>
        </w:rPr>
        <w:t xml:space="preserve"> </w:t>
      </w:r>
      <w:r w:rsidR="00B854DB" w:rsidRPr="00B854DB">
        <w:rPr>
          <w:lang w:val="en-US"/>
        </w:rPr>
        <w:t>[A]</w:t>
      </w:r>
      <w:r>
        <w:rPr>
          <w:w w:val="103"/>
        </w:rPr>
        <w:t xml:space="preserve">; in this case, </w:t>
      </w:r>
      <w:r>
        <w:rPr>
          <w:w w:val="103"/>
          <w:lang w:eastAsia="ja-JP"/>
        </w:rPr>
        <w:t xml:space="preserve">the </w:t>
      </w:r>
      <w:r w:rsidR="00B854DB">
        <w:rPr>
          <w:w w:val="103"/>
          <w:lang w:eastAsia="ja-JP"/>
        </w:rPr>
        <w:t xml:space="preserve">Special Rapporteur for </w:t>
      </w:r>
      <w:r>
        <w:rPr>
          <w:w w:val="103"/>
          <w:lang w:eastAsia="ja-JP"/>
        </w:rPr>
        <w:t xml:space="preserve">follow-up </w:t>
      </w:r>
      <w:r w:rsidR="00B854DB">
        <w:rPr>
          <w:w w:val="103"/>
          <w:lang w:eastAsia="ja-JP"/>
        </w:rPr>
        <w:t xml:space="preserve">to concluding observations </w:t>
      </w:r>
      <w:r>
        <w:rPr>
          <w:w w:val="103"/>
          <w:lang w:eastAsia="ja-JP"/>
        </w:rPr>
        <w:t xml:space="preserve">requests </w:t>
      </w:r>
      <w:r>
        <w:rPr>
          <w:w w:val="103"/>
        </w:rPr>
        <w:t xml:space="preserve">no additional information from the State party and the </w:t>
      </w:r>
      <w:r w:rsidR="00B83D68">
        <w:rPr>
          <w:w w:val="103"/>
        </w:rPr>
        <w:t>follow-up</w:t>
      </w:r>
      <w:r>
        <w:rPr>
          <w:w w:val="103"/>
        </w:rPr>
        <w:t xml:space="preserve"> procedure </w:t>
      </w:r>
      <w:r w:rsidR="00B854DB">
        <w:rPr>
          <w:w w:val="103"/>
        </w:rPr>
        <w:t xml:space="preserve">on the issue </w:t>
      </w:r>
      <w:r>
        <w:rPr>
          <w:w w:val="103"/>
        </w:rPr>
        <w:t>is discontinued.</w:t>
      </w:r>
    </w:p>
    <w:p w:rsidR="007405BE" w:rsidRDefault="007405BE" w:rsidP="00B854DB">
      <w:pPr>
        <w:pStyle w:val="Bullet1G"/>
        <w:numPr>
          <w:numberingChange w:id="6" w:author="Suzanne Starcevic" w:date="2013-10-21T13:35:00Z" w:original="•"/>
        </w:numPr>
        <w:rPr>
          <w:lang w:val="en-US"/>
        </w:rPr>
      </w:pPr>
      <w:r>
        <w:rPr>
          <w:b/>
          <w:lang w:val="en-US"/>
        </w:rPr>
        <w:t>Reply/action partially satisfactory:</w:t>
      </w:r>
      <w:r>
        <w:rPr>
          <w:lang w:val="en-US"/>
        </w:rPr>
        <w:t xml:space="preserve"> </w:t>
      </w:r>
      <w:r w:rsidR="00B854DB">
        <w:rPr>
          <w:lang w:val="en-US"/>
        </w:rPr>
        <w:t>T</w:t>
      </w:r>
      <w:r>
        <w:rPr>
          <w:lang w:val="en-US"/>
        </w:rPr>
        <w:t xml:space="preserve">he State party took some </w:t>
      </w:r>
      <w:r>
        <w:rPr>
          <w:w w:val="103"/>
        </w:rPr>
        <w:t xml:space="preserve">steps towards the implementation of the recommendation but additional information remains necessary [B1], or the State party needs to take further action and provide information to the Committee </w:t>
      </w:r>
      <w:r w:rsidR="00B854DB">
        <w:rPr>
          <w:w w:val="103"/>
        </w:rPr>
        <w:t xml:space="preserve">in </w:t>
      </w:r>
      <w:r>
        <w:rPr>
          <w:w w:val="103"/>
        </w:rPr>
        <w:t xml:space="preserve">that regard [B2]. In this case, the </w:t>
      </w:r>
      <w:r w:rsidR="00A247F8">
        <w:rPr>
          <w:w w:val="103"/>
        </w:rPr>
        <w:t xml:space="preserve">Special Rapporteur for </w:t>
      </w:r>
      <w:r>
        <w:rPr>
          <w:w w:val="103"/>
        </w:rPr>
        <w:t>follow-up</w:t>
      </w:r>
      <w:r w:rsidR="00A247F8">
        <w:rPr>
          <w:w w:val="103"/>
        </w:rPr>
        <w:t xml:space="preserve"> to concluding observations</w:t>
      </w:r>
      <w:r>
        <w:rPr>
          <w:w w:val="103"/>
        </w:rPr>
        <w:t xml:space="preserve"> requests additional information, within a specific time frame or in the next periodic report, on specific points of its previous reply that </w:t>
      </w:r>
      <w:r w:rsidR="00B854DB">
        <w:rPr>
          <w:w w:val="103"/>
        </w:rPr>
        <w:t xml:space="preserve">require </w:t>
      </w:r>
      <w:r>
        <w:rPr>
          <w:w w:val="103"/>
        </w:rPr>
        <w:t>clarification, or on additional steps taken by the State party to implement the recommendation.</w:t>
      </w:r>
    </w:p>
    <w:p w:rsidR="007405BE" w:rsidRDefault="007405BE" w:rsidP="007405BE">
      <w:pPr>
        <w:pStyle w:val="Bullet1G"/>
        <w:numPr>
          <w:numberingChange w:id="7" w:author="Suzanne Starcevic" w:date="2013-10-21T13:35:00Z" w:original="•"/>
        </w:numPr>
        <w:rPr>
          <w:lang w:val="en-US"/>
        </w:rPr>
      </w:pPr>
      <w:r>
        <w:rPr>
          <w:b/>
          <w:lang w:val="en-US"/>
        </w:rPr>
        <w:t>Reply/action not satisfactory:</w:t>
      </w:r>
      <w:r>
        <w:rPr>
          <w:lang w:val="en-US"/>
        </w:rPr>
        <w:t xml:space="preserve"> </w:t>
      </w:r>
      <w:r w:rsidR="00B854DB">
        <w:rPr>
          <w:lang w:val="en-US"/>
        </w:rPr>
        <w:t>T</w:t>
      </w:r>
      <w:r>
        <w:rPr>
          <w:lang w:val="en-US"/>
        </w:rPr>
        <w:t>he State party has taken no action to implement the recommendation [C1] or the action taken has not addressed the situation under consideration [C2]. In</w:t>
      </w:r>
      <w:r>
        <w:rPr>
          <w:w w:val="103"/>
        </w:rPr>
        <w:t xml:space="preserve"> this case, the </w:t>
      </w:r>
      <w:r w:rsidR="00A247F8">
        <w:rPr>
          <w:w w:val="103"/>
        </w:rPr>
        <w:t xml:space="preserve">Special Rapporteur for </w:t>
      </w:r>
      <w:r>
        <w:rPr>
          <w:w w:val="103"/>
        </w:rPr>
        <w:t xml:space="preserve">follow-up </w:t>
      </w:r>
      <w:r w:rsidR="00A247F8">
        <w:rPr>
          <w:w w:val="103"/>
        </w:rPr>
        <w:t xml:space="preserve">to concluding observations </w:t>
      </w:r>
      <w:r>
        <w:rPr>
          <w:w w:val="103"/>
        </w:rPr>
        <w:t>renews the request for information on steps taken to implement the recommendation.</w:t>
      </w:r>
    </w:p>
    <w:p w:rsidR="007405BE" w:rsidRDefault="007405BE" w:rsidP="007405BE">
      <w:pPr>
        <w:pStyle w:val="Bullet1G"/>
        <w:numPr>
          <w:numberingChange w:id="8" w:author="Suzanne Starcevic" w:date="2013-10-21T13:35:00Z" w:original="•"/>
        </w:numPr>
        <w:rPr>
          <w:b/>
          <w:lang w:val="en-US"/>
        </w:rPr>
      </w:pPr>
      <w:r>
        <w:rPr>
          <w:b/>
          <w:lang w:val="en-US"/>
        </w:rPr>
        <w:t>No cooperation with the Committee</w:t>
      </w:r>
      <w:r w:rsidRPr="007F62E2">
        <w:rPr>
          <w:b/>
          <w:lang w:val="en-US"/>
        </w:rPr>
        <w:t>:</w:t>
      </w:r>
      <w:r>
        <w:rPr>
          <w:lang w:val="en-US"/>
        </w:rPr>
        <w:t xml:space="preserve"> </w:t>
      </w:r>
      <w:r w:rsidR="00B854DB">
        <w:rPr>
          <w:lang w:val="en-US"/>
        </w:rPr>
        <w:t>T</w:t>
      </w:r>
      <w:r>
        <w:rPr>
          <w:lang w:val="en-US"/>
        </w:rPr>
        <w:t>he State party has not replied within the deadline</w:t>
      </w:r>
      <w:r>
        <w:rPr>
          <w:lang w:val="en-US" w:eastAsia="ja-JP"/>
        </w:rPr>
        <w:t>, or the State party has not provided information on the measures taken for the implementation of one of the follow-up recommendations [D1]</w:t>
      </w:r>
      <w:r>
        <w:rPr>
          <w:lang w:val="en-US"/>
        </w:rPr>
        <w:t>, or the State party has not provided information despite the reminder(s) sent by the Special Rapporteur [D2].</w:t>
      </w:r>
    </w:p>
    <w:p w:rsidR="007405BE" w:rsidRDefault="007405BE" w:rsidP="007405BE">
      <w:pPr>
        <w:pStyle w:val="Bullet1G"/>
        <w:numPr>
          <w:numberingChange w:id="9" w:author="Suzanne Starcevic" w:date="2013-10-21T13:35:00Z" w:original="•"/>
        </w:numPr>
        <w:rPr>
          <w:b/>
          <w:lang w:val="en-US"/>
        </w:rPr>
      </w:pPr>
      <w:r>
        <w:rPr>
          <w:b/>
          <w:lang w:val="en-US"/>
        </w:rPr>
        <w:t>The measures taken are contrary to the recommendations of the Committee:</w:t>
      </w:r>
      <w:r>
        <w:rPr>
          <w:lang w:val="en-US"/>
        </w:rPr>
        <w:t xml:space="preserve"> </w:t>
      </w:r>
      <w:r w:rsidR="00A247F8">
        <w:rPr>
          <w:lang w:val="en-US"/>
        </w:rPr>
        <w:t>T</w:t>
      </w:r>
      <w:r>
        <w:rPr>
          <w:lang w:val="en-US"/>
        </w:rPr>
        <w:t>he State party adopted measures that are contrary or have results contrary to the recommendation of the Committee [E].</w:t>
      </w:r>
    </w:p>
    <w:p w:rsidR="007405BE" w:rsidRDefault="007405BE" w:rsidP="007405BE">
      <w:pPr>
        <w:pStyle w:val="SingleTxtG"/>
      </w:pPr>
      <w:r>
        <w:t>1</w:t>
      </w:r>
      <w:r w:rsidR="00D339DB">
        <w:t>9</w:t>
      </w:r>
      <w:r>
        <w:t>.</w:t>
      </w:r>
      <w:r>
        <w:tab/>
        <w:t>Some recommendations co</w:t>
      </w:r>
      <w:r w:rsidR="002B54A6">
        <w:t>ver</w:t>
      </w:r>
      <w:r>
        <w:t xml:space="preserve"> </w:t>
      </w:r>
      <w:r w:rsidR="009E61AD">
        <w:t xml:space="preserve">various </w:t>
      </w:r>
      <w:r>
        <w:t xml:space="preserve">points or issues. In such cases, it is common that </w:t>
      </w:r>
      <w:r w:rsidR="009E61AD">
        <w:t xml:space="preserve">more than one </w:t>
      </w:r>
      <w:r>
        <w:t xml:space="preserve">criteria </w:t>
      </w:r>
      <w:r w:rsidR="009E61AD">
        <w:t xml:space="preserve">assessment is </w:t>
      </w:r>
      <w:r>
        <w:t>applied to one recommendation</w:t>
      </w:r>
      <w:r w:rsidR="00A247F8">
        <w:t>, in order</w:t>
      </w:r>
      <w:r>
        <w:t xml:space="preserve"> to differentiate the aspects that have been implemented from those on which additional action or information are requested and from those that have not been addressed. </w:t>
      </w:r>
    </w:p>
    <w:p w:rsidR="007405BE" w:rsidRDefault="007405BE" w:rsidP="007405BE">
      <w:pPr>
        <w:pStyle w:val="H23G"/>
      </w:pPr>
      <w:r>
        <w:tab/>
      </w:r>
      <w:r>
        <w:tab/>
        <w:t xml:space="preserve">Follow-up letters sent to the State party by the Special Rapporteur </w:t>
      </w:r>
      <w:r w:rsidR="00A247F8">
        <w:t xml:space="preserve">for </w:t>
      </w:r>
      <w:r>
        <w:t>follow-up to concluding observations and follow-up replies</w:t>
      </w:r>
    </w:p>
    <w:p w:rsidR="007405BE" w:rsidRDefault="00D339DB" w:rsidP="007405BE">
      <w:pPr>
        <w:pStyle w:val="SingleTxtG"/>
        <w:rPr>
          <w:rFonts w:eastAsia="Calibri"/>
        </w:rPr>
      </w:pPr>
      <w:r>
        <w:t>20</w:t>
      </w:r>
      <w:r w:rsidR="007405BE">
        <w:t>.</w:t>
      </w:r>
      <w:r w:rsidR="007405BE">
        <w:tab/>
        <w:t xml:space="preserve">After the adoption of the </w:t>
      </w:r>
      <w:r w:rsidR="00A247F8">
        <w:t>f</w:t>
      </w:r>
      <w:r w:rsidR="007405BE">
        <w:t xml:space="preserve">ollow-up progress report, the Special Rapporteur </w:t>
      </w:r>
      <w:r w:rsidR="00A247F8">
        <w:t xml:space="preserve">for </w:t>
      </w:r>
      <w:r w:rsidR="007405BE">
        <w:t xml:space="preserve">follow-up to concluding observations sends letters to the State party, reflecting the analysis and decision adopted by the Committee. In most cases, additional action and/or information is requested </w:t>
      </w:r>
      <w:r w:rsidR="00A247F8">
        <w:t xml:space="preserve">from </w:t>
      </w:r>
      <w:r w:rsidR="007405BE">
        <w:t xml:space="preserve">the State party. The letter sent to the State party then specifies the pending issues. Such letters shall be sent not later than </w:t>
      </w:r>
      <w:r w:rsidR="007405BE" w:rsidRPr="00A247F8">
        <w:t>three weeks after the end of the session.</w:t>
      </w:r>
      <w:r w:rsidR="007405BE">
        <w:t xml:space="preserve"> The replies received from States parties to the letters are called </w:t>
      </w:r>
      <w:r w:rsidR="007405BE" w:rsidRPr="00A247F8">
        <w:t>follow-up replies.</w:t>
      </w:r>
      <w:r w:rsidR="007405BE">
        <w:t xml:space="preserve"> Follow-up letters should systematically </w:t>
      </w:r>
      <w:r w:rsidR="007405BE" w:rsidRPr="00A247F8">
        <w:t xml:space="preserve">specify the deadline </w:t>
      </w:r>
      <w:r w:rsidR="00B65B50">
        <w:t>for</w:t>
      </w:r>
      <w:r w:rsidR="00B65B50" w:rsidRPr="00A247F8">
        <w:t xml:space="preserve"> </w:t>
      </w:r>
      <w:r w:rsidR="007405BE" w:rsidRPr="00A247F8">
        <w:t>the reply.</w:t>
      </w:r>
      <w:r w:rsidR="007405BE">
        <w:t xml:space="preserve"> </w:t>
      </w:r>
    </w:p>
    <w:p w:rsidR="007405BE" w:rsidRDefault="007405BE" w:rsidP="007405BE">
      <w:pPr>
        <w:pStyle w:val="SingleTxtG"/>
      </w:pPr>
      <w:r>
        <w:t>2</w:t>
      </w:r>
      <w:r w:rsidR="00D339DB">
        <w:t>1</w:t>
      </w:r>
      <w:r>
        <w:t>.</w:t>
      </w:r>
      <w:r>
        <w:tab/>
        <w:t xml:space="preserve">States parties are requested to send follow-up replies at least </w:t>
      </w:r>
      <w:r w:rsidRPr="00A247F8">
        <w:t xml:space="preserve">one week before the beginning of the subsequent session, so that the Committee can take </w:t>
      </w:r>
      <w:r w:rsidR="00A247F8" w:rsidRPr="00A247F8">
        <w:t>th</w:t>
      </w:r>
      <w:r w:rsidR="00A247F8">
        <w:t>e</w:t>
      </w:r>
      <w:r w:rsidR="00A247F8" w:rsidRPr="00A247F8">
        <w:t xml:space="preserve"> repl</w:t>
      </w:r>
      <w:r w:rsidR="00A247F8">
        <w:t>ies</w:t>
      </w:r>
      <w:r w:rsidR="00A247F8" w:rsidRPr="00A247F8">
        <w:t xml:space="preserve"> </w:t>
      </w:r>
      <w:r w:rsidRPr="00A247F8">
        <w:t xml:space="preserve">into account and include </w:t>
      </w:r>
      <w:r w:rsidR="00A247F8">
        <w:t>them</w:t>
      </w:r>
      <w:r w:rsidR="00A247F8" w:rsidRPr="00A247F8">
        <w:t xml:space="preserve"> </w:t>
      </w:r>
      <w:r w:rsidRPr="00A247F8">
        <w:t xml:space="preserve">in the </w:t>
      </w:r>
      <w:r w:rsidR="00A247F8" w:rsidRPr="00A247F8">
        <w:t>f</w:t>
      </w:r>
      <w:r w:rsidRPr="00A247F8">
        <w:t xml:space="preserve">ollow-up table </w:t>
      </w:r>
      <w:r>
        <w:t xml:space="preserve">(thereby avoiding </w:t>
      </w:r>
      <w:r w:rsidR="00027566">
        <w:t xml:space="preserve">the </w:t>
      </w:r>
      <w:r w:rsidRPr="00027566">
        <w:t>sending</w:t>
      </w:r>
      <w:r>
        <w:t xml:space="preserve"> </w:t>
      </w:r>
      <w:r w:rsidR="00027566">
        <w:t xml:space="preserve">of </w:t>
      </w:r>
      <w:r>
        <w:t xml:space="preserve">unnecessary reminders). This deadline also enables the </w:t>
      </w:r>
      <w:r w:rsidR="008326CD">
        <w:t>s</w:t>
      </w:r>
      <w:r>
        <w:t>ecretariat to send the replies to translation on time so that they can be analysed at the following session.</w:t>
      </w:r>
    </w:p>
    <w:p w:rsidR="007405BE" w:rsidRDefault="007405BE" w:rsidP="007405BE">
      <w:pPr>
        <w:pStyle w:val="H23G"/>
      </w:pPr>
      <w:r>
        <w:tab/>
      </w:r>
      <w:r>
        <w:tab/>
        <w:t>Measures taken in the absence of a report or reply by the State party</w:t>
      </w:r>
    </w:p>
    <w:p w:rsidR="007405BE" w:rsidRDefault="007405BE" w:rsidP="007405BE">
      <w:pPr>
        <w:pStyle w:val="SingleTxtG"/>
        <w:rPr>
          <w:rFonts w:eastAsia="Calibri"/>
        </w:rPr>
      </w:pPr>
      <w:r>
        <w:t>2</w:t>
      </w:r>
      <w:r w:rsidR="00D339DB">
        <w:t>2</w:t>
      </w:r>
      <w:r>
        <w:t>.</w:t>
      </w:r>
      <w:r>
        <w:tab/>
        <w:t>When a State party does not provide its follow-up report or reply, reminders are sent (</w:t>
      </w:r>
      <w:r w:rsidR="004512F4">
        <w:t xml:space="preserve">a </w:t>
      </w:r>
      <w:r>
        <w:t xml:space="preserve">first reminder at the session following the session </w:t>
      </w:r>
      <w:r w:rsidR="004512F4">
        <w:t xml:space="preserve">at which </w:t>
      </w:r>
      <w:r>
        <w:t xml:space="preserve">the follow-up report was expected; </w:t>
      </w:r>
      <w:r w:rsidR="004512F4">
        <w:t xml:space="preserve">a </w:t>
      </w:r>
      <w:r>
        <w:t xml:space="preserve">second reminder if no reply is received after the first reminder). </w:t>
      </w:r>
    </w:p>
    <w:p w:rsidR="007405BE" w:rsidRDefault="007405BE" w:rsidP="007405BE">
      <w:pPr>
        <w:pStyle w:val="SingleTxtG"/>
      </w:pPr>
      <w:r>
        <w:t>2</w:t>
      </w:r>
      <w:r w:rsidR="00D339DB">
        <w:t>3</w:t>
      </w:r>
      <w:r>
        <w:t>.</w:t>
      </w:r>
      <w:r>
        <w:tab/>
        <w:t xml:space="preserve">If after the second reminder no reply is received by the Committee, the </w:t>
      </w:r>
      <w:r w:rsidR="004512F4">
        <w:t xml:space="preserve">Special Rapporteur for </w:t>
      </w:r>
      <w:r>
        <w:t xml:space="preserve">follow-up </w:t>
      </w:r>
      <w:r w:rsidR="004512F4">
        <w:t xml:space="preserve">to concluding observations </w:t>
      </w:r>
      <w:r>
        <w:t xml:space="preserve">sends a letter to the State party requesting a meeting, </w:t>
      </w:r>
      <w:r w:rsidR="00453DA8">
        <w:t>to be</w:t>
      </w:r>
      <w:r>
        <w:t xml:space="preserve"> </w:t>
      </w:r>
      <w:r w:rsidRPr="00027566">
        <w:t>organized</w:t>
      </w:r>
      <w:r>
        <w:t xml:space="preserve"> by the </w:t>
      </w:r>
      <w:r w:rsidR="008326CD">
        <w:t>s</w:t>
      </w:r>
      <w:r>
        <w:t>ecretariat</w:t>
      </w:r>
      <w:r w:rsidR="00453DA8">
        <w:t xml:space="preserve"> and</w:t>
      </w:r>
      <w:r w:rsidR="00027566">
        <w:t xml:space="preserve"> held</w:t>
      </w:r>
      <w:r>
        <w:t xml:space="preserve"> during the subsequent session. </w:t>
      </w:r>
    </w:p>
    <w:p w:rsidR="007405BE" w:rsidRDefault="007405BE" w:rsidP="007405BE">
      <w:pPr>
        <w:pStyle w:val="SingleTxtG"/>
      </w:pPr>
      <w:r>
        <w:t>2</w:t>
      </w:r>
      <w:r w:rsidR="00D339DB">
        <w:t>4</w:t>
      </w:r>
      <w:r>
        <w:t>.</w:t>
      </w:r>
      <w:r>
        <w:tab/>
        <w:t xml:space="preserve">If no reply is sent despite the reminders, the Committee shall make reference to this lack of collaboration during the dialogue and in the next </w:t>
      </w:r>
      <w:r w:rsidR="004512F4">
        <w:t>c</w:t>
      </w:r>
      <w:r>
        <w:t xml:space="preserve">oncluding </w:t>
      </w:r>
      <w:r w:rsidR="004512F4">
        <w:t>o</w:t>
      </w:r>
      <w:r>
        <w:t>bservations adopted for the State party (“The Committee regrets that the State party did not provide any report/reply to the letter sent to the State party dated</w:t>
      </w:r>
      <w:r w:rsidR="004512F4">
        <w:t xml:space="preserve"> [XXXX] </w:t>
      </w:r>
      <w:r>
        <w:t>under the follow-up procedure to concluding observations.”)</w:t>
      </w:r>
      <w:r w:rsidR="00533473">
        <w:t>.</w:t>
      </w:r>
    </w:p>
    <w:p w:rsidR="007405BE" w:rsidRDefault="007405BE" w:rsidP="007405BE">
      <w:pPr>
        <w:pStyle w:val="H23G"/>
      </w:pPr>
      <w:r>
        <w:tab/>
      </w:r>
      <w:r>
        <w:tab/>
        <w:t xml:space="preserve">Discontinuation of the </w:t>
      </w:r>
      <w:r w:rsidR="00B83D68">
        <w:t>follow-up</w:t>
      </w:r>
      <w:r>
        <w:t xml:space="preserve"> process</w:t>
      </w:r>
    </w:p>
    <w:p w:rsidR="007405BE" w:rsidRDefault="007405BE" w:rsidP="007405BE">
      <w:pPr>
        <w:pStyle w:val="SingleTxtG"/>
        <w:rPr>
          <w:rFonts w:eastAsia="Calibri"/>
        </w:rPr>
      </w:pPr>
      <w:r>
        <w:t>2</w:t>
      </w:r>
      <w:r w:rsidR="00D339DB">
        <w:t>5</w:t>
      </w:r>
      <w:r>
        <w:t>.</w:t>
      </w:r>
      <w:r>
        <w:tab/>
        <w:t xml:space="preserve">The </w:t>
      </w:r>
      <w:r w:rsidR="00B83D68">
        <w:t>follow-up</w:t>
      </w:r>
      <w:r>
        <w:t xml:space="preserve"> process can be discontinued </w:t>
      </w:r>
      <w:r w:rsidR="008B0CAE">
        <w:t xml:space="preserve">under the following </w:t>
      </w:r>
      <w:r>
        <w:t>three circumstances:</w:t>
      </w:r>
    </w:p>
    <w:p w:rsidR="007405BE" w:rsidRPr="007405BE" w:rsidRDefault="007405BE" w:rsidP="00E777C9">
      <w:pPr>
        <w:pStyle w:val="SingleTxtG"/>
        <w:ind w:firstLine="567"/>
      </w:pPr>
      <w:r w:rsidRPr="007405BE">
        <w:t>(</w:t>
      </w:r>
      <w:r w:rsidR="008B0CAE">
        <w:t>a</w:t>
      </w:r>
      <w:r w:rsidRPr="007405BE">
        <w:t>)</w:t>
      </w:r>
      <w:r w:rsidRPr="007405BE">
        <w:tab/>
        <w:t xml:space="preserve">The Committee considers that the </w:t>
      </w:r>
      <w:r w:rsidR="00B83D68">
        <w:t>follow-up</w:t>
      </w:r>
      <w:r w:rsidRPr="007405BE">
        <w:t xml:space="preserve"> report/replies of the State party are satisfactory;</w:t>
      </w:r>
    </w:p>
    <w:p w:rsidR="007405BE" w:rsidRPr="007405BE" w:rsidRDefault="007405BE" w:rsidP="00E777C9">
      <w:pPr>
        <w:pStyle w:val="SingleTxtG"/>
        <w:ind w:firstLine="567"/>
      </w:pPr>
      <w:r w:rsidRPr="007405BE">
        <w:t>(</w:t>
      </w:r>
      <w:r w:rsidR="008B0CAE">
        <w:t>b</w:t>
      </w:r>
      <w:r w:rsidRPr="007405BE">
        <w:t>)</w:t>
      </w:r>
      <w:r w:rsidRPr="007405BE">
        <w:tab/>
        <w:t xml:space="preserve">The </w:t>
      </w:r>
      <w:r w:rsidR="008B0CAE">
        <w:t>list of issues prior to reporting</w:t>
      </w:r>
      <w:r w:rsidR="008B0CAE" w:rsidRPr="007405BE">
        <w:t xml:space="preserve"> </w:t>
      </w:r>
      <w:r w:rsidRPr="007405BE">
        <w:t>for the State party is due to be adopted within six months after the adoption of the follow-up progress report</w:t>
      </w:r>
      <w:r w:rsidR="008B0CAE">
        <w:t xml:space="preserve"> of the Special Rapporteur</w:t>
      </w:r>
      <w:r w:rsidRPr="007405BE">
        <w:t xml:space="preserve">. In this case, the </w:t>
      </w:r>
      <w:r w:rsidR="00B83D68">
        <w:t>follow-up</w:t>
      </w:r>
      <w:r w:rsidRPr="007405BE">
        <w:t xml:space="preserve"> questions that have not been replied to by the State party must be </w:t>
      </w:r>
      <w:r w:rsidR="00735F0D">
        <w:t>included</w:t>
      </w:r>
      <w:r w:rsidR="00735F0D" w:rsidRPr="007405BE">
        <w:t xml:space="preserve"> </w:t>
      </w:r>
      <w:r w:rsidRPr="007405BE">
        <w:t xml:space="preserve">in the </w:t>
      </w:r>
      <w:r w:rsidR="008B0CAE">
        <w:t>list of issues prior to reporting;</w:t>
      </w:r>
    </w:p>
    <w:p w:rsidR="007405BE" w:rsidRPr="007405BE" w:rsidRDefault="007405BE" w:rsidP="00E777C9">
      <w:pPr>
        <w:pStyle w:val="SingleTxtG"/>
        <w:ind w:firstLine="567"/>
      </w:pPr>
      <w:r w:rsidRPr="007405BE">
        <w:t>(</w:t>
      </w:r>
      <w:r w:rsidR="008B0CAE">
        <w:t>c</w:t>
      </w:r>
      <w:r w:rsidRPr="007405BE">
        <w:t>)</w:t>
      </w:r>
      <w:r w:rsidRPr="007405BE">
        <w:tab/>
        <w:t xml:space="preserve">The deadline for the next periodic report is within six months after the adoption of the </w:t>
      </w:r>
      <w:r w:rsidR="008B0CAE">
        <w:t>f</w:t>
      </w:r>
      <w:r w:rsidRPr="007405BE">
        <w:t>ollow-up progress report</w:t>
      </w:r>
      <w:r w:rsidR="008B0CAE">
        <w:t xml:space="preserve"> of the Special Rapporteur</w:t>
      </w:r>
      <w:r w:rsidRPr="007405BE">
        <w:t xml:space="preserve">. In this case, the follow-up questions that have not been replied to by the State party will be automatically </w:t>
      </w:r>
      <w:r w:rsidR="00735F0D">
        <w:t>included</w:t>
      </w:r>
      <w:r w:rsidR="00735F0D" w:rsidRPr="007405BE">
        <w:t xml:space="preserve"> </w:t>
      </w:r>
      <w:r w:rsidRPr="007405BE">
        <w:t xml:space="preserve">in the </w:t>
      </w:r>
      <w:r w:rsidR="008B0CAE">
        <w:t>list of issues</w:t>
      </w:r>
      <w:r w:rsidRPr="007405BE">
        <w:t>.</w:t>
      </w:r>
    </w:p>
    <w:p w:rsidR="007405BE" w:rsidRDefault="007405BE" w:rsidP="007405BE">
      <w:pPr>
        <w:pStyle w:val="SingleTxtG"/>
        <w:rPr>
          <w:b/>
        </w:rPr>
      </w:pPr>
      <w:r>
        <w:t>2</w:t>
      </w:r>
      <w:r w:rsidR="00D339DB">
        <w:t>6</w:t>
      </w:r>
      <w:r>
        <w:t>.</w:t>
      </w:r>
      <w:r>
        <w:tab/>
        <w:t xml:space="preserve">To prevent the follow-up procedure overlapping with other steps </w:t>
      </w:r>
      <w:r w:rsidR="00533473">
        <w:t xml:space="preserve">in </w:t>
      </w:r>
      <w:r>
        <w:t xml:space="preserve">the reporting procedure, the </w:t>
      </w:r>
      <w:r w:rsidR="008B0CAE">
        <w:t>former</w:t>
      </w:r>
      <w:r>
        <w:t xml:space="preserve"> </w:t>
      </w:r>
      <w:r w:rsidRPr="008B0CAE">
        <w:t xml:space="preserve">is systematically discontinued after two letters requesting additional information or action. </w:t>
      </w:r>
      <w:r>
        <w:t xml:space="preserve">In other words, </w:t>
      </w:r>
      <w:r w:rsidRPr="008B0CAE">
        <w:t>the follow-up procedure shall systematically be discontinued after the provision of the State party’s third substantive reply.</w:t>
      </w:r>
      <w:r>
        <w:rPr>
          <w:b/>
        </w:rPr>
        <w:t xml:space="preserve"> </w:t>
      </w:r>
    </w:p>
    <w:p w:rsidR="007405BE" w:rsidRDefault="007405BE" w:rsidP="007405BE">
      <w:pPr>
        <w:pStyle w:val="SingleTxtG"/>
      </w:pPr>
      <w:r>
        <w:t>2</w:t>
      </w:r>
      <w:r w:rsidR="00D339DB">
        <w:t>7</w:t>
      </w:r>
      <w:r>
        <w:t>.</w:t>
      </w:r>
      <w:r>
        <w:tab/>
        <w:t xml:space="preserve">If the Committee then considers that the information provided is not satisfactory, the </w:t>
      </w:r>
      <w:r w:rsidRPr="008B0CAE">
        <w:t xml:space="preserve">pending issues shall be included in the next </w:t>
      </w:r>
      <w:r w:rsidR="008B0CAE">
        <w:t>list of issues</w:t>
      </w:r>
      <w:r w:rsidR="008B0CAE" w:rsidRPr="008B0CAE">
        <w:t xml:space="preserve"> </w:t>
      </w:r>
      <w:r w:rsidRPr="008B0CAE">
        <w:t xml:space="preserve">or </w:t>
      </w:r>
      <w:r w:rsidR="008B0CAE">
        <w:t>list of issues prior to reporting</w:t>
      </w:r>
      <w:r w:rsidR="008B0CAE" w:rsidRPr="008B0CAE">
        <w:t xml:space="preserve"> </w:t>
      </w:r>
      <w:r w:rsidRPr="008B0CAE">
        <w:t xml:space="preserve">to be adopted with regard to the State party </w:t>
      </w:r>
      <w:r>
        <w:t xml:space="preserve">concerned.  </w:t>
      </w:r>
    </w:p>
    <w:p w:rsidR="007405BE" w:rsidRDefault="007405BE" w:rsidP="007405BE">
      <w:pPr>
        <w:pStyle w:val="SingleTxtG"/>
      </w:pPr>
      <w:r>
        <w:t>2</w:t>
      </w:r>
      <w:r w:rsidR="00D339DB">
        <w:t>8</w:t>
      </w:r>
      <w:r>
        <w:t>.</w:t>
      </w:r>
      <w:r>
        <w:tab/>
        <w:t xml:space="preserve">In all such circumstances, the Committee should send a letter to the State party to inform it about the discontinuation of the </w:t>
      </w:r>
      <w:r w:rsidR="00B83D68">
        <w:t>follow-up</w:t>
      </w:r>
      <w:r>
        <w:t xml:space="preserve"> procedure. </w:t>
      </w:r>
    </w:p>
    <w:p w:rsidR="007405BE" w:rsidRPr="007405BE" w:rsidRDefault="007405BE" w:rsidP="007405BE">
      <w:pPr>
        <w:pStyle w:val="SingleTxtG"/>
        <w:spacing w:before="240" w:after="0"/>
        <w:jc w:val="center"/>
        <w:rPr>
          <w:sz w:val="22"/>
          <w:szCs w:val="22"/>
          <w:u w:val="single"/>
        </w:rPr>
      </w:pPr>
      <w:r>
        <w:rPr>
          <w:u w:val="single"/>
        </w:rPr>
        <w:tab/>
      </w:r>
      <w:r>
        <w:rPr>
          <w:u w:val="single"/>
        </w:rPr>
        <w:tab/>
      </w:r>
      <w:r>
        <w:rPr>
          <w:u w:val="single"/>
        </w:rPr>
        <w:tab/>
      </w:r>
    </w:p>
    <w:sectPr w:rsidR="007405BE" w:rsidRPr="007405BE" w:rsidSect="0090461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2B83" w:rsidRDefault="00262B83"/>
  </w:endnote>
  <w:endnote w:type="continuationSeparator" w:id="0">
    <w:p w:rsidR="00262B83" w:rsidRDefault="00262B83"/>
  </w:endnote>
  <w:endnote w:type="continuationNotice" w:id="1">
    <w:p w:rsidR="00262B83" w:rsidRDefault="00262B8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69A" w:rsidRPr="0090461D" w:rsidRDefault="0015469A" w:rsidP="0090461D">
    <w:pPr>
      <w:pStyle w:val="Footer"/>
      <w:tabs>
        <w:tab w:val="right" w:pos="9638"/>
      </w:tabs>
    </w:pPr>
    <w:r w:rsidRPr="0090461D">
      <w:rPr>
        <w:b/>
        <w:sz w:val="18"/>
      </w:rPr>
      <w:fldChar w:fldCharType="begin"/>
    </w:r>
    <w:r w:rsidRPr="0090461D">
      <w:rPr>
        <w:b/>
        <w:sz w:val="18"/>
      </w:rPr>
      <w:instrText xml:space="preserve"> PAGE  \* MERGEFORMAT </w:instrText>
    </w:r>
    <w:r w:rsidRPr="0090461D">
      <w:rPr>
        <w:b/>
        <w:sz w:val="18"/>
      </w:rPr>
      <w:fldChar w:fldCharType="separate"/>
    </w:r>
    <w:r w:rsidR="00AF712D">
      <w:rPr>
        <w:b/>
        <w:noProof/>
        <w:sz w:val="18"/>
      </w:rPr>
      <w:t>6</w:t>
    </w:r>
    <w:r w:rsidRPr="0090461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69A" w:rsidRPr="0090461D" w:rsidRDefault="0015469A" w:rsidP="0090461D">
    <w:pPr>
      <w:pStyle w:val="Footer"/>
      <w:tabs>
        <w:tab w:val="right" w:pos="9638"/>
      </w:tabs>
      <w:rPr>
        <w:b/>
        <w:sz w:val="18"/>
      </w:rPr>
    </w:pPr>
    <w:r>
      <w:tab/>
    </w:r>
    <w:r w:rsidRPr="0090461D">
      <w:rPr>
        <w:b/>
        <w:sz w:val="18"/>
      </w:rPr>
      <w:fldChar w:fldCharType="begin"/>
    </w:r>
    <w:r w:rsidRPr="0090461D">
      <w:rPr>
        <w:b/>
        <w:sz w:val="18"/>
      </w:rPr>
      <w:instrText xml:space="preserve"> PAGE  \* MERGEFORMAT </w:instrText>
    </w:r>
    <w:r w:rsidRPr="0090461D">
      <w:rPr>
        <w:b/>
        <w:sz w:val="18"/>
      </w:rPr>
      <w:fldChar w:fldCharType="separate"/>
    </w:r>
    <w:r w:rsidR="00AF712D">
      <w:rPr>
        <w:b/>
        <w:noProof/>
        <w:sz w:val="18"/>
      </w:rPr>
      <w:t>7</w:t>
    </w:r>
    <w:r w:rsidRPr="0090461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69A" w:rsidRPr="0090461D" w:rsidRDefault="0015469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AF712D">
      <w:t>47689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2B83" w:rsidRPr="000B175B" w:rsidRDefault="00262B83" w:rsidP="000B175B">
      <w:pPr>
        <w:tabs>
          <w:tab w:val="right" w:pos="2155"/>
        </w:tabs>
        <w:spacing w:after="80"/>
        <w:ind w:left="680"/>
        <w:rPr>
          <w:u w:val="single"/>
        </w:rPr>
      </w:pPr>
      <w:r>
        <w:rPr>
          <w:u w:val="single"/>
        </w:rPr>
        <w:tab/>
      </w:r>
    </w:p>
  </w:footnote>
  <w:footnote w:type="continuationSeparator" w:id="0">
    <w:p w:rsidR="00262B83" w:rsidRPr="00FC68B7" w:rsidRDefault="00262B83" w:rsidP="00FC68B7">
      <w:pPr>
        <w:tabs>
          <w:tab w:val="left" w:pos="2155"/>
        </w:tabs>
        <w:spacing w:after="80"/>
        <w:ind w:left="680"/>
        <w:rPr>
          <w:u w:val="single"/>
        </w:rPr>
      </w:pPr>
      <w:r>
        <w:rPr>
          <w:u w:val="single"/>
        </w:rPr>
        <w:tab/>
      </w:r>
    </w:p>
  </w:footnote>
  <w:footnote w:type="continuationNotice" w:id="1">
    <w:p w:rsidR="00262B83" w:rsidRDefault="00262B83"/>
  </w:footnote>
  <w:footnote w:id="2">
    <w:p w:rsidR="0015469A" w:rsidRPr="00A542A2" w:rsidRDefault="0015469A">
      <w:pPr>
        <w:pStyle w:val="FootnoteText"/>
        <w:rPr>
          <w:lang w:val="en-US"/>
        </w:rPr>
      </w:pPr>
      <w:r>
        <w:tab/>
      </w:r>
      <w:r w:rsidRPr="00A542A2">
        <w:rPr>
          <w:rStyle w:val="FootnoteReference"/>
          <w:sz w:val="20"/>
          <w:vertAlign w:val="baseline"/>
        </w:rPr>
        <w:t>*</w:t>
      </w:r>
      <w:r>
        <w:rPr>
          <w:sz w:val="20"/>
        </w:rPr>
        <w:tab/>
      </w:r>
      <w:r w:rsidRPr="00A542A2">
        <w:rPr>
          <w:szCs w:val="18"/>
        </w:rPr>
        <w:t xml:space="preserve">Adopted by the </w:t>
      </w:r>
      <w:r>
        <w:rPr>
          <w:szCs w:val="18"/>
        </w:rPr>
        <w:t>Committee at its 108th session (</w:t>
      </w:r>
      <w:r>
        <w:t>8–26 July</w:t>
      </w:r>
      <w:r w:rsidRPr="00104981">
        <w:t xml:space="preserve"> </w:t>
      </w:r>
      <w:r w:rsidRPr="00DB195C">
        <w:t>2013</w:t>
      </w:r>
      <w:r>
        <w:t>).</w:t>
      </w:r>
    </w:p>
  </w:footnote>
  <w:footnote w:id="3">
    <w:p w:rsidR="0015469A" w:rsidRDefault="0015469A" w:rsidP="007405BE">
      <w:pPr>
        <w:pStyle w:val="FootnoteText"/>
      </w:pPr>
      <w:r>
        <w:tab/>
      </w:r>
      <w:r>
        <w:rPr>
          <w:rStyle w:val="FootnoteReference"/>
        </w:rPr>
        <w:footnoteRef/>
      </w:r>
      <w:r>
        <w:tab/>
        <w:t xml:space="preserve">Similar guidelines were adopted by the Committee on the Elimination of Discrimination against Women at its fifty-fourth session, in February 2013. </w:t>
      </w:r>
    </w:p>
  </w:footnote>
  <w:footnote w:id="4">
    <w:p w:rsidR="0015469A" w:rsidRDefault="0015469A" w:rsidP="007405BE">
      <w:pPr>
        <w:pStyle w:val="FootnoteText"/>
      </w:pPr>
      <w:r>
        <w:tab/>
      </w:r>
      <w:r>
        <w:rPr>
          <w:rStyle w:val="FootnoteReference"/>
        </w:rPr>
        <w:footnoteRef/>
      </w:r>
      <w:r>
        <w:tab/>
      </w:r>
      <w:r w:rsidRPr="0029792F">
        <w:t>The criteria adopted by</w:t>
      </w:r>
      <w:r>
        <w:t xml:space="preserve"> the</w:t>
      </w:r>
      <w:r w:rsidRPr="0029792F">
        <w:t xml:space="preserve"> </w:t>
      </w:r>
      <w:r w:rsidRPr="000927AB">
        <w:t>Centre</w:t>
      </w:r>
      <w:r>
        <w:t xml:space="preserve"> for Civil and Political Rights</w:t>
      </w:r>
      <w:r w:rsidRPr="003F5EAD">
        <w:t xml:space="preserve"> d</w:t>
      </w:r>
      <w:r>
        <w:t>id</w:t>
      </w:r>
      <w:r w:rsidRPr="003F5EAD">
        <w:t xml:space="preserve"> not include reference to the level of collaboration of the State party in the context of the procedure. Such criteria remain important for the Committee to be able to signal the situation of States parties that do not collaborate with the procedure.</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69A" w:rsidRPr="0090461D" w:rsidRDefault="0015469A">
    <w:pPr>
      <w:pStyle w:val="Header"/>
    </w:pPr>
    <w:r>
      <w:t>CCPR/C/108/2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69A" w:rsidRPr="0090461D" w:rsidRDefault="0015469A" w:rsidP="0090461D">
    <w:pPr>
      <w:pStyle w:val="Header"/>
      <w:jc w:val="right"/>
    </w:pPr>
    <w:r>
      <w:t>CCPR/C/108/2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E1F69"/>
    <w:multiLevelType w:val="hybridMultilevel"/>
    <w:tmpl w:val="80D044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E45A8D"/>
    <w:multiLevelType w:val="hybridMultilevel"/>
    <w:tmpl w:val="B2BC816C"/>
    <w:lvl w:ilvl="0" w:tplc="2CEA75AC">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nsid w:val="1D1D1646"/>
    <w:multiLevelType w:val="hybridMultilevel"/>
    <w:tmpl w:val="AA364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3E7A0E"/>
    <w:multiLevelType w:val="hybridMultilevel"/>
    <w:tmpl w:val="19F087B8"/>
    <w:lvl w:ilvl="0" w:tplc="48E84AC0">
      <w:start w:val="1"/>
      <w:numFmt w:val="lowerRoman"/>
      <w:lvlText w:val="(%1)"/>
      <w:lvlJc w:val="left"/>
      <w:pPr>
        <w:ind w:left="720" w:hanging="360"/>
      </w:pPr>
      <w:rPr>
        <w:rFonts w:ascii="Helv" w:eastAsia="Calibri" w:hAnsi="Helv" w:cs="Helv"/>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38956331"/>
    <w:multiLevelType w:val="hybridMultilevel"/>
    <w:tmpl w:val="A6A0F7EE"/>
    <w:lvl w:ilvl="0" w:tplc="318E9CD4">
      <w:start w:val="5"/>
      <w:numFmt w:val="bullet"/>
      <w:lvlText w:val="-"/>
      <w:lvlJc w:val="left"/>
      <w:pPr>
        <w:ind w:left="720" w:hanging="360"/>
      </w:pPr>
      <w:rPr>
        <w:rFonts w:ascii="Helv" w:eastAsia="Calibri" w:hAnsi="Helv" w:cs="Helv" w:hint="default"/>
      </w:rPr>
    </w:lvl>
    <w:lvl w:ilvl="1" w:tplc="026C453A">
      <w:start w:val="1"/>
      <w:numFmt w:val="lowerRoman"/>
      <w:lvlText w:val="(%2)"/>
      <w:lvlJc w:val="left"/>
      <w:pPr>
        <w:ind w:left="1440" w:hanging="360"/>
      </w:pPr>
      <w:rPr>
        <w:rFonts w:ascii="Helv" w:eastAsia="Calibri" w:hAnsi="Helv" w:cs="Helv"/>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3928605F"/>
    <w:multiLevelType w:val="hybridMultilevel"/>
    <w:tmpl w:val="4E1A9BA8"/>
    <w:lvl w:ilvl="0" w:tplc="870C3FF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40D60DA0"/>
    <w:multiLevelType w:val="hybridMultilevel"/>
    <w:tmpl w:val="8C644B40"/>
    <w:lvl w:ilvl="0" w:tplc="E35E4B1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nsid w:val="475B28F3"/>
    <w:multiLevelType w:val="hybridMultilevel"/>
    <w:tmpl w:val="53FC7F6A"/>
    <w:lvl w:ilvl="0" w:tplc="E35E4B14">
      <w:start w:val="1"/>
      <w:numFmt w:val="lowerRoman"/>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9">
    <w:nsid w:val="4E7D5FE7"/>
    <w:multiLevelType w:val="hybridMultilevel"/>
    <w:tmpl w:val="F460B4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4FEE283D"/>
    <w:multiLevelType w:val="hybridMultilevel"/>
    <w:tmpl w:val="EE5615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5BEC3B84"/>
    <w:multiLevelType w:val="hybridMultilevel"/>
    <w:tmpl w:val="3670C63C"/>
    <w:lvl w:ilvl="0" w:tplc="61E2AED2">
      <w:numFmt w:val="bullet"/>
      <w:lvlText w:val="-"/>
      <w:lvlJc w:val="left"/>
      <w:pPr>
        <w:ind w:left="1800" w:hanging="360"/>
      </w:pPr>
      <w:rPr>
        <w:rFonts w:ascii="Helv" w:eastAsia="Calibri" w:hAnsi="Helv" w:cs="Helv"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12">
    <w:nsid w:val="5DB8379B"/>
    <w:multiLevelType w:val="hybridMultilevel"/>
    <w:tmpl w:val="F452A1F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A476C2A"/>
    <w:multiLevelType w:val="hybridMultilevel"/>
    <w:tmpl w:val="899EE3C4"/>
    <w:lvl w:ilvl="0" w:tplc="E35E4B14">
      <w:start w:val="1"/>
      <w:numFmt w:val="lowerRoman"/>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5">
    <w:nsid w:val="718B3812"/>
    <w:multiLevelType w:val="hybridMultilevel"/>
    <w:tmpl w:val="79341B44"/>
    <w:lvl w:ilvl="0" w:tplc="E6E81254">
      <w:numFmt w:val="bullet"/>
      <w:lvlText w:val="-"/>
      <w:lvlJc w:val="left"/>
      <w:pPr>
        <w:ind w:left="720" w:hanging="360"/>
      </w:pPr>
      <w:rPr>
        <w:rFonts w:ascii="Helv" w:eastAsia="Calibri" w:hAnsi="Helv" w:cs="Helv"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56906E1"/>
    <w:multiLevelType w:val="hybridMultilevel"/>
    <w:tmpl w:val="8872241A"/>
    <w:lvl w:ilvl="0" w:tplc="E6E81254">
      <w:numFmt w:val="bullet"/>
      <w:lvlText w:val="-"/>
      <w:lvlJc w:val="left"/>
      <w:pPr>
        <w:ind w:left="720" w:hanging="360"/>
      </w:pPr>
      <w:rPr>
        <w:rFonts w:ascii="Helv" w:eastAsia="Calibri" w:hAnsi="Helv" w:cs="Helv"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0"/>
  </w:num>
  <w:num w:numId="4">
    <w:abstractNumId w:val="1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lvlOverride w:ilvl="2"/>
    <w:lvlOverride w:ilvl="3"/>
    <w:lvlOverride w:ilvl="4"/>
    <w:lvlOverride w:ilvl="5"/>
    <w:lvlOverride w:ilvl="6"/>
    <w:lvlOverride w:ilvl="7"/>
    <w:lvlOverride w:ilv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lvlOverride w:ilvl="3"/>
    <w:lvlOverride w:ilvl="4"/>
    <w:lvlOverride w:ilvl="5"/>
    <w:lvlOverride w:ilvl="6"/>
    <w:lvlOverride w:ilvl="7"/>
    <w:lvlOverride w:ilv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lvlOverride w:ilvl="1"/>
    <w:lvlOverride w:ilvl="2"/>
    <w:lvlOverride w:ilvl="3"/>
    <w:lvlOverride w:ilvl="4"/>
    <w:lvlOverride w:ilvl="5"/>
    <w:lvlOverride w:ilvl="6"/>
    <w:lvlOverride w:ilvl="7"/>
    <w:lvlOverride w:ilv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
  </w:num>
  <w:num w:numId="16">
    <w:abstractNumId w:val="9"/>
  </w:num>
  <w:num w:numId="17">
    <w:abstractNumId w:val="16"/>
  </w:num>
  <w:num w:numId="18">
    <w:abstractNumId w:val="15"/>
  </w:num>
  <w:num w:numId="19">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461D"/>
    <w:rsid w:val="00003629"/>
    <w:rsid w:val="00011068"/>
    <w:rsid w:val="000272B3"/>
    <w:rsid w:val="00027566"/>
    <w:rsid w:val="000333AC"/>
    <w:rsid w:val="00037782"/>
    <w:rsid w:val="00041B46"/>
    <w:rsid w:val="00050F6B"/>
    <w:rsid w:val="00057E97"/>
    <w:rsid w:val="00060C3A"/>
    <w:rsid w:val="00072C8C"/>
    <w:rsid w:val="000733B5"/>
    <w:rsid w:val="00081815"/>
    <w:rsid w:val="000927AB"/>
    <w:rsid w:val="000931C0"/>
    <w:rsid w:val="000A6A12"/>
    <w:rsid w:val="000A7B8C"/>
    <w:rsid w:val="000B175B"/>
    <w:rsid w:val="000B3A0F"/>
    <w:rsid w:val="000B4EF7"/>
    <w:rsid w:val="000C2C03"/>
    <w:rsid w:val="000C2D2E"/>
    <w:rsid w:val="000D420C"/>
    <w:rsid w:val="000E0415"/>
    <w:rsid w:val="000F083F"/>
    <w:rsid w:val="00104293"/>
    <w:rsid w:val="001103AA"/>
    <w:rsid w:val="00110731"/>
    <w:rsid w:val="00132013"/>
    <w:rsid w:val="00137901"/>
    <w:rsid w:val="0015469A"/>
    <w:rsid w:val="00160801"/>
    <w:rsid w:val="00165F3A"/>
    <w:rsid w:val="001779A2"/>
    <w:rsid w:val="00183968"/>
    <w:rsid w:val="00184FAE"/>
    <w:rsid w:val="001900FD"/>
    <w:rsid w:val="0019526D"/>
    <w:rsid w:val="001A6686"/>
    <w:rsid w:val="001B4B04"/>
    <w:rsid w:val="001C6663"/>
    <w:rsid w:val="001C7895"/>
    <w:rsid w:val="001D0C8C"/>
    <w:rsid w:val="001D2106"/>
    <w:rsid w:val="001D26DF"/>
    <w:rsid w:val="001D3A03"/>
    <w:rsid w:val="001E0E7D"/>
    <w:rsid w:val="00202DA8"/>
    <w:rsid w:val="00211E0B"/>
    <w:rsid w:val="00223D60"/>
    <w:rsid w:val="0023210C"/>
    <w:rsid w:val="00232C92"/>
    <w:rsid w:val="0024152B"/>
    <w:rsid w:val="00262B83"/>
    <w:rsid w:val="00267F5F"/>
    <w:rsid w:val="0027794B"/>
    <w:rsid w:val="00286B4D"/>
    <w:rsid w:val="00293F2F"/>
    <w:rsid w:val="0029792F"/>
    <w:rsid w:val="002979B6"/>
    <w:rsid w:val="002B54A6"/>
    <w:rsid w:val="002B76A8"/>
    <w:rsid w:val="002C4B1B"/>
    <w:rsid w:val="002F175C"/>
    <w:rsid w:val="002F5F85"/>
    <w:rsid w:val="003200E8"/>
    <w:rsid w:val="003229D8"/>
    <w:rsid w:val="00330BE8"/>
    <w:rsid w:val="00331132"/>
    <w:rsid w:val="00333FA4"/>
    <w:rsid w:val="00352709"/>
    <w:rsid w:val="00367567"/>
    <w:rsid w:val="00371178"/>
    <w:rsid w:val="00377345"/>
    <w:rsid w:val="00382866"/>
    <w:rsid w:val="0038336C"/>
    <w:rsid w:val="00385CBA"/>
    <w:rsid w:val="003A6810"/>
    <w:rsid w:val="003B68A0"/>
    <w:rsid w:val="003B7077"/>
    <w:rsid w:val="003C20D6"/>
    <w:rsid w:val="003C2CC4"/>
    <w:rsid w:val="003D4B23"/>
    <w:rsid w:val="003D4E16"/>
    <w:rsid w:val="003E4544"/>
    <w:rsid w:val="003E58D3"/>
    <w:rsid w:val="003F5EAD"/>
    <w:rsid w:val="00403F9E"/>
    <w:rsid w:val="0040795A"/>
    <w:rsid w:val="00410C89"/>
    <w:rsid w:val="00416D5F"/>
    <w:rsid w:val="00426B9B"/>
    <w:rsid w:val="004325CB"/>
    <w:rsid w:val="00436B33"/>
    <w:rsid w:val="00442A83"/>
    <w:rsid w:val="004512F4"/>
    <w:rsid w:val="00453DA8"/>
    <w:rsid w:val="0045495B"/>
    <w:rsid w:val="00487488"/>
    <w:rsid w:val="0049019A"/>
    <w:rsid w:val="004A5A7B"/>
    <w:rsid w:val="0052136D"/>
    <w:rsid w:val="0052775E"/>
    <w:rsid w:val="00533473"/>
    <w:rsid w:val="005420F2"/>
    <w:rsid w:val="005628B6"/>
    <w:rsid w:val="00577D88"/>
    <w:rsid w:val="005848B3"/>
    <w:rsid w:val="00590F87"/>
    <w:rsid w:val="00592C4A"/>
    <w:rsid w:val="005B24F7"/>
    <w:rsid w:val="005B3DB3"/>
    <w:rsid w:val="005B446E"/>
    <w:rsid w:val="005E10C9"/>
    <w:rsid w:val="005F2F0E"/>
    <w:rsid w:val="005F7717"/>
    <w:rsid w:val="005F7B75"/>
    <w:rsid w:val="006001EE"/>
    <w:rsid w:val="00602791"/>
    <w:rsid w:val="00605042"/>
    <w:rsid w:val="00610FE2"/>
    <w:rsid w:val="00611FC4"/>
    <w:rsid w:val="006176FB"/>
    <w:rsid w:val="00635F34"/>
    <w:rsid w:val="00637E95"/>
    <w:rsid w:val="00640B26"/>
    <w:rsid w:val="00652D0A"/>
    <w:rsid w:val="00662BB6"/>
    <w:rsid w:val="006820CE"/>
    <w:rsid w:val="006823AA"/>
    <w:rsid w:val="00684C21"/>
    <w:rsid w:val="00697C96"/>
    <w:rsid w:val="006A0069"/>
    <w:rsid w:val="006A4B0F"/>
    <w:rsid w:val="006D37AF"/>
    <w:rsid w:val="006D51D0"/>
    <w:rsid w:val="006E564B"/>
    <w:rsid w:val="006E7191"/>
    <w:rsid w:val="00703577"/>
    <w:rsid w:val="0072632A"/>
    <w:rsid w:val="007327D5"/>
    <w:rsid w:val="00735F0D"/>
    <w:rsid w:val="007405BE"/>
    <w:rsid w:val="007530F4"/>
    <w:rsid w:val="007629C8"/>
    <w:rsid w:val="00782FBE"/>
    <w:rsid w:val="007B6BA5"/>
    <w:rsid w:val="007C3390"/>
    <w:rsid w:val="007C4F4B"/>
    <w:rsid w:val="007C5172"/>
    <w:rsid w:val="007C6F44"/>
    <w:rsid w:val="007C784F"/>
    <w:rsid w:val="007D2619"/>
    <w:rsid w:val="007E0B2D"/>
    <w:rsid w:val="007F1BCD"/>
    <w:rsid w:val="007F62E2"/>
    <w:rsid w:val="007F6611"/>
    <w:rsid w:val="00804D52"/>
    <w:rsid w:val="008071F3"/>
    <w:rsid w:val="008105B8"/>
    <w:rsid w:val="008234EE"/>
    <w:rsid w:val="008242D7"/>
    <w:rsid w:val="008257B1"/>
    <w:rsid w:val="008326CD"/>
    <w:rsid w:val="00843767"/>
    <w:rsid w:val="0086176C"/>
    <w:rsid w:val="00863661"/>
    <w:rsid w:val="008679D9"/>
    <w:rsid w:val="008979B1"/>
    <w:rsid w:val="008A1DB2"/>
    <w:rsid w:val="008A6B25"/>
    <w:rsid w:val="008A6C4F"/>
    <w:rsid w:val="008A6FEA"/>
    <w:rsid w:val="008B0CAE"/>
    <w:rsid w:val="008B2335"/>
    <w:rsid w:val="008D6A4A"/>
    <w:rsid w:val="008E0678"/>
    <w:rsid w:val="008E6A37"/>
    <w:rsid w:val="0090461D"/>
    <w:rsid w:val="00910F40"/>
    <w:rsid w:val="00912C08"/>
    <w:rsid w:val="009223CA"/>
    <w:rsid w:val="00940F93"/>
    <w:rsid w:val="009411F0"/>
    <w:rsid w:val="0095347F"/>
    <w:rsid w:val="009760F3"/>
    <w:rsid w:val="0098616F"/>
    <w:rsid w:val="009909F5"/>
    <w:rsid w:val="009930D0"/>
    <w:rsid w:val="009A0E8D"/>
    <w:rsid w:val="009B26E7"/>
    <w:rsid w:val="009B4724"/>
    <w:rsid w:val="009B7A41"/>
    <w:rsid w:val="009C5747"/>
    <w:rsid w:val="009D3330"/>
    <w:rsid w:val="009D622E"/>
    <w:rsid w:val="009E61AD"/>
    <w:rsid w:val="009F35D6"/>
    <w:rsid w:val="00A00A3F"/>
    <w:rsid w:val="00A01489"/>
    <w:rsid w:val="00A03359"/>
    <w:rsid w:val="00A247F8"/>
    <w:rsid w:val="00A338F1"/>
    <w:rsid w:val="00A44615"/>
    <w:rsid w:val="00A50F9B"/>
    <w:rsid w:val="00A51359"/>
    <w:rsid w:val="00A542A2"/>
    <w:rsid w:val="00A675BF"/>
    <w:rsid w:val="00A72F22"/>
    <w:rsid w:val="00A7360F"/>
    <w:rsid w:val="00A748A6"/>
    <w:rsid w:val="00A769F4"/>
    <w:rsid w:val="00A776B4"/>
    <w:rsid w:val="00A80D97"/>
    <w:rsid w:val="00A94361"/>
    <w:rsid w:val="00AA269D"/>
    <w:rsid w:val="00AA293C"/>
    <w:rsid w:val="00AA4DB4"/>
    <w:rsid w:val="00AB2C21"/>
    <w:rsid w:val="00AB7540"/>
    <w:rsid w:val="00AD0A35"/>
    <w:rsid w:val="00AF712D"/>
    <w:rsid w:val="00B01D19"/>
    <w:rsid w:val="00B13E9B"/>
    <w:rsid w:val="00B30179"/>
    <w:rsid w:val="00B339A7"/>
    <w:rsid w:val="00B56E4A"/>
    <w:rsid w:val="00B56E9C"/>
    <w:rsid w:val="00B64B1F"/>
    <w:rsid w:val="00B6553F"/>
    <w:rsid w:val="00B65B50"/>
    <w:rsid w:val="00B66E5E"/>
    <w:rsid w:val="00B767B6"/>
    <w:rsid w:val="00B77D05"/>
    <w:rsid w:val="00B81206"/>
    <w:rsid w:val="00B81E12"/>
    <w:rsid w:val="00B82C55"/>
    <w:rsid w:val="00B83D68"/>
    <w:rsid w:val="00B854DB"/>
    <w:rsid w:val="00B9067B"/>
    <w:rsid w:val="00BA108F"/>
    <w:rsid w:val="00BB2E73"/>
    <w:rsid w:val="00BC2C23"/>
    <w:rsid w:val="00BC74E9"/>
    <w:rsid w:val="00BD24B3"/>
    <w:rsid w:val="00BE37BD"/>
    <w:rsid w:val="00BF68A8"/>
    <w:rsid w:val="00BF7D74"/>
    <w:rsid w:val="00C044D8"/>
    <w:rsid w:val="00C11A03"/>
    <w:rsid w:val="00C11D82"/>
    <w:rsid w:val="00C203D1"/>
    <w:rsid w:val="00C22D55"/>
    <w:rsid w:val="00C367BB"/>
    <w:rsid w:val="00C41154"/>
    <w:rsid w:val="00C463DD"/>
    <w:rsid w:val="00C4724C"/>
    <w:rsid w:val="00C629A0"/>
    <w:rsid w:val="00C632C9"/>
    <w:rsid w:val="00C745C3"/>
    <w:rsid w:val="00CA2D6B"/>
    <w:rsid w:val="00CC3DED"/>
    <w:rsid w:val="00CE4A8F"/>
    <w:rsid w:val="00D06F1B"/>
    <w:rsid w:val="00D2031B"/>
    <w:rsid w:val="00D25FE2"/>
    <w:rsid w:val="00D339DB"/>
    <w:rsid w:val="00D409BC"/>
    <w:rsid w:val="00D43252"/>
    <w:rsid w:val="00D47EEA"/>
    <w:rsid w:val="00D64815"/>
    <w:rsid w:val="00D65532"/>
    <w:rsid w:val="00D95303"/>
    <w:rsid w:val="00D978C6"/>
    <w:rsid w:val="00DA3111"/>
    <w:rsid w:val="00DA3C1C"/>
    <w:rsid w:val="00DB0C79"/>
    <w:rsid w:val="00DB7C42"/>
    <w:rsid w:val="00DD01CC"/>
    <w:rsid w:val="00DD188E"/>
    <w:rsid w:val="00DE2CEF"/>
    <w:rsid w:val="00E21727"/>
    <w:rsid w:val="00E25EB5"/>
    <w:rsid w:val="00E27346"/>
    <w:rsid w:val="00E40775"/>
    <w:rsid w:val="00E45838"/>
    <w:rsid w:val="00E71BC8"/>
    <w:rsid w:val="00E7260F"/>
    <w:rsid w:val="00E777C9"/>
    <w:rsid w:val="00E779FC"/>
    <w:rsid w:val="00E96630"/>
    <w:rsid w:val="00E97738"/>
    <w:rsid w:val="00EB2581"/>
    <w:rsid w:val="00EB494F"/>
    <w:rsid w:val="00ED09BC"/>
    <w:rsid w:val="00ED12E6"/>
    <w:rsid w:val="00ED1321"/>
    <w:rsid w:val="00ED7A2A"/>
    <w:rsid w:val="00EE2ACD"/>
    <w:rsid w:val="00EE2DB4"/>
    <w:rsid w:val="00EE7724"/>
    <w:rsid w:val="00EF1D7F"/>
    <w:rsid w:val="00F0123B"/>
    <w:rsid w:val="00F20C3D"/>
    <w:rsid w:val="00F43E9E"/>
    <w:rsid w:val="00F55DA2"/>
    <w:rsid w:val="00F6359F"/>
    <w:rsid w:val="00F74300"/>
    <w:rsid w:val="00F84315"/>
    <w:rsid w:val="00F85630"/>
    <w:rsid w:val="00F9057C"/>
    <w:rsid w:val="00F906D7"/>
    <w:rsid w:val="00F93781"/>
    <w:rsid w:val="00F94F6E"/>
    <w:rsid w:val="00FA0634"/>
    <w:rsid w:val="00FB0012"/>
    <w:rsid w:val="00FB19E3"/>
    <w:rsid w:val="00FB2700"/>
    <w:rsid w:val="00FB613B"/>
    <w:rsid w:val="00FC68B7"/>
    <w:rsid w:val="00FE106A"/>
    <w:rsid w:val="00FE7BC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rsid w:val="008071F3"/>
    <w:rPr>
      <w:b/>
      <w:lang w:eastAsia="en-US"/>
    </w:rPr>
  </w:style>
  <w:style w:type="character" w:customStyle="1" w:styleId="SingleTxtGChar">
    <w:name w:val="_ Single Txt_G Char"/>
    <w:link w:val="SingleTxtG"/>
    <w:rsid w:val="008071F3"/>
    <w:rPr>
      <w:lang w:eastAsia="en-US"/>
    </w:rPr>
  </w:style>
  <w:style w:type="paragraph" w:styleId="BalloonText">
    <w:name w:val="Balloon Text"/>
    <w:basedOn w:val="Normal"/>
    <w:link w:val="BalloonTextChar"/>
    <w:rsid w:val="002C4B1B"/>
    <w:pPr>
      <w:spacing w:line="240" w:lineRule="auto"/>
    </w:pPr>
    <w:rPr>
      <w:rFonts w:ascii="Tahoma" w:hAnsi="Tahoma"/>
      <w:sz w:val="16"/>
      <w:szCs w:val="16"/>
      <w:lang/>
    </w:rPr>
  </w:style>
  <w:style w:type="character" w:customStyle="1" w:styleId="BalloonTextChar">
    <w:name w:val="Balloon Text Char"/>
    <w:link w:val="BalloonText"/>
    <w:rsid w:val="002C4B1B"/>
    <w:rPr>
      <w:rFonts w:ascii="Tahoma" w:hAnsi="Tahoma" w:cs="Tahoma"/>
      <w:sz w:val="16"/>
      <w:szCs w:val="16"/>
      <w:lang w:eastAsia="en-US"/>
    </w:rPr>
  </w:style>
  <w:style w:type="character" w:customStyle="1" w:styleId="FootnoteTextChar">
    <w:name w:val="Footnote Text Char"/>
    <w:aliases w:val="5_G Char"/>
    <w:link w:val="FootnoteText"/>
    <w:locked/>
    <w:rsid w:val="007405BE"/>
    <w:rPr>
      <w:sz w:val="18"/>
      <w:lang w:eastAsia="en-US"/>
    </w:rPr>
  </w:style>
  <w:style w:type="character" w:styleId="CommentReference">
    <w:name w:val="annotation reference"/>
    <w:semiHidden/>
    <w:rsid w:val="0086176C"/>
    <w:rPr>
      <w:sz w:val="16"/>
      <w:szCs w:val="16"/>
    </w:rPr>
  </w:style>
  <w:style w:type="paragraph" w:styleId="CommentText">
    <w:name w:val="annotation text"/>
    <w:basedOn w:val="Normal"/>
    <w:semiHidden/>
    <w:rsid w:val="0086176C"/>
  </w:style>
  <w:style w:type="paragraph" w:styleId="CommentSubject">
    <w:name w:val="annotation subject"/>
    <w:basedOn w:val="CommentText"/>
    <w:next w:val="CommentText"/>
    <w:semiHidden/>
    <w:rsid w:val="0086176C"/>
    <w:rPr>
      <w:b/>
      <w:bCs/>
    </w:rPr>
  </w:style>
</w:styles>
</file>

<file path=word/webSettings.xml><?xml version="1.0" encoding="utf-8"?>
<w:webSettings xmlns:r="http://schemas.openxmlformats.org/officeDocument/2006/relationships" xmlns:w="http://schemas.openxmlformats.org/wordprocessingml/2006/main">
  <w:divs>
    <w:div w:id="203686069">
      <w:bodyDiv w:val="1"/>
      <w:marLeft w:val="0"/>
      <w:marRight w:val="0"/>
      <w:marTop w:val="0"/>
      <w:marBottom w:val="0"/>
      <w:divBdr>
        <w:top w:val="none" w:sz="0" w:space="0" w:color="auto"/>
        <w:left w:val="none" w:sz="0" w:space="0" w:color="auto"/>
        <w:bottom w:val="none" w:sz="0" w:space="0" w:color="auto"/>
        <w:right w:val="none" w:sz="0" w:space="0" w:color="auto"/>
      </w:divBdr>
    </w:div>
    <w:div w:id="1010448683">
      <w:bodyDiv w:val="1"/>
      <w:marLeft w:val="0"/>
      <w:marRight w:val="0"/>
      <w:marTop w:val="0"/>
      <w:marBottom w:val="0"/>
      <w:divBdr>
        <w:top w:val="none" w:sz="0" w:space="0" w:color="auto"/>
        <w:left w:val="none" w:sz="0" w:space="0" w:color="auto"/>
        <w:bottom w:val="none" w:sz="0" w:space="0" w:color="auto"/>
        <w:right w:val="none" w:sz="0" w:space="0" w:color="auto"/>
      </w:divBdr>
    </w:div>
    <w:div w:id="191751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mailto:ccpr@ohchr.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1</Pages>
  <Words>2785</Words>
  <Characters>15042</Characters>
  <Application>Microsoft Office Outlook</Application>
  <DocSecurity>4</DocSecurity>
  <Lines>242</Lines>
  <Paragraphs>58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17769</CharactersWithSpaces>
  <SharedDoc>false</SharedDoc>
  <HLinks>
    <vt:vector size="12" baseType="variant">
      <vt:variant>
        <vt:i4>7143498</vt:i4>
      </vt:variant>
      <vt:variant>
        <vt:i4>3</vt:i4>
      </vt:variant>
      <vt:variant>
        <vt:i4>0</vt:i4>
      </vt:variant>
      <vt:variant>
        <vt:i4>5</vt:i4>
      </vt:variant>
      <vt:variant>
        <vt:lpwstr>mailto:ccpr@ohchr.org</vt:lpwstr>
      </vt:variant>
      <vt:variant>
        <vt:lpwstr/>
      </vt:variant>
      <vt:variant>
        <vt:i4>7143498</vt:i4>
      </vt:variant>
      <vt:variant>
        <vt:i4>0</vt:i4>
      </vt:variant>
      <vt:variant>
        <vt:i4>0</vt:i4>
      </vt:variant>
      <vt:variant>
        <vt:i4>5</vt:i4>
      </vt:variant>
      <vt:variant>
        <vt:lpwstr>mailto:ccpr@ohchr.org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2013-10-21T14:21:00Z</cp:lastPrinted>
  <dcterms:created xsi:type="dcterms:W3CDTF">2013-10-22T14:33:00Z</dcterms:created>
  <dcterms:modified xsi:type="dcterms:W3CDTF">2013-10-22T14:33:00Z</dcterms:modified>
</cp:coreProperties>
</file>