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4"/>
          <w:lang w:val="ru-RU"/>
        </w:rPr>
      </w:pPr>
    </w:p>
    <w:p w:rsidR="00000000" w:rsidRDefault="00000000">
      <w:pPr>
        <w:pStyle w:val="BodyText3"/>
      </w:pPr>
      <w:commentRangeStart w:id="0"/>
      <w:r>
        <w:t xml:space="preserve">Комитет </w:t>
      </w:r>
      <w:commentRangeEnd w:id="0"/>
      <w:r>
        <w:rPr>
          <w:rStyle w:val="CommentReference"/>
          <w:b w:val="0"/>
          <w:vanish/>
          <w:lang w:val="en-US"/>
        </w:rPr>
        <w:commentReference w:id="0"/>
      </w:r>
      <w:r>
        <w:t xml:space="preserve">по ликвидации дискриминации </w:t>
      </w:r>
      <w:r>
        <w:br/>
        <w:t>в отношении женщин</w:t>
      </w:r>
    </w:p>
    <w:p w:rsidR="00000000" w:rsidRDefault="00000000">
      <w:pPr>
        <w:rPr>
          <w:sz w:val="24"/>
          <w:lang w:val="ru-RU"/>
        </w:rPr>
      </w:pPr>
    </w:p>
    <w:p w:rsidR="00000000" w:rsidRDefault="00000000">
      <w:pPr>
        <w:rPr>
          <w:sz w:val="24"/>
          <w:lang w:val="ru-RU"/>
        </w:rPr>
      </w:pPr>
    </w:p>
    <w:p w:rsidR="00000000" w:rsidRDefault="00000000">
      <w:pPr>
        <w:rPr>
          <w:sz w:val="24"/>
          <w:lang w:val="ru-RU"/>
        </w:rPr>
      </w:pPr>
    </w:p>
    <w:p w:rsidR="00000000" w:rsidRDefault="00000000">
      <w:pPr>
        <w:rPr>
          <w:b/>
          <w:sz w:val="24"/>
          <w:lang w:val="ru-RU"/>
        </w:rPr>
      </w:pPr>
    </w:p>
    <w:p w:rsidR="00000000" w:rsidRDefault="00000000">
      <w:pPr>
        <w:pStyle w:val="BodyText2"/>
        <w:rPr>
          <w:sz w:val="28"/>
          <w:lang w:val="ru-RU"/>
        </w:rPr>
      </w:pPr>
      <w:r>
        <w:rPr>
          <w:sz w:val="28"/>
          <w:lang w:val="ru-RU"/>
        </w:rPr>
        <w:t xml:space="preserve">Рассмотрение докладов, представленных государствами-участниками </w:t>
      </w:r>
      <w:r>
        <w:rPr>
          <w:sz w:val="28"/>
          <w:lang w:val="ru-RU"/>
        </w:rPr>
        <w:br/>
        <w:t xml:space="preserve">в соответствии со статьей 18 Конвенции о ликвидации </w:t>
      </w:r>
      <w:r>
        <w:rPr>
          <w:sz w:val="28"/>
          <w:lang w:val="ru-RU"/>
        </w:rPr>
        <w:br/>
        <w:t>всех форм дискриминации в отношении женщин</w:t>
      </w:r>
    </w:p>
    <w:p w:rsidR="00000000" w:rsidRDefault="00000000">
      <w:pPr>
        <w:jc w:val="center"/>
        <w:rPr>
          <w:sz w:val="24"/>
          <w:lang w:val="ru-RU"/>
        </w:rPr>
      </w:pPr>
    </w:p>
    <w:p w:rsidR="00000000" w:rsidRDefault="00000000">
      <w:pPr>
        <w:jc w:val="center"/>
        <w:rPr>
          <w:sz w:val="24"/>
          <w:lang w:val="ru-RU"/>
        </w:rPr>
      </w:pPr>
    </w:p>
    <w:p w:rsidR="00000000" w:rsidRDefault="00000000">
      <w:pPr>
        <w:jc w:val="center"/>
        <w:rPr>
          <w:sz w:val="24"/>
          <w:lang w:val="ru-RU"/>
        </w:rPr>
      </w:pPr>
    </w:p>
    <w:p w:rsidR="00000000" w:rsidRDefault="00000000">
      <w:pPr>
        <w:pStyle w:val="Heading1"/>
        <w:spacing w:before="0" w:after="0"/>
        <w:jc w:val="center"/>
        <w:rPr>
          <w:sz w:val="24"/>
        </w:rPr>
      </w:pPr>
      <w:r>
        <w:rPr>
          <w:sz w:val="24"/>
        </w:rPr>
        <w:t xml:space="preserve">Объединенные первоначальный и второй периодические доклады </w:t>
      </w:r>
      <w:r>
        <w:rPr>
          <w:sz w:val="24"/>
        </w:rPr>
        <w:br/>
        <w:t>государств-участников</w:t>
      </w:r>
    </w:p>
    <w:p w:rsidR="00000000" w:rsidRDefault="00000000">
      <w:pPr>
        <w:jc w:val="center"/>
        <w:rPr>
          <w:lang w:val="ru-RU"/>
        </w:rPr>
      </w:pPr>
    </w:p>
    <w:p w:rsidR="00000000" w:rsidRDefault="00000000">
      <w:pPr>
        <w:jc w:val="center"/>
      </w:pPr>
    </w:p>
    <w:p w:rsidR="00000000" w:rsidRDefault="00000000">
      <w:pPr>
        <w:jc w:val="center"/>
      </w:pPr>
    </w:p>
    <w:p w:rsidR="00000000" w:rsidRDefault="00000000">
      <w:pPr>
        <w:jc w:val="center"/>
        <w:rPr>
          <w:b/>
          <w:sz w:val="28"/>
        </w:rPr>
      </w:pPr>
      <w:r>
        <w:rPr>
          <w:b/>
          <w:sz w:val="28"/>
        </w:rPr>
        <w:t>Кувейт</w:t>
      </w:r>
      <w:r>
        <w:rPr>
          <w:rStyle w:val="FootnoteReference"/>
          <w:b/>
          <w:sz w:val="28"/>
        </w:rPr>
        <w:footnoteReference w:customMarkFollows="1" w:id="1"/>
        <w:t>*</w:t>
      </w:r>
    </w:p>
    <w:p w:rsidR="00000000" w:rsidRDefault="00000000">
      <w:pPr>
        <w:pStyle w:val="BodyText2"/>
        <w:rPr>
          <w:lang w:val="ru-RU"/>
        </w:rPr>
      </w:pPr>
    </w:p>
    <w:p w:rsidR="00000000" w:rsidRDefault="00000000">
      <w:pPr>
        <w:rPr>
          <w:sz w:val="24"/>
          <w:lang w:val="ru-RU"/>
        </w:rPr>
      </w:pPr>
    </w:p>
    <w:p w:rsidR="00000000" w:rsidRDefault="00000000">
      <w:pPr>
        <w:rPr>
          <w:sz w:val="24"/>
          <w:lang w:val="ru-RU"/>
        </w:rPr>
      </w:pPr>
    </w:p>
    <w:p w:rsidR="00000000" w:rsidRDefault="00000000">
      <w:pPr>
        <w:spacing w:line="360" w:lineRule="auto"/>
        <w:outlineLvl w:val="0"/>
        <w:rPr>
          <w:b/>
          <w:sz w:val="28"/>
        </w:rPr>
      </w:pPr>
    </w:p>
    <w:p w:rsidR="00000000" w:rsidRDefault="00000000">
      <w:pPr>
        <w:pStyle w:val="Footer"/>
        <w:tabs>
          <w:tab w:val="clear" w:pos="4677"/>
          <w:tab w:val="clear" w:pos="9355"/>
          <w:tab w:val="left" w:pos="7560"/>
        </w:tabs>
        <w:spacing w:line="360" w:lineRule="auto"/>
        <w:rPr>
          <w:lang w:val="ru-RU"/>
        </w:rPr>
      </w:pPr>
    </w:p>
    <w:p w:rsidR="00000000" w:rsidRDefault="00000000">
      <w:pPr>
        <w:pStyle w:val="Footer"/>
        <w:tabs>
          <w:tab w:val="clear" w:pos="4677"/>
          <w:tab w:val="clear" w:pos="9355"/>
          <w:tab w:val="left" w:pos="7560"/>
        </w:tabs>
        <w:spacing w:line="360" w:lineRule="auto"/>
        <w:rPr>
          <w:lang w:val="ru-RU"/>
        </w:rPr>
      </w:pPr>
    </w:p>
    <w:p w:rsidR="00000000" w:rsidRDefault="00000000">
      <w:pPr>
        <w:pStyle w:val="Footer"/>
        <w:tabs>
          <w:tab w:val="clear" w:pos="4677"/>
          <w:tab w:val="clear" w:pos="9355"/>
          <w:tab w:val="left" w:pos="7560"/>
        </w:tabs>
        <w:spacing w:line="360" w:lineRule="auto"/>
        <w:rPr>
          <w:lang w:val="ru-RU"/>
        </w:rPr>
      </w:pPr>
    </w:p>
    <w:p w:rsidR="00000000" w:rsidRDefault="00000000">
      <w:pPr>
        <w:pStyle w:val="Footer"/>
        <w:tabs>
          <w:tab w:val="clear" w:pos="4677"/>
          <w:tab w:val="clear" w:pos="9355"/>
          <w:tab w:val="left" w:pos="7560"/>
        </w:tabs>
        <w:spacing w:line="360" w:lineRule="auto"/>
      </w:pPr>
    </w:p>
    <w:p w:rsidR="00000000" w:rsidRDefault="00000000">
      <w:pPr>
        <w:pStyle w:val="Footer"/>
        <w:tabs>
          <w:tab w:val="clear" w:pos="4677"/>
          <w:tab w:val="clear" w:pos="9355"/>
          <w:tab w:val="left" w:pos="7560"/>
        </w:tabs>
        <w:spacing w:line="360" w:lineRule="auto"/>
        <w:rPr>
          <w:lang w:val="ru-RU"/>
        </w:rPr>
        <w:sectPr w:rsidR="00000000">
          <w:headerReference w:type="even" r:id="rId8"/>
          <w:headerReference w:type="default" r:id="rId9"/>
          <w:pgSz w:w="12242" w:h="15842" w:code="1"/>
          <w:pgMar w:top="907" w:right="1304" w:bottom="1247" w:left="1304" w:header="907" w:footer="0" w:gutter="0"/>
          <w:cols w:space="708"/>
          <w:docGrid w:linePitch="360"/>
        </w:sectPr>
      </w:pPr>
    </w:p>
    <w:p w:rsidR="00000000" w:rsidRDefault="00000000">
      <w:pPr>
        <w:pStyle w:val="--"/>
        <w:overflowPunct w:val="0"/>
        <w:autoSpaceDE w:val="0"/>
        <w:autoSpaceDN w:val="0"/>
        <w:adjustRightInd w:val="0"/>
        <w:spacing w:after="0" w:line="360" w:lineRule="auto"/>
        <w:textAlignment w:val="baseline"/>
        <w:rPr>
          <w:caps w:val="0"/>
        </w:rPr>
      </w:pPr>
      <w:r>
        <w:rPr>
          <w:caps w:val="0"/>
        </w:rPr>
        <w:t>ВВЕДЕНИЕ</w:t>
      </w:r>
    </w:p>
    <w:p w:rsidR="00000000" w:rsidRDefault="00000000">
      <w:pPr>
        <w:pStyle w:val="BodyText"/>
      </w:pPr>
      <w:r>
        <w:tab/>
        <w:t>Дискриминация в любых видах и формах – одно из самых отвратительных и нетерпимых явлений во взаимоотношениях людей в современном обществе, которое поэтому стремится к ее ликвидации ради осуществления принципов равенства и справедливости между всеми без различия людьми.</w:t>
      </w:r>
    </w:p>
    <w:p w:rsidR="00000000" w:rsidRDefault="00000000">
      <w:pPr>
        <w:pStyle w:val="BodyText"/>
      </w:pPr>
      <w:r>
        <w:tab/>
        <w:t>В Государстве Кувейт, как и в других странах, данная концепция относится к числу основных ценностей общества. Государство четко отразило ее в Конституции страны, которая гласит, что справедливость, свобода и равенство имеют основополагающее значение для кувейтского общества. Так, в частности, в статье 29 говорится, что все люди равны в плане человеческого достоинства, равны перед законом, равны в отношении своих прав и обязанностей, и между ними нет места дискриминации по признаку пола или происхождения, языка или вероисповедания.</w:t>
      </w:r>
    </w:p>
    <w:p w:rsidR="00000000" w:rsidRDefault="00000000">
      <w:pPr>
        <w:pStyle w:val="BodyText"/>
      </w:pPr>
      <w:r>
        <w:tab/>
        <w:t>Исходя из этого, Государство Кувейт стремится обеспечить, чтобы принимаемые им законодательные акты последовательно соответствовали данным концепциям и одновременно подтверждали их. В то же время государство стремится к тому, чтобы меры, принимаемые им на международной арене, соответствовали действиям, осуществляемым на национальном уровне с целью ликвидации дискриминации. К числу таких мер относится присоединение Кувейта к соответствующим международным конвенциям.</w:t>
      </w:r>
    </w:p>
    <w:p w:rsidR="00000000" w:rsidRDefault="00000000">
      <w:pPr>
        <w:pStyle w:val="BodyText"/>
        <w:rPr>
          <w:spacing w:val="-2"/>
        </w:rPr>
      </w:pPr>
      <w:r>
        <w:rPr>
          <w:spacing w:val="-2"/>
        </w:rPr>
        <w:tab/>
        <w:t>В рамках усилий, прилагаемых Государством Кувейт для ликвидации всех форм дискриминации в отношении всех людей вообще и женщин в частности, женщине в Государстве Кувейт отведено и сейчас в еще большей степени отводится особое место, в силу ее главной роли в формировании семьи, которая считается ядром общества. На протяжении всей истории женщина доказала свою способность и умение исполнять эту роль. Повышение статуса кувейтских женщин совпало по времени с ускоренным политическим, экономическим и социальным развитием кувейтского общества, в которое они внесли позитивный вклад, что дало женщинам возможность осознать свое положение и важнейшую роль в процессе всестороннего развития этого общества.</w:t>
      </w:r>
    </w:p>
    <w:p w:rsidR="00000000" w:rsidRDefault="00000000">
      <w:pPr>
        <w:pStyle w:val="BodyText"/>
      </w:pPr>
      <w:r>
        <w:tab/>
        <w:t>Присоединение Государства Кувейт 2 апреля 1994 года к Конвенции, о которой идет речь в данном докладе и которая стала национальным законом, явилось наглядным свидетельством того внимания, которое уделяется в Государстве Кувейт женщине, и подтверждением ее роли и места в обществе.</w:t>
      </w:r>
    </w:p>
    <w:p w:rsidR="00000000" w:rsidRDefault="00000000">
      <w:pPr>
        <w:pStyle w:val="BodyText"/>
        <w:spacing w:after="120"/>
        <w:rPr>
          <w:spacing w:val="-2"/>
        </w:rPr>
      </w:pPr>
      <w:r>
        <w:rPr>
          <w:spacing w:val="-2"/>
        </w:rPr>
        <w:tab/>
        <w:t>В контексте усилий государства по упрочению положения женщин и увеличению их вклада в развитие своей страны и во исполнение своих обязательств, вытекающих из пункта 1 статьи 18 Конвенции, где говорится, что государства-участники обязуются представлять доклады о законодательных, судебных, административных или других мерах, принятых ими для выполнения ее положений, и о прогрессе, достигнутом в этой связи, компетентные органы власти Государства Кувейт имеют честь представить Комитету по ликвидации дискриминации в отношении женщин (КЛДЖ) свой первоначальный доклад о выполнении данной Конвенции, который был подготовлен в соответствии с общими руководящими принципами в отношении формы и содержания докладов Комитету с учетом общих рекомендаций, сделанных упомянутым Комитетом.</w:t>
      </w:r>
    </w:p>
    <w:p w:rsidR="00000000" w:rsidRDefault="00000000">
      <w:pPr>
        <w:pStyle w:val="BodyText"/>
        <w:spacing w:after="120"/>
      </w:pPr>
      <w:r>
        <w:tab/>
        <w:t>Доклад состоит из трех частей:</w:t>
      </w:r>
    </w:p>
    <w:p w:rsidR="00000000" w:rsidRDefault="00000000">
      <w:pPr>
        <w:pStyle w:val="BodyText"/>
        <w:spacing w:after="120"/>
      </w:pPr>
      <w:r>
        <w:tab/>
      </w:r>
      <w:r>
        <w:rPr>
          <w:u w:val="single"/>
        </w:rPr>
        <w:t>Часть первая</w:t>
      </w:r>
      <w:r>
        <w:t xml:space="preserve"> включает вступление, состоящее из следующих трех разделов:</w:t>
      </w:r>
    </w:p>
    <w:p w:rsidR="00000000" w:rsidRDefault="00000000">
      <w:pPr>
        <w:pStyle w:val="BodyText"/>
        <w:tabs>
          <w:tab w:val="left" w:pos="1418"/>
        </w:tabs>
        <w:spacing w:after="0"/>
      </w:pPr>
      <w:r>
        <w:tab/>
        <w:t>I.</w:t>
      </w:r>
      <w:r>
        <w:tab/>
        <w:t>Страна – территория и население.</w:t>
      </w:r>
    </w:p>
    <w:p w:rsidR="00000000" w:rsidRDefault="00000000">
      <w:pPr>
        <w:pStyle w:val="BodyText"/>
        <w:tabs>
          <w:tab w:val="left" w:pos="1418"/>
        </w:tabs>
        <w:spacing w:after="0"/>
      </w:pPr>
      <w:r>
        <w:tab/>
        <w:t>II.</w:t>
      </w:r>
      <w:r>
        <w:tab/>
        <w:t>Общее политическое устройство государства.</w:t>
      </w:r>
    </w:p>
    <w:p w:rsidR="00000000" w:rsidRDefault="00000000">
      <w:pPr>
        <w:pStyle w:val="BodyText"/>
        <w:tabs>
          <w:tab w:val="left" w:pos="1418"/>
        </w:tabs>
      </w:pPr>
      <w:r>
        <w:tab/>
        <w:t>III.</w:t>
      </w:r>
      <w:r>
        <w:tab/>
        <w:t>Публикация.</w:t>
      </w:r>
    </w:p>
    <w:p w:rsidR="00000000" w:rsidRDefault="00000000">
      <w:pPr>
        <w:pStyle w:val="BodyText"/>
        <w:spacing w:after="120"/>
      </w:pPr>
      <w:r>
        <w:tab/>
      </w:r>
      <w:r>
        <w:rPr>
          <w:u w:val="single"/>
        </w:rPr>
        <w:t>Часть вторая</w:t>
      </w:r>
      <w:r>
        <w:t xml:space="preserve"> включает общую информацию по следующим вопросам:</w:t>
      </w:r>
    </w:p>
    <w:p w:rsidR="00000000" w:rsidRDefault="00000000">
      <w:pPr>
        <w:pStyle w:val="BodyText"/>
        <w:spacing w:after="0"/>
        <w:ind w:left="1021" w:hanging="1021"/>
      </w:pPr>
      <w:r>
        <w:tab/>
        <w:t>–</w:t>
      </w:r>
      <w:r>
        <w:tab/>
        <w:t>общие социальные, экономические, политические и правовые основы, опираясь на которые государство решает проблему ликвидации дискриминации в отношении женщин;</w:t>
      </w:r>
    </w:p>
    <w:p w:rsidR="00000000" w:rsidRDefault="00000000">
      <w:pPr>
        <w:pStyle w:val="BodyText"/>
        <w:spacing w:after="0"/>
      </w:pPr>
      <w:r>
        <w:tab/>
        <w:t>–</w:t>
      </w:r>
      <w:r>
        <w:tab/>
        <w:t>правовые меры, касающиеся выполнения Конвенции;</w:t>
      </w:r>
    </w:p>
    <w:p w:rsidR="00000000" w:rsidRDefault="00000000">
      <w:pPr>
        <w:pStyle w:val="BodyText"/>
      </w:pPr>
      <w:r>
        <w:tab/>
        <w:t>–</w:t>
      </w:r>
      <w:r>
        <w:tab/>
        <w:t>средства правовой защиты, предоставляемые женщинам.</w:t>
      </w:r>
    </w:p>
    <w:p w:rsidR="00000000" w:rsidRDefault="00000000">
      <w:pPr>
        <w:pStyle w:val="BodyText"/>
      </w:pPr>
      <w:r>
        <w:tab/>
      </w:r>
      <w:r>
        <w:rPr>
          <w:u w:val="single"/>
        </w:rPr>
        <w:t>Часть третья</w:t>
      </w:r>
      <w:r>
        <w:t xml:space="preserve"> содержит изложение конституционных и законодательных положений, а также административных мер, связанных с положениями Конвенции, и практическими действиями в соответствии с ее статьями.</w:t>
      </w:r>
    </w:p>
    <w:p w:rsidR="00000000" w:rsidRDefault="00000000">
      <w:pPr>
        <w:pStyle w:val="-0"/>
      </w:pPr>
      <w:r>
        <w:t>Часть первая</w:t>
      </w:r>
    </w:p>
    <w:p w:rsidR="00000000" w:rsidRDefault="00000000">
      <w:pPr>
        <w:pStyle w:val="--"/>
      </w:pPr>
      <w:r>
        <w:t>ВСТУПЛЕНИЕ</w:t>
      </w:r>
    </w:p>
    <w:p w:rsidR="00000000" w:rsidRDefault="00000000">
      <w:pPr>
        <w:pStyle w:val="--"/>
      </w:pPr>
      <w:r>
        <w:t>I.  СТРАНА – ТЕРРИТОРИЯ И НАСЕЛЕНИЕ</w:t>
      </w:r>
    </w:p>
    <w:p w:rsidR="00000000" w:rsidRDefault="00000000">
      <w:pPr>
        <w:pStyle w:val="-A-B"/>
      </w:pPr>
      <w:r>
        <w:t>А.  Географическое положение</w:t>
      </w:r>
    </w:p>
    <w:p w:rsidR="00000000" w:rsidRDefault="00000000">
      <w:pPr>
        <w:pStyle w:val="BodyText"/>
      </w:pPr>
      <w:r>
        <w:tab/>
        <w:t>Государство Кувейт расположено у северо-западной части Персидского залива с координатами 28°30'–30°06' северной широты и 46°30'–48°30' восточной долготы. Кувейт граничит на северо-западе с Ираком, а на юге и юго-западе – с Королевством Саудовская Аравия. С востока его территорию омывают воды Персидского залива. В силу своего географического положения территория Кувейта обеспечивает доступ к северо-восточной части Аравийского полуострова, что с незапамятных времен имело важное торговое значение для страны.</w:t>
      </w:r>
    </w:p>
    <w:p w:rsidR="00000000" w:rsidRDefault="00000000">
      <w:pPr>
        <w:pStyle w:val="-A-B"/>
      </w:pPr>
      <w:r>
        <w:t>В.  Площадь</w:t>
      </w:r>
    </w:p>
    <w:p w:rsidR="00000000" w:rsidRDefault="00000000">
      <w:pPr>
        <w:pStyle w:val="BodyText"/>
      </w:pPr>
      <w:r>
        <w:tab/>
        <w:t>Общая площадь страны составляет около 17 818 кв. км (примерно 7 тыс. кв. миль). Расстояние между крайней северной и крайней южной точками составляет около 200 км (124 мили), а между восточной и западной точками по 29-й широте – около 170 км (106 миль). Протяженность границ составляет около 685 км (426 миль), из которых примерно 195 км (121 миля) – морская  граница по Персидскому заливу на востоке и 490 км (304 мили) – сухопутная граница. Протяженность границы с Саудовской Аравией на юге и западе – около 250 км (155 миль), с Иракской Республикой на севере и западе – 240 км (149 миль).</w:t>
      </w:r>
    </w:p>
    <w:p w:rsidR="00000000" w:rsidRDefault="00000000">
      <w:pPr>
        <w:pStyle w:val="-A-B"/>
      </w:pPr>
      <w:r>
        <w:t>С.  Климат</w:t>
      </w:r>
    </w:p>
    <w:p w:rsidR="00000000" w:rsidRDefault="00000000">
      <w:pPr>
        <w:pStyle w:val="BodyText"/>
      </w:pPr>
      <w:r>
        <w:tab/>
        <w:t>Ввиду того что географически Государство Кувейт расположено в пустынном регионе, его климат является континентальным; для него характерны продолжительное жаркое, сухое лето и теплая, короткая, временами дождливая зима. В летние месяцы бывают пыльные бури. В этот период в стране возрастает влажность. Температура воздуха достигает временами 50° по Цельсию в тени.</w:t>
      </w:r>
    </w:p>
    <w:p w:rsidR="00000000" w:rsidRDefault="00000000">
      <w:pPr>
        <w:pStyle w:val="-A-B"/>
      </w:pPr>
      <w:r>
        <w:t>D.  Население</w:t>
      </w:r>
    </w:p>
    <w:p w:rsidR="00000000" w:rsidRDefault="00000000">
      <w:pPr>
        <w:pStyle w:val="BodyText"/>
      </w:pPr>
      <w:r>
        <w:tab/>
        <w:t xml:space="preserve">Последняя по времени перепись населения в Государстве Кувейт проводилась в апреле 1995 года. По данным этой переписи его численность составляла 1 575 500 человек (из них </w:t>
      </w:r>
      <w:r>
        <w:br/>
        <w:t xml:space="preserve">653 616 кувейтцев и 921 954 некувейтцев). К 1998 году численность населения возросла до </w:t>
      </w:r>
      <w:r>
        <w:br/>
        <w:t> 270 865 человек (786 010 кувейтцев и 1 484 855 некувейтцев). В 2000 году численность населения составляла 2 189 668 человек. В таблицах ниже приводятся данные о численности населения, поле, возрасте и гражданстве, а также данные о естественном движении населения:</w:t>
      </w:r>
    </w:p>
    <w:p w:rsidR="00000000" w:rsidRDefault="00000000">
      <w:pPr>
        <w:pStyle w:val="-"/>
        <w:rPr>
          <w:b w:val="0"/>
        </w:rPr>
      </w:pPr>
      <w:r>
        <w:rPr>
          <w:b w:val="0"/>
        </w:rPr>
        <w:t>Численность населения в годы проведения переписей: с разбивкой по полу и гражданству</w:t>
      </w:r>
    </w:p>
    <w:tbl>
      <w:tblPr>
        <w:tblW w:w="0" w:type="auto"/>
        <w:jc w:val="center"/>
        <w:tblLayout w:type="fixed"/>
        <w:tblLook w:val="01E0" w:firstRow="1" w:lastRow="1" w:firstColumn="1" w:lastColumn="1" w:noHBand="0" w:noVBand="0"/>
      </w:tblPr>
      <w:tblGrid>
        <w:gridCol w:w="1793"/>
        <w:gridCol w:w="1959"/>
        <w:gridCol w:w="1679"/>
        <w:gridCol w:w="1679"/>
        <w:gridCol w:w="1679"/>
      </w:tblGrid>
      <w:tr w:rsidR="00000000">
        <w:tblPrEx>
          <w:tblCellMar>
            <w:top w:w="0" w:type="dxa"/>
            <w:bottom w:w="0" w:type="dxa"/>
          </w:tblCellMar>
        </w:tblPrEx>
        <w:trPr>
          <w:cantSplit/>
          <w:jc w:val="center"/>
        </w:trPr>
        <w:tc>
          <w:tcPr>
            <w:tcW w:w="1793" w:type="dxa"/>
          </w:tcPr>
          <w:p w:rsidR="00000000" w:rsidRDefault="00000000">
            <w:pPr>
              <w:pStyle w:val="-9"/>
            </w:pPr>
            <w:r>
              <w:t>Годы проведения переписи</w:t>
            </w:r>
          </w:p>
        </w:tc>
        <w:tc>
          <w:tcPr>
            <w:tcW w:w="1959" w:type="dxa"/>
          </w:tcPr>
          <w:p w:rsidR="00000000" w:rsidRDefault="00000000">
            <w:pPr>
              <w:pStyle w:val="-9"/>
            </w:pPr>
            <w:r>
              <w:t>Гражданство</w:t>
            </w:r>
          </w:p>
        </w:tc>
        <w:tc>
          <w:tcPr>
            <w:tcW w:w="1679" w:type="dxa"/>
          </w:tcPr>
          <w:p w:rsidR="00000000" w:rsidRDefault="00000000">
            <w:pPr>
              <w:pStyle w:val="-9"/>
            </w:pPr>
            <w:r>
              <w:t>Мужчины</w:t>
            </w:r>
          </w:p>
        </w:tc>
        <w:tc>
          <w:tcPr>
            <w:tcW w:w="1679" w:type="dxa"/>
          </w:tcPr>
          <w:p w:rsidR="00000000" w:rsidRDefault="00000000">
            <w:pPr>
              <w:pStyle w:val="-9"/>
            </w:pPr>
            <w:r>
              <w:t>Женщины</w:t>
            </w:r>
          </w:p>
        </w:tc>
        <w:tc>
          <w:tcPr>
            <w:tcW w:w="1679" w:type="dxa"/>
          </w:tcPr>
          <w:p w:rsidR="00000000" w:rsidRDefault="00000000">
            <w:pPr>
              <w:pStyle w:val="-9"/>
            </w:pPr>
            <w:r>
              <w:t>Всего</w:t>
            </w:r>
          </w:p>
        </w:tc>
      </w:tr>
      <w:tr w:rsidR="00000000">
        <w:tblPrEx>
          <w:tblCellMar>
            <w:top w:w="0" w:type="dxa"/>
            <w:bottom w:w="0" w:type="dxa"/>
          </w:tblCellMar>
        </w:tblPrEx>
        <w:trPr>
          <w:cantSplit/>
          <w:jc w:val="center"/>
        </w:trPr>
        <w:tc>
          <w:tcPr>
            <w:tcW w:w="1793" w:type="dxa"/>
          </w:tcPr>
          <w:p w:rsidR="00000000" w:rsidRDefault="00000000">
            <w:pPr>
              <w:pStyle w:val="BodyText"/>
              <w:spacing w:after="0"/>
            </w:pPr>
            <w:r>
              <w:t>1965</w:t>
            </w:r>
          </w:p>
        </w:tc>
        <w:tc>
          <w:tcPr>
            <w:tcW w:w="1959" w:type="dxa"/>
          </w:tcPr>
          <w:p w:rsidR="00000000" w:rsidRDefault="00000000">
            <w:pPr>
              <w:pStyle w:val="BodyText"/>
              <w:spacing w:after="0"/>
            </w:pPr>
            <w:r>
              <w:t xml:space="preserve">Кувейтцы </w:t>
            </w:r>
          </w:p>
        </w:tc>
        <w:tc>
          <w:tcPr>
            <w:tcW w:w="1679" w:type="dxa"/>
          </w:tcPr>
          <w:p w:rsidR="00000000" w:rsidRDefault="00000000">
            <w:pPr>
              <w:pStyle w:val="BodyText"/>
              <w:spacing w:after="0"/>
              <w:ind w:right="454"/>
              <w:jc w:val="right"/>
            </w:pPr>
            <w:r>
              <w:t>85 856</w:t>
            </w:r>
          </w:p>
        </w:tc>
        <w:tc>
          <w:tcPr>
            <w:tcW w:w="1679" w:type="dxa"/>
          </w:tcPr>
          <w:p w:rsidR="00000000" w:rsidRDefault="00000000">
            <w:pPr>
              <w:pStyle w:val="BodyText"/>
              <w:spacing w:after="0"/>
              <w:ind w:right="454"/>
              <w:jc w:val="right"/>
            </w:pPr>
            <w:r>
              <w:t>82 937</w:t>
            </w:r>
          </w:p>
        </w:tc>
        <w:tc>
          <w:tcPr>
            <w:tcW w:w="1679" w:type="dxa"/>
          </w:tcPr>
          <w:p w:rsidR="00000000" w:rsidRDefault="00000000">
            <w:pPr>
              <w:pStyle w:val="BodyText"/>
              <w:spacing w:after="0"/>
              <w:ind w:right="454"/>
              <w:jc w:val="right"/>
            </w:pPr>
            <w:r>
              <w:t>168 793</w:t>
            </w:r>
          </w:p>
        </w:tc>
      </w:tr>
      <w:tr w:rsidR="00000000">
        <w:tblPrEx>
          <w:tblCellMar>
            <w:top w:w="0" w:type="dxa"/>
            <w:bottom w:w="0" w:type="dxa"/>
          </w:tblCellMar>
        </w:tblPrEx>
        <w:trPr>
          <w:cantSplit/>
          <w:jc w:val="center"/>
        </w:trPr>
        <w:tc>
          <w:tcPr>
            <w:tcW w:w="1793" w:type="dxa"/>
          </w:tcPr>
          <w:p w:rsidR="00000000" w:rsidRDefault="00000000">
            <w:pPr>
              <w:pStyle w:val="BodyText"/>
              <w:spacing w:after="0"/>
            </w:pPr>
          </w:p>
        </w:tc>
        <w:tc>
          <w:tcPr>
            <w:tcW w:w="1959" w:type="dxa"/>
          </w:tcPr>
          <w:p w:rsidR="00000000" w:rsidRDefault="00000000">
            <w:pPr>
              <w:pStyle w:val="BodyText"/>
              <w:spacing w:after="0"/>
            </w:pPr>
            <w:r>
              <w:t>Некувейтцы</w:t>
            </w:r>
          </w:p>
        </w:tc>
        <w:tc>
          <w:tcPr>
            <w:tcW w:w="1679" w:type="dxa"/>
          </w:tcPr>
          <w:p w:rsidR="00000000" w:rsidRDefault="00000000">
            <w:pPr>
              <w:pStyle w:val="BodyText"/>
              <w:spacing w:after="0"/>
              <w:ind w:right="454"/>
              <w:jc w:val="right"/>
            </w:pPr>
            <w:r>
              <w:t>200 456</w:t>
            </w:r>
          </w:p>
        </w:tc>
        <w:tc>
          <w:tcPr>
            <w:tcW w:w="1679" w:type="dxa"/>
          </w:tcPr>
          <w:p w:rsidR="00000000" w:rsidRDefault="00000000">
            <w:pPr>
              <w:pStyle w:val="BodyText"/>
              <w:spacing w:after="0"/>
              <w:ind w:right="454"/>
              <w:jc w:val="right"/>
            </w:pPr>
            <w:r>
              <w:t>98 090</w:t>
            </w:r>
          </w:p>
        </w:tc>
        <w:tc>
          <w:tcPr>
            <w:tcW w:w="1679" w:type="dxa"/>
          </w:tcPr>
          <w:p w:rsidR="00000000" w:rsidRDefault="00000000">
            <w:pPr>
              <w:pStyle w:val="BodyText"/>
              <w:spacing w:after="0"/>
              <w:ind w:right="454"/>
              <w:jc w:val="right"/>
            </w:pPr>
            <w:r>
              <w:t>298 546</w:t>
            </w:r>
          </w:p>
        </w:tc>
      </w:tr>
      <w:tr w:rsidR="00000000">
        <w:tblPrEx>
          <w:tblCellMar>
            <w:top w:w="0" w:type="dxa"/>
            <w:bottom w:w="0" w:type="dxa"/>
          </w:tblCellMar>
        </w:tblPrEx>
        <w:trPr>
          <w:cantSplit/>
          <w:jc w:val="center"/>
        </w:trPr>
        <w:tc>
          <w:tcPr>
            <w:tcW w:w="1793" w:type="dxa"/>
          </w:tcPr>
          <w:p w:rsidR="00000000" w:rsidRDefault="00000000">
            <w:pPr>
              <w:pStyle w:val="BodyText"/>
              <w:spacing w:after="0"/>
            </w:pPr>
            <w:r>
              <w:t>1975</w:t>
            </w:r>
          </w:p>
        </w:tc>
        <w:tc>
          <w:tcPr>
            <w:tcW w:w="1959" w:type="dxa"/>
          </w:tcPr>
          <w:p w:rsidR="00000000" w:rsidRDefault="00000000">
            <w:pPr>
              <w:pStyle w:val="BodyText"/>
              <w:spacing w:after="0"/>
            </w:pPr>
            <w:r>
              <w:t xml:space="preserve">Кувейтцы </w:t>
            </w:r>
          </w:p>
        </w:tc>
        <w:tc>
          <w:tcPr>
            <w:tcW w:w="1679" w:type="dxa"/>
          </w:tcPr>
          <w:p w:rsidR="00000000" w:rsidRDefault="00000000">
            <w:pPr>
              <w:pStyle w:val="BodyText"/>
              <w:spacing w:after="0"/>
              <w:ind w:right="454"/>
              <w:jc w:val="right"/>
            </w:pPr>
            <w:r>
              <w:t>153 010</w:t>
            </w:r>
          </w:p>
        </w:tc>
        <w:tc>
          <w:tcPr>
            <w:tcW w:w="1679" w:type="dxa"/>
          </w:tcPr>
          <w:p w:rsidR="00000000" w:rsidRDefault="00000000">
            <w:pPr>
              <w:pStyle w:val="BodyText"/>
              <w:spacing w:after="0"/>
              <w:ind w:right="454"/>
              <w:jc w:val="right"/>
            </w:pPr>
            <w:r>
              <w:t>154 745</w:t>
            </w:r>
          </w:p>
        </w:tc>
        <w:tc>
          <w:tcPr>
            <w:tcW w:w="1679" w:type="dxa"/>
          </w:tcPr>
          <w:p w:rsidR="00000000" w:rsidRDefault="00000000">
            <w:pPr>
              <w:pStyle w:val="BodyText"/>
              <w:spacing w:after="0"/>
              <w:ind w:right="454"/>
              <w:jc w:val="right"/>
            </w:pPr>
            <w:r>
              <w:t>307 755</w:t>
            </w:r>
          </w:p>
        </w:tc>
      </w:tr>
      <w:tr w:rsidR="00000000">
        <w:tblPrEx>
          <w:tblCellMar>
            <w:top w:w="0" w:type="dxa"/>
            <w:bottom w:w="0" w:type="dxa"/>
          </w:tblCellMar>
        </w:tblPrEx>
        <w:trPr>
          <w:cantSplit/>
          <w:jc w:val="center"/>
        </w:trPr>
        <w:tc>
          <w:tcPr>
            <w:tcW w:w="1793" w:type="dxa"/>
          </w:tcPr>
          <w:p w:rsidR="00000000" w:rsidRDefault="00000000">
            <w:pPr>
              <w:pStyle w:val="BodyText"/>
              <w:spacing w:after="0"/>
            </w:pPr>
          </w:p>
        </w:tc>
        <w:tc>
          <w:tcPr>
            <w:tcW w:w="1959" w:type="dxa"/>
          </w:tcPr>
          <w:p w:rsidR="00000000" w:rsidRDefault="00000000">
            <w:pPr>
              <w:pStyle w:val="BodyText"/>
              <w:spacing w:after="0"/>
            </w:pPr>
            <w:r>
              <w:t>Некувейтцы</w:t>
            </w:r>
          </w:p>
        </w:tc>
        <w:tc>
          <w:tcPr>
            <w:tcW w:w="1679" w:type="dxa"/>
          </w:tcPr>
          <w:p w:rsidR="00000000" w:rsidRDefault="00000000">
            <w:pPr>
              <w:pStyle w:val="BodyText"/>
              <w:spacing w:after="0"/>
              <w:ind w:right="454"/>
              <w:jc w:val="right"/>
            </w:pPr>
            <w:r>
              <w:t>390 758</w:t>
            </w:r>
          </w:p>
        </w:tc>
        <w:tc>
          <w:tcPr>
            <w:tcW w:w="1679" w:type="dxa"/>
          </w:tcPr>
          <w:p w:rsidR="00000000" w:rsidRDefault="00000000">
            <w:pPr>
              <w:pStyle w:val="BodyText"/>
              <w:spacing w:after="0"/>
              <w:ind w:right="454"/>
              <w:jc w:val="right"/>
            </w:pPr>
            <w:r>
              <w:t>296 324</w:t>
            </w:r>
          </w:p>
        </w:tc>
        <w:tc>
          <w:tcPr>
            <w:tcW w:w="1679" w:type="dxa"/>
          </w:tcPr>
          <w:p w:rsidR="00000000" w:rsidRDefault="00000000">
            <w:pPr>
              <w:pStyle w:val="BodyText"/>
              <w:spacing w:after="0"/>
              <w:ind w:right="454"/>
              <w:jc w:val="right"/>
            </w:pPr>
            <w:r>
              <w:t>687 082</w:t>
            </w:r>
          </w:p>
        </w:tc>
      </w:tr>
      <w:tr w:rsidR="00000000">
        <w:tblPrEx>
          <w:tblCellMar>
            <w:top w:w="0" w:type="dxa"/>
            <w:bottom w:w="0" w:type="dxa"/>
          </w:tblCellMar>
        </w:tblPrEx>
        <w:trPr>
          <w:cantSplit/>
          <w:jc w:val="center"/>
        </w:trPr>
        <w:tc>
          <w:tcPr>
            <w:tcW w:w="1793" w:type="dxa"/>
          </w:tcPr>
          <w:p w:rsidR="00000000" w:rsidRDefault="00000000">
            <w:pPr>
              <w:pStyle w:val="BodyText"/>
              <w:spacing w:after="0"/>
            </w:pPr>
            <w:r>
              <w:t>1985</w:t>
            </w:r>
          </w:p>
        </w:tc>
        <w:tc>
          <w:tcPr>
            <w:tcW w:w="1959" w:type="dxa"/>
          </w:tcPr>
          <w:p w:rsidR="00000000" w:rsidRDefault="00000000">
            <w:pPr>
              <w:pStyle w:val="BodyText"/>
              <w:spacing w:after="0"/>
            </w:pPr>
            <w:r>
              <w:t xml:space="preserve">Кувейтцы </w:t>
            </w:r>
          </w:p>
        </w:tc>
        <w:tc>
          <w:tcPr>
            <w:tcW w:w="1679" w:type="dxa"/>
          </w:tcPr>
          <w:p w:rsidR="00000000" w:rsidRDefault="00000000">
            <w:pPr>
              <w:pStyle w:val="BodyText"/>
              <w:spacing w:after="0"/>
              <w:ind w:right="454"/>
              <w:jc w:val="right"/>
            </w:pPr>
            <w:r>
              <w:t>238 181</w:t>
            </w:r>
          </w:p>
        </w:tc>
        <w:tc>
          <w:tcPr>
            <w:tcW w:w="1679" w:type="dxa"/>
          </w:tcPr>
          <w:p w:rsidR="00000000" w:rsidRDefault="00000000">
            <w:pPr>
              <w:pStyle w:val="BodyText"/>
              <w:spacing w:after="0"/>
              <w:ind w:right="454"/>
              <w:jc w:val="right"/>
            </w:pPr>
            <w:r>
              <w:t>232 292</w:t>
            </w:r>
          </w:p>
        </w:tc>
        <w:tc>
          <w:tcPr>
            <w:tcW w:w="1679" w:type="dxa"/>
          </w:tcPr>
          <w:p w:rsidR="00000000" w:rsidRDefault="00000000">
            <w:pPr>
              <w:pStyle w:val="BodyText"/>
              <w:spacing w:after="0"/>
              <w:ind w:right="454"/>
              <w:jc w:val="right"/>
            </w:pPr>
            <w:r>
              <w:t>470 473</w:t>
            </w:r>
          </w:p>
        </w:tc>
      </w:tr>
      <w:tr w:rsidR="00000000">
        <w:tblPrEx>
          <w:tblCellMar>
            <w:top w:w="0" w:type="dxa"/>
            <w:bottom w:w="0" w:type="dxa"/>
          </w:tblCellMar>
        </w:tblPrEx>
        <w:trPr>
          <w:cantSplit/>
          <w:jc w:val="center"/>
        </w:trPr>
        <w:tc>
          <w:tcPr>
            <w:tcW w:w="1793" w:type="dxa"/>
          </w:tcPr>
          <w:p w:rsidR="00000000" w:rsidRDefault="00000000">
            <w:pPr>
              <w:pStyle w:val="BodyText"/>
              <w:spacing w:after="0"/>
            </w:pPr>
          </w:p>
        </w:tc>
        <w:tc>
          <w:tcPr>
            <w:tcW w:w="1959" w:type="dxa"/>
          </w:tcPr>
          <w:p w:rsidR="00000000" w:rsidRDefault="00000000">
            <w:pPr>
              <w:pStyle w:val="BodyText"/>
              <w:spacing w:after="0"/>
            </w:pPr>
            <w:r>
              <w:t>Некувейтцы</w:t>
            </w:r>
          </w:p>
        </w:tc>
        <w:tc>
          <w:tcPr>
            <w:tcW w:w="1679" w:type="dxa"/>
          </w:tcPr>
          <w:p w:rsidR="00000000" w:rsidRDefault="00000000">
            <w:pPr>
              <w:pStyle w:val="BodyText"/>
              <w:spacing w:after="0"/>
              <w:ind w:right="454"/>
              <w:jc w:val="right"/>
            </w:pPr>
            <w:r>
              <w:t>727 116</w:t>
            </w:r>
          </w:p>
        </w:tc>
        <w:tc>
          <w:tcPr>
            <w:tcW w:w="1679" w:type="dxa"/>
          </w:tcPr>
          <w:p w:rsidR="00000000" w:rsidRDefault="00000000">
            <w:pPr>
              <w:pStyle w:val="BodyText"/>
              <w:spacing w:after="0"/>
              <w:ind w:right="454"/>
              <w:jc w:val="right"/>
            </w:pPr>
            <w:r>
              <w:t>499 712</w:t>
            </w:r>
          </w:p>
        </w:tc>
        <w:tc>
          <w:tcPr>
            <w:tcW w:w="1679" w:type="dxa"/>
          </w:tcPr>
          <w:p w:rsidR="00000000" w:rsidRDefault="00000000">
            <w:pPr>
              <w:pStyle w:val="BodyText"/>
              <w:spacing w:after="0"/>
              <w:ind w:right="454"/>
              <w:jc w:val="right"/>
            </w:pPr>
            <w:r>
              <w:t>1 226 828</w:t>
            </w:r>
          </w:p>
        </w:tc>
      </w:tr>
      <w:tr w:rsidR="00000000">
        <w:tblPrEx>
          <w:tblCellMar>
            <w:top w:w="0" w:type="dxa"/>
            <w:bottom w:w="0" w:type="dxa"/>
          </w:tblCellMar>
        </w:tblPrEx>
        <w:trPr>
          <w:cantSplit/>
          <w:jc w:val="center"/>
        </w:trPr>
        <w:tc>
          <w:tcPr>
            <w:tcW w:w="1793" w:type="dxa"/>
          </w:tcPr>
          <w:p w:rsidR="00000000" w:rsidRDefault="00000000">
            <w:pPr>
              <w:pStyle w:val="BodyText"/>
              <w:spacing w:after="0"/>
            </w:pPr>
            <w:r>
              <w:t>1995</w:t>
            </w:r>
          </w:p>
        </w:tc>
        <w:tc>
          <w:tcPr>
            <w:tcW w:w="1959" w:type="dxa"/>
          </w:tcPr>
          <w:p w:rsidR="00000000" w:rsidRDefault="00000000">
            <w:pPr>
              <w:pStyle w:val="BodyText"/>
              <w:spacing w:after="0"/>
            </w:pPr>
            <w:r>
              <w:t xml:space="preserve">Кувейтцы </w:t>
            </w:r>
          </w:p>
        </w:tc>
        <w:tc>
          <w:tcPr>
            <w:tcW w:w="1679" w:type="dxa"/>
          </w:tcPr>
          <w:p w:rsidR="00000000" w:rsidRDefault="00000000">
            <w:pPr>
              <w:pStyle w:val="BodyText"/>
              <w:spacing w:after="0"/>
              <w:ind w:right="454"/>
              <w:jc w:val="right"/>
            </w:pPr>
            <w:r>
              <w:t>326 301</w:t>
            </w:r>
          </w:p>
        </w:tc>
        <w:tc>
          <w:tcPr>
            <w:tcW w:w="1679" w:type="dxa"/>
          </w:tcPr>
          <w:p w:rsidR="00000000" w:rsidRDefault="00000000">
            <w:pPr>
              <w:pStyle w:val="BodyText"/>
              <w:spacing w:after="0"/>
              <w:ind w:right="454"/>
              <w:jc w:val="right"/>
            </w:pPr>
            <w:r>
              <w:t>327 315</w:t>
            </w:r>
          </w:p>
        </w:tc>
        <w:tc>
          <w:tcPr>
            <w:tcW w:w="1679" w:type="dxa"/>
          </w:tcPr>
          <w:p w:rsidR="00000000" w:rsidRDefault="00000000">
            <w:pPr>
              <w:pStyle w:val="BodyText"/>
              <w:spacing w:after="0"/>
              <w:ind w:right="454"/>
              <w:jc w:val="right"/>
            </w:pPr>
            <w:r>
              <w:t>653 616</w:t>
            </w:r>
          </w:p>
        </w:tc>
      </w:tr>
      <w:tr w:rsidR="00000000">
        <w:tblPrEx>
          <w:tblCellMar>
            <w:top w:w="0" w:type="dxa"/>
            <w:bottom w:w="0" w:type="dxa"/>
          </w:tblCellMar>
        </w:tblPrEx>
        <w:trPr>
          <w:cantSplit/>
          <w:jc w:val="center"/>
        </w:trPr>
        <w:tc>
          <w:tcPr>
            <w:tcW w:w="1793" w:type="dxa"/>
          </w:tcPr>
          <w:p w:rsidR="00000000" w:rsidRDefault="00000000">
            <w:pPr>
              <w:pStyle w:val="BodyText"/>
              <w:spacing w:after="0"/>
            </w:pPr>
          </w:p>
        </w:tc>
        <w:tc>
          <w:tcPr>
            <w:tcW w:w="1959" w:type="dxa"/>
          </w:tcPr>
          <w:p w:rsidR="00000000" w:rsidRDefault="00000000">
            <w:pPr>
              <w:pStyle w:val="BodyText"/>
              <w:spacing w:after="0"/>
            </w:pPr>
            <w:r>
              <w:t>Некувейтцы</w:t>
            </w:r>
          </w:p>
        </w:tc>
        <w:tc>
          <w:tcPr>
            <w:tcW w:w="1679" w:type="dxa"/>
          </w:tcPr>
          <w:p w:rsidR="00000000" w:rsidRDefault="00000000">
            <w:pPr>
              <w:pStyle w:val="BodyText"/>
              <w:spacing w:after="0"/>
              <w:ind w:right="454"/>
              <w:jc w:val="right"/>
            </w:pPr>
            <w:r>
              <w:t>587 101</w:t>
            </w:r>
          </w:p>
        </w:tc>
        <w:tc>
          <w:tcPr>
            <w:tcW w:w="1679" w:type="dxa"/>
          </w:tcPr>
          <w:p w:rsidR="00000000" w:rsidRDefault="00000000">
            <w:pPr>
              <w:pStyle w:val="BodyText"/>
              <w:spacing w:after="0"/>
              <w:ind w:right="454"/>
              <w:jc w:val="right"/>
            </w:pPr>
            <w:r>
              <w:t>334 853</w:t>
            </w:r>
          </w:p>
        </w:tc>
        <w:tc>
          <w:tcPr>
            <w:tcW w:w="1679" w:type="dxa"/>
          </w:tcPr>
          <w:p w:rsidR="00000000" w:rsidRDefault="00000000">
            <w:pPr>
              <w:pStyle w:val="BodyText"/>
              <w:spacing w:after="0"/>
              <w:ind w:right="454"/>
              <w:jc w:val="right"/>
            </w:pPr>
            <w:r>
              <w:t>921 954</w:t>
            </w:r>
          </w:p>
        </w:tc>
      </w:tr>
    </w:tbl>
    <w:p w:rsidR="00000000" w:rsidRDefault="00000000">
      <w:pPr>
        <w:pStyle w:val="BodyText"/>
        <w:spacing w:before="240"/>
        <w:jc w:val="center"/>
      </w:pPr>
      <w:r>
        <w:t>Оценочные данные численности населения на середину года с разбивкой по полу и гражданству</w:t>
      </w:r>
    </w:p>
    <w:tbl>
      <w:tblPr>
        <w:tblW w:w="0" w:type="auto"/>
        <w:jc w:val="center"/>
        <w:tblLayout w:type="fixed"/>
        <w:tblLook w:val="01E0" w:firstRow="1" w:lastRow="1" w:firstColumn="1" w:lastColumn="1" w:noHBand="0" w:noVBand="0"/>
      </w:tblPr>
      <w:tblGrid>
        <w:gridCol w:w="758"/>
        <w:gridCol w:w="1137"/>
        <w:gridCol w:w="1142"/>
        <w:gridCol w:w="1137"/>
        <w:gridCol w:w="1169"/>
        <w:gridCol w:w="1152"/>
        <w:gridCol w:w="1142"/>
        <w:gridCol w:w="1152"/>
      </w:tblGrid>
      <w:tr w:rsidR="00000000">
        <w:tblPrEx>
          <w:tblCellMar>
            <w:top w:w="0" w:type="dxa"/>
            <w:bottom w:w="0" w:type="dxa"/>
          </w:tblCellMar>
        </w:tblPrEx>
        <w:trPr>
          <w:cantSplit/>
          <w:jc w:val="center"/>
        </w:trPr>
        <w:tc>
          <w:tcPr>
            <w:tcW w:w="758" w:type="dxa"/>
          </w:tcPr>
          <w:p w:rsidR="00000000" w:rsidRDefault="00000000">
            <w:pPr>
              <w:pStyle w:val="BodyText"/>
              <w:spacing w:after="0"/>
              <w:jc w:val="center"/>
              <w:rPr>
                <w:sz w:val="18"/>
              </w:rPr>
            </w:pPr>
            <w:r>
              <w:rPr>
                <w:sz w:val="18"/>
              </w:rPr>
              <w:t>Год</w:t>
            </w:r>
          </w:p>
        </w:tc>
        <w:tc>
          <w:tcPr>
            <w:tcW w:w="2279" w:type="dxa"/>
            <w:gridSpan w:val="2"/>
          </w:tcPr>
          <w:p w:rsidR="00000000" w:rsidRDefault="00000000">
            <w:pPr>
              <w:pStyle w:val="BodyText"/>
              <w:spacing w:after="0"/>
              <w:jc w:val="center"/>
              <w:rPr>
                <w:sz w:val="18"/>
              </w:rPr>
            </w:pPr>
            <w:r>
              <w:rPr>
                <w:sz w:val="18"/>
              </w:rPr>
              <w:t>Кувейтцы</w:t>
            </w:r>
          </w:p>
        </w:tc>
        <w:tc>
          <w:tcPr>
            <w:tcW w:w="2306" w:type="dxa"/>
            <w:gridSpan w:val="2"/>
          </w:tcPr>
          <w:p w:rsidR="00000000" w:rsidRDefault="00000000">
            <w:pPr>
              <w:pStyle w:val="BodyText"/>
              <w:spacing w:after="0"/>
              <w:jc w:val="center"/>
              <w:rPr>
                <w:sz w:val="18"/>
              </w:rPr>
            </w:pPr>
            <w:r>
              <w:rPr>
                <w:sz w:val="18"/>
              </w:rPr>
              <w:t>Некувейтцы</w:t>
            </w:r>
          </w:p>
        </w:tc>
        <w:tc>
          <w:tcPr>
            <w:tcW w:w="3446" w:type="dxa"/>
            <w:gridSpan w:val="3"/>
          </w:tcPr>
          <w:p w:rsidR="00000000" w:rsidRDefault="00000000">
            <w:pPr>
              <w:pStyle w:val="BodyText"/>
              <w:spacing w:after="0"/>
              <w:jc w:val="center"/>
              <w:rPr>
                <w:sz w:val="18"/>
              </w:rPr>
            </w:pPr>
            <w:r>
              <w:rPr>
                <w:sz w:val="18"/>
              </w:rPr>
              <w:t>Итого</w:t>
            </w:r>
          </w:p>
        </w:tc>
      </w:tr>
      <w:tr w:rsidR="00000000">
        <w:tblPrEx>
          <w:tblCellMar>
            <w:top w:w="0" w:type="dxa"/>
            <w:bottom w:w="0" w:type="dxa"/>
          </w:tblCellMar>
        </w:tblPrEx>
        <w:trPr>
          <w:jc w:val="center"/>
        </w:trPr>
        <w:tc>
          <w:tcPr>
            <w:tcW w:w="758" w:type="dxa"/>
          </w:tcPr>
          <w:p w:rsidR="00000000" w:rsidRDefault="00000000">
            <w:pPr>
              <w:pStyle w:val="BodyText"/>
              <w:spacing w:after="0"/>
              <w:jc w:val="center"/>
              <w:rPr>
                <w:sz w:val="18"/>
              </w:rPr>
            </w:pPr>
          </w:p>
        </w:tc>
        <w:tc>
          <w:tcPr>
            <w:tcW w:w="1137" w:type="dxa"/>
          </w:tcPr>
          <w:p w:rsidR="00000000" w:rsidRDefault="00000000">
            <w:pPr>
              <w:pStyle w:val="BodyText"/>
              <w:spacing w:after="0"/>
              <w:jc w:val="center"/>
              <w:rPr>
                <w:sz w:val="18"/>
              </w:rPr>
            </w:pPr>
            <w:r>
              <w:rPr>
                <w:sz w:val="18"/>
              </w:rPr>
              <w:t>мужчины</w:t>
            </w:r>
          </w:p>
        </w:tc>
        <w:tc>
          <w:tcPr>
            <w:tcW w:w="1142" w:type="dxa"/>
          </w:tcPr>
          <w:p w:rsidR="00000000" w:rsidRDefault="00000000">
            <w:pPr>
              <w:pStyle w:val="BodyText"/>
              <w:spacing w:after="0"/>
              <w:jc w:val="center"/>
              <w:rPr>
                <w:sz w:val="18"/>
              </w:rPr>
            </w:pPr>
            <w:r>
              <w:rPr>
                <w:sz w:val="18"/>
              </w:rPr>
              <w:t>женщины</w:t>
            </w:r>
          </w:p>
        </w:tc>
        <w:tc>
          <w:tcPr>
            <w:tcW w:w="1137" w:type="dxa"/>
          </w:tcPr>
          <w:p w:rsidR="00000000" w:rsidRDefault="00000000">
            <w:pPr>
              <w:pStyle w:val="BodyText"/>
              <w:spacing w:after="0"/>
              <w:jc w:val="center"/>
              <w:rPr>
                <w:sz w:val="18"/>
              </w:rPr>
            </w:pPr>
            <w:r>
              <w:rPr>
                <w:sz w:val="18"/>
              </w:rPr>
              <w:t>мужчины</w:t>
            </w:r>
          </w:p>
        </w:tc>
        <w:tc>
          <w:tcPr>
            <w:tcW w:w="1169" w:type="dxa"/>
          </w:tcPr>
          <w:p w:rsidR="00000000" w:rsidRDefault="00000000">
            <w:pPr>
              <w:pStyle w:val="BodyText"/>
              <w:spacing w:after="0"/>
              <w:jc w:val="center"/>
              <w:rPr>
                <w:sz w:val="18"/>
              </w:rPr>
            </w:pPr>
            <w:r>
              <w:rPr>
                <w:sz w:val="18"/>
              </w:rPr>
              <w:t>женщины</w:t>
            </w:r>
          </w:p>
        </w:tc>
        <w:tc>
          <w:tcPr>
            <w:tcW w:w="1152" w:type="dxa"/>
          </w:tcPr>
          <w:p w:rsidR="00000000" w:rsidRDefault="00000000">
            <w:pPr>
              <w:pStyle w:val="BodyText"/>
              <w:spacing w:after="0"/>
              <w:jc w:val="center"/>
              <w:rPr>
                <w:sz w:val="18"/>
              </w:rPr>
            </w:pPr>
            <w:r>
              <w:rPr>
                <w:sz w:val="18"/>
              </w:rPr>
              <w:t>мужчины</w:t>
            </w:r>
          </w:p>
        </w:tc>
        <w:tc>
          <w:tcPr>
            <w:tcW w:w="1142" w:type="dxa"/>
          </w:tcPr>
          <w:p w:rsidR="00000000" w:rsidRDefault="00000000">
            <w:pPr>
              <w:pStyle w:val="BodyText"/>
              <w:spacing w:after="0"/>
              <w:jc w:val="center"/>
              <w:rPr>
                <w:sz w:val="18"/>
              </w:rPr>
            </w:pPr>
            <w:r>
              <w:rPr>
                <w:sz w:val="18"/>
              </w:rPr>
              <w:t>женщины</w:t>
            </w:r>
          </w:p>
        </w:tc>
        <w:tc>
          <w:tcPr>
            <w:tcW w:w="1152" w:type="dxa"/>
          </w:tcPr>
          <w:p w:rsidR="00000000" w:rsidRDefault="00000000">
            <w:pPr>
              <w:pStyle w:val="BodyText"/>
              <w:spacing w:after="0"/>
              <w:jc w:val="center"/>
              <w:rPr>
                <w:sz w:val="18"/>
              </w:rPr>
            </w:pPr>
            <w:r>
              <w:rPr>
                <w:sz w:val="18"/>
              </w:rPr>
              <w:t>всего</w:t>
            </w:r>
          </w:p>
        </w:tc>
      </w:tr>
      <w:tr w:rsidR="00000000">
        <w:tblPrEx>
          <w:tblCellMar>
            <w:top w:w="0" w:type="dxa"/>
            <w:bottom w:w="0" w:type="dxa"/>
          </w:tblCellMar>
        </w:tblPrEx>
        <w:trPr>
          <w:jc w:val="center"/>
        </w:trPr>
        <w:tc>
          <w:tcPr>
            <w:tcW w:w="758" w:type="dxa"/>
          </w:tcPr>
          <w:p w:rsidR="00000000" w:rsidRDefault="00000000">
            <w:pPr>
              <w:pStyle w:val="BodyText"/>
              <w:spacing w:after="0"/>
              <w:jc w:val="center"/>
            </w:pPr>
            <w:r>
              <w:t>1995</w:t>
            </w:r>
          </w:p>
        </w:tc>
        <w:tc>
          <w:tcPr>
            <w:tcW w:w="1137" w:type="dxa"/>
          </w:tcPr>
          <w:p w:rsidR="00000000" w:rsidRDefault="00000000">
            <w:pPr>
              <w:pStyle w:val="BodyText"/>
              <w:spacing w:after="0"/>
              <w:jc w:val="center"/>
            </w:pPr>
            <w:r>
              <w:t>344 595</w:t>
            </w:r>
          </w:p>
        </w:tc>
        <w:tc>
          <w:tcPr>
            <w:tcW w:w="1142" w:type="dxa"/>
          </w:tcPr>
          <w:p w:rsidR="00000000" w:rsidRDefault="00000000">
            <w:pPr>
              <w:pStyle w:val="BodyText"/>
              <w:spacing w:after="0"/>
              <w:jc w:val="center"/>
            </w:pPr>
            <w:r>
              <w:t>350 013</w:t>
            </w:r>
          </w:p>
        </w:tc>
        <w:tc>
          <w:tcPr>
            <w:tcW w:w="1137" w:type="dxa"/>
          </w:tcPr>
          <w:p w:rsidR="00000000" w:rsidRDefault="00000000">
            <w:pPr>
              <w:pStyle w:val="BodyText"/>
              <w:spacing w:after="0"/>
              <w:jc w:val="center"/>
            </w:pPr>
            <w:r>
              <w:t>752 178</w:t>
            </w:r>
          </w:p>
        </w:tc>
        <w:tc>
          <w:tcPr>
            <w:tcW w:w="1169" w:type="dxa"/>
          </w:tcPr>
          <w:p w:rsidR="00000000" w:rsidRDefault="00000000">
            <w:pPr>
              <w:pStyle w:val="BodyText"/>
              <w:spacing w:after="0"/>
              <w:jc w:val="center"/>
            </w:pPr>
            <w:r>
              <w:t>355 011</w:t>
            </w:r>
          </w:p>
        </w:tc>
        <w:tc>
          <w:tcPr>
            <w:tcW w:w="1152" w:type="dxa"/>
          </w:tcPr>
          <w:p w:rsidR="00000000" w:rsidRDefault="00000000">
            <w:pPr>
              <w:pStyle w:val="BodyText"/>
              <w:spacing w:after="0"/>
              <w:jc w:val="center"/>
            </w:pPr>
            <w:r>
              <w:t>1 096 773</w:t>
            </w:r>
          </w:p>
        </w:tc>
        <w:tc>
          <w:tcPr>
            <w:tcW w:w="1142" w:type="dxa"/>
          </w:tcPr>
          <w:p w:rsidR="00000000" w:rsidRDefault="00000000">
            <w:pPr>
              <w:pStyle w:val="BodyText"/>
              <w:spacing w:after="0"/>
              <w:jc w:val="center"/>
            </w:pPr>
            <w:r>
              <w:t>705 024</w:t>
            </w:r>
          </w:p>
        </w:tc>
        <w:tc>
          <w:tcPr>
            <w:tcW w:w="1152" w:type="dxa"/>
          </w:tcPr>
          <w:p w:rsidR="00000000" w:rsidRDefault="00000000">
            <w:pPr>
              <w:pStyle w:val="BodyText"/>
              <w:spacing w:after="0"/>
              <w:jc w:val="center"/>
            </w:pPr>
            <w:r>
              <w:t>1 801 797</w:t>
            </w:r>
          </w:p>
        </w:tc>
      </w:tr>
      <w:tr w:rsidR="00000000">
        <w:tblPrEx>
          <w:tblCellMar>
            <w:top w:w="0" w:type="dxa"/>
            <w:bottom w:w="0" w:type="dxa"/>
          </w:tblCellMar>
        </w:tblPrEx>
        <w:trPr>
          <w:jc w:val="center"/>
        </w:trPr>
        <w:tc>
          <w:tcPr>
            <w:tcW w:w="758" w:type="dxa"/>
          </w:tcPr>
          <w:p w:rsidR="00000000" w:rsidRDefault="00000000">
            <w:pPr>
              <w:pStyle w:val="BodyText"/>
              <w:spacing w:after="0"/>
              <w:jc w:val="center"/>
            </w:pPr>
            <w:r>
              <w:t>1996</w:t>
            </w:r>
          </w:p>
        </w:tc>
        <w:tc>
          <w:tcPr>
            <w:tcW w:w="1137" w:type="dxa"/>
          </w:tcPr>
          <w:p w:rsidR="00000000" w:rsidRDefault="00000000">
            <w:pPr>
              <w:pStyle w:val="BodyText"/>
              <w:spacing w:after="0"/>
              <w:jc w:val="center"/>
            </w:pPr>
            <w:r>
              <w:t>357 023</w:t>
            </w:r>
          </w:p>
        </w:tc>
        <w:tc>
          <w:tcPr>
            <w:tcW w:w="1142" w:type="dxa"/>
          </w:tcPr>
          <w:p w:rsidR="00000000" w:rsidRDefault="00000000">
            <w:pPr>
              <w:pStyle w:val="BodyText"/>
              <w:spacing w:after="0"/>
              <w:jc w:val="center"/>
            </w:pPr>
            <w:r>
              <w:t>363 628</w:t>
            </w:r>
          </w:p>
        </w:tc>
        <w:tc>
          <w:tcPr>
            <w:tcW w:w="1137" w:type="dxa"/>
          </w:tcPr>
          <w:p w:rsidR="00000000" w:rsidRDefault="00000000">
            <w:pPr>
              <w:pStyle w:val="BodyText"/>
              <w:spacing w:after="0"/>
              <w:jc w:val="center"/>
            </w:pPr>
            <w:r>
              <w:t>785 660</w:t>
            </w:r>
          </w:p>
        </w:tc>
        <w:tc>
          <w:tcPr>
            <w:tcW w:w="1169" w:type="dxa"/>
          </w:tcPr>
          <w:p w:rsidR="00000000" w:rsidRDefault="00000000">
            <w:pPr>
              <w:pStyle w:val="BodyText"/>
              <w:spacing w:after="0"/>
              <w:jc w:val="center"/>
            </w:pPr>
            <w:r>
              <w:t>388 051</w:t>
            </w:r>
          </w:p>
        </w:tc>
        <w:tc>
          <w:tcPr>
            <w:tcW w:w="1152" w:type="dxa"/>
          </w:tcPr>
          <w:p w:rsidR="00000000" w:rsidRDefault="00000000">
            <w:pPr>
              <w:pStyle w:val="BodyText"/>
              <w:spacing w:after="0"/>
              <w:jc w:val="center"/>
            </w:pPr>
            <w:r>
              <w:t>1 142 683</w:t>
            </w:r>
          </w:p>
        </w:tc>
        <w:tc>
          <w:tcPr>
            <w:tcW w:w="1142" w:type="dxa"/>
          </w:tcPr>
          <w:p w:rsidR="00000000" w:rsidRDefault="00000000">
            <w:pPr>
              <w:pStyle w:val="BodyText"/>
              <w:spacing w:after="0"/>
              <w:jc w:val="center"/>
            </w:pPr>
            <w:r>
              <w:t>751 679</w:t>
            </w:r>
          </w:p>
        </w:tc>
        <w:tc>
          <w:tcPr>
            <w:tcW w:w="1152" w:type="dxa"/>
          </w:tcPr>
          <w:p w:rsidR="00000000" w:rsidRDefault="00000000">
            <w:pPr>
              <w:pStyle w:val="BodyText"/>
              <w:spacing w:after="0"/>
              <w:jc w:val="center"/>
            </w:pPr>
            <w:r>
              <w:t>1 894 362</w:t>
            </w:r>
          </w:p>
        </w:tc>
      </w:tr>
      <w:tr w:rsidR="00000000">
        <w:tblPrEx>
          <w:tblCellMar>
            <w:top w:w="0" w:type="dxa"/>
            <w:bottom w:w="0" w:type="dxa"/>
          </w:tblCellMar>
        </w:tblPrEx>
        <w:trPr>
          <w:jc w:val="center"/>
        </w:trPr>
        <w:tc>
          <w:tcPr>
            <w:tcW w:w="758" w:type="dxa"/>
          </w:tcPr>
          <w:p w:rsidR="00000000" w:rsidRDefault="00000000">
            <w:pPr>
              <w:pStyle w:val="BodyText"/>
              <w:spacing w:after="0"/>
              <w:jc w:val="center"/>
            </w:pPr>
            <w:r>
              <w:t>1997</w:t>
            </w:r>
          </w:p>
        </w:tc>
        <w:tc>
          <w:tcPr>
            <w:tcW w:w="1137" w:type="dxa"/>
          </w:tcPr>
          <w:p w:rsidR="00000000" w:rsidRDefault="00000000">
            <w:pPr>
              <w:pStyle w:val="BodyText"/>
              <w:spacing w:after="0"/>
              <w:jc w:val="center"/>
            </w:pPr>
            <w:r>
              <w:t>369 172</w:t>
            </w:r>
          </w:p>
        </w:tc>
        <w:tc>
          <w:tcPr>
            <w:tcW w:w="1142" w:type="dxa"/>
          </w:tcPr>
          <w:p w:rsidR="00000000" w:rsidRDefault="00000000">
            <w:pPr>
              <w:pStyle w:val="BodyText"/>
              <w:spacing w:after="0"/>
              <w:jc w:val="center"/>
            </w:pPr>
            <w:r>
              <w:t>377 921</w:t>
            </w:r>
          </w:p>
        </w:tc>
        <w:tc>
          <w:tcPr>
            <w:tcW w:w="1137" w:type="dxa"/>
          </w:tcPr>
          <w:p w:rsidR="00000000" w:rsidRDefault="00000000">
            <w:pPr>
              <w:pStyle w:val="BodyText"/>
              <w:spacing w:after="0"/>
              <w:jc w:val="center"/>
            </w:pPr>
            <w:r>
              <w:t>825 999</w:t>
            </w:r>
          </w:p>
        </w:tc>
        <w:tc>
          <w:tcPr>
            <w:tcW w:w="1169" w:type="dxa"/>
          </w:tcPr>
          <w:p w:rsidR="00000000" w:rsidRDefault="00000000">
            <w:pPr>
              <w:pStyle w:val="BodyText"/>
              <w:spacing w:after="0"/>
              <w:jc w:val="center"/>
            </w:pPr>
            <w:r>
              <w:t>406 957</w:t>
            </w:r>
          </w:p>
        </w:tc>
        <w:tc>
          <w:tcPr>
            <w:tcW w:w="1152" w:type="dxa"/>
          </w:tcPr>
          <w:p w:rsidR="00000000" w:rsidRDefault="00000000">
            <w:pPr>
              <w:pStyle w:val="BodyText"/>
              <w:spacing w:after="0"/>
              <w:jc w:val="center"/>
            </w:pPr>
            <w:r>
              <w:t>1 195 171</w:t>
            </w:r>
          </w:p>
        </w:tc>
        <w:tc>
          <w:tcPr>
            <w:tcW w:w="1142" w:type="dxa"/>
          </w:tcPr>
          <w:p w:rsidR="00000000" w:rsidRDefault="00000000">
            <w:pPr>
              <w:pStyle w:val="BodyText"/>
              <w:spacing w:after="0"/>
              <w:jc w:val="center"/>
            </w:pPr>
            <w:r>
              <w:t>784 518</w:t>
            </w:r>
          </w:p>
        </w:tc>
        <w:tc>
          <w:tcPr>
            <w:tcW w:w="1152" w:type="dxa"/>
          </w:tcPr>
          <w:p w:rsidR="00000000" w:rsidRDefault="00000000">
            <w:pPr>
              <w:pStyle w:val="BodyText"/>
              <w:spacing w:after="0"/>
              <w:jc w:val="center"/>
            </w:pPr>
            <w:r>
              <w:t>1 979 689</w:t>
            </w:r>
          </w:p>
        </w:tc>
      </w:tr>
      <w:tr w:rsidR="00000000">
        <w:tblPrEx>
          <w:tblCellMar>
            <w:top w:w="0" w:type="dxa"/>
            <w:bottom w:w="0" w:type="dxa"/>
          </w:tblCellMar>
        </w:tblPrEx>
        <w:trPr>
          <w:jc w:val="center"/>
        </w:trPr>
        <w:tc>
          <w:tcPr>
            <w:tcW w:w="758" w:type="dxa"/>
          </w:tcPr>
          <w:p w:rsidR="00000000" w:rsidRDefault="00000000">
            <w:pPr>
              <w:pStyle w:val="BodyText"/>
              <w:spacing w:after="0"/>
              <w:jc w:val="center"/>
            </w:pPr>
            <w:r>
              <w:t>1998</w:t>
            </w:r>
          </w:p>
        </w:tc>
        <w:tc>
          <w:tcPr>
            <w:tcW w:w="1137" w:type="dxa"/>
          </w:tcPr>
          <w:p w:rsidR="00000000" w:rsidRDefault="00000000">
            <w:pPr>
              <w:pStyle w:val="BodyText"/>
              <w:spacing w:after="0"/>
              <w:jc w:val="center"/>
            </w:pPr>
            <w:r>
              <w:t>382 383</w:t>
            </w:r>
          </w:p>
        </w:tc>
        <w:tc>
          <w:tcPr>
            <w:tcW w:w="1142" w:type="dxa"/>
          </w:tcPr>
          <w:p w:rsidR="00000000" w:rsidRDefault="00000000">
            <w:pPr>
              <w:pStyle w:val="BodyText"/>
              <w:spacing w:after="0"/>
              <w:jc w:val="center"/>
            </w:pPr>
            <w:r>
              <w:t>394 000</w:t>
            </w:r>
          </w:p>
        </w:tc>
        <w:tc>
          <w:tcPr>
            <w:tcW w:w="1137" w:type="dxa"/>
          </w:tcPr>
          <w:p w:rsidR="00000000" w:rsidRDefault="00000000">
            <w:pPr>
              <w:pStyle w:val="BodyText"/>
              <w:spacing w:after="0"/>
              <w:jc w:val="center"/>
            </w:pPr>
            <w:r>
              <w:t>844 391</w:t>
            </w:r>
          </w:p>
        </w:tc>
        <w:tc>
          <w:tcPr>
            <w:tcW w:w="1169" w:type="dxa"/>
          </w:tcPr>
          <w:p w:rsidR="00000000" w:rsidRDefault="00000000">
            <w:pPr>
              <w:pStyle w:val="BodyText"/>
              <w:spacing w:after="0"/>
              <w:jc w:val="center"/>
            </w:pPr>
            <w:r>
              <w:t>406 329</w:t>
            </w:r>
          </w:p>
        </w:tc>
        <w:tc>
          <w:tcPr>
            <w:tcW w:w="1152" w:type="dxa"/>
          </w:tcPr>
          <w:p w:rsidR="00000000" w:rsidRDefault="00000000">
            <w:pPr>
              <w:pStyle w:val="BodyText"/>
              <w:spacing w:after="0"/>
              <w:jc w:val="center"/>
            </w:pPr>
            <w:r>
              <w:t>1 226 774</w:t>
            </w:r>
          </w:p>
        </w:tc>
        <w:tc>
          <w:tcPr>
            <w:tcW w:w="1142" w:type="dxa"/>
          </w:tcPr>
          <w:p w:rsidR="00000000" w:rsidRDefault="00000000">
            <w:pPr>
              <w:pStyle w:val="BodyText"/>
              <w:spacing w:after="0"/>
              <w:jc w:val="center"/>
            </w:pPr>
            <w:r>
              <w:t>800 329</w:t>
            </w:r>
          </w:p>
        </w:tc>
        <w:tc>
          <w:tcPr>
            <w:tcW w:w="1152" w:type="dxa"/>
          </w:tcPr>
          <w:p w:rsidR="00000000" w:rsidRDefault="00000000">
            <w:pPr>
              <w:pStyle w:val="BodyText"/>
              <w:spacing w:after="0"/>
              <w:jc w:val="center"/>
            </w:pPr>
            <w:r>
              <w:t>2 027 103</w:t>
            </w:r>
          </w:p>
        </w:tc>
      </w:tr>
      <w:tr w:rsidR="00000000">
        <w:tblPrEx>
          <w:tblCellMar>
            <w:top w:w="0" w:type="dxa"/>
            <w:bottom w:w="0" w:type="dxa"/>
          </w:tblCellMar>
        </w:tblPrEx>
        <w:trPr>
          <w:jc w:val="center"/>
        </w:trPr>
        <w:tc>
          <w:tcPr>
            <w:tcW w:w="758" w:type="dxa"/>
          </w:tcPr>
          <w:p w:rsidR="00000000" w:rsidRDefault="00000000">
            <w:pPr>
              <w:pStyle w:val="BodyText"/>
              <w:spacing w:after="0"/>
              <w:jc w:val="center"/>
            </w:pPr>
            <w:r>
              <w:t>1999</w:t>
            </w:r>
          </w:p>
        </w:tc>
        <w:tc>
          <w:tcPr>
            <w:tcW w:w="1137" w:type="dxa"/>
          </w:tcPr>
          <w:p w:rsidR="00000000" w:rsidRDefault="00000000">
            <w:pPr>
              <w:pStyle w:val="BodyText"/>
              <w:spacing w:after="0"/>
              <w:jc w:val="center"/>
            </w:pPr>
            <w:r>
              <w:t>396 354</w:t>
            </w:r>
          </w:p>
        </w:tc>
        <w:tc>
          <w:tcPr>
            <w:tcW w:w="1142" w:type="dxa"/>
          </w:tcPr>
          <w:p w:rsidR="00000000" w:rsidRDefault="00000000">
            <w:pPr>
              <w:pStyle w:val="BodyText"/>
              <w:spacing w:after="0"/>
              <w:jc w:val="center"/>
            </w:pPr>
            <w:r>
              <w:t>407 600</w:t>
            </w:r>
          </w:p>
        </w:tc>
        <w:tc>
          <w:tcPr>
            <w:tcW w:w="1137" w:type="dxa"/>
          </w:tcPr>
          <w:p w:rsidR="00000000" w:rsidRDefault="00000000">
            <w:pPr>
              <w:pStyle w:val="BodyText"/>
              <w:spacing w:after="0"/>
              <w:jc w:val="center"/>
            </w:pPr>
            <w:r>
              <w:t>882 477</w:t>
            </w:r>
          </w:p>
        </w:tc>
        <w:tc>
          <w:tcPr>
            <w:tcW w:w="1169" w:type="dxa"/>
          </w:tcPr>
          <w:p w:rsidR="00000000" w:rsidRDefault="00000000">
            <w:pPr>
              <w:pStyle w:val="BodyText"/>
              <w:spacing w:after="0"/>
              <w:jc w:val="center"/>
            </w:pPr>
            <w:r>
              <w:t>420 773</w:t>
            </w:r>
          </w:p>
        </w:tc>
        <w:tc>
          <w:tcPr>
            <w:tcW w:w="1152" w:type="dxa"/>
          </w:tcPr>
          <w:p w:rsidR="00000000" w:rsidRDefault="00000000">
            <w:pPr>
              <w:pStyle w:val="BodyText"/>
              <w:spacing w:after="0"/>
              <w:jc w:val="center"/>
            </w:pPr>
            <w:r>
              <w:t>1 278 822</w:t>
            </w:r>
          </w:p>
        </w:tc>
        <w:tc>
          <w:tcPr>
            <w:tcW w:w="1142" w:type="dxa"/>
          </w:tcPr>
          <w:p w:rsidR="00000000" w:rsidRDefault="00000000">
            <w:pPr>
              <w:pStyle w:val="BodyText"/>
              <w:spacing w:after="0"/>
              <w:jc w:val="center"/>
            </w:pPr>
            <w:r>
              <w:t>828 373</w:t>
            </w:r>
          </w:p>
        </w:tc>
        <w:tc>
          <w:tcPr>
            <w:tcW w:w="1152" w:type="dxa"/>
          </w:tcPr>
          <w:p w:rsidR="00000000" w:rsidRDefault="00000000">
            <w:pPr>
              <w:pStyle w:val="BodyText"/>
              <w:spacing w:after="0"/>
              <w:jc w:val="center"/>
            </w:pPr>
            <w:r>
              <w:t>2 107 195</w:t>
            </w:r>
          </w:p>
        </w:tc>
      </w:tr>
      <w:tr w:rsidR="00000000">
        <w:tblPrEx>
          <w:tblCellMar>
            <w:top w:w="0" w:type="dxa"/>
            <w:bottom w:w="0" w:type="dxa"/>
          </w:tblCellMar>
        </w:tblPrEx>
        <w:trPr>
          <w:jc w:val="center"/>
        </w:trPr>
        <w:tc>
          <w:tcPr>
            <w:tcW w:w="758" w:type="dxa"/>
          </w:tcPr>
          <w:p w:rsidR="00000000" w:rsidRDefault="00000000">
            <w:pPr>
              <w:pStyle w:val="BodyText"/>
              <w:spacing w:after="0"/>
              <w:jc w:val="center"/>
            </w:pPr>
            <w:r>
              <w:t>2000</w:t>
            </w:r>
          </w:p>
        </w:tc>
        <w:tc>
          <w:tcPr>
            <w:tcW w:w="1137" w:type="dxa"/>
          </w:tcPr>
          <w:p w:rsidR="00000000" w:rsidRDefault="00000000">
            <w:pPr>
              <w:pStyle w:val="BodyText"/>
              <w:spacing w:after="0"/>
              <w:jc w:val="center"/>
            </w:pPr>
            <w:r>
              <w:t>410 850</w:t>
            </w:r>
          </w:p>
        </w:tc>
        <w:tc>
          <w:tcPr>
            <w:tcW w:w="1142" w:type="dxa"/>
          </w:tcPr>
          <w:p w:rsidR="00000000" w:rsidRDefault="00000000">
            <w:pPr>
              <w:pStyle w:val="BodyText"/>
              <w:spacing w:after="0"/>
              <w:jc w:val="center"/>
            </w:pPr>
            <w:r>
              <w:t>420 831</w:t>
            </w:r>
          </w:p>
        </w:tc>
        <w:tc>
          <w:tcPr>
            <w:tcW w:w="1137" w:type="dxa"/>
          </w:tcPr>
          <w:p w:rsidR="00000000" w:rsidRDefault="00000000">
            <w:pPr>
              <w:pStyle w:val="BodyText"/>
              <w:spacing w:after="0"/>
              <w:jc w:val="center"/>
            </w:pPr>
            <w:r>
              <w:t>922 107</w:t>
            </w:r>
          </w:p>
        </w:tc>
        <w:tc>
          <w:tcPr>
            <w:tcW w:w="1169" w:type="dxa"/>
          </w:tcPr>
          <w:p w:rsidR="00000000" w:rsidRDefault="00000000">
            <w:pPr>
              <w:pStyle w:val="BodyText"/>
              <w:spacing w:after="0"/>
              <w:jc w:val="center"/>
            </w:pPr>
            <w:r>
              <w:t>435 880</w:t>
            </w:r>
          </w:p>
        </w:tc>
        <w:tc>
          <w:tcPr>
            <w:tcW w:w="1152" w:type="dxa"/>
          </w:tcPr>
          <w:p w:rsidR="00000000" w:rsidRDefault="00000000">
            <w:pPr>
              <w:pStyle w:val="BodyText"/>
              <w:spacing w:after="0"/>
              <w:jc w:val="center"/>
            </w:pPr>
            <w:r>
              <w:t>1 332 957</w:t>
            </w:r>
          </w:p>
        </w:tc>
        <w:tc>
          <w:tcPr>
            <w:tcW w:w="1142" w:type="dxa"/>
          </w:tcPr>
          <w:p w:rsidR="00000000" w:rsidRDefault="00000000">
            <w:pPr>
              <w:pStyle w:val="BodyText"/>
              <w:spacing w:after="0"/>
              <w:jc w:val="center"/>
            </w:pPr>
            <w:r>
              <w:t>856 711</w:t>
            </w:r>
          </w:p>
        </w:tc>
        <w:tc>
          <w:tcPr>
            <w:tcW w:w="1152" w:type="dxa"/>
          </w:tcPr>
          <w:p w:rsidR="00000000" w:rsidRDefault="00000000">
            <w:pPr>
              <w:pStyle w:val="BodyText"/>
              <w:spacing w:after="0"/>
              <w:jc w:val="center"/>
            </w:pPr>
            <w:r>
              <w:t>2 189 668</w:t>
            </w:r>
          </w:p>
        </w:tc>
      </w:tr>
      <w:tr w:rsidR="00000000">
        <w:tblPrEx>
          <w:tblCellMar>
            <w:top w:w="0" w:type="dxa"/>
            <w:bottom w:w="0" w:type="dxa"/>
          </w:tblCellMar>
        </w:tblPrEx>
        <w:trPr>
          <w:jc w:val="center"/>
        </w:trPr>
        <w:tc>
          <w:tcPr>
            <w:tcW w:w="758" w:type="dxa"/>
          </w:tcPr>
          <w:p w:rsidR="00000000" w:rsidRDefault="00000000">
            <w:pPr>
              <w:pStyle w:val="BodyText"/>
              <w:spacing w:after="0"/>
              <w:jc w:val="center"/>
            </w:pPr>
            <w:r>
              <w:t>2001</w:t>
            </w:r>
          </w:p>
        </w:tc>
        <w:tc>
          <w:tcPr>
            <w:tcW w:w="1137" w:type="dxa"/>
          </w:tcPr>
          <w:p w:rsidR="00000000" w:rsidRDefault="00000000">
            <w:pPr>
              <w:pStyle w:val="BodyText"/>
              <w:spacing w:after="0"/>
              <w:jc w:val="center"/>
            </w:pPr>
            <w:r>
              <w:t>424 819</w:t>
            </w:r>
          </w:p>
        </w:tc>
        <w:tc>
          <w:tcPr>
            <w:tcW w:w="1142" w:type="dxa"/>
          </w:tcPr>
          <w:p w:rsidR="00000000" w:rsidRDefault="00000000">
            <w:pPr>
              <w:pStyle w:val="BodyText"/>
              <w:spacing w:after="0"/>
              <w:jc w:val="center"/>
            </w:pPr>
            <w:r>
              <w:t>435 139</w:t>
            </w:r>
          </w:p>
        </w:tc>
        <w:tc>
          <w:tcPr>
            <w:tcW w:w="1137" w:type="dxa"/>
          </w:tcPr>
          <w:p w:rsidR="00000000" w:rsidRDefault="00000000">
            <w:pPr>
              <w:pStyle w:val="BodyText"/>
              <w:spacing w:after="0"/>
              <w:jc w:val="center"/>
            </w:pPr>
            <w:r>
              <w:t>963 145</w:t>
            </w:r>
          </w:p>
        </w:tc>
        <w:tc>
          <w:tcPr>
            <w:tcW w:w="1169" w:type="dxa"/>
          </w:tcPr>
          <w:p w:rsidR="00000000" w:rsidRDefault="00000000">
            <w:pPr>
              <w:pStyle w:val="BodyText"/>
              <w:spacing w:after="0"/>
              <w:jc w:val="center"/>
            </w:pPr>
            <w:r>
              <w:t>451 877</w:t>
            </w:r>
          </w:p>
        </w:tc>
        <w:tc>
          <w:tcPr>
            <w:tcW w:w="1152" w:type="dxa"/>
          </w:tcPr>
          <w:p w:rsidR="00000000" w:rsidRDefault="00000000">
            <w:pPr>
              <w:pStyle w:val="BodyText"/>
              <w:spacing w:after="0"/>
              <w:jc w:val="center"/>
            </w:pPr>
            <w:r>
              <w:t>1 387 964</w:t>
            </w:r>
          </w:p>
        </w:tc>
        <w:tc>
          <w:tcPr>
            <w:tcW w:w="1142" w:type="dxa"/>
          </w:tcPr>
          <w:p w:rsidR="00000000" w:rsidRDefault="00000000">
            <w:pPr>
              <w:pStyle w:val="BodyText"/>
              <w:spacing w:after="0"/>
              <w:jc w:val="center"/>
            </w:pPr>
            <w:r>
              <w:t>887 016</w:t>
            </w:r>
          </w:p>
        </w:tc>
        <w:tc>
          <w:tcPr>
            <w:tcW w:w="1152" w:type="dxa"/>
          </w:tcPr>
          <w:p w:rsidR="00000000" w:rsidRDefault="00000000">
            <w:pPr>
              <w:pStyle w:val="BodyText"/>
              <w:spacing w:after="0"/>
              <w:jc w:val="center"/>
            </w:pPr>
            <w:r>
              <w:t>2 274 980</w:t>
            </w:r>
          </w:p>
        </w:tc>
      </w:tr>
    </w:tbl>
    <w:p w:rsidR="00000000" w:rsidRDefault="00000000">
      <w:pPr>
        <w:pStyle w:val="BodyText"/>
        <w:spacing w:before="240"/>
        <w:jc w:val="center"/>
      </w:pPr>
      <w:r>
        <w:t>Данные о естественном движении населения (1997–1998 годы)</w:t>
      </w:r>
    </w:p>
    <w:tbl>
      <w:tblPr>
        <w:tblW w:w="0" w:type="auto"/>
        <w:jc w:val="center"/>
        <w:tblLayout w:type="fixed"/>
        <w:tblLook w:val="01E0" w:firstRow="1" w:lastRow="1" w:firstColumn="1" w:lastColumn="1" w:noHBand="0" w:noVBand="0"/>
      </w:tblPr>
      <w:tblGrid>
        <w:gridCol w:w="751"/>
        <w:gridCol w:w="1624"/>
        <w:gridCol w:w="1630"/>
        <w:gridCol w:w="1566"/>
        <w:gridCol w:w="1607"/>
        <w:gridCol w:w="1611"/>
      </w:tblGrid>
      <w:tr w:rsidR="00000000">
        <w:tblPrEx>
          <w:tblCellMar>
            <w:top w:w="0" w:type="dxa"/>
            <w:bottom w:w="0" w:type="dxa"/>
          </w:tblCellMar>
        </w:tblPrEx>
        <w:trPr>
          <w:jc w:val="center"/>
        </w:trPr>
        <w:tc>
          <w:tcPr>
            <w:tcW w:w="751" w:type="dxa"/>
          </w:tcPr>
          <w:p w:rsidR="00000000" w:rsidRDefault="00000000">
            <w:pPr>
              <w:pStyle w:val="BodyText"/>
              <w:spacing w:after="0" w:line="240" w:lineRule="auto"/>
              <w:jc w:val="center"/>
              <w:rPr>
                <w:sz w:val="18"/>
              </w:rPr>
            </w:pPr>
            <w:r>
              <w:rPr>
                <w:sz w:val="18"/>
              </w:rPr>
              <w:t>Год</w:t>
            </w:r>
          </w:p>
        </w:tc>
        <w:tc>
          <w:tcPr>
            <w:tcW w:w="1624" w:type="dxa"/>
          </w:tcPr>
          <w:p w:rsidR="00000000" w:rsidRDefault="00000000">
            <w:pPr>
              <w:pStyle w:val="BodyText"/>
              <w:spacing w:after="0" w:line="240" w:lineRule="auto"/>
              <w:jc w:val="center"/>
              <w:rPr>
                <w:sz w:val="18"/>
              </w:rPr>
            </w:pPr>
            <w:r>
              <w:rPr>
                <w:sz w:val="18"/>
              </w:rPr>
              <w:t>Гражданство</w:t>
            </w:r>
          </w:p>
        </w:tc>
        <w:tc>
          <w:tcPr>
            <w:tcW w:w="1630" w:type="dxa"/>
          </w:tcPr>
          <w:p w:rsidR="00000000" w:rsidRDefault="00000000">
            <w:pPr>
              <w:pStyle w:val="BodyText"/>
              <w:spacing w:after="0" w:line="240" w:lineRule="auto"/>
              <w:jc w:val="center"/>
              <w:rPr>
                <w:sz w:val="18"/>
              </w:rPr>
            </w:pPr>
            <w:r>
              <w:rPr>
                <w:sz w:val="18"/>
              </w:rPr>
              <w:t>Живорождения</w:t>
            </w:r>
          </w:p>
        </w:tc>
        <w:tc>
          <w:tcPr>
            <w:tcW w:w="1566" w:type="dxa"/>
          </w:tcPr>
          <w:p w:rsidR="00000000" w:rsidRDefault="00000000">
            <w:pPr>
              <w:pStyle w:val="BodyText"/>
              <w:spacing w:after="0" w:line="240" w:lineRule="auto"/>
              <w:jc w:val="center"/>
              <w:rPr>
                <w:sz w:val="18"/>
              </w:rPr>
            </w:pPr>
            <w:r>
              <w:rPr>
                <w:sz w:val="18"/>
              </w:rPr>
              <w:t>Смертность</w:t>
            </w:r>
          </w:p>
        </w:tc>
        <w:tc>
          <w:tcPr>
            <w:tcW w:w="1607" w:type="dxa"/>
          </w:tcPr>
          <w:p w:rsidR="00000000" w:rsidRDefault="00000000">
            <w:pPr>
              <w:pStyle w:val="BodyText"/>
              <w:spacing w:after="0" w:line="240" w:lineRule="auto"/>
              <w:jc w:val="center"/>
              <w:rPr>
                <w:sz w:val="18"/>
              </w:rPr>
            </w:pPr>
            <w:r>
              <w:rPr>
                <w:sz w:val="18"/>
              </w:rPr>
              <w:t>Естественный прирост</w:t>
            </w:r>
          </w:p>
        </w:tc>
        <w:tc>
          <w:tcPr>
            <w:tcW w:w="1611" w:type="dxa"/>
          </w:tcPr>
          <w:p w:rsidR="00000000" w:rsidRDefault="00000000">
            <w:pPr>
              <w:pStyle w:val="BodyText"/>
              <w:spacing w:after="0" w:line="240" w:lineRule="auto"/>
              <w:jc w:val="center"/>
              <w:rPr>
                <w:sz w:val="18"/>
              </w:rPr>
            </w:pPr>
            <w:r>
              <w:rPr>
                <w:sz w:val="18"/>
              </w:rPr>
              <w:t>Младенческая смертность</w:t>
            </w:r>
          </w:p>
        </w:tc>
      </w:tr>
      <w:tr w:rsidR="00000000">
        <w:tblPrEx>
          <w:tblCellMar>
            <w:top w:w="0" w:type="dxa"/>
            <w:bottom w:w="0" w:type="dxa"/>
          </w:tblCellMar>
        </w:tblPrEx>
        <w:trPr>
          <w:jc w:val="center"/>
        </w:trPr>
        <w:tc>
          <w:tcPr>
            <w:tcW w:w="751" w:type="dxa"/>
          </w:tcPr>
          <w:p w:rsidR="00000000" w:rsidRDefault="00000000">
            <w:pPr>
              <w:pStyle w:val="BodyText"/>
              <w:spacing w:after="0"/>
            </w:pPr>
            <w:r>
              <w:t>1997</w:t>
            </w:r>
          </w:p>
        </w:tc>
        <w:tc>
          <w:tcPr>
            <w:tcW w:w="1624" w:type="dxa"/>
          </w:tcPr>
          <w:p w:rsidR="00000000" w:rsidRDefault="00000000">
            <w:pPr>
              <w:pStyle w:val="BodyText"/>
              <w:spacing w:after="0"/>
            </w:pPr>
            <w:r>
              <w:t>Кувейтцы</w:t>
            </w:r>
          </w:p>
        </w:tc>
        <w:tc>
          <w:tcPr>
            <w:tcW w:w="1630" w:type="dxa"/>
          </w:tcPr>
          <w:p w:rsidR="00000000" w:rsidRDefault="00000000">
            <w:pPr>
              <w:pStyle w:val="BodyText"/>
              <w:spacing w:after="0"/>
              <w:jc w:val="center"/>
            </w:pPr>
            <w:r>
              <w:t>26 203</w:t>
            </w:r>
          </w:p>
        </w:tc>
        <w:tc>
          <w:tcPr>
            <w:tcW w:w="1566" w:type="dxa"/>
          </w:tcPr>
          <w:p w:rsidR="00000000" w:rsidRDefault="00000000">
            <w:pPr>
              <w:pStyle w:val="BodyText"/>
              <w:spacing w:after="0"/>
              <w:jc w:val="center"/>
            </w:pPr>
            <w:r>
              <w:t>2 279</w:t>
            </w:r>
          </w:p>
        </w:tc>
        <w:tc>
          <w:tcPr>
            <w:tcW w:w="1607" w:type="dxa"/>
          </w:tcPr>
          <w:p w:rsidR="00000000" w:rsidRDefault="00000000">
            <w:pPr>
              <w:pStyle w:val="BodyText"/>
              <w:spacing w:after="0"/>
              <w:jc w:val="center"/>
            </w:pPr>
            <w:r>
              <w:t>23 924</w:t>
            </w:r>
          </w:p>
        </w:tc>
        <w:tc>
          <w:tcPr>
            <w:tcW w:w="1611" w:type="dxa"/>
          </w:tcPr>
          <w:p w:rsidR="00000000" w:rsidRDefault="00000000">
            <w:pPr>
              <w:pStyle w:val="BodyText"/>
              <w:spacing w:after="0"/>
              <w:jc w:val="center"/>
            </w:pPr>
            <w:r>
              <w:t>328</w:t>
            </w:r>
          </w:p>
        </w:tc>
      </w:tr>
      <w:tr w:rsidR="00000000">
        <w:tblPrEx>
          <w:tblCellMar>
            <w:top w:w="0" w:type="dxa"/>
            <w:bottom w:w="0" w:type="dxa"/>
          </w:tblCellMar>
        </w:tblPrEx>
        <w:trPr>
          <w:jc w:val="center"/>
        </w:trPr>
        <w:tc>
          <w:tcPr>
            <w:tcW w:w="751" w:type="dxa"/>
          </w:tcPr>
          <w:p w:rsidR="00000000" w:rsidRDefault="00000000">
            <w:pPr>
              <w:pStyle w:val="BodyText"/>
              <w:spacing w:after="0"/>
            </w:pPr>
          </w:p>
        </w:tc>
        <w:tc>
          <w:tcPr>
            <w:tcW w:w="1624" w:type="dxa"/>
          </w:tcPr>
          <w:p w:rsidR="00000000" w:rsidRDefault="00000000">
            <w:pPr>
              <w:pStyle w:val="BodyText"/>
              <w:spacing w:after="0"/>
            </w:pPr>
            <w:r>
              <w:t>Некувейтцы</w:t>
            </w:r>
          </w:p>
        </w:tc>
        <w:tc>
          <w:tcPr>
            <w:tcW w:w="1630" w:type="dxa"/>
          </w:tcPr>
          <w:p w:rsidR="00000000" w:rsidRDefault="00000000">
            <w:pPr>
              <w:pStyle w:val="BodyText"/>
              <w:spacing w:after="0"/>
              <w:jc w:val="center"/>
            </w:pPr>
            <w:r>
              <w:t>16 614</w:t>
            </w:r>
          </w:p>
        </w:tc>
        <w:tc>
          <w:tcPr>
            <w:tcW w:w="1566" w:type="dxa"/>
          </w:tcPr>
          <w:p w:rsidR="00000000" w:rsidRDefault="00000000">
            <w:pPr>
              <w:pStyle w:val="BodyText"/>
              <w:spacing w:after="0"/>
              <w:jc w:val="center"/>
            </w:pPr>
            <w:r>
              <w:t>1 738</w:t>
            </w:r>
          </w:p>
        </w:tc>
        <w:tc>
          <w:tcPr>
            <w:tcW w:w="1607" w:type="dxa"/>
          </w:tcPr>
          <w:p w:rsidR="00000000" w:rsidRDefault="00000000">
            <w:pPr>
              <w:pStyle w:val="BodyText"/>
              <w:spacing w:after="0"/>
              <w:jc w:val="center"/>
            </w:pPr>
            <w:r>
              <w:t>14 876</w:t>
            </w:r>
          </w:p>
        </w:tc>
        <w:tc>
          <w:tcPr>
            <w:tcW w:w="1611" w:type="dxa"/>
          </w:tcPr>
          <w:p w:rsidR="00000000" w:rsidRDefault="00000000">
            <w:pPr>
              <w:pStyle w:val="BodyText"/>
              <w:spacing w:after="0"/>
              <w:jc w:val="center"/>
            </w:pPr>
            <w:r>
              <w:t>209</w:t>
            </w:r>
          </w:p>
        </w:tc>
      </w:tr>
      <w:tr w:rsidR="00000000">
        <w:tblPrEx>
          <w:tblCellMar>
            <w:top w:w="0" w:type="dxa"/>
            <w:bottom w:w="0" w:type="dxa"/>
          </w:tblCellMar>
        </w:tblPrEx>
        <w:trPr>
          <w:jc w:val="center"/>
        </w:trPr>
        <w:tc>
          <w:tcPr>
            <w:tcW w:w="751" w:type="dxa"/>
          </w:tcPr>
          <w:p w:rsidR="00000000" w:rsidRDefault="00000000">
            <w:pPr>
              <w:pStyle w:val="BodyText"/>
              <w:spacing w:after="0"/>
            </w:pPr>
          </w:p>
        </w:tc>
        <w:tc>
          <w:tcPr>
            <w:tcW w:w="1624" w:type="dxa"/>
          </w:tcPr>
          <w:p w:rsidR="00000000" w:rsidRDefault="00000000">
            <w:pPr>
              <w:pStyle w:val="BodyText"/>
              <w:spacing w:after="0"/>
            </w:pPr>
            <w:r>
              <w:t>Всего</w:t>
            </w:r>
          </w:p>
        </w:tc>
        <w:tc>
          <w:tcPr>
            <w:tcW w:w="1630" w:type="dxa"/>
          </w:tcPr>
          <w:p w:rsidR="00000000" w:rsidRDefault="00000000">
            <w:pPr>
              <w:pStyle w:val="BodyText"/>
              <w:spacing w:after="0"/>
              <w:jc w:val="center"/>
            </w:pPr>
            <w:r>
              <w:t>42 817</w:t>
            </w:r>
          </w:p>
        </w:tc>
        <w:tc>
          <w:tcPr>
            <w:tcW w:w="1566" w:type="dxa"/>
          </w:tcPr>
          <w:p w:rsidR="00000000" w:rsidRDefault="00000000">
            <w:pPr>
              <w:pStyle w:val="BodyText"/>
              <w:spacing w:after="0"/>
              <w:jc w:val="center"/>
            </w:pPr>
            <w:r>
              <w:t>4 017</w:t>
            </w:r>
          </w:p>
        </w:tc>
        <w:tc>
          <w:tcPr>
            <w:tcW w:w="1607" w:type="dxa"/>
          </w:tcPr>
          <w:p w:rsidR="00000000" w:rsidRDefault="00000000">
            <w:pPr>
              <w:pStyle w:val="BodyText"/>
              <w:spacing w:after="0"/>
              <w:jc w:val="center"/>
            </w:pPr>
            <w:r>
              <w:t>38 800</w:t>
            </w:r>
          </w:p>
        </w:tc>
        <w:tc>
          <w:tcPr>
            <w:tcW w:w="1611" w:type="dxa"/>
          </w:tcPr>
          <w:p w:rsidR="00000000" w:rsidRDefault="00000000">
            <w:pPr>
              <w:pStyle w:val="BodyText"/>
              <w:spacing w:after="0"/>
              <w:jc w:val="center"/>
            </w:pPr>
            <w:r>
              <w:t>537</w:t>
            </w:r>
          </w:p>
        </w:tc>
      </w:tr>
      <w:tr w:rsidR="00000000">
        <w:tblPrEx>
          <w:tblCellMar>
            <w:top w:w="0" w:type="dxa"/>
            <w:bottom w:w="0" w:type="dxa"/>
          </w:tblCellMar>
        </w:tblPrEx>
        <w:trPr>
          <w:jc w:val="center"/>
        </w:trPr>
        <w:tc>
          <w:tcPr>
            <w:tcW w:w="751" w:type="dxa"/>
          </w:tcPr>
          <w:p w:rsidR="00000000" w:rsidRDefault="00000000">
            <w:pPr>
              <w:pStyle w:val="BodyText"/>
              <w:spacing w:after="0"/>
            </w:pPr>
            <w:r>
              <w:t>1998</w:t>
            </w:r>
          </w:p>
        </w:tc>
        <w:tc>
          <w:tcPr>
            <w:tcW w:w="1624" w:type="dxa"/>
          </w:tcPr>
          <w:p w:rsidR="00000000" w:rsidRDefault="00000000">
            <w:pPr>
              <w:pStyle w:val="BodyText"/>
              <w:spacing w:after="0"/>
            </w:pPr>
            <w:r>
              <w:t>Кувейтцы</w:t>
            </w:r>
          </w:p>
        </w:tc>
        <w:tc>
          <w:tcPr>
            <w:tcW w:w="1630" w:type="dxa"/>
          </w:tcPr>
          <w:p w:rsidR="00000000" w:rsidRDefault="00000000">
            <w:pPr>
              <w:pStyle w:val="BodyText"/>
              <w:spacing w:after="0"/>
              <w:jc w:val="center"/>
            </w:pPr>
            <w:r>
              <w:t>25 839</w:t>
            </w:r>
          </w:p>
        </w:tc>
        <w:tc>
          <w:tcPr>
            <w:tcW w:w="1566" w:type="dxa"/>
          </w:tcPr>
          <w:p w:rsidR="00000000" w:rsidRDefault="00000000">
            <w:pPr>
              <w:pStyle w:val="BodyText"/>
              <w:spacing w:after="0"/>
              <w:jc w:val="center"/>
            </w:pPr>
            <w:r>
              <w:t>2 378</w:t>
            </w:r>
          </w:p>
        </w:tc>
        <w:tc>
          <w:tcPr>
            <w:tcW w:w="1607" w:type="dxa"/>
          </w:tcPr>
          <w:p w:rsidR="00000000" w:rsidRDefault="00000000">
            <w:pPr>
              <w:pStyle w:val="BodyText"/>
              <w:spacing w:after="0"/>
              <w:jc w:val="center"/>
            </w:pPr>
            <w:r>
              <w:t>23 461</w:t>
            </w:r>
          </w:p>
        </w:tc>
        <w:tc>
          <w:tcPr>
            <w:tcW w:w="1611" w:type="dxa"/>
          </w:tcPr>
          <w:p w:rsidR="00000000" w:rsidRDefault="00000000">
            <w:pPr>
              <w:pStyle w:val="BodyText"/>
              <w:spacing w:after="0"/>
              <w:jc w:val="center"/>
            </w:pPr>
            <w:r>
              <w:t>262</w:t>
            </w:r>
          </w:p>
        </w:tc>
      </w:tr>
      <w:tr w:rsidR="00000000">
        <w:tblPrEx>
          <w:tblCellMar>
            <w:top w:w="0" w:type="dxa"/>
            <w:bottom w:w="0" w:type="dxa"/>
          </w:tblCellMar>
        </w:tblPrEx>
        <w:trPr>
          <w:jc w:val="center"/>
        </w:trPr>
        <w:tc>
          <w:tcPr>
            <w:tcW w:w="751" w:type="dxa"/>
          </w:tcPr>
          <w:p w:rsidR="00000000" w:rsidRDefault="00000000">
            <w:pPr>
              <w:pStyle w:val="BodyText"/>
              <w:spacing w:after="0"/>
            </w:pPr>
          </w:p>
        </w:tc>
        <w:tc>
          <w:tcPr>
            <w:tcW w:w="1624" w:type="dxa"/>
          </w:tcPr>
          <w:p w:rsidR="00000000" w:rsidRDefault="00000000">
            <w:pPr>
              <w:pStyle w:val="BodyText"/>
              <w:spacing w:after="0"/>
            </w:pPr>
            <w:r>
              <w:t>Некувейтцы</w:t>
            </w:r>
          </w:p>
        </w:tc>
        <w:tc>
          <w:tcPr>
            <w:tcW w:w="1630" w:type="dxa"/>
          </w:tcPr>
          <w:p w:rsidR="00000000" w:rsidRDefault="00000000">
            <w:pPr>
              <w:pStyle w:val="BodyText"/>
              <w:spacing w:after="0"/>
              <w:jc w:val="center"/>
            </w:pPr>
            <w:r>
              <w:t>15 585</w:t>
            </w:r>
          </w:p>
        </w:tc>
        <w:tc>
          <w:tcPr>
            <w:tcW w:w="1566" w:type="dxa"/>
          </w:tcPr>
          <w:p w:rsidR="00000000" w:rsidRDefault="00000000">
            <w:pPr>
              <w:pStyle w:val="BodyText"/>
              <w:spacing w:after="0"/>
              <w:jc w:val="center"/>
            </w:pPr>
            <w:r>
              <w:t>1 838</w:t>
            </w:r>
          </w:p>
        </w:tc>
        <w:tc>
          <w:tcPr>
            <w:tcW w:w="1607" w:type="dxa"/>
          </w:tcPr>
          <w:p w:rsidR="00000000" w:rsidRDefault="00000000">
            <w:pPr>
              <w:pStyle w:val="BodyText"/>
              <w:spacing w:after="0"/>
              <w:jc w:val="center"/>
            </w:pPr>
            <w:r>
              <w:t>13 747</w:t>
            </w:r>
          </w:p>
        </w:tc>
        <w:tc>
          <w:tcPr>
            <w:tcW w:w="1611" w:type="dxa"/>
          </w:tcPr>
          <w:p w:rsidR="00000000" w:rsidRDefault="00000000">
            <w:pPr>
              <w:pStyle w:val="BodyText"/>
              <w:spacing w:after="0"/>
              <w:jc w:val="center"/>
            </w:pPr>
            <w:r>
              <w:t>188</w:t>
            </w:r>
          </w:p>
        </w:tc>
      </w:tr>
      <w:tr w:rsidR="00000000">
        <w:tblPrEx>
          <w:tblCellMar>
            <w:top w:w="0" w:type="dxa"/>
            <w:bottom w:w="0" w:type="dxa"/>
          </w:tblCellMar>
        </w:tblPrEx>
        <w:trPr>
          <w:jc w:val="center"/>
        </w:trPr>
        <w:tc>
          <w:tcPr>
            <w:tcW w:w="751" w:type="dxa"/>
          </w:tcPr>
          <w:p w:rsidR="00000000" w:rsidRDefault="00000000">
            <w:pPr>
              <w:pStyle w:val="BodyText"/>
              <w:spacing w:after="0"/>
            </w:pPr>
          </w:p>
        </w:tc>
        <w:tc>
          <w:tcPr>
            <w:tcW w:w="1624" w:type="dxa"/>
          </w:tcPr>
          <w:p w:rsidR="00000000" w:rsidRDefault="00000000">
            <w:pPr>
              <w:pStyle w:val="BodyText"/>
              <w:spacing w:after="0"/>
            </w:pPr>
            <w:r>
              <w:t>Всего</w:t>
            </w:r>
          </w:p>
        </w:tc>
        <w:tc>
          <w:tcPr>
            <w:tcW w:w="1630" w:type="dxa"/>
          </w:tcPr>
          <w:p w:rsidR="00000000" w:rsidRDefault="00000000">
            <w:pPr>
              <w:pStyle w:val="BodyText"/>
              <w:spacing w:after="0"/>
              <w:jc w:val="center"/>
            </w:pPr>
            <w:r>
              <w:t>41 424</w:t>
            </w:r>
          </w:p>
        </w:tc>
        <w:tc>
          <w:tcPr>
            <w:tcW w:w="1566" w:type="dxa"/>
          </w:tcPr>
          <w:p w:rsidR="00000000" w:rsidRDefault="00000000">
            <w:pPr>
              <w:pStyle w:val="BodyText"/>
              <w:spacing w:after="0"/>
              <w:jc w:val="center"/>
            </w:pPr>
            <w:r>
              <w:t>4 216</w:t>
            </w:r>
          </w:p>
        </w:tc>
        <w:tc>
          <w:tcPr>
            <w:tcW w:w="1607" w:type="dxa"/>
          </w:tcPr>
          <w:p w:rsidR="00000000" w:rsidRDefault="00000000">
            <w:pPr>
              <w:pStyle w:val="BodyText"/>
              <w:spacing w:after="0"/>
              <w:jc w:val="center"/>
            </w:pPr>
            <w:r>
              <w:t>37 208</w:t>
            </w:r>
          </w:p>
        </w:tc>
        <w:tc>
          <w:tcPr>
            <w:tcW w:w="1611" w:type="dxa"/>
          </w:tcPr>
          <w:p w:rsidR="00000000" w:rsidRDefault="00000000">
            <w:pPr>
              <w:pStyle w:val="BodyText"/>
              <w:spacing w:after="0"/>
              <w:jc w:val="center"/>
            </w:pPr>
            <w:r>
              <w:t>450</w:t>
            </w:r>
          </w:p>
        </w:tc>
      </w:tr>
    </w:tbl>
    <w:p w:rsidR="00000000" w:rsidRDefault="00000000">
      <w:pPr>
        <w:pStyle w:val="BodyText"/>
        <w:spacing w:before="240"/>
      </w:pPr>
      <w:r>
        <w:t>Численность населения (15 лет и старше) с разбивкой по семейному положению, полу и гражданству</w:t>
      </w:r>
    </w:p>
    <w:tbl>
      <w:tblPr>
        <w:tblW w:w="0" w:type="auto"/>
        <w:jc w:val="center"/>
        <w:tblLayout w:type="fixed"/>
        <w:tblCellMar>
          <w:left w:w="0" w:type="dxa"/>
          <w:right w:w="0" w:type="dxa"/>
        </w:tblCellMar>
        <w:tblLook w:val="01E0" w:firstRow="1" w:lastRow="1" w:firstColumn="1" w:lastColumn="1" w:noHBand="0" w:noVBand="0"/>
      </w:tblPr>
      <w:tblGrid>
        <w:gridCol w:w="1251"/>
        <w:gridCol w:w="327"/>
        <w:gridCol w:w="981"/>
        <w:gridCol w:w="1314"/>
        <w:gridCol w:w="981"/>
        <w:gridCol w:w="1477"/>
        <w:gridCol w:w="981"/>
        <w:gridCol w:w="1477"/>
      </w:tblGrid>
      <w:tr w:rsidR="00000000">
        <w:tblPrEx>
          <w:tblCellMar>
            <w:top w:w="0" w:type="dxa"/>
            <w:left w:w="0" w:type="dxa"/>
            <w:bottom w:w="0" w:type="dxa"/>
            <w:right w:w="0" w:type="dxa"/>
          </w:tblCellMar>
        </w:tblPrEx>
        <w:trPr>
          <w:cantSplit/>
          <w:jc w:val="center"/>
        </w:trPr>
        <w:tc>
          <w:tcPr>
            <w:tcW w:w="1578" w:type="dxa"/>
            <w:gridSpan w:val="2"/>
            <w:vMerge w:val="restart"/>
          </w:tcPr>
          <w:p w:rsidR="00000000" w:rsidRDefault="00000000">
            <w:pPr>
              <w:pStyle w:val="BodyText"/>
              <w:spacing w:after="0" w:line="240" w:lineRule="auto"/>
              <w:rPr>
                <w:sz w:val="18"/>
              </w:rPr>
            </w:pPr>
            <w:r>
              <w:rPr>
                <w:sz w:val="18"/>
              </w:rPr>
              <w:t>Семейное положение</w:t>
            </w:r>
          </w:p>
        </w:tc>
        <w:tc>
          <w:tcPr>
            <w:tcW w:w="2295" w:type="dxa"/>
            <w:gridSpan w:val="2"/>
          </w:tcPr>
          <w:p w:rsidR="00000000" w:rsidRDefault="00000000">
            <w:pPr>
              <w:pStyle w:val="BodyText"/>
              <w:spacing w:after="0" w:line="240" w:lineRule="auto"/>
              <w:jc w:val="center"/>
              <w:rPr>
                <w:sz w:val="18"/>
              </w:rPr>
            </w:pPr>
            <w:r>
              <w:rPr>
                <w:sz w:val="18"/>
              </w:rPr>
              <w:t>1997 год</w:t>
            </w:r>
          </w:p>
        </w:tc>
        <w:tc>
          <w:tcPr>
            <w:tcW w:w="2458" w:type="dxa"/>
            <w:gridSpan w:val="2"/>
          </w:tcPr>
          <w:p w:rsidR="00000000" w:rsidRDefault="00000000">
            <w:pPr>
              <w:pStyle w:val="BodyText"/>
              <w:spacing w:after="0" w:line="240" w:lineRule="auto"/>
              <w:jc w:val="center"/>
              <w:rPr>
                <w:sz w:val="18"/>
              </w:rPr>
            </w:pPr>
            <w:r>
              <w:rPr>
                <w:sz w:val="18"/>
              </w:rPr>
              <w:t>1998 год</w:t>
            </w:r>
          </w:p>
        </w:tc>
        <w:tc>
          <w:tcPr>
            <w:tcW w:w="2458" w:type="dxa"/>
            <w:gridSpan w:val="2"/>
          </w:tcPr>
          <w:p w:rsidR="00000000" w:rsidRDefault="00000000">
            <w:pPr>
              <w:pStyle w:val="BodyText"/>
              <w:spacing w:after="0" w:line="240" w:lineRule="auto"/>
              <w:jc w:val="center"/>
              <w:rPr>
                <w:sz w:val="18"/>
              </w:rPr>
            </w:pPr>
            <w:r>
              <w:rPr>
                <w:sz w:val="18"/>
              </w:rPr>
              <w:t>1999 год</w:t>
            </w:r>
          </w:p>
        </w:tc>
      </w:tr>
      <w:tr w:rsidR="00000000">
        <w:tblPrEx>
          <w:tblCellMar>
            <w:top w:w="0" w:type="dxa"/>
            <w:left w:w="0" w:type="dxa"/>
            <w:bottom w:w="0" w:type="dxa"/>
            <w:right w:w="0" w:type="dxa"/>
          </w:tblCellMar>
        </w:tblPrEx>
        <w:trPr>
          <w:cantSplit/>
          <w:jc w:val="center"/>
        </w:trPr>
        <w:tc>
          <w:tcPr>
            <w:tcW w:w="1578" w:type="dxa"/>
            <w:gridSpan w:val="2"/>
            <w:vMerge/>
          </w:tcPr>
          <w:p w:rsidR="00000000" w:rsidRDefault="00000000">
            <w:pPr>
              <w:pStyle w:val="BodyText"/>
              <w:spacing w:after="0" w:line="240" w:lineRule="auto"/>
              <w:rPr>
                <w:sz w:val="18"/>
              </w:rPr>
            </w:pPr>
          </w:p>
        </w:tc>
        <w:tc>
          <w:tcPr>
            <w:tcW w:w="981" w:type="dxa"/>
          </w:tcPr>
          <w:p w:rsidR="00000000" w:rsidRDefault="00000000">
            <w:pPr>
              <w:pStyle w:val="BodyText"/>
              <w:spacing w:after="0" w:line="240" w:lineRule="auto"/>
              <w:jc w:val="center"/>
              <w:rPr>
                <w:sz w:val="18"/>
              </w:rPr>
            </w:pPr>
            <w:r>
              <w:rPr>
                <w:sz w:val="18"/>
              </w:rPr>
              <w:t>Кувейтцы</w:t>
            </w:r>
          </w:p>
        </w:tc>
        <w:tc>
          <w:tcPr>
            <w:tcW w:w="1314" w:type="dxa"/>
          </w:tcPr>
          <w:p w:rsidR="00000000" w:rsidRDefault="00000000">
            <w:pPr>
              <w:pStyle w:val="BodyText"/>
              <w:spacing w:after="0" w:line="240" w:lineRule="auto"/>
              <w:jc w:val="center"/>
              <w:rPr>
                <w:sz w:val="18"/>
              </w:rPr>
            </w:pPr>
            <w:r>
              <w:rPr>
                <w:sz w:val="18"/>
              </w:rPr>
              <w:t>Некувейтцы</w:t>
            </w:r>
          </w:p>
        </w:tc>
        <w:tc>
          <w:tcPr>
            <w:tcW w:w="981" w:type="dxa"/>
          </w:tcPr>
          <w:p w:rsidR="00000000" w:rsidRDefault="00000000">
            <w:pPr>
              <w:pStyle w:val="BodyText"/>
              <w:spacing w:after="0" w:line="240" w:lineRule="auto"/>
              <w:jc w:val="center"/>
              <w:rPr>
                <w:sz w:val="18"/>
              </w:rPr>
            </w:pPr>
            <w:r>
              <w:rPr>
                <w:sz w:val="18"/>
              </w:rPr>
              <w:t>Кувейтцы</w:t>
            </w:r>
          </w:p>
        </w:tc>
        <w:tc>
          <w:tcPr>
            <w:tcW w:w="1477" w:type="dxa"/>
          </w:tcPr>
          <w:p w:rsidR="00000000" w:rsidRDefault="00000000">
            <w:pPr>
              <w:pStyle w:val="BodyText"/>
              <w:spacing w:after="0" w:line="240" w:lineRule="auto"/>
              <w:jc w:val="center"/>
              <w:rPr>
                <w:sz w:val="18"/>
              </w:rPr>
            </w:pPr>
            <w:r>
              <w:rPr>
                <w:sz w:val="18"/>
              </w:rPr>
              <w:t>Некувейтцы</w:t>
            </w:r>
          </w:p>
        </w:tc>
        <w:tc>
          <w:tcPr>
            <w:tcW w:w="981" w:type="dxa"/>
          </w:tcPr>
          <w:p w:rsidR="00000000" w:rsidRDefault="00000000">
            <w:pPr>
              <w:pStyle w:val="BodyText"/>
              <w:spacing w:after="0" w:line="240" w:lineRule="auto"/>
              <w:jc w:val="center"/>
              <w:rPr>
                <w:sz w:val="18"/>
              </w:rPr>
            </w:pPr>
            <w:r>
              <w:rPr>
                <w:sz w:val="18"/>
              </w:rPr>
              <w:t>Кувейтцы</w:t>
            </w:r>
          </w:p>
        </w:tc>
        <w:tc>
          <w:tcPr>
            <w:tcW w:w="1477" w:type="dxa"/>
          </w:tcPr>
          <w:p w:rsidR="00000000" w:rsidRDefault="00000000">
            <w:pPr>
              <w:pStyle w:val="BodyText"/>
              <w:spacing w:after="0" w:line="240" w:lineRule="auto"/>
              <w:jc w:val="center"/>
              <w:rPr>
                <w:sz w:val="18"/>
              </w:rPr>
            </w:pPr>
            <w:r>
              <w:rPr>
                <w:sz w:val="18"/>
              </w:rPr>
              <w:t>Некувейтцы</w:t>
            </w:r>
          </w:p>
        </w:tc>
      </w:tr>
      <w:tr w:rsidR="00000000">
        <w:tblPrEx>
          <w:tblCellMar>
            <w:top w:w="0" w:type="dxa"/>
            <w:left w:w="0" w:type="dxa"/>
            <w:bottom w:w="0" w:type="dxa"/>
            <w:right w:w="0" w:type="dxa"/>
          </w:tblCellMar>
        </w:tblPrEx>
        <w:trPr>
          <w:cantSplit/>
          <w:jc w:val="center"/>
        </w:trPr>
        <w:tc>
          <w:tcPr>
            <w:tcW w:w="1251" w:type="dxa"/>
            <w:vMerge w:val="restart"/>
          </w:tcPr>
          <w:p w:rsidR="00000000" w:rsidRDefault="00000000">
            <w:pPr>
              <w:pStyle w:val="BodyText"/>
              <w:spacing w:after="0"/>
              <w:jc w:val="left"/>
            </w:pPr>
            <w:r>
              <w:t>Одинокие</w:t>
            </w:r>
          </w:p>
        </w:tc>
        <w:tc>
          <w:tcPr>
            <w:tcW w:w="327" w:type="dxa"/>
          </w:tcPr>
          <w:p w:rsidR="00000000" w:rsidRDefault="00000000">
            <w:pPr>
              <w:pStyle w:val="BodyText"/>
              <w:spacing w:after="0"/>
            </w:pPr>
            <w:r>
              <w:t>М</w:t>
            </w:r>
          </w:p>
        </w:tc>
        <w:tc>
          <w:tcPr>
            <w:tcW w:w="981" w:type="dxa"/>
          </w:tcPr>
          <w:p w:rsidR="00000000" w:rsidRDefault="00000000">
            <w:pPr>
              <w:pStyle w:val="BodyText"/>
              <w:spacing w:after="0"/>
              <w:ind w:right="170"/>
              <w:jc w:val="right"/>
            </w:pPr>
            <w:r>
              <w:t>78 560</w:t>
            </w:r>
          </w:p>
        </w:tc>
        <w:tc>
          <w:tcPr>
            <w:tcW w:w="1314" w:type="dxa"/>
          </w:tcPr>
          <w:p w:rsidR="00000000" w:rsidRDefault="00000000">
            <w:pPr>
              <w:pStyle w:val="BodyText"/>
              <w:spacing w:after="0"/>
              <w:ind w:right="340"/>
              <w:jc w:val="right"/>
            </w:pPr>
            <w:r>
              <w:t>358 236</w:t>
            </w:r>
          </w:p>
        </w:tc>
        <w:tc>
          <w:tcPr>
            <w:tcW w:w="981" w:type="dxa"/>
          </w:tcPr>
          <w:p w:rsidR="00000000" w:rsidRDefault="00000000">
            <w:pPr>
              <w:pStyle w:val="BodyText"/>
              <w:spacing w:after="0"/>
              <w:ind w:right="170"/>
              <w:jc w:val="right"/>
            </w:pPr>
            <w:r>
              <w:t>82 701</w:t>
            </w:r>
          </w:p>
        </w:tc>
        <w:tc>
          <w:tcPr>
            <w:tcW w:w="1477" w:type="dxa"/>
          </w:tcPr>
          <w:p w:rsidR="00000000" w:rsidRDefault="00000000">
            <w:pPr>
              <w:pStyle w:val="BodyText"/>
              <w:spacing w:after="0"/>
              <w:ind w:right="340"/>
              <w:jc w:val="right"/>
            </w:pPr>
            <w:r>
              <w:t>384 707</w:t>
            </w:r>
          </w:p>
        </w:tc>
        <w:tc>
          <w:tcPr>
            <w:tcW w:w="981" w:type="dxa"/>
          </w:tcPr>
          <w:p w:rsidR="00000000" w:rsidRDefault="00000000">
            <w:pPr>
              <w:pStyle w:val="BodyText"/>
              <w:spacing w:after="0"/>
              <w:ind w:right="170"/>
              <w:jc w:val="right"/>
            </w:pPr>
            <w:r>
              <w:t>86 744</w:t>
            </w:r>
          </w:p>
        </w:tc>
        <w:tc>
          <w:tcPr>
            <w:tcW w:w="1477" w:type="dxa"/>
          </w:tcPr>
          <w:p w:rsidR="00000000" w:rsidRDefault="00000000">
            <w:pPr>
              <w:pStyle w:val="BodyText"/>
              <w:spacing w:after="0"/>
              <w:ind w:right="340"/>
              <w:jc w:val="right"/>
            </w:pPr>
            <w:r>
              <w:t>392 079</w:t>
            </w:r>
          </w:p>
        </w:tc>
      </w:tr>
      <w:tr w:rsidR="00000000">
        <w:tblPrEx>
          <w:tblCellMar>
            <w:top w:w="0" w:type="dxa"/>
            <w:left w:w="0" w:type="dxa"/>
            <w:bottom w:w="0" w:type="dxa"/>
            <w:right w:w="0" w:type="dxa"/>
          </w:tblCellMar>
        </w:tblPrEx>
        <w:trPr>
          <w:cantSplit/>
          <w:jc w:val="center"/>
        </w:trPr>
        <w:tc>
          <w:tcPr>
            <w:tcW w:w="1251" w:type="dxa"/>
            <w:vMerge/>
          </w:tcPr>
          <w:p w:rsidR="00000000" w:rsidRDefault="00000000">
            <w:pPr>
              <w:pStyle w:val="BodyText"/>
              <w:spacing w:after="0"/>
              <w:jc w:val="left"/>
            </w:pPr>
          </w:p>
        </w:tc>
        <w:tc>
          <w:tcPr>
            <w:tcW w:w="327" w:type="dxa"/>
          </w:tcPr>
          <w:p w:rsidR="00000000" w:rsidRDefault="00000000">
            <w:pPr>
              <w:pStyle w:val="BodyText"/>
              <w:spacing w:after="0"/>
            </w:pPr>
            <w:r>
              <w:t>Ж</w:t>
            </w:r>
          </w:p>
        </w:tc>
        <w:tc>
          <w:tcPr>
            <w:tcW w:w="981" w:type="dxa"/>
          </w:tcPr>
          <w:p w:rsidR="00000000" w:rsidRDefault="00000000">
            <w:pPr>
              <w:pStyle w:val="BodyText"/>
              <w:spacing w:after="0"/>
              <w:ind w:right="170"/>
              <w:jc w:val="right"/>
            </w:pPr>
            <w:r>
              <w:t>67 634</w:t>
            </w:r>
          </w:p>
        </w:tc>
        <w:tc>
          <w:tcPr>
            <w:tcW w:w="1314" w:type="dxa"/>
          </w:tcPr>
          <w:p w:rsidR="00000000" w:rsidRDefault="00000000">
            <w:pPr>
              <w:pStyle w:val="BodyText"/>
              <w:spacing w:after="0"/>
              <w:ind w:right="340"/>
              <w:jc w:val="right"/>
            </w:pPr>
            <w:r>
              <w:t>115 730</w:t>
            </w:r>
          </w:p>
        </w:tc>
        <w:tc>
          <w:tcPr>
            <w:tcW w:w="981" w:type="dxa"/>
          </w:tcPr>
          <w:p w:rsidR="00000000" w:rsidRDefault="00000000">
            <w:pPr>
              <w:pStyle w:val="BodyText"/>
              <w:spacing w:after="0"/>
              <w:ind w:right="170"/>
              <w:jc w:val="right"/>
            </w:pPr>
            <w:r>
              <w:t>72 049</w:t>
            </w:r>
          </w:p>
        </w:tc>
        <w:tc>
          <w:tcPr>
            <w:tcW w:w="1477" w:type="dxa"/>
          </w:tcPr>
          <w:p w:rsidR="00000000" w:rsidRDefault="00000000">
            <w:pPr>
              <w:pStyle w:val="BodyText"/>
              <w:spacing w:after="0"/>
              <w:ind w:right="340"/>
              <w:jc w:val="right"/>
            </w:pPr>
            <w:r>
              <w:t>119 180</w:t>
            </w:r>
          </w:p>
        </w:tc>
        <w:tc>
          <w:tcPr>
            <w:tcW w:w="981" w:type="dxa"/>
          </w:tcPr>
          <w:p w:rsidR="00000000" w:rsidRDefault="00000000">
            <w:pPr>
              <w:pStyle w:val="BodyText"/>
              <w:spacing w:after="0"/>
              <w:ind w:right="170"/>
              <w:jc w:val="right"/>
            </w:pPr>
            <w:r>
              <w:t>75 894</w:t>
            </w:r>
          </w:p>
        </w:tc>
        <w:tc>
          <w:tcPr>
            <w:tcW w:w="1477" w:type="dxa"/>
          </w:tcPr>
          <w:p w:rsidR="00000000" w:rsidRDefault="00000000">
            <w:pPr>
              <w:pStyle w:val="BodyText"/>
              <w:spacing w:after="0"/>
              <w:ind w:right="340"/>
              <w:jc w:val="right"/>
            </w:pPr>
            <w:r>
              <w:t>117 952</w:t>
            </w:r>
          </w:p>
        </w:tc>
      </w:tr>
      <w:tr w:rsidR="00000000">
        <w:tblPrEx>
          <w:tblCellMar>
            <w:top w:w="0" w:type="dxa"/>
            <w:left w:w="0" w:type="dxa"/>
            <w:bottom w:w="0" w:type="dxa"/>
            <w:right w:w="0" w:type="dxa"/>
          </w:tblCellMar>
        </w:tblPrEx>
        <w:trPr>
          <w:cantSplit/>
          <w:jc w:val="center"/>
        </w:trPr>
        <w:tc>
          <w:tcPr>
            <w:tcW w:w="1251" w:type="dxa"/>
            <w:vMerge w:val="restart"/>
          </w:tcPr>
          <w:p w:rsidR="00000000" w:rsidRDefault="00000000">
            <w:pPr>
              <w:pStyle w:val="BodyText"/>
              <w:spacing w:after="0"/>
              <w:jc w:val="left"/>
            </w:pPr>
            <w:r>
              <w:t xml:space="preserve">Состоящие </w:t>
            </w:r>
            <w:r>
              <w:br/>
              <w:t>в браке</w:t>
            </w:r>
          </w:p>
        </w:tc>
        <w:tc>
          <w:tcPr>
            <w:tcW w:w="327" w:type="dxa"/>
          </w:tcPr>
          <w:p w:rsidR="00000000" w:rsidRDefault="00000000">
            <w:pPr>
              <w:pStyle w:val="BodyText"/>
              <w:spacing w:after="0"/>
            </w:pPr>
            <w:r>
              <w:t>М</w:t>
            </w:r>
          </w:p>
        </w:tc>
        <w:tc>
          <w:tcPr>
            <w:tcW w:w="981" w:type="dxa"/>
          </w:tcPr>
          <w:p w:rsidR="00000000" w:rsidRDefault="00000000">
            <w:pPr>
              <w:pStyle w:val="BodyText"/>
              <w:spacing w:after="0"/>
              <w:ind w:right="170"/>
              <w:jc w:val="right"/>
            </w:pPr>
            <w:r>
              <w:t>122 189</w:t>
            </w:r>
          </w:p>
        </w:tc>
        <w:tc>
          <w:tcPr>
            <w:tcW w:w="1314" w:type="dxa"/>
          </w:tcPr>
          <w:p w:rsidR="00000000" w:rsidRDefault="00000000">
            <w:pPr>
              <w:pStyle w:val="BodyText"/>
              <w:spacing w:after="0"/>
              <w:ind w:right="340"/>
              <w:jc w:val="right"/>
            </w:pPr>
            <w:r>
              <w:t>487 998</w:t>
            </w:r>
          </w:p>
        </w:tc>
        <w:tc>
          <w:tcPr>
            <w:tcW w:w="981" w:type="dxa"/>
          </w:tcPr>
          <w:p w:rsidR="00000000" w:rsidRDefault="00000000">
            <w:pPr>
              <w:pStyle w:val="BodyText"/>
              <w:spacing w:after="0"/>
              <w:ind w:right="170"/>
              <w:jc w:val="right"/>
            </w:pPr>
            <w:r>
              <w:t>126 514</w:t>
            </w:r>
          </w:p>
        </w:tc>
        <w:tc>
          <w:tcPr>
            <w:tcW w:w="1477" w:type="dxa"/>
          </w:tcPr>
          <w:p w:rsidR="00000000" w:rsidRDefault="00000000">
            <w:pPr>
              <w:pStyle w:val="BodyText"/>
              <w:spacing w:after="0"/>
              <w:ind w:right="340"/>
              <w:jc w:val="right"/>
            </w:pPr>
            <w:r>
              <w:t>490 990</w:t>
            </w:r>
          </w:p>
        </w:tc>
        <w:tc>
          <w:tcPr>
            <w:tcW w:w="981" w:type="dxa"/>
          </w:tcPr>
          <w:p w:rsidR="00000000" w:rsidRDefault="00000000">
            <w:pPr>
              <w:pStyle w:val="BodyText"/>
              <w:spacing w:after="0"/>
              <w:ind w:right="170"/>
              <w:jc w:val="right"/>
            </w:pPr>
            <w:r>
              <w:t>130 826</w:t>
            </w:r>
          </w:p>
        </w:tc>
        <w:tc>
          <w:tcPr>
            <w:tcW w:w="1477" w:type="dxa"/>
          </w:tcPr>
          <w:p w:rsidR="00000000" w:rsidRDefault="00000000">
            <w:pPr>
              <w:pStyle w:val="BodyText"/>
              <w:spacing w:after="0"/>
              <w:ind w:right="340"/>
              <w:jc w:val="right"/>
            </w:pPr>
            <w:r>
              <w:t>455 544</w:t>
            </w:r>
          </w:p>
        </w:tc>
      </w:tr>
      <w:tr w:rsidR="00000000">
        <w:tblPrEx>
          <w:tblCellMar>
            <w:top w:w="0" w:type="dxa"/>
            <w:left w:w="0" w:type="dxa"/>
            <w:bottom w:w="0" w:type="dxa"/>
            <w:right w:w="0" w:type="dxa"/>
          </w:tblCellMar>
        </w:tblPrEx>
        <w:trPr>
          <w:cantSplit/>
          <w:jc w:val="center"/>
        </w:trPr>
        <w:tc>
          <w:tcPr>
            <w:tcW w:w="1251" w:type="dxa"/>
            <w:vMerge/>
          </w:tcPr>
          <w:p w:rsidR="00000000" w:rsidRDefault="00000000">
            <w:pPr>
              <w:pStyle w:val="BodyText"/>
              <w:spacing w:after="0"/>
              <w:jc w:val="left"/>
            </w:pPr>
          </w:p>
        </w:tc>
        <w:tc>
          <w:tcPr>
            <w:tcW w:w="327" w:type="dxa"/>
          </w:tcPr>
          <w:p w:rsidR="00000000" w:rsidRDefault="00000000">
            <w:pPr>
              <w:pStyle w:val="BodyText"/>
              <w:spacing w:after="0"/>
            </w:pPr>
            <w:r>
              <w:t>Ж</w:t>
            </w:r>
          </w:p>
        </w:tc>
        <w:tc>
          <w:tcPr>
            <w:tcW w:w="981" w:type="dxa"/>
          </w:tcPr>
          <w:p w:rsidR="00000000" w:rsidRDefault="00000000">
            <w:pPr>
              <w:pStyle w:val="BodyText"/>
              <w:spacing w:after="0"/>
              <w:ind w:right="170"/>
              <w:jc w:val="right"/>
            </w:pPr>
            <w:r>
              <w:t>125 420</w:t>
            </w:r>
          </w:p>
        </w:tc>
        <w:tc>
          <w:tcPr>
            <w:tcW w:w="1314" w:type="dxa"/>
          </w:tcPr>
          <w:p w:rsidR="00000000" w:rsidRDefault="00000000">
            <w:pPr>
              <w:pStyle w:val="BodyText"/>
              <w:spacing w:after="0"/>
              <w:ind w:right="340"/>
              <w:jc w:val="right"/>
            </w:pPr>
            <w:r>
              <w:t>231 187</w:t>
            </w:r>
          </w:p>
        </w:tc>
        <w:tc>
          <w:tcPr>
            <w:tcW w:w="981" w:type="dxa"/>
          </w:tcPr>
          <w:p w:rsidR="00000000" w:rsidRDefault="00000000">
            <w:pPr>
              <w:pStyle w:val="BodyText"/>
              <w:spacing w:after="0"/>
              <w:ind w:right="170"/>
              <w:jc w:val="right"/>
            </w:pPr>
            <w:r>
              <w:t>130 441</w:t>
            </w:r>
          </w:p>
        </w:tc>
        <w:tc>
          <w:tcPr>
            <w:tcW w:w="1477" w:type="dxa"/>
          </w:tcPr>
          <w:p w:rsidR="00000000" w:rsidRDefault="00000000">
            <w:pPr>
              <w:pStyle w:val="BodyText"/>
              <w:spacing w:after="0"/>
              <w:ind w:right="340"/>
              <w:jc w:val="right"/>
            </w:pPr>
            <w:r>
              <w:t>232 821</w:t>
            </w:r>
          </w:p>
        </w:tc>
        <w:tc>
          <w:tcPr>
            <w:tcW w:w="981" w:type="dxa"/>
          </w:tcPr>
          <w:p w:rsidR="00000000" w:rsidRDefault="00000000">
            <w:pPr>
              <w:pStyle w:val="BodyText"/>
              <w:spacing w:after="0"/>
              <w:ind w:right="170"/>
              <w:jc w:val="right"/>
            </w:pPr>
            <w:r>
              <w:t>135 201</w:t>
            </w:r>
          </w:p>
        </w:tc>
        <w:tc>
          <w:tcPr>
            <w:tcW w:w="1477" w:type="dxa"/>
          </w:tcPr>
          <w:p w:rsidR="00000000" w:rsidRDefault="00000000">
            <w:pPr>
              <w:pStyle w:val="BodyText"/>
              <w:spacing w:after="0"/>
              <w:ind w:right="340"/>
              <w:jc w:val="right"/>
            </w:pPr>
            <w:r>
              <w:t>227 113</w:t>
            </w:r>
          </w:p>
        </w:tc>
      </w:tr>
      <w:tr w:rsidR="00000000">
        <w:tblPrEx>
          <w:tblCellMar>
            <w:top w:w="0" w:type="dxa"/>
            <w:left w:w="0" w:type="dxa"/>
            <w:bottom w:w="0" w:type="dxa"/>
            <w:right w:w="0" w:type="dxa"/>
          </w:tblCellMar>
        </w:tblPrEx>
        <w:trPr>
          <w:cantSplit/>
          <w:jc w:val="center"/>
        </w:trPr>
        <w:tc>
          <w:tcPr>
            <w:tcW w:w="1251" w:type="dxa"/>
            <w:vMerge w:val="restart"/>
          </w:tcPr>
          <w:p w:rsidR="00000000" w:rsidRDefault="00000000">
            <w:pPr>
              <w:pStyle w:val="BodyText"/>
              <w:spacing w:after="0"/>
              <w:jc w:val="left"/>
            </w:pPr>
            <w:r>
              <w:t>Разведенные</w:t>
            </w:r>
          </w:p>
        </w:tc>
        <w:tc>
          <w:tcPr>
            <w:tcW w:w="327" w:type="dxa"/>
          </w:tcPr>
          <w:p w:rsidR="00000000" w:rsidRDefault="00000000">
            <w:pPr>
              <w:pStyle w:val="BodyText"/>
              <w:spacing w:after="0"/>
            </w:pPr>
            <w:r>
              <w:t>М</w:t>
            </w:r>
          </w:p>
        </w:tc>
        <w:tc>
          <w:tcPr>
            <w:tcW w:w="981" w:type="dxa"/>
          </w:tcPr>
          <w:p w:rsidR="00000000" w:rsidRDefault="00000000">
            <w:pPr>
              <w:pStyle w:val="BodyText"/>
              <w:spacing w:after="0"/>
              <w:ind w:right="170"/>
              <w:jc w:val="right"/>
            </w:pPr>
            <w:r>
              <w:t>5 504</w:t>
            </w:r>
          </w:p>
        </w:tc>
        <w:tc>
          <w:tcPr>
            <w:tcW w:w="1314" w:type="dxa"/>
          </w:tcPr>
          <w:p w:rsidR="00000000" w:rsidRDefault="00000000">
            <w:pPr>
              <w:pStyle w:val="BodyText"/>
              <w:spacing w:after="0"/>
              <w:ind w:right="340"/>
              <w:jc w:val="right"/>
            </w:pPr>
            <w:r>
              <w:t>3 442</w:t>
            </w:r>
          </w:p>
        </w:tc>
        <w:tc>
          <w:tcPr>
            <w:tcW w:w="981" w:type="dxa"/>
          </w:tcPr>
          <w:p w:rsidR="00000000" w:rsidRDefault="00000000">
            <w:pPr>
              <w:pStyle w:val="BodyText"/>
              <w:spacing w:after="0"/>
              <w:ind w:right="170"/>
              <w:jc w:val="right"/>
            </w:pPr>
            <w:r>
              <w:t>5 977</w:t>
            </w:r>
          </w:p>
        </w:tc>
        <w:tc>
          <w:tcPr>
            <w:tcW w:w="1477" w:type="dxa"/>
          </w:tcPr>
          <w:p w:rsidR="00000000" w:rsidRDefault="00000000">
            <w:pPr>
              <w:pStyle w:val="BodyText"/>
              <w:spacing w:after="0"/>
              <w:ind w:right="340"/>
              <w:jc w:val="right"/>
            </w:pPr>
            <w:r>
              <w:t>3 797</w:t>
            </w:r>
          </w:p>
        </w:tc>
        <w:tc>
          <w:tcPr>
            <w:tcW w:w="981" w:type="dxa"/>
          </w:tcPr>
          <w:p w:rsidR="00000000" w:rsidRDefault="00000000">
            <w:pPr>
              <w:pStyle w:val="BodyText"/>
              <w:spacing w:after="0"/>
              <w:ind w:right="170"/>
              <w:jc w:val="right"/>
            </w:pPr>
            <w:r>
              <w:t>6 390</w:t>
            </w:r>
          </w:p>
        </w:tc>
        <w:tc>
          <w:tcPr>
            <w:tcW w:w="1477" w:type="dxa"/>
          </w:tcPr>
          <w:p w:rsidR="00000000" w:rsidRDefault="00000000">
            <w:pPr>
              <w:pStyle w:val="BodyText"/>
              <w:spacing w:after="0"/>
              <w:ind w:right="340"/>
              <w:jc w:val="right"/>
            </w:pPr>
            <w:r>
              <w:t>3 929</w:t>
            </w:r>
          </w:p>
        </w:tc>
      </w:tr>
      <w:tr w:rsidR="00000000">
        <w:tblPrEx>
          <w:tblCellMar>
            <w:top w:w="0" w:type="dxa"/>
            <w:left w:w="0" w:type="dxa"/>
            <w:bottom w:w="0" w:type="dxa"/>
            <w:right w:w="0" w:type="dxa"/>
          </w:tblCellMar>
        </w:tblPrEx>
        <w:trPr>
          <w:cantSplit/>
          <w:jc w:val="center"/>
        </w:trPr>
        <w:tc>
          <w:tcPr>
            <w:tcW w:w="1251" w:type="dxa"/>
            <w:vMerge/>
          </w:tcPr>
          <w:p w:rsidR="00000000" w:rsidRDefault="00000000">
            <w:pPr>
              <w:pStyle w:val="BodyText"/>
              <w:spacing w:after="0"/>
              <w:jc w:val="left"/>
            </w:pPr>
          </w:p>
        </w:tc>
        <w:tc>
          <w:tcPr>
            <w:tcW w:w="327" w:type="dxa"/>
          </w:tcPr>
          <w:p w:rsidR="00000000" w:rsidRDefault="00000000">
            <w:pPr>
              <w:pStyle w:val="BodyText"/>
              <w:spacing w:after="0"/>
            </w:pPr>
            <w:r>
              <w:t>Ж</w:t>
            </w:r>
          </w:p>
        </w:tc>
        <w:tc>
          <w:tcPr>
            <w:tcW w:w="981" w:type="dxa"/>
          </w:tcPr>
          <w:p w:rsidR="00000000" w:rsidRDefault="00000000">
            <w:pPr>
              <w:pStyle w:val="BodyText"/>
              <w:spacing w:after="0"/>
              <w:ind w:right="170"/>
              <w:jc w:val="right"/>
            </w:pPr>
            <w:r>
              <w:t>12 621</w:t>
            </w:r>
          </w:p>
        </w:tc>
        <w:tc>
          <w:tcPr>
            <w:tcW w:w="1314" w:type="dxa"/>
          </w:tcPr>
          <w:p w:rsidR="00000000" w:rsidRDefault="00000000">
            <w:pPr>
              <w:pStyle w:val="BodyText"/>
              <w:spacing w:after="0"/>
              <w:ind w:right="340"/>
              <w:jc w:val="right"/>
            </w:pPr>
            <w:r>
              <w:t>5 482</w:t>
            </w:r>
          </w:p>
        </w:tc>
        <w:tc>
          <w:tcPr>
            <w:tcW w:w="981" w:type="dxa"/>
          </w:tcPr>
          <w:p w:rsidR="00000000" w:rsidRDefault="00000000">
            <w:pPr>
              <w:pStyle w:val="BodyText"/>
              <w:spacing w:after="0"/>
              <w:ind w:right="170"/>
              <w:jc w:val="right"/>
            </w:pPr>
            <w:r>
              <w:t>13 512</w:t>
            </w:r>
          </w:p>
        </w:tc>
        <w:tc>
          <w:tcPr>
            <w:tcW w:w="1477" w:type="dxa"/>
          </w:tcPr>
          <w:p w:rsidR="00000000" w:rsidRDefault="00000000">
            <w:pPr>
              <w:pStyle w:val="BodyText"/>
              <w:spacing w:after="0"/>
              <w:ind w:right="340"/>
              <w:jc w:val="right"/>
            </w:pPr>
            <w:r>
              <w:t>5 792</w:t>
            </w:r>
          </w:p>
        </w:tc>
        <w:tc>
          <w:tcPr>
            <w:tcW w:w="981" w:type="dxa"/>
          </w:tcPr>
          <w:p w:rsidR="00000000" w:rsidRDefault="00000000">
            <w:pPr>
              <w:pStyle w:val="BodyText"/>
              <w:spacing w:after="0"/>
              <w:ind w:right="170"/>
              <w:jc w:val="right"/>
            </w:pPr>
            <w:r>
              <w:t>14 364</w:t>
            </w:r>
          </w:p>
        </w:tc>
        <w:tc>
          <w:tcPr>
            <w:tcW w:w="1477" w:type="dxa"/>
          </w:tcPr>
          <w:p w:rsidR="00000000" w:rsidRDefault="00000000">
            <w:pPr>
              <w:pStyle w:val="BodyText"/>
              <w:spacing w:after="0"/>
              <w:ind w:right="340"/>
              <w:jc w:val="right"/>
            </w:pPr>
            <w:r>
              <w:t>6 093</w:t>
            </w:r>
          </w:p>
        </w:tc>
      </w:tr>
      <w:tr w:rsidR="00000000">
        <w:tblPrEx>
          <w:tblCellMar>
            <w:top w:w="0" w:type="dxa"/>
            <w:left w:w="0" w:type="dxa"/>
            <w:bottom w:w="0" w:type="dxa"/>
            <w:right w:w="0" w:type="dxa"/>
          </w:tblCellMar>
        </w:tblPrEx>
        <w:trPr>
          <w:cantSplit/>
          <w:jc w:val="center"/>
        </w:trPr>
        <w:tc>
          <w:tcPr>
            <w:tcW w:w="1251" w:type="dxa"/>
            <w:vMerge w:val="restart"/>
          </w:tcPr>
          <w:p w:rsidR="00000000" w:rsidRDefault="00000000">
            <w:pPr>
              <w:pStyle w:val="BodyText"/>
              <w:spacing w:after="0"/>
              <w:jc w:val="left"/>
            </w:pPr>
            <w:r>
              <w:t>Вдовы/</w:t>
            </w:r>
            <w:r>
              <w:rPr>
                <w:lang w:val="en-US"/>
              </w:rPr>
              <w:br/>
            </w:r>
            <w:r>
              <w:t>вдовцы</w:t>
            </w:r>
          </w:p>
        </w:tc>
        <w:tc>
          <w:tcPr>
            <w:tcW w:w="327" w:type="dxa"/>
          </w:tcPr>
          <w:p w:rsidR="00000000" w:rsidRDefault="00000000">
            <w:pPr>
              <w:pStyle w:val="BodyText"/>
              <w:spacing w:after="0"/>
            </w:pPr>
            <w:r>
              <w:t>М</w:t>
            </w:r>
          </w:p>
        </w:tc>
        <w:tc>
          <w:tcPr>
            <w:tcW w:w="981" w:type="dxa"/>
          </w:tcPr>
          <w:p w:rsidR="00000000" w:rsidRDefault="00000000">
            <w:pPr>
              <w:pStyle w:val="BodyText"/>
              <w:spacing w:after="0"/>
              <w:ind w:right="170"/>
              <w:jc w:val="right"/>
            </w:pPr>
            <w:r>
              <w:t>976</w:t>
            </w:r>
          </w:p>
        </w:tc>
        <w:tc>
          <w:tcPr>
            <w:tcW w:w="1314" w:type="dxa"/>
          </w:tcPr>
          <w:p w:rsidR="00000000" w:rsidRDefault="00000000">
            <w:pPr>
              <w:pStyle w:val="BodyText"/>
              <w:spacing w:after="0"/>
              <w:ind w:right="340"/>
              <w:jc w:val="right"/>
            </w:pPr>
            <w:r>
              <w:t>954</w:t>
            </w:r>
          </w:p>
        </w:tc>
        <w:tc>
          <w:tcPr>
            <w:tcW w:w="981" w:type="dxa"/>
          </w:tcPr>
          <w:p w:rsidR="00000000" w:rsidRDefault="00000000">
            <w:pPr>
              <w:pStyle w:val="BodyText"/>
              <w:spacing w:after="0"/>
              <w:ind w:right="170"/>
              <w:jc w:val="right"/>
            </w:pPr>
            <w:r>
              <w:t>1 025</w:t>
            </w:r>
          </w:p>
        </w:tc>
        <w:tc>
          <w:tcPr>
            <w:tcW w:w="1477" w:type="dxa"/>
          </w:tcPr>
          <w:p w:rsidR="00000000" w:rsidRDefault="00000000">
            <w:pPr>
              <w:pStyle w:val="BodyText"/>
              <w:spacing w:after="0"/>
              <w:ind w:right="340"/>
              <w:jc w:val="right"/>
            </w:pPr>
            <w:r>
              <w:t>1 000</w:t>
            </w:r>
          </w:p>
        </w:tc>
        <w:tc>
          <w:tcPr>
            <w:tcW w:w="981" w:type="dxa"/>
          </w:tcPr>
          <w:p w:rsidR="00000000" w:rsidRDefault="00000000">
            <w:pPr>
              <w:pStyle w:val="BodyText"/>
              <w:spacing w:after="0"/>
              <w:ind w:right="170"/>
              <w:jc w:val="right"/>
            </w:pPr>
            <w:r>
              <w:t>1 107</w:t>
            </w:r>
          </w:p>
        </w:tc>
        <w:tc>
          <w:tcPr>
            <w:tcW w:w="1477" w:type="dxa"/>
          </w:tcPr>
          <w:p w:rsidR="00000000" w:rsidRDefault="00000000">
            <w:pPr>
              <w:pStyle w:val="BodyText"/>
              <w:spacing w:after="0"/>
              <w:ind w:right="340"/>
              <w:jc w:val="right"/>
            </w:pPr>
            <w:r>
              <w:t>1 015</w:t>
            </w:r>
          </w:p>
        </w:tc>
      </w:tr>
      <w:tr w:rsidR="00000000">
        <w:tblPrEx>
          <w:tblCellMar>
            <w:top w:w="0" w:type="dxa"/>
            <w:left w:w="0" w:type="dxa"/>
            <w:bottom w:w="0" w:type="dxa"/>
            <w:right w:w="0" w:type="dxa"/>
          </w:tblCellMar>
        </w:tblPrEx>
        <w:trPr>
          <w:cantSplit/>
          <w:jc w:val="center"/>
        </w:trPr>
        <w:tc>
          <w:tcPr>
            <w:tcW w:w="1251" w:type="dxa"/>
            <w:vMerge/>
          </w:tcPr>
          <w:p w:rsidR="00000000" w:rsidRDefault="00000000">
            <w:pPr>
              <w:pStyle w:val="BodyText"/>
              <w:spacing w:after="0"/>
              <w:jc w:val="left"/>
            </w:pPr>
          </w:p>
        </w:tc>
        <w:tc>
          <w:tcPr>
            <w:tcW w:w="327" w:type="dxa"/>
          </w:tcPr>
          <w:p w:rsidR="00000000" w:rsidRDefault="00000000">
            <w:pPr>
              <w:pStyle w:val="BodyText"/>
              <w:spacing w:after="0"/>
            </w:pPr>
            <w:r>
              <w:t>Ж</w:t>
            </w:r>
          </w:p>
        </w:tc>
        <w:tc>
          <w:tcPr>
            <w:tcW w:w="981" w:type="dxa"/>
          </w:tcPr>
          <w:p w:rsidR="00000000" w:rsidRDefault="00000000">
            <w:pPr>
              <w:pStyle w:val="BodyText"/>
              <w:spacing w:after="0"/>
              <w:ind w:right="170"/>
              <w:jc w:val="right"/>
            </w:pPr>
            <w:r>
              <w:t>13 994</w:t>
            </w:r>
          </w:p>
        </w:tc>
        <w:tc>
          <w:tcPr>
            <w:tcW w:w="1314" w:type="dxa"/>
          </w:tcPr>
          <w:p w:rsidR="00000000" w:rsidRDefault="00000000">
            <w:pPr>
              <w:pStyle w:val="BodyText"/>
              <w:spacing w:after="0"/>
              <w:ind w:right="340"/>
              <w:jc w:val="right"/>
            </w:pPr>
            <w:r>
              <w:t>8 835</w:t>
            </w:r>
          </w:p>
        </w:tc>
        <w:tc>
          <w:tcPr>
            <w:tcW w:w="981" w:type="dxa"/>
          </w:tcPr>
          <w:p w:rsidR="00000000" w:rsidRDefault="00000000">
            <w:pPr>
              <w:pStyle w:val="BodyText"/>
              <w:spacing w:after="0"/>
              <w:ind w:right="170"/>
              <w:jc w:val="right"/>
            </w:pPr>
            <w:r>
              <w:t>14 572</w:t>
            </w:r>
          </w:p>
        </w:tc>
        <w:tc>
          <w:tcPr>
            <w:tcW w:w="1477" w:type="dxa"/>
          </w:tcPr>
          <w:p w:rsidR="00000000" w:rsidRDefault="00000000">
            <w:pPr>
              <w:pStyle w:val="BodyText"/>
              <w:spacing w:after="0"/>
              <w:ind w:right="340"/>
              <w:jc w:val="right"/>
            </w:pPr>
            <w:r>
              <w:t>8 852</w:t>
            </w:r>
          </w:p>
        </w:tc>
        <w:tc>
          <w:tcPr>
            <w:tcW w:w="981" w:type="dxa"/>
          </w:tcPr>
          <w:p w:rsidR="00000000" w:rsidRDefault="00000000">
            <w:pPr>
              <w:pStyle w:val="BodyText"/>
              <w:spacing w:after="0"/>
              <w:ind w:right="170"/>
              <w:jc w:val="right"/>
            </w:pPr>
            <w:r>
              <w:t>15 187</w:t>
            </w:r>
          </w:p>
        </w:tc>
        <w:tc>
          <w:tcPr>
            <w:tcW w:w="1477" w:type="dxa"/>
          </w:tcPr>
          <w:p w:rsidR="00000000" w:rsidRDefault="00000000">
            <w:pPr>
              <w:pStyle w:val="BodyText"/>
              <w:spacing w:after="0"/>
              <w:ind w:right="340"/>
              <w:jc w:val="right"/>
            </w:pPr>
            <w:r>
              <w:t>8 604</w:t>
            </w:r>
          </w:p>
        </w:tc>
      </w:tr>
      <w:tr w:rsidR="00000000">
        <w:tblPrEx>
          <w:tblCellMar>
            <w:top w:w="0" w:type="dxa"/>
            <w:left w:w="0" w:type="dxa"/>
            <w:bottom w:w="0" w:type="dxa"/>
            <w:right w:w="0" w:type="dxa"/>
          </w:tblCellMar>
        </w:tblPrEx>
        <w:trPr>
          <w:cantSplit/>
          <w:jc w:val="center"/>
        </w:trPr>
        <w:tc>
          <w:tcPr>
            <w:tcW w:w="1251" w:type="dxa"/>
            <w:vMerge w:val="restart"/>
          </w:tcPr>
          <w:p w:rsidR="00000000" w:rsidRDefault="00000000">
            <w:pPr>
              <w:pStyle w:val="BodyText"/>
              <w:spacing w:after="0"/>
              <w:jc w:val="left"/>
            </w:pPr>
            <w:r>
              <w:t>Нет данных</w:t>
            </w:r>
          </w:p>
        </w:tc>
        <w:tc>
          <w:tcPr>
            <w:tcW w:w="327" w:type="dxa"/>
          </w:tcPr>
          <w:p w:rsidR="00000000" w:rsidRDefault="00000000">
            <w:pPr>
              <w:pStyle w:val="BodyText"/>
              <w:spacing w:after="0"/>
            </w:pPr>
            <w:r>
              <w:t>М</w:t>
            </w:r>
          </w:p>
        </w:tc>
        <w:tc>
          <w:tcPr>
            <w:tcW w:w="981" w:type="dxa"/>
          </w:tcPr>
          <w:p w:rsidR="00000000" w:rsidRDefault="00000000">
            <w:pPr>
              <w:pStyle w:val="BodyText"/>
              <w:spacing w:after="0"/>
              <w:ind w:right="170"/>
              <w:jc w:val="right"/>
            </w:pPr>
            <w:r>
              <w:t>42</w:t>
            </w:r>
          </w:p>
        </w:tc>
        <w:tc>
          <w:tcPr>
            <w:tcW w:w="1314" w:type="dxa"/>
          </w:tcPr>
          <w:p w:rsidR="00000000" w:rsidRDefault="00000000">
            <w:pPr>
              <w:pStyle w:val="BodyText"/>
              <w:spacing w:after="0"/>
              <w:ind w:right="340"/>
              <w:jc w:val="right"/>
            </w:pPr>
            <w:r>
              <w:t>109</w:t>
            </w:r>
          </w:p>
        </w:tc>
        <w:tc>
          <w:tcPr>
            <w:tcW w:w="981" w:type="dxa"/>
          </w:tcPr>
          <w:p w:rsidR="00000000" w:rsidRDefault="00000000">
            <w:pPr>
              <w:pStyle w:val="BodyText"/>
              <w:spacing w:after="0"/>
              <w:ind w:right="170"/>
              <w:jc w:val="right"/>
            </w:pPr>
            <w:r>
              <w:t>78</w:t>
            </w:r>
          </w:p>
        </w:tc>
        <w:tc>
          <w:tcPr>
            <w:tcW w:w="1477" w:type="dxa"/>
          </w:tcPr>
          <w:p w:rsidR="00000000" w:rsidRDefault="00000000">
            <w:pPr>
              <w:pStyle w:val="BodyText"/>
              <w:spacing w:after="0"/>
              <w:ind w:right="340"/>
              <w:jc w:val="right"/>
            </w:pPr>
            <w:r>
              <w:t>124</w:t>
            </w:r>
          </w:p>
        </w:tc>
        <w:tc>
          <w:tcPr>
            <w:tcW w:w="981" w:type="dxa"/>
          </w:tcPr>
          <w:p w:rsidR="00000000" w:rsidRDefault="00000000">
            <w:pPr>
              <w:pStyle w:val="BodyText"/>
              <w:spacing w:after="0"/>
              <w:ind w:right="170"/>
              <w:jc w:val="right"/>
            </w:pPr>
            <w:r>
              <w:t>98</w:t>
            </w:r>
          </w:p>
        </w:tc>
        <w:tc>
          <w:tcPr>
            <w:tcW w:w="1477" w:type="dxa"/>
          </w:tcPr>
          <w:p w:rsidR="00000000" w:rsidRDefault="00000000">
            <w:pPr>
              <w:pStyle w:val="BodyText"/>
              <w:spacing w:after="0"/>
              <w:ind w:right="340"/>
              <w:jc w:val="right"/>
            </w:pPr>
            <w:r>
              <w:t>113</w:t>
            </w:r>
          </w:p>
        </w:tc>
      </w:tr>
      <w:tr w:rsidR="00000000">
        <w:tblPrEx>
          <w:tblCellMar>
            <w:top w:w="0" w:type="dxa"/>
            <w:left w:w="0" w:type="dxa"/>
            <w:bottom w:w="0" w:type="dxa"/>
            <w:right w:w="0" w:type="dxa"/>
          </w:tblCellMar>
        </w:tblPrEx>
        <w:trPr>
          <w:cantSplit/>
          <w:jc w:val="center"/>
        </w:trPr>
        <w:tc>
          <w:tcPr>
            <w:tcW w:w="1251" w:type="dxa"/>
            <w:vMerge/>
          </w:tcPr>
          <w:p w:rsidR="00000000" w:rsidRDefault="00000000">
            <w:pPr>
              <w:pStyle w:val="BodyText"/>
              <w:spacing w:after="0"/>
            </w:pPr>
          </w:p>
        </w:tc>
        <w:tc>
          <w:tcPr>
            <w:tcW w:w="327" w:type="dxa"/>
          </w:tcPr>
          <w:p w:rsidR="00000000" w:rsidRDefault="00000000">
            <w:pPr>
              <w:pStyle w:val="BodyText"/>
              <w:spacing w:after="0"/>
            </w:pPr>
            <w:r>
              <w:t>Ж</w:t>
            </w:r>
          </w:p>
        </w:tc>
        <w:tc>
          <w:tcPr>
            <w:tcW w:w="981" w:type="dxa"/>
          </w:tcPr>
          <w:p w:rsidR="00000000" w:rsidRDefault="00000000">
            <w:pPr>
              <w:pStyle w:val="BodyText"/>
              <w:spacing w:after="0"/>
              <w:ind w:right="170"/>
              <w:jc w:val="right"/>
            </w:pPr>
            <w:r>
              <w:t>62</w:t>
            </w:r>
          </w:p>
        </w:tc>
        <w:tc>
          <w:tcPr>
            <w:tcW w:w="1314" w:type="dxa"/>
          </w:tcPr>
          <w:p w:rsidR="00000000" w:rsidRDefault="00000000">
            <w:pPr>
              <w:pStyle w:val="BodyText"/>
              <w:spacing w:after="0"/>
              <w:ind w:right="340"/>
              <w:jc w:val="right"/>
            </w:pPr>
            <w:r>
              <w:t>102</w:t>
            </w:r>
          </w:p>
        </w:tc>
        <w:tc>
          <w:tcPr>
            <w:tcW w:w="981" w:type="dxa"/>
          </w:tcPr>
          <w:p w:rsidR="00000000" w:rsidRDefault="00000000">
            <w:pPr>
              <w:pStyle w:val="BodyText"/>
              <w:spacing w:after="0"/>
              <w:ind w:right="170"/>
              <w:jc w:val="right"/>
            </w:pPr>
            <w:r>
              <w:t>95</w:t>
            </w:r>
          </w:p>
        </w:tc>
        <w:tc>
          <w:tcPr>
            <w:tcW w:w="1477" w:type="dxa"/>
          </w:tcPr>
          <w:p w:rsidR="00000000" w:rsidRDefault="00000000">
            <w:pPr>
              <w:pStyle w:val="BodyText"/>
              <w:spacing w:after="0"/>
              <w:ind w:right="340"/>
              <w:jc w:val="right"/>
            </w:pPr>
            <w:r>
              <w:t>109</w:t>
            </w:r>
          </w:p>
        </w:tc>
        <w:tc>
          <w:tcPr>
            <w:tcW w:w="981" w:type="dxa"/>
          </w:tcPr>
          <w:p w:rsidR="00000000" w:rsidRDefault="00000000">
            <w:pPr>
              <w:pStyle w:val="BodyText"/>
              <w:spacing w:after="0"/>
              <w:ind w:right="170"/>
              <w:jc w:val="right"/>
            </w:pPr>
            <w:r>
              <w:t>130</w:t>
            </w:r>
          </w:p>
        </w:tc>
        <w:tc>
          <w:tcPr>
            <w:tcW w:w="1477" w:type="dxa"/>
          </w:tcPr>
          <w:p w:rsidR="00000000" w:rsidRDefault="00000000">
            <w:pPr>
              <w:pStyle w:val="BodyText"/>
              <w:spacing w:after="0"/>
              <w:ind w:right="340"/>
              <w:jc w:val="right"/>
            </w:pPr>
            <w:r>
              <w:t>108</w:t>
            </w:r>
          </w:p>
        </w:tc>
      </w:tr>
    </w:tbl>
    <w:p w:rsidR="00000000" w:rsidRDefault="00000000">
      <w:pPr>
        <w:pStyle w:val="BodyText"/>
      </w:pPr>
    </w:p>
    <w:p w:rsidR="00000000" w:rsidRDefault="00000000">
      <w:pPr>
        <w:pStyle w:val="BodyText"/>
        <w:jc w:val="center"/>
      </w:pPr>
      <w:r>
        <w:t>Живорождения и смертность с разбивкой по гражданству и полу, 1996–1999 годы</w:t>
      </w:r>
    </w:p>
    <w:tbl>
      <w:tblPr>
        <w:tblW w:w="0" w:type="auto"/>
        <w:jc w:val="center"/>
        <w:tblLayout w:type="fixed"/>
        <w:tblCellMar>
          <w:left w:w="57" w:type="dxa"/>
          <w:right w:w="57" w:type="dxa"/>
        </w:tblCellMar>
        <w:tblLook w:val="01E0" w:firstRow="1" w:lastRow="1" w:firstColumn="1" w:lastColumn="1" w:noHBand="0" w:noVBand="0"/>
      </w:tblPr>
      <w:tblGrid>
        <w:gridCol w:w="1728"/>
        <w:gridCol w:w="1779"/>
        <w:gridCol w:w="1779"/>
        <w:gridCol w:w="1763"/>
        <w:gridCol w:w="1740"/>
      </w:tblGrid>
      <w:tr w:rsidR="00000000">
        <w:tblPrEx>
          <w:tblCellMar>
            <w:top w:w="0" w:type="dxa"/>
            <w:bottom w:w="0" w:type="dxa"/>
          </w:tblCellMar>
        </w:tblPrEx>
        <w:trPr>
          <w:cantSplit/>
          <w:jc w:val="center"/>
        </w:trPr>
        <w:tc>
          <w:tcPr>
            <w:tcW w:w="1728" w:type="dxa"/>
            <w:vMerge w:val="restart"/>
          </w:tcPr>
          <w:p w:rsidR="00000000" w:rsidRDefault="00000000">
            <w:pPr>
              <w:pStyle w:val="-9"/>
            </w:pPr>
            <w:r>
              <w:t>Год</w:t>
            </w:r>
          </w:p>
        </w:tc>
        <w:tc>
          <w:tcPr>
            <w:tcW w:w="3558" w:type="dxa"/>
            <w:gridSpan w:val="2"/>
          </w:tcPr>
          <w:p w:rsidR="00000000" w:rsidRDefault="00000000">
            <w:pPr>
              <w:pStyle w:val="-9"/>
            </w:pPr>
            <w:r>
              <w:t>Живорождения</w:t>
            </w:r>
          </w:p>
        </w:tc>
        <w:tc>
          <w:tcPr>
            <w:tcW w:w="3503" w:type="dxa"/>
            <w:gridSpan w:val="2"/>
          </w:tcPr>
          <w:p w:rsidR="00000000" w:rsidRDefault="00000000">
            <w:pPr>
              <w:pStyle w:val="-9"/>
            </w:pPr>
            <w:r>
              <w:t>Смертность</w:t>
            </w:r>
          </w:p>
        </w:tc>
      </w:tr>
      <w:tr w:rsidR="00000000">
        <w:tblPrEx>
          <w:tblCellMar>
            <w:top w:w="0" w:type="dxa"/>
            <w:bottom w:w="0" w:type="dxa"/>
          </w:tblCellMar>
        </w:tblPrEx>
        <w:trPr>
          <w:cantSplit/>
          <w:jc w:val="center"/>
        </w:trPr>
        <w:tc>
          <w:tcPr>
            <w:tcW w:w="1728" w:type="dxa"/>
            <w:vMerge/>
          </w:tcPr>
          <w:p w:rsidR="00000000" w:rsidRDefault="00000000">
            <w:pPr>
              <w:pStyle w:val="-9"/>
            </w:pPr>
          </w:p>
        </w:tc>
        <w:tc>
          <w:tcPr>
            <w:tcW w:w="1779" w:type="dxa"/>
          </w:tcPr>
          <w:p w:rsidR="00000000" w:rsidRDefault="00000000">
            <w:pPr>
              <w:pStyle w:val="-9"/>
            </w:pPr>
            <w:r>
              <w:t>М</w:t>
            </w:r>
          </w:p>
        </w:tc>
        <w:tc>
          <w:tcPr>
            <w:tcW w:w="1779" w:type="dxa"/>
          </w:tcPr>
          <w:p w:rsidR="00000000" w:rsidRDefault="00000000">
            <w:pPr>
              <w:pStyle w:val="-9"/>
            </w:pPr>
            <w:r>
              <w:t>Ж</w:t>
            </w:r>
          </w:p>
        </w:tc>
        <w:tc>
          <w:tcPr>
            <w:tcW w:w="1763" w:type="dxa"/>
          </w:tcPr>
          <w:p w:rsidR="00000000" w:rsidRDefault="00000000">
            <w:pPr>
              <w:pStyle w:val="-9"/>
            </w:pPr>
            <w:r>
              <w:t>М</w:t>
            </w:r>
          </w:p>
        </w:tc>
        <w:tc>
          <w:tcPr>
            <w:tcW w:w="1740" w:type="dxa"/>
          </w:tcPr>
          <w:p w:rsidR="00000000" w:rsidRDefault="00000000">
            <w:pPr>
              <w:pStyle w:val="-9"/>
            </w:pPr>
            <w:r>
              <w:t>Ж</w:t>
            </w:r>
          </w:p>
        </w:tc>
      </w:tr>
      <w:tr w:rsidR="00000000">
        <w:tblPrEx>
          <w:tblCellMar>
            <w:top w:w="0" w:type="dxa"/>
            <w:bottom w:w="0" w:type="dxa"/>
          </w:tblCellMar>
        </w:tblPrEx>
        <w:trPr>
          <w:jc w:val="center"/>
        </w:trPr>
        <w:tc>
          <w:tcPr>
            <w:tcW w:w="8789" w:type="dxa"/>
            <w:gridSpan w:val="5"/>
          </w:tcPr>
          <w:p w:rsidR="00000000" w:rsidRDefault="00000000">
            <w:pPr>
              <w:pStyle w:val="BodyText"/>
              <w:spacing w:after="0"/>
              <w:jc w:val="center"/>
            </w:pPr>
            <w:r>
              <w:t>Кувейтцы</w:t>
            </w:r>
          </w:p>
        </w:tc>
      </w:tr>
      <w:tr w:rsidR="00000000">
        <w:tblPrEx>
          <w:tblCellMar>
            <w:top w:w="0" w:type="dxa"/>
            <w:bottom w:w="0" w:type="dxa"/>
          </w:tblCellMar>
        </w:tblPrEx>
        <w:trPr>
          <w:jc w:val="center"/>
        </w:trPr>
        <w:tc>
          <w:tcPr>
            <w:tcW w:w="1728" w:type="dxa"/>
          </w:tcPr>
          <w:p w:rsidR="00000000" w:rsidRDefault="00000000">
            <w:pPr>
              <w:pStyle w:val="BodyText"/>
              <w:spacing w:after="0"/>
            </w:pPr>
            <w:r>
              <w:t>1996</w:t>
            </w:r>
          </w:p>
        </w:tc>
        <w:tc>
          <w:tcPr>
            <w:tcW w:w="1779" w:type="dxa"/>
          </w:tcPr>
          <w:p w:rsidR="00000000" w:rsidRDefault="00000000">
            <w:pPr>
              <w:pStyle w:val="BodyText"/>
              <w:spacing w:after="0"/>
              <w:ind w:right="510"/>
              <w:jc w:val="right"/>
            </w:pPr>
            <w:r>
              <w:t>13 593</w:t>
            </w:r>
          </w:p>
        </w:tc>
        <w:tc>
          <w:tcPr>
            <w:tcW w:w="1779" w:type="dxa"/>
          </w:tcPr>
          <w:p w:rsidR="00000000" w:rsidRDefault="00000000">
            <w:pPr>
              <w:pStyle w:val="BodyText"/>
              <w:spacing w:after="0"/>
              <w:ind w:right="510"/>
              <w:jc w:val="right"/>
            </w:pPr>
            <w:r>
              <w:t>12 855</w:t>
            </w:r>
          </w:p>
        </w:tc>
        <w:tc>
          <w:tcPr>
            <w:tcW w:w="1763" w:type="dxa"/>
          </w:tcPr>
          <w:p w:rsidR="00000000" w:rsidRDefault="00000000">
            <w:pPr>
              <w:pStyle w:val="BodyText"/>
              <w:spacing w:after="0"/>
              <w:ind w:right="510"/>
              <w:jc w:val="right"/>
            </w:pPr>
            <w:r>
              <w:t>1 239</w:t>
            </w:r>
          </w:p>
        </w:tc>
        <w:tc>
          <w:tcPr>
            <w:tcW w:w="1740" w:type="dxa"/>
          </w:tcPr>
          <w:p w:rsidR="00000000" w:rsidRDefault="00000000">
            <w:pPr>
              <w:pStyle w:val="BodyText"/>
              <w:spacing w:after="0"/>
              <w:ind w:right="510"/>
              <w:jc w:val="right"/>
            </w:pPr>
            <w:r>
              <w:t>867</w:t>
            </w:r>
          </w:p>
        </w:tc>
      </w:tr>
      <w:tr w:rsidR="00000000">
        <w:tblPrEx>
          <w:tblCellMar>
            <w:top w:w="0" w:type="dxa"/>
            <w:bottom w:w="0" w:type="dxa"/>
          </w:tblCellMar>
        </w:tblPrEx>
        <w:trPr>
          <w:jc w:val="center"/>
        </w:trPr>
        <w:tc>
          <w:tcPr>
            <w:tcW w:w="1728" w:type="dxa"/>
          </w:tcPr>
          <w:p w:rsidR="00000000" w:rsidRDefault="00000000">
            <w:pPr>
              <w:pStyle w:val="BodyText"/>
              <w:spacing w:after="0"/>
            </w:pPr>
            <w:r>
              <w:t>1997</w:t>
            </w:r>
          </w:p>
        </w:tc>
        <w:tc>
          <w:tcPr>
            <w:tcW w:w="1779" w:type="dxa"/>
          </w:tcPr>
          <w:p w:rsidR="00000000" w:rsidRDefault="00000000">
            <w:pPr>
              <w:pStyle w:val="BodyText"/>
              <w:spacing w:after="0"/>
              <w:ind w:right="510"/>
              <w:jc w:val="right"/>
            </w:pPr>
            <w:r>
              <w:t>13 387</w:t>
            </w:r>
          </w:p>
        </w:tc>
        <w:tc>
          <w:tcPr>
            <w:tcW w:w="1779" w:type="dxa"/>
          </w:tcPr>
          <w:p w:rsidR="00000000" w:rsidRDefault="00000000">
            <w:pPr>
              <w:pStyle w:val="BodyText"/>
              <w:spacing w:after="0"/>
              <w:ind w:right="510"/>
              <w:jc w:val="right"/>
            </w:pPr>
            <w:r>
              <w:t>12 816</w:t>
            </w:r>
          </w:p>
        </w:tc>
        <w:tc>
          <w:tcPr>
            <w:tcW w:w="1763" w:type="dxa"/>
          </w:tcPr>
          <w:p w:rsidR="00000000" w:rsidRDefault="00000000">
            <w:pPr>
              <w:pStyle w:val="BodyText"/>
              <w:spacing w:after="0"/>
              <w:ind w:right="510"/>
              <w:jc w:val="right"/>
            </w:pPr>
            <w:r>
              <w:t>1 335</w:t>
            </w:r>
          </w:p>
        </w:tc>
        <w:tc>
          <w:tcPr>
            <w:tcW w:w="1740" w:type="dxa"/>
          </w:tcPr>
          <w:p w:rsidR="00000000" w:rsidRDefault="00000000">
            <w:pPr>
              <w:pStyle w:val="BodyText"/>
              <w:spacing w:after="0"/>
              <w:ind w:right="510"/>
              <w:jc w:val="right"/>
            </w:pPr>
            <w:r>
              <w:t>944</w:t>
            </w:r>
          </w:p>
        </w:tc>
      </w:tr>
      <w:tr w:rsidR="00000000">
        <w:tblPrEx>
          <w:tblCellMar>
            <w:top w:w="0" w:type="dxa"/>
            <w:bottom w:w="0" w:type="dxa"/>
          </w:tblCellMar>
        </w:tblPrEx>
        <w:trPr>
          <w:jc w:val="center"/>
        </w:trPr>
        <w:tc>
          <w:tcPr>
            <w:tcW w:w="1728" w:type="dxa"/>
          </w:tcPr>
          <w:p w:rsidR="00000000" w:rsidRDefault="00000000">
            <w:pPr>
              <w:pStyle w:val="BodyText"/>
              <w:spacing w:after="0"/>
            </w:pPr>
            <w:r>
              <w:t>1998</w:t>
            </w:r>
          </w:p>
        </w:tc>
        <w:tc>
          <w:tcPr>
            <w:tcW w:w="1779" w:type="dxa"/>
          </w:tcPr>
          <w:p w:rsidR="00000000" w:rsidRDefault="00000000">
            <w:pPr>
              <w:pStyle w:val="BodyText"/>
              <w:spacing w:after="0"/>
              <w:ind w:right="510"/>
              <w:jc w:val="right"/>
            </w:pPr>
            <w:r>
              <w:t>13 249</w:t>
            </w:r>
          </w:p>
        </w:tc>
        <w:tc>
          <w:tcPr>
            <w:tcW w:w="1779" w:type="dxa"/>
          </w:tcPr>
          <w:p w:rsidR="00000000" w:rsidRDefault="00000000">
            <w:pPr>
              <w:pStyle w:val="BodyText"/>
              <w:spacing w:after="0"/>
              <w:ind w:right="510"/>
              <w:jc w:val="right"/>
            </w:pPr>
            <w:r>
              <w:t>12 590</w:t>
            </w:r>
          </w:p>
        </w:tc>
        <w:tc>
          <w:tcPr>
            <w:tcW w:w="1763" w:type="dxa"/>
          </w:tcPr>
          <w:p w:rsidR="00000000" w:rsidRDefault="00000000">
            <w:pPr>
              <w:pStyle w:val="BodyText"/>
              <w:spacing w:after="0"/>
              <w:ind w:right="510"/>
              <w:jc w:val="right"/>
            </w:pPr>
            <w:r>
              <w:t>1 420</w:t>
            </w:r>
          </w:p>
        </w:tc>
        <w:tc>
          <w:tcPr>
            <w:tcW w:w="1740" w:type="dxa"/>
          </w:tcPr>
          <w:p w:rsidR="00000000" w:rsidRDefault="00000000">
            <w:pPr>
              <w:pStyle w:val="BodyText"/>
              <w:spacing w:after="0"/>
              <w:ind w:right="510"/>
              <w:jc w:val="right"/>
            </w:pPr>
            <w:r>
              <w:t>958</w:t>
            </w:r>
          </w:p>
        </w:tc>
      </w:tr>
      <w:tr w:rsidR="00000000">
        <w:tblPrEx>
          <w:tblCellMar>
            <w:top w:w="0" w:type="dxa"/>
            <w:bottom w:w="0" w:type="dxa"/>
          </w:tblCellMar>
        </w:tblPrEx>
        <w:trPr>
          <w:jc w:val="center"/>
        </w:trPr>
        <w:tc>
          <w:tcPr>
            <w:tcW w:w="8789" w:type="dxa"/>
            <w:gridSpan w:val="5"/>
          </w:tcPr>
          <w:p w:rsidR="00000000" w:rsidRDefault="00000000">
            <w:pPr>
              <w:pStyle w:val="BodyText"/>
              <w:spacing w:before="60" w:after="60"/>
              <w:jc w:val="center"/>
            </w:pPr>
            <w:r>
              <w:t>1999 год (предварительные данные)</w:t>
            </w:r>
          </w:p>
        </w:tc>
      </w:tr>
      <w:tr w:rsidR="00000000">
        <w:tblPrEx>
          <w:tblCellMar>
            <w:top w:w="0" w:type="dxa"/>
            <w:bottom w:w="0" w:type="dxa"/>
          </w:tblCellMar>
        </w:tblPrEx>
        <w:trPr>
          <w:jc w:val="center"/>
        </w:trPr>
        <w:tc>
          <w:tcPr>
            <w:tcW w:w="1728" w:type="dxa"/>
          </w:tcPr>
          <w:p w:rsidR="00000000" w:rsidRDefault="00000000">
            <w:pPr>
              <w:pStyle w:val="BodyText"/>
              <w:spacing w:after="0"/>
            </w:pPr>
            <w:r>
              <w:t>Январь</w:t>
            </w:r>
          </w:p>
        </w:tc>
        <w:tc>
          <w:tcPr>
            <w:tcW w:w="1779" w:type="dxa"/>
          </w:tcPr>
          <w:p w:rsidR="00000000" w:rsidRDefault="00000000">
            <w:pPr>
              <w:pStyle w:val="BodyText"/>
              <w:spacing w:after="0"/>
              <w:ind w:right="510"/>
              <w:jc w:val="right"/>
            </w:pPr>
            <w:r>
              <w:t>1 159</w:t>
            </w:r>
          </w:p>
        </w:tc>
        <w:tc>
          <w:tcPr>
            <w:tcW w:w="1779" w:type="dxa"/>
          </w:tcPr>
          <w:p w:rsidR="00000000" w:rsidRDefault="00000000">
            <w:pPr>
              <w:pStyle w:val="BodyText"/>
              <w:spacing w:after="0"/>
              <w:ind w:right="510"/>
              <w:jc w:val="right"/>
            </w:pPr>
            <w:r>
              <w:t>1 072</w:t>
            </w:r>
          </w:p>
        </w:tc>
        <w:tc>
          <w:tcPr>
            <w:tcW w:w="1763" w:type="dxa"/>
          </w:tcPr>
          <w:p w:rsidR="00000000" w:rsidRDefault="00000000">
            <w:pPr>
              <w:pStyle w:val="BodyText"/>
              <w:spacing w:after="0"/>
              <w:ind w:right="510"/>
              <w:jc w:val="right"/>
            </w:pPr>
            <w:r>
              <w:t>117</w:t>
            </w:r>
          </w:p>
        </w:tc>
        <w:tc>
          <w:tcPr>
            <w:tcW w:w="1740" w:type="dxa"/>
          </w:tcPr>
          <w:p w:rsidR="00000000" w:rsidRDefault="00000000">
            <w:pPr>
              <w:pStyle w:val="BodyText"/>
              <w:spacing w:after="0"/>
              <w:ind w:right="510"/>
              <w:jc w:val="right"/>
            </w:pPr>
            <w:r>
              <w:t>87</w:t>
            </w:r>
          </w:p>
        </w:tc>
      </w:tr>
      <w:tr w:rsidR="00000000">
        <w:tblPrEx>
          <w:tblCellMar>
            <w:top w:w="0" w:type="dxa"/>
            <w:bottom w:w="0" w:type="dxa"/>
          </w:tblCellMar>
        </w:tblPrEx>
        <w:trPr>
          <w:jc w:val="center"/>
        </w:trPr>
        <w:tc>
          <w:tcPr>
            <w:tcW w:w="1728" w:type="dxa"/>
          </w:tcPr>
          <w:p w:rsidR="00000000" w:rsidRDefault="00000000">
            <w:pPr>
              <w:pStyle w:val="BodyText"/>
              <w:spacing w:after="0"/>
            </w:pPr>
            <w:r>
              <w:t>Февраль</w:t>
            </w:r>
          </w:p>
        </w:tc>
        <w:tc>
          <w:tcPr>
            <w:tcW w:w="1779" w:type="dxa"/>
          </w:tcPr>
          <w:p w:rsidR="00000000" w:rsidRDefault="00000000">
            <w:pPr>
              <w:pStyle w:val="BodyText"/>
              <w:spacing w:after="0"/>
              <w:ind w:right="510"/>
              <w:jc w:val="right"/>
            </w:pPr>
            <w:r>
              <w:t>1 018</w:t>
            </w:r>
          </w:p>
        </w:tc>
        <w:tc>
          <w:tcPr>
            <w:tcW w:w="1779" w:type="dxa"/>
          </w:tcPr>
          <w:p w:rsidR="00000000" w:rsidRDefault="00000000">
            <w:pPr>
              <w:pStyle w:val="BodyText"/>
              <w:spacing w:after="0"/>
              <w:ind w:right="510"/>
              <w:jc w:val="right"/>
            </w:pPr>
            <w:r>
              <w:t>986</w:t>
            </w:r>
          </w:p>
        </w:tc>
        <w:tc>
          <w:tcPr>
            <w:tcW w:w="1763" w:type="dxa"/>
          </w:tcPr>
          <w:p w:rsidR="00000000" w:rsidRDefault="00000000">
            <w:pPr>
              <w:pStyle w:val="BodyText"/>
              <w:spacing w:after="0"/>
              <w:ind w:right="510"/>
              <w:jc w:val="right"/>
            </w:pPr>
            <w:r>
              <w:t>96</w:t>
            </w:r>
          </w:p>
        </w:tc>
        <w:tc>
          <w:tcPr>
            <w:tcW w:w="1740" w:type="dxa"/>
          </w:tcPr>
          <w:p w:rsidR="00000000" w:rsidRDefault="00000000">
            <w:pPr>
              <w:pStyle w:val="BodyText"/>
              <w:spacing w:after="0"/>
              <w:ind w:right="510"/>
              <w:jc w:val="right"/>
            </w:pPr>
            <w:r>
              <w:t>64</w:t>
            </w:r>
          </w:p>
        </w:tc>
      </w:tr>
      <w:tr w:rsidR="00000000">
        <w:tblPrEx>
          <w:tblCellMar>
            <w:top w:w="0" w:type="dxa"/>
            <w:bottom w:w="0" w:type="dxa"/>
          </w:tblCellMar>
        </w:tblPrEx>
        <w:trPr>
          <w:jc w:val="center"/>
        </w:trPr>
        <w:tc>
          <w:tcPr>
            <w:tcW w:w="1728" w:type="dxa"/>
          </w:tcPr>
          <w:p w:rsidR="00000000" w:rsidRDefault="00000000">
            <w:pPr>
              <w:pStyle w:val="BodyText"/>
              <w:spacing w:after="0"/>
            </w:pPr>
            <w:r>
              <w:t>Март</w:t>
            </w:r>
          </w:p>
        </w:tc>
        <w:tc>
          <w:tcPr>
            <w:tcW w:w="1779" w:type="dxa"/>
          </w:tcPr>
          <w:p w:rsidR="00000000" w:rsidRDefault="00000000">
            <w:pPr>
              <w:pStyle w:val="BodyText"/>
              <w:spacing w:after="0"/>
              <w:ind w:right="510"/>
              <w:jc w:val="right"/>
            </w:pPr>
            <w:r>
              <w:t>1 099</w:t>
            </w:r>
          </w:p>
        </w:tc>
        <w:tc>
          <w:tcPr>
            <w:tcW w:w="1779" w:type="dxa"/>
          </w:tcPr>
          <w:p w:rsidR="00000000" w:rsidRDefault="00000000">
            <w:pPr>
              <w:pStyle w:val="BodyText"/>
              <w:spacing w:after="0"/>
              <w:ind w:right="510"/>
              <w:jc w:val="right"/>
            </w:pPr>
            <w:r>
              <w:t>1 010</w:t>
            </w:r>
          </w:p>
        </w:tc>
        <w:tc>
          <w:tcPr>
            <w:tcW w:w="1763" w:type="dxa"/>
          </w:tcPr>
          <w:p w:rsidR="00000000" w:rsidRDefault="00000000">
            <w:pPr>
              <w:pStyle w:val="BodyText"/>
              <w:spacing w:after="0"/>
              <w:ind w:right="510"/>
              <w:jc w:val="right"/>
            </w:pPr>
            <w:r>
              <w:t>108</w:t>
            </w:r>
          </w:p>
        </w:tc>
        <w:tc>
          <w:tcPr>
            <w:tcW w:w="1740" w:type="dxa"/>
          </w:tcPr>
          <w:p w:rsidR="00000000" w:rsidRDefault="00000000">
            <w:pPr>
              <w:pStyle w:val="BodyText"/>
              <w:spacing w:after="0"/>
              <w:ind w:right="510"/>
              <w:jc w:val="right"/>
            </w:pPr>
            <w:r>
              <w:t>82</w:t>
            </w:r>
          </w:p>
        </w:tc>
      </w:tr>
      <w:tr w:rsidR="00000000">
        <w:tblPrEx>
          <w:tblCellMar>
            <w:top w:w="0" w:type="dxa"/>
            <w:bottom w:w="0" w:type="dxa"/>
          </w:tblCellMar>
        </w:tblPrEx>
        <w:trPr>
          <w:jc w:val="center"/>
        </w:trPr>
        <w:tc>
          <w:tcPr>
            <w:tcW w:w="8789" w:type="dxa"/>
            <w:gridSpan w:val="5"/>
          </w:tcPr>
          <w:p w:rsidR="00000000" w:rsidRDefault="00000000">
            <w:pPr>
              <w:pStyle w:val="BodyText"/>
              <w:spacing w:after="0"/>
              <w:jc w:val="center"/>
            </w:pPr>
            <w:r>
              <w:t>Некувейтцы</w:t>
            </w:r>
          </w:p>
        </w:tc>
      </w:tr>
      <w:tr w:rsidR="00000000">
        <w:tblPrEx>
          <w:tblCellMar>
            <w:top w:w="0" w:type="dxa"/>
            <w:bottom w:w="0" w:type="dxa"/>
          </w:tblCellMar>
        </w:tblPrEx>
        <w:trPr>
          <w:jc w:val="center"/>
        </w:trPr>
        <w:tc>
          <w:tcPr>
            <w:tcW w:w="1728" w:type="dxa"/>
          </w:tcPr>
          <w:p w:rsidR="00000000" w:rsidRDefault="00000000">
            <w:pPr>
              <w:pStyle w:val="BodyText"/>
              <w:spacing w:after="0"/>
            </w:pPr>
            <w:r>
              <w:t>1996</w:t>
            </w:r>
          </w:p>
        </w:tc>
        <w:tc>
          <w:tcPr>
            <w:tcW w:w="1779" w:type="dxa"/>
          </w:tcPr>
          <w:p w:rsidR="00000000" w:rsidRDefault="00000000">
            <w:pPr>
              <w:pStyle w:val="BodyText"/>
              <w:spacing w:after="0"/>
              <w:ind w:right="510"/>
              <w:jc w:val="right"/>
            </w:pPr>
            <w:r>
              <w:t>9 263</w:t>
            </w:r>
          </w:p>
        </w:tc>
        <w:tc>
          <w:tcPr>
            <w:tcW w:w="1779" w:type="dxa"/>
          </w:tcPr>
          <w:p w:rsidR="00000000" w:rsidRDefault="00000000">
            <w:pPr>
              <w:pStyle w:val="BodyText"/>
              <w:spacing w:after="0"/>
              <w:ind w:right="510"/>
              <w:jc w:val="right"/>
            </w:pPr>
            <w:r>
              <w:t>8 909</w:t>
            </w:r>
          </w:p>
        </w:tc>
        <w:tc>
          <w:tcPr>
            <w:tcW w:w="1763" w:type="dxa"/>
          </w:tcPr>
          <w:p w:rsidR="00000000" w:rsidRDefault="00000000">
            <w:pPr>
              <w:pStyle w:val="BodyText"/>
              <w:spacing w:after="0"/>
              <w:ind w:right="510"/>
              <w:jc w:val="right"/>
            </w:pPr>
            <w:r>
              <w:t>1 150</w:t>
            </w:r>
          </w:p>
        </w:tc>
        <w:tc>
          <w:tcPr>
            <w:tcW w:w="1740" w:type="dxa"/>
          </w:tcPr>
          <w:p w:rsidR="00000000" w:rsidRDefault="00000000">
            <w:pPr>
              <w:pStyle w:val="BodyText"/>
              <w:spacing w:after="0"/>
              <w:ind w:right="510"/>
              <w:jc w:val="right"/>
            </w:pPr>
            <w:r>
              <w:t>556</w:t>
            </w:r>
          </w:p>
        </w:tc>
      </w:tr>
      <w:tr w:rsidR="00000000">
        <w:tblPrEx>
          <w:tblCellMar>
            <w:top w:w="0" w:type="dxa"/>
            <w:bottom w:w="0" w:type="dxa"/>
          </w:tblCellMar>
        </w:tblPrEx>
        <w:trPr>
          <w:jc w:val="center"/>
        </w:trPr>
        <w:tc>
          <w:tcPr>
            <w:tcW w:w="1728" w:type="dxa"/>
          </w:tcPr>
          <w:p w:rsidR="00000000" w:rsidRDefault="00000000">
            <w:pPr>
              <w:pStyle w:val="BodyText"/>
              <w:spacing w:after="0"/>
            </w:pPr>
            <w:r>
              <w:t>1997</w:t>
            </w:r>
          </w:p>
        </w:tc>
        <w:tc>
          <w:tcPr>
            <w:tcW w:w="1779" w:type="dxa"/>
          </w:tcPr>
          <w:p w:rsidR="00000000" w:rsidRDefault="00000000">
            <w:pPr>
              <w:pStyle w:val="BodyText"/>
              <w:spacing w:after="0"/>
              <w:ind w:right="510"/>
              <w:jc w:val="right"/>
            </w:pPr>
            <w:r>
              <w:t>8 545</w:t>
            </w:r>
          </w:p>
        </w:tc>
        <w:tc>
          <w:tcPr>
            <w:tcW w:w="1779" w:type="dxa"/>
          </w:tcPr>
          <w:p w:rsidR="00000000" w:rsidRDefault="00000000">
            <w:pPr>
              <w:pStyle w:val="BodyText"/>
              <w:spacing w:after="0"/>
              <w:ind w:right="510"/>
              <w:jc w:val="right"/>
            </w:pPr>
            <w:r>
              <w:t>8 069</w:t>
            </w:r>
          </w:p>
        </w:tc>
        <w:tc>
          <w:tcPr>
            <w:tcW w:w="1763" w:type="dxa"/>
          </w:tcPr>
          <w:p w:rsidR="00000000" w:rsidRDefault="00000000">
            <w:pPr>
              <w:pStyle w:val="BodyText"/>
              <w:spacing w:after="0"/>
              <w:ind w:right="510"/>
              <w:jc w:val="right"/>
            </w:pPr>
            <w:r>
              <w:t>1 206</w:t>
            </w:r>
          </w:p>
        </w:tc>
        <w:tc>
          <w:tcPr>
            <w:tcW w:w="1740" w:type="dxa"/>
          </w:tcPr>
          <w:p w:rsidR="00000000" w:rsidRDefault="00000000">
            <w:pPr>
              <w:pStyle w:val="BodyText"/>
              <w:spacing w:after="0"/>
              <w:ind w:right="510"/>
              <w:jc w:val="right"/>
            </w:pPr>
            <w:r>
              <w:t>532</w:t>
            </w:r>
          </w:p>
        </w:tc>
      </w:tr>
      <w:tr w:rsidR="00000000">
        <w:tblPrEx>
          <w:tblCellMar>
            <w:top w:w="0" w:type="dxa"/>
            <w:bottom w:w="0" w:type="dxa"/>
          </w:tblCellMar>
        </w:tblPrEx>
        <w:trPr>
          <w:jc w:val="center"/>
        </w:trPr>
        <w:tc>
          <w:tcPr>
            <w:tcW w:w="1728" w:type="dxa"/>
          </w:tcPr>
          <w:p w:rsidR="00000000" w:rsidRDefault="00000000">
            <w:pPr>
              <w:pStyle w:val="BodyText"/>
              <w:spacing w:after="0"/>
            </w:pPr>
            <w:r>
              <w:t>1998</w:t>
            </w:r>
          </w:p>
        </w:tc>
        <w:tc>
          <w:tcPr>
            <w:tcW w:w="1779" w:type="dxa"/>
          </w:tcPr>
          <w:p w:rsidR="00000000" w:rsidRDefault="00000000">
            <w:pPr>
              <w:pStyle w:val="BodyText"/>
              <w:spacing w:after="0"/>
              <w:ind w:right="510"/>
              <w:jc w:val="right"/>
            </w:pPr>
            <w:r>
              <w:t>7 800</w:t>
            </w:r>
          </w:p>
        </w:tc>
        <w:tc>
          <w:tcPr>
            <w:tcW w:w="1779" w:type="dxa"/>
          </w:tcPr>
          <w:p w:rsidR="00000000" w:rsidRDefault="00000000">
            <w:pPr>
              <w:pStyle w:val="BodyText"/>
              <w:spacing w:after="0"/>
              <w:ind w:right="510"/>
              <w:jc w:val="right"/>
            </w:pPr>
            <w:r>
              <w:t>7 785</w:t>
            </w:r>
          </w:p>
        </w:tc>
        <w:tc>
          <w:tcPr>
            <w:tcW w:w="1763" w:type="dxa"/>
          </w:tcPr>
          <w:p w:rsidR="00000000" w:rsidRDefault="00000000">
            <w:pPr>
              <w:pStyle w:val="BodyText"/>
              <w:spacing w:after="0"/>
              <w:ind w:right="510"/>
              <w:jc w:val="right"/>
            </w:pPr>
            <w:r>
              <w:t>1 247</w:t>
            </w:r>
          </w:p>
        </w:tc>
        <w:tc>
          <w:tcPr>
            <w:tcW w:w="1740" w:type="dxa"/>
          </w:tcPr>
          <w:p w:rsidR="00000000" w:rsidRDefault="00000000">
            <w:pPr>
              <w:pStyle w:val="BodyText"/>
              <w:spacing w:after="0"/>
              <w:ind w:right="510"/>
              <w:jc w:val="right"/>
            </w:pPr>
            <w:r>
              <w:t>591</w:t>
            </w:r>
          </w:p>
        </w:tc>
      </w:tr>
      <w:tr w:rsidR="00000000">
        <w:tblPrEx>
          <w:tblCellMar>
            <w:top w:w="0" w:type="dxa"/>
            <w:bottom w:w="0" w:type="dxa"/>
          </w:tblCellMar>
        </w:tblPrEx>
        <w:trPr>
          <w:jc w:val="center"/>
        </w:trPr>
        <w:tc>
          <w:tcPr>
            <w:tcW w:w="8789" w:type="dxa"/>
            <w:gridSpan w:val="5"/>
          </w:tcPr>
          <w:p w:rsidR="00000000" w:rsidRDefault="00000000">
            <w:pPr>
              <w:pStyle w:val="BodyText"/>
              <w:spacing w:before="60" w:after="60"/>
              <w:jc w:val="center"/>
            </w:pPr>
            <w:r>
              <w:t>1999 год (предварительные данные)</w:t>
            </w:r>
          </w:p>
        </w:tc>
      </w:tr>
      <w:tr w:rsidR="00000000">
        <w:tblPrEx>
          <w:tblCellMar>
            <w:top w:w="0" w:type="dxa"/>
            <w:bottom w:w="0" w:type="dxa"/>
          </w:tblCellMar>
        </w:tblPrEx>
        <w:trPr>
          <w:jc w:val="center"/>
        </w:trPr>
        <w:tc>
          <w:tcPr>
            <w:tcW w:w="1728" w:type="dxa"/>
          </w:tcPr>
          <w:p w:rsidR="00000000" w:rsidRDefault="00000000">
            <w:pPr>
              <w:pStyle w:val="BodyText"/>
              <w:spacing w:after="0"/>
            </w:pPr>
            <w:r>
              <w:t>Январь</w:t>
            </w:r>
          </w:p>
        </w:tc>
        <w:tc>
          <w:tcPr>
            <w:tcW w:w="1779" w:type="dxa"/>
          </w:tcPr>
          <w:p w:rsidR="00000000" w:rsidRDefault="00000000">
            <w:pPr>
              <w:pStyle w:val="BodyText"/>
              <w:spacing w:after="0"/>
              <w:ind w:right="510"/>
              <w:jc w:val="right"/>
            </w:pPr>
            <w:r>
              <w:t>664</w:t>
            </w:r>
          </w:p>
        </w:tc>
        <w:tc>
          <w:tcPr>
            <w:tcW w:w="1779" w:type="dxa"/>
          </w:tcPr>
          <w:p w:rsidR="00000000" w:rsidRDefault="00000000">
            <w:pPr>
              <w:pStyle w:val="BodyText"/>
              <w:spacing w:after="0"/>
              <w:ind w:right="510"/>
              <w:jc w:val="right"/>
            </w:pPr>
            <w:r>
              <w:t>660</w:t>
            </w:r>
          </w:p>
        </w:tc>
        <w:tc>
          <w:tcPr>
            <w:tcW w:w="1763" w:type="dxa"/>
          </w:tcPr>
          <w:p w:rsidR="00000000" w:rsidRDefault="00000000">
            <w:pPr>
              <w:pStyle w:val="BodyText"/>
              <w:spacing w:after="0"/>
              <w:ind w:right="510"/>
              <w:jc w:val="right"/>
            </w:pPr>
            <w:r>
              <w:t>100</w:t>
            </w:r>
          </w:p>
        </w:tc>
        <w:tc>
          <w:tcPr>
            <w:tcW w:w="1740" w:type="dxa"/>
          </w:tcPr>
          <w:p w:rsidR="00000000" w:rsidRDefault="00000000">
            <w:pPr>
              <w:pStyle w:val="BodyText"/>
              <w:spacing w:after="0"/>
              <w:ind w:right="510"/>
              <w:jc w:val="right"/>
            </w:pPr>
            <w:r>
              <w:t>36</w:t>
            </w:r>
          </w:p>
        </w:tc>
      </w:tr>
      <w:tr w:rsidR="00000000">
        <w:tblPrEx>
          <w:tblCellMar>
            <w:top w:w="0" w:type="dxa"/>
            <w:bottom w:w="0" w:type="dxa"/>
          </w:tblCellMar>
        </w:tblPrEx>
        <w:trPr>
          <w:jc w:val="center"/>
        </w:trPr>
        <w:tc>
          <w:tcPr>
            <w:tcW w:w="1728" w:type="dxa"/>
          </w:tcPr>
          <w:p w:rsidR="00000000" w:rsidRDefault="00000000">
            <w:pPr>
              <w:pStyle w:val="BodyText"/>
              <w:spacing w:after="0"/>
            </w:pPr>
            <w:r>
              <w:t>Февраль</w:t>
            </w:r>
          </w:p>
        </w:tc>
        <w:tc>
          <w:tcPr>
            <w:tcW w:w="1779" w:type="dxa"/>
          </w:tcPr>
          <w:p w:rsidR="00000000" w:rsidRDefault="00000000">
            <w:pPr>
              <w:pStyle w:val="BodyText"/>
              <w:spacing w:after="0"/>
              <w:ind w:right="510"/>
              <w:jc w:val="right"/>
            </w:pPr>
            <w:r>
              <w:t>603</w:t>
            </w:r>
          </w:p>
        </w:tc>
        <w:tc>
          <w:tcPr>
            <w:tcW w:w="1779" w:type="dxa"/>
          </w:tcPr>
          <w:p w:rsidR="00000000" w:rsidRDefault="00000000">
            <w:pPr>
              <w:pStyle w:val="BodyText"/>
              <w:spacing w:after="0"/>
              <w:ind w:right="510"/>
              <w:jc w:val="right"/>
            </w:pPr>
            <w:r>
              <w:t>616</w:t>
            </w:r>
          </w:p>
        </w:tc>
        <w:tc>
          <w:tcPr>
            <w:tcW w:w="1763" w:type="dxa"/>
          </w:tcPr>
          <w:p w:rsidR="00000000" w:rsidRDefault="00000000">
            <w:pPr>
              <w:pStyle w:val="BodyText"/>
              <w:spacing w:after="0"/>
              <w:ind w:right="510"/>
              <w:jc w:val="right"/>
            </w:pPr>
            <w:r>
              <w:t>81</w:t>
            </w:r>
          </w:p>
        </w:tc>
        <w:tc>
          <w:tcPr>
            <w:tcW w:w="1740" w:type="dxa"/>
          </w:tcPr>
          <w:p w:rsidR="00000000" w:rsidRDefault="00000000">
            <w:pPr>
              <w:pStyle w:val="BodyText"/>
              <w:spacing w:after="0"/>
              <w:ind w:right="510"/>
              <w:jc w:val="right"/>
            </w:pPr>
            <w:r>
              <w:t>66</w:t>
            </w:r>
          </w:p>
        </w:tc>
      </w:tr>
      <w:tr w:rsidR="00000000">
        <w:tblPrEx>
          <w:tblCellMar>
            <w:top w:w="0" w:type="dxa"/>
            <w:bottom w:w="0" w:type="dxa"/>
          </w:tblCellMar>
        </w:tblPrEx>
        <w:trPr>
          <w:jc w:val="center"/>
        </w:trPr>
        <w:tc>
          <w:tcPr>
            <w:tcW w:w="1728" w:type="dxa"/>
          </w:tcPr>
          <w:p w:rsidR="00000000" w:rsidRDefault="00000000">
            <w:pPr>
              <w:pStyle w:val="BodyText"/>
              <w:spacing w:after="0"/>
            </w:pPr>
            <w:r>
              <w:t>Март</w:t>
            </w:r>
          </w:p>
        </w:tc>
        <w:tc>
          <w:tcPr>
            <w:tcW w:w="1779" w:type="dxa"/>
          </w:tcPr>
          <w:p w:rsidR="00000000" w:rsidRDefault="00000000">
            <w:pPr>
              <w:pStyle w:val="BodyText"/>
              <w:spacing w:after="0"/>
              <w:ind w:right="510"/>
              <w:jc w:val="right"/>
            </w:pPr>
            <w:r>
              <w:t>607</w:t>
            </w:r>
          </w:p>
        </w:tc>
        <w:tc>
          <w:tcPr>
            <w:tcW w:w="1779" w:type="dxa"/>
          </w:tcPr>
          <w:p w:rsidR="00000000" w:rsidRDefault="00000000">
            <w:pPr>
              <w:pStyle w:val="BodyText"/>
              <w:spacing w:after="0"/>
              <w:ind w:right="510"/>
              <w:jc w:val="right"/>
            </w:pPr>
            <w:r>
              <w:t>599</w:t>
            </w:r>
          </w:p>
        </w:tc>
        <w:tc>
          <w:tcPr>
            <w:tcW w:w="1763" w:type="dxa"/>
          </w:tcPr>
          <w:p w:rsidR="00000000" w:rsidRDefault="00000000">
            <w:pPr>
              <w:pStyle w:val="BodyText"/>
              <w:spacing w:after="0"/>
              <w:ind w:right="510"/>
              <w:jc w:val="right"/>
            </w:pPr>
            <w:r>
              <w:t>98</w:t>
            </w:r>
          </w:p>
        </w:tc>
        <w:tc>
          <w:tcPr>
            <w:tcW w:w="1740" w:type="dxa"/>
          </w:tcPr>
          <w:p w:rsidR="00000000" w:rsidRDefault="00000000">
            <w:pPr>
              <w:pStyle w:val="BodyText"/>
              <w:spacing w:after="0"/>
              <w:ind w:right="510"/>
              <w:jc w:val="right"/>
            </w:pPr>
            <w:r>
              <w:t>47</w:t>
            </w:r>
          </w:p>
        </w:tc>
      </w:tr>
    </w:tbl>
    <w:p w:rsidR="00000000" w:rsidRDefault="00000000">
      <w:pPr>
        <w:pStyle w:val="BodyText"/>
        <w:spacing w:before="240"/>
      </w:pPr>
      <w:r>
        <w:t>Людские ресурсы и рабочая сила с разбивкой по положению в занятости, полу и гражданству, по состоянию на 31 декабря 1998 года и на 1999 год</w:t>
      </w:r>
    </w:p>
    <w:tbl>
      <w:tblPr>
        <w:tblW w:w="0" w:type="auto"/>
        <w:jc w:val="center"/>
        <w:tblLayout w:type="fixed"/>
        <w:tblCellMar>
          <w:left w:w="57" w:type="dxa"/>
          <w:right w:w="57" w:type="dxa"/>
        </w:tblCellMar>
        <w:tblLook w:val="01E0" w:firstRow="1" w:lastRow="1" w:firstColumn="1" w:lastColumn="1" w:noHBand="0" w:noVBand="0"/>
      </w:tblPr>
      <w:tblGrid>
        <w:gridCol w:w="1856"/>
        <w:gridCol w:w="670"/>
        <w:gridCol w:w="1586"/>
        <w:gridCol w:w="1586"/>
        <w:gridCol w:w="1505"/>
        <w:gridCol w:w="1586"/>
      </w:tblGrid>
      <w:tr w:rsidR="00000000">
        <w:tblPrEx>
          <w:tblCellMar>
            <w:top w:w="0" w:type="dxa"/>
            <w:bottom w:w="0" w:type="dxa"/>
          </w:tblCellMar>
        </w:tblPrEx>
        <w:trPr>
          <w:cantSplit/>
          <w:jc w:val="center"/>
        </w:trPr>
        <w:tc>
          <w:tcPr>
            <w:tcW w:w="1856" w:type="dxa"/>
            <w:vMerge w:val="restart"/>
          </w:tcPr>
          <w:p w:rsidR="00000000" w:rsidRDefault="00000000">
            <w:pPr>
              <w:pStyle w:val="-9"/>
            </w:pPr>
            <w:r>
              <w:t>Положение в занятости</w:t>
            </w:r>
          </w:p>
        </w:tc>
        <w:tc>
          <w:tcPr>
            <w:tcW w:w="670" w:type="dxa"/>
            <w:vMerge w:val="restart"/>
          </w:tcPr>
          <w:p w:rsidR="00000000" w:rsidRDefault="00000000">
            <w:pPr>
              <w:pStyle w:val="-9"/>
            </w:pPr>
            <w:r>
              <w:rPr>
                <w:lang w:val="en-US"/>
              </w:rPr>
              <w:br/>
            </w:r>
            <w:r>
              <w:t>Пол</w:t>
            </w:r>
          </w:p>
        </w:tc>
        <w:tc>
          <w:tcPr>
            <w:tcW w:w="3172" w:type="dxa"/>
            <w:gridSpan w:val="2"/>
          </w:tcPr>
          <w:p w:rsidR="00000000" w:rsidRDefault="00000000">
            <w:pPr>
              <w:pStyle w:val="-9"/>
            </w:pPr>
            <w:r>
              <w:t>1998 год</w:t>
            </w:r>
          </w:p>
        </w:tc>
        <w:tc>
          <w:tcPr>
            <w:tcW w:w="3091" w:type="dxa"/>
            <w:gridSpan w:val="2"/>
          </w:tcPr>
          <w:p w:rsidR="00000000" w:rsidRDefault="00000000">
            <w:pPr>
              <w:pStyle w:val="-9"/>
            </w:pPr>
            <w:r>
              <w:t>1999 год</w:t>
            </w:r>
          </w:p>
        </w:tc>
      </w:tr>
      <w:tr w:rsidR="00000000">
        <w:tblPrEx>
          <w:tblCellMar>
            <w:top w:w="0" w:type="dxa"/>
            <w:bottom w:w="0" w:type="dxa"/>
          </w:tblCellMar>
        </w:tblPrEx>
        <w:trPr>
          <w:cantSplit/>
          <w:jc w:val="center"/>
        </w:trPr>
        <w:tc>
          <w:tcPr>
            <w:tcW w:w="1856" w:type="dxa"/>
            <w:vMerge/>
          </w:tcPr>
          <w:p w:rsidR="00000000" w:rsidRDefault="00000000">
            <w:pPr>
              <w:pStyle w:val="-9"/>
            </w:pPr>
          </w:p>
        </w:tc>
        <w:tc>
          <w:tcPr>
            <w:tcW w:w="670" w:type="dxa"/>
            <w:vMerge/>
          </w:tcPr>
          <w:p w:rsidR="00000000" w:rsidRDefault="00000000">
            <w:pPr>
              <w:pStyle w:val="-9"/>
            </w:pPr>
          </w:p>
        </w:tc>
        <w:tc>
          <w:tcPr>
            <w:tcW w:w="1586" w:type="dxa"/>
          </w:tcPr>
          <w:p w:rsidR="00000000" w:rsidRDefault="00000000">
            <w:pPr>
              <w:pStyle w:val="-9"/>
            </w:pPr>
            <w:r>
              <w:t>Кувейтцы</w:t>
            </w:r>
          </w:p>
        </w:tc>
        <w:tc>
          <w:tcPr>
            <w:tcW w:w="1586" w:type="dxa"/>
          </w:tcPr>
          <w:p w:rsidR="00000000" w:rsidRDefault="00000000">
            <w:pPr>
              <w:pStyle w:val="-9"/>
            </w:pPr>
            <w:r>
              <w:t>Некувейтцы</w:t>
            </w:r>
          </w:p>
        </w:tc>
        <w:tc>
          <w:tcPr>
            <w:tcW w:w="1505" w:type="dxa"/>
          </w:tcPr>
          <w:p w:rsidR="00000000" w:rsidRDefault="00000000">
            <w:pPr>
              <w:pStyle w:val="-9"/>
            </w:pPr>
            <w:r>
              <w:t>Кувейтцы</w:t>
            </w:r>
          </w:p>
        </w:tc>
        <w:tc>
          <w:tcPr>
            <w:tcW w:w="1586" w:type="dxa"/>
          </w:tcPr>
          <w:p w:rsidR="00000000" w:rsidRDefault="00000000">
            <w:pPr>
              <w:pStyle w:val="-9"/>
            </w:pPr>
            <w:r>
              <w:t>Некувейтцы</w:t>
            </w:r>
          </w:p>
        </w:tc>
      </w:tr>
      <w:tr w:rsidR="00000000">
        <w:tblPrEx>
          <w:tblCellMar>
            <w:top w:w="0" w:type="dxa"/>
            <w:bottom w:w="0" w:type="dxa"/>
          </w:tblCellMar>
        </w:tblPrEx>
        <w:trPr>
          <w:cantSplit/>
          <w:jc w:val="center"/>
        </w:trPr>
        <w:tc>
          <w:tcPr>
            <w:tcW w:w="1856" w:type="dxa"/>
            <w:vMerge w:val="restart"/>
          </w:tcPr>
          <w:p w:rsidR="00000000" w:rsidRDefault="00000000">
            <w:pPr>
              <w:pStyle w:val="BodyText"/>
              <w:spacing w:after="0"/>
              <w:jc w:val="left"/>
            </w:pPr>
            <w:r>
              <w:t>Работающие</w:t>
            </w:r>
          </w:p>
        </w:tc>
        <w:tc>
          <w:tcPr>
            <w:tcW w:w="670" w:type="dxa"/>
          </w:tcPr>
          <w:p w:rsidR="00000000" w:rsidRDefault="00000000">
            <w:pPr>
              <w:pStyle w:val="BodyText"/>
              <w:spacing w:after="0"/>
              <w:jc w:val="center"/>
            </w:pPr>
            <w:r>
              <w:t>М</w:t>
            </w:r>
          </w:p>
        </w:tc>
        <w:tc>
          <w:tcPr>
            <w:tcW w:w="1586" w:type="dxa"/>
          </w:tcPr>
          <w:p w:rsidR="00000000" w:rsidRDefault="00000000">
            <w:pPr>
              <w:pStyle w:val="BodyText"/>
              <w:spacing w:after="0"/>
              <w:ind w:right="397"/>
              <w:jc w:val="right"/>
            </w:pPr>
            <w:r>
              <w:t>136 815</w:t>
            </w:r>
          </w:p>
        </w:tc>
        <w:tc>
          <w:tcPr>
            <w:tcW w:w="1586" w:type="dxa"/>
          </w:tcPr>
          <w:p w:rsidR="00000000" w:rsidRDefault="00000000">
            <w:pPr>
              <w:pStyle w:val="BodyText"/>
              <w:spacing w:after="0"/>
              <w:ind w:right="397"/>
              <w:jc w:val="right"/>
            </w:pPr>
            <w:r>
              <w:t>817 491</w:t>
            </w:r>
          </w:p>
        </w:tc>
        <w:tc>
          <w:tcPr>
            <w:tcW w:w="1505" w:type="dxa"/>
          </w:tcPr>
          <w:p w:rsidR="00000000" w:rsidRDefault="00000000">
            <w:pPr>
              <w:pStyle w:val="BodyText"/>
              <w:spacing w:after="0"/>
              <w:ind w:right="397"/>
              <w:jc w:val="right"/>
            </w:pPr>
            <w:r>
              <w:t>143 434</w:t>
            </w:r>
          </w:p>
        </w:tc>
        <w:tc>
          <w:tcPr>
            <w:tcW w:w="1586" w:type="dxa"/>
          </w:tcPr>
          <w:p w:rsidR="00000000" w:rsidRDefault="00000000">
            <w:pPr>
              <w:pStyle w:val="BodyText"/>
              <w:spacing w:after="0"/>
              <w:ind w:right="397"/>
              <w:jc w:val="right"/>
            </w:pPr>
            <w:r>
              <w:t>787 175</w:t>
            </w:r>
          </w:p>
        </w:tc>
      </w:tr>
      <w:tr w:rsidR="00000000">
        <w:tblPrEx>
          <w:tblCellMar>
            <w:top w:w="0" w:type="dxa"/>
            <w:bottom w:w="0" w:type="dxa"/>
          </w:tblCellMar>
        </w:tblPrEx>
        <w:trPr>
          <w:cantSplit/>
          <w:jc w:val="center"/>
        </w:trPr>
        <w:tc>
          <w:tcPr>
            <w:tcW w:w="1856" w:type="dxa"/>
            <w:vMerge/>
          </w:tcPr>
          <w:p w:rsidR="00000000" w:rsidRDefault="00000000">
            <w:pPr>
              <w:pStyle w:val="BodyText"/>
              <w:spacing w:after="0"/>
              <w:jc w:val="left"/>
            </w:pPr>
          </w:p>
        </w:tc>
        <w:tc>
          <w:tcPr>
            <w:tcW w:w="670" w:type="dxa"/>
          </w:tcPr>
          <w:p w:rsidR="00000000" w:rsidRDefault="00000000">
            <w:pPr>
              <w:pStyle w:val="BodyText"/>
              <w:spacing w:after="0"/>
              <w:jc w:val="center"/>
            </w:pPr>
            <w:r>
              <w:t>Ж</w:t>
            </w:r>
          </w:p>
        </w:tc>
        <w:tc>
          <w:tcPr>
            <w:tcW w:w="1586" w:type="dxa"/>
          </w:tcPr>
          <w:p w:rsidR="00000000" w:rsidRDefault="00000000">
            <w:pPr>
              <w:pStyle w:val="BodyText"/>
              <w:spacing w:after="0"/>
              <w:ind w:right="397"/>
              <w:jc w:val="right"/>
            </w:pPr>
            <w:r>
              <w:t>72 571</w:t>
            </w:r>
          </w:p>
        </w:tc>
        <w:tc>
          <w:tcPr>
            <w:tcW w:w="1586" w:type="dxa"/>
          </w:tcPr>
          <w:p w:rsidR="00000000" w:rsidRDefault="00000000">
            <w:pPr>
              <w:pStyle w:val="BodyText"/>
              <w:spacing w:after="0"/>
              <w:ind w:right="397"/>
              <w:jc w:val="right"/>
            </w:pPr>
            <w:r>
              <w:t>216 246</w:t>
            </w:r>
          </w:p>
        </w:tc>
        <w:tc>
          <w:tcPr>
            <w:tcW w:w="1505" w:type="dxa"/>
          </w:tcPr>
          <w:p w:rsidR="00000000" w:rsidRDefault="00000000">
            <w:pPr>
              <w:pStyle w:val="BodyText"/>
              <w:spacing w:after="0"/>
              <w:ind w:right="397"/>
              <w:jc w:val="right"/>
            </w:pPr>
            <w:r>
              <w:t>57 701</w:t>
            </w:r>
          </w:p>
        </w:tc>
        <w:tc>
          <w:tcPr>
            <w:tcW w:w="1586" w:type="dxa"/>
          </w:tcPr>
          <w:p w:rsidR="00000000" w:rsidRDefault="00000000">
            <w:pPr>
              <w:pStyle w:val="BodyText"/>
              <w:spacing w:after="0"/>
              <w:ind w:right="397"/>
              <w:jc w:val="right"/>
            </w:pPr>
            <w:r>
              <w:t>210 164</w:t>
            </w:r>
          </w:p>
        </w:tc>
      </w:tr>
      <w:tr w:rsidR="00000000">
        <w:tblPrEx>
          <w:tblCellMar>
            <w:top w:w="0" w:type="dxa"/>
            <w:bottom w:w="0" w:type="dxa"/>
          </w:tblCellMar>
        </w:tblPrEx>
        <w:trPr>
          <w:cantSplit/>
          <w:jc w:val="center"/>
        </w:trPr>
        <w:tc>
          <w:tcPr>
            <w:tcW w:w="1856" w:type="dxa"/>
            <w:vMerge w:val="restart"/>
          </w:tcPr>
          <w:p w:rsidR="00000000" w:rsidRDefault="00000000">
            <w:pPr>
              <w:pStyle w:val="BodyText"/>
              <w:spacing w:after="0"/>
              <w:jc w:val="left"/>
            </w:pPr>
            <w:r>
              <w:t>Безработные</w:t>
            </w:r>
          </w:p>
        </w:tc>
        <w:tc>
          <w:tcPr>
            <w:tcW w:w="670" w:type="dxa"/>
          </w:tcPr>
          <w:p w:rsidR="00000000" w:rsidRDefault="00000000">
            <w:pPr>
              <w:pStyle w:val="BodyText"/>
              <w:spacing w:after="0"/>
              <w:jc w:val="center"/>
            </w:pPr>
            <w:r>
              <w:t>М</w:t>
            </w:r>
          </w:p>
        </w:tc>
        <w:tc>
          <w:tcPr>
            <w:tcW w:w="1586" w:type="dxa"/>
          </w:tcPr>
          <w:p w:rsidR="00000000" w:rsidRDefault="00000000">
            <w:pPr>
              <w:pStyle w:val="BodyText"/>
              <w:spacing w:after="0"/>
              <w:ind w:right="397"/>
              <w:jc w:val="right"/>
            </w:pPr>
            <w:r>
              <w:t>1 708</w:t>
            </w:r>
          </w:p>
        </w:tc>
        <w:tc>
          <w:tcPr>
            <w:tcW w:w="1586" w:type="dxa"/>
          </w:tcPr>
          <w:p w:rsidR="00000000" w:rsidRDefault="00000000">
            <w:pPr>
              <w:pStyle w:val="BodyText"/>
              <w:spacing w:after="0"/>
              <w:ind w:right="397"/>
              <w:jc w:val="right"/>
            </w:pPr>
            <w:r>
              <w:t>5 562</w:t>
            </w:r>
          </w:p>
        </w:tc>
        <w:tc>
          <w:tcPr>
            <w:tcW w:w="1505" w:type="dxa"/>
          </w:tcPr>
          <w:p w:rsidR="00000000" w:rsidRDefault="00000000">
            <w:pPr>
              <w:pStyle w:val="BodyText"/>
              <w:spacing w:after="0"/>
              <w:ind w:right="397"/>
              <w:jc w:val="right"/>
            </w:pPr>
            <w:r>
              <w:t>1 707</w:t>
            </w:r>
          </w:p>
        </w:tc>
        <w:tc>
          <w:tcPr>
            <w:tcW w:w="1586" w:type="dxa"/>
          </w:tcPr>
          <w:p w:rsidR="00000000" w:rsidRDefault="00000000">
            <w:pPr>
              <w:pStyle w:val="BodyText"/>
              <w:spacing w:after="0"/>
              <w:ind w:right="397"/>
              <w:jc w:val="right"/>
            </w:pPr>
            <w:r>
              <w:t>6 035</w:t>
            </w:r>
          </w:p>
        </w:tc>
      </w:tr>
      <w:tr w:rsidR="00000000">
        <w:tblPrEx>
          <w:tblCellMar>
            <w:top w:w="0" w:type="dxa"/>
            <w:bottom w:w="0" w:type="dxa"/>
          </w:tblCellMar>
        </w:tblPrEx>
        <w:trPr>
          <w:cantSplit/>
          <w:jc w:val="center"/>
        </w:trPr>
        <w:tc>
          <w:tcPr>
            <w:tcW w:w="1856" w:type="dxa"/>
            <w:vMerge/>
          </w:tcPr>
          <w:p w:rsidR="00000000" w:rsidRDefault="00000000">
            <w:pPr>
              <w:pStyle w:val="BodyText"/>
              <w:spacing w:after="0"/>
              <w:jc w:val="left"/>
            </w:pPr>
          </w:p>
        </w:tc>
        <w:tc>
          <w:tcPr>
            <w:tcW w:w="670" w:type="dxa"/>
          </w:tcPr>
          <w:p w:rsidR="00000000" w:rsidRDefault="00000000">
            <w:pPr>
              <w:pStyle w:val="BodyText"/>
              <w:spacing w:after="0"/>
              <w:jc w:val="center"/>
            </w:pPr>
            <w:r>
              <w:t>Ж</w:t>
            </w:r>
          </w:p>
        </w:tc>
        <w:tc>
          <w:tcPr>
            <w:tcW w:w="1586" w:type="dxa"/>
          </w:tcPr>
          <w:p w:rsidR="00000000" w:rsidRDefault="00000000">
            <w:pPr>
              <w:pStyle w:val="BodyText"/>
              <w:spacing w:after="0"/>
              <w:ind w:right="397"/>
              <w:jc w:val="right"/>
            </w:pPr>
            <w:r>
              <w:t>465</w:t>
            </w:r>
          </w:p>
        </w:tc>
        <w:tc>
          <w:tcPr>
            <w:tcW w:w="1586" w:type="dxa"/>
          </w:tcPr>
          <w:p w:rsidR="00000000" w:rsidRDefault="00000000">
            <w:pPr>
              <w:pStyle w:val="BodyText"/>
              <w:spacing w:after="0"/>
              <w:ind w:right="397"/>
              <w:jc w:val="right"/>
            </w:pPr>
            <w:r>
              <w:t>1 135</w:t>
            </w:r>
          </w:p>
        </w:tc>
        <w:tc>
          <w:tcPr>
            <w:tcW w:w="1505" w:type="dxa"/>
          </w:tcPr>
          <w:p w:rsidR="00000000" w:rsidRDefault="00000000">
            <w:pPr>
              <w:pStyle w:val="BodyText"/>
              <w:spacing w:after="0"/>
              <w:ind w:right="397"/>
              <w:jc w:val="right"/>
            </w:pPr>
            <w:r>
              <w:t>545</w:t>
            </w:r>
          </w:p>
        </w:tc>
        <w:tc>
          <w:tcPr>
            <w:tcW w:w="1586" w:type="dxa"/>
          </w:tcPr>
          <w:p w:rsidR="00000000" w:rsidRDefault="00000000">
            <w:pPr>
              <w:pStyle w:val="BodyText"/>
              <w:spacing w:after="0"/>
              <w:ind w:right="397"/>
              <w:jc w:val="right"/>
            </w:pPr>
            <w:r>
              <w:t>1 374</w:t>
            </w:r>
          </w:p>
        </w:tc>
      </w:tr>
      <w:tr w:rsidR="00000000">
        <w:tblPrEx>
          <w:tblCellMar>
            <w:top w:w="0" w:type="dxa"/>
            <w:bottom w:w="0" w:type="dxa"/>
          </w:tblCellMar>
        </w:tblPrEx>
        <w:trPr>
          <w:cantSplit/>
          <w:jc w:val="center"/>
        </w:trPr>
        <w:tc>
          <w:tcPr>
            <w:tcW w:w="1856" w:type="dxa"/>
            <w:vMerge w:val="restart"/>
          </w:tcPr>
          <w:p w:rsidR="00000000" w:rsidRDefault="00000000">
            <w:pPr>
              <w:pStyle w:val="BodyText"/>
              <w:spacing w:after="0"/>
              <w:jc w:val="left"/>
            </w:pPr>
            <w:r>
              <w:t>Всего рабочей силы</w:t>
            </w:r>
          </w:p>
        </w:tc>
        <w:tc>
          <w:tcPr>
            <w:tcW w:w="670" w:type="dxa"/>
          </w:tcPr>
          <w:p w:rsidR="00000000" w:rsidRDefault="00000000">
            <w:pPr>
              <w:pStyle w:val="BodyText"/>
              <w:spacing w:after="0"/>
              <w:jc w:val="center"/>
            </w:pPr>
            <w:r>
              <w:t>М</w:t>
            </w:r>
          </w:p>
        </w:tc>
        <w:tc>
          <w:tcPr>
            <w:tcW w:w="1586" w:type="dxa"/>
          </w:tcPr>
          <w:p w:rsidR="00000000" w:rsidRDefault="00000000">
            <w:pPr>
              <w:pStyle w:val="BodyText"/>
              <w:spacing w:after="0"/>
              <w:ind w:right="397"/>
              <w:jc w:val="right"/>
            </w:pPr>
            <w:r>
              <w:t>138 523</w:t>
            </w:r>
          </w:p>
        </w:tc>
        <w:tc>
          <w:tcPr>
            <w:tcW w:w="1586" w:type="dxa"/>
          </w:tcPr>
          <w:p w:rsidR="00000000" w:rsidRDefault="00000000">
            <w:pPr>
              <w:pStyle w:val="BodyText"/>
              <w:spacing w:after="0"/>
              <w:ind w:right="397"/>
              <w:jc w:val="right"/>
            </w:pPr>
            <w:r>
              <w:t>823 053</w:t>
            </w:r>
          </w:p>
        </w:tc>
        <w:tc>
          <w:tcPr>
            <w:tcW w:w="1505" w:type="dxa"/>
          </w:tcPr>
          <w:p w:rsidR="00000000" w:rsidRDefault="00000000">
            <w:pPr>
              <w:pStyle w:val="BodyText"/>
              <w:spacing w:after="0"/>
              <w:ind w:right="397"/>
              <w:jc w:val="right"/>
            </w:pPr>
            <w:r>
              <w:t>145 141</w:t>
            </w:r>
          </w:p>
        </w:tc>
        <w:tc>
          <w:tcPr>
            <w:tcW w:w="1586" w:type="dxa"/>
          </w:tcPr>
          <w:p w:rsidR="00000000" w:rsidRDefault="00000000">
            <w:pPr>
              <w:pStyle w:val="BodyText"/>
              <w:spacing w:after="0"/>
              <w:ind w:right="397"/>
              <w:jc w:val="right"/>
            </w:pPr>
            <w:r>
              <w:t>793 210</w:t>
            </w:r>
          </w:p>
        </w:tc>
      </w:tr>
      <w:tr w:rsidR="00000000">
        <w:tblPrEx>
          <w:tblCellMar>
            <w:top w:w="0" w:type="dxa"/>
            <w:bottom w:w="0" w:type="dxa"/>
          </w:tblCellMar>
        </w:tblPrEx>
        <w:trPr>
          <w:cantSplit/>
          <w:jc w:val="center"/>
        </w:trPr>
        <w:tc>
          <w:tcPr>
            <w:tcW w:w="1856" w:type="dxa"/>
            <w:vMerge/>
          </w:tcPr>
          <w:p w:rsidR="00000000" w:rsidRDefault="00000000">
            <w:pPr>
              <w:pStyle w:val="BodyText"/>
              <w:spacing w:after="0"/>
              <w:jc w:val="left"/>
            </w:pPr>
          </w:p>
        </w:tc>
        <w:tc>
          <w:tcPr>
            <w:tcW w:w="670" w:type="dxa"/>
          </w:tcPr>
          <w:p w:rsidR="00000000" w:rsidRDefault="00000000">
            <w:pPr>
              <w:pStyle w:val="BodyText"/>
              <w:spacing w:after="0"/>
              <w:jc w:val="center"/>
            </w:pPr>
            <w:r>
              <w:t>Ж</w:t>
            </w:r>
          </w:p>
        </w:tc>
        <w:tc>
          <w:tcPr>
            <w:tcW w:w="1586" w:type="dxa"/>
          </w:tcPr>
          <w:p w:rsidR="00000000" w:rsidRDefault="00000000">
            <w:pPr>
              <w:pStyle w:val="BodyText"/>
              <w:spacing w:after="0"/>
              <w:ind w:right="397"/>
              <w:jc w:val="right"/>
            </w:pPr>
            <w:r>
              <w:t>73 036</w:t>
            </w:r>
          </w:p>
        </w:tc>
        <w:tc>
          <w:tcPr>
            <w:tcW w:w="1586" w:type="dxa"/>
          </w:tcPr>
          <w:p w:rsidR="00000000" w:rsidRDefault="00000000">
            <w:pPr>
              <w:pStyle w:val="BodyText"/>
              <w:spacing w:after="0"/>
              <w:ind w:right="397"/>
              <w:jc w:val="right"/>
            </w:pPr>
            <w:r>
              <w:t>217 384</w:t>
            </w:r>
          </w:p>
        </w:tc>
        <w:tc>
          <w:tcPr>
            <w:tcW w:w="1505" w:type="dxa"/>
          </w:tcPr>
          <w:p w:rsidR="00000000" w:rsidRDefault="00000000">
            <w:pPr>
              <w:pStyle w:val="BodyText"/>
              <w:spacing w:after="0"/>
              <w:ind w:right="397"/>
              <w:jc w:val="right"/>
            </w:pPr>
            <w:r>
              <w:t>76 246</w:t>
            </w:r>
          </w:p>
        </w:tc>
        <w:tc>
          <w:tcPr>
            <w:tcW w:w="1586" w:type="dxa"/>
          </w:tcPr>
          <w:p w:rsidR="00000000" w:rsidRDefault="00000000">
            <w:pPr>
              <w:pStyle w:val="BodyText"/>
              <w:spacing w:after="0"/>
              <w:ind w:right="397"/>
              <w:jc w:val="right"/>
            </w:pPr>
            <w:r>
              <w:t>211 537</w:t>
            </w:r>
          </w:p>
        </w:tc>
      </w:tr>
      <w:tr w:rsidR="00000000">
        <w:tblPrEx>
          <w:tblCellMar>
            <w:top w:w="0" w:type="dxa"/>
            <w:bottom w:w="0" w:type="dxa"/>
          </w:tblCellMar>
        </w:tblPrEx>
        <w:trPr>
          <w:cantSplit/>
          <w:jc w:val="center"/>
        </w:trPr>
        <w:tc>
          <w:tcPr>
            <w:tcW w:w="1856" w:type="dxa"/>
            <w:vMerge w:val="restart"/>
          </w:tcPr>
          <w:p w:rsidR="00000000" w:rsidRDefault="00000000">
            <w:pPr>
              <w:pStyle w:val="BodyText"/>
              <w:spacing w:after="0"/>
              <w:jc w:val="left"/>
            </w:pPr>
            <w:r>
              <w:t>Вне рабочей силы</w:t>
            </w:r>
          </w:p>
        </w:tc>
        <w:tc>
          <w:tcPr>
            <w:tcW w:w="670" w:type="dxa"/>
          </w:tcPr>
          <w:p w:rsidR="00000000" w:rsidRDefault="00000000">
            <w:pPr>
              <w:pStyle w:val="BodyText"/>
              <w:spacing w:after="0"/>
              <w:jc w:val="center"/>
            </w:pPr>
            <w:r>
              <w:t>М</w:t>
            </w:r>
          </w:p>
        </w:tc>
        <w:tc>
          <w:tcPr>
            <w:tcW w:w="1586" w:type="dxa"/>
          </w:tcPr>
          <w:p w:rsidR="00000000" w:rsidRDefault="00000000">
            <w:pPr>
              <w:pStyle w:val="BodyText"/>
              <w:spacing w:after="0"/>
              <w:ind w:right="397"/>
              <w:jc w:val="right"/>
            </w:pPr>
            <w:r>
              <w:t>70 489</w:t>
            </w:r>
          </w:p>
        </w:tc>
        <w:tc>
          <w:tcPr>
            <w:tcW w:w="1586" w:type="dxa"/>
          </w:tcPr>
          <w:p w:rsidR="00000000" w:rsidRDefault="00000000">
            <w:pPr>
              <w:pStyle w:val="BodyText"/>
              <w:spacing w:after="0"/>
              <w:ind w:right="397"/>
              <w:jc w:val="right"/>
            </w:pPr>
            <w:r>
              <w:t>52 108</w:t>
            </w:r>
          </w:p>
        </w:tc>
        <w:tc>
          <w:tcPr>
            <w:tcW w:w="1505" w:type="dxa"/>
          </w:tcPr>
          <w:p w:rsidR="00000000" w:rsidRDefault="00000000">
            <w:pPr>
              <w:pStyle w:val="BodyText"/>
              <w:spacing w:after="0"/>
              <w:ind w:right="397"/>
              <w:jc w:val="right"/>
            </w:pPr>
            <w:r>
              <w:t>70 935</w:t>
            </w:r>
          </w:p>
        </w:tc>
        <w:tc>
          <w:tcPr>
            <w:tcW w:w="1586" w:type="dxa"/>
          </w:tcPr>
          <w:p w:rsidR="00000000" w:rsidRDefault="00000000">
            <w:pPr>
              <w:pStyle w:val="BodyText"/>
              <w:spacing w:after="0"/>
              <w:ind w:right="397"/>
              <w:jc w:val="right"/>
            </w:pPr>
            <w:r>
              <w:t>50 656</w:t>
            </w:r>
          </w:p>
        </w:tc>
      </w:tr>
      <w:tr w:rsidR="00000000">
        <w:tblPrEx>
          <w:tblCellMar>
            <w:top w:w="0" w:type="dxa"/>
            <w:bottom w:w="0" w:type="dxa"/>
          </w:tblCellMar>
        </w:tblPrEx>
        <w:trPr>
          <w:cantSplit/>
          <w:jc w:val="center"/>
        </w:trPr>
        <w:tc>
          <w:tcPr>
            <w:tcW w:w="1856" w:type="dxa"/>
            <w:vMerge/>
          </w:tcPr>
          <w:p w:rsidR="00000000" w:rsidRDefault="00000000">
            <w:pPr>
              <w:pStyle w:val="BodyText"/>
              <w:spacing w:after="0"/>
              <w:jc w:val="left"/>
            </w:pPr>
          </w:p>
        </w:tc>
        <w:tc>
          <w:tcPr>
            <w:tcW w:w="670" w:type="dxa"/>
          </w:tcPr>
          <w:p w:rsidR="00000000" w:rsidRDefault="00000000">
            <w:pPr>
              <w:pStyle w:val="BodyText"/>
              <w:spacing w:after="0"/>
              <w:jc w:val="center"/>
            </w:pPr>
            <w:r>
              <w:t>Ж</w:t>
            </w:r>
          </w:p>
        </w:tc>
        <w:tc>
          <w:tcPr>
            <w:tcW w:w="1586" w:type="dxa"/>
          </w:tcPr>
          <w:p w:rsidR="00000000" w:rsidRDefault="00000000">
            <w:pPr>
              <w:pStyle w:val="BodyText"/>
              <w:spacing w:after="0"/>
              <w:ind w:right="397"/>
              <w:jc w:val="right"/>
            </w:pPr>
            <w:r>
              <w:t>157 633</w:t>
            </w:r>
          </w:p>
        </w:tc>
        <w:tc>
          <w:tcPr>
            <w:tcW w:w="1586" w:type="dxa"/>
          </w:tcPr>
          <w:p w:rsidR="00000000" w:rsidRDefault="00000000">
            <w:pPr>
              <w:pStyle w:val="BodyText"/>
              <w:spacing w:after="0"/>
              <w:ind w:right="397"/>
              <w:jc w:val="right"/>
            </w:pPr>
            <w:r>
              <w:t>149 370</w:t>
            </w:r>
          </w:p>
        </w:tc>
        <w:tc>
          <w:tcPr>
            <w:tcW w:w="1505" w:type="dxa"/>
          </w:tcPr>
          <w:p w:rsidR="00000000" w:rsidRDefault="00000000">
            <w:pPr>
              <w:pStyle w:val="BodyText"/>
              <w:spacing w:after="0"/>
              <w:ind w:right="397"/>
              <w:jc w:val="right"/>
            </w:pPr>
            <w:r>
              <w:t>164 530</w:t>
            </w:r>
          </w:p>
        </w:tc>
        <w:tc>
          <w:tcPr>
            <w:tcW w:w="1586" w:type="dxa"/>
          </w:tcPr>
          <w:p w:rsidR="00000000" w:rsidRDefault="00000000">
            <w:pPr>
              <w:pStyle w:val="BodyText"/>
              <w:spacing w:after="0"/>
              <w:ind w:right="397"/>
              <w:jc w:val="right"/>
            </w:pPr>
            <w:r>
              <w:t>148 333</w:t>
            </w:r>
          </w:p>
        </w:tc>
      </w:tr>
      <w:tr w:rsidR="00000000">
        <w:tblPrEx>
          <w:tblCellMar>
            <w:top w:w="0" w:type="dxa"/>
            <w:bottom w:w="0" w:type="dxa"/>
          </w:tblCellMar>
        </w:tblPrEx>
        <w:trPr>
          <w:cantSplit/>
          <w:jc w:val="center"/>
        </w:trPr>
        <w:tc>
          <w:tcPr>
            <w:tcW w:w="1856" w:type="dxa"/>
            <w:vMerge w:val="restart"/>
          </w:tcPr>
          <w:p w:rsidR="00000000" w:rsidRDefault="00000000">
            <w:pPr>
              <w:pStyle w:val="BodyText"/>
              <w:spacing w:after="0"/>
              <w:jc w:val="left"/>
            </w:pPr>
            <w:r>
              <w:t>Людские ресурсы</w:t>
            </w:r>
          </w:p>
        </w:tc>
        <w:tc>
          <w:tcPr>
            <w:tcW w:w="670" w:type="dxa"/>
          </w:tcPr>
          <w:p w:rsidR="00000000" w:rsidRDefault="00000000">
            <w:pPr>
              <w:pStyle w:val="BodyText"/>
              <w:spacing w:after="0"/>
              <w:jc w:val="center"/>
            </w:pPr>
            <w:r>
              <w:t>М</w:t>
            </w:r>
          </w:p>
        </w:tc>
        <w:tc>
          <w:tcPr>
            <w:tcW w:w="1586" w:type="dxa"/>
          </w:tcPr>
          <w:p w:rsidR="00000000" w:rsidRDefault="00000000">
            <w:pPr>
              <w:pStyle w:val="BodyText"/>
              <w:spacing w:after="0"/>
              <w:ind w:right="397"/>
              <w:jc w:val="right"/>
            </w:pPr>
            <w:r>
              <w:t>216 295</w:t>
            </w:r>
          </w:p>
        </w:tc>
        <w:tc>
          <w:tcPr>
            <w:tcW w:w="1586" w:type="dxa"/>
          </w:tcPr>
          <w:p w:rsidR="00000000" w:rsidRDefault="00000000">
            <w:pPr>
              <w:pStyle w:val="BodyText"/>
              <w:spacing w:after="0"/>
              <w:ind w:right="397"/>
              <w:jc w:val="right"/>
            </w:pPr>
            <w:r>
              <w:t>880 618</w:t>
            </w:r>
          </w:p>
        </w:tc>
        <w:tc>
          <w:tcPr>
            <w:tcW w:w="1505" w:type="dxa"/>
          </w:tcPr>
          <w:p w:rsidR="00000000" w:rsidRDefault="00000000">
            <w:pPr>
              <w:pStyle w:val="BodyText"/>
              <w:spacing w:after="0"/>
              <w:ind w:right="397"/>
              <w:jc w:val="right"/>
            </w:pPr>
            <w:r>
              <w:t>225 165</w:t>
            </w:r>
          </w:p>
        </w:tc>
        <w:tc>
          <w:tcPr>
            <w:tcW w:w="1586" w:type="dxa"/>
          </w:tcPr>
          <w:p w:rsidR="00000000" w:rsidRDefault="00000000">
            <w:pPr>
              <w:pStyle w:val="BodyText"/>
              <w:spacing w:after="0"/>
              <w:ind w:right="397"/>
              <w:jc w:val="right"/>
            </w:pPr>
            <w:r>
              <w:t>852 680</w:t>
            </w:r>
          </w:p>
        </w:tc>
      </w:tr>
      <w:tr w:rsidR="00000000">
        <w:tblPrEx>
          <w:tblCellMar>
            <w:top w:w="0" w:type="dxa"/>
            <w:bottom w:w="0" w:type="dxa"/>
          </w:tblCellMar>
        </w:tblPrEx>
        <w:trPr>
          <w:cantSplit/>
          <w:jc w:val="center"/>
        </w:trPr>
        <w:tc>
          <w:tcPr>
            <w:tcW w:w="1856" w:type="dxa"/>
            <w:vMerge/>
          </w:tcPr>
          <w:p w:rsidR="00000000" w:rsidRDefault="00000000">
            <w:pPr>
              <w:pStyle w:val="BodyText"/>
              <w:spacing w:after="0"/>
              <w:jc w:val="left"/>
            </w:pPr>
          </w:p>
        </w:tc>
        <w:tc>
          <w:tcPr>
            <w:tcW w:w="670" w:type="dxa"/>
          </w:tcPr>
          <w:p w:rsidR="00000000" w:rsidRDefault="00000000">
            <w:pPr>
              <w:pStyle w:val="BodyText"/>
              <w:spacing w:after="0"/>
              <w:jc w:val="center"/>
            </w:pPr>
            <w:r>
              <w:t>Ж</w:t>
            </w:r>
          </w:p>
        </w:tc>
        <w:tc>
          <w:tcPr>
            <w:tcW w:w="1586" w:type="dxa"/>
          </w:tcPr>
          <w:p w:rsidR="00000000" w:rsidRDefault="00000000">
            <w:pPr>
              <w:pStyle w:val="BodyText"/>
              <w:spacing w:after="0"/>
              <w:ind w:right="397"/>
              <w:jc w:val="right"/>
            </w:pPr>
            <w:r>
              <w:t>230 669</w:t>
            </w:r>
          </w:p>
        </w:tc>
        <w:tc>
          <w:tcPr>
            <w:tcW w:w="1586" w:type="dxa"/>
          </w:tcPr>
          <w:p w:rsidR="00000000" w:rsidRDefault="00000000">
            <w:pPr>
              <w:pStyle w:val="BodyText"/>
              <w:spacing w:after="0"/>
              <w:ind w:right="397"/>
              <w:jc w:val="right"/>
            </w:pPr>
            <w:r>
              <w:t>366 754</w:t>
            </w:r>
          </w:p>
        </w:tc>
        <w:tc>
          <w:tcPr>
            <w:tcW w:w="1505" w:type="dxa"/>
          </w:tcPr>
          <w:p w:rsidR="00000000" w:rsidRDefault="00000000">
            <w:pPr>
              <w:pStyle w:val="BodyText"/>
              <w:spacing w:after="0"/>
              <w:ind w:right="397"/>
              <w:jc w:val="right"/>
            </w:pPr>
            <w:r>
              <w:t>240 776</w:t>
            </w:r>
          </w:p>
        </w:tc>
        <w:tc>
          <w:tcPr>
            <w:tcW w:w="1586" w:type="dxa"/>
          </w:tcPr>
          <w:p w:rsidR="00000000" w:rsidRDefault="00000000">
            <w:pPr>
              <w:pStyle w:val="BodyText"/>
              <w:spacing w:after="0"/>
              <w:ind w:right="397"/>
              <w:jc w:val="right"/>
            </w:pPr>
            <w:r>
              <w:t>359 870</w:t>
            </w:r>
          </w:p>
        </w:tc>
      </w:tr>
      <w:tr w:rsidR="00000000">
        <w:tblPrEx>
          <w:tblCellMar>
            <w:top w:w="0" w:type="dxa"/>
            <w:bottom w:w="0" w:type="dxa"/>
          </w:tblCellMar>
        </w:tblPrEx>
        <w:trPr>
          <w:cantSplit/>
          <w:jc w:val="center"/>
        </w:trPr>
        <w:tc>
          <w:tcPr>
            <w:tcW w:w="1856" w:type="dxa"/>
            <w:vMerge w:val="restart"/>
          </w:tcPr>
          <w:p w:rsidR="00000000" w:rsidRDefault="00000000">
            <w:pPr>
              <w:pStyle w:val="BodyText"/>
              <w:spacing w:after="0"/>
              <w:jc w:val="left"/>
            </w:pPr>
            <w:r>
              <w:t>Не включенные в людские ресурсы</w:t>
            </w:r>
          </w:p>
        </w:tc>
        <w:tc>
          <w:tcPr>
            <w:tcW w:w="670" w:type="dxa"/>
          </w:tcPr>
          <w:p w:rsidR="00000000" w:rsidRDefault="00000000">
            <w:pPr>
              <w:pStyle w:val="BodyText"/>
              <w:spacing w:after="0"/>
              <w:jc w:val="center"/>
            </w:pPr>
            <w:r>
              <w:t>М</w:t>
            </w:r>
          </w:p>
        </w:tc>
        <w:tc>
          <w:tcPr>
            <w:tcW w:w="1586" w:type="dxa"/>
          </w:tcPr>
          <w:p w:rsidR="00000000" w:rsidRDefault="00000000">
            <w:pPr>
              <w:pStyle w:val="BodyText"/>
              <w:spacing w:after="0"/>
              <w:ind w:right="397"/>
              <w:jc w:val="right"/>
            </w:pPr>
            <w:r>
              <w:t>172 392</w:t>
            </w:r>
          </w:p>
        </w:tc>
        <w:tc>
          <w:tcPr>
            <w:tcW w:w="1586" w:type="dxa"/>
          </w:tcPr>
          <w:p w:rsidR="00000000" w:rsidRDefault="00000000">
            <w:pPr>
              <w:pStyle w:val="BodyText"/>
              <w:spacing w:after="0"/>
              <w:ind w:right="397"/>
              <w:jc w:val="right"/>
            </w:pPr>
            <w:r>
              <w:t>122 100</w:t>
            </w:r>
          </w:p>
        </w:tc>
        <w:tc>
          <w:tcPr>
            <w:tcW w:w="1505" w:type="dxa"/>
          </w:tcPr>
          <w:p w:rsidR="00000000" w:rsidRDefault="00000000">
            <w:pPr>
              <w:pStyle w:val="BodyText"/>
              <w:spacing w:after="0"/>
              <w:ind w:right="397"/>
              <w:jc w:val="right"/>
            </w:pPr>
            <w:r>
              <w:t>176 268</w:t>
            </w:r>
          </w:p>
        </w:tc>
        <w:tc>
          <w:tcPr>
            <w:tcW w:w="1586" w:type="dxa"/>
          </w:tcPr>
          <w:p w:rsidR="00000000" w:rsidRDefault="00000000">
            <w:pPr>
              <w:pStyle w:val="BodyText"/>
              <w:spacing w:after="0"/>
              <w:ind w:right="397"/>
              <w:jc w:val="right"/>
            </w:pPr>
            <w:r>
              <w:t>118 185</w:t>
            </w:r>
          </w:p>
        </w:tc>
      </w:tr>
      <w:tr w:rsidR="00000000">
        <w:tblPrEx>
          <w:tblCellMar>
            <w:top w:w="0" w:type="dxa"/>
            <w:bottom w:w="0" w:type="dxa"/>
          </w:tblCellMar>
        </w:tblPrEx>
        <w:trPr>
          <w:cantSplit/>
          <w:jc w:val="center"/>
        </w:trPr>
        <w:tc>
          <w:tcPr>
            <w:tcW w:w="1856" w:type="dxa"/>
            <w:vMerge/>
          </w:tcPr>
          <w:p w:rsidR="00000000" w:rsidRDefault="00000000">
            <w:pPr>
              <w:pStyle w:val="BodyText"/>
              <w:spacing w:after="0"/>
            </w:pPr>
          </w:p>
        </w:tc>
        <w:tc>
          <w:tcPr>
            <w:tcW w:w="670" w:type="dxa"/>
          </w:tcPr>
          <w:p w:rsidR="00000000" w:rsidRDefault="00000000">
            <w:pPr>
              <w:pStyle w:val="BodyText"/>
              <w:spacing w:after="0"/>
              <w:jc w:val="center"/>
            </w:pPr>
            <w:r>
              <w:t>Ж</w:t>
            </w:r>
          </w:p>
        </w:tc>
        <w:tc>
          <w:tcPr>
            <w:tcW w:w="1586" w:type="dxa"/>
          </w:tcPr>
          <w:p w:rsidR="00000000" w:rsidRDefault="00000000">
            <w:pPr>
              <w:pStyle w:val="BodyText"/>
              <w:spacing w:after="0"/>
              <w:ind w:right="397"/>
              <w:jc w:val="right"/>
            </w:pPr>
            <w:r>
              <w:t>166 654</w:t>
            </w:r>
          </w:p>
        </w:tc>
        <w:tc>
          <w:tcPr>
            <w:tcW w:w="1586" w:type="dxa"/>
          </w:tcPr>
          <w:p w:rsidR="00000000" w:rsidRDefault="00000000">
            <w:pPr>
              <w:pStyle w:val="BodyText"/>
              <w:spacing w:after="0"/>
              <w:ind w:right="397"/>
              <w:jc w:val="right"/>
            </w:pPr>
            <w:r>
              <w:t>115 383</w:t>
            </w:r>
          </w:p>
        </w:tc>
        <w:tc>
          <w:tcPr>
            <w:tcW w:w="1505" w:type="dxa"/>
          </w:tcPr>
          <w:p w:rsidR="00000000" w:rsidRDefault="00000000">
            <w:pPr>
              <w:pStyle w:val="BodyText"/>
              <w:spacing w:after="0"/>
              <w:ind w:right="397"/>
              <w:jc w:val="right"/>
            </w:pPr>
            <w:r>
              <w:t>170 046</w:t>
            </w:r>
          </w:p>
        </w:tc>
        <w:tc>
          <w:tcPr>
            <w:tcW w:w="1586" w:type="dxa"/>
          </w:tcPr>
          <w:p w:rsidR="00000000" w:rsidRDefault="00000000">
            <w:pPr>
              <w:pStyle w:val="BodyText"/>
              <w:spacing w:after="0"/>
              <w:ind w:right="397"/>
              <w:jc w:val="right"/>
            </w:pPr>
            <w:r>
              <w:t>111 964</w:t>
            </w:r>
          </w:p>
        </w:tc>
      </w:tr>
    </w:tbl>
    <w:p w:rsidR="00000000" w:rsidRDefault="00000000">
      <w:pPr>
        <w:pStyle w:val="BodyText"/>
      </w:pPr>
    </w:p>
    <w:p w:rsidR="00000000" w:rsidRDefault="00000000">
      <w:pPr>
        <w:pStyle w:val="-A-B"/>
      </w:pPr>
      <w:r>
        <w:t>Е.  Социальные, экономические и культурные показатели</w:t>
      </w:r>
    </w:p>
    <w:p w:rsidR="00000000" w:rsidRDefault="00000000">
      <w:pPr>
        <w:pStyle w:val="BodyText"/>
      </w:pPr>
      <w:r>
        <w:t>Основные итоговые данные национальных счетов за 1997–1999 годы:</w:t>
      </w:r>
    </w:p>
    <w:p w:rsidR="00000000" w:rsidRDefault="00000000">
      <w:pPr>
        <w:pStyle w:val="BodyText"/>
        <w:rPr>
          <w:u w:val="single"/>
        </w:rPr>
      </w:pPr>
      <w:r>
        <w:rPr>
          <w:u w:val="single"/>
        </w:rPr>
        <w:t>Валовой внутренний продукт (ВВП)</w:t>
      </w:r>
    </w:p>
    <w:p w:rsidR="00000000" w:rsidRDefault="00000000">
      <w:pPr>
        <w:pStyle w:val="BodyText"/>
      </w:pPr>
      <w:r>
        <w:tab/>
        <w:t>По предварительным оценкам, ВВП в ценах 1999 года составил 9032,8 млн. кувейтских динаров (КД) против 7718,1 млн. КД в 1998 году, то есть прирост составил 17,0 процентов, тогда как в 1998 году был отмечен спад на 15,2 процента.</w:t>
      </w:r>
    </w:p>
    <w:p w:rsidR="00000000" w:rsidRDefault="00000000">
      <w:pPr>
        <w:pStyle w:val="BodyText"/>
      </w:pPr>
      <w:r>
        <w:tab/>
        <w:t xml:space="preserve">Доля нефтяного сектора в ВВП составила в 1999 году 3354,4 млн. КД против 2370,6 млн. КД в 1998 году, то есть имел место прирост в размере 41,5 процента в результате повышения цен на мировом нефтяном рынке. В то же время в секторе, не занятом добычей нефти, в который входит и продукция перегонки сырой нефти, в 1999 году было получено 6031,8 млн. КД против 5645,7 млн. КД в 1998 году – прирост в течение 1999 года составил 6,8 процента. Это объясняется главным образом повышением добавленной стоимости, создаваемой в нефтехимической промышленности, – с </w:t>
      </w:r>
      <w:r>
        <w:br/>
        <w:t>594,9 млн. КД в 1998 году до 765,6 млн. КД в 1999 году, то есть имел место прирост в размере 170,7 млн. КД, или на 28,7 процента.</w:t>
      </w:r>
    </w:p>
    <w:p w:rsidR="00000000" w:rsidRDefault="00000000">
      <w:pPr>
        <w:pStyle w:val="BodyText"/>
      </w:pPr>
      <w:r>
        <w:tab/>
        <w:t>Изучение оценочных данных ВВП, приходящегося на другие элементы ненефтяного сектора в 1999 году, свидетельствует о незначительном приросте по большинству видов деятельности в сравнении с оценочными показателями за 1998 год.</w:t>
      </w:r>
    </w:p>
    <w:p w:rsidR="00000000" w:rsidRDefault="00000000">
      <w:pPr>
        <w:pStyle w:val="BodyText"/>
      </w:pPr>
      <w:r>
        <w:rPr>
          <w:u w:val="single"/>
        </w:rPr>
        <w:t>Валовой внутренний продукт (ВВП) на душу населения</w:t>
      </w:r>
    </w:p>
    <w:p w:rsidR="00000000" w:rsidRDefault="00000000">
      <w:pPr>
        <w:pStyle w:val="BodyText"/>
      </w:pPr>
      <w:r>
        <w:tab/>
        <w:t>В 1999 году ВВП на душу населения составил в среднем 3972 КД против 3448 КД в 1998 году, что означает рост на 15,2 процента. Следует указать, что в 1997 году был отмечен спад ВВП на душу населения в размере 12,7 процента до уровня 4230 КД</w:t>
      </w:r>
    </w:p>
    <w:p w:rsidR="00000000" w:rsidRDefault="00000000">
      <w:pPr>
        <w:pStyle w:val="BodyText"/>
        <w:rPr>
          <w:u w:val="single"/>
        </w:rPr>
      </w:pPr>
      <w:r>
        <w:rPr>
          <w:u w:val="single"/>
        </w:rPr>
        <w:t>Валовой национальный продукт (ВНП) на душу населения</w:t>
      </w:r>
    </w:p>
    <w:p w:rsidR="00000000" w:rsidRDefault="00000000">
      <w:pPr>
        <w:pStyle w:val="BodyText"/>
      </w:pPr>
      <w:r>
        <w:tab/>
        <w:t>В 1999 году средний ВНП на душу населения вырос до 4666 КД против 4247 КД в 1998 году, когда было отмечено его снижение на 868 КД по сравнению со средним ВНП на душу населения в 1997 году.</w:t>
      </w:r>
    </w:p>
    <w:p w:rsidR="00000000" w:rsidRDefault="00000000">
      <w:pPr>
        <w:pStyle w:val="BodyText"/>
        <w:rPr>
          <w:u w:val="single"/>
        </w:rPr>
      </w:pPr>
      <w:r>
        <w:rPr>
          <w:u w:val="single"/>
        </w:rPr>
        <w:t>Национальный доход на душу населения</w:t>
      </w:r>
    </w:p>
    <w:p w:rsidR="00000000" w:rsidRDefault="00000000">
      <w:pPr>
        <w:pStyle w:val="BodyText"/>
      </w:pPr>
      <w:r>
        <w:tab/>
        <w:t>В 1999 году средний национальный доход на душу населения возрос на 11,4 процента, составив 4110 КД против 3690 КД в 1998 году. Прирост среднего ВНП и национального дохода на душу населения объясняется увеличением ВВП в результате роста добавленной стоимости, создаваемой в секторе производства сырой нефти.</w:t>
      </w:r>
    </w:p>
    <w:p w:rsidR="00000000" w:rsidRDefault="00000000">
      <w:pPr>
        <w:pStyle w:val="BodyText"/>
      </w:pPr>
      <w:r>
        <w:tab/>
        <w:t>Для представления дополнительной информации о демографических особенностях страны и последних уточненных данных по различным аспектам экономической и социальной жизни Государства Кувейт компетентные органы власти включили сведения из следующих источников:</w:t>
      </w:r>
    </w:p>
    <w:p w:rsidR="00000000" w:rsidRDefault="00000000">
      <w:pPr>
        <w:pStyle w:val="BodyText"/>
        <w:spacing w:after="0"/>
      </w:pPr>
      <w:r>
        <w:tab/>
        <w:t>–</w:t>
      </w:r>
      <w:r>
        <w:tab/>
        <w:t>статистические ежегодники за 1998 и 1999 годы;</w:t>
      </w:r>
    </w:p>
    <w:p w:rsidR="00000000" w:rsidRDefault="00000000">
      <w:pPr>
        <w:pStyle w:val="BodyText"/>
        <w:spacing w:after="0"/>
      </w:pPr>
      <w:r>
        <w:tab/>
        <w:t>–</w:t>
      </w:r>
      <w:r>
        <w:tab/>
        <w:t>короткие статистические обзоры за 1997, 1998, 1999 и 2000 годы;</w:t>
      </w:r>
    </w:p>
    <w:p w:rsidR="00000000" w:rsidRDefault="00000000">
      <w:pPr>
        <w:pStyle w:val="BodyText"/>
        <w:spacing w:after="0"/>
      </w:pPr>
      <w:r>
        <w:tab/>
        <w:t>–</w:t>
      </w:r>
      <w:r>
        <w:tab/>
        <w:t>основные характеристики населения и рабочей силы по состоянию на 30 июня 1999 года;</w:t>
      </w:r>
    </w:p>
    <w:p w:rsidR="00000000" w:rsidRDefault="00000000">
      <w:pPr>
        <w:pStyle w:val="BodyText"/>
      </w:pPr>
      <w:r>
        <w:tab/>
        <w:t>–</w:t>
      </w:r>
      <w:r>
        <w:tab/>
        <w:t>уточненные предварительные оценочные данные за 1997–1999 годы (приложение 1).</w:t>
      </w:r>
    </w:p>
    <w:p w:rsidR="00000000" w:rsidRDefault="00000000">
      <w:pPr>
        <w:pStyle w:val="--"/>
      </w:pPr>
      <w:r>
        <w:t>II.  ОБЩЕЕ ПОЛИТИЧЕСКОЕ УСТРОЙСТВО ГОСУДАРСТВА</w:t>
      </w:r>
    </w:p>
    <w:p w:rsidR="00000000" w:rsidRDefault="00000000">
      <w:pPr>
        <w:pStyle w:val="BodyText"/>
      </w:pPr>
      <w:r>
        <w:tab/>
        <w:t xml:space="preserve">В данном разделе освещаются некоторые аспекты общего политического устройства государства, прежде всего </w:t>
      </w:r>
      <w:r>
        <w:rPr>
          <w:u w:val="single"/>
        </w:rPr>
        <w:t>форма государства, его система правления и государственные органы</w:t>
      </w:r>
      <w:r>
        <w:t>.</w:t>
      </w:r>
    </w:p>
    <w:p w:rsidR="00000000" w:rsidRDefault="00000000">
      <w:pPr>
        <w:pStyle w:val="BodyText"/>
      </w:pPr>
      <w:r>
        <w:tab/>
        <w:t xml:space="preserve">Что касается </w:t>
      </w:r>
      <w:r>
        <w:rPr>
          <w:u w:val="single"/>
        </w:rPr>
        <w:t>формы государства и его системы правления</w:t>
      </w:r>
      <w:r>
        <w:t>, то следует указать, что Кувейт является независимым арабским государством, обладающим полным суверенитетом. Народ Кувейта является частью арабской нации, государственной религией является ислам, а официальным языком – арабский язык. Режим правления в Кувейте – демократический и суверенный, где главная роль принадлежит народу, в чем нация видит источник для реализации всех властных полномочий. Суверенитет осуществляется в рамках, определяемых государственной Конституцией. Кувейтское общество зиждется на справедливости, свободе и равенстве, и граждан страны связывают прочные узы сотрудничества и взаимной поддержки.</w:t>
      </w:r>
    </w:p>
    <w:p w:rsidR="00000000" w:rsidRDefault="00000000">
      <w:pPr>
        <w:pStyle w:val="BodyText"/>
      </w:pPr>
      <w:r>
        <w:tab/>
        <w:t>Для облегчения понимания характера демократического режима правления в Разъяснении к Конституции говорится о том, что в соответствии с Конституцией в стране действует демократический режим, сочетающий черты парламентской и президентской систем правления, основу которого составляют парламентские элементы, поскольку президентское правление характерно для республиканского устройства.</w:t>
      </w:r>
    </w:p>
    <w:p w:rsidR="00000000" w:rsidRDefault="00000000">
      <w:pPr>
        <w:pStyle w:val="BodyText"/>
      </w:pPr>
      <w:r>
        <w:tab/>
        <w:t>В соответствии с принципами подлинной демократии правящий в Кувейте режим твердо придерживается концепции разделения ветвей власти при обязательном сотрудничестве между властными структурами, но при этом полный или частичный отказ любой из них от своих конституционных полномочий в чью-либо пользу не допускается.</w:t>
      </w:r>
    </w:p>
    <w:p w:rsidR="00000000" w:rsidRDefault="00000000">
      <w:pPr>
        <w:pStyle w:val="BodyText"/>
      </w:pPr>
      <w:r>
        <w:tab/>
        <w:t>В состоящей из пяти глав Конституции Кувейта отдельная глава, состоящая в свою очередь из пяти разделов, посвящена теме властных структур. В начале главы указывается, что согласно Конституции законодательная власть принадлежит эмиру и Национальному собранию, исполнительную власть осуществляют эмир, Совет министров и министры, а судебную власть – судьи, действующие от имени эмира в определенных Конституцией пределах.</w:t>
      </w:r>
    </w:p>
    <w:p w:rsidR="00000000" w:rsidRDefault="00000000">
      <w:pPr>
        <w:pStyle w:val="BodyText"/>
      </w:pPr>
      <w:r>
        <w:tab/>
        <w:t>Во втором разделе речь идет о главе государства. В частности, говорится о том, что глава государства осуществляет свои полномочия через министров, может назначать и освобождать министров, включая премьер-министра, от их постов, что он является верховным главнокомандующим вооруженными силами, который вправе назначать офицеров и освобождать их от занимаемых должностей в установленном законом порядке. К числу его полномочий относится составление положений, необходимых для обеспечения исполнения законов, определение обязанностей должностных лиц, подготовка инструкций, необходимых для организации деятельности ведомств и общих административных органов государства, назначение гражданских и военных чиновников, а также дипломатических представителей в иностранных государствах.</w:t>
      </w:r>
    </w:p>
    <w:p w:rsidR="00000000" w:rsidRDefault="00000000">
      <w:pPr>
        <w:pStyle w:val="BodyText"/>
      </w:pPr>
      <w:r>
        <w:tab/>
        <w:t>Кроме указанного выше, положениями Конституции предусмотрены и другие полномочия эмира.</w:t>
      </w:r>
    </w:p>
    <w:p w:rsidR="00000000" w:rsidRDefault="00000000">
      <w:pPr>
        <w:pStyle w:val="BodyText"/>
      </w:pPr>
      <w:r>
        <w:tab/>
      </w:r>
      <w:r>
        <w:rPr>
          <w:u w:val="single"/>
        </w:rPr>
        <w:t>Законодательная власть</w:t>
      </w:r>
      <w:r>
        <w:t xml:space="preserve"> принадлежит эмиру и Национальному собранию в составе пятидесяти членов, избираемых прямым тайным голосованием на четырехлетний срок. По Конституции данный орган власти уполномочен осуществлять законодательную деятельность. Так, в статье 79 в этой связи указывается на недопустимость принятия любого законодательного акта без соответствующего постановления Национального собрания и утверждения эмиром. Национальному собранию, так же как и эмиру, дано право вносить законопроекты и контролировать деятельность правительства, утверждать международные договоры, которые заключает или к которым присоединяется Государство Кувейт, и которые рассматриваются в пункте 2 статьи 70 Конституции как наиболее важные договоры, заключаемые государством.</w:t>
      </w:r>
    </w:p>
    <w:p w:rsidR="00000000" w:rsidRDefault="00000000">
      <w:pPr>
        <w:pStyle w:val="BodyText"/>
      </w:pPr>
      <w:r>
        <w:tab/>
        <w:t xml:space="preserve">В третьем разделе указанной главы Конституции содержатся положения, касающиеся законодательной власти. Кроме того, в Законе № 12 1963 года о порядке работы Национального собрания определены правила процедуры Национального собрания, а также его функции и деятельность. </w:t>
      </w:r>
    </w:p>
    <w:p w:rsidR="00000000" w:rsidRDefault="00000000">
      <w:pPr>
        <w:pStyle w:val="BodyText"/>
      </w:pPr>
      <w:r>
        <w:tab/>
        <w:t>Выборы в Национальное собрание регламентируются положениями Закона №  35 1962 года (приложение 2).</w:t>
      </w:r>
    </w:p>
    <w:p w:rsidR="00000000" w:rsidRDefault="00000000">
      <w:pPr>
        <w:pStyle w:val="BodyText"/>
      </w:pPr>
      <w:r>
        <w:tab/>
        <w:t>Подводя итог, можно отметить, что законодательная власть наделена самыми обширными законодательными полномочиями.</w:t>
      </w:r>
    </w:p>
    <w:p w:rsidR="00000000" w:rsidRDefault="00000000">
      <w:pPr>
        <w:pStyle w:val="BodyText"/>
      </w:pPr>
      <w:r>
        <w:tab/>
      </w:r>
      <w:r>
        <w:rPr>
          <w:u w:val="single"/>
        </w:rPr>
        <w:t>Исполнительную власть</w:t>
      </w:r>
      <w:r>
        <w:t xml:space="preserve"> осуществляют эмир и Совет министров, который, руководствуясь государственными интересами, намечает общую политику государства и следит за ее выполнением, а также руководит работой правительственных ведомств. При этом каждый министр руководит деятельностью своего министерства, осуществляя общую политику государства, а также намечает направления деятельности своего министерства и руководит ее осуществлением.</w:t>
      </w:r>
    </w:p>
    <w:p w:rsidR="00000000" w:rsidRDefault="00000000">
      <w:pPr>
        <w:pStyle w:val="BodyText"/>
      </w:pPr>
      <w:r>
        <w:tab/>
      </w:r>
      <w:r>
        <w:rPr>
          <w:u w:val="single"/>
        </w:rPr>
        <w:t>Судебную власть</w:t>
      </w:r>
      <w:r>
        <w:t xml:space="preserve"> осуществляют от имени эмира суды. Конституция и закон гарантируют независимость судебной власти в соответствии с тем принципом, что честь суда, беспристрастность и справедливость судей составляют основу государства, гарантию прав и свобод.</w:t>
      </w:r>
    </w:p>
    <w:p w:rsidR="00000000" w:rsidRDefault="00000000">
      <w:pPr>
        <w:pStyle w:val="BodyText"/>
      </w:pPr>
      <w:r>
        <w:tab/>
        <w:t>В соответствии с Конституцией должностное лицо любой инстанции не может влиять на постановление судьи. Закон гарантирует независимость суда, а также обеспечивает гарантии судьям и осуществление принимаемых ими решений. В Конституции Кувейта судебной власти страны посвящен целый раздел из двенадцати статей, в том числе ряд положений, утверждающих принцип независимости суда.</w:t>
      </w:r>
    </w:p>
    <w:p w:rsidR="00000000" w:rsidRDefault="00000000">
      <w:pPr>
        <w:pStyle w:val="BodyText"/>
      </w:pPr>
      <w:r>
        <w:tab/>
        <w:t>В Кувейте был также принят Закон № 23 1990 года в отношении организации суда. В нем дается определение судов, их инстанций и организаций, определен порядок формирования Верховного суда и указаны его полномочия. Данный закон также упорядочивает вопросы назначений в судебных органах, служебного роста и обязанностей судей, а также полномочия прокуратуры и порядок ее формирования.</w:t>
      </w:r>
    </w:p>
    <w:p w:rsidR="00000000" w:rsidRDefault="00000000">
      <w:pPr>
        <w:pStyle w:val="BodyText"/>
      </w:pPr>
      <w:r>
        <w:tab/>
        <w:t>В целях дальнейшего укрепления независимости суда, обеспечения дополнительного иммунитета и гарантий для судей, с тем чтобы поддерживать высокий авторитет суда и позволить ему успешно исполнять свою миссию, законом № 10 1996 года в вышеуказанный закон были внесены изменения (приложение 3).</w:t>
      </w:r>
    </w:p>
    <w:p w:rsidR="00000000" w:rsidRDefault="00000000">
      <w:pPr>
        <w:pStyle w:val="--"/>
      </w:pPr>
      <w:r>
        <w:t>III.  ПУБЛИКАЦИЯ</w:t>
      </w:r>
    </w:p>
    <w:p w:rsidR="00000000" w:rsidRDefault="00000000">
      <w:pPr>
        <w:pStyle w:val="BodyText"/>
      </w:pPr>
      <w:r>
        <w:tab/>
        <w:t>Согласно положениям статьи 70 кувейтской Конституции любой договор может вступить в силу и стать обязательным для исполнения только по завершении конституционных процедур, а затем – публикации его в "Официальной газете". В этой же статье в целях конкретизации был определен круг договоров, принятие которых регламентируется по закону.</w:t>
      </w:r>
    </w:p>
    <w:p w:rsidR="00000000" w:rsidRDefault="00000000">
      <w:pPr>
        <w:pStyle w:val="BodyText"/>
      </w:pPr>
      <w:r>
        <w:tab/>
        <w:t>Публикация является последним этапом законодательной процедуры. Ее цель состоит в обнародовании того или иного законодательного акта для его осуществления исполнительной властью. Законы публикуются в "Официальной газете" на арабском языке не позднее чем через две недели с момента их принятия, а в силу они вступают спустя месяц после даты публикации. Данный срок может быть продлен или сокращен, если это специально предусмотрено в соответствующем законодательном акте.</w:t>
      </w:r>
    </w:p>
    <w:p w:rsidR="00000000" w:rsidRDefault="00000000">
      <w:pPr>
        <w:pStyle w:val="BodyText"/>
      </w:pPr>
      <w:r>
        <w:tab/>
        <w:t>Закон вступает в силу по истечении установленного срока с момента его публикации в "Официальной газете". Следовательно, он становится обязательным для исполнения всеми и в отношении всех, независимо от того, знают они о нем или нет. Публикации подлежат все виды законодательных актов, каковыми бы они ни были. Это служит указанием на то, что для всех ведомств и властных структур исполнение данного закона является обязательным в их области ведения. Следует отметить, что конвенции по правам человека, к которым присоединился Кувейт, в том числе и рассматриваемая здесь Конвенция, также подпадают под действие указанной процедуры и были опубликованы в "Официальной газете" на арабском языке с тем, чтобы их положения были известны всем.</w:t>
      </w:r>
    </w:p>
    <w:p w:rsidR="00000000" w:rsidRDefault="00000000">
      <w:pPr>
        <w:pStyle w:val="-0"/>
        <w:spacing w:before="360"/>
      </w:pPr>
      <w:r>
        <w:t>Часть вторая</w:t>
      </w:r>
    </w:p>
    <w:p w:rsidR="00000000" w:rsidRDefault="00000000">
      <w:pPr>
        <w:pStyle w:val="--"/>
      </w:pPr>
      <w:r>
        <w:t>ОБЩАЯ ИНФОРМАЦИЯ</w:t>
      </w:r>
    </w:p>
    <w:p w:rsidR="00000000" w:rsidRDefault="00000000">
      <w:pPr>
        <w:pStyle w:val="BodyText"/>
      </w:pPr>
      <w:r>
        <w:tab/>
        <w:t>Данная часть охватывает следующие три области:</w:t>
      </w:r>
    </w:p>
    <w:p w:rsidR="00000000" w:rsidRDefault="00000000">
      <w:pPr>
        <w:pStyle w:val="--"/>
      </w:pPr>
      <w:r>
        <w:t xml:space="preserve">I.  ОБЩИЕ ПРАВОВЫЕ, СОЦИАЛЬНЫЕ И ЭКОНОМИЧЕСКИЕ ОСНОВЫ И ПОЛИТИКА ГОСУДАРСТВА В ОБЛАСТИ ЛИКВИДАЦИИ ДИСКРИМИНАЦИИ </w:t>
      </w:r>
      <w:r>
        <w:br/>
        <w:t>В ОТНОШЕНИИ ЖЕНЩИН</w:t>
      </w:r>
    </w:p>
    <w:p w:rsidR="00000000" w:rsidRDefault="00000000">
      <w:pPr>
        <w:pStyle w:val="-A-B"/>
      </w:pPr>
      <w:r>
        <w:t>А.  Правовые основы</w:t>
      </w:r>
    </w:p>
    <w:p w:rsidR="00000000" w:rsidRDefault="00000000">
      <w:pPr>
        <w:pStyle w:val="BodyText"/>
      </w:pPr>
      <w:r>
        <w:tab/>
        <w:t>Государство Кувейт стремится обеспечивать основные права и свободы женщин с тем, чтобы они занимали достойное положение в обществе. Государство желает подтвердить, что действующие в стране законодательные акты и прежде всего кувейтская Конституция, которая является политической и правовой гарантией норм прав человека в Кувейте и на основе которой было принято множество законодательных актов о правах человека в различных политических, социальных, гражданских, уголовных, экономических и культурных сферах, а также других областях, связанных с правами человека, содержат четкие положения о недопущении дискриминации между женщинами и мужчинами, отражающие стремление предоставить им равные права, гарантируемые ее положениями.</w:t>
      </w:r>
    </w:p>
    <w:p w:rsidR="00000000" w:rsidRDefault="00000000">
      <w:pPr>
        <w:pStyle w:val="BodyText"/>
      </w:pPr>
      <w:r>
        <w:tab/>
        <w:t>В документе, опубликованном в связи с изданием кувейтской Конституции, было отмечено, скокь СЦУьఀ燎笀｛름秀廬療劉祀遼槀ｏ禜療秀秀禐秀燎禞撚ￏ秀烈燎秆秀秀療秀ￏ秀烈劉龍ￏ禘秀秀燎龍秀燎劉ￏ龍ￏ禘燎療秀ￏ龍禞秀秄燎ￏ秀烈燎цесса разработки Конституции. Подчеркнут и тот факт, что Конституция отразила завершение становления демократического режима в Государстве Кувейт, стремление к построению более совершенного общества, где были бы созданы еще более благоприятные условия для процветания родины и более высокого положения государства, которые обеспечивали бы гражданам более широкую политическую свободу, равенство и социальную справедливость, чтобы каждый гражданин мог с гордостью ощущать свое человеческое достоинство. Отмечена необходимость учета общих интересов, обеспечения коллегиальности руководства при сохранении единства родины и ее стабильности.</w:t>
      </w:r>
    </w:p>
    <w:p w:rsidR="00000000" w:rsidRDefault="00000000">
      <w:pPr>
        <w:pStyle w:val="BodyText"/>
      </w:pPr>
      <w:r>
        <w:tab/>
        <w:t>Конституция четко подтверждает, таким образом, важность прав человека, уделяет данному вопросу огромное внимание и делает права человека высшим приоритетом. Об этом свидетельствует тот факт, что в положения различных глав Конституции и большинство конституционных текстов включены принципы, на которых зиждется международное сообщество, и которые оно выразило в международных документах, принятых в данной области, и в том числе в Конвенции о ликвидации всех форм дискриминации в отношении женщин.</w:t>
      </w:r>
    </w:p>
    <w:p w:rsidR="00000000" w:rsidRDefault="00000000">
      <w:pPr>
        <w:pStyle w:val="BodyText"/>
      </w:pPr>
      <w:r>
        <w:tab/>
        <w:t>Хотя принцип равенства граждан в отношении их прав и обязанностей отражен в конституционных текстах, следует отметить, что в двух местах прямо упоминается "равенство". В первом случае – в статье 7, в которой справедливость и равенство отнесены к основным ценностям кувейтского общества, а во втором – в статье 29, где данный принцип изложен подробно.</w:t>
      </w:r>
    </w:p>
    <w:p w:rsidR="00000000" w:rsidRDefault="00000000">
      <w:pPr>
        <w:pStyle w:val="BodyText"/>
      </w:pPr>
      <w:r>
        <w:tab/>
        <w:t>Права женщины, утвержденные Конвенцией, изложены в кувейтской Конституции в следующем виде:</w:t>
      </w:r>
    </w:p>
    <w:p w:rsidR="00000000" w:rsidRDefault="00000000">
      <w:pPr>
        <w:pStyle w:val="BodyText"/>
      </w:pPr>
      <w:r>
        <w:tab/>
        <w:t>–</w:t>
      </w:r>
      <w:r>
        <w:tab/>
      </w:r>
      <w:r>
        <w:rPr>
          <w:u w:val="single"/>
        </w:rPr>
        <w:t>Глава 2</w:t>
      </w:r>
      <w:r>
        <w:t xml:space="preserve"> включает все права, отнесенные Конституцией к основным ценностям кувейтского общества, в том числе справедливость, свобода и равенство, охрана материнства и детства, забота о подрастающем поколении, образование, здравоохранение, частная собственность, государственная служба, свобода научных исследований и гарантии пенсионного обеспечения граждан в старости, в случае болезни и нетрудоспособности.</w:t>
      </w:r>
    </w:p>
    <w:p w:rsidR="00000000" w:rsidRDefault="00000000">
      <w:pPr>
        <w:pStyle w:val="BodyText"/>
      </w:pPr>
      <w:r>
        <w:tab/>
        <w:t>–</w:t>
      </w:r>
      <w:r>
        <w:tab/>
      </w:r>
      <w:r>
        <w:rPr>
          <w:u w:val="single"/>
        </w:rPr>
        <w:t>Глава 3</w:t>
      </w:r>
      <w:r>
        <w:t xml:space="preserve"> включает положения, касающиеся права на получение гражданства, равенства перед законом, свободы личности, недопущения ареста граждан без законного на то основания, свободы вероисповедания, свободы мнений и научных исследований, свободы печати, неприкосновенности жилища, свободы почтового, телеграфного и телефонного сообщения, права на образование, права на труд, права создавать объединения и профсоюзы, а также права проведения собраний.</w:t>
      </w:r>
    </w:p>
    <w:p w:rsidR="00000000" w:rsidRDefault="00000000">
      <w:pPr>
        <w:pStyle w:val="BodyText"/>
      </w:pPr>
      <w:r>
        <w:tab/>
        <w:t>–</w:t>
      </w:r>
      <w:r>
        <w:tab/>
      </w:r>
      <w:r>
        <w:rPr>
          <w:u w:val="single"/>
        </w:rPr>
        <w:t>Глава 4</w:t>
      </w:r>
      <w:r>
        <w:t xml:space="preserve"> состоит из пяти разделов, где рассматриваются властные структуры государства – законодательная, исполнительная и судебная власти. Кроме того, в этой главе содержатся судебные и правовые гарантии для граждан и оговариваются права членов общества в целом.</w:t>
      </w:r>
    </w:p>
    <w:p w:rsidR="00000000" w:rsidRDefault="00000000">
      <w:pPr>
        <w:pStyle w:val="BodyText"/>
      </w:pPr>
      <w:r>
        <w:tab/>
        <w:t>В этой связи следует указать, что отражение в кувейтской Конституции вопросов прав человека обусловливает следующие важные особенности:</w:t>
      </w:r>
    </w:p>
    <w:p w:rsidR="00000000" w:rsidRDefault="00000000">
      <w:pPr>
        <w:pStyle w:val="BodyText"/>
      </w:pPr>
      <w:r>
        <w:tab/>
        <w:t>–</w:t>
      </w:r>
      <w:r>
        <w:tab/>
        <w:t>Недопущение нарушения этих прав путем внесения поправок или изменений без соблюдения процедуры изменения Конституции, предусмотренной статьями 174 и 175.</w:t>
      </w:r>
    </w:p>
    <w:p w:rsidR="00000000" w:rsidRDefault="00000000">
      <w:pPr>
        <w:pStyle w:val="BodyText"/>
      </w:pPr>
      <w:r>
        <w:tab/>
        <w:t>–</w:t>
      </w:r>
      <w:r>
        <w:tab/>
        <w:t>Их защита в судебном порядке. Так, в Конституции предусмотрены жесткие меры, гарантирующие соблюдение и эффективное использование этих прав, а также защиту их от любого нарушения, в том числе с помощью Конституционного суда, созданного на основании закона № 24 1973 года. Конституционный суд является судебным органом, имеющим исключительные полномочия на толкование положений Конституции и вынесение решений о конституционности законов, имеющих обязательную силу для всех властных структур государства.</w:t>
      </w:r>
    </w:p>
    <w:p w:rsidR="00000000" w:rsidRDefault="00000000">
      <w:pPr>
        <w:pStyle w:val="BodyText"/>
      </w:pPr>
      <w:r>
        <w:tab/>
        <w:t>В дополнение к вышесказанному Государство Кувейт присоединилось к целому ряду международных договоров, касающихся прав человека. Это следующие документы:</w:t>
      </w:r>
    </w:p>
    <w:p w:rsidR="00000000" w:rsidRDefault="00000000">
      <w:pPr>
        <w:pStyle w:val="BodyText"/>
        <w:spacing w:after="0"/>
      </w:pPr>
      <w:r>
        <w:tab/>
        <w:t>–</w:t>
      </w:r>
      <w:r>
        <w:tab/>
        <w:t>Международная конвенция о ликвидации всех форм расовой дискриминации;</w:t>
      </w:r>
    </w:p>
    <w:p w:rsidR="00000000" w:rsidRDefault="00000000">
      <w:pPr>
        <w:pStyle w:val="BodyText"/>
        <w:spacing w:after="0"/>
      </w:pPr>
      <w:r>
        <w:tab/>
        <w:t>–</w:t>
      </w:r>
      <w:r>
        <w:tab/>
        <w:t>Международная конвенция о пресечении преступления апартеида и наказании за него;</w:t>
      </w:r>
    </w:p>
    <w:p w:rsidR="00000000" w:rsidRDefault="00000000">
      <w:pPr>
        <w:pStyle w:val="BodyText"/>
        <w:spacing w:after="0"/>
      </w:pPr>
      <w:r>
        <w:tab/>
        <w:t>–</w:t>
      </w:r>
      <w:r>
        <w:tab/>
        <w:t>Международная конвенция против апартеида в спорте;</w:t>
      </w:r>
    </w:p>
    <w:p w:rsidR="00000000" w:rsidRDefault="00000000">
      <w:pPr>
        <w:pStyle w:val="BodyText"/>
      </w:pPr>
      <w:r>
        <w:tab/>
        <w:t>–</w:t>
      </w:r>
      <w:r>
        <w:tab/>
        <w:t>Конвенция о борьбе с дискриминацией в области образования.</w:t>
      </w:r>
    </w:p>
    <w:p w:rsidR="00000000" w:rsidRDefault="00000000">
      <w:pPr>
        <w:pStyle w:val="BodyText"/>
      </w:pPr>
      <w:r>
        <w:tab/>
        <w:t>Кувейт также присоединился к ряду международных конвенций по правам человека, содержащих положения, запрещающие дискриминацию:</w:t>
      </w:r>
    </w:p>
    <w:p w:rsidR="00000000" w:rsidRDefault="00000000">
      <w:pPr>
        <w:pStyle w:val="BodyText"/>
        <w:spacing w:after="0"/>
      </w:pPr>
      <w:r>
        <w:tab/>
        <w:t>–</w:t>
      </w:r>
      <w:r>
        <w:tab/>
        <w:t>Международный пакт о гражданских и политических правах;</w:t>
      </w:r>
    </w:p>
    <w:p w:rsidR="00000000" w:rsidRDefault="00000000">
      <w:pPr>
        <w:pStyle w:val="BodyText"/>
        <w:spacing w:after="0"/>
      </w:pPr>
      <w:r>
        <w:tab/>
        <w:t>–</w:t>
      </w:r>
      <w:r>
        <w:tab/>
        <w:t>Международный пакт об экономических, социальных и культурных правах;</w:t>
      </w:r>
    </w:p>
    <w:p w:rsidR="00000000" w:rsidRDefault="00000000">
      <w:pPr>
        <w:pStyle w:val="BodyText"/>
      </w:pPr>
      <w:r>
        <w:tab/>
        <w:t>–</w:t>
      </w:r>
      <w:r>
        <w:tab/>
        <w:t>Конвенция о правах ребенка.</w:t>
      </w:r>
    </w:p>
    <w:p w:rsidR="00000000" w:rsidRDefault="00000000">
      <w:pPr>
        <w:pStyle w:val="BodyText"/>
      </w:pPr>
      <w:r>
        <w:tab/>
        <w:t>Кроме того, Кувейт является участником 18 международных конвенций, принятых Международной организацией труда, о чем в настоящем докладе будет сказано ниже.</w:t>
      </w:r>
    </w:p>
    <w:p w:rsidR="00000000" w:rsidRDefault="00000000">
      <w:pPr>
        <w:pStyle w:val="-A-B"/>
      </w:pPr>
      <w:r>
        <w:t>В.  Общие социальные и экономические рамки</w:t>
      </w:r>
    </w:p>
    <w:p w:rsidR="00000000" w:rsidRDefault="00000000">
      <w:pPr>
        <w:pStyle w:val="BodyText"/>
      </w:pPr>
      <w:r>
        <w:tab/>
        <w:t>Государство Кувейт уделяет внимание как социальному, так и экономическому положению женщин. В социальной сфере это внимание наглядно проявляется в создании государственных и негосударственных организаций и учреждений, целью деятельности которых является забота о благополучии семьи вообще и женщин в частности. Это проявляется также в поощрении кувейтских граждан, ради которых и осуществляется социальное развитие, к участию в деятельности в области развития. Кроме того, в их цели входит оказание содействия поддержки кувейтским семьям в социальном развитии их членов и проведение политики государства по достижению социального единства (сведения о соответствующих механизмах приводятся в другой части настоящего доклада).</w:t>
      </w:r>
    </w:p>
    <w:p w:rsidR="00000000" w:rsidRDefault="00000000">
      <w:pPr>
        <w:pStyle w:val="BodyText"/>
      </w:pPr>
      <w:r>
        <w:tab/>
        <w:t>В экономической сфере государство приняло комплекс эффективных мер по защите женщин от бедности, учитывая тот факт, что на них ложится наибольшее бремя заботы о семье в случае смерти мужа, разделения семьи, потери работы или нетрудоспособности. Так, был принят ряд законодательных актов, гарантирующих женщинам достойную жизнь (данные об указанных механизмах приводятся в другой части настоящего доклада).</w:t>
      </w:r>
    </w:p>
    <w:p w:rsidR="00000000" w:rsidRDefault="00000000">
      <w:pPr>
        <w:pStyle w:val="BodyText"/>
      </w:pPr>
      <w:r>
        <w:tab/>
        <w:t>Такое внимание является следствием убежденности Государства Кувейт в том, что социальное развитие – это гуманитарный процесс, важную роль в котором играет человеческий фактор. Именно человек – главный элемент социального развития. Проявляя заботу о семье, защите ее целостности, а также о расширении ее возможностей, государство создало в общей сложности 12 центров социального развития в ряде районов страны. Целью их является трудоустройство женщин, их обучение производству различной продукции, сбыт которой впоследствии осуществляется при содействии специальных организаций через торговую сеть и путем организации выставок. Вырученные средства поступают в семейный бюджет.</w:t>
      </w:r>
    </w:p>
    <w:p w:rsidR="00000000" w:rsidRDefault="00000000">
      <w:pPr>
        <w:pStyle w:val="BodyText"/>
      </w:pPr>
      <w:r>
        <w:tab/>
        <w:t>Другими примерами того, как государство оказывает содействие и помощь женщинам, могут служить проект, известный в Кувейте под названием "Ман кясаб яди" (Плоды моего труда), и проекты, осуществляемые другими правительственными учреждениями, как, например, Бейт аз-Закят (Дом Закката). Данные о них представлены в других разделах настоящего доклада.</w:t>
      </w:r>
    </w:p>
    <w:p w:rsidR="00000000" w:rsidRDefault="00000000">
      <w:pPr>
        <w:pStyle w:val="BodyText"/>
      </w:pPr>
      <w:r>
        <w:tab/>
        <w:t>Следует отметить, что в Докладе о развитии человека в арабских странах за 2002 год, подготовленном Программой развития Организации Объединенных Наций (ПРООН) и Арабским фондом экономического и социального развития, Государство Кувейт не случайно получило наивысшую оценку по показателям развития человека. Этого удалось достичь в результате неустанной работы, проводимой государством в данной сфере.</w:t>
      </w:r>
    </w:p>
    <w:p w:rsidR="00000000" w:rsidRDefault="00000000">
      <w:pPr>
        <w:pStyle w:val="--"/>
      </w:pPr>
      <w:r>
        <w:t>II.   Правовые меры, ПРИНЯТые В ЦЕЛЯХ РЕАЛИЗАЦИИ Конвенции</w:t>
      </w:r>
    </w:p>
    <w:p w:rsidR="00000000" w:rsidRDefault="00000000">
      <w:pPr>
        <w:pStyle w:val="BodyText"/>
      </w:pPr>
      <w:r>
        <w:tab/>
        <w:t>Одним из свидетельств приверженности Государства Кувейт содержащимся в Конституции страны основным принципам в отношении недопущения дискриминации между членами общества во всех областях и сферах стала инициатива государства о присоединении к международным конвенциям по правам человека, в том числе к рассматриваемой Конвенции. Ввиду того что согласно положениям статьи 70 Конституции ответственность за ратификацию договоров возложена на эмира страны, он доводит тот или иной договор до сведения Национального собрания с соответствующим ходатайством. Договор приобретает силу закона после его ратификации и утверждения, а также публикации в установленном порядке в "Официальной газете". Таким образом, присоединение Кувейта к рассматриваемой Конвенции и ее публикация в "Официальной газете" придают данной Конвенции – согласно положениям статьи 70 – силу национального закона, обязательного для исполнения всеми властными структурами. Следовательно, любая женщина, пострадавшая в результате несоблюдения его положений, может в соответствии с установленным на такой случай порядком обращаться в судебные инстанции для осуществления своих законных прав, предусмотренных в Конвенции.</w:t>
      </w:r>
    </w:p>
    <w:p w:rsidR="00000000" w:rsidRDefault="00000000">
      <w:pPr>
        <w:pStyle w:val="-A-B"/>
      </w:pPr>
      <w:r>
        <w:t>А.   Предоставляемые женщинам средства правовой защиты</w:t>
      </w:r>
    </w:p>
    <w:p w:rsidR="00000000" w:rsidRDefault="00000000">
      <w:pPr>
        <w:pStyle w:val="BodyText"/>
      </w:pPr>
      <w:r>
        <w:tab/>
        <w:t>На основании конституционных принципов и законодательных актов Кувейта органы государственной власти обязаны при их осуществлении в сфере своей компетенции претворять в жизнь принцип равенства и недопущения дискриминации в правах, установленных согласно статье 26 Конституции. В случае нарушения указанных принципов женщины могут обращаться в суды различных инстанций с целью использования предоставленных им средств правовой защиты:</w:t>
      </w:r>
    </w:p>
    <w:p w:rsidR="00000000" w:rsidRDefault="00000000">
      <w:pPr>
        <w:pStyle w:val="BodyText"/>
        <w:jc w:val="center"/>
      </w:pPr>
      <w:r>
        <w:t xml:space="preserve">1.  </w:t>
      </w:r>
      <w:r>
        <w:rPr>
          <w:u w:val="single"/>
        </w:rPr>
        <w:t>Административный суд</w:t>
      </w:r>
    </w:p>
    <w:p w:rsidR="00000000" w:rsidRDefault="00000000">
      <w:pPr>
        <w:pStyle w:val="BodyText"/>
      </w:pPr>
      <w:r>
        <w:tab/>
        <w:t>Административный суд – это судебный орган, уполномоченный рассматривать административные споры. Согласно Декрету № 20 1981 года в районных судах были учреждены административные подразделения, занимающиеся рассмотрением конфликтов, возникающих в сфере полномочий различных структур исполнительной власти, а также в связи с принимаемыми ими решениями и правилами, которые касаются персонала. Указанные властные структуры обязаны соблюдать конституционные принципы, в том числе принцип равенства и недопущения дискриминации, и средством обеспечения правовой защиты, к которому могут прибегать женщины в данной сфере, является административный суд.</w:t>
      </w:r>
    </w:p>
    <w:p w:rsidR="00000000" w:rsidRDefault="00000000">
      <w:pPr>
        <w:pStyle w:val="BodyText"/>
        <w:jc w:val="center"/>
      </w:pPr>
      <w:r>
        <w:t xml:space="preserve">2.  </w:t>
      </w:r>
      <w:r>
        <w:rPr>
          <w:u w:val="single"/>
        </w:rPr>
        <w:t>Гражданский, уголовный и торговый суды</w:t>
      </w:r>
    </w:p>
    <w:p w:rsidR="00000000" w:rsidRDefault="00000000">
      <w:pPr>
        <w:pStyle w:val="BodyText"/>
      </w:pPr>
      <w:r>
        <w:tab/>
        <w:t>Гражданские, уголовные и торговые судебные инстанции уполномочены принимать решения по искам гражданского, уголовного и торгового характера. Уголовные суды занимаются рассмотрением дел лиц, обвиняемых в совершении преступлений и иных правонарушений; они представлены инстанциями двух уровней:</w:t>
      </w:r>
    </w:p>
    <w:p w:rsidR="00000000" w:rsidRDefault="00000000">
      <w:pPr>
        <w:pStyle w:val="BodyText"/>
        <w:spacing w:after="0"/>
        <w:ind w:left="1021" w:hanging="1021"/>
      </w:pPr>
      <w:r>
        <w:tab/>
        <w:t>–</w:t>
      </w:r>
      <w:r>
        <w:tab/>
        <w:t>Суды первой инстанции. К ним относятся уголовные суды, то есть суды по делам о преступлениях и иных правонарушениях.</w:t>
      </w:r>
    </w:p>
    <w:p w:rsidR="00000000" w:rsidRDefault="00000000">
      <w:pPr>
        <w:pStyle w:val="BodyText"/>
        <w:ind w:left="1021" w:hanging="1021"/>
      </w:pPr>
      <w:r>
        <w:tab/>
        <w:t>–</w:t>
      </w:r>
      <w:r>
        <w:tab/>
        <w:t>Апелляционные суды. К ним относятся уголовный апелляционный суд и высший апелляционный суд.</w:t>
      </w:r>
    </w:p>
    <w:p w:rsidR="00000000" w:rsidRDefault="00000000">
      <w:pPr>
        <w:pStyle w:val="BodyText"/>
      </w:pPr>
      <w:r>
        <w:tab/>
        <w:t>В ходе разбирательства суды рассматривают споры и конфликты исходя из соответствующих конституционных норм и действующих законодательных актов, а также в соответствии с Законом № 38 1980 года о принятии Гражданского и торгового процессуального кодекса и Закона № 17 1960 года о принятии Уголовно-процессуального кодекса.</w:t>
      </w:r>
    </w:p>
    <w:p w:rsidR="00000000" w:rsidRDefault="00000000">
      <w:pPr>
        <w:pStyle w:val="BodyText"/>
      </w:pPr>
      <w:r>
        <w:tab/>
        <w:t>Следует отметить, что в законах, регулирующих судопроизводство, не проводится никакого различия между мужчинами и женщинами в отношении реализации права обращения в суд и установленных в этой связи гарантий.</w:t>
      </w:r>
    </w:p>
    <w:p w:rsidR="00000000" w:rsidRDefault="00000000">
      <w:pPr>
        <w:pStyle w:val="BodyText"/>
      </w:pPr>
    </w:p>
    <w:p w:rsidR="00000000" w:rsidRDefault="00000000">
      <w:pPr>
        <w:pStyle w:val="-0"/>
      </w:pPr>
      <w:r>
        <w:br w:type="page"/>
        <w:t>Часть третья</w:t>
      </w:r>
    </w:p>
    <w:p w:rsidR="00000000" w:rsidRDefault="00000000">
      <w:pPr>
        <w:pStyle w:val="--"/>
      </w:pPr>
      <w:r>
        <w:t>конституционные, законодательные и административные положения, связанные со статьями Конвенции</w:t>
      </w:r>
    </w:p>
    <w:p w:rsidR="00000000" w:rsidRDefault="00000000">
      <w:pPr>
        <w:pStyle w:val="-1"/>
      </w:pPr>
      <w:r>
        <w:t>Статья 1</w:t>
      </w:r>
    </w:p>
    <w:p w:rsidR="00000000" w:rsidRDefault="00000000">
      <w:pPr>
        <w:pStyle w:val="BodyText"/>
      </w:pPr>
      <w:r>
        <w:tab/>
        <w:t>В данной статье для целей Конвенции дается определение термина "дискриминация в отношении женщин" и далее указывается, что принцип равенства в правах должен быть применим ко всем женщинам независимо от их семейного положения.</w:t>
      </w:r>
    </w:p>
    <w:p w:rsidR="00000000" w:rsidRDefault="00000000">
      <w:pPr>
        <w:pStyle w:val="BodyText"/>
      </w:pPr>
      <w:r>
        <w:tab/>
        <w:t>В Конституции Кувейта принцип равенства и недопущения дискриминации относится к числу основных ценностей кувейтского общества. Об этом гласит статья 7 Конституции, а выше это указывается в преамбуле к Конституции, где говорится, что равенство является одним из основных столпов, на которых зиждется кувейтское общество.</w:t>
      </w:r>
    </w:p>
    <w:p w:rsidR="00000000" w:rsidRDefault="00000000">
      <w:pPr>
        <w:pStyle w:val="BodyText"/>
      </w:pPr>
      <w:r>
        <w:tab/>
        <w:t>В статье 8 провозглашается принцип равенства возможностей граждан как одна из основ, на которые опирается кувейтское общество.</w:t>
      </w:r>
    </w:p>
    <w:p w:rsidR="00000000" w:rsidRDefault="00000000">
      <w:pPr>
        <w:pStyle w:val="BodyText"/>
      </w:pPr>
      <w:r>
        <w:tab/>
        <w:t>Принцип равенства упоминается и в третьей главе Конституции как один из основополагающих принципов. В упомянутой главе речь идет об общих правах и обязанностях. Более конкретно общее положение статьи 29 четко и прямо указывает на данный принцип. Статья гласит, что люди равны в том, что касается человеческого достоинства, равны перед законом, равны в отношении их общих прав и обязанностей, и между ними не проводится различие по признаку пола, происхождения, языка или религии.</w:t>
      </w:r>
    </w:p>
    <w:p w:rsidR="00000000" w:rsidRDefault="00000000">
      <w:pPr>
        <w:pStyle w:val="BodyText"/>
      </w:pPr>
      <w:r>
        <w:tab/>
        <w:t>Здесь необходимо указать, что в пояснительной записке к Конституции в связи с упомянутой статьей отмечалось следующее: "В данной статье провозглашен принцип равенства в отношении прав и обязанностей в общем плане. Далее в ней конкретно указываются основные пути реализации этого принципа, содержащиеся в формулировке "не проводится различие по признаку пола, происхождения, языка или религии". При разработке данной статьи были преднамеренно опущены слова "цвета кожи" или "имущественного положения", несмотря на наличие этих слов во Всеобщей декларации прав человека, поскольку в стране нет и намека на такое явление, как расовая дискриминация, и потому вполне достаточно имеющегося текста статьи, чтобы рассеять любые сомнения на этот счет. Что касается проведения различия между людьми по причине имущественного положения, то в кувейтском обществе этот момент также отсутствует, и включать в текст специальное положение для его запрещения нет необходимости.</w:t>
      </w:r>
    </w:p>
    <w:p w:rsidR="00000000" w:rsidRDefault="00000000">
      <w:pPr>
        <w:pStyle w:val="BodyText"/>
      </w:pPr>
      <w:r>
        <w:tab/>
        <w:t>В этой связи можно отметить, что в некоторых статьях проекта кувейтской Конституции действие принципа равенства установлено без прямого упоминания данного термина. Так, статья 13 гласит: "Образование является краеугольным камнем прогресса общества, а государство гарантирует его и содействует ему".</w:t>
      </w:r>
    </w:p>
    <w:p w:rsidR="00000000" w:rsidRDefault="00000000">
      <w:pPr>
        <w:pStyle w:val="BodyText"/>
      </w:pPr>
      <w:r>
        <w:tab/>
        <w:t>В статье 11 говорится, что государство гарантирует гражданам пенсии по старости, в случае болезни или нетрудоспособности, а также предоставляет им услуги в области социальной помощи и медицинского обслуживания.</w:t>
      </w:r>
    </w:p>
    <w:p w:rsidR="00000000" w:rsidRDefault="00000000">
      <w:pPr>
        <w:pStyle w:val="BodyText"/>
      </w:pPr>
      <w:r>
        <w:tab/>
        <w:t>В статье 41, кроме того, предусматривается, что "каждый кувейтец имеет право на труд и выбор вида работы". В ряде других статей второй и третьей глав Конституции говорится о том, что образование, занятость, социальное пенсионное обеспечение, здравоохранение, назначение на государственные должности, право на получение гражданства, свобода мнения, право на создание объединений и профессиональных союзов, право на собрания и другие права и свободы гарантируются всем без различия между мужчинами или женщинами.</w:t>
      </w:r>
    </w:p>
    <w:p w:rsidR="00000000" w:rsidRDefault="00000000">
      <w:pPr>
        <w:pStyle w:val="BodyText"/>
      </w:pPr>
      <w:r>
        <w:tab/>
        <w:t>На страже прав, которые гарантируют кувейтская Конституция и национальные законы, стоит судебная власть. Так, статья 162 гласит о том, что честь суда и беспристрастность и порядочность судей, а также их справедливость составляют основу правления и гарантию прав и свобод.</w:t>
      </w:r>
    </w:p>
    <w:p w:rsidR="00000000" w:rsidRDefault="00000000">
      <w:pPr>
        <w:pStyle w:val="BodyText"/>
      </w:pPr>
      <w:r>
        <w:tab/>
        <w:t>Представляется необходимым указать на важную гарантию, предусмотренную в статье 175, где налагается запрет на внесение любых поправок в положения, касающиеся принципов свободы и равенства, утверждаемых Конституцией, иначе как в целях обеспечения дополнительных гарантий свободы и равенства.</w:t>
      </w:r>
    </w:p>
    <w:p w:rsidR="00000000" w:rsidRDefault="00000000">
      <w:pPr>
        <w:pStyle w:val="BodyText"/>
      </w:pPr>
      <w:r>
        <w:tab/>
        <w:t>Из вышеуказанных положений Конституции и других законов, о которых будет сказано ниже, со всей очевидностью следует, что государство привержено идее достижения равенства женщин и мужчин в общих правах и обязанностях в соответствии с характером кувейтского общества и положениями исламского шариата, регламентирующими гражданское состояние в Государстве Кувейт.</w:t>
      </w:r>
    </w:p>
    <w:p w:rsidR="00000000" w:rsidRDefault="00000000">
      <w:pPr>
        <w:pStyle w:val="-1"/>
      </w:pPr>
      <w:r>
        <w:t>Статья 2</w:t>
      </w:r>
    </w:p>
    <w:p w:rsidR="00000000" w:rsidRDefault="00000000">
      <w:pPr>
        <w:pStyle w:val="BodyText"/>
      </w:pPr>
      <w:r>
        <w:tab/>
        <w:t>В данной статье содержится призыв к государствам-участникам включить принцип равноправия мужчин и женщин в свои национальные конституции или другое соответствующее законодательство и принять надлежащие меры для ликвидации дискриминации в отношении женщин, а также установить для них юридическую защиту от любых дискриминационных действий со стороны государственных органов или отдельных лиц.</w:t>
      </w:r>
    </w:p>
    <w:p w:rsidR="00000000" w:rsidRDefault="00000000">
      <w:pPr>
        <w:pStyle w:val="BodyText"/>
      </w:pPr>
      <w:r>
        <w:tab/>
        <w:t>Конституционные положения, гарантирующие равенство мужчин и женщин и недопущение дискриминации в отношении женщин в Государстве Кувейт, уже упоминались в связи со статьей 1.</w:t>
      </w:r>
    </w:p>
    <w:p w:rsidR="00000000" w:rsidRDefault="00000000">
      <w:pPr>
        <w:pStyle w:val="BodyText"/>
      </w:pPr>
      <w:r>
        <w:tab/>
        <w:t>Необходимо отметить, что конституционные нормы, которыми устанавливаются указанные права граждан, являются общими, объективными и беспристрастными; они распространяются на всех, без различия между мужчинами или женщинами. В этой связи властные структуры государства обязаны в ходе деятельности в сфере своей компетенции соблюдать принцип равенства мужчин и женщин, закрепленный в положениях Конституции. Для того чтобы женщины могли в полном объеме пользоваться этими правами и свободами, Конституция и законы Кувейта гарантируют женщинам право обращения в судебную инстанцию в случае нарушения любого из прав, установленного для них упомянутыми законами. В Конституции это право предусмотрено в статье 166, где говорится, что людям гарантировано право обращения в суд. В законе приводятся все меры и механизмы, необходимые для реализации этого права.</w:t>
      </w:r>
    </w:p>
    <w:p w:rsidR="00000000" w:rsidRDefault="00000000">
      <w:pPr>
        <w:pStyle w:val="BodyText"/>
      </w:pPr>
      <w:r>
        <w:tab/>
        <w:t>Кроме того, в пятой главе Конституции содержится свод основных принципов, призванных гарантировать женщинам использование этого права в предусмотренном объеме. Закон об организации судопроизводства № 23 1990 года содержит целый ряд правовых положений, связанных со сферой судопроизводства, целью которых является укрепление принципа независимости судебной власти.</w:t>
      </w:r>
    </w:p>
    <w:p w:rsidR="00000000" w:rsidRDefault="00000000">
      <w:pPr>
        <w:pStyle w:val="BodyText"/>
      </w:pPr>
      <w:r>
        <w:tab/>
        <w:t>К национальным законодательным актам, закрепляющим это право, относится и Закон № 17 1960 года о принятии Уголовно-процессуального кодекса, в положениях которого отражены процедуры, связанные с возбуждением уголовного иска, и необходимые для этого условия, и который предоставляет сторонам судебного разбирательства все правовые гарантии, предусмотренные кувейтским законодательством, приведенным в соответствие с нормами международной судебной практики (приложение 4).</w:t>
      </w:r>
    </w:p>
    <w:p w:rsidR="00000000" w:rsidRDefault="00000000">
      <w:pPr>
        <w:pStyle w:val="BodyText"/>
      </w:pPr>
      <w:r>
        <w:tab/>
        <w:t>В этой связи важно указать, что данный закон содержит особое положение об исполнении смертного приговора применительно к женщинам. Оно гласит: "При установлении того факта, что приговоренная к смертной казни женщина беременна или родила ребенка, исполнение приговора приостанавливается и дело возвращается в приговоривший ее к смертной казни суд в целях замены смертной казни пожизненным заключением".</w:t>
      </w:r>
    </w:p>
    <w:p w:rsidR="00000000" w:rsidRDefault="00000000">
      <w:pPr>
        <w:pStyle w:val="BodyText"/>
      </w:pPr>
      <w:r>
        <w:tab/>
        <w:t>Из сказанного явствует, что женщины в Государстве Кувейт пользуются правом в соответствии с упомянутыми ранее законодательными актами обращаться в судебную инстанцию в случае нарушения любого из их прав. При этом судебная власть через свои различные органы (административный, гражданский, коммерческий суд и суд по вопросам гражданского состояния) обязана обеспечить женщинам все предусмотренные средства правовой защиты. Если женщины используют эти средства, судья применяет действующие законодательные акты и положения рассматриваемой Конвенции, вошедшие после присоединения к ней Кувейта в его национальное законодательство, которое должно исполняться, как указывалось выше.</w:t>
      </w:r>
    </w:p>
    <w:p w:rsidR="00000000" w:rsidRDefault="00000000">
      <w:pPr>
        <w:pStyle w:val="BodyText"/>
      </w:pPr>
      <w:r>
        <w:tab/>
        <w:t>Необходимо отметить, что кувейтский суд справедлив и беспристрастен, и на постановление судьи не может влиять никакая инстанция. В статье 163 Конституции устанавливается основополагающий и важный принцип независимости судебной власти и невмешательства в отправление правосудия. Был также принят Закон об организации судопроизводства, в котором данный принцип получил отражение в виде гарантий предоставленных судьям, учитывая тот факт, что честность суда и беспристрастность судей составляют основу правления и гарантию прав и свобод.</w:t>
      </w:r>
    </w:p>
    <w:p w:rsidR="00000000" w:rsidRDefault="00000000">
      <w:pPr>
        <w:pStyle w:val="BodyText"/>
      </w:pPr>
      <w:r>
        <w:tab/>
        <w:t>Что касается роли национальных учреждений в защите прав и свобод, гарантируемых Конституцией, то следует указать, что 24 октября 1962 года Национальное собрание сформировало постоянную парламентскую комиссию по защите прав человека в составе семи членов Собрания. Учреждение кувейтским парламентом этой комиссии свидетельствует о его внимании к данному вопросу и о том значении, которое он придает этой важной гуманитарной проблеме, а также о его стремлении гарантировать равенство при реализации прав, что составляет одну из основ современного государства, где обеспечивается правосудие и верховенство закона.</w:t>
      </w:r>
    </w:p>
    <w:p w:rsidR="00000000" w:rsidRDefault="00000000">
      <w:pPr>
        <w:pStyle w:val="BodyText"/>
      </w:pPr>
      <w:r>
        <w:tab/>
        <w:t>Полномочия упомянутой комиссии включают:</w:t>
      </w:r>
    </w:p>
    <w:p w:rsidR="00000000" w:rsidRDefault="00000000">
      <w:pPr>
        <w:pStyle w:val="BodyText"/>
        <w:spacing w:after="120"/>
      </w:pPr>
      <w:r>
        <w:tab/>
        <w:t>–</w:t>
      </w:r>
      <w:r>
        <w:tab/>
        <w:t>изучение законодательных актов, действующих в Государстве Кувейт, в частности уголовного законодательства, а также законов, касающихся пенитенциарных учреждений, и соответствующих правил и норм, принятие мер по исключению из них всего, что может наносить ущерб гражданским и политическим правам, и внесение предложений об их изменении в целях обеспечения действенных гарантий прав человека;</w:t>
      </w:r>
    </w:p>
    <w:p w:rsidR="00000000" w:rsidRDefault="00000000">
      <w:pPr>
        <w:pStyle w:val="BodyText"/>
        <w:spacing w:after="120"/>
      </w:pPr>
      <w:r>
        <w:tab/>
        <w:t>–</w:t>
      </w:r>
      <w:r>
        <w:tab/>
        <w:t>наблюдение за деятельностью государственных учреждений с точки зрения соблюдения ими прав человека;</w:t>
      </w:r>
    </w:p>
    <w:p w:rsidR="00000000" w:rsidRDefault="00000000">
      <w:pPr>
        <w:pStyle w:val="BodyText"/>
      </w:pPr>
      <w:r>
        <w:tab/>
        <w:t>–</w:t>
      </w:r>
      <w:r>
        <w:tab/>
        <w:t>прием жалоб и нахождение наиболее приемлемых вариантов разрешения поднятых в них проблем, а также проверка мер, принимаемых по ним соответствующими официальными органами. Комиссия рассмотрела множество вопросов и проблем, связанных с правами человека в Государстве Кувейт, и провела работу по отслеживанию мер, принимаемых в этом отношении компетентными государственными органами.</w:t>
      </w:r>
    </w:p>
    <w:p w:rsidR="00000000" w:rsidRDefault="00000000">
      <w:pPr>
        <w:pStyle w:val="-1"/>
      </w:pPr>
      <w:r>
        <w:t>Статья 3</w:t>
      </w:r>
    </w:p>
    <w:p w:rsidR="00000000" w:rsidRDefault="00000000">
      <w:pPr>
        <w:pStyle w:val="BodyText"/>
      </w:pPr>
      <w:r>
        <w:tab/>
        <w:t>В данной статье содержится призыв к государствам-участникам принять все соответствующие меры, включая законодательные, для обеспечения всестороннего развития и прогресса женщин во всех областях, с тем чтобы гарантировать им осуществление прав человека и основных свобод и пользование ими на основе равенства с мужчинами.</w:t>
      </w:r>
    </w:p>
    <w:p w:rsidR="00000000" w:rsidRDefault="00000000">
      <w:pPr>
        <w:pStyle w:val="BodyText"/>
      </w:pPr>
      <w:r>
        <w:tab/>
        <w:t>Государство Кувейт сознает важность создания механизмов, которые обеспечили бы полную реализацию женщинами основных прав и свобод, признанных в Конституции и законодательных актах Кувейта. Поэтому государство стремится учредить в ряде государственных ведомств отделы по делам женщин с целью их развития и прогресса в областях, входящих в сферу компетенции каждого из них. Конкретно речь идет о следующих подразделениях:</w:t>
      </w:r>
    </w:p>
    <w:p w:rsidR="00000000" w:rsidRDefault="00000000">
      <w:pPr>
        <w:pStyle w:val="BodyText"/>
      </w:pPr>
      <w:r>
        <w:t xml:space="preserve">a)  </w:t>
      </w:r>
      <w:r>
        <w:rPr>
          <w:u w:val="single"/>
        </w:rPr>
        <w:t>Отдел по делам семьи и женщин</w:t>
      </w:r>
    </w:p>
    <w:p w:rsidR="00000000" w:rsidRDefault="00000000">
      <w:pPr>
        <w:pStyle w:val="BodyText"/>
      </w:pPr>
      <w:r>
        <w:tab/>
        <w:t>Отдел был создан в составе Департамента по делам детей Министерства труда и социальных дел на основании Распоряжения по министерству № 65 1997 года. На отдел возложены следующие задачи:</w:t>
      </w:r>
    </w:p>
    <w:p w:rsidR="00000000" w:rsidRDefault="00000000">
      <w:pPr>
        <w:pStyle w:val="BodyText"/>
        <w:spacing w:after="120"/>
      </w:pPr>
      <w:r>
        <w:tab/>
        <w:t>–</w:t>
      </w:r>
      <w:r>
        <w:tab/>
        <w:t>разработка единого комплексного плана обеспечения прогресса кувейтских женщин на основе ценностей кувейтского общества и учения истинной религии Ислама;</w:t>
      </w:r>
    </w:p>
    <w:p w:rsidR="00000000" w:rsidRDefault="00000000">
      <w:pPr>
        <w:pStyle w:val="BodyText"/>
        <w:spacing w:after="120"/>
      </w:pPr>
      <w:r>
        <w:tab/>
        <w:t>–</w:t>
      </w:r>
      <w:r>
        <w:tab/>
        <w:t>подготовка программ деятельности на благо семьи и женщин, что позволило бы им выполнять свои социальные и культурные функции, и контроль за осуществлением этих программ;</w:t>
      </w:r>
    </w:p>
    <w:p w:rsidR="00000000" w:rsidRDefault="00000000">
      <w:pPr>
        <w:pStyle w:val="BodyText"/>
        <w:spacing w:after="120"/>
      </w:pPr>
      <w:r>
        <w:tab/>
        <w:t>–</w:t>
      </w:r>
      <w:r>
        <w:tab/>
        <w:t>контроль за выполнением международных конвенций и других документов в отношении семьи и женщин в координации с компетентными государственными органами;</w:t>
      </w:r>
    </w:p>
    <w:p w:rsidR="00000000" w:rsidRDefault="00000000">
      <w:pPr>
        <w:pStyle w:val="BodyText"/>
        <w:spacing w:after="120"/>
      </w:pPr>
      <w:r>
        <w:tab/>
        <w:t>–</w:t>
      </w:r>
      <w:r>
        <w:tab/>
        <w:t>просветительская работа среди женщин с целью разъяснения им их прав и обязанностей в отношении семьи;</w:t>
      </w:r>
    </w:p>
    <w:p w:rsidR="00000000" w:rsidRDefault="00000000">
      <w:pPr>
        <w:pStyle w:val="BodyText"/>
      </w:pPr>
      <w:r>
        <w:tab/>
        <w:t>–</w:t>
      </w:r>
      <w:r>
        <w:tab/>
        <w:t>сбор и анализ данных, касающихся женщин, для проведения исследований на местах с целью определения круга проблем женщин и формулирования предложений по их приемлемому разрешению в сотрудничестве с соответствующими министерствами.</w:t>
      </w:r>
    </w:p>
    <w:p w:rsidR="00000000" w:rsidRDefault="00000000">
      <w:pPr>
        <w:pStyle w:val="BodyText"/>
      </w:pPr>
      <w:r>
        <w:t xml:space="preserve">b)  </w:t>
      </w:r>
      <w:r>
        <w:rPr>
          <w:u w:val="single"/>
        </w:rPr>
        <w:t>Высшая комиссия по делам детей и семьи</w:t>
      </w:r>
    </w:p>
    <w:p w:rsidR="00000000" w:rsidRDefault="00000000">
      <w:pPr>
        <w:pStyle w:val="BodyText"/>
      </w:pPr>
      <w:r>
        <w:tab/>
        <w:t>На основании постановления Совета министров № 95/II от 23 января 2000 года была создана Высшая комиссия по делам детей и семьи в Государстве Кувейт, в состав которой должны были войти представители ряда государственных органов и учреждений. Было издано Распоряжение по министерству № 143 2000 года о формировании такой комиссии для выполнения следующих задач:</w:t>
      </w:r>
    </w:p>
    <w:p w:rsidR="00000000" w:rsidRDefault="00000000">
      <w:pPr>
        <w:pStyle w:val="BodyText"/>
      </w:pPr>
      <w:r>
        <w:tab/>
        <w:t>–</w:t>
      </w:r>
      <w:r>
        <w:tab/>
        <w:t>контроль за выполнением конвенций и рекомендаций конференций по проблемам детей, женщин и семьи соответствующими органами власти и оценка мер, принимаемых в этой связи;</w:t>
      </w:r>
    </w:p>
    <w:p w:rsidR="00000000" w:rsidRDefault="00000000">
      <w:pPr>
        <w:pStyle w:val="BodyText"/>
      </w:pPr>
      <w:r>
        <w:tab/>
        <w:t>–</w:t>
      </w:r>
      <w:r>
        <w:tab/>
        <w:t>разработка общенациональных планов по проблемам детей, женщин и семьи и контроль за их выполнением;</w:t>
      </w:r>
    </w:p>
    <w:p w:rsidR="00000000" w:rsidRDefault="00000000">
      <w:pPr>
        <w:pStyle w:val="BodyText"/>
      </w:pPr>
      <w:r>
        <w:tab/>
        <w:t>–</w:t>
      </w:r>
      <w:r>
        <w:tab/>
        <w:t>создание современной базы данных о детях, женщинах и семье;</w:t>
      </w:r>
    </w:p>
    <w:p w:rsidR="00000000" w:rsidRDefault="00000000">
      <w:pPr>
        <w:pStyle w:val="BodyText"/>
      </w:pPr>
      <w:r>
        <w:tab/>
        <w:t>–</w:t>
      </w:r>
      <w:r>
        <w:tab/>
        <w:t>формулирование и внесение предложений в отношении национальных планов и проектов на благо детей, женщин и семьи;</w:t>
      </w:r>
    </w:p>
    <w:p w:rsidR="00000000" w:rsidRDefault="00000000">
      <w:pPr>
        <w:pStyle w:val="BodyText"/>
      </w:pPr>
      <w:r>
        <w:tab/>
        <w:t>–</w:t>
      </w:r>
      <w:r>
        <w:tab/>
        <w:t>пересмотр законодательных актов и норм, касающихся детей, женщин и семьи, и внесение предложений о повышении их эффективности и дальнейшем развитии.</w:t>
      </w:r>
    </w:p>
    <w:p w:rsidR="00000000" w:rsidRDefault="00000000">
      <w:pPr>
        <w:pStyle w:val="BodyText"/>
      </w:pPr>
      <w:r>
        <w:t xml:space="preserve">с)  </w:t>
      </w:r>
      <w:r>
        <w:rPr>
          <w:u w:val="single"/>
        </w:rPr>
        <w:t>Управление по первичному медико-санитарному обслуживанию</w:t>
      </w:r>
    </w:p>
    <w:p w:rsidR="00000000" w:rsidRDefault="00000000">
      <w:pPr>
        <w:pStyle w:val="BodyText"/>
      </w:pPr>
      <w:r>
        <w:tab/>
        <w:t>Это Управление подчиняется Министерству здравоохранения и выполняет задачи по охране здоровья женщин и медицинскому просвещению, а также по обеспечению необходимого медицинского обслуживания матери и ребенка.</w:t>
      </w:r>
    </w:p>
    <w:p w:rsidR="00000000" w:rsidRDefault="00000000">
      <w:pPr>
        <w:pStyle w:val="BodyText"/>
      </w:pPr>
      <w:r>
        <w:t xml:space="preserve">d)  </w:t>
      </w:r>
      <w:r>
        <w:rPr>
          <w:u w:val="single"/>
        </w:rPr>
        <w:t>Центр материнства и детства</w:t>
      </w:r>
    </w:p>
    <w:p w:rsidR="00000000" w:rsidRDefault="00000000">
      <w:pPr>
        <w:pStyle w:val="BodyText"/>
      </w:pPr>
      <w:r>
        <w:tab/>
        <w:t>Цели данного Центра включают создание здоровой и приемлемой среды для развития членов общества через повышение осведомленности, грамотности и культуры в интересах улучшения качества семейной жизни всех граждан путем проведения культурно-воспитательной пропаганды и распространения знаний по психологическим, воспитательным и социальным проблемам.</w:t>
      </w:r>
    </w:p>
    <w:p w:rsidR="00000000" w:rsidRDefault="00000000">
      <w:pPr>
        <w:pStyle w:val="BodyText"/>
      </w:pPr>
      <w:r>
        <w:tab/>
        <w:t>Центр выполнил ряд исследований и работ в сфере своего ведения, включая издание книги "Права женщины и ребенка в Кувейте", целью которой является распространение информации о правах женщины и ребенка, повышение осведомленности о концепциях и ценностях, призывающих к недопущению дискриминации в отношении женщин, и ознакомление читателей с международными конвенциями по правам женщин и ребенка.</w:t>
      </w:r>
    </w:p>
    <w:p w:rsidR="00000000" w:rsidRDefault="00000000">
      <w:pPr>
        <w:pStyle w:val="BodyText"/>
        <w:rPr>
          <w:u w:val="single"/>
        </w:rPr>
      </w:pPr>
      <w:r>
        <w:t xml:space="preserve">e)  </w:t>
      </w:r>
      <w:r>
        <w:rPr>
          <w:u w:val="single"/>
        </w:rPr>
        <w:t>Бюро семейных консультаций в составе Министерства юстиции</w:t>
      </w:r>
    </w:p>
    <w:p w:rsidR="00000000" w:rsidRDefault="00000000">
      <w:pPr>
        <w:pStyle w:val="BodyText"/>
        <w:rPr>
          <w:spacing w:val="-2"/>
        </w:rPr>
      </w:pPr>
      <w:r>
        <w:rPr>
          <w:spacing w:val="-2"/>
        </w:rPr>
        <w:tab/>
        <w:t xml:space="preserve">В Бюро принимают супругов, сталкивающихся с семейными проблемами, которые угрожают целостности семьи, с целью оказания им помощи в преодолении причин конфликтов и нахождении приемлемых вариантов их разрешения. Необходимо отметить, что опыт Кувейта по созданию такого бюро с целью давать семьям рекомендации в законодательной, психологической и социальной областях для сохранения единства и стабильности семьи, а также для снижения коэффициента разводимости за счет роста показателей примирения, является новаторским. До недавнего времени Кувейт был единственным на Ближнем Востоке государством, имеющим подобную структуру. Его опыт оказался полезным для многих дружественных стран. Благодаря усилиям Бюро удалось в 856 случаях добиться примирения супругов и только в период с 1 января по 30 июня 2000 года примирить еще </w:t>
      </w:r>
      <w:r>
        <w:rPr>
          <w:spacing w:val="-2"/>
        </w:rPr>
        <w:br/>
        <w:t>720 супружеских пар. Планируется периодически отслеживать положение в этих семьях для сохранения и в дальнейшем их целостности и недопущения повторения конфликтов. Бюро планирует давать консультации разведенным супругам после распада семьи для информирования сторон об их правах и обязанностях в отношении друг друга и детей. Предполагается открыть отделения Бюро в губернаторствах для охвата его услугами более широких слоев общества.</w:t>
      </w:r>
    </w:p>
    <w:p w:rsidR="00000000" w:rsidRDefault="00000000">
      <w:pPr>
        <w:pStyle w:val="BodyText"/>
        <w:rPr>
          <w:u w:val="single"/>
        </w:rPr>
      </w:pPr>
      <w:r>
        <w:t xml:space="preserve">f)  </w:t>
      </w:r>
      <w:r>
        <w:rPr>
          <w:u w:val="single"/>
        </w:rPr>
        <w:t>Комитет по делам женщин при Cовете министров</w:t>
      </w:r>
    </w:p>
    <w:p w:rsidR="00000000" w:rsidRDefault="00000000">
      <w:pPr>
        <w:pStyle w:val="BodyText"/>
      </w:pPr>
      <w:r>
        <w:tab/>
        <w:t>В задачи этого Комитета входит контроль за положением женщины в стране и участие в региональных и международных конференциях и мероприятиях, касающихся женщин.</w:t>
      </w:r>
    </w:p>
    <w:p w:rsidR="00000000" w:rsidRDefault="00000000">
      <w:pPr>
        <w:pStyle w:val="BodyText"/>
      </w:pPr>
      <w:r>
        <w:t xml:space="preserve">g)  </w:t>
      </w:r>
      <w:r>
        <w:rPr>
          <w:u w:val="single"/>
        </w:rPr>
        <w:t>Вакуфный фонд научного и социального развития</w:t>
      </w:r>
    </w:p>
    <w:p w:rsidR="00000000" w:rsidRDefault="00000000">
      <w:pPr>
        <w:pStyle w:val="BodyText"/>
      </w:pPr>
      <w:r>
        <w:tab/>
        <w:t>Этот Фонд считается одной из важнейших опор социального развития в силу того, что он занимается самыми разнообразными вопросами. Так, в его состав вошли три ранее существовавших вакуфных фонда – Вакуфный фонд попечения о семье, Вакуфный фонд культуры и мысли и, наконец, Вакуфный фонд научного развития, составлявшие базу развития общества. Указанный Фонд позволил добиться успехов в науке, культуре, здравоохранении и охране окружающей среды, а также в предоставлении услуг инвалидам и другим особым в социальном и семейном плане категориям лиц.</w:t>
      </w:r>
    </w:p>
    <w:p w:rsidR="00000000" w:rsidRDefault="00000000">
      <w:pPr>
        <w:pStyle w:val="BodyText"/>
      </w:pPr>
      <w:r>
        <w:tab/>
        <w:t>Следует отметить, что Фонд уделяет особое внимание важнейшим субъектам развития в обществе, которые способствуют повышению эффективности роли семьи, сохранению ее целостности и связи между ее членами. К значительным результатам привело участие Фонда в следующих проектах:</w:t>
      </w:r>
    </w:p>
    <w:p w:rsidR="00000000" w:rsidRDefault="00000000">
      <w:pPr>
        <w:pStyle w:val="BodyText"/>
        <w:spacing w:after="0"/>
      </w:pPr>
      <w:r>
        <w:tab/>
        <w:t>–</w:t>
      </w:r>
      <w:r>
        <w:tab/>
        <w:t>проект "Ман кясаб яди" ("Плоды моего труда");</w:t>
      </w:r>
    </w:p>
    <w:p w:rsidR="00000000" w:rsidRDefault="00000000">
      <w:pPr>
        <w:pStyle w:val="BodyText"/>
      </w:pPr>
      <w:r>
        <w:tab/>
        <w:t>–</w:t>
      </w:r>
      <w:r>
        <w:tab/>
        <w:t>проект проведения реформ "Зат аль-Бейн" ("Примирение").</w:t>
      </w:r>
    </w:p>
    <w:p w:rsidR="00000000" w:rsidRDefault="00000000">
      <w:pPr>
        <w:pStyle w:val="BodyText"/>
      </w:pPr>
      <w:r>
        <w:tab/>
        <w:t>В отношении деятельности частного сектора следует отметить, что в состав некоторых объединений, работающих на благо общества, входят комитеты по делам женщин, задачей которых является наблюдение за решением проблем женщин на всех уровнях и осуществление целого ряда других актуальных для женщин видов деятельности. Так, в стране имеется Комитет объединений общественного блага и Комитет защиты прав женщины при Ассоциации кувейтских адвокатов, которые уделяют необходимое внимание проблемам женщин на всех уровнях.</w:t>
      </w:r>
    </w:p>
    <w:p w:rsidR="00000000" w:rsidRDefault="00000000">
      <w:pPr>
        <w:pStyle w:val="BodyText"/>
      </w:pPr>
      <w:r>
        <w:tab/>
        <w:t>В числе кувейтских объединений общественного блага имеется пять женских объединений, работающих с женщинами. Со времени учреждения им удалось добиться целого ряда достижений, о чем будет упомянуто в комментариях в связи с соответствующими статьями Конвенции.</w:t>
      </w:r>
    </w:p>
    <w:p w:rsidR="00000000" w:rsidRDefault="00000000">
      <w:pPr>
        <w:pStyle w:val="-1"/>
      </w:pPr>
      <w:r>
        <w:t>Статья 4</w:t>
      </w:r>
    </w:p>
    <w:p w:rsidR="00000000" w:rsidRDefault="00000000">
      <w:pPr>
        <w:pStyle w:val="BodyText"/>
      </w:pPr>
      <w:r>
        <w:tab/>
        <w:t>Согласно данной статье, принятие государствами-участниками временных специальных мер, направленных на ускорение установления фактического равенства между мужчинами и женщинами, не считается, как это определено в Конвенции, дискриминационным, равно как и принятие государствами-участниками специальных мер, направленных на охрану материнства.</w:t>
      </w:r>
    </w:p>
    <w:p w:rsidR="00000000" w:rsidRDefault="00000000">
      <w:pPr>
        <w:pStyle w:val="BodyText"/>
      </w:pPr>
      <w:r>
        <w:tab/>
        <w:t>В связи с пунктом 2 статьи, касающимся принимаемых государством мер по охране материнства, следует отметить, что в законодательстве Кувейта имеется множество актов, направленных на обеспечение охраны женщин и материнства. Центральное место среди них занимает кувейтская Конституция, где семья рассматривается как основа общества с опорой на религию, мораль и любовь к родине. Закон стоит на страже института семьи, призван укреплять семейные узы и обеспечивать охрану материнства и детства (ст. 9).</w:t>
      </w:r>
    </w:p>
    <w:p w:rsidR="00000000" w:rsidRDefault="00000000">
      <w:pPr>
        <w:pStyle w:val="BodyText"/>
      </w:pPr>
      <w:r>
        <w:tab/>
        <w:t>В соответствии с конституционным принципом о том, что государство гарантирует охрану материнства, в Кувейте был принят целый ряд законодательных актов, в которые включены положения, направленные на охрану материнства и детства. Имеются в виду следующие акты:</w:t>
      </w:r>
    </w:p>
    <w:p w:rsidR="00000000" w:rsidRDefault="00000000">
      <w:pPr>
        <w:pStyle w:val="BodyText"/>
        <w:spacing w:after="0"/>
      </w:pPr>
      <w:r>
        <w:tab/>
        <w:t>a)</w:t>
      </w:r>
      <w:r>
        <w:tab/>
        <w:t>Закон о гражданском состоянии № 51 1984 года;</w:t>
      </w:r>
    </w:p>
    <w:p w:rsidR="00000000" w:rsidRDefault="00000000">
      <w:pPr>
        <w:pStyle w:val="BodyText"/>
        <w:spacing w:after="0"/>
      </w:pPr>
      <w:r>
        <w:tab/>
        <w:t>b)</w:t>
      </w:r>
      <w:r>
        <w:tab/>
        <w:t>Декрет в отношении Закона № 15 1979 года о гражданской службе;</w:t>
      </w:r>
    </w:p>
    <w:p w:rsidR="00000000" w:rsidRDefault="00000000">
      <w:pPr>
        <w:pStyle w:val="BodyText"/>
        <w:spacing w:after="0"/>
      </w:pPr>
      <w:r>
        <w:tab/>
        <w:t>c)</w:t>
      </w:r>
      <w:r>
        <w:tab/>
        <w:t>Декрет об уставах гражданской службы;</w:t>
      </w:r>
    </w:p>
    <w:p w:rsidR="00000000" w:rsidRDefault="00000000">
      <w:pPr>
        <w:pStyle w:val="BodyText"/>
        <w:spacing w:after="0"/>
      </w:pPr>
      <w:r>
        <w:tab/>
        <w:t>d)</w:t>
      </w:r>
      <w:r>
        <w:tab/>
        <w:t>Закон № 38 1964 года о работе в государственном секторе;</w:t>
      </w:r>
    </w:p>
    <w:p w:rsidR="00000000" w:rsidRDefault="00000000">
      <w:pPr>
        <w:pStyle w:val="BodyText"/>
        <w:spacing w:after="0"/>
      </w:pPr>
      <w:r>
        <w:tab/>
        <w:t>e)</w:t>
      </w:r>
      <w:r>
        <w:tab/>
        <w:t>Закон о социальном страховании № 61 1976 года (с внесенными в него поправками);</w:t>
      </w:r>
    </w:p>
    <w:p w:rsidR="00000000" w:rsidRDefault="00000000">
      <w:pPr>
        <w:pStyle w:val="BodyText"/>
        <w:spacing w:after="0"/>
      </w:pPr>
      <w:r>
        <w:tab/>
        <w:t>f)</w:t>
      </w:r>
      <w:r>
        <w:tab/>
        <w:t>Декрет о принятии Закона № 22 1978 года по вопросу государственных субсидий;</w:t>
      </w:r>
    </w:p>
    <w:p w:rsidR="00000000" w:rsidRDefault="00000000">
      <w:pPr>
        <w:pStyle w:val="BodyText"/>
        <w:spacing w:after="0"/>
      </w:pPr>
      <w:r>
        <w:tab/>
        <w:t>g)</w:t>
      </w:r>
      <w:r>
        <w:tab/>
        <w:t>Закон № 16 1960 года о принятии Уголовного кодекса (с внесенными в него поправками);</w:t>
      </w:r>
    </w:p>
    <w:p w:rsidR="00000000" w:rsidRDefault="00000000">
      <w:pPr>
        <w:pStyle w:val="BodyText"/>
        <w:spacing w:after="0"/>
      </w:pPr>
      <w:r>
        <w:tab/>
        <w:t>h)</w:t>
      </w:r>
      <w:r>
        <w:tab/>
        <w:t>Закон № 17 1960 года об Уголовно-процессуальном кодексе;</w:t>
      </w:r>
    </w:p>
    <w:p w:rsidR="00000000" w:rsidRDefault="00000000">
      <w:pPr>
        <w:pStyle w:val="BodyText"/>
        <w:spacing w:after="0"/>
      </w:pPr>
      <w:r>
        <w:tab/>
        <w:t>i)</w:t>
      </w:r>
      <w:r>
        <w:tab/>
        <w:t>Закон № 26 1962 года об организации тюрем.</w:t>
      </w:r>
    </w:p>
    <w:p w:rsidR="00000000" w:rsidRDefault="00000000">
      <w:pPr>
        <w:pStyle w:val="BodyText"/>
      </w:pPr>
    </w:p>
    <w:p w:rsidR="00000000" w:rsidRDefault="00000000">
      <w:pPr>
        <w:pStyle w:val="BodyText"/>
      </w:pPr>
      <w:r>
        <w:tab/>
        <w:t>В указанных законодательных актах женщинам уделяется особое внимание. Так, в них включены положения о дополнительной защите женщин и об оказании им помощи, с тем чтобы они могли сочетать свои материнские обязанности с ответственностью в качестве члена общества. Указанные законодательные акты будут более подробно освещены в настоящем Докладе ниже.</w:t>
      </w:r>
    </w:p>
    <w:p w:rsidR="00000000" w:rsidRDefault="00000000">
      <w:pPr>
        <w:pStyle w:val="BodyText"/>
      </w:pPr>
      <w:r>
        <w:tab/>
        <w:t>Что касается услуг здравоохранения, предоставляемых женщинам в Кувейте, то нужно отметить, что женщины получают эти услуги в полном объеме по линии Министерства здравоохранения, подчиненных ему медицинских органов, которые охватывают все губернаторства и районы страны. Подробно данный вопрос будет освещен в связи со статьей 12.</w:t>
      </w:r>
    </w:p>
    <w:p w:rsidR="00000000" w:rsidRDefault="00000000">
      <w:pPr>
        <w:pStyle w:val="-1"/>
      </w:pPr>
      <w:r>
        <w:t>Статья 5</w:t>
      </w:r>
    </w:p>
    <w:p w:rsidR="00000000" w:rsidRDefault="00000000">
      <w:pPr>
        <w:pStyle w:val="BodyText"/>
      </w:pPr>
      <w:r>
        <w:tab/>
        <w:t>В статье 5 содержится призыв к государствам-участникам о принятии всех соответствующих мер для изменения социальных и культурных моделей поведения мужчины и женщины с целью добиться искоренения предрассудков и практики, которые основаны на идее превосходства одного из полов над другим, с тем чтобы семейное воспитание включало в себя правильное понимание материнства как социальной функции.</w:t>
      </w:r>
    </w:p>
    <w:p w:rsidR="00000000" w:rsidRDefault="00000000">
      <w:pPr>
        <w:pStyle w:val="BodyText"/>
      </w:pPr>
      <w:r>
        <w:tab/>
        <w:t>Политика, проводимая государством в сфере противодействия обычаям и практике, которые порождают социальные и культурные модели, препятствующие процессу развития, опирается главным образом на просвещение и повышение информированности людей. Наряду с программами в области образования и здравоохранения важную роль играют средства массовой информации через свои программы по повышению информированности, ориентированные на семью вообще и на женщин в частности. Это помогает решать многие вопросы и проблемы, касающиеся женщин. Семьи также получают советы и рекомендации с целью помочь женщинам в наиболее полной мере выполнять свои семейные функции. Кроме того, разработанные государством планы в области здравоохранения, позволили добиться ощутимых результатов в образовании, обеспечении благополучия семьи и распространении знаний по вопросам здравоохранения.</w:t>
      </w:r>
    </w:p>
    <w:p w:rsidR="00000000" w:rsidRDefault="00000000">
      <w:pPr>
        <w:pStyle w:val="BodyText"/>
      </w:pPr>
      <w:r>
        <w:tab/>
        <w:t>Следует отметить, что в контексте усилий, предпринимаемых в этой области, Министерство просвещения стремится к тому, чтобы разрабатываемые им программы и учебные планы обеспечивали процесс семейного воспитания, основанный на полном понимании роли мужчин и женщин в отношении семьи и материнства.</w:t>
      </w:r>
    </w:p>
    <w:p w:rsidR="00000000" w:rsidRDefault="00000000">
      <w:pPr>
        <w:pStyle w:val="BodyText"/>
      </w:pPr>
      <w:r>
        <w:tab/>
        <w:t>Заметны также усилия, прилагаемые в этом направлении частными объединениями, которым удалось добиться значительного прогресса в области заботы о семье, воспитания детей и надлежащего проведения досуга членов семьи, а также поощрения добровольной деятельности в рамках разрабатываемых с этой целью программ.</w:t>
      </w:r>
    </w:p>
    <w:p w:rsidR="00000000" w:rsidRDefault="00000000">
      <w:pPr>
        <w:pStyle w:val="BodyText"/>
      </w:pPr>
      <w:r>
        <w:tab/>
        <w:t>В кувейтской семье ответственность за воспитание детей несут совместно мужчины и женщины. Данную работу выполняю и те, и другие.</w:t>
      </w:r>
    </w:p>
    <w:p w:rsidR="00000000" w:rsidRDefault="00000000">
      <w:pPr>
        <w:pStyle w:val="BodyText"/>
      </w:pPr>
      <w:r>
        <w:tab/>
        <w:t>Правительство уделяет семье особое внимание, что нашло отражение в целом ряде законодательных и нормативных актов по данному вопросу. Их цель – на законодательном уровне содействовать обеспечению безопасности и стабильности семьи, с тем, чтобы оба родителя могли в полной мере выполнять свои семейные обязанности.</w:t>
      </w:r>
    </w:p>
    <w:p w:rsidR="00000000" w:rsidRDefault="00000000">
      <w:pPr>
        <w:pStyle w:val="BodyText"/>
      </w:pPr>
      <w:r>
        <w:tab/>
        <w:t>Кувейтская Конституция, представляющая собой правовую основу для социального законодательства, содержит целый ряд положений, определяющих основные принципы и правила, на которых зиждется кувейтское общество, направленных на сохранение достоинства, прав и свобод человека. Она определяет также обязанности государства по отношению к матерям и детям. Указанные принципы можно проиллюстрировать следующими положениями:</w:t>
      </w:r>
    </w:p>
    <w:p w:rsidR="00000000" w:rsidRDefault="00000000">
      <w:pPr>
        <w:pStyle w:val="a"/>
        <w:ind w:left="0" w:firstLine="0"/>
      </w:pPr>
      <w:r>
        <w:tab/>
        <w:t>a)</w:t>
      </w:r>
      <w:r>
        <w:tab/>
        <w:t>Справедливость, свобода и равенство – основы общества, а сотрудничество и милосердие друг к другу – неразрывные узы между гражданами (ст. 7).</w:t>
      </w:r>
    </w:p>
    <w:p w:rsidR="00000000" w:rsidRDefault="00000000">
      <w:pPr>
        <w:pStyle w:val="a"/>
        <w:ind w:left="0" w:firstLine="0"/>
      </w:pPr>
      <w:r>
        <w:tab/>
        <w:t>b)</w:t>
      </w:r>
      <w:r>
        <w:tab/>
        <w:t>Государство охраняет основы общества, гарантирует безопасность и равенство возможностей граждан (ст. 8).</w:t>
      </w:r>
    </w:p>
    <w:p w:rsidR="00000000" w:rsidRDefault="00000000">
      <w:pPr>
        <w:pStyle w:val="a"/>
        <w:ind w:left="0" w:firstLine="0"/>
      </w:pPr>
      <w:r>
        <w:tab/>
        <w:t>c)</w:t>
      </w:r>
      <w:r>
        <w:tab/>
        <w:t>Семья – основа общества. Она опирается на религию, мораль и любовь к родине. Закон стоит на страже целостности семьи, призван укреплять семейные узы и обеспечивать охрану материнства и детства (ст. 9).</w:t>
      </w:r>
    </w:p>
    <w:p w:rsidR="00000000" w:rsidRDefault="00000000">
      <w:pPr>
        <w:pStyle w:val="a"/>
        <w:ind w:left="0" w:firstLine="0"/>
      </w:pPr>
      <w:r>
        <w:tab/>
        <w:t>d)</w:t>
      </w:r>
      <w:r>
        <w:tab/>
        <w:t>Государство заботится о подрастающем поколении, защищает его от эксплуатации и создает все условия, для того чтобы его нравственные, физические и духовные возможности были достойным образом востребованы (ст. 10).</w:t>
      </w:r>
    </w:p>
    <w:p w:rsidR="00000000" w:rsidRDefault="00000000">
      <w:pPr>
        <w:pStyle w:val="BodyText"/>
      </w:pPr>
      <w:r>
        <w:tab/>
        <w:t>Что касается других кувейтских законодательных актов, то необходимо указать, что в разделах 4 и 5 кувейтского Закона о гражданском состоянии содержатся некоторые положения, касающиеся грудного вскармливания, того, кому и на каких условиях вверяется попечение о детях. В разделе 6 регулируется вопрос обеспечения средств на содержание, что согласно статьям 202 и 203 является обязанностью родителей. В соответствии с этими статьями средства на содержание детей (алименты) обязан предоставлять отец, как если он состоит в браке, так и если брак расторгнут. Однако в некоторых случаях, когда мать обеспечена, а отец не обеспечен, это является обязанностью матери, но остается долгом и для отца.</w:t>
      </w:r>
    </w:p>
    <w:p w:rsidR="00000000" w:rsidRDefault="00000000">
      <w:pPr>
        <w:pStyle w:val="BodyText"/>
      </w:pPr>
      <w:r>
        <w:tab/>
        <w:t>В соответствии со статьей 204 в случае, если право на получение содержания имеет ряд лиц, а лицо, обязанное его обеспечить, не имеет достаточно средств, чтобы содержать их всех, первоочередное право на содержание имеют жена и дети.</w:t>
      </w:r>
    </w:p>
    <w:p w:rsidR="00000000" w:rsidRDefault="00000000">
      <w:pPr>
        <w:pStyle w:val="BodyText"/>
      </w:pPr>
      <w:r>
        <w:tab/>
        <w:t>Указанные тексты ясно свидетельствуют о том, что ответственность за благополучие и воспитание детей совместно несут отец и мать.</w:t>
      </w:r>
    </w:p>
    <w:p w:rsidR="00000000" w:rsidRDefault="00000000">
      <w:pPr>
        <w:pStyle w:val="BodyText"/>
      </w:pPr>
      <w:r>
        <w:tab/>
        <w:t>Представляется полезным указать в связи с данной статьей на некоторые цели, которые преследует политика социальных гарантий для охраны семьи и ее развития в Государстве Кувейт. К ним относятся:</w:t>
      </w:r>
    </w:p>
    <w:p w:rsidR="00000000" w:rsidRDefault="00000000">
      <w:pPr>
        <w:pStyle w:val="a"/>
        <w:ind w:left="0" w:firstLine="0"/>
      </w:pPr>
      <w:r>
        <w:tab/>
        <w:t>a)</w:t>
      </w:r>
      <w:r>
        <w:tab/>
        <w:t>развитие и упрочение связей между общественными институтами, прежде всего между семьей и школой, в интересах внедрения понятия демократии в воспитание детей;</w:t>
      </w:r>
    </w:p>
    <w:p w:rsidR="00000000" w:rsidRDefault="00000000">
      <w:pPr>
        <w:pStyle w:val="a"/>
        <w:ind w:left="0" w:firstLine="0"/>
      </w:pPr>
      <w:r>
        <w:tab/>
        <w:t>b)</w:t>
      </w:r>
      <w:r>
        <w:tab/>
        <w:t>усиление роли женщин в процессе социально-экономического развития с особым упором на ее роль в воспитании детей и заботе о семье;</w:t>
      </w:r>
    </w:p>
    <w:p w:rsidR="00000000" w:rsidRDefault="00000000">
      <w:pPr>
        <w:pStyle w:val="a"/>
        <w:ind w:left="0" w:firstLine="0"/>
      </w:pPr>
      <w:r>
        <w:tab/>
        <w:t>c)</w:t>
      </w:r>
      <w:r>
        <w:tab/>
        <w:t>развитие объединений общеблаготворительной направленности и координации их усилий, а также совершенствование их услуг с учетом потребностей общества на местах и расширение возможностей семьи.</w:t>
      </w:r>
    </w:p>
    <w:p w:rsidR="00000000" w:rsidRDefault="00000000">
      <w:pPr>
        <w:pStyle w:val="BodyText"/>
      </w:pPr>
      <w:r>
        <w:tab/>
        <w:t>Что касается насилия в отношении женщины в семье, на работе и в общественной жизни (Общая рекомендация 12, касающаяся насилия в отношении женщин), то следует указать, что в Конституции и законодательных актах Кувейта женщинам уделяется особое внимание. Там содержится целый ряд правовых положений, которые запрещают применение насилия и унижающее достоинство обращение, а также направлены на защиту женщин от любых форм насилия, будь то в семье, на работе или в любой иной сфере жизни. В них указывается следующее:</w:t>
      </w:r>
    </w:p>
    <w:p w:rsidR="00000000" w:rsidRDefault="00000000">
      <w:pPr>
        <w:pStyle w:val="BodyText"/>
      </w:pPr>
      <w:r>
        <w:t xml:space="preserve">a)  </w:t>
      </w:r>
      <w:r>
        <w:rPr>
          <w:u w:val="single"/>
        </w:rPr>
        <w:t>Насилие в семье</w:t>
      </w:r>
    </w:p>
    <w:p w:rsidR="00000000" w:rsidRDefault="00000000">
      <w:pPr>
        <w:pStyle w:val="BodyText"/>
      </w:pPr>
      <w:r>
        <w:tab/>
        <w:t>Закон о гражданском состоянии содержит гарантии, необходимые для защиты супруги от насилия, которому она может подвергнуться со стороны супруга. Так, для определения брака и отношений между супругами в законе приведен соответствующий текст священного Корана ("… и одним из чудес он создал для вас из душ ваших супругов, чтобы жить вместе в любви и милосердии…").</w:t>
      </w:r>
    </w:p>
    <w:p w:rsidR="00000000" w:rsidRDefault="00000000">
      <w:pPr>
        <w:pStyle w:val="BodyText"/>
      </w:pPr>
      <w:r>
        <w:tab/>
        <w:t>Ниже следуют некоторые тексты, содержащие запрет насилия в семье:</w:t>
      </w:r>
    </w:p>
    <w:p w:rsidR="00000000" w:rsidRDefault="00000000">
      <w:pPr>
        <w:pStyle w:val="BodyText"/>
        <w:spacing w:after="120"/>
      </w:pPr>
      <w:r>
        <w:tab/>
        <w:t>–</w:t>
      </w:r>
      <w:r>
        <w:tab/>
        <w:t>Женщине причитается компенсация при разводе, размер которой определяет кази (судья) и которая не должна превышать половину размера калыма, если разрыв отношений наступает до обычного уединения супругов (ст. 64).</w:t>
      </w:r>
    </w:p>
    <w:p w:rsidR="00000000" w:rsidRDefault="00000000">
      <w:pPr>
        <w:pStyle w:val="BodyText"/>
        <w:spacing w:after="120"/>
      </w:pPr>
      <w:r>
        <w:tab/>
        <w:t>–</w:t>
      </w:r>
      <w:r>
        <w:tab/>
        <w:t>Насильственное водворение жены в дом мужа не допускается (ст. 88).</w:t>
      </w:r>
    </w:p>
    <w:p w:rsidR="00000000" w:rsidRDefault="00000000">
      <w:pPr>
        <w:pStyle w:val="BodyText"/>
        <w:spacing w:after="120"/>
      </w:pPr>
      <w:r>
        <w:tab/>
        <w:t>–</w:t>
      </w:r>
      <w:r>
        <w:tab/>
        <w:t>Каждый из супругов до первой брачной ночи или после нее может требовать разрыва отношений в случае нанесения одному из них вреда словесно или физически, после которого продолжение отношений между ними невозможно (ст. 126).</w:t>
      </w:r>
    </w:p>
    <w:p w:rsidR="00000000" w:rsidRDefault="00000000">
      <w:pPr>
        <w:pStyle w:val="BodyText"/>
        <w:spacing w:after="120"/>
      </w:pPr>
      <w:r>
        <w:tab/>
        <w:t>–</w:t>
      </w:r>
      <w:r>
        <w:tab/>
        <w:t>В случае отсутствия супруга в течение года или более без уважительной причины, супруга может требовать развода, если ей был нанесен ущерб по причине такого отсутствия, даже если у нее была возможность пользоваться его имуществом, чтобы иметь средства к существованию (ст. 136).</w:t>
      </w:r>
    </w:p>
    <w:p w:rsidR="00000000" w:rsidRDefault="00000000">
      <w:pPr>
        <w:pStyle w:val="BodyText"/>
        <w:spacing w:after="120"/>
      </w:pPr>
      <w:r>
        <w:tab/>
        <w:t>–</w:t>
      </w:r>
      <w:r>
        <w:tab/>
        <w:t>Каждый из супругов может требовать расторжения брака при выявлении у другого явного недостатка, который может быть отнесен к числу нетерпимых или наносящих ущерб недостатков, которые исключают возможность нормальной супружеской жизни, независимо от того, имелся ли указанный недостаток до заключения брака или появился позднее. При этом каждый из них лишается права требовать расторжения брака, если он знал о данном факте до заключения брака или явно терпимо относился к нему после заключения брака (ст. 139).</w:t>
      </w:r>
    </w:p>
    <w:p w:rsidR="00000000" w:rsidRDefault="00000000">
      <w:pPr>
        <w:pStyle w:val="BodyText"/>
      </w:pPr>
      <w:r>
        <w:tab/>
        <w:t>–</w:t>
      </w:r>
      <w:r>
        <w:tab/>
        <w:t>В порядке исключения из указанной статьи супруга не лишается права требовать расторжения брака по причине недостатков супруга, исключающих возможность нормальной супружеской жизни, как, например, половое бессилие, имевшее место ранее или приобретенное, даже в том случае, если прежде она явно терпимо относилась к этому (ст. 140).</w:t>
      </w:r>
    </w:p>
    <w:p w:rsidR="00000000" w:rsidRDefault="00000000">
      <w:pPr>
        <w:pStyle w:val="BodyText"/>
      </w:pPr>
      <w:r>
        <w:tab/>
        <w:t>При расторжении брака на законных основаниях после первой брачной ночи супруга, помимо выплаты компенсации в период, в течение которого ей запрещено вступать в повторный брак (идда), имеет право на компенсацию в размере, не превышающем годового прожиточного минимума, в зависимости от состоятельности супруга, которая должна выплачиваться ей помесячно после окончания периода "идда", если обе стороны не договорятся об ином, как по размеру, так и по порядку выплаты. Исключением для этого являются следующие условия:</w:t>
      </w:r>
    </w:p>
    <w:p w:rsidR="00000000" w:rsidRDefault="00000000">
      <w:pPr>
        <w:pStyle w:val="BodyText"/>
        <w:spacing w:after="120"/>
      </w:pPr>
      <w:r>
        <w:tab/>
        <w:t>–</w:t>
      </w:r>
      <w:r>
        <w:tab/>
        <w:t>развод из-за отсутствия средств к существованию ввиду затрудненного материального положения супруга;</w:t>
      </w:r>
    </w:p>
    <w:p w:rsidR="00000000" w:rsidRDefault="00000000">
      <w:pPr>
        <w:pStyle w:val="BodyText"/>
        <w:spacing w:after="120"/>
      </w:pPr>
      <w:r>
        <w:tab/>
        <w:t>–</w:t>
      </w:r>
      <w:r>
        <w:tab/>
        <w:t>разрыв супружеских отношений из-за ущерба, нанесенного супругой;</w:t>
      </w:r>
    </w:p>
    <w:p w:rsidR="00000000" w:rsidRDefault="00000000">
      <w:pPr>
        <w:pStyle w:val="BodyText"/>
        <w:spacing w:after="120"/>
      </w:pPr>
      <w:r>
        <w:tab/>
        <w:t>–</w:t>
      </w:r>
      <w:r>
        <w:tab/>
        <w:t>развод с согласия супруги;</w:t>
      </w:r>
    </w:p>
    <w:p w:rsidR="00000000" w:rsidRDefault="00000000">
      <w:pPr>
        <w:pStyle w:val="BodyText"/>
        <w:spacing w:after="120"/>
      </w:pPr>
      <w:r>
        <w:tab/>
        <w:t>–</w:t>
      </w:r>
      <w:r>
        <w:tab/>
        <w:t>расторжение брака по требованию супруги;</w:t>
      </w:r>
    </w:p>
    <w:p w:rsidR="00000000" w:rsidRDefault="00000000">
      <w:pPr>
        <w:pStyle w:val="BodyText"/>
      </w:pPr>
      <w:r>
        <w:tab/>
        <w:t>–</w:t>
      </w:r>
      <w:r>
        <w:tab/>
        <w:t>кончина одного из супругов (ст. 165).</w:t>
      </w:r>
    </w:p>
    <w:p w:rsidR="00000000" w:rsidRDefault="00000000">
      <w:pPr>
        <w:pStyle w:val="BodyText"/>
      </w:pPr>
      <w:r>
        <w:tab/>
        <w:t>В этой связи необходимо отметить, что государство создало целый ряд специализированных бюро и центров консультирования семей, занимающихся предоставлением информационных и консультативных услуг правового, психологического и социального характера. Осуществляя подобную деятельность, указанные организации создают необходимые условия для улучшения семейной жизни, сохранения целостности и стабильности семьи и оказывают иную необходимую помощь.</w:t>
      </w:r>
    </w:p>
    <w:p w:rsidR="00000000" w:rsidRDefault="00000000">
      <w:pPr>
        <w:pStyle w:val="BodyText"/>
      </w:pPr>
      <w:r>
        <w:t xml:space="preserve">b)  </w:t>
      </w:r>
      <w:r>
        <w:rPr>
          <w:u w:val="single"/>
        </w:rPr>
        <w:t>Насилие на рабочем месте</w:t>
      </w:r>
    </w:p>
    <w:p w:rsidR="00000000" w:rsidRDefault="00000000">
      <w:pPr>
        <w:pStyle w:val="BodyText"/>
      </w:pPr>
      <w:r>
        <w:tab/>
        <w:t>В главу 6 Закона № 38 1964 года о работе в государственном секторе включены положения, с помощью которых кувейтские законодатели стремились обеспечить заботу о работающей женщине и ее защиту. Речь идет о следующих положениях данной главы, озаглавленной "Занятость женщин":</w:t>
      </w:r>
    </w:p>
    <w:p w:rsidR="00000000" w:rsidRDefault="00000000">
      <w:pPr>
        <w:pStyle w:val="BodyText"/>
      </w:pPr>
      <w:r>
        <w:tab/>
        <w:t>–</w:t>
      </w:r>
      <w:r>
        <w:tab/>
        <w:t>Использование женского труда в ночное время не допускается. Исключением является работа в частных и государственных лечебных учреждениях и других организациях, в отношении которых действует специальное постановление Министерства труда и социальных вопросов (ст. 23).</w:t>
      </w:r>
    </w:p>
    <w:p w:rsidR="00000000" w:rsidRDefault="00000000">
      <w:pPr>
        <w:pStyle w:val="BodyText"/>
      </w:pPr>
      <w:r>
        <w:tab/>
        <w:t>В стремлении искоренить насилие во всех сферах общественной жизни кувейтские законодатели разработали обязательные правила, гарантирующие женщине защиту от всех форм насилия во всех сферах жизни. Так, в статьях Уголовно-процессуального кодекса, принятого в соответствии с законом № 16 1960 года (с внесенными в него поправками), предусмотрено обеспечение защиты. В нем акты насилия, причинение телесных повреждений, жестокое обращение, сексуальная эксплуатация и лишение свободы в отношении любого лица – мужчины или женщины – квалифицированы как правонарушения, независимо от того совершаются ли они лицами, действующими не в официальном качестве, или официальными должностными лицами при исполнении ими своих служебных обязанностей. В отношении подобных действий предусмотрены наказания, соответствующие степени их тяжести:</w:t>
      </w:r>
    </w:p>
    <w:p w:rsidR="00000000" w:rsidRDefault="00000000">
      <w:pPr>
        <w:pStyle w:val="BodyText"/>
      </w:pPr>
      <w:r>
        <w:tab/>
        <w:t>–</w:t>
      </w:r>
      <w:r>
        <w:tab/>
        <w:t>Любое лицо, совершившее преднамеренное убийство, карается смертной казнью или пожизненным лишением свободы. Кроме того, на него может быть наложен штраф до 1125 динаров (ст. 149).</w:t>
      </w:r>
    </w:p>
    <w:p w:rsidR="00000000" w:rsidRDefault="00000000">
      <w:pPr>
        <w:pStyle w:val="BodyText"/>
      </w:pPr>
      <w:r>
        <w:tab/>
        <w:t>–</w:t>
      </w:r>
      <w:r>
        <w:tab/>
        <w:t>Любое лицо, преднамеренно нанесшее ранение или травму другому лицу или предоставившее ему наркотические средства, которые непреднамеренно вызвали его смерть, карается лишением свободы на срок до десяти лет. Кроме того, на него может быть наложен штраф до 10 тыс. рупий (ст. 152).</w:t>
      </w:r>
    </w:p>
    <w:p w:rsidR="00000000" w:rsidRDefault="00000000">
      <w:pPr>
        <w:pStyle w:val="BodyText"/>
      </w:pPr>
      <w:r>
        <w:tab/>
        <w:t>–</w:t>
      </w:r>
      <w:r>
        <w:tab/>
        <w:t>Любое лицо, нанесшее удар или ранение другому лицу, результатом чего стало причинение значительных телесных повреждений или вреда здоровью, карается лишением свободы на срок до двух лет и/или штрафом до 2 тыс. рупий (ст. 160).</w:t>
      </w:r>
    </w:p>
    <w:p w:rsidR="00000000" w:rsidRDefault="00000000">
      <w:pPr>
        <w:pStyle w:val="BodyText"/>
      </w:pPr>
      <w:r>
        <w:tab/>
        <w:t>–</w:t>
      </w:r>
      <w:r>
        <w:tab/>
        <w:t>Любое лицо, нанесшее другому лицу тяжелую травму с использованием того или иного боеприпаса, путем удара ножом или с применением любого другого опасного орудия, либо плеснув на него едкой жидкостью или поместив такую жидкость или любое взрывчатое вещество в любое место с целью причинить ему физический ущерб, или передав ему наркотическое средство, карается лишением свободы на срок до десяти лет. Кроме того, на него может быть наложен штраф в сумме до 10 тыс. рупий (ст. 161).</w:t>
      </w:r>
    </w:p>
    <w:p w:rsidR="00000000" w:rsidRDefault="00000000">
      <w:pPr>
        <w:pStyle w:val="BodyText"/>
      </w:pPr>
      <w:r>
        <w:tab/>
        <w:t>–</w:t>
      </w:r>
      <w:r>
        <w:tab/>
        <w:t>Любое лицо, нанесшее другому лицу травму, которая вызвала постоянное увечье, карается лишением свободы на срок до десяти лет. Кроме того, на него может быть наложен штраф до 10 тыс. рупий. Лишением свободы на срок до пяти лет и/или штрафом до 5 тыс. рупий карается лицо, действия которого вызвали у потерпевшего сильные физические боли или лишившие его возможности нормально пользоваться конечностью или конечностями и/или нарушившие нормальное функционирование тех или иных органов на период более 30 дней, если при этом не было нанесено постоянного увечья (ст. 162).</w:t>
      </w:r>
    </w:p>
    <w:p w:rsidR="00000000" w:rsidRDefault="00000000">
      <w:pPr>
        <w:pStyle w:val="BodyText"/>
      </w:pPr>
      <w:r>
        <w:tab/>
        <w:t>–</w:t>
      </w:r>
      <w:r>
        <w:tab/>
        <w:t>Любое лицо, совершившее агрессивное действие, признанное незначительным, менее тяжкое, чем деяния, о которых говорится в предыдущих статьях, карается лишением свободы на срок до трех месяцев и/или штрафом до 300 рупий (ст. 163).</w:t>
      </w:r>
    </w:p>
    <w:p w:rsidR="00000000" w:rsidRDefault="00000000">
      <w:pPr>
        <w:pStyle w:val="BodyText"/>
      </w:pPr>
      <w:r>
        <w:tab/>
        <w:t>–</w:t>
      </w:r>
      <w:r>
        <w:tab/>
        <w:t>Любое лицо, нанесшее другому лицу рану или ощутимую травму непреднамеренно, – в результате легкомыслия, халатности, невнимательности или несоблюдения действующих правил и норм, карается лишением свободы на срок до одного года и/или штрафом до 1 тыс. рупий (ст. 164).</w:t>
      </w:r>
    </w:p>
    <w:p w:rsidR="00000000" w:rsidRDefault="00000000">
      <w:pPr>
        <w:pStyle w:val="BodyText"/>
      </w:pPr>
      <w:r>
        <w:tab/>
        <w:t>–</w:t>
      </w:r>
      <w:r>
        <w:tab/>
        <w:t>Любое лицо, угрожающее нанесением ущерба здоровью другого лица, его репутации, имуществу, либо здоровью, репутации и имуществу другого лица, с которым связаны его интересы, будь то письменная или устная угроза, либо действия, свидетельствующие о намерении посягнуть на здоровье, репутацию или имущество с целью принудить лицо, в отношении которого высказана угроза, предпринять какое-либо действие или не предпринимать его, карается лишением свободы на срок до двух лет и/или штрафом до 2 тыс. рупий. Угроза убийства карается лишением свободы на срок до трех лет и/или штрафом до 3 тыс. рупий (ст. 173).</w:t>
      </w:r>
    </w:p>
    <w:p w:rsidR="00000000" w:rsidRDefault="00000000">
      <w:pPr>
        <w:pStyle w:val="BodyText"/>
      </w:pPr>
      <w:r>
        <w:tab/>
        <w:t>–</w:t>
      </w:r>
      <w:r>
        <w:tab/>
        <w:t>Любое лицо, похитившее кого-либо против его воли путем насильственного перемещения из места его проживания в другое место и удерживавшее его там, карается лишением свободы на срок до семи лет (ст. 178).</w:t>
      </w:r>
    </w:p>
    <w:p w:rsidR="00000000" w:rsidRDefault="00000000">
      <w:pPr>
        <w:pStyle w:val="BodyText"/>
      </w:pPr>
      <w:r>
        <w:tab/>
        <w:t>–</w:t>
      </w:r>
      <w:r>
        <w:tab/>
        <w:t>Любое лицо, похитившее кого-либо путем применения силы, угрозы или обмана с целью его убийства, нанесения ему ущерба, совершения с ним полового акта, нанесения ему бесчестья, принуждения к занятию проституцией или хищения у него чего-либо, карается смертной казнью (ст. 180).</w:t>
      </w:r>
    </w:p>
    <w:p w:rsidR="00000000" w:rsidRDefault="00000000">
      <w:pPr>
        <w:pStyle w:val="BodyText"/>
      </w:pPr>
      <w:r>
        <w:tab/>
        <w:t>–</w:t>
      </w:r>
      <w:r>
        <w:tab/>
        <w:t>К любому лицу, скрывающему похищенного, зная, что он похищен, применяется то же наказание, что и к похитителю. Если ему известна цель или обстоятельства похищения, то к нему применяется то же наказание, что и к похитителю (ст. 181).</w:t>
      </w:r>
    </w:p>
    <w:p w:rsidR="00000000" w:rsidRDefault="00000000">
      <w:pPr>
        <w:pStyle w:val="BodyText"/>
      </w:pPr>
      <w:r>
        <w:tab/>
        <w:t>–</w:t>
      </w:r>
      <w:r>
        <w:tab/>
        <w:t>Любое лицо, арестовавшее или поместившее под стражу кого-либо при обстоятельствах, не предусмотренных законом, или без соблюдения законных процедур, карается лишением свободы на срок до трех лет и/или штрафом до 3 тыс. рупий. Если же такие действия сопровождаются физическими пытками или угрозой убийства, то срок тюремного заключения увеличивается до семи лет. Кроме того, может быть наложен штраф в размере 7 тыс. рупий (ст. 184).</w:t>
      </w:r>
    </w:p>
    <w:p w:rsidR="00000000" w:rsidRDefault="00000000">
      <w:pPr>
        <w:pStyle w:val="BodyText"/>
      </w:pPr>
      <w:r>
        <w:tab/>
        <w:t>–</w:t>
      </w:r>
      <w:r>
        <w:tab/>
        <w:t>Любое лицо, ввозящее в Кувейт или вывозящее из Кувейта человека с целью распоряжаться им в качестве раба, а также любое лицо, покупающее его или выставляющее его на продажу или дарящее его в качестве раба, карается лишением свободы на срок до пяти лет и/или штрафом до 5 тыс. рупий (ст. 185).</w:t>
      </w:r>
    </w:p>
    <w:p w:rsidR="00000000" w:rsidRDefault="00000000">
      <w:pPr>
        <w:pStyle w:val="BodyText"/>
      </w:pPr>
      <w:r>
        <w:tab/>
        <w:t>Уголовный кодекс также предусматривает суровые меры в случаях, когда лицо, в отношении которого совершаются указанные правонарушения, является малолетним, или когда правонарушитель является родственником или попечителем указанного лица. Ссылка на соответствующие статьи будет приведена в другой части настоящего доклада.</w:t>
      </w:r>
    </w:p>
    <w:p w:rsidR="00000000" w:rsidRDefault="00000000">
      <w:pPr>
        <w:pStyle w:val="BodyText"/>
      </w:pPr>
      <w:r>
        <w:tab/>
        <w:t>В этой связи следует также указать на Закон № 26 1962 года, касающийся функционирования тюрем, где в отношении заключенной женщины предусмотрены особые условия содержания в случае, если она беременна или на ее попечении находится ребенок. Так, статья 33 предусматривает, что беременная заключенная начиная с шестого месяца переводится в число заключенных категории А, если первоначально она относилась к другой категории. Соответственно она освобождается от работы в тюрьме, а также пользуется особым медицинским режимом в отношении питания и сна. С приближением срока родов она переводится в больницу, где остается до родов, и откуда выписывается с разрешения врача.</w:t>
      </w:r>
    </w:p>
    <w:p w:rsidR="00000000" w:rsidRDefault="00000000">
      <w:pPr>
        <w:pStyle w:val="BodyText"/>
      </w:pPr>
      <w:r>
        <w:tab/>
        <w:t>Статья 34 предусматривает, что ребенок заключенной остается с ней до достижения им двухлетнего возраста. Если заключенная не пожелает, чтобы ребенок находился с ней, или по достижении ребенком установленного возраста он передается отцу или одному из родственников по ее выбору. Если у ребенка нет отца или родственников, способных его обеспечивать, то он передается в дом ребенка, где мать может навещать его согласно правилам внутреннего распорядка.</w:t>
      </w:r>
    </w:p>
    <w:p w:rsidR="00000000" w:rsidRDefault="00000000">
      <w:pPr>
        <w:pStyle w:val="BodyText"/>
      </w:pPr>
      <w:r>
        <w:tab/>
        <w:t>В статье 49 предусматривается, что при установлении факта беременности приговоренной к смертной казни женщины и при рождении ею живого ребенка, исполнение приговора приостанавливается, и должна быть применена предусмотренная Уголовно-процессуальным кодексом процедура замены смертной казни пожизненным заключением.</w:t>
      </w:r>
    </w:p>
    <w:p w:rsidR="00000000" w:rsidRDefault="00000000">
      <w:pPr>
        <w:pStyle w:val="BodyText"/>
      </w:pPr>
      <w:r>
        <w:tab/>
        <w:t>Постановление № 25 1976 года о правилах внутреннего распорядка в тюрьмах с внесенными в него на основании постановления № 33/87 изменениями гарантирует заключенной женщине по ее просьбе возможность видеть своего ребенка до достижения им возраста 12 лет, который доставляется для этого в тюрьму один раз в неделю. При этом встреча матери с ребенком проводится вне обычного места свиданий с заключенными. С разрешения начальника тюрьмы такая встреча может проводиться с глазу на глаз. Запрет на подобное посещение не устанавливается ни по каким причинам, связанным с поведением матери в тюрьме, а может быть наложен только в связи с состоянием здоровья. По достижении ребенком указанного возраста посещение им матери осуществляется в общем порядке.</w:t>
      </w:r>
    </w:p>
    <w:p w:rsidR="00000000" w:rsidRDefault="00000000">
      <w:pPr>
        <w:pStyle w:val="BodyText"/>
      </w:pPr>
      <w:r>
        <w:tab/>
        <w:t>Помимо вышеизложенного государство стремится обеспечить защиту кувейтских и некувейтских женщин от всех форм дурного обращения. Во всех случаях выявления фактов такого обращения применяются соответствующие положения закона. О таких фактах следует уведомлять независимо от пола лица, допускающего дурное обращение, или потерпевшего. Кроме того, как уже отмечалось, всем гражданам предоставляется право обращения в судебные инстанции (приложение 5: Статистические данные о постановлениях, принятых кувейтскими судами по ряду дел о физическом нападении).</w:t>
      </w:r>
    </w:p>
    <w:p w:rsidR="00000000" w:rsidRDefault="00000000">
      <w:pPr>
        <w:pStyle w:val="BodyText"/>
      </w:pPr>
      <w:r>
        <w:tab/>
        <w:t>Следует отметить, что, хотя кувейтская Конституция и действующие законодательные акты гарантируют женщинам целый ряд прав и свобод, к числу которых относится право на труд и занятие государственных должностей, в Государстве Кувейт имеется несколько законодательных актов, не допускающих по ряду соображений занятия женщинами некоторых должностей, например, в армии, полиции и дипломатическом корпусе. Однако некоторые компетентные органы государства вынашивают идею допуска женщин к службе в полиции, но вопрос находится пока на стадии проработки. В отношении работы женщин в сфере юстиции следует отметить, что аппарат юстиции в Кувейте подразделяется на две части, первая из которых связана с судопроизводством, а вторая, куда женщины допускаются, – со следствием. Немало женщин работают в государственных следственных органах Министерства внутренних дел. Что же касается работы в сфере судопроизводства и прокуратуры, то она по целому ряду причин остается исключительной прерогативой мужчин.</w:t>
      </w:r>
    </w:p>
    <w:p w:rsidR="00000000" w:rsidRDefault="00000000">
      <w:pPr>
        <w:pStyle w:val="-1"/>
      </w:pPr>
      <w:r>
        <w:t>Статья 6</w:t>
      </w:r>
    </w:p>
    <w:p w:rsidR="00000000" w:rsidRDefault="00000000">
      <w:pPr>
        <w:pStyle w:val="BodyText"/>
      </w:pPr>
      <w:r>
        <w:tab/>
        <w:t>Статья 6 предписывает государствам-участникам принять все соответствующие меры, включая законодательные, для пресечения всех видов торговли женщинами и эксплуатации проституции женщин.</w:t>
      </w:r>
    </w:p>
    <w:p w:rsidR="00000000" w:rsidRDefault="00000000">
      <w:pPr>
        <w:pStyle w:val="BodyText"/>
      </w:pPr>
      <w:r>
        <w:tab/>
        <w:t>В этой связи правительство Государства Кувейт хотело бы прежде всего заявить о своей позиции по данной проблеме, которая состоит в неприятии им любой практики, связанной с торговлей женщинами и эксплуатацией проституции женщин, а также прочей аналогичной практики, поскольку они являются одной из форм современного рабства, противоречащей самым элементарным правам человека, человеческому достоинству и ценностям, а также не имеют ничего общего с положениями исламского шариата, которые призывают к добродетельности и запрещают подобные действия, и еще потому, что такие действия идут вразрез с требованиями общественного порядка и общественной морали.</w:t>
      </w:r>
    </w:p>
    <w:p w:rsidR="00000000" w:rsidRDefault="00000000">
      <w:pPr>
        <w:pStyle w:val="BodyText"/>
      </w:pPr>
      <w:r>
        <w:tab/>
        <w:t>Касаясь мер, принятых в Кувейте для недопущения торговли женщинами и эксплуатации проституции женщин, следует указать на Уголовно-процессуальный кодекс Кувейта (Закон № 16 1960 года), в котором содержатся весьма жесткие положения, в соответствии с которыми упомянутые действия квалифицируются как преступления, наказуемые по закону таким образом, чтобы отбить к ним охоту и тем самым искоренить эту бесчеловечную практику. Сексуальное надругательство, покушение на честь, поощрение к развратным действиям, торговля женщинами и эксплуатация проституции отнесены к числу серьезных преступлений, что отражено в следующих положениях Кодекса:</w:t>
      </w:r>
    </w:p>
    <w:p w:rsidR="00000000" w:rsidRDefault="00000000">
      <w:pPr>
        <w:pStyle w:val="BodyText"/>
      </w:pPr>
      <w:r>
        <w:tab/>
        <w:t>–</w:t>
      </w:r>
      <w:r>
        <w:tab/>
        <w:t>Любое лицо, имевшее половые сношения с женщиной, без ее согласия, с применением силы, угрозы или обмана карается смертью или пожизненным заключением. В случаях, когда преступник является родственником потерпевшей или лицом, на воспитании или попечении или во власти которого она находится, или в случае, когда преступник является слугой потерпевшей или слугой любого из вышеупомянутых лиц, он должен караться смертной казнью (ст. 186).</w:t>
      </w:r>
    </w:p>
    <w:p w:rsidR="00000000" w:rsidRDefault="00000000">
      <w:pPr>
        <w:pStyle w:val="BodyText"/>
      </w:pPr>
      <w:r>
        <w:tab/>
        <w:t>–</w:t>
      </w:r>
      <w:r>
        <w:tab/>
        <w:t>Любое лицо, имевшее половые сношения с умалишенной или слабоумной женщиной или женщиной моложе 15 лет, либо неспособной отвечать за свои поступки по любой другой причине, или с женщиной, не осознающей характера совершаемого в отношении нее действия, или полагающей, что это законное действие, карается пожизненным заключением, даже в случае, если сношение имело место без принуждения, не под угрозой и не в результате обмана. Смертная казнь применяется в случаях, когда преступник является родственником потерпевшей или лицом, на воспитании или попечении или во власти которого она находится, или в случае, когда преступник является слугой потерпевшей или любого из вышеупомянутых лиц (ст. 187).</w:t>
      </w:r>
    </w:p>
    <w:p w:rsidR="00000000" w:rsidRDefault="00000000">
      <w:pPr>
        <w:pStyle w:val="BodyText"/>
      </w:pPr>
      <w:r>
        <w:tab/>
        <w:t>–</w:t>
      </w:r>
      <w:r>
        <w:tab/>
        <w:t>Любое лицо, имевшее половые сношения без принуждения, не под угрозой и не путем обмана с женщиной, достигшей пятнадцати лет, но не достигшей двадцати одного года, карается лишением свободы на срок до 15  лет. В случаях, когда оно состоит в родстве с потерпевшей или является лицом, на воспитании или попечении или во власти которого она находится, или в случае, когда преступник является слугой потерпевшей, применяется пожизненное заключение (ст. 188).</w:t>
      </w:r>
    </w:p>
    <w:p w:rsidR="00000000" w:rsidRDefault="00000000">
      <w:pPr>
        <w:pStyle w:val="BodyText"/>
      </w:pPr>
      <w:r>
        <w:tab/>
        <w:t>–</w:t>
      </w:r>
      <w:r>
        <w:tab/>
        <w:t xml:space="preserve">Любое лицо, вступившее в половые сношения с женщиной, достигшей 21 года, но с которой такие отношения ему запрещены в силу определенной степени родства между ними, о чем ему известно, без принуждения, без применения силы, угрозы или обмана, карается заключением на срок до 15 лет. Если же женщина старше 15 лет, но моложе 21 года, применяется пожизненное заключение. Вышеуказанные наказания применяются и к любому лицу, являющемуся попечителем, опекуном, доверенным лицом, воспитателем, назначенным для воспитания потерпевшей, ухода за ней или ведения ее дел, имевшему с ней половые сношения без применения силы, угрозы или обмана </w:t>
      </w:r>
      <w:r>
        <w:br/>
        <w:t>(ст. 189).</w:t>
      </w:r>
    </w:p>
    <w:p w:rsidR="00000000" w:rsidRDefault="00000000">
      <w:pPr>
        <w:pStyle w:val="BodyText"/>
      </w:pPr>
      <w:r>
        <w:tab/>
        <w:t>–</w:t>
      </w:r>
      <w:r>
        <w:tab/>
        <w:t>Любое лицо, совершившее сексуальное надругательство с применением силы, угроз или обмана карается лишением свободы на срок 15 лет. Если совершившее такое деяние лицо является родственником потерпевшего (потерпевшей) или лицом, на воспитании или попечении или во власти которого он (она) находится, или в случае, когда это лицо является слугой потерпевшего или любого из вышеперечисленных лиц, наказание ужесточается до пожизненного заключения. Вышеуказанное наказание применяется также в случаях, когда потерпевший не способен отвечать за свои поступки в силу своего возраста, будучи умалишенным или слабоумным, или не осознает характера действий или считает их законными, даже если эти действия совершались без применения силы, угроз или обмана (ст. 191).</w:t>
      </w:r>
    </w:p>
    <w:p w:rsidR="00000000" w:rsidRDefault="00000000">
      <w:pPr>
        <w:pStyle w:val="BodyText"/>
      </w:pPr>
      <w:r>
        <w:tab/>
        <w:t>–</w:t>
      </w:r>
      <w:r>
        <w:tab/>
        <w:t>Любое лицо, совершившее сексуальное надругательство над юношей или девушкой, не достигшими 21 года, без применения силы, угроз или обмана, карается лишением свободы на срок до 10 лет. Данное наказание ужесточается до 15 лет в случае, когда преступник является родственником потерпевшего или лицом, на воспитании или попечении или во власти которого он находится, или в случае, когда преступник является слугой потерпевшего или слугой любого из вышеперечисленных лиц (ст. 192).</w:t>
      </w:r>
    </w:p>
    <w:p w:rsidR="00000000" w:rsidRDefault="00000000">
      <w:pPr>
        <w:pStyle w:val="BodyText"/>
      </w:pPr>
      <w:r>
        <w:tab/>
        <w:t>–</w:t>
      </w:r>
      <w:r>
        <w:tab/>
        <w:t>Подстрекательство к развратным действиям или проституции, либо пособничество в этом квалифицируется как преступление, независимо от того, в каком виде это имело место, наказуемое лишением свободы на срок до одного года и штрафом до 1 тыс. рупий,</w:t>
      </w:r>
      <w:r>
        <w:rPr>
          <w:color w:val="FFFFFF"/>
        </w:rPr>
        <w:t xml:space="preserve"> </w:t>
      </w:r>
      <w:r>
        <w:t>с ужесточением наказания в случае, если возраст пострадавшего составляет менее восемнадцати лет, до лишения свободы на срок до двух лет и/или штрафа до 2 тыс. рупий (ст. 200.)</w:t>
      </w:r>
    </w:p>
    <w:p w:rsidR="00000000" w:rsidRDefault="00000000">
      <w:pPr>
        <w:pStyle w:val="BodyText"/>
      </w:pPr>
      <w:r>
        <w:tab/>
        <w:t>–</w:t>
      </w:r>
      <w:r>
        <w:tab/>
        <w:t>Подстрекательство лица мужского или женского пола к развратным действиям или проституции с применением силы, угроз или обмана квалифицируется как преступление, наказуемое лишением свободы на срок до пяти лет и/или штрафом до 5 тыс. рупий. В случаях, когда потерпевшему лицу менее восемнадцати лет, наказание ужесточается до лишения свободы на срок до 7 лет и/или штрафа до 7 тыс. рупий (ст. 201).</w:t>
      </w:r>
    </w:p>
    <w:p w:rsidR="00000000" w:rsidRDefault="00000000">
      <w:pPr>
        <w:pStyle w:val="BodyText"/>
      </w:pPr>
      <w:r>
        <w:tab/>
        <w:t>–</w:t>
      </w:r>
      <w:r>
        <w:tab/>
        <w:t>Кроме того, законом предусматривается лишение свободы на срок до 2 лет или штрафом до 5 тыс. рупий для любого лица мужского или женского пола, получающего средства к существованию полностью или частично за счет принуждения другого лица к развратным действиям или проституции путем использования силы или контроля над этим лицом, независимо от того, получены ли от последнего данные средства с его согласия, безвозмездно или в качестве платы за защиту или за отказ от враждебных действий в отношении него (ст. 202).</w:t>
      </w:r>
    </w:p>
    <w:p w:rsidR="00000000" w:rsidRDefault="00000000">
      <w:pPr>
        <w:pStyle w:val="BodyText"/>
      </w:pPr>
      <w:r>
        <w:tab/>
        <w:t>–</w:t>
      </w:r>
      <w:r>
        <w:tab/>
        <w:t>Любое лицо, которое создает и содержит помещение (место) для совершения развратных действий или для проституции либо тем или иным образом оказывает содействие в создании и содержании такого места, считается виновным в преступлении, которое карается лишением свободы на срок до 2 лет и/или штрафом до 2 тыс. рупий (ст. 203).</w:t>
      </w:r>
    </w:p>
    <w:p w:rsidR="00000000" w:rsidRDefault="00000000">
      <w:pPr>
        <w:pStyle w:val="BodyText"/>
      </w:pPr>
      <w:r>
        <w:tab/>
        <w:t>–</w:t>
      </w:r>
      <w:r>
        <w:tab/>
        <w:t>Любое лицо, открыто подстрекающее в общественном месте к развратным действиям или к занятию проституцией, карается лишением свободы сроком до 2 лет и/или штрафом до 2 тыс. рупий. Те же наказания применяются в отношении любого лица, осуществляющего печатание, продажу или распространение либо демонстрацию изобразительных материалов, графической продукции или чего-либо иного, что нарушает общественную нравственность (ст. 204).</w:t>
      </w:r>
    </w:p>
    <w:p w:rsidR="00000000" w:rsidRDefault="00000000">
      <w:pPr>
        <w:pStyle w:val="BodyText"/>
      </w:pPr>
      <w:r>
        <w:tab/>
        <w:t>Из приведенных выше положений явствует, что эксплуатация проституции женщин и детей запрещается согласно Уголовному кодексу Кувейта, который предусматривает, кроме того, ужесточение наказаний для правонарушителей, предпринимающих указанные действия в отношении лиц обеих упомянутых категорий.</w:t>
      </w:r>
    </w:p>
    <w:p w:rsidR="00000000" w:rsidRDefault="00000000">
      <w:pPr>
        <w:pStyle w:val="BodyText"/>
      </w:pPr>
      <w:r>
        <w:tab/>
        <w:t>Кроме того, Государство Кувейт ясно демонстрирует свою заинтересованность в разработке и проведении программ просвещения и реабилитации для лиц, совершивших акты насилия или ставших их жертвами. Это выразилось, в частности, в создании Управления по делам несовершеннолетних, которое проявляет заботу о данной категории населения. Государство также поощряет исследования, связанные с консультированием и реабилитацией несовершеннолетних и малолетних обоих полов.</w:t>
      </w:r>
    </w:p>
    <w:p w:rsidR="00000000" w:rsidRDefault="00000000">
      <w:pPr>
        <w:pStyle w:val="BodyText"/>
      </w:pPr>
      <w:r>
        <w:tab/>
        <w:t>С другой стороны, различные средства массовой информации (как официальные, так и народные) ведут работу по повышению осведомленности общества и семей, в частности с помощью специальных программ, в ходе которых с участием экспертов обсуждается целый ряд важных проблем и вопросов, связанных с насилием в отношении женщин, и с типичными аспектами отношений между мужчиной и женщиной, и предлагаются приемлемые варианты их решения.</w:t>
      </w:r>
    </w:p>
    <w:p w:rsidR="00000000" w:rsidRDefault="00000000">
      <w:pPr>
        <w:pStyle w:val="BodyText"/>
      </w:pPr>
      <w:r>
        <w:tab/>
        <w:t>Кроме того, в Кувейте имеются различные институциональные механизмы, с помощью которых женщины и девушки могут сообщать о совершенных по отношению к ним актах насилия.</w:t>
      </w:r>
    </w:p>
    <w:p w:rsidR="00000000" w:rsidRDefault="00000000">
      <w:pPr>
        <w:pStyle w:val="BodyText"/>
      </w:pPr>
      <w:r>
        <w:tab/>
        <w:t>Следует указать, что Государство Кувейт предприняло ряд практических мер, позволивших ему исключить на территории страны все факторы, потенциально ведущие к противозаконной практике в сфере отношений полов. Так, органы Министерства внутренних дел приняли необходимые меры для борьбы с пороком и распространением безнравственности путем проведения крупномасштабных кампаний против рассадников порока, задержания лиц, совершающих безнравственные действия, и проведения соответствующих процедур в отношении этих лиц. Принимая эти меры, Министерство стремится противодействовать этим опасным социальным язвам ради сохранения нравственности и поведенческих ценностей общества. Предпринятые в этом направлении усилия увенчались ощутимым успехом. Несомненно, что меры, принимаемые в этом направлении компетентными органами, отражают искреннее стремление противодействовать такого рода противозаконной практике.</w:t>
      </w:r>
    </w:p>
    <w:p w:rsidR="00000000" w:rsidRDefault="00000000">
      <w:pPr>
        <w:pStyle w:val="BodyText"/>
        <w:rPr>
          <w:spacing w:val="-2"/>
        </w:rPr>
      </w:pPr>
      <w:r>
        <w:rPr>
          <w:spacing w:val="-2"/>
        </w:rPr>
        <w:tab/>
        <w:t>Государство Кувейт хотело бы подчеркнуть, что проституция и другие виды бесчеловечной практики не характерны для страны, что, однако, не исключает возможности наличия подобной практики. Хотя она носит ограниченный характер, определенные государственные органы периодически принимают жесткие меры по ее пресечению с целью защиты общества, как указывалось выше.</w:t>
      </w:r>
    </w:p>
    <w:p w:rsidR="00000000" w:rsidRDefault="00000000">
      <w:pPr>
        <w:pStyle w:val="BodyText"/>
      </w:pPr>
      <w:r>
        <w:tab/>
        <w:t>Что касается секс-туризма, то его в Кувейте нет, равно как и детской проституции.</w:t>
      </w:r>
    </w:p>
    <w:p w:rsidR="00000000" w:rsidRDefault="00000000">
      <w:pPr>
        <w:pStyle w:val="BodyText"/>
      </w:pPr>
      <w:r>
        <w:tab/>
        <w:t>Государство намерено обеспечить женщинам дополнительные гарантии и правовую защиту. С этой целью Кувейт присоединился к международным конвенциям, имеющим отношение к данной проблеме, и к тем, определенные положения которых содержат соответствующие запреты:</w:t>
      </w:r>
    </w:p>
    <w:p w:rsidR="00000000" w:rsidRDefault="00000000">
      <w:pPr>
        <w:pStyle w:val="a"/>
      </w:pPr>
      <w:r>
        <w:tab/>
        <w:t>a)</w:t>
      </w:r>
      <w:r>
        <w:tab/>
        <w:t>Конвенция о рабстве 1926 года;</w:t>
      </w:r>
    </w:p>
    <w:p w:rsidR="00000000" w:rsidRDefault="00000000">
      <w:pPr>
        <w:pStyle w:val="a"/>
      </w:pPr>
      <w:r>
        <w:tab/>
        <w:t>b)</w:t>
      </w:r>
      <w:r>
        <w:tab/>
        <w:t>Дополнительная конвенция об упразднении рабства, работорговли и институтов и обычаев, сходных с рабством, 1929 года;</w:t>
      </w:r>
    </w:p>
    <w:p w:rsidR="00000000" w:rsidRDefault="00000000">
      <w:pPr>
        <w:pStyle w:val="a"/>
      </w:pPr>
      <w:r>
        <w:tab/>
        <w:t>c)</w:t>
      </w:r>
      <w:r>
        <w:tab/>
        <w:t>Конвенция о борьбе с торговлей людьми и с эксплуатацией проституции третьими лицами;</w:t>
      </w:r>
    </w:p>
    <w:p w:rsidR="00000000" w:rsidRDefault="00000000">
      <w:pPr>
        <w:pStyle w:val="a"/>
      </w:pPr>
      <w:r>
        <w:tab/>
        <w:t>d)</w:t>
      </w:r>
      <w:r>
        <w:tab/>
        <w:t>Международный пакт о гражданских и политических правах, статья 8 которого запрещает рабство и работорговлю во всех их видах;</w:t>
      </w:r>
    </w:p>
    <w:p w:rsidR="00000000" w:rsidRDefault="00000000">
      <w:pPr>
        <w:pStyle w:val="a"/>
      </w:pPr>
      <w:r>
        <w:tab/>
        <w:t>e)</w:t>
      </w:r>
      <w:r>
        <w:tab/>
        <w:t>Конвенция о правах ребенка;</w:t>
      </w:r>
    </w:p>
    <w:p w:rsidR="00000000" w:rsidRDefault="00000000">
      <w:pPr>
        <w:pStyle w:val="a"/>
      </w:pPr>
      <w:r>
        <w:tab/>
        <w:t>f)</w:t>
      </w:r>
      <w:r>
        <w:tab/>
        <w:t>Конвенция о ликвидации всех форм дискриминации в отношении женщин.</w:t>
      </w:r>
    </w:p>
    <w:p w:rsidR="00000000" w:rsidRDefault="00000000">
      <w:pPr>
        <w:pStyle w:val="-1"/>
        <w:spacing w:before="360"/>
      </w:pPr>
      <w:r>
        <w:t>Статья 7</w:t>
      </w:r>
    </w:p>
    <w:p w:rsidR="00000000" w:rsidRDefault="00000000">
      <w:pPr>
        <w:pStyle w:val="BodyText"/>
      </w:pPr>
      <w:r>
        <w:tab/>
        <w:t>Данная статья требует от государств-участников принятия всех соответствующих мер по ликвидации дискриминации в отношении женщин в политической и общественной жизни страны и, в частности, обеспечить женщинам на равных условиях с мужчинами право голосовать на всех выборах и публичных референдумах и избираться во все публично избираемые органы, участвовать в формулировании и осуществлении политики правительства и занимать государственные посты, а также осуществлять государственные функции на всех уровнях государственного управления, принимать участие в деятельности неправительственных организаций и ассоциаций, занимающихся проблемами общественной и политической жизни страны.</w:t>
      </w:r>
    </w:p>
    <w:p w:rsidR="00000000" w:rsidRDefault="00000000">
      <w:pPr>
        <w:pStyle w:val="BodyText"/>
      </w:pPr>
      <w:r>
        <w:tab/>
        <w:t>Государство Кувейт хотело бы до разъяснения правовых рамок, в соответствии с которыми обеспечивается гарантия упомянутых выше прав, отметить, что при присоединении к Конвенции о ликвидации всех форм дискриминации в отношении женщин оно сделало оговорку в отношении пункта а) данной статьи. В этой связи Государство Кувейт считает нужным указать на инициативу Его Высочества эмира Государства Кувейт шейха Джабера Ахмеда ас-Сабаха, выпустившего эмирский указ о предоставлении женщинам полного политического права участвовать в выборах и выдвигать свою кандидатуру в парламентские советы. В свете упомянутого указа был издан Законодательный декрет № 9/1999 от 12 мая 1999 года.</w:t>
      </w:r>
    </w:p>
    <w:p w:rsidR="00000000" w:rsidRDefault="00000000">
      <w:pPr>
        <w:pStyle w:val="BodyText"/>
      </w:pPr>
      <w:r>
        <w:tab/>
        <w:t>Декрет о принятии соответствующего закона был выпущен в период конституционного роспуска Национального собрания, но при его представлении в Национальное собрание он был отменен, поскольку большинство членов Собрания проголосовало против него. Это, однако, не помешало некоторым лицам и заинтересованным органам продолжать усилия по инициированию целого ряда исков. В принятии последнего из них по времени – дело № 358 2000 года – было отказано на основании постановления суда.</w:t>
      </w:r>
    </w:p>
    <w:p w:rsidR="00000000" w:rsidRDefault="00000000">
      <w:pPr>
        <w:pStyle w:val="BodyText"/>
      </w:pPr>
      <w:r>
        <w:tab/>
        <w:t>Конституционный суд рассмотрел иски, связанные с данным вопросом, которые были направлены в его адрес Административным судом. Однако ни в одном из постановлений, принятых по этому вопросу Конституционным судом, не затрагивалось существо этих дел. Суд не принял их к рассмотрению ввиду формальных ошибок в процедуре подачи исков.</w:t>
      </w:r>
    </w:p>
    <w:p w:rsidR="00000000" w:rsidRDefault="00000000">
      <w:pPr>
        <w:pStyle w:val="BodyText"/>
      </w:pPr>
      <w:r>
        <w:tab/>
        <w:t>В отношении прав, указанных в пункте b), подчеркивается, что женщины в Государстве Кувейт пользуются равным с мужчинами статусом в плане занятия государственных постов, а также имеют равные с мужчинами функциональные права и обязанности в соответствии с положениями кувейтской Конституции и действующих в стране законов о труде.</w:t>
      </w:r>
    </w:p>
    <w:p w:rsidR="00000000" w:rsidRDefault="00000000">
      <w:pPr>
        <w:pStyle w:val="BodyText"/>
      </w:pPr>
      <w:r>
        <w:tab/>
        <w:t>Так, в статье 26 Конституции отмечается, что право на занятие государственных должностей является неотъемлемым правом всех граждан, как мужчин, так и женщин, без какого бы то ни было различия. Статья гласит, что государственные должности – это национальная служба, выполнение которой поручается наиболее достойным, а государственные служащие должны выполнять свои функции, руководствуясь интересами государства.</w:t>
      </w:r>
    </w:p>
    <w:p w:rsidR="00000000" w:rsidRDefault="00000000">
      <w:pPr>
        <w:pStyle w:val="BodyText"/>
      </w:pPr>
      <w:r>
        <w:tab/>
        <w:t>На основании указанного положения Конституции были приняты законодательные акты, регламентирующие порядок занятия государственных должностей. В указанных законодательных актах в полном объеме учтен конституционный принцип, предусмотренный в статье 29, где провозглашается равенство между людьми в том, что касается человеческого достоинства, общественных прав и обязанностей, без различия по знаку пола, происхождения, языка или религии. Более того, в них содержатся некоторые особые привилегии для женщин, поскольку законодатели учитывают важную роль женщины-матери и воспитателя новых поколений, что, однако, не влияет на ее права в отношении занятости. Далее в комментарии в отношении статьи 11 будет рассмотрено действующее трудовое законодательство и изложены сведения о правах, которыми пользуются женщины, а также об их статусе в государственном и частном секторах.</w:t>
      </w:r>
    </w:p>
    <w:p w:rsidR="00000000" w:rsidRDefault="00000000">
      <w:pPr>
        <w:pStyle w:val="BodyText"/>
      </w:pPr>
      <w:r>
        <w:tab/>
        <w:t>Кувейт заинтересован в формировании сознательной рабочей силы в различных отраслях. Женщины, представляющие половину общества, пользуются всеми правами, гарантируемыми Конституцией и соответствующими законодательными актами. Они имеют возможность подняться по служебной лестнице до самых высших постов и добились выдающихся трудовых успехов на государственной и частной службе, занимают высокие должности как в государственном, так и в частном секторе.</w:t>
      </w:r>
    </w:p>
    <w:p w:rsidR="00000000" w:rsidRDefault="00000000">
      <w:pPr>
        <w:pStyle w:val="BodyText"/>
      </w:pPr>
      <w:r>
        <w:tab/>
        <w:t>Тем не менее все еще имеются некоторые факторы, ограничивающие степень участия женщин в рынке труда. К важнейшим из них можно отнести следующие:</w:t>
      </w:r>
    </w:p>
    <w:p w:rsidR="00000000" w:rsidRDefault="00000000">
      <w:pPr>
        <w:pStyle w:val="BodyText"/>
      </w:pPr>
      <w:r>
        <w:t xml:space="preserve">a)  </w:t>
      </w:r>
      <w:r>
        <w:rPr>
          <w:u w:val="single"/>
        </w:rPr>
        <w:t>Уровень образования</w:t>
      </w:r>
    </w:p>
    <w:p w:rsidR="00000000" w:rsidRDefault="00000000">
      <w:pPr>
        <w:pStyle w:val="BodyText"/>
      </w:pPr>
      <w:r>
        <w:tab/>
        <w:t>Как известно, уровень образования влияет на участие женщин в рынке труда. Поэтому ликвидация неграмотности среди женщин является важным фактором, влияющим на их более широкое вовлечение в рабочую силу. Доля женщин, имеющих университетский диплом, составляла в 1993 году 30 процентов от общего числа работающих женщин, а доля женщин с дипломом о среднем образовании составила 21,5 процента. Доля женщин, закончивших среднюю общеобразовательную школу, составила 15,7 процента. Доля женщин, получивших образование выше средней ступени, но ниже университетской, составила 25,9 процента.</w:t>
      </w:r>
    </w:p>
    <w:p w:rsidR="00000000" w:rsidRDefault="00000000">
      <w:pPr>
        <w:pStyle w:val="BodyText"/>
      </w:pPr>
      <w:r>
        <w:t xml:space="preserve">b)  </w:t>
      </w:r>
      <w:r>
        <w:rPr>
          <w:u w:val="single"/>
        </w:rPr>
        <w:t>Брак</w:t>
      </w:r>
    </w:p>
    <w:p w:rsidR="00000000" w:rsidRDefault="00000000">
      <w:pPr>
        <w:pStyle w:val="BodyText"/>
      </w:pPr>
      <w:r>
        <w:tab/>
        <w:t>Брак влияет на участие женщин в рабочей силе. Доля участия незамужних женщин в возрастной группе свыше 35 лет превышает этот показатель для замужних, поскольку замужняя женщина несет более тяжелое бремя домашних забот и ответственности перед мужем и детьми и поэтому предпочитает посвятить себя семейным делам.</w:t>
      </w:r>
    </w:p>
    <w:p w:rsidR="00000000" w:rsidRDefault="00000000">
      <w:pPr>
        <w:pStyle w:val="BodyText"/>
      </w:pPr>
      <w:r>
        <w:t xml:space="preserve">с)  </w:t>
      </w:r>
      <w:r>
        <w:rPr>
          <w:u w:val="single"/>
        </w:rPr>
        <w:t>Обычаи и традиции</w:t>
      </w:r>
    </w:p>
    <w:p w:rsidR="00000000" w:rsidRDefault="00000000">
      <w:pPr>
        <w:pStyle w:val="BodyText"/>
      </w:pPr>
      <w:r>
        <w:tab/>
        <w:t>Общественные обычаи и традиции явились одной из причин отставания женщин на рынке труда до подъема в области образования в начале 1960-х годов, когда женщина смогла заявить о своем присутствии в обществе и пробиться в новые сферы трудовой деятельности наряду с мужчинами. Несомненно, что рост темпов экономического прогресса, а также культурного и информационного возрождения и повышения образовательного уровня женщин стали факторами, обусловившими изменение ряда обычаев и традиций, которые мешали их участию в рынке труда.</w:t>
      </w:r>
    </w:p>
    <w:p w:rsidR="00000000" w:rsidRDefault="00000000">
      <w:pPr>
        <w:pStyle w:val="BodyText"/>
      </w:pPr>
      <w:r>
        <w:t>1.</w:t>
      </w:r>
      <w:r>
        <w:tab/>
      </w:r>
      <w:r>
        <w:rPr>
          <w:u w:val="single"/>
        </w:rPr>
        <w:t>Ранний уход на пенсию</w:t>
      </w:r>
    </w:p>
    <w:p w:rsidR="00000000" w:rsidRDefault="00000000">
      <w:pPr>
        <w:pStyle w:val="BodyText"/>
      </w:pPr>
      <w:r>
        <w:tab/>
        <w:t>Некоторые данные о закономерностях ухода на пенсию в ряде секторов свидетельствуют о том, что женщины склонны уходить на пенсию в более раннем возрасте, нежели мужчины. Судя по имеющейся информации, число случаев раннего ухода женщин на пенсию растет. Так, в 1988 году их было 582, а в 1993 году – 983.</w:t>
      </w:r>
    </w:p>
    <w:p w:rsidR="00000000" w:rsidRDefault="00000000">
      <w:pPr>
        <w:pStyle w:val="BodyText"/>
      </w:pPr>
      <w:r>
        <w:tab/>
        <w:t>Сложившаяся ситуация вынудила соответствующие органы заняться изучением факторов, влияющих на указанное явление. Они провели ряд исследований на местах с целью выяснения причин, побуждающих женщин преждевременно оставлять работу. К их числу были отнесены, помимо состояния здоровья и причин личного характера, факторы административного и организационного характера, а также обстановка в рабочих коллективах и пенсионные льготы.</w:t>
      </w:r>
    </w:p>
    <w:p w:rsidR="00000000" w:rsidRDefault="00000000">
      <w:pPr>
        <w:pStyle w:val="BodyText"/>
      </w:pPr>
      <w:r>
        <w:tab/>
        <w:t>Что касается представленности кувейтских женщин на руководящих постах и в директивных органах на всех уровнях, то следует указать, что характер кувейтского общества и действующее законодательство в немалой мере способствовали повышению степени их участия в различных секторах сферы развития, а также их вклада. Необходимо отметить, что кувейтская Конституция и действующие законодательные акты преследовали цель утверждения принципа равенства между мужчинами и женщинами, цель повышения участия женщин в различных сферах труда и создания для них дополнительных возможностей занятия целого ряда ответственных постов и участия в принятии решений на всех уровнях как внутри страны, так и на международной арене.</w:t>
      </w:r>
    </w:p>
    <w:p w:rsidR="00000000" w:rsidRDefault="00000000">
      <w:pPr>
        <w:pStyle w:val="BodyText"/>
      </w:pPr>
      <w:r>
        <w:tab/>
        <w:t>Назначение на руководящую должность, а также продвижение по службе связаны в каждом конкретном случае с выполнением тех или иных требований. Поэтому каждый отдельный случай является предметом индивидуального рассмотрения в свете общих организационных правил и норм, предусмотренных Законом о гражданской службе, административных положений и регламентов, применимых в других секторах занятости. При этом на принятие решения прочие соображения, связанные с полом, влияния не оказывают.</w:t>
      </w:r>
    </w:p>
    <w:p w:rsidR="00000000" w:rsidRDefault="00000000">
      <w:pPr>
        <w:pStyle w:val="BodyText"/>
      </w:pPr>
      <w:r>
        <w:tab/>
        <w:t>Излишне объяснять, что при оказании предпочтения в подобных случаях за основу принимается стремление к достижению общего блага и реализации в полном объеме права служащего, мужчины или женщины, на основе принципов справедливости, права и равенства, содержащихся в Конституции.</w:t>
      </w:r>
    </w:p>
    <w:p w:rsidR="00000000" w:rsidRDefault="00000000">
      <w:pPr>
        <w:pStyle w:val="BodyText"/>
      </w:pPr>
      <w:r>
        <w:tab/>
        <w:t>В свете вышесказанного следует отметить, что возможности назначения на руководящую должность и служебного роста предоставлены всем, независимо от пола, при условии выполнения требований, определяемых соответствующими законодательными актами.</w:t>
      </w:r>
    </w:p>
    <w:p w:rsidR="00000000" w:rsidRDefault="00000000">
      <w:pPr>
        <w:pStyle w:val="BodyText"/>
        <w:rPr>
          <w:spacing w:val="-4"/>
        </w:rPr>
      </w:pPr>
      <w:r>
        <w:rPr>
          <w:spacing w:val="-4"/>
        </w:rPr>
        <w:tab/>
        <w:t>В этой обстановке кувейтские женщины постепенно поднялись до руководящих постов, что вполне соответствует характеру кувейтского общества. Роль женщин и их участие в решении проблем развития общества претерпели ряд изменений. Кувейтские женщины заняли целый ряд высших должностей, в том числе пост ректора университета, заместителя министра и посла. В 1993 году на высших административных постах было 285 женщин, а в 1997 – 311. Это свидетельствует о росте роли женщин при занятии руководящих постов, а также о том, что исполнение руководящих функций перестало быть исключительной прерогативой мужчин. В 1993 году женщины, занимавшие руководящие административные посты, составляли 7,6 процента от общего числа работающих в Кувейте.</w:t>
      </w:r>
    </w:p>
    <w:p w:rsidR="00000000" w:rsidRDefault="00000000">
      <w:pPr>
        <w:pStyle w:val="BodyText"/>
      </w:pPr>
      <w:r>
        <w:tab/>
        <w:t>В нефтяном секторе руководящие должности на нефтяных предприятиях занимали 7 женщин, или 14 процентов от общего числа руководящих работников сектора.</w:t>
      </w:r>
    </w:p>
    <w:p w:rsidR="00000000" w:rsidRDefault="00000000">
      <w:pPr>
        <w:pStyle w:val="BodyText"/>
      </w:pPr>
      <w:r>
        <w:tab/>
        <w:t>Кроме этого, кувейтские женщины стали исполнять обязанности членов правления и других руководящих органов целого ряда банков, кооперативных объединений и компаний. Женщина была впервые назначена членом правления авиакомпании "Кувейт эйруэйз". До этого такие посты занимали исключительно мужчины. Женщины становятся членами руководства кооперативных объединений. Такое назначение является первым в своем роде шагом в Кувейте. Оно свидетельствует об уверенности ответственных лиц в том, что кувейтские женщины способны к систематическим усилиям и к достижению успехов в данной сфере деятельности. Женщины вошли также в правления кувейтских ассоциаций адвокатов и журналистов, а также в руководство целого ряда частных компаний, коммерческих и профессиональных частных предприятий. Женщина занимает пост главного редактора ежедневной газеты, женщины трудятся в традиционных сферах деятельности мужчин, таких как адвокатура, инженерные профессии, медицина и другие прикладные области.</w:t>
      </w:r>
    </w:p>
    <w:p w:rsidR="00000000" w:rsidRDefault="00000000">
      <w:pPr>
        <w:pStyle w:val="BodyText"/>
      </w:pPr>
      <w:r>
        <w:tab/>
        <w:t>Такой рост статуса женщин в Кувейте подтверждает тот факт, что общество отводит женщинам особое место в сфере принятия решений на всех уровнях.</w:t>
      </w:r>
    </w:p>
    <w:p w:rsidR="00000000" w:rsidRDefault="00000000">
      <w:pPr>
        <w:pStyle w:val="BodyText"/>
      </w:pPr>
      <w:r>
        <w:tab/>
        <w:t>В отношении роли кувейтских женщин на уровне принятия решений в частном секторе следует указать, что они заняли достойное место в финансовых и банковских предприятиях и учреждениях. Женщины занимают там руководящие должности и доказывают, что они достойны такого положения. Женщины трудятся и в инвестиционной сфере. В 1998 году доля женщин, занятых в сфере экономического развития, составила 18,4 процента. Согласно данным статистики, число женщин-предпринимателей возросло с 40 в 1980 году до 195 в 1993 году и до 230 в 1997 году. Эти цифры говорят о том, что государство активно поощряет женщин к самостоятельному управлению бизнесом, хотя их число в этой сфере все еще относительно невелико по сравнению с числом мужчин.</w:t>
      </w:r>
    </w:p>
    <w:p w:rsidR="00000000" w:rsidRDefault="00000000">
      <w:pPr>
        <w:pStyle w:val="BodyText"/>
      </w:pPr>
      <w:r>
        <w:tab/>
        <w:t xml:space="preserve">Подтверждением статуса женщин и их важной роли в обществе является тот факт, что долговременная стратегия развития Государства Кувейт (на 1990–2015 годы), принятая в 1989 году Высшим советом планирования, Национальная хартия реформирования и развития (1992/93–1994/95 годы), обнародованная в 1992 году, Проект программы деятельности правительства от </w:t>
      </w:r>
      <w:r>
        <w:br/>
        <w:t>1996 года, Пятилетний план экономического и социального развития (1995/96–1999/2000 годы) делают особый упор на основную роль женщины в обществе как матери и воспитательницы новых поколений, не говоря уже о ее вкладе в трудовые ресурсы и усилия по развитию страны.</w:t>
      </w:r>
    </w:p>
    <w:p w:rsidR="00000000" w:rsidRDefault="00000000">
      <w:pPr>
        <w:pStyle w:val="BodyText"/>
      </w:pPr>
      <w:r>
        <w:tab/>
        <w:t>Что касается участия кувейтских женщин в работе неправительственных и профсоюзных организаций, ставящих своей целью улучшение общественной жизни, то следует отметить, что кувейтская Конституция и законодательные акты страны гарантируют женщинам такое право. Так, в статье 43 Конституции провозглашена свобода создания объединений и профсоюзов на национальной основе и мирными средствами в соответствии с условиями и процедурами, определяемыми в законодательном порядке.</w:t>
      </w:r>
    </w:p>
    <w:p w:rsidR="00000000" w:rsidRDefault="00000000">
      <w:pPr>
        <w:pStyle w:val="BodyText"/>
      </w:pPr>
      <w:r>
        <w:tab/>
        <w:t>Во исполнение указанного положения Конституции был принят Закон № 24 1962 года о клубах и объединениях общественного блага. В статье 1 этого закона дано определение цели создания объединений общественного блага и клубов, а также регламентируется порядок учреждения объединений и условия, необходимые для их учреждения, в дополнение к положениям, связанным с их управлением, финансированием и роспуском (приложение 4).</w:t>
      </w:r>
    </w:p>
    <w:p w:rsidR="00000000" w:rsidRDefault="00000000">
      <w:pPr>
        <w:pStyle w:val="BodyText"/>
      </w:pPr>
      <w:r>
        <w:tab/>
        <w:t>Нет сомнения в том, что роль женщин в усилиях в области развития и их вклад в жизнь общества зависят не только от участия в оплачиваемом труде, но предполагают также активную деятельность в женских объединениях, действующих в сфере добровольных социальных услуг. Такие объединения являются весьма действенными структурами в государстве в силу выполняемых ими культурных, социальных, творческих и профессиональных задач путем реализации программ и мер, которыми они руководят или в которых участвуют. Благодаря этому лучше мобилизуется энергия членов обществ, что позволяет им вносить максимальный вклад в процесс развития. Кроме того, государство поощряет женщин к учреждению женских объединений, работа которых способствует повышению социального, культурного и экономического статуса женщин и усилению их роли в обществе.</w:t>
      </w:r>
    </w:p>
    <w:p w:rsidR="00000000" w:rsidRDefault="00000000">
      <w:pPr>
        <w:pStyle w:val="BodyText"/>
      </w:pPr>
      <w:r>
        <w:tab/>
        <w:t>В государстве Кувейт действуют 55 частных объединений общественного блага, получающих финансовую и техническую поддержку со стороны Министерства труда и социальных дел. Деятельность указанных объединений охватывает широкий спектр проблем и вопросов – от профессиональных, культурных, социальных, религиозных и экономических до просветительских, таких как экологические объединения, объединения по борьбе с курением, распространением СПИДа, объединения, занимающиеся проблемами безопасности. Кроме того, имеется не менее 31 спортивного клуба и союза, которые занимаются пропагандой спортивного воспитания и всеми связанными с ним культурными, социальными и духовными аспектами, и одновременно обеспечением необходимых средств, для того чтобы их члены проводили свое свободное время с большей пользой. Необходимо упомянуть, что доступ в такие объединения имеют в равной мере и мужчины и женщины, а в ряде таких объединений, например в Ассоциации кувейтских журналистов, женщины входят в правления.</w:t>
      </w:r>
    </w:p>
    <w:p w:rsidR="00000000" w:rsidRDefault="00000000">
      <w:pPr>
        <w:pStyle w:val="BodyText"/>
      </w:pPr>
      <w:r>
        <w:tab/>
        <w:t>К числу указанных выше объединений общественного блага относятся следующие пять женских объединений:</w:t>
      </w:r>
    </w:p>
    <w:p w:rsidR="00000000" w:rsidRDefault="00000000">
      <w:pPr>
        <w:pStyle w:val="BodyText"/>
        <w:spacing w:after="120"/>
      </w:pPr>
      <w:r>
        <w:tab/>
        <w:t>–</w:t>
      </w:r>
      <w:r>
        <w:tab/>
        <w:t>Кувейтская федерация женщин, созданная в 1994 году для упрочения положения женщин в плане их вклада, координации деятельности и участия в общественной жизни и добровольной работе через деятельность Федерации на национальном и международном уровнях, в том числе участия в Международной конференции по народонаселению и развитию, участия в заседаниях Консорциума женских неправительственных организаций, созданного в Пекине, а также присутствия в качестве наблюдателя на заседаниях четвертого Международного конгресса по положению женщин в Пекине;</w:t>
      </w:r>
    </w:p>
    <w:p w:rsidR="00000000" w:rsidRDefault="00000000">
      <w:pPr>
        <w:pStyle w:val="BodyText"/>
        <w:spacing w:after="0"/>
      </w:pPr>
      <w:r>
        <w:tab/>
        <w:t>–</w:t>
      </w:r>
      <w:r>
        <w:tab/>
        <w:t>Женская социально-культурная ассоциация;</w:t>
      </w:r>
    </w:p>
    <w:p w:rsidR="00000000" w:rsidRDefault="00000000">
      <w:pPr>
        <w:pStyle w:val="BodyText"/>
        <w:spacing w:after="0"/>
      </w:pPr>
      <w:r>
        <w:tab/>
        <w:t>–</w:t>
      </w:r>
      <w:r>
        <w:tab/>
        <w:t>Женское объединение "Баядир ас-Салям" (Форумы мира);</w:t>
      </w:r>
    </w:p>
    <w:p w:rsidR="00000000" w:rsidRDefault="00000000">
      <w:pPr>
        <w:pStyle w:val="BodyText"/>
        <w:spacing w:after="0"/>
      </w:pPr>
      <w:r>
        <w:tab/>
        <w:t>–</w:t>
      </w:r>
      <w:r>
        <w:tab/>
        <w:t>Объединение исламской благотворительности;</w:t>
      </w:r>
    </w:p>
    <w:p w:rsidR="00000000" w:rsidRDefault="00000000">
      <w:pPr>
        <w:pStyle w:val="BodyText"/>
      </w:pPr>
      <w:r>
        <w:tab/>
        <w:t>–</w:t>
      </w:r>
      <w:r>
        <w:tab/>
        <w:t>Клуб девушек.</w:t>
      </w:r>
    </w:p>
    <w:p w:rsidR="00000000" w:rsidRDefault="00000000">
      <w:pPr>
        <w:pStyle w:val="BodyText"/>
      </w:pPr>
      <w:r>
        <w:tab/>
        <w:t>Целью указанных объединений является повышение информированности общества по проблемам своей страны и участие в содействии решению проблем женщины и детей путем осуществления программ и форумов, работы клубов, чтения лекций и проведения учебных курсов, призванных повысить научный, культурный и общественный уровень женщин во всех областях, упрочить социальные связи, обеспечить координацию в области социального сотрудничества, активизировать процесс привлечения женщин к общественной жизни, усилить их роль и участие во всех секторах. В области религии эти объединения ведут пропаганду религиозной культуры и вносят вклад в возрождение исламского наследия и распространение истин и добродетелей исламской религии, а также поощряют женщин к участию в добровольной работе на службе общества с приложением всей их энергии, культурных, воспитательных и технических возможностей, что, в особенности, касается женщин, посвятивших себя домашним делам и располагающих свободным временем для такой добровольной работы.</w:t>
      </w:r>
    </w:p>
    <w:p w:rsidR="00000000" w:rsidRDefault="00000000">
      <w:pPr>
        <w:pStyle w:val="BodyText"/>
      </w:pPr>
      <w:r>
        <w:tab/>
        <w:t>Действуя в интересах женщин и с целью стимулировать их к выполнению своей функциональной роли в обществе, большинство женских объединений открыли показательные ясли и детские сады, оказывающие работающей женщине-матери услуги по уходу за ее детьми и заботе о них во время ее пребывания на работе, что дает ей чувство психологического комфорта и уверенности.</w:t>
      </w:r>
    </w:p>
    <w:p w:rsidR="00000000" w:rsidRDefault="00000000">
      <w:pPr>
        <w:pStyle w:val="BodyText"/>
      </w:pPr>
      <w:r>
        <w:tab/>
        <w:t>Необходимо упомянуть о том, что участие женщин в добровольной работе не ограничивается только участием в женских объединениях, но и охватывает их вклад в деятельность некоторых частных культурных, общественных и профессиональных объединений. В составе ряда указанных объединений имеются женские комитеты. К числу таких объединений относятся Кувейтское объединение Красного Полумесяца, Ассоциация кувейтских адвокатов, Общество социальных реформ, Общество возрождения исламского наследия и Общество выпускников кувейтских учебных заведений.</w:t>
      </w:r>
    </w:p>
    <w:p w:rsidR="00000000" w:rsidRDefault="00000000">
      <w:pPr>
        <w:pStyle w:val="-1"/>
      </w:pPr>
      <w:r>
        <w:t>Статья 8</w:t>
      </w:r>
    </w:p>
    <w:p w:rsidR="00000000" w:rsidRDefault="00000000">
      <w:pPr>
        <w:pStyle w:val="BodyText"/>
      </w:pPr>
      <w:r>
        <w:tab/>
        <w:t>В данной статье содержится призыв к государствам-участникам принимать все соответствующие меры, чтобы обеспечить женщинам возможность наравне с мужчинами и без какой-либо дискриминации представлять свои правительства на международном уровне и участвовать в работе международных организаций.</w:t>
      </w:r>
    </w:p>
    <w:p w:rsidR="00000000" w:rsidRDefault="00000000">
      <w:pPr>
        <w:pStyle w:val="BodyText"/>
      </w:pPr>
      <w:r>
        <w:tab/>
        <w:t>В отношении участия в форумах и совещаниях на международном и региональном уровнях следует отметить, что кувейтские женщины достойно представляют интересы своей страны на всех международных форумах. Они участвовали во многих международных и региональных конференциях, в том числе под эгидой Организации Объединенных Наций, Лиги арабских государств и других организаций. В качестве примера можно отметить среди бесчисленного множества следующие мероприятия на международном уровне, в которых принимали участие представительницы Кувейта:</w:t>
      </w:r>
    </w:p>
    <w:p w:rsidR="00000000" w:rsidRDefault="00000000">
      <w:pPr>
        <w:pStyle w:val="a"/>
      </w:pPr>
      <w:r>
        <w:tab/>
        <w:t>a)</w:t>
      </w:r>
      <w:r>
        <w:tab/>
        <w:t xml:space="preserve">Четвертая Всемирная конференция по положению женщин, проведенная в Китае в </w:t>
      </w:r>
      <w:r>
        <w:br/>
        <w:t>1995 году.</w:t>
      </w:r>
    </w:p>
    <w:p w:rsidR="00000000" w:rsidRDefault="00000000">
      <w:pPr>
        <w:pStyle w:val="a"/>
      </w:pPr>
      <w:r>
        <w:tab/>
        <w:t>b)</w:t>
      </w:r>
      <w:r>
        <w:tab/>
        <w:t>Двадцать вторая специальная сессия Генеральной Ассамблеи Организации Объединенных Наций по положению женщин (осуществление решений четвертой Всемирной конференции по положению женщин).</w:t>
      </w:r>
    </w:p>
    <w:p w:rsidR="00000000" w:rsidRDefault="00000000">
      <w:pPr>
        <w:pStyle w:val="a"/>
      </w:pPr>
      <w:r>
        <w:tab/>
        <w:t>с)</w:t>
      </w:r>
      <w:r>
        <w:tab/>
        <w:t>Двадцать третья специальная сессия Генеральной Ассамблеи Организации Объединенных Наций "Женщины в 2000 году: равенство между мужчинами и женщинами, развитие и мир в XXI веке", состоявшаяся с 5 по 9 июня 2000 года.</w:t>
      </w:r>
    </w:p>
    <w:p w:rsidR="00000000" w:rsidRDefault="00000000">
      <w:pPr>
        <w:pStyle w:val="a"/>
      </w:pPr>
      <w:r>
        <w:tab/>
        <w:t>d)</w:t>
      </w:r>
      <w:r>
        <w:tab/>
        <w:t>Двадцать четвертая специальная сессия Генеральной Ассамблеи Организации Объединенных Наций "Всемирная встреча на высшем уровне в интересах социального развития и достижения других целей: социальное развитие для всех в условиях глобализации во всем мире", состоявшаяся в Женеве в июне 2000 года.</w:t>
      </w:r>
    </w:p>
    <w:p w:rsidR="00000000" w:rsidRDefault="00000000">
      <w:pPr>
        <w:pStyle w:val="a"/>
      </w:pPr>
      <w:r>
        <w:tab/>
        <w:t>е)</w:t>
      </w:r>
      <w:r>
        <w:tab/>
        <w:t>Участие в заседаниях Комитета арабских женщин под эгидой Лиги арабских государств.</w:t>
      </w:r>
    </w:p>
    <w:p w:rsidR="00000000" w:rsidRDefault="00000000">
      <w:pPr>
        <w:pStyle w:val="a"/>
      </w:pPr>
      <w:r>
        <w:tab/>
        <w:t>f)</w:t>
      </w:r>
      <w:r>
        <w:tab/>
        <w:t>Участие в сессиях Генеральной Ассамблеи Организации Объединенных Наций, проводимых ежегодно с сентября по конец ноября.</w:t>
      </w:r>
    </w:p>
    <w:p w:rsidR="00000000" w:rsidRDefault="00000000">
      <w:pPr>
        <w:pStyle w:val="a"/>
      </w:pPr>
      <w:r>
        <w:tab/>
        <w:t>g)</w:t>
      </w:r>
      <w:r>
        <w:tab/>
        <w:t>Первая конференция арабских женщин на высшем уровне, прошедшая в Каире в период с 18 по 20 ноября 2000 года под лозунгом "Вызовы современности и перспективы на будущее".</w:t>
      </w:r>
    </w:p>
    <w:p w:rsidR="00000000" w:rsidRDefault="00000000">
      <w:pPr>
        <w:pStyle w:val="BodyText"/>
      </w:pPr>
      <w:r>
        <w:tab/>
        <w:t>Кувейтские женщины занимали также ряд международных должностей в Организации Объединенных Наций:</w:t>
      </w:r>
    </w:p>
    <w:p w:rsidR="00000000" w:rsidRDefault="00000000">
      <w:pPr>
        <w:pStyle w:val="a"/>
      </w:pPr>
      <w:r>
        <w:tab/>
        <w:t>а)</w:t>
      </w:r>
      <w:r>
        <w:tab/>
        <w:t>Избрание заместителя министра высшего образования членом совета секретарей Международного учебного и научно-исследовательского института по улучшению положения женщин (МУНИУЖ) на период с 1 января 2000 года по 31 декабря 2002 года.</w:t>
      </w:r>
    </w:p>
    <w:p w:rsidR="00000000" w:rsidRDefault="00000000">
      <w:pPr>
        <w:pStyle w:val="a"/>
      </w:pPr>
      <w:r>
        <w:tab/>
        <w:t>b)</w:t>
      </w:r>
      <w:r>
        <w:tab/>
        <w:t>Избрание ректора Кувейтского университета в 1998 году в руководство Университета Организации Объединенных Наций на срок шесть лет. Она была выдвинута на этот пост по представлению Генерального секретаря Организации Объединенных Наций Кофи Аннана с учетом ее административного и научного опыта.</w:t>
      </w:r>
    </w:p>
    <w:p w:rsidR="00000000" w:rsidRDefault="00000000">
      <w:pPr>
        <w:pStyle w:val="a"/>
      </w:pPr>
      <w:r>
        <w:tab/>
        <w:t>с)</w:t>
      </w:r>
      <w:r>
        <w:tab/>
        <w:t>Назначение госпожи Марьям аль-Аудахи на должность заместителя Исполнительного секретаря Экономической и социальной комиссии для Западной Азии (ЭСКЗА).</w:t>
      </w:r>
    </w:p>
    <w:p w:rsidR="00000000" w:rsidRDefault="00000000">
      <w:pPr>
        <w:pStyle w:val="a"/>
      </w:pPr>
      <w:r>
        <w:tab/>
        <w:t>d)</w:t>
      </w:r>
      <w:r>
        <w:tab/>
        <w:t>Назначение госпожи Фатимы Джаухар представителем Государства Кувейт в Продовольственной и сельскохозяйственной организации Объединенных Наций (ФАО).</w:t>
      </w:r>
    </w:p>
    <w:p w:rsidR="00000000" w:rsidRDefault="00000000">
      <w:pPr>
        <w:pStyle w:val="BodyText"/>
      </w:pPr>
      <w:r>
        <w:tab/>
        <w:t>Избрание кувейтянок на международные должности свидетельствует о признании заслуг кувейтских женщин и передовой позиции, которую они занимают в различных сферах жизни, а также высокой оценки их роли в сфере развития.</w:t>
      </w:r>
    </w:p>
    <w:p w:rsidR="00000000" w:rsidRDefault="00000000">
      <w:pPr>
        <w:pStyle w:val="BodyText"/>
      </w:pPr>
      <w:r>
        <w:tab/>
        <w:t>В дипломатическом и консульском корпусе Государства Кувейт работают исключительно мужчины, за единственным исключением – это глава кувейтской дипломатической миссии в Вене, которая в прошлом работала в постоянном представительстве Государства Кувейт в Нью-Йорке, а затем послом Государства Кувейт в Южной Африке.</w:t>
      </w:r>
    </w:p>
    <w:p w:rsidR="00000000" w:rsidRDefault="00000000">
      <w:pPr>
        <w:pStyle w:val="-1"/>
      </w:pPr>
      <w:r>
        <w:t>Статья 9</w:t>
      </w:r>
    </w:p>
    <w:p w:rsidR="00000000" w:rsidRDefault="00000000">
      <w:pPr>
        <w:pStyle w:val="BodyText"/>
      </w:pPr>
      <w:r>
        <w:t>В данной статье рассматривается вопрос о равноправии женщин и мужчин в отношении приобретения, изменения или сохранения их гражданства, а также в отношении гражданства их детей.</w:t>
      </w:r>
    </w:p>
    <w:p w:rsidR="00000000" w:rsidRDefault="00000000">
      <w:pPr>
        <w:pStyle w:val="BodyText"/>
      </w:pPr>
      <w:r>
        <w:tab/>
        <w:t>Право на гражданство предусмотрено в статье 27 кувейтской Конституции, которая гласит, что кувейтское гражданство определяется законом, а лишение гражданства может иметь место только в соответствии с действующим законодательством.</w:t>
      </w:r>
    </w:p>
    <w:p w:rsidR="00000000" w:rsidRDefault="00000000">
      <w:pPr>
        <w:pStyle w:val="BodyText"/>
      </w:pPr>
      <w:r>
        <w:tab/>
        <w:t>Гражданство в Государстве Кувейт регламентируется эмирским Декретом № 15 1959 года о принятии Закона о кувейтском гражданстве, в который был внесен ряд изменений с целью подробного регламентирования положений, связанных с кувейтским гражданством, а также процедур его получения.</w:t>
      </w:r>
    </w:p>
    <w:p w:rsidR="00000000" w:rsidRDefault="00000000">
      <w:pPr>
        <w:pStyle w:val="BodyText"/>
      </w:pPr>
      <w:r>
        <w:tab/>
        <w:t>В положениях упомянутого законодательного акта подчеркивается принцип равенства мужчин и женщин во всем, что связано с получением кувейтского гражданства, а также регламентируются последствия заключения брака для гражданства супруги и детей.</w:t>
      </w:r>
    </w:p>
    <w:p w:rsidR="00000000" w:rsidRDefault="00000000">
      <w:pPr>
        <w:pStyle w:val="BodyText"/>
      </w:pPr>
      <w:r>
        <w:tab/>
        <w:t>В статье 1 указанного законодательного акта определяется, что кувейтцами считаются лица, поселившиеся в Кувейте до 1920 года и постоянно проживавшие там до момента публикации указанного законодательного акта.</w:t>
      </w:r>
    </w:p>
    <w:p w:rsidR="00000000" w:rsidRDefault="00000000">
      <w:pPr>
        <w:pStyle w:val="BodyText"/>
      </w:pPr>
      <w:r>
        <w:tab/>
        <w:t>Статья 2 гласит, что кувейтцем является любое лицо, рожденное в Кувейте или за рубежом от отца-кувейтца. Важнейшим моментом является то, что гражданство приобретается по крови, а не по территории. Например, ребенок может быть рожден от отца кувейтца на территории Кувейта или за его пределами. Если отец является кувейтцем, то и его сын или дочь являются кувейтцами в силу данного обстоятельства. Поэтому необходимо, чтобы на момент рождения ребенка его отец имел кувейтское гражданство. При этом неважно, жив ли отец на момент рождения его сына или дочери.</w:t>
      </w:r>
    </w:p>
    <w:p w:rsidR="00000000" w:rsidRDefault="00000000">
      <w:pPr>
        <w:pStyle w:val="BodyText"/>
      </w:pPr>
      <w:r>
        <w:tab/>
        <w:t>В пункте 2 статьи 3 упомянутого законодательного акта указывается, что дети получают гражданство своей кувейтской матери в тех случаях, когда невозможно установить, кто был отцом и какое он имел гражданство. Если отец неизвестен, или известен, но его отцовство юридически не установлено, или если он известен и его отцовство юридически установлено, но не установлено его гражданство, или он является лицом без гражданства, то ребенок остается за матерью-кувейтянкой, данная связь не признается недействительной, а дети приобретают кувейтское гражданство по материнской линии. При этом гражданство принимается по крови по линии матери, но не по линии отца.</w:t>
      </w:r>
    </w:p>
    <w:p w:rsidR="00000000" w:rsidRDefault="00000000">
      <w:pPr>
        <w:pStyle w:val="BodyText"/>
      </w:pPr>
      <w:r>
        <w:tab/>
        <w:t>Статья 5 гласит, что кувейтское гражданство может переходить ребенку от матери-кувейтянки, если отец-иностранец находится в разводе с матерью или умер. На основании постановления Министерства внутренних дел допускается, чтобы в отношении несовершеннолетнего, отвечающего данным условиям, все формальности проводились до достижения им совершеннолетия так, как если бы он являлся кувейтцем.</w:t>
      </w:r>
    </w:p>
    <w:p w:rsidR="00000000" w:rsidRDefault="00000000">
      <w:pPr>
        <w:pStyle w:val="BodyText"/>
      </w:pPr>
      <w:r>
        <w:tab/>
        <w:t>В соответствии со статьей 7 кувейтское гражданство предоставляется супруге-иностранке кувейтского гражданина на основании данного законодательного акта, если в предусмотренный указанным актом период она заявит о желании получить гражданство своего супруга. Кроме того, в соответствии с данной статьей гражданство получают несовершеннолетние дети натурализовавшегося лица до достижения ими совершеннолетия. В течение года после достижения совершеннолетия они имеют право выбрать кувейтское или прежнее гражданство.</w:t>
      </w:r>
    </w:p>
    <w:p w:rsidR="00000000" w:rsidRDefault="00000000">
      <w:pPr>
        <w:pStyle w:val="BodyText"/>
      </w:pPr>
      <w:r>
        <w:tab/>
        <w:t>В соответствии со статьей 8 женщина-иностранка, вышедшая замуж за кувейтского гражданина, получает кувейтское гражданство, если она объявляет о желании получить данное гражданство, когда она пробудет в браке в течение пяти лет с момента объявления об этом желании.</w:t>
      </w:r>
    </w:p>
    <w:p w:rsidR="00000000" w:rsidRDefault="00000000">
      <w:pPr>
        <w:pStyle w:val="BodyText"/>
      </w:pPr>
      <w:r>
        <w:tab/>
        <w:t>Если супруга получила кувейтское гражданство в соответствии с положениями данного законодательного акта, она не утрачивает его, даже если брак после этого прекращается по любой причине, например ввиду смерти или развода, за исключением двух случаев, предусмотренных в статье 9. Первый – если она восстановила свое первоначальное гражданство, второй – если она получила другое иностранное гражданство.</w:t>
      </w:r>
    </w:p>
    <w:p w:rsidR="00000000" w:rsidRDefault="00000000">
      <w:pPr>
        <w:pStyle w:val="BodyText"/>
      </w:pPr>
      <w:r>
        <w:tab/>
        <w:t>Кувейтское законодательство предусматривает право кувейтской женщины, выходящей замуж за иностранного гражданина, на сохранение своего гражданства. Она лишается его только в том случае, если берет гражданство своего супруга по собственной просьбе (ст. 10). Кроме того, кувейтская супруга не утрачивает своего кувейтского гражданства и том случае, когда кувейтское гражданство утрачивает ее супруг при выборе им иностранного гражданства, кроме тех случаев, когда она принимает его гражданство. Что касается несовершеннолетних детей, то они лишаются кувейтского гражданства, если приобретают новое гражданство своего отца согласно соответствующему закону о гражданстве. Вместе с тем закон сохраняет за ними возможность восстановления кувейтского гражданства после достижения ими совершеннолетия при условии сообщения о данном намерении министру внутренних дел в течение года с момента достижения ими совершеннолетия. В этом случае они считаются кувейтцами с момента объявления ими о таком намерении.</w:t>
      </w:r>
    </w:p>
    <w:p w:rsidR="00000000" w:rsidRDefault="00000000">
      <w:pPr>
        <w:pStyle w:val="BodyText"/>
      </w:pPr>
      <w:r>
        <w:tab/>
        <w:t>Статья 12 данного законодательного акта предусматривает, что согласно Постановлению Совета министров по представлению министра внутренних дел допускается восстановление кувейтского гражданства кувейтянке, лишившейся его в соответствии с положениями данного законодательного акта, в случае ее отказа от иностранного гражданства и постоянного проживания в Кувейте или возвращения в Кувейт для постоянного проживания. При этом ее гражданство считается восстановленным с момента соответствующего решения Совета министров.</w:t>
      </w:r>
    </w:p>
    <w:p w:rsidR="00000000" w:rsidRDefault="00000000">
      <w:pPr>
        <w:pStyle w:val="BodyText"/>
      </w:pPr>
      <w:r>
        <w:tab/>
        <w:t>Во исполнении положений вышеизложенных статей государство приняло в этой связи ряд срочных мер, в том числе:</w:t>
      </w:r>
    </w:p>
    <w:p w:rsidR="00000000" w:rsidRDefault="00000000">
      <w:pPr>
        <w:pStyle w:val="BodyText"/>
      </w:pPr>
      <w:r>
        <w:tab/>
        <w:t>–</w:t>
      </w:r>
      <w:r>
        <w:tab/>
        <w:t>принятие Эмирского декрета № 202 от 30 декабря 1997 года о предоставлении кувейтского гражданства лицам, рожденным от матери-кувейтянки;</w:t>
      </w:r>
    </w:p>
    <w:p w:rsidR="00000000" w:rsidRDefault="00000000">
      <w:pPr>
        <w:pStyle w:val="BodyText"/>
      </w:pPr>
      <w:r>
        <w:tab/>
        <w:t>–</w:t>
      </w:r>
      <w:r>
        <w:tab/>
        <w:t>принятие Эмирского декрета № 295/98 о предоставлении кувейтского гражданства лицам, рожденным от матери-кувейтянки;</w:t>
      </w:r>
    </w:p>
    <w:p w:rsidR="00000000" w:rsidRDefault="00000000">
      <w:pPr>
        <w:pStyle w:val="BodyText"/>
      </w:pPr>
      <w:r>
        <w:tab/>
        <w:t>–</w:t>
      </w:r>
      <w:r>
        <w:tab/>
        <w:t>принятие Эмирского декрета № 271 от 31 октября 2001 года, предусматривающего предоставление кувейтского гражданства 279 детям кувейтянок, разведенных со своими супругами-некувейтцами или овдовевших после их смерти, на основании пункта 2 статьи 5 Закона о гражданстве с изменениями, внесенными согласно Закону № 21 от 3 июня 2000 года.</w:t>
      </w:r>
    </w:p>
    <w:p w:rsidR="00000000" w:rsidRDefault="00000000">
      <w:pPr>
        <w:pStyle w:val="BodyText"/>
      </w:pPr>
      <w:r>
        <w:tab/>
        <w:t>Что касается проездных документов для женщин, то следует указать, что кувейтская женщина может получить собственный заграничный паспорт. Так, в статье 1 Закона № 11 1962 года о паспортах, где регламентируются вопросы, связанные с кувейтскими заграничными паспортами, указано, что кувейтцы не могут выезжать из Кувейта или возвращаться в него не имея заграничного паспорта. В пункте 3 упомянутой статьи, внесенном дополнительно в соответствии с законом № 105 1994 года, согласно которому был добавлен пункт 3 к статье 17 Закона № 11 1962 года, указывается, что супруге кувейтца, не являющейся кувейтянкой, может быть выдан заграничный паспорт по просьбе ее супруга при наличии условий, определяемых в указанном пункте. Данное добавление внесено по требованию кувейтских законодателей, стремящихся создать справедливые условия для супруг кувейтских граждан, не являющихся кувейтянками, и ради утверждении норм общечеловеческой и социальной справедливости, а также во избежание проблем, могущих возникнуть в результате отказа супруге кувейтца, не являющейся кувейтянкой, в предоставлении отдельного паспорта.</w:t>
      </w:r>
    </w:p>
    <w:p w:rsidR="00000000" w:rsidRDefault="00000000">
      <w:pPr>
        <w:pStyle w:val="BodyText"/>
      </w:pPr>
      <w:r>
        <w:tab/>
        <w:t>В статье 17 предусматривается, что заграничные паспорта выдаются лицам, имеющим кувейтское гражданство, согласно положениям Закона о гражданстве, действующим на момент выдачи паспорта.</w:t>
      </w:r>
    </w:p>
    <w:p w:rsidR="00000000" w:rsidRDefault="00000000">
      <w:pPr>
        <w:pStyle w:val="BodyText"/>
      </w:pPr>
      <w:r>
        <w:tab/>
        <w:t>В статье 15 данного закона условием для получения супругой отдельного заграничного паспорта является предварительное согласие ее супруга. В этой статье также указано, что предоставление супруге отдельного заграничного паспорта не допускается без согласия супруга, а предоставление отдельных заграничных паспортов лицам с ограниченной правоспособностью допускается только с согласия их законных представителей.</w:t>
      </w:r>
    </w:p>
    <w:p w:rsidR="00000000" w:rsidRDefault="00000000">
      <w:pPr>
        <w:pStyle w:val="BodyText"/>
      </w:pPr>
      <w:r>
        <w:tab/>
        <w:t>Согласно статье 14 допускается, чтобы в паспорт при его выдаче была включена супруга владельца паспорта и его дети в возрасте до 18 лет, если они сопровождают его в поездке. Разрешается также дополнительно вносить в паспорт после выдачи по просьбе его владельца имя супруги и несовершеннолетних детей в возрасте до 8 лет.</w:t>
      </w:r>
    </w:p>
    <w:p w:rsidR="00000000" w:rsidRDefault="00000000">
      <w:pPr>
        <w:pStyle w:val="BodyText"/>
      </w:pPr>
      <w:r>
        <w:tab/>
        <w:t>Из вышесказанного явствует, что в кувейтский Закон о гражданстве включены положения, соответствующие содержанию статьи 9 Конвенции о праве женщин на приобретение гражданства, на сохранение своего гражданства после вступления в брак, на сохранение своего гражданства в случае, если ее супруг получает другое гражданство, а также ряд других прав, гарантируемых указанным кувейтским Законом о гражданстве.</w:t>
      </w:r>
    </w:p>
    <w:p w:rsidR="00000000" w:rsidRDefault="00000000">
      <w:pPr>
        <w:pStyle w:val="-1"/>
      </w:pPr>
      <w:r>
        <w:t>Статья 10</w:t>
      </w:r>
    </w:p>
    <w:p w:rsidR="00000000" w:rsidRDefault="00000000">
      <w:pPr>
        <w:pStyle w:val="BodyText"/>
      </w:pPr>
      <w:r>
        <w:tab/>
        <w:t>Предметом статьи 10 является право на получение образования. В ней содержится призыв к государствам-участникам принять соответствующие меры для ликвидации дискриминации в отношении женщин в данной области.</w:t>
      </w:r>
    </w:p>
    <w:p w:rsidR="00000000" w:rsidRDefault="00000000">
      <w:pPr>
        <w:pStyle w:val="BodyText"/>
      </w:pPr>
      <w:r>
        <w:tab/>
        <w:t>В кувейтской Конституции образование рассматривается в качестве одной из основ кувейтского общества, что отмечается в ее разделе 2, где идет речь об этих основах. Статья 13 гласит: "Образование является одной из главных предпосылок прогресса общества, а государство выступает в качестве его гаранта".</w:t>
      </w:r>
    </w:p>
    <w:p w:rsidR="00000000" w:rsidRDefault="00000000">
      <w:pPr>
        <w:pStyle w:val="BodyText"/>
      </w:pPr>
      <w:r>
        <w:tab/>
        <w:t>Статья 10 предусматривает, что "государство заботится о благе подрастающего поколения, защищает его от эксплуатации и создает все условия, чтобы его нравственные, физические и духовные возможности были достойным образом востребованы".</w:t>
      </w:r>
    </w:p>
    <w:p w:rsidR="00000000" w:rsidRDefault="00000000">
      <w:pPr>
        <w:pStyle w:val="BodyText"/>
      </w:pPr>
      <w:r>
        <w:tab/>
        <w:t>В статье 40 кувейтцам также гарантируется право на получение бесплатного образования. В ней говорится: "Образование – право всех кувейтцев, которое гарантируется государством в соответствии с законом и в рамках общественного порядка и нравственности. Согласно закону начальное образование является обязательным и бесплатным. Законом предусматривается составление плана ликвидации неграмотности. Государство особо заинтересовано в физическом, нравственном и интеллектуальном развитии молодежи".</w:t>
      </w:r>
    </w:p>
    <w:p w:rsidR="00000000" w:rsidRDefault="00000000">
      <w:pPr>
        <w:pStyle w:val="BodyText"/>
      </w:pPr>
      <w:r>
        <w:tab/>
        <w:t>В соответствии с положениями Конституции и в свете упомянутых выше общих принципов в Государстве Кувейт был принят ряд законодательных актов, касающихся процесса образования:</w:t>
      </w:r>
    </w:p>
    <w:p w:rsidR="00000000" w:rsidRDefault="00000000">
      <w:pPr>
        <w:pStyle w:val="BodyText"/>
      </w:pPr>
      <w:r>
        <w:t xml:space="preserve">a)  </w:t>
      </w:r>
      <w:r>
        <w:rPr>
          <w:u w:val="single"/>
        </w:rPr>
        <w:t>Закон об обязательном образовании № 11 1965 года</w:t>
      </w:r>
    </w:p>
    <w:p w:rsidR="00000000" w:rsidRDefault="00000000">
      <w:pPr>
        <w:pStyle w:val="BodyText"/>
      </w:pPr>
      <w:r>
        <w:tab/>
        <w:t>Данный закон охватывает проблемы, связанные с обязательным образованием. Статья 1 закона предусматривает обязательный характер обучения для кувейтских детей, как мальчиков, так и девочек, со ступени начального образования до завершения ступени среднего образования. В ней же говорится об обязанности государства предоставлять школьные здания, учебники и преподавателей, а также все другие людские и материальные ресурсы, обеспечивающие успешное обучение.</w:t>
      </w:r>
    </w:p>
    <w:p w:rsidR="00000000" w:rsidRDefault="00000000">
      <w:pPr>
        <w:pStyle w:val="BodyText"/>
      </w:pPr>
      <w:r>
        <w:tab/>
        <w:t>В соответствии с положениями данного закона обязательное обучение детей начинается с шести лет. Обучение остается обязательным в течение всего срока, определяемого положениями административных правил, норм и распоряжений.</w:t>
      </w:r>
    </w:p>
    <w:p w:rsidR="00000000" w:rsidRDefault="00000000">
      <w:pPr>
        <w:pStyle w:val="BodyText"/>
      </w:pPr>
      <w:r>
        <w:tab/>
        <w:t>Данный закон предусматривает наказание в отношении родителя или попечителя (опекуна) ребенка в случае нарушения им положений закона в виде штрафа до 10 динаров или лишения свободы на срок до одной недели.</w:t>
      </w:r>
    </w:p>
    <w:p w:rsidR="00000000" w:rsidRDefault="00000000">
      <w:pPr>
        <w:pStyle w:val="BodyText"/>
      </w:pPr>
      <w:r>
        <w:tab/>
        <w:t>В соответствии со статьей 12 период учебы, определяемый для получения обязательного образования, устанавливается с азов начального образования до завершения ступени среднего образования.</w:t>
      </w:r>
    </w:p>
    <w:p w:rsidR="00000000" w:rsidRDefault="00000000">
      <w:pPr>
        <w:pStyle w:val="BodyText"/>
      </w:pPr>
      <w:r>
        <w:tab/>
        <w:t>Закон допускает, чтобы Министерство просвещения увеличивало или сокращало число учебных лет на ступенях начального и среднего образования.</w:t>
      </w:r>
    </w:p>
    <w:p w:rsidR="00000000" w:rsidRDefault="00000000">
      <w:pPr>
        <w:pStyle w:val="BodyText"/>
      </w:pPr>
      <w:r>
        <w:t xml:space="preserve">b)  </w:t>
      </w:r>
      <w:r>
        <w:rPr>
          <w:u w:val="single"/>
        </w:rPr>
        <w:t>Закон об организации высшего образования № 29 1966 года</w:t>
      </w:r>
    </w:p>
    <w:p w:rsidR="00000000" w:rsidRDefault="00000000">
      <w:pPr>
        <w:pStyle w:val="BodyText"/>
      </w:pPr>
      <w:r>
        <w:tab/>
        <w:t>В данном законодательном акте определены цели высшего образования, его уровни и принципы, на которых организуется его управление и финансирование, а также правила, регламентирующие прием в высшие учебные заведения и получение соответствующих свидетельств.</w:t>
      </w:r>
    </w:p>
    <w:p w:rsidR="00000000" w:rsidRDefault="00000000">
      <w:pPr>
        <w:pStyle w:val="BodyText"/>
      </w:pPr>
      <w:r>
        <w:t xml:space="preserve">с)  </w:t>
      </w:r>
      <w:r>
        <w:rPr>
          <w:u w:val="single"/>
        </w:rPr>
        <w:t>Эмирский декрет о Министерстве просвещения от 7 января 1979 года</w:t>
      </w:r>
    </w:p>
    <w:p w:rsidR="00000000" w:rsidRDefault="00000000">
      <w:pPr>
        <w:pStyle w:val="BodyText"/>
      </w:pPr>
      <w:r>
        <w:tab/>
        <w:t>В декрете указаны следующие специальные задачи и полномочия Министерства просвещения:</w:t>
      </w:r>
    </w:p>
    <w:p w:rsidR="00000000" w:rsidRDefault="00000000">
      <w:pPr>
        <w:pStyle w:val="BodyText"/>
      </w:pPr>
      <w:r>
        <w:tab/>
        <w:t>–</w:t>
      </w:r>
      <w:r>
        <w:tab/>
        <w:t>формулирование предложений об основах политики и планирования в области образования;</w:t>
      </w:r>
    </w:p>
    <w:p w:rsidR="00000000" w:rsidRDefault="00000000">
      <w:pPr>
        <w:pStyle w:val="BodyText"/>
      </w:pPr>
      <w:r>
        <w:tab/>
        <w:t>–</w:t>
      </w:r>
      <w:r>
        <w:tab/>
        <w:t>руководство вопросами образования и обучения, а также всеми вопросами, имеющими к этому отношение, в том числе определение ступеней обучения, разработка программ и политики в отношении набора и приема учащихся;</w:t>
      </w:r>
    </w:p>
    <w:p w:rsidR="00000000" w:rsidRDefault="00000000">
      <w:pPr>
        <w:pStyle w:val="BodyText"/>
      </w:pPr>
      <w:r>
        <w:tab/>
        <w:t>–</w:t>
      </w:r>
      <w:r>
        <w:tab/>
        <w:t>руководство вопросами обучения взрослых;</w:t>
      </w:r>
    </w:p>
    <w:p w:rsidR="00000000" w:rsidRDefault="00000000">
      <w:pPr>
        <w:pStyle w:val="BodyText"/>
      </w:pPr>
      <w:r>
        <w:tab/>
        <w:t>–</w:t>
      </w:r>
      <w:r>
        <w:tab/>
        <w:t>руководство частными учебными заведениями;</w:t>
      </w:r>
    </w:p>
    <w:p w:rsidR="00000000" w:rsidRDefault="00000000">
      <w:pPr>
        <w:pStyle w:val="BodyText"/>
      </w:pPr>
      <w:r>
        <w:tab/>
        <w:t>–</w:t>
      </w:r>
      <w:r>
        <w:tab/>
        <w:t>сотрудничество в вопросах воспитания и образования с арабскими и другими иностранными государствами, а также с международными организациями.</w:t>
      </w:r>
    </w:p>
    <w:p w:rsidR="00000000" w:rsidRDefault="00000000">
      <w:pPr>
        <w:pStyle w:val="BodyText"/>
      </w:pPr>
      <w:r>
        <w:tab/>
        <w:t>Министерство просвещения осуществляет руководство обучением вплоть до окончания ступени среднего образования.</w:t>
      </w:r>
    </w:p>
    <w:p w:rsidR="00000000" w:rsidRDefault="00000000">
      <w:pPr>
        <w:pStyle w:val="BodyText"/>
      </w:pPr>
      <w:r>
        <w:t xml:space="preserve">d)  </w:t>
      </w:r>
      <w:r>
        <w:rPr>
          <w:u w:val="single"/>
        </w:rPr>
        <w:t>Закон о ликвидации неграмотности № 4 1981 года</w:t>
      </w:r>
    </w:p>
    <w:p w:rsidR="00000000" w:rsidRDefault="00000000">
      <w:pPr>
        <w:pStyle w:val="BodyText"/>
      </w:pPr>
      <w:r>
        <w:tab/>
        <w:t>Данный законодательный акт обязывает мужчин в возрасте от 14 до 40 лет и женщин в возрасте от 14 до 35 лет участвовать в программах ликвидации неграмотности.</w:t>
      </w:r>
    </w:p>
    <w:p w:rsidR="00000000" w:rsidRDefault="00000000">
      <w:pPr>
        <w:pStyle w:val="BodyText"/>
        <w:ind w:left="680" w:hanging="680"/>
      </w:pPr>
      <w:r>
        <w:t xml:space="preserve">e)  </w:t>
      </w:r>
      <w:r>
        <w:rPr>
          <w:u w:val="single"/>
        </w:rPr>
        <w:t>Закон № 63 1987 года о создании Государственного управления по прикладному образованию и профессиональной подготовке</w:t>
      </w:r>
    </w:p>
    <w:p w:rsidR="00000000" w:rsidRDefault="00000000">
      <w:pPr>
        <w:pStyle w:val="BodyText"/>
      </w:pPr>
      <w:r>
        <w:tab/>
        <w:t>В указанном законодательном акте определяется цель учреждения данного Управления – формирование и развитие квалифицированных национальных трудовых ресурсов и удовлетворение потребностей развития.</w:t>
      </w:r>
    </w:p>
    <w:p w:rsidR="00000000" w:rsidRDefault="00000000">
      <w:pPr>
        <w:pStyle w:val="BodyText"/>
      </w:pPr>
      <w:r>
        <w:t xml:space="preserve">f)  </w:t>
      </w:r>
      <w:r>
        <w:rPr>
          <w:u w:val="single"/>
        </w:rPr>
        <w:t>Декрет о принятии Закона № 4 1987 года о государственном образовании</w:t>
      </w:r>
    </w:p>
    <w:p w:rsidR="00000000" w:rsidRDefault="00000000">
      <w:pPr>
        <w:pStyle w:val="BodyText"/>
      </w:pPr>
      <w:r>
        <w:tab/>
        <w:t>Данный законодательный акт определяет общие правовые рамки образования. В его статье 1 подтверждается право всех кувейтских граждан на бесплатное обучение в государственных школах, а также предоставление учащимся возможностей для комплексного и всестороннего духовного, интеллектуального и физического развития.</w:t>
      </w:r>
    </w:p>
    <w:p w:rsidR="00000000" w:rsidRDefault="00000000">
      <w:pPr>
        <w:pStyle w:val="BodyText"/>
      </w:pPr>
      <w:r>
        <w:t xml:space="preserve">g)  </w:t>
      </w:r>
      <w:r>
        <w:rPr>
          <w:u w:val="single"/>
        </w:rPr>
        <w:t>Эмирский декрет № 164 1988 года о Министерстве высшего образования</w:t>
      </w:r>
    </w:p>
    <w:p w:rsidR="00000000" w:rsidRDefault="00000000">
      <w:pPr>
        <w:pStyle w:val="BodyText"/>
      </w:pPr>
      <w:r>
        <w:tab/>
        <w:t>В соответствии с положениями данного декрета Министерство высшего образования осуществляет руководство всеми вопросами высшего и прикладного образования и научно-исследовательской деятельности в высших учебных заведениях, а также ставит их на службу общества, удовлетворяя потребности страны в технических специалистах самого различного профиля. Помимо этого указанное Министерство выполняет и ряд других задач, в том числе:</w:t>
      </w:r>
    </w:p>
    <w:p w:rsidR="00000000" w:rsidRDefault="00000000">
      <w:pPr>
        <w:pStyle w:val="a"/>
        <w:ind w:left="0" w:firstLine="0"/>
      </w:pPr>
      <w:r>
        <w:tab/>
        <w:t>a)</w:t>
      </w:r>
      <w:r>
        <w:tab/>
        <w:t>разработку общих основ политики и планов, необходимых для развития системы высшего образования в обоих ее аспектах – университетском и прикладном – и руководство ими;</w:t>
      </w:r>
    </w:p>
    <w:p w:rsidR="00000000" w:rsidRDefault="00000000">
      <w:pPr>
        <w:pStyle w:val="a"/>
        <w:ind w:left="0" w:firstLine="0"/>
      </w:pPr>
      <w:r>
        <w:tab/>
        <w:t>b)</w:t>
      </w:r>
      <w:r>
        <w:tab/>
        <w:t>содействие научным исследованиям;</w:t>
      </w:r>
    </w:p>
    <w:p w:rsidR="00000000" w:rsidRDefault="00000000">
      <w:pPr>
        <w:pStyle w:val="a"/>
        <w:ind w:left="0" w:firstLine="0"/>
      </w:pPr>
      <w:r>
        <w:tab/>
        <w:t>c)</w:t>
      </w:r>
      <w:r>
        <w:tab/>
        <w:t>руководство планированием и программами профессиональной подготовки и развития людских ресурсов и их выполнением путем предоставления возможностей для получения высшего образования;</w:t>
      </w:r>
    </w:p>
    <w:p w:rsidR="00000000" w:rsidRDefault="00000000">
      <w:pPr>
        <w:pStyle w:val="a"/>
        <w:ind w:left="0" w:firstLine="0"/>
      </w:pPr>
      <w:r>
        <w:tab/>
        <w:t>d)</w:t>
      </w:r>
      <w:r>
        <w:tab/>
        <w:t>командирование студентов (юношей и девушек) на равноправной основе в зарубежные университеты и институты.</w:t>
      </w:r>
    </w:p>
    <w:p w:rsidR="00000000" w:rsidRDefault="00000000">
      <w:pPr>
        <w:pStyle w:val="BodyText"/>
      </w:pPr>
      <w:r>
        <w:tab/>
        <w:t>Исходя из этого, государство сосредоточило свои усилия на обеспечении возможностей для получения женщинами высшего образования, поскольку нельзя оставить без образования половину общества.</w:t>
      </w:r>
    </w:p>
    <w:p w:rsidR="00000000" w:rsidRDefault="00000000">
      <w:pPr>
        <w:pStyle w:val="BodyText"/>
      </w:pPr>
      <w:r>
        <w:tab/>
        <w:t>Следует упомянуть, что программы Министерства просвещения направлены на решение задач в области образования в Государстве Кувейт, исходя из убеждения, что мужчины и женщины имеют равные права на удовлетворение своих образовательных потребностей, и из необходимости достижения равенства между ними, с тем чтобы они были дееспособными членами общества. Указанные программы также направлены на активизацию роли женщины как продуктивного члена общества путем выполнения таких учебных программ, как те, что используются для обучения женщин на уровне начальной и средней образовательной школы.</w:t>
      </w:r>
    </w:p>
    <w:p w:rsidR="00000000" w:rsidRDefault="00000000">
      <w:pPr>
        <w:pStyle w:val="BodyText"/>
        <w:rPr>
          <w:u w:val="single"/>
        </w:rPr>
      </w:pPr>
      <w:r>
        <w:rPr>
          <w:u w:val="single"/>
        </w:rPr>
        <w:t>Цели образования</w:t>
      </w:r>
    </w:p>
    <w:p w:rsidR="00000000" w:rsidRDefault="00000000">
      <w:pPr>
        <w:pStyle w:val="BodyText"/>
      </w:pPr>
      <w:r>
        <w:tab/>
        <w:t>Комплексная цель, которую преследует Министерство просвещения как основное учреждение, ответственное за эту сферу в Государстве Кувейт при осуществлении процесса образования, заключается в создании благоприятных возможностей для комплексного и всестороннего духовного, нравственного, интеллектуального, социального и физического развития личности до максимального уровня, возможного при ее способностях и других данных, в соответствии с характером кувейтского общества, принципами ислама, с арабским наследием и современной культурой, так чтобы обеспечить равновесие между самореализацией каждого индивида и подготовкой его к конструктивному участию в прогрессе кувейтского общества и в целом арабского и мирового сообщества.</w:t>
      </w:r>
    </w:p>
    <w:p w:rsidR="00000000" w:rsidRDefault="00000000">
      <w:pPr>
        <w:pStyle w:val="BodyText"/>
      </w:pPr>
      <w:r>
        <w:tab/>
        <w:t>Учитывая данную общую цель, можно в сжатом виде определить основные принципы деятельности системы воспитания и образования в Кувейте следующим образом:</w:t>
      </w:r>
    </w:p>
    <w:p w:rsidR="00000000" w:rsidRDefault="00000000">
      <w:pPr>
        <w:pStyle w:val="a"/>
        <w:ind w:left="0" w:firstLine="0"/>
      </w:pPr>
      <w:r>
        <w:tab/>
        <w:t>a)</w:t>
      </w:r>
      <w:r>
        <w:tab/>
        <w:t>образование – это основополагающий процесс развития каждого отдельного члена общества, на котором основаны все многообразные аспекты планов развития. Образование стало совершенно необходимым условием для формирования личности, поскольку именно оно обеспечивает возможности для ее комплексного и всестороннего развития;</w:t>
      </w:r>
    </w:p>
    <w:p w:rsidR="00000000" w:rsidRDefault="00000000">
      <w:pPr>
        <w:pStyle w:val="a"/>
        <w:ind w:left="0" w:firstLine="0"/>
      </w:pPr>
      <w:r>
        <w:tab/>
        <w:t>b)</w:t>
      </w:r>
      <w:r>
        <w:tab/>
        <w:t>все мужчины и женщины имеют право на образование, обеспечить реализацию которого обязано государство в соответствии с положениями его Конституции, законодательных актов и норм шариата. Министерство просвещения как орган, ответственный за обеспечение использования этого права, руководствуется принципом "образование должно быть доступно всем";</w:t>
      </w:r>
    </w:p>
    <w:p w:rsidR="00000000" w:rsidRDefault="00000000">
      <w:pPr>
        <w:pStyle w:val="a"/>
        <w:ind w:left="0" w:firstLine="0"/>
      </w:pPr>
      <w:r>
        <w:tab/>
        <w:t>c)</w:t>
      </w:r>
      <w:r>
        <w:tab/>
        <w:t>все люди имеют потенциальные возможности для получения образования и роста. В соответствии с возможностями и способностями каждого из них Министерство  просвещения совместно с Министерством высшего образования создало и другие формы обучения для лиц с особыми потребностями. Это, в частности:</w:t>
      </w:r>
    </w:p>
    <w:p w:rsidR="00000000" w:rsidRDefault="00000000">
      <w:pPr>
        <w:pStyle w:val="BodyText"/>
        <w:tabs>
          <w:tab w:val="clear" w:pos="680"/>
          <w:tab w:val="left" w:pos="1361"/>
        </w:tabs>
        <w:spacing w:after="120"/>
        <w:ind w:left="680" w:hanging="680"/>
      </w:pPr>
      <w:r>
        <w:tab/>
      </w:r>
      <w:r>
        <w:tab/>
        <w:t>i)</w:t>
      </w:r>
      <w:r>
        <w:tab/>
        <w:t>дети с особыми потребностями, обучающиеся в специальных учебных заведениях, где они получают подготовку в соответствии с их конкретными потребностями и способностями;</w:t>
      </w:r>
    </w:p>
    <w:p w:rsidR="00000000" w:rsidRDefault="00000000">
      <w:pPr>
        <w:pStyle w:val="BodyText"/>
        <w:tabs>
          <w:tab w:val="clear" w:pos="680"/>
          <w:tab w:val="left" w:pos="1361"/>
        </w:tabs>
        <w:spacing w:after="120"/>
        <w:ind w:left="680" w:hanging="680"/>
      </w:pPr>
      <w:r>
        <w:tab/>
      </w:r>
      <w:r>
        <w:tab/>
        <w:t>ii)</w:t>
      </w:r>
      <w:r>
        <w:tab/>
        <w:t>дети, которым трудно усваивать учебный материал в обычном темпе, нуждающиеся в особом учебном режиме, который учитывал бы их конкретный уровень развития, с тем чтобы подготовить их к трудовой жизни наравне с здоровыми сверстниками. Министерство, используя передовой мировой опыт, разработало специальные программы обучения для таких детей;</w:t>
      </w:r>
    </w:p>
    <w:p w:rsidR="00000000" w:rsidRDefault="00000000">
      <w:pPr>
        <w:pStyle w:val="BodyText"/>
        <w:tabs>
          <w:tab w:val="clear" w:pos="680"/>
          <w:tab w:val="left" w:pos="1361"/>
        </w:tabs>
        <w:spacing w:after="120"/>
        <w:ind w:left="680" w:hanging="680"/>
      </w:pPr>
      <w:r>
        <w:tab/>
      </w:r>
      <w:r>
        <w:tab/>
        <w:t>iii)</w:t>
      </w:r>
      <w:r>
        <w:tab/>
        <w:t>дети, страдающие аутизмом, – категория, для которой предусмотрены специальные программы реабилитации и подготовки, с тем чтобы помочь им преодолеть те недостатки, которые являются причиной их неудач в случаях, когда они лишены специализированного ухода со стороны воспитателей. Такие программы направлены на подготовку детей к интеграции в обычную школьную жизнь после прохождения ими соответствующего курса обучения, разрабатываемого Министерством;</w:t>
      </w:r>
    </w:p>
    <w:p w:rsidR="00000000" w:rsidRDefault="00000000">
      <w:pPr>
        <w:pStyle w:val="BodyText"/>
        <w:tabs>
          <w:tab w:val="clear" w:pos="680"/>
          <w:tab w:val="left" w:pos="1361"/>
        </w:tabs>
        <w:spacing w:after="120"/>
        <w:ind w:left="680" w:hanging="680"/>
      </w:pPr>
      <w:r>
        <w:tab/>
      </w:r>
      <w:r>
        <w:tab/>
        <w:t>iv)</w:t>
      </w:r>
      <w:r>
        <w:tab/>
        <w:t>особо одаренные дети, которые потенциально могут в будущем занять руководящие позиции. Министерство прилагает усилия для заблаговременного выявления их талантов, для того чтобы они могли заниматься по специальным интенсивным программам, которые бы соответствовали их способностям и пожеланиям и развивали их таланты;</w:t>
      </w:r>
    </w:p>
    <w:p w:rsidR="00000000" w:rsidRDefault="00000000">
      <w:pPr>
        <w:pStyle w:val="BodyText"/>
        <w:tabs>
          <w:tab w:val="clear" w:pos="680"/>
          <w:tab w:val="left" w:pos="1361"/>
        </w:tabs>
        <w:ind w:left="680" w:hanging="680"/>
      </w:pPr>
      <w:r>
        <w:tab/>
      </w:r>
      <w:r>
        <w:tab/>
        <w:t>v)</w:t>
      </w:r>
      <w:r>
        <w:tab/>
        <w:t>неграмотные взрослые, не получившие соответствующего образования в детстве. Для них Министерство создало специальные центры и программы, позволяющие им преодолеть неграмотность и учиться дальше, исходя из принципа обучения в течение всей жизни.</w:t>
      </w:r>
    </w:p>
    <w:p w:rsidR="00000000" w:rsidRDefault="00000000">
      <w:pPr>
        <w:pStyle w:val="BodyText"/>
      </w:pPr>
      <w:r>
        <w:tab/>
        <w:t>Таким образом Министерство предоставляет всем лицам, возраст которых позволяет получать знания, возможность обучаться в соответствии с их способностями и потребностями, тем самым обеспечивая успешное использование возможностей всех членов общества, с учетом потребностей каждого индивида и целей, поставленных в планах социального развития.</w:t>
      </w:r>
    </w:p>
    <w:p w:rsidR="00000000" w:rsidRDefault="00000000">
      <w:pPr>
        <w:pStyle w:val="BodyText"/>
      </w:pPr>
      <w:r>
        <w:tab/>
        <w:t>Помимо всего этого Министерство просвещения стремится к достижению следующих целей:</w:t>
      </w:r>
    </w:p>
    <w:p w:rsidR="00000000" w:rsidRDefault="00000000">
      <w:pPr>
        <w:pStyle w:val="a"/>
        <w:ind w:left="0" w:firstLine="0"/>
      </w:pPr>
      <w:r>
        <w:tab/>
        <w:t>a)</w:t>
      </w:r>
      <w:r>
        <w:tab/>
        <w:t>осуществление задачи сформировать в Кувейте нового человека путем выработки научного мышления и развития способностей учащихся юношей и девушек на различных этапах обучения;</w:t>
      </w:r>
    </w:p>
    <w:p w:rsidR="00000000" w:rsidRDefault="00000000">
      <w:pPr>
        <w:pStyle w:val="a"/>
        <w:ind w:left="0" w:firstLine="0"/>
      </w:pPr>
      <w:r>
        <w:tab/>
        <w:t>b)</w:t>
      </w:r>
      <w:r>
        <w:tab/>
        <w:t>обеспечение кувейтским учащимся доступа к мировой культуре в контексте научно-технической революции в различных областях;</w:t>
      </w:r>
    </w:p>
    <w:p w:rsidR="00000000" w:rsidRDefault="00000000">
      <w:pPr>
        <w:pStyle w:val="a"/>
        <w:ind w:left="0" w:firstLine="0"/>
      </w:pPr>
      <w:r>
        <w:tab/>
        <w:t>c)</w:t>
      </w:r>
      <w:r>
        <w:tab/>
        <w:t>равномерное распределение по всему государству услуг в области воспитания и образования и постоянные усилия с целью обеспечить каждому гражданину, где бы он ни жил, доступ к научным знаниям;</w:t>
      </w:r>
    </w:p>
    <w:p w:rsidR="00000000" w:rsidRDefault="00000000">
      <w:pPr>
        <w:pStyle w:val="a"/>
        <w:ind w:left="0" w:firstLine="0"/>
      </w:pPr>
      <w:r>
        <w:tab/>
        <w:t>d)</w:t>
      </w:r>
      <w:r>
        <w:tab/>
        <w:t>уделение большего внимания подготовке национальных кадров в области воспитания и образования, повышение их квалификации и развитие их способностей.</w:t>
      </w:r>
    </w:p>
    <w:p w:rsidR="00000000" w:rsidRDefault="00000000">
      <w:pPr>
        <w:pStyle w:val="BodyText"/>
      </w:pPr>
      <w:r>
        <w:tab/>
        <w:t>Для достижения этих целей Министерство просвещения разработало планы и политические установки в области образования, а также проекты и программы, необходимые для их выполнения и осуществления последующих мер в рамках стратегии развития в Государстве Кувейт и его общего политического курса.</w:t>
      </w:r>
    </w:p>
    <w:p w:rsidR="00000000" w:rsidRDefault="00000000">
      <w:pPr>
        <w:pStyle w:val="BodyText"/>
        <w:rPr>
          <w:u w:val="single"/>
        </w:rPr>
      </w:pPr>
      <w:r>
        <w:rPr>
          <w:u w:val="single"/>
        </w:rPr>
        <w:t>Финансирование системы образования</w:t>
      </w:r>
    </w:p>
    <w:p w:rsidR="00000000" w:rsidRDefault="00000000">
      <w:pPr>
        <w:pStyle w:val="BodyText"/>
      </w:pPr>
      <w:r>
        <w:tab/>
        <w:t>Как указывалось выше, Министерство просвещения является органом, в задачу которого входит руководство образованием в Кувейте. Кроме того, оно несет ответственность за расходование средств на образование. В 1993/94 годах расходы Министерства на всеобщее образование составили примерно 304 950 000 КД, или 8,1 процента государственного бюджета.</w:t>
      </w:r>
    </w:p>
    <w:p w:rsidR="00000000" w:rsidRDefault="00000000">
      <w:pPr>
        <w:pStyle w:val="BodyText"/>
      </w:pPr>
      <w:r>
        <w:tab/>
        <w:t>В 1997/98 годах бюджет Министерства просвещения возрос до 366 145 000 КД и составил 8,4 процента государственного бюджета, а в 1998/99 годах – 393 145 000 КД.</w:t>
      </w:r>
    </w:p>
    <w:p w:rsidR="00000000" w:rsidRDefault="00000000">
      <w:pPr>
        <w:pStyle w:val="BodyText"/>
      </w:pPr>
      <w:r>
        <w:tab/>
        <w:t>В таблице ниже отражена динамика роста бюджета Министерства просвещения в период 1993/94–1997/98 годов.</w:t>
      </w:r>
    </w:p>
    <w:tbl>
      <w:tblPr>
        <w:tblW w:w="0" w:type="auto"/>
        <w:jc w:val="center"/>
        <w:tblLayout w:type="fixed"/>
        <w:tblLook w:val="01E0" w:firstRow="1" w:lastRow="1" w:firstColumn="1" w:lastColumn="1" w:noHBand="0" w:noVBand="0"/>
      </w:tblPr>
      <w:tblGrid>
        <w:gridCol w:w="1694"/>
        <w:gridCol w:w="2259"/>
        <w:gridCol w:w="2626"/>
        <w:gridCol w:w="2210"/>
      </w:tblGrid>
      <w:tr w:rsidR="00000000">
        <w:tblPrEx>
          <w:tblCellMar>
            <w:top w:w="0" w:type="dxa"/>
            <w:bottom w:w="0" w:type="dxa"/>
          </w:tblCellMar>
        </w:tblPrEx>
        <w:trPr>
          <w:jc w:val="center"/>
        </w:trPr>
        <w:tc>
          <w:tcPr>
            <w:tcW w:w="1694" w:type="dxa"/>
          </w:tcPr>
          <w:p w:rsidR="00000000" w:rsidRDefault="00000000">
            <w:pPr>
              <w:pStyle w:val="-9"/>
            </w:pPr>
            <w:r>
              <w:t>Финансовые годы</w:t>
            </w:r>
          </w:p>
        </w:tc>
        <w:tc>
          <w:tcPr>
            <w:tcW w:w="2259" w:type="dxa"/>
          </w:tcPr>
          <w:p w:rsidR="00000000" w:rsidRDefault="00000000">
            <w:pPr>
              <w:pStyle w:val="-9"/>
            </w:pPr>
            <w:r>
              <w:t>Бюджет Министерства</w:t>
            </w:r>
            <w:r>
              <w:br/>
              <w:t>(в млн. динаров)</w:t>
            </w:r>
          </w:p>
        </w:tc>
        <w:tc>
          <w:tcPr>
            <w:tcW w:w="2626" w:type="dxa"/>
          </w:tcPr>
          <w:p w:rsidR="00000000" w:rsidRDefault="00000000">
            <w:pPr>
              <w:pStyle w:val="-9"/>
            </w:pPr>
            <w:r>
              <w:t xml:space="preserve">Доля бюджета Министерства </w:t>
            </w:r>
            <w:r>
              <w:br/>
              <w:t xml:space="preserve">в государственном бюджете, </w:t>
            </w:r>
            <w:r>
              <w:br/>
              <w:t>в процентах</w:t>
            </w:r>
          </w:p>
        </w:tc>
        <w:tc>
          <w:tcPr>
            <w:tcW w:w="2210" w:type="dxa"/>
          </w:tcPr>
          <w:p w:rsidR="00000000" w:rsidRDefault="00000000">
            <w:pPr>
              <w:pStyle w:val="-9"/>
            </w:pPr>
            <w:r>
              <w:t>Относительный рост бюджета на образование, в процентах</w:t>
            </w:r>
          </w:p>
        </w:tc>
      </w:tr>
      <w:tr w:rsidR="00000000">
        <w:tblPrEx>
          <w:tblCellMar>
            <w:top w:w="0" w:type="dxa"/>
            <w:bottom w:w="0" w:type="dxa"/>
          </w:tblCellMar>
        </w:tblPrEx>
        <w:trPr>
          <w:jc w:val="center"/>
        </w:trPr>
        <w:tc>
          <w:tcPr>
            <w:tcW w:w="1694" w:type="dxa"/>
          </w:tcPr>
          <w:p w:rsidR="00000000" w:rsidRDefault="00000000">
            <w:pPr>
              <w:pStyle w:val="BodyText"/>
              <w:spacing w:after="0"/>
              <w:jc w:val="center"/>
            </w:pPr>
            <w:r>
              <w:t>1993/94</w:t>
            </w:r>
          </w:p>
        </w:tc>
        <w:tc>
          <w:tcPr>
            <w:tcW w:w="2259" w:type="dxa"/>
          </w:tcPr>
          <w:p w:rsidR="00000000" w:rsidRDefault="00000000">
            <w:pPr>
              <w:pStyle w:val="BodyText"/>
              <w:spacing w:after="0"/>
              <w:jc w:val="center"/>
            </w:pPr>
            <w:r>
              <w:t>304 950</w:t>
            </w:r>
          </w:p>
        </w:tc>
        <w:tc>
          <w:tcPr>
            <w:tcW w:w="2626" w:type="dxa"/>
          </w:tcPr>
          <w:p w:rsidR="00000000" w:rsidRDefault="00000000">
            <w:pPr>
              <w:pStyle w:val="BodyText"/>
              <w:spacing w:after="0"/>
              <w:jc w:val="center"/>
            </w:pPr>
            <w:r>
              <w:t>8,1</w:t>
            </w:r>
          </w:p>
        </w:tc>
        <w:tc>
          <w:tcPr>
            <w:tcW w:w="2210" w:type="dxa"/>
          </w:tcPr>
          <w:p w:rsidR="00000000" w:rsidRDefault="00000000">
            <w:pPr>
              <w:pStyle w:val="BodyText"/>
              <w:spacing w:after="0"/>
              <w:jc w:val="center"/>
            </w:pPr>
            <w:r>
              <w:t>100</w:t>
            </w:r>
          </w:p>
        </w:tc>
      </w:tr>
      <w:tr w:rsidR="00000000">
        <w:tblPrEx>
          <w:tblCellMar>
            <w:top w:w="0" w:type="dxa"/>
            <w:bottom w:w="0" w:type="dxa"/>
          </w:tblCellMar>
        </w:tblPrEx>
        <w:trPr>
          <w:jc w:val="center"/>
        </w:trPr>
        <w:tc>
          <w:tcPr>
            <w:tcW w:w="1694" w:type="dxa"/>
          </w:tcPr>
          <w:p w:rsidR="00000000" w:rsidRDefault="00000000">
            <w:pPr>
              <w:pStyle w:val="BodyText"/>
              <w:spacing w:after="0"/>
              <w:jc w:val="center"/>
            </w:pPr>
            <w:r>
              <w:t>1994/95</w:t>
            </w:r>
          </w:p>
        </w:tc>
        <w:tc>
          <w:tcPr>
            <w:tcW w:w="2259" w:type="dxa"/>
          </w:tcPr>
          <w:p w:rsidR="00000000" w:rsidRDefault="00000000">
            <w:pPr>
              <w:pStyle w:val="BodyText"/>
              <w:spacing w:after="0"/>
              <w:jc w:val="center"/>
            </w:pPr>
            <w:r>
              <w:t>311 765</w:t>
            </w:r>
          </w:p>
        </w:tc>
        <w:tc>
          <w:tcPr>
            <w:tcW w:w="2626" w:type="dxa"/>
          </w:tcPr>
          <w:p w:rsidR="00000000" w:rsidRDefault="00000000">
            <w:pPr>
              <w:pStyle w:val="BodyText"/>
              <w:spacing w:after="0"/>
              <w:jc w:val="center"/>
            </w:pPr>
            <w:r>
              <w:t>7,6</w:t>
            </w:r>
          </w:p>
        </w:tc>
        <w:tc>
          <w:tcPr>
            <w:tcW w:w="2210" w:type="dxa"/>
          </w:tcPr>
          <w:p w:rsidR="00000000" w:rsidRDefault="00000000">
            <w:pPr>
              <w:pStyle w:val="BodyText"/>
              <w:spacing w:after="0"/>
              <w:jc w:val="center"/>
            </w:pPr>
            <w:r>
              <w:t>102</w:t>
            </w:r>
          </w:p>
        </w:tc>
      </w:tr>
      <w:tr w:rsidR="00000000">
        <w:tblPrEx>
          <w:tblCellMar>
            <w:top w:w="0" w:type="dxa"/>
            <w:bottom w:w="0" w:type="dxa"/>
          </w:tblCellMar>
        </w:tblPrEx>
        <w:trPr>
          <w:jc w:val="center"/>
        </w:trPr>
        <w:tc>
          <w:tcPr>
            <w:tcW w:w="1694" w:type="dxa"/>
          </w:tcPr>
          <w:p w:rsidR="00000000" w:rsidRDefault="00000000">
            <w:pPr>
              <w:pStyle w:val="BodyText"/>
              <w:spacing w:after="0"/>
              <w:jc w:val="center"/>
            </w:pPr>
            <w:r>
              <w:t>1995/96</w:t>
            </w:r>
          </w:p>
        </w:tc>
        <w:tc>
          <w:tcPr>
            <w:tcW w:w="2259" w:type="dxa"/>
          </w:tcPr>
          <w:p w:rsidR="00000000" w:rsidRDefault="00000000">
            <w:pPr>
              <w:pStyle w:val="BodyText"/>
              <w:spacing w:after="0"/>
              <w:jc w:val="center"/>
            </w:pPr>
            <w:r>
              <w:t>319 215</w:t>
            </w:r>
          </w:p>
        </w:tc>
        <w:tc>
          <w:tcPr>
            <w:tcW w:w="2626" w:type="dxa"/>
          </w:tcPr>
          <w:p w:rsidR="00000000" w:rsidRDefault="00000000">
            <w:pPr>
              <w:pStyle w:val="BodyText"/>
              <w:spacing w:after="0"/>
              <w:jc w:val="center"/>
            </w:pPr>
            <w:r>
              <w:t>7,2</w:t>
            </w:r>
          </w:p>
        </w:tc>
        <w:tc>
          <w:tcPr>
            <w:tcW w:w="2210" w:type="dxa"/>
          </w:tcPr>
          <w:p w:rsidR="00000000" w:rsidRDefault="00000000">
            <w:pPr>
              <w:pStyle w:val="BodyText"/>
              <w:spacing w:after="0"/>
              <w:jc w:val="center"/>
            </w:pPr>
            <w:r>
              <w:t>105</w:t>
            </w:r>
          </w:p>
        </w:tc>
      </w:tr>
      <w:tr w:rsidR="00000000">
        <w:tblPrEx>
          <w:tblCellMar>
            <w:top w:w="0" w:type="dxa"/>
            <w:bottom w:w="0" w:type="dxa"/>
          </w:tblCellMar>
        </w:tblPrEx>
        <w:trPr>
          <w:jc w:val="center"/>
        </w:trPr>
        <w:tc>
          <w:tcPr>
            <w:tcW w:w="1694" w:type="dxa"/>
          </w:tcPr>
          <w:p w:rsidR="00000000" w:rsidRDefault="00000000">
            <w:pPr>
              <w:pStyle w:val="BodyText"/>
              <w:spacing w:after="0"/>
              <w:jc w:val="center"/>
            </w:pPr>
            <w:r>
              <w:t>1996/97</w:t>
            </w:r>
          </w:p>
        </w:tc>
        <w:tc>
          <w:tcPr>
            <w:tcW w:w="2259" w:type="dxa"/>
          </w:tcPr>
          <w:p w:rsidR="00000000" w:rsidRDefault="00000000">
            <w:pPr>
              <w:pStyle w:val="BodyText"/>
              <w:spacing w:after="0"/>
              <w:jc w:val="center"/>
            </w:pPr>
            <w:r>
              <w:t>329 606</w:t>
            </w:r>
          </w:p>
        </w:tc>
        <w:tc>
          <w:tcPr>
            <w:tcW w:w="2626" w:type="dxa"/>
          </w:tcPr>
          <w:p w:rsidR="00000000" w:rsidRDefault="00000000">
            <w:pPr>
              <w:pStyle w:val="BodyText"/>
              <w:spacing w:after="0"/>
              <w:jc w:val="center"/>
            </w:pPr>
            <w:r>
              <w:t>7,9</w:t>
            </w:r>
          </w:p>
        </w:tc>
        <w:tc>
          <w:tcPr>
            <w:tcW w:w="2210" w:type="dxa"/>
          </w:tcPr>
          <w:p w:rsidR="00000000" w:rsidRDefault="00000000">
            <w:pPr>
              <w:pStyle w:val="BodyText"/>
              <w:spacing w:after="0"/>
              <w:jc w:val="center"/>
            </w:pPr>
            <w:r>
              <w:t>108</w:t>
            </w:r>
          </w:p>
        </w:tc>
      </w:tr>
      <w:tr w:rsidR="00000000">
        <w:tblPrEx>
          <w:tblCellMar>
            <w:top w:w="0" w:type="dxa"/>
            <w:bottom w:w="0" w:type="dxa"/>
          </w:tblCellMar>
        </w:tblPrEx>
        <w:trPr>
          <w:jc w:val="center"/>
        </w:trPr>
        <w:tc>
          <w:tcPr>
            <w:tcW w:w="1694" w:type="dxa"/>
          </w:tcPr>
          <w:p w:rsidR="00000000" w:rsidRDefault="00000000">
            <w:pPr>
              <w:pStyle w:val="BodyText"/>
              <w:spacing w:after="0"/>
              <w:jc w:val="center"/>
            </w:pPr>
            <w:r>
              <w:t>1997/98</w:t>
            </w:r>
          </w:p>
        </w:tc>
        <w:tc>
          <w:tcPr>
            <w:tcW w:w="2259" w:type="dxa"/>
          </w:tcPr>
          <w:p w:rsidR="00000000" w:rsidRDefault="00000000">
            <w:pPr>
              <w:pStyle w:val="BodyText"/>
              <w:spacing w:after="0"/>
              <w:jc w:val="center"/>
            </w:pPr>
            <w:r>
              <w:t>366 154</w:t>
            </w:r>
          </w:p>
        </w:tc>
        <w:tc>
          <w:tcPr>
            <w:tcW w:w="2626" w:type="dxa"/>
          </w:tcPr>
          <w:p w:rsidR="00000000" w:rsidRDefault="00000000">
            <w:pPr>
              <w:pStyle w:val="BodyText"/>
              <w:spacing w:after="0"/>
              <w:jc w:val="center"/>
            </w:pPr>
            <w:r>
              <w:t>8,4</w:t>
            </w:r>
          </w:p>
        </w:tc>
        <w:tc>
          <w:tcPr>
            <w:tcW w:w="2210" w:type="dxa"/>
          </w:tcPr>
          <w:p w:rsidR="00000000" w:rsidRDefault="00000000">
            <w:pPr>
              <w:pStyle w:val="BodyText"/>
              <w:spacing w:after="0"/>
              <w:jc w:val="center"/>
            </w:pPr>
            <w:r>
              <w:t>120</w:t>
            </w:r>
          </w:p>
        </w:tc>
      </w:tr>
    </w:tbl>
    <w:p w:rsidR="00000000" w:rsidRDefault="00000000">
      <w:pPr>
        <w:pStyle w:val="BodyText"/>
        <w:spacing w:before="240"/>
      </w:pPr>
      <w:r>
        <w:tab/>
        <w:t>Кроме этого министерства есть и другие органы, которые выделяют средства на образование в виде помощи натурой или материального содействия, в том числе:</w:t>
      </w:r>
    </w:p>
    <w:p w:rsidR="00000000" w:rsidRDefault="00000000">
      <w:pPr>
        <w:pStyle w:val="BodyText"/>
      </w:pPr>
      <w:r>
        <w:tab/>
        <w:t>–</w:t>
      </w:r>
      <w:r>
        <w:tab/>
        <w:t>Кувейтский институт научного прогресса, который внес вклад в создание библиотек в ряде школ Кувейта, а также, в сотрудничестве с Организацией Объединенных Наций в области образования, науки и культуры (ЮНЕСКО), Центра материнства и детства;</w:t>
      </w:r>
    </w:p>
    <w:p w:rsidR="00000000" w:rsidRDefault="00000000">
      <w:pPr>
        <w:pStyle w:val="BodyText"/>
      </w:pPr>
      <w:r>
        <w:tab/>
        <w:t>–</w:t>
      </w:r>
      <w:r>
        <w:tab/>
        <w:t>Национальный совет содействия образованию – постоянный орган, созданный на основании Министерского постановления № 95/30 от 1 июля 1995 года. Его задачей является оказание поддержки образованию и повышению его уровня, а также помощь в реализации проектов в области образования. Бюджет Совета складывается из пожертвований в денежной и натуральной форме от официальных и частных организаций. Совет осуществил ряд проектов и внедрил их результаты в государственных школах. Важнейшим из них было создание компьютерных лабораторий;</w:t>
      </w:r>
    </w:p>
    <w:p w:rsidR="00000000" w:rsidRDefault="00000000">
      <w:pPr>
        <w:pStyle w:val="BodyText"/>
      </w:pPr>
      <w:r>
        <w:tab/>
        <w:t>–</w:t>
      </w:r>
      <w:r>
        <w:tab/>
        <w:t>Вакуфный фонд научного развития при Генеральном секретариате вакуфов. Он располагает капиталом в виде вакуфного имущества, доход от которого выделяется на поддержку и развитие образования и на услуги в этой области в Государстве Кувейт;</w:t>
      </w:r>
    </w:p>
    <w:p w:rsidR="00000000" w:rsidRDefault="00000000">
      <w:pPr>
        <w:pStyle w:val="BodyText"/>
      </w:pPr>
      <w:r>
        <w:tab/>
        <w:t>–</w:t>
      </w:r>
      <w:r>
        <w:tab/>
        <w:t>Вакуфный фонд культуры и мысли также при Генеральном секретариате вакуфов, задачей которого является развитие и поддержка интеллектуальной и культурной деятельности в Кувейте;</w:t>
      </w:r>
    </w:p>
    <w:p w:rsidR="00000000" w:rsidRDefault="00000000">
      <w:pPr>
        <w:pStyle w:val="BodyText"/>
      </w:pPr>
      <w:r>
        <w:tab/>
        <w:t>–</w:t>
      </w:r>
      <w:r>
        <w:tab/>
        <w:t>Финансовый фонд школ. Данный фонд имеется при каждой школе и находится в ведении ее руководства. Средства из него выделяются на финансирование общих потребностей школы.</w:t>
      </w:r>
    </w:p>
    <w:p w:rsidR="00000000" w:rsidRDefault="00000000">
      <w:pPr>
        <w:pStyle w:val="BodyText"/>
        <w:rPr>
          <w:u w:val="single"/>
        </w:rPr>
      </w:pPr>
      <w:r>
        <w:rPr>
          <w:u w:val="single"/>
        </w:rPr>
        <w:br w:type="page"/>
        <w:t>Организационная структура государственной системы образования</w:t>
      </w:r>
    </w:p>
    <w:p w:rsidR="00000000" w:rsidRDefault="00000000">
      <w:pPr>
        <w:pStyle w:val="BodyText"/>
        <w:spacing w:after="120"/>
      </w:pPr>
      <w:r>
        <w:t>Государственное образование в Кувейте подразделяется на три этапа:</w:t>
      </w:r>
    </w:p>
    <w:p w:rsidR="00000000" w:rsidRDefault="00000000">
      <w:pPr>
        <w:pStyle w:val="BodyText"/>
        <w:spacing w:after="0"/>
      </w:pPr>
      <w:r>
        <w:t>–</w:t>
      </w:r>
      <w:r>
        <w:tab/>
        <w:t>начальный этап (четыре года);</w:t>
      </w:r>
    </w:p>
    <w:p w:rsidR="00000000" w:rsidRDefault="00000000">
      <w:pPr>
        <w:pStyle w:val="BodyText"/>
        <w:spacing w:after="0"/>
      </w:pPr>
      <w:r>
        <w:t>–</w:t>
      </w:r>
      <w:r>
        <w:tab/>
        <w:t>промежуточный этап (четыре года);</w:t>
      </w:r>
    </w:p>
    <w:p w:rsidR="00000000" w:rsidRDefault="00000000">
      <w:pPr>
        <w:pStyle w:val="BodyText"/>
        <w:spacing w:after="160"/>
      </w:pPr>
      <w:r>
        <w:t>–</w:t>
      </w:r>
      <w:r>
        <w:tab/>
        <w:t>этап общего среднего образования (четыре года).</w:t>
      </w:r>
    </w:p>
    <w:p w:rsidR="00000000" w:rsidRDefault="00000000">
      <w:pPr>
        <w:pStyle w:val="BodyText"/>
        <w:spacing w:after="160"/>
      </w:pPr>
      <w:r>
        <w:tab/>
        <w:t>Эти этапы, которым предшествует этап детского сада продолжительностью в два года, выделяются с учетом физических, психологических и интеллектуальных особенностей учащихся различных возрастных категорий.</w:t>
      </w:r>
    </w:p>
    <w:p w:rsidR="00000000" w:rsidRDefault="00000000">
      <w:pPr>
        <w:pStyle w:val="BodyText"/>
        <w:spacing w:after="120"/>
      </w:pPr>
      <w:r>
        <w:tab/>
        <w:t>В таблице ниже приводятся возрастные данные учащихся и продолжительность обучения на различных этапах общего образования.</w:t>
      </w:r>
    </w:p>
    <w:tbl>
      <w:tblPr>
        <w:tblW w:w="0" w:type="auto"/>
        <w:jc w:val="center"/>
        <w:tblLayout w:type="fixed"/>
        <w:tblLook w:val="01E0" w:firstRow="1" w:lastRow="1" w:firstColumn="1" w:lastColumn="1" w:noHBand="0" w:noVBand="0"/>
      </w:tblPr>
      <w:tblGrid>
        <w:gridCol w:w="3661"/>
        <w:gridCol w:w="2268"/>
        <w:gridCol w:w="2860"/>
      </w:tblGrid>
      <w:tr w:rsidR="00000000">
        <w:tblPrEx>
          <w:tblCellMar>
            <w:top w:w="0" w:type="dxa"/>
            <w:bottom w:w="0" w:type="dxa"/>
          </w:tblCellMar>
        </w:tblPrEx>
        <w:trPr>
          <w:jc w:val="center"/>
        </w:trPr>
        <w:tc>
          <w:tcPr>
            <w:tcW w:w="3661" w:type="dxa"/>
          </w:tcPr>
          <w:p w:rsidR="00000000" w:rsidRDefault="00000000">
            <w:pPr>
              <w:pStyle w:val="-9"/>
            </w:pPr>
            <w:r>
              <w:t>Этап обучения</w:t>
            </w:r>
          </w:p>
        </w:tc>
        <w:tc>
          <w:tcPr>
            <w:tcW w:w="2268" w:type="dxa"/>
          </w:tcPr>
          <w:p w:rsidR="00000000" w:rsidRDefault="00000000">
            <w:pPr>
              <w:pStyle w:val="-9"/>
            </w:pPr>
            <w:r>
              <w:t>Возрастная группа</w:t>
            </w:r>
          </w:p>
        </w:tc>
        <w:tc>
          <w:tcPr>
            <w:tcW w:w="2860" w:type="dxa"/>
          </w:tcPr>
          <w:p w:rsidR="00000000" w:rsidRDefault="00000000">
            <w:pPr>
              <w:pStyle w:val="-9"/>
            </w:pPr>
            <w:r>
              <w:t>Продолжительность обучения</w:t>
            </w:r>
          </w:p>
        </w:tc>
      </w:tr>
      <w:tr w:rsidR="00000000">
        <w:tblPrEx>
          <w:tblCellMar>
            <w:top w:w="0" w:type="dxa"/>
            <w:bottom w:w="0" w:type="dxa"/>
          </w:tblCellMar>
        </w:tblPrEx>
        <w:trPr>
          <w:jc w:val="center"/>
        </w:trPr>
        <w:tc>
          <w:tcPr>
            <w:tcW w:w="3661" w:type="dxa"/>
          </w:tcPr>
          <w:p w:rsidR="00000000" w:rsidRDefault="00000000">
            <w:pPr>
              <w:pStyle w:val="BodyText"/>
              <w:spacing w:after="0"/>
            </w:pPr>
            <w:r>
              <w:t>Детские сады</w:t>
            </w:r>
          </w:p>
        </w:tc>
        <w:tc>
          <w:tcPr>
            <w:tcW w:w="2268" w:type="dxa"/>
          </w:tcPr>
          <w:p w:rsidR="00000000" w:rsidRDefault="00000000">
            <w:pPr>
              <w:pStyle w:val="BodyText"/>
              <w:spacing w:after="0"/>
              <w:ind w:left="567"/>
            </w:pPr>
            <w:r>
              <w:t>4–5 лет</w:t>
            </w:r>
          </w:p>
        </w:tc>
        <w:tc>
          <w:tcPr>
            <w:tcW w:w="2860" w:type="dxa"/>
          </w:tcPr>
          <w:p w:rsidR="00000000" w:rsidRDefault="00000000">
            <w:pPr>
              <w:pStyle w:val="BodyText"/>
              <w:spacing w:after="0"/>
              <w:ind w:left="1077"/>
            </w:pPr>
            <w:r>
              <w:t>2 года</w:t>
            </w:r>
          </w:p>
        </w:tc>
      </w:tr>
      <w:tr w:rsidR="00000000">
        <w:tblPrEx>
          <w:tblCellMar>
            <w:top w:w="0" w:type="dxa"/>
            <w:bottom w:w="0" w:type="dxa"/>
          </w:tblCellMar>
        </w:tblPrEx>
        <w:trPr>
          <w:jc w:val="center"/>
        </w:trPr>
        <w:tc>
          <w:tcPr>
            <w:tcW w:w="3661" w:type="dxa"/>
          </w:tcPr>
          <w:p w:rsidR="00000000" w:rsidRDefault="00000000">
            <w:pPr>
              <w:pStyle w:val="BodyText"/>
              <w:spacing w:after="0"/>
            </w:pPr>
            <w:r>
              <w:t>Начальный этап</w:t>
            </w:r>
          </w:p>
        </w:tc>
        <w:tc>
          <w:tcPr>
            <w:tcW w:w="2268" w:type="dxa"/>
          </w:tcPr>
          <w:p w:rsidR="00000000" w:rsidRDefault="00000000">
            <w:pPr>
              <w:pStyle w:val="BodyText"/>
              <w:spacing w:after="0"/>
              <w:ind w:left="567"/>
            </w:pPr>
            <w:r>
              <w:t>6–9 лет</w:t>
            </w:r>
          </w:p>
        </w:tc>
        <w:tc>
          <w:tcPr>
            <w:tcW w:w="2860" w:type="dxa"/>
          </w:tcPr>
          <w:p w:rsidR="00000000" w:rsidRDefault="00000000">
            <w:pPr>
              <w:pStyle w:val="BodyText"/>
              <w:spacing w:after="0"/>
              <w:ind w:left="1077"/>
            </w:pPr>
            <w:r>
              <w:t>4 года</w:t>
            </w:r>
          </w:p>
        </w:tc>
      </w:tr>
      <w:tr w:rsidR="00000000">
        <w:tblPrEx>
          <w:tblCellMar>
            <w:top w:w="0" w:type="dxa"/>
            <w:bottom w:w="0" w:type="dxa"/>
          </w:tblCellMar>
        </w:tblPrEx>
        <w:trPr>
          <w:jc w:val="center"/>
        </w:trPr>
        <w:tc>
          <w:tcPr>
            <w:tcW w:w="3661" w:type="dxa"/>
          </w:tcPr>
          <w:p w:rsidR="00000000" w:rsidRDefault="00000000">
            <w:pPr>
              <w:pStyle w:val="BodyText"/>
              <w:spacing w:after="0"/>
            </w:pPr>
            <w:r>
              <w:t>Промежуточный этап</w:t>
            </w:r>
          </w:p>
        </w:tc>
        <w:tc>
          <w:tcPr>
            <w:tcW w:w="2268" w:type="dxa"/>
          </w:tcPr>
          <w:p w:rsidR="00000000" w:rsidRDefault="00000000">
            <w:pPr>
              <w:pStyle w:val="BodyText"/>
              <w:spacing w:after="0"/>
              <w:ind w:left="567"/>
            </w:pPr>
            <w:r>
              <w:t>10–13 лет</w:t>
            </w:r>
          </w:p>
        </w:tc>
        <w:tc>
          <w:tcPr>
            <w:tcW w:w="2860" w:type="dxa"/>
          </w:tcPr>
          <w:p w:rsidR="00000000" w:rsidRDefault="00000000">
            <w:pPr>
              <w:pStyle w:val="BodyText"/>
              <w:spacing w:after="0"/>
              <w:ind w:left="1077"/>
            </w:pPr>
            <w:r>
              <w:t>4 года</w:t>
            </w:r>
          </w:p>
        </w:tc>
      </w:tr>
      <w:tr w:rsidR="00000000">
        <w:tblPrEx>
          <w:tblCellMar>
            <w:top w:w="0" w:type="dxa"/>
            <w:bottom w:w="0" w:type="dxa"/>
          </w:tblCellMar>
        </w:tblPrEx>
        <w:trPr>
          <w:jc w:val="center"/>
        </w:trPr>
        <w:tc>
          <w:tcPr>
            <w:tcW w:w="3661" w:type="dxa"/>
          </w:tcPr>
          <w:p w:rsidR="00000000" w:rsidRDefault="00000000">
            <w:pPr>
              <w:pStyle w:val="BodyText"/>
              <w:spacing w:after="0"/>
            </w:pPr>
            <w:r>
              <w:t>Этап общего среднего образования</w:t>
            </w:r>
          </w:p>
        </w:tc>
        <w:tc>
          <w:tcPr>
            <w:tcW w:w="2268" w:type="dxa"/>
          </w:tcPr>
          <w:p w:rsidR="00000000" w:rsidRDefault="00000000">
            <w:pPr>
              <w:pStyle w:val="BodyText"/>
              <w:spacing w:after="0"/>
              <w:ind w:left="567"/>
            </w:pPr>
            <w:r>
              <w:t>14–17 лет</w:t>
            </w:r>
          </w:p>
        </w:tc>
        <w:tc>
          <w:tcPr>
            <w:tcW w:w="2860" w:type="dxa"/>
          </w:tcPr>
          <w:p w:rsidR="00000000" w:rsidRDefault="00000000">
            <w:pPr>
              <w:pStyle w:val="BodyText"/>
              <w:spacing w:after="0"/>
              <w:ind w:left="1077"/>
            </w:pPr>
            <w:r>
              <w:t>4 года</w:t>
            </w:r>
          </w:p>
        </w:tc>
      </w:tr>
      <w:tr w:rsidR="00000000">
        <w:tblPrEx>
          <w:tblCellMar>
            <w:top w:w="0" w:type="dxa"/>
            <w:bottom w:w="0" w:type="dxa"/>
          </w:tblCellMar>
        </w:tblPrEx>
        <w:trPr>
          <w:jc w:val="center"/>
        </w:trPr>
        <w:tc>
          <w:tcPr>
            <w:tcW w:w="3661" w:type="dxa"/>
          </w:tcPr>
          <w:p w:rsidR="00000000" w:rsidRDefault="00000000">
            <w:pPr>
              <w:pStyle w:val="BodyText"/>
              <w:spacing w:after="0"/>
            </w:pPr>
            <w:r>
              <w:t>Университетский этап</w:t>
            </w:r>
          </w:p>
        </w:tc>
        <w:tc>
          <w:tcPr>
            <w:tcW w:w="2268" w:type="dxa"/>
          </w:tcPr>
          <w:p w:rsidR="00000000" w:rsidRDefault="00000000">
            <w:pPr>
              <w:pStyle w:val="BodyText"/>
              <w:spacing w:after="0"/>
              <w:ind w:left="567"/>
            </w:pPr>
            <w:r>
              <w:t>18–24 года</w:t>
            </w:r>
          </w:p>
        </w:tc>
        <w:tc>
          <w:tcPr>
            <w:tcW w:w="2860" w:type="dxa"/>
          </w:tcPr>
          <w:p w:rsidR="00000000" w:rsidRDefault="00000000">
            <w:pPr>
              <w:pStyle w:val="BodyText"/>
              <w:spacing w:after="0"/>
              <w:ind w:left="1077"/>
            </w:pPr>
            <w:r>
              <w:t>4 года</w:t>
            </w:r>
          </w:p>
        </w:tc>
      </w:tr>
    </w:tbl>
    <w:p w:rsidR="00000000" w:rsidRDefault="00000000">
      <w:pPr>
        <w:pStyle w:val="BodyText"/>
        <w:spacing w:before="160" w:after="160"/>
        <w:rPr>
          <w:spacing w:val="-2"/>
        </w:rPr>
      </w:pPr>
      <w:r>
        <w:rPr>
          <w:spacing w:val="-2"/>
        </w:rPr>
        <w:tab/>
        <w:t>Образование в Государстве Кувейт является обязательным для всех детей, мальчиков и девочек, со старта начального этапа до окончания этапа среднего образования. Возрастные пределы обязательного образования – 6–14 лет, продолжительность – 9 лет, и оно заканчивается для обучаемого, которому до успешного завершения начального этапа исполняется четырнадцать лет. Период обязательного образования заканчивается и для обучаемого, которому до успешного завершения промежуточного этапа исполняется 16 лет. В этом случае он имеет право продолжать образование до восемнадцати лет.</w:t>
      </w:r>
    </w:p>
    <w:p w:rsidR="00000000" w:rsidRDefault="00000000">
      <w:pPr>
        <w:pStyle w:val="BodyText"/>
      </w:pPr>
      <w:r>
        <w:tab/>
        <w:t>Помимо общего образования имеются и другие виды государственного образования различных уровней. К ним относятся:</w:t>
      </w:r>
    </w:p>
    <w:p w:rsidR="00000000" w:rsidRDefault="00000000">
      <w:pPr>
        <w:pStyle w:val="BodyText"/>
        <w:rPr>
          <w:u w:val="single"/>
        </w:rPr>
      </w:pPr>
      <w:r>
        <w:rPr>
          <w:lang w:val="en-US"/>
        </w:rPr>
        <w:t>a</w:t>
      </w:r>
      <w:r>
        <w:t>)</w:t>
      </w:r>
      <w:r>
        <w:tab/>
      </w:r>
      <w:r>
        <w:rPr>
          <w:u w:val="single"/>
        </w:rPr>
        <w:t>Детские сады</w:t>
      </w:r>
    </w:p>
    <w:p w:rsidR="00000000" w:rsidRDefault="00000000">
      <w:pPr>
        <w:pStyle w:val="BodyText"/>
        <w:spacing w:after="160"/>
      </w:pPr>
      <w:r>
        <w:tab/>
        <w:t>Воспитание и элементы обучения в детских садах считаются общим обучением, но не рассматриваются как этап образования. Детский сад предваряет начальный этап образования и имеет целью приучить ребенка к учебной среде и привить ему основные навыки и понятия, которые позволили бы ему быстро и успешно освоиться на начальном этапе образования.</w:t>
      </w:r>
    </w:p>
    <w:p w:rsidR="00000000" w:rsidRDefault="00000000">
      <w:pPr>
        <w:pStyle w:val="BodyText"/>
        <w:spacing w:after="160"/>
      </w:pPr>
      <w:r>
        <w:tab/>
        <w:t>В 1998/99 учебном году в стране было 148 детских садов, находившихся в различных районах, с самыми современными оборудованием и техническими средствами. К работе в них привлекаются специально подготовленные лица. Как видно из статистических данных в таблице ниже, где дается характеристика процесса развития системы детских садов за период с 1994/95 по 1998/99 годов, в них работали воспитателями 3073 женщины. Из этих данных также явствует, что число как воспитанниц, так и воспитателей-женщин в детских садах растет:</w:t>
      </w:r>
    </w:p>
    <w:tbl>
      <w:tblPr>
        <w:tblW w:w="0" w:type="auto"/>
        <w:jc w:val="center"/>
        <w:tblLayout w:type="fixed"/>
        <w:tblCellMar>
          <w:left w:w="57" w:type="dxa"/>
          <w:right w:w="57" w:type="dxa"/>
        </w:tblCellMar>
        <w:tblLook w:val="01E0" w:firstRow="1" w:lastRow="1" w:firstColumn="1" w:lastColumn="1" w:noHBand="0" w:noVBand="0"/>
      </w:tblPr>
      <w:tblGrid>
        <w:gridCol w:w="1535"/>
        <w:gridCol w:w="1134"/>
        <w:gridCol w:w="1096"/>
        <w:gridCol w:w="1030"/>
        <w:gridCol w:w="850"/>
        <w:gridCol w:w="1888"/>
        <w:gridCol w:w="1256"/>
      </w:tblGrid>
      <w:tr w:rsidR="00000000">
        <w:tblPrEx>
          <w:tblCellMar>
            <w:top w:w="0" w:type="dxa"/>
            <w:bottom w:w="0" w:type="dxa"/>
          </w:tblCellMar>
        </w:tblPrEx>
        <w:trPr>
          <w:jc w:val="center"/>
        </w:trPr>
        <w:tc>
          <w:tcPr>
            <w:tcW w:w="1535" w:type="dxa"/>
          </w:tcPr>
          <w:p w:rsidR="00000000" w:rsidRDefault="00000000">
            <w:pPr>
              <w:pStyle w:val="-9"/>
            </w:pPr>
            <w:r>
              <w:t>Учебный год</w:t>
            </w:r>
          </w:p>
        </w:tc>
        <w:tc>
          <w:tcPr>
            <w:tcW w:w="1134" w:type="dxa"/>
          </w:tcPr>
          <w:p w:rsidR="00000000" w:rsidRDefault="00000000">
            <w:pPr>
              <w:pStyle w:val="-9"/>
            </w:pPr>
            <w:r>
              <w:t>Мальчики</w:t>
            </w:r>
          </w:p>
        </w:tc>
        <w:tc>
          <w:tcPr>
            <w:tcW w:w="1096" w:type="dxa"/>
          </w:tcPr>
          <w:p w:rsidR="00000000" w:rsidRDefault="00000000">
            <w:pPr>
              <w:pStyle w:val="-9"/>
            </w:pPr>
            <w:r>
              <w:t>Девочки</w:t>
            </w:r>
          </w:p>
        </w:tc>
        <w:tc>
          <w:tcPr>
            <w:tcW w:w="1030" w:type="dxa"/>
          </w:tcPr>
          <w:p w:rsidR="00000000" w:rsidRDefault="00000000">
            <w:pPr>
              <w:pStyle w:val="-9"/>
            </w:pPr>
            <w:r>
              <w:t>Итого</w:t>
            </w:r>
          </w:p>
        </w:tc>
        <w:tc>
          <w:tcPr>
            <w:tcW w:w="850" w:type="dxa"/>
          </w:tcPr>
          <w:p w:rsidR="00000000" w:rsidRDefault="00000000">
            <w:pPr>
              <w:pStyle w:val="-9"/>
            </w:pPr>
            <w:r>
              <w:t>Школы</w:t>
            </w:r>
          </w:p>
        </w:tc>
        <w:tc>
          <w:tcPr>
            <w:tcW w:w="1888" w:type="dxa"/>
          </w:tcPr>
          <w:p w:rsidR="00000000" w:rsidRDefault="00000000">
            <w:pPr>
              <w:pStyle w:val="-9"/>
            </w:pPr>
            <w:r>
              <w:t>Классные помещения</w:t>
            </w:r>
          </w:p>
        </w:tc>
        <w:tc>
          <w:tcPr>
            <w:tcW w:w="1256" w:type="dxa"/>
          </w:tcPr>
          <w:p w:rsidR="00000000" w:rsidRDefault="00000000">
            <w:pPr>
              <w:pStyle w:val="-9"/>
            </w:pPr>
            <w:r>
              <w:t>Воспитатели</w:t>
            </w:r>
          </w:p>
        </w:tc>
      </w:tr>
      <w:tr w:rsidR="00000000">
        <w:tblPrEx>
          <w:tblCellMar>
            <w:top w:w="0" w:type="dxa"/>
            <w:bottom w:w="0" w:type="dxa"/>
          </w:tblCellMar>
        </w:tblPrEx>
        <w:trPr>
          <w:jc w:val="center"/>
        </w:trPr>
        <w:tc>
          <w:tcPr>
            <w:tcW w:w="1535" w:type="dxa"/>
          </w:tcPr>
          <w:p w:rsidR="00000000" w:rsidRDefault="00000000">
            <w:pPr>
              <w:pStyle w:val="BodyText"/>
              <w:spacing w:after="0"/>
              <w:jc w:val="center"/>
            </w:pPr>
            <w:r>
              <w:t>1994/95</w:t>
            </w:r>
          </w:p>
        </w:tc>
        <w:tc>
          <w:tcPr>
            <w:tcW w:w="1134" w:type="dxa"/>
          </w:tcPr>
          <w:p w:rsidR="00000000" w:rsidRDefault="00000000">
            <w:pPr>
              <w:pStyle w:val="BodyText"/>
              <w:spacing w:after="0"/>
              <w:jc w:val="center"/>
            </w:pPr>
            <w:r>
              <w:t>19</w:t>
            </w:r>
            <w:r>
              <w:rPr>
                <w:lang w:val="en-US"/>
              </w:rPr>
              <w:t> </w:t>
            </w:r>
            <w:r>
              <w:t>289</w:t>
            </w:r>
          </w:p>
        </w:tc>
        <w:tc>
          <w:tcPr>
            <w:tcW w:w="1096" w:type="dxa"/>
          </w:tcPr>
          <w:p w:rsidR="00000000" w:rsidRDefault="00000000">
            <w:pPr>
              <w:pStyle w:val="BodyText"/>
              <w:spacing w:after="0"/>
              <w:jc w:val="center"/>
            </w:pPr>
            <w:r>
              <w:t>18</w:t>
            </w:r>
            <w:r>
              <w:rPr>
                <w:lang w:val="en-US"/>
              </w:rPr>
              <w:t> </w:t>
            </w:r>
            <w:r>
              <w:t>799</w:t>
            </w:r>
          </w:p>
        </w:tc>
        <w:tc>
          <w:tcPr>
            <w:tcW w:w="1030" w:type="dxa"/>
          </w:tcPr>
          <w:p w:rsidR="00000000" w:rsidRDefault="00000000">
            <w:pPr>
              <w:pStyle w:val="BodyText"/>
              <w:spacing w:after="0"/>
              <w:jc w:val="center"/>
            </w:pPr>
            <w:r>
              <w:t>38</w:t>
            </w:r>
            <w:r>
              <w:rPr>
                <w:lang w:val="en-US"/>
              </w:rPr>
              <w:t> </w:t>
            </w:r>
            <w:r>
              <w:t>088</w:t>
            </w:r>
          </w:p>
        </w:tc>
        <w:tc>
          <w:tcPr>
            <w:tcW w:w="850" w:type="dxa"/>
          </w:tcPr>
          <w:p w:rsidR="00000000" w:rsidRDefault="00000000">
            <w:pPr>
              <w:pStyle w:val="BodyText"/>
              <w:spacing w:after="0"/>
              <w:jc w:val="center"/>
            </w:pPr>
            <w:r>
              <w:t>138</w:t>
            </w:r>
          </w:p>
        </w:tc>
        <w:tc>
          <w:tcPr>
            <w:tcW w:w="1888" w:type="dxa"/>
          </w:tcPr>
          <w:p w:rsidR="00000000" w:rsidRDefault="00000000">
            <w:pPr>
              <w:pStyle w:val="BodyText"/>
              <w:spacing w:after="0"/>
              <w:jc w:val="center"/>
            </w:pPr>
            <w:r>
              <w:t>1</w:t>
            </w:r>
            <w:r>
              <w:rPr>
                <w:lang w:val="en-US"/>
              </w:rPr>
              <w:t> </w:t>
            </w:r>
            <w:r>
              <w:t>290</w:t>
            </w:r>
          </w:p>
        </w:tc>
        <w:tc>
          <w:tcPr>
            <w:tcW w:w="1256" w:type="dxa"/>
          </w:tcPr>
          <w:p w:rsidR="00000000" w:rsidRDefault="00000000">
            <w:pPr>
              <w:pStyle w:val="BodyText"/>
              <w:spacing w:after="0"/>
              <w:jc w:val="center"/>
            </w:pPr>
            <w:r>
              <w:t>2</w:t>
            </w:r>
            <w:r>
              <w:rPr>
                <w:lang w:val="en-US"/>
              </w:rPr>
              <w:t> </w:t>
            </w:r>
            <w:r>
              <w:t>388</w:t>
            </w:r>
          </w:p>
        </w:tc>
      </w:tr>
      <w:tr w:rsidR="00000000">
        <w:tblPrEx>
          <w:tblCellMar>
            <w:top w:w="0" w:type="dxa"/>
            <w:bottom w:w="0" w:type="dxa"/>
          </w:tblCellMar>
        </w:tblPrEx>
        <w:trPr>
          <w:jc w:val="center"/>
        </w:trPr>
        <w:tc>
          <w:tcPr>
            <w:tcW w:w="1535" w:type="dxa"/>
          </w:tcPr>
          <w:p w:rsidR="00000000" w:rsidRDefault="00000000">
            <w:pPr>
              <w:pStyle w:val="BodyText"/>
              <w:spacing w:after="0"/>
              <w:jc w:val="center"/>
            </w:pPr>
            <w:r>
              <w:t>1995/96</w:t>
            </w:r>
          </w:p>
        </w:tc>
        <w:tc>
          <w:tcPr>
            <w:tcW w:w="1134" w:type="dxa"/>
          </w:tcPr>
          <w:p w:rsidR="00000000" w:rsidRDefault="00000000">
            <w:pPr>
              <w:pStyle w:val="BodyText"/>
              <w:spacing w:after="0"/>
              <w:jc w:val="center"/>
            </w:pPr>
            <w:r>
              <w:t>18</w:t>
            </w:r>
            <w:r>
              <w:rPr>
                <w:lang w:val="en-US"/>
              </w:rPr>
              <w:t> </w:t>
            </w:r>
            <w:r>
              <w:t>688</w:t>
            </w:r>
          </w:p>
        </w:tc>
        <w:tc>
          <w:tcPr>
            <w:tcW w:w="1096" w:type="dxa"/>
          </w:tcPr>
          <w:p w:rsidR="00000000" w:rsidRDefault="00000000">
            <w:pPr>
              <w:pStyle w:val="BodyText"/>
              <w:spacing w:after="0"/>
              <w:jc w:val="center"/>
            </w:pPr>
            <w:r>
              <w:t>18</w:t>
            </w:r>
            <w:r>
              <w:rPr>
                <w:lang w:val="en-US"/>
              </w:rPr>
              <w:t> </w:t>
            </w:r>
            <w:r>
              <w:t>332</w:t>
            </w:r>
          </w:p>
        </w:tc>
        <w:tc>
          <w:tcPr>
            <w:tcW w:w="1030" w:type="dxa"/>
          </w:tcPr>
          <w:p w:rsidR="00000000" w:rsidRDefault="00000000">
            <w:pPr>
              <w:pStyle w:val="BodyText"/>
              <w:spacing w:after="0"/>
              <w:jc w:val="center"/>
            </w:pPr>
            <w:r>
              <w:t>37</w:t>
            </w:r>
            <w:r>
              <w:rPr>
                <w:lang w:val="en-US"/>
              </w:rPr>
              <w:t> </w:t>
            </w:r>
            <w:r>
              <w:t>020</w:t>
            </w:r>
          </w:p>
        </w:tc>
        <w:tc>
          <w:tcPr>
            <w:tcW w:w="850" w:type="dxa"/>
          </w:tcPr>
          <w:p w:rsidR="00000000" w:rsidRDefault="00000000">
            <w:pPr>
              <w:pStyle w:val="BodyText"/>
              <w:spacing w:after="0"/>
              <w:jc w:val="center"/>
            </w:pPr>
            <w:r>
              <w:t>143</w:t>
            </w:r>
          </w:p>
        </w:tc>
        <w:tc>
          <w:tcPr>
            <w:tcW w:w="1888" w:type="dxa"/>
          </w:tcPr>
          <w:p w:rsidR="00000000" w:rsidRDefault="00000000">
            <w:pPr>
              <w:pStyle w:val="BodyText"/>
              <w:spacing w:after="0"/>
              <w:jc w:val="center"/>
            </w:pPr>
            <w:r>
              <w:t>1</w:t>
            </w:r>
            <w:r>
              <w:rPr>
                <w:lang w:val="en-US"/>
              </w:rPr>
              <w:t> </w:t>
            </w:r>
            <w:r>
              <w:t>332</w:t>
            </w:r>
          </w:p>
        </w:tc>
        <w:tc>
          <w:tcPr>
            <w:tcW w:w="1256" w:type="dxa"/>
          </w:tcPr>
          <w:p w:rsidR="00000000" w:rsidRDefault="00000000">
            <w:pPr>
              <w:pStyle w:val="BodyText"/>
              <w:spacing w:after="0"/>
              <w:jc w:val="center"/>
            </w:pPr>
            <w:r>
              <w:t>2</w:t>
            </w:r>
            <w:r>
              <w:rPr>
                <w:lang w:val="en-US"/>
              </w:rPr>
              <w:t> </w:t>
            </w:r>
            <w:r>
              <w:t>534</w:t>
            </w:r>
          </w:p>
        </w:tc>
      </w:tr>
      <w:tr w:rsidR="00000000">
        <w:tblPrEx>
          <w:tblCellMar>
            <w:top w:w="0" w:type="dxa"/>
            <w:bottom w:w="0" w:type="dxa"/>
          </w:tblCellMar>
        </w:tblPrEx>
        <w:trPr>
          <w:jc w:val="center"/>
        </w:trPr>
        <w:tc>
          <w:tcPr>
            <w:tcW w:w="1535" w:type="dxa"/>
          </w:tcPr>
          <w:p w:rsidR="00000000" w:rsidRDefault="00000000">
            <w:pPr>
              <w:pStyle w:val="BodyText"/>
              <w:spacing w:after="0"/>
              <w:jc w:val="center"/>
            </w:pPr>
            <w:r>
              <w:t>1996/97</w:t>
            </w:r>
          </w:p>
        </w:tc>
        <w:tc>
          <w:tcPr>
            <w:tcW w:w="1134" w:type="dxa"/>
          </w:tcPr>
          <w:p w:rsidR="00000000" w:rsidRDefault="00000000">
            <w:pPr>
              <w:pStyle w:val="BodyText"/>
              <w:spacing w:after="0"/>
              <w:jc w:val="center"/>
            </w:pPr>
            <w:r>
              <w:t>18</w:t>
            </w:r>
            <w:r>
              <w:rPr>
                <w:lang w:val="en-US"/>
              </w:rPr>
              <w:t> </w:t>
            </w:r>
            <w:r>
              <w:t>967</w:t>
            </w:r>
          </w:p>
        </w:tc>
        <w:tc>
          <w:tcPr>
            <w:tcW w:w="1096" w:type="dxa"/>
          </w:tcPr>
          <w:p w:rsidR="00000000" w:rsidRDefault="00000000">
            <w:pPr>
              <w:pStyle w:val="BodyText"/>
              <w:spacing w:after="0"/>
              <w:jc w:val="center"/>
            </w:pPr>
            <w:r>
              <w:t>18</w:t>
            </w:r>
            <w:r>
              <w:rPr>
                <w:lang w:val="en-US"/>
              </w:rPr>
              <w:t> </w:t>
            </w:r>
            <w:r>
              <w:t>554</w:t>
            </w:r>
          </w:p>
        </w:tc>
        <w:tc>
          <w:tcPr>
            <w:tcW w:w="1030" w:type="dxa"/>
          </w:tcPr>
          <w:p w:rsidR="00000000" w:rsidRDefault="00000000">
            <w:pPr>
              <w:pStyle w:val="BodyText"/>
              <w:spacing w:after="0"/>
              <w:jc w:val="center"/>
            </w:pPr>
            <w:r>
              <w:t>37</w:t>
            </w:r>
            <w:r>
              <w:rPr>
                <w:lang w:val="en-US"/>
              </w:rPr>
              <w:t> </w:t>
            </w:r>
            <w:r>
              <w:t>521</w:t>
            </w:r>
          </w:p>
        </w:tc>
        <w:tc>
          <w:tcPr>
            <w:tcW w:w="850" w:type="dxa"/>
          </w:tcPr>
          <w:p w:rsidR="00000000" w:rsidRDefault="00000000">
            <w:pPr>
              <w:pStyle w:val="BodyText"/>
              <w:spacing w:after="0"/>
              <w:jc w:val="center"/>
            </w:pPr>
            <w:r>
              <w:t>145</w:t>
            </w:r>
          </w:p>
        </w:tc>
        <w:tc>
          <w:tcPr>
            <w:tcW w:w="1888" w:type="dxa"/>
          </w:tcPr>
          <w:p w:rsidR="00000000" w:rsidRDefault="00000000">
            <w:pPr>
              <w:pStyle w:val="BodyText"/>
              <w:spacing w:after="0"/>
              <w:jc w:val="center"/>
            </w:pPr>
            <w:r>
              <w:t>1</w:t>
            </w:r>
            <w:r>
              <w:rPr>
                <w:lang w:val="en-US"/>
              </w:rPr>
              <w:t> </w:t>
            </w:r>
            <w:r>
              <w:t>356</w:t>
            </w:r>
          </w:p>
        </w:tc>
        <w:tc>
          <w:tcPr>
            <w:tcW w:w="1256" w:type="dxa"/>
          </w:tcPr>
          <w:p w:rsidR="00000000" w:rsidRDefault="00000000">
            <w:pPr>
              <w:pStyle w:val="BodyText"/>
              <w:spacing w:after="0"/>
              <w:jc w:val="center"/>
            </w:pPr>
            <w:r>
              <w:t>2</w:t>
            </w:r>
            <w:r>
              <w:rPr>
                <w:lang w:val="en-US"/>
              </w:rPr>
              <w:t> </w:t>
            </w:r>
            <w:r>
              <w:t>697</w:t>
            </w:r>
          </w:p>
        </w:tc>
      </w:tr>
      <w:tr w:rsidR="00000000">
        <w:tblPrEx>
          <w:tblCellMar>
            <w:top w:w="0" w:type="dxa"/>
            <w:bottom w:w="0" w:type="dxa"/>
          </w:tblCellMar>
        </w:tblPrEx>
        <w:trPr>
          <w:jc w:val="center"/>
        </w:trPr>
        <w:tc>
          <w:tcPr>
            <w:tcW w:w="1535" w:type="dxa"/>
          </w:tcPr>
          <w:p w:rsidR="00000000" w:rsidRDefault="00000000">
            <w:pPr>
              <w:pStyle w:val="BodyText"/>
              <w:spacing w:after="0"/>
              <w:jc w:val="center"/>
            </w:pPr>
            <w:r>
              <w:t>1997/98</w:t>
            </w:r>
          </w:p>
        </w:tc>
        <w:tc>
          <w:tcPr>
            <w:tcW w:w="1134" w:type="dxa"/>
          </w:tcPr>
          <w:p w:rsidR="00000000" w:rsidRDefault="00000000">
            <w:pPr>
              <w:pStyle w:val="BodyText"/>
              <w:spacing w:after="0"/>
              <w:jc w:val="center"/>
            </w:pPr>
            <w:r>
              <w:t>20</w:t>
            </w:r>
            <w:r>
              <w:rPr>
                <w:lang w:val="en-US"/>
              </w:rPr>
              <w:t> </w:t>
            </w:r>
            <w:r>
              <w:t>800</w:t>
            </w:r>
          </w:p>
        </w:tc>
        <w:tc>
          <w:tcPr>
            <w:tcW w:w="1096" w:type="dxa"/>
          </w:tcPr>
          <w:p w:rsidR="00000000" w:rsidRDefault="00000000">
            <w:pPr>
              <w:pStyle w:val="BodyText"/>
              <w:spacing w:after="0"/>
              <w:jc w:val="center"/>
            </w:pPr>
            <w:r>
              <w:t>21</w:t>
            </w:r>
            <w:r>
              <w:rPr>
                <w:lang w:val="en-US"/>
              </w:rPr>
              <w:t> </w:t>
            </w:r>
            <w:r>
              <w:t>272</w:t>
            </w:r>
          </w:p>
        </w:tc>
        <w:tc>
          <w:tcPr>
            <w:tcW w:w="1030" w:type="dxa"/>
          </w:tcPr>
          <w:p w:rsidR="00000000" w:rsidRDefault="00000000">
            <w:pPr>
              <w:pStyle w:val="BodyText"/>
              <w:spacing w:after="0"/>
              <w:jc w:val="center"/>
            </w:pPr>
            <w:r>
              <w:t>42</w:t>
            </w:r>
            <w:r>
              <w:rPr>
                <w:lang w:val="en-US"/>
              </w:rPr>
              <w:t> </w:t>
            </w:r>
            <w:r>
              <w:t>072</w:t>
            </w:r>
          </w:p>
        </w:tc>
        <w:tc>
          <w:tcPr>
            <w:tcW w:w="850" w:type="dxa"/>
          </w:tcPr>
          <w:p w:rsidR="00000000" w:rsidRDefault="00000000">
            <w:pPr>
              <w:pStyle w:val="BodyText"/>
              <w:spacing w:after="0"/>
              <w:jc w:val="center"/>
            </w:pPr>
            <w:r>
              <w:t>144</w:t>
            </w:r>
          </w:p>
        </w:tc>
        <w:tc>
          <w:tcPr>
            <w:tcW w:w="1888" w:type="dxa"/>
          </w:tcPr>
          <w:p w:rsidR="00000000" w:rsidRDefault="00000000">
            <w:pPr>
              <w:pStyle w:val="BodyText"/>
              <w:spacing w:after="0"/>
              <w:jc w:val="center"/>
            </w:pPr>
            <w:r>
              <w:t>1</w:t>
            </w:r>
            <w:r>
              <w:rPr>
                <w:lang w:val="en-US"/>
              </w:rPr>
              <w:t> </w:t>
            </w:r>
            <w:r>
              <w:t>384</w:t>
            </w:r>
          </w:p>
        </w:tc>
        <w:tc>
          <w:tcPr>
            <w:tcW w:w="1256" w:type="dxa"/>
          </w:tcPr>
          <w:p w:rsidR="00000000" w:rsidRDefault="00000000">
            <w:pPr>
              <w:pStyle w:val="BodyText"/>
              <w:spacing w:after="0"/>
              <w:jc w:val="center"/>
            </w:pPr>
            <w:r>
              <w:t>2</w:t>
            </w:r>
            <w:r>
              <w:rPr>
                <w:lang w:val="en-US"/>
              </w:rPr>
              <w:t> </w:t>
            </w:r>
            <w:r>
              <w:t>862</w:t>
            </w:r>
          </w:p>
        </w:tc>
      </w:tr>
      <w:tr w:rsidR="00000000">
        <w:tblPrEx>
          <w:tblCellMar>
            <w:top w:w="0" w:type="dxa"/>
            <w:bottom w:w="0" w:type="dxa"/>
          </w:tblCellMar>
        </w:tblPrEx>
        <w:trPr>
          <w:jc w:val="center"/>
        </w:trPr>
        <w:tc>
          <w:tcPr>
            <w:tcW w:w="1535" w:type="dxa"/>
          </w:tcPr>
          <w:p w:rsidR="00000000" w:rsidRDefault="00000000">
            <w:pPr>
              <w:pStyle w:val="BodyText"/>
              <w:spacing w:after="0"/>
              <w:jc w:val="center"/>
            </w:pPr>
            <w:r>
              <w:t>1998/99</w:t>
            </w:r>
          </w:p>
        </w:tc>
        <w:tc>
          <w:tcPr>
            <w:tcW w:w="1134" w:type="dxa"/>
          </w:tcPr>
          <w:p w:rsidR="00000000" w:rsidRDefault="00000000">
            <w:pPr>
              <w:pStyle w:val="BodyText"/>
              <w:spacing w:after="0"/>
              <w:jc w:val="center"/>
            </w:pPr>
            <w:r>
              <w:t>21</w:t>
            </w:r>
            <w:r>
              <w:rPr>
                <w:lang w:val="en-US"/>
              </w:rPr>
              <w:t> </w:t>
            </w:r>
            <w:r>
              <w:t>914</w:t>
            </w:r>
          </w:p>
        </w:tc>
        <w:tc>
          <w:tcPr>
            <w:tcW w:w="1096" w:type="dxa"/>
          </w:tcPr>
          <w:p w:rsidR="00000000" w:rsidRDefault="00000000">
            <w:pPr>
              <w:pStyle w:val="BodyText"/>
              <w:spacing w:after="0"/>
              <w:jc w:val="center"/>
            </w:pPr>
            <w:r>
              <w:t>21</w:t>
            </w:r>
            <w:r>
              <w:rPr>
                <w:lang w:val="en-US"/>
              </w:rPr>
              <w:t> </w:t>
            </w:r>
            <w:r>
              <w:t>556</w:t>
            </w:r>
          </w:p>
        </w:tc>
        <w:tc>
          <w:tcPr>
            <w:tcW w:w="1030" w:type="dxa"/>
          </w:tcPr>
          <w:p w:rsidR="00000000" w:rsidRDefault="00000000">
            <w:pPr>
              <w:pStyle w:val="BodyText"/>
              <w:spacing w:after="0"/>
              <w:jc w:val="center"/>
            </w:pPr>
            <w:r>
              <w:t>43</w:t>
            </w:r>
            <w:r>
              <w:rPr>
                <w:lang w:val="en-US"/>
              </w:rPr>
              <w:t> </w:t>
            </w:r>
            <w:r>
              <w:t>470</w:t>
            </w:r>
          </w:p>
        </w:tc>
        <w:tc>
          <w:tcPr>
            <w:tcW w:w="850" w:type="dxa"/>
          </w:tcPr>
          <w:p w:rsidR="00000000" w:rsidRDefault="00000000">
            <w:pPr>
              <w:pStyle w:val="BodyText"/>
              <w:spacing w:after="0"/>
              <w:jc w:val="center"/>
            </w:pPr>
            <w:r>
              <w:t>148</w:t>
            </w:r>
          </w:p>
        </w:tc>
        <w:tc>
          <w:tcPr>
            <w:tcW w:w="1888" w:type="dxa"/>
          </w:tcPr>
          <w:p w:rsidR="00000000" w:rsidRDefault="00000000">
            <w:pPr>
              <w:pStyle w:val="BodyText"/>
              <w:spacing w:after="0"/>
              <w:jc w:val="center"/>
            </w:pPr>
            <w:r>
              <w:t>1</w:t>
            </w:r>
            <w:r>
              <w:rPr>
                <w:lang w:val="en-US"/>
              </w:rPr>
              <w:t> </w:t>
            </w:r>
            <w:r>
              <w:t>445</w:t>
            </w:r>
          </w:p>
        </w:tc>
        <w:tc>
          <w:tcPr>
            <w:tcW w:w="1256" w:type="dxa"/>
          </w:tcPr>
          <w:p w:rsidR="00000000" w:rsidRDefault="00000000">
            <w:pPr>
              <w:pStyle w:val="BodyText"/>
              <w:spacing w:after="0"/>
              <w:jc w:val="center"/>
            </w:pPr>
            <w:r>
              <w:t>3</w:t>
            </w:r>
            <w:r>
              <w:rPr>
                <w:lang w:val="en-US"/>
              </w:rPr>
              <w:t> </w:t>
            </w:r>
            <w:r>
              <w:t>073</w:t>
            </w:r>
          </w:p>
        </w:tc>
      </w:tr>
    </w:tbl>
    <w:p w:rsidR="00000000" w:rsidRDefault="00000000">
      <w:pPr>
        <w:pStyle w:val="BodyText"/>
        <w:rPr>
          <w:u w:val="single"/>
        </w:rPr>
      </w:pPr>
      <w:r>
        <w:rPr>
          <w:lang w:val="en-US"/>
        </w:rPr>
        <w:t>b</w:t>
      </w:r>
      <w:r>
        <w:t>)</w:t>
      </w:r>
      <w:r>
        <w:tab/>
      </w:r>
      <w:r>
        <w:rPr>
          <w:u w:val="single"/>
        </w:rPr>
        <w:t>Отдельные виды образования и обучения, включающие:</w:t>
      </w:r>
    </w:p>
    <w:p w:rsidR="00000000" w:rsidRDefault="00000000">
      <w:pPr>
        <w:pStyle w:val="BodyText"/>
        <w:rPr>
          <w:u w:val="single"/>
        </w:rPr>
      </w:pPr>
      <w:r>
        <w:rPr>
          <w:lang w:val="en-US"/>
        </w:rPr>
        <w:t>i</w:t>
      </w:r>
      <w:r>
        <w:t>)</w:t>
      </w:r>
      <w:r>
        <w:tab/>
      </w:r>
      <w:r>
        <w:rPr>
          <w:u w:val="single"/>
        </w:rPr>
        <w:t>Образование для взрослых</w:t>
      </w:r>
    </w:p>
    <w:p w:rsidR="00000000" w:rsidRDefault="00000000">
      <w:pPr>
        <w:pStyle w:val="BodyText"/>
      </w:pPr>
      <w:r>
        <w:tab/>
        <w:t>Процесс образования для взрослых включает те же три этапа обучения. Это обучение в соответствии с Законом № 4 1981 года является обязательным, его цель – ликвидация неграмотности и предоставление возможности людям, в свое время не получившим образования, компенсировать свое отставание с учетом того, что и они призваны участвовать в развитии страны. Принятию упомянутого законодательного акта предшествовали многочисленные и успешные кампании по ликвидации неграмотности, благодаря которым тогда удалось значительно снизить коэффициент неграмотности, составлявший 50,5 процента среди женщин и 32 процента среди мужчин. Прием в центры ликвидации неграмотности осуществлялся исключительно на добровольной основе. Вместе с тем столь высокий, несмотря на все усилия и мобилизованные возможности, уровень неграмотности в 1981 году не мог соответствовать планам государства и его стремлению к тому, чтобы страна шла в ногу с научно-техническим прогрессом в различных областях. Это и предопределило принятие указанного выше закона, с тем чтобы заложить основы и сформулировать принципы новой кампании по ликвидации неграмотности на базе нового всестороннего подхода. Так, в статье 1 закона устанавливается, что ликвидация неграмотности является национальной ответственностью, а ее цель состоит в предоставлении неграмотным возможности обучаться и тем самым повысить свой культурный и социальный уровень, чтобы стать более подготовленными для дальнейшего самосовершенствования и участия в прогрессе всего общества, а также для нахождения оптимальных решений в сложных жизненных ситуациях. В указанной статье ясно и четко отражен изменившийся подход к проблеме ликвидации неграмотности. Она рассматривается уже не как чисто образовательная проблема, касающаяся лишь некоторых слоев общества. Теперь ее решение берет на себя государство, которое обязуется предоставить неграмотным возможности для культурного и социального роста, с тем чтобы они могли более эффективно участвовать в реализации планов комплексного развития.</w:t>
      </w:r>
    </w:p>
    <w:p w:rsidR="00000000" w:rsidRDefault="00000000">
      <w:pPr>
        <w:pStyle w:val="BodyText"/>
      </w:pPr>
      <w:r>
        <w:tab/>
        <w:t>В указанном законодательном акте были учтены условия, в которых находятся неграмотные, а также проблемы, не дающие им возможности наверстать упущенное. В статье 8 закона содержится одно из важнейших положений, согласно которому время учебы должно официально засчитываться как рабочее в случаях, когда обучение идет без отрыва от работы. В статье 20 предусмотрена ответственность для каждого предпринимателя, нарушающего положения статьи 8, в виде штрафа на сумму до 100 динаров, и каждому предпринимателю вменено в обязанность сообщать в Министерство просвещения фамилии работающих у него неграмотных лиц. В статьях 15–19 учеба в центрах ликвидации неграмотности указана как одно из обязательных требований для занятия государственных должностей и продвижения работников по службе. Предусмотрены также поощрительные награды для успевающих, особенно для женщин. Для оказания поддержки кампании ликвидации неграмотности и придания ей общенационального характера 22 февраля 1981 года был издан Эмирский декрет о создании Комитета по ликвидации неграмотности во главе с министром просвещения. В Комитет вошли представители соответствующих министерств, частного сектора и низовых организаций, а также национальные эксперты. На основании Постановления № 92 1981 года министра просвещения от указанного комитета отпочковался ряд других комитетов, в том числе Комитет по информации, Комитет по статистике, Технический комитет, а также Комитет по здравоохранению и социальным вопросам. Каждый из них провел в сфере своей компетенции всеобъемлющее изучение Декрета о Законе № 4 1981 года, с тем чтобы уточнить общее представление о конечных целях ликвидации неграмотности. На основании проведенных исследований министр просвещения издал ряд постановлений, наиболее важными из которых являются следующие:</w:t>
      </w:r>
    </w:p>
    <w:p w:rsidR="00000000" w:rsidRDefault="00000000">
      <w:pPr>
        <w:pStyle w:val="BodyText"/>
      </w:pPr>
      <w:r>
        <w:tab/>
        <w:t>–</w:t>
      </w:r>
      <w:r>
        <w:tab/>
        <w:t>Постановление министра № 29/82 о правилах проведения экзаменов в ходе ликвидации неграмотности и сроках их проведения;</w:t>
      </w:r>
    </w:p>
    <w:p w:rsidR="00000000" w:rsidRDefault="00000000">
      <w:pPr>
        <w:pStyle w:val="BodyText"/>
      </w:pPr>
      <w:r>
        <w:tab/>
        <w:t>–</w:t>
      </w:r>
      <w:r>
        <w:tab/>
        <w:t>Постановление министра № 20/82 об уважительных причинах неявки на занятия по ликвидации неграмотности;</w:t>
      </w:r>
    </w:p>
    <w:p w:rsidR="00000000" w:rsidRDefault="00000000">
      <w:pPr>
        <w:pStyle w:val="BodyText"/>
      </w:pPr>
      <w:r>
        <w:tab/>
        <w:t>–</w:t>
      </w:r>
      <w:r>
        <w:tab/>
        <w:t>Постановление министра № 31/82, содержащее определение неграмотного, согласно которому неграмотным является не посещающее начальную школу лицо старше 14 лет, чей образовательный уровень не достиг уровня конца четвертого класса начальной ступени по чтению и арифметике;</w:t>
      </w:r>
    </w:p>
    <w:p w:rsidR="00000000" w:rsidRDefault="00000000">
      <w:pPr>
        <w:pStyle w:val="BodyText"/>
      </w:pPr>
      <w:r>
        <w:tab/>
        <w:t>–</w:t>
      </w:r>
      <w:r>
        <w:tab/>
        <w:t xml:space="preserve">Постановление министра № 32/82 о правилах и процедурах определения образовательного уровня лиц, умеющих читать и писать, но не получивших свидетельства о грамотности. </w:t>
      </w:r>
    </w:p>
    <w:p w:rsidR="00000000" w:rsidRDefault="00000000">
      <w:pPr>
        <w:pStyle w:val="BodyText"/>
      </w:pPr>
      <w:r>
        <w:tab/>
        <w:t>В этом проявляется стремление государства предоставить подобные услуги максимально возможному числу людей, способных ими воспользоваться. Государство распорядилось о создании учебных центров по ликвидации неграмотности во всех районах страны и об открытии дополнительного числа таких центров в районах с высокой плотностью населения.</w:t>
      </w:r>
    </w:p>
    <w:p w:rsidR="00000000" w:rsidRDefault="00000000">
      <w:pPr>
        <w:pStyle w:val="BodyText"/>
      </w:pPr>
      <w:r>
        <w:tab/>
        <w:t>В таблице ниже приводятся данные о доле неграмотных среди женщин в период с 1980 по 1995 год.</w:t>
      </w:r>
    </w:p>
    <w:p w:rsidR="00000000" w:rsidRDefault="00000000">
      <w:pPr>
        <w:pStyle w:val="BodyText"/>
        <w:jc w:val="center"/>
      </w:pPr>
      <w:r>
        <w:t>Данные о доле неграмотных среди женщин в период с 1980 по 1995 год</w:t>
      </w:r>
    </w:p>
    <w:tbl>
      <w:tblPr>
        <w:tblW w:w="0" w:type="auto"/>
        <w:jc w:val="center"/>
        <w:tblLayout w:type="fixed"/>
        <w:tblLook w:val="01E0" w:firstRow="1" w:lastRow="1" w:firstColumn="1" w:lastColumn="1" w:noHBand="0" w:noVBand="0"/>
      </w:tblPr>
      <w:tblGrid>
        <w:gridCol w:w="1134"/>
        <w:gridCol w:w="3959"/>
      </w:tblGrid>
      <w:tr w:rsidR="00000000">
        <w:tblPrEx>
          <w:tblCellMar>
            <w:top w:w="0" w:type="dxa"/>
            <w:bottom w:w="0" w:type="dxa"/>
          </w:tblCellMar>
        </w:tblPrEx>
        <w:trPr>
          <w:jc w:val="center"/>
        </w:trPr>
        <w:tc>
          <w:tcPr>
            <w:tcW w:w="1134" w:type="dxa"/>
          </w:tcPr>
          <w:p w:rsidR="00000000" w:rsidRDefault="00000000">
            <w:pPr>
              <w:pStyle w:val="-9"/>
            </w:pPr>
            <w:r>
              <w:t>Год</w:t>
            </w:r>
          </w:p>
        </w:tc>
        <w:tc>
          <w:tcPr>
            <w:tcW w:w="3959" w:type="dxa"/>
          </w:tcPr>
          <w:p w:rsidR="00000000" w:rsidRDefault="00000000">
            <w:pPr>
              <w:pStyle w:val="-9"/>
            </w:pPr>
            <w:r>
              <w:t>Процент неграмотных среди женщин</w:t>
            </w:r>
          </w:p>
        </w:tc>
      </w:tr>
      <w:tr w:rsidR="00000000">
        <w:tblPrEx>
          <w:tblCellMar>
            <w:top w:w="0" w:type="dxa"/>
            <w:bottom w:w="0" w:type="dxa"/>
          </w:tblCellMar>
        </w:tblPrEx>
        <w:trPr>
          <w:jc w:val="center"/>
        </w:trPr>
        <w:tc>
          <w:tcPr>
            <w:tcW w:w="1134" w:type="dxa"/>
          </w:tcPr>
          <w:p w:rsidR="00000000" w:rsidRDefault="00000000">
            <w:pPr>
              <w:pStyle w:val="BodyText"/>
              <w:spacing w:after="0"/>
              <w:jc w:val="center"/>
            </w:pPr>
            <w:r>
              <w:t>1980</w:t>
            </w:r>
          </w:p>
        </w:tc>
        <w:tc>
          <w:tcPr>
            <w:tcW w:w="3959" w:type="dxa"/>
          </w:tcPr>
          <w:p w:rsidR="00000000" w:rsidRDefault="00000000">
            <w:pPr>
              <w:pStyle w:val="BodyText"/>
              <w:spacing w:after="0"/>
              <w:jc w:val="center"/>
            </w:pPr>
            <w:r>
              <w:t>50,5</w:t>
            </w:r>
          </w:p>
        </w:tc>
      </w:tr>
      <w:tr w:rsidR="00000000">
        <w:tblPrEx>
          <w:tblCellMar>
            <w:top w:w="0" w:type="dxa"/>
            <w:bottom w:w="0" w:type="dxa"/>
          </w:tblCellMar>
        </w:tblPrEx>
        <w:trPr>
          <w:jc w:val="center"/>
        </w:trPr>
        <w:tc>
          <w:tcPr>
            <w:tcW w:w="1134" w:type="dxa"/>
          </w:tcPr>
          <w:p w:rsidR="00000000" w:rsidRDefault="00000000">
            <w:pPr>
              <w:pStyle w:val="BodyText"/>
              <w:spacing w:after="0"/>
              <w:jc w:val="center"/>
            </w:pPr>
            <w:r>
              <w:t>1985</w:t>
            </w:r>
          </w:p>
        </w:tc>
        <w:tc>
          <w:tcPr>
            <w:tcW w:w="3959" w:type="dxa"/>
          </w:tcPr>
          <w:p w:rsidR="00000000" w:rsidRDefault="00000000">
            <w:pPr>
              <w:pStyle w:val="BodyText"/>
              <w:spacing w:after="0"/>
              <w:jc w:val="center"/>
            </w:pPr>
            <w:r>
              <w:t>35,6</w:t>
            </w:r>
          </w:p>
        </w:tc>
      </w:tr>
      <w:tr w:rsidR="00000000">
        <w:tblPrEx>
          <w:tblCellMar>
            <w:top w:w="0" w:type="dxa"/>
            <w:bottom w:w="0" w:type="dxa"/>
          </w:tblCellMar>
        </w:tblPrEx>
        <w:trPr>
          <w:jc w:val="center"/>
        </w:trPr>
        <w:tc>
          <w:tcPr>
            <w:tcW w:w="1134" w:type="dxa"/>
          </w:tcPr>
          <w:p w:rsidR="00000000" w:rsidRDefault="00000000">
            <w:pPr>
              <w:pStyle w:val="BodyText"/>
              <w:spacing w:after="0"/>
              <w:jc w:val="center"/>
            </w:pPr>
            <w:r>
              <w:t>1988</w:t>
            </w:r>
          </w:p>
        </w:tc>
        <w:tc>
          <w:tcPr>
            <w:tcW w:w="3959" w:type="dxa"/>
          </w:tcPr>
          <w:p w:rsidR="00000000" w:rsidRDefault="00000000">
            <w:pPr>
              <w:pStyle w:val="BodyText"/>
              <w:spacing w:after="0"/>
              <w:jc w:val="center"/>
            </w:pPr>
            <w:r>
              <w:t>28,8</w:t>
            </w:r>
          </w:p>
        </w:tc>
      </w:tr>
      <w:tr w:rsidR="00000000">
        <w:tblPrEx>
          <w:tblCellMar>
            <w:top w:w="0" w:type="dxa"/>
            <w:bottom w:w="0" w:type="dxa"/>
          </w:tblCellMar>
        </w:tblPrEx>
        <w:trPr>
          <w:jc w:val="center"/>
        </w:trPr>
        <w:tc>
          <w:tcPr>
            <w:tcW w:w="1134" w:type="dxa"/>
          </w:tcPr>
          <w:p w:rsidR="00000000" w:rsidRDefault="00000000">
            <w:pPr>
              <w:pStyle w:val="BodyText"/>
              <w:spacing w:after="0"/>
              <w:jc w:val="center"/>
            </w:pPr>
            <w:r>
              <w:t>1999</w:t>
            </w:r>
          </w:p>
        </w:tc>
        <w:tc>
          <w:tcPr>
            <w:tcW w:w="3959" w:type="dxa"/>
          </w:tcPr>
          <w:p w:rsidR="00000000" w:rsidRDefault="00000000">
            <w:pPr>
              <w:pStyle w:val="BodyText"/>
              <w:spacing w:after="0"/>
              <w:jc w:val="center"/>
            </w:pPr>
            <w:r>
              <w:t>11,0</w:t>
            </w:r>
          </w:p>
        </w:tc>
      </w:tr>
    </w:tbl>
    <w:p w:rsidR="00000000" w:rsidRDefault="00000000">
      <w:pPr>
        <w:pStyle w:val="BodyText"/>
        <w:spacing w:before="240"/>
        <w:jc w:val="center"/>
      </w:pPr>
      <w:r>
        <w:t xml:space="preserve">Охват учащихся центрами обучения взрослых с разбивкой по полу и гражданству в период </w:t>
      </w:r>
      <w:r>
        <w:br/>
        <w:t>с 1994/95 по 1998/99 год</w:t>
      </w:r>
    </w:p>
    <w:tbl>
      <w:tblPr>
        <w:tblW w:w="0" w:type="auto"/>
        <w:jc w:val="center"/>
        <w:tblLayout w:type="fixed"/>
        <w:tblCellMar>
          <w:left w:w="40" w:type="dxa"/>
          <w:right w:w="40" w:type="dxa"/>
        </w:tblCellMar>
        <w:tblLook w:val="0000" w:firstRow="0" w:lastRow="0" w:firstColumn="0" w:lastColumn="0" w:noHBand="0" w:noVBand="0"/>
      </w:tblPr>
      <w:tblGrid>
        <w:gridCol w:w="1109"/>
        <w:gridCol w:w="851"/>
        <w:gridCol w:w="850"/>
        <w:gridCol w:w="1843"/>
        <w:gridCol w:w="1418"/>
        <w:gridCol w:w="1417"/>
        <w:gridCol w:w="1301"/>
      </w:tblGrid>
      <w:tr w:rsidR="00000000">
        <w:tblPrEx>
          <w:tblCellMar>
            <w:top w:w="0" w:type="dxa"/>
            <w:bottom w:w="0" w:type="dxa"/>
          </w:tblCellMar>
        </w:tblPrEx>
        <w:trPr>
          <w:trHeight w:val="20"/>
          <w:jc w:val="center"/>
        </w:trPr>
        <w:tc>
          <w:tcPr>
            <w:tcW w:w="1109" w:type="dxa"/>
            <w:shd w:val="clear" w:color="auto" w:fill="FFFFFF"/>
          </w:tcPr>
          <w:p w:rsidR="00000000" w:rsidRDefault="00000000">
            <w:pPr>
              <w:pStyle w:val="-9"/>
            </w:pPr>
            <w:r>
              <w:t>Год</w:t>
            </w:r>
          </w:p>
        </w:tc>
        <w:tc>
          <w:tcPr>
            <w:tcW w:w="851" w:type="dxa"/>
            <w:shd w:val="clear" w:color="auto" w:fill="FFFFFF"/>
          </w:tcPr>
          <w:p w:rsidR="00000000" w:rsidRDefault="00000000">
            <w:pPr>
              <w:pStyle w:val="-9"/>
              <w:ind w:left="113"/>
              <w:jc w:val="left"/>
            </w:pPr>
            <w:r>
              <w:t>Пол</w:t>
            </w:r>
          </w:p>
        </w:tc>
        <w:tc>
          <w:tcPr>
            <w:tcW w:w="850" w:type="dxa"/>
            <w:shd w:val="clear" w:color="auto" w:fill="FFFFFF"/>
          </w:tcPr>
          <w:p w:rsidR="00000000" w:rsidRDefault="00000000">
            <w:pPr>
              <w:pStyle w:val="-9"/>
            </w:pPr>
            <w:r>
              <w:t>Центры</w:t>
            </w:r>
          </w:p>
        </w:tc>
        <w:tc>
          <w:tcPr>
            <w:tcW w:w="1843" w:type="dxa"/>
            <w:shd w:val="clear" w:color="auto" w:fill="FFFFFF"/>
          </w:tcPr>
          <w:p w:rsidR="00000000" w:rsidRDefault="00000000">
            <w:pPr>
              <w:pStyle w:val="-9"/>
            </w:pPr>
            <w:r>
              <w:t>Классные помещения</w:t>
            </w:r>
          </w:p>
        </w:tc>
        <w:tc>
          <w:tcPr>
            <w:tcW w:w="1418" w:type="dxa"/>
            <w:shd w:val="clear" w:color="auto" w:fill="FFFFFF"/>
          </w:tcPr>
          <w:p w:rsidR="00000000" w:rsidRDefault="00000000">
            <w:pPr>
              <w:pStyle w:val="-9"/>
            </w:pPr>
            <w:r>
              <w:t>Кувейтцы</w:t>
            </w:r>
          </w:p>
        </w:tc>
        <w:tc>
          <w:tcPr>
            <w:tcW w:w="1417" w:type="dxa"/>
            <w:shd w:val="clear" w:color="auto" w:fill="FFFFFF"/>
          </w:tcPr>
          <w:p w:rsidR="00000000" w:rsidRDefault="00000000">
            <w:pPr>
              <w:pStyle w:val="-9"/>
            </w:pPr>
            <w:r>
              <w:t>Некувейтцы</w:t>
            </w:r>
          </w:p>
        </w:tc>
        <w:tc>
          <w:tcPr>
            <w:tcW w:w="1301" w:type="dxa"/>
            <w:shd w:val="clear" w:color="auto" w:fill="FFFFFF"/>
          </w:tcPr>
          <w:p w:rsidR="00000000" w:rsidRDefault="00000000">
            <w:pPr>
              <w:pStyle w:val="-9"/>
            </w:pPr>
            <w:r>
              <w:t>Всего</w:t>
            </w:r>
          </w:p>
        </w:tc>
      </w:tr>
      <w:tr w:rsidR="00000000">
        <w:tblPrEx>
          <w:tblCellMar>
            <w:top w:w="0" w:type="dxa"/>
            <w:bottom w:w="0" w:type="dxa"/>
          </w:tblCellMar>
        </w:tblPrEx>
        <w:trPr>
          <w:trHeight w:val="20"/>
          <w:jc w:val="center"/>
        </w:trPr>
        <w:tc>
          <w:tcPr>
            <w:tcW w:w="1109" w:type="dxa"/>
            <w:shd w:val="clear" w:color="auto" w:fill="FFFFFF"/>
          </w:tcPr>
          <w:p w:rsidR="00000000" w:rsidRDefault="00000000">
            <w:pPr>
              <w:pStyle w:val="BodyText"/>
              <w:spacing w:after="0"/>
            </w:pPr>
            <w:r>
              <w:rPr>
                <w:color w:val="000000"/>
              </w:rPr>
              <w:t>1994/95</w:t>
            </w:r>
          </w:p>
        </w:tc>
        <w:tc>
          <w:tcPr>
            <w:tcW w:w="851" w:type="dxa"/>
            <w:shd w:val="clear" w:color="auto" w:fill="FFFFFF"/>
          </w:tcPr>
          <w:p w:rsidR="00000000" w:rsidRDefault="00000000">
            <w:pPr>
              <w:pStyle w:val="BodyText"/>
              <w:spacing w:after="0"/>
              <w:ind w:left="113"/>
            </w:pPr>
            <w:r>
              <w:t>М</w:t>
            </w:r>
          </w:p>
        </w:tc>
        <w:tc>
          <w:tcPr>
            <w:tcW w:w="850" w:type="dxa"/>
            <w:shd w:val="clear" w:color="auto" w:fill="FFFFFF"/>
          </w:tcPr>
          <w:p w:rsidR="00000000" w:rsidRDefault="00000000">
            <w:pPr>
              <w:pStyle w:val="BodyText"/>
              <w:spacing w:after="0"/>
              <w:ind w:right="284"/>
              <w:jc w:val="right"/>
            </w:pPr>
            <w:r>
              <w:rPr>
                <w:color w:val="000000"/>
              </w:rPr>
              <w:t>36</w:t>
            </w:r>
          </w:p>
        </w:tc>
        <w:tc>
          <w:tcPr>
            <w:tcW w:w="1843" w:type="dxa"/>
            <w:shd w:val="clear" w:color="auto" w:fill="FFFFFF"/>
          </w:tcPr>
          <w:p w:rsidR="00000000" w:rsidRDefault="00000000">
            <w:pPr>
              <w:pStyle w:val="BodyText"/>
              <w:spacing w:after="0"/>
              <w:ind w:right="680"/>
              <w:jc w:val="right"/>
            </w:pPr>
            <w:r>
              <w:rPr>
                <w:color w:val="000000"/>
              </w:rPr>
              <w:t>171</w:t>
            </w:r>
          </w:p>
        </w:tc>
        <w:tc>
          <w:tcPr>
            <w:tcW w:w="1418" w:type="dxa"/>
            <w:shd w:val="clear" w:color="auto" w:fill="FFFFFF"/>
          </w:tcPr>
          <w:p w:rsidR="00000000" w:rsidRDefault="00000000">
            <w:pPr>
              <w:pStyle w:val="BodyText"/>
              <w:spacing w:after="0"/>
              <w:ind w:right="454"/>
              <w:jc w:val="right"/>
            </w:pPr>
            <w:r>
              <w:rPr>
                <w:color w:val="000000"/>
              </w:rPr>
              <w:t>5 091</w:t>
            </w:r>
          </w:p>
        </w:tc>
        <w:tc>
          <w:tcPr>
            <w:tcW w:w="1417" w:type="dxa"/>
            <w:shd w:val="clear" w:color="auto" w:fill="FFFFFF"/>
          </w:tcPr>
          <w:p w:rsidR="00000000" w:rsidRDefault="00000000">
            <w:pPr>
              <w:pStyle w:val="BodyText"/>
              <w:spacing w:after="0"/>
              <w:ind w:right="454"/>
              <w:jc w:val="right"/>
            </w:pPr>
            <w:r>
              <w:rPr>
                <w:color w:val="000000"/>
              </w:rPr>
              <w:t>1 300</w:t>
            </w:r>
          </w:p>
        </w:tc>
        <w:tc>
          <w:tcPr>
            <w:tcW w:w="1301" w:type="dxa"/>
            <w:shd w:val="clear" w:color="auto" w:fill="FFFFFF"/>
          </w:tcPr>
          <w:p w:rsidR="00000000" w:rsidRDefault="00000000">
            <w:pPr>
              <w:pStyle w:val="BodyText"/>
              <w:spacing w:after="0"/>
              <w:ind w:right="340"/>
              <w:jc w:val="right"/>
            </w:pPr>
            <w:r>
              <w:rPr>
                <w:color w:val="000000"/>
              </w:rPr>
              <w:t>1 391</w:t>
            </w:r>
          </w:p>
        </w:tc>
      </w:tr>
      <w:tr w:rsidR="00000000">
        <w:tblPrEx>
          <w:tblCellMar>
            <w:top w:w="0" w:type="dxa"/>
            <w:bottom w:w="0" w:type="dxa"/>
          </w:tblCellMar>
        </w:tblPrEx>
        <w:trPr>
          <w:trHeight w:val="20"/>
          <w:jc w:val="center"/>
        </w:trPr>
        <w:tc>
          <w:tcPr>
            <w:tcW w:w="1109" w:type="dxa"/>
            <w:shd w:val="clear" w:color="auto" w:fill="FFFFFF"/>
          </w:tcPr>
          <w:p w:rsidR="00000000" w:rsidRDefault="00000000">
            <w:pPr>
              <w:pStyle w:val="BodyText"/>
              <w:spacing w:after="0"/>
            </w:pPr>
          </w:p>
        </w:tc>
        <w:tc>
          <w:tcPr>
            <w:tcW w:w="851" w:type="dxa"/>
            <w:shd w:val="clear" w:color="auto" w:fill="FFFFFF"/>
          </w:tcPr>
          <w:p w:rsidR="00000000" w:rsidRDefault="00000000">
            <w:pPr>
              <w:pStyle w:val="BodyText"/>
              <w:spacing w:after="0"/>
              <w:ind w:left="113"/>
            </w:pPr>
            <w:r>
              <w:t>Ж</w:t>
            </w:r>
          </w:p>
        </w:tc>
        <w:tc>
          <w:tcPr>
            <w:tcW w:w="850" w:type="dxa"/>
            <w:shd w:val="clear" w:color="auto" w:fill="FFFFFF"/>
          </w:tcPr>
          <w:p w:rsidR="00000000" w:rsidRDefault="00000000">
            <w:pPr>
              <w:pStyle w:val="BodyText"/>
              <w:spacing w:after="0"/>
              <w:ind w:right="284"/>
              <w:jc w:val="right"/>
            </w:pPr>
            <w:r>
              <w:rPr>
                <w:color w:val="000000"/>
              </w:rPr>
              <w:t>41</w:t>
            </w:r>
          </w:p>
        </w:tc>
        <w:tc>
          <w:tcPr>
            <w:tcW w:w="1843" w:type="dxa"/>
            <w:shd w:val="clear" w:color="auto" w:fill="FFFFFF"/>
          </w:tcPr>
          <w:p w:rsidR="00000000" w:rsidRDefault="00000000">
            <w:pPr>
              <w:pStyle w:val="BodyText"/>
              <w:spacing w:after="0"/>
              <w:ind w:right="680"/>
              <w:jc w:val="right"/>
            </w:pPr>
            <w:r>
              <w:rPr>
                <w:color w:val="000000"/>
              </w:rPr>
              <w:t>215</w:t>
            </w:r>
          </w:p>
        </w:tc>
        <w:tc>
          <w:tcPr>
            <w:tcW w:w="1418" w:type="dxa"/>
            <w:shd w:val="clear" w:color="auto" w:fill="FFFFFF"/>
          </w:tcPr>
          <w:p w:rsidR="00000000" w:rsidRDefault="00000000">
            <w:pPr>
              <w:pStyle w:val="BodyText"/>
              <w:spacing w:after="0"/>
              <w:ind w:right="454"/>
              <w:jc w:val="right"/>
            </w:pPr>
            <w:r>
              <w:rPr>
                <w:color w:val="000000"/>
              </w:rPr>
              <w:t>3 829</w:t>
            </w:r>
          </w:p>
        </w:tc>
        <w:tc>
          <w:tcPr>
            <w:tcW w:w="1417" w:type="dxa"/>
            <w:shd w:val="clear" w:color="auto" w:fill="FFFFFF"/>
          </w:tcPr>
          <w:p w:rsidR="00000000" w:rsidRDefault="00000000">
            <w:pPr>
              <w:pStyle w:val="BodyText"/>
              <w:spacing w:after="0"/>
              <w:ind w:right="454"/>
              <w:jc w:val="right"/>
            </w:pPr>
            <w:r>
              <w:rPr>
                <w:color w:val="000000"/>
              </w:rPr>
              <w:t>1 463</w:t>
            </w:r>
          </w:p>
        </w:tc>
        <w:tc>
          <w:tcPr>
            <w:tcW w:w="1301" w:type="dxa"/>
            <w:shd w:val="clear" w:color="auto" w:fill="FFFFFF"/>
          </w:tcPr>
          <w:p w:rsidR="00000000" w:rsidRDefault="00000000">
            <w:pPr>
              <w:pStyle w:val="BodyText"/>
              <w:spacing w:after="0"/>
              <w:ind w:right="340"/>
              <w:jc w:val="right"/>
            </w:pPr>
            <w:r>
              <w:rPr>
                <w:color w:val="000000"/>
              </w:rPr>
              <w:t>5 292</w:t>
            </w:r>
          </w:p>
        </w:tc>
      </w:tr>
      <w:tr w:rsidR="00000000">
        <w:tblPrEx>
          <w:tblCellMar>
            <w:top w:w="0" w:type="dxa"/>
            <w:bottom w:w="0" w:type="dxa"/>
          </w:tblCellMar>
        </w:tblPrEx>
        <w:trPr>
          <w:trHeight w:val="20"/>
          <w:jc w:val="center"/>
        </w:trPr>
        <w:tc>
          <w:tcPr>
            <w:tcW w:w="1109" w:type="dxa"/>
            <w:shd w:val="clear" w:color="auto" w:fill="FFFFFF"/>
          </w:tcPr>
          <w:p w:rsidR="00000000" w:rsidRDefault="00000000">
            <w:pPr>
              <w:pStyle w:val="BodyText"/>
              <w:spacing w:after="0"/>
            </w:pPr>
          </w:p>
        </w:tc>
        <w:tc>
          <w:tcPr>
            <w:tcW w:w="851" w:type="dxa"/>
            <w:shd w:val="clear" w:color="auto" w:fill="FFFFFF"/>
          </w:tcPr>
          <w:p w:rsidR="00000000" w:rsidRDefault="00000000">
            <w:pPr>
              <w:pStyle w:val="BodyText"/>
              <w:spacing w:after="0"/>
              <w:ind w:left="113"/>
            </w:pPr>
            <w:r>
              <w:rPr>
                <w:color w:val="000000"/>
              </w:rPr>
              <w:t>Итого</w:t>
            </w:r>
          </w:p>
        </w:tc>
        <w:tc>
          <w:tcPr>
            <w:tcW w:w="850" w:type="dxa"/>
            <w:shd w:val="clear" w:color="auto" w:fill="FFFFFF"/>
          </w:tcPr>
          <w:p w:rsidR="00000000" w:rsidRDefault="00000000">
            <w:pPr>
              <w:pStyle w:val="BodyText"/>
              <w:spacing w:after="0"/>
              <w:ind w:right="284"/>
              <w:jc w:val="right"/>
            </w:pPr>
            <w:r>
              <w:rPr>
                <w:color w:val="000000"/>
              </w:rPr>
              <w:t>77</w:t>
            </w:r>
          </w:p>
        </w:tc>
        <w:tc>
          <w:tcPr>
            <w:tcW w:w="1843" w:type="dxa"/>
            <w:shd w:val="clear" w:color="auto" w:fill="FFFFFF"/>
          </w:tcPr>
          <w:p w:rsidR="00000000" w:rsidRDefault="00000000">
            <w:pPr>
              <w:pStyle w:val="BodyText"/>
              <w:spacing w:after="0"/>
              <w:ind w:right="680"/>
              <w:jc w:val="right"/>
            </w:pPr>
            <w:r>
              <w:rPr>
                <w:color w:val="000000"/>
              </w:rPr>
              <w:t>386</w:t>
            </w:r>
          </w:p>
        </w:tc>
        <w:tc>
          <w:tcPr>
            <w:tcW w:w="1418" w:type="dxa"/>
            <w:shd w:val="clear" w:color="auto" w:fill="FFFFFF"/>
          </w:tcPr>
          <w:p w:rsidR="00000000" w:rsidRDefault="00000000">
            <w:pPr>
              <w:pStyle w:val="BodyText"/>
              <w:spacing w:after="0"/>
              <w:ind w:right="454"/>
              <w:jc w:val="right"/>
            </w:pPr>
            <w:r>
              <w:rPr>
                <w:color w:val="000000"/>
              </w:rPr>
              <w:t>8 920</w:t>
            </w:r>
          </w:p>
        </w:tc>
        <w:tc>
          <w:tcPr>
            <w:tcW w:w="1417" w:type="dxa"/>
            <w:shd w:val="clear" w:color="auto" w:fill="FFFFFF"/>
          </w:tcPr>
          <w:p w:rsidR="00000000" w:rsidRDefault="00000000">
            <w:pPr>
              <w:pStyle w:val="BodyText"/>
              <w:spacing w:after="0"/>
              <w:ind w:right="454"/>
              <w:jc w:val="right"/>
            </w:pPr>
            <w:r>
              <w:rPr>
                <w:color w:val="000000"/>
              </w:rPr>
              <w:t>2 763</w:t>
            </w:r>
          </w:p>
        </w:tc>
        <w:tc>
          <w:tcPr>
            <w:tcW w:w="1301" w:type="dxa"/>
            <w:shd w:val="clear" w:color="auto" w:fill="FFFFFF"/>
          </w:tcPr>
          <w:p w:rsidR="00000000" w:rsidRDefault="00000000">
            <w:pPr>
              <w:pStyle w:val="BodyText"/>
              <w:spacing w:after="0"/>
              <w:ind w:right="340"/>
              <w:jc w:val="right"/>
            </w:pPr>
            <w:r>
              <w:rPr>
                <w:color w:val="000000"/>
              </w:rPr>
              <w:t>11 683</w:t>
            </w:r>
          </w:p>
        </w:tc>
      </w:tr>
      <w:tr w:rsidR="00000000">
        <w:tblPrEx>
          <w:tblCellMar>
            <w:top w:w="0" w:type="dxa"/>
            <w:bottom w:w="0" w:type="dxa"/>
          </w:tblCellMar>
        </w:tblPrEx>
        <w:trPr>
          <w:trHeight w:val="20"/>
          <w:jc w:val="center"/>
        </w:trPr>
        <w:tc>
          <w:tcPr>
            <w:tcW w:w="1109" w:type="dxa"/>
            <w:shd w:val="clear" w:color="auto" w:fill="FFFFFF"/>
          </w:tcPr>
          <w:p w:rsidR="00000000" w:rsidRDefault="00000000">
            <w:pPr>
              <w:pStyle w:val="BodyText"/>
              <w:spacing w:after="0"/>
            </w:pPr>
            <w:r>
              <w:rPr>
                <w:color w:val="000000"/>
              </w:rPr>
              <w:t>1995/96</w:t>
            </w:r>
          </w:p>
        </w:tc>
        <w:tc>
          <w:tcPr>
            <w:tcW w:w="851" w:type="dxa"/>
            <w:shd w:val="clear" w:color="auto" w:fill="FFFFFF"/>
          </w:tcPr>
          <w:p w:rsidR="00000000" w:rsidRDefault="00000000">
            <w:pPr>
              <w:pStyle w:val="BodyText"/>
              <w:spacing w:after="0"/>
              <w:ind w:left="113"/>
            </w:pPr>
            <w:r>
              <w:t>М</w:t>
            </w:r>
          </w:p>
        </w:tc>
        <w:tc>
          <w:tcPr>
            <w:tcW w:w="850" w:type="dxa"/>
            <w:shd w:val="clear" w:color="auto" w:fill="FFFFFF"/>
          </w:tcPr>
          <w:p w:rsidR="00000000" w:rsidRDefault="00000000">
            <w:pPr>
              <w:pStyle w:val="BodyText"/>
              <w:spacing w:after="0"/>
              <w:ind w:right="284"/>
              <w:jc w:val="right"/>
            </w:pPr>
            <w:r>
              <w:rPr>
                <w:color w:val="000000"/>
              </w:rPr>
              <w:t>31</w:t>
            </w:r>
          </w:p>
        </w:tc>
        <w:tc>
          <w:tcPr>
            <w:tcW w:w="1843" w:type="dxa"/>
            <w:shd w:val="clear" w:color="auto" w:fill="FFFFFF"/>
          </w:tcPr>
          <w:p w:rsidR="00000000" w:rsidRDefault="00000000">
            <w:pPr>
              <w:pStyle w:val="BodyText"/>
              <w:spacing w:after="0"/>
              <w:ind w:right="680"/>
              <w:jc w:val="right"/>
            </w:pPr>
            <w:r>
              <w:rPr>
                <w:color w:val="000000"/>
              </w:rPr>
              <w:t>166</w:t>
            </w:r>
          </w:p>
        </w:tc>
        <w:tc>
          <w:tcPr>
            <w:tcW w:w="1418" w:type="dxa"/>
            <w:shd w:val="clear" w:color="auto" w:fill="FFFFFF"/>
          </w:tcPr>
          <w:p w:rsidR="00000000" w:rsidRDefault="00000000">
            <w:pPr>
              <w:pStyle w:val="BodyText"/>
              <w:spacing w:after="0"/>
              <w:ind w:right="454"/>
              <w:jc w:val="right"/>
            </w:pPr>
            <w:r>
              <w:rPr>
                <w:color w:val="000000"/>
              </w:rPr>
              <w:t>5 381</w:t>
            </w:r>
          </w:p>
        </w:tc>
        <w:tc>
          <w:tcPr>
            <w:tcW w:w="1417" w:type="dxa"/>
            <w:shd w:val="clear" w:color="auto" w:fill="FFFFFF"/>
          </w:tcPr>
          <w:p w:rsidR="00000000" w:rsidRDefault="00000000">
            <w:pPr>
              <w:pStyle w:val="BodyText"/>
              <w:spacing w:after="0"/>
              <w:ind w:right="454"/>
              <w:jc w:val="right"/>
            </w:pPr>
            <w:r>
              <w:rPr>
                <w:color w:val="000000"/>
              </w:rPr>
              <w:t>1 495</w:t>
            </w:r>
          </w:p>
        </w:tc>
        <w:tc>
          <w:tcPr>
            <w:tcW w:w="1301" w:type="dxa"/>
            <w:shd w:val="clear" w:color="auto" w:fill="FFFFFF"/>
          </w:tcPr>
          <w:p w:rsidR="00000000" w:rsidRDefault="00000000">
            <w:pPr>
              <w:pStyle w:val="BodyText"/>
              <w:spacing w:after="0"/>
              <w:ind w:right="340"/>
              <w:jc w:val="right"/>
            </w:pPr>
            <w:r>
              <w:rPr>
                <w:color w:val="000000"/>
              </w:rPr>
              <w:t>6 876</w:t>
            </w:r>
          </w:p>
        </w:tc>
      </w:tr>
      <w:tr w:rsidR="00000000">
        <w:tblPrEx>
          <w:tblCellMar>
            <w:top w:w="0" w:type="dxa"/>
            <w:bottom w:w="0" w:type="dxa"/>
          </w:tblCellMar>
        </w:tblPrEx>
        <w:trPr>
          <w:trHeight w:val="20"/>
          <w:jc w:val="center"/>
        </w:trPr>
        <w:tc>
          <w:tcPr>
            <w:tcW w:w="1109" w:type="dxa"/>
            <w:shd w:val="clear" w:color="auto" w:fill="FFFFFF"/>
          </w:tcPr>
          <w:p w:rsidR="00000000" w:rsidRDefault="00000000">
            <w:pPr>
              <w:pStyle w:val="BodyText"/>
              <w:spacing w:after="0"/>
            </w:pPr>
          </w:p>
        </w:tc>
        <w:tc>
          <w:tcPr>
            <w:tcW w:w="851" w:type="dxa"/>
            <w:shd w:val="clear" w:color="auto" w:fill="FFFFFF"/>
          </w:tcPr>
          <w:p w:rsidR="00000000" w:rsidRDefault="00000000">
            <w:pPr>
              <w:pStyle w:val="BodyText"/>
              <w:spacing w:after="0"/>
              <w:ind w:left="113"/>
            </w:pPr>
            <w:r>
              <w:t>Ж</w:t>
            </w:r>
          </w:p>
        </w:tc>
        <w:tc>
          <w:tcPr>
            <w:tcW w:w="850" w:type="dxa"/>
            <w:shd w:val="clear" w:color="auto" w:fill="FFFFFF"/>
          </w:tcPr>
          <w:p w:rsidR="00000000" w:rsidRDefault="00000000">
            <w:pPr>
              <w:pStyle w:val="BodyText"/>
              <w:spacing w:after="0"/>
              <w:ind w:right="284"/>
              <w:jc w:val="right"/>
            </w:pPr>
            <w:r>
              <w:rPr>
                <w:color w:val="000000"/>
              </w:rPr>
              <w:t>36</w:t>
            </w:r>
          </w:p>
        </w:tc>
        <w:tc>
          <w:tcPr>
            <w:tcW w:w="1843" w:type="dxa"/>
            <w:shd w:val="clear" w:color="auto" w:fill="FFFFFF"/>
          </w:tcPr>
          <w:p w:rsidR="00000000" w:rsidRDefault="00000000">
            <w:pPr>
              <w:pStyle w:val="BodyText"/>
              <w:spacing w:after="0"/>
              <w:ind w:right="680"/>
              <w:jc w:val="right"/>
            </w:pPr>
            <w:r>
              <w:rPr>
                <w:color w:val="000000"/>
              </w:rPr>
              <w:t>211</w:t>
            </w:r>
          </w:p>
        </w:tc>
        <w:tc>
          <w:tcPr>
            <w:tcW w:w="1418" w:type="dxa"/>
            <w:shd w:val="clear" w:color="auto" w:fill="FFFFFF"/>
          </w:tcPr>
          <w:p w:rsidR="00000000" w:rsidRDefault="00000000">
            <w:pPr>
              <w:pStyle w:val="BodyText"/>
              <w:spacing w:after="0"/>
              <w:ind w:right="454"/>
              <w:jc w:val="right"/>
            </w:pPr>
            <w:r>
              <w:rPr>
                <w:color w:val="000000"/>
              </w:rPr>
              <w:t>4 456</w:t>
            </w:r>
          </w:p>
        </w:tc>
        <w:tc>
          <w:tcPr>
            <w:tcW w:w="1417" w:type="dxa"/>
            <w:shd w:val="clear" w:color="auto" w:fill="FFFFFF"/>
          </w:tcPr>
          <w:p w:rsidR="00000000" w:rsidRDefault="00000000">
            <w:pPr>
              <w:pStyle w:val="BodyText"/>
              <w:spacing w:after="0"/>
              <w:ind w:right="454"/>
              <w:jc w:val="right"/>
            </w:pPr>
            <w:r>
              <w:rPr>
                <w:color w:val="000000"/>
              </w:rPr>
              <w:t>1 888</w:t>
            </w:r>
          </w:p>
        </w:tc>
        <w:tc>
          <w:tcPr>
            <w:tcW w:w="1301" w:type="dxa"/>
            <w:shd w:val="clear" w:color="auto" w:fill="FFFFFF"/>
          </w:tcPr>
          <w:p w:rsidR="00000000" w:rsidRDefault="00000000">
            <w:pPr>
              <w:pStyle w:val="BodyText"/>
              <w:spacing w:after="0"/>
              <w:ind w:right="340"/>
              <w:jc w:val="right"/>
            </w:pPr>
            <w:r>
              <w:rPr>
                <w:color w:val="000000"/>
              </w:rPr>
              <w:t>6 344</w:t>
            </w:r>
          </w:p>
        </w:tc>
      </w:tr>
      <w:tr w:rsidR="00000000">
        <w:tblPrEx>
          <w:tblCellMar>
            <w:top w:w="0" w:type="dxa"/>
            <w:bottom w:w="0" w:type="dxa"/>
          </w:tblCellMar>
        </w:tblPrEx>
        <w:trPr>
          <w:trHeight w:val="20"/>
          <w:jc w:val="center"/>
        </w:trPr>
        <w:tc>
          <w:tcPr>
            <w:tcW w:w="1109" w:type="dxa"/>
            <w:shd w:val="clear" w:color="auto" w:fill="FFFFFF"/>
          </w:tcPr>
          <w:p w:rsidR="00000000" w:rsidRDefault="00000000">
            <w:pPr>
              <w:pStyle w:val="BodyText"/>
              <w:spacing w:after="0"/>
            </w:pPr>
          </w:p>
        </w:tc>
        <w:tc>
          <w:tcPr>
            <w:tcW w:w="851" w:type="dxa"/>
            <w:shd w:val="clear" w:color="auto" w:fill="FFFFFF"/>
          </w:tcPr>
          <w:p w:rsidR="00000000" w:rsidRDefault="00000000">
            <w:pPr>
              <w:pStyle w:val="BodyText"/>
              <w:spacing w:after="0"/>
              <w:ind w:left="113"/>
            </w:pPr>
            <w:r>
              <w:rPr>
                <w:color w:val="000000"/>
              </w:rPr>
              <w:t>Итого</w:t>
            </w:r>
          </w:p>
        </w:tc>
        <w:tc>
          <w:tcPr>
            <w:tcW w:w="850" w:type="dxa"/>
            <w:shd w:val="clear" w:color="auto" w:fill="FFFFFF"/>
          </w:tcPr>
          <w:p w:rsidR="00000000" w:rsidRDefault="00000000">
            <w:pPr>
              <w:pStyle w:val="BodyText"/>
              <w:spacing w:after="0"/>
              <w:ind w:right="284"/>
              <w:jc w:val="right"/>
            </w:pPr>
            <w:r>
              <w:rPr>
                <w:color w:val="000000"/>
              </w:rPr>
              <w:t>67</w:t>
            </w:r>
          </w:p>
        </w:tc>
        <w:tc>
          <w:tcPr>
            <w:tcW w:w="1843" w:type="dxa"/>
            <w:shd w:val="clear" w:color="auto" w:fill="FFFFFF"/>
          </w:tcPr>
          <w:p w:rsidR="00000000" w:rsidRDefault="00000000">
            <w:pPr>
              <w:pStyle w:val="BodyText"/>
              <w:spacing w:after="0"/>
              <w:ind w:right="680"/>
              <w:jc w:val="right"/>
            </w:pPr>
            <w:r>
              <w:rPr>
                <w:color w:val="000000"/>
              </w:rPr>
              <w:t>377</w:t>
            </w:r>
          </w:p>
        </w:tc>
        <w:tc>
          <w:tcPr>
            <w:tcW w:w="1418" w:type="dxa"/>
            <w:shd w:val="clear" w:color="auto" w:fill="FFFFFF"/>
          </w:tcPr>
          <w:p w:rsidR="00000000" w:rsidRDefault="00000000">
            <w:pPr>
              <w:pStyle w:val="BodyText"/>
              <w:spacing w:after="0"/>
              <w:ind w:right="454"/>
              <w:jc w:val="right"/>
            </w:pPr>
            <w:r>
              <w:rPr>
                <w:color w:val="000000"/>
              </w:rPr>
              <w:t>9 837</w:t>
            </w:r>
          </w:p>
        </w:tc>
        <w:tc>
          <w:tcPr>
            <w:tcW w:w="1417" w:type="dxa"/>
            <w:shd w:val="clear" w:color="auto" w:fill="FFFFFF"/>
          </w:tcPr>
          <w:p w:rsidR="00000000" w:rsidRDefault="00000000">
            <w:pPr>
              <w:pStyle w:val="BodyText"/>
              <w:spacing w:after="0"/>
              <w:ind w:right="454"/>
              <w:jc w:val="right"/>
            </w:pPr>
            <w:r>
              <w:rPr>
                <w:color w:val="000000"/>
              </w:rPr>
              <w:t>3 383</w:t>
            </w:r>
          </w:p>
        </w:tc>
        <w:tc>
          <w:tcPr>
            <w:tcW w:w="1301" w:type="dxa"/>
            <w:shd w:val="clear" w:color="auto" w:fill="FFFFFF"/>
          </w:tcPr>
          <w:p w:rsidR="00000000" w:rsidRDefault="00000000">
            <w:pPr>
              <w:pStyle w:val="BodyText"/>
              <w:spacing w:after="0"/>
              <w:ind w:right="340"/>
              <w:jc w:val="right"/>
            </w:pPr>
            <w:r>
              <w:rPr>
                <w:color w:val="000000"/>
              </w:rPr>
              <w:t>13 220</w:t>
            </w:r>
          </w:p>
        </w:tc>
      </w:tr>
      <w:tr w:rsidR="00000000">
        <w:tblPrEx>
          <w:tblCellMar>
            <w:top w:w="0" w:type="dxa"/>
            <w:bottom w:w="0" w:type="dxa"/>
          </w:tblCellMar>
        </w:tblPrEx>
        <w:trPr>
          <w:trHeight w:val="20"/>
          <w:jc w:val="center"/>
        </w:trPr>
        <w:tc>
          <w:tcPr>
            <w:tcW w:w="1109" w:type="dxa"/>
            <w:shd w:val="clear" w:color="auto" w:fill="FFFFFF"/>
          </w:tcPr>
          <w:p w:rsidR="00000000" w:rsidRDefault="00000000">
            <w:pPr>
              <w:pStyle w:val="BodyText"/>
              <w:spacing w:after="0"/>
            </w:pPr>
            <w:r>
              <w:rPr>
                <w:color w:val="000000"/>
              </w:rPr>
              <w:t>1996/97</w:t>
            </w:r>
          </w:p>
        </w:tc>
        <w:tc>
          <w:tcPr>
            <w:tcW w:w="851" w:type="dxa"/>
            <w:shd w:val="clear" w:color="auto" w:fill="FFFFFF"/>
          </w:tcPr>
          <w:p w:rsidR="00000000" w:rsidRDefault="00000000">
            <w:pPr>
              <w:pStyle w:val="BodyText"/>
              <w:spacing w:after="0"/>
              <w:ind w:left="113"/>
            </w:pPr>
            <w:r>
              <w:t>М</w:t>
            </w:r>
          </w:p>
        </w:tc>
        <w:tc>
          <w:tcPr>
            <w:tcW w:w="850" w:type="dxa"/>
            <w:shd w:val="clear" w:color="auto" w:fill="FFFFFF"/>
          </w:tcPr>
          <w:p w:rsidR="00000000" w:rsidRDefault="00000000">
            <w:pPr>
              <w:pStyle w:val="BodyText"/>
              <w:spacing w:after="0"/>
              <w:ind w:right="284"/>
              <w:jc w:val="right"/>
            </w:pPr>
            <w:r>
              <w:rPr>
                <w:color w:val="000000"/>
              </w:rPr>
              <w:t>31</w:t>
            </w:r>
          </w:p>
        </w:tc>
        <w:tc>
          <w:tcPr>
            <w:tcW w:w="1843" w:type="dxa"/>
            <w:shd w:val="clear" w:color="auto" w:fill="FFFFFF"/>
          </w:tcPr>
          <w:p w:rsidR="00000000" w:rsidRDefault="00000000">
            <w:pPr>
              <w:pStyle w:val="BodyText"/>
              <w:spacing w:after="0"/>
              <w:ind w:right="680"/>
              <w:jc w:val="right"/>
            </w:pPr>
            <w:r>
              <w:rPr>
                <w:color w:val="000000"/>
              </w:rPr>
              <w:t>169</w:t>
            </w:r>
          </w:p>
        </w:tc>
        <w:tc>
          <w:tcPr>
            <w:tcW w:w="1418" w:type="dxa"/>
            <w:shd w:val="clear" w:color="auto" w:fill="FFFFFF"/>
          </w:tcPr>
          <w:p w:rsidR="00000000" w:rsidRDefault="00000000">
            <w:pPr>
              <w:pStyle w:val="BodyText"/>
              <w:spacing w:after="0"/>
              <w:ind w:right="454"/>
              <w:jc w:val="right"/>
            </w:pPr>
            <w:r>
              <w:rPr>
                <w:color w:val="000000"/>
              </w:rPr>
              <w:t>5 152</w:t>
            </w:r>
          </w:p>
        </w:tc>
        <w:tc>
          <w:tcPr>
            <w:tcW w:w="1417" w:type="dxa"/>
            <w:shd w:val="clear" w:color="auto" w:fill="FFFFFF"/>
          </w:tcPr>
          <w:p w:rsidR="00000000" w:rsidRDefault="00000000">
            <w:pPr>
              <w:pStyle w:val="BodyText"/>
              <w:spacing w:after="0"/>
              <w:ind w:right="454"/>
              <w:jc w:val="right"/>
            </w:pPr>
            <w:r>
              <w:rPr>
                <w:color w:val="000000"/>
              </w:rPr>
              <w:t>1 342</w:t>
            </w:r>
          </w:p>
        </w:tc>
        <w:tc>
          <w:tcPr>
            <w:tcW w:w="1301" w:type="dxa"/>
            <w:shd w:val="clear" w:color="auto" w:fill="FFFFFF"/>
          </w:tcPr>
          <w:p w:rsidR="00000000" w:rsidRDefault="00000000">
            <w:pPr>
              <w:pStyle w:val="BodyText"/>
              <w:spacing w:after="0"/>
              <w:ind w:right="340"/>
              <w:jc w:val="right"/>
            </w:pPr>
            <w:r>
              <w:rPr>
                <w:color w:val="000000"/>
              </w:rPr>
              <w:t>6 544</w:t>
            </w:r>
          </w:p>
        </w:tc>
      </w:tr>
      <w:tr w:rsidR="00000000">
        <w:tblPrEx>
          <w:tblCellMar>
            <w:top w:w="0" w:type="dxa"/>
            <w:bottom w:w="0" w:type="dxa"/>
          </w:tblCellMar>
        </w:tblPrEx>
        <w:trPr>
          <w:trHeight w:val="20"/>
          <w:jc w:val="center"/>
        </w:trPr>
        <w:tc>
          <w:tcPr>
            <w:tcW w:w="1109" w:type="dxa"/>
            <w:shd w:val="clear" w:color="auto" w:fill="FFFFFF"/>
          </w:tcPr>
          <w:p w:rsidR="00000000" w:rsidRDefault="00000000">
            <w:pPr>
              <w:pStyle w:val="BodyText"/>
              <w:spacing w:after="0"/>
            </w:pPr>
          </w:p>
        </w:tc>
        <w:tc>
          <w:tcPr>
            <w:tcW w:w="851" w:type="dxa"/>
            <w:shd w:val="clear" w:color="auto" w:fill="FFFFFF"/>
          </w:tcPr>
          <w:p w:rsidR="00000000" w:rsidRDefault="00000000">
            <w:pPr>
              <w:pStyle w:val="BodyText"/>
              <w:spacing w:after="0"/>
              <w:ind w:left="113"/>
            </w:pPr>
            <w:r>
              <w:t>Ж</w:t>
            </w:r>
          </w:p>
        </w:tc>
        <w:tc>
          <w:tcPr>
            <w:tcW w:w="850" w:type="dxa"/>
            <w:shd w:val="clear" w:color="auto" w:fill="FFFFFF"/>
          </w:tcPr>
          <w:p w:rsidR="00000000" w:rsidRDefault="00000000">
            <w:pPr>
              <w:pStyle w:val="BodyText"/>
              <w:spacing w:after="0"/>
              <w:ind w:right="284"/>
              <w:jc w:val="right"/>
            </w:pPr>
            <w:r>
              <w:rPr>
                <w:color w:val="000000"/>
              </w:rPr>
              <w:t>35</w:t>
            </w:r>
          </w:p>
        </w:tc>
        <w:tc>
          <w:tcPr>
            <w:tcW w:w="1843" w:type="dxa"/>
            <w:shd w:val="clear" w:color="auto" w:fill="FFFFFF"/>
          </w:tcPr>
          <w:p w:rsidR="00000000" w:rsidRDefault="00000000">
            <w:pPr>
              <w:pStyle w:val="BodyText"/>
              <w:spacing w:after="0"/>
              <w:ind w:right="680"/>
              <w:jc w:val="right"/>
            </w:pPr>
            <w:r>
              <w:rPr>
                <w:color w:val="000000"/>
              </w:rPr>
              <w:t>218</w:t>
            </w:r>
          </w:p>
        </w:tc>
        <w:tc>
          <w:tcPr>
            <w:tcW w:w="1418" w:type="dxa"/>
            <w:shd w:val="clear" w:color="auto" w:fill="FFFFFF"/>
          </w:tcPr>
          <w:p w:rsidR="00000000" w:rsidRDefault="00000000">
            <w:pPr>
              <w:pStyle w:val="BodyText"/>
              <w:spacing w:after="0"/>
              <w:ind w:right="454"/>
              <w:jc w:val="right"/>
            </w:pPr>
            <w:r>
              <w:rPr>
                <w:color w:val="000000"/>
              </w:rPr>
              <w:t>4 365</w:t>
            </w:r>
          </w:p>
        </w:tc>
        <w:tc>
          <w:tcPr>
            <w:tcW w:w="1417" w:type="dxa"/>
            <w:shd w:val="clear" w:color="auto" w:fill="FFFFFF"/>
          </w:tcPr>
          <w:p w:rsidR="00000000" w:rsidRDefault="00000000">
            <w:pPr>
              <w:pStyle w:val="BodyText"/>
              <w:spacing w:after="0"/>
              <w:ind w:right="454"/>
              <w:jc w:val="right"/>
            </w:pPr>
            <w:r>
              <w:rPr>
                <w:color w:val="000000"/>
              </w:rPr>
              <w:t>2 202</w:t>
            </w:r>
          </w:p>
        </w:tc>
        <w:tc>
          <w:tcPr>
            <w:tcW w:w="1301" w:type="dxa"/>
            <w:shd w:val="clear" w:color="auto" w:fill="FFFFFF"/>
          </w:tcPr>
          <w:p w:rsidR="00000000" w:rsidRDefault="00000000">
            <w:pPr>
              <w:pStyle w:val="BodyText"/>
              <w:spacing w:after="0"/>
              <w:ind w:right="340"/>
              <w:jc w:val="right"/>
            </w:pPr>
            <w:r>
              <w:rPr>
                <w:color w:val="000000"/>
              </w:rPr>
              <w:t>6 567</w:t>
            </w:r>
          </w:p>
        </w:tc>
      </w:tr>
      <w:tr w:rsidR="00000000">
        <w:tblPrEx>
          <w:tblCellMar>
            <w:top w:w="0" w:type="dxa"/>
            <w:bottom w:w="0" w:type="dxa"/>
          </w:tblCellMar>
        </w:tblPrEx>
        <w:trPr>
          <w:trHeight w:val="20"/>
          <w:jc w:val="center"/>
        </w:trPr>
        <w:tc>
          <w:tcPr>
            <w:tcW w:w="1109" w:type="dxa"/>
            <w:shd w:val="clear" w:color="auto" w:fill="FFFFFF"/>
          </w:tcPr>
          <w:p w:rsidR="00000000" w:rsidRDefault="00000000">
            <w:pPr>
              <w:pStyle w:val="BodyText"/>
              <w:spacing w:after="0"/>
            </w:pPr>
          </w:p>
        </w:tc>
        <w:tc>
          <w:tcPr>
            <w:tcW w:w="851" w:type="dxa"/>
            <w:shd w:val="clear" w:color="auto" w:fill="FFFFFF"/>
          </w:tcPr>
          <w:p w:rsidR="00000000" w:rsidRDefault="00000000">
            <w:pPr>
              <w:pStyle w:val="BodyText"/>
              <w:spacing w:after="0"/>
              <w:ind w:left="113"/>
            </w:pPr>
            <w:r>
              <w:rPr>
                <w:color w:val="000000"/>
              </w:rPr>
              <w:t>Итого</w:t>
            </w:r>
          </w:p>
        </w:tc>
        <w:tc>
          <w:tcPr>
            <w:tcW w:w="850" w:type="dxa"/>
            <w:shd w:val="clear" w:color="auto" w:fill="FFFFFF"/>
          </w:tcPr>
          <w:p w:rsidR="00000000" w:rsidRDefault="00000000">
            <w:pPr>
              <w:pStyle w:val="BodyText"/>
              <w:spacing w:after="0"/>
              <w:ind w:right="284"/>
              <w:jc w:val="right"/>
            </w:pPr>
            <w:r>
              <w:rPr>
                <w:color w:val="000000"/>
              </w:rPr>
              <w:t>66</w:t>
            </w:r>
          </w:p>
        </w:tc>
        <w:tc>
          <w:tcPr>
            <w:tcW w:w="1843" w:type="dxa"/>
            <w:shd w:val="clear" w:color="auto" w:fill="FFFFFF"/>
          </w:tcPr>
          <w:p w:rsidR="00000000" w:rsidRDefault="00000000">
            <w:pPr>
              <w:pStyle w:val="BodyText"/>
              <w:spacing w:after="0"/>
              <w:ind w:right="680"/>
              <w:jc w:val="right"/>
            </w:pPr>
            <w:r>
              <w:rPr>
                <w:color w:val="000000"/>
              </w:rPr>
              <w:t>387</w:t>
            </w:r>
          </w:p>
        </w:tc>
        <w:tc>
          <w:tcPr>
            <w:tcW w:w="1418" w:type="dxa"/>
            <w:shd w:val="clear" w:color="auto" w:fill="FFFFFF"/>
          </w:tcPr>
          <w:p w:rsidR="00000000" w:rsidRDefault="00000000">
            <w:pPr>
              <w:pStyle w:val="BodyText"/>
              <w:spacing w:after="0"/>
              <w:ind w:right="454"/>
              <w:jc w:val="right"/>
            </w:pPr>
            <w:r>
              <w:rPr>
                <w:color w:val="000000"/>
              </w:rPr>
              <w:t>9 517</w:t>
            </w:r>
          </w:p>
        </w:tc>
        <w:tc>
          <w:tcPr>
            <w:tcW w:w="1417" w:type="dxa"/>
            <w:shd w:val="clear" w:color="auto" w:fill="FFFFFF"/>
          </w:tcPr>
          <w:p w:rsidR="00000000" w:rsidRDefault="00000000">
            <w:pPr>
              <w:pStyle w:val="BodyText"/>
              <w:spacing w:after="0"/>
              <w:ind w:right="454"/>
              <w:jc w:val="right"/>
            </w:pPr>
            <w:r>
              <w:rPr>
                <w:color w:val="000000"/>
              </w:rPr>
              <w:t>3 594</w:t>
            </w:r>
          </w:p>
        </w:tc>
        <w:tc>
          <w:tcPr>
            <w:tcW w:w="1301" w:type="dxa"/>
            <w:shd w:val="clear" w:color="auto" w:fill="FFFFFF"/>
          </w:tcPr>
          <w:p w:rsidR="00000000" w:rsidRDefault="00000000">
            <w:pPr>
              <w:pStyle w:val="BodyText"/>
              <w:spacing w:after="0"/>
              <w:ind w:right="340"/>
              <w:jc w:val="right"/>
            </w:pPr>
            <w:r>
              <w:rPr>
                <w:color w:val="000000"/>
              </w:rPr>
              <w:t>13 111</w:t>
            </w:r>
          </w:p>
        </w:tc>
      </w:tr>
      <w:tr w:rsidR="00000000">
        <w:tblPrEx>
          <w:tblCellMar>
            <w:top w:w="0" w:type="dxa"/>
            <w:bottom w:w="0" w:type="dxa"/>
          </w:tblCellMar>
        </w:tblPrEx>
        <w:trPr>
          <w:trHeight w:val="20"/>
          <w:jc w:val="center"/>
        </w:trPr>
        <w:tc>
          <w:tcPr>
            <w:tcW w:w="1109" w:type="dxa"/>
            <w:shd w:val="clear" w:color="auto" w:fill="FFFFFF"/>
          </w:tcPr>
          <w:p w:rsidR="00000000" w:rsidRDefault="00000000">
            <w:pPr>
              <w:pStyle w:val="BodyText"/>
              <w:spacing w:after="0"/>
            </w:pPr>
            <w:r>
              <w:rPr>
                <w:color w:val="000000"/>
              </w:rPr>
              <w:t>1997/98</w:t>
            </w:r>
          </w:p>
        </w:tc>
        <w:tc>
          <w:tcPr>
            <w:tcW w:w="851" w:type="dxa"/>
            <w:shd w:val="clear" w:color="auto" w:fill="FFFFFF"/>
          </w:tcPr>
          <w:p w:rsidR="00000000" w:rsidRDefault="00000000">
            <w:pPr>
              <w:pStyle w:val="BodyText"/>
              <w:spacing w:after="0"/>
              <w:ind w:left="113"/>
            </w:pPr>
            <w:r>
              <w:t>М</w:t>
            </w:r>
          </w:p>
        </w:tc>
        <w:tc>
          <w:tcPr>
            <w:tcW w:w="850" w:type="dxa"/>
            <w:shd w:val="clear" w:color="auto" w:fill="FFFFFF"/>
          </w:tcPr>
          <w:p w:rsidR="00000000" w:rsidRDefault="00000000">
            <w:pPr>
              <w:pStyle w:val="BodyText"/>
              <w:spacing w:after="0"/>
              <w:ind w:right="284"/>
              <w:jc w:val="right"/>
            </w:pPr>
            <w:r>
              <w:rPr>
                <w:color w:val="000000"/>
              </w:rPr>
              <w:t>34</w:t>
            </w:r>
          </w:p>
        </w:tc>
        <w:tc>
          <w:tcPr>
            <w:tcW w:w="1843" w:type="dxa"/>
            <w:shd w:val="clear" w:color="auto" w:fill="FFFFFF"/>
          </w:tcPr>
          <w:p w:rsidR="00000000" w:rsidRDefault="00000000">
            <w:pPr>
              <w:pStyle w:val="BodyText"/>
              <w:spacing w:after="0"/>
              <w:ind w:right="680"/>
              <w:jc w:val="right"/>
            </w:pPr>
            <w:r>
              <w:rPr>
                <w:color w:val="000000"/>
              </w:rPr>
              <w:t>174</w:t>
            </w:r>
          </w:p>
        </w:tc>
        <w:tc>
          <w:tcPr>
            <w:tcW w:w="1418" w:type="dxa"/>
            <w:shd w:val="clear" w:color="auto" w:fill="FFFFFF"/>
          </w:tcPr>
          <w:p w:rsidR="00000000" w:rsidRDefault="00000000">
            <w:pPr>
              <w:pStyle w:val="BodyText"/>
              <w:spacing w:after="0"/>
              <w:ind w:right="454"/>
              <w:jc w:val="right"/>
            </w:pPr>
            <w:r>
              <w:rPr>
                <w:color w:val="000000"/>
              </w:rPr>
              <w:t>5 614</w:t>
            </w:r>
          </w:p>
        </w:tc>
        <w:tc>
          <w:tcPr>
            <w:tcW w:w="1417" w:type="dxa"/>
            <w:shd w:val="clear" w:color="auto" w:fill="FFFFFF"/>
          </w:tcPr>
          <w:p w:rsidR="00000000" w:rsidRDefault="00000000">
            <w:pPr>
              <w:pStyle w:val="BodyText"/>
              <w:spacing w:after="0"/>
              <w:ind w:right="454"/>
              <w:jc w:val="right"/>
            </w:pPr>
            <w:r>
              <w:rPr>
                <w:color w:val="000000"/>
              </w:rPr>
              <w:t>1 545</w:t>
            </w:r>
          </w:p>
        </w:tc>
        <w:tc>
          <w:tcPr>
            <w:tcW w:w="1301" w:type="dxa"/>
            <w:shd w:val="clear" w:color="auto" w:fill="FFFFFF"/>
          </w:tcPr>
          <w:p w:rsidR="00000000" w:rsidRDefault="00000000">
            <w:pPr>
              <w:pStyle w:val="BodyText"/>
              <w:spacing w:after="0"/>
              <w:ind w:right="340"/>
              <w:jc w:val="right"/>
            </w:pPr>
            <w:r>
              <w:rPr>
                <w:color w:val="000000"/>
              </w:rPr>
              <w:t>7 159</w:t>
            </w:r>
          </w:p>
        </w:tc>
      </w:tr>
      <w:tr w:rsidR="00000000">
        <w:tblPrEx>
          <w:tblCellMar>
            <w:top w:w="0" w:type="dxa"/>
            <w:bottom w:w="0" w:type="dxa"/>
          </w:tblCellMar>
        </w:tblPrEx>
        <w:trPr>
          <w:trHeight w:val="20"/>
          <w:jc w:val="center"/>
        </w:trPr>
        <w:tc>
          <w:tcPr>
            <w:tcW w:w="1109" w:type="dxa"/>
            <w:shd w:val="clear" w:color="auto" w:fill="FFFFFF"/>
          </w:tcPr>
          <w:p w:rsidR="00000000" w:rsidRDefault="00000000">
            <w:pPr>
              <w:pStyle w:val="BodyText"/>
              <w:spacing w:after="0"/>
            </w:pPr>
          </w:p>
        </w:tc>
        <w:tc>
          <w:tcPr>
            <w:tcW w:w="851" w:type="dxa"/>
            <w:shd w:val="clear" w:color="auto" w:fill="FFFFFF"/>
          </w:tcPr>
          <w:p w:rsidR="00000000" w:rsidRDefault="00000000">
            <w:pPr>
              <w:pStyle w:val="BodyText"/>
              <w:spacing w:after="0"/>
              <w:ind w:left="113"/>
            </w:pPr>
            <w:r>
              <w:t>Ж</w:t>
            </w:r>
          </w:p>
        </w:tc>
        <w:tc>
          <w:tcPr>
            <w:tcW w:w="850" w:type="dxa"/>
            <w:shd w:val="clear" w:color="auto" w:fill="FFFFFF"/>
          </w:tcPr>
          <w:p w:rsidR="00000000" w:rsidRDefault="00000000">
            <w:pPr>
              <w:pStyle w:val="BodyText"/>
              <w:spacing w:after="0"/>
              <w:ind w:right="284"/>
              <w:jc w:val="right"/>
            </w:pPr>
            <w:r>
              <w:rPr>
                <w:color w:val="000000"/>
              </w:rPr>
              <w:t>37</w:t>
            </w:r>
          </w:p>
        </w:tc>
        <w:tc>
          <w:tcPr>
            <w:tcW w:w="1843" w:type="dxa"/>
            <w:shd w:val="clear" w:color="auto" w:fill="FFFFFF"/>
          </w:tcPr>
          <w:p w:rsidR="00000000" w:rsidRDefault="00000000">
            <w:pPr>
              <w:pStyle w:val="BodyText"/>
              <w:spacing w:after="0"/>
              <w:ind w:right="680"/>
              <w:jc w:val="right"/>
            </w:pPr>
            <w:r>
              <w:rPr>
                <w:color w:val="000000"/>
              </w:rPr>
              <w:t>243</w:t>
            </w:r>
          </w:p>
        </w:tc>
        <w:tc>
          <w:tcPr>
            <w:tcW w:w="1418" w:type="dxa"/>
            <w:shd w:val="clear" w:color="auto" w:fill="FFFFFF"/>
          </w:tcPr>
          <w:p w:rsidR="00000000" w:rsidRDefault="00000000">
            <w:pPr>
              <w:pStyle w:val="BodyText"/>
              <w:spacing w:after="0"/>
              <w:ind w:right="454"/>
              <w:jc w:val="right"/>
            </w:pPr>
            <w:r>
              <w:rPr>
                <w:color w:val="000000"/>
              </w:rPr>
              <w:t>4 999</w:t>
            </w:r>
          </w:p>
        </w:tc>
        <w:tc>
          <w:tcPr>
            <w:tcW w:w="1417" w:type="dxa"/>
            <w:shd w:val="clear" w:color="auto" w:fill="FFFFFF"/>
          </w:tcPr>
          <w:p w:rsidR="00000000" w:rsidRDefault="00000000">
            <w:pPr>
              <w:pStyle w:val="BodyText"/>
              <w:spacing w:after="0"/>
              <w:ind w:right="454"/>
              <w:jc w:val="right"/>
            </w:pPr>
            <w:r>
              <w:rPr>
                <w:color w:val="000000"/>
              </w:rPr>
              <w:t>2 519</w:t>
            </w:r>
          </w:p>
        </w:tc>
        <w:tc>
          <w:tcPr>
            <w:tcW w:w="1301" w:type="dxa"/>
            <w:shd w:val="clear" w:color="auto" w:fill="FFFFFF"/>
          </w:tcPr>
          <w:p w:rsidR="00000000" w:rsidRDefault="00000000">
            <w:pPr>
              <w:pStyle w:val="BodyText"/>
              <w:spacing w:after="0"/>
              <w:ind w:right="340"/>
              <w:jc w:val="right"/>
            </w:pPr>
            <w:r>
              <w:rPr>
                <w:color w:val="000000"/>
              </w:rPr>
              <w:t>7 518</w:t>
            </w:r>
          </w:p>
        </w:tc>
      </w:tr>
      <w:tr w:rsidR="00000000">
        <w:tblPrEx>
          <w:tblCellMar>
            <w:top w:w="0" w:type="dxa"/>
            <w:bottom w:w="0" w:type="dxa"/>
          </w:tblCellMar>
        </w:tblPrEx>
        <w:trPr>
          <w:trHeight w:val="20"/>
          <w:jc w:val="center"/>
        </w:trPr>
        <w:tc>
          <w:tcPr>
            <w:tcW w:w="1109" w:type="dxa"/>
            <w:shd w:val="clear" w:color="auto" w:fill="FFFFFF"/>
          </w:tcPr>
          <w:p w:rsidR="00000000" w:rsidRDefault="00000000">
            <w:pPr>
              <w:pStyle w:val="BodyText"/>
              <w:spacing w:after="0"/>
            </w:pPr>
          </w:p>
        </w:tc>
        <w:tc>
          <w:tcPr>
            <w:tcW w:w="851" w:type="dxa"/>
            <w:shd w:val="clear" w:color="auto" w:fill="FFFFFF"/>
          </w:tcPr>
          <w:p w:rsidR="00000000" w:rsidRDefault="00000000">
            <w:pPr>
              <w:pStyle w:val="BodyText"/>
              <w:spacing w:after="0"/>
              <w:ind w:left="113"/>
            </w:pPr>
            <w:r>
              <w:rPr>
                <w:color w:val="000000"/>
              </w:rPr>
              <w:t>Итого</w:t>
            </w:r>
          </w:p>
        </w:tc>
        <w:tc>
          <w:tcPr>
            <w:tcW w:w="850" w:type="dxa"/>
            <w:shd w:val="clear" w:color="auto" w:fill="FFFFFF"/>
          </w:tcPr>
          <w:p w:rsidR="00000000" w:rsidRDefault="00000000">
            <w:pPr>
              <w:pStyle w:val="BodyText"/>
              <w:spacing w:after="0"/>
              <w:ind w:right="284"/>
              <w:jc w:val="right"/>
            </w:pPr>
            <w:r>
              <w:rPr>
                <w:color w:val="000000"/>
              </w:rPr>
              <w:t>71</w:t>
            </w:r>
          </w:p>
        </w:tc>
        <w:tc>
          <w:tcPr>
            <w:tcW w:w="1843" w:type="dxa"/>
            <w:shd w:val="clear" w:color="auto" w:fill="FFFFFF"/>
          </w:tcPr>
          <w:p w:rsidR="00000000" w:rsidRDefault="00000000">
            <w:pPr>
              <w:pStyle w:val="BodyText"/>
              <w:spacing w:after="0"/>
              <w:ind w:right="680"/>
              <w:jc w:val="right"/>
            </w:pPr>
            <w:r>
              <w:rPr>
                <w:color w:val="000000"/>
              </w:rPr>
              <w:t>408</w:t>
            </w:r>
          </w:p>
        </w:tc>
        <w:tc>
          <w:tcPr>
            <w:tcW w:w="1418" w:type="dxa"/>
            <w:shd w:val="clear" w:color="auto" w:fill="FFFFFF"/>
          </w:tcPr>
          <w:p w:rsidR="00000000" w:rsidRDefault="00000000">
            <w:pPr>
              <w:pStyle w:val="BodyText"/>
              <w:spacing w:after="0"/>
              <w:ind w:right="454"/>
              <w:jc w:val="right"/>
            </w:pPr>
            <w:r>
              <w:rPr>
                <w:color w:val="000000"/>
              </w:rPr>
              <w:t>10 613</w:t>
            </w:r>
          </w:p>
        </w:tc>
        <w:tc>
          <w:tcPr>
            <w:tcW w:w="1417" w:type="dxa"/>
            <w:shd w:val="clear" w:color="auto" w:fill="FFFFFF"/>
          </w:tcPr>
          <w:p w:rsidR="00000000" w:rsidRDefault="00000000">
            <w:pPr>
              <w:pStyle w:val="BodyText"/>
              <w:spacing w:after="0"/>
              <w:ind w:right="454"/>
              <w:jc w:val="right"/>
            </w:pPr>
            <w:r>
              <w:rPr>
                <w:color w:val="000000"/>
              </w:rPr>
              <w:t>4 064</w:t>
            </w:r>
          </w:p>
        </w:tc>
        <w:tc>
          <w:tcPr>
            <w:tcW w:w="1301" w:type="dxa"/>
            <w:shd w:val="clear" w:color="auto" w:fill="FFFFFF"/>
          </w:tcPr>
          <w:p w:rsidR="00000000" w:rsidRDefault="00000000">
            <w:pPr>
              <w:pStyle w:val="BodyText"/>
              <w:spacing w:after="0"/>
              <w:ind w:right="340"/>
              <w:jc w:val="right"/>
            </w:pPr>
            <w:r>
              <w:rPr>
                <w:color w:val="000000"/>
              </w:rPr>
              <w:t>14 677</w:t>
            </w:r>
          </w:p>
        </w:tc>
      </w:tr>
      <w:tr w:rsidR="00000000">
        <w:tblPrEx>
          <w:tblCellMar>
            <w:top w:w="0" w:type="dxa"/>
            <w:bottom w:w="0" w:type="dxa"/>
          </w:tblCellMar>
        </w:tblPrEx>
        <w:trPr>
          <w:trHeight w:val="20"/>
          <w:jc w:val="center"/>
        </w:trPr>
        <w:tc>
          <w:tcPr>
            <w:tcW w:w="1109" w:type="dxa"/>
            <w:shd w:val="clear" w:color="auto" w:fill="FFFFFF"/>
          </w:tcPr>
          <w:p w:rsidR="00000000" w:rsidRDefault="00000000">
            <w:pPr>
              <w:pStyle w:val="BodyText"/>
              <w:spacing w:after="0"/>
            </w:pPr>
            <w:r>
              <w:rPr>
                <w:color w:val="000000"/>
              </w:rPr>
              <w:t>1998/99</w:t>
            </w:r>
          </w:p>
        </w:tc>
        <w:tc>
          <w:tcPr>
            <w:tcW w:w="851" w:type="dxa"/>
            <w:shd w:val="clear" w:color="auto" w:fill="FFFFFF"/>
          </w:tcPr>
          <w:p w:rsidR="00000000" w:rsidRDefault="00000000">
            <w:pPr>
              <w:pStyle w:val="BodyText"/>
              <w:spacing w:after="0"/>
              <w:ind w:left="113"/>
            </w:pPr>
            <w:r>
              <w:t>М</w:t>
            </w:r>
          </w:p>
        </w:tc>
        <w:tc>
          <w:tcPr>
            <w:tcW w:w="850" w:type="dxa"/>
            <w:shd w:val="clear" w:color="auto" w:fill="FFFFFF"/>
          </w:tcPr>
          <w:p w:rsidR="00000000" w:rsidRDefault="00000000">
            <w:pPr>
              <w:pStyle w:val="BodyText"/>
              <w:spacing w:after="0"/>
              <w:ind w:right="284"/>
              <w:jc w:val="right"/>
            </w:pPr>
            <w:r>
              <w:rPr>
                <w:color w:val="000000"/>
              </w:rPr>
              <w:t>34</w:t>
            </w:r>
          </w:p>
        </w:tc>
        <w:tc>
          <w:tcPr>
            <w:tcW w:w="1843" w:type="dxa"/>
            <w:shd w:val="clear" w:color="auto" w:fill="FFFFFF"/>
          </w:tcPr>
          <w:p w:rsidR="00000000" w:rsidRDefault="00000000">
            <w:pPr>
              <w:pStyle w:val="BodyText"/>
              <w:spacing w:after="0"/>
              <w:ind w:right="680"/>
              <w:jc w:val="right"/>
            </w:pPr>
            <w:r>
              <w:rPr>
                <w:color w:val="000000"/>
              </w:rPr>
              <w:t>159</w:t>
            </w:r>
          </w:p>
        </w:tc>
        <w:tc>
          <w:tcPr>
            <w:tcW w:w="1418" w:type="dxa"/>
            <w:shd w:val="clear" w:color="auto" w:fill="FFFFFF"/>
          </w:tcPr>
          <w:p w:rsidR="00000000" w:rsidRDefault="00000000">
            <w:pPr>
              <w:pStyle w:val="BodyText"/>
              <w:spacing w:after="0"/>
              <w:ind w:right="454"/>
              <w:jc w:val="right"/>
            </w:pPr>
            <w:r>
              <w:rPr>
                <w:color w:val="000000"/>
              </w:rPr>
              <w:t>3 856</w:t>
            </w:r>
          </w:p>
        </w:tc>
        <w:tc>
          <w:tcPr>
            <w:tcW w:w="1417" w:type="dxa"/>
            <w:shd w:val="clear" w:color="auto" w:fill="FFFFFF"/>
          </w:tcPr>
          <w:p w:rsidR="00000000" w:rsidRDefault="00000000">
            <w:pPr>
              <w:pStyle w:val="BodyText"/>
              <w:spacing w:after="0"/>
              <w:ind w:right="454"/>
              <w:jc w:val="right"/>
            </w:pPr>
            <w:r>
              <w:rPr>
                <w:color w:val="000000"/>
              </w:rPr>
              <w:t>1 022</w:t>
            </w:r>
          </w:p>
        </w:tc>
        <w:tc>
          <w:tcPr>
            <w:tcW w:w="1301" w:type="dxa"/>
            <w:shd w:val="clear" w:color="auto" w:fill="FFFFFF"/>
          </w:tcPr>
          <w:p w:rsidR="00000000" w:rsidRDefault="00000000">
            <w:pPr>
              <w:pStyle w:val="BodyText"/>
              <w:spacing w:after="0"/>
              <w:ind w:right="340"/>
              <w:jc w:val="right"/>
            </w:pPr>
            <w:r>
              <w:rPr>
                <w:color w:val="000000"/>
              </w:rPr>
              <w:t>4 878</w:t>
            </w:r>
          </w:p>
        </w:tc>
      </w:tr>
      <w:tr w:rsidR="00000000">
        <w:tblPrEx>
          <w:tblCellMar>
            <w:top w:w="0" w:type="dxa"/>
            <w:bottom w:w="0" w:type="dxa"/>
          </w:tblCellMar>
        </w:tblPrEx>
        <w:trPr>
          <w:trHeight w:val="20"/>
          <w:jc w:val="center"/>
        </w:trPr>
        <w:tc>
          <w:tcPr>
            <w:tcW w:w="1109" w:type="dxa"/>
            <w:shd w:val="clear" w:color="auto" w:fill="FFFFFF"/>
          </w:tcPr>
          <w:p w:rsidR="00000000" w:rsidRDefault="00000000">
            <w:pPr>
              <w:pStyle w:val="BodyText"/>
              <w:spacing w:after="0"/>
            </w:pPr>
          </w:p>
        </w:tc>
        <w:tc>
          <w:tcPr>
            <w:tcW w:w="851" w:type="dxa"/>
            <w:shd w:val="clear" w:color="auto" w:fill="FFFFFF"/>
          </w:tcPr>
          <w:p w:rsidR="00000000" w:rsidRDefault="00000000">
            <w:pPr>
              <w:pStyle w:val="BodyText"/>
              <w:spacing w:after="0"/>
              <w:ind w:left="113"/>
            </w:pPr>
            <w:r>
              <w:t>Ж</w:t>
            </w:r>
          </w:p>
        </w:tc>
        <w:tc>
          <w:tcPr>
            <w:tcW w:w="850" w:type="dxa"/>
            <w:shd w:val="clear" w:color="auto" w:fill="FFFFFF"/>
          </w:tcPr>
          <w:p w:rsidR="00000000" w:rsidRDefault="00000000">
            <w:pPr>
              <w:pStyle w:val="BodyText"/>
              <w:spacing w:after="0"/>
              <w:ind w:right="284"/>
              <w:jc w:val="right"/>
            </w:pPr>
            <w:r>
              <w:rPr>
                <w:color w:val="000000"/>
              </w:rPr>
              <w:t>37</w:t>
            </w:r>
          </w:p>
        </w:tc>
        <w:tc>
          <w:tcPr>
            <w:tcW w:w="1843" w:type="dxa"/>
            <w:shd w:val="clear" w:color="auto" w:fill="FFFFFF"/>
          </w:tcPr>
          <w:p w:rsidR="00000000" w:rsidRDefault="00000000">
            <w:pPr>
              <w:pStyle w:val="BodyText"/>
              <w:spacing w:after="0"/>
              <w:ind w:right="680"/>
              <w:jc w:val="right"/>
            </w:pPr>
            <w:r>
              <w:rPr>
                <w:color w:val="000000"/>
              </w:rPr>
              <w:t>227</w:t>
            </w:r>
          </w:p>
        </w:tc>
        <w:tc>
          <w:tcPr>
            <w:tcW w:w="1418" w:type="dxa"/>
            <w:shd w:val="clear" w:color="auto" w:fill="FFFFFF"/>
          </w:tcPr>
          <w:p w:rsidR="00000000" w:rsidRDefault="00000000">
            <w:pPr>
              <w:pStyle w:val="BodyText"/>
              <w:spacing w:after="0"/>
              <w:ind w:right="454"/>
              <w:jc w:val="right"/>
            </w:pPr>
            <w:r>
              <w:rPr>
                <w:color w:val="000000"/>
              </w:rPr>
              <w:t>3 892</w:t>
            </w:r>
          </w:p>
        </w:tc>
        <w:tc>
          <w:tcPr>
            <w:tcW w:w="1417" w:type="dxa"/>
            <w:shd w:val="clear" w:color="auto" w:fill="FFFFFF"/>
          </w:tcPr>
          <w:p w:rsidR="00000000" w:rsidRDefault="00000000">
            <w:pPr>
              <w:pStyle w:val="BodyText"/>
              <w:spacing w:after="0"/>
              <w:ind w:right="454"/>
              <w:jc w:val="right"/>
            </w:pPr>
            <w:r>
              <w:rPr>
                <w:color w:val="000000"/>
              </w:rPr>
              <w:t>1 950</w:t>
            </w:r>
          </w:p>
        </w:tc>
        <w:tc>
          <w:tcPr>
            <w:tcW w:w="1301" w:type="dxa"/>
            <w:shd w:val="clear" w:color="auto" w:fill="FFFFFF"/>
          </w:tcPr>
          <w:p w:rsidR="00000000" w:rsidRDefault="00000000">
            <w:pPr>
              <w:pStyle w:val="BodyText"/>
              <w:spacing w:after="0"/>
              <w:ind w:right="340"/>
              <w:jc w:val="right"/>
            </w:pPr>
            <w:r>
              <w:rPr>
                <w:color w:val="000000"/>
              </w:rPr>
              <w:t>5 842</w:t>
            </w:r>
          </w:p>
        </w:tc>
      </w:tr>
      <w:tr w:rsidR="00000000">
        <w:tblPrEx>
          <w:tblCellMar>
            <w:top w:w="0" w:type="dxa"/>
            <w:bottom w:w="0" w:type="dxa"/>
          </w:tblCellMar>
        </w:tblPrEx>
        <w:trPr>
          <w:trHeight w:val="20"/>
          <w:jc w:val="center"/>
        </w:trPr>
        <w:tc>
          <w:tcPr>
            <w:tcW w:w="1109" w:type="dxa"/>
            <w:shd w:val="clear" w:color="auto" w:fill="FFFFFF"/>
          </w:tcPr>
          <w:p w:rsidR="00000000" w:rsidRDefault="00000000">
            <w:pPr>
              <w:pStyle w:val="BodyText"/>
              <w:spacing w:after="0"/>
            </w:pPr>
          </w:p>
        </w:tc>
        <w:tc>
          <w:tcPr>
            <w:tcW w:w="851" w:type="dxa"/>
            <w:shd w:val="clear" w:color="auto" w:fill="FFFFFF"/>
          </w:tcPr>
          <w:p w:rsidR="00000000" w:rsidRDefault="00000000">
            <w:pPr>
              <w:pStyle w:val="BodyText"/>
              <w:spacing w:after="0"/>
              <w:ind w:left="113"/>
            </w:pPr>
            <w:r>
              <w:rPr>
                <w:color w:val="000000"/>
              </w:rPr>
              <w:t>Итого</w:t>
            </w:r>
          </w:p>
        </w:tc>
        <w:tc>
          <w:tcPr>
            <w:tcW w:w="850" w:type="dxa"/>
            <w:shd w:val="clear" w:color="auto" w:fill="FFFFFF"/>
          </w:tcPr>
          <w:p w:rsidR="00000000" w:rsidRDefault="00000000">
            <w:pPr>
              <w:pStyle w:val="BodyText"/>
              <w:spacing w:after="0"/>
              <w:ind w:right="284"/>
              <w:jc w:val="right"/>
            </w:pPr>
            <w:r>
              <w:rPr>
                <w:color w:val="000000"/>
              </w:rPr>
              <w:t>71</w:t>
            </w:r>
          </w:p>
        </w:tc>
        <w:tc>
          <w:tcPr>
            <w:tcW w:w="1843" w:type="dxa"/>
            <w:shd w:val="clear" w:color="auto" w:fill="FFFFFF"/>
          </w:tcPr>
          <w:p w:rsidR="00000000" w:rsidRDefault="00000000">
            <w:pPr>
              <w:pStyle w:val="BodyText"/>
              <w:spacing w:after="0"/>
              <w:ind w:right="680"/>
              <w:jc w:val="right"/>
            </w:pPr>
            <w:r>
              <w:rPr>
                <w:color w:val="000000"/>
              </w:rPr>
              <w:t>383</w:t>
            </w:r>
          </w:p>
        </w:tc>
        <w:tc>
          <w:tcPr>
            <w:tcW w:w="1418" w:type="dxa"/>
            <w:shd w:val="clear" w:color="auto" w:fill="FFFFFF"/>
          </w:tcPr>
          <w:p w:rsidR="00000000" w:rsidRDefault="00000000">
            <w:pPr>
              <w:pStyle w:val="BodyText"/>
              <w:spacing w:after="0"/>
              <w:ind w:right="454"/>
              <w:jc w:val="right"/>
            </w:pPr>
            <w:r>
              <w:rPr>
                <w:color w:val="000000"/>
              </w:rPr>
              <w:t>7 784</w:t>
            </w:r>
          </w:p>
        </w:tc>
        <w:tc>
          <w:tcPr>
            <w:tcW w:w="1417" w:type="dxa"/>
            <w:shd w:val="clear" w:color="auto" w:fill="FFFFFF"/>
          </w:tcPr>
          <w:p w:rsidR="00000000" w:rsidRDefault="00000000">
            <w:pPr>
              <w:pStyle w:val="BodyText"/>
              <w:spacing w:after="0"/>
              <w:ind w:right="454"/>
              <w:jc w:val="right"/>
            </w:pPr>
            <w:r>
              <w:rPr>
                <w:color w:val="000000"/>
              </w:rPr>
              <w:t>2 972</w:t>
            </w:r>
          </w:p>
        </w:tc>
        <w:tc>
          <w:tcPr>
            <w:tcW w:w="1301" w:type="dxa"/>
            <w:shd w:val="clear" w:color="auto" w:fill="FFFFFF"/>
          </w:tcPr>
          <w:p w:rsidR="00000000" w:rsidRDefault="00000000">
            <w:pPr>
              <w:pStyle w:val="BodyText"/>
              <w:spacing w:after="0"/>
              <w:ind w:right="340"/>
              <w:jc w:val="right"/>
            </w:pPr>
            <w:r>
              <w:rPr>
                <w:color w:val="000000"/>
              </w:rPr>
              <w:t>10 720</w:t>
            </w:r>
          </w:p>
        </w:tc>
      </w:tr>
    </w:tbl>
    <w:p w:rsidR="00000000" w:rsidRDefault="00000000">
      <w:pPr>
        <w:pStyle w:val="BodyText"/>
        <w:rPr>
          <w:lang w:val="en-US"/>
        </w:rPr>
      </w:pPr>
    </w:p>
    <w:p w:rsidR="00000000" w:rsidRDefault="00000000">
      <w:pPr>
        <w:pStyle w:val="BodyText"/>
      </w:pPr>
      <w:r>
        <w:rPr>
          <w:lang w:val="en-US"/>
        </w:rPr>
        <w:br w:type="page"/>
        <w:t>b</w:t>
      </w:r>
      <w:r>
        <w:t>)</w:t>
      </w:r>
      <w:r>
        <w:tab/>
      </w:r>
      <w:r>
        <w:rPr>
          <w:u w:val="single"/>
        </w:rPr>
        <w:t>Параллельное образование</w:t>
      </w:r>
    </w:p>
    <w:p w:rsidR="00000000" w:rsidRDefault="00000000">
      <w:pPr>
        <w:pStyle w:val="BodyText"/>
      </w:pPr>
      <w:r>
        <w:tab/>
        <w:t>Цель этого вида образования – дать обучаемому навыки и умения, необходимые для выполнения им определенных профессиональных обязанностей. Такое обучение рассчитано на лиц старше 14 лет, не успевающих в системе общеобразовательной школы, или на тех, кто желает получить такого рода образование. Продолжительность обучения – четыре года. В учебную программу входят занятия по культурной, технической и практической тематике. В конце курса обучения успевающие выпускники получают диплом о профессиональном образовании.</w:t>
      </w:r>
    </w:p>
    <w:p w:rsidR="00000000" w:rsidRDefault="00000000">
      <w:pPr>
        <w:pStyle w:val="BodyText"/>
        <w:spacing w:before="120"/>
      </w:pPr>
      <w:r>
        <w:rPr>
          <w:lang w:val="en-US"/>
        </w:rPr>
        <w:t>c</w:t>
      </w:r>
      <w:r>
        <w:t>)</w:t>
      </w:r>
      <w:r>
        <w:tab/>
      </w:r>
      <w:r>
        <w:rPr>
          <w:u w:val="single"/>
        </w:rPr>
        <w:t>Религиозное образование</w:t>
      </w:r>
    </w:p>
    <w:p w:rsidR="00000000" w:rsidRDefault="00000000">
      <w:pPr>
        <w:pStyle w:val="BodyText"/>
      </w:pPr>
      <w:r>
        <w:tab/>
        <w:t>Религиозные училища представляют собой учебные заведения, способствующие достижению воспитательных и образовательных целей индивида и общества. Основу обучения в них составляет воспитание подрастающего поколения в духе Ислама, что дает молодежи возможность познакомиться со своей религией, хорошо понимать ее и руководствоваться ею в жизни. Обучение при этом состоит из двух этапов – предварительного и среднего общеобразовательного. В таблице ниже приводятся данные о развитии религиозного образования в период с 1994/95 по 1998/99 год.</w:t>
      </w:r>
    </w:p>
    <w:p w:rsidR="00000000" w:rsidRDefault="00000000">
      <w:pPr>
        <w:pStyle w:val="BodyText"/>
        <w:jc w:val="center"/>
      </w:pPr>
      <w:r>
        <w:t>Развитие религиозного образования в период с 1994/95 по 1998/99 год</w:t>
      </w:r>
    </w:p>
    <w:tbl>
      <w:tblPr>
        <w:tblW w:w="0" w:type="auto"/>
        <w:jc w:val="center"/>
        <w:tblLayout w:type="fixed"/>
        <w:tblCellMar>
          <w:left w:w="57" w:type="dxa"/>
          <w:right w:w="57" w:type="dxa"/>
        </w:tblCellMar>
        <w:tblLook w:val="01E0" w:firstRow="1" w:lastRow="1" w:firstColumn="1" w:lastColumn="1" w:noHBand="0" w:noVBand="0"/>
      </w:tblPr>
      <w:tblGrid>
        <w:gridCol w:w="1542"/>
        <w:gridCol w:w="1559"/>
        <w:gridCol w:w="1418"/>
        <w:gridCol w:w="1451"/>
      </w:tblGrid>
      <w:tr w:rsidR="00000000">
        <w:tblPrEx>
          <w:tblCellMar>
            <w:top w:w="0" w:type="dxa"/>
            <w:bottom w:w="0" w:type="dxa"/>
          </w:tblCellMar>
        </w:tblPrEx>
        <w:trPr>
          <w:jc w:val="center"/>
        </w:trPr>
        <w:tc>
          <w:tcPr>
            <w:tcW w:w="1542" w:type="dxa"/>
          </w:tcPr>
          <w:p w:rsidR="00000000" w:rsidRDefault="00000000">
            <w:pPr>
              <w:pStyle w:val="-9"/>
              <w:jc w:val="left"/>
            </w:pPr>
            <w:r>
              <w:t>Учебный год</w:t>
            </w:r>
          </w:p>
        </w:tc>
        <w:tc>
          <w:tcPr>
            <w:tcW w:w="4428" w:type="dxa"/>
            <w:gridSpan w:val="3"/>
          </w:tcPr>
          <w:p w:rsidR="00000000" w:rsidRDefault="00000000">
            <w:pPr>
              <w:pStyle w:val="-9"/>
            </w:pPr>
            <w:r>
              <w:t>Учащиеся</w:t>
            </w:r>
          </w:p>
        </w:tc>
      </w:tr>
      <w:tr w:rsidR="00000000">
        <w:tblPrEx>
          <w:tblCellMar>
            <w:top w:w="0" w:type="dxa"/>
            <w:bottom w:w="0" w:type="dxa"/>
          </w:tblCellMar>
        </w:tblPrEx>
        <w:trPr>
          <w:jc w:val="center"/>
        </w:trPr>
        <w:tc>
          <w:tcPr>
            <w:tcW w:w="1542" w:type="dxa"/>
          </w:tcPr>
          <w:p w:rsidR="00000000" w:rsidRDefault="00000000">
            <w:pPr>
              <w:pStyle w:val="-9"/>
            </w:pPr>
          </w:p>
        </w:tc>
        <w:tc>
          <w:tcPr>
            <w:tcW w:w="1559" w:type="dxa"/>
          </w:tcPr>
          <w:p w:rsidR="00000000" w:rsidRDefault="00000000">
            <w:pPr>
              <w:pStyle w:val="-9"/>
            </w:pPr>
            <w:r>
              <w:t>Мужчины</w:t>
            </w:r>
          </w:p>
        </w:tc>
        <w:tc>
          <w:tcPr>
            <w:tcW w:w="1418" w:type="dxa"/>
          </w:tcPr>
          <w:p w:rsidR="00000000" w:rsidRDefault="00000000">
            <w:pPr>
              <w:pStyle w:val="-9"/>
            </w:pPr>
            <w:r>
              <w:t>Женщины</w:t>
            </w:r>
          </w:p>
        </w:tc>
        <w:tc>
          <w:tcPr>
            <w:tcW w:w="1451" w:type="dxa"/>
          </w:tcPr>
          <w:p w:rsidR="00000000" w:rsidRDefault="00000000">
            <w:pPr>
              <w:pStyle w:val="-9"/>
            </w:pPr>
            <w:r>
              <w:t>Итого</w:t>
            </w:r>
          </w:p>
        </w:tc>
      </w:tr>
      <w:tr w:rsidR="00000000">
        <w:tblPrEx>
          <w:tblCellMar>
            <w:top w:w="0" w:type="dxa"/>
            <w:bottom w:w="0" w:type="dxa"/>
          </w:tblCellMar>
        </w:tblPrEx>
        <w:trPr>
          <w:jc w:val="center"/>
        </w:trPr>
        <w:tc>
          <w:tcPr>
            <w:tcW w:w="1542" w:type="dxa"/>
          </w:tcPr>
          <w:p w:rsidR="00000000" w:rsidRDefault="00000000">
            <w:pPr>
              <w:pStyle w:val="BodyText"/>
              <w:spacing w:after="0"/>
            </w:pPr>
            <w:r>
              <w:t>1994/95</w:t>
            </w:r>
          </w:p>
        </w:tc>
        <w:tc>
          <w:tcPr>
            <w:tcW w:w="1559" w:type="dxa"/>
          </w:tcPr>
          <w:p w:rsidR="00000000" w:rsidRDefault="00000000">
            <w:pPr>
              <w:pStyle w:val="BodyText"/>
              <w:spacing w:after="0"/>
              <w:ind w:right="510"/>
              <w:jc w:val="right"/>
            </w:pPr>
            <w:r>
              <w:t>878</w:t>
            </w:r>
          </w:p>
        </w:tc>
        <w:tc>
          <w:tcPr>
            <w:tcW w:w="1418" w:type="dxa"/>
          </w:tcPr>
          <w:p w:rsidR="00000000" w:rsidRDefault="00000000">
            <w:pPr>
              <w:pStyle w:val="BodyText"/>
              <w:spacing w:after="0"/>
              <w:ind w:right="510"/>
              <w:jc w:val="right"/>
            </w:pPr>
            <w:r>
              <w:t>457</w:t>
            </w:r>
          </w:p>
        </w:tc>
        <w:tc>
          <w:tcPr>
            <w:tcW w:w="1451" w:type="dxa"/>
          </w:tcPr>
          <w:p w:rsidR="00000000" w:rsidRDefault="00000000">
            <w:pPr>
              <w:pStyle w:val="BodyText"/>
              <w:spacing w:after="0"/>
              <w:ind w:right="340"/>
              <w:jc w:val="right"/>
            </w:pPr>
            <w:r>
              <w:t>1 335</w:t>
            </w:r>
          </w:p>
        </w:tc>
      </w:tr>
      <w:tr w:rsidR="00000000">
        <w:tblPrEx>
          <w:tblCellMar>
            <w:top w:w="0" w:type="dxa"/>
            <w:bottom w:w="0" w:type="dxa"/>
          </w:tblCellMar>
        </w:tblPrEx>
        <w:trPr>
          <w:jc w:val="center"/>
        </w:trPr>
        <w:tc>
          <w:tcPr>
            <w:tcW w:w="1542" w:type="dxa"/>
          </w:tcPr>
          <w:p w:rsidR="00000000" w:rsidRDefault="00000000">
            <w:pPr>
              <w:pStyle w:val="BodyText"/>
              <w:spacing w:after="0"/>
            </w:pPr>
            <w:r>
              <w:t>1995/96</w:t>
            </w:r>
          </w:p>
        </w:tc>
        <w:tc>
          <w:tcPr>
            <w:tcW w:w="1559" w:type="dxa"/>
          </w:tcPr>
          <w:p w:rsidR="00000000" w:rsidRDefault="00000000">
            <w:pPr>
              <w:pStyle w:val="BodyText"/>
              <w:spacing w:after="0"/>
              <w:ind w:right="510"/>
              <w:jc w:val="right"/>
            </w:pPr>
            <w:r>
              <w:t>1 411</w:t>
            </w:r>
          </w:p>
        </w:tc>
        <w:tc>
          <w:tcPr>
            <w:tcW w:w="1418" w:type="dxa"/>
          </w:tcPr>
          <w:p w:rsidR="00000000" w:rsidRDefault="00000000">
            <w:pPr>
              <w:pStyle w:val="BodyText"/>
              <w:spacing w:after="0"/>
              <w:ind w:right="510"/>
              <w:jc w:val="right"/>
            </w:pPr>
            <w:r>
              <w:t>564</w:t>
            </w:r>
          </w:p>
        </w:tc>
        <w:tc>
          <w:tcPr>
            <w:tcW w:w="1451" w:type="dxa"/>
          </w:tcPr>
          <w:p w:rsidR="00000000" w:rsidRDefault="00000000">
            <w:pPr>
              <w:pStyle w:val="BodyText"/>
              <w:spacing w:after="0"/>
              <w:ind w:right="340"/>
              <w:jc w:val="right"/>
            </w:pPr>
            <w:r>
              <w:t>1 975</w:t>
            </w:r>
          </w:p>
        </w:tc>
      </w:tr>
      <w:tr w:rsidR="00000000">
        <w:tblPrEx>
          <w:tblCellMar>
            <w:top w:w="0" w:type="dxa"/>
            <w:bottom w:w="0" w:type="dxa"/>
          </w:tblCellMar>
        </w:tblPrEx>
        <w:trPr>
          <w:jc w:val="center"/>
        </w:trPr>
        <w:tc>
          <w:tcPr>
            <w:tcW w:w="1542" w:type="dxa"/>
          </w:tcPr>
          <w:p w:rsidR="00000000" w:rsidRDefault="00000000">
            <w:pPr>
              <w:pStyle w:val="BodyText"/>
              <w:spacing w:after="0"/>
            </w:pPr>
            <w:r>
              <w:t>1996/97</w:t>
            </w:r>
          </w:p>
        </w:tc>
        <w:tc>
          <w:tcPr>
            <w:tcW w:w="1559" w:type="dxa"/>
          </w:tcPr>
          <w:p w:rsidR="00000000" w:rsidRDefault="00000000">
            <w:pPr>
              <w:pStyle w:val="BodyText"/>
              <w:spacing w:after="0"/>
              <w:ind w:right="510"/>
              <w:jc w:val="right"/>
            </w:pPr>
            <w:r>
              <w:t>1 520</w:t>
            </w:r>
          </w:p>
        </w:tc>
        <w:tc>
          <w:tcPr>
            <w:tcW w:w="1418" w:type="dxa"/>
          </w:tcPr>
          <w:p w:rsidR="00000000" w:rsidRDefault="00000000">
            <w:pPr>
              <w:pStyle w:val="BodyText"/>
              <w:spacing w:after="0"/>
              <w:ind w:right="510"/>
              <w:jc w:val="right"/>
            </w:pPr>
            <w:r>
              <w:t>702</w:t>
            </w:r>
          </w:p>
        </w:tc>
        <w:tc>
          <w:tcPr>
            <w:tcW w:w="1451" w:type="dxa"/>
          </w:tcPr>
          <w:p w:rsidR="00000000" w:rsidRDefault="00000000">
            <w:pPr>
              <w:pStyle w:val="BodyText"/>
              <w:spacing w:after="0"/>
              <w:ind w:right="340"/>
              <w:jc w:val="right"/>
            </w:pPr>
            <w:r>
              <w:t>2 222</w:t>
            </w:r>
          </w:p>
        </w:tc>
      </w:tr>
      <w:tr w:rsidR="00000000">
        <w:tblPrEx>
          <w:tblCellMar>
            <w:top w:w="0" w:type="dxa"/>
            <w:bottom w:w="0" w:type="dxa"/>
          </w:tblCellMar>
        </w:tblPrEx>
        <w:trPr>
          <w:jc w:val="center"/>
        </w:trPr>
        <w:tc>
          <w:tcPr>
            <w:tcW w:w="1542" w:type="dxa"/>
          </w:tcPr>
          <w:p w:rsidR="00000000" w:rsidRDefault="00000000">
            <w:pPr>
              <w:pStyle w:val="BodyText"/>
              <w:spacing w:after="0"/>
            </w:pPr>
            <w:r>
              <w:t>1997/98</w:t>
            </w:r>
          </w:p>
        </w:tc>
        <w:tc>
          <w:tcPr>
            <w:tcW w:w="1559" w:type="dxa"/>
          </w:tcPr>
          <w:p w:rsidR="00000000" w:rsidRDefault="00000000">
            <w:pPr>
              <w:pStyle w:val="BodyText"/>
              <w:spacing w:after="0"/>
              <w:ind w:right="510"/>
              <w:jc w:val="right"/>
            </w:pPr>
            <w:r>
              <w:t>1 422</w:t>
            </w:r>
          </w:p>
        </w:tc>
        <w:tc>
          <w:tcPr>
            <w:tcW w:w="1418" w:type="dxa"/>
          </w:tcPr>
          <w:p w:rsidR="00000000" w:rsidRDefault="00000000">
            <w:pPr>
              <w:pStyle w:val="BodyText"/>
              <w:spacing w:after="0"/>
              <w:ind w:right="510"/>
              <w:jc w:val="right"/>
            </w:pPr>
            <w:r>
              <w:t>792</w:t>
            </w:r>
          </w:p>
        </w:tc>
        <w:tc>
          <w:tcPr>
            <w:tcW w:w="1451" w:type="dxa"/>
          </w:tcPr>
          <w:p w:rsidR="00000000" w:rsidRDefault="00000000">
            <w:pPr>
              <w:pStyle w:val="BodyText"/>
              <w:spacing w:after="0"/>
              <w:ind w:right="340"/>
              <w:jc w:val="right"/>
            </w:pPr>
            <w:r>
              <w:t>2 214</w:t>
            </w:r>
          </w:p>
        </w:tc>
      </w:tr>
      <w:tr w:rsidR="00000000">
        <w:tblPrEx>
          <w:tblCellMar>
            <w:top w:w="0" w:type="dxa"/>
            <w:bottom w:w="0" w:type="dxa"/>
          </w:tblCellMar>
        </w:tblPrEx>
        <w:trPr>
          <w:jc w:val="center"/>
        </w:trPr>
        <w:tc>
          <w:tcPr>
            <w:tcW w:w="1542" w:type="dxa"/>
          </w:tcPr>
          <w:p w:rsidR="00000000" w:rsidRDefault="00000000">
            <w:pPr>
              <w:pStyle w:val="BodyText"/>
              <w:spacing w:after="0"/>
            </w:pPr>
            <w:r>
              <w:t>1998/99</w:t>
            </w:r>
          </w:p>
        </w:tc>
        <w:tc>
          <w:tcPr>
            <w:tcW w:w="1559" w:type="dxa"/>
          </w:tcPr>
          <w:p w:rsidR="00000000" w:rsidRDefault="00000000">
            <w:pPr>
              <w:pStyle w:val="BodyText"/>
              <w:spacing w:after="0"/>
              <w:ind w:right="510"/>
              <w:jc w:val="right"/>
            </w:pPr>
            <w:r>
              <w:t>1 662</w:t>
            </w:r>
          </w:p>
        </w:tc>
        <w:tc>
          <w:tcPr>
            <w:tcW w:w="1418" w:type="dxa"/>
          </w:tcPr>
          <w:p w:rsidR="00000000" w:rsidRDefault="00000000">
            <w:pPr>
              <w:pStyle w:val="BodyText"/>
              <w:spacing w:after="0"/>
              <w:ind w:right="510"/>
              <w:jc w:val="right"/>
            </w:pPr>
            <w:r>
              <w:t>834</w:t>
            </w:r>
          </w:p>
        </w:tc>
        <w:tc>
          <w:tcPr>
            <w:tcW w:w="1451" w:type="dxa"/>
          </w:tcPr>
          <w:p w:rsidR="00000000" w:rsidRDefault="00000000">
            <w:pPr>
              <w:pStyle w:val="BodyText"/>
              <w:spacing w:after="0"/>
              <w:ind w:right="340"/>
              <w:jc w:val="right"/>
            </w:pPr>
            <w:r>
              <w:t>2 496</w:t>
            </w:r>
          </w:p>
        </w:tc>
      </w:tr>
    </w:tbl>
    <w:p w:rsidR="00000000" w:rsidRDefault="00000000">
      <w:pPr>
        <w:pStyle w:val="BodyText"/>
        <w:spacing w:before="360"/>
      </w:pPr>
      <w:r>
        <w:rPr>
          <w:lang w:val="en-US"/>
        </w:rPr>
        <w:t>d</w:t>
      </w:r>
      <w:r>
        <w:t>)</w:t>
      </w:r>
      <w:r>
        <w:tab/>
      </w:r>
      <w:r>
        <w:rPr>
          <w:u w:val="single"/>
        </w:rPr>
        <w:t>Специальные школы</w:t>
      </w:r>
    </w:p>
    <w:p w:rsidR="00000000" w:rsidRDefault="00000000">
      <w:pPr>
        <w:pStyle w:val="BodyText"/>
      </w:pPr>
      <w:r>
        <w:tab/>
        <w:t>Данный вид государственного обучения рассчитан на категории детей с особыми потребностями, которые страдают от различного рода физических или умственных недостатков, главным образом следующих:</w:t>
      </w:r>
    </w:p>
    <w:p w:rsidR="00000000" w:rsidRDefault="00000000">
      <w:pPr>
        <w:pStyle w:val="a"/>
        <w:ind w:left="0" w:firstLine="0"/>
      </w:pPr>
      <w:r>
        <w:tab/>
      </w:r>
      <w:r>
        <w:rPr>
          <w:lang w:val="en-US"/>
        </w:rPr>
        <w:t>i</w:t>
      </w:r>
      <w:r>
        <w:t>)</w:t>
      </w:r>
      <w:r>
        <w:tab/>
        <w:t>нарушения зрения, страдающие которыми обучаются в школах, называемых "мадарис ан-нур" (школы света);</w:t>
      </w:r>
    </w:p>
    <w:p w:rsidR="00000000" w:rsidRDefault="00000000">
      <w:pPr>
        <w:pStyle w:val="a"/>
        <w:ind w:left="0" w:firstLine="0"/>
      </w:pPr>
      <w:r>
        <w:tab/>
      </w:r>
      <w:r>
        <w:rPr>
          <w:lang w:val="en-US"/>
        </w:rPr>
        <w:t>ii</w:t>
      </w:r>
      <w:r>
        <w:t>)</w:t>
      </w:r>
      <w:r>
        <w:tab/>
        <w:t>нарушения двигательных функций, страдающие которыми обучаются в школах, называемых "мадарис ар-раджа" (школы надежды);</w:t>
      </w:r>
    </w:p>
    <w:p w:rsidR="00000000" w:rsidRDefault="00000000">
      <w:pPr>
        <w:pStyle w:val="a"/>
        <w:ind w:left="0" w:firstLine="0"/>
      </w:pPr>
      <w:r>
        <w:tab/>
      </w:r>
      <w:r>
        <w:rPr>
          <w:lang w:val="en-US"/>
        </w:rPr>
        <w:t>iii</w:t>
      </w:r>
      <w:r>
        <w:t>)</w:t>
      </w:r>
      <w:r>
        <w:tab/>
        <w:t>нарушения слуха, страдающие которыми обучаются в школах, называемых "мадарис ар-амаль" (школы надежды);</w:t>
      </w:r>
    </w:p>
    <w:p w:rsidR="00000000" w:rsidRDefault="00000000">
      <w:pPr>
        <w:pStyle w:val="a"/>
        <w:ind w:left="0" w:firstLine="0"/>
      </w:pPr>
      <w:r>
        <w:tab/>
      </w:r>
      <w:r>
        <w:rPr>
          <w:lang w:val="en-US"/>
        </w:rPr>
        <w:t>iv</w:t>
      </w:r>
      <w:r>
        <w:t>)</w:t>
      </w:r>
      <w:r>
        <w:tab/>
        <w:t>умственные нарушения, страдающие которыми подразделяются на две категории: способные получать образование, школы для которых называются "школы идейного воспитания", и способные получать профессиональную подготовку, школы для которых называются "мадарис аль-уафа" (школы верности).</w:t>
      </w:r>
    </w:p>
    <w:p w:rsidR="00000000" w:rsidRDefault="00000000">
      <w:pPr>
        <w:pStyle w:val="a"/>
        <w:spacing w:after="240"/>
        <w:jc w:val="center"/>
      </w:pPr>
      <w:r>
        <w:br w:type="page"/>
        <w:t>Развитие системы специального школьного образования в период с 1994/1995 по 1998/1999 год</w:t>
      </w:r>
    </w:p>
    <w:tbl>
      <w:tblPr>
        <w:tblW w:w="0" w:type="auto"/>
        <w:jc w:val="center"/>
        <w:tblLayout w:type="fixed"/>
        <w:tblCellMar>
          <w:left w:w="57" w:type="dxa"/>
          <w:right w:w="57" w:type="dxa"/>
        </w:tblCellMar>
        <w:tblLook w:val="01E0" w:firstRow="1" w:lastRow="1" w:firstColumn="1" w:lastColumn="1" w:noHBand="0" w:noVBand="0"/>
      </w:tblPr>
      <w:tblGrid>
        <w:gridCol w:w="1251"/>
        <w:gridCol w:w="1134"/>
        <w:gridCol w:w="1134"/>
        <w:gridCol w:w="992"/>
        <w:gridCol w:w="993"/>
        <w:gridCol w:w="1842"/>
        <w:gridCol w:w="1443"/>
      </w:tblGrid>
      <w:tr w:rsidR="00000000">
        <w:tblPrEx>
          <w:tblCellMar>
            <w:top w:w="0" w:type="dxa"/>
            <w:bottom w:w="0" w:type="dxa"/>
          </w:tblCellMar>
        </w:tblPrEx>
        <w:trPr>
          <w:jc w:val="center"/>
        </w:trPr>
        <w:tc>
          <w:tcPr>
            <w:tcW w:w="1251" w:type="dxa"/>
          </w:tcPr>
          <w:p w:rsidR="00000000" w:rsidRDefault="00000000">
            <w:pPr>
              <w:pStyle w:val="-9"/>
              <w:jc w:val="left"/>
            </w:pPr>
            <w:r>
              <w:t>Учебный год</w:t>
            </w:r>
          </w:p>
        </w:tc>
        <w:tc>
          <w:tcPr>
            <w:tcW w:w="1134" w:type="dxa"/>
          </w:tcPr>
          <w:p w:rsidR="00000000" w:rsidRDefault="00000000">
            <w:pPr>
              <w:pStyle w:val="-9"/>
            </w:pPr>
            <w:r>
              <w:t>Мальчики</w:t>
            </w:r>
          </w:p>
        </w:tc>
        <w:tc>
          <w:tcPr>
            <w:tcW w:w="1134" w:type="dxa"/>
          </w:tcPr>
          <w:p w:rsidR="00000000" w:rsidRDefault="00000000">
            <w:pPr>
              <w:pStyle w:val="-9"/>
            </w:pPr>
            <w:r>
              <w:t>Девочки</w:t>
            </w:r>
          </w:p>
        </w:tc>
        <w:tc>
          <w:tcPr>
            <w:tcW w:w="992" w:type="dxa"/>
          </w:tcPr>
          <w:p w:rsidR="00000000" w:rsidRDefault="00000000">
            <w:pPr>
              <w:pStyle w:val="-9"/>
            </w:pPr>
            <w:r>
              <w:t>Итого</w:t>
            </w:r>
          </w:p>
        </w:tc>
        <w:tc>
          <w:tcPr>
            <w:tcW w:w="993" w:type="dxa"/>
          </w:tcPr>
          <w:p w:rsidR="00000000" w:rsidRDefault="00000000">
            <w:pPr>
              <w:pStyle w:val="-9"/>
            </w:pPr>
            <w:r>
              <w:t>Школы</w:t>
            </w:r>
          </w:p>
        </w:tc>
        <w:tc>
          <w:tcPr>
            <w:tcW w:w="1842" w:type="dxa"/>
          </w:tcPr>
          <w:p w:rsidR="00000000" w:rsidRDefault="00000000">
            <w:pPr>
              <w:pStyle w:val="-9"/>
            </w:pPr>
            <w:r>
              <w:t>Классные помещения</w:t>
            </w:r>
          </w:p>
        </w:tc>
        <w:tc>
          <w:tcPr>
            <w:tcW w:w="1443" w:type="dxa"/>
          </w:tcPr>
          <w:p w:rsidR="00000000" w:rsidRDefault="00000000">
            <w:pPr>
              <w:pStyle w:val="-9"/>
            </w:pPr>
            <w:r>
              <w:t>Преподаватели</w:t>
            </w:r>
          </w:p>
        </w:tc>
      </w:tr>
      <w:tr w:rsidR="00000000">
        <w:tblPrEx>
          <w:tblCellMar>
            <w:top w:w="0" w:type="dxa"/>
            <w:bottom w:w="0" w:type="dxa"/>
          </w:tblCellMar>
        </w:tblPrEx>
        <w:trPr>
          <w:jc w:val="center"/>
        </w:trPr>
        <w:tc>
          <w:tcPr>
            <w:tcW w:w="1251" w:type="dxa"/>
          </w:tcPr>
          <w:p w:rsidR="00000000" w:rsidRDefault="00000000">
            <w:pPr>
              <w:pStyle w:val="BodyText"/>
              <w:spacing w:after="0"/>
            </w:pPr>
            <w:r>
              <w:t>1994/95</w:t>
            </w:r>
          </w:p>
        </w:tc>
        <w:tc>
          <w:tcPr>
            <w:tcW w:w="1134" w:type="dxa"/>
          </w:tcPr>
          <w:p w:rsidR="00000000" w:rsidRDefault="00000000">
            <w:pPr>
              <w:pStyle w:val="BodyText"/>
              <w:spacing w:after="0"/>
              <w:ind w:right="284"/>
              <w:jc w:val="right"/>
            </w:pPr>
            <w:r>
              <w:t>862</w:t>
            </w:r>
          </w:p>
        </w:tc>
        <w:tc>
          <w:tcPr>
            <w:tcW w:w="1134" w:type="dxa"/>
          </w:tcPr>
          <w:p w:rsidR="00000000" w:rsidRDefault="00000000">
            <w:pPr>
              <w:pStyle w:val="BodyText"/>
              <w:spacing w:after="0"/>
              <w:jc w:val="center"/>
            </w:pPr>
            <w:r>
              <w:t>726</w:t>
            </w:r>
          </w:p>
        </w:tc>
        <w:tc>
          <w:tcPr>
            <w:tcW w:w="992" w:type="dxa"/>
          </w:tcPr>
          <w:p w:rsidR="00000000" w:rsidRDefault="00000000">
            <w:pPr>
              <w:pStyle w:val="BodyText"/>
              <w:spacing w:after="0"/>
              <w:jc w:val="center"/>
            </w:pPr>
            <w:r>
              <w:t>1 588</w:t>
            </w:r>
          </w:p>
        </w:tc>
        <w:tc>
          <w:tcPr>
            <w:tcW w:w="993" w:type="dxa"/>
          </w:tcPr>
          <w:p w:rsidR="00000000" w:rsidRDefault="00000000">
            <w:pPr>
              <w:pStyle w:val="BodyText"/>
              <w:spacing w:after="0"/>
              <w:jc w:val="center"/>
            </w:pPr>
            <w:r>
              <w:t>30</w:t>
            </w:r>
          </w:p>
        </w:tc>
        <w:tc>
          <w:tcPr>
            <w:tcW w:w="1842" w:type="dxa"/>
          </w:tcPr>
          <w:p w:rsidR="00000000" w:rsidRDefault="00000000">
            <w:pPr>
              <w:pStyle w:val="BodyText"/>
              <w:spacing w:after="0"/>
              <w:jc w:val="center"/>
            </w:pPr>
            <w:r>
              <w:t>196</w:t>
            </w:r>
          </w:p>
        </w:tc>
        <w:tc>
          <w:tcPr>
            <w:tcW w:w="1443" w:type="dxa"/>
          </w:tcPr>
          <w:p w:rsidR="00000000" w:rsidRDefault="00000000">
            <w:pPr>
              <w:pStyle w:val="BodyText"/>
              <w:spacing w:after="0"/>
              <w:jc w:val="center"/>
            </w:pPr>
            <w:r>
              <w:t>484</w:t>
            </w:r>
          </w:p>
        </w:tc>
      </w:tr>
      <w:tr w:rsidR="00000000">
        <w:tblPrEx>
          <w:tblCellMar>
            <w:top w:w="0" w:type="dxa"/>
            <w:bottom w:w="0" w:type="dxa"/>
          </w:tblCellMar>
        </w:tblPrEx>
        <w:trPr>
          <w:jc w:val="center"/>
        </w:trPr>
        <w:tc>
          <w:tcPr>
            <w:tcW w:w="1251" w:type="dxa"/>
          </w:tcPr>
          <w:p w:rsidR="00000000" w:rsidRDefault="00000000">
            <w:pPr>
              <w:pStyle w:val="BodyText"/>
              <w:spacing w:after="0"/>
            </w:pPr>
            <w:r>
              <w:t>1995/96</w:t>
            </w:r>
          </w:p>
        </w:tc>
        <w:tc>
          <w:tcPr>
            <w:tcW w:w="1134" w:type="dxa"/>
          </w:tcPr>
          <w:p w:rsidR="00000000" w:rsidRDefault="00000000">
            <w:pPr>
              <w:pStyle w:val="BodyText"/>
              <w:spacing w:after="0"/>
              <w:ind w:right="284"/>
              <w:jc w:val="right"/>
            </w:pPr>
            <w:r>
              <w:t>871</w:t>
            </w:r>
          </w:p>
        </w:tc>
        <w:tc>
          <w:tcPr>
            <w:tcW w:w="1134" w:type="dxa"/>
          </w:tcPr>
          <w:p w:rsidR="00000000" w:rsidRDefault="00000000">
            <w:pPr>
              <w:pStyle w:val="BodyText"/>
              <w:spacing w:after="0"/>
              <w:jc w:val="center"/>
            </w:pPr>
            <w:r>
              <w:t>756</w:t>
            </w:r>
          </w:p>
        </w:tc>
        <w:tc>
          <w:tcPr>
            <w:tcW w:w="992" w:type="dxa"/>
          </w:tcPr>
          <w:p w:rsidR="00000000" w:rsidRDefault="00000000">
            <w:pPr>
              <w:pStyle w:val="BodyText"/>
              <w:spacing w:after="0"/>
              <w:jc w:val="center"/>
            </w:pPr>
            <w:r>
              <w:t>1 627</w:t>
            </w:r>
          </w:p>
        </w:tc>
        <w:tc>
          <w:tcPr>
            <w:tcW w:w="993" w:type="dxa"/>
          </w:tcPr>
          <w:p w:rsidR="00000000" w:rsidRDefault="00000000">
            <w:pPr>
              <w:pStyle w:val="BodyText"/>
              <w:spacing w:after="0"/>
              <w:jc w:val="center"/>
            </w:pPr>
            <w:r>
              <w:t>30</w:t>
            </w:r>
          </w:p>
        </w:tc>
        <w:tc>
          <w:tcPr>
            <w:tcW w:w="1842" w:type="dxa"/>
          </w:tcPr>
          <w:p w:rsidR="00000000" w:rsidRDefault="00000000">
            <w:pPr>
              <w:pStyle w:val="BodyText"/>
              <w:spacing w:after="0"/>
              <w:jc w:val="center"/>
            </w:pPr>
            <w:r>
              <w:t>187</w:t>
            </w:r>
          </w:p>
        </w:tc>
        <w:tc>
          <w:tcPr>
            <w:tcW w:w="1443" w:type="dxa"/>
          </w:tcPr>
          <w:p w:rsidR="00000000" w:rsidRDefault="00000000">
            <w:pPr>
              <w:pStyle w:val="BodyText"/>
              <w:spacing w:after="0"/>
              <w:jc w:val="center"/>
            </w:pPr>
            <w:r>
              <w:t>471</w:t>
            </w:r>
          </w:p>
        </w:tc>
      </w:tr>
      <w:tr w:rsidR="00000000">
        <w:tblPrEx>
          <w:tblCellMar>
            <w:top w:w="0" w:type="dxa"/>
            <w:bottom w:w="0" w:type="dxa"/>
          </w:tblCellMar>
        </w:tblPrEx>
        <w:trPr>
          <w:jc w:val="center"/>
        </w:trPr>
        <w:tc>
          <w:tcPr>
            <w:tcW w:w="1251" w:type="dxa"/>
          </w:tcPr>
          <w:p w:rsidR="00000000" w:rsidRDefault="00000000">
            <w:pPr>
              <w:pStyle w:val="BodyText"/>
              <w:spacing w:after="0"/>
            </w:pPr>
            <w:r>
              <w:t>1996/97</w:t>
            </w:r>
          </w:p>
        </w:tc>
        <w:tc>
          <w:tcPr>
            <w:tcW w:w="1134" w:type="dxa"/>
          </w:tcPr>
          <w:p w:rsidR="00000000" w:rsidRDefault="00000000">
            <w:pPr>
              <w:pStyle w:val="BodyText"/>
              <w:spacing w:after="0"/>
              <w:ind w:right="284"/>
              <w:jc w:val="right"/>
            </w:pPr>
            <w:r>
              <w:t>943</w:t>
            </w:r>
          </w:p>
        </w:tc>
        <w:tc>
          <w:tcPr>
            <w:tcW w:w="1134" w:type="dxa"/>
          </w:tcPr>
          <w:p w:rsidR="00000000" w:rsidRDefault="00000000">
            <w:pPr>
              <w:pStyle w:val="BodyText"/>
              <w:spacing w:after="0"/>
              <w:jc w:val="center"/>
            </w:pPr>
            <w:r>
              <w:t>813</w:t>
            </w:r>
          </w:p>
        </w:tc>
        <w:tc>
          <w:tcPr>
            <w:tcW w:w="992" w:type="dxa"/>
          </w:tcPr>
          <w:p w:rsidR="00000000" w:rsidRDefault="00000000">
            <w:pPr>
              <w:pStyle w:val="BodyText"/>
              <w:spacing w:after="0"/>
              <w:jc w:val="center"/>
            </w:pPr>
            <w:r>
              <w:t>1 756</w:t>
            </w:r>
          </w:p>
        </w:tc>
        <w:tc>
          <w:tcPr>
            <w:tcW w:w="993" w:type="dxa"/>
          </w:tcPr>
          <w:p w:rsidR="00000000" w:rsidRDefault="00000000">
            <w:pPr>
              <w:pStyle w:val="BodyText"/>
              <w:spacing w:after="0"/>
              <w:jc w:val="center"/>
            </w:pPr>
            <w:r>
              <w:t>32</w:t>
            </w:r>
          </w:p>
        </w:tc>
        <w:tc>
          <w:tcPr>
            <w:tcW w:w="1842" w:type="dxa"/>
          </w:tcPr>
          <w:p w:rsidR="00000000" w:rsidRDefault="00000000">
            <w:pPr>
              <w:pStyle w:val="BodyText"/>
              <w:spacing w:after="0"/>
              <w:jc w:val="center"/>
            </w:pPr>
            <w:r>
              <w:t>197</w:t>
            </w:r>
          </w:p>
        </w:tc>
        <w:tc>
          <w:tcPr>
            <w:tcW w:w="1443" w:type="dxa"/>
          </w:tcPr>
          <w:p w:rsidR="00000000" w:rsidRDefault="00000000">
            <w:pPr>
              <w:pStyle w:val="BodyText"/>
              <w:spacing w:after="0"/>
              <w:jc w:val="center"/>
            </w:pPr>
            <w:r>
              <w:t>517</w:t>
            </w:r>
          </w:p>
        </w:tc>
      </w:tr>
      <w:tr w:rsidR="00000000">
        <w:tblPrEx>
          <w:tblCellMar>
            <w:top w:w="0" w:type="dxa"/>
            <w:bottom w:w="0" w:type="dxa"/>
          </w:tblCellMar>
        </w:tblPrEx>
        <w:trPr>
          <w:jc w:val="center"/>
        </w:trPr>
        <w:tc>
          <w:tcPr>
            <w:tcW w:w="1251" w:type="dxa"/>
          </w:tcPr>
          <w:p w:rsidR="00000000" w:rsidRDefault="00000000">
            <w:pPr>
              <w:pStyle w:val="BodyText"/>
              <w:spacing w:after="0"/>
            </w:pPr>
            <w:r>
              <w:t>1997/98</w:t>
            </w:r>
          </w:p>
        </w:tc>
        <w:tc>
          <w:tcPr>
            <w:tcW w:w="1134" w:type="dxa"/>
          </w:tcPr>
          <w:p w:rsidR="00000000" w:rsidRDefault="00000000">
            <w:pPr>
              <w:pStyle w:val="BodyText"/>
              <w:spacing w:after="0"/>
              <w:ind w:right="284"/>
              <w:jc w:val="right"/>
            </w:pPr>
            <w:r>
              <w:t>989</w:t>
            </w:r>
          </w:p>
        </w:tc>
        <w:tc>
          <w:tcPr>
            <w:tcW w:w="1134" w:type="dxa"/>
          </w:tcPr>
          <w:p w:rsidR="00000000" w:rsidRDefault="00000000">
            <w:pPr>
              <w:pStyle w:val="BodyText"/>
              <w:spacing w:after="0"/>
              <w:jc w:val="center"/>
            </w:pPr>
            <w:r>
              <w:t>862</w:t>
            </w:r>
          </w:p>
        </w:tc>
        <w:tc>
          <w:tcPr>
            <w:tcW w:w="992" w:type="dxa"/>
          </w:tcPr>
          <w:p w:rsidR="00000000" w:rsidRDefault="00000000">
            <w:pPr>
              <w:pStyle w:val="BodyText"/>
              <w:spacing w:after="0"/>
              <w:jc w:val="center"/>
            </w:pPr>
            <w:r>
              <w:t>1 851</w:t>
            </w:r>
          </w:p>
        </w:tc>
        <w:tc>
          <w:tcPr>
            <w:tcW w:w="993" w:type="dxa"/>
          </w:tcPr>
          <w:p w:rsidR="00000000" w:rsidRDefault="00000000">
            <w:pPr>
              <w:pStyle w:val="BodyText"/>
              <w:spacing w:after="0"/>
              <w:jc w:val="center"/>
            </w:pPr>
            <w:r>
              <w:t>32</w:t>
            </w:r>
          </w:p>
        </w:tc>
        <w:tc>
          <w:tcPr>
            <w:tcW w:w="1842" w:type="dxa"/>
          </w:tcPr>
          <w:p w:rsidR="00000000" w:rsidRDefault="00000000">
            <w:pPr>
              <w:pStyle w:val="BodyText"/>
              <w:spacing w:after="0"/>
              <w:jc w:val="center"/>
            </w:pPr>
            <w:r>
              <w:t>207</w:t>
            </w:r>
          </w:p>
        </w:tc>
        <w:tc>
          <w:tcPr>
            <w:tcW w:w="1443" w:type="dxa"/>
          </w:tcPr>
          <w:p w:rsidR="00000000" w:rsidRDefault="00000000">
            <w:pPr>
              <w:pStyle w:val="BodyText"/>
              <w:spacing w:after="0"/>
              <w:jc w:val="center"/>
            </w:pPr>
            <w:r>
              <w:t>575</w:t>
            </w:r>
          </w:p>
        </w:tc>
      </w:tr>
      <w:tr w:rsidR="00000000">
        <w:tblPrEx>
          <w:tblCellMar>
            <w:top w:w="0" w:type="dxa"/>
            <w:bottom w:w="0" w:type="dxa"/>
          </w:tblCellMar>
        </w:tblPrEx>
        <w:trPr>
          <w:jc w:val="center"/>
        </w:trPr>
        <w:tc>
          <w:tcPr>
            <w:tcW w:w="1251" w:type="dxa"/>
          </w:tcPr>
          <w:p w:rsidR="00000000" w:rsidRDefault="00000000">
            <w:pPr>
              <w:pStyle w:val="BodyText"/>
              <w:spacing w:after="0"/>
            </w:pPr>
            <w:r>
              <w:t>1998/99</w:t>
            </w:r>
          </w:p>
        </w:tc>
        <w:tc>
          <w:tcPr>
            <w:tcW w:w="1134" w:type="dxa"/>
          </w:tcPr>
          <w:p w:rsidR="00000000" w:rsidRDefault="00000000">
            <w:pPr>
              <w:pStyle w:val="BodyText"/>
              <w:spacing w:after="0"/>
              <w:ind w:right="284"/>
              <w:jc w:val="right"/>
            </w:pPr>
            <w:r>
              <w:t>1 038</w:t>
            </w:r>
          </w:p>
        </w:tc>
        <w:tc>
          <w:tcPr>
            <w:tcW w:w="1134" w:type="dxa"/>
          </w:tcPr>
          <w:p w:rsidR="00000000" w:rsidRDefault="00000000">
            <w:pPr>
              <w:pStyle w:val="BodyText"/>
              <w:spacing w:after="0"/>
              <w:jc w:val="center"/>
            </w:pPr>
            <w:r>
              <w:t>895</w:t>
            </w:r>
          </w:p>
        </w:tc>
        <w:tc>
          <w:tcPr>
            <w:tcW w:w="992" w:type="dxa"/>
          </w:tcPr>
          <w:p w:rsidR="00000000" w:rsidRDefault="00000000">
            <w:pPr>
              <w:pStyle w:val="BodyText"/>
              <w:spacing w:after="0"/>
              <w:jc w:val="center"/>
            </w:pPr>
            <w:r>
              <w:t>1 933</w:t>
            </w:r>
          </w:p>
        </w:tc>
        <w:tc>
          <w:tcPr>
            <w:tcW w:w="993" w:type="dxa"/>
          </w:tcPr>
          <w:p w:rsidR="00000000" w:rsidRDefault="00000000">
            <w:pPr>
              <w:pStyle w:val="BodyText"/>
              <w:spacing w:after="0"/>
              <w:jc w:val="center"/>
            </w:pPr>
            <w:r>
              <w:t>29</w:t>
            </w:r>
          </w:p>
        </w:tc>
        <w:tc>
          <w:tcPr>
            <w:tcW w:w="1842" w:type="dxa"/>
          </w:tcPr>
          <w:p w:rsidR="00000000" w:rsidRDefault="00000000">
            <w:pPr>
              <w:pStyle w:val="BodyText"/>
              <w:spacing w:after="0"/>
              <w:jc w:val="center"/>
            </w:pPr>
            <w:r>
              <w:t>207</w:t>
            </w:r>
          </w:p>
        </w:tc>
        <w:tc>
          <w:tcPr>
            <w:tcW w:w="1443" w:type="dxa"/>
          </w:tcPr>
          <w:p w:rsidR="00000000" w:rsidRDefault="00000000">
            <w:pPr>
              <w:pStyle w:val="BodyText"/>
              <w:spacing w:after="0"/>
              <w:jc w:val="center"/>
            </w:pPr>
            <w:r>
              <w:t>776</w:t>
            </w:r>
          </w:p>
        </w:tc>
      </w:tr>
    </w:tbl>
    <w:p w:rsidR="00000000" w:rsidRDefault="00000000">
      <w:pPr>
        <w:pStyle w:val="BodyText"/>
        <w:spacing w:before="360"/>
      </w:pPr>
      <w:r>
        <w:rPr>
          <w:lang w:val="en-US"/>
        </w:rPr>
        <w:t>e</w:t>
      </w:r>
      <w:r>
        <w:t>)</w:t>
      </w:r>
      <w:r>
        <w:tab/>
      </w:r>
      <w:r>
        <w:rPr>
          <w:u w:val="single"/>
        </w:rPr>
        <w:t>Частное обучение (частные школы)</w:t>
      </w:r>
    </w:p>
    <w:p w:rsidR="00000000" w:rsidRDefault="00000000">
      <w:pPr>
        <w:pStyle w:val="BodyText"/>
        <w:spacing w:after="360"/>
      </w:pPr>
      <w:r>
        <w:tab/>
        <w:t>Государство Кувейт всегда ставило перед собой цель предоставлять возможности для получения образования всем гражданам и лицам, проживающим на его территории, ввиду большого влияния, которое оказывает образование на процессы социально-экономического развития, а также в интересах реализации одного из основных прав человека – права на образование. Это и предопределило создание частного образовательного сектора двух видов – арабского и иностранного. Этот сектор образования предназначен для детей граждан Кувейта, желающих учиться в частных школах, а также для предоставления возможности дополнительному числу детей лиц, временно находящихся на территории Кувейта, которые не могут или не хотят учиться в государственных школах. За последние годы в данном секторе отмечается значительный рост, данные о котором за период с 1990/91 по 1998/99 год приводятся в таблице ниже:</w:t>
      </w:r>
    </w:p>
    <w:tbl>
      <w:tblPr>
        <w:tblW w:w="0" w:type="auto"/>
        <w:jc w:val="center"/>
        <w:tblLayout w:type="fixed"/>
        <w:tblCellMar>
          <w:left w:w="40" w:type="dxa"/>
          <w:right w:w="40" w:type="dxa"/>
        </w:tblCellMar>
        <w:tblLook w:val="0000" w:firstRow="0" w:lastRow="0" w:firstColumn="0" w:lastColumn="0" w:noHBand="0" w:noVBand="0"/>
      </w:tblPr>
      <w:tblGrid>
        <w:gridCol w:w="1394"/>
        <w:gridCol w:w="1394"/>
        <w:gridCol w:w="1819"/>
        <w:gridCol w:w="1394"/>
        <w:gridCol w:w="1394"/>
        <w:gridCol w:w="1394"/>
      </w:tblGrid>
      <w:tr w:rsidR="00000000">
        <w:tblPrEx>
          <w:tblCellMar>
            <w:top w:w="0" w:type="dxa"/>
            <w:bottom w:w="0" w:type="dxa"/>
          </w:tblCellMar>
        </w:tblPrEx>
        <w:trPr>
          <w:trHeight w:val="20"/>
          <w:jc w:val="center"/>
        </w:trPr>
        <w:tc>
          <w:tcPr>
            <w:tcW w:w="1394" w:type="dxa"/>
            <w:shd w:val="clear" w:color="auto" w:fill="FFFFFF"/>
          </w:tcPr>
          <w:p w:rsidR="00000000" w:rsidRDefault="00000000">
            <w:pPr>
              <w:pStyle w:val="-9"/>
            </w:pPr>
            <w:r>
              <w:t>Год</w:t>
            </w:r>
          </w:p>
        </w:tc>
        <w:tc>
          <w:tcPr>
            <w:tcW w:w="1394" w:type="dxa"/>
            <w:shd w:val="clear" w:color="auto" w:fill="FFFFFF"/>
          </w:tcPr>
          <w:p w:rsidR="00000000" w:rsidRDefault="00000000">
            <w:pPr>
              <w:pStyle w:val="-9"/>
            </w:pPr>
            <w:r>
              <w:t>Школы</w:t>
            </w:r>
          </w:p>
        </w:tc>
        <w:tc>
          <w:tcPr>
            <w:tcW w:w="1819" w:type="dxa"/>
            <w:shd w:val="clear" w:color="auto" w:fill="FFFFFF"/>
          </w:tcPr>
          <w:p w:rsidR="00000000" w:rsidRDefault="00000000">
            <w:pPr>
              <w:pStyle w:val="-9"/>
            </w:pPr>
            <w:r>
              <w:t>Классные помещения</w:t>
            </w:r>
          </w:p>
        </w:tc>
        <w:tc>
          <w:tcPr>
            <w:tcW w:w="1394" w:type="dxa"/>
            <w:shd w:val="clear" w:color="auto" w:fill="FFFFFF"/>
          </w:tcPr>
          <w:p w:rsidR="00000000" w:rsidRDefault="00000000">
            <w:pPr>
              <w:pStyle w:val="-9"/>
            </w:pPr>
            <w:r>
              <w:t>Мальчики</w:t>
            </w:r>
          </w:p>
        </w:tc>
        <w:tc>
          <w:tcPr>
            <w:tcW w:w="1394" w:type="dxa"/>
            <w:shd w:val="clear" w:color="auto" w:fill="FFFFFF"/>
          </w:tcPr>
          <w:p w:rsidR="00000000" w:rsidRDefault="00000000">
            <w:pPr>
              <w:pStyle w:val="-9"/>
            </w:pPr>
            <w:r>
              <w:t>Девочки</w:t>
            </w:r>
          </w:p>
        </w:tc>
        <w:tc>
          <w:tcPr>
            <w:tcW w:w="1394" w:type="dxa"/>
            <w:shd w:val="clear" w:color="auto" w:fill="FFFFFF"/>
          </w:tcPr>
          <w:p w:rsidR="00000000" w:rsidRDefault="00000000">
            <w:pPr>
              <w:pStyle w:val="-9"/>
            </w:pPr>
            <w:r>
              <w:t xml:space="preserve">Итого </w:t>
            </w:r>
          </w:p>
        </w:tc>
      </w:tr>
      <w:tr w:rsidR="00000000">
        <w:tblPrEx>
          <w:tblCellMar>
            <w:top w:w="0" w:type="dxa"/>
            <w:bottom w:w="0" w:type="dxa"/>
          </w:tblCellMar>
        </w:tblPrEx>
        <w:trPr>
          <w:trHeight w:val="20"/>
          <w:jc w:val="center"/>
        </w:trPr>
        <w:tc>
          <w:tcPr>
            <w:tcW w:w="1394" w:type="dxa"/>
            <w:shd w:val="clear" w:color="auto" w:fill="FFFFFF"/>
          </w:tcPr>
          <w:p w:rsidR="00000000" w:rsidRDefault="00000000">
            <w:pPr>
              <w:pStyle w:val="BodyText"/>
              <w:spacing w:after="0"/>
              <w:jc w:val="center"/>
            </w:pPr>
            <w:r>
              <w:rPr>
                <w:color w:val="000000"/>
              </w:rPr>
              <w:t>1990/91</w:t>
            </w:r>
          </w:p>
        </w:tc>
        <w:tc>
          <w:tcPr>
            <w:tcW w:w="1394" w:type="dxa"/>
            <w:shd w:val="clear" w:color="auto" w:fill="FFFFFF"/>
          </w:tcPr>
          <w:p w:rsidR="00000000" w:rsidRDefault="00000000">
            <w:pPr>
              <w:pStyle w:val="BodyText"/>
              <w:spacing w:after="0"/>
              <w:jc w:val="center"/>
            </w:pPr>
            <w:r>
              <w:rPr>
                <w:color w:val="000000"/>
              </w:rPr>
              <w:t>172</w:t>
            </w:r>
          </w:p>
        </w:tc>
        <w:tc>
          <w:tcPr>
            <w:tcW w:w="1819" w:type="dxa"/>
            <w:shd w:val="clear" w:color="auto" w:fill="FFFFFF"/>
          </w:tcPr>
          <w:p w:rsidR="00000000" w:rsidRDefault="00000000">
            <w:pPr>
              <w:pStyle w:val="BodyText"/>
              <w:spacing w:after="0"/>
              <w:jc w:val="center"/>
            </w:pPr>
            <w:r>
              <w:rPr>
                <w:color w:val="000000"/>
              </w:rPr>
              <w:t>1 836</w:t>
            </w:r>
          </w:p>
        </w:tc>
        <w:tc>
          <w:tcPr>
            <w:tcW w:w="1394" w:type="dxa"/>
            <w:shd w:val="clear" w:color="auto" w:fill="FFFFFF"/>
          </w:tcPr>
          <w:p w:rsidR="00000000" w:rsidRDefault="00000000">
            <w:pPr>
              <w:pStyle w:val="BodyText"/>
              <w:spacing w:after="0"/>
              <w:jc w:val="center"/>
            </w:pPr>
            <w:r>
              <w:rPr>
                <w:color w:val="000000"/>
              </w:rPr>
              <w:t>35 686</w:t>
            </w:r>
          </w:p>
        </w:tc>
        <w:tc>
          <w:tcPr>
            <w:tcW w:w="1394" w:type="dxa"/>
            <w:shd w:val="clear" w:color="auto" w:fill="FFFFFF"/>
          </w:tcPr>
          <w:p w:rsidR="00000000" w:rsidRDefault="00000000">
            <w:pPr>
              <w:pStyle w:val="BodyText"/>
              <w:spacing w:after="0"/>
              <w:jc w:val="center"/>
            </w:pPr>
            <w:r>
              <w:rPr>
                <w:color w:val="000000"/>
              </w:rPr>
              <w:t>29 721</w:t>
            </w:r>
          </w:p>
        </w:tc>
        <w:tc>
          <w:tcPr>
            <w:tcW w:w="1394" w:type="dxa"/>
            <w:shd w:val="clear" w:color="auto" w:fill="FFFFFF"/>
          </w:tcPr>
          <w:p w:rsidR="00000000" w:rsidRDefault="00000000">
            <w:pPr>
              <w:pStyle w:val="BodyText"/>
              <w:spacing w:after="0"/>
              <w:ind w:right="340"/>
              <w:jc w:val="right"/>
            </w:pPr>
            <w:r>
              <w:rPr>
                <w:color w:val="000000"/>
              </w:rPr>
              <w:t>65 407</w:t>
            </w:r>
          </w:p>
        </w:tc>
      </w:tr>
      <w:tr w:rsidR="00000000">
        <w:tblPrEx>
          <w:tblCellMar>
            <w:top w:w="0" w:type="dxa"/>
            <w:bottom w:w="0" w:type="dxa"/>
          </w:tblCellMar>
        </w:tblPrEx>
        <w:trPr>
          <w:trHeight w:val="20"/>
          <w:jc w:val="center"/>
        </w:trPr>
        <w:tc>
          <w:tcPr>
            <w:tcW w:w="1394" w:type="dxa"/>
            <w:shd w:val="clear" w:color="auto" w:fill="FFFFFF"/>
          </w:tcPr>
          <w:p w:rsidR="00000000" w:rsidRDefault="00000000">
            <w:pPr>
              <w:pStyle w:val="BodyText"/>
              <w:spacing w:after="0"/>
              <w:jc w:val="center"/>
            </w:pPr>
            <w:r>
              <w:rPr>
                <w:color w:val="000000"/>
              </w:rPr>
              <w:t>1991/92</w:t>
            </w:r>
          </w:p>
        </w:tc>
        <w:tc>
          <w:tcPr>
            <w:tcW w:w="1394" w:type="dxa"/>
            <w:shd w:val="clear" w:color="auto" w:fill="FFFFFF"/>
          </w:tcPr>
          <w:p w:rsidR="00000000" w:rsidRDefault="00000000">
            <w:pPr>
              <w:pStyle w:val="BodyText"/>
              <w:spacing w:after="0"/>
              <w:jc w:val="center"/>
            </w:pPr>
            <w:r>
              <w:rPr>
                <w:color w:val="000000"/>
              </w:rPr>
              <w:t>206</w:t>
            </w:r>
          </w:p>
        </w:tc>
        <w:tc>
          <w:tcPr>
            <w:tcW w:w="1819" w:type="dxa"/>
            <w:shd w:val="clear" w:color="auto" w:fill="FFFFFF"/>
          </w:tcPr>
          <w:p w:rsidR="00000000" w:rsidRDefault="00000000">
            <w:pPr>
              <w:pStyle w:val="BodyText"/>
              <w:spacing w:after="0"/>
              <w:jc w:val="center"/>
            </w:pPr>
            <w:r>
              <w:rPr>
                <w:color w:val="000000"/>
              </w:rPr>
              <w:t>1 956</w:t>
            </w:r>
          </w:p>
        </w:tc>
        <w:tc>
          <w:tcPr>
            <w:tcW w:w="1394" w:type="dxa"/>
            <w:shd w:val="clear" w:color="auto" w:fill="FFFFFF"/>
          </w:tcPr>
          <w:p w:rsidR="00000000" w:rsidRDefault="00000000">
            <w:pPr>
              <w:pStyle w:val="BodyText"/>
              <w:spacing w:after="0"/>
              <w:jc w:val="center"/>
            </w:pPr>
            <w:r>
              <w:rPr>
                <w:color w:val="000000"/>
              </w:rPr>
              <w:t>40 652</w:t>
            </w:r>
          </w:p>
        </w:tc>
        <w:tc>
          <w:tcPr>
            <w:tcW w:w="1394" w:type="dxa"/>
            <w:shd w:val="clear" w:color="auto" w:fill="FFFFFF"/>
          </w:tcPr>
          <w:p w:rsidR="00000000" w:rsidRDefault="00000000">
            <w:pPr>
              <w:pStyle w:val="BodyText"/>
              <w:spacing w:after="0"/>
              <w:jc w:val="center"/>
            </w:pPr>
            <w:r>
              <w:rPr>
                <w:color w:val="000000"/>
              </w:rPr>
              <w:t>34 132</w:t>
            </w:r>
          </w:p>
        </w:tc>
        <w:tc>
          <w:tcPr>
            <w:tcW w:w="1394" w:type="dxa"/>
            <w:shd w:val="clear" w:color="auto" w:fill="FFFFFF"/>
          </w:tcPr>
          <w:p w:rsidR="00000000" w:rsidRDefault="00000000">
            <w:pPr>
              <w:pStyle w:val="BodyText"/>
              <w:spacing w:after="0"/>
              <w:ind w:right="340"/>
              <w:jc w:val="right"/>
            </w:pPr>
            <w:r>
              <w:rPr>
                <w:color w:val="000000"/>
              </w:rPr>
              <w:t>74 784</w:t>
            </w:r>
          </w:p>
        </w:tc>
      </w:tr>
      <w:tr w:rsidR="00000000">
        <w:tblPrEx>
          <w:tblCellMar>
            <w:top w:w="0" w:type="dxa"/>
            <w:bottom w:w="0" w:type="dxa"/>
          </w:tblCellMar>
        </w:tblPrEx>
        <w:trPr>
          <w:trHeight w:val="20"/>
          <w:jc w:val="center"/>
        </w:trPr>
        <w:tc>
          <w:tcPr>
            <w:tcW w:w="1394" w:type="dxa"/>
            <w:shd w:val="clear" w:color="auto" w:fill="FFFFFF"/>
          </w:tcPr>
          <w:p w:rsidR="00000000" w:rsidRDefault="00000000">
            <w:pPr>
              <w:pStyle w:val="BodyText"/>
              <w:spacing w:after="0"/>
              <w:jc w:val="center"/>
            </w:pPr>
            <w:r>
              <w:rPr>
                <w:color w:val="000000"/>
              </w:rPr>
              <w:t>1992/93</w:t>
            </w:r>
          </w:p>
        </w:tc>
        <w:tc>
          <w:tcPr>
            <w:tcW w:w="1394" w:type="dxa"/>
            <w:shd w:val="clear" w:color="auto" w:fill="FFFFFF"/>
          </w:tcPr>
          <w:p w:rsidR="00000000" w:rsidRDefault="00000000">
            <w:pPr>
              <w:pStyle w:val="BodyText"/>
              <w:spacing w:after="0"/>
              <w:jc w:val="center"/>
            </w:pPr>
            <w:r>
              <w:rPr>
                <w:color w:val="000000"/>
              </w:rPr>
              <w:t>240</w:t>
            </w:r>
          </w:p>
        </w:tc>
        <w:tc>
          <w:tcPr>
            <w:tcW w:w="1819" w:type="dxa"/>
            <w:shd w:val="clear" w:color="auto" w:fill="FFFFFF"/>
          </w:tcPr>
          <w:p w:rsidR="00000000" w:rsidRDefault="00000000">
            <w:pPr>
              <w:pStyle w:val="BodyText"/>
              <w:spacing w:after="0"/>
              <w:jc w:val="center"/>
            </w:pPr>
            <w:r>
              <w:rPr>
                <w:color w:val="000000"/>
              </w:rPr>
              <w:t>2 328</w:t>
            </w:r>
          </w:p>
        </w:tc>
        <w:tc>
          <w:tcPr>
            <w:tcW w:w="1394" w:type="dxa"/>
            <w:shd w:val="clear" w:color="auto" w:fill="FFFFFF"/>
          </w:tcPr>
          <w:p w:rsidR="00000000" w:rsidRDefault="00000000">
            <w:pPr>
              <w:pStyle w:val="BodyText"/>
              <w:spacing w:after="0"/>
              <w:jc w:val="center"/>
            </w:pPr>
            <w:r>
              <w:rPr>
                <w:color w:val="000000"/>
              </w:rPr>
              <w:t>43 494</w:t>
            </w:r>
          </w:p>
        </w:tc>
        <w:tc>
          <w:tcPr>
            <w:tcW w:w="1394" w:type="dxa"/>
            <w:shd w:val="clear" w:color="auto" w:fill="FFFFFF"/>
          </w:tcPr>
          <w:p w:rsidR="00000000" w:rsidRDefault="00000000">
            <w:pPr>
              <w:pStyle w:val="BodyText"/>
              <w:spacing w:after="0"/>
              <w:jc w:val="center"/>
            </w:pPr>
            <w:r>
              <w:rPr>
                <w:color w:val="000000"/>
              </w:rPr>
              <w:t>37 856</w:t>
            </w:r>
          </w:p>
        </w:tc>
        <w:tc>
          <w:tcPr>
            <w:tcW w:w="1394" w:type="dxa"/>
            <w:shd w:val="clear" w:color="auto" w:fill="FFFFFF"/>
          </w:tcPr>
          <w:p w:rsidR="00000000" w:rsidRDefault="00000000">
            <w:pPr>
              <w:pStyle w:val="BodyText"/>
              <w:spacing w:after="0"/>
              <w:ind w:right="340"/>
              <w:jc w:val="right"/>
            </w:pPr>
            <w:r>
              <w:rPr>
                <w:color w:val="000000"/>
              </w:rPr>
              <w:t>81 350</w:t>
            </w:r>
          </w:p>
        </w:tc>
      </w:tr>
      <w:tr w:rsidR="00000000">
        <w:tblPrEx>
          <w:tblCellMar>
            <w:top w:w="0" w:type="dxa"/>
            <w:bottom w:w="0" w:type="dxa"/>
          </w:tblCellMar>
        </w:tblPrEx>
        <w:trPr>
          <w:trHeight w:val="20"/>
          <w:jc w:val="center"/>
        </w:trPr>
        <w:tc>
          <w:tcPr>
            <w:tcW w:w="1394" w:type="dxa"/>
            <w:shd w:val="clear" w:color="auto" w:fill="FFFFFF"/>
          </w:tcPr>
          <w:p w:rsidR="00000000" w:rsidRDefault="00000000">
            <w:pPr>
              <w:pStyle w:val="BodyText"/>
              <w:spacing w:after="0"/>
              <w:jc w:val="center"/>
            </w:pPr>
            <w:r>
              <w:rPr>
                <w:color w:val="000000"/>
              </w:rPr>
              <w:t>1993/94</w:t>
            </w:r>
          </w:p>
        </w:tc>
        <w:tc>
          <w:tcPr>
            <w:tcW w:w="1394" w:type="dxa"/>
            <w:shd w:val="clear" w:color="auto" w:fill="FFFFFF"/>
          </w:tcPr>
          <w:p w:rsidR="00000000" w:rsidRDefault="00000000">
            <w:pPr>
              <w:pStyle w:val="BodyText"/>
              <w:spacing w:after="0"/>
              <w:jc w:val="center"/>
            </w:pPr>
            <w:r>
              <w:rPr>
                <w:color w:val="000000"/>
              </w:rPr>
              <w:t>251</w:t>
            </w:r>
          </w:p>
        </w:tc>
        <w:tc>
          <w:tcPr>
            <w:tcW w:w="1819" w:type="dxa"/>
            <w:shd w:val="clear" w:color="auto" w:fill="FFFFFF"/>
          </w:tcPr>
          <w:p w:rsidR="00000000" w:rsidRDefault="00000000">
            <w:pPr>
              <w:pStyle w:val="BodyText"/>
              <w:spacing w:after="0"/>
              <w:jc w:val="center"/>
            </w:pPr>
            <w:r>
              <w:rPr>
                <w:color w:val="000000"/>
              </w:rPr>
              <w:t>3 076</w:t>
            </w:r>
          </w:p>
        </w:tc>
        <w:tc>
          <w:tcPr>
            <w:tcW w:w="1394" w:type="dxa"/>
            <w:shd w:val="clear" w:color="auto" w:fill="FFFFFF"/>
          </w:tcPr>
          <w:p w:rsidR="00000000" w:rsidRDefault="00000000">
            <w:pPr>
              <w:pStyle w:val="BodyText"/>
              <w:spacing w:after="0"/>
              <w:jc w:val="center"/>
            </w:pPr>
            <w:r>
              <w:rPr>
                <w:color w:val="000000"/>
              </w:rPr>
              <w:t>52 384</w:t>
            </w:r>
          </w:p>
        </w:tc>
        <w:tc>
          <w:tcPr>
            <w:tcW w:w="1394" w:type="dxa"/>
            <w:shd w:val="clear" w:color="auto" w:fill="FFFFFF"/>
          </w:tcPr>
          <w:p w:rsidR="00000000" w:rsidRDefault="00000000">
            <w:pPr>
              <w:pStyle w:val="BodyText"/>
              <w:spacing w:after="0"/>
              <w:jc w:val="center"/>
            </w:pPr>
            <w:r>
              <w:rPr>
                <w:color w:val="000000"/>
              </w:rPr>
              <w:t>45 683</w:t>
            </w:r>
          </w:p>
        </w:tc>
        <w:tc>
          <w:tcPr>
            <w:tcW w:w="1394" w:type="dxa"/>
            <w:shd w:val="clear" w:color="auto" w:fill="FFFFFF"/>
          </w:tcPr>
          <w:p w:rsidR="00000000" w:rsidRDefault="00000000">
            <w:pPr>
              <w:pStyle w:val="BodyText"/>
              <w:spacing w:after="0"/>
              <w:ind w:right="340"/>
              <w:jc w:val="right"/>
            </w:pPr>
            <w:r>
              <w:rPr>
                <w:color w:val="000000"/>
              </w:rPr>
              <w:t>98 067</w:t>
            </w:r>
          </w:p>
        </w:tc>
      </w:tr>
      <w:tr w:rsidR="00000000">
        <w:tblPrEx>
          <w:tblCellMar>
            <w:top w:w="0" w:type="dxa"/>
            <w:bottom w:w="0" w:type="dxa"/>
          </w:tblCellMar>
        </w:tblPrEx>
        <w:trPr>
          <w:trHeight w:val="20"/>
          <w:jc w:val="center"/>
        </w:trPr>
        <w:tc>
          <w:tcPr>
            <w:tcW w:w="1394" w:type="dxa"/>
            <w:shd w:val="clear" w:color="auto" w:fill="FFFFFF"/>
          </w:tcPr>
          <w:p w:rsidR="00000000" w:rsidRDefault="00000000">
            <w:pPr>
              <w:pStyle w:val="BodyText"/>
              <w:spacing w:after="0"/>
              <w:jc w:val="center"/>
            </w:pPr>
            <w:r>
              <w:rPr>
                <w:color w:val="000000"/>
              </w:rPr>
              <w:t>1994/95</w:t>
            </w:r>
          </w:p>
        </w:tc>
        <w:tc>
          <w:tcPr>
            <w:tcW w:w="1394" w:type="dxa"/>
            <w:shd w:val="clear" w:color="auto" w:fill="FFFFFF"/>
          </w:tcPr>
          <w:p w:rsidR="00000000" w:rsidRDefault="00000000">
            <w:pPr>
              <w:pStyle w:val="BodyText"/>
              <w:spacing w:after="0"/>
              <w:jc w:val="center"/>
            </w:pPr>
            <w:r>
              <w:rPr>
                <w:color w:val="000000"/>
              </w:rPr>
              <w:t>258</w:t>
            </w:r>
          </w:p>
        </w:tc>
        <w:tc>
          <w:tcPr>
            <w:tcW w:w="1819" w:type="dxa"/>
            <w:shd w:val="clear" w:color="auto" w:fill="FFFFFF"/>
          </w:tcPr>
          <w:p w:rsidR="00000000" w:rsidRDefault="00000000">
            <w:pPr>
              <w:pStyle w:val="BodyText"/>
              <w:spacing w:after="0"/>
              <w:jc w:val="center"/>
            </w:pPr>
            <w:r>
              <w:rPr>
                <w:color w:val="000000"/>
              </w:rPr>
              <w:t>3 427</w:t>
            </w:r>
          </w:p>
        </w:tc>
        <w:tc>
          <w:tcPr>
            <w:tcW w:w="1394" w:type="dxa"/>
            <w:shd w:val="clear" w:color="auto" w:fill="FFFFFF"/>
          </w:tcPr>
          <w:p w:rsidR="00000000" w:rsidRDefault="00000000">
            <w:pPr>
              <w:pStyle w:val="BodyText"/>
              <w:spacing w:after="0"/>
              <w:jc w:val="center"/>
            </w:pPr>
            <w:r>
              <w:rPr>
                <w:color w:val="000000"/>
              </w:rPr>
              <w:t>55 959</w:t>
            </w:r>
          </w:p>
        </w:tc>
        <w:tc>
          <w:tcPr>
            <w:tcW w:w="1394" w:type="dxa"/>
            <w:shd w:val="clear" w:color="auto" w:fill="FFFFFF"/>
          </w:tcPr>
          <w:p w:rsidR="00000000" w:rsidRDefault="00000000">
            <w:pPr>
              <w:pStyle w:val="BodyText"/>
              <w:spacing w:after="0"/>
              <w:jc w:val="center"/>
            </w:pPr>
            <w:r>
              <w:rPr>
                <w:color w:val="000000"/>
              </w:rPr>
              <w:t>48 982</w:t>
            </w:r>
          </w:p>
        </w:tc>
        <w:tc>
          <w:tcPr>
            <w:tcW w:w="1394" w:type="dxa"/>
            <w:shd w:val="clear" w:color="auto" w:fill="FFFFFF"/>
          </w:tcPr>
          <w:p w:rsidR="00000000" w:rsidRDefault="00000000">
            <w:pPr>
              <w:pStyle w:val="BodyText"/>
              <w:spacing w:after="0"/>
              <w:ind w:right="340"/>
              <w:jc w:val="right"/>
            </w:pPr>
            <w:r>
              <w:rPr>
                <w:color w:val="000000"/>
              </w:rPr>
              <w:t>104 941</w:t>
            </w:r>
          </w:p>
        </w:tc>
      </w:tr>
      <w:tr w:rsidR="00000000">
        <w:tblPrEx>
          <w:tblCellMar>
            <w:top w:w="0" w:type="dxa"/>
            <w:bottom w:w="0" w:type="dxa"/>
          </w:tblCellMar>
        </w:tblPrEx>
        <w:trPr>
          <w:trHeight w:val="20"/>
          <w:jc w:val="center"/>
        </w:trPr>
        <w:tc>
          <w:tcPr>
            <w:tcW w:w="1394" w:type="dxa"/>
            <w:shd w:val="clear" w:color="auto" w:fill="FFFFFF"/>
          </w:tcPr>
          <w:p w:rsidR="00000000" w:rsidRDefault="00000000">
            <w:pPr>
              <w:pStyle w:val="BodyText"/>
              <w:spacing w:after="0"/>
              <w:jc w:val="center"/>
            </w:pPr>
            <w:r>
              <w:rPr>
                <w:color w:val="000000"/>
              </w:rPr>
              <w:t>1995/96</w:t>
            </w:r>
          </w:p>
        </w:tc>
        <w:tc>
          <w:tcPr>
            <w:tcW w:w="1394" w:type="dxa"/>
            <w:shd w:val="clear" w:color="auto" w:fill="FFFFFF"/>
          </w:tcPr>
          <w:p w:rsidR="00000000" w:rsidRDefault="00000000">
            <w:pPr>
              <w:pStyle w:val="BodyText"/>
              <w:spacing w:after="0"/>
              <w:jc w:val="center"/>
            </w:pPr>
            <w:r>
              <w:rPr>
                <w:color w:val="000000"/>
              </w:rPr>
              <w:t>275</w:t>
            </w:r>
          </w:p>
        </w:tc>
        <w:tc>
          <w:tcPr>
            <w:tcW w:w="1819" w:type="dxa"/>
            <w:shd w:val="clear" w:color="auto" w:fill="FFFFFF"/>
          </w:tcPr>
          <w:p w:rsidR="00000000" w:rsidRDefault="00000000">
            <w:pPr>
              <w:pStyle w:val="BodyText"/>
              <w:spacing w:after="0"/>
              <w:jc w:val="center"/>
            </w:pPr>
            <w:r>
              <w:rPr>
                <w:color w:val="000000"/>
              </w:rPr>
              <w:t>3 692</w:t>
            </w:r>
          </w:p>
        </w:tc>
        <w:tc>
          <w:tcPr>
            <w:tcW w:w="1394" w:type="dxa"/>
            <w:shd w:val="clear" w:color="auto" w:fill="FFFFFF"/>
          </w:tcPr>
          <w:p w:rsidR="00000000" w:rsidRDefault="00000000">
            <w:pPr>
              <w:pStyle w:val="BodyText"/>
              <w:spacing w:after="0"/>
              <w:jc w:val="center"/>
            </w:pPr>
            <w:r>
              <w:rPr>
                <w:color w:val="000000"/>
              </w:rPr>
              <w:t>60 866</w:t>
            </w:r>
          </w:p>
        </w:tc>
        <w:tc>
          <w:tcPr>
            <w:tcW w:w="1394" w:type="dxa"/>
            <w:shd w:val="clear" w:color="auto" w:fill="FFFFFF"/>
          </w:tcPr>
          <w:p w:rsidR="00000000" w:rsidRDefault="00000000">
            <w:pPr>
              <w:pStyle w:val="BodyText"/>
              <w:spacing w:after="0"/>
              <w:jc w:val="center"/>
            </w:pPr>
            <w:r>
              <w:rPr>
                <w:color w:val="000000"/>
              </w:rPr>
              <w:t>52 991</w:t>
            </w:r>
          </w:p>
        </w:tc>
        <w:tc>
          <w:tcPr>
            <w:tcW w:w="1394" w:type="dxa"/>
            <w:shd w:val="clear" w:color="auto" w:fill="FFFFFF"/>
          </w:tcPr>
          <w:p w:rsidR="00000000" w:rsidRDefault="00000000">
            <w:pPr>
              <w:pStyle w:val="BodyText"/>
              <w:spacing w:after="0"/>
              <w:ind w:right="340"/>
              <w:jc w:val="right"/>
            </w:pPr>
            <w:r>
              <w:rPr>
                <w:color w:val="000000"/>
              </w:rPr>
              <w:t>113 857</w:t>
            </w:r>
          </w:p>
        </w:tc>
      </w:tr>
      <w:tr w:rsidR="00000000">
        <w:tblPrEx>
          <w:tblCellMar>
            <w:top w:w="0" w:type="dxa"/>
            <w:bottom w:w="0" w:type="dxa"/>
          </w:tblCellMar>
        </w:tblPrEx>
        <w:trPr>
          <w:trHeight w:val="20"/>
          <w:jc w:val="center"/>
        </w:trPr>
        <w:tc>
          <w:tcPr>
            <w:tcW w:w="1394" w:type="dxa"/>
            <w:shd w:val="clear" w:color="auto" w:fill="FFFFFF"/>
          </w:tcPr>
          <w:p w:rsidR="00000000" w:rsidRDefault="00000000">
            <w:pPr>
              <w:pStyle w:val="BodyText"/>
              <w:spacing w:after="0"/>
              <w:jc w:val="center"/>
            </w:pPr>
            <w:r>
              <w:rPr>
                <w:color w:val="000000"/>
              </w:rPr>
              <w:t>1996/97</w:t>
            </w:r>
          </w:p>
        </w:tc>
        <w:tc>
          <w:tcPr>
            <w:tcW w:w="1394" w:type="dxa"/>
            <w:shd w:val="clear" w:color="auto" w:fill="FFFFFF"/>
          </w:tcPr>
          <w:p w:rsidR="00000000" w:rsidRDefault="00000000">
            <w:pPr>
              <w:pStyle w:val="BodyText"/>
              <w:spacing w:after="0"/>
              <w:jc w:val="center"/>
            </w:pPr>
            <w:r>
              <w:rPr>
                <w:color w:val="000000"/>
              </w:rPr>
              <w:t>291</w:t>
            </w:r>
          </w:p>
        </w:tc>
        <w:tc>
          <w:tcPr>
            <w:tcW w:w="1819" w:type="dxa"/>
            <w:shd w:val="clear" w:color="auto" w:fill="FFFFFF"/>
          </w:tcPr>
          <w:p w:rsidR="00000000" w:rsidRDefault="00000000">
            <w:pPr>
              <w:pStyle w:val="BodyText"/>
              <w:spacing w:after="0"/>
              <w:jc w:val="center"/>
            </w:pPr>
            <w:r>
              <w:rPr>
                <w:color w:val="000000"/>
              </w:rPr>
              <w:t>3 779</w:t>
            </w:r>
          </w:p>
        </w:tc>
        <w:tc>
          <w:tcPr>
            <w:tcW w:w="1394" w:type="dxa"/>
            <w:shd w:val="clear" w:color="auto" w:fill="FFFFFF"/>
          </w:tcPr>
          <w:p w:rsidR="00000000" w:rsidRDefault="00000000">
            <w:pPr>
              <w:pStyle w:val="BodyText"/>
              <w:spacing w:after="0"/>
              <w:jc w:val="center"/>
            </w:pPr>
            <w:r>
              <w:rPr>
                <w:color w:val="000000"/>
              </w:rPr>
              <w:t>62 326</w:t>
            </w:r>
          </w:p>
        </w:tc>
        <w:tc>
          <w:tcPr>
            <w:tcW w:w="1394" w:type="dxa"/>
            <w:shd w:val="clear" w:color="auto" w:fill="FFFFFF"/>
          </w:tcPr>
          <w:p w:rsidR="00000000" w:rsidRDefault="00000000">
            <w:pPr>
              <w:pStyle w:val="BodyText"/>
              <w:spacing w:after="0"/>
              <w:jc w:val="center"/>
            </w:pPr>
            <w:r>
              <w:rPr>
                <w:color w:val="000000"/>
              </w:rPr>
              <w:t>54 143</w:t>
            </w:r>
          </w:p>
        </w:tc>
        <w:tc>
          <w:tcPr>
            <w:tcW w:w="1394" w:type="dxa"/>
            <w:shd w:val="clear" w:color="auto" w:fill="FFFFFF"/>
          </w:tcPr>
          <w:p w:rsidR="00000000" w:rsidRDefault="00000000">
            <w:pPr>
              <w:pStyle w:val="BodyText"/>
              <w:spacing w:after="0"/>
              <w:ind w:right="340"/>
              <w:jc w:val="right"/>
            </w:pPr>
            <w:r>
              <w:rPr>
                <w:color w:val="000000"/>
              </w:rPr>
              <w:t>116 469</w:t>
            </w:r>
          </w:p>
        </w:tc>
      </w:tr>
      <w:tr w:rsidR="00000000">
        <w:tblPrEx>
          <w:tblCellMar>
            <w:top w:w="0" w:type="dxa"/>
            <w:bottom w:w="0" w:type="dxa"/>
          </w:tblCellMar>
        </w:tblPrEx>
        <w:trPr>
          <w:trHeight w:val="20"/>
          <w:jc w:val="center"/>
        </w:trPr>
        <w:tc>
          <w:tcPr>
            <w:tcW w:w="1394" w:type="dxa"/>
            <w:shd w:val="clear" w:color="auto" w:fill="FFFFFF"/>
          </w:tcPr>
          <w:p w:rsidR="00000000" w:rsidRDefault="00000000">
            <w:pPr>
              <w:pStyle w:val="BodyText"/>
              <w:spacing w:after="0"/>
              <w:jc w:val="center"/>
            </w:pPr>
            <w:r>
              <w:rPr>
                <w:color w:val="000000"/>
              </w:rPr>
              <w:t>1997/98</w:t>
            </w:r>
          </w:p>
        </w:tc>
        <w:tc>
          <w:tcPr>
            <w:tcW w:w="1394" w:type="dxa"/>
            <w:shd w:val="clear" w:color="auto" w:fill="FFFFFF"/>
          </w:tcPr>
          <w:p w:rsidR="00000000" w:rsidRDefault="00000000">
            <w:pPr>
              <w:pStyle w:val="BodyText"/>
              <w:spacing w:after="0"/>
              <w:jc w:val="center"/>
            </w:pPr>
            <w:r>
              <w:rPr>
                <w:color w:val="000000"/>
              </w:rPr>
              <w:t>321</w:t>
            </w:r>
          </w:p>
        </w:tc>
        <w:tc>
          <w:tcPr>
            <w:tcW w:w="1819" w:type="dxa"/>
            <w:shd w:val="clear" w:color="auto" w:fill="FFFFFF"/>
          </w:tcPr>
          <w:p w:rsidR="00000000" w:rsidRDefault="00000000">
            <w:pPr>
              <w:pStyle w:val="BodyText"/>
              <w:spacing w:after="0"/>
              <w:jc w:val="center"/>
            </w:pPr>
            <w:r>
              <w:rPr>
                <w:color w:val="000000"/>
              </w:rPr>
              <w:t>3 960</w:t>
            </w:r>
          </w:p>
        </w:tc>
        <w:tc>
          <w:tcPr>
            <w:tcW w:w="1394" w:type="dxa"/>
            <w:shd w:val="clear" w:color="auto" w:fill="FFFFFF"/>
          </w:tcPr>
          <w:p w:rsidR="00000000" w:rsidRDefault="00000000">
            <w:pPr>
              <w:pStyle w:val="BodyText"/>
              <w:spacing w:after="0"/>
              <w:jc w:val="center"/>
            </w:pPr>
            <w:r>
              <w:rPr>
                <w:color w:val="000000"/>
              </w:rPr>
              <w:t>64 559</w:t>
            </w:r>
          </w:p>
        </w:tc>
        <w:tc>
          <w:tcPr>
            <w:tcW w:w="1394" w:type="dxa"/>
            <w:shd w:val="clear" w:color="auto" w:fill="FFFFFF"/>
          </w:tcPr>
          <w:p w:rsidR="00000000" w:rsidRDefault="00000000">
            <w:pPr>
              <w:pStyle w:val="BodyText"/>
              <w:spacing w:after="0"/>
              <w:jc w:val="center"/>
            </w:pPr>
            <w:r>
              <w:rPr>
                <w:color w:val="000000"/>
              </w:rPr>
              <w:t>56 023</w:t>
            </w:r>
          </w:p>
        </w:tc>
        <w:tc>
          <w:tcPr>
            <w:tcW w:w="1394" w:type="dxa"/>
            <w:shd w:val="clear" w:color="auto" w:fill="FFFFFF"/>
          </w:tcPr>
          <w:p w:rsidR="00000000" w:rsidRDefault="00000000">
            <w:pPr>
              <w:pStyle w:val="BodyText"/>
              <w:spacing w:after="0"/>
              <w:ind w:right="340"/>
              <w:jc w:val="right"/>
            </w:pPr>
            <w:r>
              <w:rPr>
                <w:color w:val="000000"/>
              </w:rPr>
              <w:t>120 582</w:t>
            </w:r>
          </w:p>
        </w:tc>
      </w:tr>
      <w:tr w:rsidR="00000000">
        <w:tblPrEx>
          <w:tblCellMar>
            <w:top w:w="0" w:type="dxa"/>
            <w:bottom w:w="0" w:type="dxa"/>
          </w:tblCellMar>
        </w:tblPrEx>
        <w:trPr>
          <w:trHeight w:val="20"/>
          <w:jc w:val="center"/>
        </w:trPr>
        <w:tc>
          <w:tcPr>
            <w:tcW w:w="1394" w:type="dxa"/>
            <w:shd w:val="clear" w:color="auto" w:fill="FFFFFF"/>
          </w:tcPr>
          <w:p w:rsidR="00000000" w:rsidRDefault="00000000">
            <w:pPr>
              <w:pStyle w:val="BodyText"/>
              <w:spacing w:after="0"/>
              <w:jc w:val="center"/>
            </w:pPr>
            <w:r>
              <w:rPr>
                <w:color w:val="000000"/>
              </w:rPr>
              <w:t>1998/99</w:t>
            </w:r>
          </w:p>
        </w:tc>
        <w:tc>
          <w:tcPr>
            <w:tcW w:w="1394" w:type="dxa"/>
            <w:shd w:val="clear" w:color="auto" w:fill="FFFFFF"/>
          </w:tcPr>
          <w:p w:rsidR="00000000" w:rsidRDefault="00000000">
            <w:pPr>
              <w:pStyle w:val="BodyText"/>
              <w:spacing w:after="0"/>
              <w:jc w:val="center"/>
            </w:pPr>
            <w:r>
              <w:rPr>
                <w:color w:val="000000"/>
              </w:rPr>
              <w:t>322</w:t>
            </w:r>
          </w:p>
        </w:tc>
        <w:tc>
          <w:tcPr>
            <w:tcW w:w="1819" w:type="dxa"/>
            <w:shd w:val="clear" w:color="auto" w:fill="FFFFFF"/>
          </w:tcPr>
          <w:p w:rsidR="00000000" w:rsidRDefault="00000000">
            <w:pPr>
              <w:pStyle w:val="BodyText"/>
              <w:spacing w:after="0"/>
              <w:jc w:val="center"/>
            </w:pPr>
            <w:r>
              <w:rPr>
                <w:color w:val="000000"/>
              </w:rPr>
              <w:t>4 093</w:t>
            </w:r>
          </w:p>
        </w:tc>
        <w:tc>
          <w:tcPr>
            <w:tcW w:w="1394" w:type="dxa"/>
            <w:shd w:val="clear" w:color="auto" w:fill="FFFFFF"/>
          </w:tcPr>
          <w:p w:rsidR="00000000" w:rsidRDefault="00000000">
            <w:pPr>
              <w:pStyle w:val="BodyText"/>
              <w:spacing w:after="0"/>
              <w:jc w:val="center"/>
            </w:pPr>
            <w:r>
              <w:rPr>
                <w:color w:val="000000"/>
              </w:rPr>
              <w:t>65 719</w:t>
            </w:r>
          </w:p>
        </w:tc>
        <w:tc>
          <w:tcPr>
            <w:tcW w:w="1394" w:type="dxa"/>
            <w:shd w:val="clear" w:color="auto" w:fill="FFFFFF"/>
          </w:tcPr>
          <w:p w:rsidR="00000000" w:rsidRDefault="00000000">
            <w:pPr>
              <w:pStyle w:val="BodyText"/>
              <w:spacing w:after="0"/>
              <w:jc w:val="center"/>
            </w:pPr>
            <w:r>
              <w:rPr>
                <w:color w:val="000000"/>
              </w:rPr>
              <w:t>56 550</w:t>
            </w:r>
          </w:p>
        </w:tc>
        <w:tc>
          <w:tcPr>
            <w:tcW w:w="1394" w:type="dxa"/>
            <w:shd w:val="clear" w:color="auto" w:fill="FFFFFF"/>
          </w:tcPr>
          <w:p w:rsidR="00000000" w:rsidRDefault="00000000">
            <w:pPr>
              <w:pStyle w:val="BodyText"/>
              <w:spacing w:after="0"/>
              <w:ind w:right="340"/>
              <w:jc w:val="right"/>
            </w:pPr>
            <w:r>
              <w:rPr>
                <w:color w:val="000000"/>
              </w:rPr>
              <w:t>122 269</w:t>
            </w:r>
          </w:p>
        </w:tc>
      </w:tr>
    </w:tbl>
    <w:p w:rsidR="00000000" w:rsidRDefault="00000000">
      <w:pPr>
        <w:pStyle w:val="BodyText"/>
        <w:spacing w:before="360"/>
      </w:pPr>
      <w:r>
        <w:tab/>
        <w:t>Руководство деятельностью частных школ осуществляет Министерство просвещения, при котором на основании Постановления министра № 322 от 1 сентября 1973 года было создано Управление частного образования. В указанном секторе имеются школы двух типов:</w:t>
      </w:r>
    </w:p>
    <w:p w:rsidR="00000000" w:rsidRDefault="00000000">
      <w:pPr>
        <w:pStyle w:val="BodyText"/>
      </w:pPr>
      <w:r>
        <w:tab/>
        <w:t>–</w:t>
      </w:r>
      <w:r>
        <w:tab/>
        <w:t>арабские школы, в которых обучение производится по обязательной программе, утвержденной Министерством просвещения;</w:t>
      </w:r>
    </w:p>
    <w:p w:rsidR="00000000" w:rsidRDefault="00000000">
      <w:pPr>
        <w:pStyle w:val="BodyText"/>
      </w:pPr>
      <w:r>
        <w:tab/>
        <w:t>–</w:t>
      </w:r>
      <w:r>
        <w:tab/>
        <w:t>иностранные школы, призванные дать детям из иностранных общин, находящихся в Государстве Кувейт, возможность получать образование в соответствии с системами образования их стран, которое невозможно обеспечить в государственных школах. Руководство деятельностью таких школ осуществляет Министерство просвещения.</w:t>
      </w:r>
    </w:p>
    <w:p w:rsidR="00000000" w:rsidRDefault="00000000">
      <w:pPr>
        <w:pStyle w:val="BodyText"/>
      </w:pPr>
      <w:r>
        <w:tab/>
        <w:t>Посещаемость государственных образовательных учреждений женщинами, как свидетельствует нижеследующая таблица, повысилась.</w:t>
      </w:r>
    </w:p>
    <w:p w:rsidR="00000000" w:rsidRDefault="00000000">
      <w:pPr>
        <w:pStyle w:val="BodyText"/>
        <w:jc w:val="center"/>
      </w:pPr>
      <w:r>
        <w:t xml:space="preserve">Рост посещаемости государственных образовательных учреждений в Кувейте </w:t>
      </w:r>
      <w:r>
        <w:br/>
        <w:t>в период 1936/37–1998/99 годов с учетом гендерного фактора</w:t>
      </w:r>
    </w:p>
    <w:tbl>
      <w:tblPr>
        <w:tblW w:w="0" w:type="auto"/>
        <w:jc w:val="center"/>
        <w:tblLayout w:type="fixed"/>
        <w:tblCellMar>
          <w:left w:w="40" w:type="dxa"/>
          <w:right w:w="40" w:type="dxa"/>
        </w:tblCellMar>
        <w:tblLook w:val="0000" w:firstRow="0" w:lastRow="0" w:firstColumn="0" w:lastColumn="0" w:noHBand="0" w:noVBand="0"/>
      </w:tblPr>
      <w:tblGrid>
        <w:gridCol w:w="1535"/>
        <w:gridCol w:w="1842"/>
        <w:gridCol w:w="1843"/>
        <w:gridCol w:w="1701"/>
        <w:gridCol w:w="1868"/>
      </w:tblGrid>
      <w:tr w:rsidR="00000000">
        <w:tblPrEx>
          <w:tblCellMar>
            <w:top w:w="0" w:type="dxa"/>
            <w:bottom w:w="0" w:type="dxa"/>
          </w:tblCellMar>
        </w:tblPrEx>
        <w:trPr>
          <w:trHeight w:val="20"/>
          <w:jc w:val="center"/>
        </w:trPr>
        <w:tc>
          <w:tcPr>
            <w:tcW w:w="1535" w:type="dxa"/>
            <w:shd w:val="clear" w:color="auto" w:fill="FFFFFF"/>
          </w:tcPr>
          <w:p w:rsidR="00000000" w:rsidRDefault="00000000">
            <w:pPr>
              <w:pStyle w:val="-9"/>
            </w:pPr>
            <w:r>
              <w:t>Учебный год</w:t>
            </w:r>
          </w:p>
        </w:tc>
        <w:tc>
          <w:tcPr>
            <w:tcW w:w="1842" w:type="dxa"/>
            <w:shd w:val="clear" w:color="auto" w:fill="FFFFFF"/>
          </w:tcPr>
          <w:p w:rsidR="00000000" w:rsidRDefault="00000000">
            <w:pPr>
              <w:pStyle w:val="-9"/>
            </w:pPr>
            <w:r>
              <w:t xml:space="preserve">Всего учащихся </w:t>
            </w:r>
            <w:r>
              <w:br/>
              <w:t>обоих полов</w:t>
            </w:r>
          </w:p>
        </w:tc>
        <w:tc>
          <w:tcPr>
            <w:tcW w:w="1843" w:type="dxa"/>
            <w:shd w:val="clear" w:color="auto" w:fill="FFFFFF"/>
          </w:tcPr>
          <w:p w:rsidR="00000000" w:rsidRDefault="00000000">
            <w:pPr>
              <w:pStyle w:val="-9"/>
            </w:pPr>
            <w:r>
              <w:t>Всего учащихся девочек/женщин</w:t>
            </w:r>
          </w:p>
        </w:tc>
        <w:tc>
          <w:tcPr>
            <w:tcW w:w="1701" w:type="dxa"/>
            <w:shd w:val="clear" w:color="auto" w:fill="FFFFFF"/>
          </w:tcPr>
          <w:p w:rsidR="00000000" w:rsidRDefault="00000000">
            <w:pPr>
              <w:pStyle w:val="-9"/>
            </w:pPr>
            <w:r>
              <w:t>Доля девочек/</w:t>
            </w:r>
            <w:r>
              <w:br/>
              <w:t>женщин в процентах</w:t>
            </w:r>
          </w:p>
        </w:tc>
        <w:tc>
          <w:tcPr>
            <w:tcW w:w="1868" w:type="dxa"/>
            <w:shd w:val="clear" w:color="auto" w:fill="FFFFFF"/>
          </w:tcPr>
          <w:p w:rsidR="00000000" w:rsidRDefault="00000000">
            <w:pPr>
              <w:pStyle w:val="-9"/>
            </w:pPr>
            <w:r>
              <w:t>Процент роста числа девочек/женщин</w:t>
            </w:r>
          </w:p>
        </w:tc>
      </w:tr>
      <w:tr w:rsidR="00000000">
        <w:tblPrEx>
          <w:tblCellMar>
            <w:top w:w="0" w:type="dxa"/>
            <w:bottom w:w="0" w:type="dxa"/>
          </w:tblCellMar>
        </w:tblPrEx>
        <w:trPr>
          <w:trHeight w:val="20"/>
          <w:jc w:val="center"/>
        </w:trPr>
        <w:tc>
          <w:tcPr>
            <w:tcW w:w="1535" w:type="dxa"/>
            <w:shd w:val="clear" w:color="auto" w:fill="FFFFFF"/>
          </w:tcPr>
          <w:p w:rsidR="00000000" w:rsidRDefault="00000000">
            <w:pPr>
              <w:pStyle w:val="BodyText"/>
              <w:spacing w:after="0"/>
              <w:jc w:val="center"/>
              <w:rPr>
                <w:color w:val="000000"/>
              </w:rPr>
            </w:pPr>
            <w:r>
              <w:rPr>
                <w:color w:val="000000"/>
              </w:rPr>
              <w:t>1936/37</w:t>
            </w:r>
          </w:p>
        </w:tc>
        <w:tc>
          <w:tcPr>
            <w:tcW w:w="1842" w:type="dxa"/>
            <w:shd w:val="clear" w:color="auto" w:fill="FFFFFF"/>
          </w:tcPr>
          <w:p w:rsidR="00000000" w:rsidRDefault="00000000">
            <w:pPr>
              <w:pStyle w:val="BodyText"/>
              <w:spacing w:after="0"/>
              <w:ind w:right="567"/>
              <w:jc w:val="right"/>
              <w:rPr>
                <w:color w:val="000000"/>
              </w:rPr>
            </w:pPr>
            <w:r>
              <w:rPr>
                <w:color w:val="000000"/>
              </w:rPr>
              <w:t>600</w:t>
            </w:r>
          </w:p>
        </w:tc>
        <w:tc>
          <w:tcPr>
            <w:tcW w:w="1843" w:type="dxa"/>
            <w:shd w:val="clear" w:color="auto" w:fill="FFFFFF"/>
          </w:tcPr>
          <w:p w:rsidR="00000000" w:rsidRDefault="00000000">
            <w:pPr>
              <w:pStyle w:val="BodyText"/>
              <w:spacing w:after="0"/>
              <w:ind w:right="567"/>
              <w:jc w:val="right"/>
              <w:rPr>
                <w:color w:val="000000"/>
              </w:rPr>
            </w:pPr>
            <w:r>
              <w:rPr>
                <w:color w:val="000000"/>
              </w:rPr>
              <w:t>–</w:t>
            </w:r>
          </w:p>
        </w:tc>
        <w:tc>
          <w:tcPr>
            <w:tcW w:w="1701" w:type="dxa"/>
            <w:shd w:val="clear" w:color="auto" w:fill="FFFFFF"/>
          </w:tcPr>
          <w:p w:rsidR="00000000" w:rsidRDefault="00000000">
            <w:pPr>
              <w:pStyle w:val="BodyText"/>
              <w:spacing w:after="0"/>
              <w:ind w:right="567"/>
              <w:jc w:val="right"/>
              <w:rPr>
                <w:color w:val="000000"/>
              </w:rPr>
            </w:pPr>
            <w:r>
              <w:rPr>
                <w:color w:val="000000"/>
              </w:rPr>
              <w:t>19,9</w:t>
            </w:r>
          </w:p>
        </w:tc>
        <w:tc>
          <w:tcPr>
            <w:tcW w:w="1868" w:type="dxa"/>
            <w:shd w:val="clear" w:color="auto" w:fill="FFFFFF"/>
          </w:tcPr>
          <w:p w:rsidR="00000000" w:rsidRDefault="00000000">
            <w:pPr>
              <w:pStyle w:val="BodyText"/>
              <w:spacing w:after="0"/>
              <w:ind w:right="680"/>
              <w:jc w:val="right"/>
              <w:rPr>
                <w:color w:val="000000"/>
              </w:rPr>
            </w:pPr>
            <w:r>
              <w:rPr>
                <w:color w:val="000000"/>
              </w:rPr>
              <w:t>–</w:t>
            </w:r>
          </w:p>
        </w:tc>
      </w:tr>
      <w:tr w:rsidR="00000000">
        <w:tblPrEx>
          <w:tblCellMar>
            <w:top w:w="0" w:type="dxa"/>
            <w:bottom w:w="0" w:type="dxa"/>
          </w:tblCellMar>
        </w:tblPrEx>
        <w:trPr>
          <w:trHeight w:val="20"/>
          <w:jc w:val="center"/>
        </w:trPr>
        <w:tc>
          <w:tcPr>
            <w:tcW w:w="1535" w:type="dxa"/>
            <w:shd w:val="clear" w:color="auto" w:fill="FFFFFF"/>
          </w:tcPr>
          <w:p w:rsidR="00000000" w:rsidRDefault="00000000">
            <w:pPr>
              <w:pStyle w:val="BodyText"/>
              <w:spacing w:after="0"/>
              <w:jc w:val="center"/>
              <w:rPr>
                <w:color w:val="000000"/>
              </w:rPr>
            </w:pPr>
            <w:r>
              <w:rPr>
                <w:color w:val="000000"/>
              </w:rPr>
              <w:t>1940/41</w:t>
            </w:r>
          </w:p>
        </w:tc>
        <w:tc>
          <w:tcPr>
            <w:tcW w:w="1842" w:type="dxa"/>
            <w:shd w:val="clear" w:color="auto" w:fill="FFFFFF"/>
          </w:tcPr>
          <w:p w:rsidR="00000000" w:rsidRDefault="00000000">
            <w:pPr>
              <w:pStyle w:val="BodyText"/>
              <w:spacing w:after="0"/>
              <w:ind w:right="567"/>
              <w:jc w:val="right"/>
              <w:rPr>
                <w:color w:val="000000"/>
              </w:rPr>
            </w:pPr>
            <w:r>
              <w:rPr>
                <w:color w:val="000000"/>
              </w:rPr>
              <w:t>2 012</w:t>
            </w:r>
          </w:p>
        </w:tc>
        <w:tc>
          <w:tcPr>
            <w:tcW w:w="1843" w:type="dxa"/>
            <w:shd w:val="clear" w:color="auto" w:fill="FFFFFF"/>
          </w:tcPr>
          <w:p w:rsidR="00000000" w:rsidRDefault="00000000">
            <w:pPr>
              <w:pStyle w:val="BodyText"/>
              <w:spacing w:after="0"/>
              <w:ind w:right="567"/>
              <w:jc w:val="right"/>
              <w:rPr>
                <w:color w:val="000000"/>
              </w:rPr>
            </w:pPr>
            <w:r>
              <w:rPr>
                <w:color w:val="000000"/>
              </w:rPr>
              <w:t>400</w:t>
            </w:r>
          </w:p>
        </w:tc>
        <w:tc>
          <w:tcPr>
            <w:tcW w:w="1701" w:type="dxa"/>
            <w:shd w:val="clear" w:color="auto" w:fill="FFFFFF"/>
          </w:tcPr>
          <w:p w:rsidR="00000000" w:rsidRDefault="00000000">
            <w:pPr>
              <w:pStyle w:val="BodyText"/>
              <w:spacing w:after="0"/>
              <w:ind w:right="567"/>
              <w:jc w:val="right"/>
              <w:rPr>
                <w:color w:val="000000"/>
              </w:rPr>
            </w:pPr>
            <w:r>
              <w:rPr>
                <w:color w:val="000000"/>
              </w:rPr>
              <w:t>22,6</w:t>
            </w:r>
          </w:p>
        </w:tc>
        <w:tc>
          <w:tcPr>
            <w:tcW w:w="1868" w:type="dxa"/>
            <w:shd w:val="clear" w:color="auto" w:fill="FFFFFF"/>
          </w:tcPr>
          <w:p w:rsidR="00000000" w:rsidRDefault="00000000">
            <w:pPr>
              <w:pStyle w:val="BodyText"/>
              <w:spacing w:after="0"/>
              <w:ind w:right="680"/>
              <w:jc w:val="right"/>
              <w:rPr>
                <w:color w:val="000000"/>
              </w:rPr>
            </w:pPr>
            <w:r>
              <w:rPr>
                <w:color w:val="000000"/>
              </w:rPr>
              <w:t>–</w:t>
            </w:r>
          </w:p>
        </w:tc>
      </w:tr>
      <w:tr w:rsidR="00000000">
        <w:tblPrEx>
          <w:tblCellMar>
            <w:top w:w="0" w:type="dxa"/>
            <w:bottom w:w="0" w:type="dxa"/>
          </w:tblCellMar>
        </w:tblPrEx>
        <w:trPr>
          <w:trHeight w:val="20"/>
          <w:jc w:val="center"/>
        </w:trPr>
        <w:tc>
          <w:tcPr>
            <w:tcW w:w="1535" w:type="dxa"/>
            <w:shd w:val="clear" w:color="auto" w:fill="FFFFFF"/>
          </w:tcPr>
          <w:p w:rsidR="00000000" w:rsidRDefault="00000000">
            <w:pPr>
              <w:pStyle w:val="BodyText"/>
              <w:spacing w:after="0"/>
              <w:jc w:val="center"/>
              <w:rPr>
                <w:color w:val="000000"/>
              </w:rPr>
            </w:pPr>
            <w:r>
              <w:rPr>
                <w:color w:val="000000"/>
              </w:rPr>
              <w:t>1945/46</w:t>
            </w:r>
          </w:p>
        </w:tc>
        <w:tc>
          <w:tcPr>
            <w:tcW w:w="1842" w:type="dxa"/>
            <w:shd w:val="clear" w:color="auto" w:fill="FFFFFF"/>
          </w:tcPr>
          <w:p w:rsidR="00000000" w:rsidRDefault="00000000">
            <w:pPr>
              <w:pStyle w:val="BodyText"/>
              <w:spacing w:after="0"/>
              <w:ind w:right="567"/>
              <w:jc w:val="right"/>
              <w:rPr>
                <w:color w:val="000000"/>
              </w:rPr>
            </w:pPr>
            <w:r>
              <w:rPr>
                <w:color w:val="000000"/>
              </w:rPr>
              <w:t>3 635</w:t>
            </w:r>
          </w:p>
        </w:tc>
        <w:tc>
          <w:tcPr>
            <w:tcW w:w="1843" w:type="dxa"/>
            <w:shd w:val="clear" w:color="auto" w:fill="FFFFFF"/>
          </w:tcPr>
          <w:p w:rsidR="00000000" w:rsidRDefault="00000000">
            <w:pPr>
              <w:pStyle w:val="BodyText"/>
              <w:spacing w:after="0"/>
              <w:ind w:right="567"/>
              <w:jc w:val="right"/>
              <w:rPr>
                <w:color w:val="000000"/>
              </w:rPr>
            </w:pPr>
            <w:r>
              <w:rPr>
                <w:color w:val="000000"/>
              </w:rPr>
              <w:t>820</w:t>
            </w:r>
          </w:p>
        </w:tc>
        <w:tc>
          <w:tcPr>
            <w:tcW w:w="1701" w:type="dxa"/>
            <w:shd w:val="clear" w:color="auto" w:fill="FFFFFF"/>
          </w:tcPr>
          <w:p w:rsidR="00000000" w:rsidRDefault="00000000">
            <w:pPr>
              <w:pStyle w:val="BodyText"/>
              <w:spacing w:after="0"/>
              <w:ind w:right="567"/>
              <w:jc w:val="right"/>
              <w:rPr>
                <w:color w:val="000000"/>
              </w:rPr>
            </w:pPr>
            <w:r>
              <w:rPr>
                <w:color w:val="000000"/>
              </w:rPr>
              <w:t>27,9</w:t>
            </w:r>
          </w:p>
        </w:tc>
        <w:tc>
          <w:tcPr>
            <w:tcW w:w="1868" w:type="dxa"/>
            <w:shd w:val="clear" w:color="auto" w:fill="FFFFFF"/>
          </w:tcPr>
          <w:p w:rsidR="00000000" w:rsidRDefault="00000000">
            <w:pPr>
              <w:pStyle w:val="BodyText"/>
              <w:spacing w:after="0"/>
              <w:ind w:right="680"/>
              <w:jc w:val="right"/>
              <w:rPr>
                <w:color w:val="000000"/>
              </w:rPr>
            </w:pPr>
            <w:r>
              <w:rPr>
                <w:color w:val="000000"/>
              </w:rPr>
              <w:t>105</w:t>
            </w:r>
          </w:p>
        </w:tc>
      </w:tr>
      <w:tr w:rsidR="00000000">
        <w:tblPrEx>
          <w:tblCellMar>
            <w:top w:w="0" w:type="dxa"/>
            <w:bottom w:w="0" w:type="dxa"/>
          </w:tblCellMar>
        </w:tblPrEx>
        <w:trPr>
          <w:trHeight w:val="20"/>
          <w:jc w:val="center"/>
        </w:trPr>
        <w:tc>
          <w:tcPr>
            <w:tcW w:w="1535" w:type="dxa"/>
            <w:shd w:val="clear" w:color="auto" w:fill="FFFFFF"/>
          </w:tcPr>
          <w:p w:rsidR="00000000" w:rsidRDefault="00000000">
            <w:pPr>
              <w:pStyle w:val="BodyText"/>
              <w:spacing w:after="0"/>
              <w:jc w:val="center"/>
            </w:pPr>
            <w:r>
              <w:rPr>
                <w:color w:val="000000"/>
              </w:rPr>
              <w:t>1950/51</w:t>
            </w:r>
          </w:p>
        </w:tc>
        <w:tc>
          <w:tcPr>
            <w:tcW w:w="1842" w:type="dxa"/>
            <w:shd w:val="clear" w:color="auto" w:fill="FFFFFF"/>
          </w:tcPr>
          <w:p w:rsidR="00000000" w:rsidRDefault="00000000">
            <w:pPr>
              <w:pStyle w:val="BodyText"/>
              <w:spacing w:after="0"/>
              <w:ind w:right="567"/>
              <w:jc w:val="right"/>
            </w:pPr>
            <w:r>
              <w:rPr>
                <w:color w:val="000000"/>
              </w:rPr>
              <w:t>6 352</w:t>
            </w:r>
          </w:p>
        </w:tc>
        <w:tc>
          <w:tcPr>
            <w:tcW w:w="1843" w:type="dxa"/>
            <w:shd w:val="clear" w:color="auto" w:fill="FFFFFF"/>
          </w:tcPr>
          <w:p w:rsidR="00000000" w:rsidRDefault="00000000">
            <w:pPr>
              <w:pStyle w:val="BodyText"/>
              <w:spacing w:after="0"/>
              <w:ind w:right="567"/>
              <w:jc w:val="right"/>
            </w:pPr>
            <w:r>
              <w:rPr>
                <w:color w:val="000000"/>
              </w:rPr>
              <w:t>1 772</w:t>
            </w:r>
          </w:p>
        </w:tc>
        <w:tc>
          <w:tcPr>
            <w:tcW w:w="1701" w:type="dxa"/>
            <w:shd w:val="clear" w:color="auto" w:fill="FFFFFF"/>
          </w:tcPr>
          <w:p w:rsidR="00000000" w:rsidRDefault="00000000">
            <w:pPr>
              <w:pStyle w:val="BodyText"/>
              <w:spacing w:after="0"/>
              <w:ind w:right="567"/>
              <w:jc w:val="right"/>
            </w:pPr>
            <w:r>
              <w:rPr>
                <w:color w:val="000000"/>
              </w:rPr>
              <w:t>35,9</w:t>
            </w:r>
          </w:p>
        </w:tc>
        <w:tc>
          <w:tcPr>
            <w:tcW w:w="1868" w:type="dxa"/>
            <w:shd w:val="clear" w:color="auto" w:fill="FFFFFF"/>
          </w:tcPr>
          <w:p w:rsidR="00000000" w:rsidRDefault="00000000">
            <w:pPr>
              <w:pStyle w:val="BodyText"/>
              <w:spacing w:after="0"/>
              <w:ind w:right="680"/>
              <w:jc w:val="right"/>
            </w:pPr>
            <w:r>
              <w:rPr>
                <w:color w:val="000000"/>
              </w:rPr>
              <w:t>116,1</w:t>
            </w:r>
          </w:p>
        </w:tc>
      </w:tr>
      <w:tr w:rsidR="00000000">
        <w:tblPrEx>
          <w:tblCellMar>
            <w:top w:w="0" w:type="dxa"/>
            <w:bottom w:w="0" w:type="dxa"/>
          </w:tblCellMar>
        </w:tblPrEx>
        <w:trPr>
          <w:trHeight w:val="20"/>
          <w:jc w:val="center"/>
        </w:trPr>
        <w:tc>
          <w:tcPr>
            <w:tcW w:w="1535" w:type="dxa"/>
            <w:shd w:val="clear" w:color="auto" w:fill="FFFFFF"/>
          </w:tcPr>
          <w:p w:rsidR="00000000" w:rsidRDefault="00000000">
            <w:pPr>
              <w:pStyle w:val="BodyText"/>
              <w:spacing w:after="0"/>
              <w:jc w:val="center"/>
            </w:pPr>
            <w:r>
              <w:rPr>
                <w:color w:val="000000"/>
              </w:rPr>
              <w:t>1955/56</w:t>
            </w:r>
          </w:p>
        </w:tc>
        <w:tc>
          <w:tcPr>
            <w:tcW w:w="1842" w:type="dxa"/>
            <w:shd w:val="clear" w:color="auto" w:fill="FFFFFF"/>
          </w:tcPr>
          <w:p w:rsidR="00000000" w:rsidRDefault="00000000">
            <w:pPr>
              <w:pStyle w:val="BodyText"/>
              <w:spacing w:after="0"/>
              <w:ind w:right="567"/>
              <w:jc w:val="right"/>
            </w:pPr>
            <w:r>
              <w:rPr>
                <w:color w:val="000000"/>
              </w:rPr>
              <w:t>18 472</w:t>
            </w:r>
          </w:p>
        </w:tc>
        <w:tc>
          <w:tcPr>
            <w:tcW w:w="1843" w:type="dxa"/>
            <w:shd w:val="clear" w:color="auto" w:fill="FFFFFF"/>
          </w:tcPr>
          <w:p w:rsidR="00000000" w:rsidRDefault="00000000">
            <w:pPr>
              <w:pStyle w:val="BodyText"/>
              <w:spacing w:after="0"/>
              <w:ind w:right="567"/>
              <w:jc w:val="right"/>
            </w:pPr>
            <w:r>
              <w:rPr>
                <w:color w:val="000000"/>
              </w:rPr>
              <w:t>6 629</w:t>
            </w:r>
          </w:p>
        </w:tc>
        <w:tc>
          <w:tcPr>
            <w:tcW w:w="1701" w:type="dxa"/>
            <w:shd w:val="clear" w:color="auto" w:fill="FFFFFF"/>
          </w:tcPr>
          <w:p w:rsidR="00000000" w:rsidRDefault="00000000">
            <w:pPr>
              <w:pStyle w:val="BodyText"/>
              <w:spacing w:after="0"/>
              <w:ind w:right="567"/>
              <w:jc w:val="right"/>
            </w:pPr>
            <w:r>
              <w:rPr>
                <w:color w:val="000000"/>
              </w:rPr>
              <w:t>39,8</w:t>
            </w:r>
          </w:p>
        </w:tc>
        <w:tc>
          <w:tcPr>
            <w:tcW w:w="1868" w:type="dxa"/>
            <w:shd w:val="clear" w:color="auto" w:fill="FFFFFF"/>
          </w:tcPr>
          <w:p w:rsidR="00000000" w:rsidRDefault="00000000">
            <w:pPr>
              <w:pStyle w:val="BodyText"/>
              <w:spacing w:after="0"/>
              <w:ind w:right="680"/>
              <w:jc w:val="right"/>
            </w:pPr>
            <w:r>
              <w:rPr>
                <w:color w:val="000000"/>
              </w:rPr>
              <w:t>274,1</w:t>
            </w:r>
          </w:p>
        </w:tc>
      </w:tr>
      <w:tr w:rsidR="00000000">
        <w:tblPrEx>
          <w:tblCellMar>
            <w:top w:w="0" w:type="dxa"/>
            <w:bottom w:w="0" w:type="dxa"/>
          </w:tblCellMar>
        </w:tblPrEx>
        <w:trPr>
          <w:trHeight w:val="20"/>
          <w:jc w:val="center"/>
        </w:trPr>
        <w:tc>
          <w:tcPr>
            <w:tcW w:w="1535" w:type="dxa"/>
            <w:shd w:val="clear" w:color="auto" w:fill="FFFFFF"/>
          </w:tcPr>
          <w:p w:rsidR="00000000" w:rsidRDefault="00000000">
            <w:pPr>
              <w:pStyle w:val="BodyText"/>
              <w:spacing w:after="0"/>
              <w:jc w:val="center"/>
            </w:pPr>
            <w:r>
              <w:rPr>
                <w:color w:val="000000"/>
              </w:rPr>
              <w:t>1960/61</w:t>
            </w:r>
          </w:p>
        </w:tc>
        <w:tc>
          <w:tcPr>
            <w:tcW w:w="1842" w:type="dxa"/>
            <w:shd w:val="clear" w:color="auto" w:fill="FFFFFF"/>
          </w:tcPr>
          <w:p w:rsidR="00000000" w:rsidRDefault="00000000">
            <w:pPr>
              <w:pStyle w:val="BodyText"/>
              <w:spacing w:after="0"/>
              <w:ind w:right="567"/>
              <w:jc w:val="right"/>
            </w:pPr>
            <w:r>
              <w:rPr>
                <w:color w:val="000000"/>
              </w:rPr>
              <w:t>43 537</w:t>
            </w:r>
          </w:p>
        </w:tc>
        <w:tc>
          <w:tcPr>
            <w:tcW w:w="1843" w:type="dxa"/>
            <w:shd w:val="clear" w:color="auto" w:fill="FFFFFF"/>
          </w:tcPr>
          <w:p w:rsidR="00000000" w:rsidRDefault="00000000">
            <w:pPr>
              <w:pStyle w:val="BodyText"/>
              <w:spacing w:after="0"/>
              <w:ind w:right="567"/>
              <w:jc w:val="right"/>
            </w:pPr>
            <w:r>
              <w:rPr>
                <w:color w:val="000000"/>
              </w:rPr>
              <w:t>17 326</w:t>
            </w:r>
          </w:p>
        </w:tc>
        <w:tc>
          <w:tcPr>
            <w:tcW w:w="1701" w:type="dxa"/>
            <w:shd w:val="clear" w:color="auto" w:fill="FFFFFF"/>
          </w:tcPr>
          <w:p w:rsidR="00000000" w:rsidRDefault="00000000">
            <w:pPr>
              <w:pStyle w:val="BodyText"/>
              <w:spacing w:after="0"/>
              <w:ind w:right="567"/>
              <w:jc w:val="right"/>
            </w:pPr>
            <w:r>
              <w:rPr>
                <w:color w:val="000000"/>
              </w:rPr>
              <w:t>42,4</w:t>
            </w:r>
          </w:p>
        </w:tc>
        <w:tc>
          <w:tcPr>
            <w:tcW w:w="1868" w:type="dxa"/>
            <w:shd w:val="clear" w:color="auto" w:fill="FFFFFF"/>
          </w:tcPr>
          <w:p w:rsidR="00000000" w:rsidRDefault="00000000">
            <w:pPr>
              <w:pStyle w:val="BodyText"/>
              <w:spacing w:after="0"/>
              <w:ind w:right="680"/>
              <w:jc w:val="right"/>
            </w:pPr>
            <w:r>
              <w:rPr>
                <w:color w:val="000000"/>
              </w:rPr>
              <w:t>161,4</w:t>
            </w:r>
          </w:p>
        </w:tc>
      </w:tr>
      <w:tr w:rsidR="00000000">
        <w:tblPrEx>
          <w:tblCellMar>
            <w:top w:w="0" w:type="dxa"/>
            <w:bottom w:w="0" w:type="dxa"/>
          </w:tblCellMar>
        </w:tblPrEx>
        <w:trPr>
          <w:trHeight w:val="20"/>
          <w:jc w:val="center"/>
        </w:trPr>
        <w:tc>
          <w:tcPr>
            <w:tcW w:w="1535" w:type="dxa"/>
            <w:shd w:val="clear" w:color="auto" w:fill="FFFFFF"/>
          </w:tcPr>
          <w:p w:rsidR="00000000" w:rsidRDefault="00000000">
            <w:pPr>
              <w:pStyle w:val="BodyText"/>
              <w:spacing w:after="0"/>
              <w:jc w:val="center"/>
            </w:pPr>
            <w:r>
              <w:rPr>
                <w:color w:val="000000"/>
              </w:rPr>
              <w:t>1965/66</w:t>
            </w:r>
          </w:p>
        </w:tc>
        <w:tc>
          <w:tcPr>
            <w:tcW w:w="1842" w:type="dxa"/>
            <w:shd w:val="clear" w:color="auto" w:fill="FFFFFF"/>
          </w:tcPr>
          <w:p w:rsidR="00000000" w:rsidRDefault="00000000">
            <w:pPr>
              <w:pStyle w:val="BodyText"/>
              <w:spacing w:after="0"/>
              <w:ind w:right="567"/>
              <w:jc w:val="right"/>
            </w:pPr>
            <w:r>
              <w:rPr>
                <w:color w:val="000000"/>
              </w:rPr>
              <w:t>88 815</w:t>
            </w:r>
          </w:p>
        </w:tc>
        <w:tc>
          <w:tcPr>
            <w:tcW w:w="1843" w:type="dxa"/>
            <w:shd w:val="clear" w:color="auto" w:fill="FFFFFF"/>
          </w:tcPr>
          <w:p w:rsidR="00000000" w:rsidRDefault="00000000">
            <w:pPr>
              <w:pStyle w:val="BodyText"/>
              <w:spacing w:after="0"/>
              <w:ind w:right="567"/>
              <w:jc w:val="right"/>
            </w:pPr>
            <w:r>
              <w:rPr>
                <w:color w:val="000000"/>
              </w:rPr>
              <w:t>37 637</w:t>
            </w:r>
          </w:p>
        </w:tc>
        <w:tc>
          <w:tcPr>
            <w:tcW w:w="1701" w:type="dxa"/>
            <w:shd w:val="clear" w:color="auto" w:fill="FFFFFF"/>
          </w:tcPr>
          <w:p w:rsidR="00000000" w:rsidRDefault="00000000">
            <w:pPr>
              <w:pStyle w:val="BodyText"/>
              <w:spacing w:after="0"/>
              <w:ind w:right="567"/>
              <w:jc w:val="right"/>
            </w:pPr>
            <w:r>
              <w:rPr>
                <w:color w:val="000000"/>
              </w:rPr>
              <w:t>43,6</w:t>
            </w:r>
          </w:p>
        </w:tc>
        <w:tc>
          <w:tcPr>
            <w:tcW w:w="1868" w:type="dxa"/>
            <w:shd w:val="clear" w:color="auto" w:fill="FFFFFF"/>
          </w:tcPr>
          <w:p w:rsidR="00000000" w:rsidRDefault="00000000">
            <w:pPr>
              <w:pStyle w:val="BodyText"/>
              <w:spacing w:after="0"/>
              <w:ind w:right="680"/>
              <w:jc w:val="right"/>
            </w:pPr>
            <w:r>
              <w:rPr>
                <w:color w:val="000000"/>
              </w:rPr>
              <w:t>117,2</w:t>
            </w:r>
          </w:p>
        </w:tc>
      </w:tr>
      <w:tr w:rsidR="00000000">
        <w:tblPrEx>
          <w:tblCellMar>
            <w:top w:w="0" w:type="dxa"/>
            <w:bottom w:w="0" w:type="dxa"/>
          </w:tblCellMar>
        </w:tblPrEx>
        <w:trPr>
          <w:trHeight w:val="20"/>
          <w:jc w:val="center"/>
        </w:trPr>
        <w:tc>
          <w:tcPr>
            <w:tcW w:w="1535" w:type="dxa"/>
            <w:shd w:val="clear" w:color="auto" w:fill="FFFFFF"/>
          </w:tcPr>
          <w:p w:rsidR="00000000" w:rsidRDefault="00000000">
            <w:pPr>
              <w:pStyle w:val="BodyText"/>
              <w:spacing w:after="0"/>
              <w:jc w:val="center"/>
            </w:pPr>
            <w:r>
              <w:rPr>
                <w:color w:val="000000"/>
              </w:rPr>
              <w:t>1970/71</w:t>
            </w:r>
          </w:p>
        </w:tc>
        <w:tc>
          <w:tcPr>
            <w:tcW w:w="1842" w:type="dxa"/>
            <w:shd w:val="clear" w:color="auto" w:fill="FFFFFF"/>
          </w:tcPr>
          <w:p w:rsidR="00000000" w:rsidRDefault="00000000">
            <w:pPr>
              <w:pStyle w:val="BodyText"/>
              <w:spacing w:after="0"/>
              <w:ind w:right="567"/>
              <w:jc w:val="right"/>
            </w:pPr>
            <w:r>
              <w:rPr>
                <w:color w:val="000000"/>
              </w:rPr>
              <w:t>133 306</w:t>
            </w:r>
          </w:p>
        </w:tc>
        <w:tc>
          <w:tcPr>
            <w:tcW w:w="1843" w:type="dxa"/>
            <w:shd w:val="clear" w:color="auto" w:fill="FFFFFF"/>
          </w:tcPr>
          <w:p w:rsidR="00000000" w:rsidRDefault="00000000">
            <w:pPr>
              <w:pStyle w:val="BodyText"/>
              <w:spacing w:after="0"/>
              <w:ind w:right="567"/>
              <w:jc w:val="right"/>
            </w:pPr>
            <w:r>
              <w:rPr>
                <w:color w:val="000000"/>
              </w:rPr>
              <w:t>58 083</w:t>
            </w:r>
          </w:p>
        </w:tc>
        <w:tc>
          <w:tcPr>
            <w:tcW w:w="1701" w:type="dxa"/>
            <w:shd w:val="clear" w:color="auto" w:fill="FFFFFF"/>
          </w:tcPr>
          <w:p w:rsidR="00000000" w:rsidRDefault="00000000">
            <w:pPr>
              <w:pStyle w:val="BodyText"/>
              <w:spacing w:after="0"/>
              <w:ind w:right="567"/>
              <w:jc w:val="right"/>
            </w:pPr>
            <w:r>
              <w:rPr>
                <w:color w:val="000000"/>
              </w:rPr>
              <w:t>45,9</w:t>
            </w:r>
          </w:p>
        </w:tc>
        <w:tc>
          <w:tcPr>
            <w:tcW w:w="1868" w:type="dxa"/>
            <w:shd w:val="clear" w:color="auto" w:fill="FFFFFF"/>
          </w:tcPr>
          <w:p w:rsidR="00000000" w:rsidRDefault="00000000">
            <w:pPr>
              <w:pStyle w:val="BodyText"/>
              <w:spacing w:after="0"/>
              <w:ind w:right="680"/>
              <w:jc w:val="right"/>
            </w:pPr>
            <w:r>
              <w:rPr>
                <w:color w:val="000000"/>
              </w:rPr>
              <w:t>54,3</w:t>
            </w:r>
          </w:p>
        </w:tc>
      </w:tr>
      <w:tr w:rsidR="00000000">
        <w:tblPrEx>
          <w:tblCellMar>
            <w:top w:w="0" w:type="dxa"/>
            <w:bottom w:w="0" w:type="dxa"/>
          </w:tblCellMar>
        </w:tblPrEx>
        <w:trPr>
          <w:trHeight w:val="20"/>
          <w:jc w:val="center"/>
        </w:trPr>
        <w:tc>
          <w:tcPr>
            <w:tcW w:w="1535" w:type="dxa"/>
            <w:shd w:val="clear" w:color="auto" w:fill="FFFFFF"/>
          </w:tcPr>
          <w:p w:rsidR="00000000" w:rsidRDefault="00000000">
            <w:pPr>
              <w:pStyle w:val="BodyText"/>
              <w:spacing w:after="0"/>
              <w:jc w:val="center"/>
            </w:pPr>
            <w:r>
              <w:rPr>
                <w:color w:val="000000"/>
              </w:rPr>
              <w:t>1975/76</w:t>
            </w:r>
          </w:p>
        </w:tc>
        <w:tc>
          <w:tcPr>
            <w:tcW w:w="1842" w:type="dxa"/>
            <w:shd w:val="clear" w:color="auto" w:fill="FFFFFF"/>
          </w:tcPr>
          <w:p w:rsidR="00000000" w:rsidRDefault="00000000">
            <w:pPr>
              <w:pStyle w:val="BodyText"/>
              <w:spacing w:after="0"/>
              <w:ind w:right="567"/>
              <w:jc w:val="right"/>
            </w:pPr>
            <w:r>
              <w:rPr>
                <w:color w:val="000000"/>
              </w:rPr>
              <w:t>196 426</w:t>
            </w:r>
          </w:p>
        </w:tc>
        <w:tc>
          <w:tcPr>
            <w:tcW w:w="1843" w:type="dxa"/>
            <w:shd w:val="clear" w:color="auto" w:fill="FFFFFF"/>
          </w:tcPr>
          <w:p w:rsidR="00000000" w:rsidRDefault="00000000">
            <w:pPr>
              <w:pStyle w:val="BodyText"/>
              <w:spacing w:after="0"/>
              <w:ind w:right="567"/>
              <w:jc w:val="right"/>
            </w:pPr>
            <w:r>
              <w:rPr>
                <w:color w:val="000000"/>
              </w:rPr>
              <w:t>90 169</w:t>
            </w:r>
          </w:p>
        </w:tc>
        <w:tc>
          <w:tcPr>
            <w:tcW w:w="1701" w:type="dxa"/>
            <w:shd w:val="clear" w:color="auto" w:fill="FFFFFF"/>
          </w:tcPr>
          <w:p w:rsidR="00000000" w:rsidRDefault="00000000">
            <w:pPr>
              <w:pStyle w:val="BodyText"/>
              <w:spacing w:after="0"/>
              <w:ind w:right="567"/>
              <w:jc w:val="right"/>
            </w:pPr>
            <w:r>
              <w:rPr>
                <w:color w:val="000000"/>
              </w:rPr>
              <w:t>46,9</w:t>
            </w:r>
          </w:p>
        </w:tc>
        <w:tc>
          <w:tcPr>
            <w:tcW w:w="1868" w:type="dxa"/>
            <w:shd w:val="clear" w:color="auto" w:fill="FFFFFF"/>
          </w:tcPr>
          <w:p w:rsidR="00000000" w:rsidRDefault="00000000">
            <w:pPr>
              <w:pStyle w:val="BodyText"/>
              <w:spacing w:after="0"/>
              <w:ind w:right="680"/>
              <w:jc w:val="right"/>
            </w:pPr>
            <w:r>
              <w:rPr>
                <w:color w:val="000000"/>
              </w:rPr>
              <w:t>55,2</w:t>
            </w:r>
          </w:p>
        </w:tc>
      </w:tr>
      <w:tr w:rsidR="00000000">
        <w:tblPrEx>
          <w:tblCellMar>
            <w:top w:w="0" w:type="dxa"/>
            <w:bottom w:w="0" w:type="dxa"/>
          </w:tblCellMar>
        </w:tblPrEx>
        <w:trPr>
          <w:trHeight w:val="20"/>
          <w:jc w:val="center"/>
        </w:trPr>
        <w:tc>
          <w:tcPr>
            <w:tcW w:w="1535" w:type="dxa"/>
            <w:shd w:val="clear" w:color="auto" w:fill="FFFFFF"/>
          </w:tcPr>
          <w:p w:rsidR="00000000" w:rsidRDefault="00000000">
            <w:pPr>
              <w:pStyle w:val="BodyText"/>
              <w:spacing w:after="0"/>
              <w:jc w:val="center"/>
            </w:pPr>
            <w:r>
              <w:rPr>
                <w:color w:val="000000"/>
              </w:rPr>
              <w:t>1980/81</w:t>
            </w:r>
          </w:p>
        </w:tc>
        <w:tc>
          <w:tcPr>
            <w:tcW w:w="1842" w:type="dxa"/>
            <w:shd w:val="clear" w:color="auto" w:fill="FFFFFF"/>
          </w:tcPr>
          <w:p w:rsidR="00000000" w:rsidRDefault="00000000">
            <w:pPr>
              <w:pStyle w:val="BodyText"/>
              <w:spacing w:after="0"/>
              <w:ind w:right="567"/>
              <w:jc w:val="right"/>
            </w:pPr>
            <w:r>
              <w:rPr>
                <w:color w:val="000000"/>
              </w:rPr>
              <w:t>295 445</w:t>
            </w:r>
          </w:p>
        </w:tc>
        <w:tc>
          <w:tcPr>
            <w:tcW w:w="1843" w:type="dxa"/>
            <w:shd w:val="clear" w:color="auto" w:fill="FFFFFF"/>
          </w:tcPr>
          <w:p w:rsidR="00000000" w:rsidRDefault="00000000">
            <w:pPr>
              <w:pStyle w:val="BodyText"/>
              <w:spacing w:after="0"/>
              <w:ind w:right="567"/>
              <w:jc w:val="right"/>
            </w:pPr>
            <w:r>
              <w:rPr>
                <w:color w:val="000000"/>
              </w:rPr>
              <w:t>138 551</w:t>
            </w:r>
          </w:p>
        </w:tc>
        <w:tc>
          <w:tcPr>
            <w:tcW w:w="1701" w:type="dxa"/>
            <w:shd w:val="clear" w:color="auto" w:fill="FFFFFF"/>
          </w:tcPr>
          <w:p w:rsidR="00000000" w:rsidRDefault="00000000">
            <w:pPr>
              <w:pStyle w:val="BodyText"/>
              <w:spacing w:after="0"/>
              <w:ind w:right="567"/>
              <w:jc w:val="right"/>
            </w:pPr>
            <w:r>
              <w:rPr>
                <w:color w:val="000000"/>
              </w:rPr>
              <w:t>48,3</w:t>
            </w:r>
          </w:p>
        </w:tc>
        <w:tc>
          <w:tcPr>
            <w:tcW w:w="1868" w:type="dxa"/>
            <w:shd w:val="clear" w:color="auto" w:fill="FFFFFF"/>
          </w:tcPr>
          <w:p w:rsidR="00000000" w:rsidRDefault="00000000">
            <w:pPr>
              <w:pStyle w:val="BodyText"/>
              <w:spacing w:after="0"/>
              <w:ind w:right="680"/>
              <w:jc w:val="right"/>
            </w:pPr>
            <w:r>
              <w:rPr>
                <w:color w:val="000000"/>
              </w:rPr>
              <w:t>53,7</w:t>
            </w:r>
          </w:p>
        </w:tc>
      </w:tr>
      <w:tr w:rsidR="00000000">
        <w:tblPrEx>
          <w:tblCellMar>
            <w:top w:w="0" w:type="dxa"/>
            <w:bottom w:w="0" w:type="dxa"/>
          </w:tblCellMar>
        </w:tblPrEx>
        <w:trPr>
          <w:trHeight w:val="20"/>
          <w:jc w:val="center"/>
        </w:trPr>
        <w:tc>
          <w:tcPr>
            <w:tcW w:w="1535" w:type="dxa"/>
            <w:shd w:val="clear" w:color="auto" w:fill="FFFFFF"/>
          </w:tcPr>
          <w:p w:rsidR="00000000" w:rsidRDefault="00000000">
            <w:pPr>
              <w:pStyle w:val="BodyText"/>
              <w:spacing w:after="0"/>
              <w:jc w:val="center"/>
            </w:pPr>
            <w:r>
              <w:rPr>
                <w:color w:val="000000"/>
              </w:rPr>
              <w:t>1985/86</w:t>
            </w:r>
          </w:p>
        </w:tc>
        <w:tc>
          <w:tcPr>
            <w:tcW w:w="1842" w:type="dxa"/>
            <w:shd w:val="clear" w:color="auto" w:fill="FFFFFF"/>
          </w:tcPr>
          <w:p w:rsidR="00000000" w:rsidRDefault="00000000">
            <w:pPr>
              <w:pStyle w:val="BodyText"/>
              <w:spacing w:after="0"/>
              <w:ind w:right="567"/>
              <w:jc w:val="right"/>
            </w:pPr>
            <w:r>
              <w:rPr>
                <w:color w:val="000000"/>
              </w:rPr>
              <w:t>357 169</w:t>
            </w:r>
          </w:p>
        </w:tc>
        <w:tc>
          <w:tcPr>
            <w:tcW w:w="1843" w:type="dxa"/>
            <w:shd w:val="clear" w:color="auto" w:fill="FFFFFF"/>
          </w:tcPr>
          <w:p w:rsidR="00000000" w:rsidRDefault="00000000">
            <w:pPr>
              <w:pStyle w:val="BodyText"/>
              <w:spacing w:after="0"/>
              <w:ind w:right="567"/>
              <w:jc w:val="right"/>
            </w:pPr>
            <w:r>
              <w:rPr>
                <w:color w:val="000000"/>
              </w:rPr>
              <w:t>172 459</w:t>
            </w:r>
          </w:p>
        </w:tc>
        <w:tc>
          <w:tcPr>
            <w:tcW w:w="1701" w:type="dxa"/>
            <w:shd w:val="clear" w:color="auto" w:fill="FFFFFF"/>
          </w:tcPr>
          <w:p w:rsidR="00000000" w:rsidRDefault="00000000">
            <w:pPr>
              <w:pStyle w:val="BodyText"/>
              <w:spacing w:after="0"/>
              <w:ind w:right="567"/>
              <w:jc w:val="right"/>
            </w:pPr>
            <w:r>
              <w:rPr>
                <w:color w:val="000000"/>
              </w:rPr>
              <w:t>-</w:t>
            </w:r>
          </w:p>
        </w:tc>
        <w:tc>
          <w:tcPr>
            <w:tcW w:w="1868" w:type="dxa"/>
            <w:shd w:val="clear" w:color="auto" w:fill="FFFFFF"/>
          </w:tcPr>
          <w:p w:rsidR="00000000" w:rsidRDefault="00000000">
            <w:pPr>
              <w:pStyle w:val="BodyText"/>
              <w:spacing w:after="0"/>
              <w:ind w:right="680"/>
              <w:jc w:val="right"/>
            </w:pPr>
            <w:r>
              <w:rPr>
                <w:color w:val="000000"/>
              </w:rPr>
              <w:t>24,5</w:t>
            </w:r>
          </w:p>
        </w:tc>
      </w:tr>
      <w:tr w:rsidR="00000000">
        <w:tblPrEx>
          <w:tblCellMar>
            <w:top w:w="0" w:type="dxa"/>
            <w:bottom w:w="0" w:type="dxa"/>
          </w:tblCellMar>
        </w:tblPrEx>
        <w:trPr>
          <w:trHeight w:val="20"/>
          <w:jc w:val="center"/>
        </w:trPr>
        <w:tc>
          <w:tcPr>
            <w:tcW w:w="1535" w:type="dxa"/>
            <w:shd w:val="clear" w:color="auto" w:fill="FFFFFF"/>
          </w:tcPr>
          <w:p w:rsidR="00000000" w:rsidRDefault="00000000">
            <w:pPr>
              <w:pStyle w:val="BodyText"/>
              <w:spacing w:after="0"/>
              <w:jc w:val="center"/>
            </w:pPr>
            <w:r>
              <w:rPr>
                <w:color w:val="000000"/>
              </w:rPr>
              <w:t>1990/91</w:t>
            </w:r>
          </w:p>
        </w:tc>
        <w:tc>
          <w:tcPr>
            <w:tcW w:w="7254" w:type="dxa"/>
            <w:gridSpan w:val="4"/>
            <w:shd w:val="clear" w:color="auto" w:fill="FFFFFF"/>
          </w:tcPr>
          <w:p w:rsidR="00000000" w:rsidRDefault="00000000">
            <w:pPr>
              <w:pStyle w:val="BodyText"/>
              <w:spacing w:after="0"/>
              <w:jc w:val="center"/>
              <w:rPr>
                <w:color w:val="000000"/>
              </w:rPr>
            </w:pPr>
            <w:r>
              <w:rPr>
                <w:color w:val="000000"/>
              </w:rPr>
              <w:t>Год иракской агрессии против Кувейта</w:t>
            </w:r>
          </w:p>
        </w:tc>
      </w:tr>
      <w:tr w:rsidR="00000000">
        <w:tblPrEx>
          <w:tblCellMar>
            <w:top w:w="0" w:type="dxa"/>
            <w:bottom w:w="0" w:type="dxa"/>
          </w:tblCellMar>
        </w:tblPrEx>
        <w:trPr>
          <w:trHeight w:val="20"/>
          <w:jc w:val="center"/>
        </w:trPr>
        <w:tc>
          <w:tcPr>
            <w:tcW w:w="1535" w:type="dxa"/>
            <w:shd w:val="clear" w:color="auto" w:fill="FFFFFF"/>
          </w:tcPr>
          <w:p w:rsidR="00000000" w:rsidRDefault="00000000">
            <w:pPr>
              <w:pStyle w:val="BodyText"/>
              <w:spacing w:after="0"/>
              <w:jc w:val="center"/>
            </w:pPr>
            <w:r>
              <w:rPr>
                <w:color w:val="000000"/>
              </w:rPr>
              <w:t>1995/96</w:t>
            </w:r>
          </w:p>
        </w:tc>
        <w:tc>
          <w:tcPr>
            <w:tcW w:w="1842" w:type="dxa"/>
            <w:shd w:val="clear" w:color="auto" w:fill="FFFFFF"/>
          </w:tcPr>
          <w:p w:rsidR="00000000" w:rsidRDefault="00000000">
            <w:pPr>
              <w:pStyle w:val="BodyText"/>
              <w:spacing w:after="0"/>
              <w:ind w:right="567"/>
              <w:jc w:val="right"/>
            </w:pPr>
            <w:r>
              <w:rPr>
                <w:color w:val="000000"/>
              </w:rPr>
              <w:t>280 709</w:t>
            </w:r>
          </w:p>
        </w:tc>
        <w:tc>
          <w:tcPr>
            <w:tcW w:w="1843" w:type="dxa"/>
            <w:shd w:val="clear" w:color="auto" w:fill="FFFFFF"/>
          </w:tcPr>
          <w:p w:rsidR="00000000" w:rsidRDefault="00000000">
            <w:pPr>
              <w:pStyle w:val="BodyText"/>
              <w:spacing w:after="0"/>
              <w:ind w:right="567"/>
              <w:jc w:val="right"/>
            </w:pPr>
            <w:r>
              <w:rPr>
                <w:color w:val="000000"/>
              </w:rPr>
              <w:t>140 979</w:t>
            </w:r>
          </w:p>
        </w:tc>
        <w:tc>
          <w:tcPr>
            <w:tcW w:w="1701" w:type="dxa"/>
            <w:shd w:val="clear" w:color="auto" w:fill="FFFFFF"/>
          </w:tcPr>
          <w:p w:rsidR="00000000" w:rsidRDefault="00000000">
            <w:pPr>
              <w:pStyle w:val="BodyText"/>
              <w:spacing w:after="0"/>
              <w:ind w:right="567"/>
              <w:jc w:val="right"/>
            </w:pPr>
            <w:r>
              <w:rPr>
                <w:color w:val="000000"/>
              </w:rPr>
              <w:t>50,2</w:t>
            </w:r>
          </w:p>
        </w:tc>
        <w:tc>
          <w:tcPr>
            <w:tcW w:w="1868" w:type="dxa"/>
            <w:shd w:val="clear" w:color="auto" w:fill="FFFFFF"/>
          </w:tcPr>
          <w:p w:rsidR="00000000" w:rsidRDefault="00000000">
            <w:pPr>
              <w:pStyle w:val="BodyText"/>
              <w:spacing w:after="0"/>
              <w:ind w:right="680"/>
              <w:jc w:val="right"/>
            </w:pPr>
            <w:r>
              <w:rPr>
                <w:color w:val="000000"/>
              </w:rPr>
              <w:t>–</w:t>
            </w:r>
          </w:p>
        </w:tc>
      </w:tr>
      <w:tr w:rsidR="00000000">
        <w:tblPrEx>
          <w:tblCellMar>
            <w:top w:w="0" w:type="dxa"/>
            <w:bottom w:w="0" w:type="dxa"/>
          </w:tblCellMar>
        </w:tblPrEx>
        <w:trPr>
          <w:trHeight w:val="20"/>
          <w:jc w:val="center"/>
        </w:trPr>
        <w:tc>
          <w:tcPr>
            <w:tcW w:w="1535" w:type="dxa"/>
            <w:shd w:val="clear" w:color="auto" w:fill="FFFFFF"/>
          </w:tcPr>
          <w:p w:rsidR="00000000" w:rsidRDefault="00000000">
            <w:pPr>
              <w:pStyle w:val="BodyText"/>
              <w:spacing w:after="0"/>
              <w:jc w:val="center"/>
            </w:pPr>
            <w:r>
              <w:rPr>
                <w:color w:val="000000"/>
              </w:rPr>
              <w:t>1996/97</w:t>
            </w:r>
          </w:p>
        </w:tc>
        <w:tc>
          <w:tcPr>
            <w:tcW w:w="1842" w:type="dxa"/>
            <w:shd w:val="clear" w:color="auto" w:fill="FFFFFF"/>
          </w:tcPr>
          <w:p w:rsidR="00000000" w:rsidRDefault="00000000">
            <w:pPr>
              <w:pStyle w:val="BodyText"/>
              <w:spacing w:after="0"/>
              <w:ind w:right="567"/>
              <w:jc w:val="right"/>
            </w:pPr>
            <w:r>
              <w:rPr>
                <w:color w:val="000000"/>
              </w:rPr>
              <w:t>288 755</w:t>
            </w:r>
          </w:p>
        </w:tc>
        <w:tc>
          <w:tcPr>
            <w:tcW w:w="1843" w:type="dxa"/>
            <w:shd w:val="clear" w:color="auto" w:fill="FFFFFF"/>
          </w:tcPr>
          <w:p w:rsidR="00000000" w:rsidRDefault="00000000">
            <w:pPr>
              <w:pStyle w:val="BodyText"/>
              <w:spacing w:after="0"/>
              <w:ind w:right="567"/>
              <w:jc w:val="right"/>
            </w:pPr>
            <w:r>
              <w:rPr>
                <w:color w:val="000000"/>
              </w:rPr>
              <w:t>145 069</w:t>
            </w:r>
          </w:p>
        </w:tc>
        <w:tc>
          <w:tcPr>
            <w:tcW w:w="1701" w:type="dxa"/>
            <w:shd w:val="clear" w:color="auto" w:fill="FFFFFF"/>
          </w:tcPr>
          <w:p w:rsidR="00000000" w:rsidRDefault="00000000">
            <w:pPr>
              <w:pStyle w:val="BodyText"/>
              <w:spacing w:after="0"/>
              <w:ind w:right="567"/>
              <w:jc w:val="right"/>
            </w:pPr>
            <w:r>
              <w:rPr>
                <w:color w:val="000000"/>
              </w:rPr>
              <w:t>50,2</w:t>
            </w:r>
          </w:p>
        </w:tc>
        <w:tc>
          <w:tcPr>
            <w:tcW w:w="1868" w:type="dxa"/>
            <w:shd w:val="clear" w:color="auto" w:fill="FFFFFF"/>
          </w:tcPr>
          <w:p w:rsidR="00000000" w:rsidRDefault="00000000">
            <w:pPr>
              <w:pStyle w:val="BodyText"/>
              <w:spacing w:after="0"/>
              <w:ind w:right="680"/>
              <w:jc w:val="right"/>
            </w:pPr>
            <w:r>
              <w:rPr>
                <w:color w:val="000000"/>
              </w:rPr>
              <w:t>2,9</w:t>
            </w:r>
          </w:p>
        </w:tc>
      </w:tr>
      <w:tr w:rsidR="00000000">
        <w:tblPrEx>
          <w:tblCellMar>
            <w:top w:w="0" w:type="dxa"/>
            <w:bottom w:w="0" w:type="dxa"/>
          </w:tblCellMar>
        </w:tblPrEx>
        <w:trPr>
          <w:trHeight w:val="20"/>
          <w:jc w:val="center"/>
        </w:trPr>
        <w:tc>
          <w:tcPr>
            <w:tcW w:w="1535" w:type="dxa"/>
            <w:shd w:val="clear" w:color="auto" w:fill="FFFFFF"/>
          </w:tcPr>
          <w:p w:rsidR="00000000" w:rsidRDefault="00000000">
            <w:pPr>
              <w:pStyle w:val="BodyText"/>
              <w:spacing w:after="0"/>
              <w:jc w:val="center"/>
            </w:pPr>
            <w:r>
              <w:rPr>
                <w:color w:val="000000"/>
              </w:rPr>
              <w:t>1997/98</w:t>
            </w:r>
          </w:p>
        </w:tc>
        <w:tc>
          <w:tcPr>
            <w:tcW w:w="1842" w:type="dxa"/>
            <w:shd w:val="clear" w:color="auto" w:fill="FFFFFF"/>
          </w:tcPr>
          <w:p w:rsidR="00000000" w:rsidRDefault="00000000">
            <w:pPr>
              <w:pStyle w:val="BodyText"/>
              <w:spacing w:after="0"/>
              <w:ind w:right="567"/>
              <w:jc w:val="right"/>
            </w:pPr>
            <w:r>
              <w:rPr>
                <w:color w:val="000000"/>
              </w:rPr>
              <w:t>296 526</w:t>
            </w:r>
          </w:p>
        </w:tc>
        <w:tc>
          <w:tcPr>
            <w:tcW w:w="1843" w:type="dxa"/>
            <w:shd w:val="clear" w:color="auto" w:fill="FFFFFF"/>
          </w:tcPr>
          <w:p w:rsidR="00000000" w:rsidRDefault="00000000">
            <w:pPr>
              <w:pStyle w:val="BodyText"/>
              <w:spacing w:after="0"/>
              <w:ind w:right="567"/>
              <w:jc w:val="right"/>
            </w:pPr>
            <w:r>
              <w:rPr>
                <w:color w:val="000000"/>
              </w:rPr>
              <w:t>149 247</w:t>
            </w:r>
          </w:p>
        </w:tc>
        <w:tc>
          <w:tcPr>
            <w:tcW w:w="1701" w:type="dxa"/>
            <w:shd w:val="clear" w:color="auto" w:fill="FFFFFF"/>
          </w:tcPr>
          <w:p w:rsidR="00000000" w:rsidRDefault="00000000">
            <w:pPr>
              <w:pStyle w:val="BodyText"/>
              <w:spacing w:after="0"/>
              <w:ind w:right="567"/>
              <w:jc w:val="right"/>
            </w:pPr>
            <w:r>
              <w:rPr>
                <w:color w:val="000000"/>
              </w:rPr>
              <w:t>50,3</w:t>
            </w:r>
          </w:p>
        </w:tc>
        <w:tc>
          <w:tcPr>
            <w:tcW w:w="1868" w:type="dxa"/>
            <w:shd w:val="clear" w:color="auto" w:fill="FFFFFF"/>
          </w:tcPr>
          <w:p w:rsidR="00000000" w:rsidRDefault="00000000">
            <w:pPr>
              <w:pStyle w:val="BodyText"/>
              <w:spacing w:after="0"/>
              <w:ind w:right="680"/>
              <w:jc w:val="right"/>
            </w:pPr>
            <w:r>
              <w:rPr>
                <w:color w:val="000000"/>
              </w:rPr>
              <w:t>2,9</w:t>
            </w:r>
          </w:p>
        </w:tc>
      </w:tr>
      <w:tr w:rsidR="00000000">
        <w:tblPrEx>
          <w:tblCellMar>
            <w:top w:w="0" w:type="dxa"/>
            <w:bottom w:w="0" w:type="dxa"/>
          </w:tblCellMar>
        </w:tblPrEx>
        <w:trPr>
          <w:trHeight w:val="20"/>
          <w:jc w:val="center"/>
        </w:trPr>
        <w:tc>
          <w:tcPr>
            <w:tcW w:w="1535" w:type="dxa"/>
            <w:shd w:val="clear" w:color="auto" w:fill="FFFFFF"/>
          </w:tcPr>
          <w:p w:rsidR="00000000" w:rsidRDefault="00000000">
            <w:pPr>
              <w:pStyle w:val="BodyText"/>
              <w:spacing w:after="0"/>
              <w:jc w:val="center"/>
            </w:pPr>
            <w:r>
              <w:rPr>
                <w:color w:val="000000"/>
              </w:rPr>
              <w:t>1998/99</w:t>
            </w:r>
          </w:p>
        </w:tc>
        <w:tc>
          <w:tcPr>
            <w:tcW w:w="1842" w:type="dxa"/>
            <w:shd w:val="clear" w:color="auto" w:fill="FFFFFF"/>
          </w:tcPr>
          <w:p w:rsidR="00000000" w:rsidRDefault="00000000">
            <w:pPr>
              <w:pStyle w:val="BodyText"/>
              <w:spacing w:after="0"/>
              <w:ind w:right="567"/>
              <w:jc w:val="right"/>
            </w:pPr>
            <w:r>
              <w:rPr>
                <w:color w:val="000000"/>
              </w:rPr>
              <w:t>304 481</w:t>
            </w:r>
          </w:p>
        </w:tc>
        <w:tc>
          <w:tcPr>
            <w:tcW w:w="1843" w:type="dxa"/>
            <w:shd w:val="clear" w:color="auto" w:fill="FFFFFF"/>
          </w:tcPr>
          <w:p w:rsidR="00000000" w:rsidRDefault="00000000">
            <w:pPr>
              <w:pStyle w:val="BodyText"/>
              <w:spacing w:after="0"/>
              <w:ind w:right="567"/>
              <w:jc w:val="right"/>
            </w:pPr>
            <w:r>
              <w:rPr>
                <w:color w:val="000000"/>
              </w:rPr>
              <w:t>153 698</w:t>
            </w:r>
          </w:p>
        </w:tc>
        <w:tc>
          <w:tcPr>
            <w:tcW w:w="1701" w:type="dxa"/>
            <w:shd w:val="clear" w:color="auto" w:fill="FFFFFF"/>
          </w:tcPr>
          <w:p w:rsidR="00000000" w:rsidRDefault="00000000">
            <w:pPr>
              <w:pStyle w:val="BodyText"/>
              <w:spacing w:after="0"/>
              <w:ind w:right="567"/>
              <w:jc w:val="right"/>
            </w:pPr>
            <w:r>
              <w:rPr>
                <w:color w:val="000000"/>
              </w:rPr>
              <w:t>50,5</w:t>
            </w:r>
          </w:p>
        </w:tc>
        <w:tc>
          <w:tcPr>
            <w:tcW w:w="1868" w:type="dxa"/>
            <w:shd w:val="clear" w:color="auto" w:fill="FFFFFF"/>
          </w:tcPr>
          <w:p w:rsidR="00000000" w:rsidRDefault="00000000">
            <w:pPr>
              <w:pStyle w:val="BodyText"/>
              <w:spacing w:after="0"/>
              <w:ind w:right="680"/>
              <w:jc w:val="right"/>
            </w:pPr>
            <w:r>
              <w:rPr>
                <w:color w:val="000000"/>
              </w:rPr>
              <w:t>3,0</w:t>
            </w:r>
          </w:p>
        </w:tc>
      </w:tr>
    </w:tbl>
    <w:p w:rsidR="00000000" w:rsidRDefault="00000000">
      <w:pPr>
        <w:pStyle w:val="BodyText"/>
        <w:spacing w:before="240"/>
        <w:jc w:val="center"/>
      </w:pPr>
      <w:r>
        <w:t>Число учащихся девочек/женщин по видам образования в 1996/97 учебном году</w:t>
      </w:r>
    </w:p>
    <w:tbl>
      <w:tblPr>
        <w:tblW w:w="0" w:type="auto"/>
        <w:jc w:val="center"/>
        <w:tblLayout w:type="fixed"/>
        <w:tblLook w:val="01E0" w:firstRow="1" w:lastRow="1" w:firstColumn="1" w:lastColumn="1" w:noHBand="0" w:noVBand="0"/>
      </w:tblPr>
      <w:tblGrid>
        <w:gridCol w:w="5170"/>
        <w:gridCol w:w="2531"/>
        <w:gridCol w:w="1088"/>
      </w:tblGrid>
      <w:tr w:rsidR="00000000">
        <w:tblPrEx>
          <w:tblCellMar>
            <w:top w:w="0" w:type="dxa"/>
            <w:bottom w:w="0" w:type="dxa"/>
          </w:tblCellMar>
        </w:tblPrEx>
        <w:trPr>
          <w:jc w:val="center"/>
        </w:trPr>
        <w:tc>
          <w:tcPr>
            <w:tcW w:w="5170" w:type="dxa"/>
          </w:tcPr>
          <w:p w:rsidR="00000000" w:rsidRDefault="00000000">
            <w:pPr>
              <w:pStyle w:val="BodyText"/>
              <w:spacing w:after="0"/>
            </w:pPr>
            <w:r>
              <w:t>Вид образования</w:t>
            </w:r>
          </w:p>
        </w:tc>
        <w:tc>
          <w:tcPr>
            <w:tcW w:w="2531" w:type="dxa"/>
          </w:tcPr>
          <w:p w:rsidR="00000000" w:rsidRDefault="00000000">
            <w:pPr>
              <w:pStyle w:val="BodyText"/>
              <w:spacing w:after="0"/>
            </w:pPr>
            <w:r>
              <w:t>Число девочек/женщин</w:t>
            </w:r>
          </w:p>
        </w:tc>
        <w:tc>
          <w:tcPr>
            <w:tcW w:w="1088" w:type="dxa"/>
          </w:tcPr>
          <w:p w:rsidR="00000000" w:rsidRDefault="00000000">
            <w:pPr>
              <w:pStyle w:val="BodyText"/>
              <w:spacing w:after="0"/>
            </w:pPr>
            <w:r>
              <w:t>Процент</w:t>
            </w:r>
          </w:p>
        </w:tc>
      </w:tr>
      <w:tr w:rsidR="00000000">
        <w:tblPrEx>
          <w:tblCellMar>
            <w:top w:w="0" w:type="dxa"/>
            <w:bottom w:w="0" w:type="dxa"/>
          </w:tblCellMar>
        </w:tblPrEx>
        <w:trPr>
          <w:jc w:val="center"/>
        </w:trPr>
        <w:tc>
          <w:tcPr>
            <w:tcW w:w="5170" w:type="dxa"/>
          </w:tcPr>
          <w:p w:rsidR="00000000" w:rsidRDefault="00000000">
            <w:pPr>
              <w:pStyle w:val="BodyText"/>
              <w:spacing w:after="0"/>
            </w:pPr>
            <w:r>
              <w:t>Государственное образование</w:t>
            </w:r>
          </w:p>
        </w:tc>
        <w:tc>
          <w:tcPr>
            <w:tcW w:w="2531" w:type="dxa"/>
          </w:tcPr>
          <w:p w:rsidR="00000000" w:rsidRDefault="00000000">
            <w:pPr>
              <w:pStyle w:val="BodyText"/>
              <w:spacing w:after="0"/>
              <w:ind w:right="851"/>
              <w:jc w:val="right"/>
            </w:pPr>
            <w:r>
              <w:t>145 069</w:t>
            </w:r>
          </w:p>
        </w:tc>
        <w:tc>
          <w:tcPr>
            <w:tcW w:w="1088" w:type="dxa"/>
          </w:tcPr>
          <w:p w:rsidR="00000000" w:rsidRDefault="00000000">
            <w:pPr>
              <w:pStyle w:val="BodyText"/>
              <w:spacing w:after="0"/>
              <w:ind w:right="284"/>
              <w:jc w:val="right"/>
            </w:pPr>
            <w:r>
              <w:t>70</w:t>
            </w:r>
          </w:p>
        </w:tc>
      </w:tr>
      <w:tr w:rsidR="00000000">
        <w:tblPrEx>
          <w:tblCellMar>
            <w:top w:w="0" w:type="dxa"/>
            <w:bottom w:w="0" w:type="dxa"/>
          </w:tblCellMar>
        </w:tblPrEx>
        <w:trPr>
          <w:jc w:val="center"/>
        </w:trPr>
        <w:tc>
          <w:tcPr>
            <w:tcW w:w="5170" w:type="dxa"/>
          </w:tcPr>
          <w:p w:rsidR="00000000" w:rsidRDefault="00000000">
            <w:pPr>
              <w:pStyle w:val="BodyText"/>
              <w:spacing w:after="0"/>
            </w:pPr>
            <w:r>
              <w:t>Частное образование</w:t>
            </w:r>
          </w:p>
        </w:tc>
        <w:tc>
          <w:tcPr>
            <w:tcW w:w="2531" w:type="dxa"/>
          </w:tcPr>
          <w:p w:rsidR="00000000" w:rsidRDefault="00000000">
            <w:pPr>
              <w:pStyle w:val="BodyText"/>
              <w:spacing w:after="0"/>
              <w:ind w:right="851"/>
              <w:jc w:val="right"/>
            </w:pPr>
            <w:r>
              <w:t>54 143</w:t>
            </w:r>
          </w:p>
        </w:tc>
        <w:tc>
          <w:tcPr>
            <w:tcW w:w="1088" w:type="dxa"/>
          </w:tcPr>
          <w:p w:rsidR="00000000" w:rsidRDefault="00000000">
            <w:pPr>
              <w:pStyle w:val="BodyText"/>
              <w:spacing w:after="0"/>
              <w:ind w:right="284"/>
              <w:jc w:val="right"/>
            </w:pPr>
            <w:r>
              <w:t>26,1</w:t>
            </w:r>
          </w:p>
        </w:tc>
      </w:tr>
      <w:tr w:rsidR="00000000">
        <w:tblPrEx>
          <w:tblCellMar>
            <w:top w:w="0" w:type="dxa"/>
            <w:bottom w:w="0" w:type="dxa"/>
          </w:tblCellMar>
        </w:tblPrEx>
        <w:trPr>
          <w:jc w:val="center"/>
        </w:trPr>
        <w:tc>
          <w:tcPr>
            <w:tcW w:w="5170" w:type="dxa"/>
          </w:tcPr>
          <w:p w:rsidR="00000000" w:rsidRDefault="00000000">
            <w:pPr>
              <w:pStyle w:val="BodyText"/>
              <w:spacing w:after="0"/>
            </w:pPr>
            <w:r>
              <w:t>Специальное образование</w:t>
            </w:r>
          </w:p>
        </w:tc>
        <w:tc>
          <w:tcPr>
            <w:tcW w:w="2531" w:type="dxa"/>
          </w:tcPr>
          <w:p w:rsidR="00000000" w:rsidRDefault="00000000">
            <w:pPr>
              <w:pStyle w:val="BodyText"/>
              <w:spacing w:after="0"/>
              <w:ind w:right="851"/>
              <w:jc w:val="right"/>
            </w:pPr>
            <w:r>
              <w:t>813</w:t>
            </w:r>
          </w:p>
        </w:tc>
        <w:tc>
          <w:tcPr>
            <w:tcW w:w="1088" w:type="dxa"/>
          </w:tcPr>
          <w:p w:rsidR="00000000" w:rsidRDefault="00000000">
            <w:pPr>
              <w:pStyle w:val="BodyText"/>
              <w:spacing w:after="0"/>
              <w:ind w:right="284"/>
              <w:jc w:val="right"/>
            </w:pPr>
            <w:r>
              <w:t>0,4</w:t>
            </w:r>
          </w:p>
        </w:tc>
      </w:tr>
      <w:tr w:rsidR="00000000">
        <w:tblPrEx>
          <w:tblCellMar>
            <w:top w:w="0" w:type="dxa"/>
            <w:bottom w:w="0" w:type="dxa"/>
          </w:tblCellMar>
        </w:tblPrEx>
        <w:trPr>
          <w:jc w:val="center"/>
        </w:trPr>
        <w:tc>
          <w:tcPr>
            <w:tcW w:w="5170" w:type="dxa"/>
          </w:tcPr>
          <w:p w:rsidR="00000000" w:rsidRDefault="00000000">
            <w:pPr>
              <w:pStyle w:val="BodyText"/>
              <w:spacing w:after="0"/>
            </w:pPr>
            <w:r>
              <w:t>Религиозное образование и командирование на учебу</w:t>
            </w:r>
          </w:p>
        </w:tc>
        <w:tc>
          <w:tcPr>
            <w:tcW w:w="2531" w:type="dxa"/>
          </w:tcPr>
          <w:p w:rsidR="00000000" w:rsidRDefault="00000000">
            <w:pPr>
              <w:pStyle w:val="BodyText"/>
              <w:spacing w:after="0"/>
              <w:ind w:right="851"/>
              <w:jc w:val="right"/>
            </w:pPr>
            <w:r>
              <w:t>702</w:t>
            </w:r>
          </w:p>
        </w:tc>
        <w:tc>
          <w:tcPr>
            <w:tcW w:w="1088" w:type="dxa"/>
          </w:tcPr>
          <w:p w:rsidR="00000000" w:rsidRDefault="00000000">
            <w:pPr>
              <w:pStyle w:val="BodyText"/>
              <w:spacing w:after="0"/>
              <w:ind w:right="284"/>
              <w:jc w:val="right"/>
            </w:pPr>
            <w:r>
              <w:t>0,3</w:t>
            </w:r>
          </w:p>
        </w:tc>
      </w:tr>
      <w:tr w:rsidR="00000000">
        <w:tblPrEx>
          <w:tblCellMar>
            <w:top w:w="0" w:type="dxa"/>
            <w:bottom w:w="0" w:type="dxa"/>
          </w:tblCellMar>
        </w:tblPrEx>
        <w:trPr>
          <w:jc w:val="center"/>
        </w:trPr>
        <w:tc>
          <w:tcPr>
            <w:tcW w:w="5170" w:type="dxa"/>
          </w:tcPr>
          <w:p w:rsidR="00000000" w:rsidRDefault="00000000">
            <w:pPr>
              <w:pStyle w:val="BodyText"/>
              <w:spacing w:after="0"/>
            </w:pPr>
            <w:r>
              <w:t>Обучение взрослых и ликвидация неграмотности</w:t>
            </w:r>
          </w:p>
        </w:tc>
        <w:tc>
          <w:tcPr>
            <w:tcW w:w="2531" w:type="dxa"/>
          </w:tcPr>
          <w:p w:rsidR="00000000" w:rsidRDefault="00000000">
            <w:pPr>
              <w:pStyle w:val="BodyText"/>
              <w:spacing w:after="0"/>
              <w:ind w:right="851"/>
              <w:jc w:val="right"/>
            </w:pPr>
            <w:r>
              <w:t>6 567</w:t>
            </w:r>
          </w:p>
        </w:tc>
        <w:tc>
          <w:tcPr>
            <w:tcW w:w="1088" w:type="dxa"/>
          </w:tcPr>
          <w:p w:rsidR="00000000" w:rsidRDefault="00000000">
            <w:pPr>
              <w:pStyle w:val="BodyText"/>
              <w:spacing w:after="0"/>
              <w:ind w:right="284"/>
              <w:jc w:val="right"/>
            </w:pPr>
            <w:r>
              <w:t>3,2</w:t>
            </w:r>
          </w:p>
        </w:tc>
      </w:tr>
      <w:tr w:rsidR="00000000">
        <w:tblPrEx>
          <w:tblCellMar>
            <w:top w:w="0" w:type="dxa"/>
            <w:bottom w:w="0" w:type="dxa"/>
          </w:tblCellMar>
        </w:tblPrEx>
        <w:trPr>
          <w:jc w:val="center"/>
        </w:trPr>
        <w:tc>
          <w:tcPr>
            <w:tcW w:w="5170" w:type="dxa"/>
          </w:tcPr>
          <w:p w:rsidR="00000000" w:rsidRDefault="00000000">
            <w:pPr>
              <w:pStyle w:val="BodyText"/>
              <w:spacing w:after="0"/>
            </w:pPr>
            <w:r>
              <w:t>Итого</w:t>
            </w:r>
          </w:p>
        </w:tc>
        <w:tc>
          <w:tcPr>
            <w:tcW w:w="2531" w:type="dxa"/>
          </w:tcPr>
          <w:p w:rsidR="00000000" w:rsidRDefault="00000000">
            <w:pPr>
              <w:pStyle w:val="BodyText"/>
              <w:spacing w:after="0"/>
              <w:ind w:right="851"/>
              <w:jc w:val="right"/>
            </w:pPr>
            <w:r>
              <w:t>207 294</w:t>
            </w:r>
          </w:p>
        </w:tc>
        <w:tc>
          <w:tcPr>
            <w:tcW w:w="1088" w:type="dxa"/>
          </w:tcPr>
          <w:p w:rsidR="00000000" w:rsidRDefault="00000000">
            <w:pPr>
              <w:pStyle w:val="BodyText"/>
              <w:spacing w:after="0"/>
              <w:ind w:right="284"/>
              <w:jc w:val="right"/>
            </w:pPr>
            <w:r>
              <w:t>100</w:t>
            </w:r>
          </w:p>
        </w:tc>
      </w:tr>
    </w:tbl>
    <w:p w:rsidR="00000000" w:rsidRDefault="00000000">
      <w:pPr>
        <w:pStyle w:val="BodyText"/>
        <w:spacing w:before="240"/>
        <w:jc w:val="center"/>
      </w:pPr>
      <w:r>
        <w:t>Число девочек/женщин по видам образования в 1998/99 учебном году</w:t>
      </w:r>
    </w:p>
    <w:tbl>
      <w:tblPr>
        <w:tblW w:w="0" w:type="auto"/>
        <w:tblInd w:w="196" w:type="dxa"/>
        <w:tblLayout w:type="fixed"/>
        <w:tblLook w:val="01E0" w:firstRow="1" w:lastRow="1" w:firstColumn="1" w:lastColumn="1" w:noHBand="0" w:noVBand="0"/>
      </w:tblPr>
      <w:tblGrid>
        <w:gridCol w:w="4941"/>
        <w:gridCol w:w="1589"/>
      </w:tblGrid>
      <w:tr w:rsidR="00000000">
        <w:tblPrEx>
          <w:tblCellMar>
            <w:top w:w="0" w:type="dxa"/>
            <w:bottom w:w="0" w:type="dxa"/>
          </w:tblCellMar>
        </w:tblPrEx>
        <w:tc>
          <w:tcPr>
            <w:tcW w:w="4941" w:type="dxa"/>
          </w:tcPr>
          <w:p w:rsidR="00000000" w:rsidRDefault="00000000">
            <w:pPr>
              <w:pStyle w:val="BodyText"/>
              <w:spacing w:after="0"/>
            </w:pPr>
            <w:r>
              <w:t>Вид образования</w:t>
            </w:r>
          </w:p>
        </w:tc>
        <w:tc>
          <w:tcPr>
            <w:tcW w:w="1589" w:type="dxa"/>
          </w:tcPr>
          <w:p w:rsidR="00000000" w:rsidRDefault="00000000">
            <w:pPr>
              <w:pStyle w:val="BodyText"/>
              <w:spacing w:after="0"/>
            </w:pPr>
            <w:r>
              <w:t>Число женщин</w:t>
            </w:r>
          </w:p>
        </w:tc>
      </w:tr>
      <w:tr w:rsidR="00000000">
        <w:tblPrEx>
          <w:tblCellMar>
            <w:top w:w="0" w:type="dxa"/>
            <w:bottom w:w="0" w:type="dxa"/>
          </w:tblCellMar>
        </w:tblPrEx>
        <w:tc>
          <w:tcPr>
            <w:tcW w:w="4941" w:type="dxa"/>
          </w:tcPr>
          <w:p w:rsidR="00000000" w:rsidRDefault="00000000">
            <w:pPr>
              <w:pStyle w:val="BodyText"/>
              <w:spacing w:after="0"/>
            </w:pPr>
            <w:r>
              <w:t>Государственное образование</w:t>
            </w:r>
          </w:p>
        </w:tc>
        <w:tc>
          <w:tcPr>
            <w:tcW w:w="1589" w:type="dxa"/>
          </w:tcPr>
          <w:p w:rsidR="00000000" w:rsidRDefault="00000000">
            <w:pPr>
              <w:pStyle w:val="BodyText"/>
              <w:spacing w:after="0"/>
              <w:ind w:right="397"/>
              <w:jc w:val="right"/>
            </w:pPr>
            <w:r>
              <w:t>175 612</w:t>
            </w:r>
          </w:p>
        </w:tc>
      </w:tr>
      <w:tr w:rsidR="00000000">
        <w:tblPrEx>
          <w:tblCellMar>
            <w:top w:w="0" w:type="dxa"/>
            <w:bottom w:w="0" w:type="dxa"/>
          </w:tblCellMar>
        </w:tblPrEx>
        <w:tc>
          <w:tcPr>
            <w:tcW w:w="4941" w:type="dxa"/>
          </w:tcPr>
          <w:p w:rsidR="00000000" w:rsidRDefault="00000000">
            <w:pPr>
              <w:pStyle w:val="BodyText"/>
              <w:spacing w:after="0"/>
            </w:pPr>
            <w:r>
              <w:t>Частное образование</w:t>
            </w:r>
          </w:p>
        </w:tc>
        <w:tc>
          <w:tcPr>
            <w:tcW w:w="1589" w:type="dxa"/>
          </w:tcPr>
          <w:p w:rsidR="00000000" w:rsidRDefault="00000000">
            <w:pPr>
              <w:pStyle w:val="BodyText"/>
              <w:spacing w:after="0"/>
              <w:ind w:right="397"/>
              <w:jc w:val="right"/>
            </w:pPr>
            <w:r>
              <w:t>56 753</w:t>
            </w:r>
          </w:p>
        </w:tc>
      </w:tr>
      <w:tr w:rsidR="00000000">
        <w:tblPrEx>
          <w:tblCellMar>
            <w:top w:w="0" w:type="dxa"/>
            <w:bottom w:w="0" w:type="dxa"/>
          </w:tblCellMar>
        </w:tblPrEx>
        <w:tc>
          <w:tcPr>
            <w:tcW w:w="4941" w:type="dxa"/>
          </w:tcPr>
          <w:p w:rsidR="00000000" w:rsidRDefault="00000000">
            <w:pPr>
              <w:pStyle w:val="BodyText"/>
              <w:spacing w:after="0"/>
            </w:pPr>
            <w:r>
              <w:t>Специальное образование</w:t>
            </w:r>
          </w:p>
        </w:tc>
        <w:tc>
          <w:tcPr>
            <w:tcW w:w="1589" w:type="dxa"/>
          </w:tcPr>
          <w:p w:rsidR="00000000" w:rsidRDefault="00000000">
            <w:pPr>
              <w:pStyle w:val="BodyText"/>
              <w:spacing w:after="0"/>
              <w:ind w:right="397"/>
              <w:jc w:val="right"/>
            </w:pPr>
            <w:r>
              <w:t>895</w:t>
            </w:r>
          </w:p>
        </w:tc>
      </w:tr>
      <w:tr w:rsidR="00000000">
        <w:tblPrEx>
          <w:tblCellMar>
            <w:top w:w="0" w:type="dxa"/>
            <w:bottom w:w="0" w:type="dxa"/>
          </w:tblCellMar>
        </w:tblPrEx>
        <w:tc>
          <w:tcPr>
            <w:tcW w:w="4941" w:type="dxa"/>
          </w:tcPr>
          <w:p w:rsidR="00000000" w:rsidRDefault="00000000">
            <w:pPr>
              <w:pStyle w:val="BodyText"/>
              <w:spacing w:after="0"/>
            </w:pPr>
            <w:r>
              <w:t>Религиозное образование и командирование на учебу</w:t>
            </w:r>
          </w:p>
        </w:tc>
        <w:tc>
          <w:tcPr>
            <w:tcW w:w="1589" w:type="dxa"/>
          </w:tcPr>
          <w:p w:rsidR="00000000" w:rsidRDefault="00000000">
            <w:pPr>
              <w:pStyle w:val="BodyText"/>
              <w:spacing w:after="0"/>
              <w:ind w:right="397"/>
              <w:jc w:val="right"/>
            </w:pPr>
            <w:r>
              <w:t>834</w:t>
            </w:r>
          </w:p>
        </w:tc>
      </w:tr>
      <w:tr w:rsidR="00000000">
        <w:tblPrEx>
          <w:tblCellMar>
            <w:top w:w="0" w:type="dxa"/>
            <w:bottom w:w="0" w:type="dxa"/>
          </w:tblCellMar>
        </w:tblPrEx>
        <w:tc>
          <w:tcPr>
            <w:tcW w:w="4941" w:type="dxa"/>
          </w:tcPr>
          <w:p w:rsidR="00000000" w:rsidRDefault="00000000">
            <w:pPr>
              <w:pStyle w:val="BodyText"/>
              <w:spacing w:after="0"/>
            </w:pPr>
            <w:r>
              <w:t>Обучение взрослых и ликвидация неграмотности</w:t>
            </w:r>
          </w:p>
        </w:tc>
        <w:tc>
          <w:tcPr>
            <w:tcW w:w="1589" w:type="dxa"/>
          </w:tcPr>
          <w:p w:rsidR="00000000" w:rsidRDefault="00000000">
            <w:pPr>
              <w:pStyle w:val="BodyText"/>
              <w:spacing w:after="0"/>
              <w:ind w:right="397"/>
              <w:jc w:val="right"/>
            </w:pPr>
            <w:r>
              <w:t>6 983</w:t>
            </w:r>
          </w:p>
        </w:tc>
      </w:tr>
    </w:tbl>
    <w:p w:rsidR="00000000" w:rsidRDefault="00000000">
      <w:pPr>
        <w:pStyle w:val="BodyText"/>
        <w:spacing w:before="240"/>
        <w:rPr>
          <w:u w:val="single"/>
        </w:rPr>
      </w:pPr>
      <w:r>
        <w:rPr>
          <w:u w:val="single"/>
        </w:rPr>
        <w:t>Роль кувейтских женщин в процессе воспитания и в образовании</w:t>
      </w:r>
    </w:p>
    <w:p w:rsidR="00000000" w:rsidRDefault="00000000">
      <w:pPr>
        <w:pStyle w:val="BodyText"/>
      </w:pPr>
      <w:r>
        <w:tab/>
        <w:t>Женщины играют передовую и новаторскую роль в кувейтском обществе. Перед ними открыты возможности трудиться в секторе образования в качестве преподавателей и административных работников, а также продвигаться по служебной лестнице вплоть до поста заместителя министра.</w:t>
      </w:r>
    </w:p>
    <w:p w:rsidR="00000000" w:rsidRDefault="00000000">
      <w:pPr>
        <w:pStyle w:val="BodyText"/>
      </w:pPr>
      <w:r>
        <w:tab/>
        <w:t>Статистические данные свидетельствуют об общем росте числа кувейтских женщин-преподавателей. Так, в 1974/75 учебном году их было 7223, 1979/80 году – 11 515, 1985/86 году – 15 231, 1995/96 году – 15 462, 1996/97 году – 16 574 и, наконец, в 1997/98 году – 16 712. В апреле 2000 года доля женщин – воспитателей в детских садах составляла 95,3 процента, учителей начального этапа обучения – 92,4 процента, промежуточного этапа – 82,7 процента и среднего общеобразовательного этапа – 61,7 процента.</w:t>
      </w:r>
    </w:p>
    <w:p w:rsidR="00000000" w:rsidRDefault="00000000">
      <w:pPr>
        <w:pStyle w:val="BodyText"/>
        <w:rPr>
          <w:u w:val="single"/>
        </w:rPr>
      </w:pPr>
      <w:r>
        <w:rPr>
          <w:u w:val="single"/>
        </w:rPr>
        <w:t>Высшее образование</w:t>
      </w:r>
    </w:p>
    <w:p w:rsidR="00000000" w:rsidRDefault="00000000">
      <w:pPr>
        <w:pStyle w:val="BodyText"/>
      </w:pPr>
      <w:r>
        <w:tab/>
        <w:t>Высшее образование в Государстве Кувейт играет важную роль в процессе экономического развития, в распространении передовых идей, в прогрессе науки, развитии общечеловеческих ценностей, а также в подготовке для страны национальных кадров специалистов, техников и экспертов в различных отраслях. Высшее образование в Кувейте обеспечивают в основном следующие учреждения:</w:t>
      </w:r>
    </w:p>
    <w:p w:rsidR="00000000" w:rsidRDefault="00000000">
      <w:pPr>
        <w:pStyle w:val="BodyText"/>
      </w:pPr>
      <w:r>
        <w:tab/>
        <w:t>–</w:t>
      </w:r>
      <w:r>
        <w:tab/>
        <w:t>Министерство высшего образования, которое ведает образованием университетского уровня и командирует студентов за границу для получения степени бакалавра и для учебы в аспирантуре.</w:t>
      </w:r>
    </w:p>
    <w:p w:rsidR="00000000" w:rsidRDefault="00000000">
      <w:pPr>
        <w:pStyle w:val="BodyText"/>
      </w:pPr>
      <w:r>
        <w:tab/>
        <w:t>–</w:t>
      </w:r>
      <w:r>
        <w:tab/>
        <w:t>Кувейтский университет, основанный в октябре 1996 года с ассигнованием 1 334 623 кувейтских динаров (КД). К моменту открытия в университете обучалось 418 студентов и работал 31 преподаватель. Благодаря последовательным усилиям университет постепенно рос, и уже в 1996/97 учебном году в нем обучались 19 546 студентов и работали 920 преподавателей. Выпускникам университета присваивается университетская степень (лицензия бакалавра). В состав университета входит ряд естественнонаучных/технических и теоретических факультетов, и на некоторых из них можно получить степени магистра и доктора.</w:t>
      </w:r>
    </w:p>
    <w:p w:rsidR="00000000" w:rsidRDefault="00000000">
      <w:pPr>
        <w:pStyle w:val="BodyText"/>
      </w:pPr>
      <w:r>
        <w:tab/>
        <w:t>Перед Кувейтским университетом ставятся следующие задачи:</w:t>
      </w:r>
    </w:p>
    <w:p w:rsidR="00000000" w:rsidRDefault="00000000">
      <w:pPr>
        <w:pStyle w:val="BodyText"/>
      </w:pPr>
      <w:r>
        <w:tab/>
        <w:t>–</w:t>
      </w:r>
      <w:r>
        <w:tab/>
        <w:t>подготовка кадров и развитие людских ресурсов;</w:t>
      </w:r>
    </w:p>
    <w:p w:rsidR="00000000" w:rsidRDefault="00000000">
      <w:pPr>
        <w:pStyle w:val="BodyText"/>
      </w:pPr>
      <w:r>
        <w:tab/>
        <w:t>–</w:t>
      </w:r>
      <w:r>
        <w:tab/>
        <w:t>участие в научном прогрессе и содействие ему с помощью научных исследований;</w:t>
      </w:r>
    </w:p>
    <w:p w:rsidR="00000000" w:rsidRDefault="00000000">
      <w:pPr>
        <w:pStyle w:val="BodyText"/>
      </w:pPr>
      <w:r>
        <w:tab/>
        <w:t>–</w:t>
      </w:r>
      <w:r>
        <w:tab/>
        <w:t>служение обществу и распространение идей и научных методов для решения проблем общества;</w:t>
      </w:r>
    </w:p>
    <w:p w:rsidR="00000000" w:rsidRDefault="00000000">
      <w:pPr>
        <w:pStyle w:val="BodyText"/>
      </w:pPr>
      <w:r>
        <w:tab/>
        <w:t>–</w:t>
      </w:r>
      <w:r>
        <w:tab/>
        <w:t>развитие научных исследований в различных областях науки, искусства и литературы.</w:t>
      </w:r>
    </w:p>
    <w:p w:rsidR="00000000" w:rsidRDefault="00000000">
      <w:pPr>
        <w:pStyle w:val="BodyText"/>
        <w:rPr>
          <w:u w:val="single"/>
        </w:rPr>
      </w:pPr>
      <w:r>
        <w:rPr>
          <w:u w:val="single"/>
        </w:rPr>
        <w:t>Преподавательский состав</w:t>
      </w:r>
    </w:p>
    <w:p w:rsidR="00000000" w:rsidRDefault="00000000">
      <w:pPr>
        <w:pStyle w:val="BodyText"/>
      </w:pPr>
      <w:r>
        <w:tab/>
        <w:t>Благодаря последовательным усилиям университет постепенно рос, и уже в 1996/97 учебном году в нем обучались 19 546 студентов и работало 920 преподавателей. Выпускникам университета присваивается университетская степень (лицензия бакалавра). В состав университета входит ряд естественнонаучных/технических и теоретических факультетов, и на некоторых из них можно получить степени магистра и доктора.</w:t>
      </w:r>
    </w:p>
    <w:p w:rsidR="00000000" w:rsidRDefault="00000000">
      <w:pPr>
        <w:pStyle w:val="-"/>
        <w:spacing w:after="240"/>
        <w:rPr>
          <w:b w:val="0"/>
        </w:rPr>
      </w:pPr>
      <w:r>
        <w:br w:type="page"/>
      </w:r>
      <w:r>
        <w:rPr>
          <w:b w:val="0"/>
        </w:rPr>
        <w:t>Таблица 1. Число студентов в 1996/97 учебном году</w:t>
      </w:r>
    </w:p>
    <w:tbl>
      <w:tblPr>
        <w:tblW w:w="0" w:type="auto"/>
        <w:jc w:val="center"/>
        <w:tblLayout w:type="fixed"/>
        <w:tblCellMar>
          <w:left w:w="28" w:type="dxa"/>
          <w:right w:w="28" w:type="dxa"/>
        </w:tblCellMar>
        <w:tblLook w:val="0000" w:firstRow="0" w:lastRow="0" w:firstColumn="0" w:lastColumn="0" w:noHBand="0" w:noVBand="0"/>
      </w:tblPr>
      <w:tblGrid>
        <w:gridCol w:w="1072"/>
        <w:gridCol w:w="526"/>
        <w:gridCol w:w="578"/>
        <w:gridCol w:w="567"/>
        <w:gridCol w:w="526"/>
        <w:gridCol w:w="526"/>
        <w:gridCol w:w="526"/>
        <w:gridCol w:w="630"/>
        <w:gridCol w:w="526"/>
        <w:gridCol w:w="630"/>
        <w:gridCol w:w="578"/>
        <w:gridCol w:w="526"/>
        <w:gridCol w:w="526"/>
        <w:gridCol w:w="526"/>
        <w:gridCol w:w="526"/>
      </w:tblGrid>
      <w:tr w:rsidR="00000000">
        <w:tblPrEx>
          <w:tblCellMar>
            <w:top w:w="0" w:type="dxa"/>
            <w:bottom w:w="0" w:type="dxa"/>
          </w:tblCellMar>
        </w:tblPrEx>
        <w:trPr>
          <w:cantSplit/>
          <w:trHeight w:val="20"/>
          <w:jc w:val="center"/>
        </w:trPr>
        <w:tc>
          <w:tcPr>
            <w:tcW w:w="1072" w:type="dxa"/>
            <w:vMerge w:val="restart"/>
            <w:shd w:val="clear" w:color="auto" w:fill="FFFFFF"/>
            <w:vAlign w:val="bottom"/>
          </w:tcPr>
          <w:p w:rsidR="00000000" w:rsidRDefault="00000000">
            <w:pPr>
              <w:pStyle w:val="-9"/>
            </w:pPr>
            <w:r>
              <w:t>Факультет</w:t>
            </w:r>
          </w:p>
        </w:tc>
        <w:tc>
          <w:tcPr>
            <w:tcW w:w="7717" w:type="dxa"/>
            <w:gridSpan w:val="14"/>
            <w:shd w:val="clear" w:color="auto" w:fill="FFFFFF"/>
            <w:vAlign w:val="bottom"/>
          </w:tcPr>
          <w:p w:rsidR="00000000" w:rsidRDefault="00000000">
            <w:pPr>
              <w:pStyle w:val="-9"/>
              <w:rPr>
                <w:color w:val="000000"/>
                <w:sz w:val="16"/>
              </w:rPr>
            </w:pPr>
            <w:r>
              <w:rPr>
                <w:color w:val="000000"/>
                <w:sz w:val="16"/>
              </w:rPr>
              <w:t>Фактическое число</w:t>
            </w:r>
          </w:p>
        </w:tc>
      </w:tr>
      <w:tr w:rsidR="00000000">
        <w:tblPrEx>
          <w:tblCellMar>
            <w:top w:w="0" w:type="dxa"/>
            <w:bottom w:w="0" w:type="dxa"/>
          </w:tblCellMar>
        </w:tblPrEx>
        <w:trPr>
          <w:cantSplit/>
          <w:trHeight w:val="20"/>
          <w:jc w:val="center"/>
        </w:trPr>
        <w:tc>
          <w:tcPr>
            <w:tcW w:w="1072" w:type="dxa"/>
            <w:vMerge/>
            <w:shd w:val="clear" w:color="auto" w:fill="FFFFFF"/>
            <w:vAlign w:val="bottom"/>
          </w:tcPr>
          <w:p w:rsidR="00000000" w:rsidRDefault="00000000">
            <w:pPr>
              <w:pStyle w:val="-9"/>
            </w:pPr>
          </w:p>
        </w:tc>
        <w:tc>
          <w:tcPr>
            <w:tcW w:w="3879" w:type="dxa"/>
            <w:gridSpan w:val="7"/>
            <w:shd w:val="clear" w:color="auto" w:fill="FFFFFF"/>
            <w:vAlign w:val="bottom"/>
          </w:tcPr>
          <w:p w:rsidR="00000000" w:rsidRDefault="00000000">
            <w:pPr>
              <w:pStyle w:val="-9"/>
              <w:rPr>
                <w:color w:val="000000"/>
                <w:sz w:val="16"/>
              </w:rPr>
            </w:pPr>
            <w:r>
              <w:rPr>
                <w:color w:val="000000"/>
                <w:sz w:val="16"/>
              </w:rPr>
              <w:t>Первый семестр</w:t>
            </w:r>
          </w:p>
        </w:tc>
        <w:tc>
          <w:tcPr>
            <w:tcW w:w="3838" w:type="dxa"/>
            <w:gridSpan w:val="7"/>
            <w:shd w:val="clear" w:color="auto" w:fill="FFFFFF"/>
            <w:vAlign w:val="bottom"/>
          </w:tcPr>
          <w:p w:rsidR="00000000" w:rsidRDefault="00000000">
            <w:pPr>
              <w:pStyle w:val="-9"/>
              <w:rPr>
                <w:color w:val="000000"/>
                <w:sz w:val="16"/>
              </w:rPr>
            </w:pPr>
            <w:r>
              <w:rPr>
                <w:color w:val="000000"/>
                <w:sz w:val="16"/>
              </w:rPr>
              <w:t>Второй семестр</w:t>
            </w:r>
          </w:p>
        </w:tc>
      </w:tr>
      <w:tr w:rsidR="00000000">
        <w:tblPrEx>
          <w:tblCellMar>
            <w:top w:w="0" w:type="dxa"/>
            <w:bottom w:w="0" w:type="dxa"/>
          </w:tblCellMar>
        </w:tblPrEx>
        <w:trPr>
          <w:cantSplit/>
          <w:trHeight w:val="20"/>
          <w:jc w:val="center"/>
        </w:trPr>
        <w:tc>
          <w:tcPr>
            <w:tcW w:w="1072" w:type="dxa"/>
            <w:shd w:val="clear" w:color="auto" w:fill="FFFFFF"/>
            <w:vAlign w:val="bottom"/>
          </w:tcPr>
          <w:p w:rsidR="00000000" w:rsidRDefault="00000000">
            <w:pPr>
              <w:pStyle w:val="-9"/>
            </w:pPr>
          </w:p>
        </w:tc>
        <w:tc>
          <w:tcPr>
            <w:tcW w:w="1671" w:type="dxa"/>
            <w:gridSpan w:val="3"/>
            <w:shd w:val="clear" w:color="auto" w:fill="FFFFFF"/>
            <w:vAlign w:val="bottom"/>
          </w:tcPr>
          <w:p w:rsidR="00000000" w:rsidRDefault="00000000">
            <w:pPr>
              <w:pStyle w:val="-9"/>
              <w:rPr>
                <w:color w:val="000000"/>
                <w:sz w:val="16"/>
              </w:rPr>
            </w:pPr>
            <w:r>
              <w:rPr>
                <w:color w:val="000000"/>
                <w:sz w:val="16"/>
              </w:rPr>
              <w:t>Кувейтцы</w:t>
            </w:r>
          </w:p>
        </w:tc>
        <w:tc>
          <w:tcPr>
            <w:tcW w:w="1578" w:type="dxa"/>
            <w:gridSpan w:val="3"/>
            <w:shd w:val="clear" w:color="auto" w:fill="FFFFFF"/>
            <w:vAlign w:val="bottom"/>
          </w:tcPr>
          <w:p w:rsidR="00000000" w:rsidRDefault="00000000">
            <w:pPr>
              <w:pStyle w:val="-9"/>
              <w:rPr>
                <w:color w:val="000000"/>
                <w:sz w:val="16"/>
              </w:rPr>
            </w:pPr>
            <w:r>
              <w:rPr>
                <w:color w:val="000000"/>
                <w:sz w:val="16"/>
              </w:rPr>
              <w:t>Некувейтц</w:t>
            </w:r>
          </w:p>
        </w:tc>
        <w:tc>
          <w:tcPr>
            <w:tcW w:w="630" w:type="dxa"/>
            <w:shd w:val="clear" w:color="auto" w:fill="FFFFFF"/>
          </w:tcPr>
          <w:p w:rsidR="00000000" w:rsidRDefault="00000000">
            <w:pPr>
              <w:pStyle w:val="-9"/>
              <w:rPr>
                <w:color w:val="000000"/>
                <w:sz w:val="16"/>
              </w:rPr>
            </w:pPr>
          </w:p>
        </w:tc>
        <w:tc>
          <w:tcPr>
            <w:tcW w:w="1734" w:type="dxa"/>
            <w:gridSpan w:val="3"/>
            <w:shd w:val="clear" w:color="auto" w:fill="FFFFFF"/>
            <w:vAlign w:val="bottom"/>
          </w:tcPr>
          <w:p w:rsidR="00000000" w:rsidRDefault="00000000">
            <w:pPr>
              <w:pStyle w:val="-9"/>
              <w:rPr>
                <w:color w:val="000000"/>
                <w:sz w:val="16"/>
              </w:rPr>
            </w:pPr>
            <w:r>
              <w:rPr>
                <w:color w:val="000000"/>
                <w:sz w:val="16"/>
              </w:rPr>
              <w:t>Кувейтцы</w:t>
            </w:r>
          </w:p>
        </w:tc>
        <w:tc>
          <w:tcPr>
            <w:tcW w:w="1578" w:type="dxa"/>
            <w:gridSpan w:val="3"/>
            <w:shd w:val="clear" w:color="auto" w:fill="FFFFFF"/>
            <w:vAlign w:val="bottom"/>
          </w:tcPr>
          <w:p w:rsidR="00000000" w:rsidRDefault="00000000">
            <w:pPr>
              <w:pStyle w:val="-9"/>
              <w:rPr>
                <w:color w:val="000000"/>
                <w:sz w:val="16"/>
              </w:rPr>
            </w:pPr>
            <w:r>
              <w:rPr>
                <w:color w:val="000000"/>
                <w:sz w:val="16"/>
              </w:rPr>
              <w:t>Некувейтцы</w:t>
            </w:r>
          </w:p>
        </w:tc>
        <w:tc>
          <w:tcPr>
            <w:tcW w:w="526" w:type="dxa"/>
            <w:shd w:val="clear" w:color="auto" w:fill="FFFFFF"/>
            <w:vAlign w:val="bottom"/>
          </w:tcPr>
          <w:p w:rsidR="00000000" w:rsidRDefault="00000000">
            <w:pPr>
              <w:pStyle w:val="-9"/>
              <w:rPr>
                <w:color w:val="000000"/>
                <w:sz w:val="16"/>
              </w:rPr>
            </w:pPr>
          </w:p>
        </w:tc>
      </w:tr>
      <w:tr w:rsidR="00000000">
        <w:tblPrEx>
          <w:tblCellMar>
            <w:top w:w="0" w:type="dxa"/>
            <w:bottom w:w="0" w:type="dxa"/>
          </w:tblCellMar>
        </w:tblPrEx>
        <w:trPr>
          <w:trHeight w:val="20"/>
          <w:jc w:val="center"/>
        </w:trPr>
        <w:tc>
          <w:tcPr>
            <w:tcW w:w="1072" w:type="dxa"/>
            <w:shd w:val="clear" w:color="auto" w:fill="FFFFFF"/>
            <w:vAlign w:val="bottom"/>
          </w:tcPr>
          <w:p w:rsidR="00000000" w:rsidRDefault="00000000">
            <w:pPr>
              <w:pStyle w:val="-9"/>
            </w:pPr>
          </w:p>
        </w:tc>
        <w:tc>
          <w:tcPr>
            <w:tcW w:w="526" w:type="dxa"/>
            <w:shd w:val="clear" w:color="auto" w:fill="FFFFFF"/>
            <w:vAlign w:val="bottom"/>
          </w:tcPr>
          <w:p w:rsidR="00000000" w:rsidRDefault="00000000">
            <w:pPr>
              <w:pStyle w:val="-9"/>
              <w:rPr>
                <w:color w:val="000000"/>
                <w:sz w:val="16"/>
              </w:rPr>
            </w:pPr>
            <w:r>
              <w:rPr>
                <w:color w:val="000000"/>
                <w:sz w:val="16"/>
              </w:rPr>
              <w:t>М</w:t>
            </w:r>
          </w:p>
        </w:tc>
        <w:tc>
          <w:tcPr>
            <w:tcW w:w="578" w:type="dxa"/>
            <w:shd w:val="clear" w:color="auto" w:fill="FFFFFF"/>
            <w:vAlign w:val="bottom"/>
          </w:tcPr>
          <w:p w:rsidR="00000000" w:rsidRDefault="00000000">
            <w:pPr>
              <w:pStyle w:val="-9"/>
              <w:rPr>
                <w:color w:val="000000"/>
                <w:sz w:val="16"/>
              </w:rPr>
            </w:pPr>
            <w:r>
              <w:rPr>
                <w:color w:val="000000"/>
                <w:sz w:val="16"/>
              </w:rPr>
              <w:t>Ж</w:t>
            </w:r>
          </w:p>
        </w:tc>
        <w:tc>
          <w:tcPr>
            <w:tcW w:w="567" w:type="dxa"/>
            <w:shd w:val="clear" w:color="auto" w:fill="FFFFFF"/>
            <w:vAlign w:val="bottom"/>
          </w:tcPr>
          <w:p w:rsidR="00000000" w:rsidRDefault="00000000">
            <w:pPr>
              <w:pStyle w:val="-9"/>
              <w:rPr>
                <w:color w:val="000000"/>
                <w:sz w:val="16"/>
              </w:rPr>
            </w:pPr>
            <w:r>
              <w:rPr>
                <w:color w:val="000000"/>
                <w:sz w:val="16"/>
              </w:rPr>
              <w:t>Всего</w:t>
            </w:r>
          </w:p>
        </w:tc>
        <w:tc>
          <w:tcPr>
            <w:tcW w:w="526" w:type="dxa"/>
            <w:shd w:val="clear" w:color="auto" w:fill="FFFFFF"/>
            <w:vAlign w:val="bottom"/>
          </w:tcPr>
          <w:p w:rsidR="00000000" w:rsidRDefault="00000000">
            <w:pPr>
              <w:pStyle w:val="-9"/>
              <w:rPr>
                <w:color w:val="000000"/>
                <w:sz w:val="16"/>
              </w:rPr>
            </w:pPr>
            <w:r>
              <w:rPr>
                <w:color w:val="000000"/>
                <w:sz w:val="16"/>
              </w:rPr>
              <w:t>М</w:t>
            </w:r>
          </w:p>
        </w:tc>
        <w:tc>
          <w:tcPr>
            <w:tcW w:w="526" w:type="dxa"/>
            <w:shd w:val="clear" w:color="auto" w:fill="FFFFFF"/>
            <w:vAlign w:val="bottom"/>
          </w:tcPr>
          <w:p w:rsidR="00000000" w:rsidRDefault="00000000">
            <w:pPr>
              <w:pStyle w:val="-9"/>
              <w:rPr>
                <w:color w:val="000000"/>
                <w:sz w:val="16"/>
              </w:rPr>
            </w:pPr>
            <w:r>
              <w:rPr>
                <w:color w:val="000000"/>
                <w:sz w:val="16"/>
              </w:rPr>
              <w:t>Ж</w:t>
            </w:r>
          </w:p>
        </w:tc>
        <w:tc>
          <w:tcPr>
            <w:tcW w:w="526" w:type="dxa"/>
            <w:shd w:val="clear" w:color="auto" w:fill="FFFFFF"/>
            <w:vAlign w:val="bottom"/>
          </w:tcPr>
          <w:p w:rsidR="00000000" w:rsidRDefault="00000000">
            <w:pPr>
              <w:pStyle w:val="-9"/>
              <w:rPr>
                <w:color w:val="000000"/>
                <w:sz w:val="16"/>
              </w:rPr>
            </w:pPr>
            <w:r>
              <w:rPr>
                <w:color w:val="000000"/>
                <w:sz w:val="16"/>
              </w:rPr>
              <w:t>Всего</w:t>
            </w:r>
          </w:p>
        </w:tc>
        <w:tc>
          <w:tcPr>
            <w:tcW w:w="630" w:type="dxa"/>
            <w:shd w:val="clear" w:color="auto" w:fill="FFFFFF"/>
          </w:tcPr>
          <w:p w:rsidR="00000000" w:rsidRDefault="00000000">
            <w:pPr>
              <w:pStyle w:val="-9"/>
              <w:rPr>
                <w:color w:val="000000"/>
                <w:sz w:val="16"/>
              </w:rPr>
            </w:pPr>
            <w:r>
              <w:rPr>
                <w:color w:val="000000"/>
                <w:sz w:val="16"/>
              </w:rPr>
              <w:t>Итого</w:t>
            </w:r>
          </w:p>
        </w:tc>
        <w:tc>
          <w:tcPr>
            <w:tcW w:w="526" w:type="dxa"/>
            <w:shd w:val="clear" w:color="auto" w:fill="FFFFFF"/>
            <w:vAlign w:val="bottom"/>
          </w:tcPr>
          <w:p w:rsidR="00000000" w:rsidRDefault="00000000">
            <w:pPr>
              <w:pStyle w:val="-9"/>
              <w:rPr>
                <w:color w:val="000000"/>
                <w:sz w:val="16"/>
              </w:rPr>
            </w:pPr>
            <w:r>
              <w:rPr>
                <w:color w:val="000000"/>
                <w:sz w:val="16"/>
              </w:rPr>
              <w:t>М</w:t>
            </w:r>
          </w:p>
        </w:tc>
        <w:tc>
          <w:tcPr>
            <w:tcW w:w="630" w:type="dxa"/>
            <w:shd w:val="clear" w:color="auto" w:fill="FFFFFF"/>
            <w:vAlign w:val="bottom"/>
          </w:tcPr>
          <w:p w:rsidR="00000000" w:rsidRDefault="00000000">
            <w:pPr>
              <w:pStyle w:val="-9"/>
              <w:rPr>
                <w:color w:val="000000"/>
                <w:sz w:val="16"/>
              </w:rPr>
            </w:pPr>
            <w:r>
              <w:rPr>
                <w:color w:val="000000"/>
                <w:sz w:val="16"/>
              </w:rPr>
              <w:t>Ж</w:t>
            </w:r>
          </w:p>
        </w:tc>
        <w:tc>
          <w:tcPr>
            <w:tcW w:w="578" w:type="dxa"/>
            <w:shd w:val="clear" w:color="auto" w:fill="FFFFFF"/>
            <w:vAlign w:val="bottom"/>
          </w:tcPr>
          <w:p w:rsidR="00000000" w:rsidRDefault="00000000">
            <w:pPr>
              <w:pStyle w:val="-9"/>
              <w:rPr>
                <w:color w:val="000000"/>
                <w:sz w:val="16"/>
              </w:rPr>
            </w:pPr>
            <w:r>
              <w:rPr>
                <w:color w:val="000000"/>
                <w:sz w:val="16"/>
              </w:rPr>
              <w:t>Всего</w:t>
            </w:r>
          </w:p>
        </w:tc>
        <w:tc>
          <w:tcPr>
            <w:tcW w:w="526" w:type="dxa"/>
            <w:shd w:val="clear" w:color="auto" w:fill="FFFFFF"/>
            <w:vAlign w:val="bottom"/>
          </w:tcPr>
          <w:p w:rsidR="00000000" w:rsidRDefault="00000000">
            <w:pPr>
              <w:pStyle w:val="-9"/>
              <w:rPr>
                <w:color w:val="000000"/>
                <w:sz w:val="16"/>
              </w:rPr>
            </w:pPr>
            <w:r>
              <w:rPr>
                <w:color w:val="000000"/>
                <w:sz w:val="16"/>
              </w:rPr>
              <w:t>М</w:t>
            </w:r>
          </w:p>
        </w:tc>
        <w:tc>
          <w:tcPr>
            <w:tcW w:w="526" w:type="dxa"/>
            <w:shd w:val="clear" w:color="auto" w:fill="FFFFFF"/>
            <w:vAlign w:val="bottom"/>
          </w:tcPr>
          <w:p w:rsidR="00000000" w:rsidRDefault="00000000">
            <w:pPr>
              <w:pStyle w:val="-9"/>
              <w:rPr>
                <w:color w:val="000000"/>
                <w:sz w:val="16"/>
              </w:rPr>
            </w:pPr>
            <w:r>
              <w:rPr>
                <w:color w:val="000000"/>
                <w:sz w:val="16"/>
              </w:rPr>
              <w:t>Ж</w:t>
            </w:r>
          </w:p>
        </w:tc>
        <w:tc>
          <w:tcPr>
            <w:tcW w:w="526" w:type="dxa"/>
            <w:shd w:val="clear" w:color="auto" w:fill="FFFFFF"/>
            <w:vAlign w:val="bottom"/>
          </w:tcPr>
          <w:p w:rsidR="00000000" w:rsidRDefault="00000000">
            <w:pPr>
              <w:pStyle w:val="-9"/>
              <w:rPr>
                <w:color w:val="000000"/>
                <w:sz w:val="16"/>
              </w:rPr>
            </w:pPr>
            <w:r>
              <w:rPr>
                <w:color w:val="000000"/>
                <w:sz w:val="16"/>
              </w:rPr>
              <w:t>Всего</w:t>
            </w:r>
          </w:p>
        </w:tc>
        <w:tc>
          <w:tcPr>
            <w:tcW w:w="526" w:type="dxa"/>
            <w:shd w:val="clear" w:color="auto" w:fill="FFFFFF"/>
            <w:vAlign w:val="bottom"/>
          </w:tcPr>
          <w:p w:rsidR="00000000" w:rsidRDefault="00000000">
            <w:pPr>
              <w:pStyle w:val="-9"/>
              <w:rPr>
                <w:color w:val="000000"/>
                <w:sz w:val="16"/>
              </w:rPr>
            </w:pPr>
            <w:r>
              <w:rPr>
                <w:color w:val="000000"/>
                <w:sz w:val="16"/>
              </w:rPr>
              <w:t>Итого</w:t>
            </w:r>
          </w:p>
        </w:tc>
      </w:tr>
      <w:tr w:rsidR="00000000">
        <w:tblPrEx>
          <w:tblCellMar>
            <w:top w:w="0" w:type="dxa"/>
            <w:bottom w:w="0" w:type="dxa"/>
          </w:tblCellMar>
        </w:tblPrEx>
        <w:trPr>
          <w:trHeight w:val="20"/>
          <w:jc w:val="center"/>
        </w:trPr>
        <w:tc>
          <w:tcPr>
            <w:tcW w:w="1072" w:type="dxa"/>
            <w:shd w:val="clear" w:color="auto" w:fill="FFFFFF"/>
            <w:vAlign w:val="bottom"/>
          </w:tcPr>
          <w:p w:rsidR="00000000" w:rsidRDefault="00000000">
            <w:pPr>
              <w:pStyle w:val="BodyText"/>
              <w:spacing w:after="0" w:line="240" w:lineRule="auto"/>
              <w:rPr>
                <w:sz w:val="18"/>
              </w:rPr>
            </w:pPr>
            <w:r>
              <w:rPr>
                <w:sz w:val="18"/>
              </w:rPr>
              <w:t>Торговли</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961</w:t>
            </w:r>
          </w:p>
        </w:tc>
        <w:tc>
          <w:tcPr>
            <w:tcW w:w="578" w:type="dxa"/>
            <w:shd w:val="clear" w:color="auto" w:fill="FFFFFF"/>
            <w:vAlign w:val="bottom"/>
          </w:tcPr>
          <w:p w:rsidR="00000000" w:rsidRDefault="00000000">
            <w:pPr>
              <w:pStyle w:val="BodyText"/>
              <w:spacing w:after="0" w:line="240" w:lineRule="auto"/>
              <w:jc w:val="right"/>
              <w:rPr>
                <w:sz w:val="18"/>
              </w:rPr>
            </w:pPr>
            <w:r>
              <w:rPr>
                <w:color w:val="000000"/>
                <w:sz w:val="18"/>
              </w:rPr>
              <w:t>1 170</w:t>
            </w:r>
          </w:p>
        </w:tc>
        <w:tc>
          <w:tcPr>
            <w:tcW w:w="567" w:type="dxa"/>
            <w:shd w:val="clear" w:color="auto" w:fill="FFFFFF"/>
            <w:vAlign w:val="bottom"/>
          </w:tcPr>
          <w:p w:rsidR="00000000" w:rsidRDefault="00000000">
            <w:pPr>
              <w:pStyle w:val="BodyText"/>
              <w:spacing w:after="0" w:line="240" w:lineRule="auto"/>
              <w:jc w:val="right"/>
              <w:rPr>
                <w:sz w:val="18"/>
              </w:rPr>
            </w:pPr>
            <w:r>
              <w:rPr>
                <w:color w:val="000000"/>
                <w:sz w:val="18"/>
              </w:rPr>
              <w:t>2 131</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95</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58</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153</w:t>
            </w:r>
          </w:p>
        </w:tc>
        <w:tc>
          <w:tcPr>
            <w:tcW w:w="630" w:type="dxa"/>
            <w:shd w:val="clear" w:color="auto" w:fill="FFFFFF"/>
            <w:vAlign w:val="bottom"/>
          </w:tcPr>
          <w:p w:rsidR="00000000" w:rsidRDefault="00000000">
            <w:pPr>
              <w:pStyle w:val="BodyText"/>
              <w:spacing w:after="0" w:line="240" w:lineRule="auto"/>
              <w:jc w:val="right"/>
              <w:rPr>
                <w:sz w:val="18"/>
              </w:rPr>
            </w:pPr>
            <w:r>
              <w:rPr>
                <w:color w:val="000000"/>
                <w:sz w:val="18"/>
              </w:rPr>
              <w:t>2 284</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822</w:t>
            </w:r>
          </w:p>
        </w:tc>
        <w:tc>
          <w:tcPr>
            <w:tcW w:w="630" w:type="dxa"/>
            <w:shd w:val="clear" w:color="auto" w:fill="FFFFFF"/>
            <w:vAlign w:val="bottom"/>
          </w:tcPr>
          <w:p w:rsidR="00000000" w:rsidRDefault="00000000">
            <w:pPr>
              <w:pStyle w:val="BodyText"/>
              <w:spacing w:after="0" w:line="240" w:lineRule="auto"/>
              <w:jc w:val="right"/>
              <w:rPr>
                <w:sz w:val="18"/>
              </w:rPr>
            </w:pPr>
            <w:r>
              <w:rPr>
                <w:color w:val="000000"/>
                <w:sz w:val="18"/>
              </w:rPr>
              <w:t>975</w:t>
            </w:r>
          </w:p>
        </w:tc>
        <w:tc>
          <w:tcPr>
            <w:tcW w:w="578" w:type="dxa"/>
            <w:shd w:val="clear" w:color="auto" w:fill="FFFFFF"/>
            <w:vAlign w:val="bottom"/>
          </w:tcPr>
          <w:p w:rsidR="00000000" w:rsidRDefault="00000000">
            <w:pPr>
              <w:pStyle w:val="BodyText"/>
              <w:spacing w:after="0" w:line="240" w:lineRule="auto"/>
              <w:jc w:val="right"/>
              <w:rPr>
                <w:sz w:val="18"/>
              </w:rPr>
            </w:pPr>
            <w:r>
              <w:rPr>
                <w:color w:val="000000"/>
                <w:sz w:val="18"/>
              </w:rPr>
              <w:t>1 797</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84</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55</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139</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1 936</w:t>
            </w:r>
          </w:p>
        </w:tc>
      </w:tr>
      <w:tr w:rsidR="00000000">
        <w:tblPrEx>
          <w:tblCellMar>
            <w:top w:w="0" w:type="dxa"/>
            <w:bottom w:w="0" w:type="dxa"/>
          </w:tblCellMar>
        </w:tblPrEx>
        <w:trPr>
          <w:trHeight w:val="20"/>
          <w:jc w:val="center"/>
        </w:trPr>
        <w:tc>
          <w:tcPr>
            <w:tcW w:w="1072" w:type="dxa"/>
            <w:shd w:val="clear" w:color="auto" w:fill="FFFFFF"/>
            <w:vAlign w:val="bottom"/>
          </w:tcPr>
          <w:p w:rsidR="00000000" w:rsidRDefault="00000000">
            <w:pPr>
              <w:pStyle w:val="BodyText"/>
              <w:spacing w:after="0" w:line="240" w:lineRule="auto"/>
              <w:rPr>
                <w:sz w:val="18"/>
              </w:rPr>
            </w:pPr>
            <w:r>
              <w:rPr>
                <w:sz w:val="18"/>
              </w:rPr>
              <w:t>Права</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562</w:t>
            </w:r>
          </w:p>
        </w:tc>
        <w:tc>
          <w:tcPr>
            <w:tcW w:w="578" w:type="dxa"/>
            <w:shd w:val="clear" w:color="auto" w:fill="FFFFFF"/>
            <w:vAlign w:val="bottom"/>
          </w:tcPr>
          <w:p w:rsidR="00000000" w:rsidRDefault="00000000">
            <w:pPr>
              <w:pStyle w:val="BodyText"/>
              <w:spacing w:after="0" w:line="240" w:lineRule="auto"/>
              <w:jc w:val="right"/>
              <w:rPr>
                <w:sz w:val="18"/>
              </w:rPr>
            </w:pPr>
            <w:r>
              <w:rPr>
                <w:color w:val="000000"/>
                <w:sz w:val="18"/>
              </w:rPr>
              <w:t>599</w:t>
            </w:r>
          </w:p>
        </w:tc>
        <w:tc>
          <w:tcPr>
            <w:tcW w:w="567" w:type="dxa"/>
            <w:shd w:val="clear" w:color="auto" w:fill="FFFFFF"/>
            <w:vAlign w:val="bottom"/>
          </w:tcPr>
          <w:p w:rsidR="00000000" w:rsidRDefault="00000000">
            <w:pPr>
              <w:pStyle w:val="BodyText"/>
              <w:spacing w:after="0" w:line="240" w:lineRule="auto"/>
              <w:jc w:val="right"/>
              <w:rPr>
                <w:sz w:val="18"/>
              </w:rPr>
            </w:pPr>
            <w:r>
              <w:rPr>
                <w:color w:val="000000"/>
                <w:sz w:val="18"/>
              </w:rPr>
              <w:t>1 161</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23</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34</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57</w:t>
            </w:r>
          </w:p>
        </w:tc>
        <w:tc>
          <w:tcPr>
            <w:tcW w:w="630" w:type="dxa"/>
            <w:shd w:val="clear" w:color="auto" w:fill="FFFFFF"/>
            <w:vAlign w:val="bottom"/>
          </w:tcPr>
          <w:p w:rsidR="00000000" w:rsidRDefault="00000000">
            <w:pPr>
              <w:pStyle w:val="BodyText"/>
              <w:spacing w:after="0" w:line="240" w:lineRule="auto"/>
              <w:jc w:val="right"/>
              <w:rPr>
                <w:sz w:val="18"/>
              </w:rPr>
            </w:pPr>
            <w:r>
              <w:rPr>
                <w:color w:val="000000"/>
                <w:sz w:val="18"/>
              </w:rPr>
              <w:t>1 218</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505</w:t>
            </w:r>
          </w:p>
        </w:tc>
        <w:tc>
          <w:tcPr>
            <w:tcW w:w="630" w:type="dxa"/>
            <w:shd w:val="clear" w:color="auto" w:fill="FFFFFF"/>
            <w:vAlign w:val="bottom"/>
          </w:tcPr>
          <w:p w:rsidR="00000000" w:rsidRDefault="00000000">
            <w:pPr>
              <w:pStyle w:val="BodyText"/>
              <w:spacing w:after="0" w:line="240" w:lineRule="auto"/>
              <w:jc w:val="right"/>
              <w:rPr>
                <w:sz w:val="18"/>
              </w:rPr>
            </w:pPr>
            <w:r>
              <w:rPr>
                <w:color w:val="000000"/>
                <w:sz w:val="18"/>
              </w:rPr>
              <w:t>573</w:t>
            </w:r>
          </w:p>
        </w:tc>
        <w:tc>
          <w:tcPr>
            <w:tcW w:w="578" w:type="dxa"/>
            <w:shd w:val="clear" w:color="auto" w:fill="FFFFFF"/>
            <w:vAlign w:val="bottom"/>
          </w:tcPr>
          <w:p w:rsidR="00000000" w:rsidRDefault="00000000">
            <w:pPr>
              <w:pStyle w:val="BodyText"/>
              <w:spacing w:after="0" w:line="240" w:lineRule="auto"/>
              <w:jc w:val="right"/>
              <w:rPr>
                <w:sz w:val="18"/>
              </w:rPr>
            </w:pPr>
            <w:r>
              <w:rPr>
                <w:color w:val="000000"/>
                <w:sz w:val="18"/>
              </w:rPr>
              <w:t>1 075</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17</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31</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48</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1 126</w:t>
            </w:r>
          </w:p>
        </w:tc>
      </w:tr>
      <w:tr w:rsidR="00000000">
        <w:tblPrEx>
          <w:tblCellMar>
            <w:top w:w="0" w:type="dxa"/>
            <w:bottom w:w="0" w:type="dxa"/>
          </w:tblCellMar>
        </w:tblPrEx>
        <w:trPr>
          <w:trHeight w:val="20"/>
          <w:jc w:val="center"/>
        </w:trPr>
        <w:tc>
          <w:tcPr>
            <w:tcW w:w="1072" w:type="dxa"/>
            <w:shd w:val="clear" w:color="auto" w:fill="FFFFFF"/>
            <w:vAlign w:val="bottom"/>
          </w:tcPr>
          <w:p w:rsidR="00000000" w:rsidRDefault="00000000">
            <w:pPr>
              <w:pStyle w:val="BodyText"/>
              <w:spacing w:after="0" w:line="240" w:lineRule="auto"/>
              <w:rPr>
                <w:sz w:val="18"/>
              </w:rPr>
            </w:pPr>
            <w:r>
              <w:rPr>
                <w:sz w:val="18"/>
              </w:rPr>
              <w:t>Гуманитар-ных наук</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689</w:t>
            </w:r>
          </w:p>
        </w:tc>
        <w:tc>
          <w:tcPr>
            <w:tcW w:w="578" w:type="dxa"/>
            <w:shd w:val="clear" w:color="auto" w:fill="FFFFFF"/>
            <w:vAlign w:val="bottom"/>
          </w:tcPr>
          <w:p w:rsidR="00000000" w:rsidRDefault="00000000">
            <w:pPr>
              <w:pStyle w:val="BodyText"/>
              <w:spacing w:after="0" w:line="240" w:lineRule="auto"/>
              <w:jc w:val="right"/>
              <w:rPr>
                <w:sz w:val="18"/>
              </w:rPr>
            </w:pPr>
            <w:r>
              <w:rPr>
                <w:color w:val="000000"/>
                <w:sz w:val="18"/>
              </w:rPr>
              <w:t>2 534</w:t>
            </w:r>
          </w:p>
        </w:tc>
        <w:tc>
          <w:tcPr>
            <w:tcW w:w="567" w:type="dxa"/>
            <w:shd w:val="clear" w:color="auto" w:fill="FFFFFF"/>
            <w:vAlign w:val="bottom"/>
          </w:tcPr>
          <w:p w:rsidR="00000000" w:rsidRDefault="00000000">
            <w:pPr>
              <w:pStyle w:val="BodyText"/>
              <w:spacing w:after="0" w:line="240" w:lineRule="auto"/>
              <w:jc w:val="right"/>
              <w:rPr>
                <w:sz w:val="18"/>
              </w:rPr>
            </w:pPr>
            <w:r>
              <w:rPr>
                <w:color w:val="000000"/>
                <w:sz w:val="18"/>
              </w:rPr>
              <w:t>3 223</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107</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171</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278</w:t>
            </w:r>
          </w:p>
        </w:tc>
        <w:tc>
          <w:tcPr>
            <w:tcW w:w="630" w:type="dxa"/>
            <w:shd w:val="clear" w:color="auto" w:fill="FFFFFF"/>
            <w:vAlign w:val="bottom"/>
          </w:tcPr>
          <w:p w:rsidR="00000000" w:rsidRDefault="00000000">
            <w:pPr>
              <w:pStyle w:val="BodyText"/>
              <w:spacing w:after="0" w:line="240" w:lineRule="auto"/>
              <w:jc w:val="right"/>
              <w:rPr>
                <w:sz w:val="18"/>
              </w:rPr>
            </w:pPr>
            <w:r>
              <w:rPr>
                <w:color w:val="000000"/>
                <w:sz w:val="18"/>
              </w:rPr>
              <w:t>3 501</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621</w:t>
            </w:r>
          </w:p>
        </w:tc>
        <w:tc>
          <w:tcPr>
            <w:tcW w:w="630" w:type="dxa"/>
            <w:shd w:val="clear" w:color="auto" w:fill="FFFFFF"/>
            <w:vAlign w:val="bottom"/>
          </w:tcPr>
          <w:p w:rsidR="00000000" w:rsidRDefault="00000000">
            <w:pPr>
              <w:pStyle w:val="BodyText"/>
              <w:spacing w:after="0" w:line="240" w:lineRule="auto"/>
              <w:jc w:val="right"/>
              <w:rPr>
                <w:sz w:val="18"/>
              </w:rPr>
            </w:pPr>
            <w:r>
              <w:rPr>
                <w:color w:val="000000"/>
                <w:sz w:val="18"/>
              </w:rPr>
              <w:t>2 281</w:t>
            </w:r>
          </w:p>
        </w:tc>
        <w:tc>
          <w:tcPr>
            <w:tcW w:w="578" w:type="dxa"/>
            <w:shd w:val="clear" w:color="auto" w:fill="FFFFFF"/>
            <w:vAlign w:val="bottom"/>
          </w:tcPr>
          <w:p w:rsidR="00000000" w:rsidRDefault="00000000">
            <w:pPr>
              <w:pStyle w:val="BodyText"/>
              <w:spacing w:after="0" w:line="240" w:lineRule="auto"/>
              <w:jc w:val="right"/>
              <w:rPr>
                <w:sz w:val="18"/>
              </w:rPr>
            </w:pPr>
            <w:r>
              <w:rPr>
                <w:color w:val="000000"/>
                <w:sz w:val="18"/>
              </w:rPr>
              <w:t>2 902</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105</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152</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257</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3 159</w:t>
            </w:r>
          </w:p>
        </w:tc>
      </w:tr>
      <w:tr w:rsidR="00000000">
        <w:tblPrEx>
          <w:tblCellMar>
            <w:top w:w="0" w:type="dxa"/>
            <w:bottom w:w="0" w:type="dxa"/>
          </w:tblCellMar>
        </w:tblPrEx>
        <w:trPr>
          <w:trHeight w:val="20"/>
          <w:jc w:val="center"/>
        </w:trPr>
        <w:tc>
          <w:tcPr>
            <w:tcW w:w="1072" w:type="dxa"/>
            <w:shd w:val="clear" w:color="auto" w:fill="FFFFFF"/>
            <w:vAlign w:val="bottom"/>
          </w:tcPr>
          <w:p w:rsidR="00000000" w:rsidRDefault="00000000">
            <w:pPr>
              <w:pStyle w:val="BodyText"/>
              <w:spacing w:after="0" w:line="240" w:lineRule="auto"/>
              <w:rPr>
                <w:sz w:val="18"/>
              </w:rPr>
            </w:pPr>
            <w:r>
              <w:rPr>
                <w:sz w:val="18"/>
              </w:rPr>
              <w:t>Естествен-ных наук</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666</w:t>
            </w:r>
          </w:p>
        </w:tc>
        <w:tc>
          <w:tcPr>
            <w:tcW w:w="578" w:type="dxa"/>
            <w:shd w:val="clear" w:color="auto" w:fill="FFFFFF"/>
            <w:vAlign w:val="bottom"/>
          </w:tcPr>
          <w:p w:rsidR="00000000" w:rsidRDefault="00000000">
            <w:pPr>
              <w:pStyle w:val="BodyText"/>
              <w:spacing w:after="0" w:line="240" w:lineRule="auto"/>
              <w:jc w:val="right"/>
              <w:rPr>
                <w:sz w:val="18"/>
              </w:rPr>
            </w:pPr>
            <w:r>
              <w:rPr>
                <w:color w:val="000000"/>
                <w:sz w:val="18"/>
              </w:rPr>
              <w:t>1 992</w:t>
            </w:r>
          </w:p>
        </w:tc>
        <w:tc>
          <w:tcPr>
            <w:tcW w:w="567" w:type="dxa"/>
            <w:shd w:val="clear" w:color="auto" w:fill="FFFFFF"/>
            <w:vAlign w:val="bottom"/>
          </w:tcPr>
          <w:p w:rsidR="00000000" w:rsidRDefault="00000000">
            <w:pPr>
              <w:pStyle w:val="BodyText"/>
              <w:spacing w:after="0" w:line="240" w:lineRule="auto"/>
              <w:jc w:val="right"/>
              <w:rPr>
                <w:sz w:val="18"/>
              </w:rPr>
            </w:pPr>
            <w:r>
              <w:rPr>
                <w:color w:val="000000"/>
                <w:sz w:val="18"/>
              </w:rPr>
              <w:t>2 658</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152</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240</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392</w:t>
            </w:r>
          </w:p>
        </w:tc>
        <w:tc>
          <w:tcPr>
            <w:tcW w:w="630" w:type="dxa"/>
            <w:shd w:val="clear" w:color="auto" w:fill="FFFFFF"/>
            <w:vAlign w:val="bottom"/>
          </w:tcPr>
          <w:p w:rsidR="00000000" w:rsidRDefault="00000000">
            <w:pPr>
              <w:pStyle w:val="BodyText"/>
              <w:spacing w:after="0" w:line="240" w:lineRule="auto"/>
              <w:jc w:val="right"/>
              <w:rPr>
                <w:sz w:val="18"/>
              </w:rPr>
            </w:pPr>
            <w:r>
              <w:rPr>
                <w:color w:val="000000"/>
                <w:sz w:val="18"/>
              </w:rPr>
              <w:t>3 050</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589</w:t>
            </w:r>
          </w:p>
        </w:tc>
        <w:tc>
          <w:tcPr>
            <w:tcW w:w="630" w:type="dxa"/>
            <w:shd w:val="clear" w:color="auto" w:fill="FFFFFF"/>
            <w:vAlign w:val="bottom"/>
          </w:tcPr>
          <w:p w:rsidR="00000000" w:rsidRDefault="00000000">
            <w:pPr>
              <w:pStyle w:val="BodyText"/>
              <w:spacing w:after="0" w:line="240" w:lineRule="auto"/>
              <w:jc w:val="right"/>
              <w:rPr>
                <w:sz w:val="18"/>
              </w:rPr>
            </w:pPr>
            <w:r>
              <w:rPr>
                <w:color w:val="000000"/>
                <w:sz w:val="18"/>
              </w:rPr>
              <w:t>1 810</w:t>
            </w:r>
          </w:p>
        </w:tc>
        <w:tc>
          <w:tcPr>
            <w:tcW w:w="578" w:type="dxa"/>
            <w:shd w:val="clear" w:color="auto" w:fill="FFFFFF"/>
            <w:vAlign w:val="bottom"/>
          </w:tcPr>
          <w:p w:rsidR="00000000" w:rsidRDefault="00000000">
            <w:pPr>
              <w:pStyle w:val="BodyText"/>
              <w:spacing w:after="0" w:line="240" w:lineRule="auto"/>
              <w:jc w:val="right"/>
              <w:rPr>
                <w:sz w:val="18"/>
              </w:rPr>
            </w:pPr>
            <w:r>
              <w:rPr>
                <w:color w:val="000000"/>
                <w:sz w:val="18"/>
              </w:rPr>
              <w:t>2 399</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148</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262</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410</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2 809</w:t>
            </w:r>
          </w:p>
        </w:tc>
      </w:tr>
      <w:tr w:rsidR="00000000">
        <w:tblPrEx>
          <w:tblCellMar>
            <w:top w:w="0" w:type="dxa"/>
            <w:bottom w:w="0" w:type="dxa"/>
          </w:tblCellMar>
        </w:tblPrEx>
        <w:trPr>
          <w:trHeight w:val="20"/>
          <w:jc w:val="center"/>
        </w:trPr>
        <w:tc>
          <w:tcPr>
            <w:tcW w:w="1072" w:type="dxa"/>
            <w:shd w:val="clear" w:color="auto" w:fill="FFFFFF"/>
            <w:vAlign w:val="bottom"/>
          </w:tcPr>
          <w:p w:rsidR="00000000" w:rsidRDefault="00000000">
            <w:pPr>
              <w:pStyle w:val="BodyText"/>
              <w:spacing w:after="0" w:line="240" w:lineRule="auto"/>
              <w:rPr>
                <w:sz w:val="18"/>
              </w:rPr>
            </w:pPr>
            <w:r>
              <w:rPr>
                <w:sz w:val="18"/>
              </w:rPr>
              <w:t>Медицины</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230</w:t>
            </w:r>
          </w:p>
        </w:tc>
        <w:tc>
          <w:tcPr>
            <w:tcW w:w="578" w:type="dxa"/>
            <w:shd w:val="clear" w:color="auto" w:fill="FFFFFF"/>
            <w:vAlign w:val="bottom"/>
          </w:tcPr>
          <w:p w:rsidR="00000000" w:rsidRDefault="00000000">
            <w:pPr>
              <w:pStyle w:val="BodyText"/>
              <w:spacing w:after="0" w:line="240" w:lineRule="auto"/>
              <w:jc w:val="right"/>
              <w:rPr>
                <w:sz w:val="18"/>
              </w:rPr>
            </w:pPr>
            <w:r>
              <w:rPr>
                <w:color w:val="000000"/>
                <w:sz w:val="18"/>
              </w:rPr>
              <w:t>275</w:t>
            </w:r>
          </w:p>
        </w:tc>
        <w:tc>
          <w:tcPr>
            <w:tcW w:w="567" w:type="dxa"/>
            <w:shd w:val="clear" w:color="auto" w:fill="FFFFFF"/>
            <w:vAlign w:val="bottom"/>
          </w:tcPr>
          <w:p w:rsidR="00000000" w:rsidRDefault="00000000">
            <w:pPr>
              <w:pStyle w:val="BodyText"/>
              <w:spacing w:after="0" w:line="240" w:lineRule="auto"/>
              <w:jc w:val="right"/>
              <w:rPr>
                <w:sz w:val="18"/>
              </w:rPr>
            </w:pPr>
            <w:r>
              <w:rPr>
                <w:color w:val="000000"/>
                <w:sz w:val="18"/>
              </w:rPr>
              <w:t>505</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9</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8</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17</w:t>
            </w:r>
          </w:p>
        </w:tc>
        <w:tc>
          <w:tcPr>
            <w:tcW w:w="630" w:type="dxa"/>
            <w:shd w:val="clear" w:color="auto" w:fill="FFFFFF"/>
            <w:vAlign w:val="bottom"/>
          </w:tcPr>
          <w:p w:rsidR="00000000" w:rsidRDefault="00000000">
            <w:pPr>
              <w:pStyle w:val="BodyText"/>
              <w:spacing w:after="0" w:line="240" w:lineRule="auto"/>
              <w:jc w:val="right"/>
              <w:rPr>
                <w:sz w:val="18"/>
              </w:rPr>
            </w:pPr>
            <w:r>
              <w:rPr>
                <w:color w:val="000000"/>
                <w:sz w:val="18"/>
              </w:rPr>
              <w:t>522</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239</w:t>
            </w:r>
          </w:p>
        </w:tc>
        <w:tc>
          <w:tcPr>
            <w:tcW w:w="630" w:type="dxa"/>
            <w:shd w:val="clear" w:color="auto" w:fill="FFFFFF"/>
            <w:vAlign w:val="bottom"/>
          </w:tcPr>
          <w:p w:rsidR="00000000" w:rsidRDefault="00000000">
            <w:pPr>
              <w:pStyle w:val="BodyText"/>
              <w:spacing w:after="0" w:line="240" w:lineRule="auto"/>
              <w:jc w:val="right"/>
              <w:rPr>
                <w:sz w:val="18"/>
              </w:rPr>
            </w:pPr>
            <w:r>
              <w:rPr>
                <w:color w:val="000000"/>
                <w:sz w:val="18"/>
              </w:rPr>
              <w:t>289</w:t>
            </w:r>
          </w:p>
        </w:tc>
        <w:tc>
          <w:tcPr>
            <w:tcW w:w="578" w:type="dxa"/>
            <w:shd w:val="clear" w:color="auto" w:fill="FFFFFF"/>
            <w:vAlign w:val="bottom"/>
          </w:tcPr>
          <w:p w:rsidR="00000000" w:rsidRDefault="00000000">
            <w:pPr>
              <w:pStyle w:val="BodyText"/>
              <w:spacing w:after="0" w:line="240" w:lineRule="auto"/>
              <w:jc w:val="right"/>
              <w:rPr>
                <w:sz w:val="18"/>
              </w:rPr>
            </w:pPr>
            <w:r>
              <w:rPr>
                <w:color w:val="000000"/>
                <w:sz w:val="18"/>
              </w:rPr>
              <w:t>528</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8</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9</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17</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545</w:t>
            </w:r>
          </w:p>
        </w:tc>
      </w:tr>
      <w:tr w:rsidR="00000000">
        <w:tblPrEx>
          <w:tblCellMar>
            <w:top w:w="0" w:type="dxa"/>
            <w:bottom w:w="0" w:type="dxa"/>
          </w:tblCellMar>
        </w:tblPrEx>
        <w:trPr>
          <w:trHeight w:val="20"/>
          <w:jc w:val="center"/>
        </w:trPr>
        <w:tc>
          <w:tcPr>
            <w:tcW w:w="1072" w:type="dxa"/>
            <w:shd w:val="clear" w:color="auto" w:fill="FFFFFF"/>
            <w:vAlign w:val="bottom"/>
          </w:tcPr>
          <w:p w:rsidR="00000000" w:rsidRDefault="00000000">
            <w:pPr>
              <w:pStyle w:val="BodyText"/>
              <w:spacing w:after="0" w:line="240" w:lineRule="auto"/>
              <w:rPr>
                <w:sz w:val="18"/>
              </w:rPr>
            </w:pPr>
            <w:r>
              <w:rPr>
                <w:sz w:val="18"/>
              </w:rPr>
              <w:t>Инженерный</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1 442</w:t>
            </w:r>
          </w:p>
        </w:tc>
        <w:tc>
          <w:tcPr>
            <w:tcW w:w="578" w:type="dxa"/>
            <w:shd w:val="clear" w:color="auto" w:fill="FFFFFF"/>
            <w:vAlign w:val="bottom"/>
          </w:tcPr>
          <w:p w:rsidR="00000000" w:rsidRDefault="00000000">
            <w:pPr>
              <w:pStyle w:val="BodyText"/>
              <w:spacing w:after="0" w:line="240" w:lineRule="auto"/>
              <w:jc w:val="right"/>
              <w:rPr>
                <w:sz w:val="18"/>
              </w:rPr>
            </w:pPr>
            <w:r>
              <w:rPr>
                <w:color w:val="000000"/>
                <w:sz w:val="18"/>
              </w:rPr>
              <w:t>1 024</w:t>
            </w:r>
          </w:p>
        </w:tc>
        <w:tc>
          <w:tcPr>
            <w:tcW w:w="567" w:type="dxa"/>
            <w:shd w:val="clear" w:color="auto" w:fill="FFFFFF"/>
            <w:vAlign w:val="bottom"/>
          </w:tcPr>
          <w:p w:rsidR="00000000" w:rsidRDefault="00000000">
            <w:pPr>
              <w:pStyle w:val="BodyText"/>
              <w:spacing w:after="0" w:line="240" w:lineRule="auto"/>
              <w:jc w:val="right"/>
              <w:rPr>
                <w:sz w:val="18"/>
              </w:rPr>
            </w:pPr>
            <w:r>
              <w:rPr>
                <w:color w:val="000000"/>
                <w:sz w:val="18"/>
              </w:rPr>
              <w:t>2 466</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135</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51</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186</w:t>
            </w:r>
          </w:p>
        </w:tc>
        <w:tc>
          <w:tcPr>
            <w:tcW w:w="630" w:type="dxa"/>
            <w:shd w:val="clear" w:color="auto" w:fill="FFFFFF"/>
            <w:vAlign w:val="bottom"/>
          </w:tcPr>
          <w:p w:rsidR="00000000" w:rsidRDefault="00000000">
            <w:pPr>
              <w:pStyle w:val="BodyText"/>
              <w:spacing w:after="0" w:line="240" w:lineRule="auto"/>
              <w:jc w:val="right"/>
              <w:rPr>
                <w:sz w:val="18"/>
              </w:rPr>
            </w:pPr>
            <w:r>
              <w:rPr>
                <w:color w:val="000000"/>
                <w:sz w:val="18"/>
              </w:rPr>
              <w:t>2 652</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1 310</w:t>
            </w:r>
          </w:p>
        </w:tc>
        <w:tc>
          <w:tcPr>
            <w:tcW w:w="630" w:type="dxa"/>
            <w:shd w:val="clear" w:color="auto" w:fill="FFFFFF"/>
            <w:vAlign w:val="bottom"/>
          </w:tcPr>
          <w:p w:rsidR="00000000" w:rsidRDefault="00000000">
            <w:pPr>
              <w:pStyle w:val="BodyText"/>
              <w:spacing w:after="0" w:line="240" w:lineRule="auto"/>
              <w:jc w:val="right"/>
              <w:rPr>
                <w:sz w:val="18"/>
              </w:rPr>
            </w:pPr>
            <w:r>
              <w:rPr>
                <w:color w:val="000000"/>
                <w:sz w:val="18"/>
              </w:rPr>
              <w:t>959</w:t>
            </w:r>
          </w:p>
        </w:tc>
        <w:tc>
          <w:tcPr>
            <w:tcW w:w="578" w:type="dxa"/>
            <w:shd w:val="clear" w:color="auto" w:fill="FFFFFF"/>
            <w:vAlign w:val="bottom"/>
          </w:tcPr>
          <w:p w:rsidR="00000000" w:rsidRDefault="00000000">
            <w:pPr>
              <w:pStyle w:val="BodyText"/>
              <w:spacing w:after="0" w:line="240" w:lineRule="auto"/>
              <w:jc w:val="right"/>
              <w:rPr>
                <w:sz w:val="18"/>
              </w:rPr>
            </w:pPr>
            <w:r>
              <w:rPr>
                <w:color w:val="000000"/>
                <w:sz w:val="18"/>
              </w:rPr>
              <w:t>2 269</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116</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51</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167</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2 436</w:t>
            </w:r>
          </w:p>
        </w:tc>
      </w:tr>
      <w:tr w:rsidR="00000000">
        <w:tblPrEx>
          <w:tblCellMar>
            <w:top w:w="0" w:type="dxa"/>
            <w:bottom w:w="0" w:type="dxa"/>
          </w:tblCellMar>
        </w:tblPrEx>
        <w:trPr>
          <w:trHeight w:val="20"/>
          <w:jc w:val="center"/>
        </w:trPr>
        <w:tc>
          <w:tcPr>
            <w:tcW w:w="1072" w:type="dxa"/>
            <w:shd w:val="clear" w:color="auto" w:fill="FFFFFF"/>
            <w:vAlign w:val="bottom"/>
          </w:tcPr>
          <w:p w:rsidR="00000000" w:rsidRDefault="00000000">
            <w:pPr>
              <w:pStyle w:val="BodyText"/>
              <w:spacing w:after="0" w:line="240" w:lineRule="auto"/>
              <w:rPr>
                <w:sz w:val="18"/>
              </w:rPr>
            </w:pPr>
            <w:r>
              <w:rPr>
                <w:sz w:val="18"/>
              </w:rPr>
              <w:t>Медицин-ских наук</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61</w:t>
            </w:r>
          </w:p>
        </w:tc>
        <w:tc>
          <w:tcPr>
            <w:tcW w:w="578" w:type="dxa"/>
            <w:shd w:val="clear" w:color="auto" w:fill="FFFFFF"/>
            <w:vAlign w:val="bottom"/>
          </w:tcPr>
          <w:p w:rsidR="00000000" w:rsidRDefault="00000000">
            <w:pPr>
              <w:pStyle w:val="BodyText"/>
              <w:spacing w:after="0" w:line="240" w:lineRule="auto"/>
              <w:jc w:val="right"/>
              <w:rPr>
                <w:sz w:val="18"/>
              </w:rPr>
            </w:pPr>
            <w:r>
              <w:rPr>
                <w:color w:val="000000"/>
                <w:sz w:val="18"/>
              </w:rPr>
              <w:t>320</w:t>
            </w:r>
          </w:p>
        </w:tc>
        <w:tc>
          <w:tcPr>
            <w:tcW w:w="567" w:type="dxa"/>
            <w:shd w:val="clear" w:color="auto" w:fill="FFFFFF"/>
            <w:vAlign w:val="bottom"/>
          </w:tcPr>
          <w:p w:rsidR="00000000" w:rsidRDefault="00000000">
            <w:pPr>
              <w:pStyle w:val="BodyText"/>
              <w:spacing w:after="0" w:line="240" w:lineRule="auto"/>
              <w:jc w:val="right"/>
              <w:rPr>
                <w:sz w:val="18"/>
              </w:rPr>
            </w:pPr>
            <w:r>
              <w:rPr>
                <w:color w:val="000000"/>
                <w:sz w:val="18"/>
              </w:rPr>
              <w:t>381</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39</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97</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136</w:t>
            </w:r>
          </w:p>
        </w:tc>
        <w:tc>
          <w:tcPr>
            <w:tcW w:w="630" w:type="dxa"/>
            <w:shd w:val="clear" w:color="auto" w:fill="FFFFFF"/>
            <w:vAlign w:val="bottom"/>
          </w:tcPr>
          <w:p w:rsidR="00000000" w:rsidRDefault="00000000">
            <w:pPr>
              <w:pStyle w:val="BodyText"/>
              <w:spacing w:after="0" w:line="240" w:lineRule="auto"/>
              <w:jc w:val="right"/>
              <w:rPr>
                <w:sz w:val="18"/>
              </w:rPr>
            </w:pPr>
            <w:r>
              <w:rPr>
                <w:color w:val="000000"/>
                <w:sz w:val="18"/>
              </w:rPr>
              <w:t>517</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53</w:t>
            </w:r>
          </w:p>
        </w:tc>
        <w:tc>
          <w:tcPr>
            <w:tcW w:w="630" w:type="dxa"/>
            <w:shd w:val="clear" w:color="auto" w:fill="FFFFFF"/>
            <w:vAlign w:val="bottom"/>
          </w:tcPr>
          <w:p w:rsidR="00000000" w:rsidRDefault="00000000">
            <w:pPr>
              <w:pStyle w:val="BodyText"/>
              <w:spacing w:after="0" w:line="240" w:lineRule="auto"/>
              <w:jc w:val="right"/>
              <w:rPr>
                <w:sz w:val="18"/>
              </w:rPr>
            </w:pPr>
            <w:r>
              <w:rPr>
                <w:color w:val="000000"/>
                <w:sz w:val="18"/>
              </w:rPr>
              <w:t>299</w:t>
            </w:r>
          </w:p>
        </w:tc>
        <w:tc>
          <w:tcPr>
            <w:tcW w:w="578" w:type="dxa"/>
            <w:shd w:val="clear" w:color="auto" w:fill="FFFFFF"/>
            <w:vAlign w:val="bottom"/>
          </w:tcPr>
          <w:p w:rsidR="00000000" w:rsidRDefault="00000000">
            <w:pPr>
              <w:pStyle w:val="BodyText"/>
              <w:spacing w:after="0" w:line="240" w:lineRule="auto"/>
              <w:jc w:val="right"/>
              <w:rPr>
                <w:sz w:val="18"/>
              </w:rPr>
            </w:pPr>
            <w:r>
              <w:rPr>
                <w:color w:val="000000"/>
                <w:sz w:val="18"/>
              </w:rPr>
              <w:t>352</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28</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80</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108</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460</w:t>
            </w:r>
          </w:p>
        </w:tc>
      </w:tr>
      <w:tr w:rsidR="00000000">
        <w:tblPrEx>
          <w:tblCellMar>
            <w:top w:w="0" w:type="dxa"/>
            <w:bottom w:w="0" w:type="dxa"/>
          </w:tblCellMar>
        </w:tblPrEx>
        <w:trPr>
          <w:trHeight w:val="20"/>
          <w:jc w:val="center"/>
        </w:trPr>
        <w:tc>
          <w:tcPr>
            <w:tcW w:w="1072" w:type="dxa"/>
            <w:shd w:val="clear" w:color="auto" w:fill="FFFFFF"/>
            <w:vAlign w:val="bottom"/>
          </w:tcPr>
          <w:p w:rsidR="00000000" w:rsidRDefault="00000000">
            <w:pPr>
              <w:pStyle w:val="BodyText"/>
              <w:spacing w:after="0" w:line="240" w:lineRule="auto"/>
              <w:rPr>
                <w:sz w:val="18"/>
              </w:rPr>
            </w:pPr>
            <w:r>
              <w:rPr>
                <w:color w:val="000000"/>
                <w:sz w:val="18"/>
              </w:rPr>
              <w:t>Педагогики</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502</w:t>
            </w:r>
          </w:p>
        </w:tc>
        <w:tc>
          <w:tcPr>
            <w:tcW w:w="578" w:type="dxa"/>
            <w:shd w:val="clear" w:color="auto" w:fill="FFFFFF"/>
            <w:vAlign w:val="bottom"/>
          </w:tcPr>
          <w:p w:rsidR="00000000" w:rsidRDefault="00000000">
            <w:pPr>
              <w:pStyle w:val="BodyText"/>
              <w:spacing w:after="0" w:line="240" w:lineRule="auto"/>
              <w:jc w:val="right"/>
              <w:rPr>
                <w:sz w:val="18"/>
              </w:rPr>
            </w:pPr>
            <w:r>
              <w:rPr>
                <w:color w:val="000000"/>
                <w:sz w:val="18"/>
              </w:rPr>
              <w:t>2 637</w:t>
            </w:r>
          </w:p>
        </w:tc>
        <w:tc>
          <w:tcPr>
            <w:tcW w:w="567" w:type="dxa"/>
            <w:shd w:val="clear" w:color="auto" w:fill="FFFFFF"/>
            <w:vAlign w:val="bottom"/>
          </w:tcPr>
          <w:p w:rsidR="00000000" w:rsidRDefault="00000000">
            <w:pPr>
              <w:pStyle w:val="BodyText"/>
              <w:spacing w:after="0" w:line="240" w:lineRule="auto"/>
              <w:jc w:val="right"/>
              <w:rPr>
                <w:sz w:val="18"/>
              </w:rPr>
            </w:pPr>
            <w:r>
              <w:rPr>
                <w:color w:val="000000"/>
                <w:sz w:val="18"/>
              </w:rPr>
              <w:t>3 139</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117</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303</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420</w:t>
            </w:r>
          </w:p>
        </w:tc>
        <w:tc>
          <w:tcPr>
            <w:tcW w:w="630" w:type="dxa"/>
            <w:shd w:val="clear" w:color="auto" w:fill="FFFFFF"/>
            <w:vAlign w:val="bottom"/>
          </w:tcPr>
          <w:p w:rsidR="00000000" w:rsidRDefault="00000000">
            <w:pPr>
              <w:pStyle w:val="BodyText"/>
              <w:spacing w:after="0" w:line="240" w:lineRule="auto"/>
              <w:jc w:val="right"/>
              <w:rPr>
                <w:sz w:val="18"/>
              </w:rPr>
            </w:pPr>
            <w:r>
              <w:rPr>
                <w:color w:val="000000"/>
                <w:sz w:val="18"/>
              </w:rPr>
              <w:t>3 559</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487</w:t>
            </w:r>
          </w:p>
        </w:tc>
        <w:tc>
          <w:tcPr>
            <w:tcW w:w="630" w:type="dxa"/>
            <w:shd w:val="clear" w:color="auto" w:fill="FFFFFF"/>
            <w:vAlign w:val="bottom"/>
          </w:tcPr>
          <w:p w:rsidR="00000000" w:rsidRDefault="00000000">
            <w:pPr>
              <w:pStyle w:val="BodyText"/>
              <w:spacing w:after="0" w:line="240" w:lineRule="auto"/>
              <w:jc w:val="right"/>
              <w:rPr>
                <w:sz w:val="18"/>
              </w:rPr>
            </w:pPr>
            <w:r>
              <w:rPr>
                <w:color w:val="000000"/>
                <w:sz w:val="18"/>
              </w:rPr>
              <w:t>2 383</w:t>
            </w:r>
          </w:p>
        </w:tc>
        <w:tc>
          <w:tcPr>
            <w:tcW w:w="578" w:type="dxa"/>
            <w:shd w:val="clear" w:color="auto" w:fill="FFFFFF"/>
            <w:vAlign w:val="bottom"/>
          </w:tcPr>
          <w:p w:rsidR="00000000" w:rsidRDefault="00000000">
            <w:pPr>
              <w:pStyle w:val="BodyText"/>
              <w:spacing w:after="0" w:line="240" w:lineRule="auto"/>
              <w:jc w:val="right"/>
              <w:rPr>
                <w:sz w:val="18"/>
              </w:rPr>
            </w:pPr>
            <w:r>
              <w:rPr>
                <w:color w:val="000000"/>
                <w:sz w:val="18"/>
              </w:rPr>
              <w:t>2 870</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109</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299</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408</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3 278</w:t>
            </w:r>
          </w:p>
        </w:tc>
      </w:tr>
      <w:tr w:rsidR="00000000">
        <w:tblPrEx>
          <w:tblCellMar>
            <w:top w:w="0" w:type="dxa"/>
            <w:bottom w:w="0" w:type="dxa"/>
          </w:tblCellMar>
        </w:tblPrEx>
        <w:trPr>
          <w:trHeight w:val="20"/>
          <w:jc w:val="center"/>
        </w:trPr>
        <w:tc>
          <w:tcPr>
            <w:tcW w:w="1072" w:type="dxa"/>
            <w:shd w:val="clear" w:color="auto" w:fill="FFFFFF"/>
            <w:vAlign w:val="bottom"/>
          </w:tcPr>
          <w:p w:rsidR="00000000" w:rsidRDefault="00000000">
            <w:pPr>
              <w:pStyle w:val="BodyText"/>
              <w:spacing w:after="0" w:line="240" w:lineRule="auto"/>
              <w:rPr>
                <w:sz w:val="18"/>
              </w:rPr>
            </w:pPr>
            <w:r>
              <w:rPr>
                <w:sz w:val="18"/>
              </w:rPr>
              <w:t>Шариата</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545</w:t>
            </w:r>
          </w:p>
        </w:tc>
        <w:tc>
          <w:tcPr>
            <w:tcW w:w="578" w:type="dxa"/>
            <w:shd w:val="clear" w:color="auto" w:fill="FFFFFF"/>
            <w:vAlign w:val="bottom"/>
          </w:tcPr>
          <w:p w:rsidR="00000000" w:rsidRDefault="00000000">
            <w:pPr>
              <w:pStyle w:val="BodyText"/>
              <w:spacing w:after="0" w:line="240" w:lineRule="auto"/>
              <w:jc w:val="right"/>
              <w:rPr>
                <w:sz w:val="18"/>
              </w:rPr>
            </w:pPr>
            <w:r>
              <w:rPr>
                <w:color w:val="000000"/>
                <w:sz w:val="18"/>
              </w:rPr>
              <w:t>846</w:t>
            </w:r>
          </w:p>
        </w:tc>
        <w:tc>
          <w:tcPr>
            <w:tcW w:w="567" w:type="dxa"/>
            <w:shd w:val="clear" w:color="auto" w:fill="FFFFFF"/>
            <w:vAlign w:val="bottom"/>
          </w:tcPr>
          <w:p w:rsidR="00000000" w:rsidRDefault="00000000">
            <w:pPr>
              <w:pStyle w:val="BodyText"/>
              <w:spacing w:after="0" w:line="240" w:lineRule="auto"/>
              <w:jc w:val="right"/>
              <w:rPr>
                <w:sz w:val="18"/>
              </w:rPr>
            </w:pPr>
            <w:r>
              <w:rPr>
                <w:color w:val="000000"/>
                <w:sz w:val="18"/>
              </w:rPr>
              <w:t>1 391</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60</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76</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136</w:t>
            </w:r>
          </w:p>
        </w:tc>
        <w:tc>
          <w:tcPr>
            <w:tcW w:w="630" w:type="dxa"/>
            <w:shd w:val="clear" w:color="auto" w:fill="FFFFFF"/>
            <w:vAlign w:val="bottom"/>
          </w:tcPr>
          <w:p w:rsidR="00000000" w:rsidRDefault="00000000">
            <w:pPr>
              <w:pStyle w:val="BodyText"/>
              <w:spacing w:after="0" w:line="240" w:lineRule="auto"/>
              <w:jc w:val="right"/>
              <w:rPr>
                <w:sz w:val="18"/>
              </w:rPr>
            </w:pPr>
            <w:r>
              <w:rPr>
                <w:color w:val="000000"/>
                <w:sz w:val="18"/>
              </w:rPr>
              <w:t>1 527</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538</w:t>
            </w:r>
          </w:p>
        </w:tc>
        <w:tc>
          <w:tcPr>
            <w:tcW w:w="630" w:type="dxa"/>
            <w:shd w:val="clear" w:color="auto" w:fill="FFFFFF"/>
            <w:vAlign w:val="bottom"/>
          </w:tcPr>
          <w:p w:rsidR="00000000" w:rsidRDefault="00000000">
            <w:pPr>
              <w:pStyle w:val="BodyText"/>
              <w:spacing w:after="0" w:line="240" w:lineRule="auto"/>
              <w:jc w:val="right"/>
              <w:rPr>
                <w:sz w:val="18"/>
              </w:rPr>
            </w:pPr>
            <w:r>
              <w:rPr>
                <w:color w:val="000000"/>
                <w:sz w:val="18"/>
              </w:rPr>
              <w:t>777</w:t>
            </w:r>
          </w:p>
        </w:tc>
        <w:tc>
          <w:tcPr>
            <w:tcW w:w="578" w:type="dxa"/>
            <w:shd w:val="clear" w:color="auto" w:fill="FFFFFF"/>
            <w:vAlign w:val="bottom"/>
          </w:tcPr>
          <w:p w:rsidR="00000000" w:rsidRDefault="00000000">
            <w:pPr>
              <w:pStyle w:val="BodyText"/>
              <w:spacing w:after="0" w:line="240" w:lineRule="auto"/>
              <w:jc w:val="right"/>
              <w:rPr>
                <w:sz w:val="18"/>
              </w:rPr>
            </w:pPr>
            <w:r>
              <w:rPr>
                <w:color w:val="000000"/>
                <w:sz w:val="18"/>
              </w:rPr>
              <w:t>1 315</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71</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76</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147</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1 462</w:t>
            </w:r>
          </w:p>
        </w:tc>
      </w:tr>
      <w:tr w:rsidR="00000000">
        <w:tblPrEx>
          <w:tblCellMar>
            <w:top w:w="0" w:type="dxa"/>
            <w:bottom w:w="0" w:type="dxa"/>
          </w:tblCellMar>
        </w:tblPrEx>
        <w:trPr>
          <w:trHeight w:val="20"/>
          <w:jc w:val="center"/>
        </w:trPr>
        <w:tc>
          <w:tcPr>
            <w:tcW w:w="1072" w:type="dxa"/>
            <w:shd w:val="clear" w:color="auto" w:fill="FFFFFF"/>
            <w:vAlign w:val="bottom"/>
          </w:tcPr>
          <w:p w:rsidR="00000000" w:rsidRDefault="00000000">
            <w:pPr>
              <w:pStyle w:val="BodyText"/>
              <w:spacing w:after="0" w:line="240" w:lineRule="auto"/>
              <w:rPr>
                <w:sz w:val="18"/>
              </w:rPr>
            </w:pPr>
            <w:r>
              <w:rPr>
                <w:sz w:val="18"/>
              </w:rPr>
              <w:t>Администра-тивных наук</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178</w:t>
            </w:r>
          </w:p>
        </w:tc>
        <w:tc>
          <w:tcPr>
            <w:tcW w:w="578" w:type="dxa"/>
            <w:shd w:val="clear" w:color="auto" w:fill="FFFFFF"/>
            <w:vAlign w:val="bottom"/>
          </w:tcPr>
          <w:p w:rsidR="00000000" w:rsidRDefault="00000000">
            <w:pPr>
              <w:pStyle w:val="BodyText"/>
              <w:spacing w:after="0" w:line="240" w:lineRule="auto"/>
              <w:jc w:val="right"/>
              <w:rPr>
                <w:sz w:val="18"/>
              </w:rPr>
            </w:pPr>
            <w:r>
              <w:rPr>
                <w:color w:val="000000"/>
                <w:sz w:val="18"/>
              </w:rPr>
              <w:t>402</w:t>
            </w:r>
          </w:p>
        </w:tc>
        <w:tc>
          <w:tcPr>
            <w:tcW w:w="567" w:type="dxa"/>
            <w:shd w:val="clear" w:color="auto" w:fill="FFFFFF"/>
            <w:vAlign w:val="bottom"/>
          </w:tcPr>
          <w:p w:rsidR="00000000" w:rsidRDefault="00000000">
            <w:pPr>
              <w:pStyle w:val="BodyText"/>
              <w:spacing w:after="0" w:line="240" w:lineRule="auto"/>
              <w:jc w:val="right"/>
              <w:rPr>
                <w:sz w:val="18"/>
              </w:rPr>
            </w:pPr>
            <w:r>
              <w:rPr>
                <w:color w:val="000000"/>
                <w:sz w:val="18"/>
              </w:rPr>
              <w:t>580</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21</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25</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46</w:t>
            </w:r>
          </w:p>
        </w:tc>
        <w:tc>
          <w:tcPr>
            <w:tcW w:w="630" w:type="dxa"/>
            <w:shd w:val="clear" w:color="auto" w:fill="FFFFFF"/>
            <w:vAlign w:val="bottom"/>
          </w:tcPr>
          <w:p w:rsidR="00000000" w:rsidRDefault="00000000">
            <w:pPr>
              <w:pStyle w:val="BodyText"/>
              <w:spacing w:after="0" w:line="240" w:lineRule="auto"/>
              <w:jc w:val="right"/>
              <w:rPr>
                <w:sz w:val="18"/>
              </w:rPr>
            </w:pPr>
            <w:r>
              <w:rPr>
                <w:color w:val="000000"/>
                <w:sz w:val="18"/>
              </w:rPr>
              <w:t>626</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213</w:t>
            </w:r>
          </w:p>
        </w:tc>
        <w:tc>
          <w:tcPr>
            <w:tcW w:w="630" w:type="dxa"/>
            <w:shd w:val="clear" w:color="auto" w:fill="FFFFFF"/>
            <w:vAlign w:val="bottom"/>
          </w:tcPr>
          <w:p w:rsidR="00000000" w:rsidRDefault="00000000">
            <w:pPr>
              <w:pStyle w:val="BodyText"/>
              <w:spacing w:after="0" w:line="240" w:lineRule="auto"/>
              <w:jc w:val="right"/>
              <w:rPr>
                <w:sz w:val="18"/>
              </w:rPr>
            </w:pPr>
            <w:r>
              <w:rPr>
                <w:color w:val="000000"/>
                <w:sz w:val="18"/>
              </w:rPr>
              <w:t>427</w:t>
            </w:r>
          </w:p>
        </w:tc>
        <w:tc>
          <w:tcPr>
            <w:tcW w:w="578" w:type="dxa"/>
            <w:shd w:val="clear" w:color="auto" w:fill="FFFFFF"/>
            <w:vAlign w:val="bottom"/>
          </w:tcPr>
          <w:p w:rsidR="00000000" w:rsidRDefault="00000000">
            <w:pPr>
              <w:pStyle w:val="BodyText"/>
              <w:spacing w:after="0" w:line="240" w:lineRule="auto"/>
              <w:jc w:val="right"/>
              <w:rPr>
                <w:sz w:val="18"/>
              </w:rPr>
            </w:pPr>
            <w:r>
              <w:rPr>
                <w:color w:val="000000"/>
                <w:sz w:val="18"/>
              </w:rPr>
              <w:t>640</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26</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26</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52</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692</w:t>
            </w:r>
          </w:p>
        </w:tc>
      </w:tr>
      <w:tr w:rsidR="00000000">
        <w:tblPrEx>
          <w:tblCellMar>
            <w:top w:w="0" w:type="dxa"/>
            <w:bottom w:w="0" w:type="dxa"/>
          </w:tblCellMar>
        </w:tblPrEx>
        <w:trPr>
          <w:trHeight w:val="20"/>
          <w:jc w:val="center"/>
        </w:trPr>
        <w:tc>
          <w:tcPr>
            <w:tcW w:w="1072" w:type="dxa"/>
            <w:shd w:val="clear" w:color="auto" w:fill="FFFFFF"/>
            <w:vAlign w:val="bottom"/>
          </w:tcPr>
          <w:p w:rsidR="00000000" w:rsidRDefault="00000000">
            <w:pPr>
              <w:pStyle w:val="BodyText"/>
              <w:spacing w:after="0" w:line="240" w:lineRule="auto"/>
              <w:rPr>
                <w:sz w:val="18"/>
              </w:rPr>
            </w:pPr>
            <w:r>
              <w:rPr>
                <w:sz w:val="18"/>
              </w:rPr>
              <w:t>Итого</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5 836</w:t>
            </w:r>
          </w:p>
        </w:tc>
        <w:tc>
          <w:tcPr>
            <w:tcW w:w="578" w:type="dxa"/>
            <w:shd w:val="clear" w:color="auto" w:fill="FFFFFF"/>
            <w:vAlign w:val="bottom"/>
          </w:tcPr>
          <w:p w:rsidR="00000000" w:rsidRDefault="00000000">
            <w:pPr>
              <w:pStyle w:val="BodyText"/>
              <w:spacing w:after="0" w:line="240" w:lineRule="auto"/>
              <w:jc w:val="right"/>
              <w:rPr>
                <w:sz w:val="18"/>
              </w:rPr>
            </w:pPr>
            <w:r>
              <w:rPr>
                <w:color w:val="000000"/>
                <w:sz w:val="18"/>
              </w:rPr>
              <w:t>11 799</w:t>
            </w:r>
          </w:p>
        </w:tc>
        <w:tc>
          <w:tcPr>
            <w:tcW w:w="567" w:type="dxa"/>
            <w:shd w:val="clear" w:color="auto" w:fill="FFFFFF"/>
            <w:vAlign w:val="bottom"/>
          </w:tcPr>
          <w:p w:rsidR="00000000" w:rsidRDefault="00000000">
            <w:pPr>
              <w:pStyle w:val="BodyText"/>
              <w:spacing w:after="0" w:line="240" w:lineRule="auto"/>
              <w:jc w:val="right"/>
              <w:rPr>
                <w:sz w:val="18"/>
              </w:rPr>
            </w:pPr>
            <w:r>
              <w:rPr>
                <w:color w:val="000000"/>
                <w:sz w:val="18"/>
              </w:rPr>
              <w:t>17 635</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758</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1 063</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1 821</w:t>
            </w:r>
          </w:p>
        </w:tc>
        <w:tc>
          <w:tcPr>
            <w:tcW w:w="630" w:type="dxa"/>
            <w:shd w:val="clear" w:color="auto" w:fill="FFFFFF"/>
            <w:vAlign w:val="bottom"/>
          </w:tcPr>
          <w:p w:rsidR="00000000" w:rsidRDefault="00000000">
            <w:pPr>
              <w:pStyle w:val="BodyText"/>
              <w:spacing w:after="0" w:line="240" w:lineRule="auto"/>
              <w:jc w:val="right"/>
              <w:rPr>
                <w:sz w:val="18"/>
              </w:rPr>
            </w:pPr>
            <w:r>
              <w:rPr>
                <w:color w:val="000000"/>
                <w:sz w:val="18"/>
              </w:rPr>
              <w:t>19 456</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5 377</w:t>
            </w:r>
          </w:p>
        </w:tc>
        <w:tc>
          <w:tcPr>
            <w:tcW w:w="630" w:type="dxa"/>
            <w:shd w:val="clear" w:color="auto" w:fill="FFFFFF"/>
            <w:vAlign w:val="bottom"/>
          </w:tcPr>
          <w:p w:rsidR="00000000" w:rsidRDefault="00000000">
            <w:pPr>
              <w:pStyle w:val="BodyText"/>
              <w:spacing w:after="0" w:line="240" w:lineRule="auto"/>
              <w:jc w:val="right"/>
              <w:rPr>
                <w:sz w:val="18"/>
              </w:rPr>
            </w:pPr>
            <w:r>
              <w:rPr>
                <w:color w:val="000000"/>
                <w:sz w:val="18"/>
              </w:rPr>
              <w:t>10 773</w:t>
            </w:r>
          </w:p>
        </w:tc>
        <w:tc>
          <w:tcPr>
            <w:tcW w:w="578" w:type="dxa"/>
            <w:shd w:val="clear" w:color="auto" w:fill="FFFFFF"/>
            <w:vAlign w:val="bottom"/>
          </w:tcPr>
          <w:p w:rsidR="00000000" w:rsidRDefault="00000000">
            <w:pPr>
              <w:pStyle w:val="BodyText"/>
              <w:spacing w:after="0" w:line="240" w:lineRule="auto"/>
              <w:jc w:val="right"/>
              <w:rPr>
                <w:sz w:val="18"/>
              </w:rPr>
            </w:pPr>
            <w:r>
              <w:rPr>
                <w:color w:val="000000"/>
                <w:sz w:val="18"/>
              </w:rPr>
              <w:t>16 150</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712</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1 041</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1 753</w:t>
            </w:r>
          </w:p>
        </w:tc>
        <w:tc>
          <w:tcPr>
            <w:tcW w:w="526" w:type="dxa"/>
            <w:shd w:val="clear" w:color="auto" w:fill="FFFFFF"/>
            <w:vAlign w:val="bottom"/>
          </w:tcPr>
          <w:p w:rsidR="00000000" w:rsidRDefault="00000000">
            <w:pPr>
              <w:pStyle w:val="BodyText"/>
              <w:spacing w:after="0" w:line="240" w:lineRule="auto"/>
              <w:jc w:val="right"/>
              <w:rPr>
                <w:sz w:val="18"/>
              </w:rPr>
            </w:pPr>
            <w:r>
              <w:rPr>
                <w:color w:val="000000"/>
                <w:sz w:val="18"/>
              </w:rPr>
              <w:t>7 903</w:t>
            </w:r>
          </w:p>
        </w:tc>
      </w:tr>
    </w:tbl>
    <w:p w:rsidR="00000000" w:rsidRDefault="00000000">
      <w:pPr>
        <w:pStyle w:val="BodyText"/>
        <w:spacing w:after="720"/>
      </w:pPr>
    </w:p>
    <w:p w:rsidR="00000000" w:rsidRDefault="00000000">
      <w:pPr>
        <w:pStyle w:val="-"/>
        <w:spacing w:after="240"/>
        <w:rPr>
          <w:b w:val="0"/>
        </w:rPr>
      </w:pPr>
      <w:r>
        <w:rPr>
          <w:b w:val="0"/>
        </w:rPr>
        <w:t>Таблица 2. Численность преподавательского состава в 1996/97 учебном году</w:t>
      </w:r>
    </w:p>
    <w:tbl>
      <w:tblPr>
        <w:tblW w:w="0" w:type="auto"/>
        <w:jc w:val="center"/>
        <w:tblLayout w:type="fixed"/>
        <w:tblCellMar>
          <w:left w:w="40" w:type="dxa"/>
          <w:right w:w="40" w:type="dxa"/>
        </w:tblCellMar>
        <w:tblLook w:val="0000" w:firstRow="0" w:lastRow="0" w:firstColumn="0" w:lastColumn="0" w:noHBand="0" w:noVBand="0"/>
      </w:tblPr>
      <w:tblGrid>
        <w:gridCol w:w="1680"/>
        <w:gridCol w:w="479"/>
        <w:gridCol w:w="479"/>
        <w:gridCol w:w="548"/>
        <w:gridCol w:w="478"/>
        <w:gridCol w:w="478"/>
        <w:gridCol w:w="547"/>
        <w:gridCol w:w="547"/>
        <w:gridCol w:w="478"/>
        <w:gridCol w:w="478"/>
        <w:gridCol w:w="547"/>
        <w:gridCol w:w="478"/>
        <w:gridCol w:w="478"/>
        <w:gridCol w:w="547"/>
        <w:gridCol w:w="547"/>
      </w:tblGrid>
      <w:tr w:rsidR="00000000">
        <w:tblPrEx>
          <w:tblCellMar>
            <w:top w:w="0" w:type="dxa"/>
            <w:bottom w:w="0" w:type="dxa"/>
          </w:tblCellMar>
        </w:tblPrEx>
        <w:trPr>
          <w:cantSplit/>
          <w:trHeight w:val="20"/>
          <w:jc w:val="center"/>
        </w:trPr>
        <w:tc>
          <w:tcPr>
            <w:tcW w:w="1680" w:type="dxa"/>
            <w:vMerge w:val="restart"/>
            <w:shd w:val="clear" w:color="auto" w:fill="FFFFFF"/>
            <w:vAlign w:val="bottom"/>
          </w:tcPr>
          <w:p w:rsidR="00000000" w:rsidRDefault="00000000">
            <w:pPr>
              <w:pStyle w:val="BodyText"/>
              <w:spacing w:after="0" w:line="240" w:lineRule="auto"/>
              <w:jc w:val="center"/>
              <w:rPr>
                <w:color w:val="000000"/>
                <w:sz w:val="18"/>
              </w:rPr>
            </w:pPr>
            <w:r>
              <w:rPr>
                <w:color w:val="000000"/>
                <w:sz w:val="18"/>
              </w:rPr>
              <w:t>Факультет</w:t>
            </w:r>
          </w:p>
        </w:tc>
        <w:tc>
          <w:tcPr>
            <w:tcW w:w="7109" w:type="dxa"/>
            <w:gridSpan w:val="14"/>
            <w:shd w:val="clear" w:color="auto" w:fill="FFFFFF"/>
            <w:vAlign w:val="bottom"/>
          </w:tcPr>
          <w:p w:rsidR="00000000" w:rsidRDefault="00000000">
            <w:pPr>
              <w:pStyle w:val="BodyText"/>
              <w:spacing w:after="0" w:line="240" w:lineRule="auto"/>
              <w:jc w:val="center"/>
              <w:rPr>
                <w:color w:val="000000"/>
                <w:sz w:val="18"/>
              </w:rPr>
            </w:pPr>
            <w:r>
              <w:rPr>
                <w:color w:val="000000"/>
                <w:sz w:val="18"/>
              </w:rPr>
              <w:t>Фактическое число</w:t>
            </w:r>
          </w:p>
        </w:tc>
      </w:tr>
      <w:tr w:rsidR="00000000">
        <w:tblPrEx>
          <w:tblCellMar>
            <w:top w:w="0" w:type="dxa"/>
            <w:bottom w:w="0" w:type="dxa"/>
          </w:tblCellMar>
        </w:tblPrEx>
        <w:trPr>
          <w:cantSplit/>
          <w:trHeight w:val="20"/>
          <w:jc w:val="center"/>
        </w:trPr>
        <w:tc>
          <w:tcPr>
            <w:tcW w:w="1680" w:type="dxa"/>
            <w:vMerge/>
            <w:shd w:val="clear" w:color="auto" w:fill="FFFFFF"/>
            <w:vAlign w:val="bottom"/>
          </w:tcPr>
          <w:p w:rsidR="00000000" w:rsidRDefault="00000000">
            <w:pPr>
              <w:pStyle w:val="BodyText"/>
              <w:spacing w:after="0" w:line="240" w:lineRule="auto"/>
              <w:jc w:val="center"/>
              <w:rPr>
                <w:color w:val="000000"/>
                <w:sz w:val="18"/>
              </w:rPr>
            </w:pPr>
          </w:p>
        </w:tc>
        <w:tc>
          <w:tcPr>
            <w:tcW w:w="3556" w:type="dxa"/>
            <w:gridSpan w:val="7"/>
            <w:shd w:val="clear" w:color="auto" w:fill="FFFFFF"/>
            <w:vAlign w:val="bottom"/>
          </w:tcPr>
          <w:p w:rsidR="00000000" w:rsidRDefault="00000000">
            <w:pPr>
              <w:pStyle w:val="BodyText"/>
              <w:spacing w:after="0" w:line="240" w:lineRule="auto"/>
              <w:jc w:val="center"/>
              <w:rPr>
                <w:color w:val="000000"/>
                <w:sz w:val="18"/>
              </w:rPr>
            </w:pPr>
            <w:r>
              <w:rPr>
                <w:color w:val="000000"/>
                <w:sz w:val="18"/>
              </w:rPr>
              <w:t>Первый семестр</w:t>
            </w:r>
          </w:p>
        </w:tc>
        <w:tc>
          <w:tcPr>
            <w:tcW w:w="3553" w:type="dxa"/>
            <w:gridSpan w:val="7"/>
            <w:shd w:val="clear" w:color="auto" w:fill="FFFFFF"/>
            <w:vAlign w:val="bottom"/>
          </w:tcPr>
          <w:p w:rsidR="00000000" w:rsidRDefault="00000000">
            <w:pPr>
              <w:pStyle w:val="BodyText"/>
              <w:spacing w:after="0" w:line="240" w:lineRule="auto"/>
              <w:jc w:val="center"/>
              <w:rPr>
                <w:color w:val="000000"/>
                <w:sz w:val="18"/>
              </w:rPr>
            </w:pPr>
            <w:r>
              <w:rPr>
                <w:color w:val="000000"/>
                <w:sz w:val="18"/>
              </w:rPr>
              <w:t>Второй семестр</w:t>
            </w:r>
          </w:p>
        </w:tc>
      </w:tr>
      <w:tr w:rsidR="00000000">
        <w:tblPrEx>
          <w:tblCellMar>
            <w:top w:w="0" w:type="dxa"/>
            <w:bottom w:w="0" w:type="dxa"/>
          </w:tblCellMar>
        </w:tblPrEx>
        <w:trPr>
          <w:cantSplit/>
          <w:trHeight w:val="20"/>
          <w:jc w:val="center"/>
        </w:trPr>
        <w:tc>
          <w:tcPr>
            <w:tcW w:w="1680" w:type="dxa"/>
            <w:vMerge/>
            <w:shd w:val="clear" w:color="auto" w:fill="FFFFFF"/>
            <w:vAlign w:val="bottom"/>
          </w:tcPr>
          <w:p w:rsidR="00000000" w:rsidRDefault="00000000">
            <w:pPr>
              <w:pStyle w:val="BodyText"/>
              <w:spacing w:after="0" w:line="240" w:lineRule="auto"/>
              <w:jc w:val="center"/>
              <w:rPr>
                <w:color w:val="000000"/>
                <w:sz w:val="18"/>
              </w:rPr>
            </w:pPr>
          </w:p>
        </w:tc>
        <w:tc>
          <w:tcPr>
            <w:tcW w:w="1506" w:type="dxa"/>
            <w:gridSpan w:val="3"/>
            <w:shd w:val="clear" w:color="auto" w:fill="FFFFFF"/>
            <w:vAlign w:val="bottom"/>
          </w:tcPr>
          <w:p w:rsidR="00000000" w:rsidRDefault="00000000">
            <w:pPr>
              <w:pStyle w:val="BodyText"/>
              <w:spacing w:after="0" w:line="240" w:lineRule="auto"/>
              <w:jc w:val="center"/>
              <w:rPr>
                <w:color w:val="000000"/>
                <w:sz w:val="18"/>
              </w:rPr>
            </w:pPr>
            <w:r>
              <w:rPr>
                <w:color w:val="000000"/>
                <w:sz w:val="18"/>
              </w:rPr>
              <w:t>Кувейтцы</w:t>
            </w:r>
          </w:p>
        </w:tc>
        <w:tc>
          <w:tcPr>
            <w:tcW w:w="1503" w:type="dxa"/>
            <w:gridSpan w:val="3"/>
            <w:shd w:val="clear" w:color="auto" w:fill="FFFFFF"/>
            <w:vAlign w:val="bottom"/>
          </w:tcPr>
          <w:p w:rsidR="00000000" w:rsidRDefault="00000000">
            <w:pPr>
              <w:pStyle w:val="BodyText"/>
              <w:spacing w:after="0" w:line="240" w:lineRule="auto"/>
              <w:jc w:val="center"/>
              <w:rPr>
                <w:color w:val="000000"/>
                <w:sz w:val="18"/>
              </w:rPr>
            </w:pPr>
            <w:r>
              <w:rPr>
                <w:color w:val="000000"/>
                <w:sz w:val="18"/>
              </w:rPr>
              <w:t>Некувейтцы</w:t>
            </w:r>
          </w:p>
        </w:tc>
        <w:tc>
          <w:tcPr>
            <w:tcW w:w="547" w:type="dxa"/>
            <w:vMerge w:val="restart"/>
            <w:shd w:val="clear" w:color="auto" w:fill="FFFFFF"/>
            <w:vAlign w:val="bottom"/>
          </w:tcPr>
          <w:p w:rsidR="00000000" w:rsidRDefault="00000000">
            <w:pPr>
              <w:pStyle w:val="BodyText"/>
              <w:spacing w:after="0" w:line="240" w:lineRule="auto"/>
              <w:jc w:val="center"/>
              <w:rPr>
                <w:color w:val="000000"/>
                <w:sz w:val="18"/>
              </w:rPr>
            </w:pPr>
            <w:r>
              <w:rPr>
                <w:color w:val="000000"/>
                <w:sz w:val="18"/>
              </w:rPr>
              <w:t>Итого</w:t>
            </w:r>
          </w:p>
        </w:tc>
        <w:tc>
          <w:tcPr>
            <w:tcW w:w="1503" w:type="dxa"/>
            <w:gridSpan w:val="3"/>
            <w:shd w:val="clear" w:color="auto" w:fill="FFFFFF"/>
            <w:vAlign w:val="bottom"/>
          </w:tcPr>
          <w:p w:rsidR="00000000" w:rsidRDefault="00000000">
            <w:pPr>
              <w:pStyle w:val="BodyText"/>
              <w:spacing w:after="0" w:line="240" w:lineRule="auto"/>
              <w:jc w:val="center"/>
              <w:rPr>
                <w:color w:val="000000"/>
                <w:sz w:val="18"/>
              </w:rPr>
            </w:pPr>
            <w:r>
              <w:rPr>
                <w:color w:val="000000"/>
                <w:sz w:val="18"/>
              </w:rPr>
              <w:t>Кувейтцы</w:t>
            </w:r>
          </w:p>
        </w:tc>
        <w:tc>
          <w:tcPr>
            <w:tcW w:w="1503" w:type="dxa"/>
            <w:gridSpan w:val="3"/>
            <w:shd w:val="clear" w:color="auto" w:fill="FFFFFF"/>
            <w:vAlign w:val="bottom"/>
          </w:tcPr>
          <w:p w:rsidR="00000000" w:rsidRDefault="00000000">
            <w:pPr>
              <w:pStyle w:val="BodyText"/>
              <w:spacing w:after="0" w:line="240" w:lineRule="auto"/>
              <w:jc w:val="center"/>
              <w:rPr>
                <w:color w:val="000000"/>
                <w:sz w:val="18"/>
              </w:rPr>
            </w:pPr>
            <w:r>
              <w:rPr>
                <w:color w:val="000000"/>
                <w:sz w:val="18"/>
              </w:rPr>
              <w:t>Некувейтцы</w:t>
            </w:r>
          </w:p>
        </w:tc>
        <w:tc>
          <w:tcPr>
            <w:tcW w:w="547" w:type="dxa"/>
            <w:vMerge w:val="restart"/>
            <w:shd w:val="clear" w:color="auto" w:fill="FFFFFF"/>
            <w:vAlign w:val="bottom"/>
          </w:tcPr>
          <w:p w:rsidR="00000000" w:rsidRDefault="00000000">
            <w:pPr>
              <w:pStyle w:val="BodyText"/>
              <w:spacing w:after="0" w:line="240" w:lineRule="auto"/>
              <w:jc w:val="center"/>
              <w:rPr>
                <w:color w:val="000000"/>
                <w:sz w:val="18"/>
              </w:rPr>
            </w:pPr>
            <w:r>
              <w:rPr>
                <w:color w:val="000000"/>
                <w:sz w:val="18"/>
              </w:rPr>
              <w:t>Итого</w:t>
            </w:r>
          </w:p>
        </w:tc>
      </w:tr>
      <w:tr w:rsidR="00000000">
        <w:tblPrEx>
          <w:tblCellMar>
            <w:top w:w="0" w:type="dxa"/>
            <w:bottom w:w="0" w:type="dxa"/>
          </w:tblCellMar>
        </w:tblPrEx>
        <w:trPr>
          <w:cantSplit/>
          <w:trHeight w:val="20"/>
          <w:jc w:val="center"/>
        </w:trPr>
        <w:tc>
          <w:tcPr>
            <w:tcW w:w="1680" w:type="dxa"/>
            <w:vMerge/>
            <w:shd w:val="clear" w:color="auto" w:fill="FFFFFF"/>
            <w:vAlign w:val="bottom"/>
          </w:tcPr>
          <w:p w:rsidR="00000000" w:rsidRDefault="00000000">
            <w:pPr>
              <w:pStyle w:val="BodyText"/>
              <w:spacing w:after="0" w:line="240" w:lineRule="auto"/>
              <w:jc w:val="center"/>
              <w:rPr>
                <w:color w:val="000000"/>
                <w:sz w:val="18"/>
              </w:rPr>
            </w:pPr>
          </w:p>
        </w:tc>
        <w:tc>
          <w:tcPr>
            <w:tcW w:w="479" w:type="dxa"/>
            <w:shd w:val="clear" w:color="auto" w:fill="FFFFFF"/>
            <w:vAlign w:val="bottom"/>
          </w:tcPr>
          <w:p w:rsidR="00000000" w:rsidRDefault="00000000">
            <w:pPr>
              <w:pStyle w:val="BodyText"/>
              <w:spacing w:after="0" w:line="240" w:lineRule="auto"/>
              <w:jc w:val="center"/>
              <w:rPr>
                <w:color w:val="000000"/>
                <w:sz w:val="18"/>
              </w:rPr>
            </w:pPr>
            <w:r>
              <w:rPr>
                <w:color w:val="000000"/>
                <w:sz w:val="18"/>
              </w:rPr>
              <w:t>М</w:t>
            </w:r>
          </w:p>
        </w:tc>
        <w:tc>
          <w:tcPr>
            <w:tcW w:w="479" w:type="dxa"/>
            <w:shd w:val="clear" w:color="auto" w:fill="FFFFFF"/>
            <w:vAlign w:val="bottom"/>
          </w:tcPr>
          <w:p w:rsidR="00000000" w:rsidRDefault="00000000">
            <w:pPr>
              <w:pStyle w:val="BodyText"/>
              <w:spacing w:after="0" w:line="240" w:lineRule="auto"/>
              <w:jc w:val="center"/>
              <w:rPr>
                <w:color w:val="000000"/>
                <w:sz w:val="18"/>
              </w:rPr>
            </w:pPr>
            <w:r>
              <w:rPr>
                <w:color w:val="000000"/>
                <w:sz w:val="18"/>
              </w:rPr>
              <w:t>Ж</w:t>
            </w:r>
          </w:p>
        </w:tc>
        <w:tc>
          <w:tcPr>
            <w:tcW w:w="548" w:type="dxa"/>
            <w:shd w:val="clear" w:color="auto" w:fill="FFFFFF"/>
            <w:vAlign w:val="bottom"/>
          </w:tcPr>
          <w:p w:rsidR="00000000" w:rsidRDefault="00000000">
            <w:pPr>
              <w:pStyle w:val="BodyText"/>
              <w:spacing w:after="0" w:line="240" w:lineRule="auto"/>
              <w:jc w:val="center"/>
              <w:rPr>
                <w:color w:val="000000"/>
                <w:sz w:val="18"/>
              </w:rPr>
            </w:pPr>
            <w:r>
              <w:rPr>
                <w:color w:val="000000"/>
                <w:sz w:val="18"/>
              </w:rPr>
              <w:t>Всего</w:t>
            </w:r>
          </w:p>
        </w:tc>
        <w:tc>
          <w:tcPr>
            <w:tcW w:w="478" w:type="dxa"/>
            <w:shd w:val="clear" w:color="auto" w:fill="FFFFFF"/>
            <w:vAlign w:val="bottom"/>
          </w:tcPr>
          <w:p w:rsidR="00000000" w:rsidRDefault="00000000">
            <w:pPr>
              <w:pStyle w:val="BodyText"/>
              <w:spacing w:after="0" w:line="240" w:lineRule="auto"/>
              <w:jc w:val="center"/>
              <w:rPr>
                <w:color w:val="000000"/>
                <w:sz w:val="18"/>
              </w:rPr>
            </w:pPr>
            <w:r>
              <w:rPr>
                <w:color w:val="000000"/>
                <w:sz w:val="18"/>
              </w:rPr>
              <w:t>М</w:t>
            </w:r>
          </w:p>
        </w:tc>
        <w:tc>
          <w:tcPr>
            <w:tcW w:w="478" w:type="dxa"/>
            <w:shd w:val="clear" w:color="auto" w:fill="FFFFFF"/>
            <w:vAlign w:val="bottom"/>
          </w:tcPr>
          <w:p w:rsidR="00000000" w:rsidRDefault="00000000">
            <w:pPr>
              <w:pStyle w:val="BodyText"/>
              <w:spacing w:after="0" w:line="240" w:lineRule="auto"/>
              <w:jc w:val="center"/>
              <w:rPr>
                <w:color w:val="000000"/>
                <w:sz w:val="18"/>
              </w:rPr>
            </w:pPr>
            <w:r>
              <w:rPr>
                <w:color w:val="000000"/>
                <w:sz w:val="18"/>
              </w:rPr>
              <w:t>Ж</w:t>
            </w:r>
          </w:p>
        </w:tc>
        <w:tc>
          <w:tcPr>
            <w:tcW w:w="547" w:type="dxa"/>
            <w:shd w:val="clear" w:color="auto" w:fill="FFFFFF"/>
            <w:vAlign w:val="bottom"/>
          </w:tcPr>
          <w:p w:rsidR="00000000" w:rsidRDefault="00000000">
            <w:pPr>
              <w:pStyle w:val="BodyText"/>
              <w:spacing w:after="0" w:line="240" w:lineRule="auto"/>
              <w:jc w:val="center"/>
              <w:rPr>
                <w:color w:val="000000"/>
                <w:sz w:val="18"/>
              </w:rPr>
            </w:pPr>
            <w:r>
              <w:rPr>
                <w:color w:val="000000"/>
                <w:sz w:val="18"/>
              </w:rPr>
              <w:t>Всего</w:t>
            </w:r>
          </w:p>
        </w:tc>
        <w:tc>
          <w:tcPr>
            <w:tcW w:w="547" w:type="dxa"/>
            <w:vMerge/>
            <w:shd w:val="clear" w:color="auto" w:fill="FFFFFF"/>
            <w:vAlign w:val="bottom"/>
          </w:tcPr>
          <w:p w:rsidR="00000000" w:rsidRDefault="00000000">
            <w:pPr>
              <w:pStyle w:val="BodyText"/>
              <w:spacing w:after="0" w:line="240" w:lineRule="auto"/>
              <w:jc w:val="center"/>
              <w:rPr>
                <w:color w:val="000000"/>
                <w:sz w:val="18"/>
              </w:rPr>
            </w:pPr>
          </w:p>
        </w:tc>
        <w:tc>
          <w:tcPr>
            <w:tcW w:w="478" w:type="dxa"/>
            <w:shd w:val="clear" w:color="auto" w:fill="FFFFFF"/>
            <w:vAlign w:val="bottom"/>
          </w:tcPr>
          <w:p w:rsidR="00000000" w:rsidRDefault="00000000">
            <w:pPr>
              <w:pStyle w:val="BodyText"/>
              <w:spacing w:after="0" w:line="240" w:lineRule="auto"/>
              <w:jc w:val="center"/>
              <w:rPr>
                <w:color w:val="000000"/>
                <w:sz w:val="18"/>
              </w:rPr>
            </w:pPr>
            <w:r>
              <w:rPr>
                <w:color w:val="000000"/>
                <w:sz w:val="18"/>
              </w:rPr>
              <w:t>М</w:t>
            </w:r>
          </w:p>
        </w:tc>
        <w:tc>
          <w:tcPr>
            <w:tcW w:w="478" w:type="dxa"/>
            <w:shd w:val="clear" w:color="auto" w:fill="FFFFFF"/>
            <w:vAlign w:val="bottom"/>
          </w:tcPr>
          <w:p w:rsidR="00000000" w:rsidRDefault="00000000">
            <w:pPr>
              <w:pStyle w:val="BodyText"/>
              <w:spacing w:after="0" w:line="240" w:lineRule="auto"/>
              <w:jc w:val="center"/>
              <w:rPr>
                <w:color w:val="000000"/>
                <w:sz w:val="18"/>
              </w:rPr>
            </w:pPr>
            <w:r>
              <w:rPr>
                <w:color w:val="000000"/>
                <w:sz w:val="18"/>
              </w:rPr>
              <w:t>Ж</w:t>
            </w:r>
          </w:p>
        </w:tc>
        <w:tc>
          <w:tcPr>
            <w:tcW w:w="547" w:type="dxa"/>
            <w:shd w:val="clear" w:color="auto" w:fill="FFFFFF"/>
            <w:vAlign w:val="bottom"/>
          </w:tcPr>
          <w:p w:rsidR="00000000" w:rsidRDefault="00000000">
            <w:pPr>
              <w:pStyle w:val="BodyText"/>
              <w:spacing w:after="0" w:line="240" w:lineRule="auto"/>
              <w:jc w:val="center"/>
              <w:rPr>
                <w:color w:val="000000"/>
                <w:sz w:val="18"/>
              </w:rPr>
            </w:pPr>
            <w:r>
              <w:rPr>
                <w:color w:val="000000"/>
                <w:sz w:val="18"/>
              </w:rPr>
              <w:t>Всего</w:t>
            </w:r>
          </w:p>
        </w:tc>
        <w:tc>
          <w:tcPr>
            <w:tcW w:w="478" w:type="dxa"/>
            <w:shd w:val="clear" w:color="auto" w:fill="FFFFFF"/>
            <w:vAlign w:val="bottom"/>
          </w:tcPr>
          <w:p w:rsidR="00000000" w:rsidRDefault="00000000">
            <w:pPr>
              <w:pStyle w:val="BodyText"/>
              <w:spacing w:after="0" w:line="240" w:lineRule="auto"/>
              <w:jc w:val="center"/>
              <w:rPr>
                <w:color w:val="000000"/>
                <w:sz w:val="18"/>
              </w:rPr>
            </w:pPr>
            <w:r>
              <w:rPr>
                <w:color w:val="000000"/>
                <w:sz w:val="18"/>
              </w:rPr>
              <w:t>М</w:t>
            </w:r>
          </w:p>
        </w:tc>
        <w:tc>
          <w:tcPr>
            <w:tcW w:w="478" w:type="dxa"/>
            <w:shd w:val="clear" w:color="auto" w:fill="FFFFFF"/>
            <w:vAlign w:val="bottom"/>
          </w:tcPr>
          <w:p w:rsidR="00000000" w:rsidRDefault="00000000">
            <w:pPr>
              <w:pStyle w:val="BodyText"/>
              <w:spacing w:after="0" w:line="240" w:lineRule="auto"/>
              <w:jc w:val="center"/>
              <w:rPr>
                <w:color w:val="000000"/>
                <w:sz w:val="18"/>
              </w:rPr>
            </w:pPr>
            <w:r>
              <w:rPr>
                <w:color w:val="000000"/>
                <w:sz w:val="18"/>
              </w:rPr>
              <w:t>Ж</w:t>
            </w:r>
          </w:p>
        </w:tc>
        <w:tc>
          <w:tcPr>
            <w:tcW w:w="547" w:type="dxa"/>
            <w:shd w:val="clear" w:color="auto" w:fill="FFFFFF"/>
            <w:vAlign w:val="bottom"/>
          </w:tcPr>
          <w:p w:rsidR="00000000" w:rsidRDefault="00000000">
            <w:pPr>
              <w:pStyle w:val="BodyText"/>
              <w:spacing w:after="0" w:line="240" w:lineRule="auto"/>
              <w:jc w:val="center"/>
              <w:rPr>
                <w:color w:val="000000"/>
                <w:sz w:val="18"/>
              </w:rPr>
            </w:pPr>
            <w:r>
              <w:rPr>
                <w:color w:val="000000"/>
                <w:sz w:val="18"/>
              </w:rPr>
              <w:t>Всего</w:t>
            </w:r>
          </w:p>
        </w:tc>
        <w:tc>
          <w:tcPr>
            <w:tcW w:w="547" w:type="dxa"/>
            <w:vMerge/>
            <w:shd w:val="clear" w:color="auto" w:fill="FFFFFF"/>
            <w:vAlign w:val="bottom"/>
          </w:tcPr>
          <w:p w:rsidR="00000000" w:rsidRDefault="00000000">
            <w:pPr>
              <w:pStyle w:val="BodyText"/>
              <w:spacing w:after="0" w:line="240" w:lineRule="auto"/>
              <w:rPr>
                <w:color w:val="000000"/>
                <w:sz w:val="18"/>
              </w:rPr>
            </w:pPr>
          </w:p>
        </w:tc>
      </w:tr>
      <w:tr w:rsidR="00000000">
        <w:tblPrEx>
          <w:tblCellMar>
            <w:top w:w="0" w:type="dxa"/>
            <w:bottom w:w="0" w:type="dxa"/>
          </w:tblCellMar>
        </w:tblPrEx>
        <w:trPr>
          <w:trHeight w:val="20"/>
          <w:jc w:val="center"/>
        </w:trPr>
        <w:tc>
          <w:tcPr>
            <w:tcW w:w="1680" w:type="dxa"/>
            <w:shd w:val="clear" w:color="auto" w:fill="FFFFFF"/>
            <w:vAlign w:val="bottom"/>
          </w:tcPr>
          <w:p w:rsidR="00000000" w:rsidRDefault="00000000">
            <w:pPr>
              <w:pStyle w:val="BodyText"/>
              <w:spacing w:after="0" w:line="240" w:lineRule="auto"/>
              <w:rPr>
                <w:color w:val="000000"/>
                <w:sz w:val="18"/>
              </w:rPr>
            </w:pPr>
            <w:r>
              <w:rPr>
                <w:color w:val="000000"/>
                <w:sz w:val="18"/>
              </w:rPr>
              <w:t>Права</w:t>
            </w:r>
          </w:p>
        </w:tc>
        <w:tc>
          <w:tcPr>
            <w:tcW w:w="479"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25</w:t>
            </w:r>
          </w:p>
        </w:tc>
        <w:tc>
          <w:tcPr>
            <w:tcW w:w="479"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w:t>
            </w:r>
          </w:p>
        </w:tc>
        <w:tc>
          <w:tcPr>
            <w:tcW w:w="54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26</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17</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18</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44</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26</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27</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17</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18</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45</w:t>
            </w:r>
          </w:p>
        </w:tc>
      </w:tr>
      <w:tr w:rsidR="00000000">
        <w:tblPrEx>
          <w:tblCellMar>
            <w:top w:w="0" w:type="dxa"/>
            <w:bottom w:w="0" w:type="dxa"/>
          </w:tblCellMar>
        </w:tblPrEx>
        <w:trPr>
          <w:trHeight w:val="20"/>
          <w:jc w:val="center"/>
        </w:trPr>
        <w:tc>
          <w:tcPr>
            <w:tcW w:w="1680" w:type="dxa"/>
            <w:shd w:val="clear" w:color="auto" w:fill="FFFFFF"/>
            <w:vAlign w:val="bottom"/>
          </w:tcPr>
          <w:p w:rsidR="00000000" w:rsidRDefault="00000000">
            <w:pPr>
              <w:pStyle w:val="BodyText"/>
              <w:spacing w:after="0" w:line="240" w:lineRule="auto"/>
              <w:rPr>
                <w:color w:val="000000"/>
                <w:sz w:val="18"/>
              </w:rPr>
            </w:pPr>
            <w:r>
              <w:rPr>
                <w:color w:val="000000"/>
                <w:sz w:val="18"/>
              </w:rPr>
              <w:t>Гуманитарных наук</w:t>
            </w:r>
          </w:p>
        </w:tc>
        <w:tc>
          <w:tcPr>
            <w:tcW w:w="479"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67</w:t>
            </w:r>
          </w:p>
        </w:tc>
        <w:tc>
          <w:tcPr>
            <w:tcW w:w="479"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35</w:t>
            </w:r>
          </w:p>
        </w:tc>
        <w:tc>
          <w:tcPr>
            <w:tcW w:w="54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102</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45</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2</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50</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152</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67</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35</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102</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44</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4</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48</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150</w:t>
            </w:r>
          </w:p>
        </w:tc>
      </w:tr>
      <w:tr w:rsidR="00000000">
        <w:tblPrEx>
          <w:tblCellMar>
            <w:top w:w="0" w:type="dxa"/>
            <w:bottom w:w="0" w:type="dxa"/>
          </w:tblCellMar>
        </w:tblPrEx>
        <w:trPr>
          <w:trHeight w:val="20"/>
          <w:jc w:val="center"/>
        </w:trPr>
        <w:tc>
          <w:tcPr>
            <w:tcW w:w="1680" w:type="dxa"/>
            <w:shd w:val="clear" w:color="auto" w:fill="FFFFFF"/>
            <w:vAlign w:val="bottom"/>
          </w:tcPr>
          <w:p w:rsidR="00000000" w:rsidRDefault="00000000">
            <w:pPr>
              <w:pStyle w:val="BodyText"/>
              <w:spacing w:after="0" w:line="240" w:lineRule="auto"/>
              <w:rPr>
                <w:color w:val="000000"/>
                <w:sz w:val="18"/>
              </w:rPr>
            </w:pPr>
            <w:r>
              <w:rPr>
                <w:color w:val="000000"/>
                <w:sz w:val="18"/>
              </w:rPr>
              <w:t>Естественных наук</w:t>
            </w:r>
          </w:p>
        </w:tc>
        <w:tc>
          <w:tcPr>
            <w:tcW w:w="479"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14</w:t>
            </w:r>
          </w:p>
        </w:tc>
        <w:tc>
          <w:tcPr>
            <w:tcW w:w="479"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31</w:t>
            </w:r>
          </w:p>
        </w:tc>
        <w:tc>
          <w:tcPr>
            <w:tcW w:w="54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72</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107</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3</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110</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182</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41</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33</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74</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110</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3</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113</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187</w:t>
            </w:r>
          </w:p>
        </w:tc>
      </w:tr>
      <w:tr w:rsidR="00000000">
        <w:tblPrEx>
          <w:tblCellMar>
            <w:top w:w="0" w:type="dxa"/>
            <w:bottom w:w="0" w:type="dxa"/>
          </w:tblCellMar>
        </w:tblPrEx>
        <w:trPr>
          <w:trHeight w:val="20"/>
          <w:jc w:val="center"/>
        </w:trPr>
        <w:tc>
          <w:tcPr>
            <w:tcW w:w="1680" w:type="dxa"/>
            <w:shd w:val="clear" w:color="auto" w:fill="FFFFFF"/>
            <w:vAlign w:val="bottom"/>
          </w:tcPr>
          <w:p w:rsidR="00000000" w:rsidRDefault="00000000">
            <w:pPr>
              <w:pStyle w:val="BodyText"/>
              <w:spacing w:after="0" w:line="240" w:lineRule="auto"/>
              <w:rPr>
                <w:color w:val="000000"/>
                <w:sz w:val="18"/>
              </w:rPr>
            </w:pPr>
            <w:r>
              <w:rPr>
                <w:color w:val="000000"/>
                <w:sz w:val="18"/>
              </w:rPr>
              <w:t>Медицины</w:t>
            </w:r>
          </w:p>
        </w:tc>
        <w:tc>
          <w:tcPr>
            <w:tcW w:w="479"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26</w:t>
            </w:r>
          </w:p>
        </w:tc>
        <w:tc>
          <w:tcPr>
            <w:tcW w:w="479"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7</w:t>
            </w:r>
          </w:p>
        </w:tc>
        <w:tc>
          <w:tcPr>
            <w:tcW w:w="54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33</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87</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12</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99</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132</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35</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7</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42</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86</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16</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102</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144</w:t>
            </w:r>
          </w:p>
        </w:tc>
      </w:tr>
      <w:tr w:rsidR="00000000">
        <w:tblPrEx>
          <w:tblCellMar>
            <w:top w:w="0" w:type="dxa"/>
            <w:bottom w:w="0" w:type="dxa"/>
          </w:tblCellMar>
        </w:tblPrEx>
        <w:trPr>
          <w:trHeight w:val="20"/>
          <w:jc w:val="center"/>
        </w:trPr>
        <w:tc>
          <w:tcPr>
            <w:tcW w:w="1680" w:type="dxa"/>
            <w:shd w:val="clear" w:color="auto" w:fill="FFFFFF"/>
            <w:vAlign w:val="bottom"/>
          </w:tcPr>
          <w:p w:rsidR="00000000" w:rsidRDefault="00000000">
            <w:pPr>
              <w:pStyle w:val="BodyText"/>
              <w:spacing w:after="0" w:line="240" w:lineRule="auto"/>
              <w:rPr>
                <w:color w:val="000000"/>
                <w:sz w:val="18"/>
              </w:rPr>
            </w:pPr>
            <w:r>
              <w:rPr>
                <w:color w:val="000000"/>
                <w:sz w:val="18"/>
              </w:rPr>
              <w:t>Инженерный</w:t>
            </w:r>
          </w:p>
        </w:tc>
        <w:tc>
          <w:tcPr>
            <w:tcW w:w="479"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62</w:t>
            </w:r>
          </w:p>
        </w:tc>
        <w:tc>
          <w:tcPr>
            <w:tcW w:w="479"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2</w:t>
            </w:r>
          </w:p>
        </w:tc>
        <w:tc>
          <w:tcPr>
            <w:tcW w:w="54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64</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72</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0</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72</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136</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63</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3</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66</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72</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0</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72</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138</w:t>
            </w:r>
          </w:p>
        </w:tc>
      </w:tr>
      <w:tr w:rsidR="00000000">
        <w:tblPrEx>
          <w:tblCellMar>
            <w:top w:w="0" w:type="dxa"/>
            <w:bottom w:w="0" w:type="dxa"/>
          </w:tblCellMar>
        </w:tblPrEx>
        <w:trPr>
          <w:trHeight w:val="20"/>
          <w:jc w:val="center"/>
        </w:trPr>
        <w:tc>
          <w:tcPr>
            <w:tcW w:w="1680" w:type="dxa"/>
            <w:shd w:val="clear" w:color="auto" w:fill="FFFFFF"/>
            <w:vAlign w:val="bottom"/>
          </w:tcPr>
          <w:p w:rsidR="00000000" w:rsidRDefault="00000000">
            <w:pPr>
              <w:pStyle w:val="BodyText"/>
              <w:spacing w:after="0" w:line="240" w:lineRule="auto"/>
              <w:rPr>
                <w:color w:val="000000"/>
                <w:sz w:val="18"/>
              </w:rPr>
            </w:pPr>
            <w:r>
              <w:rPr>
                <w:color w:val="000000"/>
                <w:sz w:val="18"/>
              </w:rPr>
              <w:t>Вспомогательных медицинских наук</w:t>
            </w:r>
          </w:p>
        </w:tc>
        <w:tc>
          <w:tcPr>
            <w:tcW w:w="479"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w:t>
            </w:r>
          </w:p>
        </w:tc>
        <w:tc>
          <w:tcPr>
            <w:tcW w:w="479"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0</w:t>
            </w:r>
          </w:p>
        </w:tc>
        <w:tc>
          <w:tcPr>
            <w:tcW w:w="54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13</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3</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16</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17</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0</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13</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3</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16</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17</w:t>
            </w:r>
          </w:p>
        </w:tc>
      </w:tr>
      <w:tr w:rsidR="00000000">
        <w:tblPrEx>
          <w:tblCellMar>
            <w:top w:w="0" w:type="dxa"/>
            <w:bottom w:w="0" w:type="dxa"/>
          </w:tblCellMar>
        </w:tblPrEx>
        <w:trPr>
          <w:trHeight w:val="20"/>
          <w:jc w:val="center"/>
        </w:trPr>
        <w:tc>
          <w:tcPr>
            <w:tcW w:w="1680" w:type="dxa"/>
            <w:shd w:val="clear" w:color="auto" w:fill="FFFFFF"/>
            <w:vAlign w:val="bottom"/>
          </w:tcPr>
          <w:p w:rsidR="00000000" w:rsidRDefault="00000000">
            <w:pPr>
              <w:pStyle w:val="BodyText"/>
              <w:spacing w:after="0" w:line="240" w:lineRule="auto"/>
              <w:rPr>
                <w:color w:val="000000"/>
                <w:sz w:val="18"/>
              </w:rPr>
            </w:pPr>
            <w:r>
              <w:rPr>
                <w:color w:val="000000"/>
                <w:sz w:val="18"/>
              </w:rPr>
              <w:t>Педагогики</w:t>
            </w:r>
          </w:p>
        </w:tc>
        <w:tc>
          <w:tcPr>
            <w:tcW w:w="479"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41</w:t>
            </w:r>
          </w:p>
        </w:tc>
        <w:tc>
          <w:tcPr>
            <w:tcW w:w="479"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19</w:t>
            </w:r>
          </w:p>
        </w:tc>
        <w:tc>
          <w:tcPr>
            <w:tcW w:w="54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60</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17</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2</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19</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79</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41</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19</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60</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17</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2</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19</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79</w:t>
            </w:r>
          </w:p>
        </w:tc>
      </w:tr>
      <w:tr w:rsidR="00000000">
        <w:tblPrEx>
          <w:tblCellMar>
            <w:top w:w="0" w:type="dxa"/>
            <w:bottom w:w="0" w:type="dxa"/>
          </w:tblCellMar>
        </w:tblPrEx>
        <w:trPr>
          <w:trHeight w:val="20"/>
          <w:jc w:val="center"/>
        </w:trPr>
        <w:tc>
          <w:tcPr>
            <w:tcW w:w="1680" w:type="dxa"/>
            <w:shd w:val="clear" w:color="auto" w:fill="FFFFFF"/>
            <w:vAlign w:val="bottom"/>
          </w:tcPr>
          <w:p w:rsidR="00000000" w:rsidRDefault="00000000">
            <w:pPr>
              <w:pStyle w:val="BodyText"/>
              <w:spacing w:after="0" w:line="240" w:lineRule="auto"/>
              <w:rPr>
                <w:color w:val="000000"/>
                <w:sz w:val="18"/>
              </w:rPr>
            </w:pPr>
            <w:r>
              <w:rPr>
                <w:color w:val="000000"/>
                <w:sz w:val="18"/>
              </w:rPr>
              <w:t>Шариата</w:t>
            </w:r>
          </w:p>
        </w:tc>
        <w:tc>
          <w:tcPr>
            <w:tcW w:w="479"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12</w:t>
            </w:r>
          </w:p>
        </w:tc>
        <w:tc>
          <w:tcPr>
            <w:tcW w:w="479"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0</w:t>
            </w:r>
          </w:p>
        </w:tc>
        <w:tc>
          <w:tcPr>
            <w:tcW w:w="54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12</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33</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2</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35</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47</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13</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0</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13</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33</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2</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35</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48</w:t>
            </w:r>
          </w:p>
        </w:tc>
      </w:tr>
      <w:tr w:rsidR="00000000">
        <w:tblPrEx>
          <w:tblCellMar>
            <w:top w:w="0" w:type="dxa"/>
            <w:bottom w:w="0" w:type="dxa"/>
          </w:tblCellMar>
        </w:tblPrEx>
        <w:trPr>
          <w:trHeight w:val="20"/>
          <w:jc w:val="center"/>
        </w:trPr>
        <w:tc>
          <w:tcPr>
            <w:tcW w:w="1680" w:type="dxa"/>
            <w:shd w:val="clear" w:color="auto" w:fill="FFFFFF"/>
            <w:vAlign w:val="bottom"/>
          </w:tcPr>
          <w:p w:rsidR="00000000" w:rsidRDefault="00000000">
            <w:pPr>
              <w:pStyle w:val="BodyText"/>
              <w:spacing w:after="0" w:line="240" w:lineRule="auto"/>
              <w:rPr>
                <w:color w:val="000000"/>
                <w:sz w:val="18"/>
              </w:rPr>
            </w:pPr>
            <w:r>
              <w:rPr>
                <w:color w:val="000000"/>
                <w:sz w:val="18"/>
              </w:rPr>
              <w:t>Административных наук</w:t>
            </w:r>
          </w:p>
        </w:tc>
        <w:tc>
          <w:tcPr>
            <w:tcW w:w="479"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62</w:t>
            </w:r>
          </w:p>
        </w:tc>
        <w:tc>
          <w:tcPr>
            <w:tcW w:w="479"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9</w:t>
            </w:r>
          </w:p>
        </w:tc>
        <w:tc>
          <w:tcPr>
            <w:tcW w:w="54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71</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34</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35</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106</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62</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9</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71</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34</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35</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106</w:t>
            </w:r>
          </w:p>
        </w:tc>
      </w:tr>
      <w:tr w:rsidR="00000000">
        <w:tblPrEx>
          <w:tblCellMar>
            <w:top w:w="0" w:type="dxa"/>
            <w:bottom w:w="0" w:type="dxa"/>
          </w:tblCellMar>
        </w:tblPrEx>
        <w:trPr>
          <w:trHeight w:val="20"/>
          <w:jc w:val="center"/>
        </w:trPr>
        <w:tc>
          <w:tcPr>
            <w:tcW w:w="1680" w:type="dxa"/>
            <w:shd w:val="clear" w:color="auto" w:fill="FFFFFF"/>
            <w:vAlign w:val="bottom"/>
          </w:tcPr>
          <w:p w:rsidR="00000000" w:rsidRDefault="00000000">
            <w:pPr>
              <w:pStyle w:val="BodyText"/>
              <w:spacing w:after="0" w:line="240" w:lineRule="auto"/>
              <w:rPr>
                <w:color w:val="000000"/>
                <w:sz w:val="18"/>
              </w:rPr>
            </w:pPr>
            <w:r>
              <w:rPr>
                <w:color w:val="000000"/>
                <w:sz w:val="18"/>
              </w:rPr>
              <w:t>Фармацевтики</w:t>
            </w:r>
          </w:p>
        </w:tc>
        <w:tc>
          <w:tcPr>
            <w:tcW w:w="479"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0</w:t>
            </w:r>
          </w:p>
        </w:tc>
        <w:tc>
          <w:tcPr>
            <w:tcW w:w="479"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0</w:t>
            </w:r>
          </w:p>
        </w:tc>
        <w:tc>
          <w:tcPr>
            <w:tcW w:w="54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0</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0</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0</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0</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0</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0</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w:t>
            </w:r>
          </w:p>
        </w:tc>
      </w:tr>
      <w:tr w:rsidR="00000000">
        <w:tblPrEx>
          <w:tblCellMar>
            <w:top w:w="0" w:type="dxa"/>
            <w:bottom w:w="0" w:type="dxa"/>
          </w:tblCellMar>
        </w:tblPrEx>
        <w:trPr>
          <w:trHeight w:val="20"/>
          <w:jc w:val="center"/>
        </w:trPr>
        <w:tc>
          <w:tcPr>
            <w:tcW w:w="1680" w:type="dxa"/>
            <w:shd w:val="clear" w:color="auto" w:fill="FFFFFF"/>
            <w:vAlign w:val="bottom"/>
          </w:tcPr>
          <w:p w:rsidR="00000000" w:rsidRDefault="00000000">
            <w:pPr>
              <w:pStyle w:val="BodyText"/>
              <w:spacing w:after="0" w:line="240" w:lineRule="auto"/>
              <w:rPr>
                <w:color w:val="000000"/>
                <w:sz w:val="18"/>
              </w:rPr>
            </w:pPr>
            <w:r>
              <w:rPr>
                <w:color w:val="000000"/>
                <w:sz w:val="18"/>
              </w:rPr>
              <w:t>Стоматологии</w:t>
            </w:r>
          </w:p>
        </w:tc>
        <w:tc>
          <w:tcPr>
            <w:tcW w:w="479"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0</w:t>
            </w:r>
          </w:p>
        </w:tc>
        <w:tc>
          <w:tcPr>
            <w:tcW w:w="479"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0</w:t>
            </w:r>
          </w:p>
        </w:tc>
        <w:tc>
          <w:tcPr>
            <w:tcW w:w="54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0</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0</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0</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0</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0</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0</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w:t>
            </w:r>
          </w:p>
        </w:tc>
      </w:tr>
      <w:tr w:rsidR="00000000">
        <w:tblPrEx>
          <w:tblCellMar>
            <w:top w:w="0" w:type="dxa"/>
            <w:bottom w:w="0" w:type="dxa"/>
          </w:tblCellMar>
        </w:tblPrEx>
        <w:trPr>
          <w:trHeight w:val="20"/>
          <w:jc w:val="center"/>
        </w:trPr>
        <w:tc>
          <w:tcPr>
            <w:tcW w:w="1680" w:type="dxa"/>
            <w:shd w:val="clear" w:color="auto" w:fill="FFFFFF"/>
            <w:vAlign w:val="bottom"/>
          </w:tcPr>
          <w:p w:rsidR="00000000" w:rsidRDefault="00000000">
            <w:pPr>
              <w:pStyle w:val="BodyText"/>
              <w:spacing w:after="0" w:line="240" w:lineRule="auto"/>
              <w:rPr>
                <w:color w:val="000000"/>
                <w:sz w:val="18"/>
              </w:rPr>
            </w:pPr>
            <w:r>
              <w:rPr>
                <w:color w:val="000000"/>
                <w:sz w:val="18"/>
              </w:rPr>
              <w:t>Иностранных языков</w:t>
            </w:r>
          </w:p>
        </w:tc>
        <w:tc>
          <w:tcPr>
            <w:tcW w:w="479"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0</w:t>
            </w:r>
          </w:p>
        </w:tc>
        <w:tc>
          <w:tcPr>
            <w:tcW w:w="479"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0</w:t>
            </w:r>
          </w:p>
        </w:tc>
        <w:tc>
          <w:tcPr>
            <w:tcW w:w="54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0</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0</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0</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0</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0</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0</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w:t>
            </w:r>
          </w:p>
        </w:tc>
      </w:tr>
      <w:tr w:rsidR="00000000">
        <w:tblPrEx>
          <w:tblCellMar>
            <w:top w:w="0" w:type="dxa"/>
            <w:bottom w:w="0" w:type="dxa"/>
          </w:tblCellMar>
        </w:tblPrEx>
        <w:trPr>
          <w:trHeight w:val="20"/>
          <w:jc w:val="center"/>
        </w:trPr>
        <w:tc>
          <w:tcPr>
            <w:tcW w:w="1680" w:type="dxa"/>
            <w:shd w:val="clear" w:color="auto" w:fill="FFFFFF"/>
            <w:vAlign w:val="bottom"/>
          </w:tcPr>
          <w:p w:rsidR="00000000" w:rsidRDefault="00000000">
            <w:pPr>
              <w:pStyle w:val="BodyText"/>
              <w:spacing w:after="0" w:line="240" w:lineRule="auto"/>
              <w:rPr>
                <w:color w:val="000000"/>
                <w:sz w:val="18"/>
              </w:rPr>
            </w:pPr>
            <w:r>
              <w:rPr>
                <w:color w:val="000000"/>
                <w:sz w:val="18"/>
              </w:rPr>
              <w:t>Аспирантура</w:t>
            </w:r>
          </w:p>
        </w:tc>
        <w:tc>
          <w:tcPr>
            <w:tcW w:w="479"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w:t>
            </w:r>
          </w:p>
        </w:tc>
        <w:tc>
          <w:tcPr>
            <w:tcW w:w="479"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w:t>
            </w:r>
          </w:p>
        </w:tc>
        <w:tc>
          <w:tcPr>
            <w:tcW w:w="54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2</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0</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2</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0</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3</w:t>
            </w:r>
          </w:p>
        </w:tc>
      </w:tr>
      <w:tr w:rsidR="00000000">
        <w:tblPrEx>
          <w:tblCellMar>
            <w:top w:w="0" w:type="dxa"/>
            <w:bottom w:w="0" w:type="dxa"/>
          </w:tblCellMar>
        </w:tblPrEx>
        <w:trPr>
          <w:trHeight w:val="20"/>
          <w:jc w:val="center"/>
        </w:trPr>
        <w:tc>
          <w:tcPr>
            <w:tcW w:w="1680" w:type="dxa"/>
            <w:shd w:val="clear" w:color="auto" w:fill="FFFFFF"/>
            <w:vAlign w:val="bottom"/>
          </w:tcPr>
          <w:p w:rsidR="00000000" w:rsidRDefault="00000000">
            <w:pPr>
              <w:pStyle w:val="BodyText"/>
              <w:spacing w:after="0" w:line="240" w:lineRule="auto"/>
              <w:rPr>
                <w:color w:val="000000"/>
                <w:sz w:val="18"/>
              </w:rPr>
            </w:pPr>
            <w:r>
              <w:rPr>
                <w:color w:val="000000"/>
                <w:sz w:val="18"/>
              </w:rPr>
              <w:t>Итого</w:t>
            </w:r>
          </w:p>
        </w:tc>
        <w:tc>
          <w:tcPr>
            <w:tcW w:w="479"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338</w:t>
            </w:r>
          </w:p>
        </w:tc>
        <w:tc>
          <w:tcPr>
            <w:tcW w:w="479"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105</w:t>
            </w:r>
          </w:p>
        </w:tc>
        <w:tc>
          <w:tcPr>
            <w:tcW w:w="54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443</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429</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29</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458</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901</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350</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108</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458</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430</w:t>
            </w:r>
          </w:p>
        </w:tc>
        <w:tc>
          <w:tcPr>
            <w:tcW w:w="478"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32</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462</w:t>
            </w:r>
          </w:p>
        </w:tc>
        <w:tc>
          <w:tcPr>
            <w:tcW w:w="547" w:type="dxa"/>
            <w:shd w:val="clear" w:color="auto" w:fill="FFFFFF"/>
            <w:vAlign w:val="bottom"/>
          </w:tcPr>
          <w:p w:rsidR="00000000" w:rsidRDefault="00000000">
            <w:pPr>
              <w:pStyle w:val="BodyText"/>
              <w:spacing w:after="0" w:line="240" w:lineRule="auto"/>
              <w:ind w:right="113"/>
              <w:jc w:val="right"/>
              <w:rPr>
                <w:color w:val="000000"/>
                <w:sz w:val="18"/>
              </w:rPr>
            </w:pPr>
            <w:r>
              <w:rPr>
                <w:color w:val="000000"/>
                <w:sz w:val="18"/>
              </w:rPr>
              <w:t>920</w:t>
            </w:r>
          </w:p>
        </w:tc>
      </w:tr>
    </w:tbl>
    <w:p w:rsidR="00000000" w:rsidRDefault="00000000">
      <w:pPr>
        <w:pStyle w:val="BodyText"/>
      </w:pPr>
    </w:p>
    <w:p w:rsidR="00000000" w:rsidRDefault="00000000">
      <w:pPr>
        <w:pStyle w:val="-"/>
        <w:spacing w:after="240"/>
        <w:rPr>
          <w:b w:val="0"/>
        </w:rPr>
      </w:pPr>
      <w:r>
        <w:br w:type="page"/>
      </w:r>
      <w:r>
        <w:rPr>
          <w:b w:val="0"/>
        </w:rPr>
        <w:t xml:space="preserve">Таблица 3. Рост числа студентов, принятых в Кувейтский университет </w:t>
      </w:r>
      <w:r>
        <w:rPr>
          <w:b w:val="0"/>
        </w:rPr>
        <w:br/>
        <w:t>за период с 1992/93 по 1996/97 учебный год</w:t>
      </w:r>
    </w:p>
    <w:tbl>
      <w:tblPr>
        <w:tblW w:w="0" w:type="auto"/>
        <w:jc w:val="center"/>
        <w:tblLayout w:type="fixed"/>
        <w:tblCellMar>
          <w:left w:w="28" w:type="dxa"/>
          <w:right w:w="28" w:type="dxa"/>
        </w:tblCellMar>
        <w:tblLook w:val="0000" w:firstRow="0" w:lastRow="0" w:firstColumn="0" w:lastColumn="0" w:noHBand="0" w:noVBand="0"/>
      </w:tblPr>
      <w:tblGrid>
        <w:gridCol w:w="1236"/>
        <w:gridCol w:w="535"/>
        <w:gridCol w:w="467"/>
        <w:gridCol w:w="467"/>
        <w:gridCol w:w="468"/>
        <w:gridCol w:w="468"/>
        <w:gridCol w:w="468"/>
        <w:gridCol w:w="468"/>
        <w:gridCol w:w="468"/>
        <w:gridCol w:w="468"/>
        <w:gridCol w:w="468"/>
        <w:gridCol w:w="468"/>
        <w:gridCol w:w="468"/>
        <w:gridCol w:w="468"/>
        <w:gridCol w:w="468"/>
        <w:gridCol w:w="468"/>
        <w:gridCol w:w="468"/>
      </w:tblGrid>
      <w:tr w:rsidR="00000000">
        <w:tblPrEx>
          <w:tblCellMar>
            <w:top w:w="0" w:type="dxa"/>
            <w:bottom w:w="0" w:type="dxa"/>
          </w:tblCellMar>
        </w:tblPrEx>
        <w:trPr>
          <w:cantSplit/>
          <w:trHeight w:val="20"/>
          <w:jc w:val="center"/>
        </w:trPr>
        <w:tc>
          <w:tcPr>
            <w:tcW w:w="1236" w:type="dxa"/>
            <w:vMerge w:val="restart"/>
            <w:shd w:val="clear" w:color="auto" w:fill="FFFFFF"/>
          </w:tcPr>
          <w:p w:rsidR="00000000" w:rsidRDefault="00000000">
            <w:pPr>
              <w:pStyle w:val="-9"/>
              <w:rPr>
                <w:sz w:val="16"/>
              </w:rPr>
            </w:pPr>
            <w:r>
              <w:rPr>
                <w:sz w:val="16"/>
              </w:rPr>
              <w:t>Факультет</w:t>
            </w:r>
          </w:p>
        </w:tc>
        <w:tc>
          <w:tcPr>
            <w:tcW w:w="535" w:type="dxa"/>
            <w:vMerge w:val="restart"/>
            <w:shd w:val="clear" w:color="auto" w:fill="FFFFFF"/>
          </w:tcPr>
          <w:p w:rsidR="00000000" w:rsidRDefault="00000000">
            <w:pPr>
              <w:pStyle w:val="-9"/>
              <w:rPr>
                <w:sz w:val="16"/>
              </w:rPr>
            </w:pPr>
            <w:r>
              <w:rPr>
                <w:sz w:val="16"/>
              </w:rPr>
              <w:t>Пол</w:t>
            </w:r>
          </w:p>
        </w:tc>
        <w:tc>
          <w:tcPr>
            <w:tcW w:w="7018" w:type="dxa"/>
            <w:gridSpan w:val="15"/>
            <w:shd w:val="clear" w:color="auto" w:fill="FFFFFF"/>
          </w:tcPr>
          <w:p w:rsidR="00000000" w:rsidRDefault="00000000">
            <w:pPr>
              <w:pStyle w:val="-9"/>
              <w:rPr>
                <w:sz w:val="16"/>
              </w:rPr>
            </w:pPr>
            <w:r>
              <w:rPr>
                <w:sz w:val="16"/>
              </w:rPr>
              <w:t>Год</w:t>
            </w:r>
          </w:p>
        </w:tc>
      </w:tr>
      <w:tr w:rsidR="00000000">
        <w:tblPrEx>
          <w:tblCellMar>
            <w:top w:w="0" w:type="dxa"/>
            <w:bottom w:w="0" w:type="dxa"/>
          </w:tblCellMar>
        </w:tblPrEx>
        <w:trPr>
          <w:cantSplit/>
          <w:trHeight w:val="20"/>
          <w:jc w:val="center"/>
        </w:trPr>
        <w:tc>
          <w:tcPr>
            <w:tcW w:w="1236" w:type="dxa"/>
            <w:vMerge/>
            <w:shd w:val="clear" w:color="auto" w:fill="FFFFFF"/>
          </w:tcPr>
          <w:p w:rsidR="00000000" w:rsidRDefault="00000000">
            <w:pPr>
              <w:pStyle w:val="-9"/>
              <w:rPr>
                <w:sz w:val="16"/>
              </w:rPr>
            </w:pPr>
          </w:p>
        </w:tc>
        <w:tc>
          <w:tcPr>
            <w:tcW w:w="535" w:type="dxa"/>
            <w:vMerge/>
            <w:shd w:val="clear" w:color="auto" w:fill="FFFFFF"/>
          </w:tcPr>
          <w:p w:rsidR="00000000" w:rsidRDefault="00000000">
            <w:pPr>
              <w:pStyle w:val="-9"/>
              <w:rPr>
                <w:sz w:val="16"/>
              </w:rPr>
            </w:pPr>
          </w:p>
        </w:tc>
        <w:tc>
          <w:tcPr>
            <w:tcW w:w="1402" w:type="dxa"/>
            <w:gridSpan w:val="3"/>
            <w:shd w:val="clear" w:color="auto" w:fill="FFFFFF"/>
          </w:tcPr>
          <w:p w:rsidR="00000000" w:rsidRDefault="00000000">
            <w:pPr>
              <w:pStyle w:val="-9"/>
              <w:rPr>
                <w:sz w:val="16"/>
              </w:rPr>
            </w:pPr>
            <w:r>
              <w:rPr>
                <w:sz w:val="16"/>
              </w:rPr>
              <w:t>1992/93</w:t>
            </w:r>
          </w:p>
        </w:tc>
        <w:tc>
          <w:tcPr>
            <w:tcW w:w="1404" w:type="dxa"/>
            <w:gridSpan w:val="3"/>
            <w:shd w:val="clear" w:color="auto" w:fill="FFFFFF"/>
          </w:tcPr>
          <w:p w:rsidR="00000000" w:rsidRDefault="00000000">
            <w:pPr>
              <w:pStyle w:val="-9"/>
              <w:rPr>
                <w:sz w:val="16"/>
              </w:rPr>
            </w:pPr>
            <w:r>
              <w:rPr>
                <w:sz w:val="16"/>
              </w:rPr>
              <w:t>1993/94</w:t>
            </w:r>
          </w:p>
        </w:tc>
        <w:tc>
          <w:tcPr>
            <w:tcW w:w="1404" w:type="dxa"/>
            <w:gridSpan w:val="3"/>
            <w:shd w:val="clear" w:color="auto" w:fill="FFFFFF"/>
          </w:tcPr>
          <w:p w:rsidR="00000000" w:rsidRDefault="00000000">
            <w:pPr>
              <w:pStyle w:val="-9"/>
              <w:rPr>
                <w:sz w:val="16"/>
              </w:rPr>
            </w:pPr>
            <w:r>
              <w:rPr>
                <w:sz w:val="16"/>
              </w:rPr>
              <w:t>1994/95</w:t>
            </w:r>
          </w:p>
        </w:tc>
        <w:tc>
          <w:tcPr>
            <w:tcW w:w="1404" w:type="dxa"/>
            <w:gridSpan w:val="3"/>
            <w:shd w:val="clear" w:color="auto" w:fill="FFFFFF"/>
          </w:tcPr>
          <w:p w:rsidR="00000000" w:rsidRDefault="00000000">
            <w:pPr>
              <w:pStyle w:val="-9"/>
              <w:rPr>
                <w:sz w:val="16"/>
              </w:rPr>
            </w:pPr>
            <w:r>
              <w:rPr>
                <w:sz w:val="16"/>
              </w:rPr>
              <w:t>1995/96</w:t>
            </w:r>
          </w:p>
        </w:tc>
        <w:tc>
          <w:tcPr>
            <w:tcW w:w="1404" w:type="dxa"/>
            <w:gridSpan w:val="3"/>
            <w:shd w:val="clear" w:color="auto" w:fill="FFFFFF"/>
          </w:tcPr>
          <w:p w:rsidR="00000000" w:rsidRDefault="00000000">
            <w:pPr>
              <w:pStyle w:val="-9"/>
              <w:rPr>
                <w:sz w:val="16"/>
              </w:rPr>
            </w:pPr>
            <w:r>
              <w:rPr>
                <w:sz w:val="16"/>
              </w:rPr>
              <w:t>1996/97</w:t>
            </w:r>
          </w:p>
        </w:tc>
      </w:tr>
      <w:tr w:rsidR="00000000">
        <w:tblPrEx>
          <w:tblCellMar>
            <w:top w:w="0" w:type="dxa"/>
            <w:bottom w:w="0" w:type="dxa"/>
          </w:tblCellMar>
        </w:tblPrEx>
        <w:trPr>
          <w:cantSplit/>
          <w:trHeight w:val="1134"/>
          <w:jc w:val="center"/>
        </w:trPr>
        <w:tc>
          <w:tcPr>
            <w:tcW w:w="1236" w:type="dxa"/>
            <w:vMerge/>
            <w:shd w:val="clear" w:color="auto" w:fill="FFFFFF"/>
          </w:tcPr>
          <w:p w:rsidR="00000000" w:rsidRDefault="00000000">
            <w:pPr>
              <w:pStyle w:val="-9"/>
              <w:rPr>
                <w:sz w:val="16"/>
              </w:rPr>
            </w:pPr>
          </w:p>
        </w:tc>
        <w:tc>
          <w:tcPr>
            <w:tcW w:w="535" w:type="dxa"/>
            <w:vMerge/>
            <w:shd w:val="clear" w:color="auto" w:fill="FFFFFF"/>
          </w:tcPr>
          <w:p w:rsidR="00000000" w:rsidRDefault="00000000">
            <w:pPr>
              <w:pStyle w:val="-9"/>
              <w:rPr>
                <w:sz w:val="16"/>
              </w:rPr>
            </w:pPr>
          </w:p>
        </w:tc>
        <w:tc>
          <w:tcPr>
            <w:tcW w:w="467" w:type="dxa"/>
            <w:shd w:val="clear" w:color="auto" w:fill="FFFFFF"/>
            <w:textDirection w:val="btLr"/>
            <w:vAlign w:val="center"/>
          </w:tcPr>
          <w:p w:rsidR="00000000" w:rsidRDefault="00000000">
            <w:pPr>
              <w:pStyle w:val="-9"/>
              <w:ind w:left="113" w:right="113"/>
              <w:rPr>
                <w:sz w:val="16"/>
              </w:rPr>
            </w:pPr>
            <w:r>
              <w:rPr>
                <w:sz w:val="16"/>
              </w:rPr>
              <w:t>Кувейтцы</w:t>
            </w:r>
          </w:p>
        </w:tc>
        <w:tc>
          <w:tcPr>
            <w:tcW w:w="467" w:type="dxa"/>
            <w:shd w:val="clear" w:color="auto" w:fill="FFFFFF"/>
            <w:textDirection w:val="btLr"/>
            <w:vAlign w:val="center"/>
          </w:tcPr>
          <w:p w:rsidR="00000000" w:rsidRDefault="00000000">
            <w:pPr>
              <w:pStyle w:val="-9"/>
              <w:ind w:left="113" w:right="113"/>
              <w:rPr>
                <w:sz w:val="16"/>
              </w:rPr>
            </w:pPr>
            <w:r>
              <w:rPr>
                <w:sz w:val="16"/>
              </w:rPr>
              <w:t>Некувейтцы</w:t>
            </w:r>
          </w:p>
        </w:tc>
        <w:tc>
          <w:tcPr>
            <w:tcW w:w="468" w:type="dxa"/>
            <w:shd w:val="clear" w:color="auto" w:fill="FFFFFF"/>
            <w:textDirection w:val="btLr"/>
            <w:vAlign w:val="center"/>
          </w:tcPr>
          <w:p w:rsidR="00000000" w:rsidRDefault="00000000">
            <w:pPr>
              <w:pStyle w:val="-9"/>
              <w:ind w:left="113" w:right="113"/>
              <w:rPr>
                <w:sz w:val="16"/>
              </w:rPr>
            </w:pPr>
            <w:r>
              <w:rPr>
                <w:sz w:val="16"/>
              </w:rPr>
              <w:t>Всего</w:t>
            </w:r>
          </w:p>
        </w:tc>
        <w:tc>
          <w:tcPr>
            <w:tcW w:w="468" w:type="dxa"/>
            <w:shd w:val="clear" w:color="auto" w:fill="FFFFFF"/>
            <w:textDirection w:val="btLr"/>
            <w:vAlign w:val="center"/>
          </w:tcPr>
          <w:p w:rsidR="00000000" w:rsidRDefault="00000000">
            <w:pPr>
              <w:pStyle w:val="-9"/>
              <w:ind w:left="113" w:right="113"/>
              <w:rPr>
                <w:sz w:val="16"/>
              </w:rPr>
            </w:pPr>
            <w:r>
              <w:rPr>
                <w:sz w:val="16"/>
              </w:rPr>
              <w:t>Кувейтцы</w:t>
            </w:r>
          </w:p>
        </w:tc>
        <w:tc>
          <w:tcPr>
            <w:tcW w:w="468" w:type="dxa"/>
            <w:shd w:val="clear" w:color="auto" w:fill="FFFFFF"/>
            <w:textDirection w:val="btLr"/>
            <w:vAlign w:val="center"/>
          </w:tcPr>
          <w:p w:rsidR="00000000" w:rsidRDefault="00000000">
            <w:pPr>
              <w:pStyle w:val="-9"/>
              <w:ind w:left="113" w:right="113"/>
              <w:rPr>
                <w:sz w:val="16"/>
              </w:rPr>
            </w:pPr>
            <w:r>
              <w:rPr>
                <w:sz w:val="16"/>
              </w:rPr>
              <w:t>Некувейтцы</w:t>
            </w:r>
          </w:p>
        </w:tc>
        <w:tc>
          <w:tcPr>
            <w:tcW w:w="468" w:type="dxa"/>
            <w:shd w:val="clear" w:color="auto" w:fill="FFFFFF"/>
            <w:textDirection w:val="btLr"/>
            <w:vAlign w:val="center"/>
          </w:tcPr>
          <w:p w:rsidR="00000000" w:rsidRDefault="00000000">
            <w:pPr>
              <w:pStyle w:val="-9"/>
              <w:ind w:left="113" w:right="113"/>
              <w:rPr>
                <w:sz w:val="16"/>
              </w:rPr>
            </w:pPr>
            <w:r>
              <w:rPr>
                <w:sz w:val="16"/>
              </w:rPr>
              <w:t>Всего</w:t>
            </w:r>
          </w:p>
        </w:tc>
        <w:tc>
          <w:tcPr>
            <w:tcW w:w="468" w:type="dxa"/>
            <w:shd w:val="clear" w:color="auto" w:fill="FFFFFF"/>
            <w:textDirection w:val="btLr"/>
            <w:vAlign w:val="center"/>
          </w:tcPr>
          <w:p w:rsidR="00000000" w:rsidRDefault="00000000">
            <w:pPr>
              <w:pStyle w:val="-9"/>
              <w:ind w:left="113" w:right="113"/>
              <w:rPr>
                <w:sz w:val="16"/>
              </w:rPr>
            </w:pPr>
            <w:r>
              <w:rPr>
                <w:sz w:val="16"/>
              </w:rPr>
              <w:t>Кувейтцы</w:t>
            </w:r>
          </w:p>
        </w:tc>
        <w:tc>
          <w:tcPr>
            <w:tcW w:w="468" w:type="dxa"/>
            <w:shd w:val="clear" w:color="auto" w:fill="FFFFFF"/>
            <w:textDirection w:val="btLr"/>
            <w:vAlign w:val="center"/>
          </w:tcPr>
          <w:p w:rsidR="00000000" w:rsidRDefault="00000000">
            <w:pPr>
              <w:pStyle w:val="-9"/>
              <w:ind w:left="113" w:right="113"/>
              <w:rPr>
                <w:sz w:val="16"/>
              </w:rPr>
            </w:pPr>
            <w:r>
              <w:rPr>
                <w:sz w:val="16"/>
              </w:rPr>
              <w:t>Некувейтцы</w:t>
            </w:r>
          </w:p>
        </w:tc>
        <w:tc>
          <w:tcPr>
            <w:tcW w:w="468" w:type="dxa"/>
            <w:shd w:val="clear" w:color="auto" w:fill="FFFFFF"/>
            <w:textDirection w:val="btLr"/>
            <w:vAlign w:val="center"/>
          </w:tcPr>
          <w:p w:rsidR="00000000" w:rsidRDefault="00000000">
            <w:pPr>
              <w:pStyle w:val="-9"/>
              <w:ind w:left="113" w:right="113"/>
              <w:rPr>
                <w:sz w:val="16"/>
              </w:rPr>
            </w:pPr>
            <w:r>
              <w:rPr>
                <w:sz w:val="16"/>
              </w:rPr>
              <w:t>Всего</w:t>
            </w:r>
          </w:p>
        </w:tc>
        <w:tc>
          <w:tcPr>
            <w:tcW w:w="468" w:type="dxa"/>
            <w:shd w:val="clear" w:color="auto" w:fill="FFFFFF"/>
            <w:textDirection w:val="btLr"/>
            <w:vAlign w:val="center"/>
          </w:tcPr>
          <w:p w:rsidR="00000000" w:rsidRDefault="00000000">
            <w:pPr>
              <w:pStyle w:val="-9"/>
              <w:ind w:left="113" w:right="113"/>
              <w:rPr>
                <w:sz w:val="16"/>
              </w:rPr>
            </w:pPr>
            <w:r>
              <w:rPr>
                <w:sz w:val="16"/>
              </w:rPr>
              <w:t>Кувейтцы</w:t>
            </w:r>
          </w:p>
        </w:tc>
        <w:tc>
          <w:tcPr>
            <w:tcW w:w="468" w:type="dxa"/>
            <w:shd w:val="clear" w:color="auto" w:fill="FFFFFF"/>
            <w:textDirection w:val="btLr"/>
            <w:vAlign w:val="center"/>
          </w:tcPr>
          <w:p w:rsidR="00000000" w:rsidRDefault="00000000">
            <w:pPr>
              <w:pStyle w:val="-9"/>
              <w:ind w:left="113" w:right="113"/>
              <w:rPr>
                <w:sz w:val="16"/>
              </w:rPr>
            </w:pPr>
            <w:r>
              <w:rPr>
                <w:sz w:val="16"/>
              </w:rPr>
              <w:t>Некувейтцы</w:t>
            </w:r>
          </w:p>
        </w:tc>
        <w:tc>
          <w:tcPr>
            <w:tcW w:w="468" w:type="dxa"/>
            <w:shd w:val="clear" w:color="auto" w:fill="FFFFFF"/>
            <w:textDirection w:val="btLr"/>
            <w:vAlign w:val="center"/>
          </w:tcPr>
          <w:p w:rsidR="00000000" w:rsidRDefault="00000000">
            <w:pPr>
              <w:pStyle w:val="-9"/>
              <w:ind w:left="113" w:right="113"/>
              <w:rPr>
                <w:sz w:val="16"/>
              </w:rPr>
            </w:pPr>
            <w:r>
              <w:rPr>
                <w:sz w:val="16"/>
              </w:rPr>
              <w:t>Всего</w:t>
            </w:r>
          </w:p>
        </w:tc>
        <w:tc>
          <w:tcPr>
            <w:tcW w:w="468" w:type="dxa"/>
            <w:shd w:val="clear" w:color="auto" w:fill="FFFFFF"/>
            <w:textDirection w:val="btLr"/>
            <w:vAlign w:val="center"/>
          </w:tcPr>
          <w:p w:rsidR="00000000" w:rsidRDefault="00000000">
            <w:pPr>
              <w:pStyle w:val="-9"/>
              <w:ind w:left="113" w:right="113"/>
              <w:rPr>
                <w:sz w:val="16"/>
              </w:rPr>
            </w:pPr>
            <w:r>
              <w:rPr>
                <w:sz w:val="16"/>
              </w:rPr>
              <w:t>Кувейтцы</w:t>
            </w:r>
          </w:p>
        </w:tc>
        <w:tc>
          <w:tcPr>
            <w:tcW w:w="468" w:type="dxa"/>
            <w:shd w:val="clear" w:color="auto" w:fill="FFFFFF"/>
            <w:textDirection w:val="btLr"/>
            <w:vAlign w:val="center"/>
          </w:tcPr>
          <w:p w:rsidR="00000000" w:rsidRDefault="00000000">
            <w:pPr>
              <w:pStyle w:val="-9"/>
              <w:ind w:left="113" w:right="113"/>
              <w:rPr>
                <w:spacing w:val="-2"/>
                <w:sz w:val="16"/>
              </w:rPr>
            </w:pPr>
            <w:r>
              <w:rPr>
                <w:spacing w:val="-2"/>
                <w:sz w:val="16"/>
              </w:rPr>
              <w:t>Некувейтцы</w:t>
            </w:r>
          </w:p>
        </w:tc>
        <w:tc>
          <w:tcPr>
            <w:tcW w:w="468" w:type="dxa"/>
            <w:shd w:val="clear" w:color="auto" w:fill="FFFFFF"/>
            <w:textDirection w:val="btLr"/>
            <w:vAlign w:val="center"/>
          </w:tcPr>
          <w:p w:rsidR="00000000" w:rsidRDefault="00000000">
            <w:pPr>
              <w:pStyle w:val="-9"/>
              <w:ind w:left="113" w:right="113"/>
              <w:rPr>
                <w:sz w:val="16"/>
              </w:rPr>
            </w:pPr>
            <w:r>
              <w:rPr>
                <w:sz w:val="16"/>
              </w:rPr>
              <w:t>Всего</w:t>
            </w:r>
          </w:p>
        </w:tc>
      </w:tr>
      <w:tr w:rsidR="00000000">
        <w:tblPrEx>
          <w:tblCellMar>
            <w:top w:w="0" w:type="dxa"/>
            <w:bottom w:w="0" w:type="dxa"/>
          </w:tblCellMar>
        </w:tblPrEx>
        <w:trPr>
          <w:cantSplit/>
          <w:trHeight w:val="20"/>
          <w:jc w:val="center"/>
        </w:trPr>
        <w:tc>
          <w:tcPr>
            <w:tcW w:w="1236" w:type="dxa"/>
            <w:vMerge w:val="restart"/>
            <w:shd w:val="clear" w:color="auto" w:fill="FFFFFF"/>
          </w:tcPr>
          <w:p w:rsidR="00000000" w:rsidRDefault="00000000">
            <w:pPr>
              <w:pStyle w:val="BodyText"/>
              <w:spacing w:after="0" w:line="240" w:lineRule="auto"/>
              <w:rPr>
                <w:color w:val="000000"/>
                <w:sz w:val="18"/>
              </w:rPr>
            </w:pPr>
            <w:r>
              <w:rPr>
                <w:color w:val="000000"/>
                <w:sz w:val="18"/>
              </w:rPr>
              <w:t>Торговли</w:t>
            </w:r>
          </w:p>
        </w:tc>
        <w:tc>
          <w:tcPr>
            <w:tcW w:w="535" w:type="dxa"/>
            <w:shd w:val="clear" w:color="auto" w:fill="FFFFFF"/>
            <w:vAlign w:val="bottom"/>
          </w:tcPr>
          <w:p w:rsidR="00000000" w:rsidRDefault="00000000">
            <w:pPr>
              <w:pStyle w:val="BodyText"/>
              <w:spacing w:after="0" w:line="240" w:lineRule="auto"/>
              <w:jc w:val="left"/>
              <w:rPr>
                <w:color w:val="000000"/>
                <w:sz w:val="18"/>
              </w:rPr>
            </w:pPr>
            <w:r>
              <w:rPr>
                <w:color w:val="000000"/>
                <w:sz w:val="18"/>
              </w:rPr>
              <w:t>М</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562</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38</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600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355</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411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396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437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74</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75</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76</w:t>
            </w:r>
          </w:p>
        </w:tc>
      </w:tr>
      <w:tr w:rsidR="00000000">
        <w:tblPrEx>
          <w:tblCellMar>
            <w:top w:w="0" w:type="dxa"/>
            <w:bottom w:w="0" w:type="dxa"/>
          </w:tblCellMar>
        </w:tblPrEx>
        <w:trPr>
          <w:cantSplit/>
          <w:trHeight w:val="20"/>
          <w:jc w:val="center"/>
        </w:trPr>
        <w:tc>
          <w:tcPr>
            <w:tcW w:w="1236" w:type="dxa"/>
            <w:vMerge/>
            <w:shd w:val="clear" w:color="auto" w:fill="FFFFFF"/>
          </w:tcPr>
          <w:p w:rsidR="00000000" w:rsidRDefault="00000000">
            <w:pPr>
              <w:pStyle w:val="BodyText"/>
              <w:spacing w:after="0" w:line="240" w:lineRule="auto"/>
              <w:rPr>
                <w:color w:val="000000"/>
                <w:sz w:val="18"/>
              </w:rPr>
            </w:pPr>
          </w:p>
        </w:tc>
        <w:tc>
          <w:tcPr>
            <w:tcW w:w="535" w:type="dxa"/>
            <w:shd w:val="clear" w:color="auto" w:fill="FFFFFF"/>
            <w:vAlign w:val="bottom"/>
          </w:tcPr>
          <w:p w:rsidR="00000000" w:rsidRDefault="00000000">
            <w:pPr>
              <w:pStyle w:val="BodyText"/>
              <w:spacing w:after="0" w:line="240" w:lineRule="auto"/>
              <w:jc w:val="left"/>
              <w:rPr>
                <w:color w:val="000000"/>
                <w:sz w:val="18"/>
              </w:rPr>
            </w:pPr>
            <w:r>
              <w:rPr>
                <w:color w:val="000000"/>
                <w:sz w:val="18"/>
              </w:rPr>
              <w:t>Ж</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603</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635</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364</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29</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393</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406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33</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439</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106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107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87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86</w:t>
            </w:r>
          </w:p>
        </w:tc>
      </w:tr>
      <w:tr w:rsidR="00000000">
        <w:tblPrEx>
          <w:tblCellMar>
            <w:top w:w="0" w:type="dxa"/>
            <w:bottom w:w="0" w:type="dxa"/>
          </w:tblCellMar>
        </w:tblPrEx>
        <w:trPr>
          <w:cantSplit/>
          <w:trHeight w:val="20"/>
          <w:jc w:val="center"/>
        </w:trPr>
        <w:tc>
          <w:tcPr>
            <w:tcW w:w="1236" w:type="dxa"/>
            <w:vMerge/>
            <w:shd w:val="clear" w:color="auto" w:fill="FFFFFF"/>
          </w:tcPr>
          <w:p w:rsidR="00000000" w:rsidRDefault="00000000">
            <w:pPr>
              <w:pStyle w:val="BodyText"/>
              <w:spacing w:after="0" w:line="240" w:lineRule="auto"/>
              <w:rPr>
                <w:color w:val="000000"/>
                <w:sz w:val="18"/>
              </w:rPr>
            </w:pPr>
          </w:p>
        </w:tc>
        <w:tc>
          <w:tcPr>
            <w:tcW w:w="535" w:type="dxa"/>
            <w:shd w:val="clear" w:color="auto" w:fill="FFFFFF"/>
            <w:vAlign w:val="bottom"/>
          </w:tcPr>
          <w:p w:rsidR="00000000" w:rsidRDefault="00000000">
            <w:pPr>
              <w:pStyle w:val="BodyText"/>
              <w:spacing w:after="0" w:line="240" w:lineRule="auto"/>
              <w:jc w:val="left"/>
              <w:rPr>
                <w:color w:val="000000"/>
                <w:sz w:val="18"/>
              </w:rPr>
            </w:pPr>
            <w:r>
              <w:rPr>
                <w:color w:val="000000"/>
                <w:sz w:val="18"/>
              </w:rPr>
              <w:t>Итого</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1165</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1235</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719</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85</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804</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802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74</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876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168</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181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162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163</w:t>
            </w:r>
          </w:p>
        </w:tc>
      </w:tr>
      <w:tr w:rsidR="00000000">
        <w:tblPrEx>
          <w:tblCellMar>
            <w:top w:w="0" w:type="dxa"/>
            <w:bottom w:w="0" w:type="dxa"/>
          </w:tblCellMar>
        </w:tblPrEx>
        <w:trPr>
          <w:cantSplit/>
          <w:trHeight w:val="20"/>
          <w:jc w:val="center"/>
        </w:trPr>
        <w:tc>
          <w:tcPr>
            <w:tcW w:w="1236" w:type="dxa"/>
            <w:vMerge w:val="restart"/>
            <w:shd w:val="clear" w:color="auto" w:fill="FFFFFF"/>
          </w:tcPr>
          <w:p w:rsidR="00000000" w:rsidRDefault="00000000">
            <w:pPr>
              <w:pStyle w:val="BodyText"/>
              <w:spacing w:after="0" w:line="240" w:lineRule="auto"/>
              <w:rPr>
                <w:color w:val="000000"/>
                <w:sz w:val="18"/>
              </w:rPr>
            </w:pPr>
            <w:r>
              <w:rPr>
                <w:color w:val="000000"/>
                <w:sz w:val="18"/>
              </w:rPr>
              <w:t>Права</w:t>
            </w:r>
          </w:p>
        </w:tc>
        <w:tc>
          <w:tcPr>
            <w:tcW w:w="535" w:type="dxa"/>
            <w:shd w:val="clear" w:color="auto" w:fill="FFFFFF"/>
            <w:vAlign w:val="bottom"/>
          </w:tcPr>
          <w:p w:rsidR="00000000" w:rsidRDefault="00000000">
            <w:pPr>
              <w:pStyle w:val="BodyText"/>
              <w:spacing w:after="0" w:line="240" w:lineRule="auto"/>
              <w:jc w:val="left"/>
              <w:rPr>
                <w:color w:val="000000"/>
                <w:sz w:val="18"/>
              </w:rPr>
            </w:pPr>
            <w:r>
              <w:rPr>
                <w:color w:val="000000"/>
                <w:sz w:val="18"/>
              </w:rPr>
              <w:t>М</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151</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153</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96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8</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104</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146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152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140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143</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123</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8</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131</w:t>
            </w:r>
          </w:p>
        </w:tc>
      </w:tr>
      <w:tr w:rsidR="00000000">
        <w:tblPrEx>
          <w:tblCellMar>
            <w:top w:w="0" w:type="dxa"/>
            <w:bottom w:w="0" w:type="dxa"/>
          </w:tblCellMar>
        </w:tblPrEx>
        <w:trPr>
          <w:cantSplit/>
          <w:trHeight w:val="20"/>
          <w:jc w:val="center"/>
        </w:trPr>
        <w:tc>
          <w:tcPr>
            <w:tcW w:w="1236" w:type="dxa"/>
            <w:vMerge/>
            <w:shd w:val="clear" w:color="auto" w:fill="FFFFFF"/>
          </w:tcPr>
          <w:p w:rsidR="00000000" w:rsidRDefault="00000000">
            <w:pPr>
              <w:pStyle w:val="BodyText"/>
              <w:spacing w:after="0" w:line="240" w:lineRule="auto"/>
              <w:rPr>
                <w:color w:val="000000"/>
                <w:sz w:val="18"/>
              </w:rPr>
            </w:pPr>
          </w:p>
        </w:tc>
        <w:tc>
          <w:tcPr>
            <w:tcW w:w="535" w:type="dxa"/>
            <w:shd w:val="clear" w:color="auto" w:fill="FFFFFF"/>
            <w:vAlign w:val="bottom"/>
          </w:tcPr>
          <w:p w:rsidR="00000000" w:rsidRDefault="00000000">
            <w:pPr>
              <w:pStyle w:val="BodyText"/>
              <w:spacing w:after="0" w:line="240" w:lineRule="auto"/>
              <w:jc w:val="left"/>
              <w:rPr>
                <w:color w:val="000000"/>
                <w:sz w:val="18"/>
              </w:rPr>
            </w:pPr>
            <w:r>
              <w:rPr>
                <w:color w:val="000000"/>
                <w:sz w:val="18"/>
              </w:rPr>
              <w:t>Ж</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136</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141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86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93</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87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94</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156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8</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164</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149</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9</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158</w:t>
            </w:r>
          </w:p>
        </w:tc>
      </w:tr>
      <w:tr w:rsidR="00000000">
        <w:tblPrEx>
          <w:tblCellMar>
            <w:top w:w="0" w:type="dxa"/>
            <w:bottom w:w="0" w:type="dxa"/>
          </w:tblCellMar>
        </w:tblPrEx>
        <w:trPr>
          <w:cantSplit/>
          <w:trHeight w:val="20"/>
          <w:jc w:val="center"/>
        </w:trPr>
        <w:tc>
          <w:tcPr>
            <w:tcW w:w="1236" w:type="dxa"/>
            <w:vMerge/>
            <w:shd w:val="clear" w:color="auto" w:fill="FFFFFF"/>
          </w:tcPr>
          <w:p w:rsidR="00000000" w:rsidRDefault="00000000">
            <w:pPr>
              <w:pStyle w:val="BodyText"/>
              <w:spacing w:after="0" w:line="240" w:lineRule="auto"/>
              <w:rPr>
                <w:color w:val="000000"/>
                <w:sz w:val="18"/>
              </w:rPr>
            </w:pPr>
          </w:p>
        </w:tc>
        <w:tc>
          <w:tcPr>
            <w:tcW w:w="535" w:type="dxa"/>
            <w:shd w:val="clear" w:color="auto" w:fill="FFFFFF"/>
            <w:vAlign w:val="bottom"/>
          </w:tcPr>
          <w:p w:rsidR="00000000" w:rsidRDefault="00000000">
            <w:pPr>
              <w:pStyle w:val="BodyText"/>
              <w:spacing w:after="0" w:line="240" w:lineRule="auto"/>
              <w:jc w:val="left"/>
              <w:rPr>
                <w:color w:val="000000"/>
                <w:sz w:val="18"/>
              </w:rPr>
            </w:pPr>
            <w:r>
              <w:rPr>
                <w:color w:val="000000"/>
                <w:sz w:val="18"/>
              </w:rPr>
              <w:t>Итого</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287</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294</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182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15</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197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233</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13</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246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296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307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272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239</w:t>
            </w:r>
          </w:p>
        </w:tc>
      </w:tr>
      <w:tr w:rsidR="00000000">
        <w:tblPrEx>
          <w:tblCellMar>
            <w:top w:w="0" w:type="dxa"/>
            <w:bottom w:w="0" w:type="dxa"/>
          </w:tblCellMar>
        </w:tblPrEx>
        <w:trPr>
          <w:cantSplit/>
          <w:trHeight w:val="20"/>
          <w:jc w:val="center"/>
        </w:trPr>
        <w:tc>
          <w:tcPr>
            <w:tcW w:w="1236" w:type="dxa"/>
            <w:vMerge w:val="restart"/>
            <w:shd w:val="clear" w:color="auto" w:fill="FFFFFF"/>
          </w:tcPr>
          <w:p w:rsidR="00000000" w:rsidRDefault="00000000">
            <w:pPr>
              <w:pStyle w:val="BodyText"/>
              <w:spacing w:after="0" w:line="240" w:lineRule="auto"/>
              <w:rPr>
                <w:color w:val="000000"/>
                <w:sz w:val="18"/>
              </w:rPr>
            </w:pPr>
            <w:r>
              <w:rPr>
                <w:color w:val="000000"/>
                <w:sz w:val="18"/>
              </w:rPr>
              <w:t>Гуманитарных наук</w:t>
            </w:r>
          </w:p>
        </w:tc>
        <w:tc>
          <w:tcPr>
            <w:tcW w:w="535" w:type="dxa"/>
            <w:shd w:val="clear" w:color="auto" w:fill="FFFFFF"/>
            <w:vAlign w:val="bottom"/>
          </w:tcPr>
          <w:p w:rsidR="00000000" w:rsidRDefault="00000000">
            <w:pPr>
              <w:pStyle w:val="BodyText"/>
              <w:spacing w:after="0" w:line="240" w:lineRule="auto"/>
              <w:jc w:val="left"/>
              <w:rPr>
                <w:color w:val="000000"/>
                <w:sz w:val="18"/>
              </w:rPr>
            </w:pPr>
            <w:r>
              <w:rPr>
                <w:color w:val="000000"/>
                <w:sz w:val="18"/>
              </w:rPr>
              <w:t>М</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198</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215</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134</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161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122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149</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187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24</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211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166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192</w:t>
            </w:r>
          </w:p>
        </w:tc>
      </w:tr>
      <w:tr w:rsidR="00000000">
        <w:tblPrEx>
          <w:tblCellMar>
            <w:top w:w="0" w:type="dxa"/>
            <w:bottom w:w="0" w:type="dxa"/>
          </w:tblCellMar>
        </w:tblPrEx>
        <w:trPr>
          <w:cantSplit/>
          <w:trHeight w:val="20"/>
          <w:jc w:val="center"/>
        </w:trPr>
        <w:tc>
          <w:tcPr>
            <w:tcW w:w="1236" w:type="dxa"/>
            <w:vMerge/>
            <w:shd w:val="clear" w:color="auto" w:fill="FFFFFF"/>
          </w:tcPr>
          <w:p w:rsidR="00000000" w:rsidRDefault="00000000">
            <w:pPr>
              <w:pStyle w:val="BodyText"/>
              <w:spacing w:after="0" w:line="240" w:lineRule="auto"/>
              <w:rPr>
                <w:color w:val="000000"/>
                <w:sz w:val="18"/>
              </w:rPr>
            </w:pPr>
          </w:p>
        </w:tc>
        <w:tc>
          <w:tcPr>
            <w:tcW w:w="535" w:type="dxa"/>
            <w:shd w:val="clear" w:color="auto" w:fill="FFFFFF"/>
            <w:vAlign w:val="bottom"/>
          </w:tcPr>
          <w:p w:rsidR="00000000" w:rsidRDefault="00000000">
            <w:pPr>
              <w:pStyle w:val="BodyText"/>
              <w:spacing w:after="0" w:line="240" w:lineRule="auto"/>
              <w:jc w:val="left"/>
              <w:rPr>
                <w:color w:val="000000"/>
                <w:sz w:val="18"/>
              </w:rPr>
            </w:pPr>
            <w:r>
              <w:rPr>
                <w:color w:val="000000"/>
                <w:sz w:val="18"/>
              </w:rPr>
              <w:t>Ж</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732</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788</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527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54</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572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542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28</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570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535</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575</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516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38</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554</w:t>
            </w:r>
          </w:p>
        </w:tc>
      </w:tr>
      <w:tr w:rsidR="00000000">
        <w:tblPrEx>
          <w:tblCellMar>
            <w:top w:w="0" w:type="dxa"/>
            <w:bottom w:w="0" w:type="dxa"/>
          </w:tblCellMar>
        </w:tblPrEx>
        <w:trPr>
          <w:cantSplit/>
          <w:trHeight w:val="20"/>
          <w:jc w:val="center"/>
        </w:trPr>
        <w:tc>
          <w:tcPr>
            <w:tcW w:w="1236" w:type="dxa"/>
            <w:vMerge/>
            <w:shd w:val="clear" w:color="auto" w:fill="FFFFFF"/>
          </w:tcPr>
          <w:p w:rsidR="00000000" w:rsidRDefault="00000000">
            <w:pPr>
              <w:pStyle w:val="BodyText"/>
              <w:spacing w:after="0" w:line="240" w:lineRule="auto"/>
              <w:rPr>
                <w:color w:val="000000"/>
                <w:sz w:val="18"/>
              </w:rPr>
            </w:pPr>
          </w:p>
        </w:tc>
        <w:tc>
          <w:tcPr>
            <w:tcW w:w="535" w:type="dxa"/>
            <w:shd w:val="clear" w:color="auto" w:fill="FFFFFF"/>
            <w:vAlign w:val="bottom"/>
          </w:tcPr>
          <w:p w:rsidR="00000000" w:rsidRDefault="00000000">
            <w:pPr>
              <w:pStyle w:val="BodyText"/>
              <w:spacing w:after="0" w:line="240" w:lineRule="auto"/>
              <w:jc w:val="left"/>
              <w:rPr>
                <w:color w:val="000000"/>
                <w:sz w:val="18"/>
              </w:rPr>
            </w:pPr>
            <w:r>
              <w:rPr>
                <w:color w:val="000000"/>
                <w:sz w:val="18"/>
              </w:rPr>
              <w:t>Итого</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930</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1003</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616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733</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664</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55</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719</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722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64</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786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682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64</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746</w:t>
            </w:r>
          </w:p>
        </w:tc>
      </w:tr>
      <w:tr w:rsidR="00000000">
        <w:tblPrEx>
          <w:tblCellMar>
            <w:top w:w="0" w:type="dxa"/>
            <w:bottom w:w="0" w:type="dxa"/>
          </w:tblCellMar>
        </w:tblPrEx>
        <w:trPr>
          <w:cantSplit/>
          <w:trHeight w:val="20"/>
          <w:jc w:val="center"/>
        </w:trPr>
        <w:tc>
          <w:tcPr>
            <w:tcW w:w="1236" w:type="dxa"/>
            <w:vMerge w:val="restart"/>
            <w:shd w:val="clear" w:color="auto" w:fill="FFFFFF"/>
          </w:tcPr>
          <w:p w:rsidR="00000000" w:rsidRDefault="00000000">
            <w:pPr>
              <w:pStyle w:val="BodyText"/>
              <w:spacing w:after="0" w:line="240" w:lineRule="auto"/>
              <w:rPr>
                <w:color w:val="000000"/>
                <w:sz w:val="18"/>
              </w:rPr>
            </w:pPr>
            <w:r>
              <w:rPr>
                <w:color w:val="000000"/>
                <w:sz w:val="18"/>
              </w:rPr>
              <w:t>Естественных наук</w:t>
            </w:r>
          </w:p>
        </w:tc>
        <w:tc>
          <w:tcPr>
            <w:tcW w:w="535" w:type="dxa"/>
            <w:shd w:val="clear" w:color="auto" w:fill="FFFFFF"/>
            <w:vAlign w:val="bottom"/>
          </w:tcPr>
          <w:p w:rsidR="00000000" w:rsidRDefault="00000000">
            <w:pPr>
              <w:pStyle w:val="BodyText"/>
              <w:spacing w:after="0" w:line="240" w:lineRule="auto"/>
              <w:jc w:val="left"/>
              <w:rPr>
                <w:color w:val="000000"/>
                <w:sz w:val="18"/>
              </w:rPr>
            </w:pPr>
            <w:r>
              <w:rPr>
                <w:color w:val="000000"/>
                <w:sz w:val="18"/>
              </w:rPr>
              <w:t>М</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252</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292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157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197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214</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270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183</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225</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197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45</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242</w:t>
            </w:r>
          </w:p>
        </w:tc>
      </w:tr>
      <w:tr w:rsidR="00000000">
        <w:tblPrEx>
          <w:tblCellMar>
            <w:top w:w="0" w:type="dxa"/>
            <w:bottom w:w="0" w:type="dxa"/>
          </w:tblCellMar>
        </w:tblPrEx>
        <w:trPr>
          <w:cantSplit/>
          <w:trHeight w:val="20"/>
          <w:jc w:val="center"/>
        </w:trPr>
        <w:tc>
          <w:tcPr>
            <w:tcW w:w="1236" w:type="dxa"/>
            <w:vMerge/>
            <w:shd w:val="clear" w:color="auto" w:fill="FFFFFF"/>
          </w:tcPr>
          <w:p w:rsidR="00000000" w:rsidRDefault="00000000">
            <w:pPr>
              <w:pStyle w:val="BodyText"/>
              <w:spacing w:after="0" w:line="240" w:lineRule="auto"/>
              <w:rPr>
                <w:color w:val="000000"/>
                <w:sz w:val="18"/>
              </w:rPr>
            </w:pPr>
          </w:p>
        </w:tc>
        <w:tc>
          <w:tcPr>
            <w:tcW w:w="535" w:type="dxa"/>
            <w:shd w:val="clear" w:color="auto" w:fill="FFFFFF"/>
            <w:vAlign w:val="bottom"/>
          </w:tcPr>
          <w:p w:rsidR="00000000" w:rsidRDefault="00000000">
            <w:pPr>
              <w:pStyle w:val="BodyText"/>
              <w:spacing w:after="0" w:line="240" w:lineRule="auto"/>
              <w:jc w:val="left"/>
              <w:rPr>
                <w:color w:val="000000"/>
                <w:sz w:val="18"/>
              </w:rPr>
            </w:pPr>
            <w:r>
              <w:rPr>
                <w:color w:val="000000"/>
                <w:sz w:val="18"/>
              </w:rPr>
              <w:t>Ж</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350</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74</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424</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371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54</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425</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394</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44</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438</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423</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493</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487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88</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575</w:t>
            </w:r>
          </w:p>
        </w:tc>
      </w:tr>
      <w:tr w:rsidR="00000000">
        <w:tblPrEx>
          <w:tblCellMar>
            <w:top w:w="0" w:type="dxa"/>
            <w:bottom w:w="0" w:type="dxa"/>
          </w:tblCellMar>
        </w:tblPrEx>
        <w:trPr>
          <w:cantSplit/>
          <w:trHeight w:val="20"/>
          <w:jc w:val="center"/>
        </w:trPr>
        <w:tc>
          <w:tcPr>
            <w:tcW w:w="1236" w:type="dxa"/>
            <w:vMerge/>
            <w:shd w:val="clear" w:color="auto" w:fill="FFFFFF"/>
          </w:tcPr>
          <w:p w:rsidR="00000000" w:rsidRDefault="00000000">
            <w:pPr>
              <w:pStyle w:val="BodyText"/>
              <w:spacing w:after="0" w:line="240" w:lineRule="auto"/>
              <w:rPr>
                <w:color w:val="000000"/>
                <w:sz w:val="18"/>
              </w:rPr>
            </w:pPr>
          </w:p>
        </w:tc>
        <w:tc>
          <w:tcPr>
            <w:tcW w:w="535" w:type="dxa"/>
            <w:shd w:val="clear" w:color="auto" w:fill="FFFFFF"/>
            <w:vAlign w:val="bottom"/>
          </w:tcPr>
          <w:p w:rsidR="00000000" w:rsidRDefault="00000000">
            <w:pPr>
              <w:pStyle w:val="BodyText"/>
              <w:spacing w:after="0" w:line="240" w:lineRule="auto"/>
              <w:jc w:val="left"/>
              <w:rPr>
                <w:color w:val="000000"/>
                <w:sz w:val="18"/>
              </w:rPr>
            </w:pPr>
            <w:r>
              <w:rPr>
                <w:color w:val="000000"/>
                <w:sz w:val="18"/>
              </w:rPr>
              <w:t>Итого</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602</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114</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716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528</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94</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622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608</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100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708</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606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112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718</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684</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133</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817</w:t>
            </w:r>
          </w:p>
        </w:tc>
      </w:tr>
      <w:tr w:rsidR="00000000">
        <w:tblPrEx>
          <w:tblCellMar>
            <w:top w:w="0" w:type="dxa"/>
            <w:bottom w:w="0" w:type="dxa"/>
          </w:tblCellMar>
        </w:tblPrEx>
        <w:trPr>
          <w:cantSplit/>
          <w:trHeight w:val="20"/>
          <w:jc w:val="center"/>
        </w:trPr>
        <w:tc>
          <w:tcPr>
            <w:tcW w:w="1236" w:type="dxa"/>
            <w:vMerge w:val="restart"/>
            <w:shd w:val="clear" w:color="auto" w:fill="FFFFFF"/>
          </w:tcPr>
          <w:p w:rsidR="00000000" w:rsidRDefault="00000000">
            <w:pPr>
              <w:pStyle w:val="BodyText"/>
              <w:spacing w:after="0" w:line="240" w:lineRule="auto"/>
              <w:rPr>
                <w:color w:val="000000"/>
                <w:sz w:val="18"/>
              </w:rPr>
            </w:pPr>
            <w:r>
              <w:rPr>
                <w:color w:val="000000"/>
                <w:sz w:val="18"/>
              </w:rPr>
              <w:t>Медицины</w:t>
            </w:r>
          </w:p>
        </w:tc>
        <w:tc>
          <w:tcPr>
            <w:tcW w:w="535" w:type="dxa"/>
            <w:shd w:val="clear" w:color="auto" w:fill="FFFFFF"/>
            <w:vAlign w:val="bottom"/>
          </w:tcPr>
          <w:p w:rsidR="00000000" w:rsidRDefault="00000000">
            <w:pPr>
              <w:pStyle w:val="BodyText"/>
              <w:spacing w:after="0" w:line="240" w:lineRule="auto"/>
              <w:jc w:val="left"/>
              <w:rPr>
                <w:color w:val="000000"/>
                <w:sz w:val="18"/>
              </w:rPr>
            </w:pPr>
            <w:r>
              <w:rPr>
                <w:color w:val="000000"/>
                <w:sz w:val="18"/>
              </w:rPr>
              <w:t>М</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37</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38</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38</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40</w:t>
            </w:r>
          </w:p>
        </w:tc>
      </w:tr>
      <w:tr w:rsidR="00000000">
        <w:tblPrEx>
          <w:tblCellMar>
            <w:top w:w="0" w:type="dxa"/>
            <w:bottom w:w="0" w:type="dxa"/>
          </w:tblCellMar>
        </w:tblPrEx>
        <w:trPr>
          <w:cantSplit/>
          <w:trHeight w:val="20"/>
          <w:jc w:val="center"/>
        </w:trPr>
        <w:tc>
          <w:tcPr>
            <w:tcW w:w="1236" w:type="dxa"/>
            <w:vMerge/>
            <w:shd w:val="clear" w:color="auto" w:fill="FFFFFF"/>
          </w:tcPr>
          <w:p w:rsidR="00000000" w:rsidRDefault="00000000">
            <w:pPr>
              <w:pStyle w:val="BodyText"/>
              <w:spacing w:after="0" w:line="240" w:lineRule="auto"/>
              <w:rPr>
                <w:color w:val="000000"/>
                <w:sz w:val="18"/>
              </w:rPr>
            </w:pPr>
          </w:p>
        </w:tc>
        <w:tc>
          <w:tcPr>
            <w:tcW w:w="535" w:type="dxa"/>
            <w:shd w:val="clear" w:color="auto" w:fill="FFFFFF"/>
            <w:vAlign w:val="bottom"/>
          </w:tcPr>
          <w:p w:rsidR="00000000" w:rsidRDefault="00000000">
            <w:pPr>
              <w:pStyle w:val="BodyText"/>
              <w:spacing w:after="0" w:line="240" w:lineRule="auto"/>
              <w:jc w:val="left"/>
              <w:rPr>
                <w:color w:val="000000"/>
                <w:sz w:val="18"/>
              </w:rPr>
            </w:pPr>
            <w:r>
              <w:rPr>
                <w:color w:val="000000"/>
                <w:sz w:val="18"/>
              </w:rPr>
              <w:t>Ж</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41</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43</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39</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43</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57</w:t>
            </w:r>
          </w:p>
        </w:tc>
      </w:tr>
      <w:tr w:rsidR="00000000">
        <w:tblPrEx>
          <w:tblCellMar>
            <w:top w:w="0" w:type="dxa"/>
            <w:bottom w:w="0" w:type="dxa"/>
          </w:tblCellMar>
        </w:tblPrEx>
        <w:trPr>
          <w:cantSplit/>
          <w:trHeight w:val="20"/>
          <w:jc w:val="center"/>
        </w:trPr>
        <w:tc>
          <w:tcPr>
            <w:tcW w:w="1236" w:type="dxa"/>
            <w:vMerge/>
            <w:shd w:val="clear" w:color="auto" w:fill="FFFFFF"/>
          </w:tcPr>
          <w:p w:rsidR="00000000" w:rsidRDefault="00000000">
            <w:pPr>
              <w:pStyle w:val="BodyText"/>
              <w:spacing w:after="0" w:line="240" w:lineRule="auto"/>
              <w:rPr>
                <w:color w:val="000000"/>
                <w:sz w:val="18"/>
              </w:rPr>
            </w:pPr>
          </w:p>
        </w:tc>
        <w:tc>
          <w:tcPr>
            <w:tcW w:w="535" w:type="dxa"/>
            <w:shd w:val="clear" w:color="auto" w:fill="FFFFFF"/>
            <w:vAlign w:val="bottom"/>
          </w:tcPr>
          <w:p w:rsidR="00000000" w:rsidRDefault="00000000">
            <w:pPr>
              <w:pStyle w:val="BodyText"/>
              <w:spacing w:after="0" w:line="240" w:lineRule="auto"/>
              <w:jc w:val="left"/>
              <w:rPr>
                <w:color w:val="000000"/>
                <w:sz w:val="18"/>
              </w:rPr>
            </w:pPr>
            <w:r>
              <w:rPr>
                <w:color w:val="000000"/>
                <w:sz w:val="18"/>
              </w:rPr>
              <w:t>Итого</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78</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81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81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82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85</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94</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97</w:t>
            </w:r>
          </w:p>
        </w:tc>
      </w:tr>
      <w:tr w:rsidR="00000000">
        <w:tblPrEx>
          <w:tblCellMar>
            <w:top w:w="0" w:type="dxa"/>
            <w:bottom w:w="0" w:type="dxa"/>
          </w:tblCellMar>
        </w:tblPrEx>
        <w:trPr>
          <w:cantSplit/>
          <w:trHeight w:val="20"/>
          <w:jc w:val="center"/>
        </w:trPr>
        <w:tc>
          <w:tcPr>
            <w:tcW w:w="1236" w:type="dxa"/>
            <w:vMerge w:val="restart"/>
            <w:shd w:val="clear" w:color="auto" w:fill="FFFFFF"/>
          </w:tcPr>
          <w:p w:rsidR="00000000" w:rsidRDefault="00000000">
            <w:pPr>
              <w:pStyle w:val="BodyText"/>
              <w:spacing w:after="0" w:line="240" w:lineRule="auto"/>
              <w:rPr>
                <w:color w:val="000000"/>
                <w:sz w:val="18"/>
              </w:rPr>
            </w:pPr>
            <w:r>
              <w:rPr>
                <w:color w:val="000000"/>
                <w:sz w:val="18"/>
              </w:rPr>
              <w:t>Инженерный</w:t>
            </w:r>
          </w:p>
        </w:tc>
        <w:tc>
          <w:tcPr>
            <w:tcW w:w="535" w:type="dxa"/>
            <w:shd w:val="clear" w:color="auto" w:fill="FFFFFF"/>
            <w:vAlign w:val="bottom"/>
          </w:tcPr>
          <w:p w:rsidR="00000000" w:rsidRDefault="00000000">
            <w:pPr>
              <w:pStyle w:val="BodyText"/>
              <w:spacing w:after="0" w:line="240" w:lineRule="auto"/>
              <w:jc w:val="left"/>
              <w:rPr>
                <w:color w:val="000000"/>
                <w:sz w:val="18"/>
              </w:rPr>
            </w:pPr>
            <w:r>
              <w:rPr>
                <w:color w:val="000000"/>
                <w:sz w:val="18"/>
              </w:rPr>
              <w:t>М</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426</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69</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495</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324</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74</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398</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336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15</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351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326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348</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362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384</w:t>
            </w:r>
          </w:p>
        </w:tc>
      </w:tr>
      <w:tr w:rsidR="00000000">
        <w:tblPrEx>
          <w:tblCellMar>
            <w:top w:w="0" w:type="dxa"/>
            <w:bottom w:w="0" w:type="dxa"/>
          </w:tblCellMar>
        </w:tblPrEx>
        <w:trPr>
          <w:cantSplit/>
          <w:trHeight w:val="20"/>
          <w:jc w:val="center"/>
        </w:trPr>
        <w:tc>
          <w:tcPr>
            <w:tcW w:w="1236" w:type="dxa"/>
            <w:vMerge/>
            <w:shd w:val="clear" w:color="auto" w:fill="FFFFFF"/>
          </w:tcPr>
          <w:p w:rsidR="00000000" w:rsidRDefault="00000000">
            <w:pPr>
              <w:pStyle w:val="BodyText"/>
              <w:spacing w:after="0" w:line="240" w:lineRule="auto"/>
              <w:rPr>
                <w:color w:val="000000"/>
                <w:sz w:val="18"/>
              </w:rPr>
            </w:pPr>
          </w:p>
        </w:tc>
        <w:tc>
          <w:tcPr>
            <w:tcW w:w="535" w:type="dxa"/>
            <w:shd w:val="clear" w:color="auto" w:fill="FFFFFF"/>
            <w:vAlign w:val="bottom"/>
          </w:tcPr>
          <w:p w:rsidR="00000000" w:rsidRDefault="00000000">
            <w:pPr>
              <w:pStyle w:val="BodyText"/>
              <w:spacing w:after="0" w:line="240" w:lineRule="auto"/>
              <w:jc w:val="left"/>
              <w:rPr>
                <w:color w:val="000000"/>
                <w:sz w:val="18"/>
              </w:rPr>
            </w:pPr>
            <w:r>
              <w:rPr>
                <w:color w:val="000000"/>
                <w:sz w:val="18"/>
              </w:rPr>
              <w:t>Ж</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256</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18</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274</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186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18</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204</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169</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179</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204</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211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185</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197</w:t>
            </w:r>
          </w:p>
        </w:tc>
      </w:tr>
      <w:tr w:rsidR="00000000">
        <w:tblPrEx>
          <w:tblCellMar>
            <w:top w:w="0" w:type="dxa"/>
            <w:bottom w:w="0" w:type="dxa"/>
          </w:tblCellMar>
        </w:tblPrEx>
        <w:trPr>
          <w:cantSplit/>
          <w:trHeight w:val="20"/>
          <w:jc w:val="center"/>
        </w:trPr>
        <w:tc>
          <w:tcPr>
            <w:tcW w:w="1236" w:type="dxa"/>
            <w:vMerge/>
            <w:shd w:val="clear" w:color="auto" w:fill="FFFFFF"/>
          </w:tcPr>
          <w:p w:rsidR="00000000" w:rsidRDefault="00000000">
            <w:pPr>
              <w:pStyle w:val="BodyText"/>
              <w:spacing w:after="0" w:line="240" w:lineRule="auto"/>
              <w:rPr>
                <w:color w:val="000000"/>
                <w:sz w:val="18"/>
              </w:rPr>
            </w:pPr>
          </w:p>
        </w:tc>
        <w:tc>
          <w:tcPr>
            <w:tcW w:w="535" w:type="dxa"/>
            <w:shd w:val="clear" w:color="auto" w:fill="FFFFFF"/>
            <w:vAlign w:val="bottom"/>
          </w:tcPr>
          <w:p w:rsidR="00000000" w:rsidRDefault="00000000">
            <w:pPr>
              <w:pStyle w:val="BodyText"/>
              <w:spacing w:after="0" w:line="240" w:lineRule="auto"/>
              <w:jc w:val="left"/>
              <w:rPr>
                <w:color w:val="000000"/>
                <w:sz w:val="18"/>
              </w:rPr>
            </w:pPr>
            <w:r>
              <w:rPr>
                <w:color w:val="000000"/>
                <w:sz w:val="18"/>
              </w:rPr>
              <w:t>Итого</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682</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87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769</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510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92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602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505</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25</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530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530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29</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559</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547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34</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581</w:t>
            </w:r>
          </w:p>
        </w:tc>
      </w:tr>
      <w:tr w:rsidR="00000000">
        <w:tblPrEx>
          <w:tblCellMar>
            <w:top w:w="0" w:type="dxa"/>
            <w:bottom w:w="0" w:type="dxa"/>
          </w:tblCellMar>
        </w:tblPrEx>
        <w:trPr>
          <w:cantSplit/>
          <w:trHeight w:val="20"/>
          <w:jc w:val="center"/>
        </w:trPr>
        <w:tc>
          <w:tcPr>
            <w:tcW w:w="1236" w:type="dxa"/>
            <w:vMerge w:val="restart"/>
            <w:shd w:val="clear" w:color="auto" w:fill="FFFFFF"/>
          </w:tcPr>
          <w:p w:rsidR="00000000" w:rsidRDefault="00000000">
            <w:pPr>
              <w:pStyle w:val="BodyText"/>
              <w:spacing w:after="0" w:line="240" w:lineRule="auto"/>
              <w:rPr>
                <w:color w:val="000000"/>
                <w:sz w:val="18"/>
              </w:rPr>
            </w:pPr>
            <w:r>
              <w:rPr>
                <w:color w:val="000000"/>
                <w:sz w:val="18"/>
              </w:rPr>
              <w:t>Вспомогатель-ных медицин-ских наук</w:t>
            </w:r>
          </w:p>
        </w:tc>
        <w:tc>
          <w:tcPr>
            <w:tcW w:w="535" w:type="dxa"/>
            <w:shd w:val="clear" w:color="auto" w:fill="FFFFFF"/>
            <w:vAlign w:val="bottom"/>
          </w:tcPr>
          <w:p w:rsidR="00000000" w:rsidRDefault="00000000">
            <w:pPr>
              <w:pStyle w:val="BodyText"/>
              <w:spacing w:after="0" w:line="240" w:lineRule="auto"/>
              <w:jc w:val="left"/>
              <w:rPr>
                <w:color w:val="000000"/>
                <w:sz w:val="18"/>
                <w:lang w:val="en-US"/>
              </w:rPr>
            </w:pPr>
            <w:r>
              <w:rPr>
                <w:color w:val="000000"/>
                <w:sz w:val="18"/>
              </w:rPr>
              <w:t>М</w:t>
            </w:r>
          </w:p>
        </w:tc>
        <w:tc>
          <w:tcPr>
            <w:tcW w:w="467" w:type="dxa"/>
            <w:shd w:val="clear" w:color="auto" w:fill="FFFFFF"/>
            <w:vAlign w:val="bottom"/>
          </w:tcPr>
          <w:p w:rsidR="00000000" w:rsidRDefault="00000000">
            <w:pPr>
              <w:pStyle w:val="BodyText"/>
              <w:spacing w:after="0" w:line="240" w:lineRule="auto"/>
              <w:jc w:val="right"/>
              <w:rPr>
                <w:color w:val="000000"/>
                <w:sz w:val="18"/>
                <w:lang w:val="en-US"/>
              </w:rPr>
            </w:pPr>
            <w:r>
              <w:rPr>
                <w:color w:val="000000"/>
                <w:sz w:val="18"/>
                <w:lang w:val="en-US"/>
              </w:rPr>
              <w:t>10</w:t>
            </w:r>
          </w:p>
        </w:tc>
        <w:tc>
          <w:tcPr>
            <w:tcW w:w="467" w:type="dxa"/>
            <w:shd w:val="clear" w:color="auto" w:fill="FFFFFF"/>
            <w:vAlign w:val="bottom"/>
          </w:tcPr>
          <w:p w:rsidR="00000000" w:rsidRDefault="00000000">
            <w:pPr>
              <w:pStyle w:val="BodyText"/>
              <w:spacing w:after="0" w:line="240" w:lineRule="auto"/>
              <w:jc w:val="right"/>
              <w:rPr>
                <w:color w:val="000000"/>
                <w:sz w:val="18"/>
                <w:lang w:val="en-US"/>
              </w:rPr>
            </w:pPr>
            <w:r>
              <w:rPr>
                <w:color w:val="000000"/>
                <w:sz w:val="18"/>
                <w:lang w:val="en-US"/>
              </w:rPr>
              <w:t>6</w:t>
            </w:r>
          </w:p>
        </w:tc>
        <w:tc>
          <w:tcPr>
            <w:tcW w:w="468" w:type="dxa"/>
            <w:shd w:val="clear" w:color="auto" w:fill="FFFFFF"/>
            <w:vAlign w:val="bottom"/>
          </w:tcPr>
          <w:p w:rsidR="00000000" w:rsidRDefault="00000000">
            <w:pPr>
              <w:pStyle w:val="BodyText"/>
              <w:spacing w:after="0" w:line="240" w:lineRule="auto"/>
              <w:jc w:val="right"/>
              <w:rPr>
                <w:color w:val="000000"/>
                <w:sz w:val="18"/>
                <w:lang w:val="en-US"/>
              </w:rPr>
            </w:pPr>
            <w:r>
              <w:rPr>
                <w:color w:val="000000"/>
                <w:sz w:val="18"/>
                <w:lang w:val="en-US"/>
              </w:rPr>
              <w:t>16</w:t>
            </w:r>
          </w:p>
        </w:tc>
        <w:tc>
          <w:tcPr>
            <w:tcW w:w="468" w:type="dxa"/>
            <w:shd w:val="clear" w:color="auto" w:fill="FFFFFF"/>
            <w:vAlign w:val="bottom"/>
          </w:tcPr>
          <w:p w:rsidR="00000000" w:rsidRDefault="00000000">
            <w:pPr>
              <w:pStyle w:val="BodyText"/>
              <w:spacing w:after="0" w:line="240" w:lineRule="auto"/>
              <w:jc w:val="right"/>
              <w:rPr>
                <w:color w:val="000000"/>
                <w:sz w:val="18"/>
                <w:lang w:val="en-US"/>
              </w:rPr>
            </w:pPr>
            <w:r>
              <w:rPr>
                <w:color w:val="000000"/>
                <w:sz w:val="18"/>
                <w:lang w:val="en-US"/>
              </w:rPr>
              <w:t>5</w:t>
            </w:r>
          </w:p>
        </w:tc>
        <w:tc>
          <w:tcPr>
            <w:tcW w:w="468" w:type="dxa"/>
            <w:shd w:val="clear" w:color="auto" w:fill="FFFFFF"/>
            <w:vAlign w:val="bottom"/>
          </w:tcPr>
          <w:p w:rsidR="00000000" w:rsidRDefault="00000000">
            <w:pPr>
              <w:pStyle w:val="BodyText"/>
              <w:spacing w:after="0" w:line="240" w:lineRule="auto"/>
              <w:jc w:val="right"/>
              <w:rPr>
                <w:color w:val="000000"/>
                <w:sz w:val="18"/>
                <w:lang w:val="en-US"/>
              </w:rPr>
            </w:pPr>
            <w:r>
              <w:rPr>
                <w:color w:val="000000"/>
                <w:sz w:val="18"/>
                <w:lang w:val="en-US"/>
              </w:rPr>
              <w:t>4</w:t>
            </w:r>
          </w:p>
        </w:tc>
        <w:tc>
          <w:tcPr>
            <w:tcW w:w="468" w:type="dxa"/>
            <w:shd w:val="clear" w:color="auto" w:fill="FFFFFF"/>
            <w:vAlign w:val="bottom"/>
          </w:tcPr>
          <w:p w:rsidR="00000000" w:rsidRDefault="00000000">
            <w:pPr>
              <w:pStyle w:val="BodyText"/>
              <w:spacing w:after="0" w:line="240" w:lineRule="auto"/>
              <w:jc w:val="right"/>
              <w:rPr>
                <w:color w:val="000000"/>
                <w:sz w:val="18"/>
                <w:lang w:val="en-US"/>
              </w:rPr>
            </w:pPr>
            <w:r>
              <w:rPr>
                <w:color w:val="000000"/>
                <w:sz w:val="18"/>
                <w:lang w:val="en-US"/>
              </w:rPr>
              <w:t>9</w:t>
            </w:r>
          </w:p>
        </w:tc>
        <w:tc>
          <w:tcPr>
            <w:tcW w:w="468" w:type="dxa"/>
            <w:shd w:val="clear" w:color="auto" w:fill="FFFFFF"/>
            <w:vAlign w:val="bottom"/>
          </w:tcPr>
          <w:p w:rsidR="00000000" w:rsidRDefault="00000000">
            <w:pPr>
              <w:pStyle w:val="BodyText"/>
              <w:spacing w:after="0" w:line="240" w:lineRule="auto"/>
              <w:jc w:val="right"/>
              <w:rPr>
                <w:color w:val="000000"/>
                <w:sz w:val="18"/>
                <w:lang w:val="en-US"/>
              </w:rPr>
            </w:pPr>
            <w:r>
              <w:rPr>
                <w:color w:val="000000"/>
                <w:sz w:val="18"/>
                <w:lang w:val="en-US"/>
              </w:rPr>
              <w:t>15</w:t>
            </w:r>
          </w:p>
        </w:tc>
        <w:tc>
          <w:tcPr>
            <w:tcW w:w="468" w:type="dxa"/>
            <w:shd w:val="clear" w:color="auto" w:fill="FFFFFF"/>
            <w:vAlign w:val="bottom"/>
          </w:tcPr>
          <w:p w:rsidR="00000000" w:rsidRDefault="00000000">
            <w:pPr>
              <w:pStyle w:val="BodyText"/>
              <w:spacing w:after="0" w:line="240" w:lineRule="auto"/>
              <w:jc w:val="right"/>
              <w:rPr>
                <w:color w:val="000000"/>
                <w:sz w:val="18"/>
                <w:lang w:val="en-US"/>
              </w:rPr>
            </w:pPr>
            <w:r>
              <w:rPr>
                <w:color w:val="000000"/>
                <w:sz w:val="18"/>
                <w:lang w:val="en-US"/>
              </w:rPr>
              <w:t>24</w:t>
            </w:r>
          </w:p>
        </w:tc>
        <w:tc>
          <w:tcPr>
            <w:tcW w:w="468" w:type="dxa"/>
            <w:shd w:val="clear" w:color="auto" w:fill="FFFFFF"/>
            <w:vAlign w:val="bottom"/>
          </w:tcPr>
          <w:p w:rsidR="00000000" w:rsidRDefault="00000000">
            <w:pPr>
              <w:pStyle w:val="BodyText"/>
              <w:spacing w:after="0" w:line="240" w:lineRule="auto"/>
              <w:jc w:val="right"/>
              <w:rPr>
                <w:color w:val="000000"/>
                <w:sz w:val="18"/>
                <w:lang w:val="en-US"/>
              </w:rPr>
            </w:pPr>
            <w:r>
              <w:rPr>
                <w:color w:val="000000"/>
                <w:sz w:val="18"/>
                <w:lang w:val="en-US"/>
              </w:rPr>
              <w:t>39</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8</w:t>
            </w:r>
          </w:p>
        </w:tc>
        <w:tc>
          <w:tcPr>
            <w:tcW w:w="468" w:type="dxa"/>
            <w:shd w:val="clear" w:color="auto" w:fill="FFFFFF"/>
            <w:vAlign w:val="bottom"/>
          </w:tcPr>
          <w:p w:rsidR="00000000" w:rsidRDefault="00000000">
            <w:pPr>
              <w:pStyle w:val="BodyText"/>
              <w:spacing w:after="0" w:line="240" w:lineRule="auto"/>
              <w:jc w:val="right"/>
              <w:rPr>
                <w:color w:val="000000"/>
                <w:sz w:val="18"/>
                <w:lang w:val="en-US"/>
              </w:rPr>
            </w:pPr>
            <w:r>
              <w:rPr>
                <w:color w:val="000000"/>
                <w:sz w:val="18"/>
                <w:lang w:val="en-US"/>
              </w:rPr>
              <w:t>13</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lang w:val="en-US"/>
              </w:rPr>
              <w:t>2</w:t>
            </w:r>
            <w:r>
              <w:rPr>
                <w:color w:val="000000"/>
                <w:sz w:val="18"/>
              </w:rPr>
              <w:t>1</w:t>
            </w:r>
          </w:p>
        </w:tc>
        <w:tc>
          <w:tcPr>
            <w:tcW w:w="468" w:type="dxa"/>
            <w:shd w:val="clear" w:color="auto" w:fill="FFFFFF"/>
            <w:vAlign w:val="bottom"/>
          </w:tcPr>
          <w:p w:rsidR="00000000" w:rsidRDefault="00000000">
            <w:pPr>
              <w:pStyle w:val="BodyText"/>
              <w:spacing w:after="0" w:line="240" w:lineRule="auto"/>
              <w:jc w:val="right"/>
              <w:rPr>
                <w:color w:val="000000"/>
                <w:sz w:val="18"/>
                <w:lang w:val="en-US"/>
              </w:rPr>
            </w:pPr>
            <w:r>
              <w:rPr>
                <w:color w:val="000000"/>
                <w:sz w:val="18"/>
                <w:lang w:val="en-US"/>
              </w:rPr>
              <w:t>27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8</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35</w:t>
            </w:r>
          </w:p>
        </w:tc>
      </w:tr>
      <w:tr w:rsidR="00000000">
        <w:tblPrEx>
          <w:tblCellMar>
            <w:top w:w="0" w:type="dxa"/>
            <w:bottom w:w="0" w:type="dxa"/>
          </w:tblCellMar>
        </w:tblPrEx>
        <w:trPr>
          <w:cantSplit/>
          <w:trHeight w:val="20"/>
          <w:jc w:val="center"/>
        </w:trPr>
        <w:tc>
          <w:tcPr>
            <w:tcW w:w="1236" w:type="dxa"/>
            <w:vMerge/>
            <w:shd w:val="clear" w:color="auto" w:fill="FFFFFF"/>
          </w:tcPr>
          <w:p w:rsidR="00000000" w:rsidRDefault="00000000">
            <w:pPr>
              <w:pStyle w:val="BodyText"/>
              <w:spacing w:after="0" w:line="240" w:lineRule="auto"/>
              <w:rPr>
                <w:color w:val="000000"/>
                <w:sz w:val="18"/>
              </w:rPr>
            </w:pPr>
          </w:p>
        </w:tc>
        <w:tc>
          <w:tcPr>
            <w:tcW w:w="535" w:type="dxa"/>
            <w:shd w:val="clear" w:color="auto" w:fill="FFFFFF"/>
            <w:vAlign w:val="bottom"/>
          </w:tcPr>
          <w:p w:rsidR="00000000" w:rsidRDefault="00000000">
            <w:pPr>
              <w:pStyle w:val="BodyText"/>
              <w:spacing w:after="0" w:line="240" w:lineRule="auto"/>
              <w:jc w:val="left"/>
              <w:rPr>
                <w:color w:val="000000"/>
                <w:sz w:val="18"/>
              </w:rPr>
            </w:pPr>
            <w:r>
              <w:rPr>
                <w:color w:val="000000"/>
                <w:sz w:val="18"/>
              </w:rPr>
              <w:t>Ж</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64</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14</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78</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55</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92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68</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88</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92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119</w:t>
            </w:r>
          </w:p>
        </w:tc>
      </w:tr>
      <w:tr w:rsidR="00000000">
        <w:tblPrEx>
          <w:tblCellMar>
            <w:top w:w="0" w:type="dxa"/>
            <w:bottom w:w="0" w:type="dxa"/>
          </w:tblCellMar>
        </w:tblPrEx>
        <w:trPr>
          <w:cantSplit/>
          <w:trHeight w:val="20"/>
          <w:jc w:val="center"/>
        </w:trPr>
        <w:tc>
          <w:tcPr>
            <w:tcW w:w="1236" w:type="dxa"/>
            <w:vMerge/>
            <w:shd w:val="clear" w:color="auto" w:fill="FFFFFF"/>
          </w:tcPr>
          <w:p w:rsidR="00000000" w:rsidRDefault="00000000">
            <w:pPr>
              <w:pStyle w:val="BodyText"/>
              <w:spacing w:after="0" w:line="240" w:lineRule="auto"/>
              <w:rPr>
                <w:color w:val="000000"/>
                <w:sz w:val="18"/>
              </w:rPr>
            </w:pPr>
          </w:p>
        </w:tc>
        <w:tc>
          <w:tcPr>
            <w:tcW w:w="535" w:type="dxa"/>
            <w:shd w:val="clear" w:color="auto" w:fill="FFFFFF"/>
            <w:vAlign w:val="bottom"/>
          </w:tcPr>
          <w:p w:rsidR="00000000" w:rsidRDefault="00000000">
            <w:pPr>
              <w:pStyle w:val="BodyText"/>
              <w:spacing w:after="0" w:line="240" w:lineRule="auto"/>
              <w:jc w:val="left"/>
              <w:rPr>
                <w:color w:val="000000"/>
                <w:sz w:val="18"/>
              </w:rPr>
            </w:pPr>
            <w:r>
              <w:rPr>
                <w:color w:val="000000"/>
                <w:sz w:val="18"/>
              </w:rPr>
              <w:t>Итого</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74</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94</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15</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131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33</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109</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119</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35</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154</w:t>
            </w:r>
          </w:p>
        </w:tc>
      </w:tr>
      <w:tr w:rsidR="00000000">
        <w:tblPrEx>
          <w:tblCellMar>
            <w:top w:w="0" w:type="dxa"/>
            <w:bottom w:w="0" w:type="dxa"/>
          </w:tblCellMar>
        </w:tblPrEx>
        <w:trPr>
          <w:cantSplit/>
          <w:trHeight w:val="20"/>
          <w:jc w:val="center"/>
        </w:trPr>
        <w:tc>
          <w:tcPr>
            <w:tcW w:w="1236" w:type="dxa"/>
            <w:vMerge w:val="restart"/>
            <w:shd w:val="clear" w:color="auto" w:fill="FFFFFF"/>
          </w:tcPr>
          <w:p w:rsidR="00000000" w:rsidRDefault="00000000">
            <w:pPr>
              <w:pStyle w:val="BodyText"/>
              <w:spacing w:after="0" w:line="240" w:lineRule="auto"/>
              <w:rPr>
                <w:color w:val="000000"/>
                <w:sz w:val="18"/>
              </w:rPr>
            </w:pPr>
            <w:r>
              <w:rPr>
                <w:color w:val="000000"/>
                <w:sz w:val="18"/>
              </w:rPr>
              <w:t>Педагогики</w:t>
            </w:r>
          </w:p>
        </w:tc>
        <w:tc>
          <w:tcPr>
            <w:tcW w:w="535" w:type="dxa"/>
            <w:shd w:val="clear" w:color="auto" w:fill="FFFFFF"/>
            <w:vAlign w:val="bottom"/>
          </w:tcPr>
          <w:p w:rsidR="00000000" w:rsidRDefault="00000000">
            <w:pPr>
              <w:pStyle w:val="BodyText"/>
              <w:spacing w:after="0" w:line="240" w:lineRule="auto"/>
              <w:jc w:val="left"/>
              <w:rPr>
                <w:color w:val="000000"/>
                <w:sz w:val="18"/>
              </w:rPr>
            </w:pPr>
            <w:r>
              <w:rPr>
                <w:color w:val="000000"/>
                <w:sz w:val="18"/>
              </w:rPr>
              <w:t>М</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175</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33</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208</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96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43</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139</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132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152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152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174</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139</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171</w:t>
            </w:r>
          </w:p>
        </w:tc>
      </w:tr>
      <w:tr w:rsidR="00000000">
        <w:tblPrEx>
          <w:tblCellMar>
            <w:top w:w="0" w:type="dxa"/>
            <w:bottom w:w="0" w:type="dxa"/>
          </w:tblCellMar>
        </w:tblPrEx>
        <w:trPr>
          <w:cantSplit/>
          <w:trHeight w:val="20"/>
          <w:jc w:val="center"/>
        </w:trPr>
        <w:tc>
          <w:tcPr>
            <w:tcW w:w="1236" w:type="dxa"/>
            <w:vMerge/>
            <w:shd w:val="clear" w:color="auto" w:fill="FFFFFF"/>
          </w:tcPr>
          <w:p w:rsidR="00000000" w:rsidRDefault="00000000">
            <w:pPr>
              <w:pStyle w:val="BodyText"/>
              <w:spacing w:after="0" w:line="240" w:lineRule="auto"/>
              <w:rPr>
                <w:color w:val="000000"/>
                <w:sz w:val="18"/>
              </w:rPr>
            </w:pPr>
          </w:p>
        </w:tc>
        <w:tc>
          <w:tcPr>
            <w:tcW w:w="535" w:type="dxa"/>
            <w:shd w:val="clear" w:color="auto" w:fill="FFFFFF"/>
            <w:vAlign w:val="bottom"/>
          </w:tcPr>
          <w:p w:rsidR="00000000" w:rsidRDefault="00000000">
            <w:pPr>
              <w:pStyle w:val="BodyText"/>
              <w:spacing w:after="0" w:line="240" w:lineRule="auto"/>
              <w:jc w:val="left"/>
              <w:rPr>
                <w:color w:val="000000"/>
                <w:sz w:val="18"/>
              </w:rPr>
            </w:pPr>
            <w:r>
              <w:rPr>
                <w:color w:val="000000"/>
                <w:sz w:val="18"/>
              </w:rPr>
              <w:t>Ж</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668</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735</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451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523</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565</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90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655</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737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807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567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634</w:t>
            </w:r>
          </w:p>
        </w:tc>
      </w:tr>
      <w:tr w:rsidR="00000000">
        <w:tblPrEx>
          <w:tblCellMar>
            <w:top w:w="0" w:type="dxa"/>
            <w:bottom w:w="0" w:type="dxa"/>
          </w:tblCellMar>
        </w:tblPrEx>
        <w:trPr>
          <w:cantSplit/>
          <w:trHeight w:val="20"/>
          <w:jc w:val="center"/>
        </w:trPr>
        <w:tc>
          <w:tcPr>
            <w:tcW w:w="1236" w:type="dxa"/>
            <w:vMerge/>
            <w:shd w:val="clear" w:color="auto" w:fill="FFFFFF"/>
          </w:tcPr>
          <w:p w:rsidR="00000000" w:rsidRDefault="00000000">
            <w:pPr>
              <w:pStyle w:val="BodyText"/>
              <w:spacing w:after="0" w:line="240" w:lineRule="auto"/>
              <w:rPr>
                <w:color w:val="000000"/>
                <w:sz w:val="18"/>
              </w:rPr>
            </w:pPr>
          </w:p>
        </w:tc>
        <w:tc>
          <w:tcPr>
            <w:tcW w:w="535" w:type="dxa"/>
            <w:shd w:val="clear" w:color="auto" w:fill="FFFFFF"/>
            <w:vAlign w:val="bottom"/>
          </w:tcPr>
          <w:p w:rsidR="00000000" w:rsidRDefault="00000000">
            <w:pPr>
              <w:pStyle w:val="BodyText"/>
              <w:spacing w:after="0" w:line="240" w:lineRule="auto"/>
              <w:jc w:val="left"/>
              <w:rPr>
                <w:color w:val="000000"/>
                <w:sz w:val="18"/>
              </w:rPr>
            </w:pPr>
            <w:r>
              <w:rPr>
                <w:color w:val="000000"/>
                <w:sz w:val="18"/>
              </w:rPr>
              <w:t>Итого</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843</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100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943</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547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115</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662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697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110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807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889</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92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981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706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99</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805</w:t>
            </w:r>
          </w:p>
        </w:tc>
      </w:tr>
      <w:tr w:rsidR="00000000">
        <w:tblPrEx>
          <w:tblCellMar>
            <w:top w:w="0" w:type="dxa"/>
            <w:bottom w:w="0" w:type="dxa"/>
          </w:tblCellMar>
        </w:tblPrEx>
        <w:trPr>
          <w:cantSplit/>
          <w:trHeight w:val="20"/>
          <w:jc w:val="center"/>
        </w:trPr>
        <w:tc>
          <w:tcPr>
            <w:tcW w:w="1236" w:type="dxa"/>
            <w:vMerge w:val="restart"/>
            <w:shd w:val="clear" w:color="auto" w:fill="FFFFFF"/>
          </w:tcPr>
          <w:p w:rsidR="00000000" w:rsidRDefault="00000000">
            <w:pPr>
              <w:pStyle w:val="BodyText"/>
              <w:spacing w:after="0" w:line="240" w:lineRule="auto"/>
              <w:rPr>
                <w:color w:val="000000"/>
                <w:sz w:val="18"/>
              </w:rPr>
            </w:pPr>
            <w:r>
              <w:rPr>
                <w:color w:val="000000"/>
                <w:sz w:val="18"/>
              </w:rPr>
              <w:t>Шариата</w:t>
            </w:r>
          </w:p>
        </w:tc>
        <w:tc>
          <w:tcPr>
            <w:tcW w:w="535" w:type="dxa"/>
            <w:shd w:val="clear" w:color="auto" w:fill="FFFFFF"/>
            <w:vAlign w:val="bottom"/>
          </w:tcPr>
          <w:p w:rsidR="00000000" w:rsidRDefault="00000000">
            <w:pPr>
              <w:pStyle w:val="BodyText"/>
              <w:spacing w:after="0" w:line="240" w:lineRule="auto"/>
              <w:jc w:val="left"/>
              <w:rPr>
                <w:color w:val="000000"/>
                <w:sz w:val="18"/>
              </w:rPr>
            </w:pPr>
            <w:r>
              <w:rPr>
                <w:color w:val="000000"/>
                <w:sz w:val="18"/>
              </w:rPr>
              <w:t>М</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117</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127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96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14</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110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39</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105</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172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18</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190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146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19</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165</w:t>
            </w:r>
          </w:p>
        </w:tc>
      </w:tr>
      <w:tr w:rsidR="00000000">
        <w:tblPrEx>
          <w:tblCellMar>
            <w:top w:w="0" w:type="dxa"/>
            <w:bottom w:w="0" w:type="dxa"/>
          </w:tblCellMar>
        </w:tblPrEx>
        <w:trPr>
          <w:cantSplit/>
          <w:trHeight w:val="20"/>
          <w:jc w:val="center"/>
        </w:trPr>
        <w:tc>
          <w:tcPr>
            <w:tcW w:w="1236" w:type="dxa"/>
            <w:vMerge/>
            <w:shd w:val="clear" w:color="auto" w:fill="FFFFFF"/>
          </w:tcPr>
          <w:p w:rsidR="00000000" w:rsidRDefault="00000000">
            <w:pPr>
              <w:pStyle w:val="BodyText"/>
              <w:spacing w:after="0" w:line="240" w:lineRule="auto"/>
              <w:rPr>
                <w:color w:val="000000"/>
                <w:sz w:val="18"/>
              </w:rPr>
            </w:pPr>
          </w:p>
        </w:tc>
        <w:tc>
          <w:tcPr>
            <w:tcW w:w="535" w:type="dxa"/>
            <w:shd w:val="clear" w:color="auto" w:fill="FFFFFF"/>
            <w:vAlign w:val="bottom"/>
          </w:tcPr>
          <w:p w:rsidR="00000000" w:rsidRDefault="00000000">
            <w:pPr>
              <w:pStyle w:val="BodyText"/>
              <w:spacing w:after="0" w:line="240" w:lineRule="auto"/>
              <w:jc w:val="left"/>
              <w:rPr>
                <w:color w:val="000000"/>
                <w:sz w:val="18"/>
              </w:rPr>
            </w:pPr>
            <w:r>
              <w:rPr>
                <w:color w:val="000000"/>
                <w:sz w:val="18"/>
              </w:rPr>
              <w:t>Ж</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232</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252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155</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171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173</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190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231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247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163</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179</w:t>
            </w:r>
          </w:p>
        </w:tc>
      </w:tr>
      <w:tr w:rsidR="00000000">
        <w:tblPrEx>
          <w:tblCellMar>
            <w:top w:w="0" w:type="dxa"/>
            <w:bottom w:w="0" w:type="dxa"/>
          </w:tblCellMar>
        </w:tblPrEx>
        <w:trPr>
          <w:cantSplit/>
          <w:trHeight w:val="20"/>
          <w:jc w:val="center"/>
        </w:trPr>
        <w:tc>
          <w:tcPr>
            <w:tcW w:w="1236" w:type="dxa"/>
            <w:vMerge/>
            <w:shd w:val="clear" w:color="auto" w:fill="FFFFFF"/>
          </w:tcPr>
          <w:p w:rsidR="00000000" w:rsidRDefault="00000000">
            <w:pPr>
              <w:pStyle w:val="BodyText"/>
              <w:spacing w:after="0" w:line="240" w:lineRule="auto"/>
              <w:rPr>
                <w:color w:val="000000"/>
                <w:sz w:val="18"/>
              </w:rPr>
            </w:pPr>
          </w:p>
        </w:tc>
        <w:tc>
          <w:tcPr>
            <w:tcW w:w="535" w:type="dxa"/>
            <w:shd w:val="clear" w:color="auto" w:fill="FFFFFF"/>
            <w:vAlign w:val="bottom"/>
          </w:tcPr>
          <w:p w:rsidR="00000000" w:rsidRDefault="00000000">
            <w:pPr>
              <w:pStyle w:val="BodyText"/>
              <w:spacing w:after="0" w:line="240" w:lineRule="auto"/>
              <w:jc w:val="left"/>
              <w:rPr>
                <w:color w:val="000000"/>
                <w:sz w:val="18"/>
              </w:rPr>
            </w:pPr>
            <w:r>
              <w:rPr>
                <w:color w:val="000000"/>
                <w:sz w:val="18"/>
              </w:rPr>
              <w:t>Итого</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349</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379</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251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281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266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29</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295</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403</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34</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437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309</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35</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344</w:t>
            </w:r>
          </w:p>
        </w:tc>
      </w:tr>
      <w:tr w:rsidR="00000000">
        <w:tblPrEx>
          <w:tblCellMar>
            <w:top w:w="0" w:type="dxa"/>
            <w:bottom w:w="0" w:type="dxa"/>
          </w:tblCellMar>
        </w:tblPrEx>
        <w:trPr>
          <w:cantSplit/>
          <w:trHeight w:val="20"/>
          <w:jc w:val="center"/>
        </w:trPr>
        <w:tc>
          <w:tcPr>
            <w:tcW w:w="1236" w:type="dxa"/>
            <w:vMerge w:val="restart"/>
            <w:shd w:val="clear" w:color="auto" w:fill="FFFFFF"/>
          </w:tcPr>
          <w:p w:rsidR="00000000" w:rsidRDefault="00000000">
            <w:pPr>
              <w:pStyle w:val="BodyText"/>
              <w:spacing w:after="0" w:line="240" w:lineRule="auto"/>
              <w:rPr>
                <w:color w:val="000000"/>
                <w:sz w:val="18"/>
              </w:rPr>
            </w:pPr>
            <w:r>
              <w:rPr>
                <w:color w:val="000000"/>
                <w:sz w:val="18"/>
              </w:rPr>
              <w:t>Администра-тивных наук</w:t>
            </w:r>
          </w:p>
        </w:tc>
        <w:tc>
          <w:tcPr>
            <w:tcW w:w="535" w:type="dxa"/>
            <w:shd w:val="clear" w:color="auto" w:fill="FFFFFF"/>
            <w:vAlign w:val="bottom"/>
          </w:tcPr>
          <w:p w:rsidR="00000000" w:rsidRDefault="00000000">
            <w:pPr>
              <w:pStyle w:val="BodyText"/>
              <w:spacing w:after="0" w:line="240" w:lineRule="auto"/>
              <w:jc w:val="left"/>
              <w:rPr>
                <w:color w:val="000000"/>
                <w:sz w:val="18"/>
              </w:rPr>
            </w:pPr>
            <w:r>
              <w:rPr>
                <w:color w:val="000000"/>
                <w:sz w:val="18"/>
              </w:rPr>
              <w:t>М</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103</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114</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106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14</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120</w:t>
            </w:r>
          </w:p>
        </w:tc>
      </w:tr>
      <w:tr w:rsidR="00000000">
        <w:tblPrEx>
          <w:tblCellMar>
            <w:top w:w="0" w:type="dxa"/>
            <w:bottom w:w="0" w:type="dxa"/>
          </w:tblCellMar>
        </w:tblPrEx>
        <w:trPr>
          <w:cantSplit/>
          <w:trHeight w:val="20"/>
          <w:jc w:val="center"/>
        </w:trPr>
        <w:tc>
          <w:tcPr>
            <w:tcW w:w="1236" w:type="dxa"/>
            <w:vMerge/>
            <w:shd w:val="clear" w:color="auto" w:fill="FFFFFF"/>
          </w:tcPr>
          <w:p w:rsidR="00000000" w:rsidRDefault="00000000">
            <w:pPr>
              <w:pStyle w:val="BodyText"/>
              <w:spacing w:after="0" w:line="240" w:lineRule="auto"/>
              <w:rPr>
                <w:color w:val="000000"/>
                <w:sz w:val="18"/>
              </w:rPr>
            </w:pPr>
          </w:p>
        </w:tc>
        <w:tc>
          <w:tcPr>
            <w:tcW w:w="535" w:type="dxa"/>
            <w:shd w:val="clear" w:color="auto" w:fill="FFFFFF"/>
            <w:vAlign w:val="bottom"/>
          </w:tcPr>
          <w:p w:rsidR="00000000" w:rsidRDefault="00000000">
            <w:pPr>
              <w:pStyle w:val="BodyText"/>
              <w:spacing w:after="0" w:line="240" w:lineRule="auto"/>
              <w:jc w:val="left"/>
              <w:rPr>
                <w:color w:val="000000"/>
                <w:sz w:val="18"/>
              </w:rPr>
            </w:pPr>
            <w:r>
              <w:rPr>
                <w:color w:val="000000"/>
                <w:sz w:val="18"/>
              </w:rPr>
              <w:t>Ж</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0</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198</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8</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206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201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221</w:t>
            </w:r>
          </w:p>
        </w:tc>
      </w:tr>
      <w:tr w:rsidR="00000000">
        <w:tblPrEx>
          <w:tblCellMar>
            <w:top w:w="0" w:type="dxa"/>
            <w:bottom w:w="0" w:type="dxa"/>
          </w:tblCellMar>
        </w:tblPrEx>
        <w:trPr>
          <w:cantSplit/>
          <w:trHeight w:val="20"/>
          <w:jc w:val="center"/>
        </w:trPr>
        <w:tc>
          <w:tcPr>
            <w:tcW w:w="1236" w:type="dxa"/>
            <w:vMerge/>
            <w:shd w:val="clear" w:color="auto" w:fill="FFFFFF"/>
          </w:tcPr>
          <w:p w:rsidR="00000000" w:rsidRDefault="00000000">
            <w:pPr>
              <w:pStyle w:val="BodyText"/>
              <w:spacing w:after="0" w:line="240" w:lineRule="auto"/>
              <w:rPr>
                <w:color w:val="000000"/>
                <w:sz w:val="18"/>
              </w:rPr>
            </w:pPr>
          </w:p>
        </w:tc>
        <w:tc>
          <w:tcPr>
            <w:tcW w:w="535" w:type="dxa"/>
            <w:shd w:val="clear" w:color="auto" w:fill="FFFFFF"/>
            <w:vAlign w:val="bottom"/>
          </w:tcPr>
          <w:p w:rsidR="00000000" w:rsidRDefault="00000000">
            <w:pPr>
              <w:pStyle w:val="BodyText"/>
              <w:spacing w:after="0" w:line="240" w:lineRule="auto"/>
              <w:jc w:val="left"/>
              <w:rPr>
                <w:color w:val="000000"/>
                <w:sz w:val="18"/>
              </w:rPr>
            </w:pPr>
            <w:r>
              <w:rPr>
                <w:color w:val="000000"/>
                <w:sz w:val="18"/>
              </w:rPr>
              <w:t>Итого</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301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19</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320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307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34</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341</w:t>
            </w:r>
          </w:p>
        </w:tc>
      </w:tr>
      <w:tr w:rsidR="00000000">
        <w:tblPrEx>
          <w:tblCellMar>
            <w:top w:w="0" w:type="dxa"/>
            <w:bottom w:w="0" w:type="dxa"/>
          </w:tblCellMar>
        </w:tblPrEx>
        <w:trPr>
          <w:cantSplit/>
          <w:trHeight w:val="20"/>
          <w:jc w:val="center"/>
        </w:trPr>
        <w:tc>
          <w:tcPr>
            <w:tcW w:w="1236" w:type="dxa"/>
            <w:vMerge w:val="restart"/>
            <w:shd w:val="clear" w:color="auto" w:fill="FFFFFF"/>
          </w:tcPr>
          <w:p w:rsidR="00000000" w:rsidRDefault="00000000">
            <w:pPr>
              <w:pStyle w:val="BodyText"/>
              <w:spacing w:after="0" w:line="240" w:lineRule="auto"/>
              <w:rPr>
                <w:color w:val="000000"/>
                <w:sz w:val="18"/>
              </w:rPr>
            </w:pPr>
            <w:r>
              <w:rPr>
                <w:color w:val="000000"/>
                <w:sz w:val="18"/>
              </w:rPr>
              <w:t>Всего</w:t>
            </w:r>
          </w:p>
        </w:tc>
        <w:tc>
          <w:tcPr>
            <w:tcW w:w="535" w:type="dxa"/>
            <w:shd w:val="clear" w:color="auto" w:fill="FFFFFF"/>
            <w:vAlign w:val="bottom"/>
          </w:tcPr>
          <w:p w:rsidR="00000000" w:rsidRDefault="00000000">
            <w:pPr>
              <w:pStyle w:val="BodyText"/>
              <w:spacing w:after="0" w:line="240" w:lineRule="auto"/>
              <w:jc w:val="left"/>
              <w:rPr>
                <w:color w:val="000000"/>
                <w:sz w:val="18"/>
              </w:rPr>
            </w:pPr>
            <w:r>
              <w:rPr>
                <w:color w:val="000000"/>
                <w:sz w:val="18"/>
              </w:rPr>
              <w:t>М</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1 929</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216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214</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1 299</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266</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1 565</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1 492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205</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1 697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1 385</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157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1 542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1 379</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177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1 556</w:t>
            </w:r>
          </w:p>
        </w:tc>
      </w:tr>
      <w:tr w:rsidR="00000000">
        <w:tblPrEx>
          <w:tblCellMar>
            <w:top w:w="0" w:type="dxa"/>
            <w:bottom w:w="0" w:type="dxa"/>
          </w:tblCellMar>
        </w:tblPrEx>
        <w:trPr>
          <w:cantSplit/>
          <w:trHeight w:val="20"/>
          <w:jc w:val="center"/>
        </w:trPr>
        <w:tc>
          <w:tcPr>
            <w:tcW w:w="1236" w:type="dxa"/>
            <w:vMerge/>
            <w:shd w:val="clear" w:color="auto" w:fill="FFFFFF"/>
          </w:tcPr>
          <w:p w:rsidR="00000000" w:rsidRDefault="00000000">
            <w:pPr>
              <w:pStyle w:val="BodyText"/>
              <w:spacing w:after="0" w:line="240" w:lineRule="auto"/>
              <w:jc w:val="center"/>
              <w:rPr>
                <w:color w:val="000000"/>
                <w:sz w:val="18"/>
              </w:rPr>
            </w:pPr>
          </w:p>
        </w:tc>
        <w:tc>
          <w:tcPr>
            <w:tcW w:w="535" w:type="dxa"/>
            <w:shd w:val="clear" w:color="auto" w:fill="FFFFFF"/>
            <w:vAlign w:val="bottom"/>
          </w:tcPr>
          <w:p w:rsidR="00000000" w:rsidRDefault="00000000">
            <w:pPr>
              <w:pStyle w:val="BodyText"/>
              <w:spacing w:after="0" w:line="240" w:lineRule="auto"/>
              <w:jc w:val="left"/>
              <w:rPr>
                <w:color w:val="000000"/>
                <w:sz w:val="18"/>
              </w:rPr>
            </w:pPr>
            <w:r>
              <w:rPr>
                <w:color w:val="000000"/>
                <w:sz w:val="18"/>
              </w:rPr>
              <w:t>Ж</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3 082</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288</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3 370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2 231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253</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2 484</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2 431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267</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2 698</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2 698</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243</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2 941</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2 503</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278</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2 781</w:t>
            </w:r>
          </w:p>
        </w:tc>
      </w:tr>
      <w:tr w:rsidR="00000000">
        <w:tblPrEx>
          <w:tblCellMar>
            <w:top w:w="0" w:type="dxa"/>
            <w:bottom w:w="0" w:type="dxa"/>
          </w:tblCellMar>
        </w:tblPrEx>
        <w:trPr>
          <w:cantSplit/>
          <w:trHeight w:val="20"/>
          <w:jc w:val="center"/>
        </w:trPr>
        <w:tc>
          <w:tcPr>
            <w:tcW w:w="1236" w:type="dxa"/>
            <w:vMerge/>
            <w:shd w:val="clear" w:color="auto" w:fill="FFFFFF"/>
          </w:tcPr>
          <w:p w:rsidR="00000000" w:rsidRDefault="00000000">
            <w:pPr>
              <w:pStyle w:val="BodyText"/>
              <w:spacing w:after="0" w:line="240" w:lineRule="auto"/>
              <w:jc w:val="center"/>
              <w:rPr>
                <w:color w:val="000000"/>
                <w:sz w:val="18"/>
              </w:rPr>
            </w:pPr>
          </w:p>
        </w:tc>
        <w:tc>
          <w:tcPr>
            <w:tcW w:w="535" w:type="dxa"/>
            <w:shd w:val="clear" w:color="auto" w:fill="FFFFFF"/>
            <w:vAlign w:val="bottom"/>
          </w:tcPr>
          <w:p w:rsidR="00000000" w:rsidRDefault="00000000">
            <w:pPr>
              <w:pStyle w:val="BodyText"/>
              <w:spacing w:after="0" w:line="240" w:lineRule="auto"/>
              <w:jc w:val="left"/>
              <w:rPr>
                <w:color w:val="000000"/>
                <w:sz w:val="18"/>
              </w:rPr>
            </w:pPr>
            <w:r>
              <w:rPr>
                <w:color w:val="000000"/>
                <w:sz w:val="18"/>
              </w:rPr>
              <w:t>Итого</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5 011</w:t>
            </w:r>
          </w:p>
        </w:tc>
        <w:tc>
          <w:tcPr>
            <w:tcW w:w="467"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504</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5 515</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3 530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519</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4 049</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3 923</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272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4 395</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4 083</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400</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4 483</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3 882</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455</w:t>
            </w:r>
          </w:p>
        </w:tc>
        <w:tc>
          <w:tcPr>
            <w:tcW w:w="468"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4 337</w:t>
            </w:r>
          </w:p>
        </w:tc>
      </w:tr>
    </w:tbl>
    <w:p w:rsidR="00000000" w:rsidRDefault="00000000">
      <w:pPr>
        <w:pStyle w:val="BodyText"/>
      </w:pPr>
    </w:p>
    <w:p w:rsidR="00000000" w:rsidRDefault="00000000">
      <w:pPr>
        <w:pStyle w:val="-"/>
        <w:spacing w:after="240"/>
        <w:rPr>
          <w:b w:val="0"/>
        </w:rPr>
      </w:pPr>
      <w:r>
        <w:br w:type="page"/>
      </w:r>
      <w:r>
        <w:rPr>
          <w:b w:val="0"/>
        </w:rPr>
        <w:t xml:space="preserve">Таблица 4. Рост числа выпускников Кувейтского университета </w:t>
      </w:r>
      <w:r>
        <w:rPr>
          <w:b w:val="0"/>
        </w:rPr>
        <w:br/>
        <w:t>в период с 1992/93 по 1996/97 годы</w:t>
      </w:r>
    </w:p>
    <w:tbl>
      <w:tblPr>
        <w:tblW w:w="0" w:type="auto"/>
        <w:jc w:val="center"/>
        <w:tblLayout w:type="fixed"/>
        <w:tblCellMar>
          <w:left w:w="28" w:type="dxa"/>
          <w:right w:w="28" w:type="dxa"/>
        </w:tblCellMar>
        <w:tblLook w:val="0000" w:firstRow="0" w:lastRow="0" w:firstColumn="0" w:lastColumn="0" w:noHBand="0" w:noVBand="0"/>
      </w:tblPr>
      <w:tblGrid>
        <w:gridCol w:w="1308"/>
        <w:gridCol w:w="551"/>
        <w:gridCol w:w="462"/>
        <w:gridCol w:w="462"/>
        <w:gridCol w:w="462"/>
        <w:gridCol w:w="462"/>
        <w:gridCol w:w="462"/>
        <w:gridCol w:w="462"/>
        <w:gridCol w:w="462"/>
        <w:gridCol w:w="462"/>
        <w:gridCol w:w="462"/>
        <w:gridCol w:w="462"/>
        <w:gridCol w:w="462"/>
        <w:gridCol w:w="462"/>
        <w:gridCol w:w="462"/>
        <w:gridCol w:w="462"/>
        <w:gridCol w:w="462"/>
      </w:tblGrid>
      <w:tr w:rsidR="00000000">
        <w:tblPrEx>
          <w:tblCellMar>
            <w:top w:w="0" w:type="dxa"/>
            <w:bottom w:w="0" w:type="dxa"/>
          </w:tblCellMar>
        </w:tblPrEx>
        <w:trPr>
          <w:cantSplit/>
          <w:trHeight w:val="20"/>
          <w:jc w:val="center"/>
        </w:trPr>
        <w:tc>
          <w:tcPr>
            <w:tcW w:w="1308" w:type="dxa"/>
            <w:vMerge w:val="restart"/>
            <w:shd w:val="clear" w:color="auto" w:fill="FFFFFF"/>
          </w:tcPr>
          <w:p w:rsidR="00000000" w:rsidRDefault="00000000">
            <w:pPr>
              <w:pStyle w:val="-9"/>
              <w:rPr>
                <w:sz w:val="16"/>
              </w:rPr>
            </w:pPr>
            <w:r>
              <w:rPr>
                <w:sz w:val="16"/>
              </w:rPr>
              <w:t>Факультет</w:t>
            </w:r>
          </w:p>
        </w:tc>
        <w:tc>
          <w:tcPr>
            <w:tcW w:w="551" w:type="dxa"/>
            <w:vMerge w:val="restart"/>
            <w:shd w:val="clear" w:color="auto" w:fill="FFFFFF"/>
          </w:tcPr>
          <w:p w:rsidR="00000000" w:rsidRDefault="00000000">
            <w:pPr>
              <w:pStyle w:val="-9"/>
              <w:rPr>
                <w:sz w:val="16"/>
              </w:rPr>
            </w:pPr>
            <w:r>
              <w:rPr>
                <w:sz w:val="16"/>
              </w:rPr>
              <w:t>Пол</w:t>
            </w:r>
          </w:p>
        </w:tc>
        <w:tc>
          <w:tcPr>
            <w:tcW w:w="6930" w:type="dxa"/>
            <w:gridSpan w:val="15"/>
            <w:shd w:val="clear" w:color="auto" w:fill="FFFFFF"/>
          </w:tcPr>
          <w:p w:rsidR="00000000" w:rsidRDefault="00000000">
            <w:pPr>
              <w:pStyle w:val="-9"/>
              <w:rPr>
                <w:sz w:val="16"/>
              </w:rPr>
            </w:pPr>
            <w:r>
              <w:rPr>
                <w:sz w:val="16"/>
              </w:rPr>
              <w:t>Год</w:t>
            </w:r>
          </w:p>
        </w:tc>
      </w:tr>
      <w:tr w:rsidR="00000000">
        <w:tblPrEx>
          <w:tblCellMar>
            <w:top w:w="0" w:type="dxa"/>
            <w:bottom w:w="0" w:type="dxa"/>
          </w:tblCellMar>
        </w:tblPrEx>
        <w:trPr>
          <w:cantSplit/>
          <w:trHeight w:val="20"/>
          <w:jc w:val="center"/>
        </w:trPr>
        <w:tc>
          <w:tcPr>
            <w:tcW w:w="1308" w:type="dxa"/>
            <w:vMerge/>
            <w:shd w:val="clear" w:color="auto" w:fill="FFFFFF"/>
          </w:tcPr>
          <w:p w:rsidR="00000000" w:rsidRDefault="00000000">
            <w:pPr>
              <w:pStyle w:val="-9"/>
              <w:rPr>
                <w:sz w:val="16"/>
              </w:rPr>
            </w:pPr>
          </w:p>
        </w:tc>
        <w:tc>
          <w:tcPr>
            <w:tcW w:w="551" w:type="dxa"/>
            <w:vMerge/>
            <w:shd w:val="clear" w:color="auto" w:fill="FFFFFF"/>
          </w:tcPr>
          <w:p w:rsidR="00000000" w:rsidRDefault="00000000">
            <w:pPr>
              <w:pStyle w:val="-9"/>
              <w:rPr>
                <w:sz w:val="16"/>
              </w:rPr>
            </w:pPr>
          </w:p>
        </w:tc>
        <w:tc>
          <w:tcPr>
            <w:tcW w:w="1386" w:type="dxa"/>
            <w:gridSpan w:val="3"/>
            <w:shd w:val="clear" w:color="auto" w:fill="FFFFFF"/>
          </w:tcPr>
          <w:p w:rsidR="00000000" w:rsidRDefault="00000000">
            <w:pPr>
              <w:pStyle w:val="-9"/>
              <w:rPr>
                <w:sz w:val="16"/>
              </w:rPr>
            </w:pPr>
            <w:r>
              <w:rPr>
                <w:sz w:val="16"/>
              </w:rPr>
              <w:t>1992/93</w:t>
            </w:r>
          </w:p>
        </w:tc>
        <w:tc>
          <w:tcPr>
            <w:tcW w:w="1386" w:type="dxa"/>
            <w:gridSpan w:val="3"/>
            <w:shd w:val="clear" w:color="auto" w:fill="FFFFFF"/>
          </w:tcPr>
          <w:p w:rsidR="00000000" w:rsidRDefault="00000000">
            <w:pPr>
              <w:pStyle w:val="-9"/>
              <w:rPr>
                <w:sz w:val="16"/>
              </w:rPr>
            </w:pPr>
            <w:r>
              <w:rPr>
                <w:sz w:val="16"/>
              </w:rPr>
              <w:t>1993/94</w:t>
            </w:r>
          </w:p>
        </w:tc>
        <w:tc>
          <w:tcPr>
            <w:tcW w:w="1386" w:type="dxa"/>
            <w:gridSpan w:val="3"/>
            <w:shd w:val="clear" w:color="auto" w:fill="FFFFFF"/>
          </w:tcPr>
          <w:p w:rsidR="00000000" w:rsidRDefault="00000000">
            <w:pPr>
              <w:pStyle w:val="-9"/>
              <w:rPr>
                <w:sz w:val="16"/>
              </w:rPr>
            </w:pPr>
            <w:r>
              <w:rPr>
                <w:sz w:val="16"/>
              </w:rPr>
              <w:t>1994/95</w:t>
            </w:r>
          </w:p>
        </w:tc>
        <w:tc>
          <w:tcPr>
            <w:tcW w:w="1386" w:type="dxa"/>
            <w:gridSpan w:val="3"/>
            <w:shd w:val="clear" w:color="auto" w:fill="FFFFFF"/>
          </w:tcPr>
          <w:p w:rsidR="00000000" w:rsidRDefault="00000000">
            <w:pPr>
              <w:pStyle w:val="-9"/>
              <w:rPr>
                <w:sz w:val="16"/>
              </w:rPr>
            </w:pPr>
            <w:r>
              <w:rPr>
                <w:sz w:val="16"/>
              </w:rPr>
              <w:t>1995/96</w:t>
            </w:r>
          </w:p>
        </w:tc>
        <w:tc>
          <w:tcPr>
            <w:tcW w:w="1386" w:type="dxa"/>
            <w:gridSpan w:val="3"/>
            <w:shd w:val="clear" w:color="auto" w:fill="FFFFFF"/>
          </w:tcPr>
          <w:p w:rsidR="00000000" w:rsidRDefault="00000000">
            <w:pPr>
              <w:pStyle w:val="-9"/>
              <w:rPr>
                <w:sz w:val="16"/>
              </w:rPr>
            </w:pPr>
            <w:r>
              <w:rPr>
                <w:sz w:val="16"/>
              </w:rPr>
              <w:t>1996/97</w:t>
            </w:r>
          </w:p>
        </w:tc>
      </w:tr>
      <w:tr w:rsidR="00000000">
        <w:tblPrEx>
          <w:tblCellMar>
            <w:top w:w="0" w:type="dxa"/>
            <w:bottom w:w="0" w:type="dxa"/>
          </w:tblCellMar>
        </w:tblPrEx>
        <w:trPr>
          <w:cantSplit/>
          <w:trHeight w:val="1134"/>
          <w:jc w:val="center"/>
        </w:trPr>
        <w:tc>
          <w:tcPr>
            <w:tcW w:w="1308" w:type="dxa"/>
            <w:vMerge/>
            <w:shd w:val="clear" w:color="auto" w:fill="FFFFFF"/>
          </w:tcPr>
          <w:p w:rsidR="00000000" w:rsidRDefault="00000000">
            <w:pPr>
              <w:pStyle w:val="-9"/>
              <w:rPr>
                <w:sz w:val="16"/>
              </w:rPr>
            </w:pPr>
          </w:p>
        </w:tc>
        <w:tc>
          <w:tcPr>
            <w:tcW w:w="551" w:type="dxa"/>
            <w:vMerge/>
            <w:shd w:val="clear" w:color="auto" w:fill="FFFFFF"/>
          </w:tcPr>
          <w:p w:rsidR="00000000" w:rsidRDefault="00000000">
            <w:pPr>
              <w:pStyle w:val="-9"/>
              <w:rPr>
                <w:sz w:val="16"/>
              </w:rPr>
            </w:pPr>
          </w:p>
        </w:tc>
        <w:tc>
          <w:tcPr>
            <w:tcW w:w="462" w:type="dxa"/>
            <w:shd w:val="clear" w:color="auto" w:fill="FFFFFF"/>
            <w:textDirection w:val="btLr"/>
            <w:vAlign w:val="center"/>
          </w:tcPr>
          <w:p w:rsidR="00000000" w:rsidRDefault="00000000">
            <w:pPr>
              <w:pStyle w:val="-9"/>
              <w:ind w:left="113" w:right="113"/>
              <w:rPr>
                <w:sz w:val="16"/>
              </w:rPr>
            </w:pPr>
            <w:r>
              <w:rPr>
                <w:sz w:val="16"/>
              </w:rPr>
              <w:t>Кувейтцы</w:t>
            </w:r>
          </w:p>
        </w:tc>
        <w:tc>
          <w:tcPr>
            <w:tcW w:w="462" w:type="dxa"/>
            <w:shd w:val="clear" w:color="auto" w:fill="FFFFFF"/>
            <w:textDirection w:val="btLr"/>
            <w:vAlign w:val="center"/>
          </w:tcPr>
          <w:p w:rsidR="00000000" w:rsidRDefault="00000000">
            <w:pPr>
              <w:pStyle w:val="-9"/>
              <w:ind w:left="113" w:right="113"/>
              <w:rPr>
                <w:sz w:val="16"/>
              </w:rPr>
            </w:pPr>
            <w:r>
              <w:rPr>
                <w:sz w:val="16"/>
              </w:rPr>
              <w:t>Некувейтцы</w:t>
            </w:r>
          </w:p>
        </w:tc>
        <w:tc>
          <w:tcPr>
            <w:tcW w:w="462" w:type="dxa"/>
            <w:shd w:val="clear" w:color="auto" w:fill="FFFFFF"/>
            <w:textDirection w:val="btLr"/>
            <w:vAlign w:val="center"/>
          </w:tcPr>
          <w:p w:rsidR="00000000" w:rsidRDefault="00000000">
            <w:pPr>
              <w:pStyle w:val="-9"/>
              <w:ind w:left="113" w:right="113"/>
              <w:rPr>
                <w:sz w:val="16"/>
              </w:rPr>
            </w:pPr>
            <w:r>
              <w:rPr>
                <w:sz w:val="16"/>
              </w:rPr>
              <w:t>Всего</w:t>
            </w:r>
          </w:p>
        </w:tc>
        <w:tc>
          <w:tcPr>
            <w:tcW w:w="462" w:type="dxa"/>
            <w:shd w:val="clear" w:color="auto" w:fill="FFFFFF"/>
            <w:textDirection w:val="btLr"/>
            <w:vAlign w:val="center"/>
          </w:tcPr>
          <w:p w:rsidR="00000000" w:rsidRDefault="00000000">
            <w:pPr>
              <w:pStyle w:val="-9"/>
              <w:ind w:left="113" w:right="113"/>
              <w:rPr>
                <w:sz w:val="16"/>
              </w:rPr>
            </w:pPr>
            <w:r>
              <w:rPr>
                <w:sz w:val="16"/>
              </w:rPr>
              <w:t>Кувейтцы</w:t>
            </w:r>
          </w:p>
        </w:tc>
        <w:tc>
          <w:tcPr>
            <w:tcW w:w="462" w:type="dxa"/>
            <w:shd w:val="clear" w:color="auto" w:fill="FFFFFF"/>
            <w:textDirection w:val="btLr"/>
            <w:vAlign w:val="center"/>
          </w:tcPr>
          <w:p w:rsidR="00000000" w:rsidRDefault="00000000">
            <w:pPr>
              <w:pStyle w:val="-9"/>
              <w:ind w:left="113" w:right="113"/>
              <w:rPr>
                <w:sz w:val="16"/>
              </w:rPr>
            </w:pPr>
            <w:r>
              <w:rPr>
                <w:sz w:val="16"/>
              </w:rPr>
              <w:t>Некувейтцы</w:t>
            </w:r>
          </w:p>
        </w:tc>
        <w:tc>
          <w:tcPr>
            <w:tcW w:w="462" w:type="dxa"/>
            <w:shd w:val="clear" w:color="auto" w:fill="FFFFFF"/>
            <w:textDirection w:val="btLr"/>
            <w:vAlign w:val="center"/>
          </w:tcPr>
          <w:p w:rsidR="00000000" w:rsidRDefault="00000000">
            <w:pPr>
              <w:pStyle w:val="-9"/>
              <w:ind w:left="113" w:right="113"/>
              <w:rPr>
                <w:sz w:val="16"/>
              </w:rPr>
            </w:pPr>
            <w:r>
              <w:rPr>
                <w:sz w:val="16"/>
              </w:rPr>
              <w:t>Всего</w:t>
            </w:r>
          </w:p>
        </w:tc>
        <w:tc>
          <w:tcPr>
            <w:tcW w:w="462" w:type="dxa"/>
            <w:shd w:val="clear" w:color="auto" w:fill="FFFFFF"/>
            <w:textDirection w:val="btLr"/>
            <w:vAlign w:val="center"/>
          </w:tcPr>
          <w:p w:rsidR="00000000" w:rsidRDefault="00000000">
            <w:pPr>
              <w:pStyle w:val="-9"/>
              <w:ind w:left="113" w:right="113"/>
              <w:rPr>
                <w:sz w:val="16"/>
              </w:rPr>
            </w:pPr>
            <w:r>
              <w:rPr>
                <w:sz w:val="16"/>
              </w:rPr>
              <w:t>Кувейтцы</w:t>
            </w:r>
          </w:p>
        </w:tc>
        <w:tc>
          <w:tcPr>
            <w:tcW w:w="462" w:type="dxa"/>
            <w:shd w:val="clear" w:color="auto" w:fill="FFFFFF"/>
            <w:textDirection w:val="btLr"/>
            <w:vAlign w:val="center"/>
          </w:tcPr>
          <w:p w:rsidR="00000000" w:rsidRDefault="00000000">
            <w:pPr>
              <w:pStyle w:val="-9"/>
              <w:ind w:left="113" w:right="113"/>
              <w:rPr>
                <w:sz w:val="16"/>
              </w:rPr>
            </w:pPr>
            <w:r>
              <w:rPr>
                <w:sz w:val="16"/>
              </w:rPr>
              <w:t>Некувейтцы</w:t>
            </w:r>
          </w:p>
        </w:tc>
        <w:tc>
          <w:tcPr>
            <w:tcW w:w="462" w:type="dxa"/>
            <w:shd w:val="clear" w:color="auto" w:fill="FFFFFF"/>
            <w:textDirection w:val="btLr"/>
            <w:vAlign w:val="center"/>
          </w:tcPr>
          <w:p w:rsidR="00000000" w:rsidRDefault="00000000">
            <w:pPr>
              <w:pStyle w:val="-9"/>
              <w:ind w:left="113" w:right="113"/>
              <w:rPr>
                <w:sz w:val="16"/>
              </w:rPr>
            </w:pPr>
            <w:r>
              <w:rPr>
                <w:sz w:val="16"/>
              </w:rPr>
              <w:t>Всего</w:t>
            </w:r>
          </w:p>
        </w:tc>
        <w:tc>
          <w:tcPr>
            <w:tcW w:w="462" w:type="dxa"/>
            <w:shd w:val="clear" w:color="auto" w:fill="FFFFFF"/>
            <w:textDirection w:val="btLr"/>
            <w:vAlign w:val="center"/>
          </w:tcPr>
          <w:p w:rsidR="00000000" w:rsidRDefault="00000000">
            <w:pPr>
              <w:pStyle w:val="-9"/>
              <w:ind w:left="113" w:right="113"/>
              <w:rPr>
                <w:sz w:val="16"/>
              </w:rPr>
            </w:pPr>
            <w:r>
              <w:rPr>
                <w:sz w:val="16"/>
              </w:rPr>
              <w:t>Кувейтцы</w:t>
            </w:r>
          </w:p>
        </w:tc>
        <w:tc>
          <w:tcPr>
            <w:tcW w:w="462" w:type="dxa"/>
            <w:shd w:val="clear" w:color="auto" w:fill="FFFFFF"/>
            <w:textDirection w:val="btLr"/>
            <w:vAlign w:val="center"/>
          </w:tcPr>
          <w:p w:rsidR="00000000" w:rsidRDefault="00000000">
            <w:pPr>
              <w:pStyle w:val="-9"/>
              <w:ind w:left="113" w:right="113"/>
              <w:rPr>
                <w:sz w:val="16"/>
              </w:rPr>
            </w:pPr>
            <w:r>
              <w:rPr>
                <w:sz w:val="16"/>
              </w:rPr>
              <w:t>Некувейтцы</w:t>
            </w:r>
          </w:p>
        </w:tc>
        <w:tc>
          <w:tcPr>
            <w:tcW w:w="462" w:type="dxa"/>
            <w:shd w:val="clear" w:color="auto" w:fill="FFFFFF"/>
            <w:textDirection w:val="btLr"/>
            <w:vAlign w:val="center"/>
          </w:tcPr>
          <w:p w:rsidR="00000000" w:rsidRDefault="00000000">
            <w:pPr>
              <w:pStyle w:val="-9"/>
              <w:ind w:left="113" w:right="113"/>
              <w:rPr>
                <w:sz w:val="16"/>
              </w:rPr>
            </w:pPr>
            <w:r>
              <w:rPr>
                <w:sz w:val="16"/>
              </w:rPr>
              <w:t>Всего</w:t>
            </w:r>
          </w:p>
        </w:tc>
        <w:tc>
          <w:tcPr>
            <w:tcW w:w="462" w:type="dxa"/>
            <w:shd w:val="clear" w:color="auto" w:fill="FFFFFF"/>
            <w:textDirection w:val="btLr"/>
            <w:vAlign w:val="center"/>
          </w:tcPr>
          <w:p w:rsidR="00000000" w:rsidRDefault="00000000">
            <w:pPr>
              <w:pStyle w:val="-9"/>
              <w:ind w:left="113" w:right="113"/>
              <w:rPr>
                <w:sz w:val="16"/>
              </w:rPr>
            </w:pPr>
            <w:r>
              <w:rPr>
                <w:sz w:val="16"/>
              </w:rPr>
              <w:t>Кувейтцы</w:t>
            </w:r>
          </w:p>
        </w:tc>
        <w:tc>
          <w:tcPr>
            <w:tcW w:w="462" w:type="dxa"/>
            <w:shd w:val="clear" w:color="auto" w:fill="FFFFFF"/>
            <w:textDirection w:val="btLr"/>
            <w:vAlign w:val="center"/>
          </w:tcPr>
          <w:p w:rsidR="00000000" w:rsidRDefault="00000000">
            <w:pPr>
              <w:pStyle w:val="-9"/>
              <w:ind w:left="113" w:right="113"/>
              <w:rPr>
                <w:sz w:val="16"/>
              </w:rPr>
            </w:pPr>
            <w:r>
              <w:rPr>
                <w:sz w:val="16"/>
              </w:rPr>
              <w:t>Некувейтцы</w:t>
            </w:r>
          </w:p>
        </w:tc>
        <w:tc>
          <w:tcPr>
            <w:tcW w:w="462" w:type="dxa"/>
            <w:shd w:val="clear" w:color="auto" w:fill="FFFFFF"/>
            <w:textDirection w:val="btLr"/>
            <w:vAlign w:val="center"/>
          </w:tcPr>
          <w:p w:rsidR="00000000" w:rsidRDefault="00000000">
            <w:pPr>
              <w:pStyle w:val="-9"/>
              <w:ind w:left="113" w:right="113"/>
              <w:rPr>
                <w:sz w:val="16"/>
              </w:rPr>
            </w:pPr>
            <w:r>
              <w:rPr>
                <w:sz w:val="16"/>
              </w:rPr>
              <w:t>Всего</w:t>
            </w:r>
          </w:p>
        </w:tc>
      </w:tr>
      <w:tr w:rsidR="00000000">
        <w:tblPrEx>
          <w:tblCellMar>
            <w:top w:w="0" w:type="dxa"/>
            <w:bottom w:w="0" w:type="dxa"/>
          </w:tblCellMar>
        </w:tblPrEx>
        <w:trPr>
          <w:cantSplit/>
          <w:trHeight w:val="20"/>
          <w:jc w:val="center"/>
        </w:trPr>
        <w:tc>
          <w:tcPr>
            <w:tcW w:w="1308" w:type="dxa"/>
            <w:vMerge w:val="restart"/>
            <w:shd w:val="clear" w:color="auto" w:fill="FFFFFF"/>
          </w:tcPr>
          <w:p w:rsidR="00000000" w:rsidRDefault="00000000">
            <w:pPr>
              <w:pStyle w:val="BodyText"/>
              <w:spacing w:after="0" w:line="240" w:lineRule="auto"/>
              <w:rPr>
                <w:color w:val="000000"/>
                <w:sz w:val="18"/>
              </w:rPr>
            </w:pPr>
            <w:r>
              <w:rPr>
                <w:color w:val="000000"/>
                <w:sz w:val="18"/>
              </w:rPr>
              <w:t>Торговли</w:t>
            </w:r>
          </w:p>
        </w:tc>
        <w:tc>
          <w:tcPr>
            <w:tcW w:w="551" w:type="dxa"/>
            <w:shd w:val="clear" w:color="auto" w:fill="FFFFFF"/>
            <w:vAlign w:val="bottom"/>
          </w:tcPr>
          <w:p w:rsidR="00000000" w:rsidRDefault="00000000">
            <w:pPr>
              <w:pStyle w:val="BodyText"/>
              <w:spacing w:after="0" w:line="240" w:lineRule="auto"/>
              <w:rPr>
                <w:color w:val="000000"/>
                <w:sz w:val="18"/>
              </w:rPr>
            </w:pPr>
            <w:r>
              <w:rPr>
                <w:color w:val="000000"/>
                <w:sz w:val="18"/>
              </w:rPr>
              <w:t>М</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100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107</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14</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121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165</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175</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266</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286</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240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270</w:t>
            </w:r>
          </w:p>
        </w:tc>
      </w:tr>
      <w:tr w:rsidR="00000000">
        <w:tblPrEx>
          <w:tblCellMar>
            <w:top w:w="0" w:type="dxa"/>
            <w:bottom w:w="0" w:type="dxa"/>
          </w:tblCellMar>
        </w:tblPrEx>
        <w:trPr>
          <w:cantSplit/>
          <w:trHeight w:val="20"/>
          <w:jc w:val="center"/>
        </w:trPr>
        <w:tc>
          <w:tcPr>
            <w:tcW w:w="1308" w:type="dxa"/>
            <w:vMerge/>
            <w:shd w:val="clear" w:color="auto" w:fill="FFFFFF"/>
          </w:tcPr>
          <w:p w:rsidR="00000000" w:rsidRDefault="00000000">
            <w:pPr>
              <w:pStyle w:val="BodyText"/>
              <w:spacing w:after="0" w:line="240" w:lineRule="auto"/>
              <w:rPr>
                <w:color w:val="000000"/>
                <w:sz w:val="18"/>
              </w:rPr>
            </w:pPr>
          </w:p>
        </w:tc>
        <w:tc>
          <w:tcPr>
            <w:tcW w:w="551" w:type="dxa"/>
            <w:shd w:val="clear" w:color="auto" w:fill="FFFFFF"/>
            <w:vAlign w:val="bottom"/>
          </w:tcPr>
          <w:p w:rsidR="00000000" w:rsidRDefault="00000000">
            <w:pPr>
              <w:pStyle w:val="BodyText"/>
              <w:spacing w:after="0" w:line="240" w:lineRule="auto"/>
              <w:rPr>
                <w:color w:val="000000"/>
                <w:sz w:val="18"/>
              </w:rPr>
            </w:pPr>
            <w:r>
              <w:rPr>
                <w:color w:val="000000"/>
                <w:sz w:val="18"/>
              </w:rPr>
              <w:t>Ж</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188</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24</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212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216</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236</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297</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317</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398</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418</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331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14</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345</w:t>
            </w:r>
          </w:p>
        </w:tc>
      </w:tr>
      <w:tr w:rsidR="00000000">
        <w:tblPrEx>
          <w:tblCellMar>
            <w:top w:w="0" w:type="dxa"/>
            <w:bottom w:w="0" w:type="dxa"/>
          </w:tblCellMar>
        </w:tblPrEx>
        <w:trPr>
          <w:cantSplit/>
          <w:trHeight w:val="20"/>
          <w:jc w:val="center"/>
        </w:trPr>
        <w:tc>
          <w:tcPr>
            <w:tcW w:w="1308" w:type="dxa"/>
            <w:vMerge/>
            <w:shd w:val="clear" w:color="auto" w:fill="FFFFFF"/>
          </w:tcPr>
          <w:p w:rsidR="00000000" w:rsidRDefault="00000000">
            <w:pPr>
              <w:pStyle w:val="BodyText"/>
              <w:spacing w:after="0" w:line="240" w:lineRule="auto"/>
              <w:rPr>
                <w:color w:val="000000"/>
                <w:sz w:val="18"/>
              </w:rPr>
            </w:pPr>
          </w:p>
        </w:tc>
        <w:tc>
          <w:tcPr>
            <w:tcW w:w="551" w:type="dxa"/>
            <w:shd w:val="clear" w:color="auto" w:fill="FFFFFF"/>
            <w:vAlign w:val="bottom"/>
          </w:tcPr>
          <w:p w:rsidR="00000000" w:rsidRDefault="00000000">
            <w:pPr>
              <w:pStyle w:val="BodyText"/>
              <w:spacing w:after="0" w:line="240" w:lineRule="auto"/>
              <w:rPr>
                <w:color w:val="000000"/>
                <w:sz w:val="18"/>
              </w:rPr>
            </w:pPr>
            <w:r>
              <w:rPr>
                <w:color w:val="000000"/>
                <w:sz w:val="18"/>
              </w:rPr>
              <w:t>Итого</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288</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35</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323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323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34</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357</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462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492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664</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704</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571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44</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615</w:t>
            </w:r>
          </w:p>
        </w:tc>
      </w:tr>
      <w:tr w:rsidR="00000000">
        <w:tblPrEx>
          <w:tblCellMar>
            <w:top w:w="0" w:type="dxa"/>
            <w:bottom w:w="0" w:type="dxa"/>
          </w:tblCellMar>
        </w:tblPrEx>
        <w:trPr>
          <w:cantSplit/>
          <w:trHeight w:val="20"/>
          <w:jc w:val="center"/>
        </w:trPr>
        <w:tc>
          <w:tcPr>
            <w:tcW w:w="1308" w:type="dxa"/>
            <w:vMerge w:val="restart"/>
            <w:shd w:val="clear" w:color="auto" w:fill="FFFFFF"/>
          </w:tcPr>
          <w:p w:rsidR="00000000" w:rsidRDefault="00000000">
            <w:pPr>
              <w:pStyle w:val="BodyText"/>
              <w:spacing w:after="0" w:line="240" w:lineRule="auto"/>
              <w:rPr>
                <w:color w:val="000000"/>
                <w:sz w:val="18"/>
              </w:rPr>
            </w:pPr>
            <w:r>
              <w:rPr>
                <w:color w:val="000000"/>
                <w:sz w:val="18"/>
              </w:rPr>
              <w:t>Права</w:t>
            </w:r>
          </w:p>
        </w:tc>
        <w:tc>
          <w:tcPr>
            <w:tcW w:w="551" w:type="dxa"/>
            <w:shd w:val="clear" w:color="auto" w:fill="FFFFFF"/>
            <w:vAlign w:val="bottom"/>
          </w:tcPr>
          <w:p w:rsidR="00000000" w:rsidRDefault="00000000">
            <w:pPr>
              <w:pStyle w:val="BodyText"/>
              <w:spacing w:after="0" w:line="240" w:lineRule="auto"/>
              <w:rPr>
                <w:color w:val="000000"/>
                <w:sz w:val="18"/>
              </w:rPr>
            </w:pPr>
            <w:r>
              <w:rPr>
                <w:color w:val="000000"/>
                <w:sz w:val="18"/>
              </w:rPr>
              <w:t>М</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76</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78</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58</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56</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58</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75</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78</w:t>
            </w:r>
          </w:p>
        </w:tc>
      </w:tr>
      <w:tr w:rsidR="00000000">
        <w:tblPrEx>
          <w:tblCellMar>
            <w:top w:w="0" w:type="dxa"/>
            <w:bottom w:w="0" w:type="dxa"/>
          </w:tblCellMar>
        </w:tblPrEx>
        <w:trPr>
          <w:cantSplit/>
          <w:trHeight w:val="20"/>
          <w:jc w:val="center"/>
        </w:trPr>
        <w:tc>
          <w:tcPr>
            <w:tcW w:w="1308" w:type="dxa"/>
            <w:vMerge/>
            <w:shd w:val="clear" w:color="auto" w:fill="FFFFFF"/>
          </w:tcPr>
          <w:p w:rsidR="00000000" w:rsidRDefault="00000000">
            <w:pPr>
              <w:pStyle w:val="BodyText"/>
              <w:spacing w:after="0" w:line="240" w:lineRule="auto"/>
              <w:rPr>
                <w:color w:val="000000"/>
                <w:sz w:val="18"/>
              </w:rPr>
            </w:pPr>
          </w:p>
        </w:tc>
        <w:tc>
          <w:tcPr>
            <w:tcW w:w="551" w:type="dxa"/>
            <w:shd w:val="clear" w:color="auto" w:fill="FFFFFF"/>
            <w:vAlign w:val="bottom"/>
          </w:tcPr>
          <w:p w:rsidR="00000000" w:rsidRDefault="00000000">
            <w:pPr>
              <w:pStyle w:val="BodyText"/>
              <w:spacing w:after="0" w:line="240" w:lineRule="auto"/>
              <w:rPr>
                <w:color w:val="000000"/>
                <w:sz w:val="18"/>
              </w:rPr>
            </w:pPr>
            <w:r>
              <w:rPr>
                <w:color w:val="000000"/>
                <w:sz w:val="18"/>
              </w:rPr>
              <w:t>Ж</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8</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76</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67</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68</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65</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70</w:t>
            </w:r>
          </w:p>
        </w:tc>
      </w:tr>
      <w:tr w:rsidR="00000000">
        <w:tblPrEx>
          <w:tblCellMar>
            <w:top w:w="0" w:type="dxa"/>
            <w:bottom w:w="0" w:type="dxa"/>
          </w:tblCellMar>
        </w:tblPrEx>
        <w:trPr>
          <w:cantSplit/>
          <w:trHeight w:val="20"/>
          <w:jc w:val="center"/>
        </w:trPr>
        <w:tc>
          <w:tcPr>
            <w:tcW w:w="1308" w:type="dxa"/>
            <w:vMerge/>
            <w:shd w:val="clear" w:color="auto" w:fill="FFFFFF"/>
          </w:tcPr>
          <w:p w:rsidR="00000000" w:rsidRDefault="00000000">
            <w:pPr>
              <w:pStyle w:val="BodyText"/>
              <w:spacing w:after="0" w:line="240" w:lineRule="auto"/>
              <w:rPr>
                <w:color w:val="000000"/>
                <w:sz w:val="18"/>
              </w:rPr>
            </w:pPr>
          </w:p>
        </w:tc>
        <w:tc>
          <w:tcPr>
            <w:tcW w:w="551" w:type="dxa"/>
            <w:shd w:val="clear" w:color="auto" w:fill="FFFFFF"/>
            <w:vAlign w:val="bottom"/>
          </w:tcPr>
          <w:p w:rsidR="00000000" w:rsidRDefault="00000000">
            <w:pPr>
              <w:pStyle w:val="BodyText"/>
              <w:spacing w:after="0" w:line="240" w:lineRule="auto"/>
              <w:rPr>
                <w:color w:val="000000"/>
                <w:sz w:val="18"/>
              </w:rPr>
            </w:pPr>
            <w:r>
              <w:rPr>
                <w:color w:val="000000"/>
                <w:sz w:val="18"/>
              </w:rPr>
              <w:t>Итого</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128</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138</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131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8</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139</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96</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100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138</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139</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140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8</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148</w:t>
            </w:r>
          </w:p>
        </w:tc>
      </w:tr>
      <w:tr w:rsidR="00000000">
        <w:tblPrEx>
          <w:tblCellMar>
            <w:top w:w="0" w:type="dxa"/>
            <w:bottom w:w="0" w:type="dxa"/>
          </w:tblCellMar>
        </w:tblPrEx>
        <w:trPr>
          <w:cantSplit/>
          <w:trHeight w:val="20"/>
          <w:jc w:val="center"/>
        </w:trPr>
        <w:tc>
          <w:tcPr>
            <w:tcW w:w="1308" w:type="dxa"/>
            <w:vMerge w:val="restart"/>
            <w:shd w:val="clear" w:color="auto" w:fill="FFFFFF"/>
          </w:tcPr>
          <w:p w:rsidR="00000000" w:rsidRDefault="00000000">
            <w:pPr>
              <w:pStyle w:val="BodyText"/>
              <w:spacing w:after="0" w:line="240" w:lineRule="auto"/>
              <w:rPr>
                <w:color w:val="000000"/>
                <w:sz w:val="18"/>
              </w:rPr>
            </w:pPr>
            <w:r>
              <w:rPr>
                <w:color w:val="000000"/>
                <w:sz w:val="18"/>
              </w:rPr>
              <w:t>Гуманитарных наук</w:t>
            </w:r>
          </w:p>
        </w:tc>
        <w:tc>
          <w:tcPr>
            <w:tcW w:w="551" w:type="dxa"/>
            <w:shd w:val="clear" w:color="auto" w:fill="FFFFFF"/>
            <w:vAlign w:val="bottom"/>
          </w:tcPr>
          <w:p w:rsidR="00000000" w:rsidRDefault="00000000">
            <w:pPr>
              <w:pStyle w:val="BodyText"/>
              <w:spacing w:after="0" w:line="240" w:lineRule="auto"/>
              <w:rPr>
                <w:color w:val="000000"/>
                <w:sz w:val="18"/>
              </w:rPr>
            </w:pPr>
            <w:r>
              <w:rPr>
                <w:color w:val="000000"/>
                <w:sz w:val="18"/>
              </w:rPr>
              <w:t>М</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36</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35</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24</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26</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65</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106</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119</w:t>
            </w:r>
          </w:p>
        </w:tc>
      </w:tr>
      <w:tr w:rsidR="00000000">
        <w:tblPrEx>
          <w:tblCellMar>
            <w:top w:w="0" w:type="dxa"/>
            <w:bottom w:w="0" w:type="dxa"/>
          </w:tblCellMar>
        </w:tblPrEx>
        <w:trPr>
          <w:cantSplit/>
          <w:trHeight w:val="20"/>
          <w:jc w:val="center"/>
        </w:trPr>
        <w:tc>
          <w:tcPr>
            <w:tcW w:w="1308" w:type="dxa"/>
            <w:vMerge/>
            <w:shd w:val="clear" w:color="auto" w:fill="FFFFFF"/>
          </w:tcPr>
          <w:p w:rsidR="00000000" w:rsidRDefault="00000000">
            <w:pPr>
              <w:pStyle w:val="BodyText"/>
              <w:spacing w:after="0" w:line="240" w:lineRule="auto"/>
              <w:rPr>
                <w:color w:val="000000"/>
                <w:sz w:val="18"/>
              </w:rPr>
            </w:pPr>
          </w:p>
        </w:tc>
        <w:tc>
          <w:tcPr>
            <w:tcW w:w="551" w:type="dxa"/>
            <w:shd w:val="clear" w:color="auto" w:fill="FFFFFF"/>
            <w:vAlign w:val="bottom"/>
          </w:tcPr>
          <w:p w:rsidR="00000000" w:rsidRDefault="00000000">
            <w:pPr>
              <w:pStyle w:val="BodyText"/>
              <w:spacing w:after="0" w:line="240" w:lineRule="auto"/>
              <w:rPr>
                <w:color w:val="000000"/>
                <w:sz w:val="18"/>
              </w:rPr>
            </w:pPr>
            <w:r>
              <w:rPr>
                <w:color w:val="000000"/>
                <w:sz w:val="18"/>
              </w:rPr>
              <w:t>Ж</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158</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16</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201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232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242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294</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307</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403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426</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471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35</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506</w:t>
            </w:r>
          </w:p>
        </w:tc>
      </w:tr>
      <w:tr w:rsidR="00000000">
        <w:tblPrEx>
          <w:tblCellMar>
            <w:top w:w="0" w:type="dxa"/>
            <w:bottom w:w="0" w:type="dxa"/>
          </w:tblCellMar>
        </w:tblPrEx>
        <w:trPr>
          <w:cantSplit/>
          <w:trHeight w:val="20"/>
          <w:jc w:val="center"/>
        </w:trPr>
        <w:tc>
          <w:tcPr>
            <w:tcW w:w="1308" w:type="dxa"/>
            <w:vMerge/>
            <w:shd w:val="clear" w:color="auto" w:fill="FFFFFF"/>
          </w:tcPr>
          <w:p w:rsidR="00000000" w:rsidRDefault="00000000">
            <w:pPr>
              <w:pStyle w:val="BodyText"/>
              <w:spacing w:after="0" w:line="240" w:lineRule="auto"/>
              <w:rPr>
                <w:color w:val="000000"/>
                <w:sz w:val="18"/>
              </w:rPr>
            </w:pPr>
          </w:p>
        </w:tc>
        <w:tc>
          <w:tcPr>
            <w:tcW w:w="551" w:type="dxa"/>
            <w:shd w:val="clear" w:color="auto" w:fill="FFFFFF"/>
            <w:vAlign w:val="bottom"/>
          </w:tcPr>
          <w:p w:rsidR="00000000" w:rsidRDefault="00000000">
            <w:pPr>
              <w:pStyle w:val="BodyText"/>
              <w:spacing w:after="0" w:line="240" w:lineRule="auto"/>
              <w:rPr>
                <w:color w:val="000000"/>
                <w:sz w:val="18"/>
              </w:rPr>
            </w:pPr>
            <w:r>
              <w:rPr>
                <w:color w:val="000000"/>
                <w:sz w:val="18"/>
              </w:rPr>
              <w:t>Итого</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221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244</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262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15</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211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318</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15</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333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468</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29</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497</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577</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48</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625</w:t>
            </w:r>
          </w:p>
        </w:tc>
      </w:tr>
      <w:tr w:rsidR="00000000">
        <w:tblPrEx>
          <w:tblCellMar>
            <w:top w:w="0" w:type="dxa"/>
            <w:bottom w:w="0" w:type="dxa"/>
          </w:tblCellMar>
        </w:tblPrEx>
        <w:trPr>
          <w:cantSplit/>
          <w:trHeight w:val="20"/>
          <w:jc w:val="center"/>
        </w:trPr>
        <w:tc>
          <w:tcPr>
            <w:tcW w:w="1308" w:type="dxa"/>
            <w:vMerge w:val="restart"/>
            <w:shd w:val="clear" w:color="auto" w:fill="FFFFFF"/>
          </w:tcPr>
          <w:p w:rsidR="00000000" w:rsidRDefault="00000000">
            <w:pPr>
              <w:pStyle w:val="BodyText"/>
              <w:spacing w:after="0" w:line="240" w:lineRule="auto"/>
              <w:rPr>
                <w:color w:val="000000"/>
                <w:sz w:val="18"/>
              </w:rPr>
            </w:pPr>
            <w:r>
              <w:rPr>
                <w:color w:val="000000"/>
                <w:sz w:val="18"/>
              </w:rPr>
              <w:t>Естественных наук</w:t>
            </w:r>
          </w:p>
        </w:tc>
        <w:tc>
          <w:tcPr>
            <w:tcW w:w="551" w:type="dxa"/>
            <w:shd w:val="clear" w:color="auto" w:fill="FFFFFF"/>
            <w:vAlign w:val="bottom"/>
          </w:tcPr>
          <w:p w:rsidR="00000000" w:rsidRDefault="00000000">
            <w:pPr>
              <w:pStyle w:val="BodyText"/>
              <w:spacing w:after="0" w:line="240" w:lineRule="auto"/>
              <w:rPr>
                <w:color w:val="000000"/>
                <w:sz w:val="18"/>
              </w:rPr>
            </w:pPr>
            <w:r>
              <w:rPr>
                <w:color w:val="000000"/>
                <w:sz w:val="18"/>
              </w:rPr>
              <w:t>М</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17</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44</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54</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28</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39</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35</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17</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52</w:t>
            </w:r>
          </w:p>
        </w:tc>
      </w:tr>
      <w:tr w:rsidR="00000000">
        <w:tblPrEx>
          <w:tblCellMar>
            <w:top w:w="0" w:type="dxa"/>
            <w:bottom w:w="0" w:type="dxa"/>
          </w:tblCellMar>
        </w:tblPrEx>
        <w:trPr>
          <w:cantSplit/>
          <w:trHeight w:val="20"/>
          <w:jc w:val="center"/>
        </w:trPr>
        <w:tc>
          <w:tcPr>
            <w:tcW w:w="1308" w:type="dxa"/>
            <w:vMerge/>
            <w:shd w:val="clear" w:color="auto" w:fill="FFFFFF"/>
          </w:tcPr>
          <w:p w:rsidR="00000000" w:rsidRDefault="00000000">
            <w:pPr>
              <w:pStyle w:val="BodyText"/>
              <w:spacing w:after="0" w:line="240" w:lineRule="auto"/>
              <w:rPr>
                <w:color w:val="000000"/>
                <w:sz w:val="18"/>
              </w:rPr>
            </w:pPr>
          </w:p>
        </w:tc>
        <w:tc>
          <w:tcPr>
            <w:tcW w:w="551" w:type="dxa"/>
            <w:shd w:val="clear" w:color="auto" w:fill="FFFFFF"/>
            <w:vAlign w:val="bottom"/>
          </w:tcPr>
          <w:p w:rsidR="00000000" w:rsidRDefault="00000000">
            <w:pPr>
              <w:pStyle w:val="BodyText"/>
              <w:spacing w:after="0" w:line="240" w:lineRule="auto"/>
              <w:rPr>
                <w:color w:val="000000"/>
                <w:sz w:val="18"/>
              </w:rPr>
            </w:pPr>
            <w:r>
              <w:rPr>
                <w:color w:val="000000"/>
                <w:sz w:val="18"/>
              </w:rPr>
              <w:t>Ж</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178</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210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150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172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171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184</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197</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25</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222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180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203</w:t>
            </w:r>
          </w:p>
        </w:tc>
      </w:tr>
      <w:tr w:rsidR="00000000">
        <w:tblPrEx>
          <w:tblCellMar>
            <w:top w:w="0" w:type="dxa"/>
            <w:bottom w:w="0" w:type="dxa"/>
          </w:tblCellMar>
        </w:tblPrEx>
        <w:trPr>
          <w:cantSplit/>
          <w:trHeight w:val="20"/>
          <w:jc w:val="center"/>
        </w:trPr>
        <w:tc>
          <w:tcPr>
            <w:tcW w:w="1308" w:type="dxa"/>
            <w:vMerge/>
            <w:shd w:val="clear" w:color="auto" w:fill="FFFFFF"/>
          </w:tcPr>
          <w:p w:rsidR="00000000" w:rsidRDefault="00000000">
            <w:pPr>
              <w:pStyle w:val="BodyText"/>
              <w:spacing w:after="0" w:line="240" w:lineRule="auto"/>
              <w:rPr>
                <w:color w:val="000000"/>
                <w:sz w:val="18"/>
              </w:rPr>
            </w:pPr>
          </w:p>
        </w:tc>
        <w:tc>
          <w:tcPr>
            <w:tcW w:w="551" w:type="dxa"/>
            <w:shd w:val="clear" w:color="auto" w:fill="FFFFFF"/>
            <w:vAlign w:val="bottom"/>
          </w:tcPr>
          <w:p w:rsidR="00000000" w:rsidRDefault="00000000">
            <w:pPr>
              <w:pStyle w:val="BodyText"/>
              <w:spacing w:after="0" w:line="240" w:lineRule="auto"/>
              <w:rPr>
                <w:color w:val="000000"/>
                <w:sz w:val="18"/>
              </w:rPr>
            </w:pPr>
            <w:r>
              <w:rPr>
                <w:color w:val="000000"/>
                <w:sz w:val="18"/>
              </w:rPr>
              <w:t>Итого</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211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49</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260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194</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226</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203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24</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227</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225</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36</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261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215</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255</w:t>
            </w:r>
          </w:p>
        </w:tc>
      </w:tr>
      <w:tr w:rsidR="00000000">
        <w:tblPrEx>
          <w:tblCellMar>
            <w:top w:w="0" w:type="dxa"/>
            <w:bottom w:w="0" w:type="dxa"/>
          </w:tblCellMar>
        </w:tblPrEx>
        <w:trPr>
          <w:cantSplit/>
          <w:trHeight w:val="20"/>
          <w:jc w:val="center"/>
        </w:trPr>
        <w:tc>
          <w:tcPr>
            <w:tcW w:w="1308" w:type="dxa"/>
            <w:vMerge w:val="restart"/>
            <w:shd w:val="clear" w:color="auto" w:fill="FFFFFF"/>
          </w:tcPr>
          <w:p w:rsidR="00000000" w:rsidRDefault="00000000">
            <w:pPr>
              <w:pStyle w:val="BodyText"/>
              <w:spacing w:after="0" w:line="240" w:lineRule="auto"/>
              <w:rPr>
                <w:color w:val="000000"/>
                <w:sz w:val="18"/>
              </w:rPr>
            </w:pPr>
            <w:r>
              <w:rPr>
                <w:color w:val="000000"/>
                <w:sz w:val="18"/>
              </w:rPr>
              <w:t>Медицины</w:t>
            </w:r>
          </w:p>
        </w:tc>
        <w:tc>
          <w:tcPr>
            <w:tcW w:w="551" w:type="dxa"/>
            <w:shd w:val="clear" w:color="auto" w:fill="FFFFFF"/>
            <w:vAlign w:val="bottom"/>
          </w:tcPr>
          <w:p w:rsidR="00000000" w:rsidRDefault="00000000">
            <w:pPr>
              <w:pStyle w:val="BodyText"/>
              <w:spacing w:after="0" w:line="240" w:lineRule="auto"/>
              <w:rPr>
                <w:color w:val="000000"/>
                <w:sz w:val="18"/>
              </w:rPr>
            </w:pPr>
            <w:r>
              <w:rPr>
                <w:color w:val="000000"/>
                <w:sz w:val="18"/>
              </w:rPr>
              <w:t>М</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26</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29</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25</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25</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25</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25</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51</w:t>
            </w:r>
          </w:p>
        </w:tc>
      </w:tr>
      <w:tr w:rsidR="00000000">
        <w:tblPrEx>
          <w:tblCellMar>
            <w:top w:w="0" w:type="dxa"/>
            <w:bottom w:w="0" w:type="dxa"/>
          </w:tblCellMar>
        </w:tblPrEx>
        <w:trPr>
          <w:cantSplit/>
          <w:trHeight w:val="20"/>
          <w:jc w:val="center"/>
        </w:trPr>
        <w:tc>
          <w:tcPr>
            <w:tcW w:w="1308" w:type="dxa"/>
            <w:vMerge/>
            <w:shd w:val="clear" w:color="auto" w:fill="FFFFFF"/>
          </w:tcPr>
          <w:p w:rsidR="00000000" w:rsidRDefault="00000000">
            <w:pPr>
              <w:pStyle w:val="BodyText"/>
              <w:spacing w:after="0" w:line="240" w:lineRule="auto"/>
              <w:rPr>
                <w:color w:val="000000"/>
                <w:sz w:val="18"/>
              </w:rPr>
            </w:pPr>
          </w:p>
        </w:tc>
        <w:tc>
          <w:tcPr>
            <w:tcW w:w="551" w:type="dxa"/>
            <w:shd w:val="clear" w:color="auto" w:fill="FFFFFF"/>
            <w:vAlign w:val="bottom"/>
          </w:tcPr>
          <w:p w:rsidR="00000000" w:rsidRDefault="00000000">
            <w:pPr>
              <w:pStyle w:val="BodyText"/>
              <w:spacing w:after="0" w:line="240" w:lineRule="auto"/>
              <w:rPr>
                <w:color w:val="000000"/>
                <w:sz w:val="18"/>
              </w:rPr>
            </w:pPr>
            <w:r>
              <w:rPr>
                <w:color w:val="000000"/>
                <w:sz w:val="18"/>
              </w:rPr>
              <w:t>Ж</w:t>
            </w:r>
          </w:p>
        </w:tc>
        <w:tc>
          <w:tcPr>
            <w:tcW w:w="462" w:type="dxa"/>
            <w:shd w:val="clear" w:color="auto" w:fill="FFFFFF"/>
            <w:vAlign w:val="bottom"/>
          </w:tcPr>
          <w:p w:rsidR="00000000" w:rsidRDefault="00000000">
            <w:pPr>
              <w:pStyle w:val="BodyText"/>
              <w:spacing w:after="0" w:line="240" w:lineRule="auto"/>
              <w:jc w:val="right"/>
              <w:rPr>
                <w:color w:val="000000"/>
                <w:sz w:val="18"/>
                <w:lang w:val="en-US"/>
              </w:rPr>
            </w:pPr>
            <w:r>
              <w:rPr>
                <w:color w:val="000000"/>
                <w:sz w:val="18"/>
                <w:lang w:val="en-US"/>
              </w:rPr>
              <w:t>25</w:t>
            </w:r>
          </w:p>
        </w:tc>
        <w:tc>
          <w:tcPr>
            <w:tcW w:w="462" w:type="dxa"/>
            <w:shd w:val="clear" w:color="auto" w:fill="FFFFFF"/>
            <w:vAlign w:val="bottom"/>
          </w:tcPr>
          <w:p w:rsidR="00000000" w:rsidRDefault="00000000">
            <w:pPr>
              <w:pStyle w:val="BodyText"/>
              <w:spacing w:after="0" w:line="240" w:lineRule="auto"/>
              <w:jc w:val="right"/>
              <w:rPr>
                <w:color w:val="000000"/>
                <w:sz w:val="18"/>
                <w:lang w:val="en-US"/>
              </w:rPr>
            </w:pPr>
            <w:r>
              <w:rPr>
                <w:color w:val="000000"/>
                <w:sz w:val="18"/>
                <w:lang w:val="en-US"/>
              </w:rPr>
              <w:t>1</w:t>
            </w:r>
          </w:p>
        </w:tc>
        <w:tc>
          <w:tcPr>
            <w:tcW w:w="462" w:type="dxa"/>
            <w:shd w:val="clear" w:color="auto" w:fill="FFFFFF"/>
            <w:vAlign w:val="bottom"/>
          </w:tcPr>
          <w:p w:rsidR="00000000" w:rsidRDefault="00000000">
            <w:pPr>
              <w:pStyle w:val="BodyText"/>
              <w:spacing w:after="0" w:line="240" w:lineRule="auto"/>
              <w:jc w:val="right"/>
              <w:rPr>
                <w:color w:val="000000"/>
                <w:sz w:val="18"/>
                <w:lang w:val="en-US"/>
              </w:rPr>
            </w:pPr>
            <w:r>
              <w:rPr>
                <w:color w:val="000000"/>
                <w:sz w:val="18"/>
                <w:lang w:val="en-US"/>
              </w:rPr>
              <w:t>26</w:t>
            </w:r>
          </w:p>
        </w:tc>
        <w:tc>
          <w:tcPr>
            <w:tcW w:w="462" w:type="dxa"/>
            <w:shd w:val="clear" w:color="auto" w:fill="FFFFFF"/>
            <w:vAlign w:val="bottom"/>
          </w:tcPr>
          <w:p w:rsidR="00000000" w:rsidRDefault="00000000">
            <w:pPr>
              <w:pStyle w:val="BodyText"/>
              <w:spacing w:after="0" w:line="240" w:lineRule="auto"/>
              <w:jc w:val="right"/>
              <w:rPr>
                <w:color w:val="000000"/>
                <w:sz w:val="18"/>
                <w:lang w:val="en-US"/>
              </w:rPr>
            </w:pPr>
            <w:r>
              <w:rPr>
                <w:color w:val="000000"/>
                <w:sz w:val="18"/>
                <w:lang w:val="en-US"/>
              </w:rPr>
              <w:t>20</w:t>
            </w:r>
          </w:p>
        </w:tc>
        <w:tc>
          <w:tcPr>
            <w:tcW w:w="462" w:type="dxa"/>
            <w:shd w:val="clear" w:color="auto" w:fill="FFFFFF"/>
            <w:vAlign w:val="bottom"/>
          </w:tcPr>
          <w:p w:rsidR="00000000" w:rsidRDefault="00000000">
            <w:pPr>
              <w:pStyle w:val="BodyText"/>
              <w:spacing w:after="0" w:line="240" w:lineRule="auto"/>
              <w:jc w:val="right"/>
              <w:rPr>
                <w:color w:val="000000"/>
                <w:sz w:val="18"/>
                <w:lang w:val="en-US"/>
              </w:rPr>
            </w:pPr>
            <w:r>
              <w:rPr>
                <w:color w:val="000000"/>
                <w:sz w:val="18"/>
                <w:lang w:val="en-US"/>
              </w:rPr>
              <w:t>2</w:t>
            </w:r>
          </w:p>
        </w:tc>
        <w:tc>
          <w:tcPr>
            <w:tcW w:w="462" w:type="dxa"/>
            <w:shd w:val="clear" w:color="auto" w:fill="FFFFFF"/>
            <w:vAlign w:val="bottom"/>
          </w:tcPr>
          <w:p w:rsidR="00000000" w:rsidRDefault="00000000">
            <w:pPr>
              <w:pStyle w:val="BodyText"/>
              <w:spacing w:after="0" w:line="240" w:lineRule="auto"/>
              <w:jc w:val="right"/>
              <w:rPr>
                <w:color w:val="000000"/>
                <w:sz w:val="18"/>
                <w:lang w:val="en-US"/>
              </w:rPr>
            </w:pPr>
            <w:r>
              <w:rPr>
                <w:color w:val="000000"/>
                <w:sz w:val="18"/>
                <w:lang w:val="en-US"/>
              </w:rPr>
              <w:t>22</w:t>
            </w:r>
          </w:p>
        </w:tc>
        <w:tc>
          <w:tcPr>
            <w:tcW w:w="462" w:type="dxa"/>
            <w:shd w:val="clear" w:color="auto" w:fill="FFFFFF"/>
            <w:vAlign w:val="bottom"/>
          </w:tcPr>
          <w:p w:rsidR="00000000" w:rsidRDefault="00000000">
            <w:pPr>
              <w:pStyle w:val="BodyText"/>
              <w:spacing w:after="0" w:line="240" w:lineRule="auto"/>
              <w:jc w:val="right"/>
              <w:rPr>
                <w:color w:val="000000"/>
                <w:sz w:val="18"/>
                <w:lang w:val="en-US"/>
              </w:rPr>
            </w:pPr>
            <w:r>
              <w:rPr>
                <w:color w:val="000000"/>
                <w:sz w:val="18"/>
                <w:lang w:val="en-US"/>
              </w:rPr>
              <w:t>20</w:t>
            </w:r>
          </w:p>
        </w:tc>
        <w:tc>
          <w:tcPr>
            <w:tcW w:w="462" w:type="dxa"/>
            <w:shd w:val="clear" w:color="auto" w:fill="FFFFFF"/>
            <w:vAlign w:val="bottom"/>
          </w:tcPr>
          <w:p w:rsidR="00000000" w:rsidRDefault="00000000">
            <w:pPr>
              <w:pStyle w:val="BodyText"/>
              <w:spacing w:after="0" w:line="240" w:lineRule="auto"/>
              <w:jc w:val="right"/>
              <w:rPr>
                <w:color w:val="000000"/>
                <w:sz w:val="18"/>
                <w:lang w:val="en-US"/>
              </w:rPr>
            </w:pPr>
            <w:r>
              <w:rPr>
                <w:color w:val="000000"/>
                <w:sz w:val="18"/>
                <w:lang w:val="en-US"/>
              </w:rPr>
              <w:t>2</w:t>
            </w:r>
          </w:p>
        </w:tc>
        <w:tc>
          <w:tcPr>
            <w:tcW w:w="462" w:type="dxa"/>
            <w:shd w:val="clear" w:color="auto" w:fill="FFFFFF"/>
            <w:vAlign w:val="bottom"/>
          </w:tcPr>
          <w:p w:rsidR="00000000" w:rsidRDefault="00000000">
            <w:pPr>
              <w:pStyle w:val="BodyText"/>
              <w:spacing w:after="0" w:line="240" w:lineRule="auto"/>
              <w:jc w:val="right"/>
              <w:rPr>
                <w:color w:val="000000"/>
                <w:sz w:val="18"/>
                <w:lang w:val="en-US"/>
              </w:rPr>
            </w:pPr>
            <w:r>
              <w:rPr>
                <w:color w:val="000000"/>
                <w:sz w:val="18"/>
                <w:lang w:val="en-US"/>
              </w:rPr>
              <w:t>22</w:t>
            </w:r>
          </w:p>
        </w:tc>
        <w:tc>
          <w:tcPr>
            <w:tcW w:w="462" w:type="dxa"/>
            <w:shd w:val="clear" w:color="auto" w:fill="FFFFFF"/>
            <w:vAlign w:val="bottom"/>
          </w:tcPr>
          <w:p w:rsidR="00000000" w:rsidRDefault="00000000">
            <w:pPr>
              <w:pStyle w:val="BodyText"/>
              <w:spacing w:after="0" w:line="240" w:lineRule="auto"/>
              <w:jc w:val="right"/>
              <w:rPr>
                <w:color w:val="000000"/>
                <w:sz w:val="18"/>
                <w:lang w:val="en-US"/>
              </w:rPr>
            </w:pPr>
            <w:r>
              <w:rPr>
                <w:color w:val="000000"/>
                <w:sz w:val="18"/>
                <w:lang w:val="en-US"/>
              </w:rPr>
              <w:t>25</w:t>
            </w:r>
          </w:p>
        </w:tc>
        <w:tc>
          <w:tcPr>
            <w:tcW w:w="462" w:type="dxa"/>
            <w:shd w:val="clear" w:color="auto" w:fill="FFFFFF"/>
            <w:vAlign w:val="bottom"/>
          </w:tcPr>
          <w:p w:rsidR="00000000" w:rsidRDefault="00000000">
            <w:pPr>
              <w:pStyle w:val="BodyText"/>
              <w:spacing w:after="0" w:line="240" w:lineRule="auto"/>
              <w:jc w:val="right"/>
              <w:rPr>
                <w:color w:val="000000"/>
                <w:sz w:val="18"/>
                <w:lang w:val="en-US"/>
              </w:rPr>
            </w:pPr>
            <w:r>
              <w:rPr>
                <w:color w:val="000000"/>
                <w:sz w:val="18"/>
                <w:lang w:val="en-US"/>
              </w:rPr>
              <w:t>I</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26</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54</w:t>
            </w:r>
          </w:p>
        </w:tc>
      </w:tr>
      <w:tr w:rsidR="00000000">
        <w:tblPrEx>
          <w:tblCellMar>
            <w:top w:w="0" w:type="dxa"/>
            <w:bottom w:w="0" w:type="dxa"/>
          </w:tblCellMar>
        </w:tblPrEx>
        <w:trPr>
          <w:cantSplit/>
          <w:trHeight w:val="20"/>
          <w:jc w:val="center"/>
        </w:trPr>
        <w:tc>
          <w:tcPr>
            <w:tcW w:w="1308" w:type="dxa"/>
            <w:vMerge/>
            <w:shd w:val="clear" w:color="auto" w:fill="FFFFFF"/>
          </w:tcPr>
          <w:p w:rsidR="00000000" w:rsidRDefault="00000000">
            <w:pPr>
              <w:pStyle w:val="BodyText"/>
              <w:spacing w:after="0" w:line="240" w:lineRule="auto"/>
              <w:rPr>
                <w:color w:val="000000"/>
                <w:sz w:val="18"/>
              </w:rPr>
            </w:pPr>
          </w:p>
        </w:tc>
        <w:tc>
          <w:tcPr>
            <w:tcW w:w="551" w:type="dxa"/>
            <w:shd w:val="clear" w:color="auto" w:fill="FFFFFF"/>
            <w:vAlign w:val="bottom"/>
          </w:tcPr>
          <w:p w:rsidR="00000000" w:rsidRDefault="00000000">
            <w:pPr>
              <w:pStyle w:val="BodyText"/>
              <w:spacing w:after="0" w:line="240" w:lineRule="auto"/>
              <w:rPr>
                <w:color w:val="000000"/>
                <w:sz w:val="18"/>
              </w:rPr>
            </w:pPr>
            <w:r>
              <w:rPr>
                <w:color w:val="000000"/>
                <w:sz w:val="18"/>
              </w:rPr>
              <w:t>Итого</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45</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46</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46</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45</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47</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102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105</w:t>
            </w:r>
          </w:p>
        </w:tc>
      </w:tr>
      <w:tr w:rsidR="00000000">
        <w:tblPrEx>
          <w:tblCellMar>
            <w:top w:w="0" w:type="dxa"/>
            <w:bottom w:w="0" w:type="dxa"/>
          </w:tblCellMar>
        </w:tblPrEx>
        <w:trPr>
          <w:cantSplit/>
          <w:trHeight w:val="20"/>
          <w:jc w:val="center"/>
        </w:trPr>
        <w:tc>
          <w:tcPr>
            <w:tcW w:w="1308" w:type="dxa"/>
            <w:vMerge w:val="restart"/>
            <w:shd w:val="clear" w:color="auto" w:fill="FFFFFF"/>
          </w:tcPr>
          <w:p w:rsidR="00000000" w:rsidRDefault="00000000">
            <w:pPr>
              <w:pStyle w:val="BodyText"/>
              <w:spacing w:after="0" w:line="240" w:lineRule="auto"/>
              <w:rPr>
                <w:color w:val="000000"/>
                <w:sz w:val="18"/>
              </w:rPr>
            </w:pPr>
            <w:r>
              <w:rPr>
                <w:color w:val="000000"/>
                <w:sz w:val="18"/>
              </w:rPr>
              <w:t>Инженерный</w:t>
            </w:r>
          </w:p>
        </w:tc>
        <w:tc>
          <w:tcPr>
            <w:tcW w:w="551" w:type="dxa"/>
            <w:shd w:val="clear" w:color="auto" w:fill="FFFFFF"/>
            <w:vAlign w:val="bottom"/>
          </w:tcPr>
          <w:p w:rsidR="00000000" w:rsidRDefault="00000000">
            <w:pPr>
              <w:pStyle w:val="BodyText"/>
              <w:spacing w:after="0" w:line="240" w:lineRule="auto"/>
              <w:rPr>
                <w:color w:val="000000"/>
                <w:sz w:val="18"/>
              </w:rPr>
            </w:pPr>
            <w:r>
              <w:rPr>
                <w:color w:val="000000"/>
                <w:sz w:val="18"/>
              </w:rPr>
              <w:t>М</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27</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79</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93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17</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90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94</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19</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113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118</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129</w:t>
            </w:r>
          </w:p>
        </w:tc>
      </w:tr>
      <w:tr w:rsidR="00000000">
        <w:tblPrEx>
          <w:tblCellMar>
            <w:top w:w="0" w:type="dxa"/>
            <w:bottom w:w="0" w:type="dxa"/>
          </w:tblCellMar>
        </w:tblPrEx>
        <w:trPr>
          <w:cantSplit/>
          <w:trHeight w:val="20"/>
          <w:jc w:val="center"/>
        </w:trPr>
        <w:tc>
          <w:tcPr>
            <w:tcW w:w="1308" w:type="dxa"/>
            <w:vMerge/>
            <w:shd w:val="clear" w:color="auto" w:fill="FFFFFF"/>
          </w:tcPr>
          <w:p w:rsidR="00000000" w:rsidRDefault="00000000">
            <w:pPr>
              <w:pStyle w:val="BodyText"/>
              <w:spacing w:after="0" w:line="240" w:lineRule="auto"/>
              <w:rPr>
                <w:color w:val="000000"/>
                <w:sz w:val="18"/>
              </w:rPr>
            </w:pPr>
          </w:p>
        </w:tc>
        <w:tc>
          <w:tcPr>
            <w:tcW w:w="551" w:type="dxa"/>
            <w:shd w:val="clear" w:color="auto" w:fill="FFFFFF"/>
            <w:vAlign w:val="bottom"/>
          </w:tcPr>
          <w:p w:rsidR="00000000" w:rsidRDefault="00000000">
            <w:pPr>
              <w:pStyle w:val="BodyText"/>
              <w:spacing w:after="0" w:line="240" w:lineRule="auto"/>
              <w:rPr>
                <w:color w:val="000000"/>
                <w:sz w:val="18"/>
              </w:rPr>
            </w:pPr>
            <w:r>
              <w:rPr>
                <w:color w:val="000000"/>
                <w:sz w:val="18"/>
              </w:rPr>
              <w:t>Ж</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54</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66</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69</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8</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77</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93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99</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137</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141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126</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8</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134</w:t>
            </w:r>
          </w:p>
        </w:tc>
      </w:tr>
      <w:tr w:rsidR="00000000">
        <w:tblPrEx>
          <w:tblCellMar>
            <w:top w:w="0" w:type="dxa"/>
            <w:bottom w:w="0" w:type="dxa"/>
          </w:tblCellMar>
        </w:tblPrEx>
        <w:trPr>
          <w:cantSplit/>
          <w:trHeight w:val="20"/>
          <w:jc w:val="center"/>
        </w:trPr>
        <w:tc>
          <w:tcPr>
            <w:tcW w:w="1308" w:type="dxa"/>
            <w:vMerge/>
            <w:shd w:val="clear" w:color="auto" w:fill="FFFFFF"/>
          </w:tcPr>
          <w:p w:rsidR="00000000" w:rsidRDefault="00000000">
            <w:pPr>
              <w:pStyle w:val="BodyText"/>
              <w:spacing w:after="0" w:line="240" w:lineRule="auto"/>
              <w:rPr>
                <w:color w:val="000000"/>
                <w:sz w:val="18"/>
              </w:rPr>
            </w:pPr>
          </w:p>
        </w:tc>
        <w:tc>
          <w:tcPr>
            <w:tcW w:w="551" w:type="dxa"/>
            <w:shd w:val="clear" w:color="auto" w:fill="FFFFFF"/>
            <w:vAlign w:val="bottom"/>
          </w:tcPr>
          <w:p w:rsidR="00000000" w:rsidRDefault="00000000">
            <w:pPr>
              <w:pStyle w:val="BodyText"/>
              <w:spacing w:after="0" w:line="240" w:lineRule="auto"/>
              <w:rPr>
                <w:color w:val="000000"/>
                <w:sz w:val="18"/>
              </w:rPr>
            </w:pPr>
            <w:r>
              <w:rPr>
                <w:color w:val="000000"/>
                <w:sz w:val="18"/>
              </w:rPr>
              <w:t>Итого</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106</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39</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145</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152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170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166</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189</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231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254</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244</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19</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263</w:t>
            </w:r>
          </w:p>
        </w:tc>
        <w:tc>
          <w:tcPr>
            <w:tcW w:w="462" w:type="dxa"/>
            <w:shd w:val="clear" w:color="auto" w:fill="FFFFFF"/>
            <w:vAlign w:val="bottom"/>
          </w:tcPr>
          <w:p w:rsidR="00000000" w:rsidRDefault="00000000">
            <w:pPr>
              <w:pStyle w:val="BodyText"/>
              <w:spacing w:after="0" w:line="240" w:lineRule="auto"/>
              <w:jc w:val="right"/>
              <w:rPr>
                <w:color w:val="000000"/>
                <w:sz w:val="18"/>
              </w:rPr>
            </w:pPr>
          </w:p>
        </w:tc>
      </w:tr>
      <w:tr w:rsidR="00000000">
        <w:tblPrEx>
          <w:tblCellMar>
            <w:top w:w="0" w:type="dxa"/>
            <w:bottom w:w="0" w:type="dxa"/>
          </w:tblCellMar>
        </w:tblPrEx>
        <w:trPr>
          <w:cantSplit/>
          <w:trHeight w:val="20"/>
          <w:jc w:val="center"/>
        </w:trPr>
        <w:tc>
          <w:tcPr>
            <w:tcW w:w="1308" w:type="dxa"/>
            <w:vMerge w:val="restart"/>
            <w:shd w:val="clear" w:color="auto" w:fill="FFFFFF"/>
          </w:tcPr>
          <w:p w:rsidR="00000000" w:rsidRDefault="00000000">
            <w:pPr>
              <w:pStyle w:val="BodyText"/>
              <w:spacing w:after="0" w:line="240" w:lineRule="auto"/>
              <w:jc w:val="left"/>
              <w:rPr>
                <w:color w:val="000000"/>
                <w:sz w:val="18"/>
              </w:rPr>
            </w:pPr>
            <w:r>
              <w:rPr>
                <w:color w:val="000000"/>
                <w:sz w:val="18"/>
              </w:rPr>
              <w:t>Вспомогатель-ных медицин-ских наук</w:t>
            </w:r>
          </w:p>
        </w:tc>
        <w:tc>
          <w:tcPr>
            <w:tcW w:w="551" w:type="dxa"/>
            <w:shd w:val="clear" w:color="auto" w:fill="FFFFFF"/>
            <w:vAlign w:val="bottom"/>
          </w:tcPr>
          <w:p w:rsidR="00000000" w:rsidRDefault="00000000">
            <w:pPr>
              <w:pStyle w:val="BodyText"/>
              <w:spacing w:after="0" w:line="240" w:lineRule="auto"/>
              <w:rPr>
                <w:color w:val="000000"/>
                <w:sz w:val="18"/>
              </w:rPr>
            </w:pPr>
            <w:r>
              <w:rPr>
                <w:color w:val="000000"/>
                <w:sz w:val="18"/>
              </w:rPr>
              <w:t>М</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8</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w:t>
            </w:r>
          </w:p>
        </w:tc>
      </w:tr>
      <w:tr w:rsidR="00000000">
        <w:tblPrEx>
          <w:tblCellMar>
            <w:top w:w="0" w:type="dxa"/>
            <w:bottom w:w="0" w:type="dxa"/>
          </w:tblCellMar>
        </w:tblPrEx>
        <w:trPr>
          <w:cantSplit/>
          <w:trHeight w:val="20"/>
          <w:jc w:val="center"/>
        </w:trPr>
        <w:tc>
          <w:tcPr>
            <w:tcW w:w="1308" w:type="dxa"/>
            <w:vMerge/>
            <w:shd w:val="clear" w:color="auto" w:fill="FFFFFF"/>
          </w:tcPr>
          <w:p w:rsidR="00000000" w:rsidRDefault="00000000">
            <w:pPr>
              <w:pStyle w:val="BodyText"/>
              <w:spacing w:after="0" w:line="240" w:lineRule="auto"/>
              <w:rPr>
                <w:color w:val="000000"/>
                <w:sz w:val="18"/>
              </w:rPr>
            </w:pPr>
          </w:p>
        </w:tc>
        <w:tc>
          <w:tcPr>
            <w:tcW w:w="551" w:type="dxa"/>
            <w:shd w:val="clear" w:color="auto" w:fill="FFFFFF"/>
            <w:vAlign w:val="bottom"/>
          </w:tcPr>
          <w:p w:rsidR="00000000" w:rsidRDefault="00000000">
            <w:pPr>
              <w:pStyle w:val="BodyText"/>
              <w:spacing w:after="0" w:line="240" w:lineRule="auto"/>
              <w:rPr>
                <w:color w:val="000000"/>
                <w:sz w:val="18"/>
              </w:rPr>
            </w:pPr>
            <w:r>
              <w:rPr>
                <w:color w:val="000000"/>
                <w:sz w:val="18"/>
              </w:rPr>
              <w:t>Ж</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9</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36</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24</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37</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38</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9</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47</w:t>
            </w:r>
          </w:p>
        </w:tc>
      </w:tr>
      <w:tr w:rsidR="00000000">
        <w:tblPrEx>
          <w:tblCellMar>
            <w:top w:w="0" w:type="dxa"/>
            <w:bottom w:w="0" w:type="dxa"/>
          </w:tblCellMar>
        </w:tblPrEx>
        <w:trPr>
          <w:cantSplit/>
          <w:trHeight w:val="20"/>
          <w:jc w:val="center"/>
        </w:trPr>
        <w:tc>
          <w:tcPr>
            <w:tcW w:w="1308" w:type="dxa"/>
            <w:vMerge/>
            <w:shd w:val="clear" w:color="auto" w:fill="FFFFFF"/>
          </w:tcPr>
          <w:p w:rsidR="00000000" w:rsidRDefault="00000000">
            <w:pPr>
              <w:pStyle w:val="BodyText"/>
              <w:spacing w:after="0" w:line="240" w:lineRule="auto"/>
              <w:rPr>
                <w:color w:val="000000"/>
                <w:sz w:val="18"/>
              </w:rPr>
            </w:pPr>
          </w:p>
        </w:tc>
        <w:tc>
          <w:tcPr>
            <w:tcW w:w="551" w:type="dxa"/>
            <w:shd w:val="clear" w:color="auto" w:fill="FFFFFF"/>
            <w:vAlign w:val="bottom"/>
          </w:tcPr>
          <w:p w:rsidR="00000000" w:rsidRDefault="00000000">
            <w:pPr>
              <w:pStyle w:val="BodyText"/>
              <w:spacing w:after="0" w:line="240" w:lineRule="auto"/>
              <w:rPr>
                <w:color w:val="000000"/>
                <w:sz w:val="18"/>
              </w:rPr>
            </w:pPr>
            <w:r>
              <w:rPr>
                <w:color w:val="000000"/>
                <w:sz w:val="18"/>
              </w:rPr>
              <w:t>Итого</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34</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47</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34</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14</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48</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27</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S</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35</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8</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52</w:t>
            </w:r>
          </w:p>
        </w:tc>
      </w:tr>
      <w:tr w:rsidR="00000000">
        <w:tblPrEx>
          <w:tblCellMar>
            <w:top w:w="0" w:type="dxa"/>
            <w:bottom w:w="0" w:type="dxa"/>
          </w:tblCellMar>
        </w:tblPrEx>
        <w:trPr>
          <w:cantSplit/>
          <w:trHeight w:val="20"/>
          <w:jc w:val="center"/>
        </w:trPr>
        <w:tc>
          <w:tcPr>
            <w:tcW w:w="1308" w:type="dxa"/>
            <w:vMerge w:val="restart"/>
            <w:shd w:val="clear" w:color="auto" w:fill="FFFFFF"/>
          </w:tcPr>
          <w:p w:rsidR="00000000" w:rsidRDefault="00000000">
            <w:pPr>
              <w:pStyle w:val="BodyText"/>
              <w:spacing w:after="0" w:line="240" w:lineRule="auto"/>
              <w:rPr>
                <w:color w:val="000000"/>
                <w:sz w:val="18"/>
              </w:rPr>
            </w:pPr>
            <w:r>
              <w:rPr>
                <w:color w:val="000000"/>
                <w:sz w:val="18"/>
              </w:rPr>
              <w:t>Педагогики</w:t>
            </w:r>
          </w:p>
        </w:tc>
        <w:tc>
          <w:tcPr>
            <w:tcW w:w="551" w:type="dxa"/>
            <w:shd w:val="clear" w:color="auto" w:fill="FFFFFF"/>
            <w:vAlign w:val="bottom"/>
          </w:tcPr>
          <w:p w:rsidR="00000000" w:rsidRDefault="00000000">
            <w:pPr>
              <w:pStyle w:val="BodyText"/>
              <w:spacing w:after="0" w:line="240" w:lineRule="auto"/>
              <w:rPr>
                <w:color w:val="000000"/>
                <w:sz w:val="18"/>
              </w:rPr>
            </w:pPr>
            <w:r>
              <w:rPr>
                <w:color w:val="000000"/>
                <w:sz w:val="18"/>
              </w:rPr>
              <w:t>М</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44</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26</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8</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34</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26</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68</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77</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99</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82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27</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109</w:t>
            </w:r>
          </w:p>
        </w:tc>
      </w:tr>
      <w:tr w:rsidR="00000000">
        <w:tblPrEx>
          <w:tblCellMar>
            <w:top w:w="0" w:type="dxa"/>
            <w:bottom w:w="0" w:type="dxa"/>
          </w:tblCellMar>
        </w:tblPrEx>
        <w:trPr>
          <w:cantSplit/>
          <w:trHeight w:val="20"/>
          <w:jc w:val="center"/>
        </w:trPr>
        <w:tc>
          <w:tcPr>
            <w:tcW w:w="1308" w:type="dxa"/>
            <w:vMerge/>
            <w:shd w:val="clear" w:color="auto" w:fill="FFFFFF"/>
          </w:tcPr>
          <w:p w:rsidR="00000000" w:rsidRDefault="00000000">
            <w:pPr>
              <w:pStyle w:val="BodyText"/>
              <w:spacing w:after="0" w:line="240" w:lineRule="auto"/>
              <w:rPr>
                <w:color w:val="000000"/>
                <w:sz w:val="18"/>
              </w:rPr>
            </w:pPr>
          </w:p>
        </w:tc>
        <w:tc>
          <w:tcPr>
            <w:tcW w:w="551" w:type="dxa"/>
            <w:shd w:val="clear" w:color="auto" w:fill="FFFFFF"/>
            <w:vAlign w:val="bottom"/>
          </w:tcPr>
          <w:p w:rsidR="00000000" w:rsidRDefault="00000000">
            <w:pPr>
              <w:pStyle w:val="BodyText"/>
              <w:spacing w:after="0" w:line="240" w:lineRule="auto"/>
              <w:rPr>
                <w:color w:val="000000"/>
                <w:sz w:val="18"/>
              </w:rPr>
            </w:pPr>
            <w:r>
              <w:rPr>
                <w:color w:val="000000"/>
                <w:sz w:val="18"/>
              </w:rPr>
              <w:t>Ж</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391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431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336</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358</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454</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474</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571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36</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607</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509</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55</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564</w:t>
            </w:r>
          </w:p>
        </w:tc>
      </w:tr>
      <w:tr w:rsidR="00000000">
        <w:tblPrEx>
          <w:tblCellMar>
            <w:top w:w="0" w:type="dxa"/>
            <w:bottom w:w="0" w:type="dxa"/>
          </w:tblCellMar>
        </w:tblPrEx>
        <w:trPr>
          <w:cantSplit/>
          <w:trHeight w:val="20"/>
          <w:jc w:val="center"/>
        </w:trPr>
        <w:tc>
          <w:tcPr>
            <w:tcW w:w="1308" w:type="dxa"/>
            <w:vMerge/>
            <w:shd w:val="clear" w:color="auto" w:fill="FFFFFF"/>
          </w:tcPr>
          <w:p w:rsidR="00000000" w:rsidRDefault="00000000">
            <w:pPr>
              <w:pStyle w:val="BodyText"/>
              <w:spacing w:after="0" w:line="240" w:lineRule="auto"/>
              <w:rPr>
                <w:color w:val="000000"/>
                <w:sz w:val="18"/>
              </w:rPr>
            </w:pPr>
          </w:p>
        </w:tc>
        <w:tc>
          <w:tcPr>
            <w:tcW w:w="551" w:type="dxa"/>
            <w:shd w:val="clear" w:color="auto" w:fill="FFFFFF"/>
            <w:vAlign w:val="bottom"/>
          </w:tcPr>
          <w:p w:rsidR="00000000" w:rsidRDefault="00000000">
            <w:pPr>
              <w:pStyle w:val="BodyText"/>
              <w:spacing w:after="0" w:line="240" w:lineRule="auto"/>
              <w:rPr>
                <w:color w:val="000000"/>
                <w:sz w:val="18"/>
              </w:rPr>
            </w:pPr>
            <w:r>
              <w:rPr>
                <w:color w:val="000000"/>
                <w:sz w:val="18"/>
              </w:rPr>
              <w:t>Итого</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435</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47</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482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362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392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510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542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648</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85</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607</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591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82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673</w:t>
            </w:r>
          </w:p>
        </w:tc>
      </w:tr>
      <w:tr w:rsidR="00000000">
        <w:tblPrEx>
          <w:tblCellMar>
            <w:top w:w="0" w:type="dxa"/>
            <w:bottom w:w="0" w:type="dxa"/>
          </w:tblCellMar>
        </w:tblPrEx>
        <w:trPr>
          <w:cantSplit/>
          <w:trHeight w:val="20"/>
          <w:jc w:val="center"/>
        </w:trPr>
        <w:tc>
          <w:tcPr>
            <w:tcW w:w="1308" w:type="dxa"/>
            <w:vMerge w:val="restart"/>
            <w:shd w:val="clear" w:color="auto" w:fill="FFFFFF"/>
          </w:tcPr>
          <w:p w:rsidR="00000000" w:rsidRDefault="00000000">
            <w:pPr>
              <w:pStyle w:val="BodyText"/>
              <w:spacing w:after="0" w:line="240" w:lineRule="auto"/>
              <w:rPr>
                <w:color w:val="000000"/>
                <w:sz w:val="18"/>
              </w:rPr>
            </w:pPr>
            <w:r>
              <w:rPr>
                <w:color w:val="000000"/>
                <w:sz w:val="18"/>
              </w:rPr>
              <w:t>Шариата</w:t>
            </w:r>
          </w:p>
        </w:tc>
        <w:tc>
          <w:tcPr>
            <w:tcW w:w="551" w:type="dxa"/>
            <w:shd w:val="clear" w:color="auto" w:fill="FFFFFF"/>
            <w:vAlign w:val="bottom"/>
          </w:tcPr>
          <w:p w:rsidR="00000000" w:rsidRDefault="00000000">
            <w:pPr>
              <w:pStyle w:val="BodyText"/>
              <w:spacing w:after="0" w:line="240" w:lineRule="auto"/>
              <w:rPr>
                <w:color w:val="000000"/>
                <w:sz w:val="18"/>
              </w:rPr>
            </w:pPr>
            <w:r>
              <w:rPr>
                <w:color w:val="000000"/>
                <w:sz w:val="18"/>
              </w:rPr>
              <w:t>М</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9</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18</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29</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47</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49</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81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85</w:t>
            </w:r>
          </w:p>
        </w:tc>
      </w:tr>
      <w:tr w:rsidR="00000000">
        <w:tblPrEx>
          <w:tblCellMar>
            <w:top w:w="0" w:type="dxa"/>
            <w:bottom w:w="0" w:type="dxa"/>
          </w:tblCellMar>
        </w:tblPrEx>
        <w:trPr>
          <w:cantSplit/>
          <w:trHeight w:val="20"/>
          <w:jc w:val="center"/>
        </w:trPr>
        <w:tc>
          <w:tcPr>
            <w:tcW w:w="1308" w:type="dxa"/>
            <w:vMerge/>
            <w:shd w:val="clear" w:color="auto" w:fill="FFFFFF"/>
          </w:tcPr>
          <w:p w:rsidR="00000000" w:rsidRDefault="00000000">
            <w:pPr>
              <w:pStyle w:val="BodyText"/>
              <w:spacing w:after="0" w:line="240" w:lineRule="auto"/>
              <w:rPr>
                <w:color w:val="000000"/>
                <w:sz w:val="18"/>
              </w:rPr>
            </w:pPr>
          </w:p>
        </w:tc>
        <w:tc>
          <w:tcPr>
            <w:tcW w:w="551" w:type="dxa"/>
            <w:shd w:val="clear" w:color="auto" w:fill="FFFFFF"/>
            <w:vAlign w:val="bottom"/>
          </w:tcPr>
          <w:p w:rsidR="00000000" w:rsidRDefault="00000000">
            <w:pPr>
              <w:pStyle w:val="BodyText"/>
              <w:spacing w:after="0" w:line="240" w:lineRule="auto"/>
              <w:rPr>
                <w:color w:val="000000"/>
                <w:sz w:val="18"/>
              </w:rPr>
            </w:pPr>
            <w:r>
              <w:rPr>
                <w:color w:val="000000"/>
                <w:sz w:val="18"/>
              </w:rPr>
              <w:t>Ж</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37</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47</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25</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29</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64</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119</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122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154</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14</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168</w:t>
            </w:r>
          </w:p>
        </w:tc>
      </w:tr>
      <w:tr w:rsidR="00000000">
        <w:tblPrEx>
          <w:tblCellMar>
            <w:top w:w="0" w:type="dxa"/>
            <w:bottom w:w="0" w:type="dxa"/>
          </w:tblCellMar>
        </w:tblPrEx>
        <w:trPr>
          <w:cantSplit/>
          <w:trHeight w:val="20"/>
          <w:jc w:val="center"/>
        </w:trPr>
        <w:tc>
          <w:tcPr>
            <w:tcW w:w="1308" w:type="dxa"/>
            <w:vMerge/>
            <w:shd w:val="clear" w:color="auto" w:fill="FFFFFF"/>
          </w:tcPr>
          <w:p w:rsidR="00000000" w:rsidRDefault="00000000">
            <w:pPr>
              <w:pStyle w:val="BodyText"/>
              <w:spacing w:after="0" w:line="240" w:lineRule="auto"/>
              <w:rPr>
                <w:color w:val="000000"/>
                <w:sz w:val="18"/>
              </w:rPr>
            </w:pPr>
          </w:p>
        </w:tc>
        <w:tc>
          <w:tcPr>
            <w:tcW w:w="551" w:type="dxa"/>
            <w:shd w:val="clear" w:color="auto" w:fill="FFFFFF"/>
            <w:vAlign w:val="bottom"/>
          </w:tcPr>
          <w:p w:rsidR="00000000" w:rsidRDefault="00000000">
            <w:pPr>
              <w:pStyle w:val="BodyText"/>
              <w:spacing w:after="0" w:line="240" w:lineRule="auto"/>
              <w:rPr>
                <w:color w:val="000000"/>
                <w:sz w:val="18"/>
              </w:rPr>
            </w:pPr>
            <w:r>
              <w:rPr>
                <w:color w:val="000000"/>
                <w:sz w:val="18"/>
              </w:rPr>
              <w:t>Итого</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14</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56</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93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103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166</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171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235</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18</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253</w:t>
            </w:r>
          </w:p>
        </w:tc>
      </w:tr>
      <w:tr w:rsidR="00000000">
        <w:tblPrEx>
          <w:tblCellMar>
            <w:top w:w="0" w:type="dxa"/>
            <w:bottom w:w="0" w:type="dxa"/>
          </w:tblCellMar>
        </w:tblPrEx>
        <w:trPr>
          <w:cantSplit/>
          <w:trHeight w:val="20"/>
          <w:jc w:val="center"/>
        </w:trPr>
        <w:tc>
          <w:tcPr>
            <w:tcW w:w="1308" w:type="dxa"/>
            <w:vMerge w:val="restart"/>
            <w:shd w:val="clear" w:color="auto" w:fill="FFFFFF"/>
          </w:tcPr>
          <w:p w:rsidR="00000000" w:rsidRDefault="00000000">
            <w:pPr>
              <w:pStyle w:val="BodyText"/>
              <w:spacing w:after="0" w:line="240" w:lineRule="auto"/>
              <w:rPr>
                <w:color w:val="000000"/>
                <w:sz w:val="18"/>
              </w:rPr>
            </w:pPr>
            <w:r>
              <w:rPr>
                <w:color w:val="000000"/>
                <w:sz w:val="18"/>
              </w:rPr>
              <w:t>Всего</w:t>
            </w:r>
          </w:p>
        </w:tc>
        <w:tc>
          <w:tcPr>
            <w:tcW w:w="551" w:type="dxa"/>
            <w:shd w:val="clear" w:color="auto" w:fill="FFFFFF"/>
            <w:vAlign w:val="bottom"/>
          </w:tcPr>
          <w:p w:rsidR="00000000" w:rsidRDefault="00000000">
            <w:pPr>
              <w:pStyle w:val="BodyText"/>
              <w:spacing w:after="0" w:line="240" w:lineRule="auto"/>
              <w:rPr>
                <w:color w:val="000000"/>
                <w:sz w:val="18"/>
              </w:rPr>
            </w:pPr>
            <w:r>
              <w:rPr>
                <w:color w:val="000000"/>
                <w:sz w:val="18"/>
              </w:rPr>
              <w:t>М</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367</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79</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446</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396</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66</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462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463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523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674</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83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757</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789</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109</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898</w:t>
            </w:r>
          </w:p>
        </w:tc>
      </w:tr>
      <w:tr w:rsidR="00000000">
        <w:tblPrEx>
          <w:tblCellMar>
            <w:top w:w="0" w:type="dxa"/>
            <w:bottom w:w="0" w:type="dxa"/>
          </w:tblCellMar>
        </w:tblPrEx>
        <w:trPr>
          <w:cantSplit/>
          <w:trHeight w:val="20"/>
          <w:jc w:val="center"/>
        </w:trPr>
        <w:tc>
          <w:tcPr>
            <w:tcW w:w="1308" w:type="dxa"/>
            <w:vMerge/>
            <w:shd w:val="clear" w:color="auto" w:fill="FFFFFF"/>
          </w:tcPr>
          <w:p w:rsidR="00000000" w:rsidRDefault="00000000">
            <w:pPr>
              <w:pStyle w:val="BodyText"/>
              <w:spacing w:after="0" w:line="240" w:lineRule="auto"/>
              <w:rPr>
                <w:color w:val="000000"/>
                <w:sz w:val="18"/>
              </w:rPr>
            </w:pPr>
          </w:p>
        </w:tc>
        <w:tc>
          <w:tcPr>
            <w:tcW w:w="551" w:type="dxa"/>
            <w:shd w:val="clear" w:color="auto" w:fill="FFFFFF"/>
            <w:vAlign w:val="bottom"/>
          </w:tcPr>
          <w:p w:rsidR="00000000" w:rsidRDefault="00000000">
            <w:pPr>
              <w:pStyle w:val="BodyText"/>
              <w:spacing w:after="0" w:line="240" w:lineRule="auto"/>
              <w:rPr>
                <w:color w:val="000000"/>
                <w:sz w:val="18"/>
              </w:rPr>
            </w:pPr>
            <w:r>
              <w:rPr>
                <w:color w:val="000000"/>
                <w:sz w:val="18"/>
              </w:rPr>
              <w:t>Ж</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1 143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152</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1 295</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1 151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97</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1 248</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1 457</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88</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1 545</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1 949</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118</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2 067</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1 926</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165</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2 091</w:t>
            </w:r>
          </w:p>
        </w:tc>
      </w:tr>
      <w:tr w:rsidR="00000000">
        <w:tblPrEx>
          <w:tblCellMar>
            <w:top w:w="0" w:type="dxa"/>
            <w:bottom w:w="0" w:type="dxa"/>
          </w:tblCellMar>
        </w:tblPrEx>
        <w:trPr>
          <w:cantSplit/>
          <w:trHeight w:val="20"/>
          <w:jc w:val="center"/>
        </w:trPr>
        <w:tc>
          <w:tcPr>
            <w:tcW w:w="1308" w:type="dxa"/>
            <w:vMerge/>
            <w:shd w:val="clear" w:color="auto" w:fill="FFFFFF"/>
          </w:tcPr>
          <w:p w:rsidR="00000000" w:rsidRDefault="00000000">
            <w:pPr>
              <w:pStyle w:val="BodyText"/>
              <w:spacing w:after="0" w:line="240" w:lineRule="auto"/>
              <w:rPr>
                <w:color w:val="000000"/>
                <w:sz w:val="18"/>
              </w:rPr>
            </w:pPr>
          </w:p>
        </w:tc>
        <w:tc>
          <w:tcPr>
            <w:tcW w:w="551" w:type="dxa"/>
            <w:shd w:val="clear" w:color="auto" w:fill="FFFFFF"/>
            <w:vAlign w:val="bottom"/>
          </w:tcPr>
          <w:p w:rsidR="00000000" w:rsidRDefault="00000000">
            <w:pPr>
              <w:pStyle w:val="BodyText"/>
              <w:spacing w:after="0" w:line="240" w:lineRule="auto"/>
              <w:rPr>
                <w:color w:val="000000"/>
                <w:sz w:val="18"/>
              </w:rPr>
            </w:pPr>
            <w:r>
              <w:rPr>
                <w:color w:val="000000"/>
                <w:sz w:val="18"/>
              </w:rPr>
              <w:t>Итого</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1 510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231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1 741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1 547</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163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1 710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1 920</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148</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2 068</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2 623</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201</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2 824</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2 715</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274</w:t>
            </w:r>
          </w:p>
        </w:tc>
        <w:tc>
          <w:tcPr>
            <w:tcW w:w="462" w:type="dxa"/>
            <w:shd w:val="clear" w:color="auto" w:fill="FFFFFF"/>
            <w:vAlign w:val="bottom"/>
          </w:tcPr>
          <w:p w:rsidR="00000000" w:rsidRDefault="00000000">
            <w:pPr>
              <w:pStyle w:val="BodyText"/>
              <w:spacing w:after="0" w:line="240" w:lineRule="auto"/>
              <w:jc w:val="right"/>
              <w:rPr>
                <w:color w:val="000000"/>
                <w:sz w:val="18"/>
              </w:rPr>
            </w:pPr>
            <w:r>
              <w:rPr>
                <w:color w:val="000000"/>
                <w:sz w:val="18"/>
              </w:rPr>
              <w:t>2 989</w:t>
            </w:r>
          </w:p>
        </w:tc>
      </w:tr>
    </w:tbl>
    <w:p w:rsidR="00000000" w:rsidRDefault="00000000">
      <w:pPr>
        <w:pStyle w:val="BodyText"/>
      </w:pPr>
    </w:p>
    <w:p w:rsidR="00000000" w:rsidRDefault="00000000">
      <w:pPr>
        <w:pStyle w:val="BodyText"/>
        <w:rPr>
          <w:u w:val="single"/>
        </w:rPr>
      </w:pPr>
      <w:r>
        <w:rPr>
          <w:u w:val="single"/>
        </w:rPr>
        <w:t>Государственное управление в области прикладного образования</w:t>
      </w:r>
    </w:p>
    <w:p w:rsidR="00000000" w:rsidRDefault="00000000">
      <w:pPr>
        <w:pStyle w:val="BodyText"/>
      </w:pPr>
      <w:r>
        <w:tab/>
        <w:t>Данное ведомство создано в соответствии с Законом № 63 1982 года с целью формирования и развития национальных трудовых ресурсов для ликвидации нехватки национальных технических кадров и удовлетворения потребностей развития страны. Управление состоит из отделов прикладного образования и профессиональной подготовки. Оно организует двухлетние курсы подготовки по естественным и точным наукам, а также профессиональной подготовки на уровне после окончания средней общеобразовательной школы и четырехлетний курс в Колледже учителей базового образования по основному воспитательному факультету, по окончании которого присваивается степень бакалавра педагогики. Управление вносит вклад в расширение участия кувейтских женщин в рабочей силе страны по следующим направлениям:</w:t>
      </w:r>
    </w:p>
    <w:p w:rsidR="00000000" w:rsidRDefault="00000000">
      <w:pPr>
        <w:pStyle w:val="a"/>
        <w:ind w:left="0" w:firstLine="0"/>
      </w:pPr>
      <w:r>
        <w:tab/>
      </w:r>
      <w:r>
        <w:rPr>
          <w:lang w:val="en-US"/>
        </w:rPr>
        <w:t>a</w:t>
      </w:r>
      <w:r>
        <w:t>)</w:t>
      </w:r>
      <w:r>
        <w:tab/>
        <w:t>подготовка, планирование и осуществление кратко- и долгосрочных проектов по активизации роли кувейтских женщин;</w:t>
      </w:r>
    </w:p>
    <w:p w:rsidR="00000000" w:rsidRDefault="00000000">
      <w:pPr>
        <w:pStyle w:val="a"/>
        <w:ind w:left="0" w:firstLine="0"/>
      </w:pPr>
      <w:r>
        <w:tab/>
      </w:r>
      <w:r>
        <w:rPr>
          <w:lang w:val="en-US"/>
        </w:rPr>
        <w:t>b</w:t>
      </w:r>
      <w:r>
        <w:t>)</w:t>
      </w:r>
      <w:r>
        <w:tab/>
        <w:t>предоставление кувейтским женщинам возможности доступа в сферы профессиональной деятельности, в которых традиционно преобладают мужчины, путем поощрения их к выбору специальностей и видов подготовки, отвечающих их наклонностям и способностям;</w:t>
      </w:r>
    </w:p>
    <w:p w:rsidR="00000000" w:rsidRDefault="00000000">
      <w:pPr>
        <w:pStyle w:val="a"/>
        <w:ind w:left="0" w:firstLine="0"/>
      </w:pPr>
      <w:r>
        <w:tab/>
      </w:r>
      <w:r>
        <w:rPr>
          <w:lang w:val="en-US"/>
        </w:rPr>
        <w:t>c</w:t>
      </w:r>
      <w:r>
        <w:t>)</w:t>
      </w:r>
      <w:r>
        <w:tab/>
        <w:t>обеспечение наличия такой технической специализации в сфере вспомогательных медицинских услуг, имея которую женщинам было бы легче сочетать свои профессиональные и семейные обязанности;</w:t>
      </w:r>
    </w:p>
    <w:p w:rsidR="00000000" w:rsidRDefault="00000000">
      <w:pPr>
        <w:pStyle w:val="a"/>
        <w:ind w:left="0" w:firstLine="0"/>
      </w:pPr>
      <w:r>
        <w:tab/>
      </w:r>
      <w:r>
        <w:rPr>
          <w:lang w:val="en-US"/>
        </w:rPr>
        <w:t>d</w:t>
      </w:r>
      <w:r>
        <w:t>)</w:t>
      </w:r>
      <w:r>
        <w:tab/>
        <w:t>обеспечение наличия таких специальностей и программ, которые больше соответствовали бы характеру вклада женщины в деятельность по развитию государства.</w:t>
      </w:r>
    </w:p>
    <w:p w:rsidR="00000000" w:rsidRDefault="00000000">
      <w:pPr>
        <w:pStyle w:val="-1"/>
        <w:spacing w:before="240"/>
      </w:pPr>
      <w:r>
        <w:t>Статья 11</w:t>
      </w:r>
    </w:p>
    <w:p w:rsidR="00000000" w:rsidRDefault="00000000">
      <w:pPr>
        <w:pStyle w:val="BodyText"/>
      </w:pPr>
      <w:r>
        <w:tab/>
        <w:t>Статья 41 Конституции Кувейта гласит: "Каждый гражданин Кувейта имеет право на труд, а также право выбора рода деятельности. Труд является обязанностью каждого гражданина, которая определяется его человеческим достоинством и общественным благом. Государство стремится предоставлять своим гражданам возможность трудиться на справедливых условиях".</w:t>
      </w:r>
    </w:p>
    <w:p w:rsidR="00000000" w:rsidRDefault="00000000">
      <w:pPr>
        <w:pStyle w:val="BodyText"/>
      </w:pPr>
      <w:r>
        <w:tab/>
        <w:t>Кроме того, в статье 42 указано на недопустимость навязывания принудительного труда кому бы то ни было, за исключением случаев, определяемых законодательством, ввиду национальной необходимости и за справедливое вознаграждение.</w:t>
      </w:r>
    </w:p>
    <w:p w:rsidR="00000000" w:rsidRDefault="00000000">
      <w:pPr>
        <w:pStyle w:val="BodyText"/>
      </w:pPr>
      <w:r>
        <w:tab/>
        <w:t>Статья 26 предусматривает, что государственные должности – это национальная служба, они доверяются наиболее достойным, и государственные служащие должны выполнять свои обязанности, руководствуясь интересами государства.</w:t>
      </w:r>
    </w:p>
    <w:p w:rsidR="00000000" w:rsidRDefault="00000000">
      <w:pPr>
        <w:pStyle w:val="BodyText"/>
      </w:pPr>
      <w:r>
        <w:tab/>
        <w:t>В соответствии со статьей 8 государство гарантирует своим гражданам равные возможности, а в статье 11 говорится, что оно гарантирует им пенсию по старости, болезни или нетрудоспособности, обеспечивая им услуги социального страхования, социальную помощь и медицинское обслуживание.</w:t>
      </w:r>
    </w:p>
    <w:p w:rsidR="00000000" w:rsidRDefault="00000000">
      <w:pPr>
        <w:pStyle w:val="BodyText"/>
      </w:pPr>
      <w:r>
        <w:tab/>
        <w:t>Статья 9 гласит: "Семья – это основа общества, а ее опорой являются религия, мораль, любовь к родине. Закон стоит на страже целостности семьи, способствует укреплению семейных уз и обеспечивает в рамках семьи охрану материнства и детства".</w:t>
      </w:r>
    </w:p>
    <w:p w:rsidR="00000000" w:rsidRDefault="00000000">
      <w:pPr>
        <w:pStyle w:val="BodyText"/>
      </w:pPr>
      <w:r>
        <w:tab/>
        <w:t>Из сказанного явствует, что Конституция Кувейта гарантирует право на труд, свободу его выбора и равные возможности в отношении занятости. Кроме того, все граждане имеют право занимать государственные должности. Следует отметить, что упомянутые права Конституция гарантирует в равной мере мужчинам и женщинам.</w:t>
      </w:r>
    </w:p>
    <w:p w:rsidR="00000000" w:rsidRDefault="00000000">
      <w:pPr>
        <w:pStyle w:val="BodyText"/>
      </w:pPr>
      <w:r>
        <w:tab/>
        <w:t>Исходя из вышеупомянутых конституционных принципов, Государство Кувейт приняло ряд законов с целью регламентирования вопросов, связанных с оплачиваемым трудом и занятием государственных должностей. Так, в указанные законодательные акты было включено немало положений, защищающих трудящуюся женщину и гарантирующих равную с мужчинами оплату ее труда при выполнении одной и той же работы. Кроме того, в них имеются положения, которые гарантируют женщинам возможность сочетать работу с семейными обязанностями.</w:t>
      </w:r>
    </w:p>
    <w:p w:rsidR="00000000" w:rsidRDefault="00000000">
      <w:pPr>
        <w:pStyle w:val="BodyText"/>
      </w:pPr>
      <w:r>
        <w:tab/>
        <w:t>Следует отметить, что сфера занятости в Кувейте подразделяются на два основных сектора – государственный и частный. Каждый сектор регламентируется отдельными законами, в которых определяются права и обязанности занятых в ней трудящихся. Речь идет о следующих законодательных актах:</w:t>
      </w:r>
    </w:p>
    <w:p w:rsidR="00000000" w:rsidRDefault="00000000">
      <w:pPr>
        <w:pStyle w:val="BodyText"/>
      </w:pPr>
      <w:r>
        <w:rPr>
          <w:lang w:val="en-US"/>
        </w:rPr>
        <w:t>a</w:t>
      </w:r>
      <w:r>
        <w:t>)</w:t>
      </w:r>
      <w:r>
        <w:tab/>
      </w:r>
      <w:r>
        <w:rPr>
          <w:u w:val="single"/>
        </w:rPr>
        <w:t>Закон №</w:t>
      </w:r>
      <w:r>
        <w:rPr>
          <w:u w:val="single"/>
          <w:lang w:val="en-US"/>
        </w:rPr>
        <w:t> </w:t>
      </w:r>
      <w:r>
        <w:rPr>
          <w:u w:val="single"/>
        </w:rPr>
        <w:t>38 1964</w:t>
      </w:r>
      <w:r>
        <w:rPr>
          <w:u w:val="single"/>
          <w:lang w:val="en-US"/>
        </w:rPr>
        <w:t> </w:t>
      </w:r>
      <w:r>
        <w:rPr>
          <w:u w:val="single"/>
        </w:rPr>
        <w:t>года о работе в частном секторе</w:t>
      </w:r>
    </w:p>
    <w:p w:rsidR="00000000" w:rsidRDefault="00000000">
      <w:pPr>
        <w:pStyle w:val="BodyText"/>
      </w:pPr>
      <w:r>
        <w:tab/>
        <w:t>Данный закон регламентирует вопросы труда в частном секторе. Целый ряд его положений направлены на обеспечение правовой защиты подпадающим под его действие трудящимся. Эти положения, охватывающие трудовые договоры, оплату труда, отпуска, компенсации и выходные пособия, были разработаны для защиты трудящихся и гарантии стабильности их отношений с работодателями. Все они носят всеобщий характер и не являются дискриминационными по признаку пола. С другой стороны, этот закон гарантирует права работодателей в отношениях с трудящимися в связи с любыми принимаемыми мерами с целью обеспечения максимальной производительности и дисциплины на рабочем месте.</w:t>
      </w:r>
    </w:p>
    <w:p w:rsidR="00000000" w:rsidRDefault="00000000">
      <w:pPr>
        <w:pStyle w:val="BodyText"/>
      </w:pPr>
      <w:r>
        <w:tab/>
        <w:t>В статье 1 указанного закона дано определение трудящегося и работодателя. Согласно закону, термин "трудящийся" означает любого мужчину или любую женщину из числа рабочих и служащих, выполняющих физическую или умственную работу за вознаграждение под руководством или по поручению работодателя. Термин "работодатель" означает любое физическое или юридическое лицо, получающее доходы от ремесленной или профессиональной деятельности и при этом нанимающее трудящихся за вознаграждение.</w:t>
      </w:r>
    </w:p>
    <w:p w:rsidR="00000000" w:rsidRDefault="00000000">
      <w:pPr>
        <w:pStyle w:val="BodyText"/>
        <w:spacing w:after="120"/>
      </w:pPr>
      <w:r>
        <w:tab/>
        <w:t>В главе 6 указанного закона рассматриваются вопросы, связанные с использованием женского труда. В нее включены положения, отвечающие интересам трудящейся женщины. Законодатели привели положения данной главы в соответствие со средой, господствующими традициями и обычаями, с тем чтобы обеспечить трудящимся женщинам большее внимание и защиту, предоставив им ряд льгот, позволяющих сочетать обязанности на работе и дома. К числу предусмотренных в законе мер для защиты женщин относится запрет на использование женского труда в ночное время (статья 23). Исключение из этого правила составляют некоторые предприятия частного сектора и другие учреждения, работа которых регламентируется на основании специального постановления Министерства труда и социальных вопросов. Такие предприятия и учреждения определены Постановлением министра № 58 1985 года. К ним относятся:</w:t>
      </w:r>
    </w:p>
    <w:p w:rsidR="00000000" w:rsidRDefault="00000000">
      <w:pPr>
        <w:pStyle w:val="BodyText"/>
        <w:spacing w:after="0"/>
      </w:pPr>
      <w:r>
        <w:tab/>
        <w:t>–</w:t>
      </w:r>
      <w:r>
        <w:tab/>
        <w:t>аптеки;</w:t>
      </w:r>
    </w:p>
    <w:p w:rsidR="00000000" w:rsidRDefault="00000000">
      <w:pPr>
        <w:pStyle w:val="BodyText"/>
        <w:spacing w:after="0"/>
      </w:pPr>
      <w:r>
        <w:tab/>
        <w:t>–</w:t>
      </w:r>
      <w:r>
        <w:tab/>
        <w:t>гостиницы;</w:t>
      </w:r>
    </w:p>
    <w:p w:rsidR="00000000" w:rsidRDefault="00000000">
      <w:pPr>
        <w:pStyle w:val="BodyText"/>
        <w:spacing w:after="0"/>
      </w:pPr>
      <w:r>
        <w:tab/>
        <w:t>–</w:t>
      </w:r>
      <w:r>
        <w:tab/>
        <w:t>дома по уходу за детьми и инвалидами;</w:t>
      </w:r>
    </w:p>
    <w:p w:rsidR="00000000" w:rsidRDefault="00000000">
      <w:pPr>
        <w:pStyle w:val="BodyText"/>
        <w:spacing w:after="0"/>
      </w:pPr>
      <w:r>
        <w:tab/>
        <w:t>–</w:t>
      </w:r>
      <w:r>
        <w:tab/>
        <w:t>театры;</w:t>
      </w:r>
    </w:p>
    <w:p w:rsidR="00000000" w:rsidRDefault="00000000">
      <w:pPr>
        <w:pStyle w:val="BodyText"/>
        <w:spacing w:after="0"/>
      </w:pPr>
      <w:r>
        <w:tab/>
        <w:t>–</w:t>
      </w:r>
      <w:r>
        <w:tab/>
        <w:t>предприятия сферы развлечений;</w:t>
      </w:r>
    </w:p>
    <w:p w:rsidR="00000000" w:rsidRDefault="00000000">
      <w:pPr>
        <w:pStyle w:val="BodyText"/>
      </w:pPr>
      <w:r>
        <w:tab/>
        <w:t>–</w:t>
      </w:r>
      <w:r>
        <w:tab/>
        <w:t>представительства авиакомпаний и туристических фирм.</w:t>
      </w:r>
    </w:p>
    <w:p w:rsidR="00000000" w:rsidRDefault="00000000">
      <w:pPr>
        <w:pStyle w:val="BodyText"/>
        <w:spacing w:after="120"/>
      </w:pPr>
      <w:r>
        <w:tab/>
        <w:t>Кроме того, в соответствии с указанным законом допускается использование женского труда до 24.00 в следующих местах:</w:t>
      </w:r>
    </w:p>
    <w:p w:rsidR="00000000" w:rsidRDefault="00000000">
      <w:pPr>
        <w:pStyle w:val="BodyText"/>
        <w:spacing w:after="0"/>
      </w:pPr>
      <w:r>
        <w:tab/>
        <w:t>–</w:t>
      </w:r>
      <w:r>
        <w:tab/>
        <w:t>объединения и ассоциации, функционирующие в интересах граждан;</w:t>
      </w:r>
    </w:p>
    <w:p w:rsidR="00000000" w:rsidRDefault="00000000">
      <w:pPr>
        <w:pStyle w:val="BodyText"/>
        <w:spacing w:after="0"/>
      </w:pPr>
      <w:r>
        <w:tab/>
        <w:t>–</w:t>
      </w:r>
      <w:r>
        <w:tab/>
        <w:t>медицинские учреждения;</w:t>
      </w:r>
    </w:p>
    <w:p w:rsidR="00000000" w:rsidRDefault="00000000">
      <w:pPr>
        <w:pStyle w:val="BodyText"/>
        <w:spacing w:after="0"/>
      </w:pPr>
      <w:r>
        <w:tab/>
        <w:t>–</w:t>
      </w:r>
      <w:r>
        <w:tab/>
        <w:t>коммерческие банки, компании и торговые предприятия;</w:t>
      </w:r>
    </w:p>
    <w:p w:rsidR="00000000" w:rsidRDefault="00000000">
      <w:pPr>
        <w:pStyle w:val="BodyText"/>
      </w:pPr>
      <w:r>
        <w:tab/>
        <w:t>–</w:t>
      </w:r>
      <w:r>
        <w:tab/>
        <w:t>предприятия общественного питания.</w:t>
      </w:r>
    </w:p>
    <w:p w:rsidR="00000000" w:rsidRDefault="00000000">
      <w:pPr>
        <w:pStyle w:val="BodyText"/>
      </w:pPr>
      <w:r>
        <w:tab/>
        <w:t>В статье 24 содержится запрет на использование женского труда в промышленности и на вредных для здоровья производствах, определяемых специальным Постановлением Министерства труда и социальных вопросов.</w:t>
      </w:r>
    </w:p>
    <w:p w:rsidR="00000000" w:rsidRDefault="00000000">
      <w:pPr>
        <w:pStyle w:val="BodyText"/>
        <w:rPr>
          <w:spacing w:val="-4"/>
        </w:rPr>
      </w:pPr>
      <w:r>
        <w:rPr>
          <w:spacing w:val="-4"/>
        </w:rPr>
        <w:tab/>
        <w:t>Согласно статье 25, беременным женщинам предоставлено право на отпуск продолжительностью до 30 дней до родов и 40 дней после родов с сохранением полной заработной платы.</w:t>
      </w:r>
    </w:p>
    <w:p w:rsidR="00000000" w:rsidRDefault="00000000">
      <w:pPr>
        <w:pStyle w:val="BodyText"/>
        <w:spacing w:after="180"/>
      </w:pPr>
      <w:r>
        <w:tab/>
        <w:t>В статье 27 женщина уравнена с мужчиной в правах на оплату труда. Так, в ней говорится, что трудящаяся женщина должна получать заработную плату наравне с мужчиной, если она выполняет ту же работу. В статье 56, касающейся выходного пособия, предусмотрено, что трудящаяся женщина имеет право, в случае оставления ею работы в течение шести месяцев со дня вступления в брак, требовать выплаты ей при любых обстоятельствах выходного пособия в полном объеме. Для мужчин такое право в данной статье не предусмотрено.</w:t>
      </w:r>
    </w:p>
    <w:p w:rsidR="00000000" w:rsidRDefault="00000000">
      <w:pPr>
        <w:pStyle w:val="BodyText"/>
        <w:spacing w:after="180"/>
      </w:pPr>
      <w:r>
        <w:rPr>
          <w:lang w:val="en-US"/>
        </w:rPr>
        <w:t>b</w:t>
      </w:r>
      <w:r>
        <w:t>)</w:t>
      </w:r>
      <w:r>
        <w:tab/>
      </w:r>
      <w:r>
        <w:rPr>
          <w:u w:val="single"/>
        </w:rPr>
        <w:t>Декрет № 15 1979 года о принятии закона о гражданской службе и специальных указов о порядке прохождения гражданской службы</w:t>
      </w:r>
    </w:p>
    <w:p w:rsidR="00000000" w:rsidRDefault="00000000">
      <w:pPr>
        <w:pStyle w:val="BodyText"/>
        <w:spacing w:after="180"/>
      </w:pPr>
      <w:r>
        <w:tab/>
        <w:t>Государство уделяет особое внимание гражданской службе, которую выполняет государственный аппарат. При этом оно не жалеет усилий для повышения компетентности данного аппарата и его модернизации, с тем чтобы он мог развиваться в соответствии с постоянно меняющимися потребностями, обусловленными развитием и прогрессом в различных особо важных для граждан сферах государственной службы.</w:t>
      </w:r>
    </w:p>
    <w:p w:rsidR="00000000" w:rsidRDefault="00000000">
      <w:pPr>
        <w:pStyle w:val="BodyText"/>
        <w:spacing w:after="180"/>
      </w:pPr>
      <w:r>
        <w:tab/>
        <w:t>В свете административного опыта и практического применения действующего законодательства с начала 1960-х годов было признано целесообразным регламентировать государственную службу законом, в который были бы включены устойчивые основные положения и общие принципы. Что касается положений и процедур, которым требуется гибкость, с тем чтобы их можно было изменять в соответствии с конкретными условиями, то они, как предусмотрено в статье 1 Закона № 15, принимаются на основании специальных указов.</w:t>
      </w:r>
    </w:p>
    <w:p w:rsidR="00000000" w:rsidRDefault="00000000">
      <w:pPr>
        <w:pStyle w:val="BodyText"/>
        <w:spacing w:after="180"/>
      </w:pPr>
      <w:r>
        <w:tab/>
        <w:t>Положения Закона № 15 о гражданской службе носят всеобщий характер без какой-либо дискриминации по признаку пола. Кувейтские законодатели стремились применить принцип равенства в области труда без разделения людей по признаку пола, религии или происхождения, хотя в отдельных положениях женщинам, находящимся на государственной службе, предоставляются дополнительные права.</w:t>
      </w:r>
    </w:p>
    <w:p w:rsidR="00000000" w:rsidRDefault="00000000">
      <w:pPr>
        <w:pStyle w:val="BodyText"/>
        <w:spacing w:after="180"/>
      </w:pPr>
      <w:r>
        <w:tab/>
        <w:t>В целях данного закона термин "служащий" означает "любое лицо, занимающее ту или иную должность в государственных органах независимо от характера выполняемой работы и названия должности". Термин "государственный орган" означает "любое министерство, управление или административное подразделение, смета которых является частью общего государственного бюджета или приложением к нему". Статья 4 предусматривает создание Совета по гражданской службе, обязанностью которого являются, среди прочего, работа по модернизации государственного управления, разработка уставов гражданской службы и повышение квалификации лиц, работающих в государственном аппарате.</w:t>
      </w:r>
    </w:p>
    <w:p w:rsidR="00000000" w:rsidRDefault="00000000">
      <w:pPr>
        <w:pStyle w:val="BodyText"/>
      </w:pPr>
      <w:r>
        <w:tab/>
        <w:t>В статьях 11–17 даны определение государственных должностей и их разделение на группы, а также разъяснение порядка занятия этих должностей. В статье 11 отражено подлинное значение государственных должностей, приводимое в Конституции, которое сводится к тому, что это – национальная служба, задачи которой выполняются назначаемыми на них лицами. В статье 12 постоянные должности подразделены на четыре основные группы. В статье 16 установлены критерии, которыми следует руководствоваться при назначении на должности и определении жалованья, выплачиваемого в зависимости от различных должностных категорий, квалификации или практического опыта. Особое место в законе отведено статьям 18–26, в которых изложены права и обязанности служащих, а также содержится положение, связанное с жалованьем, надбавками и периодическими учебными отпусками. В статьях 27–31 регламентируются дисциплинарные вопросы.</w:t>
      </w:r>
    </w:p>
    <w:p w:rsidR="00000000" w:rsidRDefault="00000000">
      <w:pPr>
        <w:pStyle w:val="BodyText"/>
        <w:spacing w:after="200"/>
        <w:rPr>
          <w:spacing w:val="-2"/>
        </w:rPr>
      </w:pPr>
      <w:r>
        <w:rPr>
          <w:spacing w:val="-2"/>
        </w:rPr>
        <w:tab/>
        <w:t>Что касается Специального указа о порядке прохождения гражданской службы, то в его положениях подробно отражены вопросы, связанные с назначением на государственные должности, оценкой квалификации служащих, надбавками, повышением по службе, переводом, командированием, аттестацией, дисциплинарными мерами и окончанием службы.</w:t>
      </w:r>
    </w:p>
    <w:p w:rsidR="00000000" w:rsidRDefault="00000000">
      <w:pPr>
        <w:pStyle w:val="BodyText"/>
        <w:spacing w:after="200"/>
        <w:rPr>
          <w:spacing w:val="-2"/>
        </w:rPr>
      </w:pPr>
      <w:r>
        <w:rPr>
          <w:spacing w:val="-2"/>
        </w:rPr>
        <w:tab/>
        <w:t>Принятием упомянутых законодательных актов государство стремилось создать благоприятные условия, которые стимулировали бы кувейтских женщин к работе в различных областях и видах деятельности без ущерба для основной отводимой им обществом роли – роли матери и воспитательницы подрастающего поколения. В связи с этим политика государства основывается на следующем:</w:t>
      </w:r>
    </w:p>
    <w:p w:rsidR="00000000" w:rsidRDefault="00000000">
      <w:pPr>
        <w:pStyle w:val="BodyText"/>
        <w:spacing w:after="200"/>
      </w:pPr>
      <w:r>
        <w:tab/>
        <w:t>–</w:t>
      </w:r>
      <w:r>
        <w:tab/>
        <w:t>Предоставление любой женщине, занятой в государственном секторе, двухмесячного отпуска по беременности и родам с сохранением полного жалованья, независимо от количества родов, в течение всего срока службы. Так, статья 47 Специального указа о гражданской службе гласит: "Женщине-служащей полагается отпуск по беременности и родам с сохранением полного жалованья, без учета других ее отпусков, сроком на два месяца для родов при условии, что роды будут иметь место в течение данного отпуска".</w:t>
      </w:r>
    </w:p>
    <w:p w:rsidR="00000000" w:rsidRDefault="00000000">
      <w:pPr>
        <w:pStyle w:val="BodyText"/>
        <w:spacing w:after="200"/>
      </w:pPr>
      <w:r>
        <w:tab/>
        <w:t>–</w:t>
      </w:r>
      <w:r>
        <w:tab/>
        <w:t>Предоставление любой женщине-служащей особого отпуска по уходу за ребенком с сохранением половины жалованья сроком на четыре месяца после отпуска по беременности и родам (Постановление Совета по гражданской службе № 1 1993 года). Указанный отпуск не является обязательным, и решение о его предоставлении или об отказе в его предоставлении может приниматься по усмотрению работодателя.</w:t>
      </w:r>
    </w:p>
    <w:p w:rsidR="00000000" w:rsidRDefault="00000000">
      <w:pPr>
        <w:pStyle w:val="BodyText"/>
        <w:spacing w:after="200"/>
      </w:pPr>
      <w:r>
        <w:tab/>
        <w:t>–</w:t>
      </w:r>
      <w:r>
        <w:tab/>
        <w:t>Предоставление отпуска по уходу за ребенком с сохранением полного жалованья для нахождения с больным ребенком, помещенным в лечебное учреждение, в случае если его состояние требует присутствия там и матери (Постановление Совета по гражданской службе № 1 1993 года).</w:t>
      </w:r>
    </w:p>
    <w:p w:rsidR="00000000" w:rsidRDefault="00000000">
      <w:pPr>
        <w:pStyle w:val="BodyText"/>
        <w:spacing w:after="200"/>
      </w:pPr>
      <w:r>
        <w:tab/>
        <w:t>–</w:t>
      </w:r>
      <w:r>
        <w:tab/>
        <w:t>Предоставление любой женщине-служащей отпуска с сохранением полного жалованья для заботы о семье как матери или жене пленного или пропавшего без вести сроком в один год, который может быть продлен, или после возвращения пленного или пропавшего без вести на срок 15 суток в зависимости от того, что будет иметь место ранее (упомянутое выше Постановление).</w:t>
      </w:r>
    </w:p>
    <w:p w:rsidR="00000000" w:rsidRDefault="00000000">
      <w:pPr>
        <w:pStyle w:val="BodyText"/>
        <w:spacing w:after="200"/>
      </w:pPr>
      <w:r>
        <w:tab/>
        <w:t>–</w:t>
      </w:r>
      <w:r>
        <w:tab/>
        <w:t>Предоставление любой женщине-служащей специального отпуска без сохранения жалованья в следующих случаях:</w:t>
      </w:r>
    </w:p>
    <w:p w:rsidR="00000000" w:rsidRDefault="00000000">
      <w:pPr>
        <w:pStyle w:val="BodyText"/>
        <w:spacing w:after="200"/>
        <w:ind w:left="1021" w:hanging="1021"/>
      </w:pPr>
      <w:r>
        <w:tab/>
      </w:r>
      <w:r>
        <w:rPr>
          <w:lang w:val="en-US"/>
        </w:rPr>
        <w:t>a</w:t>
      </w:r>
      <w:r>
        <w:t>)</w:t>
      </w:r>
      <w:r>
        <w:tab/>
        <w:t>При сопровождении своего супруга – государственного служащего, выезжающего за рубеж. В статье 49 определены условия, при которых допускается предоставление такого отпуска женщине-служащей. Так, указано, что министр может предоставлять женщине-служащей отпуск без сохранения жалованья для сопровождения ее супруга-служащего, выезжающего за рубеж, при его переводе или командировании в порядке научного обмена, учебного отпуска, служебной командировки или откомандирования в чье-либо распоряжение.</w:t>
      </w:r>
    </w:p>
    <w:p w:rsidR="00000000" w:rsidRDefault="00000000">
      <w:pPr>
        <w:pStyle w:val="BodyText"/>
        <w:spacing w:after="200"/>
        <w:ind w:left="1021" w:hanging="1021"/>
      </w:pPr>
      <w:r>
        <w:tab/>
      </w:r>
      <w:r>
        <w:rPr>
          <w:lang w:val="en-US"/>
        </w:rPr>
        <w:t>b</w:t>
      </w:r>
      <w:r>
        <w:t>)</w:t>
      </w:r>
      <w:r>
        <w:tab/>
        <w:t>Женщине-служащей предоставляется отдельный отпуск без сохранения жалованья по уходу за семьей. Соответствующие правила и положения были определены Советом по гражданской службе в Постановлении № 13 от 29 августа 1979 года. В его статье 1 говорится: "Допускается по решению министра предоставление замужней служащей, а также служащей-вдове или разведенной, имеющей детей, специального отпуска сроком от шести месяцев до четырех лет по уходу за семьей и детьми". В данное постановление были внесены изменения на основании Постановления № 10 от 17 декабря 1981 года, в котором говорится о том, что допускается предоставление отдельного отпуска без сохранения жалованья сроком от шести месяцев до четырех лет замужней кувейтской служащей, а также служащей, не являющейся гражданкой Кувейта, но состоящей замужем за гражданином Кувейта, вдовой или разведенной кувейтской служащей, имеющей детей, а также вдовой или разведенной служащей, не являющейся гражданкой Кувейта, имеющей детей. Внося указанное изменение, кувейтские законодатели стремились расширить рамки применения положений о предоставлении отдельного отпуска, с тем чтобы охватить ими дополнительные категории служащих, не отраженные в Постановлении № 13 1979 года.</w:t>
      </w:r>
    </w:p>
    <w:p w:rsidR="00000000" w:rsidRDefault="00000000">
      <w:pPr>
        <w:pStyle w:val="BodyText"/>
        <w:spacing w:after="200"/>
        <w:rPr>
          <w:spacing w:val="-2"/>
        </w:rPr>
      </w:pPr>
      <w:r>
        <w:rPr>
          <w:spacing w:val="-2"/>
        </w:rPr>
        <w:tab/>
        <w:t>–</w:t>
      </w:r>
      <w:r>
        <w:rPr>
          <w:spacing w:val="-2"/>
        </w:rPr>
        <w:tab/>
        <w:t>Предоставление служащей-мусульманке в случае кончины ее супруга отдельного отпуска с сохранением полного жалованья сроком на четыре месяца и десять дней со дня его кончины (статья 48).</w:t>
      </w:r>
    </w:p>
    <w:p w:rsidR="00000000" w:rsidRDefault="00000000">
      <w:pPr>
        <w:pStyle w:val="BodyText"/>
        <w:spacing w:after="200"/>
      </w:pPr>
      <w:r>
        <w:tab/>
        <w:t>–</w:t>
      </w:r>
      <w:r>
        <w:tab/>
        <w:t>Предоставление женщине, занятой в частном секторе, отпуска по беременности с сохранением полной заработной платы до и после родов на основании статьи 25 Закона № 38 1964 года, в соответствии с которым беременной трудящейся женщине предоставляется право на отпуск максимальным сроком 30 дней до родов и 40 дней после родов с сохранением полной заработной платы, после чего она может не работать, без сохранения заработной платы, в течение срока не более 100 дней подряд или вразбивку по причине болезни при наличии медицинского свидетельства о том, что болезнь явилась результатом беременности или родов.</w:t>
      </w:r>
    </w:p>
    <w:p w:rsidR="00000000" w:rsidRDefault="00000000">
      <w:pPr>
        <w:pStyle w:val="BodyText"/>
        <w:spacing w:after="200"/>
      </w:pPr>
      <w:r>
        <w:tab/>
        <w:t>–</w:t>
      </w:r>
      <w:r>
        <w:tab/>
        <w:t>Предоставление во всех случаях дополнительной социальной выплаты женщине – гражданской служащей, состоящей в браке с лицом, не являющимся государственным служащим, в случае, если она получает дополнительные социальные выплаты со времени до 1июля 1979 года.</w:t>
      </w:r>
    </w:p>
    <w:p w:rsidR="00000000" w:rsidRDefault="00000000">
      <w:pPr>
        <w:pStyle w:val="BodyText"/>
      </w:pPr>
      <w:r>
        <w:tab/>
        <w:t>–</w:t>
      </w:r>
      <w:r>
        <w:tab/>
        <w:t>Кроме того, любой женщине – гражданской служащей предоставляется дополнительная социальная выплата на ее детей в случае смерти или нетрудоспособности их отца или отсутствия у него заработка, при условии что она не получает никакого жалованья или пособия из государственной казны или если она содержит своих детей, не получая средств на их содержание от лица, которое обязано его предоставлять (Постановление Совета по гражданской службе № 1 1979 года, см. приложение).</w:t>
      </w:r>
    </w:p>
    <w:p w:rsidR="00000000" w:rsidRDefault="00000000">
      <w:pPr>
        <w:pStyle w:val="BodyText"/>
        <w:rPr>
          <w:u w:val="single"/>
        </w:rPr>
      </w:pPr>
      <w:r>
        <w:rPr>
          <w:u w:val="single"/>
        </w:rPr>
        <w:t>Участие женщин в рабочей силе</w:t>
      </w:r>
    </w:p>
    <w:p w:rsidR="00000000" w:rsidRDefault="00000000">
      <w:pPr>
        <w:pStyle w:val="BodyText"/>
        <w:spacing w:after="200"/>
      </w:pPr>
      <w:r>
        <w:tab/>
        <w:t>В соответствии с имеющимися данными на 30 июня 1999 года доля участия женщин в рабочей силе составляла 32,1 процента, а к июню 2001 года данный показатель вырос до 36 процентов.</w:t>
      </w:r>
    </w:p>
    <w:p w:rsidR="00000000" w:rsidRDefault="00000000">
      <w:pPr>
        <w:pStyle w:val="BodyText"/>
      </w:pPr>
      <w:r>
        <w:tab/>
        <w:t>Коэффициенты участия в экономической деятельности по половозрастным группам на 30 июня 1999 года характеризуют и закономерности участия женщин в рабочей силе. Так, доля участия женщин, относительно низкая в возрастной группе 15–19 лет, достигает максимального уровня 69,77 процента в возрастной группе 35–39 лет. Эти коэффициенты показаны в нижеследующей таблице:</w:t>
      </w:r>
    </w:p>
    <w:tbl>
      <w:tblPr>
        <w:tblW w:w="0" w:type="auto"/>
        <w:jc w:val="center"/>
        <w:tblLayout w:type="fixed"/>
        <w:tblCellMar>
          <w:left w:w="40" w:type="dxa"/>
          <w:right w:w="40" w:type="dxa"/>
        </w:tblCellMar>
        <w:tblLook w:val="0000" w:firstRow="0" w:lastRow="0" w:firstColumn="0" w:lastColumn="0" w:noHBand="0" w:noVBand="0"/>
      </w:tblPr>
      <w:tblGrid>
        <w:gridCol w:w="2298"/>
        <w:gridCol w:w="1981"/>
        <w:gridCol w:w="2285"/>
        <w:gridCol w:w="2212"/>
      </w:tblGrid>
      <w:tr w:rsidR="00000000">
        <w:tblPrEx>
          <w:tblCellMar>
            <w:top w:w="0" w:type="dxa"/>
            <w:bottom w:w="0" w:type="dxa"/>
          </w:tblCellMar>
        </w:tblPrEx>
        <w:trPr>
          <w:trHeight w:val="20"/>
          <w:jc w:val="center"/>
        </w:trPr>
        <w:tc>
          <w:tcPr>
            <w:tcW w:w="2298" w:type="dxa"/>
            <w:shd w:val="clear" w:color="auto" w:fill="FFFFFF"/>
          </w:tcPr>
          <w:p w:rsidR="00000000" w:rsidRDefault="00000000">
            <w:pPr>
              <w:pStyle w:val="-9"/>
              <w:jc w:val="left"/>
            </w:pPr>
            <w:r>
              <w:t>Возрастная группа</w:t>
            </w:r>
          </w:p>
        </w:tc>
        <w:tc>
          <w:tcPr>
            <w:tcW w:w="1981" w:type="dxa"/>
            <w:shd w:val="clear" w:color="auto" w:fill="FFFFFF"/>
          </w:tcPr>
          <w:p w:rsidR="00000000" w:rsidRDefault="00000000">
            <w:pPr>
              <w:pStyle w:val="-9"/>
            </w:pPr>
            <w:r>
              <w:t>Население</w:t>
            </w:r>
          </w:p>
        </w:tc>
        <w:tc>
          <w:tcPr>
            <w:tcW w:w="2285" w:type="dxa"/>
            <w:shd w:val="clear" w:color="auto" w:fill="FFFFFF"/>
          </w:tcPr>
          <w:p w:rsidR="00000000" w:rsidRDefault="00000000">
            <w:pPr>
              <w:pStyle w:val="-9"/>
            </w:pPr>
            <w:r>
              <w:t>Рабочие ресурсы</w:t>
            </w:r>
          </w:p>
        </w:tc>
        <w:tc>
          <w:tcPr>
            <w:tcW w:w="2212" w:type="dxa"/>
            <w:shd w:val="clear" w:color="auto" w:fill="FFFFFF"/>
          </w:tcPr>
          <w:p w:rsidR="00000000" w:rsidRDefault="00000000">
            <w:pPr>
              <w:pStyle w:val="-9"/>
            </w:pPr>
            <w:r>
              <w:t>Коэффициенты участия</w:t>
            </w:r>
          </w:p>
        </w:tc>
      </w:tr>
      <w:tr w:rsidR="00000000">
        <w:tblPrEx>
          <w:tblCellMar>
            <w:top w:w="0" w:type="dxa"/>
            <w:bottom w:w="0" w:type="dxa"/>
          </w:tblCellMar>
        </w:tblPrEx>
        <w:trPr>
          <w:trHeight w:val="20"/>
          <w:jc w:val="center"/>
        </w:trPr>
        <w:tc>
          <w:tcPr>
            <w:tcW w:w="2298" w:type="dxa"/>
            <w:shd w:val="clear" w:color="auto" w:fill="FFFFFF"/>
          </w:tcPr>
          <w:p w:rsidR="00000000" w:rsidRDefault="00000000">
            <w:pPr>
              <w:pStyle w:val="BodyText"/>
              <w:spacing w:after="0" w:line="240" w:lineRule="auto"/>
            </w:pPr>
            <w:r>
              <w:rPr>
                <w:color w:val="000000"/>
              </w:rPr>
              <w:t>15–19</w:t>
            </w:r>
          </w:p>
        </w:tc>
        <w:tc>
          <w:tcPr>
            <w:tcW w:w="1981" w:type="dxa"/>
            <w:shd w:val="clear" w:color="auto" w:fill="FFFFFF"/>
          </w:tcPr>
          <w:p w:rsidR="00000000" w:rsidRDefault="00000000">
            <w:pPr>
              <w:pStyle w:val="BodyText"/>
              <w:spacing w:after="0" w:line="240" w:lineRule="auto"/>
              <w:ind w:right="680"/>
              <w:jc w:val="right"/>
            </w:pPr>
            <w:r>
              <w:rPr>
                <w:color w:val="000000"/>
              </w:rPr>
              <w:t>72</w:t>
            </w:r>
            <w:r>
              <w:rPr>
                <w:color w:val="000000"/>
                <w:lang w:val="en-US"/>
              </w:rPr>
              <w:t> </w:t>
            </w:r>
            <w:r>
              <w:rPr>
                <w:color w:val="000000"/>
              </w:rPr>
              <w:t>420</w:t>
            </w:r>
          </w:p>
        </w:tc>
        <w:tc>
          <w:tcPr>
            <w:tcW w:w="2285" w:type="dxa"/>
            <w:shd w:val="clear" w:color="auto" w:fill="FFFFFF"/>
          </w:tcPr>
          <w:p w:rsidR="00000000" w:rsidRDefault="00000000">
            <w:pPr>
              <w:pStyle w:val="BodyText"/>
              <w:spacing w:after="0" w:line="240" w:lineRule="auto"/>
              <w:ind w:right="851"/>
              <w:jc w:val="right"/>
            </w:pPr>
            <w:r>
              <w:rPr>
                <w:color w:val="000000"/>
              </w:rPr>
              <w:t>387</w:t>
            </w:r>
          </w:p>
        </w:tc>
        <w:tc>
          <w:tcPr>
            <w:tcW w:w="2212" w:type="dxa"/>
            <w:shd w:val="clear" w:color="auto" w:fill="FFFFFF"/>
          </w:tcPr>
          <w:p w:rsidR="00000000" w:rsidRDefault="00000000">
            <w:pPr>
              <w:pStyle w:val="BodyText"/>
              <w:spacing w:after="0" w:line="240" w:lineRule="auto"/>
              <w:ind w:right="851"/>
              <w:jc w:val="right"/>
            </w:pPr>
            <w:r>
              <w:rPr>
                <w:color w:val="000000"/>
              </w:rPr>
              <w:t>0,53</w:t>
            </w:r>
          </w:p>
        </w:tc>
      </w:tr>
      <w:tr w:rsidR="00000000">
        <w:tblPrEx>
          <w:tblCellMar>
            <w:top w:w="0" w:type="dxa"/>
            <w:bottom w:w="0" w:type="dxa"/>
          </w:tblCellMar>
        </w:tblPrEx>
        <w:trPr>
          <w:trHeight w:val="20"/>
          <w:jc w:val="center"/>
        </w:trPr>
        <w:tc>
          <w:tcPr>
            <w:tcW w:w="2298" w:type="dxa"/>
            <w:shd w:val="clear" w:color="auto" w:fill="FFFFFF"/>
          </w:tcPr>
          <w:p w:rsidR="00000000" w:rsidRDefault="00000000">
            <w:pPr>
              <w:pStyle w:val="BodyText"/>
              <w:spacing w:after="0" w:line="240" w:lineRule="auto"/>
            </w:pPr>
            <w:r>
              <w:rPr>
                <w:color w:val="000000"/>
              </w:rPr>
              <w:t>20–24</w:t>
            </w:r>
          </w:p>
        </w:tc>
        <w:tc>
          <w:tcPr>
            <w:tcW w:w="1981" w:type="dxa"/>
            <w:shd w:val="clear" w:color="auto" w:fill="FFFFFF"/>
          </w:tcPr>
          <w:p w:rsidR="00000000" w:rsidRDefault="00000000">
            <w:pPr>
              <w:pStyle w:val="BodyText"/>
              <w:spacing w:after="0" w:line="240" w:lineRule="auto"/>
              <w:ind w:right="680"/>
              <w:jc w:val="right"/>
            </w:pPr>
            <w:r>
              <w:rPr>
                <w:color w:val="000000"/>
              </w:rPr>
              <w:t>79</w:t>
            </w:r>
            <w:r>
              <w:rPr>
                <w:color w:val="000000"/>
                <w:lang w:val="en-US"/>
              </w:rPr>
              <w:t> </w:t>
            </w:r>
            <w:r>
              <w:rPr>
                <w:color w:val="000000"/>
              </w:rPr>
              <w:t>938</w:t>
            </w:r>
          </w:p>
        </w:tc>
        <w:tc>
          <w:tcPr>
            <w:tcW w:w="2285" w:type="dxa"/>
            <w:shd w:val="clear" w:color="auto" w:fill="FFFFFF"/>
          </w:tcPr>
          <w:p w:rsidR="00000000" w:rsidRDefault="00000000">
            <w:pPr>
              <w:pStyle w:val="BodyText"/>
              <w:spacing w:after="0" w:line="240" w:lineRule="auto"/>
              <w:ind w:right="851"/>
              <w:jc w:val="right"/>
            </w:pPr>
            <w:r>
              <w:rPr>
                <w:color w:val="000000"/>
              </w:rPr>
              <w:t>26</w:t>
            </w:r>
            <w:r>
              <w:rPr>
                <w:color w:val="000000"/>
                <w:lang w:val="en-US"/>
              </w:rPr>
              <w:t> </w:t>
            </w:r>
            <w:r>
              <w:rPr>
                <w:color w:val="000000"/>
              </w:rPr>
              <w:t>160</w:t>
            </w:r>
          </w:p>
        </w:tc>
        <w:tc>
          <w:tcPr>
            <w:tcW w:w="2212" w:type="dxa"/>
            <w:shd w:val="clear" w:color="auto" w:fill="FFFFFF"/>
          </w:tcPr>
          <w:p w:rsidR="00000000" w:rsidRDefault="00000000">
            <w:pPr>
              <w:pStyle w:val="BodyText"/>
              <w:spacing w:after="0" w:line="240" w:lineRule="auto"/>
              <w:ind w:right="851"/>
              <w:jc w:val="right"/>
            </w:pPr>
            <w:r>
              <w:rPr>
                <w:color w:val="000000"/>
              </w:rPr>
              <w:t>32,73</w:t>
            </w:r>
          </w:p>
        </w:tc>
      </w:tr>
      <w:tr w:rsidR="00000000">
        <w:tblPrEx>
          <w:tblCellMar>
            <w:top w:w="0" w:type="dxa"/>
            <w:bottom w:w="0" w:type="dxa"/>
          </w:tblCellMar>
        </w:tblPrEx>
        <w:trPr>
          <w:trHeight w:val="20"/>
          <w:jc w:val="center"/>
        </w:trPr>
        <w:tc>
          <w:tcPr>
            <w:tcW w:w="2298" w:type="dxa"/>
            <w:shd w:val="clear" w:color="auto" w:fill="FFFFFF"/>
          </w:tcPr>
          <w:p w:rsidR="00000000" w:rsidRDefault="00000000">
            <w:pPr>
              <w:pStyle w:val="BodyText"/>
              <w:spacing w:after="0" w:line="240" w:lineRule="auto"/>
            </w:pPr>
            <w:r>
              <w:rPr>
                <w:color w:val="000000"/>
              </w:rPr>
              <w:t>25–29</w:t>
            </w:r>
          </w:p>
        </w:tc>
        <w:tc>
          <w:tcPr>
            <w:tcW w:w="1981" w:type="dxa"/>
            <w:shd w:val="clear" w:color="auto" w:fill="FFFFFF"/>
          </w:tcPr>
          <w:p w:rsidR="00000000" w:rsidRDefault="00000000">
            <w:pPr>
              <w:pStyle w:val="BodyText"/>
              <w:spacing w:after="0" w:line="240" w:lineRule="auto"/>
              <w:ind w:right="680"/>
              <w:jc w:val="right"/>
            </w:pPr>
            <w:r>
              <w:rPr>
                <w:color w:val="000000"/>
              </w:rPr>
              <w:t>98</w:t>
            </w:r>
            <w:r>
              <w:rPr>
                <w:color w:val="000000"/>
                <w:lang w:val="en-US"/>
              </w:rPr>
              <w:t> </w:t>
            </w:r>
            <w:r>
              <w:rPr>
                <w:color w:val="000000"/>
              </w:rPr>
              <w:t>463</w:t>
            </w:r>
          </w:p>
        </w:tc>
        <w:tc>
          <w:tcPr>
            <w:tcW w:w="2285" w:type="dxa"/>
            <w:shd w:val="clear" w:color="auto" w:fill="FFFFFF"/>
          </w:tcPr>
          <w:p w:rsidR="00000000" w:rsidRDefault="00000000">
            <w:pPr>
              <w:pStyle w:val="BodyText"/>
              <w:spacing w:after="0" w:line="240" w:lineRule="auto"/>
              <w:ind w:right="851"/>
              <w:jc w:val="right"/>
            </w:pPr>
            <w:r>
              <w:rPr>
                <w:color w:val="000000"/>
              </w:rPr>
              <w:t>60</w:t>
            </w:r>
            <w:r>
              <w:rPr>
                <w:color w:val="000000"/>
                <w:lang w:val="en-US"/>
              </w:rPr>
              <w:t> </w:t>
            </w:r>
            <w:r>
              <w:rPr>
                <w:color w:val="000000"/>
              </w:rPr>
              <w:t>594</w:t>
            </w:r>
          </w:p>
        </w:tc>
        <w:tc>
          <w:tcPr>
            <w:tcW w:w="2212" w:type="dxa"/>
            <w:shd w:val="clear" w:color="auto" w:fill="FFFFFF"/>
          </w:tcPr>
          <w:p w:rsidR="00000000" w:rsidRDefault="00000000">
            <w:pPr>
              <w:pStyle w:val="BodyText"/>
              <w:spacing w:after="0" w:line="240" w:lineRule="auto"/>
              <w:ind w:right="851"/>
              <w:jc w:val="right"/>
            </w:pPr>
            <w:r>
              <w:rPr>
                <w:color w:val="000000"/>
              </w:rPr>
              <w:t>61,54</w:t>
            </w:r>
          </w:p>
        </w:tc>
      </w:tr>
      <w:tr w:rsidR="00000000">
        <w:tblPrEx>
          <w:tblCellMar>
            <w:top w:w="0" w:type="dxa"/>
            <w:bottom w:w="0" w:type="dxa"/>
          </w:tblCellMar>
        </w:tblPrEx>
        <w:trPr>
          <w:trHeight w:val="20"/>
          <w:jc w:val="center"/>
        </w:trPr>
        <w:tc>
          <w:tcPr>
            <w:tcW w:w="2298" w:type="dxa"/>
            <w:shd w:val="clear" w:color="auto" w:fill="FFFFFF"/>
          </w:tcPr>
          <w:p w:rsidR="00000000" w:rsidRDefault="00000000">
            <w:pPr>
              <w:pStyle w:val="BodyText"/>
              <w:spacing w:after="0" w:line="240" w:lineRule="auto"/>
            </w:pPr>
            <w:r>
              <w:rPr>
                <w:color w:val="000000"/>
              </w:rPr>
              <w:t>30–34</w:t>
            </w:r>
          </w:p>
        </w:tc>
        <w:tc>
          <w:tcPr>
            <w:tcW w:w="1981" w:type="dxa"/>
            <w:shd w:val="clear" w:color="auto" w:fill="FFFFFF"/>
          </w:tcPr>
          <w:p w:rsidR="00000000" w:rsidRDefault="00000000">
            <w:pPr>
              <w:pStyle w:val="BodyText"/>
              <w:spacing w:after="0" w:line="240" w:lineRule="auto"/>
              <w:ind w:right="680"/>
              <w:jc w:val="right"/>
            </w:pPr>
            <w:r>
              <w:rPr>
                <w:color w:val="000000"/>
              </w:rPr>
              <w:t>100</w:t>
            </w:r>
            <w:r>
              <w:rPr>
                <w:color w:val="000000"/>
                <w:lang w:val="en-US"/>
              </w:rPr>
              <w:t> </w:t>
            </w:r>
            <w:r>
              <w:rPr>
                <w:color w:val="000000"/>
              </w:rPr>
              <w:t>781</w:t>
            </w:r>
          </w:p>
        </w:tc>
        <w:tc>
          <w:tcPr>
            <w:tcW w:w="2285" w:type="dxa"/>
            <w:shd w:val="clear" w:color="auto" w:fill="FFFFFF"/>
          </w:tcPr>
          <w:p w:rsidR="00000000" w:rsidRDefault="00000000">
            <w:pPr>
              <w:pStyle w:val="BodyText"/>
              <w:spacing w:after="0" w:line="240" w:lineRule="auto"/>
              <w:ind w:right="851"/>
              <w:jc w:val="right"/>
            </w:pPr>
            <w:r>
              <w:rPr>
                <w:color w:val="000000"/>
              </w:rPr>
              <w:t>68</w:t>
            </w:r>
            <w:r>
              <w:rPr>
                <w:color w:val="000000"/>
                <w:lang w:val="en-US"/>
              </w:rPr>
              <w:t> </w:t>
            </w:r>
            <w:r>
              <w:rPr>
                <w:color w:val="000000"/>
              </w:rPr>
              <w:t>650</w:t>
            </w:r>
          </w:p>
        </w:tc>
        <w:tc>
          <w:tcPr>
            <w:tcW w:w="2212" w:type="dxa"/>
            <w:shd w:val="clear" w:color="auto" w:fill="FFFFFF"/>
          </w:tcPr>
          <w:p w:rsidR="00000000" w:rsidRDefault="00000000">
            <w:pPr>
              <w:pStyle w:val="BodyText"/>
              <w:spacing w:after="0" w:line="240" w:lineRule="auto"/>
              <w:ind w:right="851"/>
              <w:jc w:val="right"/>
            </w:pPr>
            <w:r>
              <w:rPr>
                <w:color w:val="000000"/>
              </w:rPr>
              <w:t>68,12</w:t>
            </w:r>
          </w:p>
        </w:tc>
      </w:tr>
      <w:tr w:rsidR="00000000">
        <w:tblPrEx>
          <w:tblCellMar>
            <w:top w:w="0" w:type="dxa"/>
            <w:bottom w:w="0" w:type="dxa"/>
          </w:tblCellMar>
        </w:tblPrEx>
        <w:trPr>
          <w:trHeight w:val="20"/>
          <w:jc w:val="center"/>
        </w:trPr>
        <w:tc>
          <w:tcPr>
            <w:tcW w:w="2298" w:type="dxa"/>
            <w:shd w:val="clear" w:color="auto" w:fill="FFFFFF"/>
          </w:tcPr>
          <w:p w:rsidR="00000000" w:rsidRDefault="00000000">
            <w:pPr>
              <w:pStyle w:val="BodyText"/>
              <w:spacing w:after="0" w:line="240" w:lineRule="auto"/>
            </w:pPr>
            <w:r>
              <w:rPr>
                <w:color w:val="000000"/>
              </w:rPr>
              <w:t>35–39</w:t>
            </w:r>
          </w:p>
        </w:tc>
        <w:tc>
          <w:tcPr>
            <w:tcW w:w="1981" w:type="dxa"/>
            <w:shd w:val="clear" w:color="auto" w:fill="FFFFFF"/>
          </w:tcPr>
          <w:p w:rsidR="00000000" w:rsidRDefault="00000000">
            <w:pPr>
              <w:pStyle w:val="BodyText"/>
              <w:spacing w:after="0" w:line="240" w:lineRule="auto"/>
              <w:ind w:right="680"/>
              <w:jc w:val="right"/>
            </w:pPr>
            <w:r>
              <w:rPr>
                <w:color w:val="000000"/>
              </w:rPr>
              <w:t>86</w:t>
            </w:r>
            <w:r>
              <w:rPr>
                <w:color w:val="000000"/>
                <w:lang w:val="en-US"/>
              </w:rPr>
              <w:t> </w:t>
            </w:r>
            <w:r>
              <w:rPr>
                <w:color w:val="000000"/>
              </w:rPr>
              <w:t>527</w:t>
            </w:r>
          </w:p>
        </w:tc>
        <w:tc>
          <w:tcPr>
            <w:tcW w:w="2285" w:type="dxa"/>
            <w:shd w:val="clear" w:color="auto" w:fill="FFFFFF"/>
          </w:tcPr>
          <w:p w:rsidR="00000000" w:rsidRDefault="00000000">
            <w:pPr>
              <w:pStyle w:val="BodyText"/>
              <w:spacing w:after="0" w:line="240" w:lineRule="auto"/>
              <w:ind w:right="851"/>
              <w:jc w:val="right"/>
            </w:pPr>
            <w:r>
              <w:rPr>
                <w:color w:val="000000"/>
              </w:rPr>
              <w:t>60</w:t>
            </w:r>
            <w:r>
              <w:rPr>
                <w:color w:val="000000"/>
                <w:lang w:val="en-US"/>
              </w:rPr>
              <w:t> </w:t>
            </w:r>
            <w:r>
              <w:rPr>
                <w:color w:val="000000"/>
              </w:rPr>
              <w:t>374</w:t>
            </w:r>
          </w:p>
        </w:tc>
        <w:tc>
          <w:tcPr>
            <w:tcW w:w="2212" w:type="dxa"/>
            <w:shd w:val="clear" w:color="auto" w:fill="FFFFFF"/>
          </w:tcPr>
          <w:p w:rsidR="00000000" w:rsidRDefault="00000000">
            <w:pPr>
              <w:pStyle w:val="BodyText"/>
              <w:spacing w:after="0" w:line="240" w:lineRule="auto"/>
              <w:ind w:right="851"/>
              <w:jc w:val="right"/>
            </w:pPr>
            <w:r>
              <w:rPr>
                <w:color w:val="000000"/>
              </w:rPr>
              <w:t>69,77</w:t>
            </w:r>
          </w:p>
        </w:tc>
      </w:tr>
      <w:tr w:rsidR="00000000">
        <w:tblPrEx>
          <w:tblCellMar>
            <w:top w:w="0" w:type="dxa"/>
            <w:bottom w:w="0" w:type="dxa"/>
          </w:tblCellMar>
        </w:tblPrEx>
        <w:trPr>
          <w:trHeight w:val="20"/>
          <w:jc w:val="center"/>
        </w:trPr>
        <w:tc>
          <w:tcPr>
            <w:tcW w:w="2298" w:type="dxa"/>
            <w:shd w:val="clear" w:color="auto" w:fill="FFFFFF"/>
          </w:tcPr>
          <w:p w:rsidR="00000000" w:rsidRDefault="00000000">
            <w:pPr>
              <w:pStyle w:val="BodyText"/>
              <w:spacing w:after="0" w:line="240" w:lineRule="auto"/>
            </w:pPr>
            <w:r>
              <w:rPr>
                <w:color w:val="000000"/>
              </w:rPr>
              <w:t>40–44</w:t>
            </w:r>
          </w:p>
        </w:tc>
        <w:tc>
          <w:tcPr>
            <w:tcW w:w="1981" w:type="dxa"/>
            <w:shd w:val="clear" w:color="auto" w:fill="FFFFFF"/>
          </w:tcPr>
          <w:p w:rsidR="00000000" w:rsidRDefault="00000000">
            <w:pPr>
              <w:pStyle w:val="BodyText"/>
              <w:spacing w:after="0" w:line="240" w:lineRule="auto"/>
              <w:ind w:right="680"/>
              <w:jc w:val="right"/>
            </w:pPr>
            <w:r>
              <w:rPr>
                <w:color w:val="000000"/>
              </w:rPr>
              <w:t>61</w:t>
            </w:r>
            <w:r>
              <w:rPr>
                <w:color w:val="000000"/>
                <w:lang w:val="en-US"/>
              </w:rPr>
              <w:t> </w:t>
            </w:r>
            <w:r>
              <w:rPr>
                <w:color w:val="000000"/>
              </w:rPr>
              <w:t>912</w:t>
            </w:r>
          </w:p>
        </w:tc>
        <w:tc>
          <w:tcPr>
            <w:tcW w:w="2285" w:type="dxa"/>
            <w:shd w:val="clear" w:color="auto" w:fill="FFFFFF"/>
          </w:tcPr>
          <w:p w:rsidR="00000000" w:rsidRDefault="00000000">
            <w:pPr>
              <w:pStyle w:val="BodyText"/>
              <w:spacing w:after="0" w:line="240" w:lineRule="auto"/>
              <w:ind w:right="851"/>
              <w:jc w:val="right"/>
            </w:pPr>
            <w:r>
              <w:rPr>
                <w:color w:val="000000"/>
              </w:rPr>
              <w:t>40</w:t>
            </w:r>
            <w:r>
              <w:rPr>
                <w:color w:val="000000"/>
                <w:lang w:val="en-US"/>
              </w:rPr>
              <w:t> </w:t>
            </w:r>
            <w:r>
              <w:rPr>
                <w:color w:val="000000"/>
              </w:rPr>
              <w:t>309</w:t>
            </w:r>
          </w:p>
        </w:tc>
        <w:tc>
          <w:tcPr>
            <w:tcW w:w="2212" w:type="dxa"/>
            <w:shd w:val="clear" w:color="auto" w:fill="FFFFFF"/>
          </w:tcPr>
          <w:p w:rsidR="00000000" w:rsidRDefault="00000000">
            <w:pPr>
              <w:pStyle w:val="BodyText"/>
              <w:spacing w:after="0" w:line="240" w:lineRule="auto"/>
              <w:ind w:right="851"/>
              <w:jc w:val="right"/>
            </w:pPr>
            <w:r>
              <w:rPr>
                <w:color w:val="000000"/>
              </w:rPr>
              <w:t>65,11</w:t>
            </w:r>
          </w:p>
        </w:tc>
      </w:tr>
      <w:tr w:rsidR="00000000">
        <w:tblPrEx>
          <w:tblCellMar>
            <w:top w:w="0" w:type="dxa"/>
            <w:bottom w:w="0" w:type="dxa"/>
          </w:tblCellMar>
        </w:tblPrEx>
        <w:trPr>
          <w:trHeight w:val="20"/>
          <w:jc w:val="center"/>
        </w:trPr>
        <w:tc>
          <w:tcPr>
            <w:tcW w:w="2298" w:type="dxa"/>
            <w:shd w:val="clear" w:color="auto" w:fill="FFFFFF"/>
          </w:tcPr>
          <w:p w:rsidR="00000000" w:rsidRDefault="00000000">
            <w:pPr>
              <w:pStyle w:val="BodyText"/>
              <w:spacing w:after="0" w:line="240" w:lineRule="auto"/>
            </w:pPr>
            <w:r>
              <w:rPr>
                <w:color w:val="000000"/>
              </w:rPr>
              <w:t>45–49</w:t>
            </w:r>
          </w:p>
        </w:tc>
        <w:tc>
          <w:tcPr>
            <w:tcW w:w="1981" w:type="dxa"/>
            <w:shd w:val="clear" w:color="auto" w:fill="FFFFFF"/>
          </w:tcPr>
          <w:p w:rsidR="00000000" w:rsidRDefault="00000000">
            <w:pPr>
              <w:pStyle w:val="BodyText"/>
              <w:spacing w:after="0" w:line="240" w:lineRule="auto"/>
              <w:ind w:right="680"/>
              <w:jc w:val="right"/>
            </w:pPr>
            <w:r>
              <w:rPr>
                <w:color w:val="000000"/>
              </w:rPr>
              <w:t>37</w:t>
            </w:r>
            <w:r>
              <w:rPr>
                <w:color w:val="000000"/>
                <w:lang w:val="en-US"/>
              </w:rPr>
              <w:t> </w:t>
            </w:r>
            <w:r>
              <w:rPr>
                <w:color w:val="000000"/>
              </w:rPr>
              <w:t>591</w:t>
            </w:r>
          </w:p>
        </w:tc>
        <w:tc>
          <w:tcPr>
            <w:tcW w:w="2285" w:type="dxa"/>
            <w:shd w:val="clear" w:color="auto" w:fill="FFFFFF"/>
          </w:tcPr>
          <w:p w:rsidR="00000000" w:rsidRDefault="00000000">
            <w:pPr>
              <w:pStyle w:val="BodyText"/>
              <w:spacing w:after="0" w:line="240" w:lineRule="auto"/>
              <w:ind w:right="851"/>
              <w:jc w:val="right"/>
            </w:pPr>
            <w:r>
              <w:rPr>
                <w:color w:val="000000"/>
              </w:rPr>
              <w:t>20</w:t>
            </w:r>
            <w:r>
              <w:rPr>
                <w:color w:val="000000"/>
                <w:lang w:val="en-US"/>
              </w:rPr>
              <w:t> </w:t>
            </w:r>
            <w:r>
              <w:rPr>
                <w:color w:val="000000"/>
              </w:rPr>
              <w:t>297</w:t>
            </w:r>
          </w:p>
        </w:tc>
        <w:tc>
          <w:tcPr>
            <w:tcW w:w="2212" w:type="dxa"/>
            <w:shd w:val="clear" w:color="auto" w:fill="FFFFFF"/>
          </w:tcPr>
          <w:p w:rsidR="00000000" w:rsidRDefault="00000000">
            <w:pPr>
              <w:pStyle w:val="BodyText"/>
              <w:spacing w:after="0" w:line="240" w:lineRule="auto"/>
              <w:ind w:right="851"/>
              <w:jc w:val="right"/>
            </w:pPr>
            <w:r>
              <w:rPr>
                <w:color w:val="000000"/>
              </w:rPr>
              <w:t>53,99</w:t>
            </w:r>
          </w:p>
        </w:tc>
      </w:tr>
      <w:tr w:rsidR="00000000">
        <w:tblPrEx>
          <w:tblCellMar>
            <w:top w:w="0" w:type="dxa"/>
            <w:bottom w:w="0" w:type="dxa"/>
          </w:tblCellMar>
        </w:tblPrEx>
        <w:trPr>
          <w:trHeight w:val="20"/>
          <w:jc w:val="center"/>
        </w:trPr>
        <w:tc>
          <w:tcPr>
            <w:tcW w:w="2298" w:type="dxa"/>
            <w:shd w:val="clear" w:color="auto" w:fill="FFFFFF"/>
          </w:tcPr>
          <w:p w:rsidR="00000000" w:rsidRDefault="00000000">
            <w:pPr>
              <w:pStyle w:val="BodyText"/>
              <w:spacing w:after="0" w:line="240" w:lineRule="auto"/>
            </w:pPr>
            <w:r>
              <w:rPr>
                <w:color w:val="000000"/>
              </w:rPr>
              <w:t>50–54</w:t>
            </w:r>
          </w:p>
        </w:tc>
        <w:tc>
          <w:tcPr>
            <w:tcW w:w="1981" w:type="dxa"/>
            <w:shd w:val="clear" w:color="auto" w:fill="FFFFFF"/>
          </w:tcPr>
          <w:p w:rsidR="00000000" w:rsidRDefault="00000000">
            <w:pPr>
              <w:pStyle w:val="BodyText"/>
              <w:spacing w:after="0" w:line="240" w:lineRule="auto"/>
              <w:ind w:right="680"/>
              <w:jc w:val="right"/>
            </w:pPr>
            <w:r>
              <w:rPr>
                <w:color w:val="000000"/>
              </w:rPr>
              <w:t>23</w:t>
            </w:r>
            <w:r>
              <w:rPr>
                <w:color w:val="000000"/>
                <w:lang w:val="en-US"/>
              </w:rPr>
              <w:t> </w:t>
            </w:r>
            <w:r>
              <w:rPr>
                <w:color w:val="000000"/>
              </w:rPr>
              <w:t>300</w:t>
            </w:r>
          </w:p>
        </w:tc>
        <w:tc>
          <w:tcPr>
            <w:tcW w:w="2285" w:type="dxa"/>
            <w:shd w:val="clear" w:color="auto" w:fill="FFFFFF"/>
          </w:tcPr>
          <w:p w:rsidR="00000000" w:rsidRDefault="00000000">
            <w:pPr>
              <w:pStyle w:val="BodyText"/>
              <w:spacing w:after="0" w:line="240" w:lineRule="auto"/>
              <w:ind w:right="851"/>
              <w:jc w:val="right"/>
            </w:pPr>
            <w:r>
              <w:rPr>
                <w:color w:val="000000"/>
              </w:rPr>
              <w:t>8</w:t>
            </w:r>
            <w:r>
              <w:rPr>
                <w:color w:val="000000"/>
                <w:lang w:val="en-US"/>
              </w:rPr>
              <w:t> </w:t>
            </w:r>
            <w:r>
              <w:rPr>
                <w:color w:val="000000"/>
              </w:rPr>
              <w:t>616</w:t>
            </w:r>
          </w:p>
        </w:tc>
        <w:tc>
          <w:tcPr>
            <w:tcW w:w="2212" w:type="dxa"/>
            <w:shd w:val="clear" w:color="auto" w:fill="FFFFFF"/>
          </w:tcPr>
          <w:p w:rsidR="00000000" w:rsidRDefault="00000000">
            <w:pPr>
              <w:pStyle w:val="BodyText"/>
              <w:spacing w:after="0" w:line="240" w:lineRule="auto"/>
              <w:ind w:right="851"/>
              <w:jc w:val="right"/>
            </w:pPr>
            <w:r>
              <w:rPr>
                <w:color w:val="000000"/>
              </w:rPr>
              <w:t>36,98</w:t>
            </w:r>
          </w:p>
        </w:tc>
      </w:tr>
      <w:tr w:rsidR="00000000">
        <w:tblPrEx>
          <w:tblCellMar>
            <w:top w:w="0" w:type="dxa"/>
            <w:bottom w:w="0" w:type="dxa"/>
          </w:tblCellMar>
        </w:tblPrEx>
        <w:trPr>
          <w:trHeight w:val="20"/>
          <w:jc w:val="center"/>
        </w:trPr>
        <w:tc>
          <w:tcPr>
            <w:tcW w:w="2298" w:type="dxa"/>
            <w:shd w:val="clear" w:color="auto" w:fill="FFFFFF"/>
          </w:tcPr>
          <w:p w:rsidR="00000000" w:rsidRDefault="00000000">
            <w:pPr>
              <w:pStyle w:val="BodyText"/>
              <w:spacing w:after="0" w:line="240" w:lineRule="auto"/>
            </w:pPr>
            <w:r>
              <w:rPr>
                <w:color w:val="000000"/>
              </w:rPr>
              <w:t>55–59</w:t>
            </w:r>
          </w:p>
        </w:tc>
        <w:tc>
          <w:tcPr>
            <w:tcW w:w="1981" w:type="dxa"/>
            <w:shd w:val="clear" w:color="auto" w:fill="FFFFFF"/>
          </w:tcPr>
          <w:p w:rsidR="00000000" w:rsidRDefault="00000000">
            <w:pPr>
              <w:pStyle w:val="BodyText"/>
              <w:spacing w:after="0" w:line="240" w:lineRule="auto"/>
              <w:ind w:right="680"/>
              <w:jc w:val="right"/>
            </w:pPr>
            <w:r>
              <w:rPr>
                <w:color w:val="000000"/>
              </w:rPr>
              <w:t>14</w:t>
            </w:r>
            <w:r>
              <w:rPr>
                <w:color w:val="000000"/>
                <w:lang w:val="en-US"/>
              </w:rPr>
              <w:t> </w:t>
            </w:r>
            <w:r>
              <w:rPr>
                <w:color w:val="000000"/>
              </w:rPr>
              <w:t>754</w:t>
            </w:r>
          </w:p>
        </w:tc>
        <w:tc>
          <w:tcPr>
            <w:tcW w:w="2285" w:type="dxa"/>
            <w:shd w:val="clear" w:color="auto" w:fill="FFFFFF"/>
          </w:tcPr>
          <w:p w:rsidR="00000000" w:rsidRDefault="00000000">
            <w:pPr>
              <w:pStyle w:val="BodyText"/>
              <w:spacing w:after="0" w:line="240" w:lineRule="auto"/>
              <w:ind w:right="851"/>
              <w:jc w:val="right"/>
            </w:pPr>
            <w:r>
              <w:rPr>
                <w:color w:val="000000"/>
              </w:rPr>
              <w:t>3</w:t>
            </w:r>
            <w:r>
              <w:rPr>
                <w:color w:val="000000"/>
                <w:lang w:val="en-US"/>
              </w:rPr>
              <w:t> </w:t>
            </w:r>
            <w:r>
              <w:rPr>
                <w:color w:val="000000"/>
              </w:rPr>
              <w:t>094</w:t>
            </w:r>
          </w:p>
        </w:tc>
        <w:tc>
          <w:tcPr>
            <w:tcW w:w="2212" w:type="dxa"/>
            <w:shd w:val="clear" w:color="auto" w:fill="FFFFFF"/>
          </w:tcPr>
          <w:p w:rsidR="00000000" w:rsidRDefault="00000000">
            <w:pPr>
              <w:pStyle w:val="BodyText"/>
              <w:spacing w:after="0" w:line="240" w:lineRule="auto"/>
              <w:ind w:right="851"/>
              <w:jc w:val="right"/>
            </w:pPr>
            <w:r>
              <w:rPr>
                <w:color w:val="000000"/>
              </w:rPr>
              <w:t>20,97</w:t>
            </w:r>
          </w:p>
        </w:tc>
      </w:tr>
      <w:tr w:rsidR="00000000">
        <w:tblPrEx>
          <w:tblCellMar>
            <w:top w:w="0" w:type="dxa"/>
            <w:bottom w:w="0" w:type="dxa"/>
          </w:tblCellMar>
        </w:tblPrEx>
        <w:trPr>
          <w:trHeight w:val="20"/>
          <w:jc w:val="center"/>
        </w:trPr>
        <w:tc>
          <w:tcPr>
            <w:tcW w:w="2298" w:type="dxa"/>
            <w:shd w:val="clear" w:color="auto" w:fill="FFFFFF"/>
          </w:tcPr>
          <w:p w:rsidR="00000000" w:rsidRDefault="00000000">
            <w:pPr>
              <w:pStyle w:val="BodyText"/>
              <w:spacing w:after="0" w:line="240" w:lineRule="auto"/>
            </w:pPr>
            <w:r>
              <w:rPr>
                <w:color w:val="000000"/>
              </w:rPr>
              <w:t>60–64</w:t>
            </w:r>
          </w:p>
        </w:tc>
        <w:tc>
          <w:tcPr>
            <w:tcW w:w="1981" w:type="dxa"/>
            <w:shd w:val="clear" w:color="auto" w:fill="FFFFFF"/>
          </w:tcPr>
          <w:p w:rsidR="00000000" w:rsidRDefault="00000000">
            <w:pPr>
              <w:pStyle w:val="BodyText"/>
              <w:spacing w:after="0" w:line="240" w:lineRule="auto"/>
              <w:ind w:right="680"/>
              <w:jc w:val="right"/>
            </w:pPr>
            <w:r>
              <w:rPr>
                <w:color w:val="000000"/>
              </w:rPr>
              <w:t>10</w:t>
            </w:r>
            <w:r>
              <w:rPr>
                <w:color w:val="000000"/>
                <w:lang w:val="en-US"/>
              </w:rPr>
              <w:t> </w:t>
            </w:r>
            <w:r>
              <w:rPr>
                <w:color w:val="000000"/>
              </w:rPr>
              <w:t>182</w:t>
            </w:r>
          </w:p>
        </w:tc>
        <w:tc>
          <w:tcPr>
            <w:tcW w:w="2285" w:type="dxa"/>
            <w:shd w:val="clear" w:color="auto" w:fill="FFFFFF"/>
          </w:tcPr>
          <w:p w:rsidR="00000000" w:rsidRDefault="00000000">
            <w:pPr>
              <w:pStyle w:val="BodyText"/>
              <w:spacing w:after="0" w:line="240" w:lineRule="auto"/>
              <w:ind w:right="851"/>
              <w:jc w:val="right"/>
            </w:pPr>
            <w:r>
              <w:rPr>
                <w:color w:val="000000"/>
              </w:rPr>
              <w:t>1</w:t>
            </w:r>
            <w:r>
              <w:rPr>
                <w:color w:val="000000"/>
                <w:lang w:val="en-US"/>
              </w:rPr>
              <w:t> </w:t>
            </w:r>
            <w:r>
              <w:rPr>
                <w:color w:val="000000"/>
              </w:rPr>
              <w:t>289</w:t>
            </w:r>
          </w:p>
        </w:tc>
        <w:tc>
          <w:tcPr>
            <w:tcW w:w="2212" w:type="dxa"/>
            <w:shd w:val="clear" w:color="auto" w:fill="FFFFFF"/>
          </w:tcPr>
          <w:p w:rsidR="00000000" w:rsidRDefault="00000000">
            <w:pPr>
              <w:pStyle w:val="BodyText"/>
              <w:spacing w:after="0" w:line="240" w:lineRule="auto"/>
              <w:ind w:right="851"/>
              <w:jc w:val="right"/>
            </w:pPr>
            <w:r>
              <w:rPr>
                <w:color w:val="000000"/>
              </w:rPr>
              <w:t>12,66</w:t>
            </w:r>
          </w:p>
        </w:tc>
      </w:tr>
      <w:tr w:rsidR="00000000">
        <w:tblPrEx>
          <w:tblCellMar>
            <w:top w:w="0" w:type="dxa"/>
            <w:bottom w:w="0" w:type="dxa"/>
          </w:tblCellMar>
        </w:tblPrEx>
        <w:trPr>
          <w:trHeight w:val="20"/>
          <w:jc w:val="center"/>
        </w:trPr>
        <w:tc>
          <w:tcPr>
            <w:tcW w:w="2298" w:type="dxa"/>
            <w:shd w:val="clear" w:color="auto" w:fill="FFFFFF"/>
          </w:tcPr>
          <w:p w:rsidR="00000000" w:rsidRDefault="00000000">
            <w:pPr>
              <w:pStyle w:val="BodyText"/>
              <w:spacing w:after="0" w:line="240" w:lineRule="auto"/>
            </w:pPr>
            <w:r>
              <w:rPr>
                <w:color w:val="000000"/>
              </w:rPr>
              <w:t>65 и старше</w:t>
            </w:r>
          </w:p>
        </w:tc>
        <w:tc>
          <w:tcPr>
            <w:tcW w:w="1981" w:type="dxa"/>
            <w:shd w:val="clear" w:color="auto" w:fill="FFFFFF"/>
          </w:tcPr>
          <w:p w:rsidR="00000000" w:rsidRDefault="00000000">
            <w:pPr>
              <w:pStyle w:val="BodyText"/>
              <w:spacing w:after="0" w:line="240" w:lineRule="auto"/>
              <w:ind w:right="680"/>
              <w:jc w:val="right"/>
            </w:pPr>
            <w:r>
              <w:rPr>
                <w:color w:val="000000"/>
              </w:rPr>
              <w:t>14</w:t>
            </w:r>
            <w:r>
              <w:rPr>
                <w:color w:val="000000"/>
                <w:lang w:val="en-US"/>
              </w:rPr>
              <w:t> </w:t>
            </w:r>
            <w:r>
              <w:rPr>
                <w:color w:val="000000"/>
              </w:rPr>
              <w:t>548</w:t>
            </w:r>
          </w:p>
        </w:tc>
        <w:tc>
          <w:tcPr>
            <w:tcW w:w="2285" w:type="dxa"/>
            <w:shd w:val="clear" w:color="auto" w:fill="FFFFFF"/>
          </w:tcPr>
          <w:p w:rsidR="00000000" w:rsidRDefault="00000000">
            <w:pPr>
              <w:pStyle w:val="BodyText"/>
              <w:spacing w:after="0" w:line="240" w:lineRule="auto"/>
              <w:ind w:right="851"/>
              <w:jc w:val="right"/>
            </w:pPr>
            <w:r>
              <w:rPr>
                <w:color w:val="000000"/>
              </w:rPr>
              <w:t>795</w:t>
            </w:r>
          </w:p>
        </w:tc>
        <w:tc>
          <w:tcPr>
            <w:tcW w:w="2212" w:type="dxa"/>
            <w:shd w:val="clear" w:color="auto" w:fill="FFFFFF"/>
          </w:tcPr>
          <w:p w:rsidR="00000000" w:rsidRDefault="00000000">
            <w:pPr>
              <w:pStyle w:val="BodyText"/>
              <w:spacing w:after="0" w:line="240" w:lineRule="auto"/>
              <w:ind w:right="851"/>
              <w:jc w:val="right"/>
            </w:pPr>
            <w:r>
              <w:rPr>
                <w:color w:val="000000"/>
              </w:rPr>
              <w:t>5,46</w:t>
            </w:r>
          </w:p>
        </w:tc>
      </w:tr>
    </w:tbl>
    <w:p w:rsidR="00000000" w:rsidRDefault="00000000">
      <w:pPr>
        <w:pStyle w:val="BodyText"/>
        <w:spacing w:after="200"/>
      </w:pPr>
      <w:r>
        <w:tab/>
        <w:t>В связи с предусмотренным в пункте 1 е) статьи 11 правом женщин на социальное обеспечение, в частности в случае выхода на пенсию, болезни, инвалидности, старости и нетрудоспособности по иным причинам, следует указать, что Государство Кувейт применяет систему социального обеспечения, которая является основным правом граждан и одним из важнейших элементов социальной и экономической стабильности. Это подтверждается в статье 11 Конституции, которая гласит: "Государство гарантирует гражданам право на пенсию по старости, болезни или нетрудоспособности, а также обеспечивает им услуги по линии социальной помощи и медицинское обслуживание". Руководствуясь данным конституционным положением, Государство Кувейт приняло следующие законодательные акты:</w:t>
      </w:r>
    </w:p>
    <w:p w:rsidR="00000000" w:rsidRDefault="00000000">
      <w:pPr>
        <w:pStyle w:val="BodyText"/>
        <w:spacing w:after="200"/>
        <w:rPr>
          <w:spacing w:val="-2"/>
        </w:rPr>
      </w:pPr>
      <w:r>
        <w:rPr>
          <w:spacing w:val="-2"/>
        </w:rPr>
        <w:tab/>
        <w:t>–</w:t>
      </w:r>
      <w:r>
        <w:rPr>
          <w:spacing w:val="-2"/>
        </w:rPr>
        <w:tab/>
        <w:t>2 сентября 1976 года был опубликован Эмирский указ о принятии Закона № 61 о социальном обеспечении, предусматривающего создание системы социального страхования, которая охватывает всех кувейтцев, занятых в любых секторах. Специфической чертой данного законодательного акта стали комплексный характер его применения и широкой диапазон рисков, от которых он дает защиту. Так, в дополнение к предусмотренному ранее страхованию жизни и пенсиям по старости в данном законе предусмотрены случаи болезни и нетрудоспособности. Кроме того, его положения коснулись некоторых категорий кувейтцев, не работающих на предпринимателей. Так, возможность получения социального страхования на добровольной основе была предоставлена бизнесменам, самозанятым лицам, представителям свободных профессий, членам Национального собрания и муниципальных советов и мухтарам (старостам). В закон также включены общие положения для лиц, получающих льготы по нему, определены правила участия и указаны лица, которые имеют на них право.</w:t>
      </w:r>
    </w:p>
    <w:p w:rsidR="00000000" w:rsidRDefault="00000000">
      <w:pPr>
        <w:pStyle w:val="BodyText"/>
        <w:spacing w:after="200"/>
      </w:pPr>
      <w:r>
        <w:tab/>
        <w:t>К основным принципам системы социального обеспечения в Кувейте относится принцип равенства всех категорий граждан. В нем не проводится различие по признаку пола, но учитываются случаи, когда требуется особая забота, например в отношении женщин.</w:t>
      </w:r>
    </w:p>
    <w:p w:rsidR="00000000" w:rsidRDefault="00000000">
      <w:pPr>
        <w:pStyle w:val="BodyText"/>
        <w:spacing w:after="200"/>
      </w:pPr>
      <w:r>
        <w:tab/>
        <w:t>Положения данного законодательного акта применимы к следующим категориям лиц:</w:t>
      </w:r>
    </w:p>
    <w:p w:rsidR="00000000" w:rsidRDefault="00000000">
      <w:pPr>
        <w:pStyle w:val="BodyText"/>
        <w:spacing w:after="200"/>
      </w:pPr>
      <w:r>
        <w:tab/>
        <w:t>–</w:t>
      </w:r>
      <w:r>
        <w:tab/>
        <w:t>Кувейтцы, работающие по найму, а также члены Национального собрания. Работающим считается лицо, заключившее договор о профессиональном обучении, который обязывает предпринимателя принять его на работу, или обязывает обучаемого работать у него, или обязывает обучаемого работать у него после успешного завершения профессионального обучения. При этом страхование является обязательным (Закон о социальном страховании, статья 334).</w:t>
      </w:r>
    </w:p>
    <w:p w:rsidR="00000000" w:rsidRDefault="00000000">
      <w:pPr>
        <w:pStyle w:val="BodyText"/>
        <w:spacing w:after="200"/>
      </w:pPr>
      <w:r>
        <w:tab/>
        <w:t>–</w:t>
      </w:r>
      <w:r>
        <w:tab/>
        <w:t>Застрахованные кувейтцы, упоминаемые в статье 53 Закона.</w:t>
      </w:r>
    </w:p>
    <w:p w:rsidR="00000000" w:rsidRDefault="00000000">
      <w:pPr>
        <w:pStyle w:val="BodyText"/>
        <w:spacing w:after="200"/>
      </w:pPr>
      <w:r>
        <w:tab/>
        <w:t>В указанном законе дано следующее определение работодателя (предпринимателя): "Работодателем является физическое или юридическое лицо, использующее труд наемных работников и получающее прибыль от их труда". Данное определение распространяется на государственные органы, ведомства и учреждения, независимо от того, имеют ли они самостоятельный или вспомогательный бюджет, а также прочие государственные организации.</w:t>
      </w:r>
    </w:p>
    <w:p w:rsidR="00000000" w:rsidRDefault="00000000">
      <w:pPr>
        <w:pStyle w:val="BodyText"/>
        <w:spacing w:after="200"/>
      </w:pPr>
      <w:r>
        <w:tab/>
        <w:t>В целях указанного закона термин "кувейтцы" охватывает в равной мере женщин и мужчин.</w:t>
      </w:r>
    </w:p>
    <w:p w:rsidR="00000000" w:rsidRDefault="00000000">
      <w:pPr>
        <w:pStyle w:val="BodyText"/>
        <w:spacing w:after="200"/>
      </w:pPr>
      <w:r>
        <w:tab/>
        <w:t>Что касается пенсии по старости, нетрудоспособности, болезни и в связи со смертью кормильца, то лица, работающие в государственном, частном и нефтяном секторах, имеют право на нее в следующих случаях:</w:t>
      </w:r>
    </w:p>
    <w:p w:rsidR="00000000" w:rsidRDefault="00000000">
      <w:pPr>
        <w:pStyle w:val="BodyText"/>
        <w:spacing w:after="200"/>
      </w:pPr>
      <w:r>
        <w:tab/>
        <w:t>–</w:t>
      </w:r>
      <w:r>
        <w:tab/>
        <w:t>по достижении застрахованным лицом возраста в 65 лет для мужчин, 15 лет для замужней женщины и 25 лет для незамужней женщины;</w:t>
      </w:r>
    </w:p>
    <w:p w:rsidR="00000000" w:rsidRDefault="00000000">
      <w:pPr>
        <w:pStyle w:val="BodyText"/>
        <w:spacing w:after="200"/>
      </w:pPr>
      <w:r>
        <w:tab/>
        <w:t>–</w:t>
      </w:r>
      <w:r>
        <w:tab/>
        <w:t>в случае смерти застрахованного лица или его полной нетрудоспособности;</w:t>
      </w:r>
    </w:p>
    <w:p w:rsidR="00000000" w:rsidRDefault="00000000">
      <w:pPr>
        <w:pStyle w:val="BodyText"/>
        <w:spacing w:after="200"/>
      </w:pPr>
      <w:r>
        <w:tab/>
        <w:t>–</w:t>
      </w:r>
      <w:r>
        <w:tab/>
        <w:t>в случае ухода застрахованного лица со службы по состоянию здоровья, если дальнейшее выполнение им своих служебных обязанностей угрожает его жизни;</w:t>
      </w:r>
    </w:p>
    <w:p w:rsidR="00000000" w:rsidRDefault="00000000">
      <w:pPr>
        <w:pStyle w:val="BodyText"/>
        <w:spacing w:after="200"/>
      </w:pPr>
      <w:r>
        <w:tab/>
        <w:t>–</w:t>
      </w:r>
      <w:r>
        <w:tab/>
        <w:t>в случае ухода со службы застрахованной женщины, состоящей в браке, вдовы или разведенной не по причинам, указанным выше, при наличии у нее детей и если она делала взносы в систему страхования в течение 15 лет. При этом ее пенсия не подлежит снижению, предусмотренному положениями статьи 20 данного закона, которая гласит, что в случае ухода со службы размер пенсии уменьшается;</w:t>
      </w:r>
    </w:p>
    <w:p w:rsidR="00000000" w:rsidRDefault="00000000">
      <w:pPr>
        <w:pStyle w:val="BodyText"/>
      </w:pPr>
      <w:r>
        <w:tab/>
        <w:t>–</w:t>
      </w:r>
      <w:r>
        <w:tab/>
        <w:t>в случае если уход со службы застрахованного лица вызван тем, что он выполняет вредную, тяжелую или опасную работу.</w:t>
      </w:r>
    </w:p>
    <w:p w:rsidR="00000000" w:rsidRDefault="00000000">
      <w:pPr>
        <w:pStyle w:val="BodyText"/>
      </w:pPr>
      <w:r>
        <w:tab/>
        <w:t>Примером гуманного характера указанного закона может служить положение его статьи 25, в которой предусматривается, что застрахованное лицо, уходящее со службы до отработки стажа, дающего ему право на пенсию, пользуется правом на пенсионную компенсацию, которая выплачивается ему в соответствии с правилами и условиями, устанавливаемыми в постановлении соответствующего министра.</w:t>
      </w:r>
    </w:p>
    <w:p w:rsidR="00000000" w:rsidRDefault="00000000">
      <w:pPr>
        <w:pStyle w:val="BodyText"/>
      </w:pPr>
      <w:r>
        <w:tab/>
        <w:t>В данном законодательном акте имеется ряд  положений, польза которых очевидна для женщин, но которые имеют отношение к застрахованному лицу или лицу, получающему по нему пенсию. Согласно статье 63, это следующие лица:</w:t>
      </w:r>
    </w:p>
    <w:p w:rsidR="00000000" w:rsidRDefault="00000000">
      <w:pPr>
        <w:pStyle w:val="BodyText"/>
        <w:spacing w:after="0"/>
      </w:pPr>
      <w:r>
        <w:tab/>
        <w:t>–</w:t>
      </w:r>
      <w:r>
        <w:tab/>
        <w:t>его братья и сестры;</w:t>
      </w:r>
    </w:p>
    <w:p w:rsidR="00000000" w:rsidRDefault="00000000">
      <w:pPr>
        <w:pStyle w:val="BodyText"/>
        <w:spacing w:after="0"/>
      </w:pPr>
      <w:r>
        <w:tab/>
        <w:t>–</w:t>
      </w:r>
      <w:r>
        <w:tab/>
        <w:t>его супруга и вдова;</w:t>
      </w:r>
    </w:p>
    <w:p w:rsidR="00000000" w:rsidRDefault="00000000">
      <w:pPr>
        <w:pStyle w:val="BodyText"/>
        <w:spacing w:after="0"/>
      </w:pPr>
      <w:r>
        <w:tab/>
        <w:t>–</w:t>
      </w:r>
      <w:r>
        <w:tab/>
        <w:t>его дети;</w:t>
      </w:r>
    </w:p>
    <w:p w:rsidR="00000000" w:rsidRDefault="00000000">
      <w:pPr>
        <w:pStyle w:val="BodyText"/>
        <w:spacing w:after="0"/>
      </w:pPr>
      <w:r>
        <w:tab/>
        <w:t>–</w:t>
      </w:r>
      <w:r>
        <w:tab/>
        <w:t>его родители;</w:t>
      </w:r>
    </w:p>
    <w:p w:rsidR="00000000" w:rsidRDefault="00000000">
      <w:pPr>
        <w:pStyle w:val="BodyText"/>
      </w:pPr>
      <w:r>
        <w:tab/>
        <w:t>–</w:t>
      </w:r>
      <w:r>
        <w:tab/>
        <w:t>его внуки.</w:t>
      </w:r>
    </w:p>
    <w:p w:rsidR="00000000" w:rsidRDefault="00000000">
      <w:pPr>
        <w:pStyle w:val="BodyText"/>
      </w:pPr>
      <w:r>
        <w:tab/>
        <w:t>В статье 73 устанавливается, что если дочь, сестра или мать застрахованного лица впервые развелись или овдовели либо его сын или брат лишились возможности зарабатывать себе на жизнь после смерти застрахованного или получающего пенсию лица, то каждому из них предоставляется причитающаяся ему доля пенсии.</w:t>
      </w:r>
    </w:p>
    <w:p w:rsidR="00000000" w:rsidRDefault="00000000">
      <w:pPr>
        <w:pStyle w:val="BodyText"/>
      </w:pPr>
      <w:r>
        <w:rPr>
          <w:u w:val="single"/>
        </w:rPr>
        <w:t>Социальные услуги</w:t>
      </w:r>
      <w:r>
        <w:t xml:space="preserve"> [пункт 2 с) статьи 11 Конвенции]</w:t>
      </w:r>
    </w:p>
    <w:p w:rsidR="00000000" w:rsidRDefault="00000000">
      <w:pPr>
        <w:pStyle w:val="BodyText"/>
      </w:pPr>
      <w:r>
        <w:tab/>
        <w:t>В отношении указанных в этом подпункте социальных услуг следует отметить, что государство стремится содействовать занятости женщин и создать для этого благоприятные условия, а также предоставить женщинам возможность сочетать выполнение семейных обязанностей с трудовой деятельностью и участием в общественной жизни. Государство поэтому стремится стимулировать женские и кооперативные объединения к созданию образцовых детских яслей, обеспечивающих соответствующие условия для детей работающих матерей. Детские ясли представляют собой одно из важных средств содействия работающим матерям в создании условий, с тем чтобы их дети были там в безопасности и под присмотром квалифицированных воспитателей, которые способствовали бы развитию способностей детей и их подготовке в психологическом и социальном плане к детскому саду. Детские ясли находятся в ведении Министерства труда и социальных дел, которое периодически осуществляет проверку соблюдения указанными учреждениями соответствующих порядка, правил и норм.</w:t>
      </w:r>
    </w:p>
    <w:p w:rsidR="00000000" w:rsidRDefault="00000000">
      <w:pPr>
        <w:pStyle w:val="BodyText"/>
        <w:rPr>
          <w:u w:val="single"/>
        </w:rPr>
      </w:pPr>
      <w:r>
        <w:rPr>
          <w:u w:val="single"/>
        </w:rPr>
        <w:t>Профессиональная подготовка</w:t>
      </w:r>
    </w:p>
    <w:p w:rsidR="00000000" w:rsidRDefault="00000000">
      <w:pPr>
        <w:pStyle w:val="BodyText"/>
        <w:rPr>
          <w:spacing w:val="-2"/>
        </w:rPr>
      </w:pPr>
      <w:r>
        <w:rPr>
          <w:spacing w:val="-2"/>
        </w:rPr>
        <w:tab/>
        <w:t>Государство несет ответственность за подготовку, ремесленное ученичество и профессиональное обучение в рамках параллельного образования, целью которого является формирование национальных кадров. Основу данного вида обучения составляют два учебно-образовательных процесса – профессиональной подготовки и обучения, – идущих бок о бок и призванных создать прочную базу для квалифицированных и подготовленных национальных трудовых ресурсов.</w:t>
      </w:r>
    </w:p>
    <w:p w:rsidR="00000000" w:rsidRDefault="00000000">
      <w:pPr>
        <w:pStyle w:val="BodyText"/>
      </w:pPr>
      <w:r>
        <w:tab/>
        <w:t>Различие между параллельным обучением и техническим обучением состоит в том, что первое является профессиональным обучением, задача которого – дать обучаемому необходимые практические навыки и знания на основе практических и теоретических технических учебных программ, разрабатываемых специально для этой конкретной цели. Кроме того, обучаемому предоставляется возможность получения определенного объема других знаний и информации. Срок данного вида обучения – четыре года, в течение которых обучаемый получает ежегодную денежную субсидию. Такое обучение доступно в равной степени как юношам, так и девушкам.</w:t>
      </w:r>
    </w:p>
    <w:p w:rsidR="00000000" w:rsidRDefault="00000000">
      <w:pPr>
        <w:pStyle w:val="BodyText"/>
      </w:pPr>
      <w:r>
        <w:tab/>
        <w:t>Действуя через специализированные управления, укомплектованные специалистами в области образования и профподготовки, государство организует также регулярные программы и курсы для лиц, работающих в государственных учреждениях, и дополнительно – курсы и программы, предназначенные для привлечения кувейтских женщин к работе по ряду специальностей, которые в наибольшей степени соответствуют характеру женщины, как, например, уход за больными, а также другим специальностям, популярность которых среди кувейтских женщин невелика. Указанные программы и курсы в немалой степени способствовали росту участия женщин в рабочей силе.</w:t>
      </w:r>
    </w:p>
    <w:p w:rsidR="00000000" w:rsidRDefault="00000000">
      <w:pPr>
        <w:pStyle w:val="BodyText"/>
      </w:pPr>
      <w:r>
        <w:tab/>
        <w:t xml:space="preserve">Что касается прав, гарантируемых пунктом 1 </w:t>
      </w:r>
      <w:r>
        <w:rPr>
          <w:lang w:val="en-US"/>
        </w:rPr>
        <w:t>d</w:t>
      </w:r>
      <w:r>
        <w:t xml:space="preserve">) и </w:t>
      </w:r>
      <w:r>
        <w:rPr>
          <w:lang w:val="en-US"/>
        </w:rPr>
        <w:t>f</w:t>
      </w:r>
      <w:r>
        <w:t>) статьи 11, то следует отметить, что Государство Кувейт стремится предоставлять работающим женщинам заработную плату, равноценную заработной плате мужчины, при выполнении ею той же работы. При этом соблюдается конституционный принцип, ссылка на который приводилась ранее и который гласит, что все люди равны с точки зрения человеческого достоинства, равны перед законом, равны в правах и обязанностях, без проведения различий между ними по признаку пола, происхождения, языка или вероисповедания.</w:t>
      </w:r>
    </w:p>
    <w:p w:rsidR="00000000" w:rsidRDefault="00000000">
      <w:pPr>
        <w:pStyle w:val="BodyText"/>
      </w:pPr>
      <w:r>
        <w:tab/>
        <w:t>В отношении лиц, занятых в государственном секторе, следует указать, что на Совет по гражданской службе возлагается ответственность за определение порядка назначения на должность и должностного оклада с учетом вида должностных обязанностей и должностного уровня, характера и дефицитности квалификации, опыта или подготовки, а также продолжительности обучения.</w:t>
      </w:r>
    </w:p>
    <w:p w:rsidR="00000000" w:rsidRDefault="00000000">
      <w:pPr>
        <w:pStyle w:val="BodyText"/>
      </w:pPr>
      <w:r>
        <w:tab/>
        <w:t>Помимо оклада постановлением соответствующего министра допускается выплата служащему поощрительной прибавки (материальное стимулирование) на условиях, предусматриваемых законом. В нижеследующих таблицах приводятся должностные категории и ежемесячные оклады служащих государственных учреждений и выплачиваемые им социальные прибавки.</w:t>
      </w:r>
    </w:p>
    <w:p w:rsidR="00000000" w:rsidRDefault="00000000">
      <w:pPr>
        <w:pStyle w:val="BodyText"/>
      </w:pPr>
      <w:r>
        <w:tab/>
        <w:t>В Законе о работе в частном секторе (статья 27) говорится, что работающей женщине выплачивается заработная плата, равноценная заработной плате мужчины, если они выполняют одинаковую работу. Поэтому законодатель позаботился дать четкое и недвусмысленное определение термина "заработная плата работающего", поскольку защита заработной платы является одним из основных принципов любого законодательного акта о труде, направленного на установление нормальных отношений между работодателями и трудящимися.</w:t>
      </w:r>
    </w:p>
    <w:p w:rsidR="00000000" w:rsidRDefault="00000000">
      <w:pPr>
        <w:pStyle w:val="BodyText"/>
        <w:spacing w:after="200"/>
      </w:pPr>
      <w:r>
        <w:tab/>
        <w:t>Согласно статье 28 указанного закона, "заработная плата" – это получаемое трудящимся основное вознаграждение, дополнением к которому служат регулярные надбавки, компенсации, комиссионные, субсидии или наградные.</w:t>
      </w:r>
    </w:p>
    <w:p w:rsidR="00000000" w:rsidRDefault="00000000">
      <w:pPr>
        <w:pStyle w:val="BodyText"/>
        <w:spacing w:after="200"/>
      </w:pPr>
      <w:r>
        <w:tab/>
        <w:t>Законодателями был принят ряд мер по защите заработной платы и недопущению ее сокращения. С этой целью были разработаны четкие положения, исключающие возможность задержки выплаты заработной платы, причитающейся работнику, или удержания ее части, превышающей 25 процентов, а также вычета более чем 10 процентов заработной платы трудящегося в счет оплаты долгов и кредитов, причитающихся работодателю.</w:t>
      </w:r>
    </w:p>
    <w:p w:rsidR="00000000" w:rsidRDefault="00000000">
      <w:pPr>
        <w:pStyle w:val="BodyText"/>
        <w:spacing w:after="200"/>
      </w:pPr>
      <w:r>
        <w:tab/>
        <w:t>Что касается права на охрану здоровья и обеспечение безопасности труда, то законом предусмотрено право работников трудиться в безопасных и недискриминационных условиях. Так, положения главы 9 Закона о труде содержат обязательства работодателей по отношению к трудящимся в плане обеспечения их защиты, а также по всем вопросам, касающимся жилья, питьевой воды, снабжения продовольствием и транспорта для трудящихся, работающих за пределами городских районов.</w:t>
      </w:r>
    </w:p>
    <w:p w:rsidR="00000000" w:rsidRDefault="00000000">
      <w:pPr>
        <w:pStyle w:val="BodyText"/>
        <w:spacing w:after="200"/>
      </w:pPr>
      <w:r>
        <w:tab/>
        <w:t>Кроме того, в обязанности работодателей входят проведение медицинского осмотра трудящегося после поступления его на работу и предоставление ему медицинского обслуживания. Контроль за выполнением положений об охране здоровья и о гигиене труда осуществляют инспекторы по охране труда, подчиненные Управлению инспекции труда при Министерстве труда и социальных дел, полномочия которых вытекают из положений указанного выше Закона о труде, и в частности его статьи 95, которая дает служащим Министерства право проведения инспекций на промышленных предприятиях и проверки выполнения данного закона, постановлений и норм.</w:t>
      </w:r>
    </w:p>
    <w:p w:rsidR="00000000" w:rsidRDefault="00000000">
      <w:pPr>
        <w:pStyle w:val="BodyText"/>
        <w:spacing w:after="200"/>
      </w:pPr>
      <w:r>
        <w:tab/>
        <w:t>Что касается равенства возможностей для всех лиц в отношении повышения по службе, то оно осуществляется только на основе эффективности и показателей в работе без какой бы то ни было дискриминации. Все государственные и частные организации имеют административный орган, отвечающий за проведение кадровой политики и применение положений и норм. Эти органы обязаны обеспечивать соблюдение принципов и критериев, выработанных Советом по гражданской службе, в том что касается назначения, карьерного роста и окончания службы, а также других вопросов, связанных с нахождением на государственной должности.</w:t>
      </w:r>
    </w:p>
    <w:p w:rsidR="00000000" w:rsidRDefault="00000000">
      <w:pPr>
        <w:pStyle w:val="BodyText"/>
        <w:spacing w:after="200"/>
      </w:pPr>
      <w:r>
        <w:tab/>
        <w:t>Следует отметить, что указанные положения законодательства в равной мере касаются как мужчин, так и женщин.</w:t>
      </w:r>
    </w:p>
    <w:p w:rsidR="00000000" w:rsidRDefault="00000000">
      <w:pPr>
        <w:pStyle w:val="BodyText"/>
        <w:spacing w:after="200"/>
      </w:pPr>
      <w:r>
        <w:tab/>
        <w:t>В дополнение к указанному, стремясь обеспечить трудящимся дополнительную защиту и охрану их прав, Кувейт ратифицировал 15 международных конвенций о труде, принятых Международной организацией труда, в том числе:</w:t>
      </w:r>
    </w:p>
    <w:p w:rsidR="00000000" w:rsidRDefault="00000000">
      <w:pPr>
        <w:pStyle w:val="BodyText"/>
        <w:spacing w:after="200"/>
      </w:pPr>
      <w:r>
        <w:tab/>
        <w:t>–</w:t>
      </w:r>
      <w:r>
        <w:tab/>
        <w:t>Конвенцию о рабочем времени;</w:t>
      </w:r>
    </w:p>
    <w:p w:rsidR="00000000" w:rsidRDefault="00000000">
      <w:pPr>
        <w:pStyle w:val="BodyText"/>
        <w:spacing w:after="200"/>
      </w:pPr>
      <w:r>
        <w:tab/>
        <w:t>–</w:t>
      </w:r>
      <w:r>
        <w:tab/>
        <w:t>Конвенцию о дискриминации в области труда и занятий (№ 111);</w:t>
      </w:r>
    </w:p>
    <w:p w:rsidR="00000000" w:rsidRDefault="00000000">
      <w:pPr>
        <w:pStyle w:val="BodyText"/>
        <w:spacing w:after="200"/>
      </w:pPr>
      <w:r>
        <w:tab/>
        <w:t>–</w:t>
      </w:r>
      <w:r>
        <w:tab/>
        <w:t>Конвенцию об ограничении рабочего времени на промышленных предприятиях до восьми часов в день и сорока восьми часов в неделю (№ 1);</w:t>
      </w:r>
    </w:p>
    <w:p w:rsidR="00000000" w:rsidRDefault="00000000">
      <w:pPr>
        <w:pStyle w:val="BodyText"/>
        <w:spacing w:after="200"/>
      </w:pPr>
      <w:r>
        <w:tab/>
        <w:t>–</w:t>
      </w:r>
      <w:r>
        <w:tab/>
        <w:t>Конвенцию о ночном труде женщин в промышленности (№ 89);</w:t>
      </w:r>
    </w:p>
    <w:p w:rsidR="00000000" w:rsidRDefault="00000000">
      <w:pPr>
        <w:pStyle w:val="BodyText"/>
        <w:spacing w:after="200"/>
      </w:pPr>
      <w:r>
        <w:tab/>
        <w:t>–</w:t>
      </w:r>
      <w:r>
        <w:tab/>
        <w:t>Конвенцию об инспекции труда в промышленности и торговле (№ 81);</w:t>
      </w:r>
    </w:p>
    <w:p w:rsidR="00000000" w:rsidRDefault="00000000">
      <w:pPr>
        <w:pStyle w:val="BodyText"/>
        <w:spacing w:after="200"/>
      </w:pPr>
      <w:r>
        <w:tab/>
        <w:t>–</w:t>
      </w:r>
      <w:r>
        <w:tab/>
        <w:t>Конвенцию о ежегодных оплачиваемых отпусках (№ 52);</w:t>
      </w:r>
    </w:p>
    <w:p w:rsidR="00000000" w:rsidRDefault="00000000">
      <w:pPr>
        <w:pStyle w:val="BodyText"/>
        <w:spacing w:after="200"/>
      </w:pPr>
      <w:r>
        <w:tab/>
        <w:t>–</w:t>
      </w:r>
      <w:r>
        <w:tab/>
        <w:t>Конвенцию об основных целях и нормах социальной политики (№ 117);</w:t>
      </w:r>
    </w:p>
    <w:p w:rsidR="00000000" w:rsidRDefault="00000000">
      <w:pPr>
        <w:pStyle w:val="BodyText"/>
        <w:spacing w:after="200"/>
      </w:pPr>
      <w:r>
        <w:tab/>
        <w:t>–</w:t>
      </w:r>
      <w:r>
        <w:tab/>
        <w:t>Конвенцию о запрещении и немедленных мерах по искоренению наихудших форм детского труда (№ 182).</w:t>
      </w:r>
    </w:p>
    <w:p w:rsidR="00000000" w:rsidRDefault="00000000">
      <w:pPr>
        <w:pStyle w:val="BodyText"/>
        <w:spacing w:after="200"/>
      </w:pPr>
      <w:r>
        <w:tab/>
        <w:t>Кроме того, Государство Кувейт осуществляет процесс ратификации Конвенции о равном вознаграждении мужчин и женщин за труд равной ценности (№ 100).</w:t>
      </w:r>
    </w:p>
    <w:p w:rsidR="00000000" w:rsidRDefault="00000000">
      <w:pPr>
        <w:pStyle w:val="BodyText"/>
      </w:pPr>
      <w:r>
        <w:tab/>
        <w:t>В соответствии со статьей 70 Конституции Кувейта указанные конвенции отнесены к числу национальных законодательных актов и имеют такую же обязательную силу.</w:t>
      </w:r>
    </w:p>
    <w:p w:rsidR="00000000" w:rsidRDefault="00000000">
      <w:pPr>
        <w:pStyle w:val="-1"/>
      </w:pPr>
      <w:r>
        <w:t>Статья</w:t>
      </w:r>
      <w:r>
        <w:rPr>
          <w:lang w:val="en-US"/>
        </w:rPr>
        <w:t> </w:t>
      </w:r>
      <w:r>
        <w:t>12</w:t>
      </w:r>
    </w:p>
    <w:p w:rsidR="00000000" w:rsidRDefault="00000000">
      <w:pPr>
        <w:pStyle w:val="BodyText"/>
        <w:spacing w:after="200"/>
      </w:pPr>
      <w:r>
        <w:tab/>
        <w:t>Данная статья требует, чтобы государства-участники приняли все соответствующие меры для ликвидации дискриминации в отношении женщин в области здравоохранения, с тем чтобы обеспечить на основе равенства мужчин и женщин доступ к медицинскому обслуживанию, в частности в том, что касается планирования размера семьи.</w:t>
      </w:r>
    </w:p>
    <w:p w:rsidR="00000000" w:rsidRDefault="00000000">
      <w:pPr>
        <w:pStyle w:val="BodyText"/>
        <w:spacing w:after="200"/>
      </w:pPr>
      <w:r>
        <w:tab/>
        <w:t>Женщины в Кувейте пользуются комплексом специализированного медицинского обслуживания, поскольку государство обеспечивает современные услуги по охране материнства и детства в государственных больницах и в медицинских центрах, имеющихся по всей стране.</w:t>
      </w:r>
    </w:p>
    <w:p w:rsidR="00000000" w:rsidRDefault="00000000">
      <w:pPr>
        <w:pStyle w:val="BodyText"/>
        <w:spacing w:after="200"/>
      </w:pPr>
      <w:r>
        <w:tab/>
        <w:t>Здравоохранение – одна из услуг, гарантируемых Конституцией всем членам общества в Кувейте и относится к числу основных для кувейтского общества. Право на него предусматривается в статье 15, которая гласит: "Государство обеспечивает общественное здравоохранение и средства профилактики и лечения заболеваний и борьбы с эпидемиями".</w:t>
      </w:r>
    </w:p>
    <w:p w:rsidR="00000000" w:rsidRDefault="00000000">
      <w:pPr>
        <w:pStyle w:val="BodyText"/>
        <w:spacing w:after="200"/>
      </w:pPr>
      <w:r>
        <w:tab/>
        <w:t>В статье 9 говорится: "Семья составляет основу общества, она опирается на религию, мораль и любовь к родине. Закон стоит на страже целостности семьи, способствует упрочению семейных уз, обеспечивает охрану материнства и детства".</w:t>
      </w:r>
    </w:p>
    <w:p w:rsidR="00000000" w:rsidRDefault="00000000">
      <w:pPr>
        <w:pStyle w:val="BodyText"/>
        <w:spacing w:after="200"/>
      </w:pPr>
      <w:r>
        <w:tab/>
        <w:t>В статье 10 на государство возложена обязанность заботиться о подрастающем поколении, защите его от эксплуатации и о создании всех условий для того, чтобы его нравственные, физические и духовные возможности были достойным образом востребованы.</w:t>
      </w:r>
    </w:p>
    <w:p w:rsidR="00000000" w:rsidRDefault="00000000">
      <w:pPr>
        <w:pStyle w:val="BodyText"/>
        <w:spacing w:after="200"/>
      </w:pPr>
      <w:r>
        <w:tab/>
        <w:t>В статье 11 говорится, что государство гарантирует гражданам пенсионное обеспечение по старости, в случае болезни или нетрудоспособности, а также предоставляет им услуги социального обеспечения, социальную помощь и медицинское обслуживание.</w:t>
      </w:r>
    </w:p>
    <w:p w:rsidR="00000000" w:rsidRDefault="00000000">
      <w:pPr>
        <w:pStyle w:val="BodyText"/>
        <w:spacing w:after="200"/>
      </w:pPr>
      <w:r>
        <w:tab/>
        <w:t>Следует отметить, что законы о государственном здравоохранении касаются всех граждан и гарантируют всем право на медицинское обслуживание без дискриминации или разделения по признаку пола, языка, происхождения или религии, не говоря уже о том, что женщины пользуются особыми медицинскими услугами, связанными с беременностью, родами и уходом за ребенком.</w:t>
      </w:r>
    </w:p>
    <w:p w:rsidR="00000000" w:rsidRDefault="00000000">
      <w:pPr>
        <w:pStyle w:val="BodyText"/>
      </w:pPr>
      <w:r>
        <w:tab/>
        <w:t>В Государстве Кувейт за создание здоровой среды и медицинское обслуживание граждан отвечает Министерство здравоохранения. Цель политики в области здравоохранения состоит в удовлетворении общих потребностей населения в области охраны здоровья одновременно с принятием мер по расширению и интеграции имеющихся различных видов профилактических, лечебных и реабилитационных медицинских услуг. Кроме того, ставится цель справедливого распределения медицинских услуг по всей стране и охвата ими всех слоев населения, граждан и других жителей без какой-либо дискриминации.</w:t>
      </w:r>
    </w:p>
    <w:p w:rsidR="00000000" w:rsidRDefault="00000000">
      <w:pPr>
        <w:pStyle w:val="BodyText"/>
      </w:pPr>
      <w:r>
        <w:tab/>
        <w:t>Политика в сфере здравоохранения в Государстве Кувейт зиждется на ряде принципов, которые можно сформулировать следующим образом:</w:t>
      </w:r>
    </w:p>
    <w:p w:rsidR="00000000" w:rsidRDefault="00000000">
      <w:pPr>
        <w:pStyle w:val="BodyText"/>
      </w:pPr>
      <w:r>
        <w:tab/>
        <w:t>–</w:t>
      </w:r>
      <w:r>
        <w:tab/>
        <w:t>Каждый человек имеет право на получение услуг здравоохранения, позволяющих ему быть производительным индивидом с социальной и экономической точек зрения.</w:t>
      </w:r>
    </w:p>
    <w:p w:rsidR="00000000" w:rsidRDefault="00000000">
      <w:pPr>
        <w:pStyle w:val="BodyText"/>
      </w:pPr>
      <w:r>
        <w:tab/>
        <w:t>–</w:t>
      </w:r>
      <w:r>
        <w:tab/>
        <w:t>Беспрепятственный доступ к услугам здравоохранения должен быть обеспечен всем, без каких бы то ни было различий или дискриминации по признаку пола или гражданства.</w:t>
      </w:r>
    </w:p>
    <w:p w:rsidR="00000000" w:rsidRDefault="00000000">
      <w:pPr>
        <w:pStyle w:val="BodyText"/>
      </w:pPr>
      <w:r>
        <w:tab/>
        <w:t>–</w:t>
      </w:r>
      <w:r>
        <w:tab/>
        <w:t>Особое внимание при предоставлении услуг здравоохранения необходимо уделять наиболее уязвимым группам общества, таким как инвалиды, матери и лица преклонного возраста.</w:t>
      </w:r>
    </w:p>
    <w:p w:rsidR="00000000" w:rsidRDefault="00000000">
      <w:pPr>
        <w:pStyle w:val="BodyText"/>
      </w:pPr>
      <w:r>
        <w:tab/>
        <w:t>–</w:t>
      </w:r>
      <w:r>
        <w:tab/>
        <w:t>Обслуживание в области здравоохранения должно включать гарантированные медицинские услуги, повышение осведомленности и просветительскую деятельность в этой области, предоставление услуг по охране материнства и детства, проведение предохранительных прививок против инфекционных заболеваний и предродовой уход.</w:t>
      </w:r>
    </w:p>
    <w:p w:rsidR="00000000" w:rsidRDefault="00000000">
      <w:pPr>
        <w:pStyle w:val="BodyText"/>
        <w:rPr>
          <w:u w:val="single"/>
        </w:rPr>
      </w:pPr>
      <w:r>
        <w:rPr>
          <w:u w:val="single"/>
        </w:rPr>
        <w:t>Медицинское обслуживание женщин</w:t>
      </w:r>
    </w:p>
    <w:p w:rsidR="00000000" w:rsidRDefault="00000000">
      <w:pPr>
        <w:pStyle w:val="BodyText"/>
      </w:pPr>
      <w:r>
        <w:tab/>
        <w:t>Государство через Министерство здравоохранения предоставляет женщинам, как индивидуальным членам общества, следующие услуги в области здравоохранения:</w:t>
      </w:r>
    </w:p>
    <w:p w:rsidR="00000000" w:rsidRDefault="00000000">
      <w:pPr>
        <w:pStyle w:val="BodyText"/>
        <w:spacing w:after="160"/>
        <w:ind w:left="1021" w:hanging="1021"/>
      </w:pPr>
      <w:r>
        <w:tab/>
      </w:r>
      <w:r>
        <w:rPr>
          <w:lang w:val="en-US"/>
        </w:rPr>
        <w:t>a</w:t>
      </w:r>
      <w:r>
        <w:t>)</w:t>
      </w:r>
      <w:r>
        <w:tab/>
        <w:t>Кувейтские женщины бесплатно получают всестороннее медицинское обслуживание, включая профилактику, медицинское просвещение и лечение.</w:t>
      </w:r>
    </w:p>
    <w:p w:rsidR="00000000" w:rsidRDefault="00000000">
      <w:pPr>
        <w:pStyle w:val="BodyText"/>
        <w:spacing w:after="160"/>
        <w:ind w:left="1021" w:hanging="1021"/>
      </w:pPr>
      <w:r>
        <w:tab/>
      </w:r>
      <w:r>
        <w:rPr>
          <w:lang w:val="en-US"/>
        </w:rPr>
        <w:t>b</w:t>
      </w:r>
      <w:r>
        <w:t>)</w:t>
      </w:r>
      <w:r>
        <w:tab/>
        <w:t>Предродовой уход и медицинское обслуживание беременных осуществляются через сеть центров материнства и детства, родильные дома и родильные отделения в районных больницах по всей стране.</w:t>
      </w:r>
    </w:p>
    <w:p w:rsidR="00000000" w:rsidRDefault="00000000">
      <w:pPr>
        <w:pStyle w:val="BodyText"/>
        <w:spacing w:after="160"/>
        <w:ind w:left="1021" w:hanging="1021"/>
      </w:pPr>
      <w:r>
        <w:tab/>
      </w:r>
      <w:r>
        <w:rPr>
          <w:lang w:val="en-US"/>
        </w:rPr>
        <w:t>c</w:t>
      </w:r>
      <w:r>
        <w:t>)</w:t>
      </w:r>
      <w:r>
        <w:tab/>
        <w:t>Проводятся профилактические прививки от основных детских заболеваний, таких как полиомиелит, туберкулез, корь и другие инфекционные заболевания, а также столбняк, во время беременности и после родов для защиты плода и новорожденного. Эти прививки являются обязательными для защиты общественного здоровья.</w:t>
      </w:r>
    </w:p>
    <w:p w:rsidR="00000000" w:rsidRDefault="00000000">
      <w:pPr>
        <w:pStyle w:val="BodyText"/>
        <w:spacing w:after="160"/>
        <w:ind w:left="1021" w:hanging="1021"/>
      </w:pPr>
      <w:r>
        <w:tab/>
      </w:r>
      <w:r>
        <w:rPr>
          <w:lang w:val="en-US"/>
        </w:rPr>
        <w:t>d</w:t>
      </w:r>
      <w:r>
        <w:t>)</w:t>
      </w:r>
      <w:r>
        <w:tab/>
        <w:t>Больным женщинам разъясняется возможное побочное действие лекарственных препаратов, прописываемых им лечащим врачом.</w:t>
      </w:r>
    </w:p>
    <w:p w:rsidR="00000000" w:rsidRDefault="00000000">
      <w:pPr>
        <w:pStyle w:val="BodyText"/>
        <w:spacing w:after="160"/>
        <w:ind w:left="1021" w:hanging="1021"/>
      </w:pPr>
      <w:r>
        <w:tab/>
      </w:r>
      <w:r>
        <w:rPr>
          <w:lang w:val="en-US"/>
        </w:rPr>
        <w:t>e</w:t>
      </w:r>
      <w:r>
        <w:t>)</w:t>
      </w:r>
      <w:r>
        <w:tab/>
        <w:t>Больных женщин ставят в известность о возможных отрицательных последствиях предлагаемых им  хирургических операций, прежде чем испрашивать согласия на операцию.</w:t>
      </w:r>
    </w:p>
    <w:p w:rsidR="00000000" w:rsidRDefault="00000000">
      <w:pPr>
        <w:pStyle w:val="BodyText"/>
        <w:ind w:left="1021" w:hanging="1021"/>
      </w:pPr>
      <w:r>
        <w:tab/>
      </w:r>
      <w:r>
        <w:rPr>
          <w:lang w:val="en-US"/>
        </w:rPr>
        <w:t>f</w:t>
      </w:r>
      <w:r>
        <w:t>)</w:t>
      </w:r>
      <w:r>
        <w:tab/>
        <w:t>Если беременной женщине требуется операция кесарева сечения, необходимо получить согласие этой женщины на операцию.</w:t>
      </w:r>
    </w:p>
    <w:p w:rsidR="00000000" w:rsidRDefault="00000000">
      <w:pPr>
        <w:pStyle w:val="BodyText"/>
      </w:pPr>
      <w:r>
        <w:tab/>
        <w:t>Следует отметить, что в Государстве Кувейт охрана материнства и детства является частью стратегии в отношении первичного медико-санитарного обслуживания, направленной на обеспечение женщине-матери медицинского обслуживания до, во время и после родов. Указанные услуги включают, в частности, следующее:</w:t>
      </w:r>
    </w:p>
    <w:p w:rsidR="00000000" w:rsidRDefault="00000000">
      <w:pPr>
        <w:pStyle w:val="BodyText"/>
      </w:pPr>
      <w:r>
        <w:tab/>
        <w:t>–</w:t>
      </w:r>
      <w:r>
        <w:tab/>
        <w:t>уход за беременной, консультирование и наблюдение за ней в течение всей беременности с проведением необходимых обследований и анализов;</w:t>
      </w:r>
    </w:p>
    <w:p w:rsidR="00000000" w:rsidRDefault="00000000">
      <w:pPr>
        <w:pStyle w:val="BodyText"/>
      </w:pPr>
      <w:r>
        <w:tab/>
        <w:t>–</w:t>
      </w:r>
      <w:r>
        <w:tab/>
        <w:t>лечение и уход до и после родов, а также перевод женщин, нуждающихся в особом лечении, гинекологические и родильные отделения специализированных лечебных учреждений;</w:t>
      </w:r>
    </w:p>
    <w:p w:rsidR="00000000" w:rsidRDefault="00000000">
      <w:pPr>
        <w:pStyle w:val="BodyText"/>
      </w:pPr>
      <w:r>
        <w:tab/>
        <w:t>–</w:t>
      </w:r>
      <w:r>
        <w:tab/>
        <w:t>предоставление профилактических, лечебных и консультативных услуг для детей с момента рождения;</w:t>
      </w:r>
    </w:p>
    <w:p w:rsidR="00000000" w:rsidRDefault="00000000">
      <w:pPr>
        <w:pStyle w:val="BodyText"/>
      </w:pPr>
      <w:r>
        <w:tab/>
        <w:t>–</w:t>
      </w:r>
      <w:r>
        <w:tab/>
        <w:t>проведение иммунизации от инфекционных заболеваний и контроль за физическим, умственным и психологическим развитием ребенка.</w:t>
      </w:r>
    </w:p>
    <w:p w:rsidR="00000000" w:rsidRDefault="00000000">
      <w:pPr>
        <w:pStyle w:val="BodyText"/>
      </w:pPr>
      <w:r>
        <w:tab/>
        <w:t>В результате реализации этой стратегии смертность матерей в стране в 1998 году составила 958 случаев на 12 590 живорождений. Это достижение стало возможным благодаря предоставлению государством качественных услуг в специализированной родильной клинике, созданной в 1968 году, а также в трех гинекологических и акушерских отделениях в больницах губернаторств. Медицинское обслуживание матерей осуществляется также в 25 медицинских центрах, в которых занято свыше 60 врачей. Между указанными центрами и гинекологическими и родильными отделениями больниц осуществляется тесное сотрудничество и координация.</w:t>
      </w:r>
    </w:p>
    <w:p w:rsidR="00000000" w:rsidRDefault="00000000">
      <w:pPr>
        <w:pStyle w:val="BodyText"/>
      </w:pPr>
      <w:r>
        <w:tab/>
        <w:t>Услуги по уходу за детьми, медицинскому обслуживанию детей и уходу за ними предоставляются в имеющихся при медицинских центрах (в 1999 году их было 73) специализированных клиниках, в клиниках врачей общей практики или кабинетах семейных врачей.</w:t>
      </w:r>
    </w:p>
    <w:p w:rsidR="00000000" w:rsidRDefault="00000000">
      <w:pPr>
        <w:pStyle w:val="BodyText"/>
      </w:pPr>
      <w:r>
        <w:tab/>
        <w:t>Кроме того, имеется целый ряд специализированных клиник по женским болезням и родовспоможению при медицинских центрах, деятельностью которых руководят врачи-гинекологи из родильных домов. При этом необходимо отметить, что 99 процентов родов в Кувейте происходят под наблюдением врача в государственных или частных больницах. В ряде случаев роды принимаются на дому, но под наблюдением врача и, в случае необходимости, с госпитализацией.</w:t>
      </w:r>
    </w:p>
    <w:p w:rsidR="00000000" w:rsidRDefault="00000000">
      <w:pPr>
        <w:pStyle w:val="BodyText"/>
      </w:pPr>
      <w:r>
        <w:tab/>
        <w:t>В 1999 году женщины посетили эти клиники 373 865 раз, а число обращений в детские клиники, где предоставляются медицинские услуги детям, составило в том же году для возрастной категории от 0 до 10 лет 3 209 919, включая 2 205 215 кувейтских детей, или 69 процентов от общего числа, и 1 004 704 некувейтских детей, или 31 процент от общего числа.</w:t>
      </w:r>
    </w:p>
    <w:p w:rsidR="00000000" w:rsidRDefault="00000000">
      <w:pPr>
        <w:pStyle w:val="BodyText"/>
      </w:pPr>
      <w:r>
        <w:tab/>
        <w:t>Исходя из государственной концепции о том, что инвестирование средств в людские ресурсы является одним из краеугольных камней комплексного развития здравоохранения, государство создало в 1994 году Кувейтский институт специализированной медицины, который начал осуществлять программу специализации, по окончании которой выдается диплом по гинекологии и акушерству, что явилось поддержкой развитию программ материнства и детства в центрах по первичному уходу. Целью программы является передача врачам необходимых знаний, опыта и современной информации для ухода за женщинами в период беременности, а также для родовспоможения в центрах материнства и детства.</w:t>
      </w:r>
    </w:p>
    <w:p w:rsidR="00000000" w:rsidRDefault="00000000">
      <w:pPr>
        <w:pStyle w:val="BodyText"/>
      </w:pPr>
      <w:r>
        <w:tab/>
        <w:t>В дополнение к указанным выше услугам, предоставляемых медицинскими учреждениями, гражданам и резидентам оказывается и много других услуг, в том числе:</w:t>
      </w:r>
    </w:p>
    <w:p w:rsidR="00000000" w:rsidRDefault="00000000">
      <w:pPr>
        <w:pStyle w:val="BodyText"/>
        <w:spacing w:after="120"/>
      </w:pPr>
      <w:r>
        <w:tab/>
        <w:t>–</w:t>
      </w:r>
      <w:r>
        <w:tab/>
        <w:t>лечение сахарного диабета;</w:t>
      </w:r>
    </w:p>
    <w:p w:rsidR="00000000" w:rsidRDefault="00000000">
      <w:pPr>
        <w:pStyle w:val="BodyText"/>
        <w:spacing w:after="120"/>
      </w:pPr>
      <w:r>
        <w:tab/>
        <w:t>–</w:t>
      </w:r>
      <w:r>
        <w:tab/>
        <w:t>стоматологические услуги;</w:t>
      </w:r>
    </w:p>
    <w:p w:rsidR="00000000" w:rsidRDefault="00000000">
      <w:pPr>
        <w:pStyle w:val="BodyText"/>
        <w:spacing w:after="120"/>
      </w:pPr>
      <w:r>
        <w:tab/>
        <w:t>–</w:t>
      </w:r>
      <w:r>
        <w:tab/>
        <w:t>услуги в рамках программы школьного здравоохранения;</w:t>
      </w:r>
    </w:p>
    <w:p w:rsidR="00000000" w:rsidRDefault="00000000">
      <w:pPr>
        <w:pStyle w:val="BodyText"/>
      </w:pPr>
      <w:r>
        <w:tab/>
        <w:t>–</w:t>
      </w:r>
      <w:r>
        <w:tab/>
        <w:t>проведение лабораторных анализов и рентгенологические обследования.</w:t>
      </w:r>
    </w:p>
    <w:p w:rsidR="00000000" w:rsidRDefault="00000000">
      <w:pPr>
        <w:pStyle w:val="BodyText"/>
      </w:pPr>
      <w:r>
        <w:tab/>
        <w:t>Что касается расходов на здравоохранение, то следует указать, что расходы Министерства здравоохранения в 1998/99 финансовом году составили 277 149 000 кувейтских динаров (КД).</w:t>
      </w:r>
    </w:p>
    <w:p w:rsidR="00000000" w:rsidRDefault="00000000">
      <w:pPr>
        <w:pStyle w:val="BodyText"/>
      </w:pPr>
      <w:r>
        <w:tab/>
        <w:t>В таблице ниже приводятся данные о количестве больниц, коек, а также медицинских работников в системе здравоохранения государственного сектора (1996–1998 годы).</w:t>
      </w:r>
    </w:p>
    <w:tbl>
      <w:tblPr>
        <w:tblW w:w="0" w:type="auto"/>
        <w:jc w:val="center"/>
        <w:tblLayout w:type="fixed"/>
        <w:tblLook w:val="01E0" w:firstRow="1" w:lastRow="1" w:firstColumn="1" w:lastColumn="1" w:noHBand="0" w:noVBand="0"/>
      </w:tblPr>
      <w:tblGrid>
        <w:gridCol w:w="4511"/>
        <w:gridCol w:w="1560"/>
        <w:gridCol w:w="1417"/>
        <w:gridCol w:w="1301"/>
      </w:tblGrid>
      <w:tr w:rsidR="00000000">
        <w:tblPrEx>
          <w:tblCellMar>
            <w:top w:w="0" w:type="dxa"/>
            <w:bottom w:w="0" w:type="dxa"/>
          </w:tblCellMar>
        </w:tblPrEx>
        <w:trPr>
          <w:jc w:val="center"/>
        </w:trPr>
        <w:tc>
          <w:tcPr>
            <w:tcW w:w="4511" w:type="dxa"/>
          </w:tcPr>
          <w:p w:rsidR="00000000" w:rsidRDefault="00000000">
            <w:pPr>
              <w:pStyle w:val="BodyText"/>
              <w:spacing w:after="0" w:line="240" w:lineRule="auto"/>
            </w:pPr>
          </w:p>
        </w:tc>
        <w:tc>
          <w:tcPr>
            <w:tcW w:w="1560" w:type="dxa"/>
          </w:tcPr>
          <w:p w:rsidR="00000000" w:rsidRDefault="00000000">
            <w:pPr>
              <w:pStyle w:val="BodyText"/>
              <w:spacing w:after="0" w:line="240" w:lineRule="auto"/>
              <w:jc w:val="center"/>
            </w:pPr>
            <w:r>
              <w:t>1996 год</w:t>
            </w:r>
          </w:p>
        </w:tc>
        <w:tc>
          <w:tcPr>
            <w:tcW w:w="1417" w:type="dxa"/>
          </w:tcPr>
          <w:p w:rsidR="00000000" w:rsidRDefault="00000000">
            <w:pPr>
              <w:pStyle w:val="BodyText"/>
              <w:spacing w:after="0" w:line="240" w:lineRule="auto"/>
              <w:jc w:val="center"/>
            </w:pPr>
            <w:r>
              <w:t>1997 год</w:t>
            </w:r>
          </w:p>
        </w:tc>
        <w:tc>
          <w:tcPr>
            <w:tcW w:w="1301" w:type="dxa"/>
          </w:tcPr>
          <w:p w:rsidR="00000000" w:rsidRDefault="00000000">
            <w:pPr>
              <w:pStyle w:val="BodyText"/>
              <w:spacing w:after="0" w:line="240" w:lineRule="auto"/>
              <w:jc w:val="center"/>
            </w:pPr>
            <w:r>
              <w:t>1998 год</w:t>
            </w:r>
          </w:p>
        </w:tc>
      </w:tr>
      <w:tr w:rsidR="00000000">
        <w:tblPrEx>
          <w:tblCellMar>
            <w:top w:w="0" w:type="dxa"/>
            <w:bottom w:w="0" w:type="dxa"/>
          </w:tblCellMar>
        </w:tblPrEx>
        <w:trPr>
          <w:jc w:val="center"/>
        </w:trPr>
        <w:tc>
          <w:tcPr>
            <w:tcW w:w="4511" w:type="dxa"/>
          </w:tcPr>
          <w:p w:rsidR="00000000" w:rsidRDefault="00000000">
            <w:pPr>
              <w:pStyle w:val="BodyText"/>
              <w:spacing w:after="0" w:line="240" w:lineRule="auto"/>
            </w:pPr>
            <w:r>
              <w:t>Количество больниц и лечебных учреждений</w:t>
            </w:r>
          </w:p>
        </w:tc>
        <w:tc>
          <w:tcPr>
            <w:tcW w:w="1560" w:type="dxa"/>
          </w:tcPr>
          <w:p w:rsidR="00000000" w:rsidRDefault="00000000">
            <w:pPr>
              <w:pStyle w:val="BodyText"/>
              <w:spacing w:after="0" w:line="240" w:lineRule="auto"/>
              <w:ind w:right="284"/>
              <w:jc w:val="right"/>
            </w:pPr>
            <w:r>
              <w:t>15</w:t>
            </w:r>
          </w:p>
        </w:tc>
        <w:tc>
          <w:tcPr>
            <w:tcW w:w="1417" w:type="dxa"/>
          </w:tcPr>
          <w:p w:rsidR="00000000" w:rsidRDefault="00000000">
            <w:pPr>
              <w:pStyle w:val="BodyText"/>
              <w:spacing w:after="0" w:line="240" w:lineRule="auto"/>
              <w:ind w:right="227"/>
              <w:jc w:val="right"/>
            </w:pPr>
            <w:r>
              <w:t>15</w:t>
            </w:r>
          </w:p>
        </w:tc>
        <w:tc>
          <w:tcPr>
            <w:tcW w:w="1301" w:type="dxa"/>
          </w:tcPr>
          <w:p w:rsidR="00000000" w:rsidRDefault="00000000">
            <w:pPr>
              <w:pStyle w:val="BodyText"/>
              <w:spacing w:after="0" w:line="240" w:lineRule="auto"/>
              <w:ind w:right="170"/>
              <w:jc w:val="right"/>
            </w:pPr>
            <w:r>
              <w:t>15</w:t>
            </w:r>
          </w:p>
        </w:tc>
      </w:tr>
      <w:tr w:rsidR="00000000">
        <w:tblPrEx>
          <w:tblCellMar>
            <w:top w:w="0" w:type="dxa"/>
            <w:bottom w:w="0" w:type="dxa"/>
          </w:tblCellMar>
        </w:tblPrEx>
        <w:trPr>
          <w:jc w:val="center"/>
        </w:trPr>
        <w:tc>
          <w:tcPr>
            <w:tcW w:w="4511" w:type="dxa"/>
          </w:tcPr>
          <w:p w:rsidR="00000000" w:rsidRDefault="00000000">
            <w:pPr>
              <w:pStyle w:val="BodyText"/>
              <w:spacing w:after="0" w:line="240" w:lineRule="auto"/>
            </w:pPr>
            <w:r>
              <w:t>Количество медицинских центров и пунктов</w:t>
            </w:r>
          </w:p>
        </w:tc>
        <w:tc>
          <w:tcPr>
            <w:tcW w:w="1560" w:type="dxa"/>
          </w:tcPr>
          <w:p w:rsidR="00000000" w:rsidRDefault="00000000">
            <w:pPr>
              <w:pStyle w:val="BodyText"/>
              <w:spacing w:after="0" w:line="240" w:lineRule="auto"/>
              <w:ind w:right="284"/>
              <w:jc w:val="right"/>
            </w:pPr>
            <w:r>
              <w:t>70</w:t>
            </w:r>
          </w:p>
        </w:tc>
        <w:tc>
          <w:tcPr>
            <w:tcW w:w="1417" w:type="dxa"/>
          </w:tcPr>
          <w:p w:rsidR="00000000" w:rsidRDefault="00000000">
            <w:pPr>
              <w:pStyle w:val="BodyText"/>
              <w:spacing w:after="0" w:line="240" w:lineRule="auto"/>
              <w:ind w:right="227"/>
              <w:jc w:val="right"/>
            </w:pPr>
            <w:r>
              <w:t>70</w:t>
            </w:r>
          </w:p>
        </w:tc>
        <w:tc>
          <w:tcPr>
            <w:tcW w:w="1301" w:type="dxa"/>
          </w:tcPr>
          <w:p w:rsidR="00000000" w:rsidRDefault="00000000">
            <w:pPr>
              <w:pStyle w:val="BodyText"/>
              <w:spacing w:after="0" w:line="240" w:lineRule="auto"/>
              <w:ind w:right="170"/>
              <w:jc w:val="right"/>
            </w:pPr>
            <w:r>
              <w:t>70</w:t>
            </w:r>
          </w:p>
        </w:tc>
      </w:tr>
      <w:tr w:rsidR="00000000">
        <w:tblPrEx>
          <w:tblCellMar>
            <w:top w:w="0" w:type="dxa"/>
            <w:bottom w:w="0" w:type="dxa"/>
          </w:tblCellMar>
        </w:tblPrEx>
        <w:trPr>
          <w:jc w:val="center"/>
        </w:trPr>
        <w:tc>
          <w:tcPr>
            <w:tcW w:w="4511" w:type="dxa"/>
          </w:tcPr>
          <w:p w:rsidR="00000000" w:rsidRDefault="00000000">
            <w:pPr>
              <w:pStyle w:val="BodyText"/>
              <w:spacing w:after="0" w:line="240" w:lineRule="auto"/>
            </w:pPr>
            <w:r>
              <w:t>Количество коек в государственных больницах</w:t>
            </w:r>
          </w:p>
        </w:tc>
        <w:tc>
          <w:tcPr>
            <w:tcW w:w="1560" w:type="dxa"/>
          </w:tcPr>
          <w:p w:rsidR="00000000" w:rsidRDefault="00000000">
            <w:pPr>
              <w:pStyle w:val="BodyText"/>
              <w:spacing w:after="0" w:line="240" w:lineRule="auto"/>
              <w:ind w:right="284"/>
              <w:jc w:val="right"/>
            </w:pPr>
            <w:r>
              <w:t>4 425</w:t>
            </w:r>
          </w:p>
        </w:tc>
        <w:tc>
          <w:tcPr>
            <w:tcW w:w="1417" w:type="dxa"/>
          </w:tcPr>
          <w:p w:rsidR="00000000" w:rsidRDefault="00000000">
            <w:pPr>
              <w:pStyle w:val="BodyText"/>
              <w:spacing w:after="0" w:line="240" w:lineRule="auto"/>
              <w:ind w:right="227"/>
              <w:jc w:val="right"/>
            </w:pPr>
            <w:r>
              <w:t>4 449</w:t>
            </w:r>
          </w:p>
        </w:tc>
        <w:tc>
          <w:tcPr>
            <w:tcW w:w="1301" w:type="dxa"/>
          </w:tcPr>
          <w:p w:rsidR="00000000" w:rsidRDefault="00000000">
            <w:pPr>
              <w:pStyle w:val="BodyText"/>
              <w:spacing w:after="0" w:line="240" w:lineRule="auto"/>
              <w:ind w:right="170"/>
              <w:jc w:val="right"/>
            </w:pPr>
            <w:r>
              <w:t>4 401</w:t>
            </w:r>
          </w:p>
        </w:tc>
      </w:tr>
      <w:tr w:rsidR="00000000">
        <w:tblPrEx>
          <w:tblCellMar>
            <w:top w:w="0" w:type="dxa"/>
            <w:bottom w:w="0" w:type="dxa"/>
          </w:tblCellMar>
        </w:tblPrEx>
        <w:trPr>
          <w:jc w:val="center"/>
        </w:trPr>
        <w:tc>
          <w:tcPr>
            <w:tcW w:w="4511" w:type="dxa"/>
          </w:tcPr>
          <w:p w:rsidR="00000000" w:rsidRDefault="00000000">
            <w:pPr>
              <w:pStyle w:val="BodyText"/>
              <w:spacing w:after="0" w:line="240" w:lineRule="auto"/>
            </w:pPr>
            <w:r>
              <w:t>Число жителей на одну койку</w:t>
            </w:r>
          </w:p>
        </w:tc>
        <w:tc>
          <w:tcPr>
            <w:tcW w:w="1560" w:type="dxa"/>
          </w:tcPr>
          <w:p w:rsidR="00000000" w:rsidRDefault="00000000">
            <w:pPr>
              <w:pStyle w:val="BodyText"/>
              <w:spacing w:after="0" w:line="240" w:lineRule="auto"/>
              <w:ind w:right="284"/>
              <w:jc w:val="right"/>
            </w:pPr>
            <w:r>
              <w:t>473</w:t>
            </w:r>
          </w:p>
        </w:tc>
        <w:tc>
          <w:tcPr>
            <w:tcW w:w="1417" w:type="dxa"/>
          </w:tcPr>
          <w:p w:rsidR="00000000" w:rsidRDefault="00000000">
            <w:pPr>
              <w:pStyle w:val="BodyText"/>
              <w:spacing w:after="0" w:line="240" w:lineRule="auto"/>
              <w:ind w:right="227"/>
              <w:jc w:val="right"/>
            </w:pPr>
            <w:r>
              <w:t>496</w:t>
            </w:r>
          </w:p>
        </w:tc>
        <w:tc>
          <w:tcPr>
            <w:tcW w:w="1301" w:type="dxa"/>
          </w:tcPr>
          <w:p w:rsidR="00000000" w:rsidRDefault="00000000">
            <w:pPr>
              <w:pStyle w:val="BodyText"/>
              <w:spacing w:after="0" w:line="240" w:lineRule="auto"/>
              <w:ind w:right="170"/>
              <w:jc w:val="right"/>
            </w:pPr>
            <w:r>
              <w:t>516</w:t>
            </w:r>
          </w:p>
        </w:tc>
      </w:tr>
      <w:tr w:rsidR="00000000">
        <w:tblPrEx>
          <w:tblCellMar>
            <w:top w:w="0" w:type="dxa"/>
            <w:bottom w:w="0" w:type="dxa"/>
          </w:tblCellMar>
        </w:tblPrEx>
        <w:trPr>
          <w:jc w:val="center"/>
        </w:trPr>
        <w:tc>
          <w:tcPr>
            <w:tcW w:w="4511" w:type="dxa"/>
          </w:tcPr>
          <w:p w:rsidR="00000000" w:rsidRDefault="00000000">
            <w:pPr>
              <w:pStyle w:val="BodyText"/>
              <w:spacing w:after="0" w:line="240" w:lineRule="auto"/>
            </w:pPr>
            <w:r>
              <w:t>Число практикующих врачей</w:t>
            </w:r>
          </w:p>
        </w:tc>
        <w:tc>
          <w:tcPr>
            <w:tcW w:w="1560" w:type="dxa"/>
          </w:tcPr>
          <w:p w:rsidR="00000000" w:rsidRDefault="00000000">
            <w:pPr>
              <w:pStyle w:val="BodyText"/>
              <w:spacing w:after="0" w:line="240" w:lineRule="auto"/>
              <w:ind w:right="284"/>
              <w:jc w:val="right"/>
            </w:pPr>
            <w:r>
              <w:t>2 938</w:t>
            </w:r>
          </w:p>
        </w:tc>
        <w:tc>
          <w:tcPr>
            <w:tcW w:w="1417" w:type="dxa"/>
          </w:tcPr>
          <w:p w:rsidR="00000000" w:rsidRDefault="00000000">
            <w:pPr>
              <w:pStyle w:val="BodyText"/>
              <w:spacing w:after="0" w:line="240" w:lineRule="auto"/>
              <w:ind w:right="227"/>
              <w:jc w:val="right"/>
            </w:pPr>
            <w:r>
              <w:t>3 041</w:t>
            </w:r>
          </w:p>
        </w:tc>
        <w:tc>
          <w:tcPr>
            <w:tcW w:w="1301" w:type="dxa"/>
          </w:tcPr>
          <w:p w:rsidR="00000000" w:rsidRDefault="00000000">
            <w:pPr>
              <w:pStyle w:val="BodyText"/>
              <w:spacing w:after="0" w:line="240" w:lineRule="auto"/>
              <w:ind w:right="170"/>
              <w:jc w:val="right"/>
            </w:pPr>
            <w:r>
              <w:t>3 117</w:t>
            </w:r>
          </w:p>
        </w:tc>
      </w:tr>
      <w:tr w:rsidR="00000000">
        <w:tblPrEx>
          <w:tblCellMar>
            <w:top w:w="0" w:type="dxa"/>
            <w:bottom w:w="0" w:type="dxa"/>
          </w:tblCellMar>
        </w:tblPrEx>
        <w:trPr>
          <w:jc w:val="center"/>
        </w:trPr>
        <w:tc>
          <w:tcPr>
            <w:tcW w:w="4511" w:type="dxa"/>
          </w:tcPr>
          <w:p w:rsidR="00000000" w:rsidRDefault="00000000">
            <w:pPr>
              <w:pStyle w:val="BodyText"/>
              <w:spacing w:after="0" w:line="240" w:lineRule="auto"/>
            </w:pPr>
            <w:r>
              <w:t>Число врачей-стоматологов</w:t>
            </w:r>
          </w:p>
        </w:tc>
        <w:tc>
          <w:tcPr>
            <w:tcW w:w="1560" w:type="dxa"/>
          </w:tcPr>
          <w:p w:rsidR="00000000" w:rsidRDefault="00000000">
            <w:pPr>
              <w:pStyle w:val="BodyText"/>
              <w:spacing w:after="0" w:line="240" w:lineRule="auto"/>
              <w:ind w:right="284"/>
              <w:jc w:val="right"/>
            </w:pPr>
            <w:r>
              <w:t>437</w:t>
            </w:r>
          </w:p>
        </w:tc>
        <w:tc>
          <w:tcPr>
            <w:tcW w:w="1417" w:type="dxa"/>
          </w:tcPr>
          <w:p w:rsidR="00000000" w:rsidRDefault="00000000">
            <w:pPr>
              <w:pStyle w:val="BodyText"/>
              <w:spacing w:after="0" w:line="240" w:lineRule="auto"/>
              <w:ind w:right="227"/>
              <w:jc w:val="right"/>
            </w:pPr>
            <w:r>
              <w:t>407</w:t>
            </w:r>
          </w:p>
        </w:tc>
        <w:tc>
          <w:tcPr>
            <w:tcW w:w="1301" w:type="dxa"/>
          </w:tcPr>
          <w:p w:rsidR="00000000" w:rsidRDefault="00000000">
            <w:pPr>
              <w:pStyle w:val="BodyText"/>
              <w:spacing w:after="0" w:line="240" w:lineRule="auto"/>
              <w:ind w:right="170"/>
              <w:jc w:val="right"/>
            </w:pPr>
            <w:r>
              <w:t>425</w:t>
            </w:r>
          </w:p>
        </w:tc>
      </w:tr>
      <w:tr w:rsidR="00000000">
        <w:tblPrEx>
          <w:tblCellMar>
            <w:top w:w="0" w:type="dxa"/>
            <w:bottom w:w="0" w:type="dxa"/>
          </w:tblCellMar>
        </w:tblPrEx>
        <w:trPr>
          <w:jc w:val="center"/>
        </w:trPr>
        <w:tc>
          <w:tcPr>
            <w:tcW w:w="4511" w:type="dxa"/>
          </w:tcPr>
          <w:p w:rsidR="00000000" w:rsidRDefault="00000000">
            <w:pPr>
              <w:pStyle w:val="BodyText"/>
              <w:spacing w:after="0" w:line="240" w:lineRule="auto"/>
            </w:pPr>
            <w:r>
              <w:t>Число жителей на одного врача</w:t>
            </w:r>
          </w:p>
        </w:tc>
        <w:tc>
          <w:tcPr>
            <w:tcW w:w="1560" w:type="dxa"/>
          </w:tcPr>
          <w:p w:rsidR="00000000" w:rsidRDefault="00000000">
            <w:pPr>
              <w:pStyle w:val="BodyText"/>
              <w:spacing w:after="0" w:line="240" w:lineRule="auto"/>
              <w:ind w:right="284"/>
              <w:jc w:val="right"/>
            </w:pPr>
            <w:r>
              <w:t>620</w:t>
            </w:r>
          </w:p>
        </w:tc>
        <w:tc>
          <w:tcPr>
            <w:tcW w:w="1417" w:type="dxa"/>
          </w:tcPr>
          <w:p w:rsidR="00000000" w:rsidRDefault="00000000">
            <w:pPr>
              <w:pStyle w:val="BodyText"/>
              <w:spacing w:after="0" w:line="240" w:lineRule="auto"/>
              <w:ind w:right="227"/>
              <w:jc w:val="right"/>
            </w:pPr>
            <w:r>
              <w:t>646</w:t>
            </w:r>
          </w:p>
        </w:tc>
        <w:tc>
          <w:tcPr>
            <w:tcW w:w="1301" w:type="dxa"/>
          </w:tcPr>
          <w:p w:rsidR="00000000" w:rsidRDefault="00000000">
            <w:pPr>
              <w:pStyle w:val="BodyText"/>
              <w:spacing w:after="0" w:line="240" w:lineRule="auto"/>
              <w:ind w:right="170"/>
              <w:jc w:val="right"/>
            </w:pPr>
            <w:r>
              <w:t>641</w:t>
            </w:r>
          </w:p>
        </w:tc>
      </w:tr>
      <w:tr w:rsidR="00000000">
        <w:tblPrEx>
          <w:tblCellMar>
            <w:top w:w="0" w:type="dxa"/>
            <w:bottom w:w="0" w:type="dxa"/>
          </w:tblCellMar>
        </w:tblPrEx>
        <w:trPr>
          <w:jc w:val="center"/>
        </w:trPr>
        <w:tc>
          <w:tcPr>
            <w:tcW w:w="4511" w:type="dxa"/>
          </w:tcPr>
          <w:p w:rsidR="00000000" w:rsidRDefault="00000000">
            <w:pPr>
              <w:pStyle w:val="BodyText"/>
              <w:spacing w:after="0" w:line="240" w:lineRule="auto"/>
            </w:pPr>
            <w:r>
              <w:t>Число обращений в государственные больницы</w:t>
            </w:r>
          </w:p>
        </w:tc>
        <w:tc>
          <w:tcPr>
            <w:tcW w:w="1560" w:type="dxa"/>
          </w:tcPr>
          <w:p w:rsidR="00000000" w:rsidRDefault="00000000">
            <w:pPr>
              <w:pStyle w:val="BodyText"/>
              <w:spacing w:after="0" w:line="240" w:lineRule="auto"/>
              <w:ind w:right="284"/>
              <w:jc w:val="right"/>
            </w:pPr>
            <w:r>
              <w:t>1 295 132</w:t>
            </w:r>
          </w:p>
        </w:tc>
        <w:tc>
          <w:tcPr>
            <w:tcW w:w="1417" w:type="dxa"/>
          </w:tcPr>
          <w:p w:rsidR="00000000" w:rsidRDefault="00000000">
            <w:pPr>
              <w:pStyle w:val="BodyText"/>
              <w:spacing w:after="0" w:line="240" w:lineRule="auto"/>
              <w:ind w:right="227"/>
              <w:jc w:val="right"/>
            </w:pPr>
            <w:r>
              <w:t>1 361 792</w:t>
            </w:r>
          </w:p>
        </w:tc>
        <w:tc>
          <w:tcPr>
            <w:tcW w:w="1301" w:type="dxa"/>
          </w:tcPr>
          <w:p w:rsidR="00000000" w:rsidRDefault="00000000">
            <w:pPr>
              <w:pStyle w:val="BodyText"/>
              <w:spacing w:after="0" w:line="240" w:lineRule="auto"/>
              <w:ind w:right="170"/>
              <w:jc w:val="right"/>
            </w:pPr>
            <w:r>
              <w:t>1 377 135</w:t>
            </w:r>
          </w:p>
        </w:tc>
      </w:tr>
    </w:tbl>
    <w:p w:rsidR="00000000" w:rsidRDefault="00000000">
      <w:pPr>
        <w:pStyle w:val="BodyText"/>
        <w:rPr>
          <w:lang w:val="en-US"/>
        </w:rPr>
      </w:pPr>
    </w:p>
    <w:p w:rsidR="00000000" w:rsidRDefault="00000000">
      <w:pPr>
        <w:pStyle w:val="BodyText"/>
        <w:rPr>
          <w:u w:val="single"/>
        </w:rPr>
      </w:pPr>
      <w:r>
        <w:rPr>
          <w:u w:val="single"/>
        </w:rPr>
        <w:t>Аборты</w:t>
      </w:r>
    </w:p>
    <w:p w:rsidR="00000000" w:rsidRDefault="00000000">
      <w:pPr>
        <w:pStyle w:val="BodyText"/>
      </w:pPr>
      <w:r>
        <w:tab/>
        <w:t>Закон охраняет право на жизнь и предусматривает наказания для всех лиц, посягающих на это право. В соответствии с Уголовно-процессуальным кодексом Кувейта аборт поэтому считается преступлением, наказуемым в соответствии со статьей 159, которая гласит: "Любая женщина, совершившая намеренное убийство своего ребенка сразу после его рождения во избежание позора, карается лишением свободы на срок до пяти лет и/или штрафом до 5 тыс. рупий".</w:t>
      </w:r>
    </w:p>
    <w:p w:rsidR="00000000" w:rsidRDefault="00000000">
      <w:pPr>
        <w:pStyle w:val="BodyText"/>
      </w:pPr>
      <w:r>
        <w:tab/>
        <w:t>В статье 174 Кодекса говорится, что любое лицо, предоставившее или содействовавшее предоставлению женщине, как беременной, так и небеременной, с ее согласия или без него, лекарственные средства или другие вредные вещества или применившее силу либо иное средство, намереваясь, для того чтобы вызвать у нее выкидыш, карается лишением свободы на срок до 10 лет. В дополнение к этому может взиматься штраф до 1 тыс. динаров. В случае, если лицо, производящее аборт, является врачом, фармацевтом, акушеркой или иным медработником, оказывающим помощь врачу или фармацевту, оно карается лишением свободы на срок до 15 лет, а в дополнение к этому может взиматься штраф до 2 тыс. динаров.</w:t>
      </w:r>
    </w:p>
    <w:p w:rsidR="00000000" w:rsidRDefault="00000000">
      <w:pPr>
        <w:pStyle w:val="BodyText"/>
      </w:pPr>
      <w:r>
        <w:tab/>
        <w:t>Статья 176 гласит: "Любая беременная женщина, вызвавшая у себя выкидыш путем принятия лекарственных средств или иных вредных веществ или применившая силу или любое другое средство с этой целью, либо позволившая сделать это иному лицу, как это указывалось выше, карается лишением свободы на срок до пяти лет и/или штрафом до 5 тыс. рупий".</w:t>
      </w:r>
    </w:p>
    <w:p w:rsidR="00000000" w:rsidRDefault="00000000">
      <w:pPr>
        <w:pStyle w:val="BodyText"/>
      </w:pPr>
      <w:r>
        <w:tab/>
        <w:t>Кроме того, согласно Кодексу налагается наказание в виде лишения свободы на срок до трех лет и/или штраф до 3 тыс. рупий на любое лицо, сознательно изготовляющее, продающее, предложившее или отпустившее тем или иным образом вещества, которые могут быть использованы, для того чтобы вызвать аборт.</w:t>
      </w:r>
    </w:p>
    <w:p w:rsidR="00000000" w:rsidRDefault="00000000">
      <w:pPr>
        <w:pStyle w:val="BodyText"/>
      </w:pPr>
      <w:r>
        <w:tab/>
        <w:t>Однако в статье 175 Кодекса предусмотрено исключение, освобождающее от наказания любое лицо, вызвавшее аборт у беременной женщины, если это лицо обладает необходимым опытом и убеждено в том, что данная операция необходима для сохранения жизни беременной женщины.</w:t>
      </w:r>
    </w:p>
    <w:p w:rsidR="00000000" w:rsidRDefault="00000000">
      <w:pPr>
        <w:pStyle w:val="BodyText"/>
      </w:pPr>
      <w:r>
        <w:tab/>
        <w:t>Следует отметить, что при установлении указанных выше наказаний кувейтские законодатели преследовали цель защиты человеческой души, а также подтвердили, что право на жизнь является одним из основополагающих прав человека.</w:t>
      </w:r>
    </w:p>
    <w:p w:rsidR="00000000" w:rsidRDefault="00000000">
      <w:pPr>
        <w:pStyle w:val="BodyText"/>
        <w:rPr>
          <w:u w:val="single"/>
        </w:rPr>
      </w:pPr>
      <w:r>
        <w:rPr>
          <w:u w:val="single"/>
        </w:rPr>
        <w:t>Женское обрезание</w:t>
      </w:r>
    </w:p>
    <w:p w:rsidR="00000000" w:rsidRDefault="00000000">
      <w:pPr>
        <w:pStyle w:val="BodyText"/>
      </w:pPr>
      <w:r>
        <w:tab/>
        <w:t>В связи с Общей рекомендацией № 14 (Девятая сессия, 1990 год) в отношении женского обрезания следует указать, что вредная для здоровья традиционная практика таких операций на половых органах женщин в Государстве Кувейт неизвестна. Одной из причин ее отсутствия в Кувейте является то, что медицинские профессии регламентируются самыми передовыми законодательными и нормативными актами, целью которых является создание регулятивных норм для деятельности представителей этих профессий, что исключает возможность указанной практики.</w:t>
      </w:r>
    </w:p>
    <w:p w:rsidR="00000000" w:rsidRDefault="00000000">
      <w:pPr>
        <w:pStyle w:val="BodyText"/>
      </w:pPr>
      <w:r>
        <w:tab/>
        <w:t xml:space="preserve">Кроме того, правительство через подчиненные ему органы здравоохранения предоставляет (как уже указывалось выше) на безвозмездной основе медицинскую помощь и услуги женщинам и детям, а также проявляет заботу о медицинском просвещении, действуя через сеть медицинских центров, имеющихся во всех районах страны. Сотрудники этих центров не жалеют усилий для пропаганды здорового образа жизни среди граждан и резидентов, разъясняя им необходимость соблюдения полезных для здоровья правил поведения, а также необходимость отказа от вредной традиционной практики, какую бы форму она ни имела. При этом используются все имеющиеся методы и средства, прежде всего арсенал средств массовой информации. </w:t>
      </w:r>
    </w:p>
    <w:p w:rsidR="00000000" w:rsidRDefault="00000000">
      <w:pPr>
        <w:pStyle w:val="BodyText"/>
      </w:pPr>
      <w:r>
        <w:tab/>
        <w:t>В дополнение к усилиям Министерства здравоохранения в этом направлении значительную роль играют объединения общественного блага, в частности женские объединения. Одним из направлений их деятельности является повышение осведомленности общества и пропаганда охраны здоровья путем проведения программ и семинаров, подготовленных специально для этой цели. К числу таких организаций следует отнести и Генеральный секретариат вакуфов, при котором был создан Вакуфный фонд развития здравоохранения в целях наращивания потенциала здравоохранительных и экологических организаций, активизации роли населения и частного сектора для реализации лозунга "Здоровье для всех". Фонду удалось, в частности, добиться улучшения поставки медицинского оборудования ряду медицинских центров и больниц в Кувейте. Фонд внес заметный вклад в дело охраны окружающей среды, заботы об инвалидах и других категориях лиц с особыми потребностями, что выразилось в закупке специального оборудования и других приспособлений, необходимых инвалидам, чтобы компенсировать их физические недостатки, а также в поддержке проекта создания специальных учебных классов для детей с особыми потребностями.</w:t>
      </w:r>
    </w:p>
    <w:p w:rsidR="00000000" w:rsidRDefault="00000000">
      <w:pPr>
        <w:pStyle w:val="BodyText"/>
      </w:pPr>
      <w:r>
        <w:tab/>
        <w:t>Кроме того, Государство Кувейт без промедления присоединилось к Конвенции о правах ребенка, запрещающей упомянутые выше действия и практику. Эта Конвенция стала национальным законом, вступающим в силу после ее ратификации.</w:t>
      </w:r>
    </w:p>
    <w:p w:rsidR="00000000" w:rsidRDefault="00000000">
      <w:pPr>
        <w:pStyle w:val="BodyText"/>
      </w:pPr>
      <w:r>
        <w:tab/>
        <w:t>Что касается Общей рекомендации № 15 (Девятая сессия, 1990 год) относительно недопущения дискриминации в отношении женщин в сфере национальной стратегии предупреждения и лечения синдрома приобретенного иммунодефицита (СПИДа), то, сознавая эффективную роль санитарного просвещения в борьбе со СПИДом, Государство Кувейт уделяет через различные учреждения и органы здравоохранения неослабное внимание противостоянию этой грозной болезни и ограждению общества от сопряженных с ней опасностей. Для этих целей используются разнообразные средства санитарного просвещения, информирования всех слоев общества о том, сколь опасна эта болезнь, разъяснения людям пути заражения ею и привлечения их к участию в предотвращении ее распространения, а также разъяснения методов предохранения от нее через различные средства массовой информации, путем проведения семинаров, издания брошюр, листовок и других печатных материалов и устройства тематических выставок. Задействованы следующие средства:</w:t>
      </w:r>
    </w:p>
    <w:p w:rsidR="00000000" w:rsidRDefault="00000000">
      <w:pPr>
        <w:pStyle w:val="BodyText"/>
      </w:pPr>
      <w:r>
        <w:tab/>
      </w:r>
      <w:r>
        <w:rPr>
          <w:lang w:val="en-US"/>
        </w:rPr>
        <w:t>a</w:t>
      </w:r>
      <w:r>
        <w:t>)</w:t>
      </w:r>
      <w:r>
        <w:tab/>
        <w:t>Отдел санитарного просвещения: данный отдел ведет разъяснительную работу путем проведения просветительских программ для различных слоев общества с использованием разнообразных средств санитарного просвещения, как, например:</w:t>
      </w:r>
    </w:p>
    <w:p w:rsidR="00000000" w:rsidRDefault="00000000">
      <w:pPr>
        <w:pStyle w:val="a"/>
        <w:tabs>
          <w:tab w:val="clear" w:pos="680"/>
          <w:tab w:val="left" w:pos="1361"/>
        </w:tabs>
        <w:ind w:left="680" w:hanging="680"/>
        <w:rPr>
          <w:spacing w:val="-4"/>
        </w:rPr>
      </w:pPr>
      <w:r>
        <w:rPr>
          <w:spacing w:val="-4"/>
        </w:rPr>
        <w:tab/>
      </w:r>
      <w:r>
        <w:rPr>
          <w:spacing w:val="-4"/>
        </w:rPr>
        <w:tab/>
        <w:t>–</w:t>
      </w:r>
      <w:r>
        <w:rPr>
          <w:spacing w:val="-4"/>
        </w:rPr>
        <w:tab/>
        <w:t>работа с людьми на местах, осуществляемая при непосредственном общении работника сферы санитарного просвещения с населением через тематические программы прямо в помещениях, где ожидают приема посетители медицинских учреждений, в ходе которых освещаются все вопросы здравоохранения, включая проблему СПИДа;</w:t>
      </w:r>
    </w:p>
    <w:p w:rsidR="00000000" w:rsidRDefault="00000000">
      <w:pPr>
        <w:pStyle w:val="a"/>
        <w:tabs>
          <w:tab w:val="clear" w:pos="680"/>
          <w:tab w:val="left" w:pos="1361"/>
        </w:tabs>
        <w:ind w:left="680" w:hanging="680"/>
      </w:pPr>
      <w:r>
        <w:tab/>
      </w:r>
      <w:r>
        <w:tab/>
        <w:t>–</w:t>
      </w:r>
      <w:r>
        <w:tab/>
        <w:t>использование средств массовой информации, особенно охватывающих наиболее широкие слои населения, – радио и телевидение, – в программы которых включаются различные передачи, посвященные санитарной пропаганде;</w:t>
      </w:r>
    </w:p>
    <w:p w:rsidR="00000000" w:rsidRDefault="00000000">
      <w:pPr>
        <w:pStyle w:val="a"/>
        <w:tabs>
          <w:tab w:val="clear" w:pos="680"/>
          <w:tab w:val="left" w:pos="1361"/>
        </w:tabs>
        <w:ind w:left="680" w:hanging="680"/>
      </w:pPr>
      <w:r>
        <w:tab/>
      </w:r>
      <w:r>
        <w:tab/>
        <w:t>–</w:t>
      </w:r>
      <w:r>
        <w:tab/>
        <w:t>публикация брошюр и других печатных материалов, способствующих повышению информированности населения в вопросах охраны здоровья.</w:t>
      </w:r>
    </w:p>
    <w:p w:rsidR="00000000" w:rsidRDefault="00000000">
      <w:pPr>
        <w:pStyle w:val="BodyText"/>
        <w:spacing w:after="200"/>
      </w:pPr>
      <w:r>
        <w:tab/>
      </w:r>
      <w:r>
        <w:rPr>
          <w:lang w:val="en-US"/>
        </w:rPr>
        <w:t>b</w:t>
      </w:r>
      <w:r>
        <w:t>)</w:t>
      </w:r>
      <w:r>
        <w:tab/>
        <w:t>Отдел санитарного просвещения в учебных заведениях, который призван обеспечивать информирование учащихся независимо от пола, а также руководящего состава учебных заведений по проблемам здоровья.</w:t>
      </w:r>
    </w:p>
    <w:p w:rsidR="00000000" w:rsidRDefault="00000000">
      <w:pPr>
        <w:pStyle w:val="BodyText"/>
        <w:spacing w:after="200"/>
      </w:pPr>
      <w:r>
        <w:tab/>
      </w:r>
      <w:r>
        <w:rPr>
          <w:lang w:val="en-US"/>
        </w:rPr>
        <w:t>c</w:t>
      </w:r>
      <w:r>
        <w:t>)</w:t>
      </w:r>
      <w:r>
        <w:tab/>
        <w:t>Медицинские центры и больницы доводят соответствующую информацию до сведения посетителей, пациентов и лиц, сопровождающих их во время пребывания в указанных учреждениях для консультации или лечения.</w:t>
      </w:r>
    </w:p>
    <w:p w:rsidR="00000000" w:rsidRDefault="00000000">
      <w:pPr>
        <w:pStyle w:val="BodyText"/>
        <w:spacing w:after="200"/>
      </w:pPr>
      <w:r>
        <w:tab/>
      </w:r>
      <w:r>
        <w:rPr>
          <w:lang w:val="en-US"/>
        </w:rPr>
        <w:t>d</w:t>
      </w:r>
      <w:r>
        <w:t>)</w:t>
      </w:r>
      <w:r>
        <w:tab/>
        <w:t>Отдел планирования размера семьи, одной из задач которого являются просвещение лиц, намеревающихся вступить в брак, и установление наличия риска в связи с состоянием здоровья или возможных последствий некоторых наследственных заболеваний, которыми возможно страдает кто-либо из семьи того или другого из будущих молодоженов. Эта работа должна проводиться в сотрудничестве с ними с целью защиты здоровья семьи и контроля за состоянием женщины в период беременности и при родах. Кроме того, разъясняется опасность слишком раннего брака и частой беременности.</w:t>
      </w:r>
    </w:p>
    <w:p w:rsidR="00000000" w:rsidRDefault="00000000">
      <w:pPr>
        <w:pStyle w:val="BodyText"/>
      </w:pPr>
      <w:r>
        <w:tab/>
      </w:r>
      <w:r>
        <w:rPr>
          <w:lang w:val="en-US"/>
        </w:rPr>
        <w:t>e</w:t>
      </w:r>
      <w:r>
        <w:t>)</w:t>
      </w:r>
      <w:r>
        <w:tab/>
        <w:t>Национальный комитет по борьбе со СПИДом. Поскольку Кувейт одним из первых среди государств в полной мере осознал опасность СПИДа, он поставил барьер для его проникновения в страну. С этой целью в Кувейте был принят Закон № 62 1992 года о защите от синдрома приобретенного иммунодефицита (СПИДа), который гарантирует гуманное отношение к лицам, больным СПИДом, и охрану их прав, оговаривает их обязанности, а также анонимность работы с ними при условии гарантии нераспространения ими болезни.</w:t>
      </w:r>
    </w:p>
    <w:p w:rsidR="00000000" w:rsidRDefault="00000000">
      <w:pPr>
        <w:pStyle w:val="BodyText"/>
      </w:pPr>
      <w:r>
        <w:tab/>
        <w:t>Одной из мер Министерства здравоохранения по противодействию данному заболеванию было учреждение в 1992 году постоянного Национального комитета по борьбе со СПИДом, перед которым поставлены следующие задачи:</w:t>
      </w:r>
    </w:p>
    <w:p w:rsidR="00000000" w:rsidRDefault="00000000">
      <w:pPr>
        <w:pStyle w:val="BodyText"/>
        <w:spacing w:after="200"/>
      </w:pPr>
      <w:r>
        <w:tab/>
        <w:t>–</w:t>
      </w:r>
      <w:r>
        <w:tab/>
        <w:t>разработка общегосударственной политики предупреждения данного заболевания в стране и его лечения;</w:t>
      </w:r>
    </w:p>
    <w:p w:rsidR="00000000" w:rsidRDefault="00000000">
      <w:pPr>
        <w:pStyle w:val="BodyText"/>
        <w:spacing w:after="200"/>
      </w:pPr>
      <w:r>
        <w:tab/>
        <w:t>–</w:t>
      </w:r>
      <w:r>
        <w:tab/>
        <w:t>подготовка планов действий и программ, необходимых для защиты граждан от данного заболевания и изучения путей лечения пораженных им лиц;</w:t>
      </w:r>
    </w:p>
    <w:p w:rsidR="00000000" w:rsidRDefault="00000000">
      <w:pPr>
        <w:pStyle w:val="BodyText"/>
      </w:pPr>
      <w:r>
        <w:tab/>
        <w:t>–</w:t>
      </w:r>
      <w:r>
        <w:tab/>
        <w:t>разработка плана санитарного просвещения для всех слоев общества, прежде всего молодежи, в частности в отношении методов предохранения и лечения, с учетом социальных и культурных ценностей и норм, а также принятых в обществе обычаев;</w:t>
      </w:r>
    </w:p>
    <w:p w:rsidR="00000000" w:rsidRDefault="00000000">
      <w:pPr>
        <w:pStyle w:val="BodyText"/>
      </w:pPr>
      <w:r>
        <w:tab/>
        <w:t>–</w:t>
      </w:r>
      <w:r>
        <w:tab/>
        <w:t>выработка положений и правил по обмену информацией для обеспечения доступа к научным данным о ВИЧ/СПИДе и способах защиты от него;</w:t>
      </w:r>
    </w:p>
    <w:p w:rsidR="00000000" w:rsidRDefault="00000000">
      <w:pPr>
        <w:pStyle w:val="BodyText"/>
      </w:pPr>
      <w:r>
        <w:tab/>
        <w:t>–</w:t>
      </w:r>
      <w:r>
        <w:tab/>
        <w:t>разработка принципов взаимодействия с другими государствами по данному вопросу и практических процедур для депортации граждан других стран на родину;</w:t>
      </w:r>
    </w:p>
    <w:p w:rsidR="00000000" w:rsidRDefault="00000000">
      <w:pPr>
        <w:pStyle w:val="BodyText"/>
      </w:pPr>
      <w:r>
        <w:tab/>
        <w:t>–</w:t>
      </w:r>
      <w:r>
        <w:tab/>
        <w:t>периодическая оценка распространения заболевания за рубежом и в стране, а также мер, принимаемых для противодействия ему на международном и национальном уровнях.</w:t>
      </w:r>
    </w:p>
    <w:p w:rsidR="00000000" w:rsidRDefault="00000000">
      <w:pPr>
        <w:pStyle w:val="BodyText"/>
      </w:pPr>
      <w:r>
        <w:tab/>
        <w:t>Национальный комитет разработал шесть программ для борьбы с данным заболеванием и защиты от него:</w:t>
      </w:r>
    </w:p>
    <w:p w:rsidR="00000000" w:rsidRDefault="00000000">
      <w:pPr>
        <w:pStyle w:val="BodyText"/>
      </w:pPr>
      <w:r>
        <w:tab/>
        <w:t>–</w:t>
      </w:r>
      <w:r>
        <w:tab/>
        <w:t>Первая программа связана с безопасностью крови, ее цель – гарантировать, чтобы переливание крови или ее производных не стало каналом передачи инфекции.</w:t>
      </w:r>
    </w:p>
    <w:p w:rsidR="00000000" w:rsidRDefault="00000000">
      <w:pPr>
        <w:pStyle w:val="BodyText"/>
      </w:pPr>
      <w:r>
        <w:tab/>
        <w:t>–</w:t>
      </w:r>
      <w:r>
        <w:tab/>
        <w:t>Вторая программа касается проведения обследования на наличие СПИДа с целью локализации любого возможного очага инфекции. Программа уточняет места проведения обследования: центральный банк крови, лаборатория по вирусам Департамента общественного здравоохранения и лаборатория при медицинском факультете Кувейтского университета, а также категории лиц и пробы, которые необходимо проверять. Последнее касается доноров, больных, нуждающихся в частом переливании крови, кандидатов на работу в государственных органах, а также импортируемых компонентов крови, и представителей групп повышенного риска, например лиц с заболеваниями, передаваемыми половым путем, лиц, находящихся в местах лишения свободы, а также лиц, обвиняемых в аморальном поведении.</w:t>
      </w:r>
    </w:p>
    <w:p w:rsidR="00000000" w:rsidRDefault="00000000">
      <w:pPr>
        <w:pStyle w:val="BodyText"/>
      </w:pPr>
      <w:r>
        <w:tab/>
        <w:t>–</w:t>
      </w:r>
      <w:r>
        <w:tab/>
        <w:t>Третья программа касается мер в отношении ВИЧ-положительных лиц.</w:t>
      </w:r>
    </w:p>
    <w:p w:rsidR="00000000" w:rsidRDefault="00000000">
      <w:pPr>
        <w:pStyle w:val="BodyText"/>
      </w:pPr>
      <w:r>
        <w:tab/>
        <w:t>–</w:t>
      </w:r>
      <w:r>
        <w:tab/>
        <w:t>Четвертая программа связана с санитарным просвещением. В ее рамках осуществляется повышение осведомленности в учебных заведениях и обеспечивается включение в учебные планы информации о СПИДе и о мерах предохранения от него. Программа санитарного просвещения в средних общеобразовательных школах проводится в течение всего года. Кроме того, подготавливаются программы просвещения молодежи в университете, в молодежных клубах, в центрах обучения взрослых, а в рамках ликвидации неграмотности обучаемых знакомят с информацией медицинского характера. Предусматривается предоставление медицинской информации и учебных пособий медицинским работникам.</w:t>
      </w:r>
    </w:p>
    <w:p w:rsidR="00000000" w:rsidRDefault="00000000">
      <w:pPr>
        <w:pStyle w:val="BodyText"/>
      </w:pPr>
      <w:r>
        <w:tab/>
        <w:t>–</w:t>
      </w:r>
      <w:r>
        <w:tab/>
        <w:t>Программа обучения представителей медицинских профессий, которая предполагает подготовку и обучение работников лабораторий и банков крови, врачей, младшего и среднего медицинского персонала, социальных работников и психологов в сотрудничестве с Международной организацией здравоохранения (ВОЗ).</w:t>
      </w:r>
    </w:p>
    <w:p w:rsidR="00000000" w:rsidRDefault="00000000">
      <w:pPr>
        <w:pStyle w:val="BodyText"/>
      </w:pPr>
      <w:r>
        <w:tab/>
        <w:t>Следует отметить, что ответственные работники Министерства здравоохранения ведут мониторинг распространения болезни в мире и в регионе в сотрудничестве с ВОЗ и другими международными организациями, участвующими в борьбе против СПИДа.</w:t>
      </w:r>
    </w:p>
    <w:p w:rsidR="00000000" w:rsidRDefault="00000000">
      <w:pPr>
        <w:pStyle w:val="BodyText"/>
      </w:pPr>
      <w:r>
        <w:tab/>
        <w:t>Кувейт одним из первых стал принимать у себя международные конференции по СПИДу. Было проведено пять таких конференций, в которых приняли участие большое число ученых и специалистов в области исследования СПИДа.</w:t>
      </w:r>
    </w:p>
    <w:p w:rsidR="00000000" w:rsidRDefault="00000000">
      <w:pPr>
        <w:pStyle w:val="BodyText"/>
      </w:pPr>
      <w:r>
        <w:tab/>
        <w:t>Кроме того, Министерство здравоохранения отмечает Всемирный день борьбы со СПИДом, который приходится на 1 декабря. В число мероприятий, проводимых по этому поводу, входит активная информационная кампания, конкурсы и лекции о данном заболевании в школах.</w:t>
      </w:r>
    </w:p>
    <w:p w:rsidR="00000000" w:rsidRDefault="00000000">
      <w:pPr>
        <w:pStyle w:val="BodyText"/>
      </w:pPr>
      <w:r>
        <w:tab/>
        <w:t>В дополнение к усилиям соответствующих компетентных органов здравоохранения и в рамках мер по дальнейшему совершенствованию охраны здоровья общества государство заключило с рядом стран соглашения с целью стимулировать сотрудничество в сферах здравоохранения, медицинской науки, а также в области предупреждения и лечения СПИДа и противодействия эпидемиям.</w:t>
      </w:r>
    </w:p>
    <w:p w:rsidR="00000000" w:rsidRDefault="00000000">
      <w:pPr>
        <w:pStyle w:val="BodyText"/>
      </w:pPr>
      <w:r>
        <w:tab/>
        <w:t>Учитывая услуги, предоставляемые Государством Кувейт в этой области, Всемирная организация здравоохранения включила его в число стран с наиболее высоким уровнем услуг в сфере здравоохранения. Кроме того, признавая передовую роль Кувейта в борьбе со СПИДом, ВОЗ избрала Кувейт в качестве региональной консультативной инстанции по проведению анализов на СПИД.</w:t>
      </w:r>
    </w:p>
    <w:p w:rsidR="00000000" w:rsidRDefault="00000000">
      <w:pPr>
        <w:pStyle w:val="BodyText"/>
      </w:pPr>
      <w:r>
        <w:tab/>
        <w:t>В связи с борьбой против наркомании следует отметить, что государством были приняты Закон № 74 1983 года о наркотиках и Закон № 18 1984 года о психотропных веществах. Кроме того, был создан национальный комитет для борьбы с данным явлением. По имеющимся данным, в 2000 году было зарегистрировано 2896 обращений в амбулаторное отделение Отдела по борьбе с наркоманией психиатрической больницы. Представляется уместным в этой связи указать на роль, которую играют объединения общественного блага и Генеральный секретариат вакуфов, которые внесли вклад в реализацию новаторского национального проекта создания лечебно-реабилитационного центра для лиц, осужденных по делам, связанным с наркотиками. На этот проект была выделена общая сумма 850 тыс. кувейтских динаров, из которых 40 тыс. внес Генеральный секретариат вакуфов. Цель данного проекта – лечение лиц, осужденных за употребление наркотических средств, и их реабилитация с целью возвращения в общество и к нормальной жизни без рецидивов употребления наркотиков.</w:t>
      </w:r>
    </w:p>
    <w:p w:rsidR="00000000" w:rsidRDefault="00000000">
      <w:pPr>
        <w:pStyle w:val="-1"/>
      </w:pPr>
      <w:r>
        <w:t>Статья 13</w:t>
      </w:r>
    </w:p>
    <w:p w:rsidR="00000000" w:rsidRDefault="00000000">
      <w:pPr>
        <w:pStyle w:val="BodyText"/>
      </w:pPr>
      <w:r>
        <w:tab/>
        <w:t>В данной статье государствам-участникам вменяется в обязанность принять все соответствующие меры для ликвидации дискриминации в отношении женщин в других областях экономической и социальной жизни, с тем чтобы обеспечить равные права, в частности:</w:t>
      </w:r>
    </w:p>
    <w:p w:rsidR="00000000" w:rsidRDefault="00000000">
      <w:pPr>
        <w:pStyle w:val="BodyText"/>
      </w:pPr>
      <w:r>
        <w:tab/>
      </w:r>
      <w:r>
        <w:rPr>
          <w:lang w:val="en-US"/>
        </w:rPr>
        <w:t>a</w:t>
      </w:r>
      <w:r>
        <w:t>)</w:t>
      </w:r>
      <w:r>
        <w:tab/>
        <w:t>право на семейные пособия;</w:t>
      </w:r>
    </w:p>
    <w:p w:rsidR="00000000" w:rsidRDefault="00000000">
      <w:pPr>
        <w:pStyle w:val="BodyText"/>
      </w:pPr>
      <w:r>
        <w:tab/>
      </w:r>
      <w:r>
        <w:rPr>
          <w:lang w:val="en-US"/>
        </w:rPr>
        <w:t>b</w:t>
      </w:r>
      <w:r>
        <w:t>)</w:t>
      </w:r>
      <w:r>
        <w:tab/>
        <w:t>право на получение займов, ссуд под недвижимость и других форм финансового кредита;</w:t>
      </w:r>
    </w:p>
    <w:p w:rsidR="00000000" w:rsidRDefault="00000000">
      <w:pPr>
        <w:pStyle w:val="BodyText"/>
      </w:pPr>
      <w:r>
        <w:tab/>
      </w:r>
      <w:r>
        <w:rPr>
          <w:lang w:val="en-US"/>
        </w:rPr>
        <w:t>c</w:t>
      </w:r>
      <w:r>
        <w:t>)</w:t>
      </w:r>
      <w:r>
        <w:tab/>
        <w:t>право участвовать в мероприятиях, связанных с отдыхом, занятиях спортом и во всех областях культурной жизни.</w:t>
      </w:r>
    </w:p>
    <w:p w:rsidR="00000000" w:rsidRDefault="00000000">
      <w:pPr>
        <w:pStyle w:val="BodyText"/>
      </w:pPr>
      <w:r>
        <w:tab/>
        <w:t>Что касается подхода к указанным правам кувейтского законодательства, то следует отметить, что кувейтские законы и прежде всего кувейтская Конституция гарантируют равенство мужчин и женщин в экономической, социальной и культурной областях.</w:t>
      </w:r>
    </w:p>
    <w:p w:rsidR="00000000" w:rsidRDefault="00000000">
      <w:pPr>
        <w:pStyle w:val="BodyText"/>
      </w:pPr>
      <w:r>
        <w:tab/>
        <w:t>В Статье 11 Конституции содержится положение, в соответствии с которым государство гарантирует равную социальную помощь всем гражданам.</w:t>
      </w:r>
    </w:p>
    <w:p w:rsidR="00000000" w:rsidRDefault="00000000">
      <w:pPr>
        <w:pStyle w:val="BodyText"/>
      </w:pPr>
      <w:r>
        <w:tab/>
        <w:t>Статья 16 гласит: "Собственность, капитал и труд являются основными элементами социальной структуры государства и национального богатства. Все это индивидуальные права, имеющие социальную функцию, регламентируемую законом".</w:t>
      </w:r>
    </w:p>
    <w:p w:rsidR="00000000" w:rsidRDefault="00000000">
      <w:pPr>
        <w:pStyle w:val="BodyText"/>
      </w:pPr>
      <w:r>
        <w:tab/>
        <w:t>Кроме того, в статье 23 говорится, что государство поощряет сотрудничество и накопление и контролирует кредитно-финансовую деятельность.</w:t>
      </w:r>
    </w:p>
    <w:p w:rsidR="00000000" w:rsidRDefault="00000000">
      <w:pPr>
        <w:pStyle w:val="BodyText"/>
      </w:pPr>
      <w:r>
        <w:tab/>
        <w:t>В статье 29 также подтверждается равенство граждан перед законом в отношении общих прав и обязанностей без проведения различий по признаку пола, происхождения, языка или религии.</w:t>
      </w:r>
    </w:p>
    <w:p w:rsidR="00000000" w:rsidRDefault="00000000">
      <w:pPr>
        <w:pStyle w:val="BodyText"/>
      </w:pPr>
      <w:r>
        <w:tab/>
        <w:t>Гражданский кодекс уравнял мужчин и женщин в отношении их правоспособности, прав личности и обязательств, которые в нем изложены. Так, в статье 4 говорится, что положения, касающиеся правоспособности, относятся ко всем лицам, о которых в ней идет речь.</w:t>
      </w:r>
    </w:p>
    <w:p w:rsidR="00000000" w:rsidRDefault="00000000">
      <w:pPr>
        <w:pStyle w:val="BodyText"/>
      </w:pPr>
      <w:r>
        <w:tab/>
        <w:t>Кроме того, статья 84 гласит, что каждое лицо обладает правоспособностью для заключения договоров, если в соответствии с законом не признана его неправоспособность или согласно закону оно ее лишено.</w:t>
      </w:r>
    </w:p>
    <w:p w:rsidR="00000000" w:rsidRDefault="00000000">
      <w:pPr>
        <w:pStyle w:val="BodyText"/>
      </w:pPr>
      <w:r>
        <w:tab/>
        <w:t>В Декрете № 68 1980 года о принятии Торгового кодекса также указывается, что его положения касаются торговли и всех видов торговых операций, осуществляемые любым лицом.</w:t>
      </w:r>
    </w:p>
    <w:p w:rsidR="00000000" w:rsidRDefault="00000000">
      <w:pPr>
        <w:pStyle w:val="BodyText"/>
      </w:pPr>
      <w:r>
        <w:tab/>
        <w:t>Согласно статье 13, торговцем считается любое лицо, занимающееся от своего имени торговой деятельностью, имеющее необходимую правоспособность и избравшее для себя указанную деятельность в качестве своего рода занятий.</w:t>
      </w:r>
    </w:p>
    <w:p w:rsidR="00000000" w:rsidRDefault="00000000">
      <w:pPr>
        <w:pStyle w:val="BodyText"/>
      </w:pPr>
      <w:r>
        <w:tab/>
        <w:t>В статье 28 предусматривается, что каждый кувейтец (в данном случае этот термин относится и к женщинам и к мужчинам), достигший возраста 21 года, в отношении которого не имеется законных препятствий, связанных с его личностью или с проводимым им видом торговой деятельности, является правоспособным для занятия торговлей.</w:t>
      </w:r>
    </w:p>
    <w:p w:rsidR="00000000" w:rsidRDefault="00000000">
      <w:pPr>
        <w:pStyle w:val="BodyText"/>
      </w:pPr>
      <w:r>
        <w:tab/>
        <w:t>В статье 21 говорится, что правоспособность женщины для занятия торговлей регламентируется в соответствии с законом государства, гражданкой которого она является.</w:t>
      </w:r>
    </w:p>
    <w:p w:rsidR="00000000" w:rsidRDefault="00000000">
      <w:pPr>
        <w:pStyle w:val="BodyText"/>
      </w:pPr>
      <w:r>
        <w:tab/>
        <w:t>В Статье 624 любому из супругов запрещается в случае банкротства другого супруга требовать взыскания с него (нее) суммы, добровольно выплаченной ему (ей) при вступлении в брак. Кроме того, не допускается, чтобы группа кредиторов требовала от любого из супругов взыскания добровольно выплаченной суммы, установленной для другого супруга при вступлении в брак.</w:t>
      </w:r>
    </w:p>
    <w:p w:rsidR="00000000" w:rsidRDefault="00000000">
      <w:pPr>
        <w:pStyle w:val="BodyText"/>
      </w:pPr>
      <w:r>
        <w:tab/>
        <w:t>Статья 625 допускает, что каждый супруг, независимо от финансовых отношений, принятых при вступлении в брак, может требовать взыскания у другого супруга в случае банкротства последнего своего движимого и недвижимого имущества при наличии доказательства того, что таковое принадлежит ему.</w:t>
      </w:r>
    </w:p>
    <w:p w:rsidR="00000000" w:rsidRDefault="00000000">
      <w:pPr>
        <w:pStyle w:val="BodyText"/>
      </w:pPr>
      <w:r>
        <w:tab/>
        <w:t>Из сказанного видно, что Гражданский и Торговый кодексы касаются мужчин и женщин в равной степени.</w:t>
      </w:r>
    </w:p>
    <w:p w:rsidR="00000000" w:rsidRDefault="00000000">
      <w:pPr>
        <w:pStyle w:val="BodyText"/>
      </w:pPr>
      <w:r>
        <w:tab/>
        <w:t>Следует отметить, что женщина в Кувейте пользуется законной правоспособностью при достижении установленного законом совершеннолетия и в отношении финансовых обязательств не зависит от своего мужа, а также в полном объеме является юридическим лицом при реализации всех ее прав, таких как право собственности и право распоряжения денежными средствами, право проведения гражданских и торговых операций, заключения договоров, получения кредитов, а также прочих торговых и финансовых операций. При реализации ею указанных прав она не обязана получать на это согласие супруга или отца.</w:t>
      </w:r>
    </w:p>
    <w:p w:rsidR="00000000" w:rsidRDefault="00000000">
      <w:pPr>
        <w:pStyle w:val="BodyText"/>
      </w:pPr>
      <w:r>
        <w:tab/>
        <w:t>В том, что касается права на семейные пособия, то женщина в Государстве Кувейт пользуется всеми благами, предоставляемыми государством в социальном сфере или в сфере здравоохранения, будь она матерью, женой или сестрой, и на всех государственных и негосударственных уровнях. Ранее в настоящем докладе уже говорилось о праве женщин на социальное обеспечение, гарантируемое им Законом о социальном страховании, а также об услугах в сфере здравоохранения, которыми женщины пользуются в Кувейте.</w:t>
      </w:r>
    </w:p>
    <w:p w:rsidR="00000000" w:rsidRDefault="00000000">
      <w:pPr>
        <w:pStyle w:val="BodyText"/>
      </w:pPr>
      <w:r>
        <w:tab/>
        <w:t>Кроме того, исходя из принципа социальной солидарности, являющего одним из незыблемых принципов, на которых зиждется кувейтское общество, государство приняло Закон № 22 1987 года о государственных субсидиях, в соответствии с которым государство гарантирует каждому кувейтцу защиту от превратностей судьбы. Этим законом установлены правила и нормы, регулирующие предоставление субсидий (которые определяются соответствующим декретом) семьям и отдельным кувейтцам.</w:t>
      </w:r>
    </w:p>
    <w:p w:rsidR="00000000" w:rsidRDefault="00000000">
      <w:pPr>
        <w:pStyle w:val="BodyText"/>
      </w:pPr>
      <w:r>
        <w:tab/>
        <w:t>Исходя из гуманитарных соображений, положения данного закона распространяются также на детей некувейтцев, которых содержит их овдовевшая мать-кувейтка и которые проживают совместно с ней в Кувейте.</w:t>
      </w:r>
    </w:p>
    <w:p w:rsidR="00000000" w:rsidRDefault="00000000">
      <w:pPr>
        <w:pStyle w:val="BodyText"/>
      </w:pPr>
      <w:r>
        <w:tab/>
        <w:t>Что касается детей разведенной кувейтской женщины от отца, не являющегося кувейтцем, то, как правило, в отношении их данный закон не применяется, поскольку бремя их содержания лежит на отце. Однако в некоторых случаях, когда до вступления указанного закона в силу субсидии таким женщинам выплачивались, было признано целесообразным продолжать выплату им субсидий по гуманитарным соображениям. Это подтверждено в статье 3, где говорится, что любой разведенной кувейтке, которой субсидия на ее детей некувейтцев выплачивалась до вступления указанного закона в силу, выплата такой субсидии продолжится.</w:t>
      </w:r>
    </w:p>
    <w:p w:rsidR="00000000" w:rsidRDefault="00000000">
      <w:pPr>
        <w:pStyle w:val="BodyText"/>
      </w:pPr>
      <w:r>
        <w:tab/>
        <w:t>Упомянутый закон охватывает основные риски, которые могут угрожать кувейтской семье, такие как:</w:t>
      </w:r>
    </w:p>
    <w:p w:rsidR="00000000" w:rsidRDefault="00000000">
      <w:pPr>
        <w:pStyle w:val="a"/>
        <w:ind w:left="0" w:firstLine="0"/>
      </w:pPr>
      <w:r>
        <w:tab/>
      </w:r>
      <w:r>
        <w:rPr>
          <w:lang w:val="en-US"/>
        </w:rPr>
        <w:t>a</w:t>
      </w:r>
      <w:r>
        <w:t>)</w:t>
      </w:r>
      <w:r>
        <w:tab/>
        <w:t>потеря кормильца, что имеет место в случае со вдовами и сиротами (ст. 2 и 18);</w:t>
      </w:r>
    </w:p>
    <w:p w:rsidR="00000000" w:rsidRDefault="00000000">
      <w:pPr>
        <w:pStyle w:val="a"/>
        <w:ind w:left="0" w:firstLine="0"/>
      </w:pPr>
      <w:r>
        <w:tab/>
      </w:r>
      <w:r>
        <w:rPr>
          <w:lang w:val="en-US"/>
        </w:rPr>
        <w:t>b</w:t>
      </w:r>
      <w:r>
        <w:t>)</w:t>
      </w:r>
      <w:r>
        <w:tab/>
        <w:t>болезнь кормильца или его нетрудоспособность, подтвержденные заверенным медицинским заключением (ст. 3). Указанный случай внесен дополнительно в соответствии с Законом № 54 1979 года о внесении изменений в некоторые положения Закона о субсидиях с целью защиты кувейтских женщин, состоящих в браке с некувейтцами, и их детей в тяжелых условиях, когда ее супруг не может выполнять какую бы то ни было работу, если это подтверждено медицинским свидетельством. До внесения указанного изменения субсидия в подобных случаях могла выплачиваться в порядке исключения из изначально введенного положения, предусматривающего применение данного закона только к кувейтским семьям и кувейтцам;</w:t>
      </w:r>
    </w:p>
    <w:p w:rsidR="00000000" w:rsidRDefault="00000000">
      <w:pPr>
        <w:pStyle w:val="a"/>
        <w:ind w:left="0" w:firstLine="0"/>
      </w:pPr>
      <w:r>
        <w:tab/>
        <w:t>с)</w:t>
      </w:r>
      <w:r>
        <w:tab/>
        <w:t>неспособность кормильца в материальном отношении обеспечивать содержание, как, например, когда он материально несостоятелен, или отбывает тюремное заключение;</w:t>
      </w:r>
    </w:p>
    <w:p w:rsidR="00000000" w:rsidRDefault="00000000">
      <w:pPr>
        <w:pStyle w:val="a"/>
        <w:ind w:left="0" w:firstLine="0"/>
      </w:pPr>
      <w:r>
        <w:tab/>
      </w:r>
      <w:r>
        <w:rPr>
          <w:lang w:val="en-US"/>
        </w:rPr>
        <w:t>d</w:t>
      </w:r>
      <w:r>
        <w:t>)</w:t>
      </w:r>
      <w:r>
        <w:tab/>
        <w:t>другие особые случаи, например семьи, пострадавшие от бедствий, общего или частного характера (ст. 19).</w:t>
      </w:r>
    </w:p>
    <w:p w:rsidR="00000000" w:rsidRDefault="00000000">
      <w:pPr>
        <w:pStyle w:val="BodyText"/>
      </w:pPr>
      <w:r>
        <w:tab/>
        <w:t>Учитывая желание законодателей расширить круг лиц, получающих государственные субсидии, был принят Закон № 16 1981 года об изменении некоторых положений Закона о государственных субсидиях, предусматривающих дополнительные пособия, как, например, пособие при вступлении в брак, денежное возмещение за жилье или другие специальные выплаты, возмещения или пособия для кувейтских семей и индивидов с целью облегчения им бремени повседневных расходов или в интересах осуществления социальных целей.</w:t>
      </w:r>
    </w:p>
    <w:p w:rsidR="00000000" w:rsidRDefault="00000000">
      <w:pPr>
        <w:pStyle w:val="BodyText"/>
      </w:pPr>
      <w:r>
        <w:tab/>
        <w:t>Одной из причин внесения таких дополнений является мнение законодателей о том, что субсидии не должны восприниматься лишь как помощь нетрудоспособным и нуждающимся, у которых нет кормильца или которые пострадали в результате бедствий и катастроф. Как считают законодатели, такая помощь должна также охватывать граждан, которые, хотя и работают по найму или являются самозанятыми, оказались в тяжелых условиях или столкнулись с непредвиденными трудностями, преодолеть которые можно лишь ценой огромных усилий и лишений, при которых эффективная помощь им может поступить только от государства.</w:t>
      </w:r>
    </w:p>
    <w:p w:rsidR="00000000" w:rsidRDefault="00000000">
      <w:pPr>
        <w:pStyle w:val="BodyText"/>
      </w:pPr>
      <w:r>
        <w:tab/>
        <w:t>В соответствии с Постановлением Совета министров № 8 1982 года выплата пособий была предусмотрена некоторым семьям и индивидам, на которых не распространяется Закон о государственных субсидиях, сроком в один год с возможностью продления или на период преодоления кризисной ситуации, к которой относятся следующие случаи:</w:t>
      </w:r>
    </w:p>
    <w:p w:rsidR="00000000" w:rsidRDefault="00000000">
      <w:pPr>
        <w:pStyle w:val="BodyText"/>
      </w:pPr>
      <w:r>
        <w:tab/>
        <w:t>–</w:t>
      </w:r>
      <w:r>
        <w:tab/>
        <w:t>Случай распада семьи по причине наркомании или алкоголизма супруга. Пособие выплачивается независимо от того, является или не является супруг кувейтцем.</w:t>
      </w:r>
    </w:p>
    <w:p w:rsidR="00000000" w:rsidRDefault="00000000">
      <w:pPr>
        <w:pStyle w:val="BodyText"/>
      </w:pPr>
      <w:r>
        <w:tab/>
        <w:t>–</w:t>
      </w:r>
      <w:r>
        <w:tab/>
        <w:t>Случай, когда супруг оставляет свою кувейтскую супругу на продолжительный период времени, и его местонахождение неизвестно.</w:t>
      </w:r>
    </w:p>
    <w:p w:rsidR="00000000" w:rsidRDefault="00000000">
      <w:pPr>
        <w:pStyle w:val="BodyText"/>
      </w:pPr>
      <w:r>
        <w:tab/>
        <w:t>–</w:t>
      </w:r>
      <w:r>
        <w:tab/>
        <w:t>Случай, когда принимается постановление о назначении содержания кувейтской супруге и ее детям без принятия постановления о расторжении брака.</w:t>
      </w:r>
    </w:p>
    <w:p w:rsidR="00000000" w:rsidRDefault="00000000">
      <w:pPr>
        <w:pStyle w:val="BodyText"/>
      </w:pPr>
      <w:r>
        <w:tab/>
        <w:t>–</w:t>
      </w:r>
      <w:r>
        <w:tab/>
        <w:t>Случай, когда дети кувейтской гражданки лишены дохода по причине утраты ими отца или в силу его безразличия к их существованию по причине его алкоголизма или наркомании.</w:t>
      </w:r>
    </w:p>
    <w:p w:rsidR="00000000" w:rsidRDefault="00000000">
      <w:pPr>
        <w:pStyle w:val="BodyText"/>
      </w:pPr>
      <w:r>
        <w:tab/>
        <w:t>Категории лиц, которым причитаются субсидии, определены в Декрете о назначении, оценке и фиксировании государственных субсидий от 4 марта 1978 года. К ним относятся вдовы, разведенные и незамужние женщины, сироты, лица преклонного возраста и инвалиды, больные, несостоятельные в материальном отношении, учащиеся, семьи заключенных. Основные виды фиксированных субсидий лицам, которым они причитаются, представлены ниже:</w:t>
      </w:r>
    </w:p>
    <w:p w:rsidR="00000000" w:rsidRDefault="00000000">
      <w:pPr>
        <w:pStyle w:val="BodyText"/>
        <w:spacing w:after="0"/>
      </w:pPr>
      <w:r>
        <w:rPr>
          <w:lang w:val="en-US"/>
        </w:rPr>
        <w:tab/>
      </w:r>
      <w:r>
        <w:t>–</w:t>
      </w:r>
      <w:r>
        <w:tab/>
        <w:t>60 КД главе домашнего хозяйства или индивиду, не имеющему семьи;</w:t>
      </w:r>
    </w:p>
    <w:p w:rsidR="00000000" w:rsidRDefault="00000000">
      <w:pPr>
        <w:pStyle w:val="BodyText"/>
        <w:spacing w:after="0"/>
      </w:pPr>
      <w:r>
        <w:rPr>
          <w:lang w:val="en-US"/>
        </w:rPr>
        <w:tab/>
      </w:r>
      <w:r>
        <w:t>–</w:t>
      </w:r>
      <w:r>
        <w:tab/>
        <w:t>40 КД супруге;</w:t>
      </w:r>
    </w:p>
    <w:p w:rsidR="00000000" w:rsidRDefault="00000000">
      <w:pPr>
        <w:pStyle w:val="BodyText"/>
        <w:spacing w:after="0"/>
      </w:pPr>
      <w:r>
        <w:tab/>
        <w:t>–</w:t>
      </w:r>
      <w:r>
        <w:tab/>
        <w:t>35 КД студенту университета;</w:t>
      </w:r>
    </w:p>
    <w:p w:rsidR="00000000" w:rsidRDefault="00000000">
      <w:pPr>
        <w:pStyle w:val="BodyText"/>
        <w:spacing w:after="0"/>
        <w:ind w:left="1588" w:hanging="1588"/>
        <w:jc w:val="left"/>
      </w:pPr>
      <w:r>
        <w:tab/>
        <w:t>–</w:t>
      </w:r>
      <w:r>
        <w:tab/>
        <w:t xml:space="preserve">30 КД учащемуся средней общеобразовательной школы или учебного заведения, </w:t>
      </w:r>
      <w:r>
        <w:br/>
        <w:t>не являющегося университетом;</w:t>
      </w:r>
    </w:p>
    <w:p w:rsidR="00000000" w:rsidRDefault="00000000">
      <w:pPr>
        <w:pStyle w:val="BodyText"/>
        <w:spacing w:after="0"/>
      </w:pPr>
      <w:r>
        <w:tab/>
        <w:t>–</w:t>
      </w:r>
      <w:r>
        <w:tab/>
        <w:t>25 КД учащемуся промежуточной ступени;</w:t>
      </w:r>
    </w:p>
    <w:p w:rsidR="00000000" w:rsidRDefault="00000000">
      <w:pPr>
        <w:pStyle w:val="BodyText"/>
        <w:spacing w:after="0"/>
      </w:pPr>
      <w:r>
        <w:tab/>
        <w:t>–</w:t>
      </w:r>
      <w:r>
        <w:tab/>
        <w:t>20 КД учащемуся начальной ступени;</w:t>
      </w:r>
    </w:p>
    <w:p w:rsidR="00000000" w:rsidRDefault="00000000">
      <w:pPr>
        <w:pStyle w:val="BodyText"/>
      </w:pPr>
      <w:r>
        <w:tab/>
        <w:t>–</w:t>
      </w:r>
      <w:r>
        <w:tab/>
        <w:t>15 КД лицу, не посещающему учебное заведение.</w:t>
      </w:r>
    </w:p>
    <w:p w:rsidR="00000000" w:rsidRDefault="00000000">
      <w:pPr>
        <w:pStyle w:val="BodyText"/>
      </w:pPr>
      <w:r>
        <w:tab/>
        <w:t>При этом число членов семьи, получающих субсидию, не должно превышать пятнадцати человек. Субсидии выплачиваются через социальные подразделения, находящиеся в различных районах страны.</w:t>
      </w:r>
    </w:p>
    <w:p w:rsidR="00000000" w:rsidRDefault="00000000">
      <w:pPr>
        <w:pStyle w:val="BodyText"/>
      </w:pPr>
      <w:r>
        <w:tab/>
        <w:t>В дополнение к указанному выше, стремясь к постоянному повышению уровня жизни населения, государство приняло Закон № 1 1990 года о повышении социальных пособий и государственных субсидий, в котором предусмотрено повышение на 25 процентов социальных пособий для одиноких и состоящих в браке лиц, на которых распространяется Закон о гражданской службе.</w:t>
      </w:r>
    </w:p>
    <w:p w:rsidR="00000000" w:rsidRDefault="00000000">
      <w:pPr>
        <w:pStyle w:val="BodyText"/>
      </w:pPr>
      <w:r>
        <w:tab/>
        <w:t>Указанный закон предусматривает повышение причитающегося пенсионного содержания на сумму 30 КД в месяц в соответствии с правилами и нормами, определяемыми Правлением Государственной организации социального страхования.</w:t>
      </w:r>
    </w:p>
    <w:p w:rsidR="00000000" w:rsidRDefault="00000000">
      <w:pPr>
        <w:pStyle w:val="BodyText"/>
      </w:pPr>
      <w:r>
        <w:tab/>
        <w:t>Законодатели предусмотрели специальное положение, касающееся повышения государственных субсидий, в соответствии с которым все лица, которым причитаются указанные субсидии, получают прибавку в размере 30 КД на каждого.</w:t>
      </w:r>
    </w:p>
    <w:p w:rsidR="00000000" w:rsidRDefault="00000000">
      <w:pPr>
        <w:pStyle w:val="BodyText"/>
      </w:pPr>
      <w:r>
        <w:tab/>
        <w:t>Была учтена необходимость придания положениям, связанным с прибавками, общего характера, с тем чтобы их можно было применять в различных ситуациях, в которых могут находиться служащие, пенсионеры, лица, имеющие право на государственные субсидии. При этом для каждой из указанных категорий действуют разные правила.</w:t>
      </w:r>
    </w:p>
    <w:p w:rsidR="00000000" w:rsidRDefault="00000000">
      <w:pPr>
        <w:pStyle w:val="BodyText"/>
      </w:pPr>
      <w:r>
        <w:tab/>
        <w:t>11 февраля 1992 года был принят Декрет № 14/1992 о повышении социальных пособий, пенсий и государственных субсидий. Декрет предусматривал повышение на 50 процентов ежемесячных субсидий лицам, которые на момент его вступления в силу уже получали их. Кроме того, были в разной степени повышены уже выплачиваемые пенсии и социальные пособия.</w:t>
      </w:r>
    </w:p>
    <w:p w:rsidR="00000000" w:rsidRDefault="00000000">
      <w:pPr>
        <w:pStyle w:val="BodyText"/>
      </w:pPr>
      <w:r>
        <w:tab/>
        <w:t>Как явствует из упомянутых выше законодательных актов, касающихся субсидий, предоставляемых государством по линии Министерства труда и социальных дел, которому государство дало полномочия на их выплату, женщины, будь то матери, жены или дочери, входят в число лиц, получающих указанные субсидии в первоочередном порядке, что свидетельствует о стремлении законодателей гарантировать женщинам и членам их семей достойный жизненный уровень.</w:t>
      </w:r>
    </w:p>
    <w:p w:rsidR="00000000" w:rsidRDefault="00000000">
      <w:pPr>
        <w:pStyle w:val="BodyText"/>
      </w:pPr>
      <w:r>
        <w:tab/>
        <w:t>Несмотря на то что государство предоставляет пособия и субсидии некоторым категориям населения, есть и другие социальные категории, испытывающие экономические проблемы, воздействующие на стабильность и уверенность в семьях, особенно, если кормильцем является женщина, ввиду отсутствия главы семьи или при наличии у нее особых потребностей. Вот почему Министерство труда и социальных дел во взаимодействии с Вакуфным фондом научного и социального развития выдвинуло идею проекта "Ман кясаб яди" ("Плоды моего труда") с целью подчеркнуть значимость труда в жизни каждого человека. Проект рассчитан на категории, получающие финансовые субсидии от Министерства труда и общественных дел, его цель – повышение их дохода, с одной стороны, и их перемещения из сферы социальной помощи в сферу продуктивной экономической активности – с другой, особенно если учесть, что 80 процентов лиц указанных категорий имеют свидетельства о промежуточном и среднем образовании, а их возраст колеблется от 25 до 40 лет. В рамках проекта проводятся бесплатные курсы, рассчитанные на:</w:t>
      </w:r>
    </w:p>
    <w:p w:rsidR="00000000" w:rsidRDefault="00000000">
      <w:pPr>
        <w:pStyle w:val="BodyText"/>
      </w:pPr>
      <w:r>
        <w:tab/>
        <w:t>–</w:t>
      </w:r>
      <w:r>
        <w:tab/>
        <w:t>повышение материального уровня нуждающихся семей, которые получают субсидии;</w:t>
      </w:r>
    </w:p>
    <w:p w:rsidR="00000000" w:rsidRDefault="00000000">
      <w:pPr>
        <w:pStyle w:val="BodyText"/>
      </w:pPr>
      <w:r>
        <w:tab/>
        <w:t>–</w:t>
      </w:r>
      <w:r>
        <w:tab/>
        <w:t>обучение кувейтских женщин ручному труду и ремеслам;</w:t>
      </w:r>
    </w:p>
    <w:p w:rsidR="00000000" w:rsidRDefault="00000000">
      <w:pPr>
        <w:pStyle w:val="BodyText"/>
      </w:pPr>
      <w:r>
        <w:tab/>
        <w:t>–</w:t>
      </w:r>
      <w:r>
        <w:tab/>
        <w:t>использование внутренней продукции и удовлетворение потребностей рынка;</w:t>
      </w:r>
    </w:p>
    <w:p w:rsidR="00000000" w:rsidRDefault="00000000">
      <w:pPr>
        <w:pStyle w:val="BodyText"/>
      </w:pPr>
      <w:r>
        <w:tab/>
        <w:t>–</w:t>
      </w:r>
      <w:r>
        <w:tab/>
        <w:t>создание новых возможностей для ручного ремесленного труда и борьба с негативным отношением к такому труду.</w:t>
      </w:r>
    </w:p>
    <w:p w:rsidR="00000000" w:rsidRDefault="00000000">
      <w:pPr>
        <w:pStyle w:val="BodyText"/>
      </w:pPr>
      <w:r>
        <w:tab/>
        <w:t>Руководство проекта организовало целый ряд учебных курсов в различных областях с целью учета фактических потребностей и наиболее актуальных пожеланий целевого социального сектора, на который рассчитан проект, с тем чтобы указанные курсы позволили навести мосты для сотрудничества и координации деятельности с организациями, которые работают с семьями, с одной стороны, и для приобретения дополнительного опыта в организации учебных курсов – с другой. К числу наиболее заметных курсов, проведенных в 2001 году, следует отнести следующие:</w:t>
      </w:r>
    </w:p>
    <w:p w:rsidR="00000000" w:rsidRDefault="00000000">
      <w:pPr>
        <w:pStyle w:val="BodyText"/>
        <w:spacing w:after="0"/>
      </w:pPr>
      <w:r>
        <w:tab/>
        <w:t>–</w:t>
      </w:r>
      <w:r>
        <w:tab/>
        <w:t>курсы шитья (29 участниц);</w:t>
      </w:r>
    </w:p>
    <w:p w:rsidR="00000000" w:rsidRDefault="00000000">
      <w:pPr>
        <w:pStyle w:val="BodyText"/>
        <w:spacing w:after="0"/>
      </w:pPr>
      <w:r>
        <w:tab/>
        <w:t>–</w:t>
      </w:r>
      <w:r>
        <w:tab/>
        <w:t>курсы кулинарного мастерства (29 участниц);</w:t>
      </w:r>
    </w:p>
    <w:p w:rsidR="00000000" w:rsidRDefault="00000000">
      <w:pPr>
        <w:pStyle w:val="BodyText"/>
        <w:spacing w:after="0"/>
      </w:pPr>
      <w:r>
        <w:tab/>
        <w:t>–</w:t>
      </w:r>
      <w:r>
        <w:tab/>
        <w:t>курсы по изготовлению и оформлению украшений (25 участниц);</w:t>
      </w:r>
    </w:p>
    <w:p w:rsidR="00000000" w:rsidRDefault="00000000">
      <w:pPr>
        <w:pStyle w:val="BodyText"/>
        <w:spacing w:after="0"/>
      </w:pPr>
      <w:r>
        <w:tab/>
        <w:t>–</w:t>
      </w:r>
      <w:r>
        <w:tab/>
        <w:t>компьютерные курсы (24 участницы);</w:t>
      </w:r>
    </w:p>
    <w:p w:rsidR="00000000" w:rsidRDefault="00000000">
      <w:pPr>
        <w:pStyle w:val="BodyText"/>
      </w:pPr>
      <w:r>
        <w:tab/>
        <w:t>–</w:t>
      </w:r>
      <w:r>
        <w:tab/>
        <w:t>другие курсы (53 участницы).</w:t>
      </w:r>
    </w:p>
    <w:p w:rsidR="00000000" w:rsidRDefault="00000000">
      <w:pPr>
        <w:pStyle w:val="BodyText"/>
      </w:pPr>
      <w:r>
        <w:tab/>
        <w:t>В рамках усилий государства по преодолению бедности и созданию возможностей, которые позволили бы женщинам повысить свои доходы, а также в свете общих политических и экономических установок государства был создан Национальный инвестиционный фонд с целью развития национальной экономики путем принятия долговременных экономических программ для поддержки малых проектов. Идея создания Национального инвестиционного фонда исходит из необходимости поддержки малого бизнеса и экономически обоснованных индивидуальных инициатив, а также любых других инновационных проектов, способных содействовать развитию местного рынка и диверсификации экономики. 5 марта 1997 года было объявлено о создании Кувейтской компании по развитию малых проектов, в частности с целью поощрения индивидуальных деловых инициатив, поддержки и финансирования обучения граждан (мужчин и женщин) различным промыслам, стимулирования их к самостоятельной трудовой деятельности и управлению малыми проектами.</w:t>
      </w:r>
    </w:p>
    <w:p w:rsidR="00000000" w:rsidRDefault="00000000">
      <w:pPr>
        <w:pStyle w:val="BodyText"/>
      </w:pPr>
      <w:r>
        <w:tab/>
        <w:t>К числу национальных организаций, играющих заметную роль в области социального сотрудничества, относится Бейт аз-Закят (Дом Закята), независимое государственное ведомство, ведущее активную деятельность на национальном и международном уровнях. Так, в течение июля и августа 2000 года эта организация израсходовала 84 543 КД на поддержку 15 семей (всего 318 человек). Указанные субсидии делились на ежемесячные субсидии (4200 КД) и разовые выплаты (7343 КД). В период с 1 июля по 31 августа 2000 года субсидии от организации Бейт аз-Закят получили 21 468 нуждающихся семей. Субсидии от нее получают в общей сложности 7465 вдов и разведенных женщин. На территории Кувейта организация содержит 199 сирот и помогает 892 нетрудоспособным лицам. В целом объем социальных субсидий, предоставленных организацией, составил 996 381 КД, которые получили 5088 семей.</w:t>
      </w:r>
    </w:p>
    <w:p w:rsidR="00000000" w:rsidRDefault="00000000">
      <w:pPr>
        <w:pStyle w:val="BodyText"/>
      </w:pPr>
      <w:r>
        <w:tab/>
        <w:t>Кроме вышесказанного, необходимо отметить деятельность Отдела социального попечения при Министерстве труда и социальных дел, который предоставляет услуги различным категориям населения с особыми потребностями – престарелым, инвалидам, лицам, чьи родители неизвестны, несовершеннолетним правонарушителям и несовершеннолетним, которым грозит опасность стать правонарушителями. Приводимые ниже статистические данные свидетельствуют о важности этого участка работы и о значительной роли, которую играет Отдел:</w:t>
      </w:r>
    </w:p>
    <w:p w:rsidR="00000000" w:rsidRDefault="00000000">
      <w:pPr>
        <w:pStyle w:val="BodyText"/>
        <w:jc w:val="center"/>
      </w:pPr>
      <w:r>
        <w:br w:type="page"/>
        <w:t>Общее число лиц, воспользовавшихся услугами Отдела в октябре 2001 года</w:t>
      </w:r>
    </w:p>
    <w:tbl>
      <w:tblPr>
        <w:tblW w:w="0" w:type="auto"/>
        <w:jc w:val="center"/>
        <w:tblLayout w:type="fixed"/>
        <w:tblCellMar>
          <w:left w:w="57" w:type="dxa"/>
          <w:right w:w="57" w:type="dxa"/>
        </w:tblCellMar>
        <w:tblLook w:val="01E0" w:firstRow="1" w:lastRow="1" w:firstColumn="1" w:lastColumn="1" w:noHBand="0" w:noVBand="0"/>
      </w:tblPr>
      <w:tblGrid>
        <w:gridCol w:w="2669"/>
        <w:gridCol w:w="3402"/>
        <w:gridCol w:w="1560"/>
        <w:gridCol w:w="1158"/>
      </w:tblGrid>
      <w:tr w:rsidR="00000000">
        <w:tblPrEx>
          <w:tblCellMar>
            <w:top w:w="0" w:type="dxa"/>
            <w:bottom w:w="0" w:type="dxa"/>
          </w:tblCellMar>
        </w:tblPrEx>
        <w:trPr>
          <w:jc w:val="center"/>
        </w:trPr>
        <w:tc>
          <w:tcPr>
            <w:tcW w:w="2669" w:type="dxa"/>
          </w:tcPr>
          <w:p w:rsidR="00000000" w:rsidRDefault="00000000">
            <w:pPr>
              <w:pStyle w:val="-9"/>
            </w:pPr>
            <w:r>
              <w:t xml:space="preserve">Управления и центры </w:t>
            </w:r>
            <w:r>
              <w:br/>
              <w:t>при Отделе</w:t>
            </w:r>
          </w:p>
        </w:tc>
        <w:tc>
          <w:tcPr>
            <w:tcW w:w="3402" w:type="dxa"/>
          </w:tcPr>
          <w:p w:rsidR="00000000" w:rsidRDefault="00000000">
            <w:pPr>
              <w:pStyle w:val="-9"/>
            </w:pPr>
            <w:r>
              <w:t>Категории бенефициаров</w:t>
            </w:r>
          </w:p>
        </w:tc>
        <w:tc>
          <w:tcPr>
            <w:tcW w:w="1560" w:type="dxa"/>
          </w:tcPr>
          <w:p w:rsidR="00000000" w:rsidRDefault="00000000">
            <w:pPr>
              <w:pStyle w:val="-9"/>
            </w:pPr>
            <w:r>
              <w:t>Число на сегодняшний день</w:t>
            </w:r>
          </w:p>
        </w:tc>
        <w:tc>
          <w:tcPr>
            <w:tcW w:w="1158" w:type="dxa"/>
          </w:tcPr>
          <w:p w:rsidR="00000000" w:rsidRDefault="00000000">
            <w:pPr>
              <w:pStyle w:val="-9"/>
            </w:pPr>
            <w:r>
              <w:t>Пол</w:t>
            </w:r>
          </w:p>
        </w:tc>
      </w:tr>
      <w:tr w:rsidR="00000000">
        <w:tblPrEx>
          <w:tblCellMar>
            <w:top w:w="0" w:type="dxa"/>
            <w:bottom w:w="0" w:type="dxa"/>
          </w:tblCellMar>
        </w:tblPrEx>
        <w:trPr>
          <w:jc w:val="center"/>
        </w:trPr>
        <w:tc>
          <w:tcPr>
            <w:tcW w:w="2669" w:type="dxa"/>
          </w:tcPr>
          <w:p w:rsidR="00000000" w:rsidRDefault="00000000">
            <w:pPr>
              <w:pStyle w:val="BodyText"/>
              <w:spacing w:after="0" w:line="240" w:lineRule="auto"/>
              <w:jc w:val="left"/>
            </w:pPr>
            <w:r>
              <w:t xml:space="preserve">Управление по попечению </w:t>
            </w:r>
            <w:r>
              <w:rPr>
                <w:lang w:val="en-US"/>
              </w:rPr>
              <w:br/>
            </w:r>
            <w:r>
              <w:t>об инвалидах</w:t>
            </w:r>
          </w:p>
        </w:tc>
        <w:tc>
          <w:tcPr>
            <w:tcW w:w="3402" w:type="dxa"/>
          </w:tcPr>
          <w:p w:rsidR="00000000" w:rsidRDefault="00000000">
            <w:pPr>
              <w:pStyle w:val="BodyText"/>
              <w:spacing w:after="0" w:line="240" w:lineRule="auto"/>
              <w:jc w:val="left"/>
            </w:pPr>
            <w:r>
              <w:t>Все категории инвалидов, в некоторых случаях обеспечение жильем престарелых лиц</w:t>
            </w:r>
          </w:p>
        </w:tc>
        <w:tc>
          <w:tcPr>
            <w:tcW w:w="1560" w:type="dxa"/>
          </w:tcPr>
          <w:p w:rsidR="00000000" w:rsidRDefault="00000000">
            <w:pPr>
              <w:pStyle w:val="BodyText"/>
              <w:spacing w:after="0" w:line="240" w:lineRule="auto"/>
              <w:ind w:right="567"/>
              <w:jc w:val="right"/>
            </w:pPr>
            <w:r>
              <w:t>858</w:t>
            </w:r>
          </w:p>
        </w:tc>
        <w:tc>
          <w:tcPr>
            <w:tcW w:w="1158" w:type="dxa"/>
          </w:tcPr>
          <w:p w:rsidR="00000000" w:rsidRDefault="00000000">
            <w:pPr>
              <w:pStyle w:val="BodyText"/>
              <w:spacing w:after="0" w:line="240" w:lineRule="auto"/>
              <w:jc w:val="left"/>
            </w:pPr>
            <w:r>
              <w:t>Мужчины и женщины</w:t>
            </w:r>
          </w:p>
        </w:tc>
      </w:tr>
      <w:tr w:rsidR="00000000">
        <w:tblPrEx>
          <w:tblCellMar>
            <w:top w:w="0" w:type="dxa"/>
            <w:bottom w:w="0" w:type="dxa"/>
          </w:tblCellMar>
        </w:tblPrEx>
        <w:trPr>
          <w:jc w:val="center"/>
        </w:trPr>
        <w:tc>
          <w:tcPr>
            <w:tcW w:w="2669" w:type="dxa"/>
          </w:tcPr>
          <w:p w:rsidR="00000000" w:rsidRDefault="00000000">
            <w:pPr>
              <w:pStyle w:val="BodyText"/>
              <w:spacing w:after="0" w:line="240" w:lineRule="auto"/>
              <w:jc w:val="left"/>
            </w:pPr>
            <w:r>
              <w:t xml:space="preserve">Управление по попечению </w:t>
            </w:r>
            <w:r>
              <w:rPr>
                <w:lang w:val="en-US"/>
              </w:rPr>
              <w:br/>
            </w:r>
            <w:r>
              <w:t>о несовершеннолетних</w:t>
            </w:r>
          </w:p>
        </w:tc>
        <w:tc>
          <w:tcPr>
            <w:tcW w:w="3402" w:type="dxa"/>
          </w:tcPr>
          <w:p w:rsidR="00000000" w:rsidRDefault="00000000">
            <w:pPr>
              <w:pStyle w:val="BodyText"/>
              <w:spacing w:after="0" w:line="240" w:lineRule="auto"/>
              <w:jc w:val="left"/>
            </w:pPr>
            <w:r>
              <w:t>Несовершеннолетние правонарушители/задержанные/</w:t>
            </w:r>
            <w:r>
              <w:br/>
              <w:t>склонные к правонарушениям/ осужденные</w:t>
            </w:r>
          </w:p>
        </w:tc>
        <w:tc>
          <w:tcPr>
            <w:tcW w:w="1560" w:type="dxa"/>
          </w:tcPr>
          <w:p w:rsidR="00000000" w:rsidRDefault="00000000">
            <w:pPr>
              <w:pStyle w:val="BodyText"/>
              <w:spacing w:after="0" w:line="240" w:lineRule="auto"/>
              <w:ind w:right="567"/>
              <w:jc w:val="right"/>
            </w:pPr>
            <w:r>
              <w:t>366</w:t>
            </w:r>
          </w:p>
        </w:tc>
        <w:tc>
          <w:tcPr>
            <w:tcW w:w="1158" w:type="dxa"/>
          </w:tcPr>
          <w:p w:rsidR="00000000" w:rsidRDefault="00000000">
            <w:pPr>
              <w:pStyle w:val="BodyText"/>
              <w:spacing w:after="0" w:line="240" w:lineRule="auto"/>
              <w:jc w:val="left"/>
            </w:pPr>
            <w:r>
              <w:t>Мужчины и женщины</w:t>
            </w:r>
          </w:p>
        </w:tc>
      </w:tr>
      <w:tr w:rsidR="00000000">
        <w:tblPrEx>
          <w:tblCellMar>
            <w:top w:w="0" w:type="dxa"/>
            <w:bottom w:w="0" w:type="dxa"/>
          </w:tblCellMar>
        </w:tblPrEx>
        <w:trPr>
          <w:jc w:val="center"/>
        </w:trPr>
        <w:tc>
          <w:tcPr>
            <w:tcW w:w="2669" w:type="dxa"/>
          </w:tcPr>
          <w:p w:rsidR="00000000" w:rsidRDefault="00000000">
            <w:pPr>
              <w:pStyle w:val="BodyText"/>
              <w:spacing w:after="0" w:line="240" w:lineRule="auto"/>
              <w:jc w:val="left"/>
            </w:pPr>
            <w:r>
              <w:t>Управление по вопросам воспитания в патронатных семьях</w:t>
            </w:r>
          </w:p>
        </w:tc>
        <w:tc>
          <w:tcPr>
            <w:tcW w:w="3402" w:type="dxa"/>
          </w:tcPr>
          <w:p w:rsidR="00000000" w:rsidRDefault="00000000">
            <w:pPr>
              <w:pStyle w:val="BodyText"/>
              <w:spacing w:after="0" w:line="240" w:lineRule="auto"/>
              <w:jc w:val="left"/>
            </w:pPr>
            <w:r>
              <w:t xml:space="preserve">Лица, чьи родители неизвестны, </w:t>
            </w:r>
            <w:r>
              <w:br/>
              <w:t>и дети из неполных семей</w:t>
            </w:r>
          </w:p>
        </w:tc>
        <w:tc>
          <w:tcPr>
            <w:tcW w:w="1560" w:type="dxa"/>
          </w:tcPr>
          <w:p w:rsidR="00000000" w:rsidRDefault="00000000">
            <w:pPr>
              <w:pStyle w:val="BodyText"/>
              <w:spacing w:after="0" w:line="240" w:lineRule="auto"/>
              <w:ind w:right="567"/>
              <w:jc w:val="right"/>
            </w:pPr>
            <w:r>
              <w:t>666</w:t>
            </w:r>
          </w:p>
        </w:tc>
        <w:tc>
          <w:tcPr>
            <w:tcW w:w="1158" w:type="dxa"/>
          </w:tcPr>
          <w:p w:rsidR="00000000" w:rsidRDefault="00000000">
            <w:pPr>
              <w:pStyle w:val="BodyText"/>
              <w:spacing w:after="0" w:line="240" w:lineRule="auto"/>
              <w:jc w:val="left"/>
            </w:pPr>
            <w:r>
              <w:t>Мужчины и женщины</w:t>
            </w:r>
          </w:p>
        </w:tc>
      </w:tr>
      <w:tr w:rsidR="00000000">
        <w:tblPrEx>
          <w:tblCellMar>
            <w:top w:w="0" w:type="dxa"/>
            <w:bottom w:w="0" w:type="dxa"/>
          </w:tblCellMar>
        </w:tblPrEx>
        <w:trPr>
          <w:jc w:val="center"/>
        </w:trPr>
        <w:tc>
          <w:tcPr>
            <w:tcW w:w="2669" w:type="dxa"/>
          </w:tcPr>
          <w:p w:rsidR="00000000" w:rsidRDefault="00000000">
            <w:pPr>
              <w:pStyle w:val="BodyText"/>
              <w:spacing w:after="0" w:line="240" w:lineRule="auto"/>
              <w:jc w:val="left"/>
            </w:pPr>
            <w:r>
              <w:t>Центр профессиональной подготовки (реабилитации)</w:t>
            </w:r>
          </w:p>
        </w:tc>
        <w:tc>
          <w:tcPr>
            <w:tcW w:w="3402" w:type="dxa"/>
          </w:tcPr>
          <w:p w:rsidR="00000000" w:rsidRDefault="00000000">
            <w:pPr>
              <w:pStyle w:val="BodyText"/>
              <w:spacing w:after="0" w:line="240" w:lineRule="auto"/>
              <w:jc w:val="left"/>
            </w:pPr>
            <w:r>
              <w:t>Инвалиды, способные к профессиональному обучению</w:t>
            </w:r>
          </w:p>
        </w:tc>
        <w:tc>
          <w:tcPr>
            <w:tcW w:w="1560" w:type="dxa"/>
          </w:tcPr>
          <w:p w:rsidR="00000000" w:rsidRDefault="00000000">
            <w:pPr>
              <w:pStyle w:val="BodyText"/>
              <w:spacing w:after="0" w:line="240" w:lineRule="auto"/>
              <w:ind w:right="567"/>
              <w:jc w:val="right"/>
            </w:pPr>
            <w:r>
              <w:t>208</w:t>
            </w:r>
          </w:p>
        </w:tc>
        <w:tc>
          <w:tcPr>
            <w:tcW w:w="1158" w:type="dxa"/>
          </w:tcPr>
          <w:p w:rsidR="00000000" w:rsidRDefault="00000000">
            <w:pPr>
              <w:pStyle w:val="BodyText"/>
              <w:spacing w:after="0" w:line="240" w:lineRule="auto"/>
              <w:jc w:val="left"/>
            </w:pPr>
            <w:r>
              <w:t>Мужчины и женщины</w:t>
            </w:r>
          </w:p>
        </w:tc>
      </w:tr>
      <w:tr w:rsidR="00000000">
        <w:tblPrEx>
          <w:tblCellMar>
            <w:top w:w="0" w:type="dxa"/>
            <w:bottom w:w="0" w:type="dxa"/>
          </w:tblCellMar>
        </w:tblPrEx>
        <w:trPr>
          <w:jc w:val="center"/>
        </w:trPr>
        <w:tc>
          <w:tcPr>
            <w:tcW w:w="2669" w:type="dxa"/>
          </w:tcPr>
          <w:p w:rsidR="00000000" w:rsidRDefault="00000000">
            <w:pPr>
              <w:pStyle w:val="BodyText"/>
              <w:spacing w:after="0" w:line="240" w:lineRule="auto"/>
              <w:jc w:val="left"/>
            </w:pPr>
            <w:r>
              <w:t>Центр по попечению о престарелых на дому</w:t>
            </w:r>
          </w:p>
        </w:tc>
        <w:tc>
          <w:tcPr>
            <w:tcW w:w="3402" w:type="dxa"/>
          </w:tcPr>
          <w:p w:rsidR="00000000" w:rsidRDefault="00000000">
            <w:pPr>
              <w:pStyle w:val="BodyText"/>
              <w:spacing w:after="0" w:line="240" w:lineRule="auto"/>
              <w:jc w:val="left"/>
            </w:pPr>
            <w:r>
              <w:t>Престарелые, не выходящие из дома</w:t>
            </w:r>
          </w:p>
        </w:tc>
        <w:tc>
          <w:tcPr>
            <w:tcW w:w="1560" w:type="dxa"/>
          </w:tcPr>
          <w:p w:rsidR="00000000" w:rsidRDefault="00000000">
            <w:pPr>
              <w:pStyle w:val="BodyText"/>
              <w:spacing w:after="0" w:line="240" w:lineRule="auto"/>
              <w:ind w:right="567"/>
              <w:jc w:val="right"/>
            </w:pPr>
            <w:r>
              <w:t>1 115</w:t>
            </w:r>
          </w:p>
        </w:tc>
        <w:tc>
          <w:tcPr>
            <w:tcW w:w="1158" w:type="dxa"/>
          </w:tcPr>
          <w:p w:rsidR="00000000" w:rsidRDefault="00000000">
            <w:pPr>
              <w:pStyle w:val="BodyText"/>
              <w:spacing w:after="0" w:line="240" w:lineRule="auto"/>
              <w:jc w:val="left"/>
            </w:pPr>
            <w:r>
              <w:t>Мужчины и женщины</w:t>
            </w:r>
          </w:p>
        </w:tc>
      </w:tr>
      <w:tr w:rsidR="00000000">
        <w:tblPrEx>
          <w:tblCellMar>
            <w:top w:w="0" w:type="dxa"/>
            <w:bottom w:w="0" w:type="dxa"/>
          </w:tblCellMar>
        </w:tblPrEx>
        <w:trPr>
          <w:jc w:val="center"/>
        </w:trPr>
        <w:tc>
          <w:tcPr>
            <w:tcW w:w="2669" w:type="dxa"/>
          </w:tcPr>
          <w:p w:rsidR="00000000" w:rsidRDefault="00000000">
            <w:pPr>
              <w:pStyle w:val="BodyText"/>
              <w:spacing w:after="0" w:line="240" w:lineRule="auto"/>
              <w:jc w:val="left"/>
            </w:pPr>
            <w:r>
              <w:t>Центр по принятию заблаговременных мер для выявления физических недостатков у детей</w:t>
            </w:r>
          </w:p>
        </w:tc>
        <w:tc>
          <w:tcPr>
            <w:tcW w:w="3402" w:type="dxa"/>
          </w:tcPr>
          <w:p w:rsidR="00000000" w:rsidRDefault="00000000">
            <w:pPr>
              <w:pStyle w:val="BodyText"/>
              <w:spacing w:after="0" w:line="240" w:lineRule="auto"/>
              <w:jc w:val="left"/>
            </w:pPr>
            <w:r>
              <w:t>Дети-инвалиды в возрасте от одного дня до свыше 5 лет, не выходящие из дома</w:t>
            </w:r>
          </w:p>
        </w:tc>
        <w:tc>
          <w:tcPr>
            <w:tcW w:w="1560" w:type="dxa"/>
          </w:tcPr>
          <w:p w:rsidR="00000000" w:rsidRDefault="00000000">
            <w:pPr>
              <w:pStyle w:val="BodyText"/>
              <w:spacing w:after="0" w:line="240" w:lineRule="auto"/>
              <w:ind w:right="567"/>
              <w:jc w:val="right"/>
            </w:pPr>
            <w:r>
              <w:t>214</w:t>
            </w:r>
          </w:p>
        </w:tc>
        <w:tc>
          <w:tcPr>
            <w:tcW w:w="1158" w:type="dxa"/>
          </w:tcPr>
          <w:p w:rsidR="00000000" w:rsidRDefault="00000000">
            <w:pPr>
              <w:pStyle w:val="BodyText"/>
              <w:spacing w:after="0" w:line="240" w:lineRule="auto"/>
              <w:jc w:val="left"/>
            </w:pPr>
            <w:r>
              <w:t>Мужчины и женщины</w:t>
            </w:r>
          </w:p>
        </w:tc>
      </w:tr>
      <w:tr w:rsidR="00000000">
        <w:tblPrEx>
          <w:tblCellMar>
            <w:top w:w="0" w:type="dxa"/>
            <w:bottom w:w="0" w:type="dxa"/>
          </w:tblCellMar>
        </w:tblPrEx>
        <w:trPr>
          <w:jc w:val="center"/>
        </w:trPr>
        <w:tc>
          <w:tcPr>
            <w:tcW w:w="2669" w:type="dxa"/>
          </w:tcPr>
          <w:p w:rsidR="00000000" w:rsidRDefault="00000000">
            <w:pPr>
              <w:pStyle w:val="BodyText"/>
              <w:spacing w:after="0" w:line="240" w:lineRule="auto"/>
              <w:jc w:val="left"/>
            </w:pPr>
            <w:r>
              <w:t>Всего бенефициаров</w:t>
            </w:r>
          </w:p>
        </w:tc>
        <w:tc>
          <w:tcPr>
            <w:tcW w:w="3402" w:type="dxa"/>
          </w:tcPr>
          <w:p w:rsidR="00000000" w:rsidRDefault="00000000">
            <w:pPr>
              <w:pStyle w:val="BodyText"/>
              <w:spacing w:after="0" w:line="240" w:lineRule="auto"/>
              <w:jc w:val="left"/>
            </w:pPr>
          </w:p>
        </w:tc>
        <w:tc>
          <w:tcPr>
            <w:tcW w:w="1560" w:type="dxa"/>
          </w:tcPr>
          <w:p w:rsidR="00000000" w:rsidRDefault="00000000">
            <w:pPr>
              <w:pStyle w:val="BodyText"/>
              <w:spacing w:after="0" w:line="240" w:lineRule="auto"/>
              <w:ind w:right="567"/>
              <w:jc w:val="right"/>
            </w:pPr>
            <w:r>
              <w:t>3 427</w:t>
            </w:r>
          </w:p>
        </w:tc>
        <w:tc>
          <w:tcPr>
            <w:tcW w:w="1158" w:type="dxa"/>
          </w:tcPr>
          <w:p w:rsidR="00000000" w:rsidRDefault="00000000">
            <w:pPr>
              <w:pStyle w:val="BodyText"/>
              <w:spacing w:after="0" w:line="240" w:lineRule="auto"/>
              <w:jc w:val="left"/>
            </w:pPr>
            <w:r>
              <w:t>Мужчины и женщины</w:t>
            </w:r>
          </w:p>
        </w:tc>
      </w:tr>
    </w:tbl>
    <w:p w:rsidR="00000000" w:rsidRDefault="00000000">
      <w:pPr>
        <w:pStyle w:val="BodyText"/>
        <w:spacing w:before="240" w:after="0"/>
        <w:jc w:val="center"/>
      </w:pPr>
      <w:r>
        <w:t>Статистические данные за октябрь 2001 года по работе Центра по уходу за престарелыми на дому</w:t>
      </w:r>
    </w:p>
    <w:p w:rsidR="00000000" w:rsidRDefault="00000000">
      <w:pPr>
        <w:pStyle w:val="BodyText"/>
        <w:jc w:val="center"/>
      </w:pPr>
      <w:r>
        <w:t>Данные Бюро по исследованиям (цифровые)</w:t>
      </w:r>
    </w:p>
    <w:tbl>
      <w:tblPr>
        <w:tblW w:w="0" w:type="auto"/>
        <w:jc w:val="center"/>
        <w:tblLayout w:type="fixed"/>
        <w:tblLook w:val="01E0" w:firstRow="1" w:lastRow="1" w:firstColumn="1" w:lastColumn="1" w:noHBand="0" w:noVBand="0"/>
      </w:tblPr>
      <w:tblGrid>
        <w:gridCol w:w="2601"/>
        <w:gridCol w:w="2062"/>
        <w:gridCol w:w="2063"/>
        <w:gridCol w:w="2063"/>
      </w:tblGrid>
      <w:tr w:rsidR="00000000">
        <w:tblPrEx>
          <w:tblCellMar>
            <w:top w:w="0" w:type="dxa"/>
            <w:bottom w:w="0" w:type="dxa"/>
          </w:tblCellMar>
        </w:tblPrEx>
        <w:trPr>
          <w:jc w:val="center"/>
        </w:trPr>
        <w:tc>
          <w:tcPr>
            <w:tcW w:w="2601" w:type="dxa"/>
          </w:tcPr>
          <w:p w:rsidR="00000000" w:rsidRDefault="00000000">
            <w:pPr>
              <w:pStyle w:val="-9"/>
            </w:pPr>
            <w:r>
              <w:t>Охват</w:t>
            </w:r>
          </w:p>
        </w:tc>
        <w:tc>
          <w:tcPr>
            <w:tcW w:w="2062" w:type="dxa"/>
          </w:tcPr>
          <w:p w:rsidR="00000000" w:rsidRDefault="00000000">
            <w:pPr>
              <w:pStyle w:val="-9"/>
            </w:pPr>
            <w:r>
              <w:t>Мужчин</w:t>
            </w:r>
          </w:p>
        </w:tc>
        <w:tc>
          <w:tcPr>
            <w:tcW w:w="2063" w:type="dxa"/>
          </w:tcPr>
          <w:p w:rsidR="00000000" w:rsidRDefault="00000000">
            <w:pPr>
              <w:pStyle w:val="-9"/>
            </w:pPr>
            <w:r>
              <w:t>Женщин</w:t>
            </w:r>
          </w:p>
        </w:tc>
        <w:tc>
          <w:tcPr>
            <w:tcW w:w="2063" w:type="dxa"/>
          </w:tcPr>
          <w:p w:rsidR="00000000" w:rsidRDefault="00000000">
            <w:pPr>
              <w:pStyle w:val="-9"/>
            </w:pPr>
            <w:r>
              <w:t>Всего</w:t>
            </w:r>
          </w:p>
        </w:tc>
      </w:tr>
      <w:tr w:rsidR="00000000">
        <w:tblPrEx>
          <w:tblCellMar>
            <w:top w:w="0" w:type="dxa"/>
            <w:bottom w:w="0" w:type="dxa"/>
          </w:tblCellMar>
        </w:tblPrEx>
        <w:trPr>
          <w:jc w:val="center"/>
        </w:trPr>
        <w:tc>
          <w:tcPr>
            <w:tcW w:w="2601" w:type="dxa"/>
          </w:tcPr>
          <w:p w:rsidR="00000000" w:rsidRDefault="00000000">
            <w:pPr>
              <w:pStyle w:val="BodyText"/>
              <w:spacing w:after="0" w:line="240" w:lineRule="auto"/>
              <w:jc w:val="left"/>
            </w:pPr>
            <w:r>
              <w:t>Общее число случаев</w:t>
            </w:r>
          </w:p>
        </w:tc>
        <w:tc>
          <w:tcPr>
            <w:tcW w:w="2062" w:type="dxa"/>
          </w:tcPr>
          <w:p w:rsidR="00000000" w:rsidRDefault="00000000">
            <w:pPr>
              <w:pStyle w:val="BodyText"/>
              <w:spacing w:after="0" w:line="240" w:lineRule="auto"/>
              <w:ind w:right="737"/>
              <w:jc w:val="right"/>
            </w:pPr>
            <w:r>
              <w:t>385</w:t>
            </w:r>
          </w:p>
        </w:tc>
        <w:tc>
          <w:tcPr>
            <w:tcW w:w="2063" w:type="dxa"/>
          </w:tcPr>
          <w:p w:rsidR="00000000" w:rsidRDefault="00000000">
            <w:pPr>
              <w:pStyle w:val="BodyText"/>
              <w:spacing w:after="0" w:line="240" w:lineRule="auto"/>
              <w:ind w:right="737"/>
              <w:jc w:val="right"/>
            </w:pPr>
            <w:r>
              <w:t>695</w:t>
            </w:r>
          </w:p>
        </w:tc>
        <w:tc>
          <w:tcPr>
            <w:tcW w:w="2063" w:type="dxa"/>
          </w:tcPr>
          <w:p w:rsidR="00000000" w:rsidRDefault="00000000">
            <w:pPr>
              <w:pStyle w:val="BodyText"/>
              <w:spacing w:after="0" w:line="240" w:lineRule="auto"/>
              <w:ind w:right="680"/>
              <w:jc w:val="right"/>
            </w:pPr>
            <w:r>
              <w:t>1 080</w:t>
            </w:r>
          </w:p>
        </w:tc>
      </w:tr>
      <w:tr w:rsidR="00000000">
        <w:tblPrEx>
          <w:tblCellMar>
            <w:top w:w="0" w:type="dxa"/>
            <w:bottom w:w="0" w:type="dxa"/>
          </w:tblCellMar>
        </w:tblPrEx>
        <w:trPr>
          <w:jc w:val="center"/>
        </w:trPr>
        <w:tc>
          <w:tcPr>
            <w:tcW w:w="2601" w:type="dxa"/>
          </w:tcPr>
          <w:p w:rsidR="00000000" w:rsidRDefault="00000000">
            <w:pPr>
              <w:pStyle w:val="BodyText"/>
              <w:spacing w:after="0" w:line="240" w:lineRule="auto"/>
              <w:jc w:val="left"/>
            </w:pPr>
            <w:r>
              <w:t>Число новых случаев</w:t>
            </w:r>
          </w:p>
        </w:tc>
        <w:tc>
          <w:tcPr>
            <w:tcW w:w="2062" w:type="dxa"/>
          </w:tcPr>
          <w:p w:rsidR="00000000" w:rsidRDefault="00000000">
            <w:pPr>
              <w:pStyle w:val="BodyText"/>
              <w:spacing w:after="0" w:line="240" w:lineRule="auto"/>
              <w:ind w:right="737"/>
              <w:jc w:val="right"/>
            </w:pPr>
            <w:r>
              <w:t>12</w:t>
            </w:r>
          </w:p>
        </w:tc>
        <w:tc>
          <w:tcPr>
            <w:tcW w:w="2063" w:type="dxa"/>
          </w:tcPr>
          <w:p w:rsidR="00000000" w:rsidRDefault="00000000">
            <w:pPr>
              <w:pStyle w:val="BodyText"/>
              <w:spacing w:after="0" w:line="240" w:lineRule="auto"/>
              <w:ind w:right="737"/>
              <w:jc w:val="right"/>
            </w:pPr>
            <w:r>
              <w:t>23</w:t>
            </w:r>
          </w:p>
        </w:tc>
        <w:tc>
          <w:tcPr>
            <w:tcW w:w="2063" w:type="dxa"/>
          </w:tcPr>
          <w:p w:rsidR="00000000" w:rsidRDefault="00000000">
            <w:pPr>
              <w:pStyle w:val="BodyText"/>
              <w:spacing w:after="0" w:line="240" w:lineRule="auto"/>
              <w:ind w:right="680"/>
              <w:jc w:val="right"/>
            </w:pPr>
            <w:r>
              <w:t>35</w:t>
            </w:r>
          </w:p>
        </w:tc>
      </w:tr>
      <w:tr w:rsidR="00000000">
        <w:tblPrEx>
          <w:tblCellMar>
            <w:top w:w="0" w:type="dxa"/>
            <w:bottom w:w="0" w:type="dxa"/>
          </w:tblCellMar>
        </w:tblPrEx>
        <w:trPr>
          <w:jc w:val="center"/>
        </w:trPr>
        <w:tc>
          <w:tcPr>
            <w:tcW w:w="2601" w:type="dxa"/>
          </w:tcPr>
          <w:p w:rsidR="00000000" w:rsidRDefault="00000000">
            <w:pPr>
              <w:pStyle w:val="BodyText"/>
              <w:spacing w:after="0" w:line="240" w:lineRule="auto"/>
              <w:jc w:val="left"/>
            </w:pPr>
            <w:r>
              <w:t>Итого</w:t>
            </w:r>
          </w:p>
        </w:tc>
        <w:tc>
          <w:tcPr>
            <w:tcW w:w="2062" w:type="dxa"/>
          </w:tcPr>
          <w:p w:rsidR="00000000" w:rsidRDefault="00000000">
            <w:pPr>
              <w:pStyle w:val="BodyText"/>
              <w:spacing w:after="0" w:line="240" w:lineRule="auto"/>
              <w:ind w:right="737"/>
              <w:jc w:val="right"/>
            </w:pPr>
            <w:r>
              <w:t>397</w:t>
            </w:r>
          </w:p>
        </w:tc>
        <w:tc>
          <w:tcPr>
            <w:tcW w:w="2063" w:type="dxa"/>
          </w:tcPr>
          <w:p w:rsidR="00000000" w:rsidRDefault="00000000">
            <w:pPr>
              <w:pStyle w:val="BodyText"/>
              <w:spacing w:after="0" w:line="240" w:lineRule="auto"/>
              <w:ind w:right="737"/>
              <w:jc w:val="right"/>
            </w:pPr>
            <w:r>
              <w:t>718</w:t>
            </w:r>
          </w:p>
        </w:tc>
        <w:tc>
          <w:tcPr>
            <w:tcW w:w="2063" w:type="dxa"/>
          </w:tcPr>
          <w:p w:rsidR="00000000" w:rsidRDefault="00000000">
            <w:pPr>
              <w:pStyle w:val="BodyText"/>
              <w:spacing w:after="0" w:line="240" w:lineRule="auto"/>
              <w:ind w:right="680"/>
              <w:jc w:val="right"/>
            </w:pPr>
            <w:r>
              <w:t>1 115</w:t>
            </w:r>
          </w:p>
        </w:tc>
      </w:tr>
    </w:tbl>
    <w:p w:rsidR="00000000" w:rsidRDefault="00000000">
      <w:pPr>
        <w:pStyle w:val="BodyText"/>
        <w:spacing w:before="240"/>
        <w:jc w:val="center"/>
      </w:pPr>
      <w:r>
        <w:t>Данные Бюро по исследованиям (цифровые)</w:t>
      </w:r>
    </w:p>
    <w:tbl>
      <w:tblPr>
        <w:tblW w:w="0" w:type="auto"/>
        <w:jc w:val="center"/>
        <w:tblLayout w:type="fixed"/>
        <w:tblCellMar>
          <w:left w:w="57" w:type="dxa"/>
          <w:right w:w="57" w:type="dxa"/>
        </w:tblCellMar>
        <w:tblLook w:val="01E0" w:firstRow="1" w:lastRow="1" w:firstColumn="1" w:lastColumn="1" w:noHBand="0" w:noVBand="0"/>
      </w:tblPr>
      <w:tblGrid>
        <w:gridCol w:w="1440"/>
        <w:gridCol w:w="1461"/>
        <w:gridCol w:w="982"/>
        <w:gridCol w:w="996"/>
        <w:gridCol w:w="1109"/>
        <w:gridCol w:w="1126"/>
        <w:gridCol w:w="832"/>
        <w:gridCol w:w="843"/>
      </w:tblGrid>
      <w:tr w:rsidR="00000000">
        <w:tblPrEx>
          <w:tblCellMar>
            <w:top w:w="0" w:type="dxa"/>
            <w:bottom w:w="0" w:type="dxa"/>
          </w:tblCellMar>
        </w:tblPrEx>
        <w:trPr>
          <w:jc w:val="center"/>
        </w:trPr>
        <w:tc>
          <w:tcPr>
            <w:tcW w:w="2901" w:type="dxa"/>
            <w:gridSpan w:val="2"/>
          </w:tcPr>
          <w:p w:rsidR="00000000" w:rsidRDefault="00000000">
            <w:pPr>
              <w:pStyle w:val="-9"/>
            </w:pPr>
            <w:r>
              <w:t>Случаи, в которых отмечен прогресс</w:t>
            </w:r>
          </w:p>
        </w:tc>
        <w:tc>
          <w:tcPr>
            <w:tcW w:w="1978" w:type="dxa"/>
            <w:gridSpan w:val="2"/>
          </w:tcPr>
          <w:p w:rsidR="00000000" w:rsidRDefault="00000000">
            <w:pPr>
              <w:pStyle w:val="-9"/>
            </w:pPr>
            <w:r>
              <w:t xml:space="preserve">Исследованные </w:t>
            </w:r>
            <w:r>
              <w:br/>
              <w:t>случаи</w:t>
            </w:r>
          </w:p>
        </w:tc>
        <w:tc>
          <w:tcPr>
            <w:tcW w:w="2235" w:type="dxa"/>
            <w:gridSpan w:val="2"/>
          </w:tcPr>
          <w:p w:rsidR="00000000" w:rsidRDefault="00000000">
            <w:pPr>
              <w:pStyle w:val="-9"/>
            </w:pPr>
            <w:r>
              <w:t xml:space="preserve">Приостановленные </w:t>
            </w:r>
            <w:r>
              <w:br/>
              <w:t>случаи</w:t>
            </w:r>
          </w:p>
        </w:tc>
        <w:tc>
          <w:tcPr>
            <w:tcW w:w="1675" w:type="dxa"/>
            <w:gridSpan w:val="2"/>
          </w:tcPr>
          <w:p w:rsidR="00000000" w:rsidRDefault="00000000">
            <w:pPr>
              <w:pStyle w:val="-9"/>
            </w:pPr>
            <w:r>
              <w:t xml:space="preserve">Случаи </w:t>
            </w:r>
            <w:r>
              <w:br/>
              <w:t>кончины</w:t>
            </w:r>
          </w:p>
        </w:tc>
      </w:tr>
      <w:tr w:rsidR="00000000">
        <w:tblPrEx>
          <w:tblCellMar>
            <w:top w:w="0" w:type="dxa"/>
            <w:bottom w:w="0" w:type="dxa"/>
          </w:tblCellMar>
        </w:tblPrEx>
        <w:trPr>
          <w:jc w:val="center"/>
        </w:trPr>
        <w:tc>
          <w:tcPr>
            <w:tcW w:w="1440" w:type="dxa"/>
          </w:tcPr>
          <w:p w:rsidR="00000000" w:rsidRDefault="00000000">
            <w:pPr>
              <w:pStyle w:val="-9"/>
            </w:pPr>
            <w:r>
              <w:t>Мужчин</w:t>
            </w:r>
          </w:p>
        </w:tc>
        <w:tc>
          <w:tcPr>
            <w:tcW w:w="1461" w:type="dxa"/>
          </w:tcPr>
          <w:p w:rsidR="00000000" w:rsidRDefault="00000000">
            <w:pPr>
              <w:pStyle w:val="-9"/>
            </w:pPr>
            <w:r>
              <w:t>Женщин</w:t>
            </w:r>
          </w:p>
        </w:tc>
        <w:tc>
          <w:tcPr>
            <w:tcW w:w="982" w:type="dxa"/>
          </w:tcPr>
          <w:p w:rsidR="00000000" w:rsidRDefault="00000000">
            <w:pPr>
              <w:pStyle w:val="-9"/>
            </w:pPr>
            <w:r>
              <w:t>Мужчин</w:t>
            </w:r>
          </w:p>
        </w:tc>
        <w:tc>
          <w:tcPr>
            <w:tcW w:w="996" w:type="dxa"/>
          </w:tcPr>
          <w:p w:rsidR="00000000" w:rsidRDefault="00000000">
            <w:pPr>
              <w:pStyle w:val="-9"/>
            </w:pPr>
            <w:r>
              <w:t>Женщин</w:t>
            </w:r>
          </w:p>
        </w:tc>
        <w:tc>
          <w:tcPr>
            <w:tcW w:w="1109" w:type="dxa"/>
          </w:tcPr>
          <w:p w:rsidR="00000000" w:rsidRDefault="00000000">
            <w:pPr>
              <w:pStyle w:val="-9"/>
            </w:pPr>
            <w:r>
              <w:t>Мужчин</w:t>
            </w:r>
          </w:p>
        </w:tc>
        <w:tc>
          <w:tcPr>
            <w:tcW w:w="1126" w:type="dxa"/>
          </w:tcPr>
          <w:p w:rsidR="00000000" w:rsidRDefault="00000000">
            <w:pPr>
              <w:pStyle w:val="-9"/>
            </w:pPr>
            <w:r>
              <w:t>Женщин</w:t>
            </w:r>
          </w:p>
        </w:tc>
        <w:tc>
          <w:tcPr>
            <w:tcW w:w="832" w:type="dxa"/>
          </w:tcPr>
          <w:p w:rsidR="00000000" w:rsidRDefault="00000000">
            <w:pPr>
              <w:pStyle w:val="-9"/>
            </w:pPr>
            <w:r>
              <w:t>Мужчин</w:t>
            </w:r>
          </w:p>
        </w:tc>
        <w:tc>
          <w:tcPr>
            <w:tcW w:w="843" w:type="dxa"/>
          </w:tcPr>
          <w:p w:rsidR="00000000" w:rsidRDefault="00000000">
            <w:pPr>
              <w:pStyle w:val="-9"/>
            </w:pPr>
            <w:r>
              <w:t>Женщин</w:t>
            </w:r>
          </w:p>
        </w:tc>
      </w:tr>
      <w:tr w:rsidR="00000000">
        <w:tblPrEx>
          <w:tblCellMar>
            <w:top w:w="0" w:type="dxa"/>
            <w:bottom w:w="0" w:type="dxa"/>
          </w:tblCellMar>
        </w:tblPrEx>
        <w:trPr>
          <w:jc w:val="center"/>
        </w:trPr>
        <w:tc>
          <w:tcPr>
            <w:tcW w:w="1440" w:type="dxa"/>
          </w:tcPr>
          <w:p w:rsidR="00000000" w:rsidRDefault="00000000">
            <w:pPr>
              <w:pStyle w:val="BodyText"/>
              <w:spacing w:after="0" w:line="240" w:lineRule="auto"/>
              <w:jc w:val="center"/>
            </w:pPr>
            <w:r>
              <w:t>2</w:t>
            </w:r>
          </w:p>
        </w:tc>
        <w:tc>
          <w:tcPr>
            <w:tcW w:w="1461" w:type="dxa"/>
          </w:tcPr>
          <w:p w:rsidR="00000000" w:rsidRDefault="00000000">
            <w:pPr>
              <w:pStyle w:val="BodyText"/>
              <w:spacing w:after="0" w:line="240" w:lineRule="auto"/>
              <w:jc w:val="center"/>
            </w:pPr>
            <w:r>
              <w:t>23</w:t>
            </w:r>
          </w:p>
        </w:tc>
        <w:tc>
          <w:tcPr>
            <w:tcW w:w="982" w:type="dxa"/>
          </w:tcPr>
          <w:p w:rsidR="00000000" w:rsidRDefault="00000000">
            <w:pPr>
              <w:pStyle w:val="BodyText"/>
              <w:spacing w:after="0" w:line="240" w:lineRule="auto"/>
              <w:jc w:val="center"/>
            </w:pPr>
            <w:r>
              <w:t>12</w:t>
            </w:r>
          </w:p>
        </w:tc>
        <w:tc>
          <w:tcPr>
            <w:tcW w:w="996" w:type="dxa"/>
          </w:tcPr>
          <w:p w:rsidR="00000000" w:rsidRDefault="00000000">
            <w:pPr>
              <w:pStyle w:val="BodyText"/>
              <w:spacing w:after="0" w:line="240" w:lineRule="auto"/>
              <w:jc w:val="center"/>
            </w:pPr>
            <w:r>
              <w:t>23</w:t>
            </w:r>
          </w:p>
        </w:tc>
        <w:tc>
          <w:tcPr>
            <w:tcW w:w="1109" w:type="dxa"/>
          </w:tcPr>
          <w:p w:rsidR="00000000" w:rsidRDefault="00000000">
            <w:pPr>
              <w:pStyle w:val="BodyText"/>
              <w:spacing w:after="0" w:line="240" w:lineRule="auto"/>
              <w:jc w:val="center"/>
            </w:pPr>
            <w:r>
              <w:t>–</w:t>
            </w:r>
          </w:p>
        </w:tc>
        <w:tc>
          <w:tcPr>
            <w:tcW w:w="1126" w:type="dxa"/>
          </w:tcPr>
          <w:p w:rsidR="00000000" w:rsidRDefault="00000000">
            <w:pPr>
              <w:pStyle w:val="BodyText"/>
              <w:spacing w:after="0" w:line="240" w:lineRule="auto"/>
              <w:jc w:val="center"/>
            </w:pPr>
            <w:r>
              <w:t>2</w:t>
            </w:r>
          </w:p>
        </w:tc>
        <w:tc>
          <w:tcPr>
            <w:tcW w:w="832" w:type="dxa"/>
          </w:tcPr>
          <w:p w:rsidR="00000000" w:rsidRDefault="00000000">
            <w:pPr>
              <w:pStyle w:val="BodyText"/>
              <w:spacing w:after="0" w:line="240" w:lineRule="auto"/>
              <w:jc w:val="center"/>
            </w:pPr>
            <w:r>
              <w:t>7</w:t>
            </w:r>
          </w:p>
        </w:tc>
        <w:tc>
          <w:tcPr>
            <w:tcW w:w="843" w:type="dxa"/>
          </w:tcPr>
          <w:p w:rsidR="00000000" w:rsidRDefault="00000000">
            <w:pPr>
              <w:pStyle w:val="BodyText"/>
              <w:spacing w:after="0" w:line="240" w:lineRule="auto"/>
              <w:jc w:val="center"/>
            </w:pPr>
            <w:r>
              <w:t>2</w:t>
            </w:r>
          </w:p>
        </w:tc>
      </w:tr>
    </w:tbl>
    <w:p w:rsidR="00000000" w:rsidRDefault="00000000">
      <w:pPr>
        <w:pStyle w:val="BodyText"/>
        <w:spacing w:before="240"/>
        <w:jc w:val="center"/>
      </w:pPr>
      <w:r>
        <w:t>Смертные случаи</w:t>
      </w:r>
    </w:p>
    <w:tbl>
      <w:tblPr>
        <w:tblW w:w="0" w:type="auto"/>
        <w:jc w:val="center"/>
        <w:tblLayout w:type="fixed"/>
        <w:tblCellMar>
          <w:left w:w="28" w:type="dxa"/>
          <w:right w:w="28" w:type="dxa"/>
        </w:tblCellMar>
        <w:tblLook w:val="01E0" w:firstRow="1" w:lastRow="1" w:firstColumn="1" w:lastColumn="1" w:noHBand="0" w:noVBand="0"/>
      </w:tblPr>
      <w:tblGrid>
        <w:gridCol w:w="968"/>
        <w:gridCol w:w="708"/>
        <w:gridCol w:w="567"/>
        <w:gridCol w:w="709"/>
        <w:gridCol w:w="709"/>
        <w:gridCol w:w="567"/>
        <w:gridCol w:w="567"/>
        <w:gridCol w:w="709"/>
        <w:gridCol w:w="648"/>
        <w:gridCol w:w="565"/>
        <w:gridCol w:w="745"/>
        <w:gridCol w:w="735"/>
        <w:gridCol w:w="592"/>
      </w:tblGrid>
      <w:tr w:rsidR="00000000">
        <w:tblPrEx>
          <w:tblCellMar>
            <w:top w:w="0" w:type="dxa"/>
            <w:bottom w:w="0" w:type="dxa"/>
          </w:tblCellMar>
        </w:tblPrEx>
        <w:trPr>
          <w:cantSplit/>
          <w:jc w:val="center"/>
        </w:trPr>
        <w:tc>
          <w:tcPr>
            <w:tcW w:w="968" w:type="dxa"/>
            <w:vMerge w:val="restart"/>
          </w:tcPr>
          <w:p w:rsidR="00000000" w:rsidRDefault="00000000">
            <w:pPr>
              <w:pStyle w:val="BodyText"/>
              <w:spacing w:after="0" w:line="240" w:lineRule="auto"/>
              <w:jc w:val="left"/>
            </w:pPr>
          </w:p>
        </w:tc>
        <w:tc>
          <w:tcPr>
            <w:tcW w:w="1275" w:type="dxa"/>
            <w:gridSpan w:val="2"/>
          </w:tcPr>
          <w:p w:rsidR="00000000" w:rsidRDefault="00000000">
            <w:pPr>
              <w:pStyle w:val="-9"/>
            </w:pPr>
            <w:r>
              <w:t>Столица А</w:t>
            </w:r>
          </w:p>
        </w:tc>
        <w:tc>
          <w:tcPr>
            <w:tcW w:w="1418" w:type="dxa"/>
            <w:gridSpan w:val="2"/>
          </w:tcPr>
          <w:p w:rsidR="00000000" w:rsidRDefault="00000000">
            <w:pPr>
              <w:pStyle w:val="-9"/>
            </w:pPr>
            <w:r>
              <w:t>Столица В</w:t>
            </w:r>
          </w:p>
        </w:tc>
        <w:tc>
          <w:tcPr>
            <w:tcW w:w="1134" w:type="dxa"/>
            <w:gridSpan w:val="2"/>
          </w:tcPr>
          <w:p w:rsidR="00000000" w:rsidRDefault="00000000">
            <w:pPr>
              <w:pStyle w:val="-9"/>
            </w:pPr>
            <w:r>
              <w:t>Хаули</w:t>
            </w:r>
          </w:p>
        </w:tc>
        <w:tc>
          <w:tcPr>
            <w:tcW w:w="1357" w:type="dxa"/>
            <w:gridSpan w:val="2"/>
          </w:tcPr>
          <w:p w:rsidR="00000000" w:rsidRDefault="00000000">
            <w:pPr>
              <w:pStyle w:val="-9"/>
            </w:pPr>
            <w:r>
              <w:t>Аль-Фаруания</w:t>
            </w:r>
          </w:p>
        </w:tc>
        <w:tc>
          <w:tcPr>
            <w:tcW w:w="1310" w:type="dxa"/>
            <w:gridSpan w:val="2"/>
          </w:tcPr>
          <w:p w:rsidR="00000000" w:rsidRDefault="00000000">
            <w:pPr>
              <w:pStyle w:val="-9"/>
            </w:pPr>
            <w:r>
              <w:t>Аль-Джахра</w:t>
            </w:r>
          </w:p>
        </w:tc>
        <w:tc>
          <w:tcPr>
            <w:tcW w:w="1327" w:type="dxa"/>
            <w:gridSpan w:val="2"/>
          </w:tcPr>
          <w:p w:rsidR="00000000" w:rsidRDefault="00000000">
            <w:pPr>
              <w:pStyle w:val="-9"/>
            </w:pPr>
            <w:r>
              <w:t>Аль-Ахмади</w:t>
            </w:r>
          </w:p>
        </w:tc>
      </w:tr>
      <w:tr w:rsidR="00000000">
        <w:tblPrEx>
          <w:tblCellMar>
            <w:top w:w="0" w:type="dxa"/>
            <w:bottom w:w="0" w:type="dxa"/>
          </w:tblCellMar>
        </w:tblPrEx>
        <w:trPr>
          <w:cantSplit/>
          <w:jc w:val="center"/>
        </w:trPr>
        <w:tc>
          <w:tcPr>
            <w:tcW w:w="968" w:type="dxa"/>
            <w:vMerge/>
          </w:tcPr>
          <w:p w:rsidR="00000000" w:rsidRDefault="00000000">
            <w:pPr>
              <w:pStyle w:val="BodyText"/>
              <w:spacing w:after="0" w:line="240" w:lineRule="auto"/>
              <w:jc w:val="left"/>
            </w:pPr>
          </w:p>
        </w:tc>
        <w:tc>
          <w:tcPr>
            <w:tcW w:w="708" w:type="dxa"/>
          </w:tcPr>
          <w:p w:rsidR="00000000" w:rsidRDefault="00000000">
            <w:pPr>
              <w:pStyle w:val="-9"/>
            </w:pPr>
            <w:r>
              <w:t>М</w:t>
            </w:r>
          </w:p>
        </w:tc>
        <w:tc>
          <w:tcPr>
            <w:tcW w:w="567" w:type="dxa"/>
          </w:tcPr>
          <w:p w:rsidR="00000000" w:rsidRDefault="00000000">
            <w:pPr>
              <w:pStyle w:val="-9"/>
            </w:pPr>
            <w:r>
              <w:t>Ж</w:t>
            </w:r>
          </w:p>
        </w:tc>
        <w:tc>
          <w:tcPr>
            <w:tcW w:w="709" w:type="dxa"/>
          </w:tcPr>
          <w:p w:rsidR="00000000" w:rsidRDefault="00000000">
            <w:pPr>
              <w:pStyle w:val="-9"/>
              <w:ind w:left="113"/>
            </w:pPr>
            <w:r>
              <w:t>М</w:t>
            </w:r>
          </w:p>
        </w:tc>
        <w:tc>
          <w:tcPr>
            <w:tcW w:w="709" w:type="dxa"/>
          </w:tcPr>
          <w:p w:rsidR="00000000" w:rsidRDefault="00000000">
            <w:pPr>
              <w:pStyle w:val="-9"/>
              <w:ind w:right="57"/>
            </w:pPr>
            <w:r>
              <w:t>Ж</w:t>
            </w:r>
          </w:p>
        </w:tc>
        <w:tc>
          <w:tcPr>
            <w:tcW w:w="567" w:type="dxa"/>
          </w:tcPr>
          <w:p w:rsidR="00000000" w:rsidRDefault="00000000">
            <w:pPr>
              <w:pStyle w:val="-9"/>
            </w:pPr>
            <w:r>
              <w:t>М</w:t>
            </w:r>
          </w:p>
        </w:tc>
        <w:tc>
          <w:tcPr>
            <w:tcW w:w="567" w:type="dxa"/>
          </w:tcPr>
          <w:p w:rsidR="00000000" w:rsidRDefault="00000000">
            <w:pPr>
              <w:pStyle w:val="-9"/>
            </w:pPr>
            <w:r>
              <w:t>Ж</w:t>
            </w:r>
          </w:p>
        </w:tc>
        <w:tc>
          <w:tcPr>
            <w:tcW w:w="709" w:type="dxa"/>
          </w:tcPr>
          <w:p w:rsidR="00000000" w:rsidRDefault="00000000">
            <w:pPr>
              <w:pStyle w:val="-9"/>
            </w:pPr>
            <w:r>
              <w:t>М</w:t>
            </w:r>
          </w:p>
        </w:tc>
        <w:tc>
          <w:tcPr>
            <w:tcW w:w="648" w:type="dxa"/>
          </w:tcPr>
          <w:p w:rsidR="00000000" w:rsidRDefault="00000000">
            <w:pPr>
              <w:pStyle w:val="-9"/>
            </w:pPr>
            <w:r>
              <w:t>Ж</w:t>
            </w:r>
          </w:p>
        </w:tc>
        <w:tc>
          <w:tcPr>
            <w:tcW w:w="565" w:type="dxa"/>
          </w:tcPr>
          <w:p w:rsidR="00000000" w:rsidRDefault="00000000">
            <w:pPr>
              <w:pStyle w:val="-9"/>
            </w:pPr>
            <w:r>
              <w:t>М</w:t>
            </w:r>
          </w:p>
        </w:tc>
        <w:tc>
          <w:tcPr>
            <w:tcW w:w="745" w:type="dxa"/>
          </w:tcPr>
          <w:p w:rsidR="00000000" w:rsidRDefault="00000000">
            <w:pPr>
              <w:pStyle w:val="-9"/>
            </w:pPr>
            <w:r>
              <w:t>Ж</w:t>
            </w:r>
          </w:p>
        </w:tc>
        <w:tc>
          <w:tcPr>
            <w:tcW w:w="735" w:type="dxa"/>
          </w:tcPr>
          <w:p w:rsidR="00000000" w:rsidRDefault="00000000">
            <w:pPr>
              <w:pStyle w:val="-9"/>
            </w:pPr>
            <w:r>
              <w:t>М</w:t>
            </w:r>
          </w:p>
        </w:tc>
        <w:tc>
          <w:tcPr>
            <w:tcW w:w="592" w:type="dxa"/>
          </w:tcPr>
          <w:p w:rsidR="00000000" w:rsidRDefault="00000000">
            <w:pPr>
              <w:pStyle w:val="-9"/>
            </w:pPr>
            <w:r>
              <w:t>Ж</w:t>
            </w:r>
          </w:p>
        </w:tc>
      </w:tr>
      <w:tr w:rsidR="00000000">
        <w:tblPrEx>
          <w:tblCellMar>
            <w:top w:w="0" w:type="dxa"/>
            <w:bottom w:w="0" w:type="dxa"/>
          </w:tblCellMar>
        </w:tblPrEx>
        <w:trPr>
          <w:jc w:val="center"/>
        </w:trPr>
        <w:tc>
          <w:tcPr>
            <w:tcW w:w="968" w:type="dxa"/>
          </w:tcPr>
          <w:p w:rsidR="00000000" w:rsidRDefault="00000000">
            <w:pPr>
              <w:pStyle w:val="BodyText"/>
              <w:spacing w:after="0" w:line="240" w:lineRule="auto"/>
              <w:jc w:val="left"/>
            </w:pPr>
            <w:r>
              <w:t>Число</w:t>
            </w:r>
          </w:p>
        </w:tc>
        <w:tc>
          <w:tcPr>
            <w:tcW w:w="708" w:type="dxa"/>
          </w:tcPr>
          <w:p w:rsidR="00000000" w:rsidRDefault="00000000">
            <w:pPr>
              <w:pStyle w:val="BodyText"/>
              <w:spacing w:after="0" w:line="240" w:lineRule="auto"/>
              <w:jc w:val="center"/>
            </w:pPr>
            <w:r>
              <w:t>1</w:t>
            </w:r>
          </w:p>
        </w:tc>
        <w:tc>
          <w:tcPr>
            <w:tcW w:w="567" w:type="dxa"/>
          </w:tcPr>
          <w:p w:rsidR="00000000" w:rsidRDefault="00000000">
            <w:pPr>
              <w:pStyle w:val="BodyText"/>
              <w:spacing w:after="0" w:line="240" w:lineRule="auto"/>
              <w:jc w:val="center"/>
            </w:pPr>
            <w:r>
              <w:t>1</w:t>
            </w:r>
          </w:p>
        </w:tc>
        <w:tc>
          <w:tcPr>
            <w:tcW w:w="709" w:type="dxa"/>
          </w:tcPr>
          <w:p w:rsidR="00000000" w:rsidRDefault="00000000">
            <w:pPr>
              <w:pStyle w:val="BodyText"/>
              <w:spacing w:after="0" w:line="240" w:lineRule="auto"/>
              <w:ind w:left="113"/>
              <w:jc w:val="center"/>
            </w:pPr>
            <w:r>
              <w:t>–</w:t>
            </w:r>
          </w:p>
        </w:tc>
        <w:tc>
          <w:tcPr>
            <w:tcW w:w="709" w:type="dxa"/>
          </w:tcPr>
          <w:p w:rsidR="00000000" w:rsidRDefault="00000000">
            <w:pPr>
              <w:pStyle w:val="BodyText"/>
              <w:spacing w:after="0" w:line="240" w:lineRule="auto"/>
              <w:ind w:right="57"/>
              <w:jc w:val="center"/>
            </w:pPr>
            <w:r>
              <w:t>1</w:t>
            </w:r>
          </w:p>
        </w:tc>
        <w:tc>
          <w:tcPr>
            <w:tcW w:w="567" w:type="dxa"/>
          </w:tcPr>
          <w:p w:rsidR="00000000" w:rsidRDefault="00000000">
            <w:pPr>
              <w:pStyle w:val="BodyText"/>
              <w:spacing w:after="0" w:line="240" w:lineRule="auto"/>
              <w:jc w:val="center"/>
            </w:pPr>
            <w:r>
              <w:t>1</w:t>
            </w:r>
          </w:p>
        </w:tc>
        <w:tc>
          <w:tcPr>
            <w:tcW w:w="567" w:type="dxa"/>
          </w:tcPr>
          <w:p w:rsidR="00000000" w:rsidRDefault="00000000">
            <w:pPr>
              <w:pStyle w:val="BodyText"/>
              <w:spacing w:after="0" w:line="240" w:lineRule="auto"/>
              <w:jc w:val="center"/>
            </w:pPr>
            <w:r>
              <w:t>3</w:t>
            </w:r>
          </w:p>
        </w:tc>
        <w:tc>
          <w:tcPr>
            <w:tcW w:w="709" w:type="dxa"/>
          </w:tcPr>
          <w:p w:rsidR="00000000" w:rsidRDefault="00000000">
            <w:pPr>
              <w:pStyle w:val="BodyText"/>
              <w:spacing w:after="0" w:line="240" w:lineRule="auto"/>
              <w:jc w:val="center"/>
            </w:pPr>
            <w:r>
              <w:t>–</w:t>
            </w:r>
          </w:p>
        </w:tc>
        <w:tc>
          <w:tcPr>
            <w:tcW w:w="648" w:type="dxa"/>
          </w:tcPr>
          <w:p w:rsidR="00000000" w:rsidRDefault="00000000">
            <w:pPr>
              <w:pStyle w:val="BodyText"/>
              <w:spacing w:after="0" w:line="240" w:lineRule="auto"/>
              <w:jc w:val="center"/>
            </w:pPr>
            <w:r>
              <w:t>2</w:t>
            </w:r>
          </w:p>
        </w:tc>
        <w:tc>
          <w:tcPr>
            <w:tcW w:w="565" w:type="dxa"/>
          </w:tcPr>
          <w:p w:rsidR="00000000" w:rsidRDefault="00000000">
            <w:pPr>
              <w:pStyle w:val="BodyText"/>
              <w:spacing w:after="0" w:line="240" w:lineRule="auto"/>
              <w:jc w:val="center"/>
            </w:pPr>
            <w:r>
              <w:t>–</w:t>
            </w:r>
          </w:p>
        </w:tc>
        <w:tc>
          <w:tcPr>
            <w:tcW w:w="745" w:type="dxa"/>
          </w:tcPr>
          <w:p w:rsidR="00000000" w:rsidRDefault="00000000">
            <w:pPr>
              <w:pStyle w:val="BodyText"/>
              <w:spacing w:after="0" w:line="240" w:lineRule="auto"/>
              <w:jc w:val="center"/>
            </w:pPr>
            <w:r>
              <w:t>–</w:t>
            </w:r>
          </w:p>
        </w:tc>
        <w:tc>
          <w:tcPr>
            <w:tcW w:w="735" w:type="dxa"/>
          </w:tcPr>
          <w:p w:rsidR="00000000" w:rsidRDefault="00000000">
            <w:pPr>
              <w:pStyle w:val="BodyText"/>
              <w:spacing w:after="0" w:line="240" w:lineRule="auto"/>
              <w:jc w:val="center"/>
            </w:pPr>
            <w:r>
              <w:t>–</w:t>
            </w:r>
          </w:p>
        </w:tc>
        <w:tc>
          <w:tcPr>
            <w:tcW w:w="592" w:type="dxa"/>
          </w:tcPr>
          <w:p w:rsidR="00000000" w:rsidRDefault="00000000">
            <w:pPr>
              <w:pStyle w:val="BodyText"/>
              <w:spacing w:after="0" w:line="240" w:lineRule="auto"/>
              <w:jc w:val="center"/>
            </w:pPr>
            <w:r>
              <w:t>–</w:t>
            </w:r>
          </w:p>
        </w:tc>
      </w:tr>
      <w:tr w:rsidR="00000000">
        <w:tblPrEx>
          <w:tblCellMar>
            <w:top w:w="0" w:type="dxa"/>
            <w:bottom w:w="0" w:type="dxa"/>
          </w:tblCellMar>
        </w:tblPrEx>
        <w:trPr>
          <w:jc w:val="center"/>
        </w:trPr>
        <w:tc>
          <w:tcPr>
            <w:tcW w:w="968" w:type="dxa"/>
          </w:tcPr>
          <w:p w:rsidR="00000000" w:rsidRDefault="00000000">
            <w:pPr>
              <w:pStyle w:val="BodyText"/>
              <w:spacing w:after="0" w:line="240" w:lineRule="auto"/>
              <w:jc w:val="left"/>
            </w:pPr>
            <w:r>
              <w:t>Всего</w:t>
            </w:r>
          </w:p>
        </w:tc>
        <w:tc>
          <w:tcPr>
            <w:tcW w:w="1275" w:type="dxa"/>
            <w:gridSpan w:val="2"/>
          </w:tcPr>
          <w:p w:rsidR="00000000" w:rsidRDefault="00000000">
            <w:pPr>
              <w:pStyle w:val="BodyText"/>
              <w:spacing w:after="0" w:line="240" w:lineRule="auto"/>
              <w:jc w:val="center"/>
            </w:pPr>
            <w:r>
              <w:t>2</w:t>
            </w:r>
          </w:p>
        </w:tc>
        <w:tc>
          <w:tcPr>
            <w:tcW w:w="1418" w:type="dxa"/>
            <w:gridSpan w:val="2"/>
          </w:tcPr>
          <w:p w:rsidR="00000000" w:rsidRDefault="00000000">
            <w:pPr>
              <w:pStyle w:val="BodyText"/>
              <w:spacing w:after="0" w:line="240" w:lineRule="auto"/>
              <w:jc w:val="center"/>
            </w:pPr>
            <w:r>
              <w:t>1</w:t>
            </w:r>
          </w:p>
        </w:tc>
        <w:tc>
          <w:tcPr>
            <w:tcW w:w="1134" w:type="dxa"/>
            <w:gridSpan w:val="2"/>
          </w:tcPr>
          <w:p w:rsidR="00000000" w:rsidRDefault="00000000">
            <w:pPr>
              <w:pStyle w:val="BodyText"/>
              <w:spacing w:after="0" w:line="240" w:lineRule="auto"/>
              <w:jc w:val="center"/>
            </w:pPr>
            <w:r>
              <w:t>4</w:t>
            </w:r>
          </w:p>
        </w:tc>
        <w:tc>
          <w:tcPr>
            <w:tcW w:w="1357" w:type="dxa"/>
            <w:gridSpan w:val="2"/>
          </w:tcPr>
          <w:p w:rsidR="00000000" w:rsidRDefault="00000000">
            <w:pPr>
              <w:pStyle w:val="BodyText"/>
              <w:spacing w:after="0" w:line="240" w:lineRule="auto"/>
              <w:jc w:val="center"/>
            </w:pPr>
            <w:r>
              <w:t>2</w:t>
            </w:r>
          </w:p>
        </w:tc>
        <w:tc>
          <w:tcPr>
            <w:tcW w:w="1310" w:type="dxa"/>
            <w:gridSpan w:val="2"/>
          </w:tcPr>
          <w:p w:rsidR="00000000" w:rsidRDefault="00000000">
            <w:pPr>
              <w:pStyle w:val="BodyText"/>
              <w:spacing w:after="0" w:line="240" w:lineRule="auto"/>
              <w:jc w:val="center"/>
            </w:pPr>
            <w:r>
              <w:t>–</w:t>
            </w:r>
          </w:p>
        </w:tc>
        <w:tc>
          <w:tcPr>
            <w:tcW w:w="1327" w:type="dxa"/>
            <w:gridSpan w:val="2"/>
          </w:tcPr>
          <w:p w:rsidR="00000000" w:rsidRDefault="00000000">
            <w:pPr>
              <w:pStyle w:val="BodyText"/>
              <w:spacing w:after="0" w:line="240" w:lineRule="auto"/>
              <w:jc w:val="center"/>
            </w:pPr>
            <w:r>
              <w:t>–</w:t>
            </w:r>
          </w:p>
        </w:tc>
      </w:tr>
    </w:tbl>
    <w:p w:rsidR="00000000" w:rsidRDefault="00000000">
      <w:pPr>
        <w:pStyle w:val="BodyText"/>
      </w:pPr>
    </w:p>
    <w:p w:rsidR="00000000" w:rsidRDefault="00000000">
      <w:pPr>
        <w:pStyle w:val="BodyText"/>
        <w:spacing w:after="120"/>
        <w:jc w:val="center"/>
      </w:pPr>
      <w:r>
        <w:br w:type="page"/>
        <w:t xml:space="preserve">Статистические данные о пользователях услуг домов инвалидов Управления по попечению </w:t>
      </w:r>
      <w:r>
        <w:rPr>
          <w:lang w:val="en-US"/>
        </w:rPr>
        <w:br/>
      </w:r>
      <w:r>
        <w:t>об инвалидах за октябрь 2001 года (число бенефициаров)</w:t>
      </w:r>
    </w:p>
    <w:tbl>
      <w:tblPr>
        <w:tblW w:w="0" w:type="auto"/>
        <w:jc w:val="center"/>
        <w:tblLayout w:type="fixed"/>
        <w:tblCellMar>
          <w:left w:w="28" w:type="dxa"/>
          <w:right w:w="28" w:type="dxa"/>
        </w:tblCellMar>
        <w:tblLook w:val="01E0" w:firstRow="1" w:lastRow="1" w:firstColumn="1" w:lastColumn="1" w:noHBand="0" w:noVBand="0"/>
      </w:tblPr>
      <w:tblGrid>
        <w:gridCol w:w="2555"/>
        <w:gridCol w:w="619"/>
        <w:gridCol w:w="619"/>
        <w:gridCol w:w="619"/>
        <w:gridCol w:w="619"/>
        <w:gridCol w:w="619"/>
        <w:gridCol w:w="619"/>
        <w:gridCol w:w="619"/>
        <w:gridCol w:w="619"/>
        <w:gridCol w:w="1282"/>
      </w:tblGrid>
      <w:tr w:rsidR="00000000">
        <w:tblPrEx>
          <w:tblCellMar>
            <w:top w:w="0" w:type="dxa"/>
            <w:bottom w:w="0" w:type="dxa"/>
          </w:tblCellMar>
        </w:tblPrEx>
        <w:trPr>
          <w:cantSplit/>
          <w:jc w:val="center"/>
        </w:trPr>
        <w:tc>
          <w:tcPr>
            <w:tcW w:w="2555" w:type="dxa"/>
            <w:vMerge w:val="restart"/>
          </w:tcPr>
          <w:p w:rsidR="00000000" w:rsidRDefault="00000000">
            <w:pPr>
              <w:pStyle w:val="-9"/>
              <w:spacing w:line="200" w:lineRule="exact"/>
            </w:pPr>
            <w:r>
              <w:t>Название дома</w:t>
            </w:r>
          </w:p>
        </w:tc>
        <w:tc>
          <w:tcPr>
            <w:tcW w:w="1238" w:type="dxa"/>
            <w:gridSpan w:val="2"/>
          </w:tcPr>
          <w:p w:rsidR="00000000" w:rsidRDefault="00000000">
            <w:pPr>
              <w:pStyle w:val="-9"/>
              <w:spacing w:line="200" w:lineRule="exact"/>
            </w:pPr>
            <w:r>
              <w:t>Уход с постоянным проживанием</w:t>
            </w:r>
          </w:p>
        </w:tc>
        <w:tc>
          <w:tcPr>
            <w:tcW w:w="1238" w:type="dxa"/>
            <w:gridSpan w:val="2"/>
          </w:tcPr>
          <w:p w:rsidR="00000000" w:rsidRDefault="00000000">
            <w:pPr>
              <w:pStyle w:val="-9"/>
              <w:spacing w:line="200" w:lineRule="exact"/>
            </w:pPr>
            <w:r>
              <w:t xml:space="preserve">Дневной </w:t>
            </w:r>
            <w:r>
              <w:br/>
              <w:t>уход</w:t>
            </w:r>
          </w:p>
        </w:tc>
        <w:tc>
          <w:tcPr>
            <w:tcW w:w="1238" w:type="dxa"/>
            <w:gridSpan w:val="2"/>
          </w:tcPr>
          <w:p w:rsidR="00000000" w:rsidRDefault="00000000">
            <w:pPr>
              <w:pStyle w:val="-9"/>
              <w:spacing w:line="200" w:lineRule="exact"/>
            </w:pPr>
            <w:r>
              <w:t>Уход на</w:t>
            </w:r>
            <w:r>
              <w:br/>
              <w:t>дому</w:t>
            </w:r>
          </w:p>
        </w:tc>
        <w:tc>
          <w:tcPr>
            <w:tcW w:w="1238" w:type="dxa"/>
            <w:gridSpan w:val="2"/>
          </w:tcPr>
          <w:p w:rsidR="00000000" w:rsidRDefault="00000000">
            <w:pPr>
              <w:pStyle w:val="-9"/>
              <w:spacing w:line="200" w:lineRule="exact"/>
            </w:pPr>
            <w:r>
              <w:t>Дальнейший уход</w:t>
            </w:r>
          </w:p>
        </w:tc>
        <w:tc>
          <w:tcPr>
            <w:tcW w:w="1282" w:type="dxa"/>
            <w:vMerge w:val="restart"/>
          </w:tcPr>
          <w:p w:rsidR="00000000" w:rsidRDefault="00000000">
            <w:pPr>
              <w:pStyle w:val="-9"/>
              <w:spacing w:line="200" w:lineRule="exact"/>
            </w:pPr>
            <w:r>
              <w:t>Итого</w:t>
            </w:r>
          </w:p>
        </w:tc>
      </w:tr>
      <w:tr w:rsidR="00000000">
        <w:tblPrEx>
          <w:tblCellMar>
            <w:top w:w="0" w:type="dxa"/>
            <w:bottom w:w="0" w:type="dxa"/>
          </w:tblCellMar>
        </w:tblPrEx>
        <w:trPr>
          <w:cantSplit/>
          <w:jc w:val="center"/>
        </w:trPr>
        <w:tc>
          <w:tcPr>
            <w:tcW w:w="2555" w:type="dxa"/>
            <w:vMerge/>
          </w:tcPr>
          <w:p w:rsidR="00000000" w:rsidRDefault="00000000">
            <w:pPr>
              <w:pStyle w:val="-9"/>
              <w:spacing w:line="220" w:lineRule="exact"/>
            </w:pPr>
          </w:p>
        </w:tc>
        <w:tc>
          <w:tcPr>
            <w:tcW w:w="619" w:type="dxa"/>
          </w:tcPr>
          <w:p w:rsidR="00000000" w:rsidRDefault="00000000">
            <w:pPr>
              <w:pStyle w:val="-9"/>
              <w:spacing w:line="220" w:lineRule="exact"/>
            </w:pPr>
            <w:r>
              <w:t>М</w:t>
            </w:r>
          </w:p>
        </w:tc>
        <w:tc>
          <w:tcPr>
            <w:tcW w:w="619" w:type="dxa"/>
          </w:tcPr>
          <w:p w:rsidR="00000000" w:rsidRDefault="00000000">
            <w:pPr>
              <w:pStyle w:val="-9"/>
              <w:spacing w:line="220" w:lineRule="exact"/>
            </w:pPr>
            <w:r>
              <w:t>Ж</w:t>
            </w:r>
          </w:p>
        </w:tc>
        <w:tc>
          <w:tcPr>
            <w:tcW w:w="619" w:type="dxa"/>
          </w:tcPr>
          <w:p w:rsidR="00000000" w:rsidRDefault="00000000">
            <w:pPr>
              <w:pStyle w:val="-9"/>
              <w:spacing w:line="220" w:lineRule="exact"/>
            </w:pPr>
            <w:r>
              <w:t>М</w:t>
            </w:r>
          </w:p>
        </w:tc>
        <w:tc>
          <w:tcPr>
            <w:tcW w:w="619" w:type="dxa"/>
          </w:tcPr>
          <w:p w:rsidR="00000000" w:rsidRDefault="00000000">
            <w:pPr>
              <w:pStyle w:val="-9"/>
              <w:spacing w:line="220" w:lineRule="exact"/>
            </w:pPr>
            <w:r>
              <w:t>Ж</w:t>
            </w:r>
          </w:p>
        </w:tc>
        <w:tc>
          <w:tcPr>
            <w:tcW w:w="619" w:type="dxa"/>
          </w:tcPr>
          <w:p w:rsidR="00000000" w:rsidRDefault="00000000">
            <w:pPr>
              <w:pStyle w:val="-9"/>
              <w:spacing w:line="220" w:lineRule="exact"/>
            </w:pPr>
            <w:r>
              <w:t>М</w:t>
            </w:r>
          </w:p>
        </w:tc>
        <w:tc>
          <w:tcPr>
            <w:tcW w:w="619" w:type="dxa"/>
          </w:tcPr>
          <w:p w:rsidR="00000000" w:rsidRDefault="00000000">
            <w:pPr>
              <w:pStyle w:val="-9"/>
              <w:spacing w:line="220" w:lineRule="exact"/>
            </w:pPr>
            <w:r>
              <w:t>Ж</w:t>
            </w:r>
          </w:p>
        </w:tc>
        <w:tc>
          <w:tcPr>
            <w:tcW w:w="619" w:type="dxa"/>
          </w:tcPr>
          <w:p w:rsidR="00000000" w:rsidRDefault="00000000">
            <w:pPr>
              <w:pStyle w:val="-9"/>
              <w:spacing w:line="220" w:lineRule="exact"/>
            </w:pPr>
            <w:r>
              <w:t>М</w:t>
            </w:r>
          </w:p>
        </w:tc>
        <w:tc>
          <w:tcPr>
            <w:tcW w:w="619" w:type="dxa"/>
          </w:tcPr>
          <w:p w:rsidR="00000000" w:rsidRDefault="00000000">
            <w:pPr>
              <w:pStyle w:val="-9"/>
              <w:spacing w:line="220" w:lineRule="exact"/>
            </w:pPr>
            <w:r>
              <w:t>Ж</w:t>
            </w:r>
          </w:p>
        </w:tc>
        <w:tc>
          <w:tcPr>
            <w:tcW w:w="1282" w:type="dxa"/>
            <w:vMerge/>
          </w:tcPr>
          <w:p w:rsidR="00000000" w:rsidRDefault="00000000">
            <w:pPr>
              <w:pStyle w:val="BodyText"/>
              <w:spacing w:after="0" w:line="220" w:lineRule="exact"/>
              <w:jc w:val="left"/>
            </w:pPr>
          </w:p>
        </w:tc>
      </w:tr>
      <w:tr w:rsidR="00000000">
        <w:tblPrEx>
          <w:tblCellMar>
            <w:top w:w="0" w:type="dxa"/>
            <w:bottom w:w="0" w:type="dxa"/>
          </w:tblCellMar>
        </w:tblPrEx>
        <w:trPr>
          <w:jc w:val="center"/>
        </w:trPr>
        <w:tc>
          <w:tcPr>
            <w:tcW w:w="2555" w:type="dxa"/>
          </w:tcPr>
          <w:p w:rsidR="00000000" w:rsidRDefault="00000000">
            <w:pPr>
              <w:pStyle w:val="BodyText"/>
              <w:spacing w:after="0" w:line="220" w:lineRule="exact"/>
              <w:jc w:val="left"/>
            </w:pPr>
            <w:r>
              <w:t>Дом по уходу за престарелыми</w:t>
            </w:r>
          </w:p>
        </w:tc>
        <w:tc>
          <w:tcPr>
            <w:tcW w:w="619" w:type="dxa"/>
          </w:tcPr>
          <w:p w:rsidR="00000000" w:rsidRDefault="00000000">
            <w:pPr>
              <w:pStyle w:val="BodyText"/>
              <w:spacing w:after="0" w:line="220" w:lineRule="exact"/>
              <w:ind w:right="113"/>
              <w:jc w:val="right"/>
            </w:pPr>
            <w:r>
              <w:t>23</w:t>
            </w:r>
          </w:p>
        </w:tc>
        <w:tc>
          <w:tcPr>
            <w:tcW w:w="619" w:type="dxa"/>
          </w:tcPr>
          <w:p w:rsidR="00000000" w:rsidRDefault="00000000">
            <w:pPr>
              <w:pStyle w:val="BodyText"/>
              <w:spacing w:after="0" w:line="220" w:lineRule="exact"/>
              <w:ind w:right="113"/>
              <w:jc w:val="right"/>
            </w:pPr>
            <w:r>
              <w:t>39</w:t>
            </w:r>
          </w:p>
        </w:tc>
        <w:tc>
          <w:tcPr>
            <w:tcW w:w="619" w:type="dxa"/>
          </w:tcPr>
          <w:p w:rsidR="00000000" w:rsidRDefault="00000000">
            <w:pPr>
              <w:pStyle w:val="BodyText"/>
              <w:spacing w:after="0" w:line="220" w:lineRule="exact"/>
              <w:ind w:right="227"/>
              <w:jc w:val="right"/>
            </w:pPr>
            <w:r>
              <w:t>–</w:t>
            </w:r>
          </w:p>
        </w:tc>
        <w:tc>
          <w:tcPr>
            <w:tcW w:w="619" w:type="dxa"/>
          </w:tcPr>
          <w:p w:rsidR="00000000" w:rsidRDefault="00000000">
            <w:pPr>
              <w:pStyle w:val="BodyText"/>
              <w:spacing w:after="0" w:line="220" w:lineRule="exact"/>
              <w:ind w:right="227"/>
              <w:jc w:val="right"/>
            </w:pPr>
            <w:r>
              <w:t>–</w:t>
            </w:r>
          </w:p>
        </w:tc>
        <w:tc>
          <w:tcPr>
            <w:tcW w:w="619" w:type="dxa"/>
          </w:tcPr>
          <w:p w:rsidR="00000000" w:rsidRDefault="00000000">
            <w:pPr>
              <w:pStyle w:val="BodyText"/>
              <w:spacing w:after="0" w:line="220" w:lineRule="exact"/>
              <w:ind w:right="227"/>
              <w:jc w:val="right"/>
            </w:pPr>
            <w:r>
              <w:t>–</w:t>
            </w:r>
          </w:p>
        </w:tc>
        <w:tc>
          <w:tcPr>
            <w:tcW w:w="619" w:type="dxa"/>
          </w:tcPr>
          <w:p w:rsidR="00000000" w:rsidRDefault="00000000">
            <w:pPr>
              <w:pStyle w:val="BodyText"/>
              <w:spacing w:after="0" w:line="220" w:lineRule="exact"/>
              <w:ind w:right="227"/>
              <w:jc w:val="right"/>
            </w:pPr>
            <w:r>
              <w:t>–</w:t>
            </w:r>
          </w:p>
        </w:tc>
        <w:tc>
          <w:tcPr>
            <w:tcW w:w="619" w:type="dxa"/>
          </w:tcPr>
          <w:p w:rsidR="00000000" w:rsidRDefault="00000000">
            <w:pPr>
              <w:pStyle w:val="BodyText"/>
              <w:spacing w:after="0" w:line="220" w:lineRule="exact"/>
              <w:ind w:right="227"/>
              <w:jc w:val="right"/>
            </w:pPr>
            <w:r>
              <w:t>–</w:t>
            </w:r>
          </w:p>
        </w:tc>
        <w:tc>
          <w:tcPr>
            <w:tcW w:w="619" w:type="dxa"/>
          </w:tcPr>
          <w:p w:rsidR="00000000" w:rsidRDefault="00000000">
            <w:pPr>
              <w:pStyle w:val="BodyText"/>
              <w:spacing w:after="0" w:line="220" w:lineRule="exact"/>
              <w:ind w:right="227"/>
              <w:jc w:val="right"/>
            </w:pPr>
            <w:r>
              <w:t>–</w:t>
            </w:r>
          </w:p>
        </w:tc>
        <w:tc>
          <w:tcPr>
            <w:tcW w:w="1282" w:type="dxa"/>
          </w:tcPr>
          <w:p w:rsidR="00000000" w:rsidRDefault="00000000">
            <w:pPr>
              <w:pStyle w:val="BodyText"/>
              <w:spacing w:after="0" w:line="220" w:lineRule="exact"/>
              <w:jc w:val="left"/>
            </w:pPr>
            <w:r>
              <w:t xml:space="preserve">62 мужчины </w:t>
            </w:r>
            <w:r>
              <w:br/>
              <w:t>и женщины</w:t>
            </w:r>
          </w:p>
        </w:tc>
      </w:tr>
      <w:tr w:rsidR="00000000">
        <w:tblPrEx>
          <w:tblCellMar>
            <w:top w:w="0" w:type="dxa"/>
            <w:bottom w:w="0" w:type="dxa"/>
          </w:tblCellMar>
        </w:tblPrEx>
        <w:trPr>
          <w:jc w:val="center"/>
        </w:trPr>
        <w:tc>
          <w:tcPr>
            <w:tcW w:w="2555" w:type="dxa"/>
          </w:tcPr>
          <w:p w:rsidR="00000000" w:rsidRDefault="00000000">
            <w:pPr>
              <w:pStyle w:val="BodyText"/>
              <w:spacing w:after="0" w:line="220" w:lineRule="exact"/>
              <w:jc w:val="left"/>
            </w:pPr>
            <w:r>
              <w:t>Дом социальной реабилитации женщин и детей</w:t>
            </w:r>
          </w:p>
        </w:tc>
        <w:tc>
          <w:tcPr>
            <w:tcW w:w="619" w:type="dxa"/>
          </w:tcPr>
          <w:p w:rsidR="00000000" w:rsidRDefault="00000000">
            <w:pPr>
              <w:pStyle w:val="BodyText"/>
              <w:spacing w:after="0" w:line="220" w:lineRule="exact"/>
              <w:ind w:right="113"/>
              <w:jc w:val="right"/>
            </w:pPr>
            <w:r>
              <w:t>20</w:t>
            </w:r>
          </w:p>
        </w:tc>
        <w:tc>
          <w:tcPr>
            <w:tcW w:w="619" w:type="dxa"/>
          </w:tcPr>
          <w:p w:rsidR="00000000" w:rsidRDefault="00000000">
            <w:pPr>
              <w:pStyle w:val="BodyText"/>
              <w:spacing w:after="0" w:line="220" w:lineRule="exact"/>
              <w:ind w:right="113"/>
              <w:jc w:val="right"/>
            </w:pPr>
            <w:r>
              <w:t>135</w:t>
            </w:r>
          </w:p>
        </w:tc>
        <w:tc>
          <w:tcPr>
            <w:tcW w:w="619" w:type="dxa"/>
          </w:tcPr>
          <w:p w:rsidR="00000000" w:rsidRDefault="00000000">
            <w:pPr>
              <w:pStyle w:val="BodyText"/>
              <w:spacing w:after="0" w:line="220" w:lineRule="exact"/>
              <w:ind w:right="227"/>
              <w:jc w:val="right"/>
            </w:pPr>
            <w:r>
              <w:t>4</w:t>
            </w:r>
          </w:p>
        </w:tc>
        <w:tc>
          <w:tcPr>
            <w:tcW w:w="619" w:type="dxa"/>
          </w:tcPr>
          <w:p w:rsidR="00000000" w:rsidRDefault="00000000">
            <w:pPr>
              <w:pStyle w:val="BodyText"/>
              <w:spacing w:after="0" w:line="220" w:lineRule="exact"/>
              <w:ind w:right="227"/>
              <w:jc w:val="right"/>
            </w:pPr>
            <w:r>
              <w:t>2</w:t>
            </w:r>
          </w:p>
        </w:tc>
        <w:tc>
          <w:tcPr>
            <w:tcW w:w="619" w:type="dxa"/>
          </w:tcPr>
          <w:p w:rsidR="00000000" w:rsidRDefault="00000000">
            <w:pPr>
              <w:pStyle w:val="BodyText"/>
              <w:spacing w:after="0" w:line="220" w:lineRule="exact"/>
              <w:ind w:right="227"/>
              <w:jc w:val="right"/>
            </w:pPr>
            <w:r>
              <w:t>8</w:t>
            </w:r>
          </w:p>
        </w:tc>
        <w:tc>
          <w:tcPr>
            <w:tcW w:w="619" w:type="dxa"/>
          </w:tcPr>
          <w:p w:rsidR="00000000" w:rsidRDefault="00000000">
            <w:pPr>
              <w:pStyle w:val="BodyText"/>
              <w:spacing w:after="0" w:line="220" w:lineRule="exact"/>
              <w:ind w:right="227"/>
              <w:jc w:val="right"/>
            </w:pPr>
            <w:r>
              <w:t>6</w:t>
            </w:r>
          </w:p>
        </w:tc>
        <w:tc>
          <w:tcPr>
            <w:tcW w:w="619" w:type="dxa"/>
          </w:tcPr>
          <w:p w:rsidR="00000000" w:rsidRDefault="00000000">
            <w:pPr>
              <w:pStyle w:val="BodyText"/>
              <w:spacing w:after="0" w:line="220" w:lineRule="exact"/>
              <w:ind w:right="227"/>
              <w:jc w:val="right"/>
            </w:pPr>
            <w:r>
              <w:t>–</w:t>
            </w:r>
          </w:p>
        </w:tc>
        <w:tc>
          <w:tcPr>
            <w:tcW w:w="619" w:type="dxa"/>
          </w:tcPr>
          <w:p w:rsidR="00000000" w:rsidRDefault="00000000">
            <w:pPr>
              <w:pStyle w:val="BodyText"/>
              <w:spacing w:after="0" w:line="220" w:lineRule="exact"/>
              <w:ind w:right="227"/>
              <w:jc w:val="right"/>
            </w:pPr>
            <w:r>
              <w:t>–</w:t>
            </w:r>
          </w:p>
        </w:tc>
        <w:tc>
          <w:tcPr>
            <w:tcW w:w="1282" w:type="dxa"/>
          </w:tcPr>
          <w:p w:rsidR="00000000" w:rsidRDefault="00000000">
            <w:pPr>
              <w:pStyle w:val="BodyText"/>
              <w:spacing w:after="0" w:line="220" w:lineRule="exact"/>
              <w:jc w:val="left"/>
            </w:pPr>
            <w:r>
              <w:t xml:space="preserve">175 мужчин </w:t>
            </w:r>
            <w:r>
              <w:br/>
              <w:t>и женщин</w:t>
            </w:r>
          </w:p>
        </w:tc>
      </w:tr>
      <w:tr w:rsidR="00000000">
        <w:tblPrEx>
          <w:tblCellMar>
            <w:top w:w="0" w:type="dxa"/>
            <w:bottom w:w="0" w:type="dxa"/>
          </w:tblCellMar>
        </w:tblPrEx>
        <w:trPr>
          <w:jc w:val="center"/>
        </w:trPr>
        <w:tc>
          <w:tcPr>
            <w:tcW w:w="2555" w:type="dxa"/>
          </w:tcPr>
          <w:p w:rsidR="00000000" w:rsidRDefault="00000000">
            <w:pPr>
              <w:pStyle w:val="BodyText"/>
              <w:spacing w:after="0" w:line="220" w:lineRule="exact"/>
              <w:jc w:val="left"/>
            </w:pPr>
            <w:r>
              <w:t>Дом социальной реабилитации мужчин</w:t>
            </w:r>
          </w:p>
        </w:tc>
        <w:tc>
          <w:tcPr>
            <w:tcW w:w="619" w:type="dxa"/>
          </w:tcPr>
          <w:p w:rsidR="00000000" w:rsidRDefault="00000000">
            <w:pPr>
              <w:pStyle w:val="BodyText"/>
              <w:spacing w:after="0" w:line="220" w:lineRule="exact"/>
              <w:ind w:right="113"/>
              <w:jc w:val="right"/>
            </w:pPr>
            <w:r>
              <w:t>136</w:t>
            </w:r>
          </w:p>
        </w:tc>
        <w:tc>
          <w:tcPr>
            <w:tcW w:w="619" w:type="dxa"/>
          </w:tcPr>
          <w:p w:rsidR="00000000" w:rsidRDefault="00000000">
            <w:pPr>
              <w:pStyle w:val="BodyText"/>
              <w:spacing w:after="0" w:line="220" w:lineRule="exact"/>
              <w:ind w:right="113"/>
              <w:jc w:val="right"/>
            </w:pPr>
            <w:r>
              <w:t>–</w:t>
            </w:r>
          </w:p>
        </w:tc>
        <w:tc>
          <w:tcPr>
            <w:tcW w:w="619" w:type="dxa"/>
          </w:tcPr>
          <w:p w:rsidR="00000000" w:rsidRDefault="00000000">
            <w:pPr>
              <w:pStyle w:val="BodyText"/>
              <w:spacing w:after="0" w:line="220" w:lineRule="exact"/>
              <w:ind w:right="227"/>
              <w:jc w:val="right"/>
            </w:pPr>
            <w:r>
              <w:t>6</w:t>
            </w:r>
          </w:p>
        </w:tc>
        <w:tc>
          <w:tcPr>
            <w:tcW w:w="619" w:type="dxa"/>
          </w:tcPr>
          <w:p w:rsidR="00000000" w:rsidRDefault="00000000">
            <w:pPr>
              <w:pStyle w:val="BodyText"/>
              <w:spacing w:after="0" w:line="220" w:lineRule="exact"/>
              <w:ind w:right="227"/>
              <w:jc w:val="right"/>
            </w:pPr>
            <w:r>
              <w:t>–</w:t>
            </w:r>
          </w:p>
        </w:tc>
        <w:tc>
          <w:tcPr>
            <w:tcW w:w="619" w:type="dxa"/>
          </w:tcPr>
          <w:p w:rsidR="00000000" w:rsidRDefault="00000000">
            <w:pPr>
              <w:pStyle w:val="BodyText"/>
              <w:spacing w:after="0" w:line="220" w:lineRule="exact"/>
              <w:ind w:right="227"/>
              <w:jc w:val="right"/>
            </w:pPr>
            <w:r>
              <w:t>4</w:t>
            </w:r>
          </w:p>
        </w:tc>
        <w:tc>
          <w:tcPr>
            <w:tcW w:w="619" w:type="dxa"/>
          </w:tcPr>
          <w:p w:rsidR="00000000" w:rsidRDefault="00000000">
            <w:pPr>
              <w:pStyle w:val="BodyText"/>
              <w:spacing w:after="0" w:line="220" w:lineRule="exact"/>
              <w:ind w:right="227"/>
              <w:jc w:val="right"/>
            </w:pPr>
            <w:r>
              <w:t>–</w:t>
            </w:r>
          </w:p>
        </w:tc>
        <w:tc>
          <w:tcPr>
            <w:tcW w:w="619" w:type="dxa"/>
          </w:tcPr>
          <w:p w:rsidR="00000000" w:rsidRDefault="00000000">
            <w:pPr>
              <w:pStyle w:val="BodyText"/>
              <w:spacing w:after="0" w:line="220" w:lineRule="exact"/>
              <w:ind w:right="227"/>
              <w:jc w:val="right"/>
            </w:pPr>
            <w:r>
              <w:t>7</w:t>
            </w:r>
          </w:p>
        </w:tc>
        <w:tc>
          <w:tcPr>
            <w:tcW w:w="619" w:type="dxa"/>
          </w:tcPr>
          <w:p w:rsidR="00000000" w:rsidRDefault="00000000">
            <w:pPr>
              <w:pStyle w:val="BodyText"/>
              <w:spacing w:after="0" w:line="220" w:lineRule="exact"/>
              <w:ind w:right="227"/>
              <w:jc w:val="right"/>
            </w:pPr>
            <w:r>
              <w:t>–</w:t>
            </w:r>
          </w:p>
        </w:tc>
        <w:tc>
          <w:tcPr>
            <w:tcW w:w="1282" w:type="dxa"/>
          </w:tcPr>
          <w:p w:rsidR="00000000" w:rsidRDefault="00000000">
            <w:pPr>
              <w:pStyle w:val="BodyText"/>
              <w:spacing w:after="0" w:line="220" w:lineRule="exact"/>
              <w:jc w:val="left"/>
            </w:pPr>
            <w:r>
              <w:t>153 мужчины и женщины</w:t>
            </w:r>
          </w:p>
        </w:tc>
      </w:tr>
      <w:tr w:rsidR="00000000">
        <w:tblPrEx>
          <w:tblCellMar>
            <w:top w:w="0" w:type="dxa"/>
            <w:bottom w:w="0" w:type="dxa"/>
          </w:tblCellMar>
        </w:tblPrEx>
        <w:trPr>
          <w:jc w:val="center"/>
        </w:trPr>
        <w:tc>
          <w:tcPr>
            <w:tcW w:w="2555" w:type="dxa"/>
          </w:tcPr>
          <w:p w:rsidR="00000000" w:rsidRDefault="00000000">
            <w:pPr>
              <w:pStyle w:val="BodyText"/>
              <w:spacing w:after="0" w:line="220" w:lineRule="exact"/>
              <w:jc w:val="left"/>
            </w:pPr>
            <w:r>
              <w:t>Дом по уходу за женщинами и детьми-инвалидами</w:t>
            </w:r>
          </w:p>
        </w:tc>
        <w:tc>
          <w:tcPr>
            <w:tcW w:w="619" w:type="dxa"/>
          </w:tcPr>
          <w:p w:rsidR="00000000" w:rsidRDefault="00000000">
            <w:pPr>
              <w:pStyle w:val="BodyText"/>
              <w:spacing w:after="0" w:line="220" w:lineRule="exact"/>
              <w:ind w:right="113"/>
              <w:jc w:val="right"/>
            </w:pPr>
            <w:r>
              <w:t>37</w:t>
            </w:r>
          </w:p>
        </w:tc>
        <w:tc>
          <w:tcPr>
            <w:tcW w:w="619" w:type="dxa"/>
          </w:tcPr>
          <w:p w:rsidR="00000000" w:rsidRDefault="00000000">
            <w:pPr>
              <w:pStyle w:val="BodyText"/>
              <w:spacing w:after="0" w:line="220" w:lineRule="exact"/>
              <w:ind w:right="113"/>
              <w:jc w:val="right"/>
            </w:pPr>
            <w:r>
              <w:t>153</w:t>
            </w:r>
          </w:p>
        </w:tc>
        <w:tc>
          <w:tcPr>
            <w:tcW w:w="619" w:type="dxa"/>
          </w:tcPr>
          <w:p w:rsidR="00000000" w:rsidRDefault="00000000">
            <w:pPr>
              <w:pStyle w:val="BodyText"/>
              <w:spacing w:after="0" w:line="220" w:lineRule="exact"/>
              <w:ind w:right="227"/>
              <w:jc w:val="right"/>
            </w:pPr>
            <w:r>
              <w:t>4</w:t>
            </w:r>
          </w:p>
        </w:tc>
        <w:tc>
          <w:tcPr>
            <w:tcW w:w="619" w:type="dxa"/>
          </w:tcPr>
          <w:p w:rsidR="00000000" w:rsidRDefault="00000000">
            <w:pPr>
              <w:pStyle w:val="BodyText"/>
              <w:spacing w:after="0" w:line="220" w:lineRule="exact"/>
              <w:ind w:right="227"/>
              <w:jc w:val="right"/>
            </w:pPr>
            <w:r>
              <w:t>3</w:t>
            </w:r>
          </w:p>
        </w:tc>
        <w:tc>
          <w:tcPr>
            <w:tcW w:w="619" w:type="dxa"/>
          </w:tcPr>
          <w:p w:rsidR="00000000" w:rsidRDefault="00000000">
            <w:pPr>
              <w:pStyle w:val="BodyText"/>
              <w:spacing w:after="0" w:line="220" w:lineRule="exact"/>
              <w:ind w:right="227"/>
              <w:jc w:val="right"/>
            </w:pPr>
            <w:r>
              <w:t>21</w:t>
            </w:r>
          </w:p>
        </w:tc>
        <w:tc>
          <w:tcPr>
            <w:tcW w:w="619" w:type="dxa"/>
          </w:tcPr>
          <w:p w:rsidR="00000000" w:rsidRDefault="00000000">
            <w:pPr>
              <w:pStyle w:val="BodyText"/>
              <w:spacing w:after="0" w:line="220" w:lineRule="exact"/>
              <w:ind w:right="227"/>
              <w:jc w:val="right"/>
            </w:pPr>
            <w:r>
              <w:t>21</w:t>
            </w:r>
          </w:p>
        </w:tc>
        <w:tc>
          <w:tcPr>
            <w:tcW w:w="619" w:type="dxa"/>
          </w:tcPr>
          <w:p w:rsidR="00000000" w:rsidRDefault="00000000">
            <w:pPr>
              <w:pStyle w:val="BodyText"/>
              <w:spacing w:after="0" w:line="220" w:lineRule="exact"/>
              <w:ind w:right="227"/>
              <w:jc w:val="right"/>
            </w:pPr>
            <w:r>
              <w:t>–</w:t>
            </w:r>
          </w:p>
        </w:tc>
        <w:tc>
          <w:tcPr>
            <w:tcW w:w="619" w:type="dxa"/>
          </w:tcPr>
          <w:p w:rsidR="00000000" w:rsidRDefault="00000000">
            <w:pPr>
              <w:pStyle w:val="BodyText"/>
              <w:spacing w:after="0" w:line="220" w:lineRule="exact"/>
              <w:ind w:right="227"/>
              <w:jc w:val="right"/>
            </w:pPr>
            <w:r>
              <w:t>–</w:t>
            </w:r>
          </w:p>
        </w:tc>
        <w:tc>
          <w:tcPr>
            <w:tcW w:w="1282" w:type="dxa"/>
          </w:tcPr>
          <w:p w:rsidR="00000000" w:rsidRDefault="00000000">
            <w:pPr>
              <w:pStyle w:val="BodyText"/>
              <w:spacing w:after="0" w:line="220" w:lineRule="exact"/>
              <w:jc w:val="left"/>
            </w:pPr>
            <w:r>
              <w:t xml:space="preserve">239 мужчин </w:t>
            </w:r>
            <w:r>
              <w:br/>
              <w:t>и женщин</w:t>
            </w:r>
          </w:p>
        </w:tc>
      </w:tr>
      <w:tr w:rsidR="00000000">
        <w:tblPrEx>
          <w:tblCellMar>
            <w:top w:w="0" w:type="dxa"/>
            <w:bottom w:w="0" w:type="dxa"/>
          </w:tblCellMar>
        </w:tblPrEx>
        <w:trPr>
          <w:jc w:val="center"/>
        </w:trPr>
        <w:tc>
          <w:tcPr>
            <w:tcW w:w="2555" w:type="dxa"/>
          </w:tcPr>
          <w:p w:rsidR="00000000" w:rsidRDefault="00000000">
            <w:pPr>
              <w:pStyle w:val="BodyText"/>
              <w:spacing w:after="0" w:line="220" w:lineRule="exact"/>
              <w:jc w:val="left"/>
            </w:pPr>
            <w:r>
              <w:t>Дом по уходу за мужчинами-инвалидами</w:t>
            </w:r>
          </w:p>
        </w:tc>
        <w:tc>
          <w:tcPr>
            <w:tcW w:w="619" w:type="dxa"/>
          </w:tcPr>
          <w:p w:rsidR="00000000" w:rsidRDefault="00000000">
            <w:pPr>
              <w:pStyle w:val="BodyText"/>
              <w:spacing w:after="0" w:line="220" w:lineRule="exact"/>
              <w:ind w:right="113"/>
              <w:jc w:val="right"/>
            </w:pPr>
            <w:r>
              <w:t>111</w:t>
            </w:r>
          </w:p>
        </w:tc>
        <w:tc>
          <w:tcPr>
            <w:tcW w:w="619" w:type="dxa"/>
          </w:tcPr>
          <w:p w:rsidR="00000000" w:rsidRDefault="00000000">
            <w:pPr>
              <w:pStyle w:val="BodyText"/>
              <w:spacing w:after="0" w:line="220" w:lineRule="exact"/>
              <w:ind w:right="113"/>
              <w:jc w:val="right"/>
            </w:pPr>
            <w:r>
              <w:t>–</w:t>
            </w:r>
          </w:p>
        </w:tc>
        <w:tc>
          <w:tcPr>
            <w:tcW w:w="619" w:type="dxa"/>
          </w:tcPr>
          <w:p w:rsidR="00000000" w:rsidRDefault="00000000">
            <w:pPr>
              <w:pStyle w:val="BodyText"/>
              <w:spacing w:after="0" w:line="220" w:lineRule="exact"/>
              <w:ind w:right="227"/>
              <w:jc w:val="right"/>
            </w:pPr>
            <w:r>
              <w:t>4</w:t>
            </w:r>
          </w:p>
        </w:tc>
        <w:tc>
          <w:tcPr>
            <w:tcW w:w="619" w:type="dxa"/>
          </w:tcPr>
          <w:p w:rsidR="00000000" w:rsidRDefault="00000000">
            <w:pPr>
              <w:pStyle w:val="BodyText"/>
              <w:spacing w:after="0" w:line="220" w:lineRule="exact"/>
              <w:ind w:right="227"/>
              <w:jc w:val="right"/>
            </w:pPr>
            <w:r>
              <w:t>–</w:t>
            </w:r>
          </w:p>
        </w:tc>
        <w:tc>
          <w:tcPr>
            <w:tcW w:w="619" w:type="dxa"/>
          </w:tcPr>
          <w:p w:rsidR="00000000" w:rsidRDefault="00000000">
            <w:pPr>
              <w:pStyle w:val="BodyText"/>
              <w:spacing w:after="0" w:line="220" w:lineRule="exact"/>
              <w:ind w:right="227"/>
              <w:jc w:val="right"/>
            </w:pPr>
            <w:r>
              <w:t>9</w:t>
            </w:r>
          </w:p>
        </w:tc>
        <w:tc>
          <w:tcPr>
            <w:tcW w:w="619" w:type="dxa"/>
          </w:tcPr>
          <w:p w:rsidR="00000000" w:rsidRDefault="00000000">
            <w:pPr>
              <w:pStyle w:val="BodyText"/>
              <w:spacing w:after="0" w:line="220" w:lineRule="exact"/>
              <w:ind w:right="227"/>
              <w:jc w:val="right"/>
            </w:pPr>
            <w:r>
              <w:t>–</w:t>
            </w:r>
          </w:p>
        </w:tc>
        <w:tc>
          <w:tcPr>
            <w:tcW w:w="619" w:type="dxa"/>
          </w:tcPr>
          <w:p w:rsidR="00000000" w:rsidRDefault="00000000">
            <w:pPr>
              <w:pStyle w:val="BodyText"/>
              <w:spacing w:after="0" w:line="220" w:lineRule="exact"/>
              <w:ind w:right="227"/>
              <w:jc w:val="right"/>
            </w:pPr>
            <w:r>
              <w:t>–</w:t>
            </w:r>
          </w:p>
        </w:tc>
        <w:tc>
          <w:tcPr>
            <w:tcW w:w="619" w:type="dxa"/>
          </w:tcPr>
          <w:p w:rsidR="00000000" w:rsidRDefault="00000000">
            <w:pPr>
              <w:pStyle w:val="BodyText"/>
              <w:spacing w:after="0" w:line="220" w:lineRule="exact"/>
              <w:ind w:right="227"/>
              <w:jc w:val="right"/>
            </w:pPr>
            <w:r>
              <w:t>–</w:t>
            </w:r>
          </w:p>
        </w:tc>
        <w:tc>
          <w:tcPr>
            <w:tcW w:w="1282" w:type="dxa"/>
          </w:tcPr>
          <w:p w:rsidR="00000000" w:rsidRDefault="00000000">
            <w:pPr>
              <w:pStyle w:val="BodyText"/>
              <w:spacing w:after="0" w:line="220" w:lineRule="exact"/>
              <w:jc w:val="left"/>
            </w:pPr>
            <w:r>
              <w:t>124 мужчины</w:t>
            </w:r>
          </w:p>
        </w:tc>
      </w:tr>
      <w:tr w:rsidR="00000000">
        <w:tblPrEx>
          <w:tblCellMar>
            <w:top w:w="0" w:type="dxa"/>
            <w:bottom w:w="0" w:type="dxa"/>
          </w:tblCellMar>
        </w:tblPrEx>
        <w:trPr>
          <w:jc w:val="center"/>
        </w:trPr>
        <w:tc>
          <w:tcPr>
            <w:tcW w:w="2555" w:type="dxa"/>
          </w:tcPr>
          <w:p w:rsidR="00000000" w:rsidRDefault="00000000">
            <w:pPr>
              <w:pStyle w:val="BodyText"/>
              <w:spacing w:after="0" w:line="220" w:lineRule="exact"/>
              <w:jc w:val="left"/>
            </w:pPr>
            <w:r>
              <w:t>Центр дневного ухода</w:t>
            </w:r>
          </w:p>
        </w:tc>
        <w:tc>
          <w:tcPr>
            <w:tcW w:w="619" w:type="dxa"/>
          </w:tcPr>
          <w:p w:rsidR="00000000" w:rsidRDefault="00000000">
            <w:pPr>
              <w:pStyle w:val="BodyText"/>
              <w:spacing w:after="0" w:line="220" w:lineRule="exact"/>
              <w:ind w:right="113"/>
              <w:jc w:val="right"/>
            </w:pPr>
            <w:r>
              <w:t>–</w:t>
            </w:r>
          </w:p>
        </w:tc>
        <w:tc>
          <w:tcPr>
            <w:tcW w:w="619" w:type="dxa"/>
          </w:tcPr>
          <w:p w:rsidR="00000000" w:rsidRDefault="00000000">
            <w:pPr>
              <w:pStyle w:val="BodyText"/>
              <w:spacing w:after="0" w:line="220" w:lineRule="exact"/>
              <w:ind w:right="113"/>
              <w:jc w:val="right"/>
            </w:pPr>
            <w:r>
              <w:t>–</w:t>
            </w:r>
          </w:p>
        </w:tc>
        <w:tc>
          <w:tcPr>
            <w:tcW w:w="619" w:type="dxa"/>
          </w:tcPr>
          <w:p w:rsidR="00000000" w:rsidRDefault="00000000">
            <w:pPr>
              <w:pStyle w:val="BodyText"/>
              <w:spacing w:after="0" w:line="220" w:lineRule="exact"/>
              <w:ind w:right="227"/>
              <w:jc w:val="right"/>
            </w:pPr>
            <w:r>
              <w:t>63</w:t>
            </w:r>
          </w:p>
        </w:tc>
        <w:tc>
          <w:tcPr>
            <w:tcW w:w="619" w:type="dxa"/>
          </w:tcPr>
          <w:p w:rsidR="00000000" w:rsidRDefault="00000000">
            <w:pPr>
              <w:pStyle w:val="BodyText"/>
              <w:spacing w:after="0" w:line="220" w:lineRule="exact"/>
              <w:ind w:right="227"/>
              <w:jc w:val="right"/>
            </w:pPr>
            <w:r>
              <w:t>42</w:t>
            </w:r>
          </w:p>
        </w:tc>
        <w:tc>
          <w:tcPr>
            <w:tcW w:w="619" w:type="dxa"/>
          </w:tcPr>
          <w:p w:rsidR="00000000" w:rsidRDefault="00000000">
            <w:pPr>
              <w:pStyle w:val="BodyText"/>
              <w:spacing w:after="0" w:line="220" w:lineRule="exact"/>
              <w:ind w:right="227"/>
              <w:jc w:val="right"/>
            </w:pPr>
            <w:r>
              <w:t>–</w:t>
            </w:r>
          </w:p>
        </w:tc>
        <w:tc>
          <w:tcPr>
            <w:tcW w:w="619" w:type="dxa"/>
          </w:tcPr>
          <w:p w:rsidR="00000000" w:rsidRDefault="00000000">
            <w:pPr>
              <w:pStyle w:val="BodyText"/>
              <w:spacing w:after="0" w:line="220" w:lineRule="exact"/>
              <w:ind w:right="227"/>
              <w:jc w:val="right"/>
            </w:pPr>
            <w:r>
              <w:t>–</w:t>
            </w:r>
          </w:p>
        </w:tc>
        <w:tc>
          <w:tcPr>
            <w:tcW w:w="619" w:type="dxa"/>
          </w:tcPr>
          <w:p w:rsidR="00000000" w:rsidRDefault="00000000">
            <w:pPr>
              <w:pStyle w:val="BodyText"/>
              <w:spacing w:after="0" w:line="220" w:lineRule="exact"/>
              <w:ind w:right="227"/>
              <w:jc w:val="right"/>
            </w:pPr>
            <w:r>
              <w:t>–</w:t>
            </w:r>
          </w:p>
        </w:tc>
        <w:tc>
          <w:tcPr>
            <w:tcW w:w="619" w:type="dxa"/>
          </w:tcPr>
          <w:p w:rsidR="00000000" w:rsidRDefault="00000000">
            <w:pPr>
              <w:pStyle w:val="BodyText"/>
              <w:spacing w:after="0" w:line="220" w:lineRule="exact"/>
              <w:ind w:right="227"/>
              <w:jc w:val="right"/>
            </w:pPr>
            <w:r>
              <w:t>–</w:t>
            </w:r>
          </w:p>
        </w:tc>
        <w:tc>
          <w:tcPr>
            <w:tcW w:w="1282" w:type="dxa"/>
          </w:tcPr>
          <w:p w:rsidR="00000000" w:rsidRDefault="00000000">
            <w:pPr>
              <w:pStyle w:val="BodyText"/>
              <w:spacing w:after="0" w:line="220" w:lineRule="exact"/>
              <w:jc w:val="left"/>
            </w:pPr>
            <w:r>
              <w:t xml:space="preserve">105 мужчин </w:t>
            </w:r>
            <w:r>
              <w:br/>
              <w:t>и женщин</w:t>
            </w:r>
          </w:p>
        </w:tc>
      </w:tr>
      <w:tr w:rsidR="00000000">
        <w:tblPrEx>
          <w:tblCellMar>
            <w:top w:w="0" w:type="dxa"/>
            <w:bottom w:w="0" w:type="dxa"/>
          </w:tblCellMar>
        </w:tblPrEx>
        <w:trPr>
          <w:jc w:val="center"/>
        </w:trPr>
        <w:tc>
          <w:tcPr>
            <w:tcW w:w="2555" w:type="dxa"/>
          </w:tcPr>
          <w:p w:rsidR="00000000" w:rsidRDefault="00000000">
            <w:pPr>
              <w:pStyle w:val="BodyText"/>
              <w:spacing w:after="0" w:line="220" w:lineRule="exact"/>
              <w:jc w:val="left"/>
            </w:pPr>
            <w:r>
              <w:t>Всего</w:t>
            </w:r>
          </w:p>
        </w:tc>
        <w:tc>
          <w:tcPr>
            <w:tcW w:w="1238" w:type="dxa"/>
            <w:gridSpan w:val="2"/>
          </w:tcPr>
          <w:p w:rsidR="00000000" w:rsidRDefault="00000000">
            <w:pPr>
              <w:pStyle w:val="BodyText"/>
              <w:spacing w:after="0" w:line="220" w:lineRule="exact"/>
              <w:jc w:val="center"/>
            </w:pPr>
            <w:r>
              <w:t>654</w:t>
            </w:r>
          </w:p>
        </w:tc>
        <w:tc>
          <w:tcPr>
            <w:tcW w:w="1238" w:type="dxa"/>
            <w:gridSpan w:val="2"/>
          </w:tcPr>
          <w:p w:rsidR="00000000" w:rsidRDefault="00000000">
            <w:pPr>
              <w:pStyle w:val="BodyText"/>
              <w:spacing w:after="0" w:line="220" w:lineRule="exact"/>
              <w:jc w:val="center"/>
            </w:pPr>
            <w:r>
              <w:t>128</w:t>
            </w:r>
          </w:p>
        </w:tc>
        <w:tc>
          <w:tcPr>
            <w:tcW w:w="1238" w:type="dxa"/>
            <w:gridSpan w:val="2"/>
          </w:tcPr>
          <w:p w:rsidR="00000000" w:rsidRDefault="00000000">
            <w:pPr>
              <w:pStyle w:val="BodyText"/>
              <w:spacing w:after="0" w:line="220" w:lineRule="exact"/>
              <w:jc w:val="center"/>
            </w:pPr>
            <w:r>
              <w:t>69</w:t>
            </w:r>
          </w:p>
        </w:tc>
        <w:tc>
          <w:tcPr>
            <w:tcW w:w="1238" w:type="dxa"/>
            <w:gridSpan w:val="2"/>
          </w:tcPr>
          <w:p w:rsidR="00000000" w:rsidRDefault="00000000">
            <w:pPr>
              <w:pStyle w:val="BodyText"/>
              <w:spacing w:after="0" w:line="220" w:lineRule="exact"/>
              <w:jc w:val="center"/>
            </w:pPr>
            <w:r>
              <w:t>7</w:t>
            </w:r>
          </w:p>
        </w:tc>
        <w:tc>
          <w:tcPr>
            <w:tcW w:w="1282" w:type="dxa"/>
          </w:tcPr>
          <w:p w:rsidR="00000000" w:rsidRDefault="00000000">
            <w:pPr>
              <w:pStyle w:val="BodyText"/>
              <w:spacing w:after="0" w:line="220" w:lineRule="exact"/>
              <w:jc w:val="left"/>
            </w:pPr>
            <w:r>
              <w:t xml:space="preserve">858 мужчин </w:t>
            </w:r>
            <w:r>
              <w:br/>
              <w:t>и женщин</w:t>
            </w:r>
          </w:p>
        </w:tc>
      </w:tr>
    </w:tbl>
    <w:p w:rsidR="00000000" w:rsidRDefault="00000000">
      <w:pPr>
        <w:pStyle w:val="BodyText"/>
        <w:spacing w:before="160" w:after="120"/>
        <w:jc w:val="center"/>
      </w:pPr>
      <w:r>
        <w:t>Статистические данные о числе детей, пользующихся услугами Управления по воспитанию в патронатных семьях, и об организованных при нем домах попечения, на конец октября 2001 года</w:t>
      </w:r>
    </w:p>
    <w:tbl>
      <w:tblPr>
        <w:tblW w:w="0" w:type="auto"/>
        <w:jc w:val="center"/>
        <w:tblLayout w:type="fixed"/>
        <w:tblLook w:val="01E0" w:firstRow="1" w:lastRow="1" w:firstColumn="1" w:lastColumn="1" w:noHBand="0" w:noVBand="0"/>
      </w:tblPr>
      <w:tblGrid>
        <w:gridCol w:w="4937"/>
        <w:gridCol w:w="1417"/>
        <w:gridCol w:w="1260"/>
        <w:gridCol w:w="1175"/>
      </w:tblGrid>
      <w:tr w:rsidR="00000000">
        <w:tblPrEx>
          <w:tblCellMar>
            <w:top w:w="0" w:type="dxa"/>
            <w:bottom w:w="0" w:type="dxa"/>
          </w:tblCellMar>
        </w:tblPrEx>
        <w:trPr>
          <w:jc w:val="center"/>
        </w:trPr>
        <w:tc>
          <w:tcPr>
            <w:tcW w:w="4937" w:type="dxa"/>
          </w:tcPr>
          <w:p w:rsidR="00000000" w:rsidRDefault="00000000">
            <w:pPr>
              <w:pStyle w:val="BodyText"/>
              <w:spacing w:after="0"/>
              <w:jc w:val="center"/>
            </w:pPr>
            <w:r>
              <w:t>Тип дома</w:t>
            </w:r>
          </w:p>
        </w:tc>
        <w:tc>
          <w:tcPr>
            <w:tcW w:w="1417" w:type="dxa"/>
          </w:tcPr>
          <w:p w:rsidR="00000000" w:rsidRDefault="00000000">
            <w:pPr>
              <w:pStyle w:val="BodyText"/>
              <w:spacing w:after="0"/>
              <w:jc w:val="center"/>
            </w:pPr>
            <w:r>
              <w:t>М</w:t>
            </w:r>
          </w:p>
        </w:tc>
        <w:tc>
          <w:tcPr>
            <w:tcW w:w="1260" w:type="dxa"/>
          </w:tcPr>
          <w:p w:rsidR="00000000" w:rsidRDefault="00000000">
            <w:pPr>
              <w:pStyle w:val="BodyText"/>
              <w:spacing w:after="0"/>
              <w:jc w:val="center"/>
            </w:pPr>
            <w:r>
              <w:t>Ж</w:t>
            </w:r>
          </w:p>
        </w:tc>
        <w:tc>
          <w:tcPr>
            <w:tcW w:w="1175" w:type="dxa"/>
          </w:tcPr>
          <w:p w:rsidR="00000000" w:rsidRDefault="00000000">
            <w:pPr>
              <w:pStyle w:val="BodyText"/>
              <w:spacing w:after="0"/>
              <w:jc w:val="center"/>
            </w:pPr>
            <w:r>
              <w:t>Итого</w:t>
            </w:r>
          </w:p>
        </w:tc>
      </w:tr>
      <w:tr w:rsidR="00000000">
        <w:tblPrEx>
          <w:tblCellMar>
            <w:top w:w="0" w:type="dxa"/>
            <w:bottom w:w="0" w:type="dxa"/>
          </w:tblCellMar>
        </w:tblPrEx>
        <w:trPr>
          <w:jc w:val="center"/>
        </w:trPr>
        <w:tc>
          <w:tcPr>
            <w:tcW w:w="4937" w:type="dxa"/>
          </w:tcPr>
          <w:p w:rsidR="00000000" w:rsidRDefault="00000000">
            <w:pPr>
              <w:pStyle w:val="BodyText"/>
              <w:spacing w:after="0"/>
            </w:pPr>
            <w:r>
              <w:t>Дом ребенка</w:t>
            </w:r>
          </w:p>
        </w:tc>
        <w:tc>
          <w:tcPr>
            <w:tcW w:w="1417" w:type="dxa"/>
          </w:tcPr>
          <w:p w:rsidR="00000000" w:rsidRDefault="00000000">
            <w:pPr>
              <w:pStyle w:val="BodyText"/>
              <w:spacing w:after="0"/>
              <w:ind w:right="454"/>
              <w:jc w:val="right"/>
            </w:pPr>
            <w:r>
              <w:t>31</w:t>
            </w:r>
          </w:p>
        </w:tc>
        <w:tc>
          <w:tcPr>
            <w:tcW w:w="1260" w:type="dxa"/>
          </w:tcPr>
          <w:p w:rsidR="00000000" w:rsidRDefault="00000000">
            <w:pPr>
              <w:pStyle w:val="BodyText"/>
              <w:spacing w:after="0"/>
              <w:ind w:right="397"/>
              <w:jc w:val="right"/>
            </w:pPr>
            <w:r>
              <w:t>23</w:t>
            </w:r>
          </w:p>
        </w:tc>
        <w:tc>
          <w:tcPr>
            <w:tcW w:w="1175" w:type="dxa"/>
          </w:tcPr>
          <w:p w:rsidR="00000000" w:rsidRDefault="00000000">
            <w:pPr>
              <w:pStyle w:val="BodyText"/>
              <w:spacing w:after="0"/>
              <w:ind w:right="340"/>
              <w:jc w:val="right"/>
            </w:pPr>
            <w:r>
              <w:t>54</w:t>
            </w:r>
          </w:p>
        </w:tc>
      </w:tr>
      <w:tr w:rsidR="00000000">
        <w:tblPrEx>
          <w:tblCellMar>
            <w:top w:w="0" w:type="dxa"/>
            <w:bottom w:w="0" w:type="dxa"/>
          </w:tblCellMar>
        </w:tblPrEx>
        <w:trPr>
          <w:jc w:val="center"/>
        </w:trPr>
        <w:tc>
          <w:tcPr>
            <w:tcW w:w="4937" w:type="dxa"/>
          </w:tcPr>
          <w:p w:rsidR="00000000" w:rsidRDefault="00000000">
            <w:pPr>
              <w:pStyle w:val="BodyText"/>
              <w:spacing w:after="0"/>
            </w:pPr>
            <w:r>
              <w:t>Дом по уходу за малолетними девочками</w:t>
            </w:r>
          </w:p>
        </w:tc>
        <w:tc>
          <w:tcPr>
            <w:tcW w:w="1417" w:type="dxa"/>
          </w:tcPr>
          <w:p w:rsidR="00000000" w:rsidRDefault="00000000">
            <w:pPr>
              <w:pStyle w:val="BodyText"/>
              <w:spacing w:after="0"/>
              <w:ind w:right="454"/>
              <w:jc w:val="right"/>
            </w:pPr>
            <w:r>
              <w:t>–</w:t>
            </w:r>
          </w:p>
        </w:tc>
        <w:tc>
          <w:tcPr>
            <w:tcW w:w="1260" w:type="dxa"/>
          </w:tcPr>
          <w:p w:rsidR="00000000" w:rsidRDefault="00000000">
            <w:pPr>
              <w:pStyle w:val="BodyText"/>
              <w:spacing w:after="0"/>
              <w:ind w:right="397"/>
              <w:jc w:val="right"/>
            </w:pPr>
            <w:r>
              <w:t>34</w:t>
            </w:r>
          </w:p>
        </w:tc>
        <w:tc>
          <w:tcPr>
            <w:tcW w:w="1175" w:type="dxa"/>
          </w:tcPr>
          <w:p w:rsidR="00000000" w:rsidRDefault="00000000">
            <w:pPr>
              <w:pStyle w:val="BodyText"/>
              <w:spacing w:after="0"/>
              <w:ind w:right="340"/>
              <w:jc w:val="right"/>
            </w:pPr>
            <w:r>
              <w:t>34</w:t>
            </w:r>
          </w:p>
        </w:tc>
      </w:tr>
      <w:tr w:rsidR="00000000">
        <w:tblPrEx>
          <w:tblCellMar>
            <w:top w:w="0" w:type="dxa"/>
            <w:bottom w:w="0" w:type="dxa"/>
          </w:tblCellMar>
        </w:tblPrEx>
        <w:trPr>
          <w:jc w:val="center"/>
        </w:trPr>
        <w:tc>
          <w:tcPr>
            <w:tcW w:w="4937" w:type="dxa"/>
          </w:tcPr>
          <w:p w:rsidR="00000000" w:rsidRDefault="00000000">
            <w:pPr>
              <w:pStyle w:val="BodyText"/>
              <w:spacing w:after="0"/>
            </w:pPr>
            <w:r>
              <w:t>Дом гостиничного типа</w:t>
            </w:r>
          </w:p>
        </w:tc>
        <w:tc>
          <w:tcPr>
            <w:tcW w:w="1417" w:type="dxa"/>
          </w:tcPr>
          <w:p w:rsidR="00000000" w:rsidRDefault="00000000">
            <w:pPr>
              <w:pStyle w:val="BodyText"/>
              <w:spacing w:after="0"/>
              <w:ind w:right="454"/>
              <w:jc w:val="right"/>
            </w:pPr>
            <w:r>
              <w:t>77</w:t>
            </w:r>
          </w:p>
        </w:tc>
        <w:tc>
          <w:tcPr>
            <w:tcW w:w="1260" w:type="dxa"/>
          </w:tcPr>
          <w:p w:rsidR="00000000" w:rsidRDefault="00000000">
            <w:pPr>
              <w:pStyle w:val="BodyText"/>
              <w:spacing w:after="0"/>
              <w:ind w:right="397"/>
              <w:jc w:val="right"/>
            </w:pPr>
            <w:r>
              <w:t>9</w:t>
            </w:r>
          </w:p>
        </w:tc>
        <w:tc>
          <w:tcPr>
            <w:tcW w:w="1175" w:type="dxa"/>
          </w:tcPr>
          <w:p w:rsidR="00000000" w:rsidRDefault="00000000">
            <w:pPr>
              <w:pStyle w:val="BodyText"/>
              <w:spacing w:after="0"/>
              <w:ind w:right="340"/>
              <w:jc w:val="right"/>
            </w:pPr>
            <w:r>
              <w:t>86</w:t>
            </w:r>
          </w:p>
        </w:tc>
      </w:tr>
      <w:tr w:rsidR="00000000">
        <w:tblPrEx>
          <w:tblCellMar>
            <w:top w:w="0" w:type="dxa"/>
            <w:bottom w:w="0" w:type="dxa"/>
          </w:tblCellMar>
        </w:tblPrEx>
        <w:trPr>
          <w:jc w:val="center"/>
        </w:trPr>
        <w:tc>
          <w:tcPr>
            <w:tcW w:w="4937" w:type="dxa"/>
          </w:tcPr>
          <w:p w:rsidR="00000000" w:rsidRDefault="00000000">
            <w:pPr>
              <w:pStyle w:val="BodyText"/>
              <w:spacing w:after="0"/>
            </w:pPr>
            <w:r>
              <w:t>Дом воспитания в патронатной семье</w:t>
            </w:r>
          </w:p>
        </w:tc>
        <w:tc>
          <w:tcPr>
            <w:tcW w:w="1417" w:type="dxa"/>
          </w:tcPr>
          <w:p w:rsidR="00000000" w:rsidRDefault="00000000">
            <w:pPr>
              <w:pStyle w:val="BodyText"/>
              <w:spacing w:after="0"/>
              <w:ind w:right="454"/>
              <w:jc w:val="right"/>
            </w:pPr>
            <w:r>
              <w:t>200</w:t>
            </w:r>
          </w:p>
        </w:tc>
        <w:tc>
          <w:tcPr>
            <w:tcW w:w="1260" w:type="dxa"/>
          </w:tcPr>
          <w:p w:rsidR="00000000" w:rsidRDefault="00000000">
            <w:pPr>
              <w:pStyle w:val="BodyText"/>
              <w:spacing w:after="0"/>
              <w:ind w:right="397"/>
              <w:jc w:val="right"/>
            </w:pPr>
            <w:r>
              <w:t>292</w:t>
            </w:r>
          </w:p>
        </w:tc>
        <w:tc>
          <w:tcPr>
            <w:tcW w:w="1175" w:type="dxa"/>
          </w:tcPr>
          <w:p w:rsidR="00000000" w:rsidRDefault="00000000">
            <w:pPr>
              <w:pStyle w:val="BodyText"/>
              <w:spacing w:after="0"/>
              <w:ind w:right="340"/>
              <w:jc w:val="right"/>
            </w:pPr>
            <w:r>
              <w:t>492</w:t>
            </w:r>
          </w:p>
        </w:tc>
      </w:tr>
      <w:tr w:rsidR="00000000">
        <w:tblPrEx>
          <w:tblCellMar>
            <w:top w:w="0" w:type="dxa"/>
            <w:bottom w:w="0" w:type="dxa"/>
          </w:tblCellMar>
        </w:tblPrEx>
        <w:trPr>
          <w:jc w:val="center"/>
        </w:trPr>
        <w:tc>
          <w:tcPr>
            <w:tcW w:w="4937" w:type="dxa"/>
          </w:tcPr>
          <w:p w:rsidR="00000000" w:rsidRDefault="00000000">
            <w:pPr>
              <w:pStyle w:val="BodyText"/>
              <w:spacing w:after="0"/>
            </w:pPr>
            <w:r>
              <w:t>Всего</w:t>
            </w:r>
          </w:p>
        </w:tc>
        <w:tc>
          <w:tcPr>
            <w:tcW w:w="1417" w:type="dxa"/>
          </w:tcPr>
          <w:p w:rsidR="00000000" w:rsidRDefault="00000000">
            <w:pPr>
              <w:pStyle w:val="BodyText"/>
              <w:spacing w:after="0"/>
              <w:ind w:right="454"/>
              <w:jc w:val="right"/>
            </w:pPr>
            <w:r>
              <w:t>308</w:t>
            </w:r>
          </w:p>
        </w:tc>
        <w:tc>
          <w:tcPr>
            <w:tcW w:w="1260" w:type="dxa"/>
          </w:tcPr>
          <w:p w:rsidR="00000000" w:rsidRDefault="00000000">
            <w:pPr>
              <w:pStyle w:val="BodyText"/>
              <w:spacing w:after="0"/>
              <w:ind w:right="397"/>
              <w:jc w:val="right"/>
            </w:pPr>
            <w:r>
              <w:t>358</w:t>
            </w:r>
          </w:p>
        </w:tc>
        <w:tc>
          <w:tcPr>
            <w:tcW w:w="1175" w:type="dxa"/>
          </w:tcPr>
          <w:p w:rsidR="00000000" w:rsidRDefault="00000000">
            <w:pPr>
              <w:pStyle w:val="BodyText"/>
              <w:spacing w:after="0"/>
              <w:ind w:right="340"/>
              <w:jc w:val="right"/>
            </w:pPr>
            <w:r>
              <w:t>666</w:t>
            </w:r>
          </w:p>
        </w:tc>
      </w:tr>
    </w:tbl>
    <w:p w:rsidR="00000000" w:rsidRDefault="00000000">
      <w:pPr>
        <w:pStyle w:val="BodyText"/>
        <w:spacing w:before="120" w:after="120"/>
        <w:jc w:val="center"/>
      </w:pPr>
      <w:r>
        <w:t xml:space="preserve">Статистические данные о числе лиц, обучаемых в Центре профессиональной реабилитации </w:t>
      </w:r>
      <w:r>
        <w:br/>
        <w:t>за октябрь 2001 года</w:t>
      </w:r>
    </w:p>
    <w:tbl>
      <w:tblPr>
        <w:tblW w:w="0" w:type="auto"/>
        <w:tblInd w:w="2" w:type="dxa"/>
        <w:tblLayout w:type="fixed"/>
        <w:tblLook w:val="01E0" w:firstRow="1" w:lastRow="1" w:firstColumn="1" w:lastColumn="1" w:noHBand="0" w:noVBand="0"/>
      </w:tblPr>
      <w:tblGrid>
        <w:gridCol w:w="3269"/>
        <w:gridCol w:w="1418"/>
        <w:gridCol w:w="1134"/>
        <w:gridCol w:w="1192"/>
      </w:tblGrid>
      <w:tr w:rsidR="00000000">
        <w:tblPrEx>
          <w:tblCellMar>
            <w:top w:w="0" w:type="dxa"/>
            <w:bottom w:w="0" w:type="dxa"/>
          </w:tblCellMar>
        </w:tblPrEx>
        <w:tc>
          <w:tcPr>
            <w:tcW w:w="3269" w:type="dxa"/>
          </w:tcPr>
          <w:p w:rsidR="00000000" w:rsidRDefault="00000000">
            <w:pPr>
              <w:pStyle w:val="-9"/>
            </w:pPr>
            <w:r>
              <w:t>Показатели</w:t>
            </w:r>
          </w:p>
        </w:tc>
        <w:tc>
          <w:tcPr>
            <w:tcW w:w="1418" w:type="dxa"/>
          </w:tcPr>
          <w:p w:rsidR="00000000" w:rsidRDefault="00000000">
            <w:pPr>
              <w:pStyle w:val="-9"/>
            </w:pPr>
            <w:r>
              <w:t>М</w:t>
            </w:r>
          </w:p>
        </w:tc>
        <w:tc>
          <w:tcPr>
            <w:tcW w:w="1134" w:type="dxa"/>
          </w:tcPr>
          <w:p w:rsidR="00000000" w:rsidRDefault="00000000">
            <w:pPr>
              <w:pStyle w:val="-9"/>
            </w:pPr>
            <w:r>
              <w:t>Ж</w:t>
            </w:r>
          </w:p>
        </w:tc>
        <w:tc>
          <w:tcPr>
            <w:tcW w:w="1192" w:type="dxa"/>
          </w:tcPr>
          <w:p w:rsidR="00000000" w:rsidRDefault="00000000">
            <w:pPr>
              <w:pStyle w:val="-9"/>
            </w:pPr>
            <w:r>
              <w:t>Итого</w:t>
            </w:r>
          </w:p>
        </w:tc>
      </w:tr>
      <w:tr w:rsidR="00000000">
        <w:tblPrEx>
          <w:tblCellMar>
            <w:top w:w="0" w:type="dxa"/>
            <w:bottom w:w="0" w:type="dxa"/>
          </w:tblCellMar>
        </w:tblPrEx>
        <w:tc>
          <w:tcPr>
            <w:tcW w:w="3269" w:type="dxa"/>
          </w:tcPr>
          <w:p w:rsidR="00000000" w:rsidRDefault="00000000">
            <w:pPr>
              <w:pStyle w:val="BodyText"/>
              <w:spacing w:after="0" w:line="240" w:lineRule="auto"/>
              <w:jc w:val="left"/>
            </w:pPr>
            <w:r>
              <w:t>Обучено</w:t>
            </w:r>
          </w:p>
        </w:tc>
        <w:tc>
          <w:tcPr>
            <w:tcW w:w="1418" w:type="dxa"/>
          </w:tcPr>
          <w:p w:rsidR="00000000" w:rsidRDefault="00000000">
            <w:pPr>
              <w:pStyle w:val="BodyText"/>
              <w:spacing w:after="0" w:line="240" w:lineRule="auto"/>
              <w:ind w:right="454"/>
              <w:jc w:val="right"/>
            </w:pPr>
            <w:r>
              <w:t>139</w:t>
            </w:r>
          </w:p>
        </w:tc>
        <w:tc>
          <w:tcPr>
            <w:tcW w:w="1134" w:type="dxa"/>
          </w:tcPr>
          <w:p w:rsidR="00000000" w:rsidRDefault="00000000">
            <w:pPr>
              <w:pStyle w:val="BodyText"/>
              <w:spacing w:after="0" w:line="240" w:lineRule="auto"/>
              <w:ind w:right="340"/>
              <w:jc w:val="right"/>
            </w:pPr>
            <w:r>
              <w:t>79</w:t>
            </w:r>
          </w:p>
        </w:tc>
        <w:tc>
          <w:tcPr>
            <w:tcW w:w="1192" w:type="dxa"/>
          </w:tcPr>
          <w:p w:rsidR="00000000" w:rsidRDefault="00000000">
            <w:pPr>
              <w:pStyle w:val="BodyText"/>
              <w:spacing w:after="0" w:line="240" w:lineRule="auto"/>
              <w:ind w:right="340"/>
              <w:jc w:val="right"/>
            </w:pPr>
            <w:r>
              <w:t>208</w:t>
            </w:r>
          </w:p>
        </w:tc>
      </w:tr>
      <w:tr w:rsidR="00000000">
        <w:tblPrEx>
          <w:tblCellMar>
            <w:top w:w="0" w:type="dxa"/>
            <w:bottom w:w="0" w:type="dxa"/>
          </w:tblCellMar>
        </w:tblPrEx>
        <w:tc>
          <w:tcPr>
            <w:tcW w:w="3269" w:type="dxa"/>
          </w:tcPr>
          <w:p w:rsidR="00000000" w:rsidRDefault="00000000">
            <w:pPr>
              <w:pStyle w:val="BodyText"/>
              <w:spacing w:after="0" w:line="240" w:lineRule="auto"/>
              <w:jc w:val="left"/>
            </w:pPr>
            <w:r>
              <w:t>Новые учащиеся</w:t>
            </w:r>
          </w:p>
        </w:tc>
        <w:tc>
          <w:tcPr>
            <w:tcW w:w="1418" w:type="dxa"/>
          </w:tcPr>
          <w:p w:rsidR="00000000" w:rsidRDefault="00000000">
            <w:pPr>
              <w:pStyle w:val="BodyText"/>
              <w:spacing w:after="0" w:line="240" w:lineRule="auto"/>
              <w:ind w:right="454"/>
              <w:jc w:val="right"/>
            </w:pPr>
            <w:r>
              <w:t>–</w:t>
            </w:r>
          </w:p>
        </w:tc>
        <w:tc>
          <w:tcPr>
            <w:tcW w:w="1134" w:type="dxa"/>
          </w:tcPr>
          <w:p w:rsidR="00000000" w:rsidRDefault="00000000">
            <w:pPr>
              <w:pStyle w:val="BodyText"/>
              <w:spacing w:after="0" w:line="240" w:lineRule="auto"/>
              <w:ind w:right="340"/>
              <w:jc w:val="right"/>
            </w:pPr>
            <w:r>
              <w:t>–</w:t>
            </w:r>
          </w:p>
        </w:tc>
        <w:tc>
          <w:tcPr>
            <w:tcW w:w="1192" w:type="dxa"/>
          </w:tcPr>
          <w:p w:rsidR="00000000" w:rsidRDefault="00000000">
            <w:pPr>
              <w:pStyle w:val="BodyText"/>
              <w:spacing w:after="0" w:line="240" w:lineRule="auto"/>
              <w:ind w:right="340"/>
              <w:jc w:val="right"/>
            </w:pPr>
            <w:r>
              <w:t>–</w:t>
            </w:r>
          </w:p>
        </w:tc>
      </w:tr>
      <w:tr w:rsidR="00000000">
        <w:tblPrEx>
          <w:tblCellMar>
            <w:top w:w="0" w:type="dxa"/>
            <w:bottom w:w="0" w:type="dxa"/>
          </w:tblCellMar>
        </w:tblPrEx>
        <w:tc>
          <w:tcPr>
            <w:tcW w:w="3269" w:type="dxa"/>
          </w:tcPr>
          <w:p w:rsidR="00000000" w:rsidRDefault="00000000">
            <w:pPr>
              <w:pStyle w:val="BodyText"/>
              <w:spacing w:after="0" w:line="240" w:lineRule="auto"/>
              <w:jc w:val="left"/>
            </w:pPr>
            <w:r>
              <w:t>Итого</w:t>
            </w:r>
          </w:p>
        </w:tc>
        <w:tc>
          <w:tcPr>
            <w:tcW w:w="1418" w:type="dxa"/>
          </w:tcPr>
          <w:p w:rsidR="00000000" w:rsidRDefault="00000000">
            <w:pPr>
              <w:pStyle w:val="BodyText"/>
              <w:spacing w:after="0" w:line="240" w:lineRule="auto"/>
              <w:ind w:right="454"/>
              <w:jc w:val="right"/>
            </w:pPr>
            <w:r>
              <w:t>139</w:t>
            </w:r>
          </w:p>
        </w:tc>
        <w:tc>
          <w:tcPr>
            <w:tcW w:w="1134" w:type="dxa"/>
          </w:tcPr>
          <w:p w:rsidR="00000000" w:rsidRDefault="00000000">
            <w:pPr>
              <w:pStyle w:val="BodyText"/>
              <w:spacing w:after="0" w:line="240" w:lineRule="auto"/>
              <w:ind w:right="340"/>
              <w:jc w:val="right"/>
            </w:pPr>
            <w:r>
              <w:t>79</w:t>
            </w:r>
          </w:p>
        </w:tc>
        <w:tc>
          <w:tcPr>
            <w:tcW w:w="1192" w:type="dxa"/>
          </w:tcPr>
          <w:p w:rsidR="00000000" w:rsidRDefault="00000000">
            <w:pPr>
              <w:pStyle w:val="BodyText"/>
              <w:spacing w:after="0" w:line="240" w:lineRule="auto"/>
              <w:ind w:right="340"/>
              <w:jc w:val="right"/>
            </w:pPr>
            <w:r>
              <w:t>208</w:t>
            </w:r>
          </w:p>
        </w:tc>
      </w:tr>
    </w:tbl>
    <w:p w:rsidR="00000000" w:rsidRDefault="00000000">
      <w:pPr>
        <w:pStyle w:val="BodyText"/>
        <w:spacing w:before="160" w:after="160"/>
        <w:jc w:val="center"/>
      </w:pPr>
      <w:r>
        <w:t>Статистические данные о числе несовершеннолетних, находящихся на попечении Управления по попечению о несовершеннолетних, и в организованных при нем домах, на конец октября 2001 года</w:t>
      </w:r>
    </w:p>
    <w:tbl>
      <w:tblPr>
        <w:tblW w:w="0" w:type="auto"/>
        <w:jc w:val="center"/>
        <w:tblLayout w:type="fixed"/>
        <w:tblCellMar>
          <w:left w:w="57" w:type="dxa"/>
          <w:right w:w="57" w:type="dxa"/>
        </w:tblCellMar>
        <w:tblLook w:val="01E0" w:firstRow="1" w:lastRow="1" w:firstColumn="1" w:lastColumn="1" w:noHBand="0" w:noVBand="0"/>
      </w:tblPr>
      <w:tblGrid>
        <w:gridCol w:w="3261"/>
        <w:gridCol w:w="3213"/>
        <w:gridCol w:w="850"/>
        <w:gridCol w:w="851"/>
        <w:gridCol w:w="680"/>
      </w:tblGrid>
      <w:tr w:rsidR="00000000">
        <w:tblPrEx>
          <w:tblCellMar>
            <w:top w:w="0" w:type="dxa"/>
            <w:bottom w:w="0" w:type="dxa"/>
          </w:tblCellMar>
        </w:tblPrEx>
        <w:trPr>
          <w:jc w:val="center"/>
        </w:trPr>
        <w:tc>
          <w:tcPr>
            <w:tcW w:w="3261" w:type="dxa"/>
          </w:tcPr>
          <w:p w:rsidR="00000000" w:rsidRDefault="00000000">
            <w:pPr>
              <w:pStyle w:val="-9"/>
            </w:pPr>
            <w:r>
              <w:t xml:space="preserve">Категория лиц, находящихся </w:t>
            </w:r>
            <w:r>
              <w:br/>
              <w:t>на попечении</w:t>
            </w:r>
          </w:p>
        </w:tc>
        <w:tc>
          <w:tcPr>
            <w:tcW w:w="3213" w:type="dxa"/>
          </w:tcPr>
          <w:p w:rsidR="00000000" w:rsidRDefault="00000000">
            <w:pPr>
              <w:pStyle w:val="-9"/>
            </w:pPr>
            <w:r>
              <w:t>Учреждение</w:t>
            </w:r>
          </w:p>
        </w:tc>
        <w:tc>
          <w:tcPr>
            <w:tcW w:w="850" w:type="dxa"/>
          </w:tcPr>
          <w:p w:rsidR="00000000" w:rsidRDefault="00000000">
            <w:pPr>
              <w:pStyle w:val="-9"/>
            </w:pPr>
            <w:r>
              <w:t>Юношей</w:t>
            </w:r>
          </w:p>
        </w:tc>
        <w:tc>
          <w:tcPr>
            <w:tcW w:w="851" w:type="dxa"/>
          </w:tcPr>
          <w:p w:rsidR="00000000" w:rsidRDefault="00000000">
            <w:pPr>
              <w:pStyle w:val="-9"/>
            </w:pPr>
            <w:r>
              <w:t>Девушек</w:t>
            </w:r>
          </w:p>
        </w:tc>
        <w:tc>
          <w:tcPr>
            <w:tcW w:w="680" w:type="dxa"/>
          </w:tcPr>
          <w:p w:rsidR="00000000" w:rsidRDefault="00000000">
            <w:pPr>
              <w:pStyle w:val="-9"/>
            </w:pPr>
            <w:r>
              <w:t>Итого</w:t>
            </w:r>
          </w:p>
        </w:tc>
      </w:tr>
      <w:tr w:rsidR="00000000">
        <w:tblPrEx>
          <w:tblCellMar>
            <w:top w:w="0" w:type="dxa"/>
            <w:bottom w:w="0" w:type="dxa"/>
          </w:tblCellMar>
        </w:tblPrEx>
        <w:trPr>
          <w:jc w:val="center"/>
        </w:trPr>
        <w:tc>
          <w:tcPr>
            <w:tcW w:w="3261" w:type="dxa"/>
          </w:tcPr>
          <w:p w:rsidR="00000000" w:rsidRDefault="00000000">
            <w:pPr>
              <w:pStyle w:val="BodyText"/>
              <w:spacing w:after="0" w:line="240" w:lineRule="auto"/>
              <w:ind w:left="113"/>
              <w:jc w:val="left"/>
            </w:pPr>
            <w:r>
              <w:t xml:space="preserve">Несовершеннолетние, склонные </w:t>
            </w:r>
            <w:r>
              <w:br/>
              <w:t>к правонарушениям</w:t>
            </w:r>
          </w:p>
        </w:tc>
        <w:tc>
          <w:tcPr>
            <w:tcW w:w="3213" w:type="dxa"/>
          </w:tcPr>
          <w:p w:rsidR="00000000" w:rsidRDefault="00000000">
            <w:pPr>
              <w:pStyle w:val="BodyText"/>
              <w:spacing w:after="0" w:line="240" w:lineRule="auto"/>
              <w:ind w:left="113"/>
              <w:jc w:val="left"/>
            </w:pPr>
            <w:r>
              <w:t>Центры приема</w:t>
            </w:r>
          </w:p>
        </w:tc>
        <w:tc>
          <w:tcPr>
            <w:tcW w:w="850" w:type="dxa"/>
          </w:tcPr>
          <w:p w:rsidR="00000000" w:rsidRDefault="00000000">
            <w:pPr>
              <w:pStyle w:val="BodyText"/>
              <w:spacing w:after="0" w:line="240" w:lineRule="auto"/>
              <w:ind w:right="227"/>
              <w:jc w:val="right"/>
            </w:pPr>
            <w:r>
              <w:t>2</w:t>
            </w:r>
          </w:p>
        </w:tc>
        <w:tc>
          <w:tcPr>
            <w:tcW w:w="851" w:type="dxa"/>
          </w:tcPr>
          <w:p w:rsidR="00000000" w:rsidRDefault="00000000">
            <w:pPr>
              <w:pStyle w:val="BodyText"/>
              <w:spacing w:after="0" w:line="240" w:lineRule="auto"/>
              <w:ind w:right="227"/>
              <w:jc w:val="right"/>
            </w:pPr>
            <w:r>
              <w:t>1</w:t>
            </w:r>
          </w:p>
        </w:tc>
        <w:tc>
          <w:tcPr>
            <w:tcW w:w="680" w:type="dxa"/>
          </w:tcPr>
          <w:p w:rsidR="00000000" w:rsidRDefault="00000000">
            <w:pPr>
              <w:pStyle w:val="BodyText"/>
              <w:spacing w:after="0" w:line="240" w:lineRule="auto"/>
              <w:ind w:right="227"/>
              <w:jc w:val="right"/>
            </w:pPr>
            <w:r>
              <w:t>3</w:t>
            </w:r>
          </w:p>
        </w:tc>
      </w:tr>
      <w:tr w:rsidR="00000000">
        <w:tblPrEx>
          <w:tblCellMar>
            <w:top w:w="0" w:type="dxa"/>
            <w:bottom w:w="0" w:type="dxa"/>
          </w:tblCellMar>
        </w:tblPrEx>
        <w:trPr>
          <w:jc w:val="center"/>
        </w:trPr>
        <w:tc>
          <w:tcPr>
            <w:tcW w:w="3261" w:type="dxa"/>
          </w:tcPr>
          <w:p w:rsidR="00000000" w:rsidRDefault="00000000">
            <w:pPr>
              <w:pStyle w:val="BodyText"/>
              <w:spacing w:after="0" w:line="240" w:lineRule="auto"/>
              <w:ind w:left="113"/>
              <w:jc w:val="left"/>
            </w:pPr>
          </w:p>
        </w:tc>
        <w:tc>
          <w:tcPr>
            <w:tcW w:w="3213" w:type="dxa"/>
          </w:tcPr>
          <w:p w:rsidR="00000000" w:rsidRDefault="00000000">
            <w:pPr>
              <w:pStyle w:val="BodyText"/>
              <w:spacing w:after="0" w:line="240" w:lineRule="auto"/>
              <w:ind w:left="113"/>
              <w:jc w:val="left"/>
            </w:pPr>
            <w:r>
              <w:t>Общественное призрение</w:t>
            </w:r>
          </w:p>
        </w:tc>
        <w:tc>
          <w:tcPr>
            <w:tcW w:w="850" w:type="dxa"/>
          </w:tcPr>
          <w:p w:rsidR="00000000" w:rsidRDefault="00000000">
            <w:pPr>
              <w:pStyle w:val="BodyText"/>
              <w:spacing w:after="0" w:line="240" w:lineRule="auto"/>
              <w:ind w:right="227"/>
              <w:jc w:val="right"/>
            </w:pPr>
            <w:r>
              <w:t>5</w:t>
            </w:r>
          </w:p>
        </w:tc>
        <w:tc>
          <w:tcPr>
            <w:tcW w:w="851" w:type="dxa"/>
          </w:tcPr>
          <w:p w:rsidR="00000000" w:rsidRDefault="00000000">
            <w:pPr>
              <w:pStyle w:val="BodyText"/>
              <w:spacing w:after="0" w:line="240" w:lineRule="auto"/>
              <w:ind w:right="227"/>
              <w:jc w:val="right"/>
            </w:pPr>
            <w:r>
              <w:t>2</w:t>
            </w:r>
          </w:p>
        </w:tc>
        <w:tc>
          <w:tcPr>
            <w:tcW w:w="680" w:type="dxa"/>
          </w:tcPr>
          <w:p w:rsidR="00000000" w:rsidRDefault="00000000">
            <w:pPr>
              <w:pStyle w:val="BodyText"/>
              <w:spacing w:after="0" w:line="240" w:lineRule="auto"/>
              <w:ind w:right="227"/>
              <w:jc w:val="right"/>
            </w:pPr>
            <w:r>
              <w:t>7</w:t>
            </w:r>
          </w:p>
        </w:tc>
      </w:tr>
      <w:tr w:rsidR="00000000">
        <w:tblPrEx>
          <w:tblCellMar>
            <w:top w:w="0" w:type="dxa"/>
            <w:bottom w:w="0" w:type="dxa"/>
          </w:tblCellMar>
        </w:tblPrEx>
        <w:trPr>
          <w:jc w:val="center"/>
        </w:trPr>
        <w:tc>
          <w:tcPr>
            <w:tcW w:w="3261" w:type="dxa"/>
          </w:tcPr>
          <w:p w:rsidR="00000000" w:rsidRDefault="00000000">
            <w:pPr>
              <w:pStyle w:val="BodyText"/>
              <w:spacing w:after="0" w:line="240" w:lineRule="auto"/>
              <w:ind w:left="113"/>
              <w:jc w:val="left"/>
            </w:pPr>
            <w:r>
              <w:t>Задержанные несовершеннолетние</w:t>
            </w:r>
          </w:p>
        </w:tc>
        <w:tc>
          <w:tcPr>
            <w:tcW w:w="3213" w:type="dxa"/>
          </w:tcPr>
          <w:p w:rsidR="00000000" w:rsidRDefault="00000000">
            <w:pPr>
              <w:pStyle w:val="BodyText"/>
              <w:spacing w:after="0" w:line="240" w:lineRule="auto"/>
              <w:ind w:left="113"/>
              <w:jc w:val="left"/>
            </w:pPr>
            <w:r>
              <w:t>Надзор</w:t>
            </w:r>
          </w:p>
        </w:tc>
        <w:tc>
          <w:tcPr>
            <w:tcW w:w="850" w:type="dxa"/>
          </w:tcPr>
          <w:p w:rsidR="00000000" w:rsidRDefault="00000000">
            <w:pPr>
              <w:pStyle w:val="BodyText"/>
              <w:spacing w:after="0" w:line="240" w:lineRule="auto"/>
              <w:ind w:right="227"/>
              <w:jc w:val="right"/>
            </w:pPr>
            <w:r>
              <w:t>13</w:t>
            </w:r>
          </w:p>
        </w:tc>
        <w:tc>
          <w:tcPr>
            <w:tcW w:w="851" w:type="dxa"/>
          </w:tcPr>
          <w:p w:rsidR="00000000" w:rsidRDefault="00000000">
            <w:pPr>
              <w:pStyle w:val="BodyText"/>
              <w:spacing w:after="0" w:line="240" w:lineRule="auto"/>
              <w:ind w:right="227"/>
              <w:jc w:val="right"/>
            </w:pPr>
            <w:r>
              <w:t>-</w:t>
            </w:r>
          </w:p>
        </w:tc>
        <w:tc>
          <w:tcPr>
            <w:tcW w:w="680" w:type="dxa"/>
          </w:tcPr>
          <w:p w:rsidR="00000000" w:rsidRDefault="00000000">
            <w:pPr>
              <w:pStyle w:val="BodyText"/>
              <w:spacing w:after="0" w:line="240" w:lineRule="auto"/>
              <w:ind w:right="227"/>
              <w:jc w:val="right"/>
            </w:pPr>
            <w:r>
              <w:t>13</w:t>
            </w:r>
          </w:p>
        </w:tc>
      </w:tr>
      <w:tr w:rsidR="00000000">
        <w:tblPrEx>
          <w:tblCellMar>
            <w:top w:w="0" w:type="dxa"/>
            <w:bottom w:w="0" w:type="dxa"/>
          </w:tblCellMar>
        </w:tblPrEx>
        <w:trPr>
          <w:jc w:val="center"/>
        </w:trPr>
        <w:tc>
          <w:tcPr>
            <w:tcW w:w="3261" w:type="dxa"/>
          </w:tcPr>
          <w:p w:rsidR="00000000" w:rsidRDefault="00000000">
            <w:pPr>
              <w:pStyle w:val="BodyText"/>
              <w:spacing w:after="0" w:line="240" w:lineRule="auto"/>
              <w:ind w:left="113"/>
              <w:jc w:val="left"/>
            </w:pPr>
            <w:r>
              <w:t>Задержанные несовершеннолетние</w:t>
            </w:r>
          </w:p>
        </w:tc>
        <w:tc>
          <w:tcPr>
            <w:tcW w:w="3213" w:type="dxa"/>
          </w:tcPr>
          <w:p w:rsidR="00000000" w:rsidRDefault="00000000">
            <w:pPr>
              <w:pStyle w:val="BodyText"/>
              <w:spacing w:after="0" w:line="240" w:lineRule="auto"/>
              <w:ind w:left="113"/>
              <w:jc w:val="left"/>
            </w:pPr>
            <w:r>
              <w:t>Социальное попечение</w:t>
            </w:r>
          </w:p>
        </w:tc>
        <w:tc>
          <w:tcPr>
            <w:tcW w:w="850" w:type="dxa"/>
          </w:tcPr>
          <w:p w:rsidR="00000000" w:rsidRDefault="00000000">
            <w:pPr>
              <w:pStyle w:val="BodyText"/>
              <w:spacing w:after="0" w:line="240" w:lineRule="auto"/>
              <w:ind w:right="227"/>
              <w:jc w:val="right"/>
            </w:pPr>
            <w:r>
              <w:t>42</w:t>
            </w:r>
          </w:p>
        </w:tc>
        <w:tc>
          <w:tcPr>
            <w:tcW w:w="851" w:type="dxa"/>
          </w:tcPr>
          <w:p w:rsidR="00000000" w:rsidRDefault="00000000">
            <w:pPr>
              <w:pStyle w:val="BodyText"/>
              <w:spacing w:after="0" w:line="240" w:lineRule="auto"/>
              <w:ind w:right="227"/>
              <w:jc w:val="right"/>
            </w:pPr>
            <w:r>
              <w:t>6</w:t>
            </w:r>
          </w:p>
        </w:tc>
        <w:tc>
          <w:tcPr>
            <w:tcW w:w="680" w:type="dxa"/>
          </w:tcPr>
          <w:p w:rsidR="00000000" w:rsidRDefault="00000000">
            <w:pPr>
              <w:pStyle w:val="BodyText"/>
              <w:spacing w:after="0" w:line="240" w:lineRule="auto"/>
              <w:ind w:right="227"/>
              <w:jc w:val="right"/>
            </w:pPr>
            <w:r>
              <w:t>48</w:t>
            </w:r>
          </w:p>
        </w:tc>
      </w:tr>
      <w:tr w:rsidR="00000000">
        <w:tblPrEx>
          <w:tblCellMar>
            <w:top w:w="0" w:type="dxa"/>
            <w:bottom w:w="0" w:type="dxa"/>
          </w:tblCellMar>
        </w:tblPrEx>
        <w:trPr>
          <w:jc w:val="center"/>
        </w:trPr>
        <w:tc>
          <w:tcPr>
            <w:tcW w:w="3261" w:type="dxa"/>
          </w:tcPr>
          <w:p w:rsidR="00000000" w:rsidRDefault="00000000">
            <w:pPr>
              <w:pStyle w:val="BodyText"/>
              <w:spacing w:after="0" w:line="240" w:lineRule="auto"/>
              <w:ind w:left="113"/>
              <w:jc w:val="left"/>
            </w:pPr>
          </w:p>
        </w:tc>
        <w:tc>
          <w:tcPr>
            <w:tcW w:w="3213" w:type="dxa"/>
          </w:tcPr>
          <w:p w:rsidR="00000000" w:rsidRDefault="00000000">
            <w:pPr>
              <w:pStyle w:val="BodyText"/>
              <w:spacing w:after="0" w:line="240" w:lineRule="auto"/>
              <w:ind w:left="113"/>
              <w:jc w:val="left"/>
            </w:pPr>
            <w:r>
              <w:t>Социальное исправление</w:t>
            </w:r>
          </w:p>
        </w:tc>
        <w:tc>
          <w:tcPr>
            <w:tcW w:w="850" w:type="dxa"/>
          </w:tcPr>
          <w:p w:rsidR="00000000" w:rsidRDefault="00000000">
            <w:pPr>
              <w:pStyle w:val="BodyText"/>
              <w:spacing w:after="0" w:line="240" w:lineRule="auto"/>
              <w:ind w:right="227"/>
              <w:jc w:val="right"/>
            </w:pPr>
            <w:r>
              <w:t>18</w:t>
            </w:r>
          </w:p>
        </w:tc>
        <w:tc>
          <w:tcPr>
            <w:tcW w:w="851" w:type="dxa"/>
          </w:tcPr>
          <w:p w:rsidR="00000000" w:rsidRDefault="00000000">
            <w:pPr>
              <w:pStyle w:val="BodyText"/>
              <w:spacing w:after="0" w:line="240" w:lineRule="auto"/>
              <w:ind w:right="227"/>
              <w:jc w:val="right"/>
            </w:pPr>
            <w:r>
              <w:t>–</w:t>
            </w:r>
          </w:p>
        </w:tc>
        <w:tc>
          <w:tcPr>
            <w:tcW w:w="680" w:type="dxa"/>
          </w:tcPr>
          <w:p w:rsidR="00000000" w:rsidRDefault="00000000">
            <w:pPr>
              <w:pStyle w:val="BodyText"/>
              <w:spacing w:after="0" w:line="240" w:lineRule="auto"/>
              <w:ind w:right="227"/>
              <w:jc w:val="right"/>
            </w:pPr>
            <w:r>
              <w:t>18</w:t>
            </w:r>
          </w:p>
        </w:tc>
      </w:tr>
      <w:tr w:rsidR="00000000">
        <w:tblPrEx>
          <w:tblCellMar>
            <w:top w:w="0" w:type="dxa"/>
            <w:bottom w:w="0" w:type="dxa"/>
          </w:tblCellMar>
        </w:tblPrEx>
        <w:trPr>
          <w:jc w:val="center"/>
        </w:trPr>
        <w:tc>
          <w:tcPr>
            <w:tcW w:w="3261" w:type="dxa"/>
          </w:tcPr>
          <w:p w:rsidR="00000000" w:rsidRDefault="00000000">
            <w:pPr>
              <w:pStyle w:val="BodyText"/>
              <w:spacing w:after="0" w:line="240" w:lineRule="auto"/>
              <w:ind w:left="113"/>
              <w:jc w:val="left"/>
            </w:pPr>
          </w:p>
        </w:tc>
        <w:tc>
          <w:tcPr>
            <w:tcW w:w="3213" w:type="dxa"/>
          </w:tcPr>
          <w:p w:rsidR="00000000" w:rsidRDefault="00000000">
            <w:pPr>
              <w:pStyle w:val="BodyText"/>
              <w:spacing w:after="0" w:line="240" w:lineRule="auto"/>
              <w:ind w:left="113"/>
              <w:jc w:val="left"/>
            </w:pPr>
            <w:r>
              <w:t>Бюро по общественному наблюдению и контролю за осужденными условно</w:t>
            </w:r>
          </w:p>
        </w:tc>
        <w:tc>
          <w:tcPr>
            <w:tcW w:w="850" w:type="dxa"/>
          </w:tcPr>
          <w:p w:rsidR="00000000" w:rsidRDefault="00000000">
            <w:pPr>
              <w:pStyle w:val="BodyText"/>
              <w:spacing w:after="0" w:line="240" w:lineRule="auto"/>
              <w:ind w:right="227"/>
              <w:jc w:val="right"/>
            </w:pPr>
            <w:r>
              <w:t>266</w:t>
            </w:r>
          </w:p>
        </w:tc>
        <w:tc>
          <w:tcPr>
            <w:tcW w:w="851" w:type="dxa"/>
          </w:tcPr>
          <w:p w:rsidR="00000000" w:rsidRDefault="00000000">
            <w:pPr>
              <w:pStyle w:val="BodyText"/>
              <w:spacing w:after="0" w:line="240" w:lineRule="auto"/>
              <w:ind w:right="227"/>
              <w:jc w:val="right"/>
            </w:pPr>
            <w:r>
              <w:t>13</w:t>
            </w:r>
          </w:p>
        </w:tc>
        <w:tc>
          <w:tcPr>
            <w:tcW w:w="680" w:type="dxa"/>
          </w:tcPr>
          <w:p w:rsidR="00000000" w:rsidRDefault="00000000">
            <w:pPr>
              <w:pStyle w:val="BodyText"/>
              <w:spacing w:after="0" w:line="240" w:lineRule="auto"/>
              <w:ind w:right="227"/>
              <w:jc w:val="right"/>
            </w:pPr>
            <w:r>
              <w:t>279</w:t>
            </w:r>
          </w:p>
        </w:tc>
      </w:tr>
      <w:tr w:rsidR="00000000">
        <w:tblPrEx>
          <w:tblCellMar>
            <w:top w:w="0" w:type="dxa"/>
            <w:bottom w:w="0" w:type="dxa"/>
          </w:tblCellMar>
        </w:tblPrEx>
        <w:trPr>
          <w:jc w:val="center"/>
        </w:trPr>
        <w:tc>
          <w:tcPr>
            <w:tcW w:w="3261" w:type="dxa"/>
          </w:tcPr>
          <w:p w:rsidR="00000000" w:rsidRDefault="00000000">
            <w:pPr>
              <w:pStyle w:val="BodyText"/>
              <w:spacing w:after="0" w:line="240" w:lineRule="auto"/>
              <w:ind w:left="113"/>
              <w:jc w:val="left"/>
            </w:pPr>
            <w:r>
              <w:t>Общее число несовершеннолетних</w:t>
            </w:r>
          </w:p>
        </w:tc>
        <w:tc>
          <w:tcPr>
            <w:tcW w:w="3213" w:type="dxa"/>
          </w:tcPr>
          <w:p w:rsidR="00000000" w:rsidRDefault="00000000">
            <w:pPr>
              <w:pStyle w:val="BodyText"/>
              <w:spacing w:after="0" w:line="240" w:lineRule="auto"/>
              <w:jc w:val="left"/>
            </w:pPr>
          </w:p>
        </w:tc>
        <w:tc>
          <w:tcPr>
            <w:tcW w:w="850" w:type="dxa"/>
          </w:tcPr>
          <w:p w:rsidR="00000000" w:rsidRDefault="00000000">
            <w:pPr>
              <w:pStyle w:val="BodyText"/>
              <w:spacing w:after="0" w:line="240" w:lineRule="auto"/>
              <w:ind w:right="227"/>
              <w:jc w:val="right"/>
            </w:pPr>
            <w:r>
              <w:t>341</w:t>
            </w:r>
          </w:p>
        </w:tc>
        <w:tc>
          <w:tcPr>
            <w:tcW w:w="851" w:type="dxa"/>
          </w:tcPr>
          <w:p w:rsidR="00000000" w:rsidRDefault="00000000">
            <w:pPr>
              <w:pStyle w:val="BodyText"/>
              <w:spacing w:after="0" w:line="240" w:lineRule="auto"/>
              <w:ind w:right="227"/>
              <w:jc w:val="right"/>
            </w:pPr>
            <w:r>
              <w:t>22</w:t>
            </w:r>
          </w:p>
        </w:tc>
        <w:tc>
          <w:tcPr>
            <w:tcW w:w="680" w:type="dxa"/>
          </w:tcPr>
          <w:p w:rsidR="00000000" w:rsidRDefault="00000000">
            <w:pPr>
              <w:pStyle w:val="BodyText"/>
              <w:spacing w:after="0" w:line="240" w:lineRule="auto"/>
              <w:ind w:right="227"/>
              <w:jc w:val="right"/>
            </w:pPr>
            <w:r>
              <w:t>368</w:t>
            </w:r>
          </w:p>
        </w:tc>
      </w:tr>
    </w:tbl>
    <w:p w:rsidR="00000000" w:rsidRDefault="00000000">
      <w:pPr>
        <w:pStyle w:val="BodyText"/>
        <w:spacing w:before="240"/>
        <w:jc w:val="center"/>
      </w:pPr>
      <w:r>
        <w:t xml:space="preserve">Статистические данные о количестве обращений в Центр по принятию заблаговременных мер </w:t>
      </w:r>
      <w:r>
        <w:br/>
        <w:t>для выявления физических недостатков у детей, на конец октября 2001 года</w:t>
      </w:r>
    </w:p>
    <w:p w:rsidR="00000000" w:rsidRDefault="00000000">
      <w:pPr>
        <w:pStyle w:val="BodyText"/>
        <w:jc w:val="center"/>
      </w:pPr>
      <w:r>
        <w:t>Число принятых пациентов</w:t>
      </w:r>
    </w:p>
    <w:tbl>
      <w:tblPr>
        <w:tblW w:w="0" w:type="auto"/>
        <w:jc w:val="center"/>
        <w:tblLayout w:type="fixed"/>
        <w:tblLook w:val="01E0" w:firstRow="1" w:lastRow="1" w:firstColumn="1" w:lastColumn="1" w:noHBand="0" w:noVBand="0"/>
      </w:tblPr>
      <w:tblGrid>
        <w:gridCol w:w="3803"/>
        <w:gridCol w:w="850"/>
        <w:gridCol w:w="3260"/>
        <w:gridCol w:w="876"/>
      </w:tblGrid>
      <w:tr w:rsidR="00000000">
        <w:tblPrEx>
          <w:tblCellMar>
            <w:top w:w="0" w:type="dxa"/>
            <w:bottom w:w="0" w:type="dxa"/>
          </w:tblCellMar>
        </w:tblPrEx>
        <w:trPr>
          <w:jc w:val="center"/>
        </w:trPr>
        <w:tc>
          <w:tcPr>
            <w:tcW w:w="3803" w:type="dxa"/>
          </w:tcPr>
          <w:p w:rsidR="00000000" w:rsidRDefault="00000000">
            <w:pPr>
              <w:pStyle w:val="-9"/>
            </w:pPr>
            <w:r>
              <w:t>Направляющая инстанция</w:t>
            </w:r>
          </w:p>
        </w:tc>
        <w:tc>
          <w:tcPr>
            <w:tcW w:w="850" w:type="dxa"/>
          </w:tcPr>
          <w:p w:rsidR="00000000" w:rsidRDefault="00000000">
            <w:pPr>
              <w:pStyle w:val="-9"/>
            </w:pPr>
            <w:r>
              <w:t>Число</w:t>
            </w:r>
          </w:p>
        </w:tc>
        <w:tc>
          <w:tcPr>
            <w:tcW w:w="3260" w:type="dxa"/>
          </w:tcPr>
          <w:p w:rsidR="00000000" w:rsidRDefault="00000000">
            <w:pPr>
              <w:pStyle w:val="-9"/>
            </w:pPr>
            <w:r>
              <w:t>Направляющая инстанция</w:t>
            </w:r>
          </w:p>
        </w:tc>
        <w:tc>
          <w:tcPr>
            <w:tcW w:w="876" w:type="dxa"/>
          </w:tcPr>
          <w:p w:rsidR="00000000" w:rsidRDefault="00000000">
            <w:pPr>
              <w:pStyle w:val="-9"/>
            </w:pPr>
            <w:r>
              <w:t>Число</w:t>
            </w:r>
          </w:p>
        </w:tc>
      </w:tr>
      <w:tr w:rsidR="00000000">
        <w:tblPrEx>
          <w:tblCellMar>
            <w:top w:w="0" w:type="dxa"/>
            <w:bottom w:w="0" w:type="dxa"/>
          </w:tblCellMar>
        </w:tblPrEx>
        <w:trPr>
          <w:jc w:val="center"/>
        </w:trPr>
        <w:tc>
          <w:tcPr>
            <w:tcW w:w="3803" w:type="dxa"/>
          </w:tcPr>
          <w:p w:rsidR="00000000" w:rsidRDefault="00000000">
            <w:pPr>
              <w:pStyle w:val="BodyText"/>
              <w:spacing w:after="0" w:line="240" w:lineRule="auto"/>
              <w:jc w:val="left"/>
            </w:pPr>
            <w:r>
              <w:t>Центр наследственных заболеваний</w:t>
            </w:r>
          </w:p>
        </w:tc>
        <w:tc>
          <w:tcPr>
            <w:tcW w:w="850" w:type="dxa"/>
          </w:tcPr>
          <w:p w:rsidR="00000000" w:rsidRDefault="00000000">
            <w:pPr>
              <w:pStyle w:val="BodyText"/>
              <w:spacing w:after="0" w:line="240" w:lineRule="auto"/>
              <w:jc w:val="center"/>
            </w:pPr>
            <w:r>
              <w:t>5</w:t>
            </w:r>
          </w:p>
        </w:tc>
        <w:tc>
          <w:tcPr>
            <w:tcW w:w="3260" w:type="dxa"/>
          </w:tcPr>
          <w:p w:rsidR="00000000" w:rsidRDefault="00000000">
            <w:pPr>
              <w:pStyle w:val="BodyText"/>
              <w:spacing w:after="0" w:line="240" w:lineRule="auto"/>
              <w:jc w:val="left"/>
            </w:pPr>
            <w:r>
              <w:t>Высший совет по делам инвалидов</w:t>
            </w:r>
          </w:p>
        </w:tc>
        <w:tc>
          <w:tcPr>
            <w:tcW w:w="876" w:type="dxa"/>
          </w:tcPr>
          <w:p w:rsidR="00000000" w:rsidRDefault="00000000">
            <w:pPr>
              <w:pStyle w:val="BodyText"/>
              <w:spacing w:after="0" w:line="240" w:lineRule="auto"/>
              <w:jc w:val="center"/>
            </w:pPr>
            <w:r>
              <w:t>–</w:t>
            </w:r>
          </w:p>
        </w:tc>
      </w:tr>
      <w:tr w:rsidR="00000000">
        <w:tblPrEx>
          <w:tblCellMar>
            <w:top w:w="0" w:type="dxa"/>
            <w:bottom w:w="0" w:type="dxa"/>
          </w:tblCellMar>
        </w:tblPrEx>
        <w:trPr>
          <w:jc w:val="center"/>
        </w:trPr>
        <w:tc>
          <w:tcPr>
            <w:tcW w:w="3803" w:type="dxa"/>
          </w:tcPr>
          <w:p w:rsidR="00000000" w:rsidRDefault="00000000">
            <w:pPr>
              <w:pStyle w:val="BodyText"/>
              <w:spacing w:after="0" w:line="240" w:lineRule="auto"/>
              <w:jc w:val="left"/>
            </w:pPr>
            <w:r>
              <w:t>Подразделение эволюционной медицины</w:t>
            </w:r>
          </w:p>
        </w:tc>
        <w:tc>
          <w:tcPr>
            <w:tcW w:w="850" w:type="dxa"/>
          </w:tcPr>
          <w:p w:rsidR="00000000" w:rsidRDefault="00000000">
            <w:pPr>
              <w:pStyle w:val="BodyText"/>
              <w:spacing w:after="0" w:line="240" w:lineRule="auto"/>
              <w:jc w:val="center"/>
            </w:pPr>
            <w:r>
              <w:t>3</w:t>
            </w:r>
          </w:p>
        </w:tc>
        <w:tc>
          <w:tcPr>
            <w:tcW w:w="3260" w:type="dxa"/>
          </w:tcPr>
          <w:p w:rsidR="00000000" w:rsidRDefault="00000000">
            <w:pPr>
              <w:pStyle w:val="BodyText"/>
              <w:spacing w:after="0" w:line="240" w:lineRule="auto"/>
              <w:jc w:val="left"/>
            </w:pPr>
            <w:r>
              <w:t>Управление специальных школ</w:t>
            </w:r>
          </w:p>
        </w:tc>
        <w:tc>
          <w:tcPr>
            <w:tcW w:w="876" w:type="dxa"/>
          </w:tcPr>
          <w:p w:rsidR="00000000" w:rsidRDefault="00000000">
            <w:pPr>
              <w:pStyle w:val="BodyText"/>
              <w:spacing w:after="0" w:line="240" w:lineRule="auto"/>
              <w:jc w:val="center"/>
            </w:pPr>
            <w:r>
              <w:t>2</w:t>
            </w:r>
          </w:p>
        </w:tc>
      </w:tr>
      <w:tr w:rsidR="00000000">
        <w:tblPrEx>
          <w:tblCellMar>
            <w:top w:w="0" w:type="dxa"/>
            <w:bottom w:w="0" w:type="dxa"/>
          </w:tblCellMar>
        </w:tblPrEx>
        <w:trPr>
          <w:jc w:val="center"/>
        </w:trPr>
        <w:tc>
          <w:tcPr>
            <w:tcW w:w="3803" w:type="dxa"/>
          </w:tcPr>
          <w:p w:rsidR="00000000" w:rsidRDefault="00000000">
            <w:pPr>
              <w:pStyle w:val="BodyText"/>
              <w:spacing w:after="0" w:line="240" w:lineRule="auto"/>
              <w:jc w:val="left"/>
            </w:pPr>
            <w:r>
              <w:t>Клиника физиотерапии</w:t>
            </w:r>
          </w:p>
        </w:tc>
        <w:tc>
          <w:tcPr>
            <w:tcW w:w="850" w:type="dxa"/>
          </w:tcPr>
          <w:p w:rsidR="00000000" w:rsidRDefault="00000000">
            <w:pPr>
              <w:pStyle w:val="BodyText"/>
              <w:spacing w:after="0" w:line="240" w:lineRule="auto"/>
              <w:jc w:val="center"/>
            </w:pPr>
            <w:r>
              <w:t>2</w:t>
            </w:r>
          </w:p>
        </w:tc>
        <w:tc>
          <w:tcPr>
            <w:tcW w:w="3260" w:type="dxa"/>
          </w:tcPr>
          <w:p w:rsidR="00000000" w:rsidRDefault="00000000">
            <w:pPr>
              <w:pStyle w:val="BodyText"/>
              <w:spacing w:after="0" w:line="240" w:lineRule="auto"/>
              <w:jc w:val="left"/>
            </w:pPr>
            <w:r>
              <w:t>Семья</w:t>
            </w:r>
          </w:p>
        </w:tc>
        <w:tc>
          <w:tcPr>
            <w:tcW w:w="876" w:type="dxa"/>
          </w:tcPr>
          <w:p w:rsidR="00000000" w:rsidRDefault="00000000">
            <w:pPr>
              <w:pStyle w:val="BodyText"/>
              <w:spacing w:after="0" w:line="240" w:lineRule="auto"/>
              <w:jc w:val="center"/>
            </w:pPr>
            <w:r>
              <w:t>6</w:t>
            </w:r>
          </w:p>
        </w:tc>
      </w:tr>
    </w:tbl>
    <w:p w:rsidR="00000000" w:rsidRDefault="00000000">
      <w:pPr>
        <w:pStyle w:val="BodyText"/>
        <w:spacing w:before="240" w:after="0"/>
      </w:pPr>
      <w:r>
        <w:tab/>
        <w:t>–</w:t>
      </w:r>
      <w:r>
        <w:tab/>
        <w:t>В течение октября было принято 18 пациентов.</w:t>
      </w:r>
    </w:p>
    <w:p w:rsidR="00000000" w:rsidRDefault="00000000">
      <w:pPr>
        <w:pStyle w:val="BodyText"/>
        <w:spacing w:after="0"/>
      </w:pPr>
      <w:r>
        <w:tab/>
        <w:t>–</w:t>
      </w:r>
      <w:r>
        <w:tab/>
        <w:t>В октябре была приостановлена работа по 1 случаю.</w:t>
      </w:r>
    </w:p>
    <w:p w:rsidR="00000000" w:rsidRDefault="00000000">
      <w:pPr>
        <w:pStyle w:val="BodyText"/>
      </w:pPr>
      <w:r>
        <w:tab/>
        <w:t>–</w:t>
      </w:r>
      <w:r>
        <w:tab/>
        <w:t>На конец октября в Центре было 214 пациентов.</w:t>
      </w:r>
    </w:p>
    <w:p w:rsidR="00000000" w:rsidRDefault="00000000">
      <w:pPr>
        <w:pStyle w:val="BodyText"/>
        <w:spacing w:after="120"/>
        <w:jc w:val="center"/>
      </w:pPr>
      <w:r>
        <w:t>Число пациентов, пол, гражданство и характер инвалидности</w:t>
      </w:r>
    </w:p>
    <w:tbl>
      <w:tblPr>
        <w:tblW w:w="0" w:type="auto"/>
        <w:jc w:val="center"/>
        <w:tblLayout w:type="fixed"/>
        <w:tblCellMar>
          <w:left w:w="28" w:type="dxa"/>
          <w:right w:w="28" w:type="dxa"/>
        </w:tblCellMar>
        <w:tblLook w:val="01E0" w:firstRow="1" w:lastRow="1" w:firstColumn="1" w:lastColumn="1" w:noHBand="0" w:noVBand="0"/>
      </w:tblPr>
      <w:tblGrid>
        <w:gridCol w:w="1002"/>
        <w:gridCol w:w="372"/>
        <w:gridCol w:w="635"/>
        <w:gridCol w:w="636"/>
        <w:gridCol w:w="636"/>
        <w:gridCol w:w="636"/>
        <w:gridCol w:w="636"/>
        <w:gridCol w:w="636"/>
        <w:gridCol w:w="636"/>
        <w:gridCol w:w="846"/>
        <w:gridCol w:w="846"/>
        <w:gridCol w:w="636"/>
        <w:gridCol w:w="636"/>
      </w:tblGrid>
      <w:tr w:rsidR="00000000">
        <w:tblPrEx>
          <w:tblCellMar>
            <w:top w:w="0" w:type="dxa"/>
            <w:bottom w:w="0" w:type="dxa"/>
          </w:tblCellMar>
        </w:tblPrEx>
        <w:trPr>
          <w:cantSplit/>
          <w:trHeight w:val="2168"/>
          <w:jc w:val="center"/>
        </w:trPr>
        <w:tc>
          <w:tcPr>
            <w:tcW w:w="1374" w:type="dxa"/>
            <w:gridSpan w:val="2"/>
            <w:textDirection w:val="btLr"/>
            <w:vAlign w:val="center"/>
          </w:tcPr>
          <w:p w:rsidR="00000000" w:rsidRDefault="00000000">
            <w:pPr>
              <w:pStyle w:val="BodyText"/>
              <w:spacing w:after="0" w:line="240" w:lineRule="auto"/>
              <w:jc w:val="center"/>
              <w:rPr>
                <w:sz w:val="18"/>
              </w:rPr>
            </w:pPr>
            <w:r>
              <w:rPr>
                <w:sz w:val="18"/>
              </w:rPr>
              <w:t>Классификация случая</w:t>
            </w:r>
          </w:p>
        </w:tc>
        <w:tc>
          <w:tcPr>
            <w:tcW w:w="635" w:type="dxa"/>
            <w:textDirection w:val="btLr"/>
            <w:vAlign w:val="center"/>
          </w:tcPr>
          <w:p w:rsidR="00000000" w:rsidRDefault="00000000">
            <w:pPr>
              <w:pStyle w:val="BodyText"/>
              <w:spacing w:after="0" w:line="240" w:lineRule="auto"/>
              <w:jc w:val="center"/>
              <w:rPr>
                <w:sz w:val="18"/>
              </w:rPr>
            </w:pPr>
            <w:r>
              <w:rPr>
                <w:sz w:val="18"/>
              </w:rPr>
              <w:t>Отставание в умствен-ном развитии</w:t>
            </w:r>
          </w:p>
        </w:tc>
        <w:tc>
          <w:tcPr>
            <w:tcW w:w="636" w:type="dxa"/>
            <w:textDirection w:val="btLr"/>
            <w:vAlign w:val="center"/>
          </w:tcPr>
          <w:p w:rsidR="00000000" w:rsidRDefault="00000000">
            <w:pPr>
              <w:pStyle w:val="BodyText"/>
              <w:spacing w:after="0" w:line="240" w:lineRule="auto"/>
              <w:jc w:val="center"/>
              <w:rPr>
                <w:sz w:val="18"/>
              </w:rPr>
            </w:pPr>
            <w:r>
              <w:rPr>
                <w:sz w:val="18"/>
              </w:rPr>
              <w:t xml:space="preserve">Нарушение функций </w:t>
            </w:r>
            <w:r>
              <w:rPr>
                <w:sz w:val="18"/>
              </w:rPr>
              <w:br/>
              <w:t>мозга</w:t>
            </w:r>
          </w:p>
        </w:tc>
        <w:tc>
          <w:tcPr>
            <w:tcW w:w="636" w:type="dxa"/>
            <w:vAlign w:val="center"/>
          </w:tcPr>
          <w:p w:rsidR="00000000" w:rsidRDefault="00000000">
            <w:pPr>
              <w:pStyle w:val="BodyText"/>
              <w:spacing w:after="0" w:line="240" w:lineRule="auto"/>
              <w:jc w:val="center"/>
              <w:rPr>
                <w:b/>
                <w:color w:val="000000"/>
              </w:rPr>
            </w:pPr>
            <w:r>
              <w:rPr>
                <w:rFonts w:hint="cs"/>
              </w:rPr>
              <w:t>خلل</w:t>
            </w:r>
          </w:p>
          <w:p w:rsidR="00000000" w:rsidRDefault="00000000">
            <w:pPr>
              <w:pStyle w:val="BodyText"/>
              <w:spacing w:after="0" w:line="240" w:lineRule="auto"/>
              <w:jc w:val="center"/>
              <w:rPr>
                <w:sz w:val="18"/>
              </w:rPr>
            </w:pPr>
            <w:r>
              <w:rPr>
                <w:rFonts w:hint="cs"/>
              </w:rPr>
              <w:t>دماغي</w:t>
            </w:r>
          </w:p>
        </w:tc>
        <w:tc>
          <w:tcPr>
            <w:tcW w:w="636" w:type="dxa"/>
            <w:textDirection w:val="btLr"/>
            <w:vAlign w:val="center"/>
          </w:tcPr>
          <w:p w:rsidR="00000000" w:rsidRDefault="00000000">
            <w:pPr>
              <w:pStyle w:val="BodyText"/>
              <w:spacing w:after="0" w:line="240" w:lineRule="auto"/>
              <w:jc w:val="center"/>
              <w:rPr>
                <w:sz w:val="18"/>
              </w:rPr>
            </w:pPr>
            <w:r>
              <w:rPr>
                <w:sz w:val="18"/>
              </w:rPr>
              <w:t xml:space="preserve">Двигательные </w:t>
            </w:r>
            <w:r>
              <w:rPr>
                <w:sz w:val="18"/>
              </w:rPr>
              <w:br/>
              <w:t>нарушения</w:t>
            </w:r>
          </w:p>
        </w:tc>
        <w:tc>
          <w:tcPr>
            <w:tcW w:w="636" w:type="dxa"/>
            <w:textDirection w:val="btLr"/>
            <w:vAlign w:val="center"/>
          </w:tcPr>
          <w:p w:rsidR="00000000" w:rsidRDefault="00000000">
            <w:pPr>
              <w:pStyle w:val="BodyText"/>
              <w:spacing w:after="0" w:line="240" w:lineRule="auto"/>
              <w:jc w:val="center"/>
              <w:rPr>
                <w:sz w:val="18"/>
              </w:rPr>
            </w:pPr>
            <w:r>
              <w:rPr>
                <w:sz w:val="18"/>
              </w:rPr>
              <w:t>Трудности в усвоении учебного материала</w:t>
            </w:r>
          </w:p>
        </w:tc>
        <w:tc>
          <w:tcPr>
            <w:tcW w:w="636" w:type="dxa"/>
            <w:textDirection w:val="btLr"/>
            <w:vAlign w:val="center"/>
          </w:tcPr>
          <w:p w:rsidR="00000000" w:rsidRDefault="00000000">
            <w:pPr>
              <w:pStyle w:val="BodyText"/>
              <w:spacing w:after="0" w:line="240" w:lineRule="auto"/>
              <w:jc w:val="center"/>
              <w:rPr>
                <w:sz w:val="18"/>
              </w:rPr>
            </w:pPr>
            <w:r>
              <w:rPr>
                <w:sz w:val="18"/>
              </w:rPr>
              <w:t>Нарушения зрения</w:t>
            </w:r>
          </w:p>
        </w:tc>
        <w:tc>
          <w:tcPr>
            <w:tcW w:w="636" w:type="dxa"/>
            <w:textDirection w:val="btLr"/>
            <w:vAlign w:val="center"/>
          </w:tcPr>
          <w:p w:rsidR="00000000" w:rsidRDefault="00000000">
            <w:pPr>
              <w:pStyle w:val="BodyText"/>
              <w:spacing w:after="0" w:line="240" w:lineRule="auto"/>
              <w:jc w:val="center"/>
              <w:rPr>
                <w:sz w:val="18"/>
              </w:rPr>
            </w:pPr>
            <w:r>
              <w:rPr>
                <w:sz w:val="18"/>
              </w:rPr>
              <w:t>Нарушения слуха</w:t>
            </w:r>
          </w:p>
        </w:tc>
        <w:tc>
          <w:tcPr>
            <w:tcW w:w="846" w:type="dxa"/>
            <w:vAlign w:val="center"/>
          </w:tcPr>
          <w:p w:rsidR="00000000" w:rsidRDefault="00000000">
            <w:pPr>
              <w:pStyle w:val="Heading1"/>
              <w:spacing w:before="0" w:after="0"/>
              <w:jc w:val="center"/>
              <w:rPr>
                <w:rFonts w:hint="cs"/>
                <w:b w:val="0"/>
                <w:sz w:val="20"/>
              </w:rPr>
            </w:pPr>
            <w:r>
              <w:rPr>
                <w:rFonts w:hint="cs"/>
                <w:b w:val="0"/>
                <w:sz w:val="20"/>
              </w:rPr>
              <w:t>عيون</w:t>
            </w:r>
          </w:p>
          <w:p w:rsidR="00000000" w:rsidRDefault="00000000">
            <w:pPr>
              <w:pStyle w:val="BodyText"/>
              <w:spacing w:after="0" w:line="240" w:lineRule="auto"/>
              <w:jc w:val="center"/>
              <w:rPr>
                <w:sz w:val="18"/>
              </w:rPr>
            </w:pPr>
            <w:r>
              <w:rPr>
                <w:rFonts w:hint="cs"/>
              </w:rPr>
              <w:t>سنغرم</w:t>
            </w:r>
          </w:p>
        </w:tc>
        <w:tc>
          <w:tcPr>
            <w:tcW w:w="846" w:type="dxa"/>
            <w:vAlign w:val="center"/>
          </w:tcPr>
          <w:p w:rsidR="00000000" w:rsidRDefault="00000000">
            <w:pPr>
              <w:pStyle w:val="Heading1"/>
              <w:spacing w:before="0" w:after="0"/>
              <w:jc w:val="center"/>
              <w:rPr>
                <w:rFonts w:hint="cs"/>
                <w:b w:val="0"/>
                <w:sz w:val="20"/>
              </w:rPr>
            </w:pPr>
            <w:r>
              <w:rPr>
                <w:rFonts w:hint="cs"/>
                <w:b w:val="0"/>
                <w:sz w:val="20"/>
              </w:rPr>
              <w:t>كريفوستات</w:t>
            </w:r>
          </w:p>
          <w:p w:rsidR="00000000" w:rsidRDefault="00000000">
            <w:pPr>
              <w:pStyle w:val="BodyText"/>
              <w:spacing w:after="0" w:line="240" w:lineRule="auto"/>
              <w:jc w:val="center"/>
              <w:rPr>
                <w:sz w:val="18"/>
                <w:lang w:val="en-US"/>
              </w:rPr>
            </w:pPr>
            <w:r>
              <w:rPr>
                <w:rFonts w:hint="cs"/>
              </w:rPr>
              <w:t>ستلروم</w:t>
            </w:r>
          </w:p>
        </w:tc>
        <w:tc>
          <w:tcPr>
            <w:tcW w:w="636" w:type="dxa"/>
            <w:textDirection w:val="btLr"/>
            <w:vAlign w:val="center"/>
          </w:tcPr>
          <w:p w:rsidR="00000000" w:rsidRDefault="00000000">
            <w:pPr>
              <w:pStyle w:val="BodyText"/>
              <w:spacing w:after="0" w:line="240" w:lineRule="auto"/>
              <w:jc w:val="center"/>
              <w:rPr>
                <w:sz w:val="18"/>
              </w:rPr>
            </w:pPr>
            <w:r>
              <w:rPr>
                <w:sz w:val="18"/>
              </w:rPr>
              <w:t>Нарушения речи</w:t>
            </w:r>
          </w:p>
        </w:tc>
        <w:tc>
          <w:tcPr>
            <w:tcW w:w="636" w:type="dxa"/>
            <w:textDirection w:val="btLr"/>
            <w:vAlign w:val="center"/>
          </w:tcPr>
          <w:p w:rsidR="00000000" w:rsidRDefault="00000000">
            <w:pPr>
              <w:pStyle w:val="BodyText"/>
              <w:spacing w:after="0" w:line="240" w:lineRule="auto"/>
              <w:jc w:val="center"/>
              <w:rPr>
                <w:sz w:val="18"/>
              </w:rPr>
            </w:pPr>
            <w:r>
              <w:rPr>
                <w:sz w:val="18"/>
              </w:rPr>
              <w:t>Итого</w:t>
            </w:r>
          </w:p>
        </w:tc>
      </w:tr>
      <w:tr w:rsidR="00000000">
        <w:tblPrEx>
          <w:tblCellMar>
            <w:top w:w="0" w:type="dxa"/>
            <w:bottom w:w="0" w:type="dxa"/>
          </w:tblCellMar>
        </w:tblPrEx>
        <w:trPr>
          <w:cantSplit/>
          <w:jc w:val="center"/>
        </w:trPr>
        <w:tc>
          <w:tcPr>
            <w:tcW w:w="1002" w:type="dxa"/>
          </w:tcPr>
          <w:p w:rsidR="00000000" w:rsidRDefault="00000000">
            <w:pPr>
              <w:pStyle w:val="BodyText"/>
              <w:spacing w:after="0" w:line="240" w:lineRule="auto"/>
              <w:jc w:val="left"/>
              <w:rPr>
                <w:sz w:val="18"/>
              </w:rPr>
            </w:pPr>
            <w:r>
              <w:rPr>
                <w:sz w:val="18"/>
              </w:rPr>
              <w:t>Пол</w:t>
            </w:r>
          </w:p>
        </w:tc>
        <w:tc>
          <w:tcPr>
            <w:tcW w:w="372" w:type="dxa"/>
          </w:tcPr>
          <w:p w:rsidR="00000000" w:rsidRDefault="00000000">
            <w:pPr>
              <w:pStyle w:val="BodyText"/>
              <w:spacing w:after="0" w:line="240" w:lineRule="auto"/>
              <w:jc w:val="left"/>
              <w:rPr>
                <w:sz w:val="18"/>
              </w:rPr>
            </w:pPr>
          </w:p>
        </w:tc>
        <w:tc>
          <w:tcPr>
            <w:tcW w:w="635" w:type="dxa"/>
          </w:tcPr>
          <w:p w:rsidR="00000000" w:rsidRDefault="00000000">
            <w:pPr>
              <w:pStyle w:val="BodyText"/>
              <w:spacing w:after="0" w:line="240" w:lineRule="auto"/>
              <w:jc w:val="left"/>
              <w:rPr>
                <w:sz w:val="18"/>
              </w:rPr>
            </w:pPr>
          </w:p>
        </w:tc>
        <w:tc>
          <w:tcPr>
            <w:tcW w:w="636" w:type="dxa"/>
          </w:tcPr>
          <w:p w:rsidR="00000000" w:rsidRDefault="00000000">
            <w:pPr>
              <w:pStyle w:val="BodyText"/>
              <w:spacing w:after="0" w:line="240" w:lineRule="auto"/>
              <w:jc w:val="left"/>
              <w:rPr>
                <w:sz w:val="18"/>
              </w:rPr>
            </w:pPr>
          </w:p>
        </w:tc>
        <w:tc>
          <w:tcPr>
            <w:tcW w:w="636" w:type="dxa"/>
          </w:tcPr>
          <w:p w:rsidR="00000000" w:rsidRDefault="00000000">
            <w:pPr>
              <w:pStyle w:val="BodyText"/>
              <w:spacing w:after="0" w:line="240" w:lineRule="auto"/>
              <w:jc w:val="left"/>
              <w:rPr>
                <w:sz w:val="18"/>
              </w:rPr>
            </w:pPr>
          </w:p>
        </w:tc>
        <w:tc>
          <w:tcPr>
            <w:tcW w:w="636" w:type="dxa"/>
          </w:tcPr>
          <w:p w:rsidR="00000000" w:rsidRDefault="00000000">
            <w:pPr>
              <w:pStyle w:val="BodyText"/>
              <w:spacing w:after="0" w:line="240" w:lineRule="auto"/>
              <w:jc w:val="left"/>
              <w:rPr>
                <w:sz w:val="18"/>
              </w:rPr>
            </w:pPr>
          </w:p>
        </w:tc>
        <w:tc>
          <w:tcPr>
            <w:tcW w:w="636" w:type="dxa"/>
          </w:tcPr>
          <w:p w:rsidR="00000000" w:rsidRDefault="00000000">
            <w:pPr>
              <w:pStyle w:val="BodyText"/>
              <w:spacing w:after="0" w:line="240" w:lineRule="auto"/>
              <w:jc w:val="left"/>
              <w:rPr>
                <w:sz w:val="18"/>
              </w:rPr>
            </w:pPr>
          </w:p>
        </w:tc>
        <w:tc>
          <w:tcPr>
            <w:tcW w:w="636" w:type="dxa"/>
          </w:tcPr>
          <w:p w:rsidR="00000000" w:rsidRDefault="00000000">
            <w:pPr>
              <w:pStyle w:val="BodyText"/>
              <w:spacing w:after="0" w:line="240" w:lineRule="auto"/>
              <w:jc w:val="left"/>
              <w:rPr>
                <w:sz w:val="18"/>
              </w:rPr>
            </w:pPr>
          </w:p>
        </w:tc>
        <w:tc>
          <w:tcPr>
            <w:tcW w:w="636" w:type="dxa"/>
          </w:tcPr>
          <w:p w:rsidR="00000000" w:rsidRDefault="00000000">
            <w:pPr>
              <w:pStyle w:val="BodyText"/>
              <w:spacing w:after="0" w:line="240" w:lineRule="auto"/>
              <w:jc w:val="left"/>
              <w:rPr>
                <w:sz w:val="18"/>
              </w:rPr>
            </w:pPr>
          </w:p>
        </w:tc>
        <w:tc>
          <w:tcPr>
            <w:tcW w:w="846" w:type="dxa"/>
          </w:tcPr>
          <w:p w:rsidR="00000000" w:rsidRDefault="00000000">
            <w:pPr>
              <w:pStyle w:val="BodyText"/>
              <w:spacing w:after="0" w:line="240" w:lineRule="auto"/>
              <w:jc w:val="left"/>
              <w:rPr>
                <w:sz w:val="18"/>
              </w:rPr>
            </w:pPr>
          </w:p>
        </w:tc>
        <w:tc>
          <w:tcPr>
            <w:tcW w:w="846" w:type="dxa"/>
          </w:tcPr>
          <w:p w:rsidR="00000000" w:rsidRDefault="00000000">
            <w:pPr>
              <w:pStyle w:val="BodyText"/>
              <w:spacing w:after="0" w:line="240" w:lineRule="auto"/>
              <w:jc w:val="left"/>
              <w:rPr>
                <w:sz w:val="18"/>
              </w:rPr>
            </w:pPr>
          </w:p>
        </w:tc>
        <w:tc>
          <w:tcPr>
            <w:tcW w:w="636" w:type="dxa"/>
          </w:tcPr>
          <w:p w:rsidR="00000000" w:rsidRDefault="00000000">
            <w:pPr>
              <w:pStyle w:val="BodyText"/>
              <w:spacing w:after="0" w:line="240" w:lineRule="auto"/>
              <w:jc w:val="left"/>
              <w:rPr>
                <w:sz w:val="18"/>
              </w:rPr>
            </w:pPr>
          </w:p>
        </w:tc>
        <w:tc>
          <w:tcPr>
            <w:tcW w:w="636" w:type="dxa"/>
          </w:tcPr>
          <w:p w:rsidR="00000000" w:rsidRDefault="00000000">
            <w:pPr>
              <w:pStyle w:val="BodyText"/>
              <w:spacing w:after="0" w:line="240" w:lineRule="auto"/>
              <w:jc w:val="left"/>
              <w:rPr>
                <w:sz w:val="18"/>
              </w:rPr>
            </w:pPr>
          </w:p>
        </w:tc>
      </w:tr>
      <w:tr w:rsidR="00000000">
        <w:tblPrEx>
          <w:tblCellMar>
            <w:top w:w="0" w:type="dxa"/>
            <w:bottom w:w="0" w:type="dxa"/>
          </w:tblCellMar>
        </w:tblPrEx>
        <w:trPr>
          <w:cantSplit/>
          <w:jc w:val="center"/>
        </w:trPr>
        <w:tc>
          <w:tcPr>
            <w:tcW w:w="1002" w:type="dxa"/>
            <w:vMerge w:val="restart"/>
          </w:tcPr>
          <w:p w:rsidR="00000000" w:rsidRDefault="00000000">
            <w:pPr>
              <w:pStyle w:val="BodyText"/>
              <w:spacing w:after="0" w:line="240" w:lineRule="auto"/>
              <w:jc w:val="left"/>
              <w:rPr>
                <w:sz w:val="18"/>
              </w:rPr>
            </w:pPr>
          </w:p>
        </w:tc>
        <w:tc>
          <w:tcPr>
            <w:tcW w:w="372" w:type="dxa"/>
          </w:tcPr>
          <w:p w:rsidR="00000000" w:rsidRDefault="00000000">
            <w:pPr>
              <w:pStyle w:val="BodyText"/>
              <w:spacing w:after="0" w:line="240" w:lineRule="auto"/>
              <w:jc w:val="center"/>
              <w:rPr>
                <w:sz w:val="18"/>
              </w:rPr>
            </w:pPr>
            <w:r>
              <w:rPr>
                <w:sz w:val="18"/>
              </w:rPr>
              <w:t>М</w:t>
            </w:r>
          </w:p>
        </w:tc>
        <w:tc>
          <w:tcPr>
            <w:tcW w:w="635" w:type="dxa"/>
          </w:tcPr>
          <w:p w:rsidR="00000000" w:rsidRDefault="00000000">
            <w:pPr>
              <w:pStyle w:val="BodyText"/>
              <w:spacing w:after="0" w:line="240" w:lineRule="auto"/>
              <w:ind w:right="227"/>
              <w:jc w:val="right"/>
              <w:rPr>
                <w:sz w:val="18"/>
              </w:rPr>
            </w:pPr>
            <w:r>
              <w:rPr>
                <w:sz w:val="18"/>
              </w:rPr>
              <w:t>7</w:t>
            </w:r>
          </w:p>
        </w:tc>
        <w:tc>
          <w:tcPr>
            <w:tcW w:w="636" w:type="dxa"/>
          </w:tcPr>
          <w:p w:rsidR="00000000" w:rsidRDefault="00000000">
            <w:pPr>
              <w:pStyle w:val="BodyText"/>
              <w:spacing w:after="0" w:line="240" w:lineRule="auto"/>
              <w:ind w:right="227"/>
              <w:jc w:val="right"/>
              <w:rPr>
                <w:sz w:val="18"/>
              </w:rPr>
            </w:pPr>
            <w:r>
              <w:rPr>
                <w:sz w:val="18"/>
              </w:rPr>
              <w:t>34</w:t>
            </w:r>
          </w:p>
        </w:tc>
        <w:tc>
          <w:tcPr>
            <w:tcW w:w="636" w:type="dxa"/>
          </w:tcPr>
          <w:p w:rsidR="00000000" w:rsidRDefault="00000000">
            <w:pPr>
              <w:pStyle w:val="BodyText"/>
              <w:spacing w:after="0" w:line="240" w:lineRule="auto"/>
              <w:ind w:right="227"/>
              <w:jc w:val="right"/>
              <w:rPr>
                <w:sz w:val="18"/>
              </w:rPr>
            </w:pPr>
            <w:r>
              <w:rPr>
                <w:sz w:val="18"/>
              </w:rPr>
              <w:t>55</w:t>
            </w:r>
          </w:p>
        </w:tc>
        <w:tc>
          <w:tcPr>
            <w:tcW w:w="636" w:type="dxa"/>
          </w:tcPr>
          <w:p w:rsidR="00000000" w:rsidRDefault="00000000">
            <w:pPr>
              <w:pStyle w:val="BodyText"/>
              <w:spacing w:after="0" w:line="240" w:lineRule="auto"/>
              <w:ind w:right="227"/>
              <w:jc w:val="right"/>
              <w:rPr>
                <w:sz w:val="18"/>
              </w:rPr>
            </w:pPr>
            <w:r>
              <w:rPr>
                <w:sz w:val="18"/>
              </w:rPr>
              <w:t>6</w:t>
            </w:r>
          </w:p>
        </w:tc>
        <w:tc>
          <w:tcPr>
            <w:tcW w:w="636" w:type="dxa"/>
          </w:tcPr>
          <w:p w:rsidR="00000000" w:rsidRDefault="00000000">
            <w:pPr>
              <w:pStyle w:val="BodyText"/>
              <w:spacing w:after="0" w:line="240" w:lineRule="auto"/>
              <w:ind w:right="227"/>
              <w:jc w:val="right"/>
              <w:rPr>
                <w:sz w:val="18"/>
              </w:rPr>
            </w:pPr>
            <w:r>
              <w:rPr>
                <w:sz w:val="18"/>
              </w:rPr>
              <w:t>–</w:t>
            </w:r>
          </w:p>
        </w:tc>
        <w:tc>
          <w:tcPr>
            <w:tcW w:w="636" w:type="dxa"/>
          </w:tcPr>
          <w:p w:rsidR="00000000" w:rsidRDefault="00000000">
            <w:pPr>
              <w:pStyle w:val="BodyText"/>
              <w:spacing w:after="0" w:line="240" w:lineRule="auto"/>
              <w:ind w:right="227"/>
              <w:jc w:val="right"/>
              <w:rPr>
                <w:sz w:val="18"/>
              </w:rPr>
            </w:pPr>
            <w:r>
              <w:rPr>
                <w:sz w:val="18"/>
              </w:rPr>
              <w:t>5</w:t>
            </w:r>
          </w:p>
        </w:tc>
        <w:tc>
          <w:tcPr>
            <w:tcW w:w="636" w:type="dxa"/>
          </w:tcPr>
          <w:p w:rsidR="00000000" w:rsidRDefault="00000000">
            <w:pPr>
              <w:pStyle w:val="BodyText"/>
              <w:spacing w:after="0" w:line="240" w:lineRule="auto"/>
              <w:ind w:right="227"/>
              <w:jc w:val="right"/>
              <w:rPr>
                <w:sz w:val="18"/>
              </w:rPr>
            </w:pPr>
            <w:r>
              <w:rPr>
                <w:sz w:val="18"/>
              </w:rPr>
              <w:t>–</w:t>
            </w:r>
          </w:p>
        </w:tc>
        <w:tc>
          <w:tcPr>
            <w:tcW w:w="846" w:type="dxa"/>
          </w:tcPr>
          <w:p w:rsidR="00000000" w:rsidRDefault="00000000">
            <w:pPr>
              <w:pStyle w:val="BodyText"/>
              <w:spacing w:after="0" w:line="240" w:lineRule="auto"/>
              <w:ind w:right="340"/>
              <w:jc w:val="right"/>
              <w:rPr>
                <w:sz w:val="18"/>
              </w:rPr>
            </w:pPr>
            <w:r>
              <w:rPr>
                <w:sz w:val="18"/>
              </w:rPr>
              <w:t>–</w:t>
            </w:r>
          </w:p>
        </w:tc>
        <w:tc>
          <w:tcPr>
            <w:tcW w:w="846" w:type="dxa"/>
          </w:tcPr>
          <w:p w:rsidR="00000000" w:rsidRDefault="00000000">
            <w:pPr>
              <w:pStyle w:val="BodyText"/>
              <w:spacing w:after="0" w:line="240" w:lineRule="auto"/>
              <w:ind w:right="340"/>
              <w:jc w:val="right"/>
              <w:rPr>
                <w:sz w:val="18"/>
              </w:rPr>
            </w:pPr>
            <w:r>
              <w:rPr>
                <w:sz w:val="18"/>
              </w:rPr>
              <w:t>1</w:t>
            </w:r>
          </w:p>
        </w:tc>
        <w:tc>
          <w:tcPr>
            <w:tcW w:w="636" w:type="dxa"/>
          </w:tcPr>
          <w:p w:rsidR="00000000" w:rsidRDefault="00000000">
            <w:pPr>
              <w:pStyle w:val="BodyText"/>
              <w:spacing w:after="0" w:line="240" w:lineRule="auto"/>
              <w:ind w:right="227"/>
              <w:jc w:val="right"/>
              <w:rPr>
                <w:sz w:val="18"/>
              </w:rPr>
            </w:pPr>
            <w:r>
              <w:rPr>
                <w:sz w:val="18"/>
              </w:rPr>
              <w:t>8</w:t>
            </w:r>
          </w:p>
        </w:tc>
        <w:tc>
          <w:tcPr>
            <w:tcW w:w="636" w:type="dxa"/>
          </w:tcPr>
          <w:p w:rsidR="00000000" w:rsidRDefault="00000000">
            <w:pPr>
              <w:pStyle w:val="BodyText"/>
              <w:spacing w:after="0" w:line="240" w:lineRule="auto"/>
              <w:ind w:right="227"/>
              <w:jc w:val="right"/>
              <w:rPr>
                <w:sz w:val="18"/>
              </w:rPr>
            </w:pPr>
            <w:r>
              <w:rPr>
                <w:sz w:val="18"/>
              </w:rPr>
              <w:t>116</w:t>
            </w:r>
          </w:p>
        </w:tc>
      </w:tr>
      <w:tr w:rsidR="00000000">
        <w:tblPrEx>
          <w:tblCellMar>
            <w:top w:w="0" w:type="dxa"/>
            <w:bottom w:w="0" w:type="dxa"/>
          </w:tblCellMar>
        </w:tblPrEx>
        <w:trPr>
          <w:cantSplit/>
          <w:jc w:val="center"/>
        </w:trPr>
        <w:tc>
          <w:tcPr>
            <w:tcW w:w="1002" w:type="dxa"/>
            <w:vMerge/>
          </w:tcPr>
          <w:p w:rsidR="00000000" w:rsidRDefault="00000000">
            <w:pPr>
              <w:pStyle w:val="BodyText"/>
              <w:spacing w:after="0" w:line="240" w:lineRule="auto"/>
              <w:jc w:val="left"/>
              <w:rPr>
                <w:sz w:val="18"/>
              </w:rPr>
            </w:pPr>
          </w:p>
        </w:tc>
        <w:tc>
          <w:tcPr>
            <w:tcW w:w="372" w:type="dxa"/>
          </w:tcPr>
          <w:p w:rsidR="00000000" w:rsidRDefault="00000000">
            <w:pPr>
              <w:pStyle w:val="BodyText"/>
              <w:spacing w:after="0" w:line="240" w:lineRule="auto"/>
              <w:jc w:val="center"/>
              <w:rPr>
                <w:sz w:val="18"/>
              </w:rPr>
            </w:pPr>
            <w:r>
              <w:rPr>
                <w:sz w:val="18"/>
              </w:rPr>
              <w:t>Ж</w:t>
            </w:r>
          </w:p>
        </w:tc>
        <w:tc>
          <w:tcPr>
            <w:tcW w:w="635" w:type="dxa"/>
          </w:tcPr>
          <w:p w:rsidR="00000000" w:rsidRDefault="00000000">
            <w:pPr>
              <w:pStyle w:val="BodyText"/>
              <w:spacing w:after="0" w:line="240" w:lineRule="auto"/>
              <w:ind w:right="227"/>
              <w:jc w:val="right"/>
              <w:rPr>
                <w:sz w:val="18"/>
              </w:rPr>
            </w:pPr>
            <w:r>
              <w:rPr>
                <w:sz w:val="18"/>
              </w:rPr>
              <w:t>13</w:t>
            </w:r>
          </w:p>
        </w:tc>
        <w:tc>
          <w:tcPr>
            <w:tcW w:w="636" w:type="dxa"/>
          </w:tcPr>
          <w:p w:rsidR="00000000" w:rsidRDefault="00000000">
            <w:pPr>
              <w:pStyle w:val="BodyText"/>
              <w:spacing w:after="0" w:line="240" w:lineRule="auto"/>
              <w:ind w:right="227"/>
              <w:jc w:val="right"/>
              <w:rPr>
                <w:sz w:val="18"/>
              </w:rPr>
            </w:pPr>
            <w:r>
              <w:rPr>
                <w:sz w:val="18"/>
              </w:rPr>
              <w:t>16</w:t>
            </w:r>
          </w:p>
        </w:tc>
        <w:tc>
          <w:tcPr>
            <w:tcW w:w="636" w:type="dxa"/>
          </w:tcPr>
          <w:p w:rsidR="00000000" w:rsidRDefault="00000000">
            <w:pPr>
              <w:pStyle w:val="BodyText"/>
              <w:spacing w:after="0" w:line="240" w:lineRule="auto"/>
              <w:ind w:right="227"/>
              <w:jc w:val="right"/>
              <w:rPr>
                <w:sz w:val="18"/>
              </w:rPr>
            </w:pPr>
            <w:r>
              <w:rPr>
                <w:sz w:val="18"/>
              </w:rPr>
              <w:t>54</w:t>
            </w:r>
          </w:p>
        </w:tc>
        <w:tc>
          <w:tcPr>
            <w:tcW w:w="636" w:type="dxa"/>
          </w:tcPr>
          <w:p w:rsidR="00000000" w:rsidRDefault="00000000">
            <w:pPr>
              <w:pStyle w:val="BodyText"/>
              <w:spacing w:after="0" w:line="240" w:lineRule="auto"/>
              <w:ind w:right="227"/>
              <w:jc w:val="right"/>
              <w:rPr>
                <w:sz w:val="18"/>
              </w:rPr>
            </w:pPr>
            <w:r>
              <w:rPr>
                <w:sz w:val="18"/>
              </w:rPr>
              <w:t>7</w:t>
            </w:r>
          </w:p>
        </w:tc>
        <w:tc>
          <w:tcPr>
            <w:tcW w:w="636" w:type="dxa"/>
          </w:tcPr>
          <w:p w:rsidR="00000000" w:rsidRDefault="00000000">
            <w:pPr>
              <w:pStyle w:val="BodyText"/>
              <w:spacing w:after="0" w:line="240" w:lineRule="auto"/>
              <w:ind w:right="227"/>
              <w:jc w:val="right"/>
              <w:rPr>
                <w:sz w:val="18"/>
              </w:rPr>
            </w:pPr>
            <w:r>
              <w:rPr>
                <w:sz w:val="18"/>
              </w:rPr>
              <w:t>1</w:t>
            </w:r>
          </w:p>
        </w:tc>
        <w:tc>
          <w:tcPr>
            <w:tcW w:w="636" w:type="dxa"/>
          </w:tcPr>
          <w:p w:rsidR="00000000" w:rsidRDefault="00000000">
            <w:pPr>
              <w:pStyle w:val="BodyText"/>
              <w:spacing w:after="0" w:line="240" w:lineRule="auto"/>
              <w:ind w:right="227"/>
              <w:jc w:val="right"/>
              <w:rPr>
                <w:sz w:val="18"/>
              </w:rPr>
            </w:pPr>
            <w:r>
              <w:rPr>
                <w:sz w:val="18"/>
              </w:rPr>
              <w:t>3</w:t>
            </w:r>
          </w:p>
        </w:tc>
        <w:tc>
          <w:tcPr>
            <w:tcW w:w="636" w:type="dxa"/>
          </w:tcPr>
          <w:p w:rsidR="00000000" w:rsidRDefault="00000000">
            <w:pPr>
              <w:pStyle w:val="BodyText"/>
              <w:spacing w:after="0" w:line="240" w:lineRule="auto"/>
              <w:ind w:right="227"/>
              <w:jc w:val="right"/>
              <w:rPr>
                <w:sz w:val="18"/>
              </w:rPr>
            </w:pPr>
            <w:r>
              <w:rPr>
                <w:sz w:val="18"/>
              </w:rPr>
              <w:t>1</w:t>
            </w:r>
          </w:p>
        </w:tc>
        <w:tc>
          <w:tcPr>
            <w:tcW w:w="846" w:type="dxa"/>
          </w:tcPr>
          <w:p w:rsidR="00000000" w:rsidRDefault="00000000">
            <w:pPr>
              <w:pStyle w:val="BodyText"/>
              <w:spacing w:after="0" w:line="240" w:lineRule="auto"/>
              <w:ind w:right="340"/>
              <w:jc w:val="right"/>
              <w:rPr>
                <w:sz w:val="18"/>
              </w:rPr>
            </w:pPr>
            <w:r>
              <w:rPr>
                <w:sz w:val="18"/>
              </w:rPr>
              <w:t>1</w:t>
            </w:r>
          </w:p>
        </w:tc>
        <w:tc>
          <w:tcPr>
            <w:tcW w:w="846" w:type="dxa"/>
          </w:tcPr>
          <w:p w:rsidR="00000000" w:rsidRDefault="00000000">
            <w:pPr>
              <w:pStyle w:val="BodyText"/>
              <w:spacing w:after="0" w:line="240" w:lineRule="auto"/>
              <w:ind w:right="340"/>
              <w:jc w:val="right"/>
              <w:rPr>
                <w:sz w:val="18"/>
              </w:rPr>
            </w:pPr>
            <w:r>
              <w:rPr>
                <w:sz w:val="18"/>
              </w:rPr>
              <w:t>–</w:t>
            </w:r>
          </w:p>
        </w:tc>
        <w:tc>
          <w:tcPr>
            <w:tcW w:w="636" w:type="dxa"/>
          </w:tcPr>
          <w:p w:rsidR="00000000" w:rsidRDefault="00000000">
            <w:pPr>
              <w:pStyle w:val="BodyText"/>
              <w:spacing w:after="0" w:line="240" w:lineRule="auto"/>
              <w:ind w:right="227"/>
              <w:jc w:val="right"/>
              <w:rPr>
                <w:sz w:val="18"/>
              </w:rPr>
            </w:pPr>
            <w:r>
              <w:rPr>
                <w:sz w:val="18"/>
              </w:rPr>
              <w:t>2</w:t>
            </w:r>
          </w:p>
        </w:tc>
        <w:tc>
          <w:tcPr>
            <w:tcW w:w="636" w:type="dxa"/>
          </w:tcPr>
          <w:p w:rsidR="00000000" w:rsidRDefault="00000000">
            <w:pPr>
              <w:pStyle w:val="BodyText"/>
              <w:spacing w:after="0" w:line="240" w:lineRule="auto"/>
              <w:ind w:right="227"/>
              <w:jc w:val="right"/>
              <w:rPr>
                <w:sz w:val="18"/>
              </w:rPr>
            </w:pPr>
            <w:r>
              <w:rPr>
                <w:sz w:val="18"/>
              </w:rPr>
              <w:t>98</w:t>
            </w:r>
          </w:p>
        </w:tc>
      </w:tr>
      <w:tr w:rsidR="00000000">
        <w:tblPrEx>
          <w:tblCellMar>
            <w:top w:w="0" w:type="dxa"/>
            <w:bottom w:w="0" w:type="dxa"/>
          </w:tblCellMar>
        </w:tblPrEx>
        <w:trPr>
          <w:cantSplit/>
          <w:jc w:val="center"/>
        </w:trPr>
        <w:tc>
          <w:tcPr>
            <w:tcW w:w="1002" w:type="dxa"/>
          </w:tcPr>
          <w:p w:rsidR="00000000" w:rsidRDefault="00000000">
            <w:pPr>
              <w:pStyle w:val="BodyText"/>
              <w:spacing w:after="0" w:line="240" w:lineRule="auto"/>
              <w:jc w:val="left"/>
              <w:rPr>
                <w:sz w:val="18"/>
              </w:rPr>
            </w:pPr>
            <w:r>
              <w:rPr>
                <w:sz w:val="18"/>
              </w:rPr>
              <w:t>Кувейтцы</w:t>
            </w:r>
          </w:p>
        </w:tc>
        <w:tc>
          <w:tcPr>
            <w:tcW w:w="372" w:type="dxa"/>
          </w:tcPr>
          <w:p w:rsidR="00000000" w:rsidRDefault="00000000">
            <w:pPr>
              <w:pStyle w:val="BodyText"/>
              <w:spacing w:after="0" w:line="240" w:lineRule="auto"/>
              <w:jc w:val="center"/>
              <w:rPr>
                <w:sz w:val="18"/>
              </w:rPr>
            </w:pPr>
          </w:p>
        </w:tc>
        <w:tc>
          <w:tcPr>
            <w:tcW w:w="635" w:type="dxa"/>
          </w:tcPr>
          <w:p w:rsidR="00000000" w:rsidRDefault="00000000">
            <w:pPr>
              <w:pStyle w:val="BodyText"/>
              <w:spacing w:after="0" w:line="240" w:lineRule="auto"/>
              <w:ind w:right="227"/>
              <w:jc w:val="right"/>
              <w:rPr>
                <w:sz w:val="18"/>
              </w:rPr>
            </w:pPr>
          </w:p>
        </w:tc>
        <w:tc>
          <w:tcPr>
            <w:tcW w:w="636" w:type="dxa"/>
          </w:tcPr>
          <w:p w:rsidR="00000000" w:rsidRDefault="00000000">
            <w:pPr>
              <w:pStyle w:val="BodyText"/>
              <w:spacing w:after="0" w:line="240" w:lineRule="auto"/>
              <w:ind w:right="227"/>
              <w:jc w:val="right"/>
              <w:rPr>
                <w:sz w:val="18"/>
              </w:rPr>
            </w:pPr>
          </w:p>
        </w:tc>
        <w:tc>
          <w:tcPr>
            <w:tcW w:w="636" w:type="dxa"/>
          </w:tcPr>
          <w:p w:rsidR="00000000" w:rsidRDefault="00000000">
            <w:pPr>
              <w:pStyle w:val="BodyText"/>
              <w:spacing w:after="0" w:line="240" w:lineRule="auto"/>
              <w:ind w:right="227"/>
              <w:jc w:val="right"/>
              <w:rPr>
                <w:sz w:val="18"/>
              </w:rPr>
            </w:pPr>
          </w:p>
        </w:tc>
        <w:tc>
          <w:tcPr>
            <w:tcW w:w="636" w:type="dxa"/>
          </w:tcPr>
          <w:p w:rsidR="00000000" w:rsidRDefault="00000000">
            <w:pPr>
              <w:pStyle w:val="BodyText"/>
              <w:spacing w:after="0" w:line="240" w:lineRule="auto"/>
              <w:ind w:right="227"/>
              <w:jc w:val="right"/>
              <w:rPr>
                <w:sz w:val="18"/>
              </w:rPr>
            </w:pPr>
          </w:p>
        </w:tc>
        <w:tc>
          <w:tcPr>
            <w:tcW w:w="636" w:type="dxa"/>
          </w:tcPr>
          <w:p w:rsidR="00000000" w:rsidRDefault="00000000">
            <w:pPr>
              <w:pStyle w:val="BodyText"/>
              <w:spacing w:after="0" w:line="240" w:lineRule="auto"/>
              <w:ind w:right="227"/>
              <w:jc w:val="right"/>
              <w:rPr>
                <w:sz w:val="18"/>
              </w:rPr>
            </w:pPr>
          </w:p>
        </w:tc>
        <w:tc>
          <w:tcPr>
            <w:tcW w:w="636" w:type="dxa"/>
          </w:tcPr>
          <w:p w:rsidR="00000000" w:rsidRDefault="00000000">
            <w:pPr>
              <w:pStyle w:val="BodyText"/>
              <w:spacing w:after="0" w:line="240" w:lineRule="auto"/>
              <w:ind w:right="227"/>
              <w:jc w:val="right"/>
              <w:rPr>
                <w:sz w:val="18"/>
              </w:rPr>
            </w:pPr>
          </w:p>
        </w:tc>
        <w:tc>
          <w:tcPr>
            <w:tcW w:w="636" w:type="dxa"/>
          </w:tcPr>
          <w:p w:rsidR="00000000" w:rsidRDefault="00000000">
            <w:pPr>
              <w:pStyle w:val="BodyText"/>
              <w:spacing w:after="0" w:line="240" w:lineRule="auto"/>
              <w:ind w:right="227"/>
              <w:jc w:val="right"/>
              <w:rPr>
                <w:sz w:val="18"/>
              </w:rPr>
            </w:pPr>
          </w:p>
        </w:tc>
        <w:tc>
          <w:tcPr>
            <w:tcW w:w="846" w:type="dxa"/>
          </w:tcPr>
          <w:p w:rsidR="00000000" w:rsidRDefault="00000000">
            <w:pPr>
              <w:pStyle w:val="BodyText"/>
              <w:spacing w:after="0" w:line="240" w:lineRule="auto"/>
              <w:ind w:right="340"/>
              <w:jc w:val="right"/>
              <w:rPr>
                <w:sz w:val="18"/>
              </w:rPr>
            </w:pPr>
          </w:p>
        </w:tc>
        <w:tc>
          <w:tcPr>
            <w:tcW w:w="846" w:type="dxa"/>
          </w:tcPr>
          <w:p w:rsidR="00000000" w:rsidRDefault="00000000">
            <w:pPr>
              <w:pStyle w:val="BodyText"/>
              <w:spacing w:after="0" w:line="240" w:lineRule="auto"/>
              <w:ind w:right="340"/>
              <w:jc w:val="right"/>
              <w:rPr>
                <w:sz w:val="18"/>
              </w:rPr>
            </w:pPr>
          </w:p>
        </w:tc>
        <w:tc>
          <w:tcPr>
            <w:tcW w:w="636" w:type="dxa"/>
          </w:tcPr>
          <w:p w:rsidR="00000000" w:rsidRDefault="00000000">
            <w:pPr>
              <w:pStyle w:val="BodyText"/>
              <w:spacing w:after="0" w:line="240" w:lineRule="auto"/>
              <w:ind w:right="227"/>
              <w:jc w:val="right"/>
              <w:rPr>
                <w:sz w:val="18"/>
              </w:rPr>
            </w:pPr>
          </w:p>
        </w:tc>
        <w:tc>
          <w:tcPr>
            <w:tcW w:w="636" w:type="dxa"/>
          </w:tcPr>
          <w:p w:rsidR="00000000" w:rsidRDefault="00000000">
            <w:pPr>
              <w:pStyle w:val="BodyText"/>
              <w:spacing w:after="0" w:line="240" w:lineRule="auto"/>
              <w:ind w:right="227"/>
              <w:jc w:val="right"/>
              <w:rPr>
                <w:sz w:val="18"/>
              </w:rPr>
            </w:pPr>
          </w:p>
        </w:tc>
      </w:tr>
      <w:tr w:rsidR="00000000">
        <w:tblPrEx>
          <w:tblCellMar>
            <w:top w:w="0" w:type="dxa"/>
            <w:bottom w:w="0" w:type="dxa"/>
          </w:tblCellMar>
        </w:tblPrEx>
        <w:trPr>
          <w:cantSplit/>
          <w:jc w:val="center"/>
        </w:trPr>
        <w:tc>
          <w:tcPr>
            <w:tcW w:w="1002" w:type="dxa"/>
            <w:vMerge w:val="restart"/>
          </w:tcPr>
          <w:p w:rsidR="00000000" w:rsidRDefault="00000000">
            <w:pPr>
              <w:pStyle w:val="BodyText"/>
              <w:spacing w:after="0" w:line="240" w:lineRule="auto"/>
              <w:jc w:val="left"/>
              <w:rPr>
                <w:sz w:val="18"/>
              </w:rPr>
            </w:pPr>
          </w:p>
        </w:tc>
        <w:tc>
          <w:tcPr>
            <w:tcW w:w="372" w:type="dxa"/>
          </w:tcPr>
          <w:p w:rsidR="00000000" w:rsidRDefault="00000000">
            <w:pPr>
              <w:pStyle w:val="BodyText"/>
              <w:spacing w:after="0" w:line="240" w:lineRule="auto"/>
              <w:jc w:val="center"/>
              <w:rPr>
                <w:sz w:val="18"/>
              </w:rPr>
            </w:pPr>
            <w:r>
              <w:rPr>
                <w:sz w:val="18"/>
              </w:rPr>
              <w:t>М</w:t>
            </w:r>
          </w:p>
        </w:tc>
        <w:tc>
          <w:tcPr>
            <w:tcW w:w="635" w:type="dxa"/>
          </w:tcPr>
          <w:p w:rsidR="00000000" w:rsidRDefault="00000000">
            <w:pPr>
              <w:pStyle w:val="BodyText"/>
              <w:spacing w:after="0" w:line="240" w:lineRule="auto"/>
              <w:ind w:right="227"/>
              <w:jc w:val="right"/>
              <w:rPr>
                <w:sz w:val="18"/>
              </w:rPr>
            </w:pPr>
            <w:r>
              <w:rPr>
                <w:sz w:val="18"/>
              </w:rPr>
              <w:t>6</w:t>
            </w:r>
          </w:p>
        </w:tc>
        <w:tc>
          <w:tcPr>
            <w:tcW w:w="636" w:type="dxa"/>
          </w:tcPr>
          <w:p w:rsidR="00000000" w:rsidRDefault="00000000">
            <w:pPr>
              <w:pStyle w:val="BodyText"/>
              <w:spacing w:after="0" w:line="240" w:lineRule="auto"/>
              <w:ind w:right="227"/>
              <w:jc w:val="right"/>
              <w:rPr>
                <w:sz w:val="18"/>
              </w:rPr>
            </w:pPr>
            <w:r>
              <w:rPr>
                <w:sz w:val="18"/>
              </w:rPr>
              <w:t>30</w:t>
            </w:r>
          </w:p>
        </w:tc>
        <w:tc>
          <w:tcPr>
            <w:tcW w:w="636" w:type="dxa"/>
          </w:tcPr>
          <w:p w:rsidR="00000000" w:rsidRDefault="00000000">
            <w:pPr>
              <w:pStyle w:val="BodyText"/>
              <w:spacing w:after="0" w:line="240" w:lineRule="auto"/>
              <w:ind w:right="227"/>
              <w:jc w:val="right"/>
              <w:rPr>
                <w:sz w:val="18"/>
              </w:rPr>
            </w:pPr>
            <w:r>
              <w:rPr>
                <w:sz w:val="18"/>
              </w:rPr>
              <w:t>45</w:t>
            </w:r>
          </w:p>
        </w:tc>
        <w:tc>
          <w:tcPr>
            <w:tcW w:w="636" w:type="dxa"/>
          </w:tcPr>
          <w:p w:rsidR="00000000" w:rsidRDefault="00000000">
            <w:pPr>
              <w:pStyle w:val="BodyText"/>
              <w:spacing w:after="0" w:line="240" w:lineRule="auto"/>
              <w:ind w:right="227"/>
              <w:jc w:val="right"/>
              <w:rPr>
                <w:sz w:val="18"/>
              </w:rPr>
            </w:pPr>
            <w:r>
              <w:rPr>
                <w:sz w:val="18"/>
              </w:rPr>
              <w:t>5</w:t>
            </w:r>
          </w:p>
        </w:tc>
        <w:tc>
          <w:tcPr>
            <w:tcW w:w="636" w:type="dxa"/>
          </w:tcPr>
          <w:p w:rsidR="00000000" w:rsidRDefault="00000000">
            <w:pPr>
              <w:pStyle w:val="BodyText"/>
              <w:spacing w:after="0" w:line="240" w:lineRule="auto"/>
              <w:ind w:right="227"/>
              <w:jc w:val="right"/>
              <w:rPr>
                <w:sz w:val="18"/>
              </w:rPr>
            </w:pPr>
            <w:r>
              <w:rPr>
                <w:sz w:val="18"/>
              </w:rPr>
              <w:t>–</w:t>
            </w:r>
          </w:p>
        </w:tc>
        <w:tc>
          <w:tcPr>
            <w:tcW w:w="636" w:type="dxa"/>
          </w:tcPr>
          <w:p w:rsidR="00000000" w:rsidRDefault="00000000">
            <w:pPr>
              <w:pStyle w:val="BodyText"/>
              <w:spacing w:after="0" w:line="240" w:lineRule="auto"/>
              <w:ind w:right="227"/>
              <w:jc w:val="right"/>
              <w:rPr>
                <w:sz w:val="18"/>
              </w:rPr>
            </w:pPr>
            <w:r>
              <w:rPr>
                <w:sz w:val="18"/>
              </w:rPr>
              <w:t>4</w:t>
            </w:r>
          </w:p>
        </w:tc>
        <w:tc>
          <w:tcPr>
            <w:tcW w:w="636" w:type="dxa"/>
          </w:tcPr>
          <w:p w:rsidR="00000000" w:rsidRDefault="00000000">
            <w:pPr>
              <w:pStyle w:val="BodyText"/>
              <w:spacing w:after="0" w:line="240" w:lineRule="auto"/>
              <w:ind w:right="227"/>
              <w:jc w:val="right"/>
              <w:rPr>
                <w:sz w:val="18"/>
              </w:rPr>
            </w:pPr>
            <w:r>
              <w:rPr>
                <w:sz w:val="18"/>
              </w:rPr>
              <w:t>–</w:t>
            </w:r>
          </w:p>
        </w:tc>
        <w:tc>
          <w:tcPr>
            <w:tcW w:w="846" w:type="dxa"/>
          </w:tcPr>
          <w:p w:rsidR="00000000" w:rsidRDefault="00000000">
            <w:pPr>
              <w:pStyle w:val="BodyText"/>
              <w:spacing w:after="0" w:line="240" w:lineRule="auto"/>
              <w:ind w:right="340"/>
              <w:jc w:val="right"/>
              <w:rPr>
                <w:sz w:val="18"/>
              </w:rPr>
            </w:pPr>
            <w:r>
              <w:rPr>
                <w:sz w:val="18"/>
              </w:rPr>
              <w:t>–</w:t>
            </w:r>
          </w:p>
        </w:tc>
        <w:tc>
          <w:tcPr>
            <w:tcW w:w="846" w:type="dxa"/>
          </w:tcPr>
          <w:p w:rsidR="00000000" w:rsidRDefault="00000000">
            <w:pPr>
              <w:pStyle w:val="BodyText"/>
              <w:spacing w:after="0" w:line="240" w:lineRule="auto"/>
              <w:ind w:right="340"/>
              <w:jc w:val="right"/>
              <w:rPr>
                <w:sz w:val="18"/>
              </w:rPr>
            </w:pPr>
            <w:r>
              <w:rPr>
                <w:sz w:val="18"/>
              </w:rPr>
              <w:t>1</w:t>
            </w:r>
          </w:p>
        </w:tc>
        <w:tc>
          <w:tcPr>
            <w:tcW w:w="636" w:type="dxa"/>
          </w:tcPr>
          <w:p w:rsidR="00000000" w:rsidRDefault="00000000">
            <w:pPr>
              <w:pStyle w:val="BodyText"/>
              <w:spacing w:after="0" w:line="240" w:lineRule="auto"/>
              <w:ind w:right="227"/>
              <w:jc w:val="right"/>
              <w:rPr>
                <w:sz w:val="18"/>
              </w:rPr>
            </w:pPr>
            <w:r>
              <w:rPr>
                <w:sz w:val="18"/>
              </w:rPr>
              <w:t>6</w:t>
            </w:r>
          </w:p>
        </w:tc>
        <w:tc>
          <w:tcPr>
            <w:tcW w:w="636" w:type="dxa"/>
          </w:tcPr>
          <w:p w:rsidR="00000000" w:rsidRDefault="00000000">
            <w:pPr>
              <w:pStyle w:val="BodyText"/>
              <w:spacing w:after="0" w:line="240" w:lineRule="auto"/>
              <w:ind w:right="227"/>
              <w:jc w:val="right"/>
              <w:rPr>
                <w:sz w:val="18"/>
              </w:rPr>
            </w:pPr>
          </w:p>
        </w:tc>
      </w:tr>
      <w:tr w:rsidR="00000000">
        <w:tblPrEx>
          <w:tblCellMar>
            <w:top w:w="0" w:type="dxa"/>
            <w:bottom w:w="0" w:type="dxa"/>
          </w:tblCellMar>
        </w:tblPrEx>
        <w:trPr>
          <w:cantSplit/>
          <w:jc w:val="center"/>
        </w:trPr>
        <w:tc>
          <w:tcPr>
            <w:tcW w:w="1002" w:type="dxa"/>
            <w:vMerge/>
          </w:tcPr>
          <w:p w:rsidR="00000000" w:rsidRDefault="00000000">
            <w:pPr>
              <w:pStyle w:val="BodyText"/>
              <w:spacing w:after="0" w:line="240" w:lineRule="auto"/>
              <w:jc w:val="left"/>
              <w:rPr>
                <w:sz w:val="18"/>
              </w:rPr>
            </w:pPr>
          </w:p>
        </w:tc>
        <w:tc>
          <w:tcPr>
            <w:tcW w:w="372" w:type="dxa"/>
          </w:tcPr>
          <w:p w:rsidR="00000000" w:rsidRDefault="00000000">
            <w:pPr>
              <w:pStyle w:val="BodyText"/>
              <w:spacing w:after="0" w:line="240" w:lineRule="auto"/>
              <w:jc w:val="center"/>
              <w:rPr>
                <w:sz w:val="18"/>
              </w:rPr>
            </w:pPr>
            <w:r>
              <w:rPr>
                <w:sz w:val="18"/>
              </w:rPr>
              <w:t>Ж</w:t>
            </w:r>
          </w:p>
        </w:tc>
        <w:tc>
          <w:tcPr>
            <w:tcW w:w="635" w:type="dxa"/>
          </w:tcPr>
          <w:p w:rsidR="00000000" w:rsidRDefault="00000000">
            <w:pPr>
              <w:pStyle w:val="BodyText"/>
              <w:spacing w:after="0" w:line="240" w:lineRule="auto"/>
              <w:ind w:right="227"/>
              <w:jc w:val="right"/>
              <w:rPr>
                <w:sz w:val="18"/>
              </w:rPr>
            </w:pPr>
            <w:r>
              <w:rPr>
                <w:sz w:val="18"/>
              </w:rPr>
              <w:t>11</w:t>
            </w:r>
          </w:p>
        </w:tc>
        <w:tc>
          <w:tcPr>
            <w:tcW w:w="636" w:type="dxa"/>
          </w:tcPr>
          <w:p w:rsidR="00000000" w:rsidRDefault="00000000">
            <w:pPr>
              <w:pStyle w:val="BodyText"/>
              <w:spacing w:after="0" w:line="240" w:lineRule="auto"/>
              <w:ind w:right="227"/>
              <w:jc w:val="right"/>
              <w:rPr>
                <w:sz w:val="18"/>
              </w:rPr>
            </w:pPr>
            <w:r>
              <w:rPr>
                <w:sz w:val="18"/>
              </w:rPr>
              <w:t>11</w:t>
            </w:r>
          </w:p>
        </w:tc>
        <w:tc>
          <w:tcPr>
            <w:tcW w:w="636" w:type="dxa"/>
          </w:tcPr>
          <w:p w:rsidR="00000000" w:rsidRDefault="00000000">
            <w:pPr>
              <w:pStyle w:val="BodyText"/>
              <w:spacing w:after="0" w:line="240" w:lineRule="auto"/>
              <w:ind w:right="227"/>
              <w:jc w:val="right"/>
              <w:rPr>
                <w:sz w:val="18"/>
              </w:rPr>
            </w:pPr>
            <w:r>
              <w:rPr>
                <w:sz w:val="18"/>
              </w:rPr>
              <w:t>36</w:t>
            </w:r>
          </w:p>
        </w:tc>
        <w:tc>
          <w:tcPr>
            <w:tcW w:w="636" w:type="dxa"/>
          </w:tcPr>
          <w:p w:rsidR="00000000" w:rsidRDefault="00000000">
            <w:pPr>
              <w:pStyle w:val="BodyText"/>
              <w:spacing w:after="0" w:line="240" w:lineRule="auto"/>
              <w:ind w:right="227"/>
              <w:jc w:val="right"/>
              <w:rPr>
                <w:sz w:val="18"/>
              </w:rPr>
            </w:pPr>
            <w:r>
              <w:rPr>
                <w:sz w:val="18"/>
              </w:rPr>
              <w:t>6</w:t>
            </w:r>
          </w:p>
        </w:tc>
        <w:tc>
          <w:tcPr>
            <w:tcW w:w="636" w:type="dxa"/>
          </w:tcPr>
          <w:p w:rsidR="00000000" w:rsidRDefault="00000000">
            <w:pPr>
              <w:pStyle w:val="BodyText"/>
              <w:spacing w:after="0" w:line="240" w:lineRule="auto"/>
              <w:ind w:right="227"/>
              <w:jc w:val="right"/>
              <w:rPr>
                <w:sz w:val="18"/>
              </w:rPr>
            </w:pPr>
            <w:r>
              <w:rPr>
                <w:sz w:val="18"/>
              </w:rPr>
              <w:t>1</w:t>
            </w:r>
          </w:p>
        </w:tc>
        <w:tc>
          <w:tcPr>
            <w:tcW w:w="636" w:type="dxa"/>
          </w:tcPr>
          <w:p w:rsidR="00000000" w:rsidRDefault="00000000">
            <w:pPr>
              <w:pStyle w:val="BodyText"/>
              <w:spacing w:after="0" w:line="240" w:lineRule="auto"/>
              <w:ind w:right="227"/>
              <w:jc w:val="right"/>
              <w:rPr>
                <w:sz w:val="18"/>
              </w:rPr>
            </w:pPr>
            <w:r>
              <w:rPr>
                <w:sz w:val="18"/>
              </w:rPr>
              <w:t>3</w:t>
            </w:r>
          </w:p>
        </w:tc>
        <w:tc>
          <w:tcPr>
            <w:tcW w:w="636" w:type="dxa"/>
          </w:tcPr>
          <w:p w:rsidR="00000000" w:rsidRDefault="00000000">
            <w:pPr>
              <w:pStyle w:val="BodyText"/>
              <w:spacing w:after="0" w:line="240" w:lineRule="auto"/>
              <w:ind w:right="227"/>
              <w:jc w:val="right"/>
              <w:rPr>
                <w:sz w:val="18"/>
              </w:rPr>
            </w:pPr>
            <w:r>
              <w:rPr>
                <w:sz w:val="18"/>
              </w:rPr>
              <w:t>1</w:t>
            </w:r>
          </w:p>
        </w:tc>
        <w:tc>
          <w:tcPr>
            <w:tcW w:w="846" w:type="dxa"/>
          </w:tcPr>
          <w:p w:rsidR="00000000" w:rsidRDefault="00000000">
            <w:pPr>
              <w:pStyle w:val="BodyText"/>
              <w:spacing w:after="0" w:line="240" w:lineRule="auto"/>
              <w:ind w:right="340"/>
              <w:jc w:val="right"/>
              <w:rPr>
                <w:sz w:val="18"/>
              </w:rPr>
            </w:pPr>
            <w:r>
              <w:rPr>
                <w:sz w:val="18"/>
              </w:rPr>
              <w:t>–</w:t>
            </w:r>
          </w:p>
        </w:tc>
        <w:tc>
          <w:tcPr>
            <w:tcW w:w="846" w:type="dxa"/>
          </w:tcPr>
          <w:p w:rsidR="00000000" w:rsidRDefault="00000000">
            <w:pPr>
              <w:pStyle w:val="BodyText"/>
              <w:spacing w:after="0" w:line="240" w:lineRule="auto"/>
              <w:ind w:right="340"/>
              <w:jc w:val="right"/>
              <w:rPr>
                <w:sz w:val="18"/>
              </w:rPr>
            </w:pPr>
            <w:r>
              <w:rPr>
                <w:sz w:val="18"/>
              </w:rPr>
              <w:t>–</w:t>
            </w:r>
          </w:p>
        </w:tc>
        <w:tc>
          <w:tcPr>
            <w:tcW w:w="636" w:type="dxa"/>
          </w:tcPr>
          <w:p w:rsidR="00000000" w:rsidRDefault="00000000">
            <w:pPr>
              <w:pStyle w:val="BodyText"/>
              <w:spacing w:after="0" w:line="240" w:lineRule="auto"/>
              <w:ind w:right="227"/>
              <w:jc w:val="right"/>
              <w:rPr>
                <w:sz w:val="18"/>
              </w:rPr>
            </w:pPr>
            <w:r>
              <w:rPr>
                <w:sz w:val="18"/>
              </w:rPr>
              <w:t>2</w:t>
            </w:r>
          </w:p>
        </w:tc>
        <w:tc>
          <w:tcPr>
            <w:tcW w:w="636" w:type="dxa"/>
          </w:tcPr>
          <w:p w:rsidR="00000000" w:rsidRDefault="00000000">
            <w:pPr>
              <w:pStyle w:val="BodyText"/>
              <w:spacing w:after="0" w:line="240" w:lineRule="auto"/>
              <w:ind w:right="227"/>
              <w:jc w:val="right"/>
              <w:rPr>
                <w:sz w:val="18"/>
              </w:rPr>
            </w:pPr>
          </w:p>
        </w:tc>
      </w:tr>
      <w:tr w:rsidR="00000000">
        <w:tblPrEx>
          <w:tblCellMar>
            <w:top w:w="0" w:type="dxa"/>
            <w:bottom w:w="0" w:type="dxa"/>
          </w:tblCellMar>
        </w:tblPrEx>
        <w:trPr>
          <w:cantSplit/>
          <w:jc w:val="center"/>
        </w:trPr>
        <w:tc>
          <w:tcPr>
            <w:tcW w:w="1002" w:type="dxa"/>
          </w:tcPr>
          <w:p w:rsidR="00000000" w:rsidRDefault="00000000">
            <w:pPr>
              <w:pStyle w:val="BodyText"/>
              <w:spacing w:after="0" w:line="240" w:lineRule="auto"/>
              <w:jc w:val="left"/>
              <w:rPr>
                <w:sz w:val="18"/>
              </w:rPr>
            </w:pPr>
            <w:r>
              <w:rPr>
                <w:sz w:val="18"/>
              </w:rPr>
              <w:t>Некувейтцы</w:t>
            </w:r>
          </w:p>
        </w:tc>
        <w:tc>
          <w:tcPr>
            <w:tcW w:w="372" w:type="dxa"/>
          </w:tcPr>
          <w:p w:rsidR="00000000" w:rsidRDefault="00000000">
            <w:pPr>
              <w:pStyle w:val="BodyText"/>
              <w:spacing w:after="0" w:line="240" w:lineRule="auto"/>
              <w:jc w:val="center"/>
              <w:rPr>
                <w:sz w:val="18"/>
              </w:rPr>
            </w:pPr>
          </w:p>
        </w:tc>
        <w:tc>
          <w:tcPr>
            <w:tcW w:w="635" w:type="dxa"/>
          </w:tcPr>
          <w:p w:rsidR="00000000" w:rsidRDefault="00000000">
            <w:pPr>
              <w:pStyle w:val="BodyText"/>
              <w:spacing w:after="0" w:line="240" w:lineRule="auto"/>
              <w:ind w:right="227"/>
              <w:jc w:val="right"/>
              <w:rPr>
                <w:sz w:val="18"/>
              </w:rPr>
            </w:pPr>
          </w:p>
        </w:tc>
        <w:tc>
          <w:tcPr>
            <w:tcW w:w="636" w:type="dxa"/>
          </w:tcPr>
          <w:p w:rsidR="00000000" w:rsidRDefault="00000000">
            <w:pPr>
              <w:pStyle w:val="BodyText"/>
              <w:spacing w:after="0" w:line="240" w:lineRule="auto"/>
              <w:ind w:right="227"/>
              <w:jc w:val="right"/>
              <w:rPr>
                <w:sz w:val="18"/>
              </w:rPr>
            </w:pPr>
          </w:p>
        </w:tc>
        <w:tc>
          <w:tcPr>
            <w:tcW w:w="636" w:type="dxa"/>
          </w:tcPr>
          <w:p w:rsidR="00000000" w:rsidRDefault="00000000">
            <w:pPr>
              <w:pStyle w:val="BodyText"/>
              <w:spacing w:after="0" w:line="240" w:lineRule="auto"/>
              <w:ind w:right="227"/>
              <w:jc w:val="right"/>
              <w:rPr>
                <w:sz w:val="18"/>
              </w:rPr>
            </w:pPr>
          </w:p>
        </w:tc>
        <w:tc>
          <w:tcPr>
            <w:tcW w:w="636" w:type="dxa"/>
          </w:tcPr>
          <w:p w:rsidR="00000000" w:rsidRDefault="00000000">
            <w:pPr>
              <w:pStyle w:val="BodyText"/>
              <w:spacing w:after="0" w:line="240" w:lineRule="auto"/>
              <w:ind w:right="227"/>
              <w:jc w:val="right"/>
              <w:rPr>
                <w:sz w:val="18"/>
              </w:rPr>
            </w:pPr>
          </w:p>
        </w:tc>
        <w:tc>
          <w:tcPr>
            <w:tcW w:w="636" w:type="dxa"/>
          </w:tcPr>
          <w:p w:rsidR="00000000" w:rsidRDefault="00000000">
            <w:pPr>
              <w:pStyle w:val="BodyText"/>
              <w:spacing w:after="0" w:line="240" w:lineRule="auto"/>
              <w:ind w:right="227"/>
              <w:jc w:val="right"/>
              <w:rPr>
                <w:sz w:val="18"/>
              </w:rPr>
            </w:pPr>
          </w:p>
        </w:tc>
        <w:tc>
          <w:tcPr>
            <w:tcW w:w="636" w:type="dxa"/>
          </w:tcPr>
          <w:p w:rsidR="00000000" w:rsidRDefault="00000000">
            <w:pPr>
              <w:pStyle w:val="BodyText"/>
              <w:spacing w:after="0" w:line="240" w:lineRule="auto"/>
              <w:ind w:right="227"/>
              <w:jc w:val="right"/>
              <w:rPr>
                <w:sz w:val="18"/>
              </w:rPr>
            </w:pPr>
          </w:p>
        </w:tc>
        <w:tc>
          <w:tcPr>
            <w:tcW w:w="636" w:type="dxa"/>
          </w:tcPr>
          <w:p w:rsidR="00000000" w:rsidRDefault="00000000">
            <w:pPr>
              <w:pStyle w:val="BodyText"/>
              <w:spacing w:after="0" w:line="240" w:lineRule="auto"/>
              <w:ind w:right="227"/>
              <w:jc w:val="right"/>
              <w:rPr>
                <w:sz w:val="18"/>
              </w:rPr>
            </w:pPr>
          </w:p>
        </w:tc>
        <w:tc>
          <w:tcPr>
            <w:tcW w:w="846" w:type="dxa"/>
          </w:tcPr>
          <w:p w:rsidR="00000000" w:rsidRDefault="00000000">
            <w:pPr>
              <w:pStyle w:val="BodyText"/>
              <w:spacing w:after="0" w:line="240" w:lineRule="auto"/>
              <w:ind w:right="340"/>
              <w:jc w:val="right"/>
              <w:rPr>
                <w:sz w:val="18"/>
              </w:rPr>
            </w:pPr>
          </w:p>
        </w:tc>
        <w:tc>
          <w:tcPr>
            <w:tcW w:w="846" w:type="dxa"/>
          </w:tcPr>
          <w:p w:rsidR="00000000" w:rsidRDefault="00000000">
            <w:pPr>
              <w:pStyle w:val="BodyText"/>
              <w:spacing w:after="0" w:line="240" w:lineRule="auto"/>
              <w:ind w:right="340"/>
              <w:jc w:val="right"/>
              <w:rPr>
                <w:sz w:val="18"/>
              </w:rPr>
            </w:pPr>
          </w:p>
        </w:tc>
        <w:tc>
          <w:tcPr>
            <w:tcW w:w="636" w:type="dxa"/>
          </w:tcPr>
          <w:p w:rsidR="00000000" w:rsidRDefault="00000000">
            <w:pPr>
              <w:pStyle w:val="BodyText"/>
              <w:spacing w:after="0" w:line="240" w:lineRule="auto"/>
              <w:ind w:right="227"/>
              <w:jc w:val="right"/>
              <w:rPr>
                <w:sz w:val="18"/>
              </w:rPr>
            </w:pPr>
          </w:p>
        </w:tc>
        <w:tc>
          <w:tcPr>
            <w:tcW w:w="636" w:type="dxa"/>
          </w:tcPr>
          <w:p w:rsidR="00000000" w:rsidRDefault="00000000">
            <w:pPr>
              <w:pStyle w:val="BodyText"/>
              <w:spacing w:after="0" w:line="240" w:lineRule="auto"/>
              <w:ind w:right="227"/>
              <w:jc w:val="right"/>
              <w:rPr>
                <w:sz w:val="18"/>
              </w:rPr>
            </w:pPr>
          </w:p>
        </w:tc>
      </w:tr>
      <w:tr w:rsidR="00000000">
        <w:tblPrEx>
          <w:tblCellMar>
            <w:top w:w="0" w:type="dxa"/>
            <w:bottom w:w="0" w:type="dxa"/>
          </w:tblCellMar>
        </w:tblPrEx>
        <w:trPr>
          <w:cantSplit/>
          <w:jc w:val="center"/>
        </w:trPr>
        <w:tc>
          <w:tcPr>
            <w:tcW w:w="1002" w:type="dxa"/>
            <w:vMerge w:val="restart"/>
          </w:tcPr>
          <w:p w:rsidR="00000000" w:rsidRDefault="00000000">
            <w:pPr>
              <w:pStyle w:val="BodyText"/>
              <w:spacing w:after="0" w:line="240" w:lineRule="auto"/>
              <w:jc w:val="left"/>
              <w:rPr>
                <w:sz w:val="18"/>
              </w:rPr>
            </w:pPr>
          </w:p>
        </w:tc>
        <w:tc>
          <w:tcPr>
            <w:tcW w:w="372" w:type="dxa"/>
          </w:tcPr>
          <w:p w:rsidR="00000000" w:rsidRDefault="00000000">
            <w:pPr>
              <w:pStyle w:val="BodyText"/>
              <w:spacing w:after="0" w:line="240" w:lineRule="auto"/>
              <w:jc w:val="center"/>
              <w:rPr>
                <w:sz w:val="18"/>
              </w:rPr>
            </w:pPr>
            <w:r>
              <w:rPr>
                <w:sz w:val="18"/>
              </w:rPr>
              <w:t>М</w:t>
            </w:r>
          </w:p>
        </w:tc>
        <w:tc>
          <w:tcPr>
            <w:tcW w:w="635" w:type="dxa"/>
          </w:tcPr>
          <w:p w:rsidR="00000000" w:rsidRDefault="00000000">
            <w:pPr>
              <w:pStyle w:val="BodyText"/>
              <w:spacing w:after="0" w:line="240" w:lineRule="auto"/>
              <w:ind w:right="227"/>
              <w:jc w:val="right"/>
              <w:rPr>
                <w:sz w:val="18"/>
              </w:rPr>
            </w:pPr>
            <w:r>
              <w:rPr>
                <w:sz w:val="18"/>
              </w:rPr>
              <w:t>1</w:t>
            </w:r>
          </w:p>
        </w:tc>
        <w:tc>
          <w:tcPr>
            <w:tcW w:w="636" w:type="dxa"/>
          </w:tcPr>
          <w:p w:rsidR="00000000" w:rsidRDefault="00000000">
            <w:pPr>
              <w:pStyle w:val="BodyText"/>
              <w:spacing w:after="0" w:line="240" w:lineRule="auto"/>
              <w:ind w:right="227"/>
              <w:jc w:val="right"/>
              <w:rPr>
                <w:sz w:val="18"/>
              </w:rPr>
            </w:pPr>
            <w:r>
              <w:rPr>
                <w:sz w:val="18"/>
              </w:rPr>
              <w:t>4</w:t>
            </w:r>
          </w:p>
        </w:tc>
        <w:tc>
          <w:tcPr>
            <w:tcW w:w="636" w:type="dxa"/>
          </w:tcPr>
          <w:p w:rsidR="00000000" w:rsidRDefault="00000000">
            <w:pPr>
              <w:pStyle w:val="BodyText"/>
              <w:spacing w:after="0" w:line="240" w:lineRule="auto"/>
              <w:ind w:right="227"/>
              <w:jc w:val="right"/>
              <w:rPr>
                <w:sz w:val="18"/>
              </w:rPr>
            </w:pPr>
            <w:r>
              <w:rPr>
                <w:sz w:val="18"/>
              </w:rPr>
              <w:t>10</w:t>
            </w:r>
          </w:p>
        </w:tc>
        <w:tc>
          <w:tcPr>
            <w:tcW w:w="636" w:type="dxa"/>
          </w:tcPr>
          <w:p w:rsidR="00000000" w:rsidRDefault="00000000">
            <w:pPr>
              <w:pStyle w:val="BodyText"/>
              <w:spacing w:after="0" w:line="240" w:lineRule="auto"/>
              <w:ind w:right="227"/>
              <w:jc w:val="right"/>
              <w:rPr>
                <w:sz w:val="18"/>
              </w:rPr>
            </w:pPr>
            <w:r>
              <w:rPr>
                <w:sz w:val="18"/>
              </w:rPr>
              <w:t>1</w:t>
            </w:r>
          </w:p>
        </w:tc>
        <w:tc>
          <w:tcPr>
            <w:tcW w:w="636" w:type="dxa"/>
          </w:tcPr>
          <w:p w:rsidR="00000000" w:rsidRDefault="00000000">
            <w:pPr>
              <w:pStyle w:val="BodyText"/>
              <w:spacing w:after="0" w:line="240" w:lineRule="auto"/>
              <w:ind w:right="227"/>
              <w:jc w:val="right"/>
              <w:rPr>
                <w:sz w:val="18"/>
              </w:rPr>
            </w:pPr>
            <w:r>
              <w:rPr>
                <w:sz w:val="18"/>
              </w:rPr>
              <w:t>–</w:t>
            </w:r>
          </w:p>
        </w:tc>
        <w:tc>
          <w:tcPr>
            <w:tcW w:w="636" w:type="dxa"/>
          </w:tcPr>
          <w:p w:rsidR="00000000" w:rsidRDefault="00000000">
            <w:pPr>
              <w:pStyle w:val="BodyText"/>
              <w:spacing w:after="0" w:line="240" w:lineRule="auto"/>
              <w:ind w:right="227"/>
              <w:jc w:val="right"/>
              <w:rPr>
                <w:sz w:val="18"/>
              </w:rPr>
            </w:pPr>
            <w:r>
              <w:rPr>
                <w:sz w:val="18"/>
              </w:rPr>
              <w:t>1</w:t>
            </w:r>
          </w:p>
        </w:tc>
        <w:tc>
          <w:tcPr>
            <w:tcW w:w="636" w:type="dxa"/>
          </w:tcPr>
          <w:p w:rsidR="00000000" w:rsidRDefault="00000000">
            <w:pPr>
              <w:pStyle w:val="BodyText"/>
              <w:spacing w:after="0" w:line="240" w:lineRule="auto"/>
              <w:ind w:right="227"/>
              <w:jc w:val="right"/>
              <w:rPr>
                <w:sz w:val="18"/>
              </w:rPr>
            </w:pPr>
            <w:r>
              <w:rPr>
                <w:sz w:val="18"/>
              </w:rPr>
              <w:t>–</w:t>
            </w:r>
          </w:p>
        </w:tc>
        <w:tc>
          <w:tcPr>
            <w:tcW w:w="846" w:type="dxa"/>
          </w:tcPr>
          <w:p w:rsidR="00000000" w:rsidRDefault="00000000">
            <w:pPr>
              <w:pStyle w:val="BodyText"/>
              <w:spacing w:after="0" w:line="240" w:lineRule="auto"/>
              <w:ind w:right="340"/>
              <w:jc w:val="right"/>
              <w:rPr>
                <w:sz w:val="18"/>
              </w:rPr>
            </w:pPr>
            <w:r>
              <w:rPr>
                <w:sz w:val="18"/>
              </w:rPr>
              <w:t>–</w:t>
            </w:r>
          </w:p>
        </w:tc>
        <w:tc>
          <w:tcPr>
            <w:tcW w:w="846" w:type="dxa"/>
          </w:tcPr>
          <w:p w:rsidR="00000000" w:rsidRDefault="00000000">
            <w:pPr>
              <w:pStyle w:val="BodyText"/>
              <w:spacing w:after="0" w:line="240" w:lineRule="auto"/>
              <w:ind w:right="340"/>
              <w:jc w:val="right"/>
              <w:rPr>
                <w:sz w:val="18"/>
              </w:rPr>
            </w:pPr>
            <w:r>
              <w:rPr>
                <w:sz w:val="18"/>
              </w:rPr>
              <w:t>1</w:t>
            </w:r>
          </w:p>
        </w:tc>
        <w:tc>
          <w:tcPr>
            <w:tcW w:w="636" w:type="dxa"/>
          </w:tcPr>
          <w:p w:rsidR="00000000" w:rsidRDefault="00000000">
            <w:pPr>
              <w:pStyle w:val="BodyText"/>
              <w:spacing w:after="0" w:line="240" w:lineRule="auto"/>
              <w:ind w:right="227"/>
              <w:jc w:val="right"/>
              <w:rPr>
                <w:sz w:val="18"/>
              </w:rPr>
            </w:pPr>
            <w:r>
              <w:rPr>
                <w:sz w:val="18"/>
              </w:rPr>
              <w:t>2</w:t>
            </w:r>
          </w:p>
        </w:tc>
        <w:tc>
          <w:tcPr>
            <w:tcW w:w="636" w:type="dxa"/>
          </w:tcPr>
          <w:p w:rsidR="00000000" w:rsidRDefault="00000000">
            <w:pPr>
              <w:pStyle w:val="BodyText"/>
              <w:spacing w:after="0" w:line="240" w:lineRule="auto"/>
              <w:ind w:right="227"/>
              <w:jc w:val="right"/>
              <w:rPr>
                <w:sz w:val="18"/>
              </w:rPr>
            </w:pPr>
          </w:p>
        </w:tc>
      </w:tr>
      <w:tr w:rsidR="00000000">
        <w:tblPrEx>
          <w:tblCellMar>
            <w:top w:w="0" w:type="dxa"/>
            <w:bottom w:w="0" w:type="dxa"/>
          </w:tblCellMar>
        </w:tblPrEx>
        <w:trPr>
          <w:cantSplit/>
          <w:jc w:val="center"/>
        </w:trPr>
        <w:tc>
          <w:tcPr>
            <w:tcW w:w="1002" w:type="dxa"/>
            <w:vMerge/>
          </w:tcPr>
          <w:p w:rsidR="00000000" w:rsidRDefault="00000000">
            <w:pPr>
              <w:pStyle w:val="BodyText"/>
              <w:spacing w:after="0" w:line="240" w:lineRule="auto"/>
              <w:jc w:val="left"/>
              <w:rPr>
                <w:sz w:val="18"/>
              </w:rPr>
            </w:pPr>
          </w:p>
        </w:tc>
        <w:tc>
          <w:tcPr>
            <w:tcW w:w="372" w:type="dxa"/>
          </w:tcPr>
          <w:p w:rsidR="00000000" w:rsidRDefault="00000000">
            <w:pPr>
              <w:pStyle w:val="BodyText"/>
              <w:spacing w:after="0" w:line="240" w:lineRule="auto"/>
              <w:jc w:val="center"/>
              <w:rPr>
                <w:sz w:val="18"/>
              </w:rPr>
            </w:pPr>
            <w:r>
              <w:rPr>
                <w:sz w:val="18"/>
              </w:rPr>
              <w:t>Ж</w:t>
            </w:r>
          </w:p>
        </w:tc>
        <w:tc>
          <w:tcPr>
            <w:tcW w:w="635" w:type="dxa"/>
          </w:tcPr>
          <w:p w:rsidR="00000000" w:rsidRDefault="00000000">
            <w:pPr>
              <w:pStyle w:val="BodyText"/>
              <w:spacing w:after="0" w:line="240" w:lineRule="auto"/>
              <w:ind w:right="227"/>
              <w:jc w:val="right"/>
              <w:rPr>
                <w:sz w:val="18"/>
              </w:rPr>
            </w:pPr>
            <w:r>
              <w:rPr>
                <w:sz w:val="18"/>
              </w:rPr>
              <w:t>2</w:t>
            </w:r>
          </w:p>
        </w:tc>
        <w:tc>
          <w:tcPr>
            <w:tcW w:w="636" w:type="dxa"/>
          </w:tcPr>
          <w:p w:rsidR="00000000" w:rsidRDefault="00000000">
            <w:pPr>
              <w:pStyle w:val="BodyText"/>
              <w:spacing w:after="0" w:line="240" w:lineRule="auto"/>
              <w:ind w:right="227"/>
              <w:jc w:val="right"/>
              <w:rPr>
                <w:sz w:val="18"/>
              </w:rPr>
            </w:pPr>
            <w:r>
              <w:rPr>
                <w:sz w:val="18"/>
              </w:rPr>
              <w:t>5</w:t>
            </w:r>
          </w:p>
        </w:tc>
        <w:tc>
          <w:tcPr>
            <w:tcW w:w="636" w:type="dxa"/>
          </w:tcPr>
          <w:p w:rsidR="00000000" w:rsidRDefault="00000000">
            <w:pPr>
              <w:pStyle w:val="BodyText"/>
              <w:spacing w:after="0" w:line="240" w:lineRule="auto"/>
              <w:ind w:right="227"/>
              <w:jc w:val="right"/>
              <w:rPr>
                <w:sz w:val="18"/>
              </w:rPr>
            </w:pPr>
            <w:r>
              <w:rPr>
                <w:sz w:val="18"/>
              </w:rPr>
              <w:t>18</w:t>
            </w:r>
          </w:p>
        </w:tc>
        <w:tc>
          <w:tcPr>
            <w:tcW w:w="636" w:type="dxa"/>
          </w:tcPr>
          <w:p w:rsidR="00000000" w:rsidRDefault="00000000">
            <w:pPr>
              <w:pStyle w:val="BodyText"/>
              <w:spacing w:after="0" w:line="240" w:lineRule="auto"/>
              <w:ind w:right="227"/>
              <w:jc w:val="right"/>
              <w:rPr>
                <w:sz w:val="18"/>
              </w:rPr>
            </w:pPr>
            <w:r>
              <w:rPr>
                <w:sz w:val="18"/>
              </w:rPr>
              <w:t>1</w:t>
            </w:r>
          </w:p>
        </w:tc>
        <w:tc>
          <w:tcPr>
            <w:tcW w:w="636" w:type="dxa"/>
          </w:tcPr>
          <w:p w:rsidR="00000000" w:rsidRDefault="00000000">
            <w:pPr>
              <w:pStyle w:val="BodyText"/>
              <w:spacing w:after="0" w:line="240" w:lineRule="auto"/>
              <w:ind w:right="227"/>
              <w:jc w:val="right"/>
              <w:rPr>
                <w:sz w:val="18"/>
              </w:rPr>
            </w:pPr>
            <w:r>
              <w:rPr>
                <w:sz w:val="18"/>
              </w:rPr>
              <w:t>–</w:t>
            </w:r>
          </w:p>
        </w:tc>
        <w:tc>
          <w:tcPr>
            <w:tcW w:w="636" w:type="dxa"/>
          </w:tcPr>
          <w:p w:rsidR="00000000" w:rsidRDefault="00000000">
            <w:pPr>
              <w:pStyle w:val="BodyText"/>
              <w:spacing w:after="0" w:line="240" w:lineRule="auto"/>
              <w:ind w:right="227"/>
              <w:jc w:val="right"/>
              <w:rPr>
                <w:sz w:val="18"/>
              </w:rPr>
            </w:pPr>
            <w:r>
              <w:rPr>
                <w:sz w:val="18"/>
              </w:rPr>
              <w:t>1</w:t>
            </w:r>
          </w:p>
        </w:tc>
        <w:tc>
          <w:tcPr>
            <w:tcW w:w="636" w:type="dxa"/>
          </w:tcPr>
          <w:p w:rsidR="00000000" w:rsidRDefault="00000000">
            <w:pPr>
              <w:pStyle w:val="BodyText"/>
              <w:spacing w:after="0" w:line="240" w:lineRule="auto"/>
              <w:ind w:right="227"/>
              <w:jc w:val="right"/>
              <w:rPr>
                <w:sz w:val="18"/>
              </w:rPr>
            </w:pPr>
            <w:r>
              <w:rPr>
                <w:sz w:val="18"/>
              </w:rPr>
              <w:t>–</w:t>
            </w:r>
          </w:p>
        </w:tc>
        <w:tc>
          <w:tcPr>
            <w:tcW w:w="846" w:type="dxa"/>
          </w:tcPr>
          <w:p w:rsidR="00000000" w:rsidRDefault="00000000">
            <w:pPr>
              <w:pStyle w:val="BodyText"/>
              <w:spacing w:after="0" w:line="240" w:lineRule="auto"/>
              <w:ind w:right="340"/>
              <w:jc w:val="right"/>
              <w:rPr>
                <w:sz w:val="18"/>
              </w:rPr>
            </w:pPr>
            <w:r>
              <w:rPr>
                <w:sz w:val="18"/>
              </w:rPr>
              <w:t>1</w:t>
            </w:r>
          </w:p>
        </w:tc>
        <w:tc>
          <w:tcPr>
            <w:tcW w:w="846" w:type="dxa"/>
          </w:tcPr>
          <w:p w:rsidR="00000000" w:rsidRDefault="00000000">
            <w:pPr>
              <w:pStyle w:val="BodyText"/>
              <w:spacing w:after="0" w:line="240" w:lineRule="auto"/>
              <w:ind w:right="340"/>
              <w:jc w:val="right"/>
              <w:rPr>
                <w:sz w:val="18"/>
              </w:rPr>
            </w:pPr>
            <w:r>
              <w:rPr>
                <w:sz w:val="18"/>
              </w:rPr>
              <w:t>–</w:t>
            </w:r>
          </w:p>
        </w:tc>
        <w:tc>
          <w:tcPr>
            <w:tcW w:w="636" w:type="dxa"/>
          </w:tcPr>
          <w:p w:rsidR="00000000" w:rsidRDefault="00000000">
            <w:pPr>
              <w:pStyle w:val="BodyText"/>
              <w:spacing w:after="0" w:line="240" w:lineRule="auto"/>
              <w:ind w:right="227"/>
              <w:jc w:val="right"/>
              <w:rPr>
                <w:sz w:val="18"/>
              </w:rPr>
            </w:pPr>
            <w:r>
              <w:rPr>
                <w:sz w:val="18"/>
              </w:rPr>
              <w:t>–</w:t>
            </w:r>
          </w:p>
        </w:tc>
        <w:tc>
          <w:tcPr>
            <w:tcW w:w="636" w:type="dxa"/>
          </w:tcPr>
          <w:p w:rsidR="00000000" w:rsidRDefault="00000000">
            <w:pPr>
              <w:pStyle w:val="BodyText"/>
              <w:spacing w:after="0" w:line="240" w:lineRule="auto"/>
              <w:ind w:right="227"/>
              <w:jc w:val="right"/>
              <w:rPr>
                <w:sz w:val="18"/>
              </w:rPr>
            </w:pPr>
          </w:p>
        </w:tc>
      </w:tr>
    </w:tbl>
    <w:p w:rsidR="00000000" w:rsidRDefault="00000000">
      <w:pPr>
        <w:pStyle w:val="BodyText"/>
        <w:spacing w:before="240"/>
      </w:pPr>
      <w:r>
        <w:tab/>
        <w:t>В дополнение к усилиям, проводимым в данной сфере правительством, объединения общественного блага и, в частности, женские объединения, также играют роль в деле защиты женщин и в обеспечении им достойных условий жизни в обществе, исходя из необходимости дальнейшего повышения статуса женщин ввиду их особого влияния на других членов семьи. Указанные объединения приняли ряд мер для оказания различных видов содействия женщинам, в частности некоторые частные организации такого рода выплачивают некоторым нуждающимся семьям ежемесячные, ежегодные или одноразовые финансовые субсидии, а также предоставляют помощь натурой, столь необходимой ряду бедных семей.</w:t>
      </w:r>
    </w:p>
    <w:p w:rsidR="00000000" w:rsidRDefault="00000000">
      <w:pPr>
        <w:pStyle w:val="BodyText"/>
      </w:pPr>
      <w:r>
        <w:tab/>
        <w:t>Что касается права на участие в мероприятиях, связанных с отдыхом, занятиях спортом и во всех сторонах культурной жизни, то для этого женщинам в Кувейте предоставлены самые широкие возможности. Физическая культура в Кувейте является частью общих учебных программ Министерства просвещения. Все учащиеся, как юноши, так и девушки, имеют возможность участия во всех видах спортивных мероприятий в школах, а Министерство обеспечивает весь спортивный инвентарь и сооружает в ряде школ бассейны. При этом физическая культура является не просто занятием на досуге, а обязательным элементом программы обучения.</w:t>
      </w:r>
    </w:p>
    <w:p w:rsidR="00000000" w:rsidRDefault="00000000">
      <w:pPr>
        <w:pStyle w:val="BodyText"/>
      </w:pPr>
      <w:r>
        <w:tab/>
        <w:t>На время летних каникул Министерство образования открывает бассейны для девушек – любительниц плавания.</w:t>
      </w:r>
    </w:p>
    <w:p w:rsidR="00000000" w:rsidRDefault="00000000">
      <w:pPr>
        <w:pStyle w:val="BodyText"/>
      </w:pPr>
      <w:r>
        <w:tab/>
        <w:t>С целью повышения интереса школьниц к спорту Министерство организует спортивные соревнования и состязания между ними и награждает победительниц призами.</w:t>
      </w:r>
    </w:p>
    <w:p w:rsidR="00000000" w:rsidRDefault="00000000">
      <w:pPr>
        <w:pStyle w:val="BodyText"/>
      </w:pPr>
      <w:r>
        <w:tab/>
        <w:t>Художественное воспитание также входит в учебную программу на всех этапах всеобщего обучения, при этом проводятся художественные выставки, где экспонируются рисунки и другие работы учащихся-девушек.</w:t>
      </w:r>
    </w:p>
    <w:p w:rsidR="00000000" w:rsidRDefault="00000000">
      <w:pPr>
        <w:pStyle w:val="BodyText"/>
      </w:pPr>
      <w:r>
        <w:tab/>
        <w:t>В Кувейтском университете и институтах при Государственном управлении прикладного обучения уделяется постоянное внимание этому роду деятельности. Для особо одаренных учащихся-девушек в Университете или в одном из указанных институтов отводятся специальные места, где они могут заниматься самыми различными видами спорта и искусства.</w:t>
      </w:r>
    </w:p>
    <w:p w:rsidR="00000000" w:rsidRDefault="00000000">
      <w:pPr>
        <w:pStyle w:val="BodyText"/>
      </w:pPr>
      <w:r>
        <w:tab/>
        <w:t>Среди колледжей при Государственном управлении прикладного обучения и профессиональной подготовки имеется Колледж базового воспитания, программой обучения в котором предусмотрено техническое, художественное, физическое и спортивное воспитание.</w:t>
      </w:r>
    </w:p>
    <w:p w:rsidR="00000000" w:rsidRDefault="00000000">
      <w:pPr>
        <w:pStyle w:val="BodyText"/>
      </w:pPr>
      <w:r>
        <w:tab/>
        <w:t>Целью этих программ является подготовка специализированных кадров для технического, физического и художественного воспитания детей на различных этапах обучения.</w:t>
      </w:r>
    </w:p>
    <w:p w:rsidR="00000000" w:rsidRDefault="00000000">
      <w:pPr>
        <w:pStyle w:val="BodyText"/>
      </w:pPr>
      <w:r>
        <w:tab/>
        <w:t>В дополнение к указанному выше государство создало при Государственном управлении по делам молодежи и спорта специальный клуб молодых женщин, вступить в который могут женщины любого возраста. В этом клубе женщины и девушки занимаются всеми видами спорта под руководством специально подготовленных женщин-инструкторов. Кроме того, члены клуба участвуют в состязаниях на всех уровнях.</w:t>
      </w:r>
    </w:p>
    <w:p w:rsidR="00000000" w:rsidRDefault="00000000">
      <w:pPr>
        <w:pStyle w:val="BodyText"/>
      </w:pPr>
      <w:r>
        <w:tab/>
        <w:t>Следует отметить, что кувейтские женщины добились многих научных, культурных и спортивных успехов благодаря предоставленным им государством возможностям в области образования, культуры, спорта, здравоохранения и проведения досуга, в результате чего они смогли добиться успеха во многих областях на местном, региональном и международном уровнях.</w:t>
      </w:r>
    </w:p>
    <w:p w:rsidR="00000000" w:rsidRDefault="00000000">
      <w:pPr>
        <w:pStyle w:val="BodyText"/>
      </w:pPr>
      <w:r>
        <w:tab/>
        <w:t>Активно действует в этом направлении и частный сектор, представленный женскими и другими объединениями. Так, указанные объединения оказывают эффективную поддержку различного рода спортивной, рекреационной и культурной деятельности женщин, которая стоит в центре их внимания и усилий.</w:t>
      </w:r>
    </w:p>
    <w:p w:rsidR="00000000" w:rsidRDefault="00000000">
      <w:pPr>
        <w:pStyle w:val="-1"/>
      </w:pPr>
      <w:r>
        <w:t>Статья 14</w:t>
      </w:r>
    </w:p>
    <w:p w:rsidR="00000000" w:rsidRDefault="00000000">
      <w:pPr>
        <w:pStyle w:val="BodyText"/>
      </w:pPr>
      <w:r>
        <w:tab/>
        <w:t>В данной статье говорится об обязанности государств-участников принимать все соответствующие меры, которые гарантировали бы применение положений Конвенции к женщинам, проживающим в сельской местности, и ликвидацию дискриминации в отношении женщин в сельских районах.</w:t>
      </w:r>
    </w:p>
    <w:p w:rsidR="00000000" w:rsidRDefault="00000000">
      <w:pPr>
        <w:pStyle w:val="BodyText"/>
      </w:pPr>
      <w:r>
        <w:tab/>
        <w:t>Государство Кувейт не делится на сельские и несельские районы в том понимании, в котором они имеются в ряде государств. Причиной этого является ограниченность общей площади Государства Кувейт, составляющей 17 818 квадратных километров, а его население в 1998 году составляло 2 270 865 человек в пяти губернаторствах (в соответствии с существующим территориально-административным делением страны). В каждом губернаторстве имеется ряд населенных районов. Если говорить об оказании услуг, Государство, действуя через свои различные органы и учреждения, стремится обеспечить во всех губернаторствах оказание услуг в различных областях, в частности в сфере образования, здравоохранения, культурного отдыха и спорта.</w:t>
      </w:r>
    </w:p>
    <w:p w:rsidR="00000000" w:rsidRDefault="00000000">
      <w:pPr>
        <w:pStyle w:val="-1"/>
      </w:pPr>
      <w:r>
        <w:t>Статья 15</w:t>
      </w:r>
    </w:p>
    <w:p w:rsidR="00000000" w:rsidRDefault="00000000">
      <w:pPr>
        <w:pStyle w:val="BodyText"/>
      </w:pPr>
      <w:r>
        <w:tab/>
        <w:t>В данной статье подтверждается признание государствами-участниками равенства женщин и мужчин перед законом, содержится обязательство предоставить женщинам одинаковые с мужчинами гражданскую правоспособность, а также свободу передвижения и выбора места жительства.</w:t>
      </w:r>
    </w:p>
    <w:p w:rsidR="00000000" w:rsidRDefault="00000000">
      <w:pPr>
        <w:pStyle w:val="BodyText"/>
      </w:pPr>
      <w:r>
        <w:tab/>
        <w:t>В этой связи Государство Кувейт хотело бы подчеркнуть, что в кувейтской Конституции равенство признано одной из главных основ, на которых зиждется кувейтское общество. Это уже было упомянуто в целом ряде выдержек из Конституции. Так, данный принцип был подтвержден в преамбуле, а затем в статьях 7, 9 и 29, где освещены различные стороны данного принципа и провозглашено равенство с точки зрения человеческого достоинства, прав и обязанностей.</w:t>
      </w:r>
    </w:p>
    <w:p w:rsidR="00000000" w:rsidRDefault="00000000">
      <w:pPr>
        <w:pStyle w:val="BodyText"/>
      </w:pPr>
      <w:r>
        <w:tab/>
        <w:t>Принцип равенства характеризуется различными аспектами, в том числе:</w:t>
      </w:r>
    </w:p>
    <w:p w:rsidR="00000000" w:rsidRDefault="00000000">
      <w:pPr>
        <w:pStyle w:val="BodyText"/>
      </w:pPr>
      <w:r>
        <w:rPr>
          <w:lang w:val="en-US"/>
        </w:rPr>
        <w:t>a</w:t>
      </w:r>
      <w:r>
        <w:t xml:space="preserve">)  </w:t>
      </w:r>
      <w:r>
        <w:rPr>
          <w:u w:val="single"/>
        </w:rPr>
        <w:t>Равенство перед законом</w:t>
      </w:r>
    </w:p>
    <w:p w:rsidR="00000000" w:rsidRDefault="00000000">
      <w:pPr>
        <w:pStyle w:val="BodyText"/>
      </w:pPr>
      <w:r>
        <w:tab/>
        <w:t>В уже упоминавшейся статье 29 кувейтской Конституции изложено общее положение, суть которого в том, что все граждане равны перед законом и равны в отношении их прав и обязанностей. В статье говорится, что все люди равны с точки зрения человеческого достоинства, равны перед законом в общих правах и обязанностях, без различия по признаку пола, происхождения, языка или религии.</w:t>
      </w:r>
    </w:p>
    <w:p w:rsidR="00000000" w:rsidRDefault="00000000">
      <w:pPr>
        <w:pStyle w:val="BodyText"/>
      </w:pPr>
      <w:r>
        <w:tab/>
        <w:t>Еще до этой статьи, в статье 7 указывается, что справедливость, свобода и равенство являются опорами общества, а сотрудничество и милосердие друг к другу – это узы, объединяющие граждан.</w:t>
      </w:r>
    </w:p>
    <w:p w:rsidR="00000000" w:rsidRDefault="00000000">
      <w:pPr>
        <w:pStyle w:val="BodyText"/>
      </w:pPr>
      <w:r>
        <w:tab/>
        <w:t>В Статье 47 отражен еще один аспект равенства – в несении воинской службы, которая рассматривается в данной статье как священный долг, в исполнении которого все граждане равны в силу их равенства с точки зрения человеческого достоинства.</w:t>
      </w:r>
    </w:p>
    <w:p w:rsidR="00000000" w:rsidRDefault="00000000">
      <w:pPr>
        <w:pStyle w:val="BodyText"/>
      </w:pPr>
      <w:r>
        <w:tab/>
        <w:t>Что касается равенства перед судами и трибуналами, то оно гарантируется в соответствии со статьей 166 Конституции, которая гласит, что всем людям гарантировано право обращения в суд и что закон оговаривает необходимые процедуры и ситуации, касающиеся осуществления данного права.</w:t>
      </w:r>
    </w:p>
    <w:p w:rsidR="00000000" w:rsidRDefault="00000000">
      <w:pPr>
        <w:pStyle w:val="BodyText"/>
      </w:pPr>
      <w:r>
        <w:tab/>
        <w:t>Далее следует отметить, что кувейтские законодательные акты также соответствуют указанным принципам. К ним, например, следует отнести Закон № 16 1960 года о принятии Уголовного кодекса, в котором подчеркивается принцип равенства при применении его положений. В статье 11 Кодекса говорится, что его положения применимы к любому лицу, совершившему на территории Кувейта любое из упомянутых в нем преступлений.</w:t>
      </w:r>
    </w:p>
    <w:p w:rsidR="00000000" w:rsidRDefault="00000000">
      <w:pPr>
        <w:pStyle w:val="BodyText"/>
      </w:pPr>
      <w:r>
        <w:tab/>
        <w:t>Принцип равенства применим также к занятию государственных должностей, занятости, свободе выбора вида работы, праву на образование и медицинскую помощь, а также к другим правам, предусмотренным в кувейтской Конституции. Выше в настоящем докладе уже говорилось о законодательных актах, регламентирующих указанные права.</w:t>
      </w:r>
    </w:p>
    <w:p w:rsidR="00000000" w:rsidRDefault="00000000">
      <w:pPr>
        <w:pStyle w:val="BodyText"/>
      </w:pPr>
      <w:r>
        <w:tab/>
        <w:t>Что касается права женщин на перемещение, проживание и выбор места жительства, то такое право гарантируется всем кувейтской Конституцией и законодательными актами.</w:t>
      </w:r>
    </w:p>
    <w:p w:rsidR="00000000" w:rsidRDefault="00000000">
      <w:pPr>
        <w:pStyle w:val="BodyText"/>
      </w:pPr>
      <w:r>
        <w:tab/>
        <w:t>В статье 31 Конституции налагается запрет на арест человека, содержание его в заключении, его обыск, ограничение его местожительства или свободы на проживание либо перемещение, кроме случаев, когда это предписывается законом.</w:t>
      </w:r>
    </w:p>
    <w:p w:rsidR="00000000" w:rsidRDefault="00000000">
      <w:pPr>
        <w:pStyle w:val="BodyText"/>
      </w:pPr>
      <w:r>
        <w:tab/>
        <w:t>Необходимо указать, что Государство Кувейт не налагает каких бы то ни было ограничений на свободу перемещения и выбор местожительства, кроме случаев, которые предусмотрены кувейтскими законодательными актами и считаются необходимыми по ряду соображений, поскольку право на перемещение, равно как и другие права и свободы, может в некоторых случаях регламентироваться и ограничиваться по различным причинам, таким, например, как защита национальной безопасности, поддержание общественного порядка, охрана общественного здоровья или нравственности, либо прав и свобод других людей. Об этом говорится в статье 31  Конституции, согласно которой ограничивать свободу передвижения допустимо только в соответствии с законом.</w:t>
      </w:r>
    </w:p>
    <w:p w:rsidR="00000000" w:rsidRDefault="00000000">
      <w:pPr>
        <w:pStyle w:val="BodyText"/>
      </w:pPr>
      <w:r>
        <w:tab/>
        <w:t>Что касается прав, упомянутых в пункте 2 статьи 15 Конвенции, к которым относится и предоставление женщинам одинаковой с мужчинами гражданской правоспособности, то положения Гражданского кодекса, ссылки на часть которых уже делались, соответствуют данным принципам и гласят, что человек начинает являться личностью с момента его рождения и до кончины (ст. 9).</w:t>
      </w:r>
    </w:p>
    <w:p w:rsidR="00000000" w:rsidRDefault="00000000">
      <w:pPr>
        <w:pStyle w:val="BodyText"/>
      </w:pPr>
      <w:r>
        <w:tab/>
        <w:t>Статья 84 Кодекса закона гласит, что каждый человек обладает правоспособностью для заключения договоров, если он не признан неправоспособным или если его правоспособность не ограничена в соответствии с законом.</w:t>
      </w:r>
    </w:p>
    <w:p w:rsidR="00000000" w:rsidRDefault="00000000">
      <w:pPr>
        <w:pStyle w:val="BodyText"/>
      </w:pPr>
      <w:r>
        <w:tab/>
        <w:t>В Статье 96 указывается, что любое лицо, достигшее совершеннолетия, обладает полной правоспособностью для совершения правовых действий. В соответствии с Кодексом совершеннолетним считается лицо, достигшее возраста полных двадцать одного года по христианскому летоисчислению. Лицо, достигшее совершеннолетия, продолжает обладать полной правоспособностью, пока и если для этого у него не возникнет какое-либо препятствие.</w:t>
      </w:r>
    </w:p>
    <w:p w:rsidR="00000000" w:rsidRDefault="00000000">
      <w:pPr>
        <w:pStyle w:val="BodyText"/>
      </w:pPr>
      <w:r>
        <w:tab/>
        <w:t>В законе дано разъяснение причин неполной правоспособности, к которым относятся слабоумие, идиотизм, иррациональное поведение, возраст до 17 лет, и приводятся основания для утраты правоспособности, например сумасшествие.</w:t>
      </w:r>
    </w:p>
    <w:p w:rsidR="00000000" w:rsidRDefault="00000000">
      <w:pPr>
        <w:pStyle w:val="BodyText"/>
      </w:pPr>
      <w:r>
        <w:tab/>
        <w:t>В статье 107 говорится, что при наличие у человека столь серьезного физического недостатка, что ему трудно понять условия договора или затруднено волеизъявление, в частности, если он является глухонемым, слепым и глухим или слепым и немым, то суд может назначить ему специального помощника, который оказывал бы ему помощь в его юридических действиях.</w:t>
      </w:r>
    </w:p>
    <w:p w:rsidR="00000000" w:rsidRDefault="00000000">
      <w:pPr>
        <w:pStyle w:val="BodyText"/>
      </w:pPr>
      <w:r>
        <w:tab/>
        <w:t>Все положения Гражданского кодекса носят всеобщий и объективный характер, без проведения какого-либо различия между мужчинами и женщинами. В них не содержится каких бы то ни было ограничений правоспособности женщины по причине брака или родственной связи. При достижении женщиной совершеннолетия в соответствии с законом она приобретает все права и способность к совершению всех правовых действий, устанавливаемые Гражданским кодексом и другими действующими законодательными актами.</w:t>
      </w:r>
    </w:p>
    <w:p w:rsidR="00000000" w:rsidRDefault="00000000">
      <w:pPr>
        <w:pStyle w:val="BodyText"/>
      </w:pPr>
      <w:r>
        <w:tab/>
        <w:t>Кроме того, она имеет право управлять своими денежными средствами, имуществом и личными делами без каких-либо ограничений или оговорок, которые ограничивали бы ее правоспособность.</w:t>
      </w:r>
    </w:p>
    <w:p w:rsidR="00000000" w:rsidRDefault="00000000">
      <w:pPr>
        <w:pStyle w:val="BodyText"/>
      </w:pPr>
      <w:r>
        <w:tab/>
        <w:t>Что касается равноправия женщин на всех этапах судебного разбирательства, а также прав женщин на подачу исков в судебные инстанции и ведение судебных процедур, а также порядка решения проблем гражданского состояния между двумя супругами, то женщины в Государстве Кувейт пользуются всеми правами, установленными законом в этих вопросах, в качестве как истца, так и ответчика или свидетеля.</w:t>
      </w:r>
    </w:p>
    <w:p w:rsidR="00000000" w:rsidRDefault="00000000">
      <w:pPr>
        <w:pStyle w:val="BodyText"/>
      </w:pPr>
      <w:r>
        <w:tab/>
        <w:t>Процедуры обращения в кувейтские суды различных инстанций и разбирательства в них регламентируются Законом № 38 1980 года о принятии Гражданского и торгового процессуального кодекса и Законом № 17 1960 года о принятии Уголовно-процессуального кодекса.</w:t>
      </w:r>
    </w:p>
    <w:p w:rsidR="00000000" w:rsidRDefault="00000000">
      <w:pPr>
        <w:pStyle w:val="BodyText"/>
      </w:pPr>
      <w:r>
        <w:tab/>
        <w:t>Положения указанных законодательных актов распространяются на всех участников судебных разбирательств без какого-либо различия между мужчинами и женщинами.</w:t>
      </w:r>
    </w:p>
    <w:p w:rsidR="00000000" w:rsidRDefault="00000000">
      <w:pPr>
        <w:pStyle w:val="BodyText"/>
      </w:pPr>
      <w:r>
        <w:tab/>
        <w:t>Что касается споров, возникающих между супругами, то разрешение таких вопросов возложено на суды по гражданскому состоянию. При этом применяются положения Закона о гражданском состоянии № 51 1984 года, который регламентирует все вопросы, связанные с браком, разводом, алиментами, детьми, наследством, завещанием и другими вопросами гражданского состояния.</w:t>
      </w:r>
    </w:p>
    <w:p w:rsidR="00000000" w:rsidRDefault="00000000">
      <w:pPr>
        <w:pStyle w:val="-1"/>
      </w:pPr>
      <w:r>
        <w:t>Статья 16</w:t>
      </w:r>
    </w:p>
    <w:p w:rsidR="00000000" w:rsidRDefault="00000000">
      <w:pPr>
        <w:pStyle w:val="BodyText"/>
      </w:pPr>
      <w:r>
        <w:tab/>
        <w:t>В данной статье говорится, что государства-участники принимают все соответствующие меры для ликвидации дискриминации в отношении женщин во всех вопросах, касающихся брака и семейных отношений, и в частности обеспечивают на основе равенства мужчин и женщин свободу выбора супруга и другие права, определяемые в указанной статье.</w:t>
      </w:r>
    </w:p>
    <w:p w:rsidR="00000000" w:rsidRDefault="00000000">
      <w:pPr>
        <w:pStyle w:val="BodyText"/>
      </w:pPr>
      <w:r>
        <w:tab/>
        <w:t>В связи с этим необходимо отметить, что Государство Кувейт уделяет особое внимание семье. Такое внимание проявляется в ряде законодательных и нормативных актов, целью которых является обеспечение безопасности и стабильности семьи. Центральное место среди них занимает Конституция Кувейта, которая служит правовой основой для социальных законодательных актов. В целом ряде ее положений определены принципы и фундаментальные основы, на которых зиждется общество и которые направлены на защиту человека, его прав и свобод. В Конституции определяются также обязанности государства в отношении семьи и детства, которые отражены в следующих статьях:</w:t>
      </w:r>
    </w:p>
    <w:p w:rsidR="00000000" w:rsidRDefault="00000000">
      <w:pPr>
        <w:pStyle w:val="BodyText"/>
      </w:pPr>
      <w:r>
        <w:tab/>
        <w:t>–</w:t>
      </w:r>
      <w:r>
        <w:tab/>
        <w:t>Статья 8: государство охраняет основы общества и гарантирует гражданам безопасность и равные возможности.</w:t>
      </w:r>
    </w:p>
    <w:p w:rsidR="00000000" w:rsidRDefault="00000000">
      <w:pPr>
        <w:pStyle w:val="BodyText"/>
      </w:pPr>
      <w:r>
        <w:tab/>
        <w:t>–</w:t>
      </w:r>
      <w:r>
        <w:tab/>
        <w:t>Статья 9: семья является краеугольным камнем общества, а ее основу составляют религия, мораль, любовь к родине. Закон стоит на страже целостности семьи, укрепляет семейные узы, обеспечивает охрану материнства и детства.</w:t>
      </w:r>
    </w:p>
    <w:p w:rsidR="00000000" w:rsidRDefault="00000000">
      <w:pPr>
        <w:pStyle w:val="BodyText"/>
      </w:pPr>
      <w:r>
        <w:tab/>
        <w:t>–</w:t>
      </w:r>
      <w:r>
        <w:tab/>
        <w:t>Статья 10: государство заботится о подрастающем поколении, защищает его от эксплуатации и создает все условия, для того чтобы его нравственные, физические и духовные возможности были достойным образом востребованы.</w:t>
      </w:r>
    </w:p>
    <w:p w:rsidR="00000000" w:rsidRDefault="00000000">
      <w:pPr>
        <w:pStyle w:val="BodyText"/>
      </w:pPr>
      <w:r>
        <w:tab/>
        <w:t>Кроме того, государство гарантирует защиту и попечение, а также средства для достойной жизни семьи, в том числе:</w:t>
      </w:r>
    </w:p>
    <w:p w:rsidR="00000000" w:rsidRDefault="00000000">
      <w:pPr>
        <w:pStyle w:val="a"/>
        <w:ind w:left="0" w:firstLine="0"/>
      </w:pPr>
      <w:r>
        <w:tab/>
      </w:r>
      <w:r>
        <w:rPr>
          <w:lang w:val="en-US"/>
        </w:rPr>
        <w:t>a</w:t>
      </w:r>
      <w:r>
        <w:t>)</w:t>
      </w:r>
      <w:r>
        <w:tab/>
        <w:t>Предоставление семье приемлемого жилища, которое обеспечивало бы ей безопасность и стабильность. С этой целью в соответствии с Законом № 15 1974 года было учреждено Государственное управление по вопросам жилья с целью руководства работами по жилищному строительству на основании планов, разрабатываемых государством. Управление занимается строительством и предоставлением гражданам жилых домов и построек, а также оказанием всего комплекса услуг, необходимых для данных сооружений. Оно выделяет государственные жилищные купоны и государственное жилье лицам, которые имеют на это право, передает жилье в собственность или сдает в аренду лицам, удовлетворяющим соответствующим требованиям.</w:t>
      </w:r>
    </w:p>
    <w:p w:rsidR="00000000" w:rsidRDefault="00000000">
      <w:pPr>
        <w:pStyle w:val="a"/>
        <w:ind w:left="0" w:firstLine="0"/>
      </w:pPr>
      <w:r>
        <w:tab/>
      </w:r>
      <w:r>
        <w:rPr>
          <w:lang w:val="en-US"/>
        </w:rPr>
        <w:t>b</w:t>
      </w:r>
      <w:r>
        <w:t>)</w:t>
      </w:r>
      <w:r>
        <w:tab/>
        <w:t>Обеспечение бесплатного образования всем исходя из убежденности государства в том, что образование является важным фактором благополучия и улучшения положения семьи.</w:t>
      </w:r>
    </w:p>
    <w:p w:rsidR="00000000" w:rsidRDefault="00000000">
      <w:pPr>
        <w:pStyle w:val="a"/>
        <w:ind w:left="0" w:firstLine="0"/>
      </w:pPr>
      <w:r>
        <w:tab/>
      </w:r>
      <w:r>
        <w:rPr>
          <w:lang w:val="en-US"/>
        </w:rPr>
        <w:t>c</w:t>
      </w:r>
      <w:r>
        <w:t>)</w:t>
      </w:r>
      <w:r>
        <w:tab/>
        <w:t>Предоставление бесплатных услуг в сфере здравоохранения исходя из убежденности государства в том, что защита семьи от болезней и обеспечение ее здорового развития гарантируют построение прочного и справедливого общества.</w:t>
      </w:r>
    </w:p>
    <w:p w:rsidR="00000000" w:rsidRDefault="00000000">
      <w:pPr>
        <w:pStyle w:val="a"/>
        <w:ind w:left="0" w:firstLine="0"/>
      </w:pPr>
      <w:r>
        <w:tab/>
      </w:r>
      <w:r>
        <w:rPr>
          <w:lang w:val="en-US"/>
        </w:rPr>
        <w:t>d</w:t>
      </w:r>
      <w:r>
        <w:t>)</w:t>
      </w:r>
      <w:r>
        <w:tab/>
        <w:t>Предоставление гражданам пособий и социальных субсидий в поддержку индивидов и семей и для защиты их будущего от непредвиденных обстоятельств, с которыми они могут столкнуться и которые могут повлиять на стабильность их жизни.</w:t>
      </w:r>
    </w:p>
    <w:p w:rsidR="00000000" w:rsidRDefault="00000000">
      <w:pPr>
        <w:pStyle w:val="BodyText"/>
      </w:pPr>
      <w:r>
        <w:tab/>
        <w:t>Что касается вопросов брака, то в Государстве Кувейт они регламентируются, как указывалось выше, положениями Закона о гражданском состоянии, который наделяет женщин правом выбора супруга и вступления в брак только с их согласия.</w:t>
      </w:r>
    </w:p>
    <w:p w:rsidR="00000000" w:rsidRDefault="00000000">
      <w:pPr>
        <w:pStyle w:val="BodyText"/>
      </w:pPr>
      <w:r>
        <w:tab/>
        <w:t>Статья 2 гласит, что брак заключается с согласия опекуна невесты, самой невесты или лица, выступающего одного из них. В законе определен минимальный возраст вступления в брак – 15 лет для девушки и 17 для юноши.</w:t>
      </w:r>
    </w:p>
    <w:p w:rsidR="00000000" w:rsidRDefault="00000000">
      <w:pPr>
        <w:pStyle w:val="BodyText"/>
      </w:pPr>
      <w:r>
        <w:tab/>
        <w:t>В законе предусмотрены и условия заключения брака – оба супруга должны быть разумными и совместимыми по характеру, а также иметь соответствующий возраст, причем последнее касается только супруги.</w:t>
      </w:r>
    </w:p>
    <w:p w:rsidR="00000000" w:rsidRDefault="00000000">
      <w:pPr>
        <w:pStyle w:val="BodyText"/>
      </w:pPr>
      <w:r>
        <w:tab/>
        <w:t>Официальная регистрация и заверение брака запрещаются, если к моменту регистрации девушке не исполнилось 15, а юноше – 17 лет.</w:t>
      </w:r>
    </w:p>
    <w:p w:rsidR="00000000" w:rsidRDefault="00000000">
      <w:pPr>
        <w:pStyle w:val="BodyText"/>
      </w:pPr>
      <w:r>
        <w:tab/>
        <w:t>Согласно Закону о гражданском состоянии, женщине предоставлен целый ряд прав и на нее возлагается ряд обязанностей. Так, после заключения брачного контракта женщина имеет право на калым и жилище, и расходы по ее содержанию возлагаются на супруга в зависимости от его достатка. Она имеет право требовать предоставления содержания, в случае если супруг отказывает ей в нем.</w:t>
      </w:r>
    </w:p>
    <w:p w:rsidR="00000000" w:rsidRDefault="00000000">
      <w:pPr>
        <w:pStyle w:val="BodyText"/>
      </w:pPr>
      <w:r>
        <w:tab/>
        <w:t>Женщины в Государстве Кувейт пользуются абсолютной свободой выбора супруга. При этом вступление в брак не влияет на правоспособность женщины или ее финансовые средства, которые остаются независимыми от средств супруга. Женщины пользуются полной свободой управления своими денежными средствами и имуществом, заключения договоров, получения кредитов и совершения других правовых и финансовых действий.</w:t>
      </w:r>
    </w:p>
    <w:p w:rsidR="00000000" w:rsidRDefault="00000000">
      <w:pPr>
        <w:pStyle w:val="BodyText"/>
      </w:pPr>
      <w:r>
        <w:tab/>
        <w:t>Что касается права женщин на развод или расторжение брака, то в законе предусмотрено право женщины требовать раздельного проживания ввиду причинения ей ущерба или отсутствия супруга. Так, статья 136 гласит, что в случае отсутствия супруга в течение одного года или более без законных причин жена вправе требовать развода, если его отсутствие причинило ей ущерб, даже если она в это время могла жить за счет его средств. Если супруг приговорен к лишению свободы, его жена по прошествии одного года с момента его заключения может требовать развода. Это, в частности, подтверждается в статье 137 Закона, которая гласит, что в случае заключения супруга в тюрьму во исполнение окончательного приговора о применении к нему наказания в виде лишения свободы на срок три года или более жена вправе требовать развода по прошествии одного года с момента его заключения.</w:t>
      </w:r>
    </w:p>
    <w:p w:rsidR="00000000" w:rsidRDefault="00000000">
      <w:pPr>
        <w:pStyle w:val="BodyText"/>
      </w:pPr>
      <w:r>
        <w:tab/>
        <w:t>Из вышеуказанных положений явствует, что женщина может обращаться в судебную инстанцию для получения развода со своим супругом при невозможности дальнейшего сожительства, а также имеет право требовать развода, если супруг не содержит ее и при явном отсутствии у него средств, а также в случае, если его несостоятельность не доказана. В последнем случае судья дает супругу отсрочку, с тем чтобы он выплатил жене содержание. Если он этого не сделает, жена имеет право требовать развода.</w:t>
      </w:r>
    </w:p>
    <w:p w:rsidR="00000000" w:rsidRDefault="00000000">
      <w:pPr>
        <w:pStyle w:val="BodyText"/>
      </w:pPr>
      <w:r>
        <w:tab/>
        <w:t>Что касается права женщины оставить у себя детей, то в указанном Законе такое право регламентируется положениями главы 6 части 1, где в статьях 189–199 особо оговорено, с кем остаются дети. Согласно статье 189, право оставить у себя детей имеет их мать, а затем – бабушка. В случае заболевания последней далее следует тетя со стороны матери, затем – тетя матери, затем – тетя матери с отцовской стороны, затем – бабушка, затем – бабушка по отцу, затем – тетя отца с отцовской стороны, затем – тетя отца с материнской стороны, затем – дочь сестры. При этом брат матери пользуется преимущественным правом по отношению к брату отца.</w:t>
      </w:r>
    </w:p>
    <w:p w:rsidR="00000000" w:rsidRDefault="00000000">
      <w:pPr>
        <w:pStyle w:val="BodyText"/>
      </w:pPr>
      <w:r>
        <w:tab/>
        <w:t>В данном контексте выражение "оставить у себя детей" означает воспитание ребенка, уход за ним и заботу о нем, обеспечение его питанием, одеждой, местом для сна, разрешение всех его вопросов, в том числе его благочестия, и ведение дел в его интересах. В законе право оставить у себя детей предоставляется в первую очередь женщинам и лишь затем – мужчинам ввиду того, что мать больше, чем кто-либо другой, имеет право воспитывать несовершеннолетнего как в том случае, если она еще замужем за его отцом, так и в том случае, если она разведена, поскольку мать эмоционально ближе к ребенку и более способна переносить трудности воспитания своих детей. Детей оставляют с матерью в интересах самих детей, так как кувейтские законодатели в связи с этим принимают во внимание в первую очередь интересы ребенка.</w:t>
      </w:r>
    </w:p>
    <w:p w:rsidR="00000000" w:rsidRDefault="00000000">
      <w:pPr>
        <w:pStyle w:val="BodyText"/>
        <w:rPr>
          <w:spacing w:val="-2"/>
        </w:rPr>
      </w:pPr>
      <w:r>
        <w:rPr>
          <w:spacing w:val="-2"/>
        </w:rPr>
        <w:tab/>
        <w:t>В статье 197 предусматривается право женщины, воспитывающей ребенка, получать на него алименты, в том числе на оплату его жилища. Кроме того, в статье 199 предусмотрено, что женщине-воспитателю причитается оплата услуг по воспитанию до достижения девочкой семи лет, а мальчиком – девяти.</w:t>
      </w:r>
    </w:p>
    <w:p w:rsidR="00000000" w:rsidRDefault="00000000">
      <w:pPr>
        <w:pStyle w:val="--"/>
      </w:pPr>
      <w:r>
        <w:t>Заключение</w:t>
      </w:r>
    </w:p>
    <w:p w:rsidR="00000000" w:rsidRDefault="00000000">
      <w:pPr>
        <w:pStyle w:val="BodyText"/>
      </w:pPr>
      <w:r>
        <w:tab/>
        <w:t>Выше были рассмотрены законодательные акты Кувейта, в соответствии с которыми в Кувейте обеспечивается защита прав женщины.</w:t>
      </w:r>
    </w:p>
    <w:p w:rsidR="00000000" w:rsidRDefault="00000000">
      <w:pPr>
        <w:pStyle w:val="BodyText"/>
      </w:pPr>
      <w:r>
        <w:tab/>
        <w:t>При подготовке настоящего доклада власти Кувейта стремились учесть руководящие принципы и указания, установленные КЛДЖ, с опорой на Конвенцию. Поэтому они надеются, что удалось затронуть все вопросы, по которым Комитет желал получить информацию в плане осуществления положений Конвенции в Государстве Кувейт, но готовы представить дополнительные данные, если это потребуется, когда доклад будет обсуждаться в Комитете.</w:t>
      </w:r>
    </w:p>
    <w:p w:rsidR="00000000" w:rsidRDefault="00000000">
      <w:pPr>
        <w:pStyle w:val="BodyText"/>
      </w:pPr>
    </w:p>
    <w:p w:rsidR="00000000" w:rsidRDefault="00000000">
      <w:pPr>
        <w:pStyle w:val="BodyText"/>
      </w:pPr>
    </w:p>
    <w:sectPr w:rsidR="00000000">
      <w:headerReference w:type="even" r:id="rId10"/>
      <w:headerReference w:type="default" r:id="rId11"/>
      <w:footerReference w:type="even" r:id="rId12"/>
      <w:footerReference w:type="default" r:id="rId13"/>
      <w:pgSz w:w="12242" w:h="15842" w:code="1"/>
      <w:pgMar w:top="1304" w:right="1701" w:bottom="1701" w:left="1701" w:header="0" w:footer="851" w:gutter="0"/>
      <w:pgNumType w:start="2"/>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GAACS User" w:initials="DU">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NO&gt;&gt;N0335054R&lt;&lt;ODS JOB NO&gt;&gt;</w:t>
      </w:r>
    </w:p>
    <w:p w:rsidR="00000000" w:rsidRDefault="00000000">
      <w:pPr>
        <w:pStyle w:val="CommentText"/>
      </w:pPr>
      <w:r>
        <w:t>&lt;&lt;ODS DOC SYMBOL1&gt;&gt;CEDAW/C/KWT/1-2&lt;&lt;ODS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82</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81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rPr>
          <w:lang w:val="ru-RU"/>
        </w:rPr>
      </w:pPr>
      <w:r>
        <w:rPr>
          <w:rStyle w:val="FootnoteReference"/>
          <w:lang w:val="ru-RU"/>
        </w:rPr>
        <w:t>*</w:t>
      </w:r>
      <w:r>
        <w:rPr>
          <w:lang w:val="ru-RU"/>
        </w:rPr>
        <w:tab/>
        <w:t>Настоящий доклад издается без официального редактирования.</w:t>
      </w:r>
    </w:p>
    <w:p w:rsidR="00000000" w:rsidRDefault="00000000">
      <w:pPr>
        <w:pStyle w:val="FootnoteText"/>
        <w:rPr>
          <w:lang w:val="ru-RU"/>
        </w:rPr>
      </w:pPr>
    </w:p>
    <w:p w:rsidR="00000000" w:rsidRDefault="00000000">
      <w:pPr>
        <w:pStyle w:val="FootnoteText"/>
        <w:rPr>
          <w:lang w:val="ru-RU"/>
        </w:rPr>
      </w:pPr>
      <w:r>
        <w:rPr>
          <w:lang w:val="ru-RU"/>
        </w:rPr>
        <w:t>03-35054 (</w:t>
      </w:r>
      <w:r>
        <w:t>R</w:t>
      </w:r>
      <w:r>
        <w:rPr>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000" w:rsidRDefault="00000000">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Layout w:type="fixed"/>
      <w:tblCellMar>
        <w:left w:w="0" w:type="dxa"/>
        <w:right w:w="0" w:type="dxa"/>
      </w:tblCellMar>
      <w:tblLook w:val="0000" w:firstRow="0" w:lastRow="0" w:firstColumn="0" w:lastColumn="0" w:noHBand="0" w:noVBand="0"/>
    </w:tblPr>
    <w:tblGrid>
      <w:gridCol w:w="1134"/>
      <w:gridCol w:w="4395"/>
      <w:gridCol w:w="1134"/>
      <w:gridCol w:w="2976"/>
    </w:tblGrid>
    <w:tr w:rsidR="00000000">
      <w:tblPrEx>
        <w:tblCellMar>
          <w:top w:w="0" w:type="dxa"/>
          <w:left w:w="0" w:type="dxa"/>
          <w:bottom w:w="0" w:type="dxa"/>
          <w:right w:w="0" w:type="dxa"/>
        </w:tblCellMar>
      </w:tblPrEx>
      <w:trPr>
        <w:cantSplit/>
      </w:trPr>
      <w:tc>
        <w:tcPr>
          <w:tcW w:w="5529" w:type="dxa"/>
          <w:gridSpan w:val="2"/>
          <w:tcBorders>
            <w:bottom w:val="single" w:sz="4" w:space="0" w:color="auto"/>
          </w:tcBorders>
          <w:vAlign w:val="center"/>
        </w:tcPr>
        <w:p w:rsidR="00000000" w:rsidRDefault="00000000">
          <w:pPr>
            <w:pStyle w:val="Heading9"/>
            <w:spacing w:after="240" w:line="400" w:lineRule="exact"/>
            <w:ind w:left="0" w:right="0" w:firstLine="0"/>
            <w:jc w:val="left"/>
            <w:rPr>
              <w:sz w:val="20"/>
            </w:rPr>
          </w:pPr>
          <w:r>
            <w:rPr>
              <w:b/>
            </w:rPr>
            <w:t>Организация Объединенных Наций</w:t>
          </w:r>
        </w:p>
      </w:tc>
      <w:tc>
        <w:tcPr>
          <w:tcW w:w="4110" w:type="dxa"/>
          <w:gridSpan w:val="2"/>
          <w:tcBorders>
            <w:bottom w:val="single" w:sz="4" w:space="0" w:color="auto"/>
          </w:tcBorders>
        </w:tcPr>
        <w:p w:rsidR="00000000" w:rsidRDefault="00000000">
          <w:pPr>
            <w:pStyle w:val="Heading9"/>
            <w:spacing w:after="0"/>
            <w:ind w:left="0" w:right="0" w:firstLine="0"/>
            <w:rPr>
              <w:b/>
              <w:sz w:val="40"/>
              <w:lang w:val="en-US"/>
            </w:rPr>
          </w:pPr>
          <w:r>
            <w:rPr>
              <w:b/>
              <w:sz w:val="40"/>
              <w:lang w:val="en-US"/>
            </w:rPr>
            <w:t>C</w:t>
          </w:r>
          <w:r>
            <w:rPr>
              <w:b/>
              <w:sz w:val="40"/>
              <w:lang w:val="en-US"/>
            </w:rPr>
            <w:t>E</w:t>
          </w:r>
          <w:r>
            <w:rPr>
              <w:b/>
              <w:sz w:val="40"/>
              <w:lang w:val="en-US"/>
            </w:rPr>
            <w:t>DAW</w:t>
          </w:r>
          <w:r>
            <w:rPr>
              <w:sz w:val="22"/>
              <w:lang w:val="en-US"/>
            </w:rPr>
            <w:t>/C/KWT/1-2</w:t>
          </w:r>
        </w:p>
      </w:tc>
    </w:tr>
    <w:tr w:rsidR="00000000">
      <w:tblPrEx>
        <w:tblCellMar>
          <w:top w:w="0" w:type="dxa"/>
          <w:left w:w="0" w:type="dxa"/>
          <w:bottom w:w="0" w:type="dxa"/>
          <w:right w:w="0" w:type="dxa"/>
        </w:tblCellMar>
      </w:tblPrEx>
      <w:trPr>
        <w:trHeight w:val="239"/>
      </w:trPr>
      <w:tc>
        <w:tcPr>
          <w:tcW w:w="1134" w:type="dxa"/>
        </w:tcPr>
        <w:p w:rsidR="00000000" w:rsidRDefault="00000000"/>
      </w:tc>
      <w:tc>
        <w:tcPr>
          <w:tcW w:w="5529" w:type="dxa"/>
          <w:gridSpan w:val="2"/>
        </w:tcPr>
        <w:p w:rsidR="00000000" w:rsidRDefault="00000000"/>
      </w:tc>
      <w:tc>
        <w:tcPr>
          <w:tcW w:w="2976" w:type="dxa"/>
        </w:tcPr>
        <w:p w:rsidR="00000000" w:rsidRDefault="00000000"/>
      </w:tc>
    </w:tr>
    <w:bookmarkStart w:id="1" w:name="_MON_979384112"/>
    <w:bookmarkStart w:id="2" w:name="_MON_1028637953"/>
    <w:bookmarkStart w:id="3" w:name="_MON_1028638124"/>
    <w:bookmarkStart w:id="4" w:name="_MON_1028715977"/>
    <w:bookmarkEnd w:id="1"/>
    <w:bookmarkEnd w:id="2"/>
    <w:bookmarkEnd w:id="3"/>
    <w:bookmarkEnd w:id="4"/>
    <w:tr w:rsidR="00000000">
      <w:tblPrEx>
        <w:tblCellMar>
          <w:top w:w="0" w:type="dxa"/>
          <w:left w:w="0" w:type="dxa"/>
          <w:bottom w:w="0" w:type="dxa"/>
          <w:right w:w="0" w:type="dxa"/>
        </w:tblCellMar>
      </w:tblPrEx>
      <w:trPr>
        <w:cantSplit/>
        <w:trHeight w:val="1368"/>
      </w:trPr>
      <w:tc>
        <w:tcPr>
          <w:tcW w:w="1134" w:type="dxa"/>
          <w:tcBorders>
            <w:bottom w:val="single" w:sz="8" w:space="0" w:color="auto"/>
          </w:tcBorders>
        </w:tcPr>
        <w:p w:rsidR="00000000" w:rsidRDefault="00000000">
          <w:r>
            <w:object w:dxaOrig="829" w:dyaOrig="7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75pt;height:41.25pt" o:ole="" fillcolor="window">
                <v:imagedata r:id="rId1" o:title=""/>
              </v:shape>
              <o:OLEObject Type="Embed" ProgID="Word.Picture.8" ShapeID="_x0000_i1025" DrawAspect="Content" ObjectID="_1395243352" r:id="rId2"/>
            </w:object>
          </w:r>
        </w:p>
      </w:tc>
      <w:tc>
        <w:tcPr>
          <w:tcW w:w="5529" w:type="dxa"/>
          <w:gridSpan w:val="2"/>
          <w:tcBorders>
            <w:bottom w:val="single" w:sz="8" w:space="0" w:color="auto"/>
          </w:tcBorders>
        </w:tcPr>
        <w:p w:rsidR="00000000" w:rsidRDefault="00000000">
          <w:pPr>
            <w:rPr>
              <w:b/>
              <w:sz w:val="28"/>
              <w:lang w:val="ru-RU"/>
            </w:rPr>
          </w:pPr>
          <w:r>
            <w:rPr>
              <w:b/>
              <w:sz w:val="28"/>
              <w:lang w:val="ru-RU"/>
            </w:rPr>
            <w:t xml:space="preserve">Конвенция о ликвидации </w:t>
          </w:r>
          <w:r>
            <w:rPr>
              <w:b/>
              <w:sz w:val="28"/>
              <w:lang w:val="ru-RU"/>
            </w:rPr>
            <w:br/>
            <w:t xml:space="preserve">всех форм дискриминации </w:t>
          </w:r>
          <w:r>
            <w:rPr>
              <w:b/>
              <w:sz w:val="28"/>
              <w:lang w:val="ru-RU"/>
            </w:rPr>
            <w:br/>
            <w:t>в отношении женщин</w:t>
          </w:r>
        </w:p>
      </w:tc>
      <w:tc>
        <w:tcPr>
          <w:tcW w:w="2976" w:type="dxa"/>
          <w:tcBorders>
            <w:bottom w:val="single" w:sz="8" w:space="0" w:color="auto"/>
          </w:tcBorders>
        </w:tcPr>
        <w:p w:rsidR="00000000" w:rsidRDefault="00000000">
          <w:pPr>
            <w:tabs>
              <w:tab w:val="left" w:pos="7371"/>
            </w:tabs>
            <w:spacing w:line="260" w:lineRule="exact"/>
            <w:rPr>
              <w:sz w:val="22"/>
            </w:rPr>
          </w:pPr>
          <w:r>
            <w:rPr>
              <w:sz w:val="22"/>
            </w:rPr>
            <w:t>Distr.: General</w:t>
          </w:r>
        </w:p>
        <w:p w:rsidR="00000000" w:rsidRDefault="00000000">
          <w:pPr>
            <w:tabs>
              <w:tab w:val="left" w:pos="7371"/>
            </w:tabs>
            <w:spacing w:line="220" w:lineRule="exact"/>
            <w:rPr>
              <w:sz w:val="22"/>
            </w:rPr>
          </w:pPr>
          <w:r>
            <w:rPr>
              <w:sz w:val="22"/>
            </w:rPr>
            <w:t>1 May 2003</w:t>
          </w:r>
          <w:r>
            <w:rPr>
              <w:sz w:val="22"/>
            </w:rPr>
            <w:br/>
          </w:r>
        </w:p>
        <w:p w:rsidR="00000000" w:rsidRDefault="00000000">
          <w:pPr>
            <w:tabs>
              <w:tab w:val="left" w:pos="7371"/>
            </w:tabs>
            <w:spacing w:line="260" w:lineRule="exact"/>
            <w:rPr>
              <w:sz w:val="22"/>
            </w:rPr>
          </w:pPr>
          <w:r>
            <w:rPr>
              <w:sz w:val="22"/>
            </w:rPr>
            <w:t>Russian</w:t>
          </w:r>
        </w:p>
        <w:p w:rsidR="00000000" w:rsidRDefault="00000000">
          <w:pPr>
            <w:tabs>
              <w:tab w:val="left" w:pos="7371"/>
            </w:tabs>
            <w:spacing w:line="260" w:lineRule="exact"/>
            <w:rPr>
              <w:sz w:val="22"/>
            </w:rPr>
          </w:pPr>
          <w:r>
            <w:rPr>
              <w:caps/>
              <w:sz w:val="22"/>
            </w:rPr>
            <w:t>O</w:t>
          </w:r>
          <w:r>
            <w:rPr>
              <w:sz w:val="22"/>
            </w:rPr>
            <w:t>riginal: Arabic</w:t>
          </w:r>
        </w:p>
        <w:p w:rsidR="00000000" w:rsidRDefault="00000000"/>
        <w:p w:rsidR="00000000" w:rsidRDefault="00000000"/>
        <w:p w:rsidR="00000000" w:rsidRDefault="00000000"/>
        <w:p w:rsidR="00000000" w:rsidRDefault="00000000"/>
      </w:tc>
    </w:tr>
  </w:tbl>
  <w:p w:rsidR="00000000" w:rsidRDefault="00000000">
    <w:pPr>
      <w:pStyle w:val="Header"/>
      <w:tabs>
        <w:tab w:val="clear" w:pos="4677"/>
        <w:tab w:val="center" w:pos="7020"/>
      </w:tabs>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677"/>
        <w:tab w:val="center" w:pos="7020"/>
      </w:tabs>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E33B3"/>
    <w:multiLevelType w:val="hybridMultilevel"/>
    <w:tmpl w:val="4B86CB3C"/>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93205AC"/>
    <w:multiLevelType w:val="hybridMultilevel"/>
    <w:tmpl w:val="AB9853F4"/>
    <w:lvl w:ilvl="0">
      <w:start w:val="2"/>
      <w:numFmt w:val="decimal"/>
      <w:lvlText w:val="%1."/>
      <w:lvlJc w:val="left"/>
      <w:pPr>
        <w:tabs>
          <w:tab w:val="num" w:pos="1068"/>
        </w:tabs>
        <w:ind w:left="1068" w:hanging="708"/>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9DA2572"/>
    <w:multiLevelType w:val="hybridMultilevel"/>
    <w:tmpl w:val="3DD0CA8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175A06A2"/>
    <w:multiLevelType w:val="hybridMultilevel"/>
    <w:tmpl w:val="58482CC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17AE2A6B"/>
    <w:multiLevelType w:val="hybridMultilevel"/>
    <w:tmpl w:val="720490BA"/>
    <w:lvl w:ilvl="0">
      <w:start w:val="5"/>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
    <w:nsid w:val="223C02BB"/>
    <w:multiLevelType w:val="hybridMultilevel"/>
    <w:tmpl w:val="E44A8668"/>
    <w:lvl w:ilvl="0">
      <w:start w:val="2"/>
      <w:numFmt w:val="bullet"/>
      <w:lvlText w:val="–"/>
      <w:lvlJc w:val="left"/>
      <w:pPr>
        <w:tabs>
          <w:tab w:val="num" w:pos="1068"/>
        </w:tabs>
        <w:ind w:left="1068" w:hanging="708"/>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nsid w:val="27466363"/>
    <w:multiLevelType w:val="hybridMultilevel"/>
    <w:tmpl w:val="2BBC3B0C"/>
    <w:lvl w:ilvl="0">
      <w:start w:val="1999"/>
      <w:numFmt w:val="decimal"/>
      <w:lvlText w:val="%1"/>
      <w:lvlJc w:val="left"/>
      <w:pPr>
        <w:tabs>
          <w:tab w:val="num" w:pos="6480"/>
        </w:tabs>
        <w:ind w:left="6480" w:hanging="2880"/>
      </w:pPr>
      <w:rPr>
        <w:rFonts w:hint="default"/>
      </w:rPr>
    </w:lvl>
    <w:lvl w:ilvl="1" w:tentative="1">
      <w:start w:val="1"/>
      <w:numFmt w:val="lowerLetter"/>
      <w:lvlText w:val="%2."/>
      <w:lvlJc w:val="left"/>
      <w:pPr>
        <w:tabs>
          <w:tab w:val="num" w:pos="4680"/>
        </w:tabs>
        <w:ind w:left="4680" w:hanging="360"/>
      </w:pPr>
    </w:lvl>
    <w:lvl w:ilvl="2" w:tentative="1">
      <w:start w:val="1"/>
      <w:numFmt w:val="lowerRoman"/>
      <w:lvlText w:val="%3."/>
      <w:lvlJc w:val="right"/>
      <w:pPr>
        <w:tabs>
          <w:tab w:val="num" w:pos="5400"/>
        </w:tabs>
        <w:ind w:left="5400" w:hanging="180"/>
      </w:pPr>
    </w:lvl>
    <w:lvl w:ilvl="3" w:tentative="1">
      <w:start w:val="1"/>
      <w:numFmt w:val="decimal"/>
      <w:lvlText w:val="%4."/>
      <w:lvlJc w:val="left"/>
      <w:pPr>
        <w:tabs>
          <w:tab w:val="num" w:pos="6120"/>
        </w:tabs>
        <w:ind w:left="6120" w:hanging="360"/>
      </w:pPr>
    </w:lvl>
    <w:lvl w:ilvl="4" w:tentative="1">
      <w:start w:val="1"/>
      <w:numFmt w:val="lowerLetter"/>
      <w:lvlText w:val="%5."/>
      <w:lvlJc w:val="left"/>
      <w:pPr>
        <w:tabs>
          <w:tab w:val="num" w:pos="6840"/>
        </w:tabs>
        <w:ind w:left="6840" w:hanging="360"/>
      </w:pPr>
    </w:lvl>
    <w:lvl w:ilvl="5" w:tentative="1">
      <w:start w:val="1"/>
      <w:numFmt w:val="lowerRoman"/>
      <w:lvlText w:val="%6."/>
      <w:lvlJc w:val="right"/>
      <w:pPr>
        <w:tabs>
          <w:tab w:val="num" w:pos="7560"/>
        </w:tabs>
        <w:ind w:left="7560" w:hanging="180"/>
      </w:pPr>
    </w:lvl>
    <w:lvl w:ilvl="6" w:tentative="1">
      <w:start w:val="1"/>
      <w:numFmt w:val="decimal"/>
      <w:lvlText w:val="%7."/>
      <w:lvlJc w:val="left"/>
      <w:pPr>
        <w:tabs>
          <w:tab w:val="num" w:pos="8280"/>
        </w:tabs>
        <w:ind w:left="8280" w:hanging="360"/>
      </w:pPr>
    </w:lvl>
    <w:lvl w:ilvl="7" w:tentative="1">
      <w:start w:val="1"/>
      <w:numFmt w:val="lowerLetter"/>
      <w:lvlText w:val="%8."/>
      <w:lvlJc w:val="left"/>
      <w:pPr>
        <w:tabs>
          <w:tab w:val="num" w:pos="9000"/>
        </w:tabs>
        <w:ind w:left="9000" w:hanging="360"/>
      </w:pPr>
    </w:lvl>
    <w:lvl w:ilvl="8" w:tentative="1">
      <w:start w:val="1"/>
      <w:numFmt w:val="lowerRoman"/>
      <w:lvlText w:val="%9."/>
      <w:lvlJc w:val="right"/>
      <w:pPr>
        <w:tabs>
          <w:tab w:val="num" w:pos="9720"/>
        </w:tabs>
        <w:ind w:left="9720" w:hanging="180"/>
      </w:pPr>
    </w:lvl>
  </w:abstractNum>
  <w:abstractNum w:abstractNumId="7">
    <w:nsid w:val="2B54604D"/>
    <w:multiLevelType w:val="hybridMultilevel"/>
    <w:tmpl w:val="8968C8AE"/>
    <w:lvl w:ilvl="0">
      <w:start w:val="1999"/>
      <w:numFmt w:val="decimal"/>
      <w:lvlText w:val="%1"/>
      <w:lvlJc w:val="left"/>
      <w:pPr>
        <w:tabs>
          <w:tab w:val="num" w:pos="7920"/>
        </w:tabs>
        <w:ind w:left="7920" w:hanging="2160"/>
      </w:pPr>
      <w:rPr>
        <w:rFonts w:hint="default"/>
      </w:rPr>
    </w:lvl>
    <w:lvl w:ilvl="1" w:tentative="1">
      <w:start w:val="1"/>
      <w:numFmt w:val="lowerLetter"/>
      <w:lvlText w:val="%2."/>
      <w:lvlJc w:val="left"/>
      <w:pPr>
        <w:tabs>
          <w:tab w:val="num" w:pos="6840"/>
        </w:tabs>
        <w:ind w:left="6840" w:hanging="360"/>
      </w:pPr>
    </w:lvl>
    <w:lvl w:ilvl="2" w:tentative="1">
      <w:start w:val="1"/>
      <w:numFmt w:val="lowerRoman"/>
      <w:lvlText w:val="%3."/>
      <w:lvlJc w:val="right"/>
      <w:pPr>
        <w:tabs>
          <w:tab w:val="num" w:pos="7560"/>
        </w:tabs>
        <w:ind w:left="7560" w:hanging="180"/>
      </w:pPr>
    </w:lvl>
    <w:lvl w:ilvl="3" w:tentative="1">
      <w:start w:val="1"/>
      <w:numFmt w:val="decimal"/>
      <w:lvlText w:val="%4."/>
      <w:lvlJc w:val="left"/>
      <w:pPr>
        <w:tabs>
          <w:tab w:val="num" w:pos="8280"/>
        </w:tabs>
        <w:ind w:left="8280" w:hanging="360"/>
      </w:pPr>
    </w:lvl>
    <w:lvl w:ilvl="4" w:tentative="1">
      <w:start w:val="1"/>
      <w:numFmt w:val="lowerLetter"/>
      <w:lvlText w:val="%5."/>
      <w:lvlJc w:val="left"/>
      <w:pPr>
        <w:tabs>
          <w:tab w:val="num" w:pos="9000"/>
        </w:tabs>
        <w:ind w:left="9000" w:hanging="360"/>
      </w:pPr>
    </w:lvl>
    <w:lvl w:ilvl="5" w:tentative="1">
      <w:start w:val="1"/>
      <w:numFmt w:val="lowerRoman"/>
      <w:lvlText w:val="%6."/>
      <w:lvlJc w:val="right"/>
      <w:pPr>
        <w:tabs>
          <w:tab w:val="num" w:pos="9720"/>
        </w:tabs>
        <w:ind w:left="9720" w:hanging="180"/>
      </w:pPr>
    </w:lvl>
    <w:lvl w:ilvl="6" w:tentative="1">
      <w:start w:val="1"/>
      <w:numFmt w:val="decimal"/>
      <w:lvlText w:val="%7."/>
      <w:lvlJc w:val="left"/>
      <w:pPr>
        <w:tabs>
          <w:tab w:val="num" w:pos="10440"/>
        </w:tabs>
        <w:ind w:left="10440" w:hanging="360"/>
      </w:pPr>
    </w:lvl>
    <w:lvl w:ilvl="7" w:tentative="1">
      <w:start w:val="1"/>
      <w:numFmt w:val="lowerLetter"/>
      <w:lvlText w:val="%8."/>
      <w:lvlJc w:val="left"/>
      <w:pPr>
        <w:tabs>
          <w:tab w:val="num" w:pos="11160"/>
        </w:tabs>
        <w:ind w:left="11160" w:hanging="360"/>
      </w:pPr>
    </w:lvl>
    <w:lvl w:ilvl="8" w:tentative="1">
      <w:start w:val="1"/>
      <w:numFmt w:val="lowerRoman"/>
      <w:lvlText w:val="%9."/>
      <w:lvlJc w:val="right"/>
      <w:pPr>
        <w:tabs>
          <w:tab w:val="num" w:pos="11880"/>
        </w:tabs>
        <w:ind w:left="11880" w:hanging="180"/>
      </w:pPr>
    </w:lvl>
  </w:abstractNum>
  <w:abstractNum w:abstractNumId="8">
    <w:nsid w:val="2C4042A2"/>
    <w:multiLevelType w:val="hybridMultilevel"/>
    <w:tmpl w:val="7542FA0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30630E6D"/>
    <w:multiLevelType w:val="hybridMultilevel"/>
    <w:tmpl w:val="A8F8B3E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37A03F25"/>
    <w:multiLevelType w:val="hybridMultilevel"/>
    <w:tmpl w:val="CB5E936E"/>
    <w:lvl w:ilvl="0">
      <w:start w:val="1999"/>
      <w:numFmt w:val="decimal"/>
      <w:lvlText w:val="%1"/>
      <w:lvlJc w:val="left"/>
      <w:pPr>
        <w:tabs>
          <w:tab w:val="num" w:pos="6480"/>
        </w:tabs>
        <w:ind w:left="6480" w:hanging="2160"/>
      </w:pPr>
      <w:rPr>
        <w:rFonts w:hint="default"/>
      </w:rPr>
    </w:lvl>
    <w:lvl w:ilvl="1" w:tentative="1">
      <w:start w:val="1"/>
      <w:numFmt w:val="lowerLetter"/>
      <w:lvlText w:val="%2."/>
      <w:lvlJc w:val="left"/>
      <w:pPr>
        <w:tabs>
          <w:tab w:val="num" w:pos="5400"/>
        </w:tabs>
        <w:ind w:left="5400" w:hanging="360"/>
      </w:pPr>
    </w:lvl>
    <w:lvl w:ilvl="2" w:tentative="1">
      <w:start w:val="1"/>
      <w:numFmt w:val="lowerRoman"/>
      <w:lvlText w:val="%3."/>
      <w:lvlJc w:val="right"/>
      <w:pPr>
        <w:tabs>
          <w:tab w:val="num" w:pos="6120"/>
        </w:tabs>
        <w:ind w:left="6120" w:hanging="180"/>
      </w:pPr>
    </w:lvl>
    <w:lvl w:ilvl="3" w:tentative="1">
      <w:start w:val="1"/>
      <w:numFmt w:val="decimal"/>
      <w:lvlText w:val="%4."/>
      <w:lvlJc w:val="left"/>
      <w:pPr>
        <w:tabs>
          <w:tab w:val="num" w:pos="6840"/>
        </w:tabs>
        <w:ind w:left="6840" w:hanging="360"/>
      </w:pPr>
    </w:lvl>
    <w:lvl w:ilvl="4" w:tentative="1">
      <w:start w:val="1"/>
      <w:numFmt w:val="lowerLetter"/>
      <w:lvlText w:val="%5."/>
      <w:lvlJc w:val="left"/>
      <w:pPr>
        <w:tabs>
          <w:tab w:val="num" w:pos="7560"/>
        </w:tabs>
        <w:ind w:left="7560" w:hanging="360"/>
      </w:pPr>
    </w:lvl>
    <w:lvl w:ilvl="5" w:tentative="1">
      <w:start w:val="1"/>
      <w:numFmt w:val="lowerRoman"/>
      <w:lvlText w:val="%6."/>
      <w:lvlJc w:val="right"/>
      <w:pPr>
        <w:tabs>
          <w:tab w:val="num" w:pos="8280"/>
        </w:tabs>
        <w:ind w:left="8280" w:hanging="180"/>
      </w:pPr>
    </w:lvl>
    <w:lvl w:ilvl="6" w:tentative="1">
      <w:start w:val="1"/>
      <w:numFmt w:val="decimal"/>
      <w:lvlText w:val="%7."/>
      <w:lvlJc w:val="left"/>
      <w:pPr>
        <w:tabs>
          <w:tab w:val="num" w:pos="9000"/>
        </w:tabs>
        <w:ind w:left="9000" w:hanging="360"/>
      </w:pPr>
    </w:lvl>
    <w:lvl w:ilvl="7" w:tentative="1">
      <w:start w:val="1"/>
      <w:numFmt w:val="lowerLetter"/>
      <w:lvlText w:val="%8."/>
      <w:lvlJc w:val="left"/>
      <w:pPr>
        <w:tabs>
          <w:tab w:val="num" w:pos="9720"/>
        </w:tabs>
        <w:ind w:left="9720" w:hanging="360"/>
      </w:pPr>
    </w:lvl>
    <w:lvl w:ilvl="8" w:tentative="1">
      <w:start w:val="1"/>
      <w:numFmt w:val="lowerRoman"/>
      <w:lvlText w:val="%9."/>
      <w:lvlJc w:val="right"/>
      <w:pPr>
        <w:tabs>
          <w:tab w:val="num" w:pos="10440"/>
        </w:tabs>
        <w:ind w:left="10440" w:hanging="180"/>
      </w:pPr>
    </w:lvl>
  </w:abstractNum>
  <w:abstractNum w:abstractNumId="11">
    <w:nsid w:val="41BD30F1"/>
    <w:multiLevelType w:val="hybridMultilevel"/>
    <w:tmpl w:val="7BF01234"/>
    <w:lvl w:ilvl="0">
      <w:start w:val="3"/>
      <w:numFmt w:val="upperRoman"/>
      <w:lvlText w:val="%1."/>
      <w:lvlJc w:val="left"/>
      <w:pPr>
        <w:tabs>
          <w:tab w:val="num" w:pos="1080"/>
        </w:tabs>
        <w:ind w:left="1080" w:hanging="720"/>
      </w:pPr>
      <w:rPr>
        <w:rFonts w:hint="default"/>
      </w:rPr>
    </w:lvl>
    <w:lvl w:ilvl="1">
      <w:start w:val="1"/>
      <w:numFmt w:val="decimal"/>
      <w:lvlText w:val="%2."/>
      <w:lvlJc w:val="left"/>
      <w:pPr>
        <w:tabs>
          <w:tab w:val="num" w:pos="1440"/>
        </w:tabs>
        <w:ind w:left="1440" w:hanging="360"/>
      </w:pPr>
      <w:rPr>
        <w:rFonts w:hint="default"/>
      </w:rPr>
    </w:lvl>
    <w:lvl w:ilvl="2">
      <w:start w:val="1"/>
      <w:numFmt w:val="bullet"/>
      <w:lvlText w:val="-"/>
      <w:lvlJc w:val="left"/>
      <w:pPr>
        <w:tabs>
          <w:tab w:val="num" w:pos="2340"/>
        </w:tabs>
        <w:ind w:left="2340" w:hanging="360"/>
      </w:pPr>
      <w:rPr>
        <w:rFonts w:ascii="Times New Roman" w:eastAsia="Times New Roman" w:hAnsi="Times New Roman" w:cs="Times New Roman" w:hint="default"/>
      </w:rPr>
    </w:lvl>
    <w:lvl w:ilvl="3">
      <w:numFmt w:val="bullet"/>
      <w:lvlText w:val=""/>
      <w:lvlJc w:val="left"/>
      <w:pPr>
        <w:tabs>
          <w:tab w:val="num" w:pos="2880"/>
        </w:tabs>
        <w:ind w:left="2880" w:hanging="360"/>
      </w:pPr>
      <w:rPr>
        <w:rFonts w:ascii="Symbol" w:eastAsia="Times New Roman" w:hAnsi="Symbol" w:cs="Times New Roman"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46DE7898"/>
    <w:multiLevelType w:val="hybridMultilevel"/>
    <w:tmpl w:val="161EE3A2"/>
    <w:lvl w:ilvl="0">
      <w:start w:val="1"/>
      <w:numFmt w:val="decimal"/>
      <w:lvlText w:val="%1."/>
      <w:lvlJc w:val="left"/>
      <w:pPr>
        <w:tabs>
          <w:tab w:val="num" w:pos="1068"/>
        </w:tabs>
        <w:ind w:left="1068" w:hanging="708"/>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4A270D80"/>
    <w:multiLevelType w:val="hybridMultilevel"/>
    <w:tmpl w:val="CE18ED9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4CAF2567"/>
    <w:multiLevelType w:val="hybridMultilevel"/>
    <w:tmpl w:val="E8CEE89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4D5F72DB"/>
    <w:multiLevelType w:val="hybridMultilevel"/>
    <w:tmpl w:val="6172EDC0"/>
    <w:lvl w:ilvl="0">
      <w:start w:val="1"/>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54145194"/>
    <w:multiLevelType w:val="hybridMultilevel"/>
    <w:tmpl w:val="8D9AC8E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571D2D1D"/>
    <w:multiLevelType w:val="hybridMultilevel"/>
    <w:tmpl w:val="FBEE739C"/>
    <w:lvl w:ilvl="0">
      <w:start w:val="1999"/>
      <w:numFmt w:val="decimal"/>
      <w:lvlText w:val="%1"/>
      <w:lvlJc w:val="left"/>
      <w:pPr>
        <w:tabs>
          <w:tab w:val="num" w:pos="7200"/>
        </w:tabs>
        <w:ind w:left="7200" w:hanging="2160"/>
      </w:pPr>
      <w:rPr>
        <w:rFonts w:hint="default"/>
      </w:rPr>
    </w:lvl>
    <w:lvl w:ilvl="1" w:tentative="1">
      <w:start w:val="1"/>
      <w:numFmt w:val="lowerLetter"/>
      <w:lvlText w:val="%2."/>
      <w:lvlJc w:val="left"/>
      <w:pPr>
        <w:tabs>
          <w:tab w:val="num" w:pos="6120"/>
        </w:tabs>
        <w:ind w:left="6120" w:hanging="360"/>
      </w:pPr>
    </w:lvl>
    <w:lvl w:ilvl="2" w:tentative="1">
      <w:start w:val="1"/>
      <w:numFmt w:val="lowerRoman"/>
      <w:lvlText w:val="%3."/>
      <w:lvlJc w:val="right"/>
      <w:pPr>
        <w:tabs>
          <w:tab w:val="num" w:pos="6840"/>
        </w:tabs>
        <w:ind w:left="6840" w:hanging="180"/>
      </w:pPr>
    </w:lvl>
    <w:lvl w:ilvl="3" w:tentative="1">
      <w:start w:val="1"/>
      <w:numFmt w:val="decimal"/>
      <w:lvlText w:val="%4."/>
      <w:lvlJc w:val="left"/>
      <w:pPr>
        <w:tabs>
          <w:tab w:val="num" w:pos="7560"/>
        </w:tabs>
        <w:ind w:left="7560" w:hanging="360"/>
      </w:pPr>
    </w:lvl>
    <w:lvl w:ilvl="4" w:tentative="1">
      <w:start w:val="1"/>
      <w:numFmt w:val="lowerLetter"/>
      <w:lvlText w:val="%5."/>
      <w:lvlJc w:val="left"/>
      <w:pPr>
        <w:tabs>
          <w:tab w:val="num" w:pos="8280"/>
        </w:tabs>
        <w:ind w:left="8280" w:hanging="360"/>
      </w:pPr>
    </w:lvl>
    <w:lvl w:ilvl="5" w:tentative="1">
      <w:start w:val="1"/>
      <w:numFmt w:val="lowerRoman"/>
      <w:lvlText w:val="%6."/>
      <w:lvlJc w:val="right"/>
      <w:pPr>
        <w:tabs>
          <w:tab w:val="num" w:pos="9000"/>
        </w:tabs>
        <w:ind w:left="9000" w:hanging="180"/>
      </w:pPr>
    </w:lvl>
    <w:lvl w:ilvl="6" w:tentative="1">
      <w:start w:val="1"/>
      <w:numFmt w:val="decimal"/>
      <w:lvlText w:val="%7."/>
      <w:lvlJc w:val="left"/>
      <w:pPr>
        <w:tabs>
          <w:tab w:val="num" w:pos="9720"/>
        </w:tabs>
        <w:ind w:left="9720" w:hanging="360"/>
      </w:pPr>
    </w:lvl>
    <w:lvl w:ilvl="7" w:tentative="1">
      <w:start w:val="1"/>
      <w:numFmt w:val="lowerLetter"/>
      <w:lvlText w:val="%8."/>
      <w:lvlJc w:val="left"/>
      <w:pPr>
        <w:tabs>
          <w:tab w:val="num" w:pos="10440"/>
        </w:tabs>
        <w:ind w:left="10440" w:hanging="360"/>
      </w:pPr>
    </w:lvl>
    <w:lvl w:ilvl="8" w:tentative="1">
      <w:start w:val="1"/>
      <w:numFmt w:val="lowerRoman"/>
      <w:lvlText w:val="%9."/>
      <w:lvlJc w:val="right"/>
      <w:pPr>
        <w:tabs>
          <w:tab w:val="num" w:pos="11160"/>
        </w:tabs>
        <w:ind w:left="11160" w:hanging="180"/>
      </w:pPr>
    </w:lvl>
  </w:abstractNum>
  <w:abstractNum w:abstractNumId="18">
    <w:nsid w:val="59F26B50"/>
    <w:multiLevelType w:val="hybridMultilevel"/>
    <w:tmpl w:val="E758BF2A"/>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5C7542DB"/>
    <w:multiLevelType w:val="hybridMultilevel"/>
    <w:tmpl w:val="F200921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5EC14FBD"/>
    <w:multiLevelType w:val="hybridMultilevel"/>
    <w:tmpl w:val="F5D0B0CC"/>
    <w:lvl w:ilvl="0">
      <w:start w:val="3"/>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nsid w:val="63AD4227"/>
    <w:multiLevelType w:val="hybridMultilevel"/>
    <w:tmpl w:val="9E048D26"/>
    <w:lvl w:ilvl="0">
      <w:start w:val="1"/>
      <w:numFmt w:val="decimal"/>
      <w:lvlText w:val="%1."/>
      <w:lvlJc w:val="left"/>
      <w:pPr>
        <w:tabs>
          <w:tab w:val="num" w:pos="1068"/>
        </w:tabs>
        <w:ind w:left="1068" w:hanging="708"/>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69577855"/>
    <w:multiLevelType w:val="hybridMultilevel"/>
    <w:tmpl w:val="0660FE00"/>
    <w:lvl w:ilvl="0">
      <w:start w:val="3"/>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nsid w:val="6D14744D"/>
    <w:multiLevelType w:val="hybridMultilevel"/>
    <w:tmpl w:val="9D741D1C"/>
    <w:lvl w:ilvl="0">
      <w:start w:val="1"/>
      <w:numFmt w:val="decimal"/>
      <w:lvlText w:val="%1."/>
      <w:lvlJc w:val="left"/>
      <w:pPr>
        <w:tabs>
          <w:tab w:val="num" w:pos="1068"/>
        </w:tabs>
        <w:ind w:left="1068" w:hanging="708"/>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76987BE6"/>
    <w:multiLevelType w:val="hybridMultilevel"/>
    <w:tmpl w:val="8840A14E"/>
    <w:lvl w:ilvl="0">
      <w:start w:val="6"/>
      <w:numFmt w:val="decimal"/>
      <w:lvlText w:val="%1."/>
      <w:lvlJc w:val="left"/>
      <w:pPr>
        <w:tabs>
          <w:tab w:val="num" w:pos="1068"/>
        </w:tabs>
        <w:ind w:left="1068" w:hanging="708"/>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7A0E3C65"/>
    <w:multiLevelType w:val="hybridMultilevel"/>
    <w:tmpl w:val="1CCC44E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7E777F64"/>
    <w:multiLevelType w:val="hybridMultilevel"/>
    <w:tmpl w:val="D4545954"/>
    <w:lvl w:ilvl="0">
      <w:start w:val="3"/>
      <w:numFmt w:val="bullet"/>
      <w:lvlText w:val="–"/>
      <w:lvlJc w:val="left"/>
      <w:pPr>
        <w:tabs>
          <w:tab w:val="num" w:pos="1080"/>
        </w:tabs>
        <w:ind w:left="1080" w:hanging="72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nsid w:val="7F941E79"/>
    <w:multiLevelType w:val="hybridMultilevel"/>
    <w:tmpl w:val="D9F89ADE"/>
    <w:lvl w:ilvl="0">
      <w:start w:val="1"/>
      <w:numFmt w:val="decimal"/>
      <w:lvlText w:val="%1."/>
      <w:lvlJc w:val="left"/>
      <w:pPr>
        <w:tabs>
          <w:tab w:val="num" w:pos="1068"/>
        </w:tabs>
        <w:ind w:left="1068" w:hanging="708"/>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4"/>
  </w:num>
  <w:num w:numId="2">
    <w:abstractNumId w:val="16"/>
  </w:num>
  <w:num w:numId="3">
    <w:abstractNumId w:val="0"/>
  </w:num>
  <w:num w:numId="4">
    <w:abstractNumId w:val="19"/>
  </w:num>
  <w:num w:numId="5">
    <w:abstractNumId w:val="25"/>
  </w:num>
  <w:num w:numId="6">
    <w:abstractNumId w:val="9"/>
  </w:num>
  <w:num w:numId="7">
    <w:abstractNumId w:val="13"/>
  </w:num>
  <w:num w:numId="8">
    <w:abstractNumId w:val="14"/>
  </w:num>
  <w:num w:numId="9">
    <w:abstractNumId w:val="11"/>
  </w:num>
  <w:num w:numId="10">
    <w:abstractNumId w:val="2"/>
  </w:num>
  <w:num w:numId="11">
    <w:abstractNumId w:val="15"/>
  </w:num>
  <w:num w:numId="12">
    <w:abstractNumId w:val="5"/>
  </w:num>
  <w:num w:numId="13">
    <w:abstractNumId w:val="20"/>
  </w:num>
  <w:num w:numId="14">
    <w:abstractNumId w:val="3"/>
  </w:num>
  <w:num w:numId="15">
    <w:abstractNumId w:val="7"/>
  </w:num>
  <w:num w:numId="16">
    <w:abstractNumId w:val="6"/>
  </w:num>
  <w:num w:numId="17">
    <w:abstractNumId w:val="17"/>
  </w:num>
  <w:num w:numId="18">
    <w:abstractNumId w:val="10"/>
  </w:num>
  <w:num w:numId="19">
    <w:abstractNumId w:val="22"/>
  </w:num>
  <w:num w:numId="20">
    <w:abstractNumId w:val="18"/>
  </w:num>
  <w:num w:numId="21">
    <w:abstractNumId w:val="26"/>
  </w:num>
  <w:num w:numId="22">
    <w:abstractNumId w:val="1"/>
  </w:num>
  <w:num w:numId="23">
    <w:abstractNumId w:val="12"/>
  </w:num>
  <w:num w:numId="24">
    <w:abstractNumId w:val="8"/>
  </w:num>
  <w:num w:numId="25">
    <w:abstractNumId w:val="24"/>
  </w:num>
  <w:num w:numId="26">
    <w:abstractNumId w:val="23"/>
  </w:num>
  <w:num w:numId="27">
    <w:abstractNumId w:val="27"/>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88"/>
  <w:activeWritingStyle w:appName="MSWord" w:lang="ru-RU" w:vendorID="1" w:dllVersion="512" w:checkStyle="1"/>
  <w:doNotTrackMoves/>
  <w:defaultTabStop w:val="318"/>
  <w:evenAndOddHeaders/>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rPr>
      <w:lang w:val="en-US" w:eastAsia="ru-RU"/>
    </w:rPr>
  </w:style>
  <w:style w:type="paragraph" w:styleId="Heading1">
    <w:name w:val="heading 1"/>
    <w:basedOn w:val="Normal"/>
    <w:next w:val="Normal"/>
    <w:qFormat/>
    <w:pPr>
      <w:keepNext/>
      <w:tabs>
        <w:tab w:val="left" w:pos="680"/>
      </w:tabs>
      <w:spacing w:before="360" w:after="240"/>
      <w:outlineLvl w:val="0"/>
    </w:pPr>
    <w:rPr>
      <w:b/>
      <w:sz w:val="22"/>
      <w:lang w:val="ru-RU"/>
    </w:rPr>
  </w:style>
  <w:style w:type="paragraph" w:styleId="Heading2">
    <w:name w:val="heading 2"/>
    <w:basedOn w:val="Normal"/>
    <w:next w:val="Normal"/>
    <w:qFormat/>
    <w:pPr>
      <w:keepNext/>
      <w:spacing w:line="480" w:lineRule="auto"/>
      <w:jc w:val="center"/>
      <w:outlineLvl w:val="1"/>
    </w:pPr>
    <w:rPr>
      <w:b/>
      <w:bCs/>
      <w:sz w:val="24"/>
      <w:lang w:val="ru-RU"/>
    </w:rPr>
  </w:style>
  <w:style w:type="paragraph" w:styleId="Heading3">
    <w:name w:val="heading 3"/>
    <w:basedOn w:val="Normal"/>
    <w:next w:val="Normal"/>
    <w:qFormat/>
    <w:pPr>
      <w:keepNext/>
      <w:spacing w:line="480" w:lineRule="auto"/>
      <w:jc w:val="both"/>
      <w:outlineLvl w:val="2"/>
    </w:pPr>
    <w:rPr>
      <w:b/>
      <w:sz w:val="24"/>
      <w:lang w:val="ru-RU"/>
    </w:rPr>
  </w:style>
  <w:style w:type="paragraph" w:styleId="Heading4">
    <w:name w:val="heading 4"/>
    <w:basedOn w:val="Normal"/>
    <w:next w:val="Normal"/>
    <w:qFormat/>
    <w:pPr>
      <w:keepNext/>
      <w:spacing w:line="480" w:lineRule="auto"/>
      <w:jc w:val="both"/>
      <w:outlineLvl w:val="3"/>
    </w:pPr>
    <w:rPr>
      <w:sz w:val="24"/>
      <w:lang w:val="ru-RU"/>
    </w:rPr>
  </w:style>
  <w:style w:type="paragraph" w:styleId="Heading5">
    <w:name w:val="heading 5"/>
    <w:basedOn w:val="Normal"/>
    <w:next w:val="Normal"/>
    <w:qFormat/>
    <w:pPr>
      <w:keepNext/>
      <w:jc w:val="both"/>
      <w:outlineLvl w:val="4"/>
    </w:pPr>
    <w:rPr>
      <w:b/>
      <w:sz w:val="24"/>
      <w:u w:val="single"/>
      <w:lang w:val="ru-RU"/>
    </w:rPr>
  </w:style>
  <w:style w:type="paragraph" w:styleId="Heading6">
    <w:name w:val="heading 6"/>
    <w:basedOn w:val="Normal"/>
    <w:next w:val="Normal"/>
    <w:qFormat/>
    <w:pPr>
      <w:keepNext/>
      <w:spacing w:line="480" w:lineRule="auto"/>
      <w:jc w:val="both"/>
      <w:outlineLvl w:val="5"/>
    </w:pPr>
    <w:rPr>
      <w:b/>
      <w:bCs/>
      <w:i/>
      <w:iCs/>
      <w:sz w:val="24"/>
      <w:lang w:val="ru-RU"/>
    </w:rPr>
  </w:style>
  <w:style w:type="paragraph" w:styleId="Heading7">
    <w:name w:val="heading 7"/>
    <w:basedOn w:val="Normal"/>
    <w:next w:val="Normal"/>
    <w:qFormat/>
    <w:pPr>
      <w:keepNext/>
      <w:tabs>
        <w:tab w:val="left" w:pos="680"/>
      </w:tabs>
      <w:spacing w:before="240" w:after="120" w:line="260" w:lineRule="exact"/>
      <w:jc w:val="both"/>
      <w:outlineLvl w:val="6"/>
    </w:pPr>
    <w:rPr>
      <w:b/>
      <w:i/>
      <w:sz w:val="22"/>
      <w:lang w:val="ru-RU"/>
    </w:rPr>
  </w:style>
  <w:style w:type="paragraph" w:styleId="Heading8">
    <w:name w:val="heading 8"/>
    <w:basedOn w:val="Normal"/>
    <w:next w:val="Normal"/>
    <w:qFormat/>
    <w:pPr>
      <w:keepNext/>
      <w:tabs>
        <w:tab w:val="left" w:pos="680"/>
      </w:tabs>
      <w:spacing w:after="120" w:line="260" w:lineRule="exact"/>
      <w:jc w:val="both"/>
      <w:outlineLvl w:val="7"/>
    </w:pPr>
    <w:rPr>
      <w:i/>
      <w:sz w:val="22"/>
      <w:lang w:val="ru-RU"/>
    </w:rPr>
  </w:style>
  <w:style w:type="paragraph" w:styleId="Heading9">
    <w:name w:val="heading 9"/>
    <w:basedOn w:val="Normal"/>
    <w:next w:val="Normal"/>
    <w:qFormat/>
    <w:pPr>
      <w:keepNext/>
      <w:tabs>
        <w:tab w:val="left" w:pos="1701"/>
      </w:tabs>
      <w:overflowPunct/>
      <w:autoSpaceDE/>
      <w:autoSpaceDN/>
      <w:adjustRightInd/>
      <w:spacing w:after="120"/>
      <w:ind w:left="1247" w:right="1247" w:firstLine="709"/>
      <w:jc w:val="right"/>
      <w:textAlignment w:val="auto"/>
      <w:outlineLvl w:val="8"/>
    </w:pPr>
    <w:rPr>
      <w:sz w:val="24"/>
      <w:szCs w:val="24"/>
      <w:lang w:val="ru-RU" w:eastAsia="zh-TW"/>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677"/>
        <w:tab w:val="right" w:pos="9355"/>
      </w:tabs>
    </w:pPr>
  </w:style>
  <w:style w:type="character" w:styleId="PageNumber">
    <w:name w:val="page number"/>
    <w:basedOn w:val="DefaultParagraphFont"/>
    <w:semiHidden/>
  </w:style>
  <w:style w:type="paragraph" w:styleId="BodyTextIndent">
    <w:name w:val="Body Text Indent"/>
    <w:basedOn w:val="Normal"/>
    <w:semiHidden/>
    <w:pPr>
      <w:ind w:left="360"/>
      <w:jc w:val="both"/>
    </w:pPr>
  </w:style>
  <w:style w:type="paragraph" w:styleId="BodyTextIndent2">
    <w:name w:val="Body Text Indent 2"/>
    <w:basedOn w:val="Normal"/>
    <w:semiHidden/>
    <w:pPr>
      <w:ind w:left="360"/>
      <w:jc w:val="both"/>
    </w:pPr>
    <w:rPr>
      <w:b/>
      <w:bCs/>
    </w:rPr>
  </w:style>
  <w:style w:type="paragraph" w:styleId="BodyText">
    <w:name w:val="Body Text"/>
    <w:basedOn w:val="Normal"/>
    <w:semiHidden/>
    <w:pPr>
      <w:tabs>
        <w:tab w:val="left" w:pos="680"/>
        <w:tab w:val="left" w:pos="1021"/>
      </w:tabs>
      <w:spacing w:after="240" w:line="260" w:lineRule="exact"/>
      <w:jc w:val="both"/>
    </w:pPr>
    <w:rPr>
      <w:lang w:val="ru-RU"/>
    </w:rPr>
  </w:style>
  <w:style w:type="paragraph" w:styleId="BodyText2">
    <w:name w:val="Body Text 2"/>
    <w:basedOn w:val="Normal"/>
    <w:semiHidden/>
    <w:pPr>
      <w:jc w:val="center"/>
    </w:pPr>
    <w:rPr>
      <w:sz w:val="24"/>
    </w:rPr>
  </w:style>
  <w:style w:type="paragraph" w:styleId="BodyTextIndent3">
    <w:name w:val="Body Text Indent 3"/>
    <w:basedOn w:val="Normal"/>
    <w:semiHidden/>
    <w:pPr>
      <w:ind w:left="360"/>
      <w:jc w:val="both"/>
    </w:pPr>
    <w:rPr>
      <w:sz w:val="28"/>
    </w:rPr>
  </w:style>
  <w:style w:type="paragraph" w:styleId="BodyText3">
    <w:name w:val="Body Text 3"/>
    <w:basedOn w:val="Normal"/>
    <w:semiHidden/>
    <w:rPr>
      <w:b/>
      <w:bCs/>
      <w:sz w:val="24"/>
      <w:lang w:val="ru-RU"/>
    </w:rPr>
  </w:style>
  <w:style w:type="paragraph" w:styleId="Header">
    <w:name w:val="header"/>
    <w:basedOn w:val="Normal"/>
    <w:semiHidden/>
    <w:pPr>
      <w:tabs>
        <w:tab w:val="center" w:pos="4677"/>
        <w:tab w:val="right" w:pos="9355"/>
      </w:tabs>
    </w:pPr>
  </w:style>
  <w:style w:type="paragraph" w:customStyle="1" w:styleId="FR1">
    <w:name w:val="FR1"/>
    <w:pPr>
      <w:widowControl w:val="0"/>
      <w:autoSpaceDE w:val="0"/>
      <w:autoSpaceDN w:val="0"/>
      <w:adjustRightInd w:val="0"/>
    </w:pPr>
    <w:rPr>
      <w:sz w:val="22"/>
      <w:szCs w:val="22"/>
      <w:lang w:val="en-US" w:eastAsia="ru-RU"/>
    </w:rPr>
  </w:style>
  <w:style w:type="paragraph" w:customStyle="1" w:styleId="a">
    <w:name w:val="а)"/>
    <w:aliases w:val="в)"/>
    <w:pPr>
      <w:tabs>
        <w:tab w:val="left" w:pos="680"/>
        <w:tab w:val="left" w:pos="1021"/>
      </w:tabs>
      <w:spacing w:after="120" w:line="260" w:lineRule="exact"/>
      <w:ind w:left="1021" w:hanging="1021"/>
      <w:jc w:val="both"/>
    </w:pPr>
    <w:rPr>
      <w:lang w:val="ru-RU" w:eastAsia="ru-RU"/>
    </w:rPr>
  </w:style>
  <w:style w:type="paragraph" w:customStyle="1" w:styleId="i">
    <w:name w:val="i."/>
    <w:basedOn w:val="a"/>
    <w:pPr>
      <w:tabs>
        <w:tab w:val="left" w:pos="1361"/>
      </w:tabs>
      <w:spacing w:before="240" w:after="0"/>
      <w:ind w:left="1361" w:hanging="1361"/>
    </w:pPr>
    <w:rPr>
      <w:i/>
    </w:rPr>
  </w:style>
  <w:style w:type="paragraph" w:customStyle="1" w:styleId="Text">
    <w:name w:val="Text"/>
    <w:pPr>
      <w:spacing w:after="240" w:line="260" w:lineRule="exact"/>
      <w:jc w:val="both"/>
    </w:pPr>
    <w:rPr>
      <w:bCs/>
      <w:sz w:val="22"/>
      <w:lang w:val="ru-RU" w:eastAsia="ru-RU"/>
    </w:rPr>
  </w:style>
  <w:style w:type="character" w:styleId="Hyperlink">
    <w:name w:val="Hyperlink"/>
    <w:semiHidden/>
    <w:rPr>
      <w:color w:val="0000FF"/>
      <w:u w:val="none"/>
    </w:rPr>
  </w:style>
  <w:style w:type="paragraph" w:customStyle="1" w:styleId="-">
    <w:name w:val="Заг-табл."/>
    <w:pPr>
      <w:spacing w:after="120"/>
      <w:jc w:val="center"/>
    </w:pPr>
    <w:rPr>
      <w:b/>
      <w:lang w:val="ru-RU" w:eastAsia="ru-RU"/>
    </w:rPr>
  </w:style>
  <w:style w:type="character" w:styleId="FootnoteReference">
    <w:name w:val="footnote reference"/>
    <w:semiHidden/>
    <w:rPr>
      <w:vertAlign w:val="superscript"/>
    </w:rPr>
  </w:style>
  <w:style w:type="paragraph" w:customStyle="1" w:styleId="a0">
    <w:name w:val="источник"/>
    <w:pPr>
      <w:spacing w:before="120"/>
      <w:jc w:val="both"/>
    </w:pPr>
    <w:rPr>
      <w:lang w:val="ru-RU" w:eastAsia="ru-RU"/>
    </w:rPr>
  </w:style>
  <w:style w:type="paragraph" w:customStyle="1" w:styleId="a1">
    <w:name w:val="сноска"/>
    <w:pPr>
      <w:spacing w:before="40" w:line="220" w:lineRule="exact"/>
      <w:jc w:val="both"/>
    </w:pPr>
    <w:rPr>
      <w:iCs/>
      <w:sz w:val="18"/>
      <w:lang w:val="ru-RU" w:eastAsia="ru-RU"/>
    </w:rPr>
  </w:style>
  <w:style w:type="paragraph" w:customStyle="1" w:styleId="a2">
    <w:name w:val="Таблица"/>
    <w:pPr>
      <w:spacing w:before="40" w:after="40"/>
    </w:pPr>
    <w:rPr>
      <w:lang w:val="ru-RU" w:eastAsia="ru-RU"/>
    </w:rPr>
  </w:style>
  <w:style w:type="paragraph" w:styleId="PlainText">
    <w:name w:val="Plain Text"/>
    <w:basedOn w:val="Normal"/>
    <w:semiHidden/>
    <w:rPr>
      <w:rFonts w:ascii="Courier" w:hAnsi="Courier"/>
      <w:lang w:val="ru-RU"/>
    </w:rPr>
  </w:style>
  <w:style w:type="paragraph" w:styleId="FootnoteText">
    <w:name w:val="footnote text"/>
    <w:basedOn w:val="Normal"/>
    <w:semiHidden/>
  </w:style>
  <w:style w:type="paragraph" w:customStyle="1" w:styleId="a3">
    <w:name w:val="Точка"/>
    <w:pPr>
      <w:tabs>
        <w:tab w:val="left" w:pos="340"/>
      </w:tabs>
      <w:spacing w:after="240" w:line="240" w:lineRule="exact"/>
      <w:ind w:left="680" w:hanging="340"/>
      <w:jc w:val="both"/>
    </w:pPr>
    <w:rPr>
      <w:sz w:val="22"/>
      <w:lang w:val="ru-RU" w:eastAsia="ru-RU"/>
    </w:rPr>
  </w:style>
  <w:style w:type="paragraph" w:customStyle="1" w:styleId="-0">
    <w:name w:val="заг-Часть"/>
    <w:pPr>
      <w:spacing w:after="240"/>
      <w:jc w:val="center"/>
    </w:pPr>
    <w:rPr>
      <w:b/>
      <w:lang w:val="ru-RU" w:eastAsia="ru-RU"/>
    </w:rPr>
  </w:style>
  <w:style w:type="paragraph" w:customStyle="1" w:styleId="--">
    <w:name w:val="заг-Назв-части"/>
    <w:pPr>
      <w:spacing w:after="240"/>
      <w:jc w:val="center"/>
    </w:pPr>
    <w:rPr>
      <w:caps/>
      <w:lang w:val="ru-RU" w:eastAsia="ru-RU"/>
    </w:rPr>
  </w:style>
  <w:style w:type="paragraph" w:customStyle="1" w:styleId="-A-B">
    <w:name w:val="заг-A-B"/>
    <w:pPr>
      <w:spacing w:after="240"/>
      <w:jc w:val="center"/>
    </w:pPr>
    <w:rPr>
      <w:b/>
      <w:lang w:val="ru-RU" w:eastAsia="ru-RU"/>
    </w:rPr>
  </w:style>
  <w:style w:type="paragraph" w:customStyle="1" w:styleId="-9">
    <w:name w:val="таб-9"/>
    <w:pPr>
      <w:jc w:val="center"/>
    </w:pPr>
    <w:rPr>
      <w:sz w:val="18"/>
      <w:lang w:val="ru-RU" w:eastAsia="ru-RU"/>
    </w:rPr>
  </w:style>
  <w:style w:type="paragraph" w:customStyle="1" w:styleId="-1">
    <w:name w:val="заг-Статья"/>
    <w:pPr>
      <w:spacing w:after="240" w:line="260" w:lineRule="exact"/>
    </w:pPr>
    <w:rPr>
      <w:b/>
      <w:i/>
      <w:iCs/>
      <w:lang w:val="ru-RU" w:eastAsia="ru-RU"/>
    </w:rPr>
  </w:style>
  <w:style w:type="character" w:styleId="CommentReference">
    <w:name w:val="annotation reference"/>
    <w:semiHidden/>
    <w:rPr>
      <w:sz w:val="16"/>
    </w:rPr>
  </w:style>
  <w:style w:type="paragraph" w:styleId="CommentText">
    <w:name w:val="annotation text"/>
    <w:basedOn w:val="Normal"/>
    <w:semiHidden/>
  </w:style>
  <w:style w:type="character" w:styleId="Strong">
    <w:name w:val="Strong"/>
    <w:qFormat/>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600</TotalTime>
  <Pages>1</Pages>
  <Words>34721</Words>
  <Characters>197913</Characters>
  <Application>Microsoft Office Word</Application>
  <DocSecurity>4</DocSecurity>
  <Lines>1649</Lines>
  <Paragraphs>395</Paragraphs>
  <ScaleCrop>false</ScaleCrop>
  <HeadingPairs>
    <vt:vector size="2" baseType="variant">
      <vt:variant>
        <vt:lpstr>Title</vt:lpstr>
      </vt:variant>
      <vt:variant>
        <vt:i4>1</vt:i4>
      </vt:variant>
    </vt:vector>
  </HeadingPairs>
  <TitlesOfParts>
    <vt:vector size="1" baseType="lpstr">
      <vt:lpstr>Содержание</vt:lpstr>
    </vt:vector>
  </TitlesOfParts>
  <Company>Home</Company>
  <LinksUpToDate>false</LinksUpToDate>
  <CharactersWithSpaces>243051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Содержание</dc:title>
  <dc:subject/>
  <dc:creator>Julia</dc:creator>
  <cp:keywords/>
  <dc:description/>
  <cp:lastModifiedBy>DGAACS User</cp:lastModifiedBy>
  <cp:revision>83</cp:revision>
  <cp:lastPrinted>2003-09-18T09:28:00Z</cp:lastPrinted>
  <dcterms:created xsi:type="dcterms:W3CDTF">2003-08-28T08:38:00Z</dcterms:created>
  <dcterms:modified xsi:type="dcterms:W3CDTF">2003-09-30T05:30:00Z</dcterms:modified>
</cp:coreProperties>
</file>