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54A93">
      <w:pPr>
        <w:spacing w:after="320"/>
        <w:rPr>
          <w:rFonts w:hint="eastAsia"/>
        </w:rPr>
      </w:pPr>
      <w:r>
        <w:rPr>
          <w:rFonts w:hint="eastAsia"/>
        </w:rPr>
        <w:t>禁止酷刑委员会</w:t>
      </w:r>
    </w:p>
    <w:p w:rsidR="00000000" w:rsidRDefault="00954A93">
      <w:pPr>
        <w:spacing w:after="320"/>
        <w:rPr>
          <w:rFonts w:hint="eastAsia"/>
        </w:rPr>
      </w:pPr>
    </w:p>
    <w:p w:rsidR="00000000" w:rsidRDefault="00954A93">
      <w:pPr>
        <w:pStyle w:val="Heading2"/>
        <w:rPr>
          <w:rFonts w:hint="eastAsia"/>
        </w:rPr>
      </w:pPr>
      <w:r>
        <w:rPr>
          <w:rFonts w:hint="eastAsia"/>
        </w:rPr>
        <w:t>审议缔约国根据《公约》第</w:t>
      </w:r>
      <w:r>
        <w:rPr>
          <w:rFonts w:hint="eastAsia"/>
        </w:rPr>
        <w:t>19</w:t>
      </w:r>
      <w:r>
        <w:rPr>
          <w:rFonts w:hint="eastAsia"/>
        </w:rPr>
        <w:t>条提交的报告</w:t>
      </w:r>
    </w:p>
    <w:p w:rsidR="00000000" w:rsidRDefault="00954A93">
      <w:pPr>
        <w:pStyle w:val="Heading3"/>
        <w:rPr>
          <w:rFonts w:hint="eastAsia"/>
          <w:u w:val="none"/>
        </w:rPr>
      </w:pPr>
      <w:r>
        <w:rPr>
          <w:rFonts w:hint="eastAsia"/>
          <w:u w:val="none"/>
        </w:rPr>
        <w:t>2001</w:t>
      </w:r>
      <w:r>
        <w:rPr>
          <w:rFonts w:hint="eastAsia"/>
          <w:u w:val="none"/>
        </w:rPr>
        <w:t>年到期的缔约国第四次定期报告</w:t>
      </w:r>
    </w:p>
    <w:p w:rsidR="00000000" w:rsidRDefault="00954A93">
      <w:pPr>
        <w:pStyle w:val="Heading3"/>
        <w:rPr>
          <w:rFonts w:hint="eastAsia"/>
          <w:u w:val="none"/>
        </w:rPr>
      </w:pPr>
      <w:r>
        <w:rPr>
          <w:rFonts w:hint="eastAsia"/>
          <w:u w:val="none"/>
        </w:rPr>
        <w:t>增</w:t>
      </w:r>
      <w:r>
        <w:rPr>
          <w:rFonts w:hint="eastAsia"/>
          <w:u w:val="none"/>
        </w:rPr>
        <w:t xml:space="preserve">  </w:t>
      </w:r>
      <w:r>
        <w:rPr>
          <w:rFonts w:hint="eastAsia"/>
          <w:u w:val="none"/>
        </w:rPr>
        <w:t>编</w:t>
      </w:r>
    </w:p>
    <w:p w:rsidR="00000000" w:rsidRDefault="00954A93">
      <w:pPr>
        <w:pStyle w:val="Heading2"/>
        <w:rPr>
          <w:rFonts w:hint="eastAsia"/>
          <w:position w:val="6"/>
        </w:rPr>
      </w:pPr>
      <w:r>
        <w:rPr>
          <w:rFonts w:hint="eastAsia"/>
        </w:rPr>
        <w:t>香港特别行政区</w:t>
      </w:r>
      <w:r>
        <w:rPr>
          <w:rStyle w:val="FootnoteReference"/>
          <w:b/>
          <w:color w:val="003366"/>
          <w:position w:val="6"/>
        </w:rPr>
        <w:footnoteReference w:customMarkFollows="1" w:id="1"/>
        <w:t>*</w:t>
      </w:r>
      <w:r>
        <w:rPr>
          <w:rFonts w:hint="eastAsia"/>
          <w:position w:val="6"/>
        </w:rPr>
        <w:t xml:space="preserve"> </w:t>
      </w:r>
      <w:r>
        <w:rPr>
          <w:rStyle w:val="FootnoteReference"/>
          <w:b/>
          <w:color w:val="003366"/>
          <w:position w:val="6"/>
        </w:rPr>
        <w:footnoteReference w:customMarkFollows="1" w:id="2"/>
        <w:t>**</w:t>
      </w:r>
      <w:r>
        <w:rPr>
          <w:rFonts w:hint="eastAsia"/>
          <w:position w:val="6"/>
        </w:rPr>
        <w:t xml:space="preserve"> </w:t>
      </w:r>
      <w:r>
        <w:rPr>
          <w:rStyle w:val="FootnoteReference"/>
          <w:b/>
          <w:color w:val="003366"/>
          <w:position w:val="6"/>
        </w:rPr>
        <w:footnoteReference w:customMarkFollows="1" w:id="3"/>
        <w:t>***</w:t>
      </w:r>
      <w:r>
        <w:rPr>
          <w:b/>
          <w:color w:val="003366"/>
          <w:position w:val="6"/>
        </w:rPr>
        <w:t xml:space="preserve"> </w:t>
      </w:r>
      <w:r>
        <w:rPr>
          <w:rStyle w:val="FootnoteReference"/>
          <w:b/>
          <w:position w:val="6"/>
        </w:rPr>
        <w:footnoteReference w:id="4"/>
      </w:r>
    </w:p>
    <w:p w:rsidR="00000000" w:rsidRDefault="00954A93">
      <w:pPr>
        <w:jc w:val="right"/>
        <w:rPr>
          <w:rFonts w:hint="eastAsia"/>
        </w:rPr>
      </w:pPr>
      <w:r>
        <w:rPr>
          <w:rFonts w:hint="eastAsia"/>
        </w:rPr>
        <w:t>[2006</w:t>
      </w:r>
      <w:r>
        <w:rPr>
          <w:rFonts w:hint="eastAsia"/>
        </w:rPr>
        <w:t>年</w:t>
      </w:r>
      <w:r>
        <w:rPr>
          <w:rFonts w:hint="eastAsia"/>
        </w:rPr>
        <w:t>6</w:t>
      </w:r>
      <w:r>
        <w:rPr>
          <w:rFonts w:hint="eastAsia"/>
        </w:rPr>
        <w:t>月</w:t>
      </w:r>
      <w:r>
        <w:rPr>
          <w:rFonts w:hint="eastAsia"/>
        </w:rPr>
        <w:t>14</w:t>
      </w:r>
      <w:r>
        <w:rPr>
          <w:rFonts w:hint="eastAsia"/>
        </w:rPr>
        <w:t>日</w:t>
      </w:r>
      <w:r>
        <w:rPr>
          <w:rFonts w:hint="eastAsia"/>
        </w:rPr>
        <w:t>]</w:t>
      </w:r>
    </w:p>
    <w:p w:rsidR="00000000" w:rsidRDefault="00954A93">
      <w:pPr>
        <w:pStyle w:val="a7"/>
        <w:keepNext/>
        <w:tabs>
          <w:tab w:val="clear" w:pos="7201"/>
          <w:tab w:val="clear" w:pos="8618"/>
          <w:tab w:val="left" w:pos="7088"/>
          <w:tab w:val="left" w:pos="8080"/>
          <w:tab w:val="left" w:pos="8640"/>
        </w:tabs>
        <w:spacing w:after="120" w:line="336" w:lineRule="auto"/>
        <w:jc w:val="center"/>
        <w:rPr>
          <w:kern w:val="24"/>
          <w:sz w:val="26"/>
        </w:rPr>
      </w:pPr>
      <w:r>
        <w:rPr>
          <w:kern w:val="24"/>
          <w:sz w:val="26"/>
        </w:rPr>
        <w:br w:type="page"/>
      </w:r>
      <w:r>
        <w:rPr>
          <w:rFonts w:hint="eastAsia"/>
          <w:kern w:val="24"/>
          <w:sz w:val="26"/>
        </w:rPr>
        <w:t>目</w:t>
      </w:r>
      <w:r>
        <w:rPr>
          <w:kern w:val="24"/>
          <w:sz w:val="26"/>
        </w:rPr>
        <w:tab/>
      </w:r>
      <w:r>
        <w:rPr>
          <w:rFonts w:hint="eastAsia"/>
          <w:kern w:val="24"/>
          <w:sz w:val="26"/>
        </w:rPr>
        <w:t>录</w:t>
      </w:r>
    </w:p>
    <w:p w:rsidR="00000000" w:rsidRDefault="00954A93">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54A93">
      <w:pPr>
        <w:pStyle w:val="a9"/>
        <w:tabs>
          <w:tab w:val="clear" w:pos="1021"/>
          <w:tab w:val="clear" w:pos="1531"/>
          <w:tab w:val="clear" w:pos="2041"/>
        </w:tabs>
        <w:rPr>
          <w:rFonts w:hint="eastAsia"/>
          <w:position w:val="10"/>
        </w:rPr>
      </w:pPr>
      <w:r>
        <w:rPr>
          <w:rFonts w:hint="eastAsia"/>
        </w:rPr>
        <w:t>序</w:t>
      </w:r>
      <w:r>
        <w:rPr>
          <w:rFonts w:hint="eastAsia"/>
        </w:rPr>
        <w:t xml:space="preserve">  </w:t>
      </w:r>
      <w:r>
        <w:rPr>
          <w:rFonts w:hint="eastAsia"/>
        </w:rPr>
        <w:t>言</w:t>
      </w:r>
      <w:r>
        <w:rPr>
          <w:rFonts w:hint="eastAsia"/>
        </w:rPr>
        <w:t>...</w:t>
      </w:r>
      <w:r>
        <w:rPr>
          <w:rFonts w:hint="eastAsia"/>
        </w:rPr>
        <w:tab/>
        <w:t>.........</w:t>
      </w:r>
      <w:r>
        <w:rPr>
          <w:position w:val="10"/>
        </w:rPr>
        <w:tab/>
      </w:r>
      <w:r>
        <w:rPr>
          <w:rFonts w:hint="eastAsia"/>
          <w:position w:val="10"/>
        </w:rPr>
        <w:tab/>
      </w:r>
      <w:r>
        <w:rPr>
          <w:rFonts w:hint="eastAsia"/>
          <w:position w:val="10"/>
        </w:rPr>
        <w:tab/>
      </w:r>
      <w:r>
        <w:rPr>
          <w:rFonts w:hint="eastAsia"/>
          <w:position w:val="10"/>
        </w:rPr>
        <w:tab/>
        <w:t>6</w:t>
      </w:r>
    </w:p>
    <w:p w:rsidR="00000000" w:rsidRDefault="00954A93">
      <w:pPr>
        <w:pStyle w:val="a9"/>
        <w:rPr>
          <w:rFonts w:hint="eastAsia"/>
        </w:rPr>
      </w:pPr>
      <w:r>
        <w:rPr>
          <w:rFonts w:ascii="Time New Roman" w:eastAsia="SimHei" w:hAnsi="Time New Roman" w:hint="eastAsia"/>
        </w:rPr>
        <w:t>第</w:t>
      </w:r>
      <w:r>
        <w:rPr>
          <w:rFonts w:ascii="Time New Roman" w:eastAsia="SimHei" w:hAnsi="Time New Roman"/>
          <w:b/>
        </w:rPr>
        <w:t>I</w:t>
      </w:r>
      <w:r>
        <w:rPr>
          <w:rFonts w:ascii="Time New Roman" w:eastAsia="SimHei" w:hAnsi="Time New Roman" w:hint="eastAsia"/>
        </w:rPr>
        <w:t>部</w:t>
      </w:r>
      <w:r>
        <w:rPr>
          <w:rFonts w:ascii="Time New Roman" w:eastAsia="SimHei" w:hAnsi="Time New Roman" w:hint="eastAsia"/>
        </w:rPr>
        <w:tab/>
      </w:r>
      <w:r>
        <w:rPr>
          <w:rFonts w:ascii="Time New Roman" w:eastAsia="SimHei" w:hAnsi="Time New Roman" w:hint="eastAsia"/>
        </w:rPr>
        <w:t>香港特别行政区概</w:t>
      </w:r>
      <w:r>
        <w:rPr>
          <w:rFonts w:hint="eastAsia"/>
        </w:rPr>
        <w:t>况</w:t>
      </w:r>
      <w:r>
        <w:tab/>
      </w:r>
      <w:r>
        <w:rPr>
          <w:rFonts w:hint="eastAsia"/>
        </w:rPr>
        <w:tab/>
      </w:r>
      <w:r>
        <w:rPr>
          <w:rFonts w:hint="eastAsia"/>
        </w:rPr>
        <w:tab/>
      </w:r>
      <w:r>
        <w:rPr>
          <w:rFonts w:hint="eastAsia"/>
        </w:rPr>
        <w:tab/>
      </w:r>
      <w:r>
        <w:rPr>
          <w:rFonts w:hint="eastAsia"/>
        </w:rPr>
        <w:tab/>
        <w:t>6</w:t>
      </w:r>
    </w:p>
    <w:p w:rsidR="00000000" w:rsidRDefault="00954A93">
      <w:pPr>
        <w:pStyle w:val="a9"/>
        <w:spacing w:line="312" w:lineRule="auto"/>
        <w:ind w:left="1530"/>
        <w:rPr>
          <w:rFonts w:hint="eastAsia"/>
        </w:rPr>
      </w:pPr>
      <w:r>
        <w:rPr>
          <w:rFonts w:hint="eastAsia"/>
        </w:rPr>
        <w:t>土地和人口</w:t>
      </w:r>
      <w:r>
        <w:rPr>
          <w:rFonts w:hint="eastAsia"/>
        </w:rPr>
        <w:t>.................</w:t>
      </w:r>
      <w:r>
        <w:rPr>
          <w:rFonts w:hint="eastAsia"/>
        </w:rPr>
        <w:tab/>
      </w:r>
      <w:r>
        <w:rPr>
          <w:rFonts w:hint="eastAsia"/>
        </w:rPr>
        <w:tab/>
      </w:r>
      <w:r>
        <w:rPr>
          <w:rFonts w:hint="eastAsia"/>
        </w:rPr>
        <w:tab/>
        <w:t>1</w:t>
      </w:r>
      <w:r>
        <w:rPr>
          <w:rFonts w:hint="eastAsia"/>
        </w:rPr>
        <w:tab/>
      </w:r>
      <w:r>
        <w:rPr>
          <w:rFonts w:hint="eastAsia"/>
        </w:rPr>
        <w:tab/>
        <w:t>6</w:t>
      </w:r>
    </w:p>
    <w:p w:rsidR="00000000" w:rsidRDefault="00954A93">
      <w:pPr>
        <w:pStyle w:val="a9"/>
        <w:ind w:left="1530"/>
        <w:rPr>
          <w:rFonts w:hint="eastAsia"/>
        </w:rPr>
      </w:pPr>
      <w:r>
        <w:rPr>
          <w:rFonts w:hint="eastAsia"/>
        </w:rPr>
        <w:t>政制概况</w:t>
      </w:r>
      <w:r>
        <w:rPr>
          <w:rFonts w:hint="eastAsia"/>
        </w:rPr>
        <w:t>..........</w:t>
      </w:r>
      <w:r>
        <w:rPr>
          <w:rFonts w:hint="eastAsia"/>
        </w:rPr>
        <w:tab/>
      </w:r>
      <w:r>
        <w:rPr>
          <w:rFonts w:hint="eastAsia"/>
        </w:rPr>
        <w:tab/>
      </w:r>
      <w:r>
        <w:rPr>
          <w:rFonts w:hint="eastAsia"/>
        </w:rPr>
        <w:tab/>
      </w:r>
      <w:r>
        <w:rPr>
          <w:rFonts w:hint="eastAsia"/>
        </w:rPr>
        <w:tab/>
      </w:r>
      <w:r>
        <w:rPr>
          <w:rFonts w:hint="eastAsia"/>
        </w:rPr>
        <w:tab/>
        <w:t>13</w:t>
      </w:r>
    </w:p>
    <w:p w:rsidR="00000000" w:rsidRDefault="00954A93">
      <w:pPr>
        <w:pStyle w:val="a9"/>
        <w:spacing w:line="312" w:lineRule="auto"/>
        <w:ind w:left="1530"/>
        <w:rPr>
          <w:rFonts w:hint="eastAsia"/>
        </w:rPr>
      </w:pPr>
      <w:r>
        <w:rPr>
          <w:rFonts w:hint="eastAsia"/>
        </w:rPr>
        <w:t>宪制性文件</w:t>
      </w:r>
      <w:r>
        <w:rPr>
          <w:rFonts w:hint="eastAsia"/>
        </w:rPr>
        <w:t>..........</w:t>
      </w:r>
      <w:r>
        <w:rPr>
          <w:rFonts w:hint="eastAsia"/>
        </w:rPr>
        <w:tab/>
      </w:r>
      <w:r>
        <w:rPr>
          <w:rFonts w:hint="eastAsia"/>
        </w:rPr>
        <w:tab/>
        <w:t>2</w:t>
      </w:r>
      <w:r>
        <w:rPr>
          <w:rFonts w:hint="eastAsia"/>
        </w:rPr>
        <w:tab/>
        <w:t>-</w:t>
      </w:r>
      <w:r>
        <w:rPr>
          <w:rFonts w:hint="eastAsia"/>
        </w:rPr>
        <w:tab/>
        <w:t>4</w:t>
      </w:r>
      <w:r>
        <w:rPr>
          <w:rFonts w:hint="eastAsia"/>
        </w:rPr>
        <w:tab/>
        <w:t>13</w:t>
      </w:r>
    </w:p>
    <w:p w:rsidR="00000000" w:rsidRDefault="00954A93">
      <w:pPr>
        <w:pStyle w:val="a9"/>
        <w:ind w:left="1530"/>
        <w:rPr>
          <w:rFonts w:hint="eastAsia"/>
        </w:rPr>
      </w:pPr>
      <w:r>
        <w:rPr>
          <w:rFonts w:hint="eastAsia"/>
        </w:rPr>
        <w:t>政府体制</w:t>
      </w:r>
      <w:r>
        <w:rPr>
          <w:rFonts w:hint="eastAsia"/>
        </w:rPr>
        <w:t>..............................</w:t>
      </w:r>
      <w:r>
        <w:rPr>
          <w:rFonts w:hint="eastAsia"/>
        </w:rPr>
        <w:tab/>
      </w:r>
      <w:r>
        <w:rPr>
          <w:rFonts w:hint="eastAsia"/>
        </w:rPr>
        <w:tab/>
      </w:r>
      <w:r>
        <w:rPr>
          <w:rFonts w:hint="eastAsia"/>
        </w:rPr>
        <w:tab/>
      </w:r>
      <w:r>
        <w:rPr>
          <w:rFonts w:hint="eastAsia"/>
        </w:rPr>
        <w:tab/>
      </w:r>
      <w:r>
        <w:rPr>
          <w:rFonts w:hint="eastAsia"/>
        </w:rPr>
        <w:tab/>
        <w:t>14</w:t>
      </w:r>
    </w:p>
    <w:p w:rsidR="00000000" w:rsidRDefault="00954A93">
      <w:pPr>
        <w:pStyle w:val="a9"/>
        <w:spacing w:line="312" w:lineRule="auto"/>
        <w:ind w:left="1530" w:firstLine="30"/>
        <w:rPr>
          <w:rFonts w:hint="eastAsia"/>
        </w:rPr>
      </w:pPr>
      <w:r>
        <w:rPr>
          <w:rFonts w:hint="eastAsia"/>
        </w:rPr>
        <w:t>政制发展</w:t>
      </w:r>
      <w:r>
        <w:rPr>
          <w:rFonts w:hint="eastAsia"/>
        </w:rPr>
        <w:t>...................</w:t>
      </w:r>
      <w:r>
        <w:rPr>
          <w:rFonts w:hint="eastAsia"/>
        </w:rPr>
        <w:tab/>
      </w:r>
      <w:r>
        <w:rPr>
          <w:rFonts w:hint="eastAsia"/>
        </w:rPr>
        <w:tab/>
      </w:r>
      <w:r>
        <w:t>5</w:t>
      </w:r>
      <w:r>
        <w:rPr>
          <w:rFonts w:hint="eastAsia"/>
        </w:rPr>
        <w:tab/>
      </w:r>
      <w:r>
        <w:t>-</w:t>
      </w:r>
      <w:r>
        <w:rPr>
          <w:rFonts w:hint="eastAsia"/>
        </w:rPr>
        <w:tab/>
      </w:r>
      <w:r>
        <w:t>6</w:t>
      </w:r>
      <w:r>
        <w:rPr>
          <w:rFonts w:hint="eastAsia"/>
        </w:rPr>
        <w:tab/>
        <w:t>14</w:t>
      </w:r>
    </w:p>
    <w:p w:rsidR="00000000" w:rsidRDefault="00954A93">
      <w:pPr>
        <w:pStyle w:val="a9"/>
        <w:spacing w:line="312" w:lineRule="auto"/>
        <w:ind w:left="2040"/>
        <w:rPr>
          <w:rFonts w:hint="eastAsia"/>
        </w:rPr>
      </w:pPr>
      <w:r>
        <w:rPr>
          <w:rFonts w:hint="eastAsia"/>
        </w:rPr>
        <w:t>行政长官</w:t>
      </w:r>
      <w:r>
        <w:rPr>
          <w:rFonts w:hint="eastAsia"/>
        </w:rPr>
        <w:t>...................................</w:t>
      </w:r>
      <w:r>
        <w:rPr>
          <w:rFonts w:hint="eastAsia"/>
        </w:rPr>
        <w:tab/>
      </w:r>
      <w:r>
        <w:rPr>
          <w:rFonts w:hint="eastAsia"/>
        </w:rPr>
        <w:tab/>
        <w:t>7</w:t>
      </w:r>
      <w:r>
        <w:rPr>
          <w:rFonts w:hint="eastAsia"/>
        </w:rPr>
        <w:tab/>
        <w:t>-</w:t>
      </w:r>
      <w:r>
        <w:rPr>
          <w:rFonts w:hint="eastAsia"/>
        </w:rPr>
        <w:tab/>
        <w:t>8</w:t>
      </w:r>
      <w:r>
        <w:rPr>
          <w:rFonts w:hint="eastAsia"/>
        </w:rPr>
        <w:tab/>
        <w:t>14</w:t>
      </w:r>
    </w:p>
    <w:p w:rsidR="00000000" w:rsidRDefault="00954A93">
      <w:pPr>
        <w:pStyle w:val="a9"/>
        <w:spacing w:line="312" w:lineRule="auto"/>
        <w:ind w:left="2040"/>
        <w:rPr>
          <w:rFonts w:hint="eastAsia"/>
        </w:rPr>
      </w:pPr>
      <w:r>
        <w:rPr>
          <w:rFonts w:hint="eastAsia"/>
        </w:rPr>
        <w:t>行政会议</w:t>
      </w:r>
      <w:r>
        <w:rPr>
          <w:rFonts w:hint="eastAsia"/>
        </w:rPr>
        <w:t>.................</w:t>
      </w:r>
      <w:r>
        <w:rPr>
          <w:rFonts w:hint="eastAsia"/>
        </w:rPr>
        <w:tab/>
      </w:r>
      <w:r>
        <w:rPr>
          <w:rFonts w:hint="eastAsia"/>
        </w:rPr>
        <w:tab/>
        <w:t>9</w:t>
      </w:r>
      <w:r>
        <w:rPr>
          <w:rFonts w:hint="eastAsia"/>
        </w:rPr>
        <w:tab/>
        <w:t>-</w:t>
      </w:r>
      <w:r>
        <w:rPr>
          <w:rFonts w:hint="eastAsia"/>
        </w:rPr>
        <w:tab/>
        <w:t>10</w:t>
      </w:r>
      <w:r>
        <w:rPr>
          <w:rFonts w:hint="eastAsia"/>
        </w:rPr>
        <w:tab/>
        <w:t>15</w:t>
      </w:r>
    </w:p>
    <w:p w:rsidR="00000000" w:rsidRDefault="00954A93">
      <w:pPr>
        <w:pStyle w:val="a9"/>
        <w:spacing w:line="312" w:lineRule="auto"/>
        <w:ind w:left="2040"/>
      </w:pPr>
      <w:r>
        <w:rPr>
          <w:rFonts w:hint="eastAsia"/>
        </w:rPr>
        <w:t>立法会</w:t>
      </w:r>
      <w:r>
        <w:rPr>
          <w:rFonts w:hint="eastAsia"/>
        </w:rPr>
        <w:t>........</w:t>
      </w:r>
      <w:r>
        <w:rPr>
          <w:rFonts w:hint="eastAsia"/>
        </w:rPr>
        <w:tab/>
      </w:r>
      <w:r>
        <w:rPr>
          <w:rFonts w:hint="eastAsia"/>
        </w:rPr>
        <w:tab/>
        <w:t>11</w:t>
      </w:r>
      <w:r>
        <w:rPr>
          <w:rFonts w:hint="eastAsia"/>
        </w:rPr>
        <w:tab/>
        <w:t>-</w:t>
      </w:r>
      <w:r>
        <w:rPr>
          <w:rFonts w:hint="eastAsia"/>
        </w:rPr>
        <w:tab/>
        <w:t>14</w:t>
      </w:r>
      <w:r>
        <w:rPr>
          <w:rFonts w:hint="eastAsia"/>
        </w:rPr>
        <w:tab/>
        <w:t>15</w:t>
      </w:r>
    </w:p>
    <w:p w:rsidR="00000000" w:rsidRDefault="00954A93">
      <w:pPr>
        <w:pStyle w:val="a9"/>
        <w:spacing w:line="312" w:lineRule="auto"/>
        <w:ind w:left="2040"/>
        <w:rPr>
          <w:rFonts w:hint="eastAsia"/>
        </w:rPr>
      </w:pPr>
      <w:r>
        <w:rPr>
          <w:rFonts w:hint="eastAsia"/>
        </w:rPr>
        <w:t>区议会</w:t>
      </w:r>
      <w:r>
        <w:rPr>
          <w:rFonts w:hint="eastAsia"/>
        </w:rPr>
        <w:t>............</w:t>
      </w:r>
      <w:r>
        <w:rPr>
          <w:rFonts w:hint="eastAsia"/>
        </w:rPr>
        <w:tab/>
      </w:r>
      <w:r>
        <w:rPr>
          <w:rFonts w:hint="eastAsia"/>
        </w:rPr>
        <w:tab/>
        <w:t>1</w:t>
      </w:r>
      <w:r>
        <w:t>5</w:t>
      </w:r>
      <w:r>
        <w:rPr>
          <w:rFonts w:hint="eastAsia"/>
        </w:rPr>
        <w:tab/>
        <w:t>-</w:t>
      </w:r>
      <w:r>
        <w:rPr>
          <w:rFonts w:hint="eastAsia"/>
        </w:rPr>
        <w:tab/>
      </w:r>
      <w:r>
        <w:t>17</w:t>
      </w:r>
      <w:r>
        <w:tab/>
      </w:r>
      <w:r>
        <w:rPr>
          <w:rFonts w:hint="eastAsia"/>
        </w:rPr>
        <w:t>16</w:t>
      </w:r>
    </w:p>
    <w:p w:rsidR="00000000" w:rsidRDefault="00954A93">
      <w:pPr>
        <w:pStyle w:val="a9"/>
        <w:spacing w:line="312" w:lineRule="auto"/>
        <w:ind w:left="2040"/>
        <w:rPr>
          <w:rFonts w:hint="eastAsia"/>
        </w:rPr>
      </w:pPr>
      <w:r>
        <w:rPr>
          <w:rFonts w:hint="eastAsia"/>
        </w:rPr>
        <w:t>取消市政局和区域市政局</w:t>
      </w:r>
      <w:r>
        <w:rPr>
          <w:rFonts w:hint="eastAsia"/>
        </w:rPr>
        <w:t>......</w:t>
      </w:r>
      <w:r>
        <w:rPr>
          <w:rFonts w:hint="eastAsia"/>
        </w:rPr>
        <w:tab/>
      </w:r>
      <w:r>
        <w:rPr>
          <w:rFonts w:hint="eastAsia"/>
        </w:rPr>
        <w:tab/>
      </w:r>
      <w:r>
        <w:t>18</w:t>
      </w:r>
      <w:r>
        <w:rPr>
          <w:rFonts w:hint="eastAsia"/>
        </w:rPr>
        <w:tab/>
      </w:r>
      <w:r>
        <w:t>-</w:t>
      </w:r>
      <w:r>
        <w:rPr>
          <w:rFonts w:hint="eastAsia"/>
        </w:rPr>
        <w:tab/>
      </w:r>
      <w:r>
        <w:t>19</w:t>
      </w:r>
      <w:r>
        <w:tab/>
      </w:r>
      <w:r>
        <w:rPr>
          <w:rFonts w:hint="eastAsia"/>
        </w:rPr>
        <w:t>16</w:t>
      </w:r>
    </w:p>
    <w:p w:rsidR="00000000" w:rsidRDefault="00954A93">
      <w:pPr>
        <w:pStyle w:val="a9"/>
        <w:spacing w:line="312" w:lineRule="auto"/>
        <w:ind w:left="2040"/>
        <w:rPr>
          <w:rFonts w:hint="eastAsia"/>
        </w:rPr>
      </w:pPr>
      <w:r>
        <w:rPr>
          <w:rFonts w:hint="eastAsia"/>
        </w:rPr>
        <w:t>行政架构</w:t>
      </w:r>
      <w:r>
        <w:tab/>
      </w:r>
      <w:r>
        <w:rPr>
          <w:rFonts w:hint="eastAsia"/>
        </w:rPr>
        <w:tab/>
      </w:r>
      <w:r>
        <w:t>20</w:t>
      </w:r>
      <w:r>
        <w:rPr>
          <w:rFonts w:hint="eastAsia"/>
        </w:rPr>
        <w:tab/>
      </w:r>
      <w:r>
        <w:t>-</w:t>
      </w:r>
      <w:r>
        <w:rPr>
          <w:rFonts w:hint="eastAsia"/>
        </w:rPr>
        <w:tab/>
      </w:r>
      <w:r>
        <w:t>22</w:t>
      </w:r>
      <w:r>
        <w:tab/>
      </w:r>
      <w:r>
        <w:rPr>
          <w:rFonts w:hint="eastAsia"/>
        </w:rPr>
        <w:t>17</w:t>
      </w:r>
    </w:p>
    <w:p w:rsidR="00000000" w:rsidRDefault="00954A93">
      <w:pPr>
        <w:pStyle w:val="a9"/>
        <w:spacing w:line="312" w:lineRule="auto"/>
        <w:ind w:left="2040"/>
        <w:rPr>
          <w:rFonts w:hint="eastAsia"/>
        </w:rPr>
      </w:pPr>
      <w:r>
        <w:rPr>
          <w:rFonts w:hint="eastAsia"/>
        </w:rPr>
        <w:t>香港特区的司法体制</w:t>
      </w:r>
      <w:r>
        <w:rPr>
          <w:rFonts w:hint="eastAsia"/>
        </w:rPr>
        <w:tab/>
      </w:r>
      <w:r>
        <w:rPr>
          <w:rFonts w:hint="eastAsia"/>
        </w:rPr>
        <w:tab/>
      </w:r>
      <w:r>
        <w:t>23</w:t>
      </w:r>
      <w:r>
        <w:rPr>
          <w:rFonts w:hint="eastAsia"/>
        </w:rPr>
        <w:tab/>
      </w:r>
      <w:r>
        <w:t>-</w:t>
      </w:r>
      <w:r>
        <w:rPr>
          <w:rFonts w:hint="eastAsia"/>
        </w:rPr>
        <w:tab/>
      </w:r>
      <w:r>
        <w:t>28</w:t>
      </w:r>
      <w:r>
        <w:tab/>
      </w:r>
      <w:r>
        <w:rPr>
          <w:rFonts w:hint="eastAsia"/>
        </w:rPr>
        <w:t>17</w:t>
      </w:r>
    </w:p>
    <w:p w:rsidR="00000000" w:rsidRDefault="00954A93">
      <w:pPr>
        <w:pStyle w:val="a9"/>
        <w:ind w:left="1530"/>
        <w:rPr>
          <w:rFonts w:hint="eastAsia"/>
          <w:snapToGrid/>
        </w:rPr>
      </w:pPr>
      <w:r>
        <w:rPr>
          <w:rFonts w:hint="eastAsia"/>
          <w:b/>
          <w:bCs/>
          <w:snapToGrid/>
        </w:rPr>
        <w:t>保障人权的法律架构概</w:t>
      </w:r>
      <w:r>
        <w:rPr>
          <w:rFonts w:hint="eastAsia"/>
          <w:b/>
          <w:bCs/>
          <w:snapToGrid/>
        </w:rPr>
        <w:t>况</w:t>
      </w:r>
      <w:r>
        <w:rPr>
          <w:snapToGrid/>
        </w:rPr>
        <w:tab/>
      </w:r>
      <w:r>
        <w:rPr>
          <w:rFonts w:hint="eastAsia"/>
          <w:snapToGrid/>
        </w:rPr>
        <w:tab/>
      </w:r>
      <w:r>
        <w:rPr>
          <w:rFonts w:hint="eastAsia"/>
          <w:snapToGrid/>
        </w:rPr>
        <w:tab/>
      </w:r>
      <w:r>
        <w:rPr>
          <w:rFonts w:hint="eastAsia"/>
          <w:snapToGrid/>
        </w:rPr>
        <w:tab/>
      </w:r>
      <w:r>
        <w:rPr>
          <w:rFonts w:hint="eastAsia"/>
          <w:snapToGrid/>
        </w:rPr>
        <w:tab/>
        <w:t>18</w:t>
      </w:r>
    </w:p>
    <w:p w:rsidR="00000000" w:rsidRDefault="00954A93">
      <w:pPr>
        <w:pStyle w:val="a9"/>
        <w:spacing w:line="312" w:lineRule="auto"/>
        <w:ind w:left="1530"/>
        <w:rPr>
          <w:rFonts w:hint="eastAsia"/>
        </w:rPr>
      </w:pPr>
      <w:r>
        <w:rPr>
          <w:rFonts w:hint="eastAsia"/>
        </w:rPr>
        <w:t>法治</w:t>
      </w:r>
      <w:r>
        <w:rPr>
          <w:rFonts w:hint="eastAsia"/>
        </w:rPr>
        <w:t>..................</w:t>
      </w:r>
      <w:r>
        <w:rPr>
          <w:rFonts w:hint="eastAsia"/>
        </w:rPr>
        <w:tab/>
      </w:r>
      <w:r>
        <w:tab/>
      </w:r>
      <w:r>
        <w:rPr>
          <w:rFonts w:hint="eastAsia"/>
        </w:rPr>
        <w:tab/>
      </w:r>
      <w:r>
        <w:t>29</w:t>
      </w:r>
      <w:r>
        <w:rPr>
          <w:rFonts w:hint="eastAsia"/>
        </w:rPr>
        <w:tab/>
      </w:r>
      <w:r>
        <w:rPr>
          <w:rFonts w:hint="eastAsia"/>
        </w:rPr>
        <w:tab/>
        <w:t>18</w:t>
      </w:r>
    </w:p>
    <w:p w:rsidR="00000000" w:rsidRDefault="00954A93">
      <w:pPr>
        <w:pStyle w:val="a9"/>
        <w:spacing w:line="312" w:lineRule="auto"/>
        <w:ind w:left="1530"/>
        <w:rPr>
          <w:rFonts w:hint="eastAsia"/>
        </w:rPr>
      </w:pPr>
      <w:r>
        <w:rPr>
          <w:rFonts w:hint="eastAsia"/>
        </w:rPr>
        <w:t>《基本法》对人权的保证</w:t>
      </w:r>
      <w:r>
        <w:tab/>
      </w:r>
      <w:r>
        <w:rPr>
          <w:rFonts w:hint="eastAsia"/>
        </w:rPr>
        <w:tab/>
      </w:r>
      <w:r>
        <w:rPr>
          <w:rFonts w:hint="eastAsia"/>
        </w:rPr>
        <w:tab/>
      </w:r>
      <w:r>
        <w:t>30</w:t>
      </w:r>
      <w:r>
        <w:tab/>
      </w:r>
      <w:r>
        <w:rPr>
          <w:rFonts w:hint="eastAsia"/>
        </w:rPr>
        <w:tab/>
        <w:t>19</w:t>
      </w:r>
    </w:p>
    <w:p w:rsidR="00000000" w:rsidRDefault="00954A93">
      <w:pPr>
        <w:pStyle w:val="a9"/>
        <w:spacing w:line="312" w:lineRule="auto"/>
        <w:ind w:left="1530"/>
        <w:rPr>
          <w:rFonts w:hint="eastAsia"/>
        </w:rPr>
      </w:pPr>
      <w:r>
        <w:rPr>
          <w:rFonts w:hint="eastAsia"/>
        </w:rPr>
        <w:t>其他人权条约在香港特区的法律效力</w:t>
      </w:r>
      <w:r>
        <w:tab/>
      </w:r>
      <w:r>
        <w:rPr>
          <w:rFonts w:hint="eastAsia"/>
        </w:rPr>
        <w:tab/>
      </w:r>
      <w:r>
        <w:t>31</w:t>
      </w:r>
      <w:r>
        <w:rPr>
          <w:rFonts w:hint="eastAsia"/>
        </w:rPr>
        <w:tab/>
      </w:r>
      <w:r>
        <w:t>-</w:t>
      </w:r>
      <w:r>
        <w:rPr>
          <w:rFonts w:hint="eastAsia"/>
        </w:rPr>
        <w:tab/>
      </w:r>
      <w:r>
        <w:t>32</w:t>
      </w:r>
      <w:r>
        <w:rPr>
          <w:rFonts w:hint="eastAsia"/>
        </w:rPr>
        <w:tab/>
        <w:t>20</w:t>
      </w:r>
    </w:p>
    <w:p w:rsidR="00000000" w:rsidRDefault="00954A93">
      <w:pPr>
        <w:pStyle w:val="a9"/>
        <w:spacing w:line="312" w:lineRule="auto"/>
        <w:ind w:left="1530"/>
        <w:rPr>
          <w:rFonts w:hint="eastAsia"/>
        </w:rPr>
      </w:pPr>
      <w:r>
        <w:rPr>
          <w:rFonts w:hint="eastAsia"/>
        </w:rPr>
        <w:t>《香港人权法案条例》</w:t>
      </w:r>
      <w:r>
        <w:tab/>
      </w:r>
      <w:r>
        <w:rPr>
          <w:rFonts w:hint="eastAsia"/>
        </w:rPr>
        <w:tab/>
      </w:r>
      <w:r>
        <w:rPr>
          <w:rFonts w:hint="eastAsia"/>
        </w:rPr>
        <w:tab/>
      </w:r>
      <w:r>
        <w:t>33</w:t>
      </w:r>
      <w:r>
        <w:tab/>
      </w:r>
      <w:r>
        <w:rPr>
          <w:rFonts w:hint="eastAsia"/>
        </w:rPr>
        <w:tab/>
        <w:t>20</w:t>
      </w:r>
    </w:p>
    <w:p w:rsidR="00000000" w:rsidRDefault="00954A93">
      <w:pPr>
        <w:pStyle w:val="a9"/>
        <w:tabs>
          <w:tab w:val="clear" w:pos="1531"/>
          <w:tab w:val="clear" w:pos="6804"/>
          <w:tab w:val="left" w:pos="2080"/>
        </w:tabs>
        <w:spacing w:line="312" w:lineRule="auto"/>
        <w:ind w:left="1040" w:right="2594" w:hanging="20"/>
        <w:rPr>
          <w:rFonts w:hint="eastAsia"/>
        </w:rPr>
      </w:pPr>
      <w:r>
        <w:rPr>
          <w:rFonts w:hint="eastAsia"/>
          <w:spacing w:val="0"/>
        </w:rPr>
        <w:t>所采用的法律对《香港人权法案条例》的影响</w:t>
      </w:r>
      <w:r>
        <w:rPr>
          <w:rFonts w:hint="eastAsia"/>
          <w:spacing w:val="0"/>
        </w:rPr>
        <w:t>...............</w:t>
      </w:r>
      <w:r>
        <w:rPr>
          <w:rFonts w:hint="eastAsia"/>
        </w:rPr>
        <w:tab/>
      </w:r>
      <w:r>
        <w:t>34</w:t>
      </w:r>
      <w:r>
        <w:rPr>
          <w:rFonts w:hint="eastAsia"/>
        </w:rPr>
        <w:tab/>
      </w:r>
      <w:r>
        <w:t>-</w:t>
      </w:r>
      <w:r>
        <w:rPr>
          <w:rFonts w:hint="eastAsia"/>
        </w:rPr>
        <w:tab/>
      </w:r>
      <w:r>
        <w:t>35</w:t>
      </w:r>
      <w:r>
        <w:tab/>
      </w:r>
      <w:r>
        <w:rPr>
          <w:rFonts w:hint="eastAsia"/>
        </w:rPr>
        <w:t>21</w:t>
      </w:r>
    </w:p>
    <w:p w:rsidR="00000000" w:rsidRDefault="00954A93">
      <w:pPr>
        <w:pStyle w:val="a9"/>
        <w:spacing w:line="312" w:lineRule="auto"/>
        <w:ind w:left="1530"/>
        <w:rPr>
          <w:rFonts w:hint="eastAsia"/>
        </w:rPr>
      </w:pPr>
      <w:r>
        <w:rPr>
          <w:rFonts w:hint="eastAsia"/>
        </w:rPr>
        <w:t>法律援助</w:t>
      </w:r>
      <w:r>
        <w:tab/>
      </w:r>
      <w:r>
        <w:rPr>
          <w:rFonts w:hint="eastAsia"/>
        </w:rPr>
        <w:tab/>
      </w:r>
      <w:r>
        <w:rPr>
          <w:rFonts w:hint="eastAsia"/>
        </w:rPr>
        <w:tab/>
      </w:r>
      <w:r>
        <w:t>36</w:t>
      </w:r>
      <w:r>
        <w:tab/>
      </w:r>
      <w:r>
        <w:rPr>
          <w:rFonts w:hint="eastAsia"/>
        </w:rPr>
        <w:tab/>
        <w:t>21</w:t>
      </w:r>
    </w:p>
    <w:p w:rsidR="00000000" w:rsidRDefault="00954A93">
      <w:pPr>
        <w:pStyle w:val="a9"/>
        <w:spacing w:line="312" w:lineRule="auto"/>
        <w:ind w:left="2040"/>
        <w:rPr>
          <w:rFonts w:hint="eastAsia"/>
        </w:rPr>
      </w:pPr>
      <w:r>
        <w:rPr>
          <w:rFonts w:hint="eastAsia"/>
        </w:rPr>
        <w:t>法律援助署</w:t>
      </w:r>
      <w:r>
        <w:rPr>
          <w:rFonts w:hint="eastAsia"/>
        </w:rPr>
        <w:tab/>
      </w:r>
      <w:r>
        <w:rPr>
          <w:rFonts w:hint="eastAsia"/>
        </w:rPr>
        <w:tab/>
      </w:r>
      <w:r>
        <w:tab/>
        <w:t>37</w:t>
      </w:r>
      <w:r>
        <w:tab/>
      </w:r>
      <w:r>
        <w:rPr>
          <w:rFonts w:hint="eastAsia"/>
        </w:rPr>
        <w:tab/>
        <w:t>22</w:t>
      </w:r>
    </w:p>
    <w:p w:rsidR="00000000" w:rsidRDefault="00954A93">
      <w:pPr>
        <w:pStyle w:val="a9"/>
        <w:spacing w:line="312" w:lineRule="auto"/>
        <w:ind w:left="2040"/>
        <w:rPr>
          <w:rFonts w:hint="eastAsia"/>
        </w:rPr>
      </w:pPr>
      <w:r>
        <w:rPr>
          <w:rFonts w:hint="eastAsia"/>
        </w:rPr>
        <w:t>当</w:t>
      </w:r>
      <w:r>
        <w:rPr>
          <w:rFonts w:ascii="SimSun" w:hAnsi="SimSun" w:cs="SimSun" w:hint="eastAsia"/>
        </w:rPr>
        <w:t>值</w:t>
      </w:r>
      <w:r>
        <w:rPr>
          <w:rFonts w:ascii="MS Mincho" w:hAnsi="MS Mincho" w:cs="MS Mincho" w:hint="eastAsia"/>
        </w:rPr>
        <w:t>律师服务</w:t>
      </w:r>
      <w:r>
        <w:tab/>
      </w:r>
      <w:r>
        <w:rPr>
          <w:rFonts w:hint="eastAsia"/>
        </w:rPr>
        <w:tab/>
      </w:r>
      <w:r>
        <w:rPr>
          <w:rFonts w:hint="eastAsia"/>
        </w:rPr>
        <w:tab/>
      </w:r>
      <w:r>
        <w:t>38</w:t>
      </w:r>
      <w:r>
        <w:tab/>
      </w:r>
      <w:r>
        <w:rPr>
          <w:rFonts w:hint="eastAsia"/>
        </w:rPr>
        <w:tab/>
        <w:t>22</w:t>
      </w:r>
    </w:p>
    <w:p w:rsidR="00000000" w:rsidRDefault="00954A93">
      <w:pPr>
        <w:pStyle w:val="a9"/>
        <w:spacing w:line="312" w:lineRule="auto"/>
        <w:ind w:left="2040"/>
        <w:rPr>
          <w:rFonts w:hint="eastAsia"/>
        </w:rPr>
      </w:pPr>
      <w:r>
        <w:rPr>
          <w:rFonts w:hint="eastAsia"/>
        </w:rPr>
        <w:t>法律援助服务局</w:t>
      </w:r>
      <w:r>
        <w:tab/>
      </w:r>
      <w:r>
        <w:rPr>
          <w:rFonts w:hint="eastAsia"/>
        </w:rPr>
        <w:tab/>
      </w:r>
      <w:r>
        <w:rPr>
          <w:rFonts w:hint="eastAsia"/>
        </w:rPr>
        <w:tab/>
      </w:r>
      <w:r>
        <w:t>39</w:t>
      </w:r>
      <w:r>
        <w:tab/>
      </w:r>
      <w:r>
        <w:rPr>
          <w:rFonts w:hint="eastAsia"/>
        </w:rPr>
        <w:tab/>
        <w:t>22</w:t>
      </w:r>
    </w:p>
    <w:p w:rsidR="00000000" w:rsidRDefault="00954A93">
      <w:pPr>
        <w:pStyle w:val="a9"/>
        <w:spacing w:line="312" w:lineRule="auto"/>
        <w:ind w:left="2040" w:hanging="1000"/>
        <w:rPr>
          <w:rFonts w:hint="eastAsia"/>
        </w:rPr>
      </w:pPr>
      <w:r>
        <w:rPr>
          <w:rFonts w:hint="eastAsia"/>
        </w:rPr>
        <w:t>申诉专员公署</w:t>
      </w:r>
      <w:r>
        <w:tab/>
      </w:r>
      <w:r>
        <w:rPr>
          <w:rFonts w:hint="eastAsia"/>
        </w:rPr>
        <w:tab/>
      </w:r>
      <w:r>
        <w:t>40</w:t>
      </w:r>
      <w:r>
        <w:rPr>
          <w:rFonts w:hint="eastAsia"/>
        </w:rPr>
        <w:tab/>
      </w:r>
      <w:r>
        <w:t>-</w:t>
      </w:r>
      <w:r>
        <w:rPr>
          <w:rFonts w:hint="eastAsia"/>
        </w:rPr>
        <w:tab/>
      </w:r>
      <w:r>
        <w:t>44</w:t>
      </w:r>
      <w:r>
        <w:tab/>
      </w:r>
      <w:r>
        <w:rPr>
          <w:rFonts w:hint="eastAsia"/>
        </w:rPr>
        <w:t>23</w:t>
      </w:r>
    </w:p>
    <w:p w:rsidR="00000000" w:rsidRDefault="00954A93">
      <w:pPr>
        <w:pStyle w:val="a9"/>
        <w:spacing w:line="312" w:lineRule="auto"/>
        <w:ind w:left="2040" w:hanging="1000"/>
        <w:rPr>
          <w:rFonts w:hint="eastAsia"/>
        </w:rPr>
      </w:pPr>
      <w:r>
        <w:rPr>
          <w:rFonts w:hint="eastAsia"/>
        </w:rPr>
        <w:t>平等机会委员会</w:t>
      </w:r>
      <w:r>
        <w:tab/>
      </w:r>
      <w:r>
        <w:rPr>
          <w:rFonts w:hint="eastAsia"/>
        </w:rPr>
        <w:tab/>
      </w:r>
      <w:r>
        <w:rPr>
          <w:rFonts w:hint="eastAsia"/>
        </w:rPr>
        <w:tab/>
        <w:t>4</w:t>
      </w:r>
      <w:r>
        <w:t>5</w:t>
      </w:r>
      <w:r>
        <w:rPr>
          <w:rFonts w:hint="eastAsia"/>
        </w:rPr>
        <w:tab/>
      </w:r>
      <w:r>
        <w:rPr>
          <w:rFonts w:hint="eastAsia"/>
        </w:rPr>
        <w:tab/>
        <w:t>23</w:t>
      </w:r>
    </w:p>
    <w:p w:rsidR="00000000" w:rsidRDefault="00954A93">
      <w:pPr>
        <w:pStyle w:val="a7"/>
        <w:keepNext/>
        <w:tabs>
          <w:tab w:val="clear" w:pos="7201"/>
          <w:tab w:val="clear" w:pos="8618"/>
          <w:tab w:val="left" w:pos="7088"/>
          <w:tab w:val="left" w:pos="8080"/>
          <w:tab w:val="left" w:pos="8640"/>
        </w:tabs>
        <w:spacing w:after="16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54A93">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54A93">
      <w:pPr>
        <w:pStyle w:val="a9"/>
        <w:ind w:left="1530"/>
        <w:rPr>
          <w:rFonts w:hint="eastAsia"/>
        </w:rPr>
      </w:pPr>
      <w:r>
        <w:rPr>
          <w:rFonts w:hint="eastAsia"/>
        </w:rPr>
        <w:t>个人资料私隐专员</w:t>
      </w:r>
      <w:r>
        <w:tab/>
      </w:r>
      <w:r>
        <w:rPr>
          <w:rFonts w:hint="eastAsia"/>
        </w:rPr>
        <w:tab/>
      </w:r>
      <w:r>
        <w:rPr>
          <w:rFonts w:hint="eastAsia"/>
        </w:rPr>
        <w:tab/>
      </w:r>
      <w:r>
        <w:t>46</w:t>
      </w:r>
      <w:r>
        <w:tab/>
      </w:r>
      <w:r>
        <w:rPr>
          <w:rFonts w:hint="eastAsia"/>
        </w:rPr>
        <w:tab/>
        <w:t>24</w:t>
      </w:r>
    </w:p>
    <w:p w:rsidR="00000000" w:rsidRDefault="00954A93">
      <w:pPr>
        <w:pStyle w:val="a9"/>
        <w:ind w:left="1530"/>
        <w:rPr>
          <w:rFonts w:hint="eastAsia"/>
        </w:rPr>
      </w:pPr>
      <w:r>
        <w:rPr>
          <w:rFonts w:hint="eastAsia"/>
        </w:rPr>
        <w:t>投诉及调</w:t>
      </w:r>
      <w:r>
        <w:rPr>
          <w:rFonts w:ascii="SimSun" w:hAnsi="SimSun" w:cs="SimSun" w:hint="eastAsia"/>
        </w:rPr>
        <w:t>查</w:t>
      </w:r>
      <w:r>
        <w:tab/>
      </w:r>
      <w:r>
        <w:tab/>
      </w:r>
      <w:r>
        <w:rPr>
          <w:rFonts w:hint="eastAsia"/>
        </w:rPr>
        <w:tab/>
      </w:r>
      <w:r>
        <w:rPr>
          <w:rFonts w:hint="eastAsia"/>
        </w:rPr>
        <w:tab/>
      </w:r>
      <w:r>
        <w:rPr>
          <w:rFonts w:hint="eastAsia"/>
        </w:rPr>
        <w:tab/>
        <w:t>24</w:t>
      </w:r>
    </w:p>
    <w:p w:rsidR="00000000" w:rsidRDefault="00954A93">
      <w:pPr>
        <w:pStyle w:val="a9"/>
        <w:ind w:left="2040"/>
        <w:rPr>
          <w:rFonts w:hint="eastAsia"/>
        </w:rPr>
      </w:pPr>
      <w:r>
        <w:rPr>
          <w:rFonts w:hint="eastAsia"/>
        </w:rPr>
        <w:t>警察</w:t>
      </w:r>
      <w:r>
        <w:rPr>
          <w:rFonts w:hint="eastAsia"/>
        </w:rPr>
        <w:t>.......</w:t>
      </w:r>
      <w:r>
        <w:rPr>
          <w:rFonts w:hint="eastAsia"/>
        </w:rPr>
        <w:tab/>
      </w:r>
      <w:r>
        <w:rPr>
          <w:rFonts w:hint="eastAsia"/>
        </w:rPr>
        <w:tab/>
      </w:r>
      <w:r>
        <w:rPr>
          <w:rFonts w:hint="eastAsia"/>
        </w:rPr>
        <w:tab/>
      </w:r>
      <w:r>
        <w:t>47</w:t>
      </w:r>
      <w:r>
        <w:tab/>
      </w:r>
      <w:r>
        <w:rPr>
          <w:rFonts w:hint="eastAsia"/>
        </w:rPr>
        <w:tab/>
        <w:t>24</w:t>
      </w:r>
    </w:p>
    <w:p w:rsidR="00000000" w:rsidRDefault="00954A93">
      <w:pPr>
        <w:pStyle w:val="a9"/>
        <w:ind w:left="2040"/>
        <w:rPr>
          <w:rFonts w:hint="eastAsia"/>
        </w:rPr>
      </w:pPr>
      <w:r>
        <w:rPr>
          <w:rFonts w:hint="eastAsia"/>
        </w:rPr>
        <w:t>廉政公署</w:t>
      </w:r>
      <w:r>
        <w:tab/>
      </w:r>
      <w:r>
        <w:rPr>
          <w:rFonts w:hint="eastAsia"/>
        </w:rPr>
        <w:tab/>
      </w:r>
      <w:r>
        <w:rPr>
          <w:rFonts w:hint="eastAsia"/>
        </w:rPr>
        <w:tab/>
      </w:r>
      <w:r>
        <w:t>48</w:t>
      </w:r>
      <w:r>
        <w:tab/>
      </w:r>
      <w:r>
        <w:rPr>
          <w:rFonts w:hint="eastAsia"/>
        </w:rPr>
        <w:tab/>
        <w:t>24</w:t>
      </w:r>
    </w:p>
    <w:p w:rsidR="00000000" w:rsidRDefault="00954A93">
      <w:pPr>
        <w:pStyle w:val="a9"/>
        <w:ind w:left="2040"/>
        <w:rPr>
          <w:rFonts w:hint="eastAsia"/>
        </w:rPr>
      </w:pPr>
      <w:r>
        <w:rPr>
          <w:rFonts w:hint="eastAsia"/>
        </w:rPr>
        <w:t>其他纪律部队</w:t>
      </w:r>
      <w:r>
        <w:tab/>
      </w:r>
      <w:r>
        <w:rPr>
          <w:rFonts w:hint="eastAsia"/>
        </w:rPr>
        <w:tab/>
      </w:r>
      <w:r>
        <w:t>49</w:t>
      </w:r>
      <w:r>
        <w:rPr>
          <w:rFonts w:hint="eastAsia"/>
        </w:rPr>
        <w:tab/>
      </w:r>
      <w:r>
        <w:t>-</w:t>
      </w:r>
      <w:r>
        <w:rPr>
          <w:rFonts w:hint="eastAsia"/>
        </w:rPr>
        <w:tab/>
      </w:r>
      <w:r>
        <w:t>50</w:t>
      </w:r>
      <w:r>
        <w:tab/>
      </w:r>
      <w:r>
        <w:rPr>
          <w:rFonts w:hint="eastAsia"/>
        </w:rPr>
        <w:t>25</w:t>
      </w:r>
    </w:p>
    <w:p w:rsidR="00000000" w:rsidRDefault="00954A93">
      <w:pPr>
        <w:pStyle w:val="a9"/>
        <w:ind w:left="1530"/>
        <w:rPr>
          <w:rFonts w:hint="eastAsia"/>
        </w:rPr>
      </w:pPr>
      <w:r>
        <w:rPr>
          <w:rFonts w:hint="eastAsia"/>
          <w:b/>
          <w:bCs/>
        </w:rPr>
        <w:t>资讯及宣传</w:t>
      </w:r>
      <w:r>
        <w:tab/>
      </w:r>
      <w:r>
        <w:tab/>
      </w:r>
      <w:r>
        <w:rPr>
          <w:rFonts w:hint="eastAsia"/>
        </w:rPr>
        <w:tab/>
      </w:r>
      <w:r>
        <w:rPr>
          <w:rFonts w:hint="eastAsia"/>
        </w:rPr>
        <w:tab/>
      </w:r>
      <w:r>
        <w:rPr>
          <w:rFonts w:hint="eastAsia"/>
        </w:rPr>
        <w:tab/>
        <w:t>25</w:t>
      </w:r>
    </w:p>
    <w:p w:rsidR="00000000" w:rsidRDefault="00954A93">
      <w:pPr>
        <w:pStyle w:val="a9"/>
        <w:ind w:left="1530"/>
        <w:rPr>
          <w:rFonts w:hint="eastAsia"/>
        </w:rPr>
      </w:pPr>
      <w:r>
        <w:rPr>
          <w:rFonts w:hint="eastAsia"/>
        </w:rPr>
        <w:t>加深公众对人权条约的认识</w:t>
      </w:r>
      <w:r>
        <w:tab/>
      </w:r>
      <w:r>
        <w:rPr>
          <w:rFonts w:hint="eastAsia"/>
        </w:rPr>
        <w:tab/>
      </w:r>
      <w:r>
        <w:t>51</w:t>
      </w:r>
      <w:r>
        <w:rPr>
          <w:rFonts w:hint="eastAsia"/>
        </w:rPr>
        <w:tab/>
      </w:r>
      <w:r>
        <w:t>-</w:t>
      </w:r>
      <w:r>
        <w:rPr>
          <w:rFonts w:hint="eastAsia"/>
        </w:rPr>
        <w:tab/>
      </w:r>
      <w:r>
        <w:t>52</w:t>
      </w:r>
      <w:r>
        <w:rPr>
          <w:rFonts w:hint="eastAsia"/>
        </w:rPr>
        <w:tab/>
        <w:t>25</w:t>
      </w:r>
    </w:p>
    <w:p w:rsidR="00000000" w:rsidRDefault="00954A93">
      <w:pPr>
        <w:pStyle w:val="a9"/>
        <w:ind w:left="1530"/>
        <w:rPr>
          <w:rFonts w:hint="eastAsia"/>
        </w:rPr>
      </w:pPr>
      <w:r>
        <w:rPr>
          <w:rFonts w:hint="eastAsia"/>
        </w:rPr>
        <w:t>政府刊物</w:t>
      </w:r>
      <w:r>
        <w:tab/>
      </w:r>
      <w:r>
        <w:rPr>
          <w:rFonts w:hint="eastAsia"/>
        </w:rPr>
        <w:tab/>
      </w:r>
      <w:r>
        <w:rPr>
          <w:rFonts w:hint="eastAsia"/>
        </w:rPr>
        <w:tab/>
      </w:r>
      <w:r>
        <w:t>53</w:t>
      </w:r>
      <w:r>
        <w:rPr>
          <w:rFonts w:hint="eastAsia"/>
        </w:rPr>
        <w:tab/>
      </w:r>
      <w:r>
        <w:rPr>
          <w:rFonts w:hint="eastAsia"/>
        </w:rPr>
        <w:tab/>
        <w:t>26</w:t>
      </w:r>
    </w:p>
    <w:p w:rsidR="00000000" w:rsidRDefault="00954A93">
      <w:pPr>
        <w:pStyle w:val="a9"/>
        <w:tabs>
          <w:tab w:val="clear" w:pos="1531"/>
          <w:tab w:val="left" w:pos="1950"/>
        </w:tabs>
        <w:spacing w:after="240"/>
        <w:ind w:left="1038" w:firstLine="0"/>
        <w:rPr>
          <w:rFonts w:hint="eastAsia"/>
        </w:rPr>
      </w:pPr>
      <w:r>
        <w:rPr>
          <w:rFonts w:hint="eastAsia"/>
        </w:rPr>
        <w:t>香港特区就《公民权利和政治权利国际公约》所提交的报告</w:t>
      </w:r>
      <w:r>
        <w:tab/>
      </w:r>
      <w:r>
        <w:rPr>
          <w:rFonts w:hint="eastAsia"/>
        </w:rPr>
        <w:tab/>
      </w:r>
      <w:r>
        <w:rPr>
          <w:rFonts w:hint="eastAsia"/>
        </w:rPr>
        <w:tab/>
      </w:r>
      <w:r>
        <w:t>54</w:t>
      </w:r>
      <w:r>
        <w:tab/>
      </w:r>
      <w:r>
        <w:rPr>
          <w:rFonts w:hint="eastAsia"/>
        </w:rPr>
        <w:tab/>
        <w:t>26</w:t>
      </w:r>
    </w:p>
    <w:p w:rsidR="00000000" w:rsidRDefault="00954A93">
      <w:pPr>
        <w:pStyle w:val="a9"/>
        <w:spacing w:after="120"/>
        <w:rPr>
          <w:rFonts w:ascii="Time New Roman" w:eastAsia="SimHei" w:hAnsi="Time New Roman" w:hint="eastAsia"/>
        </w:rPr>
      </w:pPr>
      <w:r>
        <w:rPr>
          <w:rFonts w:ascii="Time New Roman" w:eastAsia="SimHei" w:hAnsi="Time New Roman" w:hint="eastAsia"/>
        </w:rPr>
        <w:t>第</w:t>
      </w:r>
      <w:r>
        <w:rPr>
          <w:rFonts w:ascii="Time New Roman" w:eastAsia="SimHei" w:hAnsi="Time New Roman"/>
          <w:b/>
        </w:rPr>
        <w:t>II</w:t>
      </w:r>
      <w:r>
        <w:rPr>
          <w:rFonts w:ascii="Time New Roman" w:eastAsia="SimHei" w:hAnsi="Time New Roman" w:hint="eastAsia"/>
        </w:rPr>
        <w:t>部</w:t>
      </w:r>
      <w:r>
        <w:rPr>
          <w:rFonts w:ascii="Time New Roman" w:eastAsia="SimHei" w:hAnsi="Time New Roman"/>
        </w:rPr>
        <w:tab/>
      </w:r>
      <w:r>
        <w:rPr>
          <w:rFonts w:ascii="Time New Roman" w:eastAsia="SimHei" w:hAnsi="Time New Roman" w:hint="eastAsia"/>
        </w:rPr>
        <w:t>与公约第</w:t>
      </w:r>
      <w:r>
        <w:rPr>
          <w:rFonts w:ascii="Time New Roman" w:eastAsia="SimHei" w:hAnsi="Time New Roman"/>
          <w:b/>
        </w:rPr>
        <w:t>I</w:t>
      </w:r>
      <w:r>
        <w:rPr>
          <w:rFonts w:ascii="Time New Roman" w:eastAsia="SimHei" w:hAnsi="Time New Roman" w:hint="eastAsia"/>
        </w:rPr>
        <w:t>部分各项条文有关的资料</w:t>
      </w:r>
      <w:r>
        <w:rPr>
          <w:rFonts w:ascii="Time New Roman" w:eastAsia="SimHei" w:hAnsi="Time New Roman"/>
        </w:rPr>
        <w:tab/>
      </w:r>
      <w:r>
        <w:rPr>
          <w:rFonts w:ascii="Time New Roman" w:eastAsia="SimHei" w:hAnsi="Time New Roman"/>
        </w:rPr>
        <w:tab/>
      </w:r>
      <w:r>
        <w:rPr>
          <w:rFonts w:ascii="Time New Roman" w:eastAsia="SimHei" w:hAnsi="Time New Roman" w:hint="eastAsia"/>
        </w:rPr>
        <w:tab/>
      </w:r>
      <w:r>
        <w:rPr>
          <w:rFonts w:ascii="Time New Roman" w:eastAsia="SimHei" w:hAnsi="Time New Roman" w:hint="eastAsia"/>
        </w:rPr>
        <w:tab/>
      </w:r>
      <w:r>
        <w:rPr>
          <w:rFonts w:ascii="Time New Roman" w:eastAsia="SimHei" w:hAnsi="Time New Roman" w:hint="eastAsia"/>
        </w:rPr>
        <w:tab/>
        <w:t>27</w:t>
      </w:r>
    </w:p>
    <w:p w:rsidR="00000000" w:rsidRDefault="00954A93">
      <w:pPr>
        <w:pStyle w:val="a9"/>
        <w:spacing w:after="120"/>
        <w:rPr>
          <w:rFonts w:hint="eastAsia"/>
        </w:rPr>
      </w:pPr>
      <w:r>
        <w:rPr>
          <w:rFonts w:hint="eastAsia"/>
          <w:b/>
          <w:bCs/>
        </w:rPr>
        <w:t>第</w:t>
      </w:r>
      <w:r>
        <w:rPr>
          <w:b/>
          <w:bCs/>
        </w:rPr>
        <w:t>1</w:t>
      </w:r>
      <w:r>
        <w:rPr>
          <w:rFonts w:hint="eastAsia"/>
          <w:b/>
          <w:bCs/>
        </w:rPr>
        <w:t>条</w:t>
      </w:r>
      <w:r>
        <w:rPr>
          <w:b/>
          <w:bCs/>
        </w:rPr>
        <w:tab/>
      </w:r>
      <w:r>
        <w:rPr>
          <w:rFonts w:hint="eastAsia"/>
          <w:b/>
          <w:bCs/>
        </w:rPr>
        <w:t>“酷刑”的定义</w:t>
      </w:r>
      <w:r>
        <w:tab/>
      </w:r>
      <w:r>
        <w:rPr>
          <w:rFonts w:hint="eastAsia"/>
        </w:rPr>
        <w:tab/>
      </w:r>
      <w:r>
        <w:t>55</w:t>
      </w:r>
      <w:r>
        <w:rPr>
          <w:rFonts w:hint="eastAsia"/>
        </w:rPr>
        <w:tab/>
      </w:r>
      <w:r>
        <w:t>-</w:t>
      </w:r>
      <w:r>
        <w:rPr>
          <w:rFonts w:hint="eastAsia"/>
        </w:rPr>
        <w:tab/>
      </w:r>
      <w:r>
        <w:t>61</w:t>
      </w:r>
      <w:r>
        <w:rPr>
          <w:rFonts w:hint="eastAsia"/>
        </w:rPr>
        <w:tab/>
        <w:t>27</w:t>
      </w:r>
    </w:p>
    <w:p w:rsidR="00000000" w:rsidRDefault="00954A93">
      <w:pPr>
        <w:pStyle w:val="a9"/>
        <w:ind w:left="1040" w:hanging="1040"/>
        <w:rPr>
          <w:rFonts w:eastAsia="華康中黑體(P)" w:hint="eastAsia"/>
        </w:rPr>
      </w:pPr>
      <w:r>
        <w:rPr>
          <w:rFonts w:eastAsia="華康中黑體(P)" w:hint="eastAsia"/>
          <w:b/>
          <w:bCs/>
        </w:rPr>
        <w:t>第</w:t>
      </w:r>
      <w:r>
        <w:rPr>
          <w:rFonts w:eastAsia="華康中黑體(P)"/>
          <w:b/>
          <w:bCs/>
        </w:rPr>
        <w:t>2</w:t>
      </w:r>
      <w:r>
        <w:rPr>
          <w:rFonts w:eastAsia="華康中黑體(P)" w:hint="eastAsia"/>
          <w:b/>
          <w:bCs/>
        </w:rPr>
        <w:t>条</w:t>
      </w:r>
      <w:r>
        <w:rPr>
          <w:rFonts w:eastAsia="華康中黑體(P)"/>
          <w:b/>
          <w:bCs/>
        </w:rPr>
        <w:tab/>
      </w:r>
      <w:r>
        <w:rPr>
          <w:rFonts w:eastAsia="華康中黑體" w:hint="eastAsia"/>
          <w:b/>
          <w:bCs/>
          <w:spacing w:val="0"/>
        </w:rPr>
        <w:t>防止酷刑行为的立法、行政</w:t>
      </w:r>
      <w:r>
        <w:rPr>
          <w:rFonts w:eastAsia="華康中黑體" w:hint="eastAsia"/>
          <w:b/>
          <w:bCs/>
          <w:spacing w:val="0"/>
        </w:rPr>
        <w:t>、司法或其他措施</w:t>
      </w:r>
      <w:r>
        <w:rPr>
          <w:rFonts w:eastAsia="華康中黑體(P)" w:hint="eastAsia"/>
        </w:rPr>
        <w:tab/>
      </w:r>
      <w:r>
        <w:rPr>
          <w:rFonts w:eastAsia="華康中黑體(P)" w:hint="eastAsia"/>
        </w:rPr>
        <w:tab/>
      </w:r>
      <w:r>
        <w:rPr>
          <w:rFonts w:eastAsia="華康中黑體(P)"/>
        </w:rPr>
        <w:tab/>
        <w:t>62</w:t>
      </w:r>
      <w:r>
        <w:rPr>
          <w:rFonts w:eastAsia="華康中黑體(P)" w:hint="eastAsia"/>
        </w:rPr>
        <w:tab/>
      </w:r>
      <w:r>
        <w:rPr>
          <w:rFonts w:eastAsia="華康中黑體(P)" w:hint="eastAsia"/>
        </w:rPr>
        <w:tab/>
        <w:t>29</w:t>
      </w:r>
    </w:p>
    <w:p w:rsidR="00000000" w:rsidRDefault="00954A93">
      <w:pPr>
        <w:pStyle w:val="a9"/>
        <w:spacing w:after="120"/>
        <w:ind w:left="1531"/>
        <w:rPr>
          <w:rFonts w:hint="eastAsia"/>
        </w:rPr>
      </w:pPr>
      <w:r>
        <w:rPr>
          <w:rFonts w:hint="eastAsia"/>
        </w:rPr>
        <w:t>指称施行酷刑的</w:t>
      </w:r>
      <w:r>
        <w:rPr>
          <w:rFonts w:hint="eastAsia"/>
        </w:rPr>
        <w:t>..........</w:t>
      </w:r>
      <w:r>
        <w:rPr>
          <w:rFonts w:hint="eastAsia"/>
        </w:rPr>
        <w:tab/>
      </w:r>
      <w:r>
        <w:rPr>
          <w:rFonts w:hint="eastAsia"/>
        </w:rPr>
        <w:tab/>
        <w:t>63</w:t>
      </w:r>
      <w:r>
        <w:rPr>
          <w:rFonts w:hint="eastAsia"/>
        </w:rPr>
        <w:tab/>
        <w:t>-</w:t>
      </w:r>
      <w:r>
        <w:rPr>
          <w:rFonts w:hint="eastAsia"/>
        </w:rPr>
        <w:tab/>
        <w:t>64</w:t>
      </w:r>
      <w:r>
        <w:rPr>
          <w:rFonts w:hint="eastAsia"/>
        </w:rPr>
        <w:tab/>
        <w:t>29</w:t>
      </w:r>
    </w:p>
    <w:p w:rsidR="00000000" w:rsidRDefault="00954A93">
      <w:pPr>
        <w:pStyle w:val="a9"/>
        <w:rPr>
          <w:rFonts w:hint="eastAsia"/>
        </w:rPr>
      </w:pPr>
      <w:r>
        <w:rPr>
          <w:rFonts w:eastAsia="華康中黑體(P)" w:hint="eastAsia"/>
          <w:b/>
          <w:bCs/>
        </w:rPr>
        <w:t>第</w:t>
      </w:r>
      <w:r>
        <w:rPr>
          <w:rFonts w:eastAsia="華康中黑體(P)"/>
          <w:b/>
          <w:bCs/>
        </w:rPr>
        <w:t>3</w:t>
      </w:r>
      <w:r>
        <w:rPr>
          <w:rFonts w:eastAsia="華康中黑體(P)" w:hint="eastAsia"/>
          <w:b/>
          <w:bCs/>
        </w:rPr>
        <w:t>条</w:t>
      </w:r>
      <w:r>
        <w:rPr>
          <w:b/>
          <w:bCs/>
        </w:rPr>
        <w:tab/>
      </w:r>
      <w:r>
        <w:rPr>
          <w:rFonts w:eastAsia="華康中黑體" w:hint="eastAsia"/>
          <w:b/>
          <w:bCs/>
        </w:rPr>
        <w:t>以酷刑为理由而拒</w:t>
      </w:r>
      <w:r>
        <w:rPr>
          <w:rFonts w:ascii="SimSun" w:hAnsi="SimSun" w:cs="SimSun" w:hint="eastAsia"/>
          <w:b/>
          <w:bCs/>
        </w:rPr>
        <w:t>绝</w:t>
      </w:r>
      <w:r>
        <w:rPr>
          <w:rFonts w:ascii="MS Mincho" w:hAnsi="MS Mincho" w:cs="MS Mincho" w:hint="eastAsia"/>
          <w:b/>
          <w:bCs/>
        </w:rPr>
        <w:t>驱逐、遣返或引渡</w:t>
      </w:r>
      <w:r>
        <w:tab/>
      </w:r>
      <w:r>
        <w:rPr>
          <w:rFonts w:hint="eastAsia"/>
        </w:rPr>
        <w:tab/>
      </w:r>
      <w:r>
        <w:t>65</w:t>
      </w:r>
      <w:r>
        <w:rPr>
          <w:rFonts w:hint="eastAsia"/>
        </w:rPr>
        <w:tab/>
      </w:r>
      <w:r>
        <w:t>-</w:t>
      </w:r>
      <w:r>
        <w:rPr>
          <w:rFonts w:hint="eastAsia"/>
        </w:rPr>
        <w:tab/>
      </w:r>
      <w:r>
        <w:t>66</w:t>
      </w:r>
      <w:r>
        <w:rPr>
          <w:rFonts w:hint="eastAsia"/>
        </w:rPr>
        <w:tab/>
        <w:t>29</w:t>
      </w:r>
    </w:p>
    <w:p w:rsidR="00000000" w:rsidRDefault="00954A93">
      <w:pPr>
        <w:pStyle w:val="a9"/>
        <w:tabs>
          <w:tab w:val="clear" w:pos="510"/>
          <w:tab w:val="clear" w:pos="1021"/>
          <w:tab w:val="left" w:pos="1040"/>
        </w:tabs>
        <w:ind w:left="2060" w:hanging="1040"/>
        <w:rPr>
          <w:rFonts w:hint="eastAsia"/>
        </w:rPr>
      </w:pPr>
      <w:r>
        <w:rPr>
          <w:rFonts w:ascii="華康細明體" w:hAnsi="華康細明體" w:hint="eastAsia"/>
        </w:rPr>
        <w:t>遣送及递解离境</w:t>
      </w:r>
      <w:r>
        <w:rPr>
          <w:rFonts w:eastAsia="華康中黑體"/>
        </w:rPr>
        <w:tab/>
      </w:r>
      <w:r>
        <w:rPr>
          <w:rFonts w:eastAsia="華康中黑體" w:hint="eastAsia"/>
        </w:rPr>
        <w:tab/>
      </w:r>
      <w:r>
        <w:t>67</w:t>
      </w:r>
      <w:r>
        <w:rPr>
          <w:rFonts w:hint="eastAsia"/>
        </w:rPr>
        <w:tab/>
      </w:r>
      <w:r>
        <w:t>-</w:t>
      </w:r>
      <w:r>
        <w:rPr>
          <w:rFonts w:hint="eastAsia"/>
        </w:rPr>
        <w:tab/>
      </w:r>
      <w:r>
        <w:t>68</w:t>
      </w:r>
      <w:r>
        <w:tab/>
      </w:r>
      <w:r>
        <w:rPr>
          <w:rFonts w:hint="eastAsia"/>
        </w:rPr>
        <w:t>30</w:t>
      </w:r>
    </w:p>
    <w:p w:rsidR="00000000" w:rsidRDefault="00954A93">
      <w:pPr>
        <w:pStyle w:val="a9"/>
        <w:ind w:left="1530"/>
        <w:rPr>
          <w:rFonts w:hint="eastAsia"/>
        </w:rPr>
      </w:pPr>
      <w:r>
        <w:rPr>
          <w:rFonts w:ascii="華康細明體" w:hAnsi="華康細明體" w:hint="eastAsia"/>
        </w:rPr>
        <w:t>移交逃犯</w:t>
      </w:r>
      <w:r>
        <w:tab/>
      </w:r>
      <w:r>
        <w:rPr>
          <w:rFonts w:ascii="華康細明體" w:hAnsi="華康細明體" w:hint="eastAsia"/>
        </w:rPr>
        <w:tab/>
      </w:r>
      <w:r>
        <w:t>69</w:t>
      </w:r>
      <w:r>
        <w:rPr>
          <w:rFonts w:hint="eastAsia"/>
        </w:rPr>
        <w:tab/>
      </w:r>
      <w:r>
        <w:t>-</w:t>
      </w:r>
      <w:r>
        <w:rPr>
          <w:rFonts w:hint="eastAsia"/>
        </w:rPr>
        <w:tab/>
      </w:r>
      <w:r>
        <w:t>70</w:t>
      </w:r>
      <w:r>
        <w:tab/>
      </w:r>
      <w:r>
        <w:rPr>
          <w:rFonts w:hint="eastAsia"/>
        </w:rPr>
        <w:t>30</w:t>
      </w:r>
    </w:p>
    <w:p w:rsidR="00000000" w:rsidRDefault="00954A93">
      <w:pPr>
        <w:pStyle w:val="a9"/>
        <w:ind w:left="1530"/>
        <w:rPr>
          <w:rFonts w:hint="eastAsia"/>
        </w:rPr>
      </w:pPr>
      <w:r>
        <w:rPr>
          <w:rFonts w:hint="eastAsia"/>
        </w:rPr>
        <w:t>滞港越南难民和船民</w:t>
      </w:r>
      <w:r>
        <w:rPr>
          <w:rFonts w:hint="eastAsia"/>
        </w:rPr>
        <w:t>.................</w:t>
      </w:r>
      <w:r>
        <w:rPr>
          <w:rFonts w:hint="eastAsia"/>
        </w:rPr>
        <w:tab/>
      </w:r>
      <w:r>
        <w:rPr>
          <w:rFonts w:hint="eastAsia"/>
        </w:rPr>
        <w:tab/>
      </w:r>
      <w:r>
        <w:rPr>
          <w:rFonts w:hint="eastAsia"/>
        </w:rPr>
        <w:tab/>
      </w:r>
      <w:r>
        <w:t>71</w:t>
      </w:r>
      <w:r>
        <w:tab/>
      </w:r>
      <w:r>
        <w:rPr>
          <w:rFonts w:hint="eastAsia"/>
        </w:rPr>
        <w:tab/>
        <w:t>31</w:t>
      </w:r>
    </w:p>
    <w:p w:rsidR="00000000" w:rsidRDefault="00954A93">
      <w:pPr>
        <w:pStyle w:val="a9"/>
        <w:ind w:left="1530"/>
        <w:rPr>
          <w:rFonts w:hint="eastAsia"/>
        </w:rPr>
      </w:pPr>
      <w:r>
        <w:rPr>
          <w:rFonts w:hint="eastAsia"/>
        </w:rPr>
        <w:t>越南非法入境者</w:t>
      </w:r>
      <w:r>
        <w:rPr>
          <w:rFonts w:hint="eastAsia"/>
        </w:rPr>
        <w:t>............</w:t>
      </w:r>
      <w:r>
        <w:rPr>
          <w:rFonts w:hint="eastAsia"/>
        </w:rPr>
        <w:tab/>
      </w:r>
      <w:r>
        <w:rPr>
          <w:rFonts w:hint="eastAsia"/>
        </w:rPr>
        <w:tab/>
      </w:r>
      <w:r>
        <w:rPr>
          <w:rFonts w:hint="eastAsia"/>
        </w:rPr>
        <w:tab/>
      </w:r>
      <w:r>
        <w:t>72</w:t>
      </w:r>
      <w:r>
        <w:rPr>
          <w:rFonts w:hint="eastAsia"/>
        </w:rPr>
        <w:tab/>
      </w:r>
      <w:r>
        <w:rPr>
          <w:rFonts w:hint="eastAsia"/>
        </w:rPr>
        <w:tab/>
        <w:t>31</w:t>
      </w:r>
    </w:p>
    <w:p w:rsidR="00000000" w:rsidRDefault="00954A93">
      <w:pPr>
        <w:pStyle w:val="a9"/>
        <w:spacing w:after="120"/>
        <w:ind w:left="1531"/>
        <w:rPr>
          <w:rFonts w:hint="eastAsia"/>
        </w:rPr>
      </w:pPr>
      <w:r>
        <w:rPr>
          <w:rFonts w:hint="eastAsia"/>
        </w:rPr>
        <w:t>从中国</w:t>
      </w:r>
      <w:r>
        <w:rPr>
          <w:rFonts w:ascii="SimSun" w:hAnsi="SimSun" w:cs="SimSun" w:hint="eastAsia"/>
        </w:rPr>
        <w:t>内</w:t>
      </w:r>
      <w:r>
        <w:rPr>
          <w:rFonts w:ascii="MS Mincho" w:hAnsi="MS Mincho" w:cs="MS Mincho" w:hint="eastAsia"/>
        </w:rPr>
        <w:t>地到港的越南人</w:t>
      </w:r>
      <w:r>
        <w:tab/>
      </w:r>
      <w:r>
        <w:rPr>
          <w:rFonts w:hint="eastAsia"/>
        </w:rPr>
        <w:tab/>
      </w:r>
      <w:r>
        <w:rPr>
          <w:rFonts w:hint="eastAsia"/>
        </w:rPr>
        <w:tab/>
      </w:r>
      <w:r>
        <w:t>73</w:t>
      </w:r>
      <w:r>
        <w:tab/>
      </w:r>
      <w:r>
        <w:rPr>
          <w:rFonts w:hint="eastAsia"/>
        </w:rPr>
        <w:tab/>
        <w:t>31</w:t>
      </w:r>
    </w:p>
    <w:p w:rsidR="00000000" w:rsidRDefault="00954A93">
      <w:pPr>
        <w:pStyle w:val="a9"/>
        <w:spacing w:after="120"/>
        <w:rPr>
          <w:rFonts w:hint="eastAsia"/>
        </w:rPr>
      </w:pPr>
      <w:r>
        <w:rPr>
          <w:rFonts w:eastAsia="華康中黑體(P)" w:hint="eastAsia"/>
          <w:b/>
          <w:bCs/>
        </w:rPr>
        <w:t>第</w:t>
      </w:r>
      <w:r>
        <w:rPr>
          <w:rFonts w:eastAsia="華康中黑體(P)"/>
          <w:b/>
          <w:bCs/>
        </w:rPr>
        <w:t>4</w:t>
      </w:r>
      <w:r>
        <w:rPr>
          <w:rFonts w:eastAsia="華康中黑體(P)" w:hint="eastAsia"/>
          <w:b/>
          <w:bCs/>
        </w:rPr>
        <w:t>条</w:t>
      </w:r>
      <w:r>
        <w:rPr>
          <w:b/>
          <w:bCs/>
        </w:rPr>
        <w:tab/>
      </w:r>
      <w:r>
        <w:rPr>
          <w:rFonts w:eastAsia="華康中黑體" w:hint="eastAsia"/>
          <w:b/>
          <w:bCs/>
        </w:rPr>
        <w:t>把酷刑行为定为刑事罪行</w:t>
      </w:r>
      <w:r>
        <w:tab/>
      </w:r>
      <w:r>
        <w:rPr>
          <w:rFonts w:hint="eastAsia"/>
        </w:rPr>
        <w:tab/>
      </w:r>
      <w:r>
        <w:rPr>
          <w:rFonts w:hint="eastAsia"/>
        </w:rPr>
        <w:tab/>
      </w:r>
      <w:r>
        <w:t>74</w:t>
      </w:r>
      <w:r>
        <w:tab/>
      </w:r>
      <w:r>
        <w:rPr>
          <w:rFonts w:hint="eastAsia"/>
        </w:rPr>
        <w:tab/>
        <w:t>31</w:t>
      </w:r>
    </w:p>
    <w:p w:rsidR="00000000" w:rsidRDefault="00954A93">
      <w:pPr>
        <w:pStyle w:val="a9"/>
        <w:spacing w:after="120"/>
        <w:rPr>
          <w:rFonts w:hint="eastAsia"/>
        </w:rPr>
      </w:pPr>
      <w:r>
        <w:rPr>
          <w:rFonts w:eastAsia="華康中黑體(P)" w:hint="eastAsia"/>
          <w:b/>
          <w:bCs/>
        </w:rPr>
        <w:t>第</w:t>
      </w:r>
      <w:r>
        <w:rPr>
          <w:rFonts w:eastAsia="華康中黑體(P)"/>
          <w:b/>
          <w:bCs/>
        </w:rPr>
        <w:t>5</w:t>
      </w:r>
      <w:r>
        <w:rPr>
          <w:rFonts w:eastAsia="華康中黑體(P)" w:hint="eastAsia"/>
          <w:b/>
          <w:bCs/>
        </w:rPr>
        <w:t>条</w:t>
      </w:r>
      <w:r>
        <w:rPr>
          <w:b/>
          <w:bCs/>
        </w:rPr>
        <w:tab/>
      </w:r>
      <w:r>
        <w:rPr>
          <w:rFonts w:eastAsia="華康中黑體" w:hint="eastAsia"/>
          <w:b/>
          <w:bCs/>
        </w:rPr>
        <w:t>确立司法管辖权</w:t>
      </w:r>
      <w:r>
        <w:tab/>
      </w:r>
      <w:r>
        <w:rPr>
          <w:rFonts w:hint="eastAsia"/>
        </w:rPr>
        <w:tab/>
      </w:r>
      <w:r>
        <w:rPr>
          <w:rFonts w:hint="eastAsia"/>
        </w:rPr>
        <w:tab/>
      </w:r>
      <w:r>
        <w:t>75</w:t>
      </w:r>
      <w:r>
        <w:rPr>
          <w:rFonts w:hint="eastAsia"/>
        </w:rPr>
        <w:tab/>
      </w:r>
      <w:r>
        <w:rPr>
          <w:rFonts w:hint="eastAsia"/>
        </w:rPr>
        <w:tab/>
        <w:t>31</w:t>
      </w:r>
    </w:p>
    <w:p w:rsidR="00000000" w:rsidRDefault="00954A93">
      <w:pPr>
        <w:pStyle w:val="a9"/>
        <w:spacing w:after="120"/>
        <w:rPr>
          <w:rFonts w:hint="eastAsia"/>
          <w:bCs/>
        </w:rPr>
      </w:pPr>
      <w:r>
        <w:rPr>
          <w:rFonts w:hint="eastAsia"/>
          <w:b/>
          <w:bCs/>
        </w:rPr>
        <w:t>第</w:t>
      </w:r>
      <w:r>
        <w:rPr>
          <w:b/>
          <w:bCs/>
        </w:rPr>
        <w:t>6</w:t>
      </w:r>
      <w:r>
        <w:rPr>
          <w:rFonts w:hint="eastAsia"/>
          <w:b/>
          <w:bCs/>
        </w:rPr>
        <w:t>条</w:t>
      </w:r>
      <w:r>
        <w:rPr>
          <w:b/>
          <w:bCs/>
        </w:rPr>
        <w:tab/>
      </w:r>
      <w:r>
        <w:rPr>
          <w:rFonts w:eastAsia="華康中黑體" w:hint="eastAsia"/>
          <w:b/>
          <w:bCs/>
        </w:rPr>
        <w:t>拘</w:t>
      </w:r>
      <w:r>
        <w:rPr>
          <w:rFonts w:eastAsia="華康中黑體" w:hint="eastAsia"/>
          <w:b/>
          <w:bCs/>
        </w:rPr>
        <w:t>留权</w:t>
      </w:r>
      <w:r>
        <w:rPr>
          <w:rFonts w:eastAsia="華康中黑體" w:hint="eastAsia"/>
        </w:rPr>
        <w:t>....</w:t>
      </w:r>
      <w:r>
        <w:tab/>
      </w:r>
      <w:r>
        <w:rPr>
          <w:rFonts w:hint="eastAsia"/>
        </w:rPr>
        <w:tab/>
        <w:t>76</w:t>
      </w:r>
      <w:r>
        <w:rPr>
          <w:rFonts w:hint="eastAsia"/>
        </w:rPr>
        <w:tab/>
        <w:t>-</w:t>
      </w:r>
      <w:r>
        <w:rPr>
          <w:rFonts w:hint="eastAsia"/>
        </w:rPr>
        <w:tab/>
        <w:t>77</w:t>
      </w:r>
      <w:r>
        <w:rPr>
          <w:rFonts w:hint="eastAsia"/>
        </w:rPr>
        <w:tab/>
        <w:t>32</w:t>
      </w:r>
    </w:p>
    <w:p w:rsidR="00000000" w:rsidRDefault="00954A93">
      <w:pPr>
        <w:pStyle w:val="a9"/>
        <w:spacing w:after="120"/>
        <w:rPr>
          <w:rFonts w:hint="eastAsia"/>
        </w:rPr>
      </w:pPr>
      <w:r>
        <w:rPr>
          <w:rFonts w:eastAsia="華康中黑體(P)" w:hint="eastAsia"/>
          <w:b/>
          <w:bCs/>
        </w:rPr>
        <w:t>第</w:t>
      </w:r>
      <w:r>
        <w:rPr>
          <w:rFonts w:eastAsia="華康中黑體(P)"/>
          <w:b/>
          <w:bCs/>
        </w:rPr>
        <w:t>7</w:t>
      </w:r>
      <w:r>
        <w:rPr>
          <w:rFonts w:eastAsia="華康中黑體(P)" w:hint="eastAsia"/>
          <w:b/>
          <w:bCs/>
        </w:rPr>
        <w:t>条</w:t>
      </w:r>
      <w:r>
        <w:rPr>
          <w:rFonts w:eastAsia="華康中黑體(P)"/>
          <w:b/>
          <w:bCs/>
        </w:rPr>
        <w:tab/>
      </w:r>
      <w:r>
        <w:rPr>
          <w:rFonts w:hint="eastAsia"/>
          <w:b/>
          <w:bCs/>
        </w:rPr>
        <w:t>检控不进行引渡的罪犯</w:t>
      </w:r>
      <w:r>
        <w:tab/>
      </w:r>
      <w:r>
        <w:rPr>
          <w:rFonts w:hint="eastAsia"/>
        </w:rPr>
        <w:tab/>
      </w:r>
      <w:r>
        <w:rPr>
          <w:rFonts w:hint="eastAsia"/>
        </w:rPr>
        <w:tab/>
      </w:r>
      <w:r>
        <w:t>78</w:t>
      </w:r>
      <w:r>
        <w:rPr>
          <w:rFonts w:hint="eastAsia"/>
        </w:rPr>
        <w:tab/>
      </w:r>
      <w:r>
        <w:rPr>
          <w:rFonts w:hint="eastAsia"/>
        </w:rPr>
        <w:tab/>
        <w:t>32</w:t>
      </w:r>
    </w:p>
    <w:p w:rsidR="00000000" w:rsidRDefault="00954A93">
      <w:pPr>
        <w:pStyle w:val="a7"/>
        <w:keepNext/>
        <w:tabs>
          <w:tab w:val="clear" w:pos="7201"/>
          <w:tab w:val="clear" w:pos="8618"/>
          <w:tab w:val="left" w:pos="7088"/>
          <w:tab w:val="left" w:pos="8080"/>
          <w:tab w:val="left" w:pos="8640"/>
        </w:tabs>
        <w:spacing w:after="16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54A93">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54A93">
      <w:pPr>
        <w:pStyle w:val="a9"/>
        <w:spacing w:after="120"/>
        <w:rPr>
          <w:rFonts w:hint="eastAsia"/>
        </w:rPr>
      </w:pPr>
      <w:r>
        <w:rPr>
          <w:rFonts w:eastAsia="華康中黑體(P)" w:hint="eastAsia"/>
          <w:b/>
          <w:bCs/>
        </w:rPr>
        <w:t>第</w:t>
      </w:r>
      <w:r>
        <w:rPr>
          <w:rFonts w:eastAsia="華康中黑體(P)"/>
          <w:b/>
          <w:bCs/>
        </w:rPr>
        <w:t>8</w:t>
      </w:r>
      <w:r>
        <w:rPr>
          <w:rFonts w:eastAsia="華康中黑體(P)" w:hint="eastAsia"/>
          <w:b/>
          <w:bCs/>
        </w:rPr>
        <w:t>条</w:t>
      </w:r>
      <w:r>
        <w:rPr>
          <w:rFonts w:eastAsia="華康中黑體(P)"/>
          <w:b/>
          <w:bCs/>
        </w:rPr>
        <w:tab/>
      </w:r>
      <w:r>
        <w:rPr>
          <w:rFonts w:hint="eastAsia"/>
          <w:b/>
          <w:bCs/>
        </w:rPr>
        <w:t>引渡安排</w:t>
      </w:r>
      <w:r>
        <w:tab/>
      </w:r>
      <w:r>
        <w:rPr>
          <w:rFonts w:hint="eastAsia"/>
        </w:rPr>
        <w:tab/>
      </w:r>
      <w:r>
        <w:t>79</w:t>
      </w:r>
      <w:r>
        <w:rPr>
          <w:rFonts w:hint="eastAsia"/>
        </w:rPr>
        <w:tab/>
      </w:r>
      <w:r>
        <w:t>-</w:t>
      </w:r>
      <w:r>
        <w:rPr>
          <w:rFonts w:hint="eastAsia"/>
        </w:rPr>
        <w:tab/>
      </w:r>
      <w:r>
        <w:t>80</w:t>
      </w:r>
      <w:r>
        <w:rPr>
          <w:rFonts w:hint="eastAsia"/>
        </w:rPr>
        <w:tab/>
        <w:t>32</w:t>
      </w:r>
    </w:p>
    <w:p w:rsidR="00000000" w:rsidRDefault="00954A93">
      <w:pPr>
        <w:pStyle w:val="a9"/>
        <w:tabs>
          <w:tab w:val="clear" w:pos="510"/>
          <w:tab w:val="clear" w:pos="1021"/>
          <w:tab w:val="left" w:pos="1300"/>
        </w:tabs>
        <w:spacing w:after="120"/>
        <w:ind w:left="1038" w:hanging="1038"/>
        <w:rPr>
          <w:rFonts w:hint="eastAsia"/>
          <w:bCs/>
        </w:rPr>
      </w:pPr>
      <w:r>
        <w:rPr>
          <w:rFonts w:eastAsia="華康中黑體(P)" w:hint="eastAsia"/>
          <w:b/>
          <w:bCs/>
        </w:rPr>
        <w:t>第</w:t>
      </w:r>
      <w:r>
        <w:rPr>
          <w:rFonts w:eastAsia="華康中黑體(P)"/>
          <w:b/>
          <w:bCs/>
        </w:rPr>
        <w:t>9</w:t>
      </w:r>
      <w:r>
        <w:rPr>
          <w:rFonts w:eastAsia="華康中黑體(P)" w:hint="eastAsia"/>
          <w:b/>
          <w:bCs/>
        </w:rPr>
        <w:t>条</w:t>
      </w:r>
      <w:r>
        <w:rPr>
          <w:rFonts w:eastAsia="華康中黑體(P)"/>
          <w:b/>
          <w:bCs/>
        </w:rPr>
        <w:tab/>
      </w:r>
      <w:r>
        <w:rPr>
          <w:rFonts w:ascii="華康中黑體" w:hAnsi="華康中黑體" w:hint="eastAsia"/>
          <w:b/>
          <w:bCs/>
        </w:rPr>
        <w:t>在酷刑罪行方面相互协助</w:t>
      </w:r>
      <w:r>
        <w:tab/>
      </w:r>
      <w:r>
        <w:rPr>
          <w:rFonts w:hint="eastAsia"/>
        </w:rPr>
        <w:tab/>
      </w:r>
      <w:r>
        <w:t>81</w:t>
      </w:r>
      <w:r>
        <w:rPr>
          <w:rFonts w:hint="eastAsia"/>
        </w:rPr>
        <w:tab/>
      </w:r>
      <w:r>
        <w:t>-</w:t>
      </w:r>
      <w:r>
        <w:rPr>
          <w:rFonts w:hint="eastAsia"/>
        </w:rPr>
        <w:tab/>
      </w:r>
      <w:r>
        <w:t>82</w:t>
      </w:r>
      <w:r>
        <w:rPr>
          <w:rFonts w:hint="eastAsia"/>
        </w:rPr>
        <w:tab/>
        <w:t>33</w:t>
      </w:r>
    </w:p>
    <w:p w:rsidR="00000000" w:rsidRDefault="00954A93">
      <w:pPr>
        <w:pStyle w:val="a9"/>
        <w:rPr>
          <w:rFonts w:hint="eastAsia"/>
        </w:rPr>
      </w:pPr>
      <w:r>
        <w:rPr>
          <w:rFonts w:eastAsia="華康中黑體(P)" w:hint="eastAsia"/>
          <w:b/>
          <w:bCs/>
        </w:rPr>
        <w:t>第</w:t>
      </w:r>
      <w:r>
        <w:rPr>
          <w:rFonts w:eastAsia="華康中黑體(P)"/>
          <w:b/>
          <w:bCs/>
        </w:rPr>
        <w:t>10</w:t>
      </w:r>
      <w:r>
        <w:rPr>
          <w:rFonts w:eastAsia="華康中黑體(P)" w:hint="eastAsia"/>
          <w:b/>
          <w:bCs/>
        </w:rPr>
        <w:t>条</w:t>
      </w:r>
      <w:r>
        <w:rPr>
          <w:rFonts w:eastAsia="華康中黑體(P)"/>
          <w:b/>
          <w:bCs/>
        </w:rPr>
        <w:tab/>
      </w:r>
      <w:r>
        <w:rPr>
          <w:rFonts w:hint="eastAsia"/>
          <w:b/>
          <w:bCs/>
        </w:rPr>
        <w:t>有关禁止酷刑的教育和资料</w:t>
      </w:r>
      <w:r>
        <w:rPr>
          <w:rFonts w:hint="eastAsia"/>
        </w:rPr>
        <w:t>.................</w:t>
      </w:r>
      <w:r>
        <w:rPr>
          <w:rFonts w:hint="eastAsia"/>
        </w:rPr>
        <w:tab/>
      </w:r>
      <w:r>
        <w:rPr>
          <w:rFonts w:hint="eastAsia"/>
        </w:rPr>
        <w:tab/>
      </w:r>
      <w:r>
        <w:rPr>
          <w:rFonts w:hint="eastAsia"/>
        </w:rPr>
        <w:tab/>
      </w:r>
      <w:r>
        <w:rPr>
          <w:rFonts w:hint="eastAsia"/>
        </w:rPr>
        <w:tab/>
      </w:r>
      <w:r>
        <w:rPr>
          <w:rFonts w:hint="eastAsia"/>
        </w:rPr>
        <w:tab/>
        <w:t>33</w:t>
      </w:r>
    </w:p>
    <w:p w:rsidR="00000000" w:rsidRDefault="00954A93">
      <w:pPr>
        <w:pStyle w:val="a9"/>
        <w:ind w:left="1530"/>
        <w:rPr>
          <w:rFonts w:hint="eastAsia"/>
        </w:rPr>
      </w:pPr>
      <w:r>
        <w:rPr>
          <w:rFonts w:hint="eastAsia"/>
        </w:rPr>
        <w:t>概况</w:t>
      </w:r>
      <w:r>
        <w:t>..........</w:t>
      </w:r>
      <w:r>
        <w:tab/>
      </w:r>
      <w:r>
        <w:rPr>
          <w:rFonts w:hint="eastAsia"/>
        </w:rPr>
        <w:tab/>
      </w:r>
      <w:r>
        <w:rPr>
          <w:rFonts w:hint="eastAsia"/>
        </w:rPr>
        <w:tab/>
        <w:t>83</w:t>
      </w:r>
      <w:r>
        <w:rPr>
          <w:rFonts w:hint="eastAsia"/>
        </w:rPr>
        <w:tab/>
      </w:r>
      <w:r>
        <w:rPr>
          <w:rFonts w:hint="eastAsia"/>
        </w:rPr>
        <w:tab/>
        <w:t>33</w:t>
      </w:r>
    </w:p>
    <w:p w:rsidR="00000000" w:rsidRDefault="00954A93">
      <w:pPr>
        <w:pStyle w:val="a9"/>
        <w:spacing w:line="312" w:lineRule="auto"/>
        <w:ind w:left="1530"/>
        <w:rPr>
          <w:rFonts w:hint="eastAsia"/>
        </w:rPr>
      </w:pPr>
      <w:r>
        <w:rPr>
          <w:rFonts w:hint="eastAsia"/>
        </w:rPr>
        <w:t>警务处</w:t>
      </w:r>
      <w:r>
        <w:rPr>
          <w:rFonts w:hint="eastAsia"/>
        </w:rPr>
        <w:t>..............</w:t>
      </w:r>
      <w:r>
        <w:tab/>
      </w:r>
      <w:r>
        <w:rPr>
          <w:rFonts w:hint="eastAsia"/>
        </w:rPr>
        <w:tab/>
      </w:r>
      <w:r>
        <w:t>84</w:t>
      </w:r>
      <w:r>
        <w:rPr>
          <w:rFonts w:hint="eastAsia"/>
        </w:rPr>
        <w:tab/>
      </w:r>
      <w:r>
        <w:t>-</w:t>
      </w:r>
      <w:r>
        <w:rPr>
          <w:rFonts w:hint="eastAsia"/>
        </w:rPr>
        <w:tab/>
      </w:r>
      <w:r>
        <w:t>85</w:t>
      </w:r>
      <w:r>
        <w:tab/>
      </w:r>
      <w:r>
        <w:rPr>
          <w:rFonts w:hint="eastAsia"/>
        </w:rPr>
        <w:t>33</w:t>
      </w:r>
    </w:p>
    <w:p w:rsidR="00000000" w:rsidRDefault="00954A93">
      <w:pPr>
        <w:pStyle w:val="a9"/>
        <w:spacing w:line="312" w:lineRule="auto"/>
        <w:ind w:left="1530"/>
        <w:rPr>
          <w:rFonts w:hint="eastAsia"/>
        </w:rPr>
      </w:pPr>
      <w:r>
        <w:rPr>
          <w:rFonts w:hint="eastAsia"/>
        </w:rPr>
        <w:t>惩教署</w:t>
      </w:r>
      <w:r>
        <w:t>.............</w:t>
      </w:r>
      <w:r>
        <w:tab/>
      </w:r>
      <w:r>
        <w:rPr>
          <w:rFonts w:hint="eastAsia"/>
        </w:rPr>
        <w:tab/>
      </w:r>
      <w:r>
        <w:rPr>
          <w:rFonts w:hint="eastAsia"/>
        </w:rPr>
        <w:tab/>
        <w:t>86</w:t>
      </w:r>
      <w:r>
        <w:rPr>
          <w:rFonts w:hint="eastAsia"/>
        </w:rPr>
        <w:tab/>
      </w:r>
      <w:r>
        <w:rPr>
          <w:rFonts w:hint="eastAsia"/>
        </w:rPr>
        <w:tab/>
        <w:t>34</w:t>
      </w:r>
    </w:p>
    <w:p w:rsidR="00000000" w:rsidRDefault="00954A93">
      <w:pPr>
        <w:pStyle w:val="a9"/>
        <w:spacing w:line="312" w:lineRule="auto"/>
        <w:ind w:left="1530"/>
        <w:rPr>
          <w:rFonts w:hint="eastAsia"/>
        </w:rPr>
      </w:pPr>
      <w:r>
        <w:rPr>
          <w:rFonts w:hint="eastAsia"/>
        </w:rPr>
        <w:t>港海关、入境事务处及廉政公署</w:t>
      </w:r>
      <w:r>
        <w:tab/>
      </w:r>
      <w:r>
        <w:rPr>
          <w:rFonts w:hint="eastAsia"/>
        </w:rPr>
        <w:tab/>
      </w:r>
      <w:r>
        <w:rPr>
          <w:rFonts w:hint="eastAsia"/>
        </w:rPr>
        <w:tab/>
      </w:r>
      <w:r>
        <w:t>87</w:t>
      </w:r>
      <w:r>
        <w:tab/>
      </w:r>
      <w:r>
        <w:rPr>
          <w:rFonts w:hint="eastAsia"/>
        </w:rPr>
        <w:tab/>
        <w:t>34</w:t>
      </w:r>
    </w:p>
    <w:p w:rsidR="00000000" w:rsidRDefault="00954A93">
      <w:pPr>
        <w:pStyle w:val="a9"/>
        <w:spacing w:after="120" w:line="312" w:lineRule="auto"/>
        <w:ind w:left="1531"/>
        <w:rPr>
          <w:rFonts w:hint="eastAsia"/>
        </w:rPr>
      </w:pPr>
      <w:r>
        <w:rPr>
          <w:rFonts w:hint="eastAsia"/>
        </w:rPr>
        <w:t>医护</w:t>
      </w:r>
      <w:r>
        <w:rPr>
          <w:rFonts w:hint="eastAsia"/>
        </w:rPr>
        <w:t>人员</w:t>
      </w:r>
      <w:r>
        <w:tab/>
      </w:r>
      <w:r>
        <w:rPr>
          <w:rFonts w:hint="eastAsia"/>
        </w:rPr>
        <w:tab/>
      </w:r>
      <w:r>
        <w:rPr>
          <w:rFonts w:hint="eastAsia"/>
        </w:rPr>
        <w:tab/>
      </w:r>
      <w:r>
        <w:t>88</w:t>
      </w:r>
      <w:r>
        <w:tab/>
      </w:r>
      <w:r>
        <w:rPr>
          <w:rFonts w:hint="eastAsia"/>
        </w:rPr>
        <w:tab/>
        <w:t>34</w:t>
      </w:r>
    </w:p>
    <w:p w:rsidR="00000000" w:rsidRDefault="00954A93">
      <w:pPr>
        <w:pStyle w:val="a9"/>
        <w:tabs>
          <w:tab w:val="clear" w:pos="510"/>
          <w:tab w:val="clear" w:pos="1021"/>
          <w:tab w:val="left" w:pos="1040"/>
        </w:tabs>
        <w:spacing w:line="312" w:lineRule="auto"/>
        <w:ind w:left="1040" w:hanging="1040"/>
        <w:rPr>
          <w:rFonts w:hint="eastAsia"/>
        </w:rPr>
      </w:pPr>
      <w:r>
        <w:rPr>
          <w:rFonts w:eastAsia="華康中黑體(P)" w:hint="eastAsia"/>
          <w:b/>
          <w:bCs/>
        </w:rPr>
        <w:t>第</w:t>
      </w:r>
      <w:r>
        <w:rPr>
          <w:rFonts w:eastAsia="華康中黑體(P)"/>
          <w:b/>
          <w:bCs/>
        </w:rPr>
        <w:t>11</w:t>
      </w:r>
      <w:r>
        <w:rPr>
          <w:rFonts w:eastAsia="華康中黑體(P)" w:hint="eastAsia"/>
          <w:b/>
          <w:bCs/>
        </w:rPr>
        <w:t>条</w:t>
      </w:r>
      <w:r>
        <w:rPr>
          <w:rFonts w:eastAsia="華康中黑體(P)"/>
          <w:b/>
          <w:bCs/>
        </w:rPr>
        <w:tab/>
      </w:r>
      <w:r>
        <w:rPr>
          <w:rFonts w:hint="eastAsia"/>
          <w:b/>
          <w:bCs/>
        </w:rPr>
        <w:t>检讨对被逮捕或拘留人士进行盘问的规则、指示、方法和惯例</w:t>
      </w:r>
      <w:r>
        <w:tab/>
      </w:r>
      <w:r>
        <w:rPr>
          <w:rFonts w:hint="eastAsia"/>
        </w:rPr>
        <w:tab/>
      </w:r>
      <w:r>
        <w:rPr>
          <w:rFonts w:hint="eastAsia"/>
        </w:rPr>
        <w:tab/>
        <w:t>89</w:t>
      </w:r>
      <w:r>
        <w:rPr>
          <w:rFonts w:hint="eastAsia"/>
        </w:rPr>
        <w:tab/>
      </w:r>
      <w:r>
        <w:rPr>
          <w:rFonts w:hint="eastAsia"/>
        </w:rPr>
        <w:tab/>
        <w:t>34</w:t>
      </w:r>
    </w:p>
    <w:p w:rsidR="00000000" w:rsidRDefault="00954A93">
      <w:pPr>
        <w:pStyle w:val="a9"/>
        <w:tabs>
          <w:tab w:val="clear" w:pos="1531"/>
          <w:tab w:val="left" w:pos="1820"/>
        </w:tabs>
        <w:spacing w:line="312" w:lineRule="auto"/>
        <w:ind w:left="1040" w:firstLine="0"/>
        <w:rPr>
          <w:rFonts w:hint="eastAsia"/>
        </w:rPr>
      </w:pPr>
      <w:r>
        <w:rPr>
          <w:rFonts w:hint="eastAsia"/>
        </w:rPr>
        <w:t>《</w:t>
      </w:r>
      <w:r>
        <w:t>2000</w:t>
      </w:r>
      <w:r>
        <w:rPr>
          <w:rFonts w:hint="eastAsia"/>
        </w:rPr>
        <w:t>年危险药物、总督特派廉政专员公署及警队</w:t>
      </w:r>
      <w:r>
        <w:t>(</w:t>
      </w:r>
      <w:r>
        <w:rPr>
          <w:rFonts w:hint="eastAsia"/>
        </w:rPr>
        <w:t>修订</w:t>
      </w:r>
      <w:r>
        <w:t>)</w:t>
      </w:r>
      <w:r>
        <w:rPr>
          <w:rFonts w:hint="eastAsia"/>
        </w:rPr>
        <w:t>条例》</w:t>
      </w:r>
      <w:r>
        <w:tab/>
      </w:r>
      <w:r>
        <w:rPr>
          <w:rFonts w:hint="eastAsia"/>
        </w:rPr>
        <w:tab/>
      </w:r>
      <w:r>
        <w:t>90</w:t>
      </w:r>
      <w:r>
        <w:rPr>
          <w:rFonts w:hint="eastAsia"/>
        </w:rPr>
        <w:tab/>
      </w:r>
      <w:r>
        <w:t>-</w:t>
      </w:r>
      <w:r>
        <w:rPr>
          <w:rFonts w:hint="eastAsia"/>
        </w:rPr>
        <w:tab/>
      </w:r>
      <w:r>
        <w:t>91</w:t>
      </w:r>
      <w:r>
        <w:tab/>
      </w:r>
      <w:r>
        <w:rPr>
          <w:rFonts w:hint="eastAsia"/>
        </w:rPr>
        <w:t>35</w:t>
      </w:r>
    </w:p>
    <w:p w:rsidR="00000000" w:rsidRDefault="00954A93">
      <w:pPr>
        <w:pStyle w:val="a9"/>
        <w:spacing w:line="312" w:lineRule="auto"/>
        <w:ind w:left="1530"/>
        <w:rPr>
          <w:rFonts w:hint="eastAsia"/>
        </w:rPr>
      </w:pPr>
      <w:r>
        <w:rPr>
          <w:rFonts w:hint="eastAsia"/>
          <w:szCs w:val="28"/>
        </w:rPr>
        <w:t>警务处</w:t>
      </w:r>
      <w:r>
        <w:rPr>
          <w:rFonts w:hint="eastAsia"/>
          <w:szCs w:val="28"/>
        </w:rPr>
        <w:t>.........</w:t>
      </w:r>
      <w:r>
        <w:rPr>
          <w:rFonts w:hint="eastAsia"/>
          <w:szCs w:val="28"/>
        </w:rPr>
        <w:tab/>
      </w:r>
      <w:r>
        <w:rPr>
          <w:rFonts w:hint="eastAsia"/>
          <w:szCs w:val="28"/>
        </w:rPr>
        <w:tab/>
      </w:r>
      <w:r>
        <w:tab/>
        <w:t>92</w:t>
      </w:r>
      <w:r>
        <w:tab/>
      </w:r>
      <w:r>
        <w:rPr>
          <w:rFonts w:hint="eastAsia"/>
        </w:rPr>
        <w:tab/>
        <w:t>35</w:t>
      </w:r>
    </w:p>
    <w:p w:rsidR="00000000" w:rsidRDefault="00954A93">
      <w:pPr>
        <w:pStyle w:val="a9"/>
        <w:tabs>
          <w:tab w:val="clear" w:pos="1531"/>
          <w:tab w:val="clear" w:pos="2041"/>
        </w:tabs>
        <w:spacing w:line="312" w:lineRule="auto"/>
        <w:ind w:left="1530"/>
        <w:rPr>
          <w:rFonts w:hint="eastAsia"/>
        </w:rPr>
      </w:pPr>
      <w:r>
        <w:rPr>
          <w:rFonts w:hint="eastAsia"/>
          <w:szCs w:val="28"/>
        </w:rPr>
        <w:t>惩教署</w:t>
      </w:r>
      <w:r>
        <w:rPr>
          <w:rFonts w:hint="eastAsia"/>
          <w:szCs w:val="28"/>
        </w:rPr>
        <w:tab/>
      </w:r>
      <w:r>
        <w:rPr>
          <w:rFonts w:hint="eastAsia"/>
          <w:szCs w:val="28"/>
        </w:rPr>
        <w:tab/>
      </w:r>
      <w:r>
        <w:tab/>
        <w:t>93</w:t>
      </w:r>
      <w:r>
        <w:tab/>
      </w:r>
      <w:r>
        <w:rPr>
          <w:rFonts w:hint="eastAsia"/>
        </w:rPr>
        <w:tab/>
        <w:t>35</w:t>
      </w:r>
    </w:p>
    <w:p w:rsidR="00000000" w:rsidRDefault="00954A93">
      <w:pPr>
        <w:pStyle w:val="a9"/>
        <w:spacing w:line="312" w:lineRule="auto"/>
        <w:ind w:left="1530"/>
        <w:rPr>
          <w:rFonts w:hint="eastAsia"/>
        </w:rPr>
      </w:pPr>
      <w:r>
        <w:rPr>
          <w:rFonts w:hint="eastAsia"/>
        </w:rPr>
        <w:t>《</w:t>
      </w:r>
      <w:r>
        <w:t>2004</w:t>
      </w:r>
      <w:r>
        <w:rPr>
          <w:rFonts w:hint="eastAsia"/>
        </w:rPr>
        <w:t>年刑事诉讼程序</w:t>
      </w:r>
      <w:r>
        <w:t>(</w:t>
      </w:r>
      <w:r>
        <w:rPr>
          <w:rFonts w:hint="eastAsia"/>
        </w:rPr>
        <w:t>修订</w:t>
      </w:r>
      <w:r>
        <w:t>)</w:t>
      </w:r>
      <w:r>
        <w:rPr>
          <w:rFonts w:hint="eastAsia"/>
        </w:rPr>
        <w:t>条例》</w:t>
      </w:r>
      <w:r>
        <w:rPr>
          <w:szCs w:val="28"/>
        </w:rPr>
        <w:tab/>
      </w:r>
      <w:r>
        <w:rPr>
          <w:rFonts w:hint="eastAsia"/>
          <w:szCs w:val="28"/>
        </w:rPr>
        <w:tab/>
      </w:r>
      <w:r>
        <w:t>94</w:t>
      </w:r>
      <w:r>
        <w:rPr>
          <w:rFonts w:hint="eastAsia"/>
        </w:rPr>
        <w:tab/>
      </w:r>
      <w:r>
        <w:t>-</w:t>
      </w:r>
      <w:r>
        <w:rPr>
          <w:rFonts w:hint="eastAsia"/>
        </w:rPr>
        <w:tab/>
      </w:r>
      <w:r>
        <w:t>95</w:t>
      </w:r>
      <w:r>
        <w:tab/>
      </w:r>
      <w:r>
        <w:rPr>
          <w:rFonts w:hint="eastAsia"/>
        </w:rPr>
        <w:t>36</w:t>
      </w:r>
    </w:p>
    <w:p w:rsidR="00000000" w:rsidRDefault="00954A93">
      <w:pPr>
        <w:pStyle w:val="a9"/>
        <w:spacing w:line="312" w:lineRule="auto"/>
        <w:ind w:left="1530"/>
        <w:rPr>
          <w:rFonts w:hint="eastAsia"/>
        </w:rPr>
      </w:pPr>
      <w:r>
        <w:rPr>
          <w:rFonts w:hint="eastAsia"/>
        </w:rPr>
        <w:t>防止自杀</w:t>
      </w:r>
      <w:r>
        <w:tab/>
      </w:r>
      <w:r>
        <w:rPr>
          <w:rFonts w:hint="eastAsia"/>
        </w:rPr>
        <w:tab/>
      </w:r>
      <w:r>
        <w:rPr>
          <w:rFonts w:hint="eastAsia"/>
        </w:rPr>
        <w:tab/>
      </w:r>
      <w:r>
        <w:t>96</w:t>
      </w:r>
      <w:r>
        <w:tab/>
      </w:r>
      <w:r>
        <w:rPr>
          <w:rFonts w:hint="eastAsia"/>
        </w:rPr>
        <w:tab/>
        <w:t>36</w:t>
      </w:r>
    </w:p>
    <w:p w:rsidR="00000000" w:rsidRDefault="00954A93">
      <w:pPr>
        <w:pStyle w:val="a9"/>
        <w:spacing w:line="312" w:lineRule="auto"/>
        <w:ind w:left="1530"/>
        <w:rPr>
          <w:rFonts w:hint="eastAsia"/>
        </w:rPr>
      </w:pPr>
      <w:r>
        <w:rPr>
          <w:rFonts w:hint="eastAsia"/>
        </w:rPr>
        <w:t>小榄精神病治疗中心的囚犯死亡</w:t>
      </w:r>
      <w:r>
        <w:tab/>
      </w:r>
      <w:r>
        <w:rPr>
          <w:rFonts w:hint="eastAsia"/>
        </w:rPr>
        <w:tab/>
      </w:r>
      <w:r>
        <w:t>97</w:t>
      </w:r>
      <w:r>
        <w:rPr>
          <w:rFonts w:hint="eastAsia"/>
        </w:rPr>
        <w:tab/>
      </w:r>
      <w:r>
        <w:t>-</w:t>
      </w:r>
      <w:r>
        <w:rPr>
          <w:rFonts w:hint="eastAsia"/>
        </w:rPr>
        <w:tab/>
      </w:r>
      <w:r>
        <w:t>99</w:t>
      </w:r>
      <w:r>
        <w:tab/>
      </w:r>
      <w:r>
        <w:rPr>
          <w:rFonts w:hint="eastAsia"/>
        </w:rPr>
        <w:t>36</w:t>
      </w:r>
    </w:p>
    <w:p w:rsidR="00000000" w:rsidRDefault="00954A93">
      <w:pPr>
        <w:pStyle w:val="a9"/>
        <w:spacing w:line="312" w:lineRule="auto"/>
        <w:ind w:left="1530"/>
        <w:rPr>
          <w:rFonts w:hint="eastAsia"/>
        </w:rPr>
      </w:pPr>
      <w:r>
        <w:rPr>
          <w:rFonts w:hint="eastAsia"/>
        </w:rPr>
        <w:t>入境事务处</w:t>
      </w:r>
      <w:r>
        <w:rPr>
          <w:rFonts w:hint="eastAsia"/>
        </w:rPr>
        <w:tab/>
      </w:r>
      <w:r>
        <w:rPr>
          <w:rFonts w:hint="eastAsia"/>
        </w:rPr>
        <w:tab/>
      </w:r>
      <w:r>
        <w:tab/>
        <w:t>100</w:t>
      </w:r>
      <w:r>
        <w:tab/>
      </w:r>
      <w:r>
        <w:rPr>
          <w:rFonts w:hint="eastAsia"/>
        </w:rPr>
        <w:t>37</w:t>
      </w:r>
    </w:p>
    <w:p w:rsidR="00000000" w:rsidRDefault="00954A93">
      <w:pPr>
        <w:pStyle w:val="a9"/>
        <w:spacing w:line="312" w:lineRule="auto"/>
        <w:ind w:left="1530"/>
        <w:rPr>
          <w:rFonts w:hint="eastAsia"/>
        </w:rPr>
      </w:pPr>
      <w:r>
        <w:rPr>
          <w:rFonts w:hint="eastAsia"/>
        </w:rPr>
        <w:t>香港海关</w:t>
      </w:r>
      <w:r>
        <w:rPr>
          <w:rFonts w:hint="eastAsia"/>
        </w:rPr>
        <w:t>............</w:t>
      </w:r>
      <w:r>
        <w:rPr>
          <w:rFonts w:hint="eastAsia"/>
        </w:rPr>
        <w:tab/>
      </w:r>
      <w:r>
        <w:rPr>
          <w:rFonts w:hint="eastAsia"/>
        </w:rPr>
        <w:tab/>
      </w:r>
      <w:r>
        <w:rPr>
          <w:rFonts w:hint="eastAsia"/>
        </w:rPr>
        <w:tab/>
      </w:r>
      <w:r>
        <w:t>101</w:t>
      </w:r>
      <w:r>
        <w:rPr>
          <w:rFonts w:hint="eastAsia"/>
        </w:rPr>
        <w:tab/>
        <w:t>37</w:t>
      </w:r>
    </w:p>
    <w:p w:rsidR="00000000" w:rsidRDefault="00954A93">
      <w:pPr>
        <w:pStyle w:val="a9"/>
        <w:spacing w:after="120" w:line="312" w:lineRule="auto"/>
        <w:ind w:left="1531"/>
        <w:rPr>
          <w:rFonts w:hint="eastAsia"/>
        </w:rPr>
      </w:pPr>
      <w:r>
        <w:rPr>
          <w:rFonts w:hint="eastAsia"/>
        </w:rPr>
        <w:t>被羁留在精神病院的</w:t>
      </w:r>
      <w:r>
        <w:rPr>
          <w:rFonts w:hint="eastAsia"/>
        </w:rPr>
        <w:t>病人</w:t>
      </w:r>
      <w:r>
        <w:tab/>
      </w:r>
      <w:r>
        <w:rPr>
          <w:rFonts w:hint="eastAsia"/>
        </w:rPr>
        <w:tab/>
      </w:r>
      <w:r>
        <w:t>102</w:t>
      </w:r>
      <w:r>
        <w:rPr>
          <w:rFonts w:hint="eastAsia"/>
        </w:rPr>
        <w:tab/>
      </w:r>
      <w:r>
        <w:t>-</w:t>
      </w:r>
      <w:r>
        <w:rPr>
          <w:rFonts w:hint="eastAsia"/>
        </w:rPr>
        <w:tab/>
      </w:r>
      <w:r>
        <w:t>103</w:t>
      </w:r>
      <w:r>
        <w:tab/>
      </w:r>
      <w:r>
        <w:rPr>
          <w:rFonts w:hint="eastAsia"/>
        </w:rPr>
        <w:t>37</w:t>
      </w:r>
    </w:p>
    <w:p w:rsidR="00000000" w:rsidRDefault="00954A93">
      <w:pPr>
        <w:pStyle w:val="a9"/>
        <w:tabs>
          <w:tab w:val="clear" w:pos="510"/>
          <w:tab w:val="clear" w:pos="1021"/>
          <w:tab w:val="left" w:pos="1300"/>
        </w:tabs>
        <w:spacing w:after="120"/>
        <w:ind w:left="1038" w:hanging="1038"/>
        <w:rPr>
          <w:rFonts w:hint="eastAsia"/>
        </w:rPr>
      </w:pPr>
      <w:r>
        <w:rPr>
          <w:rFonts w:eastAsia="華康中黑體(P)" w:hint="eastAsia"/>
          <w:b/>
          <w:bCs/>
        </w:rPr>
        <w:t>第</w:t>
      </w:r>
      <w:r>
        <w:rPr>
          <w:rFonts w:eastAsia="華康中黑體(P)"/>
          <w:b/>
          <w:bCs/>
        </w:rPr>
        <w:t>12</w:t>
      </w:r>
      <w:r>
        <w:rPr>
          <w:rFonts w:eastAsia="華康中黑體(P)" w:hint="eastAsia"/>
          <w:b/>
          <w:bCs/>
        </w:rPr>
        <w:t>条</w:t>
      </w:r>
      <w:r>
        <w:rPr>
          <w:rFonts w:eastAsia="華康中黑體(P)"/>
          <w:b/>
          <w:bCs/>
        </w:rPr>
        <w:tab/>
      </w:r>
      <w:r>
        <w:rPr>
          <w:rFonts w:hint="eastAsia"/>
          <w:b/>
          <w:bCs/>
        </w:rPr>
        <w:t>对酷刑行为立即进行公正的调</w:t>
      </w:r>
      <w:r>
        <w:rPr>
          <w:rFonts w:ascii="SimSun" w:hAnsi="SimSun" w:cs="SimSun" w:hint="eastAsia"/>
          <w:b/>
          <w:bCs/>
        </w:rPr>
        <w:t>查</w:t>
      </w:r>
      <w:r>
        <w:tab/>
      </w:r>
      <w:r>
        <w:rPr>
          <w:rFonts w:hint="eastAsia"/>
        </w:rPr>
        <w:tab/>
      </w:r>
      <w:r>
        <w:rPr>
          <w:rFonts w:hint="eastAsia"/>
        </w:rPr>
        <w:tab/>
      </w:r>
      <w:r>
        <w:t>104</w:t>
      </w:r>
      <w:r>
        <w:rPr>
          <w:rFonts w:hint="eastAsia"/>
        </w:rPr>
        <w:tab/>
        <w:t>38</w:t>
      </w:r>
    </w:p>
    <w:p w:rsidR="00000000" w:rsidRDefault="00954A93">
      <w:pPr>
        <w:pStyle w:val="a9"/>
        <w:spacing w:line="312" w:lineRule="auto"/>
        <w:rPr>
          <w:rFonts w:hint="eastAsia"/>
        </w:rPr>
      </w:pPr>
      <w:r>
        <w:rPr>
          <w:rFonts w:hint="eastAsia"/>
          <w:b/>
          <w:bCs/>
        </w:rPr>
        <w:t>第</w:t>
      </w:r>
      <w:r>
        <w:rPr>
          <w:b/>
          <w:bCs/>
        </w:rPr>
        <w:t>13</w:t>
      </w:r>
      <w:r>
        <w:rPr>
          <w:rFonts w:hint="eastAsia"/>
          <w:b/>
          <w:bCs/>
        </w:rPr>
        <w:t>条</w:t>
      </w:r>
      <w:r>
        <w:rPr>
          <w:b/>
          <w:bCs/>
        </w:rPr>
        <w:tab/>
      </w:r>
      <w:r>
        <w:rPr>
          <w:rFonts w:eastAsia="華康中黑體" w:hint="eastAsia"/>
          <w:b/>
          <w:bCs/>
        </w:rPr>
        <w:t>投诉的权利</w:t>
      </w:r>
      <w:r>
        <w:tab/>
      </w:r>
      <w:r>
        <w:tab/>
      </w:r>
      <w:r>
        <w:rPr>
          <w:rFonts w:hint="eastAsia"/>
        </w:rPr>
        <w:tab/>
      </w:r>
      <w:r>
        <w:rPr>
          <w:rFonts w:hint="eastAsia"/>
        </w:rPr>
        <w:tab/>
      </w:r>
      <w:r>
        <w:rPr>
          <w:rFonts w:hint="eastAsia"/>
        </w:rPr>
        <w:tab/>
        <w:t>38</w:t>
      </w:r>
    </w:p>
    <w:p w:rsidR="00000000" w:rsidRDefault="00954A93">
      <w:pPr>
        <w:pStyle w:val="a9"/>
        <w:spacing w:line="312" w:lineRule="auto"/>
        <w:ind w:left="1530"/>
        <w:rPr>
          <w:rFonts w:hint="eastAsia"/>
        </w:rPr>
      </w:pPr>
      <w:r>
        <w:rPr>
          <w:rFonts w:hint="eastAsia"/>
        </w:rPr>
        <w:t>概况</w:t>
      </w:r>
      <w:r>
        <w:rPr>
          <w:rFonts w:hint="eastAsia"/>
        </w:rPr>
        <w:t>.......</w:t>
      </w:r>
      <w:r>
        <w:rPr>
          <w:rFonts w:hint="eastAsia"/>
        </w:rPr>
        <w:tab/>
      </w:r>
      <w:r>
        <w:rPr>
          <w:rFonts w:hint="eastAsia"/>
        </w:rPr>
        <w:tab/>
      </w:r>
      <w:r>
        <w:rPr>
          <w:rFonts w:hint="eastAsia"/>
        </w:rPr>
        <w:tab/>
      </w:r>
      <w:r>
        <w:rPr>
          <w:rFonts w:hint="eastAsia"/>
        </w:rPr>
        <w:tab/>
      </w:r>
      <w:r>
        <w:t>105</w:t>
      </w:r>
      <w:r>
        <w:rPr>
          <w:rFonts w:hint="eastAsia"/>
        </w:rPr>
        <w:tab/>
        <w:t>38</w:t>
      </w:r>
    </w:p>
    <w:p w:rsidR="00000000" w:rsidRDefault="00954A93">
      <w:pPr>
        <w:pStyle w:val="a9"/>
        <w:spacing w:line="312" w:lineRule="auto"/>
        <w:ind w:left="1530"/>
        <w:rPr>
          <w:rFonts w:hint="eastAsia"/>
        </w:rPr>
      </w:pPr>
      <w:r>
        <w:rPr>
          <w:rFonts w:hint="eastAsia"/>
        </w:rPr>
        <w:t>警务处</w:t>
      </w:r>
      <w:r>
        <w:rPr>
          <w:rFonts w:hint="eastAsia"/>
        </w:rPr>
        <w:t>.......</w:t>
      </w:r>
      <w:r>
        <w:rPr>
          <w:rFonts w:hint="eastAsia"/>
        </w:rPr>
        <w:tab/>
      </w:r>
      <w:r>
        <w:tab/>
        <w:t>106</w:t>
      </w:r>
      <w:r>
        <w:rPr>
          <w:rFonts w:hint="eastAsia"/>
        </w:rPr>
        <w:tab/>
      </w:r>
      <w:r>
        <w:t>-</w:t>
      </w:r>
      <w:r>
        <w:rPr>
          <w:rFonts w:hint="eastAsia"/>
        </w:rPr>
        <w:tab/>
      </w:r>
      <w:r>
        <w:t>109</w:t>
      </w:r>
      <w:r>
        <w:tab/>
      </w:r>
      <w:r>
        <w:rPr>
          <w:rFonts w:hint="eastAsia"/>
        </w:rPr>
        <w:t>38</w:t>
      </w:r>
    </w:p>
    <w:p w:rsidR="00000000" w:rsidRDefault="00954A93">
      <w:pPr>
        <w:pStyle w:val="a9"/>
        <w:spacing w:line="312" w:lineRule="auto"/>
        <w:ind w:left="1530"/>
        <w:rPr>
          <w:rFonts w:hint="eastAsia"/>
        </w:rPr>
      </w:pPr>
      <w:r>
        <w:rPr>
          <w:rFonts w:hint="eastAsia"/>
        </w:rPr>
        <w:t>惩教署</w:t>
      </w:r>
      <w:r>
        <w:rPr>
          <w:rFonts w:hint="eastAsia"/>
        </w:rPr>
        <w:t>............</w:t>
      </w:r>
      <w:r>
        <w:rPr>
          <w:rFonts w:hint="eastAsia"/>
        </w:rPr>
        <w:tab/>
      </w:r>
      <w:r>
        <w:rPr>
          <w:rFonts w:hint="eastAsia"/>
        </w:rPr>
        <w:tab/>
      </w:r>
      <w:r>
        <w:t>110</w:t>
      </w:r>
      <w:r>
        <w:rPr>
          <w:rFonts w:hint="eastAsia"/>
        </w:rPr>
        <w:tab/>
        <w:t>-</w:t>
      </w:r>
      <w:r>
        <w:rPr>
          <w:rFonts w:hint="eastAsia"/>
        </w:rPr>
        <w:tab/>
        <w:t>116</w:t>
      </w:r>
      <w:r>
        <w:rPr>
          <w:rFonts w:hint="eastAsia"/>
        </w:rPr>
        <w:tab/>
        <w:t>39</w:t>
      </w:r>
    </w:p>
    <w:p w:rsidR="00000000" w:rsidRDefault="00954A93">
      <w:pPr>
        <w:pStyle w:val="a9"/>
        <w:spacing w:line="312" w:lineRule="auto"/>
        <w:ind w:left="1530"/>
        <w:rPr>
          <w:rFonts w:hint="eastAsia"/>
        </w:rPr>
      </w:pPr>
      <w:r>
        <w:rPr>
          <w:rFonts w:hint="eastAsia"/>
        </w:rPr>
        <w:t>入境事务处</w:t>
      </w:r>
      <w:r>
        <w:tab/>
      </w:r>
      <w:r>
        <w:rPr>
          <w:rFonts w:hint="eastAsia"/>
        </w:rPr>
        <w:tab/>
      </w:r>
      <w:r>
        <w:rPr>
          <w:rFonts w:hint="eastAsia"/>
        </w:rPr>
        <w:tab/>
      </w:r>
      <w:r>
        <w:t>117</w:t>
      </w:r>
      <w:r>
        <w:rPr>
          <w:rFonts w:hint="eastAsia"/>
        </w:rPr>
        <w:tab/>
        <w:t>41</w:t>
      </w:r>
    </w:p>
    <w:p w:rsidR="00000000" w:rsidRDefault="00954A93">
      <w:pPr>
        <w:pStyle w:val="a9"/>
        <w:spacing w:line="312" w:lineRule="auto"/>
        <w:ind w:left="1530"/>
        <w:rPr>
          <w:rFonts w:hint="eastAsia"/>
        </w:rPr>
      </w:pPr>
      <w:r>
        <w:rPr>
          <w:rFonts w:hint="eastAsia"/>
        </w:rPr>
        <w:t>香港海关</w:t>
      </w:r>
      <w:r>
        <w:tab/>
      </w:r>
      <w:r>
        <w:rPr>
          <w:rFonts w:hint="eastAsia"/>
        </w:rPr>
        <w:tab/>
      </w:r>
      <w:r>
        <w:rPr>
          <w:rFonts w:hint="eastAsia"/>
        </w:rPr>
        <w:tab/>
      </w:r>
      <w:r>
        <w:t>118</w:t>
      </w:r>
      <w:r>
        <w:rPr>
          <w:rFonts w:hint="eastAsia"/>
        </w:rPr>
        <w:tab/>
        <w:t>41</w:t>
      </w:r>
    </w:p>
    <w:p w:rsidR="00000000" w:rsidRDefault="00954A93">
      <w:pPr>
        <w:pStyle w:val="a7"/>
        <w:keepNext/>
        <w:tabs>
          <w:tab w:val="clear" w:pos="7201"/>
          <w:tab w:val="clear" w:pos="8618"/>
          <w:tab w:val="left" w:pos="7088"/>
          <w:tab w:val="left" w:pos="8080"/>
          <w:tab w:val="left" w:pos="8640"/>
        </w:tabs>
        <w:spacing w:after="16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954A93">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54A93">
      <w:pPr>
        <w:pStyle w:val="a9"/>
        <w:spacing w:line="312" w:lineRule="auto"/>
        <w:ind w:left="1530"/>
        <w:rPr>
          <w:rFonts w:hint="eastAsia"/>
        </w:rPr>
      </w:pPr>
      <w:r>
        <w:rPr>
          <w:rFonts w:hint="eastAsia"/>
        </w:rPr>
        <w:t>廉政公署</w:t>
      </w:r>
      <w:r>
        <w:rPr>
          <w:rFonts w:hint="eastAsia"/>
        </w:rPr>
        <w:t>....</w:t>
      </w:r>
      <w:r>
        <w:rPr>
          <w:rFonts w:hint="eastAsia"/>
        </w:rPr>
        <w:tab/>
      </w:r>
      <w:r>
        <w:rPr>
          <w:rFonts w:hint="eastAsia"/>
        </w:rPr>
        <w:tab/>
      </w:r>
      <w:r>
        <w:t>119</w:t>
      </w:r>
      <w:r>
        <w:rPr>
          <w:rFonts w:hint="eastAsia"/>
        </w:rPr>
        <w:tab/>
      </w:r>
      <w:r>
        <w:t>-</w:t>
      </w:r>
      <w:r>
        <w:rPr>
          <w:rFonts w:hint="eastAsia"/>
        </w:rPr>
        <w:tab/>
      </w:r>
      <w:r>
        <w:t>122</w:t>
      </w:r>
      <w:r>
        <w:tab/>
      </w:r>
      <w:r>
        <w:rPr>
          <w:rFonts w:hint="eastAsia"/>
        </w:rPr>
        <w:t>41</w:t>
      </w:r>
    </w:p>
    <w:p w:rsidR="00000000" w:rsidRDefault="00954A93">
      <w:pPr>
        <w:pStyle w:val="a9"/>
        <w:spacing w:after="120"/>
        <w:ind w:left="1531"/>
        <w:rPr>
          <w:rFonts w:hint="eastAsia"/>
        </w:rPr>
      </w:pPr>
      <w:r>
        <w:rPr>
          <w:rFonts w:hint="eastAsia"/>
        </w:rPr>
        <w:t>精神病患者的投诉途径</w:t>
      </w:r>
      <w:r>
        <w:rPr>
          <w:rFonts w:hint="eastAsia"/>
        </w:rPr>
        <w:t>.....</w:t>
      </w:r>
      <w:r>
        <w:rPr>
          <w:rFonts w:hint="eastAsia"/>
        </w:rPr>
        <w:tab/>
      </w:r>
      <w:r>
        <w:rPr>
          <w:rFonts w:hint="eastAsia"/>
        </w:rPr>
        <w:tab/>
      </w:r>
      <w:r>
        <w:rPr>
          <w:rFonts w:hint="eastAsia"/>
        </w:rPr>
        <w:tab/>
      </w:r>
      <w:r>
        <w:t>123</w:t>
      </w:r>
      <w:r>
        <w:tab/>
      </w:r>
      <w:r>
        <w:rPr>
          <w:rFonts w:hint="eastAsia"/>
        </w:rPr>
        <w:t>42</w:t>
      </w:r>
    </w:p>
    <w:p w:rsidR="00000000" w:rsidRDefault="00954A93">
      <w:pPr>
        <w:pStyle w:val="a9"/>
        <w:tabs>
          <w:tab w:val="clear" w:pos="510"/>
          <w:tab w:val="clear" w:pos="1021"/>
          <w:tab w:val="left" w:pos="1300"/>
        </w:tabs>
        <w:spacing w:after="120"/>
        <w:ind w:left="1038" w:hanging="1038"/>
        <w:rPr>
          <w:rFonts w:hint="eastAsia"/>
        </w:rPr>
      </w:pPr>
      <w:r>
        <w:rPr>
          <w:rFonts w:hint="eastAsia"/>
          <w:b/>
          <w:bCs/>
        </w:rPr>
        <w:t>第</w:t>
      </w:r>
      <w:r>
        <w:rPr>
          <w:rFonts w:hint="eastAsia"/>
          <w:b/>
          <w:bCs/>
        </w:rPr>
        <w:t>14</w:t>
      </w:r>
      <w:r>
        <w:rPr>
          <w:rFonts w:hint="eastAsia"/>
          <w:b/>
          <w:bCs/>
        </w:rPr>
        <w:t>条</w:t>
      </w:r>
      <w:r>
        <w:rPr>
          <w:rFonts w:hint="eastAsia"/>
          <w:b/>
          <w:bCs/>
        </w:rPr>
        <w:tab/>
      </w:r>
      <w:r>
        <w:rPr>
          <w:rFonts w:hint="eastAsia"/>
          <w:b/>
          <w:bCs/>
        </w:rPr>
        <w:t>为遭受酷刑的人提供申索渠道以及可向</w:t>
      </w:r>
      <w:r>
        <w:rPr>
          <w:rFonts w:hint="eastAsia"/>
          <w:b/>
          <w:bCs/>
        </w:rPr>
        <w:t>法院要求取得公平及适当赔偿的权利</w:t>
      </w:r>
      <w:r>
        <w:rPr>
          <w:rFonts w:hint="eastAsia"/>
        </w:rPr>
        <w:t>..</w:t>
      </w:r>
      <w:r>
        <w:rPr>
          <w:rFonts w:hint="eastAsia"/>
        </w:rPr>
        <w:tab/>
      </w:r>
      <w:r>
        <w:rPr>
          <w:rFonts w:hint="eastAsia"/>
        </w:rPr>
        <w:tab/>
      </w:r>
      <w:r>
        <w:rPr>
          <w:rFonts w:hint="eastAsia"/>
        </w:rPr>
        <w:tab/>
        <w:t>124</w:t>
      </w:r>
      <w:r>
        <w:rPr>
          <w:rFonts w:hint="eastAsia"/>
        </w:rPr>
        <w:tab/>
        <w:t>42</w:t>
      </w:r>
    </w:p>
    <w:p w:rsidR="00000000" w:rsidRDefault="00954A93">
      <w:pPr>
        <w:pStyle w:val="a9"/>
        <w:tabs>
          <w:tab w:val="clear" w:pos="510"/>
          <w:tab w:val="clear" w:pos="1021"/>
          <w:tab w:val="left" w:pos="1300"/>
        </w:tabs>
        <w:spacing w:after="120"/>
        <w:ind w:left="1038" w:hanging="1038"/>
        <w:rPr>
          <w:rFonts w:hint="eastAsia"/>
        </w:rPr>
      </w:pPr>
      <w:r>
        <w:rPr>
          <w:rFonts w:hint="eastAsia"/>
          <w:b/>
          <w:bCs/>
        </w:rPr>
        <w:t>第</w:t>
      </w:r>
      <w:r>
        <w:rPr>
          <w:b/>
          <w:bCs/>
        </w:rPr>
        <w:t>15</w:t>
      </w:r>
      <w:r>
        <w:rPr>
          <w:rFonts w:hint="eastAsia"/>
          <w:b/>
          <w:bCs/>
        </w:rPr>
        <w:t>条</w:t>
      </w:r>
      <w:r>
        <w:rPr>
          <w:rFonts w:hint="eastAsia"/>
          <w:b/>
          <w:bCs/>
        </w:rPr>
        <w:tab/>
      </w:r>
      <w:r>
        <w:rPr>
          <w:rFonts w:ascii="華康中黑體" w:eastAsia="華康中黑體" w:hint="eastAsia"/>
          <w:b/>
          <w:bCs/>
          <w:spacing w:val="8"/>
        </w:rPr>
        <w:t>不</w:t>
      </w:r>
      <w:r>
        <w:rPr>
          <w:rFonts w:eastAsia="華康中黑體" w:hint="eastAsia"/>
          <w:b/>
          <w:bCs/>
          <w:spacing w:val="8"/>
        </w:rPr>
        <w:t>得援引任何以酷刑取得的口供为证据</w:t>
      </w:r>
      <w:r>
        <w:rPr>
          <w:rFonts w:eastAsia="華康中黑體" w:hint="eastAsia"/>
          <w:spacing w:val="8"/>
        </w:rPr>
        <w:t>....</w:t>
      </w:r>
      <w:r>
        <w:rPr>
          <w:rFonts w:eastAsia="華康中黑體" w:hint="eastAsia"/>
        </w:rPr>
        <w:tab/>
      </w:r>
      <w:r>
        <w:rPr>
          <w:rFonts w:eastAsia="華康中黑體" w:hint="eastAsia"/>
        </w:rPr>
        <w:tab/>
      </w:r>
      <w:r>
        <w:rPr>
          <w:rFonts w:eastAsia="華康中黑體" w:hint="eastAsia"/>
        </w:rPr>
        <w:tab/>
      </w:r>
      <w:r>
        <w:t>125</w:t>
      </w:r>
      <w:r>
        <w:rPr>
          <w:rFonts w:hint="eastAsia"/>
        </w:rPr>
        <w:tab/>
        <w:t>43</w:t>
      </w:r>
    </w:p>
    <w:p w:rsidR="00000000" w:rsidRDefault="00954A93">
      <w:pPr>
        <w:pStyle w:val="a9"/>
        <w:tabs>
          <w:tab w:val="clear" w:pos="510"/>
          <w:tab w:val="clear" w:pos="1021"/>
          <w:tab w:val="clear" w:pos="1531"/>
          <w:tab w:val="left" w:pos="1950"/>
        </w:tabs>
        <w:ind w:left="1040" w:hanging="1040"/>
      </w:pPr>
      <w:r>
        <w:rPr>
          <w:rFonts w:hint="eastAsia"/>
          <w:b/>
          <w:bCs/>
        </w:rPr>
        <w:t>第</w:t>
      </w:r>
      <w:r>
        <w:rPr>
          <w:b/>
          <w:bCs/>
        </w:rPr>
        <w:t>16</w:t>
      </w:r>
      <w:r>
        <w:rPr>
          <w:rFonts w:hint="eastAsia"/>
          <w:b/>
          <w:bCs/>
        </w:rPr>
        <w:t>条</w:t>
      </w:r>
      <w:r>
        <w:rPr>
          <w:rFonts w:hint="eastAsia"/>
          <w:b/>
          <w:bCs/>
        </w:rPr>
        <w:tab/>
      </w:r>
      <w:r>
        <w:rPr>
          <w:rFonts w:eastAsia="華康中黑體" w:hint="eastAsia"/>
          <w:b/>
          <w:bCs/>
        </w:rPr>
        <w:t>防止其他残忍、不人道或有辱人格的待遇或处罚的行为</w:t>
      </w:r>
      <w:r>
        <w:rPr>
          <w:rFonts w:eastAsia="華康中黑體" w:hint="eastAsia"/>
        </w:rPr>
        <w:tab/>
      </w:r>
      <w:r>
        <w:rPr>
          <w:rFonts w:eastAsia="華康中黑體" w:hint="eastAsia"/>
        </w:rPr>
        <w:tab/>
      </w:r>
      <w:r>
        <w:rPr>
          <w:rFonts w:eastAsia="華康中黑體" w:hint="eastAsia"/>
        </w:rPr>
        <w:tab/>
      </w:r>
      <w:r>
        <w:rPr>
          <w:rFonts w:eastAsia="華康中黑體" w:hint="eastAsia"/>
        </w:rPr>
        <w:tab/>
      </w:r>
      <w:r>
        <w:rPr>
          <w:rFonts w:eastAsia="華康中黑體" w:hint="eastAsia"/>
        </w:rPr>
        <w:tab/>
        <w:t>43</w:t>
      </w:r>
    </w:p>
    <w:p w:rsidR="00000000" w:rsidRDefault="00954A93">
      <w:pPr>
        <w:pStyle w:val="a9"/>
        <w:tabs>
          <w:tab w:val="left" w:pos="1560"/>
        </w:tabs>
        <w:ind w:left="1520" w:hanging="480"/>
        <w:rPr>
          <w:rFonts w:hint="eastAsia"/>
        </w:rPr>
      </w:pPr>
      <w:r>
        <w:rPr>
          <w:rFonts w:hint="eastAsia"/>
        </w:rPr>
        <w:t>概况</w:t>
      </w:r>
      <w:r>
        <w:rPr>
          <w:rFonts w:hint="eastAsia"/>
        </w:rPr>
        <w:t>......</w:t>
      </w:r>
      <w:r>
        <w:rPr>
          <w:rFonts w:hint="eastAsia"/>
        </w:rPr>
        <w:tab/>
        <w:t>...</w:t>
      </w:r>
      <w:r>
        <w:rPr>
          <w:rFonts w:hint="eastAsia"/>
        </w:rPr>
        <w:tab/>
      </w:r>
      <w:r>
        <w:rPr>
          <w:rFonts w:hint="eastAsia"/>
        </w:rPr>
        <w:tab/>
      </w:r>
      <w:r>
        <w:t>126</w:t>
      </w:r>
      <w:r>
        <w:rPr>
          <w:rFonts w:hint="eastAsia"/>
        </w:rPr>
        <w:tab/>
      </w:r>
      <w:r>
        <w:t>-</w:t>
      </w:r>
      <w:r>
        <w:rPr>
          <w:rFonts w:hint="eastAsia"/>
        </w:rPr>
        <w:tab/>
        <w:t>130</w:t>
      </w:r>
      <w:r>
        <w:rPr>
          <w:rFonts w:hint="eastAsia"/>
        </w:rPr>
        <w:tab/>
        <w:t>43</w:t>
      </w:r>
    </w:p>
    <w:p w:rsidR="00000000" w:rsidRDefault="00954A93">
      <w:pPr>
        <w:pStyle w:val="a9"/>
        <w:tabs>
          <w:tab w:val="left" w:pos="1560"/>
        </w:tabs>
        <w:ind w:left="1520" w:hanging="480"/>
      </w:pPr>
      <w:r>
        <w:rPr>
          <w:rFonts w:hint="eastAsia"/>
        </w:rPr>
        <w:t>警察纪律程序</w:t>
      </w:r>
      <w:r>
        <w:rPr>
          <w:rFonts w:hint="eastAsia"/>
        </w:rPr>
        <w:t>..........</w:t>
      </w:r>
      <w:r>
        <w:rPr>
          <w:rFonts w:hint="eastAsia"/>
        </w:rPr>
        <w:tab/>
      </w:r>
      <w:r>
        <w:rPr>
          <w:rFonts w:hint="eastAsia"/>
        </w:rPr>
        <w:tab/>
      </w:r>
      <w:r>
        <w:rPr>
          <w:rFonts w:hint="eastAsia"/>
        </w:rPr>
        <w:tab/>
        <w:t>131</w:t>
      </w:r>
      <w:r>
        <w:rPr>
          <w:rFonts w:hint="eastAsia"/>
        </w:rPr>
        <w:tab/>
        <w:t>44</w:t>
      </w:r>
    </w:p>
    <w:p w:rsidR="00000000" w:rsidRDefault="00954A93">
      <w:pPr>
        <w:pStyle w:val="a9"/>
        <w:tabs>
          <w:tab w:val="left" w:pos="1560"/>
        </w:tabs>
        <w:ind w:left="1520" w:hanging="480"/>
        <w:rPr>
          <w:rFonts w:hint="eastAsia"/>
        </w:rPr>
      </w:pPr>
      <w:r>
        <w:rPr>
          <w:rFonts w:hint="eastAsia"/>
        </w:rPr>
        <w:t>虐待儿童</w:t>
      </w:r>
      <w:r>
        <w:rPr>
          <w:rFonts w:hint="eastAsia"/>
        </w:rPr>
        <w:t>.............</w:t>
      </w:r>
      <w:r>
        <w:rPr>
          <w:rFonts w:hint="eastAsia"/>
        </w:rPr>
        <w:tab/>
      </w:r>
      <w:r>
        <w:rPr>
          <w:rFonts w:hint="eastAsia"/>
        </w:rPr>
        <w:tab/>
      </w:r>
      <w:r>
        <w:rPr>
          <w:rFonts w:hint="eastAsia"/>
        </w:rPr>
        <w:tab/>
      </w:r>
      <w:r>
        <w:t>132</w:t>
      </w:r>
      <w:r>
        <w:rPr>
          <w:rFonts w:hint="eastAsia"/>
        </w:rPr>
        <w:tab/>
        <w:t>44</w:t>
      </w:r>
    </w:p>
    <w:p w:rsidR="00000000" w:rsidRDefault="00954A93">
      <w:pPr>
        <w:pStyle w:val="a9"/>
        <w:tabs>
          <w:tab w:val="left" w:pos="1560"/>
        </w:tabs>
        <w:ind w:left="1520" w:hanging="480"/>
        <w:rPr>
          <w:rFonts w:hint="eastAsia"/>
        </w:rPr>
      </w:pPr>
      <w:r>
        <w:rPr>
          <w:rFonts w:hint="eastAsia"/>
        </w:rPr>
        <w:t>接受院舍照顾的儿童</w:t>
      </w:r>
      <w:r>
        <w:rPr>
          <w:rFonts w:hint="eastAsia"/>
        </w:rPr>
        <w:t>.....</w:t>
      </w:r>
      <w:r>
        <w:rPr>
          <w:rFonts w:hint="eastAsia"/>
        </w:rPr>
        <w:tab/>
      </w:r>
      <w:r>
        <w:rPr>
          <w:rFonts w:hint="eastAsia"/>
        </w:rPr>
        <w:tab/>
      </w:r>
      <w:r>
        <w:rPr>
          <w:rFonts w:hint="eastAsia"/>
        </w:rPr>
        <w:tab/>
      </w:r>
      <w:r>
        <w:t>133</w:t>
      </w:r>
      <w:r>
        <w:rPr>
          <w:rFonts w:hint="eastAsia"/>
        </w:rPr>
        <w:tab/>
        <w:t>45</w:t>
      </w:r>
    </w:p>
    <w:p w:rsidR="00000000" w:rsidRDefault="00954A93">
      <w:pPr>
        <w:pStyle w:val="a9"/>
        <w:tabs>
          <w:tab w:val="left" w:pos="1560"/>
        </w:tabs>
        <w:ind w:left="1520" w:hanging="480"/>
        <w:rPr>
          <w:rFonts w:hint="eastAsia"/>
        </w:rPr>
      </w:pPr>
      <w:r>
        <w:rPr>
          <w:rFonts w:hint="eastAsia"/>
        </w:rPr>
        <w:t>家庭暴力</w:t>
      </w:r>
      <w:r>
        <w:rPr>
          <w:rFonts w:hint="eastAsia"/>
        </w:rPr>
        <w:t>...</w:t>
      </w:r>
      <w:r>
        <w:rPr>
          <w:rFonts w:hint="eastAsia"/>
        </w:rPr>
        <w:tab/>
      </w:r>
      <w:r>
        <w:rPr>
          <w:rFonts w:hint="eastAsia"/>
        </w:rPr>
        <w:tab/>
      </w:r>
      <w:r>
        <w:t>134</w:t>
      </w:r>
      <w:r>
        <w:rPr>
          <w:rFonts w:hint="eastAsia"/>
        </w:rPr>
        <w:tab/>
      </w:r>
      <w:r>
        <w:t>-</w:t>
      </w:r>
      <w:r>
        <w:rPr>
          <w:rFonts w:hint="eastAsia"/>
        </w:rPr>
        <w:tab/>
      </w:r>
      <w:r>
        <w:t>140</w:t>
      </w:r>
      <w:r>
        <w:rPr>
          <w:rFonts w:hint="eastAsia"/>
        </w:rPr>
        <w:tab/>
        <w:t>45</w:t>
      </w:r>
    </w:p>
    <w:p w:rsidR="00000000" w:rsidRDefault="00954A93">
      <w:pPr>
        <w:pStyle w:val="a9"/>
        <w:tabs>
          <w:tab w:val="left" w:pos="1560"/>
        </w:tabs>
        <w:spacing w:after="160"/>
        <w:ind w:left="1520" w:hanging="480"/>
        <w:rPr>
          <w:rFonts w:hint="eastAsia"/>
        </w:rPr>
      </w:pPr>
      <w:r>
        <w:rPr>
          <w:rFonts w:hint="eastAsia"/>
        </w:rPr>
        <w:t>根据居留权证明书计划遣返</w:t>
      </w:r>
      <w:r>
        <w:rPr>
          <w:rFonts w:ascii="SimSun" w:hAnsi="SimSun" w:cs="SimSun" w:hint="eastAsia"/>
        </w:rPr>
        <w:t>内</w:t>
      </w:r>
      <w:r>
        <w:rPr>
          <w:rFonts w:ascii="MS Mincho" w:hAnsi="MS Mincho" w:cs="MS Mincho" w:hint="eastAsia"/>
        </w:rPr>
        <w:t>地儿童</w:t>
      </w:r>
      <w:r>
        <w:rPr>
          <w:rFonts w:hint="eastAsia"/>
        </w:rPr>
        <w:t>.</w:t>
      </w:r>
      <w:r>
        <w:rPr>
          <w:rFonts w:hint="eastAsia"/>
        </w:rPr>
        <w:tab/>
      </w:r>
      <w:r>
        <w:rPr>
          <w:rFonts w:hint="eastAsia"/>
        </w:rPr>
        <w:tab/>
      </w:r>
      <w:r>
        <w:rPr>
          <w:rFonts w:hint="eastAsia"/>
        </w:rPr>
        <w:tab/>
      </w:r>
      <w:r>
        <w:t>141</w:t>
      </w:r>
      <w:r>
        <w:rPr>
          <w:rFonts w:hint="eastAsia"/>
        </w:rPr>
        <w:tab/>
        <w:t>47</w:t>
      </w:r>
    </w:p>
    <w:p w:rsidR="00000000" w:rsidRDefault="00954A93">
      <w:pPr>
        <w:pStyle w:val="Heading4"/>
        <w:spacing w:after="160"/>
      </w:pPr>
      <w:r>
        <w:rPr>
          <w:rFonts w:hint="eastAsia"/>
        </w:rPr>
        <w:t>附</w:t>
      </w:r>
      <w:r>
        <w:rPr>
          <w:rFonts w:hint="eastAsia"/>
        </w:rPr>
        <w:t xml:space="preserve"> </w:t>
      </w:r>
      <w:r>
        <w:rPr>
          <w:rFonts w:hint="eastAsia"/>
        </w:rPr>
        <w:t xml:space="preserve"> </w:t>
      </w:r>
      <w:r>
        <w:rPr>
          <w:rFonts w:hint="eastAsia"/>
        </w:rPr>
        <w:t>件</w:t>
      </w:r>
    </w:p>
    <w:p w:rsidR="00000000" w:rsidRDefault="00954A93">
      <w:pPr>
        <w:pStyle w:val="aa"/>
      </w:pPr>
      <w:r>
        <w:t>1</w:t>
      </w:r>
      <w:r>
        <w:rPr>
          <w:rFonts w:hint="eastAsia"/>
        </w:rPr>
        <w:tab/>
      </w:r>
      <w:r>
        <w:rPr>
          <w:rFonts w:hint="eastAsia"/>
        </w:rPr>
        <w:t>中华人民共和国香港特别行政区基本法</w:t>
      </w:r>
      <w:r>
        <w:rPr>
          <w:rFonts w:hint="eastAsia"/>
        </w:rPr>
        <w:t>.</w:t>
      </w:r>
      <w:r>
        <w:rPr>
          <w:rFonts w:hint="eastAsia"/>
        </w:rPr>
        <w:tab/>
      </w:r>
      <w:r>
        <w:rPr>
          <w:rFonts w:hint="eastAsia"/>
        </w:rPr>
        <w:tab/>
      </w:r>
    </w:p>
    <w:p w:rsidR="00000000" w:rsidRDefault="00954A93">
      <w:pPr>
        <w:pStyle w:val="aa"/>
      </w:pPr>
      <w:r>
        <w:t>2</w:t>
      </w:r>
      <w:r>
        <w:rPr>
          <w:rFonts w:hint="eastAsia"/>
        </w:rPr>
        <w:tab/>
      </w:r>
      <w:r>
        <w:rPr>
          <w:rFonts w:hint="eastAsia"/>
        </w:rPr>
        <w:t>香港人权法案条例</w:t>
      </w:r>
      <w:r>
        <w:rPr>
          <w:rFonts w:hint="eastAsia"/>
        </w:rPr>
        <w:t>...</w:t>
      </w:r>
      <w:r>
        <w:rPr>
          <w:rFonts w:hint="eastAsia"/>
        </w:rPr>
        <w:tab/>
      </w:r>
      <w:r>
        <w:rPr>
          <w:rFonts w:hint="eastAsia"/>
        </w:rPr>
        <w:tab/>
      </w:r>
    </w:p>
    <w:p w:rsidR="00000000" w:rsidRDefault="00954A93">
      <w:pPr>
        <w:pStyle w:val="aa"/>
        <w:rPr>
          <w:rFonts w:hint="eastAsia"/>
        </w:rPr>
      </w:pPr>
      <w:r>
        <w:t>3</w:t>
      </w:r>
      <w:r>
        <w:rPr>
          <w:rFonts w:hint="eastAsia"/>
        </w:rPr>
        <w:tab/>
      </w:r>
      <w:r>
        <w:rPr>
          <w:rFonts w:hint="eastAsia"/>
        </w:rPr>
        <w:t>第</w:t>
      </w:r>
      <w:r>
        <w:t>200</w:t>
      </w:r>
      <w:r>
        <w:rPr>
          <w:rFonts w:hint="eastAsia"/>
        </w:rPr>
        <w:t>章刑事罪行条例</w:t>
      </w:r>
      <w:r>
        <w:t xml:space="preserve"> - </w:t>
      </w:r>
      <w:r>
        <w:rPr>
          <w:rFonts w:hint="eastAsia"/>
        </w:rPr>
        <w:t>附表</w:t>
      </w:r>
      <w:r>
        <w:t>2</w:t>
      </w:r>
      <w:r>
        <w:rPr>
          <w:rFonts w:hint="eastAsia"/>
        </w:rPr>
        <w:tab/>
      </w:r>
      <w:r>
        <w:rPr>
          <w:rFonts w:hint="eastAsia"/>
        </w:rPr>
        <w:tab/>
      </w:r>
    </w:p>
    <w:p w:rsidR="00000000" w:rsidRDefault="00954A93">
      <w:pPr>
        <w:pStyle w:val="Heading2"/>
        <w:rPr>
          <w:rFonts w:ascii="華康細明體" w:hAnsi="華康細明體" w:cs="華康細明體" w:hint="eastAsia"/>
          <w:bCs/>
        </w:rPr>
      </w:pPr>
      <w:r>
        <w:br w:type="page"/>
      </w:r>
      <w:r>
        <w:rPr>
          <w:rFonts w:hint="eastAsia"/>
          <w:color w:val="000000"/>
          <w:szCs w:val="28"/>
        </w:rPr>
        <w:t>序</w:t>
      </w:r>
      <w:r>
        <w:rPr>
          <w:rFonts w:hint="eastAsia"/>
          <w:color w:val="000000"/>
          <w:szCs w:val="28"/>
        </w:rPr>
        <w:t xml:space="preserve">  </w:t>
      </w:r>
      <w:r>
        <w:rPr>
          <w:rFonts w:hint="eastAsia"/>
          <w:color w:val="000000"/>
          <w:szCs w:val="28"/>
        </w:rPr>
        <w:t>言</w:t>
      </w:r>
    </w:p>
    <w:p w:rsidR="00000000" w:rsidRDefault="00954A93">
      <w:pPr>
        <w:rPr>
          <w:rFonts w:hint="eastAsia"/>
          <w:color w:val="000000"/>
          <w:szCs w:val="28"/>
        </w:rPr>
      </w:pPr>
      <w:r>
        <w:rPr>
          <w:rFonts w:hint="eastAsia"/>
          <w:color w:val="000000"/>
          <w:szCs w:val="28"/>
        </w:rPr>
        <w:tab/>
      </w:r>
      <w:r>
        <w:rPr>
          <w:color w:val="000000"/>
          <w:szCs w:val="28"/>
        </w:rPr>
        <w:t xml:space="preserve">1. </w:t>
      </w:r>
      <w:r>
        <w:rPr>
          <w:rFonts w:hint="eastAsia"/>
          <w:color w:val="000000"/>
          <w:szCs w:val="28"/>
        </w:rPr>
        <w:t xml:space="preserve"> </w:t>
      </w:r>
      <w:r>
        <w:rPr>
          <w:rFonts w:hint="eastAsia"/>
          <w:color w:val="000000"/>
          <w:szCs w:val="28"/>
        </w:rPr>
        <w:t>香港特别行政区</w:t>
      </w:r>
      <w:r>
        <w:rPr>
          <w:color w:val="000000"/>
          <w:szCs w:val="28"/>
        </w:rPr>
        <w:t>(</w:t>
      </w:r>
      <w:r>
        <w:rPr>
          <w:rFonts w:hint="eastAsia"/>
          <w:color w:val="000000"/>
          <w:szCs w:val="28"/>
        </w:rPr>
        <w:t>香港特区</w:t>
      </w:r>
      <w:r>
        <w:rPr>
          <w:color w:val="000000"/>
          <w:szCs w:val="28"/>
        </w:rPr>
        <w:t>)</w:t>
      </w:r>
      <w:r>
        <w:rPr>
          <w:rFonts w:hint="eastAsia"/>
        </w:rPr>
        <w:t>根据《禁止酷刑和其他残忍、不人道或有辱人格的待遇或处罚公约》</w:t>
      </w:r>
      <w:r>
        <w:t>(</w:t>
      </w:r>
      <w:r>
        <w:rPr>
          <w:rFonts w:hint="eastAsia"/>
        </w:rPr>
        <w:t>公约</w:t>
      </w:r>
      <w:r>
        <w:t>)</w:t>
      </w:r>
      <w:r>
        <w:rPr>
          <w:rFonts w:hint="eastAsia"/>
        </w:rPr>
        <w:t>提交的第二次定期报告，会纳入中国根据公约而提交的第四和第五次合并报告</w:t>
      </w:r>
      <w:r>
        <w:rPr>
          <w:rFonts w:ascii="SimSun" w:hAnsi="SimSun" w:cs="SimSun" w:hint="eastAsia"/>
        </w:rPr>
        <w:t>内</w:t>
      </w:r>
      <w:r>
        <w:rPr>
          <w:rFonts w:ascii="MS Mincho" w:hAnsi="MS Mincho" w:cs="MS Mincho" w:hint="eastAsia"/>
        </w:rPr>
        <w:t>。这份报告旨在告知禁止酷刑委员会</w:t>
      </w:r>
      <w:r>
        <w:t>(</w:t>
      </w:r>
      <w:r>
        <w:rPr>
          <w:rFonts w:hint="eastAsia"/>
        </w:rPr>
        <w:t>委员会</w:t>
      </w:r>
      <w:r>
        <w:t>)</w:t>
      </w:r>
      <w:r>
        <w:rPr>
          <w:rFonts w:hint="eastAsia"/>
        </w:rPr>
        <w:t>香港在提交第一次报告</w:t>
      </w:r>
      <w:r>
        <w:t>(</w:t>
      </w:r>
      <w:r>
        <w:rPr>
          <w:rFonts w:hint="eastAsia"/>
        </w:rPr>
        <w:t>已纳入中国的第三次报告</w:t>
      </w:r>
      <w:r>
        <w:rPr>
          <w:rFonts w:ascii="SimSun" w:hAnsi="SimSun" w:cs="SimSun" w:hint="eastAsia"/>
        </w:rPr>
        <w:t>内</w:t>
      </w:r>
      <w:r>
        <w:t>)</w:t>
      </w:r>
      <w:r>
        <w:rPr>
          <w:rFonts w:hint="eastAsia"/>
        </w:rPr>
        <w:t>后的最新情况。就上次报告，委员会在二零零零年五月四日、五日和九日分别举行了第</w:t>
      </w:r>
      <w:r>
        <w:t>414</w:t>
      </w:r>
      <w:r>
        <w:rPr>
          <w:rFonts w:hint="eastAsia"/>
        </w:rPr>
        <w:t>、</w:t>
      </w:r>
      <w:r>
        <w:t>417</w:t>
      </w:r>
      <w:r>
        <w:rPr>
          <w:rFonts w:hint="eastAsia"/>
        </w:rPr>
        <w:t>和</w:t>
      </w:r>
      <w:r>
        <w:t>421</w:t>
      </w:r>
      <w:r>
        <w:rPr>
          <w:rFonts w:hint="eastAsia"/>
        </w:rPr>
        <w:t>次审议会，</w:t>
      </w:r>
      <w:r>
        <w:rPr>
          <w:rFonts w:hint="eastAsia"/>
        </w:rPr>
        <w:t>并在二零零零年五月九日发表审议结论。今次报告会就委员会的审议结论，以及本地观察员就公约在香港实施的情况所作评论，加以回应；评论者的意见虽只以摘要形式列于报告</w:t>
      </w:r>
      <w:r>
        <w:rPr>
          <w:rFonts w:ascii="SimSun" w:hAnsi="SimSun" w:cs="SimSun" w:hint="eastAsia"/>
        </w:rPr>
        <w:t>内</w:t>
      </w:r>
      <w:r>
        <w:rPr>
          <w:rFonts w:ascii="MS Mincho" w:hAnsi="MS Mincho" w:cs="MS Mincho" w:hint="eastAsia"/>
        </w:rPr>
        <w:t>，但我们已把接获的所有书面评论原件送交委员会秘书处。在草拟报告时，我们也力求遵从委员会在联合国《人权报告手册》中订明的规定。</w:t>
      </w:r>
    </w:p>
    <w:p w:rsidR="00000000" w:rsidRDefault="00954A93">
      <w:pPr>
        <w:spacing w:after="600"/>
        <w:rPr>
          <w:rFonts w:hint="eastAsia"/>
        </w:rPr>
      </w:pPr>
      <w:r>
        <w:rPr>
          <w:rFonts w:hint="eastAsia"/>
          <w:color w:val="000000"/>
          <w:szCs w:val="28"/>
        </w:rPr>
        <w:tab/>
      </w:r>
      <w:r>
        <w:rPr>
          <w:color w:val="000000"/>
          <w:szCs w:val="28"/>
        </w:rPr>
        <w:t xml:space="preserve">2. </w:t>
      </w:r>
      <w:r>
        <w:rPr>
          <w:rFonts w:hint="eastAsia"/>
          <w:color w:val="000000"/>
          <w:szCs w:val="28"/>
        </w:rPr>
        <w:t xml:space="preserve"> </w:t>
      </w:r>
      <w:r>
        <w:rPr>
          <w:rFonts w:hint="eastAsia"/>
          <w:color w:val="000000"/>
          <w:szCs w:val="28"/>
        </w:rPr>
        <w:t>在第一次</w:t>
      </w:r>
      <w:r>
        <w:rPr>
          <w:rFonts w:hint="eastAsia"/>
        </w:rPr>
        <w:t>报告</w:t>
      </w:r>
      <w:r>
        <w:rPr>
          <w:rFonts w:ascii="SimSun" w:hAnsi="SimSun" w:cs="SimSun" w:hint="eastAsia"/>
        </w:rPr>
        <w:t>内</w:t>
      </w:r>
      <w:r>
        <w:rPr>
          <w:rFonts w:ascii="MS Mincho" w:hAnsi="MS Mincho" w:cs="MS Mincho" w:hint="eastAsia"/>
        </w:rPr>
        <w:t>，我们已详述香港特区为履行公约的规定而实施的法律、政策和措施，它们大部分均实施了很长时间，而且一直以来改动不大。根据联合国《人权报告手册》的指引规定</w:t>
      </w:r>
      <w:r>
        <w:t>(</w:t>
      </w:r>
      <w:r>
        <w:rPr>
          <w:rFonts w:hint="eastAsia"/>
        </w:rPr>
        <w:t>英文本第</w:t>
      </w:r>
      <w:r>
        <w:t>67</w:t>
      </w:r>
      <w:r>
        <w:rPr>
          <w:rFonts w:hint="eastAsia"/>
        </w:rPr>
        <w:t>页末段</w:t>
      </w:r>
      <w:r>
        <w:t>)</w:t>
      </w:r>
      <w:r>
        <w:rPr>
          <w:rFonts w:hint="eastAsia"/>
        </w:rPr>
        <w:t>，我们不打算在今次报告</w:t>
      </w:r>
      <w:r>
        <w:rPr>
          <w:rFonts w:ascii="SimSun" w:hAnsi="SimSun" w:cs="SimSun" w:hint="eastAsia"/>
        </w:rPr>
        <w:t>内</w:t>
      </w:r>
      <w:r>
        <w:rPr>
          <w:rFonts w:ascii="MS Mincho" w:hAnsi="MS Mincho" w:cs="MS Mincho" w:hint="eastAsia"/>
        </w:rPr>
        <w:t>再次阐释这</w:t>
      </w:r>
      <w:r>
        <w:rPr>
          <w:rFonts w:ascii="MS Mincho" w:hAnsi="MS Mincho" w:cs="MS Mincho" w:hint="eastAsia"/>
        </w:rPr>
        <w:t>些法律、政策和措施，而只会用精简的文字告知委员会，香港的情况与之前所述的大致相同。</w:t>
      </w:r>
      <w:r>
        <w:rPr>
          <w:rFonts w:hint="eastAsia"/>
          <w:color w:val="000000"/>
          <w:szCs w:val="28"/>
        </w:rPr>
        <w:t>我们相信，这个处理方法符合</w:t>
      </w:r>
      <w:r>
        <w:rPr>
          <w:rFonts w:hint="eastAsia"/>
        </w:rPr>
        <w:t>公约第</w:t>
      </w:r>
      <w:r>
        <w:t>19.1</w:t>
      </w:r>
      <w:r>
        <w:rPr>
          <w:rFonts w:hint="eastAsia"/>
        </w:rPr>
        <w:t>条的规定。</w:t>
      </w:r>
    </w:p>
    <w:p w:rsidR="00000000" w:rsidRDefault="00954A93">
      <w:pPr>
        <w:pStyle w:val="Heading2"/>
      </w:pPr>
      <w:r>
        <w:rPr>
          <w:rFonts w:hint="eastAsia"/>
          <w:u w:val="single"/>
        </w:rPr>
        <w:t>第</w:t>
      </w:r>
      <w:r>
        <w:rPr>
          <w:u w:val="single"/>
        </w:rPr>
        <w:t>I</w:t>
      </w:r>
      <w:r>
        <w:rPr>
          <w:rFonts w:hint="eastAsia"/>
          <w:u w:val="single"/>
        </w:rPr>
        <w:t>部</w:t>
      </w:r>
      <w:r>
        <w:rPr>
          <w:rFonts w:hint="eastAsia"/>
        </w:rPr>
        <w:t>：香港特别行政区概况</w:t>
      </w:r>
    </w:p>
    <w:p w:rsidR="00000000" w:rsidRDefault="00954A93">
      <w:pPr>
        <w:pStyle w:val="Heading3"/>
      </w:pPr>
      <w:r>
        <w:rPr>
          <w:rFonts w:hint="eastAsia"/>
        </w:rPr>
        <w:t>土地和人口</w:t>
      </w:r>
    </w:p>
    <w:p w:rsidR="00000000" w:rsidRDefault="00954A93">
      <w:pPr>
        <w:pStyle w:val="Heading4"/>
      </w:pPr>
      <w:r>
        <w:rPr>
          <w:u w:val="none"/>
        </w:rPr>
        <w:t>(a)</w:t>
      </w:r>
      <w:r>
        <w:rPr>
          <w:u w:val="none"/>
        </w:rPr>
        <w:tab/>
      </w:r>
      <w:r>
        <w:rPr>
          <w:rFonts w:hint="eastAsia"/>
        </w:rPr>
        <w:t>按性别划分的人口</w:t>
      </w:r>
    </w:p>
    <w:tbl>
      <w:tblPr>
        <w:tblW w:w="9240" w:type="dxa"/>
        <w:tblInd w:w="628" w:type="dxa"/>
        <w:tblLayout w:type="fixed"/>
        <w:tblCellMar>
          <w:left w:w="28" w:type="dxa"/>
          <w:right w:w="28" w:type="dxa"/>
        </w:tblCellMar>
        <w:tblLook w:val="0000" w:firstRow="0" w:lastRow="0" w:firstColumn="0" w:lastColumn="0" w:noHBand="0" w:noVBand="0"/>
      </w:tblPr>
      <w:tblGrid>
        <w:gridCol w:w="1333"/>
        <w:gridCol w:w="1317"/>
        <w:gridCol w:w="1318"/>
        <w:gridCol w:w="1318"/>
        <w:gridCol w:w="1318"/>
        <w:gridCol w:w="1318"/>
        <w:gridCol w:w="1318"/>
      </w:tblGrid>
      <w:tr w:rsidR="00000000">
        <w:tblPrEx>
          <w:tblCellMar>
            <w:top w:w="0" w:type="dxa"/>
            <w:bottom w:w="0" w:type="dxa"/>
          </w:tblCellMar>
        </w:tblPrEx>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jc w:val="center"/>
              <w:rPr>
                <w:sz w:val="22"/>
              </w:rPr>
            </w:pPr>
            <w:r>
              <w:rPr>
                <w:rFonts w:hint="eastAsia"/>
                <w:sz w:val="22"/>
                <w:u w:val="single"/>
              </w:rPr>
              <w:t>性别</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line="240" w:lineRule="auto"/>
              <w:jc w:val="center"/>
              <w:rPr>
                <w:sz w:val="22"/>
              </w:rPr>
            </w:pPr>
            <w:r>
              <w:rPr>
                <w:sz w:val="22"/>
                <w:u w:val="single"/>
              </w:rPr>
              <w:t>1987</w:t>
            </w:r>
            <w:r>
              <w:rPr>
                <w:rFonts w:hint="eastAsia"/>
                <w:sz w:val="22"/>
                <w:u w:val="single"/>
              </w:rPr>
              <w:t>年</w:t>
            </w:r>
            <w:r>
              <w:rPr>
                <w:sz w:val="22"/>
                <w:u w:val="single"/>
              </w:rPr>
              <w:br/>
            </w:r>
            <w:r>
              <w:rPr>
                <w:rFonts w:hint="eastAsia"/>
                <w:sz w:val="22"/>
                <w:u w:val="single"/>
              </w:rPr>
              <w:t>年中</w:t>
            </w:r>
            <w:r>
              <w:rPr>
                <w:sz w:val="22"/>
                <w:u w:val="single"/>
              </w:rPr>
              <w:br/>
            </w:r>
            <w:r>
              <w:rPr>
                <w:sz w:val="22"/>
              </w:rPr>
              <w:t>(</w:t>
            </w:r>
            <w:r>
              <w:rPr>
                <w:rFonts w:hint="eastAsia"/>
                <w:sz w:val="22"/>
              </w:rPr>
              <w:t>百万</w:t>
            </w:r>
            <w:r>
              <w:rPr>
                <w:sz w:val="22"/>
              </w:rPr>
              <w:t>)</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jc w:val="center"/>
              <w:rPr>
                <w:sz w:val="22"/>
              </w:rPr>
            </w:pPr>
            <w:r>
              <w:rPr>
                <w:sz w:val="22"/>
                <w:u w:val="single"/>
              </w:rPr>
              <w:t>1992</w:t>
            </w:r>
            <w:r>
              <w:rPr>
                <w:rFonts w:hint="eastAsia"/>
                <w:sz w:val="22"/>
                <w:u w:val="single"/>
              </w:rPr>
              <w:t>年</w:t>
            </w:r>
            <w:r>
              <w:rPr>
                <w:sz w:val="22"/>
                <w:u w:val="single"/>
              </w:rPr>
              <w:br/>
            </w:r>
            <w:r>
              <w:rPr>
                <w:rFonts w:hint="eastAsia"/>
                <w:sz w:val="22"/>
                <w:u w:val="single"/>
              </w:rPr>
              <w:t>年中</w:t>
            </w:r>
            <w:r>
              <w:rPr>
                <w:sz w:val="22"/>
                <w:u w:val="single"/>
              </w:rPr>
              <w:br/>
            </w:r>
            <w:r>
              <w:rPr>
                <w:sz w:val="22"/>
              </w:rPr>
              <w:t>(</w:t>
            </w:r>
            <w:r>
              <w:rPr>
                <w:rFonts w:hint="eastAsia"/>
                <w:sz w:val="22"/>
              </w:rPr>
              <w:t>百万</w:t>
            </w:r>
            <w:r>
              <w:rPr>
                <w:sz w:val="22"/>
              </w:rPr>
              <w:t>)</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jc w:val="center"/>
              <w:rPr>
                <w:sz w:val="22"/>
              </w:rPr>
            </w:pPr>
            <w:r>
              <w:rPr>
                <w:sz w:val="22"/>
                <w:u w:val="single"/>
              </w:rPr>
              <w:t>1999</w:t>
            </w:r>
            <w:r>
              <w:rPr>
                <w:rFonts w:hint="eastAsia"/>
                <w:sz w:val="22"/>
                <w:u w:val="single"/>
              </w:rPr>
              <w:t>年</w:t>
            </w:r>
            <w:r>
              <w:rPr>
                <w:sz w:val="22"/>
                <w:u w:val="single"/>
              </w:rPr>
              <w:br/>
            </w:r>
            <w:r>
              <w:rPr>
                <w:rFonts w:hint="eastAsia"/>
                <w:sz w:val="22"/>
                <w:u w:val="single"/>
              </w:rPr>
              <w:t>年中</w:t>
            </w:r>
            <w:r>
              <w:rPr>
                <w:sz w:val="22"/>
                <w:u w:val="single"/>
              </w:rPr>
              <w:br/>
            </w:r>
            <w:r>
              <w:rPr>
                <w:sz w:val="22"/>
              </w:rPr>
              <w:t>(</w:t>
            </w:r>
            <w:r>
              <w:rPr>
                <w:rFonts w:hint="eastAsia"/>
                <w:sz w:val="22"/>
              </w:rPr>
              <w:t>百万</w:t>
            </w:r>
            <w:r>
              <w:rPr>
                <w:sz w:val="22"/>
              </w:rPr>
              <w:t>)</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jc w:val="center"/>
              <w:rPr>
                <w:rFonts w:hint="eastAsia"/>
                <w:sz w:val="22"/>
              </w:rPr>
            </w:pPr>
            <w:r>
              <w:rPr>
                <w:sz w:val="22"/>
                <w:u w:val="single"/>
              </w:rPr>
              <w:t>2003</w:t>
            </w:r>
            <w:r>
              <w:rPr>
                <w:rFonts w:hint="eastAsia"/>
                <w:sz w:val="22"/>
                <w:u w:val="single"/>
              </w:rPr>
              <w:t>年</w:t>
            </w:r>
            <w:r>
              <w:rPr>
                <w:sz w:val="22"/>
                <w:u w:val="single"/>
              </w:rPr>
              <w:br/>
            </w:r>
            <w:r>
              <w:rPr>
                <w:rFonts w:hint="eastAsia"/>
                <w:sz w:val="22"/>
                <w:u w:val="single"/>
              </w:rPr>
              <w:t>年中</w:t>
            </w:r>
            <w:r>
              <w:rPr>
                <w:sz w:val="22"/>
                <w:u w:val="single"/>
                <w:vertAlign w:val="superscript"/>
              </w:rPr>
              <w:br/>
            </w:r>
            <w:r>
              <w:rPr>
                <w:sz w:val="22"/>
              </w:rPr>
              <w:t>(</w:t>
            </w:r>
            <w:r>
              <w:rPr>
                <w:rFonts w:hint="eastAsia"/>
                <w:sz w:val="22"/>
              </w:rPr>
              <w:t>百万</w:t>
            </w:r>
            <w:r>
              <w:rPr>
                <w:sz w:val="22"/>
              </w:rPr>
              <w:t>)</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jc w:val="center"/>
              <w:rPr>
                <w:sz w:val="22"/>
              </w:rPr>
            </w:pPr>
            <w:r>
              <w:rPr>
                <w:sz w:val="22"/>
                <w:u w:val="single"/>
              </w:rPr>
              <w:t>2004</w:t>
            </w:r>
            <w:r>
              <w:rPr>
                <w:rFonts w:hint="eastAsia"/>
                <w:sz w:val="22"/>
                <w:u w:val="single"/>
              </w:rPr>
              <w:t>年</w:t>
            </w:r>
            <w:r>
              <w:rPr>
                <w:sz w:val="22"/>
                <w:u w:val="single"/>
              </w:rPr>
              <w:br/>
            </w:r>
            <w:r>
              <w:rPr>
                <w:rFonts w:hint="eastAsia"/>
                <w:sz w:val="22"/>
                <w:u w:val="single"/>
              </w:rPr>
              <w:t>年中</w:t>
            </w:r>
            <w:r>
              <w:rPr>
                <w:sz w:val="22"/>
                <w:u w:val="single"/>
              </w:rPr>
              <w:br/>
            </w:r>
            <w:r>
              <w:rPr>
                <w:sz w:val="22"/>
              </w:rPr>
              <w:t>(</w:t>
            </w:r>
            <w:r>
              <w:rPr>
                <w:rFonts w:hint="eastAsia"/>
                <w:sz w:val="22"/>
              </w:rPr>
              <w:t>百万</w:t>
            </w:r>
            <w:r>
              <w:rPr>
                <w:sz w:val="22"/>
              </w:rPr>
              <w:t>)</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80" w:after="40"/>
              <w:jc w:val="center"/>
              <w:rPr>
                <w:rFonts w:hint="eastAsia"/>
                <w:sz w:val="22"/>
              </w:rPr>
            </w:pPr>
            <w:r>
              <w:rPr>
                <w:sz w:val="22"/>
                <w:u w:val="single"/>
              </w:rPr>
              <w:t>2004</w:t>
            </w:r>
            <w:r>
              <w:rPr>
                <w:rFonts w:hint="eastAsia"/>
                <w:sz w:val="22"/>
                <w:u w:val="single"/>
              </w:rPr>
              <w:t>年</w:t>
            </w:r>
            <w:r>
              <w:rPr>
                <w:sz w:val="22"/>
                <w:u w:val="single"/>
              </w:rPr>
              <w:br/>
            </w:r>
            <w:r>
              <w:rPr>
                <w:rFonts w:hint="eastAsia"/>
                <w:sz w:val="22"/>
                <w:u w:val="single"/>
              </w:rPr>
              <w:t>年底</w:t>
            </w:r>
            <w:r>
              <w:rPr>
                <w:sz w:val="22"/>
                <w:u w:val="single"/>
                <w:vertAlign w:val="superscript"/>
              </w:rPr>
              <w:t>#</w:t>
            </w:r>
            <w:r>
              <w:rPr>
                <w:sz w:val="22"/>
                <w:u w:val="single"/>
                <w:vertAlign w:val="superscript"/>
              </w:rPr>
              <w:br/>
            </w:r>
            <w:r>
              <w:rPr>
                <w:sz w:val="22"/>
              </w:rPr>
              <w:t>(</w:t>
            </w:r>
            <w:r>
              <w:rPr>
                <w:rFonts w:hint="eastAsia"/>
                <w:sz w:val="22"/>
              </w:rPr>
              <w:t>百万</w:t>
            </w:r>
            <w:r>
              <w:rPr>
                <w:sz w:val="22"/>
              </w:rPr>
              <w:t>)</w:t>
            </w:r>
          </w:p>
        </w:tc>
      </w:tr>
      <w:tr w:rsidR="00000000">
        <w:tblPrEx>
          <w:tblCellMar>
            <w:top w:w="0" w:type="dxa"/>
            <w:bottom w:w="0" w:type="dxa"/>
          </w:tblCellMar>
        </w:tblPrEx>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rFonts w:hint="eastAsia"/>
                <w:sz w:val="22"/>
              </w:rPr>
              <w:t>男</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2.9</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2.9</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3.3</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3.3</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3.3</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3.3</w:t>
            </w:r>
          </w:p>
        </w:tc>
      </w:tr>
      <w:tr w:rsidR="00000000">
        <w:tblPrEx>
          <w:tblCellMar>
            <w:top w:w="0" w:type="dxa"/>
            <w:bottom w:w="0" w:type="dxa"/>
          </w:tblCellMar>
        </w:tblPrEx>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rFonts w:hint="eastAsia"/>
                <w:sz w:val="22"/>
              </w:rPr>
              <w:t>女</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2.7</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2.9</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3.3</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3.5</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3.6</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3.6</w:t>
            </w:r>
          </w:p>
        </w:tc>
      </w:tr>
      <w:tr w:rsidR="00000000">
        <w:tblPrEx>
          <w:tblCellMar>
            <w:top w:w="0" w:type="dxa"/>
            <w:bottom w:w="0" w:type="dxa"/>
          </w:tblCellMar>
        </w:tblPrEx>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rFonts w:hint="eastAsia"/>
                <w:sz w:val="22"/>
              </w:rPr>
              <w:t>总计</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5.6</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5.8</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6.</w:t>
            </w:r>
            <w:r>
              <w:rPr>
                <w:sz w:val="22"/>
              </w:rPr>
              <w:t>6</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6.8</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sz w:val="22"/>
              </w:rPr>
            </w:pPr>
            <w:r>
              <w:rPr>
                <w:sz w:val="22"/>
              </w:rPr>
              <w:t>6.9</w:t>
            </w:r>
          </w:p>
        </w:tc>
        <w:tc>
          <w:tcPr>
            <w:tcW w:w="130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r>
              <w:rPr>
                <w:sz w:val="22"/>
              </w:rPr>
              <w:t>6.9</w:t>
            </w:r>
          </w:p>
        </w:tc>
      </w:tr>
    </w:tbl>
    <w:p w:rsidR="00000000" w:rsidRDefault="00954A93">
      <w:pPr>
        <w:pStyle w:val="EndnoteText"/>
        <w:spacing w:before="120"/>
        <w:ind w:left="510"/>
      </w:pPr>
      <w:r>
        <w:rPr>
          <w:rFonts w:hint="eastAsia"/>
        </w:rPr>
        <w:tab/>
      </w:r>
      <w:r>
        <w:t>#</w:t>
      </w:r>
      <w:r>
        <w:tab/>
      </w:r>
      <w:r>
        <w:rPr>
          <w:rFonts w:hint="eastAsia"/>
        </w:rPr>
        <w:t>临时数字</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rPr>
          <w:rFonts w:ascii="華康中黑體" w:eastAsia="華康中黑體"/>
          <w:b/>
          <w:sz w:val="20"/>
        </w:rPr>
      </w:pPr>
    </w:p>
    <w:p w:rsidR="00000000" w:rsidRDefault="00954A93">
      <w:pPr>
        <w:pStyle w:val="Heading4"/>
        <w:rPr>
          <w:sz w:val="26"/>
        </w:rPr>
      </w:pPr>
      <w:r>
        <w:rPr>
          <w:u w:val="none"/>
        </w:rPr>
        <w:t>(b)</w:t>
      </w:r>
      <w:r>
        <w:rPr>
          <w:u w:val="none"/>
        </w:rPr>
        <w:tab/>
      </w:r>
      <w:r>
        <w:rPr>
          <w:rFonts w:hint="eastAsia"/>
        </w:rPr>
        <w:t>按年龄组别及性别划分的人口</w:t>
      </w:r>
      <w:r>
        <w:rPr>
          <w:rStyle w:val="FootnoteReference"/>
          <w:b/>
          <w:u w:val="none"/>
        </w:rPr>
        <w:footnoteReference w:customMarkFollows="1" w:id="5"/>
        <w:t>1</w:t>
      </w:r>
    </w:p>
    <w:tbl>
      <w:tblPr>
        <w:tblW w:w="9054" w:type="dxa"/>
        <w:tblInd w:w="568" w:type="dxa"/>
        <w:tblLayout w:type="fixed"/>
        <w:tblCellMar>
          <w:left w:w="28" w:type="dxa"/>
          <w:right w:w="28" w:type="dxa"/>
        </w:tblCellMar>
        <w:tblLook w:val="0000" w:firstRow="0" w:lastRow="0" w:firstColumn="0" w:lastColumn="0" w:noHBand="0" w:noVBand="0"/>
      </w:tblPr>
      <w:tblGrid>
        <w:gridCol w:w="1369"/>
        <w:gridCol w:w="833"/>
        <w:gridCol w:w="1124"/>
        <w:gridCol w:w="1136"/>
        <w:gridCol w:w="1124"/>
        <w:gridCol w:w="1124"/>
        <w:gridCol w:w="1190"/>
        <w:gridCol w:w="1154"/>
      </w:tblGrid>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36" w:after="36"/>
              <w:jc w:val="center"/>
            </w:pP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36" w:after="36"/>
              <w:jc w:val="center"/>
            </w:pPr>
          </w:p>
        </w:tc>
        <w:tc>
          <w:tcPr>
            <w:tcW w:w="6834" w:type="dxa"/>
            <w:gridSpan w:val="6"/>
          </w:tcPr>
          <w:p w:rsidR="00000000" w:rsidRDefault="00954A93">
            <w:pPr>
              <w:tabs>
                <w:tab w:val="left" w:pos="6237"/>
                <w:tab w:val="left" w:pos="6804"/>
              </w:tabs>
              <w:spacing w:after="240" w:line="264" w:lineRule="auto"/>
              <w:jc w:val="center"/>
              <w:rPr>
                <w:rFonts w:hint="eastAsia"/>
                <w:u w:val="single"/>
              </w:rPr>
            </w:pPr>
            <w:r>
              <w:rPr>
                <w:rFonts w:hint="eastAsia"/>
                <w:u w:val="single"/>
              </w:rPr>
              <w:t>在总人口中所占的百分率</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position w:val="6"/>
                <w:sz w:val="22"/>
              </w:rPr>
            </w:pPr>
            <w:r>
              <w:rPr>
                <w:rFonts w:hint="eastAsia"/>
                <w:position w:val="6"/>
                <w:sz w:val="22"/>
                <w:u w:val="single"/>
              </w:rPr>
              <w:t>年齡</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position w:val="6"/>
                <w:sz w:val="22"/>
              </w:rPr>
            </w:pPr>
            <w:r>
              <w:rPr>
                <w:rFonts w:hint="eastAsia"/>
                <w:position w:val="6"/>
                <w:sz w:val="22"/>
                <w:u w:val="single"/>
              </w:rPr>
              <w:t>性別</w:t>
            </w:r>
          </w:p>
        </w:tc>
        <w:tc>
          <w:tcPr>
            <w:tcW w:w="113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sz w:val="22"/>
                <w:u w:val="single"/>
              </w:rPr>
              <w:t>1987</w:t>
            </w:r>
            <w:r>
              <w:rPr>
                <w:rFonts w:hint="eastAsia"/>
                <w:sz w:val="22"/>
                <w:u w:val="single"/>
              </w:rPr>
              <w:t>年</w:t>
            </w:r>
            <w:r>
              <w:rPr>
                <w:sz w:val="22"/>
                <w:u w:val="single"/>
              </w:rPr>
              <w:br/>
            </w:r>
            <w:r>
              <w:rPr>
                <w:rFonts w:hint="eastAsia"/>
                <w:sz w:val="22"/>
                <w:u w:val="single"/>
              </w:rPr>
              <w:t>年中</w:t>
            </w:r>
          </w:p>
        </w:tc>
        <w:tc>
          <w:tcPr>
            <w:tcW w:w="1146"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sz w:val="22"/>
                <w:u w:val="single"/>
              </w:rPr>
              <w:t>1992</w:t>
            </w:r>
            <w:r>
              <w:rPr>
                <w:rFonts w:hint="eastAsia"/>
                <w:sz w:val="22"/>
                <w:u w:val="single"/>
              </w:rPr>
              <w:t>年</w:t>
            </w:r>
            <w:r>
              <w:rPr>
                <w:sz w:val="22"/>
                <w:u w:val="single"/>
              </w:rPr>
              <w:br/>
            </w:r>
            <w:r>
              <w:rPr>
                <w:rFonts w:hint="eastAsia"/>
                <w:sz w:val="22"/>
                <w:u w:val="single"/>
              </w:rPr>
              <w:t>年中</w:t>
            </w:r>
          </w:p>
        </w:tc>
        <w:tc>
          <w:tcPr>
            <w:tcW w:w="111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sz w:val="22"/>
                <w:u w:val="single"/>
              </w:rPr>
              <w:t>1999</w:t>
            </w:r>
            <w:r>
              <w:rPr>
                <w:rFonts w:hint="eastAsia"/>
                <w:sz w:val="22"/>
                <w:u w:val="single"/>
              </w:rPr>
              <w:t>年</w:t>
            </w:r>
            <w:r>
              <w:rPr>
                <w:sz w:val="22"/>
                <w:u w:val="single"/>
              </w:rPr>
              <w:br/>
            </w:r>
            <w:r>
              <w:rPr>
                <w:rFonts w:hint="eastAsia"/>
                <w:sz w:val="22"/>
                <w:u w:val="single"/>
              </w:rPr>
              <w:t>年中</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sz w:val="22"/>
                <w:u w:val="single"/>
              </w:rPr>
              <w:t>2003</w:t>
            </w:r>
            <w:r>
              <w:rPr>
                <w:rFonts w:hint="eastAsia"/>
                <w:sz w:val="22"/>
                <w:u w:val="single"/>
              </w:rPr>
              <w:t>年</w:t>
            </w:r>
            <w:r>
              <w:rPr>
                <w:sz w:val="22"/>
                <w:u w:val="single"/>
              </w:rPr>
              <w:br/>
            </w:r>
            <w:r>
              <w:rPr>
                <w:rFonts w:hint="eastAsia"/>
                <w:sz w:val="22"/>
                <w:u w:val="single"/>
              </w:rPr>
              <w:t>年中</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sz w:val="22"/>
                <w:u w:val="single"/>
              </w:rPr>
              <w:t>2004</w:t>
            </w:r>
            <w:r>
              <w:rPr>
                <w:rFonts w:hint="eastAsia"/>
                <w:sz w:val="22"/>
                <w:u w:val="single"/>
              </w:rPr>
              <w:t>年</w:t>
            </w:r>
            <w:r>
              <w:rPr>
                <w:sz w:val="22"/>
                <w:u w:val="single"/>
              </w:rPr>
              <w:br/>
            </w:r>
            <w:r>
              <w:rPr>
                <w:rFonts w:hint="eastAsia"/>
                <w:sz w:val="22"/>
                <w:u w:val="single"/>
              </w:rPr>
              <w:t>年中</w:t>
            </w:r>
          </w:p>
        </w:tc>
        <w:tc>
          <w:tcPr>
            <w:tcW w:w="1164"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sz w:val="22"/>
                <w:u w:val="single"/>
              </w:rPr>
              <w:t>2004</w:t>
            </w:r>
            <w:r>
              <w:rPr>
                <w:rFonts w:hint="eastAsia"/>
                <w:sz w:val="22"/>
                <w:u w:val="single"/>
              </w:rPr>
              <w:t>年</w:t>
            </w:r>
            <w:r>
              <w:rPr>
                <w:sz w:val="22"/>
                <w:u w:val="single"/>
              </w:rPr>
              <w:br/>
            </w:r>
            <w:r>
              <w:rPr>
                <w:rFonts w:hint="eastAsia"/>
                <w:sz w:val="22"/>
                <w:u w:val="single"/>
              </w:rPr>
              <w:t>年底</w:t>
            </w:r>
            <w:r>
              <w:rPr>
                <w:sz w:val="22"/>
                <w:u w:val="single"/>
                <w:vertAlign w:val="superscript"/>
              </w:rPr>
              <w:t>#</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15</w:t>
            </w:r>
            <w:r>
              <w:rPr>
                <w:rFonts w:ascii="SimSun" w:hAnsi="SimSun" w:cs="SimSun" w:hint="eastAsia"/>
                <w:sz w:val="22"/>
              </w:rPr>
              <w:t>岁</w:t>
            </w:r>
            <w:r>
              <w:rPr>
                <w:rFonts w:ascii="MS Mincho" w:hAnsi="MS Mincho" w:cs="MS Mincho" w:hint="eastAsia"/>
                <w:sz w:val="22"/>
              </w:rPr>
              <w:t>以下</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男</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11.7</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10.6</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9.1</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8.1</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7.8</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7.7</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女</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10.8</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9.9</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8.4</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7.6</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7.3</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7.2</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15</w:t>
            </w:r>
            <w:r>
              <w:rPr>
                <w:rFonts w:hint="eastAsia"/>
                <w:sz w:val="22"/>
              </w:rPr>
              <w:t>至</w:t>
            </w:r>
            <w:r>
              <w:rPr>
                <w:sz w:val="22"/>
              </w:rPr>
              <w:t>18</w:t>
            </w:r>
            <w:r>
              <w:rPr>
                <w:rFonts w:ascii="SimSun" w:hAnsi="SimSun" w:cs="SimSun" w:hint="eastAsia"/>
                <w:sz w:val="22"/>
              </w:rPr>
              <w:t>岁</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rFonts w:hint="eastAsia"/>
                <w:sz w:val="22"/>
              </w:rPr>
            </w:pPr>
            <w:r>
              <w:rPr>
                <w:rFonts w:hint="eastAsia"/>
                <w:sz w:val="22"/>
              </w:rPr>
              <w:t>男</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3.3</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2.9</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2.9</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2.6</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2.6</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2.6</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rFonts w:hint="eastAsia"/>
                <w:sz w:val="22"/>
              </w:rPr>
            </w:pPr>
            <w:r>
              <w:rPr>
                <w:rFonts w:hint="eastAsia"/>
                <w:sz w:val="22"/>
              </w:rPr>
              <w:t>女</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3.0</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2.7</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2.7</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w:t>
            </w:r>
            <w:r>
              <w:rPr>
                <w:sz w:val="22"/>
              </w:rPr>
              <w:t>.5</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2.5</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2.5</w:t>
            </w:r>
          </w:p>
        </w:tc>
      </w:tr>
      <w:tr w:rsidR="00000000">
        <w:tblPrEx>
          <w:tblCellMar>
            <w:top w:w="0" w:type="dxa"/>
            <w:bottom w:w="0" w:type="dxa"/>
          </w:tblCellMar>
        </w:tblPrEx>
        <w:trPr>
          <w:cantSplit/>
        </w:trPr>
        <w:tc>
          <w:tcPr>
            <w:tcW w:w="1380" w:type="dxa"/>
            <w:vMerge w:val="restart"/>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(0</w:t>
            </w:r>
            <w:r>
              <w:rPr>
                <w:rFonts w:hint="eastAsia"/>
                <w:i/>
                <w:sz w:val="22"/>
              </w:rPr>
              <w:t>至</w:t>
            </w:r>
            <w:r>
              <w:rPr>
                <w:i/>
                <w:sz w:val="22"/>
              </w:rPr>
              <w:t>18</w:t>
            </w:r>
            <w:r>
              <w:rPr>
                <w:rFonts w:ascii="SimSun" w:hAnsi="SimSun" w:cs="SimSun" w:hint="eastAsia"/>
                <w:i/>
                <w:sz w:val="22"/>
              </w:rPr>
              <w:t>岁</w:t>
            </w:r>
            <w:r>
              <w:rPr>
                <w:i/>
                <w:sz w:val="22"/>
              </w:rPr>
              <w:t>)</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rFonts w:hint="eastAsia"/>
                <w:i/>
                <w:sz w:val="22"/>
              </w:rPr>
            </w:pPr>
            <w:r>
              <w:rPr>
                <w:rFonts w:hint="eastAsia"/>
                <w:i/>
                <w:sz w:val="22"/>
              </w:rPr>
              <w:t>男</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iCs/>
                <w:sz w:val="22"/>
              </w:rPr>
            </w:pPr>
            <w:r>
              <w:rPr>
                <w:i/>
                <w:iCs/>
                <w:sz w:val="22"/>
              </w:rPr>
              <w:tab/>
              <w:t>15.0</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iCs/>
                <w:sz w:val="22"/>
              </w:rPr>
            </w:pPr>
            <w:r>
              <w:rPr>
                <w:i/>
                <w:iCs/>
                <w:sz w:val="22"/>
              </w:rPr>
              <w:tab/>
              <w:t>13.5</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11.9</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10.7</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10.4</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10.3</w:t>
            </w:r>
          </w:p>
        </w:tc>
      </w:tr>
      <w:tr w:rsidR="00000000">
        <w:tblPrEx>
          <w:tblCellMar>
            <w:top w:w="0" w:type="dxa"/>
            <w:bottom w:w="0" w:type="dxa"/>
          </w:tblCellMar>
        </w:tblPrEx>
        <w:trPr>
          <w:cantSplit/>
        </w:trPr>
        <w:tc>
          <w:tcPr>
            <w:tcW w:w="1380" w:type="dxa"/>
            <w:vMerge/>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i/>
                <w:sz w:val="22"/>
              </w:rPr>
            </w:pP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rFonts w:hint="eastAsia"/>
                <w:i/>
                <w:sz w:val="22"/>
              </w:rPr>
            </w:pPr>
            <w:r>
              <w:rPr>
                <w:rFonts w:hint="eastAsia"/>
                <w:i/>
                <w:sz w:val="22"/>
              </w:rPr>
              <w:t>女</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iCs/>
                <w:sz w:val="22"/>
              </w:rPr>
            </w:pPr>
            <w:r>
              <w:rPr>
                <w:i/>
                <w:iCs/>
                <w:sz w:val="22"/>
              </w:rPr>
              <w:tab/>
              <w:t>13.8</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iCs/>
                <w:sz w:val="22"/>
              </w:rPr>
            </w:pPr>
            <w:r>
              <w:rPr>
                <w:i/>
                <w:iCs/>
                <w:sz w:val="22"/>
              </w:rPr>
              <w:tab/>
              <w:t>12.6</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11.1</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10.1</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9.8</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i/>
                <w:sz w:val="22"/>
              </w:rPr>
              <w:tab/>
              <w:t>9.7</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19</w:t>
            </w:r>
            <w:r>
              <w:rPr>
                <w:rFonts w:hint="eastAsia"/>
                <w:sz w:val="22"/>
              </w:rPr>
              <w:t>至</w:t>
            </w:r>
            <w:r>
              <w:rPr>
                <w:sz w:val="22"/>
              </w:rPr>
              <w:t>64</w:t>
            </w:r>
            <w:r>
              <w:rPr>
                <w:rFonts w:ascii="SimSun" w:hAnsi="SimSun" w:cs="SimSun" w:hint="eastAsia"/>
                <w:sz w:val="22"/>
              </w:rPr>
              <w:t>岁</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男</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33.1</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33.3</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32.5</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32.3</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32.2</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32.2</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女</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30.2</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31.6</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33.6</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35.2</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35.6</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35.8</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65</w:t>
            </w:r>
            <w:r>
              <w:rPr>
                <w:rFonts w:ascii="SimSun" w:hAnsi="SimSun" w:cs="SimSun" w:hint="eastAsia"/>
                <w:sz w:val="22"/>
              </w:rPr>
              <w:t>岁</w:t>
            </w:r>
            <w:r>
              <w:rPr>
                <w:rFonts w:ascii="MS Mincho" w:hAnsi="MS Mincho" w:cs="MS Mincho" w:hint="eastAsia"/>
                <w:sz w:val="22"/>
              </w:rPr>
              <w:t>及</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男</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3.4</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4.0</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4.9</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5.4</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5.5</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5.6</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以上</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女</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4.5</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5.0</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5.8</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6.3</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6.4</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6.</w:t>
            </w:r>
            <w:r>
              <w:rPr>
                <w:sz w:val="22"/>
              </w:rPr>
              <w:t>4</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rPr>
              <w:t>所有年龄</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男</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51.4</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50.8</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49.4</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48.4</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48.2</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48.1</w:t>
            </w:r>
          </w:p>
        </w:tc>
      </w:tr>
      <w:tr w:rsidR="00000000">
        <w:tblPrEx>
          <w:tblCellMar>
            <w:top w:w="0" w:type="dxa"/>
            <w:bottom w:w="0" w:type="dxa"/>
          </w:tblCellMar>
        </w:tblPrEx>
        <w:trPr>
          <w:cantSplit/>
        </w:trPr>
        <w:tc>
          <w:tcPr>
            <w:tcW w:w="13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组别</w:t>
            </w:r>
          </w:p>
        </w:tc>
        <w:tc>
          <w:tcPr>
            <w:tcW w:w="8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rPr>
            </w:pPr>
            <w:r>
              <w:rPr>
                <w:rFonts w:hint="eastAsia"/>
                <w:sz w:val="22"/>
              </w:rPr>
              <w:t>女</w:t>
            </w:r>
          </w:p>
        </w:tc>
        <w:tc>
          <w:tcPr>
            <w:tcW w:w="1134" w:type="dxa"/>
          </w:tcPr>
          <w:p w:rsidR="00000000" w:rsidRDefault="00954A93">
            <w:pPr>
              <w:tabs>
                <w:tab w:val="decimal" w:pos="5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48.6</w:t>
            </w:r>
          </w:p>
        </w:tc>
        <w:tc>
          <w:tcPr>
            <w:tcW w:w="1134" w:type="dxa"/>
          </w:tcPr>
          <w:p w:rsidR="00000000" w:rsidRDefault="00954A93">
            <w:pPr>
              <w:tabs>
                <w:tab w:val="decimal" w:pos="518"/>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sz w:val="22"/>
              </w:rPr>
              <w:tab/>
              <w:t>49.2</w:t>
            </w:r>
          </w:p>
        </w:tc>
        <w:tc>
          <w:tcPr>
            <w:tcW w:w="1134" w:type="dxa"/>
          </w:tcPr>
          <w:p w:rsidR="00000000" w:rsidRDefault="00954A93">
            <w:pPr>
              <w:tabs>
                <w:tab w:val="decimal" w:pos="58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50.6</w:t>
            </w:r>
          </w:p>
        </w:tc>
        <w:tc>
          <w:tcPr>
            <w:tcW w:w="1134" w:type="dxa"/>
          </w:tcPr>
          <w:p w:rsidR="00000000" w:rsidRDefault="00954A93">
            <w:pPr>
              <w:tabs>
                <w:tab w:val="decimal" w:pos="566"/>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51.6</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51.8</w:t>
            </w:r>
          </w:p>
        </w:tc>
        <w:tc>
          <w:tcPr>
            <w:tcW w:w="1134" w:type="dxa"/>
          </w:tcPr>
          <w:p w:rsidR="00000000" w:rsidRDefault="00954A93">
            <w:pPr>
              <w:tabs>
                <w:tab w:val="decimal" w:pos="55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51.9</w:t>
            </w:r>
          </w:p>
        </w:tc>
      </w:tr>
    </w:tbl>
    <w:p w:rsidR="00000000" w:rsidRDefault="00954A93">
      <w:pPr>
        <w:pStyle w:val="EndnoteText"/>
        <w:spacing w:before="240" w:line="312" w:lineRule="auto"/>
        <w:ind w:left="510"/>
        <w:rPr>
          <w:rFonts w:hint="eastAsia"/>
        </w:rPr>
      </w:pPr>
      <w:r>
        <w:t xml:space="preserve"># </w:t>
      </w:r>
      <w:r>
        <w:tab/>
      </w:r>
      <w:r>
        <w:rPr>
          <w:rFonts w:hint="eastAsia"/>
        </w:rPr>
        <w:t>临时数字。</w:t>
      </w:r>
    </w:p>
    <w:p w:rsidR="00000000" w:rsidRDefault="00954A93">
      <w:pPr>
        <w:pStyle w:val="Heading4"/>
        <w:spacing w:after="120"/>
        <w:rPr>
          <w:rFonts w:hint="eastAsia"/>
        </w:rPr>
      </w:pPr>
      <w:r>
        <w:br w:type="page"/>
      </w:r>
      <w:r>
        <w:rPr>
          <w:rFonts w:hint="eastAsia"/>
          <w:u w:val="none"/>
        </w:rPr>
        <w:t>(</w:t>
      </w:r>
      <w:r>
        <w:rPr>
          <w:b/>
          <w:u w:val="none"/>
        </w:rPr>
        <w:t>c</w:t>
      </w:r>
      <w:r>
        <w:rPr>
          <w:u w:val="none"/>
        </w:rPr>
        <w:t>)</w:t>
      </w:r>
      <w:r>
        <w:rPr>
          <w:u w:val="none"/>
        </w:rPr>
        <w:tab/>
      </w:r>
      <w:r>
        <w:rPr>
          <w:rFonts w:hint="eastAsia"/>
        </w:rPr>
        <w:t>教育程度</w:t>
      </w:r>
      <w:r>
        <w:t>(</w:t>
      </w:r>
      <w:r>
        <w:rPr>
          <w:b/>
        </w:rPr>
        <w:t>15</w:t>
      </w:r>
      <w:r>
        <w:rPr>
          <w:rFonts w:cs="SimSun" w:hint="eastAsia"/>
        </w:rPr>
        <w:t>岁</w:t>
      </w:r>
      <w:r>
        <w:rPr>
          <w:rFonts w:cs="MS Mincho" w:hint="eastAsia"/>
        </w:rPr>
        <w:t>及以上的人口</w:t>
      </w:r>
      <w:r>
        <w:rPr>
          <w:u w:val="none"/>
        </w:rPr>
        <w:t>)</w:t>
      </w:r>
      <w:r>
        <w:rPr>
          <w:rStyle w:val="FootnoteReference"/>
          <w:rFonts w:ascii="Time New Roman" w:eastAsia="SimHei" w:hAnsi="Time New Roman"/>
          <w:b/>
          <w:u w:val="none"/>
        </w:rPr>
        <w:footnoteReference w:customMarkFollows="1" w:id="6"/>
        <w:t>2</w:t>
      </w:r>
      <w:r>
        <w:rPr>
          <w:rFonts w:hint="eastAsia"/>
          <w:position w:val="8"/>
          <w:sz w:val="20"/>
          <w:u w:val="none"/>
        </w:rPr>
        <w:t>和</w:t>
      </w:r>
      <w:r>
        <w:rPr>
          <w:rStyle w:val="FootnoteReference"/>
          <w:rFonts w:ascii="Time New Roman" w:eastAsia="SimHei" w:hAnsi="Time New Roman"/>
          <w:b/>
          <w:u w:val="none"/>
        </w:rPr>
        <w:footnoteReference w:customMarkFollows="1" w:id="7"/>
        <w:t>6</w:t>
      </w:r>
    </w:p>
    <w:tbl>
      <w:tblPr>
        <w:tblW w:w="9000" w:type="dxa"/>
        <w:tblInd w:w="628" w:type="dxa"/>
        <w:tblLayout w:type="fixed"/>
        <w:tblCellMar>
          <w:left w:w="28" w:type="dxa"/>
          <w:right w:w="28" w:type="dxa"/>
        </w:tblCellMar>
        <w:tblLook w:val="0000" w:firstRow="0" w:lastRow="0" w:firstColumn="0" w:lastColumn="0" w:noHBand="0" w:noVBand="0"/>
      </w:tblPr>
      <w:tblGrid>
        <w:gridCol w:w="1436"/>
        <w:gridCol w:w="756"/>
        <w:gridCol w:w="756"/>
        <w:gridCol w:w="757"/>
        <w:gridCol w:w="756"/>
        <w:gridCol w:w="757"/>
        <w:gridCol w:w="756"/>
        <w:gridCol w:w="756"/>
        <w:gridCol w:w="757"/>
        <w:gridCol w:w="756"/>
        <w:gridCol w:w="757"/>
      </w:tblGrid>
      <w:tr w:rsidR="00000000">
        <w:tblPrEx>
          <w:tblCellMar>
            <w:top w:w="0" w:type="dxa"/>
            <w:bottom w:w="0" w:type="dxa"/>
          </w:tblCellMar>
        </w:tblPrEx>
        <w:trPr>
          <w:cantSplit/>
          <w:trHeight w:val="319"/>
        </w:trPr>
        <w:tc>
          <w:tcPr>
            <w:tcW w:w="1436" w:type="dxa"/>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40" w:lineRule="auto"/>
              <w:rPr>
                <w:sz w:val="22"/>
              </w:rPr>
            </w:pPr>
            <w:r>
              <w:rPr>
                <w:rFonts w:hint="eastAsia"/>
                <w:sz w:val="22"/>
                <w:u w:val="single"/>
              </w:rPr>
              <w:t>教育程度</w:t>
            </w:r>
          </w:p>
        </w:tc>
        <w:tc>
          <w:tcPr>
            <w:tcW w:w="7564" w:type="dxa"/>
            <w:gridSpan w:val="10"/>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rFonts w:hint="eastAsia"/>
                <w:sz w:val="22"/>
                <w:u w:val="single"/>
              </w:rPr>
              <w:t>百分率</w:t>
            </w:r>
          </w:p>
        </w:tc>
      </w:tr>
      <w:tr w:rsidR="00000000">
        <w:tblPrEx>
          <w:tblCellMar>
            <w:top w:w="0" w:type="dxa"/>
            <w:bottom w:w="0" w:type="dxa"/>
          </w:tblCellMar>
        </w:tblPrEx>
        <w:trPr>
          <w:cantSplit/>
          <w:trHeight w:val="441"/>
        </w:trPr>
        <w:tc>
          <w:tcPr>
            <w:tcW w:w="1436" w:type="dxa"/>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40" w:lineRule="auto"/>
              <w:rPr>
                <w:sz w:val="22"/>
              </w:rPr>
            </w:pPr>
          </w:p>
        </w:tc>
        <w:tc>
          <w:tcPr>
            <w:tcW w:w="1512" w:type="dxa"/>
            <w:gridSpan w:val="2"/>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u w:val="single"/>
              </w:rPr>
              <w:t>1986</w:t>
            </w:r>
            <w:r>
              <w:rPr>
                <w:rFonts w:hint="eastAsia"/>
                <w:sz w:val="22"/>
                <w:u w:val="single"/>
              </w:rPr>
              <w:t>年</w:t>
            </w:r>
          </w:p>
        </w:tc>
        <w:tc>
          <w:tcPr>
            <w:tcW w:w="1513" w:type="dxa"/>
            <w:gridSpan w:val="2"/>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u w:val="single"/>
              </w:rPr>
              <w:t>1991</w:t>
            </w:r>
            <w:r>
              <w:rPr>
                <w:rFonts w:hint="eastAsia"/>
                <w:sz w:val="22"/>
                <w:u w:val="single"/>
              </w:rPr>
              <w:t>年</w:t>
            </w:r>
          </w:p>
        </w:tc>
        <w:tc>
          <w:tcPr>
            <w:tcW w:w="1513" w:type="dxa"/>
            <w:gridSpan w:val="2"/>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sz w:val="22"/>
              </w:rPr>
            </w:pPr>
            <w:r>
              <w:rPr>
                <w:sz w:val="22"/>
              </w:rPr>
              <w:t xml:space="preserve">     </w:t>
            </w:r>
            <w:r>
              <w:rPr>
                <w:sz w:val="22"/>
                <w:u w:val="single"/>
              </w:rPr>
              <w:t>1996</w:t>
            </w:r>
            <w:r>
              <w:rPr>
                <w:rFonts w:hint="eastAsia"/>
                <w:sz w:val="22"/>
                <w:u w:val="single"/>
              </w:rPr>
              <w:t>年</w:t>
            </w:r>
          </w:p>
        </w:tc>
        <w:tc>
          <w:tcPr>
            <w:tcW w:w="1513" w:type="dxa"/>
            <w:gridSpan w:val="2"/>
          </w:tcPr>
          <w:p w:rsidR="00000000" w:rsidRDefault="00954A93">
            <w:pPr>
              <w:tabs>
                <w:tab w:val="left" w:pos="567"/>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u w:val="single"/>
              </w:rPr>
              <w:t>2003</w:t>
            </w:r>
            <w:r>
              <w:rPr>
                <w:rFonts w:hint="eastAsia"/>
                <w:sz w:val="22"/>
                <w:u w:val="single"/>
              </w:rPr>
              <w:t>年</w:t>
            </w:r>
          </w:p>
          <w:p w:rsidR="00000000" w:rsidRDefault="00954A93">
            <w:pPr>
              <w:tabs>
                <w:tab w:val="left" w:pos="567"/>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c>
          <w:tcPr>
            <w:tcW w:w="1513" w:type="dxa"/>
            <w:gridSpan w:val="2"/>
          </w:tcPr>
          <w:p w:rsidR="00000000" w:rsidRDefault="00954A93">
            <w:pPr>
              <w:tabs>
                <w:tab w:val="left" w:pos="567"/>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u w:val="single"/>
              </w:rPr>
              <w:t>2004</w:t>
            </w:r>
            <w:r>
              <w:rPr>
                <w:rFonts w:hint="eastAsia"/>
                <w:sz w:val="22"/>
                <w:u w:val="single"/>
              </w:rPr>
              <w:t>年</w:t>
            </w:r>
          </w:p>
          <w:p w:rsidR="00000000" w:rsidRDefault="00954A93">
            <w:pPr>
              <w:tabs>
                <w:tab w:val="left" w:pos="567"/>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r>
      <w:tr w:rsidR="00000000">
        <w:tblPrEx>
          <w:tblCellMar>
            <w:top w:w="0" w:type="dxa"/>
            <w:bottom w:w="0" w:type="dxa"/>
          </w:tblCellMar>
        </w:tblPrEx>
        <w:trPr>
          <w:trHeight w:val="441"/>
        </w:trPr>
        <w:tc>
          <w:tcPr>
            <w:tcW w:w="1436" w:type="dxa"/>
            <w:vAlign w:val="center"/>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88" w:lineRule="auto"/>
              <w:rPr>
                <w:sz w:val="22"/>
              </w:rPr>
            </w:pPr>
          </w:p>
        </w:tc>
        <w:tc>
          <w:tcPr>
            <w:tcW w:w="756"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z w:val="22"/>
              </w:rPr>
            </w:pPr>
            <w:r>
              <w:rPr>
                <w:rFonts w:hint="eastAsia"/>
                <w:sz w:val="22"/>
              </w:rPr>
              <w:t>男</w:t>
            </w:r>
          </w:p>
        </w:tc>
        <w:tc>
          <w:tcPr>
            <w:tcW w:w="756"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z w:val="22"/>
              </w:rPr>
            </w:pPr>
            <w:r>
              <w:rPr>
                <w:rFonts w:hint="eastAsia"/>
                <w:sz w:val="22"/>
              </w:rPr>
              <w:t>女</w:t>
            </w:r>
          </w:p>
        </w:tc>
        <w:tc>
          <w:tcPr>
            <w:tcW w:w="757"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z w:val="22"/>
              </w:rPr>
            </w:pPr>
            <w:r>
              <w:rPr>
                <w:rFonts w:hint="eastAsia"/>
                <w:sz w:val="22"/>
              </w:rPr>
              <w:t>男</w:t>
            </w:r>
          </w:p>
        </w:tc>
        <w:tc>
          <w:tcPr>
            <w:tcW w:w="756"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sz w:val="22"/>
              </w:rPr>
            </w:pPr>
            <w:r>
              <w:rPr>
                <w:rFonts w:hint="eastAsia"/>
                <w:sz w:val="22"/>
              </w:rPr>
              <w:t>女</w:t>
            </w:r>
          </w:p>
        </w:tc>
        <w:tc>
          <w:tcPr>
            <w:tcW w:w="757"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rFonts w:hint="eastAsia"/>
                <w:sz w:val="22"/>
              </w:rPr>
            </w:pPr>
            <w:r>
              <w:rPr>
                <w:rFonts w:hint="eastAsia"/>
                <w:sz w:val="22"/>
              </w:rPr>
              <w:t>男</w:t>
            </w:r>
          </w:p>
        </w:tc>
        <w:tc>
          <w:tcPr>
            <w:tcW w:w="756" w:type="dxa"/>
            <w:vAlign w:val="center"/>
          </w:tcPr>
          <w:p w:rsidR="00000000" w:rsidRDefault="00954A93">
            <w:pPr>
              <w:tabs>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rFonts w:hint="eastAsia"/>
                <w:sz w:val="22"/>
              </w:rPr>
            </w:pPr>
            <w:r>
              <w:rPr>
                <w:rFonts w:hint="eastAsia"/>
                <w:sz w:val="22"/>
              </w:rPr>
              <w:t>女</w:t>
            </w:r>
          </w:p>
        </w:tc>
        <w:tc>
          <w:tcPr>
            <w:tcW w:w="756"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rFonts w:hint="eastAsia"/>
                <w:sz w:val="22"/>
              </w:rPr>
            </w:pPr>
            <w:r>
              <w:rPr>
                <w:rFonts w:hint="eastAsia"/>
                <w:sz w:val="22"/>
              </w:rPr>
              <w:t>男</w:t>
            </w:r>
          </w:p>
        </w:tc>
        <w:tc>
          <w:tcPr>
            <w:tcW w:w="757" w:type="dxa"/>
            <w:vAlign w:val="center"/>
          </w:tcPr>
          <w:p w:rsidR="00000000" w:rsidRDefault="00954A93">
            <w:pPr>
              <w:tabs>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rFonts w:hint="eastAsia"/>
                <w:sz w:val="22"/>
              </w:rPr>
            </w:pPr>
            <w:r>
              <w:rPr>
                <w:rFonts w:hint="eastAsia"/>
                <w:sz w:val="22"/>
              </w:rPr>
              <w:t>女</w:t>
            </w:r>
          </w:p>
        </w:tc>
        <w:tc>
          <w:tcPr>
            <w:tcW w:w="756"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rFonts w:hint="eastAsia"/>
                <w:sz w:val="22"/>
              </w:rPr>
            </w:pPr>
            <w:r>
              <w:rPr>
                <w:rFonts w:hint="eastAsia"/>
                <w:sz w:val="22"/>
              </w:rPr>
              <w:t>男</w:t>
            </w:r>
          </w:p>
        </w:tc>
        <w:tc>
          <w:tcPr>
            <w:tcW w:w="757" w:type="dxa"/>
            <w:vAlign w:val="center"/>
          </w:tcPr>
          <w:p w:rsidR="00000000" w:rsidRDefault="00954A93">
            <w:pPr>
              <w:tabs>
                <w:tab w:val="center" w:pos="369"/>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jc w:val="center"/>
              <w:rPr>
                <w:rFonts w:hint="eastAsia"/>
                <w:sz w:val="22"/>
              </w:rPr>
            </w:pPr>
            <w:r>
              <w:rPr>
                <w:rFonts w:hint="eastAsia"/>
                <w:sz w:val="22"/>
              </w:rPr>
              <w:t>女</w:t>
            </w:r>
          </w:p>
        </w:tc>
      </w:tr>
      <w:tr w:rsidR="00000000">
        <w:tblPrEx>
          <w:tblCellMar>
            <w:top w:w="0" w:type="dxa"/>
            <w:bottom w:w="0" w:type="dxa"/>
          </w:tblCellMar>
        </w:tblPrEx>
        <w:trPr>
          <w:trHeight w:val="745"/>
        </w:trPr>
        <w:tc>
          <w:tcPr>
            <w:tcW w:w="1436" w:type="dxa"/>
            <w:vAlign w:val="center"/>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rFonts w:hint="eastAsia"/>
                <w:sz w:val="22"/>
              </w:rPr>
              <w:t>从未入学</w:t>
            </w:r>
            <w:r>
              <w:rPr>
                <w:sz w:val="22"/>
              </w:rPr>
              <w:t>/</w:t>
            </w:r>
          </w:p>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rFonts w:hint="eastAsia"/>
                <w:sz w:val="22"/>
              </w:rPr>
              <w:t>幼稚园</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7.0</w:t>
            </w:r>
          </w:p>
        </w:tc>
        <w:tc>
          <w:tcPr>
            <w:tcW w:w="756" w:type="dxa"/>
            <w:vAlign w:val="center"/>
          </w:tcPr>
          <w:p w:rsidR="00000000" w:rsidRDefault="00954A93">
            <w:pPr>
              <w:tabs>
                <w:tab w:val="decimal" w:pos="420"/>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21.6</w:t>
            </w:r>
          </w:p>
        </w:tc>
        <w:tc>
          <w:tcPr>
            <w:tcW w:w="757" w:type="dxa"/>
            <w:vAlign w:val="center"/>
          </w:tcPr>
          <w:p w:rsidR="00000000" w:rsidRDefault="00954A93">
            <w:pPr>
              <w:tabs>
                <w:tab w:val="decimal" w:pos="38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7.1</w:t>
            </w:r>
          </w:p>
        </w:tc>
        <w:tc>
          <w:tcPr>
            <w:tcW w:w="756" w:type="dxa"/>
            <w:vAlign w:val="center"/>
          </w:tcPr>
          <w:p w:rsidR="00000000" w:rsidRDefault="00954A93">
            <w:pPr>
              <w:tabs>
                <w:tab w:val="decimal" w:pos="34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18.5</w:t>
            </w:r>
          </w:p>
        </w:tc>
        <w:tc>
          <w:tcPr>
            <w:tcW w:w="757"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5.1</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13.8</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3.4</w:t>
            </w:r>
          </w:p>
        </w:tc>
        <w:tc>
          <w:tcPr>
            <w:tcW w:w="757"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10.2</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3.3</w:t>
            </w:r>
          </w:p>
        </w:tc>
        <w:tc>
          <w:tcPr>
            <w:tcW w:w="757" w:type="dxa"/>
            <w:vAlign w:val="center"/>
          </w:tcPr>
          <w:p w:rsidR="00000000" w:rsidRDefault="00954A93">
            <w:pPr>
              <w:tabs>
                <w:tab w:val="decimal" w:pos="341"/>
                <w:tab w:val="center" w:pos="369"/>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w:t>
            </w:r>
            <w:r>
              <w:rPr>
                <w:sz w:val="22"/>
              </w:rPr>
              <w:t>0</w:t>
            </w:r>
          </w:p>
        </w:tc>
      </w:tr>
      <w:tr w:rsidR="00000000">
        <w:tblPrEx>
          <w:tblCellMar>
            <w:top w:w="0" w:type="dxa"/>
            <w:bottom w:w="0" w:type="dxa"/>
          </w:tblCellMar>
        </w:tblPrEx>
        <w:trPr>
          <w:trHeight w:val="441"/>
        </w:trPr>
        <w:tc>
          <w:tcPr>
            <w:tcW w:w="1436" w:type="dxa"/>
            <w:vAlign w:val="center"/>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rFonts w:hint="eastAsia"/>
                <w:sz w:val="22"/>
              </w:rPr>
              <w:t>小学</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30.8</w:t>
            </w:r>
          </w:p>
        </w:tc>
        <w:tc>
          <w:tcPr>
            <w:tcW w:w="756" w:type="dxa"/>
            <w:vAlign w:val="center"/>
          </w:tcPr>
          <w:p w:rsidR="00000000" w:rsidRDefault="00954A93">
            <w:pPr>
              <w:tabs>
                <w:tab w:val="decimal" w:pos="420"/>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27.7</w:t>
            </w:r>
          </w:p>
        </w:tc>
        <w:tc>
          <w:tcPr>
            <w:tcW w:w="757" w:type="dxa"/>
            <w:vAlign w:val="center"/>
          </w:tcPr>
          <w:p w:rsidR="00000000" w:rsidRDefault="00954A93">
            <w:pPr>
              <w:tabs>
                <w:tab w:val="decimal" w:pos="38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26.1</w:t>
            </w:r>
          </w:p>
        </w:tc>
        <w:tc>
          <w:tcPr>
            <w:tcW w:w="756" w:type="dxa"/>
            <w:vAlign w:val="center"/>
          </w:tcPr>
          <w:p w:rsidR="00000000" w:rsidRDefault="00954A93">
            <w:pPr>
              <w:tabs>
                <w:tab w:val="decimal" w:pos="34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24.3</w:t>
            </w:r>
          </w:p>
        </w:tc>
        <w:tc>
          <w:tcPr>
            <w:tcW w:w="757"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22.7</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22.6</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19.8</w:t>
            </w:r>
          </w:p>
        </w:tc>
        <w:tc>
          <w:tcPr>
            <w:tcW w:w="757"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20.9</w:t>
            </w:r>
          </w:p>
        </w:tc>
        <w:tc>
          <w:tcPr>
            <w:tcW w:w="756" w:type="dxa"/>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19.2</w:t>
            </w:r>
          </w:p>
        </w:tc>
        <w:tc>
          <w:tcPr>
            <w:tcW w:w="757" w:type="dxa"/>
            <w:vAlign w:val="center"/>
          </w:tcPr>
          <w:p w:rsidR="00000000" w:rsidRDefault="00954A93">
            <w:pPr>
              <w:tabs>
                <w:tab w:val="decimal" w:pos="341"/>
                <w:tab w:val="center" w:pos="369"/>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20.2</w:t>
            </w:r>
          </w:p>
        </w:tc>
      </w:tr>
      <w:tr w:rsidR="00000000">
        <w:tblPrEx>
          <w:tblCellMar>
            <w:top w:w="0" w:type="dxa"/>
            <w:bottom w:w="0" w:type="dxa"/>
          </w:tblCellMar>
        </w:tblPrEx>
        <w:tc>
          <w:tcPr>
            <w:tcW w:w="1436" w:type="dxa"/>
            <w:vAlign w:val="center"/>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rFonts w:hint="eastAsia"/>
                <w:sz w:val="22"/>
              </w:rPr>
              <w:t>中学或以上</w:t>
            </w:r>
          </w:p>
        </w:tc>
        <w:tc>
          <w:tcPr>
            <w:tcW w:w="756" w:type="dxa"/>
            <w:tcBorders>
              <w:bottom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62.2</w:t>
            </w:r>
          </w:p>
        </w:tc>
        <w:tc>
          <w:tcPr>
            <w:tcW w:w="756" w:type="dxa"/>
            <w:tcBorders>
              <w:bottom w:val="single" w:sz="4" w:space="0" w:color="auto"/>
            </w:tcBorders>
            <w:vAlign w:val="center"/>
          </w:tcPr>
          <w:p w:rsidR="00000000" w:rsidRDefault="00954A93">
            <w:pPr>
              <w:tabs>
                <w:tab w:val="decimal" w:pos="420"/>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50.7</w:t>
            </w:r>
          </w:p>
        </w:tc>
        <w:tc>
          <w:tcPr>
            <w:tcW w:w="757" w:type="dxa"/>
            <w:tcBorders>
              <w:bottom w:val="single" w:sz="4" w:space="0" w:color="auto"/>
            </w:tcBorders>
            <w:vAlign w:val="center"/>
          </w:tcPr>
          <w:p w:rsidR="00000000" w:rsidRDefault="00954A93">
            <w:pPr>
              <w:tabs>
                <w:tab w:val="decimal" w:pos="38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66.8</w:t>
            </w:r>
          </w:p>
        </w:tc>
        <w:tc>
          <w:tcPr>
            <w:tcW w:w="756" w:type="dxa"/>
            <w:tcBorders>
              <w:bottom w:val="single" w:sz="4" w:space="0" w:color="auto"/>
            </w:tcBorders>
            <w:vAlign w:val="center"/>
          </w:tcPr>
          <w:p w:rsidR="00000000" w:rsidRDefault="00954A93">
            <w:pPr>
              <w:tabs>
                <w:tab w:val="decimal" w:pos="34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57.2</w:t>
            </w:r>
          </w:p>
        </w:tc>
        <w:tc>
          <w:tcPr>
            <w:tcW w:w="757" w:type="dxa"/>
            <w:tcBorders>
              <w:bottom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72.2</w:t>
            </w:r>
          </w:p>
        </w:tc>
        <w:tc>
          <w:tcPr>
            <w:tcW w:w="756" w:type="dxa"/>
            <w:tcBorders>
              <w:bottom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63.6</w:t>
            </w:r>
          </w:p>
        </w:tc>
        <w:tc>
          <w:tcPr>
            <w:tcW w:w="756" w:type="dxa"/>
            <w:tcBorders>
              <w:bottom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76.8</w:t>
            </w:r>
          </w:p>
        </w:tc>
        <w:tc>
          <w:tcPr>
            <w:tcW w:w="757" w:type="dxa"/>
            <w:tcBorders>
              <w:bottom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68.9</w:t>
            </w:r>
          </w:p>
        </w:tc>
        <w:tc>
          <w:tcPr>
            <w:tcW w:w="756" w:type="dxa"/>
            <w:tcBorders>
              <w:bottom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77.5</w:t>
            </w:r>
          </w:p>
        </w:tc>
        <w:tc>
          <w:tcPr>
            <w:tcW w:w="757" w:type="dxa"/>
            <w:tcBorders>
              <w:bottom w:val="single" w:sz="4" w:space="0" w:color="auto"/>
            </w:tcBorders>
            <w:vAlign w:val="center"/>
          </w:tcPr>
          <w:p w:rsidR="00000000" w:rsidRDefault="00954A93">
            <w:pPr>
              <w:tabs>
                <w:tab w:val="decimal" w:pos="341"/>
                <w:tab w:val="center" w:pos="369"/>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69.8</w:t>
            </w:r>
          </w:p>
        </w:tc>
      </w:tr>
      <w:tr w:rsidR="00000000">
        <w:tblPrEx>
          <w:tblCellMar>
            <w:top w:w="0" w:type="dxa"/>
            <w:bottom w:w="0" w:type="dxa"/>
          </w:tblCellMar>
        </w:tblPrEx>
        <w:trPr>
          <w:trHeight w:val="395"/>
        </w:trPr>
        <w:tc>
          <w:tcPr>
            <w:tcW w:w="1436" w:type="dxa"/>
            <w:vAlign w:val="center"/>
          </w:tcPr>
          <w:p w:rsidR="00000000" w:rsidRDefault="00954A93">
            <w:pPr>
              <w:tabs>
                <w:tab w:val="left" w:pos="567"/>
                <w:tab w:val="left" w:pos="1134"/>
                <w:tab w:val="left" w:pos="2268"/>
                <w:tab w:val="left" w:pos="2835"/>
                <w:tab w:val="left" w:pos="3402"/>
                <w:tab w:val="left" w:pos="3969"/>
                <w:tab w:val="left" w:pos="4536"/>
                <w:tab w:val="left" w:pos="5103"/>
                <w:tab w:val="left" w:pos="5670"/>
                <w:tab w:val="left" w:pos="6237"/>
                <w:tab w:val="left" w:pos="6804"/>
              </w:tabs>
              <w:spacing w:line="288" w:lineRule="auto"/>
              <w:jc w:val="center"/>
              <w:rPr>
                <w:sz w:val="22"/>
              </w:rPr>
            </w:pPr>
          </w:p>
        </w:tc>
        <w:tc>
          <w:tcPr>
            <w:tcW w:w="756" w:type="dxa"/>
            <w:tcBorders>
              <w:top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c>
          <w:tcPr>
            <w:tcW w:w="756" w:type="dxa"/>
            <w:tcBorders>
              <w:top w:val="single" w:sz="4" w:space="0" w:color="auto"/>
            </w:tcBorders>
            <w:vAlign w:val="center"/>
          </w:tcPr>
          <w:p w:rsidR="00000000" w:rsidRDefault="00954A93">
            <w:pPr>
              <w:tabs>
                <w:tab w:val="decimal" w:pos="420"/>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100.0</w:t>
            </w:r>
          </w:p>
        </w:tc>
        <w:tc>
          <w:tcPr>
            <w:tcW w:w="757" w:type="dxa"/>
            <w:tcBorders>
              <w:top w:val="single" w:sz="4" w:space="0" w:color="auto"/>
            </w:tcBorders>
            <w:vAlign w:val="center"/>
          </w:tcPr>
          <w:p w:rsidR="00000000" w:rsidRDefault="00954A93">
            <w:pPr>
              <w:tabs>
                <w:tab w:val="decimal" w:pos="384"/>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100.0</w:t>
            </w:r>
          </w:p>
        </w:tc>
        <w:tc>
          <w:tcPr>
            <w:tcW w:w="756" w:type="dxa"/>
            <w:tcBorders>
              <w:top w:val="single" w:sz="4" w:space="0" w:color="auto"/>
            </w:tcBorders>
            <w:vAlign w:val="center"/>
          </w:tcPr>
          <w:p w:rsidR="00000000" w:rsidRDefault="00954A93">
            <w:pPr>
              <w:tabs>
                <w:tab w:val="decimal" w:pos="34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sz w:val="22"/>
              </w:rPr>
            </w:pPr>
            <w:r>
              <w:rPr>
                <w:sz w:val="22"/>
              </w:rPr>
              <w:tab/>
              <w:t>100.0</w:t>
            </w:r>
          </w:p>
        </w:tc>
        <w:tc>
          <w:tcPr>
            <w:tcW w:w="757" w:type="dxa"/>
            <w:tcBorders>
              <w:top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c>
          <w:tcPr>
            <w:tcW w:w="756" w:type="dxa"/>
            <w:tcBorders>
              <w:top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c>
          <w:tcPr>
            <w:tcW w:w="756" w:type="dxa"/>
            <w:tcBorders>
              <w:top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c>
          <w:tcPr>
            <w:tcW w:w="757" w:type="dxa"/>
            <w:tcBorders>
              <w:top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c>
          <w:tcPr>
            <w:tcW w:w="756" w:type="dxa"/>
            <w:tcBorders>
              <w:top w:val="single" w:sz="4" w:space="0" w:color="auto"/>
            </w:tcBorders>
            <w:vAlign w:val="center"/>
          </w:tcPr>
          <w:p w:rsidR="00000000" w:rsidRDefault="00954A93">
            <w:pPr>
              <w:tabs>
                <w:tab w:val="decimal" w:pos="341"/>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c>
          <w:tcPr>
            <w:tcW w:w="757" w:type="dxa"/>
            <w:tcBorders>
              <w:top w:val="single" w:sz="4" w:space="0" w:color="auto"/>
            </w:tcBorders>
            <w:vAlign w:val="center"/>
          </w:tcPr>
          <w:p w:rsidR="00000000" w:rsidRDefault="00954A93">
            <w:pPr>
              <w:tabs>
                <w:tab w:val="decimal" w:pos="341"/>
                <w:tab w:val="center" w:pos="369"/>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88" w:lineRule="auto"/>
              <w:rPr>
                <w:rFonts w:hint="eastAsia"/>
                <w:sz w:val="22"/>
              </w:rPr>
            </w:pPr>
            <w:r>
              <w:rPr>
                <w:sz w:val="22"/>
              </w:rPr>
              <w:tab/>
              <w:t>100.0</w:t>
            </w:r>
          </w:p>
        </w:tc>
      </w:tr>
    </w:tbl>
    <w:p w:rsidR="00000000" w:rsidRDefault="00954A93">
      <w:pPr>
        <w:tabs>
          <w:tab w:val="left" w:pos="540"/>
          <w:tab w:val="left" w:pos="3060"/>
          <w:tab w:val="left" w:pos="3240"/>
        </w:tabs>
        <w:spacing w:after="120" w:line="240" w:lineRule="auto"/>
        <w:rPr>
          <w:rFonts w:hint="eastAsia"/>
        </w:rPr>
      </w:pPr>
    </w:p>
    <w:p w:rsidR="00000000" w:rsidRDefault="00954A93">
      <w:pPr>
        <w:pStyle w:val="Heading4"/>
        <w:spacing w:after="0"/>
        <w:rPr>
          <w:rFonts w:hint="eastAsia"/>
          <w:u w:val="none"/>
        </w:rPr>
      </w:pPr>
      <w:r>
        <w:rPr>
          <w:rFonts w:eastAsia="華康中黑體"/>
          <w:b/>
          <w:u w:val="none"/>
        </w:rPr>
        <w:t>(d)</w:t>
      </w:r>
      <w:r>
        <w:rPr>
          <w:rFonts w:eastAsia="華康中黑體"/>
          <w:b/>
          <w:u w:val="none"/>
        </w:rPr>
        <w:tab/>
      </w:r>
      <w:r>
        <w:rPr>
          <w:rFonts w:eastAsia="華康中黑體" w:hint="eastAsia"/>
          <w:bCs/>
        </w:rPr>
        <w:t>有读写能力的人口比率</w:t>
      </w:r>
      <w:r>
        <w:rPr>
          <w:rStyle w:val="FootnoteReference"/>
          <w:rFonts w:eastAsia="華康中黑體"/>
          <w:b/>
          <w:u w:val="none"/>
        </w:rPr>
        <w:footnoteReference w:customMarkFollows="1" w:id="8"/>
        <w:t>3</w:t>
      </w:r>
      <w:r>
        <w:rPr>
          <w:rFonts w:eastAsia="華康中黑體" w:hint="eastAsia"/>
          <w:b/>
          <w:position w:val="8"/>
          <w:sz w:val="20"/>
          <w:u w:val="none"/>
        </w:rPr>
        <w:t>和</w:t>
      </w:r>
      <w:r>
        <w:rPr>
          <w:rStyle w:val="FootnoteReference"/>
          <w:rFonts w:eastAsia="華康中黑體"/>
          <w:b/>
          <w:u w:val="none"/>
        </w:rPr>
        <w:t>6</w:t>
      </w:r>
      <w:r>
        <w:rPr>
          <w:rStyle w:val="FootnoteReference"/>
          <w:rFonts w:eastAsia="華康中黑體"/>
          <w:b/>
          <w:u w:val="none"/>
          <w:vertAlign w:val="baseline"/>
        </w:rPr>
        <w:t>：</w:t>
      </w:r>
      <w:r>
        <w:rPr>
          <w:u w:val="none"/>
        </w:rPr>
        <w:tab/>
      </w:r>
    </w:p>
    <w:p w:rsidR="00000000" w:rsidRDefault="00954A93">
      <w:pPr>
        <w:rPr>
          <w:rFonts w:hint="eastAsia"/>
        </w:rPr>
      </w:pPr>
      <w:r>
        <w:rPr>
          <w:rFonts w:hint="eastAsia"/>
        </w:rPr>
        <w:tab/>
      </w:r>
      <w:r>
        <w:rPr>
          <w:rFonts w:hint="eastAsia"/>
        </w:rPr>
        <w:tab/>
      </w:r>
      <w:r>
        <w:t>1984</w:t>
      </w:r>
      <w:r>
        <w:rPr>
          <w:rFonts w:hint="eastAsia"/>
        </w:rPr>
        <w:t>年</w:t>
      </w:r>
      <w:r>
        <w:tab/>
      </w:r>
      <w:r>
        <w:rPr>
          <w:rFonts w:hint="eastAsia"/>
        </w:rPr>
        <w:t>：</w:t>
      </w:r>
      <w:r>
        <w:tab/>
        <w:t>85.7%</w:t>
      </w:r>
      <w:r>
        <w:rPr>
          <w:rFonts w:hint="eastAsia"/>
        </w:rPr>
        <w:t>；</w:t>
      </w:r>
      <w:r>
        <w:t>1996</w:t>
      </w:r>
      <w:r>
        <w:rPr>
          <w:rFonts w:hint="eastAsia"/>
        </w:rPr>
        <w:t>年：</w:t>
      </w:r>
      <w:r>
        <w:t>90.4%</w:t>
      </w:r>
      <w:r>
        <w:rPr>
          <w:rFonts w:hint="eastAsia"/>
        </w:rPr>
        <w:t>；</w:t>
      </w:r>
    </w:p>
    <w:p w:rsidR="00000000" w:rsidRDefault="00954A93">
      <w:pPr>
        <w:rPr>
          <w:rFonts w:hint="eastAsia"/>
        </w:rPr>
      </w:pPr>
      <w:r>
        <w:rPr>
          <w:rFonts w:hint="eastAsia"/>
        </w:rPr>
        <w:tab/>
      </w:r>
      <w:r>
        <w:rPr>
          <w:rFonts w:hint="eastAsia"/>
        </w:rPr>
        <w:tab/>
      </w:r>
      <w:r>
        <w:t>2000</w:t>
      </w:r>
      <w:r>
        <w:rPr>
          <w:rFonts w:hint="eastAsia"/>
        </w:rPr>
        <w:t>年：</w:t>
      </w:r>
      <w:r>
        <w:tab/>
        <w:t>92.4%</w:t>
      </w:r>
      <w:r>
        <w:rPr>
          <w:rFonts w:hint="eastAsia"/>
        </w:rPr>
        <w:t>；</w:t>
      </w:r>
      <w:r>
        <w:t>2001</w:t>
      </w:r>
      <w:r>
        <w:rPr>
          <w:rFonts w:hint="eastAsia"/>
        </w:rPr>
        <w:t>年：</w:t>
      </w:r>
      <w:r>
        <w:t>92.7%</w:t>
      </w:r>
      <w:r>
        <w:rPr>
          <w:rFonts w:hint="eastAsia"/>
        </w:rPr>
        <w:t>；</w:t>
      </w:r>
    </w:p>
    <w:p w:rsidR="00000000" w:rsidRDefault="00954A93">
      <w:pPr>
        <w:rPr>
          <w:rFonts w:hint="eastAsia"/>
        </w:rPr>
      </w:pPr>
      <w:r>
        <w:tab/>
      </w:r>
      <w:r>
        <w:tab/>
        <w:t>2002</w:t>
      </w:r>
      <w:r>
        <w:rPr>
          <w:rFonts w:hint="eastAsia"/>
        </w:rPr>
        <w:t>年</w:t>
      </w:r>
      <w:r>
        <w:tab/>
      </w:r>
      <w:r>
        <w:rPr>
          <w:rFonts w:hint="eastAsia"/>
        </w:rPr>
        <w:t>：</w:t>
      </w:r>
      <w:r>
        <w:tab/>
        <w:t>93.0%</w:t>
      </w:r>
      <w:r>
        <w:rPr>
          <w:rFonts w:hint="eastAsia"/>
        </w:rPr>
        <w:t>；</w:t>
      </w:r>
      <w:r>
        <w:t>2003</w:t>
      </w:r>
      <w:r>
        <w:rPr>
          <w:rFonts w:hint="eastAsia"/>
        </w:rPr>
        <w:t>年：</w:t>
      </w:r>
      <w:r>
        <w:t>93.1%</w:t>
      </w:r>
      <w:r>
        <w:rPr>
          <w:rFonts w:hint="eastAsia"/>
        </w:rPr>
        <w:t>；</w:t>
      </w:r>
    </w:p>
    <w:p w:rsidR="00000000" w:rsidRDefault="00954A93">
      <w:pPr>
        <w:spacing w:after="120"/>
        <w:rPr>
          <w:rFonts w:hint="eastAsia"/>
        </w:rPr>
      </w:pPr>
      <w:r>
        <w:tab/>
      </w:r>
      <w:r>
        <w:tab/>
        <w:t>2004</w:t>
      </w:r>
      <w:r>
        <w:rPr>
          <w:rFonts w:hint="eastAsia"/>
        </w:rPr>
        <w:t>年</w:t>
      </w:r>
      <w:r>
        <w:tab/>
      </w:r>
      <w:r>
        <w:rPr>
          <w:rFonts w:hint="eastAsia"/>
        </w:rPr>
        <w:t>：</w:t>
      </w:r>
      <w:r>
        <w:tab/>
        <w:t>93.2%</w:t>
      </w:r>
    </w:p>
    <w:p w:rsidR="00000000" w:rsidRDefault="00954A93">
      <w:pPr>
        <w:pStyle w:val="Heading4"/>
      </w:pPr>
      <w:r>
        <w:rPr>
          <w:u w:val="none"/>
        </w:rPr>
        <w:t>(</w:t>
      </w:r>
      <w:r>
        <w:rPr>
          <w:b/>
          <w:u w:val="none"/>
        </w:rPr>
        <w:t>e</w:t>
      </w:r>
      <w:r>
        <w:rPr>
          <w:u w:val="none"/>
        </w:rPr>
        <w:t>)</w:t>
      </w:r>
      <w:r>
        <w:rPr>
          <w:u w:val="none"/>
        </w:rPr>
        <w:tab/>
      </w:r>
      <w:r>
        <w:rPr>
          <w:rFonts w:hint="eastAsia"/>
        </w:rPr>
        <w:t>按常用语言</w:t>
      </w:r>
      <w:r>
        <w:rPr>
          <w:rFonts w:hint="eastAsia"/>
        </w:rPr>
        <w:t>/</w:t>
      </w:r>
      <w:r>
        <w:rPr>
          <w:rFonts w:hint="eastAsia"/>
        </w:rPr>
        <w:t>方言划分的</w:t>
      </w:r>
      <w:r>
        <w:rPr>
          <w:bCs/>
        </w:rPr>
        <w:t>5</w:t>
      </w:r>
      <w:r>
        <w:rPr>
          <w:rFonts w:cs="SimSun" w:hint="eastAsia"/>
        </w:rPr>
        <w:t>岁</w:t>
      </w:r>
      <w:r>
        <w:rPr>
          <w:rFonts w:cs="MS Mincho" w:hint="eastAsia"/>
        </w:rPr>
        <w:t>及以上人口</w:t>
      </w:r>
      <w:r>
        <w:t>(</w:t>
      </w:r>
      <w:r>
        <w:rPr>
          <w:rFonts w:hint="eastAsia"/>
        </w:rPr>
        <w:t>不包括喑哑人士</w:t>
      </w:r>
      <w:r>
        <w:t>)</w:t>
      </w:r>
      <w:r>
        <w:rPr>
          <w:rFonts w:hint="eastAsia"/>
        </w:rPr>
        <w:t>百分率</w:t>
      </w:r>
    </w:p>
    <w:tbl>
      <w:tblPr>
        <w:tblW w:w="0" w:type="auto"/>
        <w:tblInd w:w="596" w:type="dxa"/>
        <w:tblLayout w:type="fixed"/>
        <w:tblCellMar>
          <w:left w:w="56" w:type="dxa"/>
          <w:right w:w="56" w:type="dxa"/>
        </w:tblCellMar>
        <w:tblLook w:val="0000" w:firstRow="0" w:lastRow="0" w:firstColumn="0" w:lastColumn="0" w:noHBand="0" w:noVBand="0"/>
      </w:tblPr>
      <w:tblGrid>
        <w:gridCol w:w="2460"/>
        <w:gridCol w:w="2000"/>
        <w:gridCol w:w="2000"/>
        <w:gridCol w:w="2000"/>
      </w:tblGrid>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z w:val="22"/>
              </w:rPr>
            </w:pPr>
          </w:p>
        </w:tc>
        <w:tc>
          <w:tcPr>
            <w:tcW w:w="600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u w:val="single"/>
              </w:rPr>
            </w:pPr>
            <w:r>
              <w:rPr>
                <w:rFonts w:hint="eastAsia"/>
                <w:sz w:val="22"/>
                <w:u w:val="single"/>
              </w:rPr>
              <w:t>百分率</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u w:val="single"/>
              </w:rPr>
              <w:t>常用语言</w:t>
            </w:r>
            <w:r>
              <w:rPr>
                <w:sz w:val="22"/>
                <w:u w:val="single"/>
              </w:rPr>
              <w:t>/</w:t>
            </w:r>
            <w:r>
              <w:rPr>
                <w:rFonts w:hint="eastAsia"/>
                <w:sz w:val="22"/>
                <w:u w:val="single"/>
              </w:rPr>
              <w:t>方言</w:t>
            </w:r>
          </w:p>
        </w:tc>
        <w:tc>
          <w:tcPr>
            <w:tcW w:w="20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u w:val="single"/>
              </w:rPr>
            </w:pPr>
            <w:r>
              <w:rPr>
                <w:sz w:val="22"/>
                <w:u w:val="single"/>
              </w:rPr>
              <w:t>1991</w:t>
            </w:r>
            <w:r>
              <w:rPr>
                <w:rFonts w:hint="eastAsia"/>
                <w:sz w:val="22"/>
                <w:u w:val="single"/>
              </w:rPr>
              <w:t>年</w:t>
            </w:r>
          </w:p>
        </w:tc>
        <w:tc>
          <w:tcPr>
            <w:tcW w:w="2000" w:type="dxa"/>
          </w:tcPr>
          <w:p w:rsidR="00000000" w:rsidRDefault="00954A93">
            <w:pPr>
              <w:tabs>
                <w:tab w:val="left" w:pos="567"/>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jc w:val="center"/>
              <w:rPr>
                <w:sz w:val="22"/>
                <w:u w:val="single"/>
              </w:rPr>
            </w:pPr>
            <w:r>
              <w:rPr>
                <w:sz w:val="22"/>
                <w:u w:val="single"/>
              </w:rPr>
              <w:t>1996</w:t>
            </w:r>
            <w:r>
              <w:rPr>
                <w:rFonts w:hint="eastAsia"/>
                <w:sz w:val="22"/>
                <w:u w:val="single"/>
              </w:rPr>
              <w:t>年</w:t>
            </w:r>
          </w:p>
        </w:tc>
        <w:tc>
          <w:tcPr>
            <w:tcW w:w="20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60" w:line="312" w:lineRule="auto"/>
              <w:jc w:val="center"/>
              <w:rPr>
                <w:sz w:val="22"/>
                <w:u w:val="single"/>
              </w:rPr>
            </w:pPr>
            <w:r>
              <w:rPr>
                <w:sz w:val="22"/>
                <w:u w:val="single"/>
              </w:rPr>
              <w:t>2001</w:t>
            </w:r>
            <w:r>
              <w:rPr>
                <w:rFonts w:hint="eastAsia"/>
                <w:sz w:val="22"/>
                <w:u w:val="single"/>
              </w:rPr>
              <w:t>年</w:t>
            </w:r>
            <w:r>
              <w:rPr>
                <w:rStyle w:val="FootnoteReference"/>
                <w:sz w:val="22"/>
              </w:rPr>
              <w:footnoteReference w:customMarkFollows="1" w:id="9"/>
              <w:t>4</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rPr>
              <w:t>广东话</w:t>
            </w:r>
          </w:p>
        </w:tc>
        <w:tc>
          <w:tcPr>
            <w:tcW w:w="2000" w:type="dxa"/>
          </w:tcPr>
          <w:p w:rsidR="00000000" w:rsidRDefault="00954A93">
            <w:pPr>
              <w:tabs>
                <w:tab w:val="decimal" w:pos="994"/>
                <w:tab w:val="left" w:pos="3969"/>
                <w:tab w:val="left" w:pos="6237"/>
                <w:tab w:val="left" w:pos="6804"/>
              </w:tabs>
              <w:spacing w:line="312" w:lineRule="auto"/>
              <w:rPr>
                <w:sz w:val="22"/>
              </w:rPr>
            </w:pPr>
            <w:r>
              <w:rPr>
                <w:sz w:val="22"/>
              </w:rPr>
              <w:tab/>
              <w:t>88.7</w:t>
            </w:r>
          </w:p>
        </w:tc>
        <w:tc>
          <w:tcPr>
            <w:tcW w:w="2000" w:type="dxa"/>
          </w:tcPr>
          <w:p w:rsidR="00000000" w:rsidRDefault="00954A93">
            <w:pPr>
              <w:tabs>
                <w:tab w:val="decimal" w:pos="994"/>
                <w:tab w:val="left" w:pos="3969"/>
                <w:tab w:val="left" w:pos="6237"/>
                <w:tab w:val="left" w:pos="6804"/>
              </w:tabs>
              <w:spacing w:line="312" w:lineRule="auto"/>
              <w:rPr>
                <w:sz w:val="22"/>
              </w:rPr>
            </w:pPr>
            <w:r>
              <w:rPr>
                <w:sz w:val="22"/>
              </w:rPr>
              <w:tab/>
              <w:t>88.7</w:t>
            </w:r>
          </w:p>
        </w:tc>
        <w:tc>
          <w:tcPr>
            <w:tcW w:w="2000" w:type="dxa"/>
          </w:tcPr>
          <w:p w:rsidR="00000000" w:rsidRDefault="00954A93">
            <w:pPr>
              <w:tabs>
                <w:tab w:val="decimal" w:pos="984"/>
                <w:tab w:val="left" w:pos="3969"/>
                <w:tab w:val="left" w:pos="6237"/>
                <w:tab w:val="left" w:pos="6804"/>
              </w:tabs>
              <w:spacing w:line="312" w:lineRule="auto"/>
              <w:rPr>
                <w:rFonts w:hint="eastAsia"/>
                <w:sz w:val="22"/>
              </w:rPr>
            </w:pPr>
            <w:r>
              <w:rPr>
                <w:sz w:val="22"/>
              </w:rPr>
              <w:tab/>
              <w:t>89.2</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rPr>
              <w:t>普通话</w:t>
            </w:r>
          </w:p>
        </w:tc>
        <w:tc>
          <w:tcPr>
            <w:tcW w:w="2000" w:type="dxa"/>
          </w:tcPr>
          <w:p w:rsidR="00000000" w:rsidRDefault="00954A93">
            <w:pPr>
              <w:tabs>
                <w:tab w:val="decimal" w:pos="994"/>
                <w:tab w:val="left" w:pos="3969"/>
                <w:tab w:val="left" w:pos="6237"/>
                <w:tab w:val="left" w:pos="6804"/>
              </w:tabs>
              <w:spacing w:line="312" w:lineRule="auto"/>
              <w:rPr>
                <w:sz w:val="22"/>
              </w:rPr>
            </w:pPr>
            <w:r>
              <w:rPr>
                <w:sz w:val="22"/>
              </w:rPr>
              <w:tab/>
              <w:t>1.1</w:t>
            </w:r>
          </w:p>
        </w:tc>
        <w:tc>
          <w:tcPr>
            <w:tcW w:w="2000" w:type="dxa"/>
          </w:tcPr>
          <w:p w:rsidR="00000000" w:rsidRDefault="00954A93">
            <w:pPr>
              <w:tabs>
                <w:tab w:val="decimal" w:pos="994"/>
                <w:tab w:val="left" w:pos="3969"/>
                <w:tab w:val="left" w:pos="6237"/>
                <w:tab w:val="left" w:pos="6804"/>
              </w:tabs>
              <w:spacing w:line="312" w:lineRule="auto"/>
              <w:rPr>
                <w:sz w:val="22"/>
              </w:rPr>
            </w:pPr>
            <w:r>
              <w:rPr>
                <w:sz w:val="22"/>
              </w:rPr>
              <w:tab/>
              <w:t>1.1</w:t>
            </w:r>
          </w:p>
        </w:tc>
        <w:tc>
          <w:tcPr>
            <w:tcW w:w="2000" w:type="dxa"/>
          </w:tcPr>
          <w:p w:rsidR="00000000" w:rsidRDefault="00954A93">
            <w:pPr>
              <w:tabs>
                <w:tab w:val="decimal" w:pos="984"/>
                <w:tab w:val="left" w:pos="3969"/>
                <w:tab w:val="left" w:pos="6237"/>
                <w:tab w:val="left" w:pos="6804"/>
              </w:tabs>
              <w:spacing w:line="312" w:lineRule="auto"/>
              <w:rPr>
                <w:rFonts w:hint="eastAsia"/>
                <w:sz w:val="22"/>
              </w:rPr>
            </w:pPr>
            <w:r>
              <w:rPr>
                <w:sz w:val="22"/>
              </w:rPr>
              <w:tab/>
              <w:t>0.9</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rPr>
              <w:t>其他中国方言</w:t>
            </w:r>
          </w:p>
        </w:tc>
        <w:tc>
          <w:tcPr>
            <w:tcW w:w="2000" w:type="dxa"/>
            <w:tcBorders>
              <w:left w:val="nil"/>
            </w:tcBorders>
          </w:tcPr>
          <w:p w:rsidR="00000000" w:rsidRDefault="00954A93">
            <w:pPr>
              <w:tabs>
                <w:tab w:val="decimal" w:pos="994"/>
                <w:tab w:val="left" w:pos="3969"/>
                <w:tab w:val="left" w:pos="6237"/>
                <w:tab w:val="left" w:pos="6804"/>
              </w:tabs>
              <w:spacing w:line="312" w:lineRule="auto"/>
              <w:rPr>
                <w:sz w:val="22"/>
              </w:rPr>
            </w:pPr>
            <w:r>
              <w:rPr>
                <w:sz w:val="22"/>
              </w:rPr>
              <w:tab/>
              <w:t>7.1</w:t>
            </w:r>
          </w:p>
        </w:tc>
        <w:tc>
          <w:tcPr>
            <w:tcW w:w="2000" w:type="dxa"/>
          </w:tcPr>
          <w:p w:rsidR="00000000" w:rsidRDefault="00954A93">
            <w:pPr>
              <w:tabs>
                <w:tab w:val="decimal" w:pos="994"/>
                <w:tab w:val="left" w:pos="3969"/>
                <w:tab w:val="left" w:pos="6237"/>
                <w:tab w:val="left" w:pos="6804"/>
              </w:tabs>
              <w:spacing w:line="312" w:lineRule="auto"/>
              <w:rPr>
                <w:sz w:val="22"/>
              </w:rPr>
            </w:pPr>
            <w:r>
              <w:rPr>
                <w:sz w:val="22"/>
              </w:rPr>
              <w:tab/>
              <w:t>5.8</w:t>
            </w:r>
          </w:p>
        </w:tc>
        <w:tc>
          <w:tcPr>
            <w:tcW w:w="2000" w:type="dxa"/>
          </w:tcPr>
          <w:p w:rsidR="00000000" w:rsidRDefault="00954A93">
            <w:pPr>
              <w:tabs>
                <w:tab w:val="decimal" w:pos="984"/>
                <w:tab w:val="left" w:pos="3969"/>
                <w:tab w:val="left" w:pos="6237"/>
                <w:tab w:val="left" w:pos="6804"/>
              </w:tabs>
              <w:spacing w:line="312" w:lineRule="auto"/>
              <w:rPr>
                <w:rFonts w:hint="eastAsia"/>
                <w:sz w:val="22"/>
              </w:rPr>
            </w:pPr>
            <w:r>
              <w:rPr>
                <w:sz w:val="22"/>
              </w:rPr>
              <w:tab/>
              <w:t>5.5</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rPr>
              <w:t>英语</w:t>
            </w:r>
          </w:p>
        </w:tc>
        <w:tc>
          <w:tcPr>
            <w:tcW w:w="2000" w:type="dxa"/>
            <w:tcBorders>
              <w:left w:val="nil"/>
            </w:tcBorders>
          </w:tcPr>
          <w:p w:rsidR="00000000" w:rsidRDefault="00954A93">
            <w:pPr>
              <w:tabs>
                <w:tab w:val="decimal" w:pos="994"/>
                <w:tab w:val="left" w:pos="3969"/>
                <w:tab w:val="left" w:pos="6237"/>
                <w:tab w:val="left" w:pos="6804"/>
              </w:tabs>
              <w:spacing w:line="312" w:lineRule="auto"/>
              <w:rPr>
                <w:sz w:val="22"/>
              </w:rPr>
            </w:pPr>
            <w:r>
              <w:rPr>
                <w:sz w:val="22"/>
              </w:rPr>
              <w:tab/>
              <w:t>2.2</w:t>
            </w:r>
          </w:p>
        </w:tc>
        <w:tc>
          <w:tcPr>
            <w:tcW w:w="2000" w:type="dxa"/>
          </w:tcPr>
          <w:p w:rsidR="00000000" w:rsidRDefault="00954A93">
            <w:pPr>
              <w:tabs>
                <w:tab w:val="decimal" w:pos="994"/>
                <w:tab w:val="left" w:pos="3969"/>
                <w:tab w:val="left" w:pos="6237"/>
                <w:tab w:val="left" w:pos="6804"/>
              </w:tabs>
              <w:spacing w:line="312" w:lineRule="auto"/>
              <w:rPr>
                <w:sz w:val="22"/>
              </w:rPr>
            </w:pPr>
            <w:r>
              <w:rPr>
                <w:sz w:val="22"/>
              </w:rPr>
              <w:tab/>
              <w:t>3.1</w:t>
            </w:r>
          </w:p>
        </w:tc>
        <w:tc>
          <w:tcPr>
            <w:tcW w:w="2000" w:type="dxa"/>
          </w:tcPr>
          <w:p w:rsidR="00000000" w:rsidRDefault="00954A93">
            <w:pPr>
              <w:tabs>
                <w:tab w:val="decimal" w:pos="984"/>
                <w:tab w:val="left" w:pos="3969"/>
                <w:tab w:val="left" w:pos="6237"/>
                <w:tab w:val="left" w:pos="6804"/>
              </w:tabs>
              <w:spacing w:line="312" w:lineRule="auto"/>
              <w:rPr>
                <w:rFonts w:hint="eastAsia"/>
                <w:sz w:val="22"/>
              </w:rPr>
            </w:pPr>
            <w:r>
              <w:rPr>
                <w:sz w:val="22"/>
              </w:rPr>
              <w:tab/>
              <w:t>3.2</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sz w:val="22"/>
              </w:rPr>
            </w:pPr>
            <w:r>
              <w:rPr>
                <w:rFonts w:hint="eastAsia"/>
                <w:sz w:val="22"/>
              </w:rPr>
              <w:t>其他</w:t>
            </w:r>
          </w:p>
        </w:tc>
        <w:tc>
          <w:tcPr>
            <w:tcW w:w="2000" w:type="dxa"/>
            <w:tcBorders>
              <w:left w:val="nil"/>
              <w:bottom w:val="single" w:sz="4" w:space="0" w:color="auto"/>
            </w:tcBorders>
          </w:tcPr>
          <w:p w:rsidR="00000000" w:rsidRDefault="00954A93">
            <w:pPr>
              <w:tabs>
                <w:tab w:val="decimal" w:pos="994"/>
                <w:tab w:val="left" w:pos="3969"/>
                <w:tab w:val="left" w:pos="6237"/>
                <w:tab w:val="left" w:pos="6804"/>
              </w:tabs>
              <w:spacing w:line="312" w:lineRule="auto"/>
              <w:rPr>
                <w:sz w:val="22"/>
              </w:rPr>
            </w:pPr>
            <w:r>
              <w:rPr>
                <w:sz w:val="22"/>
              </w:rPr>
              <w:tab/>
              <w:t>1.0</w:t>
            </w:r>
          </w:p>
        </w:tc>
        <w:tc>
          <w:tcPr>
            <w:tcW w:w="2000" w:type="dxa"/>
            <w:tcBorders>
              <w:bottom w:val="single" w:sz="4" w:space="0" w:color="auto"/>
            </w:tcBorders>
          </w:tcPr>
          <w:p w:rsidR="00000000" w:rsidRDefault="00954A93">
            <w:pPr>
              <w:tabs>
                <w:tab w:val="decimal" w:pos="994"/>
                <w:tab w:val="left" w:pos="3969"/>
                <w:tab w:val="left" w:pos="6237"/>
                <w:tab w:val="left" w:pos="6804"/>
              </w:tabs>
              <w:spacing w:line="312" w:lineRule="auto"/>
              <w:rPr>
                <w:sz w:val="22"/>
              </w:rPr>
            </w:pPr>
            <w:r>
              <w:rPr>
                <w:sz w:val="22"/>
              </w:rPr>
              <w:tab/>
              <w:t>1.3</w:t>
            </w:r>
          </w:p>
        </w:tc>
        <w:tc>
          <w:tcPr>
            <w:tcW w:w="2000" w:type="dxa"/>
            <w:tcBorders>
              <w:bottom w:val="single" w:sz="4" w:space="0" w:color="auto"/>
            </w:tcBorders>
          </w:tcPr>
          <w:p w:rsidR="00000000" w:rsidRDefault="00954A93">
            <w:pPr>
              <w:tabs>
                <w:tab w:val="decimal" w:pos="984"/>
                <w:tab w:val="left" w:pos="3969"/>
                <w:tab w:val="left" w:pos="6237"/>
                <w:tab w:val="left" w:pos="6804"/>
              </w:tabs>
              <w:spacing w:line="312" w:lineRule="auto"/>
              <w:rPr>
                <w:rFonts w:hint="eastAsia"/>
                <w:sz w:val="22"/>
              </w:rPr>
            </w:pPr>
            <w:r>
              <w:rPr>
                <w:sz w:val="22"/>
              </w:rPr>
              <w:tab/>
              <w:t>1.2</w:t>
            </w:r>
          </w:p>
        </w:tc>
      </w:tr>
      <w:tr w:rsidR="00000000">
        <w:tblPrEx>
          <w:tblCellMar>
            <w:top w:w="0" w:type="dxa"/>
            <w:bottom w:w="0" w:type="dxa"/>
          </w:tblCellMar>
        </w:tblPrEx>
        <w:trPr>
          <w:cantSplit/>
        </w:trPr>
        <w:tc>
          <w:tcPr>
            <w:tcW w:w="24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sz w:val="22"/>
              </w:rPr>
            </w:pPr>
          </w:p>
        </w:tc>
        <w:tc>
          <w:tcPr>
            <w:tcW w:w="2000" w:type="dxa"/>
            <w:tcBorders>
              <w:top w:val="single" w:sz="4" w:space="0" w:color="auto"/>
              <w:left w:val="nil"/>
            </w:tcBorders>
          </w:tcPr>
          <w:p w:rsidR="00000000" w:rsidRDefault="00954A93">
            <w:pPr>
              <w:tabs>
                <w:tab w:val="decimal" w:pos="994"/>
                <w:tab w:val="left" w:pos="3969"/>
                <w:tab w:val="left" w:pos="6237"/>
                <w:tab w:val="left" w:pos="6804"/>
              </w:tabs>
              <w:spacing w:line="240" w:lineRule="auto"/>
              <w:rPr>
                <w:sz w:val="22"/>
              </w:rPr>
            </w:pPr>
            <w:r>
              <w:rPr>
                <w:sz w:val="22"/>
              </w:rPr>
              <w:tab/>
              <w:t>100.0</w:t>
            </w:r>
          </w:p>
        </w:tc>
        <w:tc>
          <w:tcPr>
            <w:tcW w:w="2000" w:type="dxa"/>
            <w:tcBorders>
              <w:top w:val="single" w:sz="4" w:space="0" w:color="auto"/>
            </w:tcBorders>
          </w:tcPr>
          <w:p w:rsidR="00000000" w:rsidRDefault="00954A93">
            <w:pPr>
              <w:tabs>
                <w:tab w:val="decimal" w:pos="994"/>
                <w:tab w:val="left" w:pos="3969"/>
                <w:tab w:val="left" w:pos="6237"/>
                <w:tab w:val="left" w:pos="6804"/>
              </w:tabs>
              <w:spacing w:line="240" w:lineRule="auto"/>
              <w:rPr>
                <w:sz w:val="22"/>
              </w:rPr>
            </w:pPr>
            <w:r>
              <w:rPr>
                <w:sz w:val="22"/>
              </w:rPr>
              <w:tab/>
              <w:t>1</w:t>
            </w:r>
            <w:r>
              <w:rPr>
                <w:sz w:val="22"/>
              </w:rPr>
              <w:t>00.0</w:t>
            </w:r>
          </w:p>
        </w:tc>
        <w:tc>
          <w:tcPr>
            <w:tcW w:w="2000" w:type="dxa"/>
            <w:tcBorders>
              <w:top w:val="single" w:sz="4" w:space="0" w:color="auto"/>
            </w:tcBorders>
          </w:tcPr>
          <w:p w:rsidR="00000000" w:rsidRDefault="00954A93">
            <w:pPr>
              <w:tabs>
                <w:tab w:val="decimal" w:pos="984"/>
                <w:tab w:val="left" w:pos="3969"/>
                <w:tab w:val="left" w:pos="6237"/>
                <w:tab w:val="left" w:pos="6804"/>
              </w:tabs>
              <w:spacing w:line="240" w:lineRule="auto"/>
              <w:rPr>
                <w:sz w:val="22"/>
              </w:rPr>
            </w:pPr>
            <w:r>
              <w:rPr>
                <w:sz w:val="22"/>
              </w:rPr>
              <w:tab/>
              <w:t>100.0</w:t>
            </w:r>
          </w:p>
        </w:tc>
      </w:tr>
    </w:tbl>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pPr>
    </w:p>
    <w:p w:rsidR="00000000" w:rsidRDefault="00954A93">
      <w:pPr>
        <w:pStyle w:val="Heading4"/>
        <w:rPr>
          <w:rFonts w:hint="eastAsia"/>
        </w:rPr>
      </w:pPr>
      <w:r>
        <w:rPr>
          <w:u w:val="none"/>
        </w:rPr>
        <w:t>(f)</w:t>
      </w:r>
      <w:r>
        <w:rPr>
          <w:u w:val="none"/>
        </w:rPr>
        <w:tab/>
      </w:r>
      <w:r>
        <w:rPr>
          <w:rFonts w:hint="eastAsia"/>
        </w:rPr>
        <w:t>粗略出生及死亡率</w:t>
      </w:r>
    </w:p>
    <w:tbl>
      <w:tblPr>
        <w:tblW w:w="9060" w:type="dxa"/>
        <w:tblInd w:w="596" w:type="dxa"/>
        <w:tblLayout w:type="fixed"/>
        <w:tblCellMar>
          <w:left w:w="56" w:type="dxa"/>
          <w:right w:w="56" w:type="dxa"/>
        </w:tblCellMar>
        <w:tblLook w:val="0000" w:firstRow="0" w:lastRow="0" w:firstColumn="0" w:lastColumn="0" w:noHBand="0" w:noVBand="0"/>
      </w:tblPr>
      <w:tblGrid>
        <w:gridCol w:w="1691"/>
        <w:gridCol w:w="1228"/>
        <w:gridCol w:w="1228"/>
        <w:gridCol w:w="1228"/>
        <w:gridCol w:w="1228"/>
        <w:gridCol w:w="1228"/>
        <w:gridCol w:w="1229"/>
      </w:tblGrid>
      <w:tr w:rsidR="00000000">
        <w:tblPrEx>
          <w:tblCellMar>
            <w:top w:w="0" w:type="dxa"/>
            <w:bottom w:w="0" w:type="dxa"/>
          </w:tblCellMar>
        </w:tblPrEx>
        <w:tc>
          <w:tcPr>
            <w:tcW w:w="1691"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rPr>
                <w:sz w:val="22"/>
              </w:rPr>
            </w:pPr>
          </w:p>
        </w:tc>
        <w:tc>
          <w:tcPr>
            <w:tcW w:w="1228" w:type="dxa"/>
          </w:tcPr>
          <w:p w:rsidR="00000000" w:rsidRDefault="00954A93">
            <w:pPr>
              <w:tabs>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1987</w:t>
            </w:r>
            <w:r>
              <w:rPr>
                <w:rFonts w:hint="eastAsia"/>
                <w:sz w:val="22"/>
                <w:u w:val="single"/>
              </w:rPr>
              <w:t>年</w:t>
            </w:r>
          </w:p>
        </w:tc>
        <w:tc>
          <w:tcPr>
            <w:tcW w:w="12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1992</w:t>
            </w:r>
            <w:r>
              <w:rPr>
                <w:rFonts w:hint="eastAsia"/>
                <w:sz w:val="22"/>
                <w:u w:val="single"/>
              </w:rPr>
              <w:t>年</w:t>
            </w:r>
          </w:p>
        </w:tc>
        <w:tc>
          <w:tcPr>
            <w:tcW w:w="12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1999</w:t>
            </w:r>
            <w:r>
              <w:rPr>
                <w:rFonts w:hint="eastAsia"/>
                <w:sz w:val="22"/>
                <w:u w:val="single"/>
              </w:rPr>
              <w:t>年</w:t>
            </w:r>
          </w:p>
        </w:tc>
        <w:tc>
          <w:tcPr>
            <w:tcW w:w="12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u w:val="single"/>
              </w:rPr>
              <w:t>2002</w:t>
            </w:r>
            <w:r>
              <w:rPr>
                <w:rFonts w:hint="eastAsia"/>
                <w:sz w:val="22"/>
                <w:u w:val="single"/>
              </w:rPr>
              <w:t>年</w:t>
            </w:r>
          </w:p>
        </w:tc>
        <w:tc>
          <w:tcPr>
            <w:tcW w:w="12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2003</w:t>
            </w:r>
            <w:r>
              <w:rPr>
                <w:rFonts w:hint="eastAsia"/>
                <w:sz w:val="22"/>
                <w:u w:val="single"/>
              </w:rPr>
              <w:t>年</w:t>
            </w:r>
          </w:p>
        </w:tc>
        <w:tc>
          <w:tcPr>
            <w:tcW w:w="1229"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u w:val="single"/>
              </w:rPr>
              <w:t>2004</w:t>
            </w:r>
            <w:r>
              <w:rPr>
                <w:rFonts w:hint="eastAsia"/>
                <w:sz w:val="22"/>
                <w:u w:val="single"/>
              </w:rPr>
              <w:t>年</w:t>
            </w:r>
            <w:r>
              <w:rPr>
                <w:sz w:val="22"/>
                <w:vertAlign w:val="superscript"/>
              </w:rPr>
              <w:t>#</w:t>
            </w:r>
          </w:p>
        </w:tc>
      </w:tr>
      <w:tr w:rsidR="00000000">
        <w:tblPrEx>
          <w:tblCellMar>
            <w:top w:w="0" w:type="dxa"/>
            <w:bottom w:w="0" w:type="dxa"/>
          </w:tblCellMar>
        </w:tblPrEx>
        <w:tc>
          <w:tcPr>
            <w:tcW w:w="1691" w:type="dxa"/>
          </w:tcPr>
          <w:p w:rsidR="00000000" w:rsidRDefault="00954A93">
            <w:pPr>
              <w:tabs>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z w:val="22"/>
              </w:rPr>
            </w:pPr>
            <w:r>
              <w:rPr>
                <w:rFonts w:hint="eastAsia"/>
                <w:sz w:val="22"/>
              </w:rPr>
              <w:t>粗略出生率</w:t>
            </w:r>
            <w:r>
              <w:rPr>
                <w:sz w:val="22"/>
              </w:rPr>
              <w:br/>
              <w:t>(</w:t>
            </w:r>
            <w:r>
              <w:rPr>
                <w:rFonts w:ascii="SimSun" w:hAnsi="SimSun" w:cs="SimSun" w:hint="eastAsia"/>
                <w:sz w:val="22"/>
              </w:rPr>
              <w:t>每</w:t>
            </w:r>
            <w:r>
              <w:rPr>
                <w:rFonts w:ascii="MS Mincho" w:hAnsi="MS Mincho" w:cs="MS Mincho" w:hint="eastAsia"/>
                <w:sz w:val="22"/>
              </w:rPr>
              <w:t>千人口</w:t>
            </w:r>
            <w:r>
              <w:rPr>
                <w:sz w:val="22"/>
              </w:rPr>
              <w:t>)</w:t>
            </w:r>
          </w:p>
        </w:tc>
        <w:tc>
          <w:tcPr>
            <w:tcW w:w="1228" w:type="dxa"/>
          </w:tcPr>
          <w:p w:rsidR="00000000" w:rsidRDefault="00954A93">
            <w:pPr>
              <w:tabs>
                <w:tab w:val="decimal" w:pos="567"/>
                <w:tab w:val="left" w:pos="6804"/>
              </w:tabs>
              <w:spacing w:line="240" w:lineRule="auto"/>
              <w:rPr>
                <w:sz w:val="22"/>
              </w:rPr>
            </w:pPr>
            <w:r>
              <w:rPr>
                <w:sz w:val="22"/>
              </w:rPr>
              <w:tab/>
              <w:t>12.6</w:t>
            </w:r>
          </w:p>
        </w:tc>
        <w:tc>
          <w:tcPr>
            <w:tcW w:w="1228" w:type="dxa"/>
          </w:tcPr>
          <w:p w:rsidR="00000000" w:rsidRDefault="00954A93">
            <w:pPr>
              <w:tabs>
                <w:tab w:val="decimal" w:pos="564"/>
                <w:tab w:val="left" w:pos="6804"/>
              </w:tabs>
              <w:spacing w:line="240" w:lineRule="auto"/>
              <w:rPr>
                <w:sz w:val="22"/>
              </w:rPr>
            </w:pPr>
            <w:r>
              <w:rPr>
                <w:sz w:val="22"/>
              </w:rPr>
              <w:tab/>
              <w:t>12.3</w:t>
            </w:r>
          </w:p>
        </w:tc>
        <w:tc>
          <w:tcPr>
            <w:tcW w:w="1228" w:type="dxa"/>
          </w:tcPr>
          <w:p w:rsidR="00000000" w:rsidRDefault="00954A93">
            <w:pPr>
              <w:tabs>
                <w:tab w:val="decimal" w:pos="537"/>
                <w:tab w:val="left" w:pos="6804"/>
              </w:tabs>
              <w:spacing w:line="240" w:lineRule="auto"/>
              <w:rPr>
                <w:rFonts w:hint="eastAsia"/>
                <w:sz w:val="22"/>
              </w:rPr>
            </w:pPr>
            <w:r>
              <w:rPr>
                <w:sz w:val="22"/>
              </w:rPr>
              <w:tab/>
              <w:t>7.8</w:t>
            </w:r>
          </w:p>
        </w:tc>
        <w:tc>
          <w:tcPr>
            <w:tcW w:w="1228" w:type="dxa"/>
          </w:tcPr>
          <w:p w:rsidR="00000000" w:rsidRDefault="00954A93">
            <w:pPr>
              <w:tabs>
                <w:tab w:val="decimal" w:pos="556"/>
                <w:tab w:val="left" w:pos="6804"/>
              </w:tabs>
              <w:spacing w:line="240" w:lineRule="auto"/>
              <w:rPr>
                <w:rFonts w:hint="eastAsia"/>
                <w:sz w:val="22"/>
              </w:rPr>
            </w:pPr>
            <w:r>
              <w:rPr>
                <w:sz w:val="22"/>
              </w:rPr>
              <w:tab/>
              <w:t>7.1</w:t>
            </w:r>
          </w:p>
        </w:tc>
        <w:tc>
          <w:tcPr>
            <w:tcW w:w="1228" w:type="dxa"/>
          </w:tcPr>
          <w:p w:rsidR="00000000" w:rsidRDefault="00954A93">
            <w:pPr>
              <w:tabs>
                <w:tab w:val="decimal" w:pos="552"/>
                <w:tab w:val="left" w:pos="6804"/>
              </w:tabs>
              <w:spacing w:line="240" w:lineRule="auto"/>
              <w:rPr>
                <w:rFonts w:hint="eastAsia"/>
                <w:sz w:val="22"/>
              </w:rPr>
            </w:pPr>
            <w:r>
              <w:rPr>
                <w:sz w:val="22"/>
              </w:rPr>
              <w:tab/>
              <w:t>6.9</w:t>
            </w:r>
          </w:p>
        </w:tc>
        <w:tc>
          <w:tcPr>
            <w:tcW w:w="1229" w:type="dxa"/>
          </w:tcPr>
          <w:p w:rsidR="00000000" w:rsidRDefault="00954A93">
            <w:pPr>
              <w:tabs>
                <w:tab w:val="decimal" w:pos="548"/>
                <w:tab w:val="left" w:pos="6804"/>
              </w:tabs>
              <w:spacing w:line="240" w:lineRule="auto"/>
              <w:rPr>
                <w:rFonts w:hint="eastAsia"/>
                <w:sz w:val="22"/>
              </w:rPr>
            </w:pPr>
            <w:r>
              <w:rPr>
                <w:sz w:val="22"/>
              </w:rPr>
              <w:tab/>
              <w:t>7.0</w:t>
            </w:r>
          </w:p>
        </w:tc>
      </w:tr>
      <w:tr w:rsidR="00000000">
        <w:tblPrEx>
          <w:tblCellMar>
            <w:top w:w="0" w:type="dxa"/>
            <w:bottom w:w="0" w:type="dxa"/>
          </w:tblCellMar>
        </w:tblPrEx>
        <w:tc>
          <w:tcPr>
            <w:tcW w:w="1691"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240" w:lineRule="auto"/>
              <w:rPr>
                <w:sz w:val="22"/>
              </w:rPr>
            </w:pPr>
            <w:r>
              <w:rPr>
                <w:rFonts w:hint="eastAsia"/>
                <w:sz w:val="22"/>
              </w:rPr>
              <w:t>粗略死亡率</w:t>
            </w:r>
            <w:r>
              <w:rPr>
                <w:sz w:val="22"/>
              </w:rPr>
              <w:br/>
              <w:t>(</w:t>
            </w:r>
            <w:r>
              <w:rPr>
                <w:rFonts w:ascii="SimSun" w:hAnsi="SimSun" w:cs="SimSun" w:hint="eastAsia"/>
                <w:sz w:val="22"/>
              </w:rPr>
              <w:t>每</w:t>
            </w:r>
            <w:r>
              <w:rPr>
                <w:rFonts w:ascii="MS Mincho" w:hAnsi="MS Mincho" w:cs="MS Mincho" w:hint="eastAsia"/>
                <w:sz w:val="22"/>
              </w:rPr>
              <w:t>千人口</w:t>
            </w:r>
            <w:r>
              <w:rPr>
                <w:sz w:val="22"/>
              </w:rPr>
              <w:t>)</w:t>
            </w:r>
          </w:p>
        </w:tc>
        <w:tc>
          <w:tcPr>
            <w:tcW w:w="1228" w:type="dxa"/>
          </w:tcPr>
          <w:p w:rsidR="00000000" w:rsidRDefault="00954A93">
            <w:pPr>
              <w:tabs>
                <w:tab w:val="decimal" w:pos="567"/>
                <w:tab w:val="left" w:pos="6804"/>
              </w:tabs>
              <w:spacing w:line="240" w:lineRule="auto"/>
              <w:rPr>
                <w:sz w:val="22"/>
              </w:rPr>
            </w:pPr>
            <w:r>
              <w:rPr>
                <w:sz w:val="22"/>
              </w:rPr>
              <w:tab/>
              <w:t>4.8</w:t>
            </w:r>
          </w:p>
        </w:tc>
        <w:tc>
          <w:tcPr>
            <w:tcW w:w="1228" w:type="dxa"/>
          </w:tcPr>
          <w:p w:rsidR="00000000" w:rsidRDefault="00954A93">
            <w:pPr>
              <w:tabs>
                <w:tab w:val="decimal" w:pos="564"/>
                <w:tab w:val="left" w:pos="6804"/>
              </w:tabs>
              <w:spacing w:line="240" w:lineRule="auto"/>
              <w:rPr>
                <w:sz w:val="22"/>
              </w:rPr>
            </w:pPr>
            <w:r>
              <w:rPr>
                <w:sz w:val="22"/>
              </w:rPr>
              <w:tab/>
              <w:t>5.3</w:t>
            </w:r>
          </w:p>
        </w:tc>
        <w:tc>
          <w:tcPr>
            <w:tcW w:w="1228" w:type="dxa"/>
          </w:tcPr>
          <w:p w:rsidR="00000000" w:rsidRDefault="00954A93">
            <w:pPr>
              <w:tabs>
                <w:tab w:val="decimal" w:pos="537"/>
                <w:tab w:val="left" w:pos="6804"/>
              </w:tabs>
              <w:spacing w:line="240" w:lineRule="auto"/>
              <w:rPr>
                <w:rFonts w:hint="eastAsia"/>
                <w:sz w:val="22"/>
              </w:rPr>
            </w:pPr>
            <w:r>
              <w:rPr>
                <w:sz w:val="22"/>
              </w:rPr>
              <w:tab/>
              <w:t>5.0</w:t>
            </w:r>
          </w:p>
        </w:tc>
        <w:tc>
          <w:tcPr>
            <w:tcW w:w="1228" w:type="dxa"/>
          </w:tcPr>
          <w:p w:rsidR="00000000" w:rsidRDefault="00954A93">
            <w:pPr>
              <w:tabs>
                <w:tab w:val="decimal" w:pos="556"/>
                <w:tab w:val="left" w:pos="6804"/>
              </w:tabs>
              <w:spacing w:line="240" w:lineRule="auto"/>
              <w:rPr>
                <w:rFonts w:hint="eastAsia"/>
                <w:sz w:val="22"/>
              </w:rPr>
            </w:pPr>
            <w:r>
              <w:rPr>
                <w:sz w:val="22"/>
              </w:rPr>
              <w:tab/>
              <w:t>5.0</w:t>
            </w:r>
          </w:p>
        </w:tc>
        <w:tc>
          <w:tcPr>
            <w:tcW w:w="1228" w:type="dxa"/>
          </w:tcPr>
          <w:p w:rsidR="00000000" w:rsidRDefault="00954A93">
            <w:pPr>
              <w:tabs>
                <w:tab w:val="decimal" w:pos="552"/>
                <w:tab w:val="left" w:pos="6804"/>
              </w:tabs>
              <w:spacing w:line="240" w:lineRule="auto"/>
              <w:rPr>
                <w:rFonts w:hint="eastAsia"/>
                <w:sz w:val="22"/>
              </w:rPr>
            </w:pPr>
            <w:r>
              <w:rPr>
                <w:sz w:val="22"/>
              </w:rPr>
              <w:tab/>
              <w:t>5.4</w:t>
            </w:r>
          </w:p>
        </w:tc>
        <w:tc>
          <w:tcPr>
            <w:tcW w:w="1229" w:type="dxa"/>
          </w:tcPr>
          <w:p w:rsidR="00000000" w:rsidRDefault="00954A93">
            <w:pPr>
              <w:tabs>
                <w:tab w:val="decimal" w:pos="548"/>
                <w:tab w:val="left" w:pos="6804"/>
              </w:tabs>
              <w:spacing w:line="240" w:lineRule="auto"/>
              <w:rPr>
                <w:rFonts w:hint="eastAsia"/>
                <w:sz w:val="22"/>
              </w:rPr>
            </w:pPr>
            <w:r>
              <w:rPr>
                <w:sz w:val="22"/>
              </w:rPr>
              <w:tab/>
              <w:t>5.3</w:t>
            </w:r>
          </w:p>
        </w:tc>
      </w:tr>
    </w:tbl>
    <w:p w:rsidR="00000000" w:rsidRDefault="00954A93">
      <w:pPr>
        <w:pStyle w:val="Heading4"/>
        <w:spacing w:before="240"/>
        <w:rPr>
          <w:u w:val="none"/>
        </w:rPr>
      </w:pPr>
      <w:r>
        <w:rPr>
          <w:u w:val="none"/>
        </w:rPr>
        <w:t>(g)</w:t>
      </w:r>
      <w:r>
        <w:rPr>
          <w:u w:val="none"/>
        </w:rPr>
        <w:tab/>
      </w:r>
      <w:r>
        <w:rPr>
          <w:rFonts w:hint="eastAsia"/>
        </w:rPr>
        <w:t>出生时平均预期寿命</w:t>
      </w:r>
      <w:r>
        <w:t>(</w:t>
      </w:r>
      <w:r>
        <w:rPr>
          <w:rFonts w:ascii="SimSun" w:hAnsi="SimSun" w:cs="SimSun" w:hint="eastAsia"/>
        </w:rPr>
        <w:t>岁</w:t>
      </w:r>
      <w:r>
        <w:rPr>
          <w:rFonts w:ascii="MS Mincho" w:hAnsi="MS Mincho" w:cs="MS Mincho" w:hint="eastAsia"/>
        </w:rPr>
        <w:t>数</w:t>
      </w:r>
      <w:r>
        <w:rPr>
          <w:u w:val="none"/>
        </w:rPr>
        <w:t>)</w:t>
      </w:r>
    </w:p>
    <w:tbl>
      <w:tblPr>
        <w:tblW w:w="9060" w:type="dxa"/>
        <w:tblInd w:w="596" w:type="dxa"/>
        <w:tblLayout w:type="fixed"/>
        <w:tblCellMar>
          <w:left w:w="56" w:type="dxa"/>
          <w:right w:w="56" w:type="dxa"/>
        </w:tblCellMar>
        <w:tblLook w:val="0000" w:firstRow="0" w:lastRow="0" w:firstColumn="0" w:lastColumn="0" w:noHBand="0" w:noVBand="0"/>
      </w:tblPr>
      <w:tblGrid>
        <w:gridCol w:w="1692"/>
        <w:gridCol w:w="1368"/>
        <w:gridCol w:w="1200"/>
        <w:gridCol w:w="1080"/>
        <w:gridCol w:w="1320"/>
        <w:gridCol w:w="1200"/>
        <w:gridCol w:w="1200"/>
      </w:tblGrid>
      <w:tr w:rsidR="00000000">
        <w:tblPrEx>
          <w:tblCellMar>
            <w:top w:w="0" w:type="dxa"/>
            <w:bottom w:w="0" w:type="dxa"/>
          </w:tblCellMar>
        </w:tblPrEx>
        <w:tc>
          <w:tcPr>
            <w:tcW w:w="1692"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rFonts w:hint="eastAsia"/>
                <w:sz w:val="22"/>
                <w:u w:val="single"/>
              </w:rPr>
              <w:t>性别</w:t>
            </w:r>
          </w:p>
        </w:tc>
        <w:tc>
          <w:tcPr>
            <w:tcW w:w="136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1987</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1992</w:t>
            </w:r>
            <w:r>
              <w:rPr>
                <w:rFonts w:hint="eastAsia"/>
                <w:sz w:val="22"/>
                <w:u w:val="single"/>
              </w:rPr>
              <w:t>年</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1999</w:t>
            </w:r>
            <w:r>
              <w:rPr>
                <w:rFonts w:hint="eastAsia"/>
                <w:sz w:val="22"/>
                <w:u w:val="single"/>
              </w:rPr>
              <w:t>年</w:t>
            </w:r>
          </w:p>
        </w:tc>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2002</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2003</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2004</w:t>
            </w:r>
            <w:r>
              <w:rPr>
                <w:rFonts w:hint="eastAsia"/>
                <w:sz w:val="22"/>
                <w:u w:val="single"/>
              </w:rPr>
              <w:t>年</w:t>
            </w:r>
            <w:r>
              <w:rPr>
                <w:sz w:val="22"/>
                <w:u w:val="single"/>
                <w:vertAlign w:val="superscript"/>
              </w:rPr>
              <w:t>#</w:t>
            </w:r>
          </w:p>
        </w:tc>
      </w:tr>
      <w:tr w:rsidR="00000000">
        <w:tblPrEx>
          <w:tblCellMar>
            <w:top w:w="0" w:type="dxa"/>
            <w:bottom w:w="0" w:type="dxa"/>
          </w:tblCellMar>
        </w:tblPrEx>
        <w:tc>
          <w:tcPr>
            <w:tcW w:w="1692"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rFonts w:hint="eastAsia"/>
                <w:sz w:val="22"/>
              </w:rPr>
              <w:t>男</w:t>
            </w:r>
          </w:p>
        </w:tc>
        <w:tc>
          <w:tcPr>
            <w:tcW w:w="136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rPr>
              <w:t>74.2</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rPr>
              <w:t>74.8</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77.7</w:t>
            </w:r>
          </w:p>
        </w:tc>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78.6</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78.5</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78.6</w:t>
            </w:r>
          </w:p>
        </w:tc>
      </w:tr>
      <w:tr w:rsidR="00000000">
        <w:tblPrEx>
          <w:tblCellMar>
            <w:top w:w="0" w:type="dxa"/>
            <w:bottom w:w="0" w:type="dxa"/>
          </w:tblCellMar>
        </w:tblPrEx>
        <w:tc>
          <w:tcPr>
            <w:tcW w:w="1692"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rFonts w:hint="eastAsia"/>
                <w:sz w:val="22"/>
              </w:rPr>
              <w:t>女</w:t>
            </w:r>
          </w:p>
        </w:tc>
        <w:tc>
          <w:tcPr>
            <w:tcW w:w="136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rPr>
              <w:t>79.7</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rPr>
              <w:t>8</w:t>
            </w:r>
            <w:r>
              <w:rPr>
                <w:sz w:val="22"/>
              </w:rPr>
              <w:t>0.7</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83.2</w:t>
            </w:r>
          </w:p>
        </w:tc>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84.5</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84.3</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t>84.6</w:t>
            </w:r>
          </w:p>
        </w:tc>
      </w:tr>
    </w:tbl>
    <w:p w:rsidR="00000000" w:rsidRDefault="00954A93">
      <w:pPr>
        <w:pStyle w:val="Heading4"/>
        <w:spacing w:before="240"/>
      </w:pPr>
      <w:r>
        <w:rPr>
          <w:u w:val="none"/>
        </w:rPr>
        <w:t>(h)</w:t>
      </w:r>
      <w:r>
        <w:rPr>
          <w:u w:val="none"/>
        </w:rPr>
        <w:tab/>
      </w:r>
      <w:r>
        <w:rPr>
          <w:rFonts w:hint="eastAsia"/>
        </w:rPr>
        <w:t>婴儿夭折率</w:t>
      </w:r>
      <w:r>
        <w:t>(</w:t>
      </w:r>
      <w:r>
        <w:rPr>
          <w:rFonts w:cs="SimSun" w:hint="eastAsia"/>
        </w:rPr>
        <w:t>每</w:t>
      </w:r>
      <w:r>
        <w:rPr>
          <w:rFonts w:cs="MS Mincho" w:hint="eastAsia"/>
        </w:rPr>
        <w:t>千名活</w:t>
      </w:r>
      <w:r>
        <w:rPr>
          <w:rFonts w:cs="SimSun" w:hint="eastAsia"/>
        </w:rPr>
        <w:t>产</w:t>
      </w:r>
      <w:r>
        <w:rPr>
          <w:rFonts w:cs="MS Mincho" w:hint="eastAsia"/>
        </w:rPr>
        <w:t>婴儿计</w:t>
      </w:r>
      <w:r>
        <w:rPr>
          <w:u w:val="none"/>
        </w:rPr>
        <w:t>)</w:t>
      </w:r>
    </w:p>
    <w:tbl>
      <w:tblPr>
        <w:tblW w:w="9060" w:type="dxa"/>
        <w:tblInd w:w="596" w:type="dxa"/>
        <w:tblLayout w:type="fixed"/>
        <w:tblCellMar>
          <w:left w:w="56" w:type="dxa"/>
          <w:right w:w="56" w:type="dxa"/>
        </w:tblCellMar>
        <w:tblLook w:val="0000" w:firstRow="0" w:lastRow="0" w:firstColumn="0" w:lastColumn="0" w:noHBand="0" w:noVBand="0"/>
      </w:tblPr>
      <w:tblGrid>
        <w:gridCol w:w="1620"/>
        <w:gridCol w:w="1440"/>
        <w:gridCol w:w="1440"/>
        <w:gridCol w:w="1680"/>
        <w:gridCol w:w="1560"/>
        <w:gridCol w:w="1320"/>
      </w:tblGrid>
      <w:tr w:rsidR="00000000">
        <w:tblPrEx>
          <w:tblCellMar>
            <w:top w:w="0" w:type="dxa"/>
            <w:bottom w:w="0" w:type="dxa"/>
          </w:tblCellMar>
        </w:tblPrEx>
        <w:tc>
          <w:tcPr>
            <w:tcW w:w="16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1987</w:t>
            </w:r>
            <w:r>
              <w:rPr>
                <w:rFonts w:hint="eastAsia"/>
                <w:sz w:val="22"/>
                <w:u w:val="single"/>
              </w:rPr>
              <w:t>年</w:t>
            </w:r>
          </w:p>
        </w:tc>
        <w:tc>
          <w:tcPr>
            <w:tcW w:w="14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1992</w:t>
            </w:r>
            <w:r>
              <w:rPr>
                <w:rFonts w:hint="eastAsia"/>
                <w:sz w:val="22"/>
                <w:u w:val="single"/>
              </w:rPr>
              <w:t>年</w:t>
            </w:r>
          </w:p>
        </w:tc>
        <w:tc>
          <w:tcPr>
            <w:tcW w:w="14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1999</w:t>
            </w:r>
            <w:r>
              <w:rPr>
                <w:rFonts w:hint="eastAsia"/>
                <w:sz w:val="22"/>
                <w:u w:val="single"/>
              </w:rPr>
              <w:t>年</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u w:val="single"/>
              </w:rPr>
            </w:pPr>
            <w:r>
              <w:rPr>
                <w:sz w:val="22"/>
                <w:u w:val="single"/>
              </w:rPr>
              <w:t>2002</w:t>
            </w:r>
            <w:r>
              <w:rPr>
                <w:rFonts w:hint="eastAsia"/>
                <w:sz w:val="22"/>
                <w:u w:val="single"/>
              </w:rPr>
              <w:t>年</w:t>
            </w:r>
          </w:p>
        </w:tc>
        <w:tc>
          <w:tcPr>
            <w:tcW w:w="15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2003</w:t>
            </w:r>
            <w:r>
              <w:rPr>
                <w:rFonts w:hint="eastAsia"/>
                <w:sz w:val="22"/>
                <w:u w:val="single"/>
              </w:rPr>
              <w:t>年</w:t>
            </w:r>
          </w:p>
        </w:tc>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u w:val="single"/>
              </w:rPr>
            </w:pPr>
            <w:r>
              <w:rPr>
                <w:sz w:val="22"/>
                <w:u w:val="single"/>
              </w:rPr>
              <w:t>2004</w:t>
            </w:r>
            <w:r>
              <w:rPr>
                <w:rFonts w:hint="eastAsia"/>
                <w:sz w:val="22"/>
                <w:u w:val="single"/>
              </w:rPr>
              <w:t>年</w:t>
            </w:r>
          </w:p>
        </w:tc>
      </w:tr>
      <w:tr w:rsidR="00000000">
        <w:tblPrEx>
          <w:tblCellMar>
            <w:top w:w="0" w:type="dxa"/>
            <w:bottom w:w="0" w:type="dxa"/>
          </w:tblCellMar>
        </w:tblPrEx>
        <w:tc>
          <w:tcPr>
            <w:tcW w:w="16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rPr>
              <w:t>7.4</w:t>
            </w:r>
          </w:p>
        </w:tc>
        <w:tc>
          <w:tcPr>
            <w:tcW w:w="14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rPr>
              <w:t>4.8</w:t>
            </w:r>
          </w:p>
        </w:tc>
        <w:tc>
          <w:tcPr>
            <w:tcW w:w="14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rPr>
              <w:t>3.1</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rPr>
              <w:t>2.3</w:t>
            </w:r>
          </w:p>
        </w:tc>
        <w:tc>
          <w:tcPr>
            <w:tcW w:w="15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rPr>
              <w:t>2.3</w:t>
            </w:r>
          </w:p>
        </w:tc>
        <w:tc>
          <w:tcPr>
            <w:tcW w:w="13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rPr>
              <w:t>2.5</w:t>
            </w:r>
            <w:r>
              <w:rPr>
                <w:sz w:val="22"/>
                <w:vertAlign w:val="superscript"/>
              </w:rPr>
              <w:t>#</w:t>
            </w:r>
          </w:p>
        </w:tc>
      </w:tr>
    </w:tbl>
    <w:p w:rsidR="00000000" w:rsidRDefault="00954A93">
      <w:pPr>
        <w:pStyle w:val="Heading4"/>
        <w:spacing w:before="360"/>
        <w:rPr>
          <w:u w:val="none"/>
        </w:rPr>
      </w:pPr>
      <w:r>
        <w:rPr>
          <w:u w:val="none"/>
        </w:rPr>
        <w:t>(</w:t>
      </w:r>
      <w:r>
        <w:rPr>
          <w:bCs/>
          <w:u w:val="none"/>
        </w:rPr>
        <w:t>i</w:t>
      </w:r>
      <w:r>
        <w:rPr>
          <w:u w:val="none"/>
        </w:rPr>
        <w:t>)</w:t>
      </w:r>
      <w:r>
        <w:rPr>
          <w:u w:val="none"/>
        </w:rPr>
        <w:tab/>
      </w:r>
      <w:r>
        <w:rPr>
          <w:rFonts w:cs="SimSun" w:hint="eastAsia"/>
        </w:rPr>
        <w:t>产</w:t>
      </w:r>
      <w:r>
        <w:rPr>
          <w:rFonts w:cs="MS Mincho" w:hint="eastAsia"/>
        </w:rPr>
        <w:t>妇死亡率</w:t>
      </w:r>
      <w:r>
        <w:t>(</w:t>
      </w:r>
      <w:r>
        <w:rPr>
          <w:rFonts w:hint="eastAsia"/>
        </w:rPr>
        <w:t>按</w:t>
      </w:r>
      <w:r>
        <w:rPr>
          <w:rFonts w:cs="SimSun" w:hint="eastAsia"/>
        </w:rPr>
        <w:t>每</w:t>
      </w:r>
      <w:r>
        <w:rPr>
          <w:rFonts w:cs="MS Mincho" w:hint="eastAsia"/>
        </w:rPr>
        <w:t>十万次分娩计算的死亡数目</w:t>
      </w:r>
      <w:r>
        <w:rPr>
          <w:u w:val="none"/>
        </w:rPr>
        <w:t>)</w:t>
      </w:r>
    </w:p>
    <w:tbl>
      <w:tblPr>
        <w:tblW w:w="9060" w:type="dxa"/>
        <w:tblInd w:w="596" w:type="dxa"/>
        <w:tblLayout w:type="fixed"/>
        <w:tblCellMar>
          <w:left w:w="56" w:type="dxa"/>
          <w:right w:w="56" w:type="dxa"/>
        </w:tblCellMar>
        <w:tblLook w:val="0000" w:firstRow="0" w:lastRow="0" w:firstColumn="0" w:lastColumn="0" w:noHBand="0" w:noVBand="0"/>
      </w:tblPr>
      <w:tblGrid>
        <w:gridCol w:w="1860"/>
        <w:gridCol w:w="1800"/>
        <w:gridCol w:w="1920"/>
        <w:gridCol w:w="1800"/>
        <w:gridCol w:w="1680"/>
      </w:tblGrid>
      <w:tr w:rsidR="00000000">
        <w:tblPrEx>
          <w:tblCellMar>
            <w:top w:w="0" w:type="dxa"/>
            <w:bottom w:w="0" w:type="dxa"/>
          </w:tblCellMar>
        </w:tblPrEx>
        <w:tc>
          <w:tcPr>
            <w:tcW w:w="18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1987</w:t>
            </w:r>
            <w:r>
              <w:rPr>
                <w:rFonts w:hint="eastAsia"/>
                <w:sz w:val="22"/>
                <w:u w:val="single"/>
              </w:rPr>
              <w:t>年</w:t>
            </w:r>
          </w:p>
        </w:tc>
        <w:tc>
          <w:tcPr>
            <w:tcW w:w="18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1992</w:t>
            </w:r>
            <w:r>
              <w:rPr>
                <w:rFonts w:hint="eastAsia"/>
                <w:sz w:val="22"/>
                <w:u w:val="single"/>
              </w:rPr>
              <w:t>年</w:t>
            </w:r>
          </w:p>
        </w:tc>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u w:val="single"/>
              </w:rPr>
              <w:t>1999</w:t>
            </w:r>
            <w:r>
              <w:rPr>
                <w:rFonts w:hint="eastAsia"/>
                <w:sz w:val="22"/>
                <w:u w:val="single"/>
              </w:rPr>
              <w:t>年</w:t>
            </w:r>
          </w:p>
        </w:tc>
        <w:tc>
          <w:tcPr>
            <w:tcW w:w="18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u w:val="single"/>
              </w:rPr>
            </w:pPr>
            <w:r>
              <w:rPr>
                <w:sz w:val="22"/>
                <w:u w:val="single"/>
              </w:rPr>
              <w:t>2002</w:t>
            </w:r>
            <w:r>
              <w:rPr>
                <w:rFonts w:hint="eastAsia"/>
                <w:sz w:val="22"/>
                <w:u w:val="single"/>
              </w:rPr>
              <w:t>年</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u w:val="single"/>
              </w:rPr>
            </w:pPr>
            <w:r>
              <w:rPr>
                <w:sz w:val="22"/>
                <w:u w:val="single"/>
              </w:rPr>
              <w:t>2003</w:t>
            </w:r>
            <w:r>
              <w:rPr>
                <w:rFonts w:hint="eastAsia"/>
                <w:sz w:val="22"/>
                <w:u w:val="single"/>
              </w:rPr>
              <w:t>年</w:t>
            </w:r>
          </w:p>
        </w:tc>
      </w:tr>
      <w:tr w:rsidR="00000000">
        <w:tblPrEx>
          <w:tblCellMar>
            <w:top w:w="0" w:type="dxa"/>
            <w:bottom w:w="0" w:type="dxa"/>
          </w:tblCellMar>
        </w:tblPrEx>
        <w:tc>
          <w:tcPr>
            <w:tcW w:w="18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rPr>
              <w:t>4.3</w:t>
            </w:r>
          </w:p>
        </w:tc>
        <w:tc>
          <w:tcPr>
            <w:tcW w:w="18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rPr>
              <w:t>5.5</w:t>
            </w:r>
          </w:p>
        </w:tc>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rPr>
              <w:t>2.0</w:t>
            </w:r>
          </w:p>
        </w:tc>
        <w:tc>
          <w:tcPr>
            <w:tcW w:w="18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sz w:val="22"/>
              </w:rPr>
            </w:pPr>
            <w:r>
              <w:rPr>
                <w:sz w:val="22"/>
              </w:rPr>
              <w:t>2.1</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60" w:lineRule="auto"/>
              <w:jc w:val="center"/>
              <w:rPr>
                <w:rFonts w:hint="eastAsia"/>
                <w:sz w:val="22"/>
              </w:rPr>
            </w:pPr>
            <w:r>
              <w:rPr>
                <w:sz w:val="22"/>
              </w:rPr>
              <w:t>4.2</w:t>
            </w:r>
            <w:r>
              <w:rPr>
                <w:sz w:val="22"/>
                <w:vertAlign w:val="superscript"/>
              </w:rPr>
              <w:t>#</w:t>
            </w:r>
          </w:p>
        </w:tc>
      </w:tr>
    </w:tbl>
    <w:p w:rsidR="00000000" w:rsidRDefault="00954A93">
      <w:pPr>
        <w:pStyle w:val="EndnoteText"/>
        <w:spacing w:before="120" w:after="240"/>
        <w:rPr>
          <w:rFonts w:hint="eastAsia"/>
          <w:b/>
        </w:rPr>
      </w:pPr>
      <w:r>
        <w:rPr>
          <w:b/>
        </w:rPr>
        <w:tab/>
      </w:r>
      <w:r>
        <w:rPr>
          <w:vertAlign w:val="superscript"/>
        </w:rPr>
        <w:t xml:space="preserve"># </w:t>
      </w:r>
      <w:r>
        <w:rPr>
          <w:rFonts w:hint="eastAsia"/>
          <w:vertAlign w:val="superscript"/>
        </w:rPr>
        <w:tab/>
      </w:r>
      <w:r>
        <w:rPr>
          <w:rFonts w:hint="eastAsia"/>
        </w:rPr>
        <w:t>临时数字。</w:t>
      </w:r>
    </w:p>
    <w:p w:rsidR="00000000" w:rsidRDefault="00954A93">
      <w:pPr>
        <w:pStyle w:val="Heading4"/>
      </w:pPr>
      <w:r>
        <w:rPr>
          <w:u w:val="none"/>
        </w:rPr>
        <w:t>(j)</w:t>
      </w:r>
      <w:r>
        <w:rPr>
          <w:u w:val="none"/>
        </w:rPr>
        <w:tab/>
      </w:r>
      <w:r>
        <w:rPr>
          <w:rFonts w:eastAsia="華康中黑體" w:hint="eastAsia"/>
        </w:rPr>
        <w:t>生育率</w:t>
      </w:r>
    </w:p>
    <w:tbl>
      <w:tblPr>
        <w:tblW w:w="9120" w:type="dxa"/>
        <w:tblInd w:w="656" w:type="dxa"/>
        <w:tblLayout w:type="fixed"/>
        <w:tblCellMar>
          <w:left w:w="56" w:type="dxa"/>
          <w:right w:w="56" w:type="dxa"/>
        </w:tblCellMar>
        <w:tblLook w:val="0000" w:firstRow="0" w:lastRow="0" w:firstColumn="0" w:lastColumn="0" w:noHBand="0" w:noVBand="0"/>
      </w:tblPr>
      <w:tblGrid>
        <w:gridCol w:w="3360"/>
        <w:gridCol w:w="1200"/>
        <w:gridCol w:w="1080"/>
        <w:gridCol w:w="1080"/>
        <w:gridCol w:w="1200"/>
        <w:gridCol w:w="1200"/>
      </w:tblGrid>
      <w:tr w:rsidR="00000000">
        <w:tblPrEx>
          <w:tblCellMar>
            <w:top w:w="0" w:type="dxa"/>
            <w:bottom w:w="0" w:type="dxa"/>
          </w:tblCellMar>
        </w:tblPrEx>
        <w:tc>
          <w:tcPr>
            <w:tcW w:w="33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rPr>
                <w:sz w:val="22"/>
              </w:rPr>
            </w:pP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rPr>
            </w:pPr>
            <w:r>
              <w:rPr>
                <w:sz w:val="22"/>
                <w:u w:val="single"/>
              </w:rPr>
              <w:t>1987</w:t>
            </w:r>
            <w:r>
              <w:rPr>
                <w:rFonts w:hint="eastAsia"/>
                <w:sz w:val="22"/>
                <w:u w:val="single"/>
              </w:rPr>
              <w:t>年</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rPr>
            </w:pPr>
            <w:r>
              <w:rPr>
                <w:sz w:val="22"/>
                <w:u w:val="single"/>
              </w:rPr>
              <w:t>1992</w:t>
            </w:r>
            <w:r>
              <w:rPr>
                <w:rFonts w:hint="eastAsia"/>
                <w:sz w:val="22"/>
                <w:u w:val="single"/>
              </w:rPr>
              <w:t>年</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rPr>
            </w:pPr>
            <w:r>
              <w:rPr>
                <w:sz w:val="22"/>
                <w:u w:val="single"/>
              </w:rPr>
              <w:t>1999</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rPr>
            </w:pPr>
            <w:r>
              <w:rPr>
                <w:sz w:val="22"/>
                <w:u w:val="single"/>
              </w:rPr>
              <w:t>2002</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rPr>
            </w:pPr>
            <w:r>
              <w:rPr>
                <w:sz w:val="22"/>
                <w:u w:val="single"/>
              </w:rPr>
              <w:t>2003</w:t>
            </w:r>
            <w:r>
              <w:rPr>
                <w:rFonts w:hint="eastAsia"/>
                <w:sz w:val="22"/>
                <w:u w:val="single"/>
              </w:rPr>
              <w:t>年</w:t>
            </w:r>
            <w:r>
              <w:rPr>
                <w:rStyle w:val="FootnoteReference"/>
                <w:b/>
                <w:bCs/>
                <w:sz w:val="22"/>
              </w:rPr>
              <w:footnoteReference w:customMarkFollows="1" w:id="10"/>
              <w:t>5</w:t>
            </w:r>
          </w:p>
        </w:tc>
      </w:tr>
      <w:tr w:rsidR="00000000">
        <w:tblPrEx>
          <w:tblCellMar>
            <w:top w:w="0" w:type="dxa"/>
            <w:bottom w:w="0" w:type="dxa"/>
          </w:tblCellMar>
        </w:tblPrEx>
        <w:tc>
          <w:tcPr>
            <w:tcW w:w="33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rPr>
                <w:rFonts w:hint="eastAsia"/>
                <w:sz w:val="22"/>
              </w:rPr>
            </w:pPr>
            <w:r>
              <w:rPr>
                <w:rFonts w:hint="eastAsia"/>
                <w:sz w:val="22"/>
              </w:rPr>
              <w:t>一般生育率</w:t>
            </w:r>
            <w:r>
              <w:rPr>
                <w:sz w:val="22"/>
              </w:rPr>
              <w:br/>
              <w:t>(</w:t>
            </w:r>
            <w:r>
              <w:rPr>
                <w:rFonts w:ascii="SimSun" w:hAnsi="SimSun" w:cs="SimSun" w:hint="eastAsia"/>
                <w:sz w:val="22"/>
              </w:rPr>
              <w:t>每</w:t>
            </w:r>
            <w:r>
              <w:rPr>
                <w:rFonts w:ascii="MS Mincho" w:hAnsi="MS Mincho" w:cs="MS Mincho" w:hint="eastAsia"/>
                <w:sz w:val="22"/>
              </w:rPr>
              <w:t>千名</w:t>
            </w:r>
            <w:r>
              <w:rPr>
                <w:sz w:val="22"/>
              </w:rPr>
              <w:t>15</w:t>
            </w:r>
            <w:r>
              <w:rPr>
                <w:rFonts w:hint="eastAsia"/>
                <w:sz w:val="22"/>
              </w:rPr>
              <w:t>至</w:t>
            </w:r>
            <w:r>
              <w:rPr>
                <w:sz w:val="22"/>
              </w:rPr>
              <w:t>49</w:t>
            </w:r>
            <w:r>
              <w:rPr>
                <w:rFonts w:ascii="SimSun" w:hAnsi="SimSun" w:cs="SimSun" w:hint="eastAsia"/>
                <w:sz w:val="22"/>
              </w:rPr>
              <w:t>岁</w:t>
            </w:r>
            <w:r>
              <w:rPr>
                <w:rFonts w:ascii="MS Mincho" w:hAnsi="MS Mincho" w:cs="MS Mincho" w:hint="eastAsia"/>
                <w:sz w:val="22"/>
              </w:rPr>
              <w:t>妇女</w:t>
            </w:r>
            <w:r>
              <w:rPr>
                <w:rFonts w:ascii="MS Mincho" w:hAnsi="MS Mincho" w:cs="MS Mincho" w:hint="eastAsia"/>
                <w:sz w:val="22"/>
              </w:rPr>
              <w:t>计，</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240" w:line="240" w:lineRule="auto"/>
              <w:rPr>
                <w:sz w:val="22"/>
              </w:rPr>
            </w:pPr>
            <w:r>
              <w:rPr>
                <w:rFonts w:hint="eastAsia"/>
                <w:sz w:val="22"/>
              </w:rPr>
              <w:t>不包括外籍家庭佣工</w:t>
            </w:r>
            <w:r>
              <w:rPr>
                <w:sz w:val="22"/>
              </w:rPr>
              <w:t>)</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47.9</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46.3</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28.1</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26.2</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25.2</w:t>
            </w:r>
          </w:p>
        </w:tc>
      </w:tr>
    </w:tbl>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60"/>
        <w:rPr>
          <w:b/>
        </w:rPr>
      </w:pPr>
    </w:p>
    <w:p w:rsidR="00000000" w:rsidRDefault="00954A93">
      <w:pPr>
        <w:pStyle w:val="Heading4"/>
        <w:rPr>
          <w:rFonts w:hint="eastAsia"/>
        </w:rPr>
      </w:pPr>
      <w:r>
        <w:br w:type="page"/>
      </w:r>
      <w:r>
        <w:rPr>
          <w:u w:val="none"/>
        </w:rPr>
        <w:t>(k)</w:t>
      </w:r>
      <w:r>
        <w:rPr>
          <w:u w:val="none"/>
        </w:rPr>
        <w:tab/>
      </w:r>
      <w:r>
        <w:rPr>
          <w:rFonts w:eastAsia="華康中黑體" w:hint="eastAsia"/>
        </w:rPr>
        <w:t>按性别划分的家庭</w:t>
      </w:r>
      <w:r>
        <w:rPr>
          <w:rFonts w:ascii="SimSun" w:hAnsi="SimSun" w:cs="SimSun" w:hint="eastAsia"/>
        </w:rPr>
        <w:t>户</w:t>
      </w:r>
      <w:r>
        <w:rPr>
          <w:rFonts w:ascii="MS Mincho" w:hAnsi="MS Mincho" w:cs="MS Mincho" w:hint="eastAsia"/>
        </w:rPr>
        <w:t>主百分率</w:t>
      </w:r>
    </w:p>
    <w:tbl>
      <w:tblPr>
        <w:tblW w:w="0" w:type="auto"/>
        <w:tblInd w:w="416" w:type="dxa"/>
        <w:tblLayout w:type="fixed"/>
        <w:tblCellMar>
          <w:left w:w="56" w:type="dxa"/>
          <w:right w:w="56" w:type="dxa"/>
        </w:tblCellMar>
        <w:tblLook w:val="0000" w:firstRow="0" w:lastRow="0" w:firstColumn="0" w:lastColumn="0" w:noHBand="0" w:noVBand="0"/>
      </w:tblPr>
      <w:tblGrid>
        <w:gridCol w:w="1728"/>
        <w:gridCol w:w="1728"/>
        <w:gridCol w:w="1728"/>
        <w:gridCol w:w="1728"/>
        <w:gridCol w:w="1728"/>
      </w:tblGrid>
      <w:tr w:rsidR="00000000">
        <w:tblPrEx>
          <w:tblCellMar>
            <w:top w:w="0" w:type="dxa"/>
            <w:bottom w:w="0" w:type="dxa"/>
          </w:tblCellMar>
        </w:tblPrEx>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u w:val="single"/>
              </w:rPr>
            </w:pPr>
            <w:r>
              <w:rPr>
                <w:rFonts w:hint="eastAsia"/>
                <w:sz w:val="22"/>
                <w:u w:val="single"/>
              </w:rPr>
              <w:t>性别</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u w:val="single"/>
              </w:rPr>
            </w:pPr>
            <w:r>
              <w:rPr>
                <w:sz w:val="22"/>
                <w:u w:val="single"/>
              </w:rPr>
              <w:t>1986</w:t>
            </w:r>
            <w:r>
              <w:rPr>
                <w:rFonts w:hint="eastAsia"/>
                <w:sz w:val="22"/>
                <w:u w:val="single"/>
              </w:rPr>
              <w:t>年</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u w:val="single"/>
              </w:rPr>
            </w:pPr>
            <w:r>
              <w:rPr>
                <w:sz w:val="22"/>
                <w:u w:val="single"/>
              </w:rPr>
              <w:t>1991</w:t>
            </w:r>
            <w:r>
              <w:rPr>
                <w:rFonts w:hint="eastAsia"/>
                <w:sz w:val="22"/>
                <w:u w:val="single"/>
              </w:rPr>
              <w:t>年</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u w:val="single"/>
              </w:rPr>
            </w:pPr>
            <w:r>
              <w:rPr>
                <w:sz w:val="22"/>
                <w:u w:val="single"/>
              </w:rPr>
              <w:t>1996</w:t>
            </w:r>
            <w:r>
              <w:rPr>
                <w:rFonts w:hint="eastAsia"/>
                <w:sz w:val="22"/>
                <w:u w:val="single"/>
              </w:rPr>
              <w:t>年</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360" w:lineRule="auto"/>
              <w:jc w:val="center"/>
              <w:rPr>
                <w:sz w:val="22"/>
                <w:u w:val="single"/>
              </w:rPr>
            </w:pPr>
            <w:r>
              <w:rPr>
                <w:sz w:val="22"/>
                <w:u w:val="single"/>
              </w:rPr>
              <w:t>2001</w:t>
            </w:r>
            <w:r>
              <w:rPr>
                <w:rFonts w:hint="eastAsia"/>
                <w:sz w:val="22"/>
                <w:u w:val="single"/>
              </w:rPr>
              <w:t>年</w:t>
            </w:r>
          </w:p>
        </w:tc>
      </w:tr>
      <w:tr w:rsidR="00000000">
        <w:tblPrEx>
          <w:tblCellMar>
            <w:top w:w="0" w:type="dxa"/>
            <w:bottom w:w="0" w:type="dxa"/>
          </w:tblCellMar>
        </w:tblPrEx>
        <w:trPr>
          <w:cantSplit/>
        </w:trPr>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rFonts w:hint="eastAsia"/>
                <w:sz w:val="22"/>
              </w:rPr>
              <w:t>男</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73.0</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74.3</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72.8</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71.2</w:t>
            </w:r>
          </w:p>
        </w:tc>
      </w:tr>
      <w:tr w:rsidR="00000000">
        <w:tblPrEx>
          <w:tblCellMar>
            <w:top w:w="0" w:type="dxa"/>
            <w:bottom w:w="0" w:type="dxa"/>
          </w:tblCellMar>
        </w:tblPrEx>
        <w:trPr>
          <w:cantSplit/>
        </w:trPr>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rFonts w:hint="eastAsia"/>
                <w:sz w:val="22"/>
              </w:rPr>
              <w:t>女</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27.0</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25.7</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27.2</w:t>
            </w:r>
          </w:p>
        </w:tc>
        <w:tc>
          <w:tcPr>
            <w:tcW w:w="1728"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28.8</w:t>
            </w:r>
          </w:p>
        </w:tc>
      </w:tr>
    </w:tbl>
    <w:p w:rsidR="00000000" w:rsidRDefault="00954A93">
      <w:pPr>
        <w:pStyle w:val="Heading4"/>
        <w:spacing w:before="240"/>
        <w:rPr>
          <w:rFonts w:hint="eastAsia"/>
        </w:rPr>
      </w:pPr>
      <w:r>
        <w:rPr>
          <w:u w:val="none"/>
        </w:rPr>
        <w:t>(l)</w:t>
      </w:r>
      <w:r>
        <w:rPr>
          <w:u w:val="none"/>
        </w:rPr>
        <w:tab/>
      </w:r>
      <w:r>
        <w:rPr>
          <w:rFonts w:hint="eastAsia"/>
        </w:rPr>
        <w:t>失业</w:t>
      </w:r>
      <w:r>
        <w:rPr>
          <w:rFonts w:hint="eastAsia"/>
          <w:spacing w:val="40"/>
        </w:rPr>
        <w:t>率</w:t>
      </w:r>
      <w:r>
        <w:rPr>
          <w:spacing w:val="40"/>
        </w:rPr>
        <w:t>(%</w:t>
      </w:r>
      <w:r>
        <w:rPr>
          <w:spacing w:val="40"/>
          <w:u w:val="none"/>
        </w:rPr>
        <w:t>)</w:t>
      </w:r>
      <w:r>
        <w:rPr>
          <w:rStyle w:val="FootnoteReference"/>
          <w:rFonts w:eastAsia="華康中黑體"/>
          <w:b/>
          <w:spacing w:val="40"/>
          <w:u w:val="none"/>
        </w:rPr>
        <w:footnoteReference w:customMarkFollows="1" w:id="11"/>
        <w:t>6</w:t>
      </w:r>
    </w:p>
    <w:tbl>
      <w:tblPr>
        <w:tblW w:w="9120" w:type="dxa"/>
        <w:tblInd w:w="416" w:type="dxa"/>
        <w:tblLayout w:type="fixed"/>
        <w:tblCellMar>
          <w:left w:w="56" w:type="dxa"/>
          <w:right w:w="56" w:type="dxa"/>
        </w:tblCellMar>
        <w:tblLook w:val="0000" w:firstRow="0" w:lastRow="0" w:firstColumn="0" w:lastColumn="0" w:noHBand="0" w:noVBand="0"/>
      </w:tblPr>
      <w:tblGrid>
        <w:gridCol w:w="1200"/>
        <w:gridCol w:w="1200"/>
        <w:gridCol w:w="1080"/>
        <w:gridCol w:w="1200"/>
        <w:gridCol w:w="1080"/>
        <w:gridCol w:w="1080"/>
        <w:gridCol w:w="1200"/>
        <w:gridCol w:w="1080"/>
      </w:tblGrid>
      <w:tr w:rsidR="00000000">
        <w:tblPrEx>
          <w:tblCellMar>
            <w:top w:w="0" w:type="dxa"/>
            <w:bottom w:w="0" w:type="dxa"/>
          </w:tblCellMar>
        </w:tblPrEx>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u w:val="single"/>
              </w:rPr>
              <w:t>1987</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u w:val="single"/>
              </w:rPr>
              <w:t>1992</w:t>
            </w:r>
            <w:r>
              <w:rPr>
                <w:rFonts w:hint="eastAsia"/>
                <w:sz w:val="22"/>
                <w:u w:val="single"/>
              </w:rPr>
              <w:t>年</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u w:val="single"/>
              </w:rPr>
              <w:t>1999</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u w:val="single"/>
              </w:rPr>
              <w:t>2000</w:t>
            </w:r>
            <w:r>
              <w:rPr>
                <w:rFonts w:hint="eastAsia"/>
                <w:sz w:val="22"/>
                <w:u w:val="single"/>
              </w:rPr>
              <w:t>年</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u w:val="single"/>
              </w:rPr>
              <w:t>2001</w:t>
            </w:r>
            <w:r>
              <w:rPr>
                <w:rFonts w:hint="eastAsia"/>
                <w:sz w:val="22"/>
                <w:u w:val="single"/>
              </w:rPr>
              <w:t>年</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u w:val="single"/>
              </w:rPr>
            </w:pPr>
            <w:r>
              <w:rPr>
                <w:sz w:val="22"/>
                <w:u w:val="single"/>
              </w:rPr>
              <w:t>2002</w:t>
            </w:r>
            <w:r>
              <w:rPr>
                <w:rFonts w:hint="eastAsia"/>
                <w:sz w:val="22"/>
                <w:u w:val="single"/>
              </w:rPr>
              <w:t>年</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line="240" w:lineRule="auto"/>
              <w:jc w:val="center"/>
              <w:rPr>
                <w:rFonts w:hint="eastAsia"/>
                <w:sz w:val="22"/>
                <w:u w:val="single"/>
              </w:rPr>
            </w:pPr>
            <w:r>
              <w:rPr>
                <w:sz w:val="22"/>
                <w:u w:val="single"/>
              </w:rPr>
              <w:t>2003</w:t>
            </w:r>
            <w:r>
              <w:rPr>
                <w:rFonts w:hint="eastAsia"/>
                <w:sz w:val="22"/>
                <w:u w:val="single"/>
              </w:rPr>
              <w:t>年</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u w:val="single"/>
              </w:rPr>
            </w:pP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u w:val="single"/>
              </w:rPr>
            </w:pPr>
            <w:r>
              <w:rPr>
                <w:sz w:val="22"/>
                <w:u w:val="single"/>
              </w:rPr>
              <w:t>2004</w:t>
            </w:r>
            <w:r>
              <w:rPr>
                <w:rFonts w:hint="eastAsia"/>
                <w:sz w:val="22"/>
                <w:u w:val="single"/>
              </w:rPr>
              <w:t>年</w:t>
            </w:r>
          </w:p>
        </w:tc>
      </w:tr>
      <w:tr w:rsidR="00000000">
        <w:tblPrEx>
          <w:tblCellMar>
            <w:top w:w="0" w:type="dxa"/>
            <w:bottom w:w="0" w:type="dxa"/>
          </w:tblCellMar>
        </w:tblPrEx>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1.7</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sz w:val="22"/>
              </w:rPr>
            </w:pPr>
            <w:r>
              <w:rPr>
                <w:sz w:val="22"/>
              </w:rPr>
              <w:t>2.0</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6.2</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4.9</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5.1</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7.3</w:t>
            </w:r>
          </w:p>
        </w:tc>
        <w:tc>
          <w:tcPr>
            <w:tcW w:w="120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7.9</w:t>
            </w:r>
          </w:p>
        </w:tc>
        <w:tc>
          <w:tcPr>
            <w:tcW w:w="10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60" w:after="60" w:line="240" w:lineRule="auto"/>
              <w:jc w:val="center"/>
              <w:rPr>
                <w:rFonts w:hint="eastAsia"/>
                <w:sz w:val="22"/>
              </w:rPr>
            </w:pPr>
            <w:r>
              <w:rPr>
                <w:sz w:val="22"/>
              </w:rPr>
              <w:t>6.8</w:t>
            </w:r>
          </w:p>
        </w:tc>
      </w:tr>
    </w:tbl>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p>
    <w:p w:rsidR="00000000" w:rsidRDefault="00954A93">
      <w:pPr>
        <w:pStyle w:val="Heading4"/>
        <w:rPr>
          <w:rFonts w:hint="eastAsia"/>
        </w:rPr>
      </w:pPr>
      <w:r>
        <w:rPr>
          <w:u w:val="none"/>
        </w:rPr>
        <w:t>(m)</w:t>
      </w:r>
      <w:r>
        <w:rPr>
          <w:u w:val="none"/>
        </w:rPr>
        <w:tab/>
      </w:r>
      <w:r>
        <w:rPr>
          <w:rFonts w:eastAsia="華康中黑體" w:hint="eastAsia"/>
        </w:rPr>
        <w:t>通胀率</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60" w:line="340" w:lineRule="auto"/>
        <w:rPr>
          <w:rFonts w:hint="eastAsia"/>
        </w:rPr>
      </w:pPr>
      <w:r>
        <w:tab/>
        <w:t>(i)</w:t>
      </w:r>
      <w:r>
        <w:tab/>
      </w:r>
      <w:r>
        <w:rPr>
          <w:rFonts w:hint="eastAsia"/>
        </w:rPr>
        <w:t>综合消费物价指数</w:t>
      </w:r>
      <w:r>
        <w:rPr>
          <w:rStyle w:val="FootnoteReference"/>
          <w:b/>
          <w:color w:val="003366"/>
        </w:rPr>
        <w:footnoteReference w:customMarkFollows="1" w:id="12"/>
        <w:t>7</w:t>
      </w:r>
    </w:p>
    <w:tbl>
      <w:tblPr>
        <w:tblW w:w="0" w:type="auto"/>
        <w:tblInd w:w="1256" w:type="dxa"/>
        <w:tblLayout w:type="fixed"/>
        <w:tblCellMar>
          <w:left w:w="56" w:type="dxa"/>
          <w:right w:w="56" w:type="dxa"/>
        </w:tblCellMar>
        <w:tblLook w:val="0000" w:firstRow="0" w:lastRow="0" w:firstColumn="0" w:lastColumn="0" w:noHBand="0" w:noVBand="0"/>
      </w:tblPr>
      <w:tblGrid>
        <w:gridCol w:w="3240"/>
        <w:gridCol w:w="4560"/>
      </w:tblGrid>
      <w:tr w:rsidR="00000000">
        <w:tblPrEx>
          <w:tblCellMar>
            <w:top w:w="0" w:type="dxa"/>
            <w:bottom w:w="0" w:type="dxa"/>
          </w:tblCellMar>
        </w:tblPrEx>
        <w:trPr>
          <w:cantSplit/>
        </w:trPr>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sz w:val="22"/>
              </w:rPr>
            </w:pPr>
            <w:r>
              <w:rPr>
                <w:rFonts w:hint="eastAsia"/>
                <w:sz w:val="22"/>
                <w:u w:val="single"/>
              </w:rPr>
              <w:t>年份</w:t>
            </w:r>
          </w:p>
        </w:tc>
        <w:tc>
          <w:tcPr>
            <w:tcW w:w="45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jc w:val="right"/>
              <w:rPr>
                <w:sz w:val="22"/>
              </w:rPr>
            </w:pPr>
            <w:r>
              <w:rPr>
                <w:rFonts w:hint="eastAsia"/>
                <w:sz w:val="22"/>
                <w:u w:val="single"/>
              </w:rPr>
              <w:t>综合消费物价指数的按年变动率</w:t>
            </w:r>
            <w:r>
              <w:rPr>
                <w:sz w:val="22"/>
                <w:u w:val="single"/>
              </w:rPr>
              <w:t>(%)</w:t>
            </w:r>
          </w:p>
        </w:tc>
      </w:tr>
      <w:tr w:rsidR="00000000">
        <w:tblPrEx>
          <w:tblCellMar>
            <w:top w:w="0" w:type="dxa"/>
            <w:bottom w:w="0" w:type="dxa"/>
          </w:tblCellMar>
        </w:tblPrEx>
        <w:trPr>
          <w:cantSplit/>
        </w:trPr>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u w:val="single"/>
              </w:rPr>
            </w:pPr>
          </w:p>
        </w:tc>
        <w:tc>
          <w:tcPr>
            <w:tcW w:w="45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jc w:val="right"/>
              <w:rPr>
                <w:rFonts w:hint="eastAsia"/>
                <w:sz w:val="22"/>
                <w:u w:val="single"/>
              </w:rPr>
            </w:pP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sz w:val="22"/>
              </w:rPr>
              <w:t>1996</w:t>
            </w:r>
          </w:p>
        </w:tc>
        <w:tc>
          <w:tcPr>
            <w:tcW w:w="4560" w:type="dxa"/>
          </w:tcPr>
          <w:p w:rsidR="00000000" w:rsidRDefault="00954A93">
            <w:pPr>
              <w:tabs>
                <w:tab w:val="decimal" w:pos="2224"/>
                <w:tab w:val="left" w:pos="4536"/>
                <w:tab w:val="left" w:pos="5103"/>
                <w:tab w:val="left" w:pos="5670"/>
                <w:tab w:val="left" w:pos="6237"/>
                <w:tab w:val="left" w:pos="6804"/>
              </w:tabs>
              <w:rPr>
                <w:sz w:val="22"/>
              </w:rPr>
            </w:pPr>
            <w:r>
              <w:rPr>
                <w:sz w:val="22"/>
              </w:rPr>
              <w:tab/>
              <w:t>6.3</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sz w:val="22"/>
              </w:rPr>
              <w:t>1997</w:t>
            </w:r>
          </w:p>
        </w:tc>
        <w:tc>
          <w:tcPr>
            <w:tcW w:w="4560" w:type="dxa"/>
          </w:tcPr>
          <w:p w:rsidR="00000000" w:rsidRDefault="00954A93">
            <w:pPr>
              <w:tabs>
                <w:tab w:val="decimal" w:pos="2224"/>
                <w:tab w:val="left" w:pos="4536"/>
                <w:tab w:val="left" w:pos="5103"/>
                <w:tab w:val="left" w:pos="5670"/>
                <w:tab w:val="left" w:pos="6237"/>
                <w:tab w:val="left" w:pos="6804"/>
              </w:tabs>
              <w:rPr>
                <w:sz w:val="22"/>
              </w:rPr>
            </w:pPr>
            <w:r>
              <w:rPr>
                <w:sz w:val="22"/>
              </w:rPr>
              <w:tab/>
              <w:t>5.8</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sz w:val="22"/>
              </w:rPr>
              <w:t>1998</w:t>
            </w:r>
          </w:p>
        </w:tc>
        <w:tc>
          <w:tcPr>
            <w:tcW w:w="4560" w:type="dxa"/>
          </w:tcPr>
          <w:p w:rsidR="00000000" w:rsidRDefault="00954A93">
            <w:pPr>
              <w:tabs>
                <w:tab w:val="decimal" w:pos="2224"/>
                <w:tab w:val="left" w:pos="4536"/>
                <w:tab w:val="left" w:pos="5103"/>
                <w:tab w:val="left" w:pos="5670"/>
                <w:tab w:val="left" w:pos="6237"/>
                <w:tab w:val="left" w:pos="6804"/>
              </w:tabs>
              <w:rPr>
                <w:sz w:val="22"/>
              </w:rPr>
            </w:pPr>
            <w:r>
              <w:rPr>
                <w:sz w:val="22"/>
              </w:rPr>
              <w:tab/>
              <w:t>2.8</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r>
              <w:rPr>
                <w:sz w:val="22"/>
              </w:rPr>
              <w:t>1999</w:t>
            </w:r>
          </w:p>
        </w:tc>
        <w:tc>
          <w:tcPr>
            <w:tcW w:w="4560" w:type="dxa"/>
          </w:tcPr>
          <w:p w:rsidR="00000000" w:rsidRDefault="00954A93">
            <w:pPr>
              <w:tabs>
                <w:tab w:val="decimal" w:pos="2224"/>
                <w:tab w:val="left" w:pos="4536"/>
                <w:tab w:val="left" w:pos="5103"/>
                <w:tab w:val="left" w:pos="5670"/>
                <w:tab w:val="left" w:pos="6237"/>
                <w:tab w:val="left" w:pos="6804"/>
              </w:tabs>
              <w:rPr>
                <w:rFonts w:hint="eastAsia"/>
                <w:sz w:val="22"/>
              </w:rPr>
            </w:pPr>
            <w:r>
              <w:rPr>
                <w:sz w:val="22"/>
              </w:rPr>
              <w:tab/>
              <w:t>-4.0</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r>
              <w:rPr>
                <w:sz w:val="22"/>
              </w:rPr>
              <w:t>2000</w:t>
            </w:r>
          </w:p>
        </w:tc>
        <w:tc>
          <w:tcPr>
            <w:tcW w:w="4560" w:type="dxa"/>
          </w:tcPr>
          <w:p w:rsidR="00000000" w:rsidRDefault="00954A93">
            <w:pPr>
              <w:tabs>
                <w:tab w:val="decimal" w:pos="2224"/>
                <w:tab w:val="left" w:pos="4536"/>
                <w:tab w:val="left" w:pos="5103"/>
                <w:tab w:val="left" w:pos="5670"/>
                <w:tab w:val="left" w:pos="6237"/>
                <w:tab w:val="left" w:pos="6804"/>
              </w:tabs>
              <w:rPr>
                <w:rFonts w:hint="eastAsia"/>
                <w:sz w:val="22"/>
              </w:rPr>
            </w:pPr>
            <w:r>
              <w:rPr>
                <w:sz w:val="22"/>
              </w:rPr>
              <w:tab/>
              <w:t>-3.8</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r>
              <w:rPr>
                <w:sz w:val="22"/>
              </w:rPr>
              <w:t>2001</w:t>
            </w:r>
          </w:p>
        </w:tc>
        <w:tc>
          <w:tcPr>
            <w:tcW w:w="4560" w:type="dxa"/>
          </w:tcPr>
          <w:p w:rsidR="00000000" w:rsidRDefault="00954A93">
            <w:pPr>
              <w:tabs>
                <w:tab w:val="decimal" w:pos="2224"/>
                <w:tab w:val="left" w:pos="4536"/>
                <w:tab w:val="left" w:pos="5103"/>
                <w:tab w:val="left" w:pos="5670"/>
                <w:tab w:val="left" w:pos="6237"/>
                <w:tab w:val="left" w:pos="6804"/>
              </w:tabs>
              <w:rPr>
                <w:rFonts w:hint="eastAsia"/>
                <w:sz w:val="22"/>
              </w:rPr>
            </w:pPr>
            <w:r>
              <w:rPr>
                <w:sz w:val="22"/>
              </w:rPr>
              <w:tab/>
              <w:t>-1.6</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r>
              <w:rPr>
                <w:sz w:val="22"/>
              </w:rPr>
              <w:t>2002</w:t>
            </w:r>
          </w:p>
        </w:tc>
        <w:tc>
          <w:tcPr>
            <w:tcW w:w="4560" w:type="dxa"/>
          </w:tcPr>
          <w:p w:rsidR="00000000" w:rsidRDefault="00954A93">
            <w:pPr>
              <w:tabs>
                <w:tab w:val="decimal" w:pos="2224"/>
                <w:tab w:val="left" w:pos="4536"/>
                <w:tab w:val="left" w:pos="5103"/>
                <w:tab w:val="left" w:pos="5670"/>
                <w:tab w:val="left" w:pos="6237"/>
                <w:tab w:val="left" w:pos="6804"/>
              </w:tabs>
              <w:rPr>
                <w:rFonts w:hint="eastAsia"/>
                <w:sz w:val="22"/>
              </w:rPr>
            </w:pPr>
            <w:r>
              <w:rPr>
                <w:sz w:val="22"/>
              </w:rPr>
              <w:tab/>
              <w:t>-3.0</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r>
              <w:rPr>
                <w:sz w:val="22"/>
              </w:rPr>
              <w:t>2003</w:t>
            </w:r>
          </w:p>
        </w:tc>
        <w:tc>
          <w:tcPr>
            <w:tcW w:w="4560" w:type="dxa"/>
          </w:tcPr>
          <w:p w:rsidR="00000000" w:rsidRDefault="00954A93">
            <w:pPr>
              <w:tabs>
                <w:tab w:val="decimal" w:pos="2224"/>
                <w:tab w:val="left" w:pos="4536"/>
                <w:tab w:val="left" w:pos="5103"/>
                <w:tab w:val="left" w:pos="5670"/>
                <w:tab w:val="left" w:pos="6237"/>
                <w:tab w:val="left" w:pos="6804"/>
              </w:tabs>
              <w:rPr>
                <w:rFonts w:hint="eastAsia"/>
                <w:sz w:val="22"/>
              </w:rPr>
            </w:pPr>
            <w:r>
              <w:rPr>
                <w:sz w:val="22"/>
              </w:rPr>
              <w:tab/>
              <w:t>-2.6</w:t>
            </w:r>
          </w:p>
        </w:tc>
      </w:tr>
      <w:tr w:rsidR="00000000">
        <w:tblPrEx>
          <w:tblCellMar>
            <w:top w:w="0" w:type="dxa"/>
            <w:bottom w:w="0" w:type="dxa"/>
          </w:tblCellMar>
        </w:tblPrEx>
        <w:tc>
          <w:tcPr>
            <w:tcW w:w="3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sz w:val="22"/>
              </w:rPr>
            </w:pPr>
            <w:r>
              <w:rPr>
                <w:sz w:val="22"/>
              </w:rPr>
              <w:t>2004</w:t>
            </w:r>
          </w:p>
        </w:tc>
        <w:tc>
          <w:tcPr>
            <w:tcW w:w="4560" w:type="dxa"/>
          </w:tcPr>
          <w:p w:rsidR="00000000" w:rsidRDefault="00954A93">
            <w:pPr>
              <w:tabs>
                <w:tab w:val="decimal" w:pos="2224"/>
                <w:tab w:val="left" w:pos="4536"/>
                <w:tab w:val="left" w:pos="5103"/>
                <w:tab w:val="left" w:pos="5670"/>
                <w:tab w:val="left" w:pos="6237"/>
                <w:tab w:val="left" w:pos="6804"/>
              </w:tabs>
              <w:rPr>
                <w:sz w:val="22"/>
              </w:rPr>
            </w:pPr>
            <w:r>
              <w:rPr>
                <w:sz w:val="22"/>
              </w:rPr>
              <w:tab/>
              <w:t>-0.4</w:t>
            </w:r>
          </w:p>
        </w:tc>
      </w:tr>
    </w:tbl>
    <w:p w:rsidR="00000000" w:rsidRDefault="00954A93">
      <w:pPr>
        <w:tabs>
          <w:tab w:val="left" w:pos="567"/>
          <w:tab w:val="left" w:pos="1134"/>
          <w:tab w:val="left" w:pos="1701"/>
          <w:tab w:val="left" w:pos="2268"/>
          <w:tab w:val="left" w:pos="2835"/>
        </w:tabs>
        <w:spacing w:line="400" w:lineRule="atLeast"/>
        <w:ind w:left="1701" w:hanging="1701"/>
        <w:rPr>
          <w:rFonts w:hint="eastAsia"/>
          <w:sz w:val="22"/>
        </w:rPr>
      </w:pP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pPr>
      <w:r>
        <w:tab/>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60"/>
        <w:rPr>
          <w:rFonts w:hint="eastAsia"/>
        </w:rPr>
      </w:pPr>
      <w:r>
        <w:br w:type="page"/>
      </w:r>
      <w:r>
        <w:rPr>
          <w:rFonts w:hint="eastAsia"/>
        </w:rPr>
        <w:tab/>
      </w:r>
      <w:r>
        <w:t>(ii)</w:t>
      </w:r>
      <w:r>
        <w:tab/>
      </w:r>
      <w:r>
        <w:rPr>
          <w:rFonts w:hint="eastAsia"/>
        </w:rPr>
        <w:t>本地生</w:t>
      </w:r>
      <w:r>
        <w:rPr>
          <w:rFonts w:ascii="SimSun" w:hAnsi="SimSun" w:cs="SimSun" w:hint="eastAsia"/>
        </w:rPr>
        <w:t>产</w:t>
      </w:r>
      <w:r>
        <w:rPr>
          <w:rFonts w:ascii="MS Mincho" w:hAnsi="MS Mincho" w:cs="MS Mincho" w:hint="eastAsia"/>
        </w:rPr>
        <w:t>总</w:t>
      </w:r>
      <w:r>
        <w:rPr>
          <w:rFonts w:ascii="SimSun" w:hAnsi="SimSun" w:cs="SimSun" w:hint="eastAsia"/>
        </w:rPr>
        <w:t>值</w:t>
      </w:r>
      <w:r>
        <w:rPr>
          <w:rFonts w:ascii="MS Mincho" w:hAnsi="MS Mincho" w:cs="MS Mincho" w:hint="eastAsia"/>
        </w:rPr>
        <w:t>的</w:t>
      </w:r>
      <w:r>
        <w:rPr>
          <w:rFonts w:ascii="SimSun" w:hAnsi="SimSun" w:cs="SimSun" w:hint="eastAsia"/>
        </w:rPr>
        <w:t>内</w:t>
      </w:r>
      <w:r>
        <w:rPr>
          <w:rFonts w:ascii="MS Mincho" w:hAnsi="MS Mincho" w:cs="MS Mincho" w:hint="eastAsia"/>
        </w:rPr>
        <w:t>含平减物价指数</w:t>
      </w:r>
    </w:p>
    <w:tbl>
      <w:tblPr>
        <w:tblW w:w="0" w:type="auto"/>
        <w:tblInd w:w="1228" w:type="dxa"/>
        <w:tblLayout w:type="fixed"/>
        <w:tblCellMar>
          <w:left w:w="28" w:type="dxa"/>
          <w:right w:w="28" w:type="dxa"/>
        </w:tblCellMar>
        <w:tblLook w:val="0000" w:firstRow="0" w:lastRow="0" w:firstColumn="0" w:lastColumn="0" w:noHBand="0" w:noVBand="0"/>
      </w:tblPr>
      <w:tblGrid>
        <w:gridCol w:w="2280"/>
        <w:gridCol w:w="2760"/>
        <w:gridCol w:w="2760"/>
      </w:tblGrid>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sz w:val="22"/>
              </w:rPr>
            </w:pPr>
            <w:r>
              <w:rPr>
                <w:sz w:val="22"/>
              </w:rPr>
              <w:t xml:space="preserve"> </w:t>
            </w:r>
            <w:r>
              <w:rPr>
                <w:rFonts w:hint="eastAsia"/>
                <w:sz w:val="22"/>
                <w:u w:val="single"/>
              </w:rPr>
              <w:t>年份</w:t>
            </w:r>
          </w:p>
        </w:tc>
        <w:tc>
          <w:tcPr>
            <w:tcW w:w="27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jc w:val="center"/>
              <w:rPr>
                <w:sz w:val="22"/>
              </w:rPr>
            </w:pPr>
            <w:r>
              <w:rPr>
                <w:sz w:val="22"/>
                <w:u w:val="single"/>
              </w:rPr>
              <w:t>(2000</w:t>
            </w:r>
            <w:r>
              <w:rPr>
                <w:rFonts w:hint="eastAsia"/>
                <w:sz w:val="22"/>
                <w:u w:val="single"/>
              </w:rPr>
              <w:t>年</w:t>
            </w:r>
            <w:r>
              <w:rPr>
                <w:sz w:val="22"/>
                <w:u w:val="single"/>
              </w:rPr>
              <w:t xml:space="preserve"> = 100)</w:t>
            </w:r>
          </w:p>
        </w:tc>
        <w:tc>
          <w:tcPr>
            <w:tcW w:w="27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jc w:val="center"/>
              <w:rPr>
                <w:sz w:val="22"/>
              </w:rPr>
            </w:pPr>
            <w:r>
              <w:rPr>
                <w:rFonts w:ascii="SimSun" w:hAnsi="SimSun" w:cs="SimSun" w:hint="eastAsia"/>
                <w:sz w:val="22"/>
                <w:u w:val="single"/>
              </w:rPr>
              <w:t>每</w:t>
            </w:r>
            <w:r>
              <w:rPr>
                <w:rFonts w:ascii="MS Mincho" w:hAnsi="MS Mincho" w:cs="MS Mincho" w:hint="eastAsia"/>
                <w:sz w:val="22"/>
                <w:u w:val="single"/>
              </w:rPr>
              <w:t>年变动率</w:t>
            </w:r>
            <w:r>
              <w:rPr>
                <w:sz w:val="22"/>
                <w:u w:val="single"/>
              </w:rPr>
              <w:t>(%)</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sz w:val="22"/>
              </w:rPr>
            </w:pPr>
            <w:r>
              <w:rPr>
                <w:sz w:val="22"/>
              </w:rPr>
              <w:t>1996</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106.9</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5.8</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1997</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113.0</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5.7</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1998</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113.2</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0.2</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1999</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106.6</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-5.8</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20</w:t>
            </w:r>
            <w:r>
              <w:rPr>
                <w:sz w:val="22"/>
              </w:rPr>
              <w:t>00</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100.0</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-6.2</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2001</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98.1</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-1.9</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2002</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94.6</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-3.6</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sz w:val="22"/>
              </w:rPr>
            </w:pPr>
            <w:r>
              <w:rPr>
                <w:sz w:val="22"/>
              </w:rPr>
              <w:t xml:space="preserve">2003 </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89.6</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-5.3</w:t>
            </w:r>
          </w:p>
        </w:tc>
      </w:tr>
      <w:tr w:rsidR="00000000">
        <w:tblPrEx>
          <w:tblCellMar>
            <w:top w:w="0" w:type="dxa"/>
            <w:bottom w:w="0" w:type="dxa"/>
          </w:tblCellMar>
        </w:tblPrEx>
        <w:tc>
          <w:tcPr>
            <w:tcW w:w="22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40" w:lineRule="atLeast"/>
              <w:rPr>
                <w:rFonts w:hint="eastAsia"/>
                <w:sz w:val="22"/>
              </w:rPr>
            </w:pPr>
            <w:r>
              <w:rPr>
                <w:sz w:val="22"/>
              </w:rPr>
              <w:t>2004</w:t>
            </w:r>
          </w:p>
        </w:tc>
        <w:tc>
          <w:tcPr>
            <w:tcW w:w="2760" w:type="dxa"/>
          </w:tcPr>
          <w:p w:rsidR="00000000" w:rsidRDefault="00954A93">
            <w:pPr>
              <w:tabs>
                <w:tab w:val="decimal" w:pos="1292"/>
                <w:tab w:val="left" w:pos="5670"/>
                <w:tab w:val="left" w:pos="6237"/>
                <w:tab w:val="left" w:pos="6804"/>
              </w:tabs>
              <w:spacing w:line="340" w:lineRule="atLeast"/>
              <w:rPr>
                <w:rFonts w:hint="eastAsia"/>
                <w:sz w:val="22"/>
              </w:rPr>
            </w:pPr>
            <w:r>
              <w:rPr>
                <w:sz w:val="22"/>
              </w:rPr>
              <w:tab/>
              <w:t>87.1</w:t>
            </w:r>
          </w:p>
        </w:tc>
        <w:tc>
          <w:tcPr>
            <w:tcW w:w="2760" w:type="dxa"/>
          </w:tcPr>
          <w:p w:rsidR="00000000" w:rsidRDefault="00954A93">
            <w:pPr>
              <w:tabs>
                <w:tab w:val="decimal" w:pos="1292"/>
                <w:tab w:val="left" w:pos="5670"/>
                <w:tab w:val="left" w:pos="6237"/>
                <w:tab w:val="left" w:pos="6804"/>
              </w:tabs>
              <w:spacing w:line="340" w:lineRule="atLeast"/>
              <w:rPr>
                <w:sz w:val="22"/>
              </w:rPr>
            </w:pPr>
            <w:r>
              <w:rPr>
                <w:sz w:val="22"/>
              </w:rPr>
              <w:tab/>
              <w:t>-2.8</w:t>
            </w:r>
          </w:p>
        </w:tc>
      </w:tr>
    </w:tbl>
    <w:p w:rsidR="00000000" w:rsidRDefault="00954A93">
      <w:pPr>
        <w:pStyle w:val="Heading4"/>
        <w:spacing w:before="480"/>
      </w:pPr>
      <w:r>
        <w:rPr>
          <w:u w:val="none"/>
        </w:rPr>
        <w:t>(n)</w:t>
      </w:r>
      <w:r>
        <w:rPr>
          <w:u w:val="none"/>
        </w:rPr>
        <w:tab/>
      </w:r>
      <w:r>
        <w:rPr>
          <w:rFonts w:hint="eastAsia"/>
        </w:rPr>
        <w:t>本地生</w:t>
      </w:r>
      <w:r>
        <w:rPr>
          <w:rFonts w:cs="SimSun" w:hint="eastAsia"/>
        </w:rPr>
        <w:t>产</w:t>
      </w:r>
      <w:r>
        <w:rPr>
          <w:rFonts w:cs="MS Mincho" w:hint="eastAsia"/>
        </w:rPr>
        <w:t>总</w:t>
      </w:r>
      <w:r>
        <w:rPr>
          <w:rFonts w:cs="SimSun" w:hint="eastAsia"/>
        </w:rPr>
        <w:t>值</w:t>
      </w:r>
    </w:p>
    <w:tbl>
      <w:tblPr>
        <w:tblW w:w="0" w:type="auto"/>
        <w:tblInd w:w="678" w:type="dxa"/>
        <w:tblLayout w:type="fixed"/>
        <w:tblCellMar>
          <w:left w:w="28" w:type="dxa"/>
          <w:right w:w="28" w:type="dxa"/>
        </w:tblCellMar>
        <w:tblLook w:val="0000" w:firstRow="0" w:lastRow="0" w:firstColumn="0" w:lastColumn="0" w:noHBand="0" w:noVBand="0"/>
      </w:tblPr>
      <w:tblGrid>
        <w:gridCol w:w="670"/>
        <w:gridCol w:w="720"/>
        <w:gridCol w:w="721"/>
        <w:gridCol w:w="359"/>
        <w:gridCol w:w="1920"/>
        <w:gridCol w:w="360"/>
        <w:gridCol w:w="240"/>
        <w:gridCol w:w="3120"/>
        <w:gridCol w:w="240"/>
      </w:tblGrid>
      <w:tr w:rsidR="00000000">
        <w:tblPrEx>
          <w:tblCellMar>
            <w:top w:w="0" w:type="dxa"/>
            <w:bottom w:w="0" w:type="dxa"/>
          </w:tblCellMar>
        </w:tblPrEx>
        <w:tc>
          <w:tcPr>
            <w:tcW w:w="67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sz w:val="22"/>
              </w:rPr>
            </w:pPr>
          </w:p>
        </w:tc>
        <w:tc>
          <w:tcPr>
            <w:tcW w:w="720" w:type="dxa"/>
            <w:tcBorders>
              <w:bottom w:val="single" w:sz="4" w:space="0" w:color="auto"/>
            </w:tcBorders>
            <w:vAlign w:val="bottom"/>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64" w:lineRule="auto"/>
              <w:jc w:val="center"/>
              <w:rPr>
                <w:sz w:val="22"/>
              </w:rPr>
            </w:pPr>
            <w:r>
              <w:rPr>
                <w:sz w:val="22"/>
              </w:rPr>
              <w:br/>
            </w:r>
            <w:r>
              <w:rPr>
                <w:rFonts w:hint="eastAsia"/>
                <w:sz w:val="22"/>
              </w:rPr>
              <w:t>年份</w:t>
            </w:r>
          </w:p>
        </w:tc>
        <w:tc>
          <w:tcPr>
            <w:tcW w:w="721"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sz w:val="22"/>
              </w:rPr>
            </w:pPr>
          </w:p>
        </w:tc>
        <w:tc>
          <w:tcPr>
            <w:tcW w:w="359"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p>
        </w:tc>
        <w:tc>
          <w:tcPr>
            <w:tcW w:w="1920" w:type="dxa"/>
            <w:tcBorders>
              <w:bottom w:val="single" w:sz="4" w:space="0" w:color="auto"/>
            </w:tcBorders>
            <w:vAlign w:val="bottom"/>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64" w:lineRule="auto"/>
              <w:jc w:val="center"/>
              <w:rPr>
                <w:rFonts w:hint="eastAsia"/>
                <w:sz w:val="22"/>
              </w:rPr>
            </w:pPr>
            <w:r>
              <w:rPr>
                <w:rFonts w:hint="eastAsia"/>
                <w:sz w:val="22"/>
              </w:rPr>
              <w:t>按当时市价计算</w:t>
            </w:r>
            <w:r>
              <w:rPr>
                <w:sz w:val="22"/>
              </w:rPr>
              <w:br/>
              <w:t>(</w:t>
            </w:r>
            <w:r>
              <w:rPr>
                <w:rFonts w:hint="eastAsia"/>
                <w:sz w:val="22"/>
              </w:rPr>
              <w:t>百万美元</w:t>
            </w:r>
            <w:r>
              <w:rPr>
                <w:sz w:val="22"/>
              </w:rPr>
              <w:t>)</w:t>
            </w:r>
          </w:p>
        </w:tc>
        <w:tc>
          <w:tcPr>
            <w:tcW w:w="3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p>
        </w:tc>
        <w:tc>
          <w:tcPr>
            <w:tcW w:w="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p>
        </w:tc>
        <w:tc>
          <w:tcPr>
            <w:tcW w:w="3120" w:type="dxa"/>
            <w:tcBorders>
              <w:bottom w:val="single" w:sz="4" w:space="0" w:color="auto"/>
            </w:tcBorders>
            <w:vAlign w:val="bottom"/>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line="264" w:lineRule="auto"/>
              <w:jc w:val="center"/>
              <w:rPr>
                <w:rFonts w:hint="eastAsia"/>
                <w:sz w:val="22"/>
              </w:rPr>
            </w:pPr>
            <w:r>
              <w:rPr>
                <w:rFonts w:hint="eastAsia"/>
                <w:sz w:val="22"/>
              </w:rPr>
              <w:t>按</w:t>
            </w:r>
            <w:r>
              <w:rPr>
                <w:sz w:val="22"/>
              </w:rPr>
              <w:t>2000</w:t>
            </w:r>
            <w:r>
              <w:rPr>
                <w:rFonts w:hint="eastAsia"/>
                <w:sz w:val="22"/>
              </w:rPr>
              <w:t>年的固定市价计算</w:t>
            </w:r>
            <w:r>
              <w:rPr>
                <w:sz w:val="22"/>
              </w:rPr>
              <w:br/>
              <w:t>(</w:t>
            </w:r>
            <w:r>
              <w:rPr>
                <w:rFonts w:hint="eastAsia"/>
                <w:sz w:val="22"/>
              </w:rPr>
              <w:t>百万美元</w:t>
            </w:r>
            <w:r>
              <w:rPr>
                <w:sz w:val="22"/>
              </w:rPr>
              <w:t>)</w:t>
            </w:r>
            <w:r>
              <w:rPr>
                <w:rStyle w:val="FootnoteReference"/>
                <w:sz w:val="22"/>
              </w:rPr>
              <w:footnoteReference w:customMarkFollows="1" w:id="13"/>
              <w:t>8</w:t>
            </w:r>
          </w:p>
        </w:tc>
        <w:tc>
          <w:tcPr>
            <w:tcW w:w="2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80" w:line="312" w:lineRule="auto"/>
              <w:jc w:val="center"/>
              <w:rPr>
                <w:sz w:val="22"/>
              </w:rPr>
            </w:pPr>
            <w:r>
              <w:rPr>
                <w:sz w:val="22"/>
              </w:rPr>
              <w:t>1996</w:t>
            </w:r>
          </w:p>
        </w:tc>
        <w:tc>
          <w:tcPr>
            <w:tcW w:w="2639" w:type="dxa"/>
            <w:gridSpan w:val="3"/>
          </w:tcPr>
          <w:p w:rsidR="00000000" w:rsidRDefault="00954A93">
            <w:pPr>
              <w:tabs>
                <w:tab w:val="left" w:pos="6237"/>
                <w:tab w:val="left" w:pos="6804"/>
              </w:tabs>
              <w:spacing w:before="180" w:line="312" w:lineRule="auto"/>
              <w:ind w:right="931"/>
              <w:jc w:val="right"/>
              <w:rPr>
                <w:sz w:val="22"/>
              </w:rPr>
            </w:pPr>
            <w:r>
              <w:rPr>
                <w:sz w:val="22"/>
              </w:rPr>
              <w:t>156,572</w:t>
            </w:r>
          </w:p>
        </w:tc>
        <w:tc>
          <w:tcPr>
            <w:tcW w:w="3600" w:type="dxa"/>
            <w:gridSpan w:val="3"/>
          </w:tcPr>
          <w:p w:rsidR="00000000" w:rsidRDefault="00954A93">
            <w:pPr>
              <w:tabs>
                <w:tab w:val="left" w:pos="6237"/>
                <w:tab w:val="left" w:pos="6804"/>
              </w:tabs>
              <w:spacing w:before="180" w:line="312" w:lineRule="auto"/>
              <w:ind w:right="1291"/>
              <w:jc w:val="right"/>
              <w:rPr>
                <w:sz w:val="22"/>
              </w:rPr>
            </w:pPr>
            <w:r>
              <w:rPr>
                <w:sz w:val="22"/>
              </w:rPr>
              <w:t>146,434</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rFonts w:hint="eastAsia"/>
                <w:sz w:val="22"/>
              </w:rPr>
            </w:pPr>
            <w:r>
              <w:rPr>
                <w:sz w:val="22"/>
              </w:rPr>
              <w:t>1997</w:t>
            </w:r>
            <w:r>
              <w:rPr>
                <w:sz w:val="22"/>
                <w:vertAlign w:val="superscript"/>
              </w:rPr>
              <w:br w:type="page"/>
            </w:r>
            <w:r>
              <w:rPr>
                <w:sz w:val="22"/>
                <w:vertAlign w:val="superscript"/>
              </w:rPr>
              <w:br w:type="page"/>
            </w:r>
            <w:r>
              <w:rPr>
                <w:sz w:val="22"/>
                <w:vertAlign w:val="superscript"/>
              </w:rPr>
              <w:br w:type="page"/>
            </w:r>
            <w:r>
              <w:rPr>
                <w:sz w:val="22"/>
                <w:vertAlign w:val="superscript"/>
              </w:rPr>
              <w:br w:type="page"/>
            </w:r>
            <w:r>
              <w:rPr>
                <w:sz w:val="22"/>
                <w:vertAlign w:val="superscript"/>
              </w:rPr>
              <w:br w:type="page"/>
            </w:r>
            <w:r>
              <w:rPr>
                <w:sz w:val="22"/>
                <w:vertAlign w:val="superscript"/>
              </w:rPr>
              <w:br w:type="page"/>
            </w:r>
          </w:p>
        </w:tc>
        <w:tc>
          <w:tcPr>
            <w:tcW w:w="2639" w:type="dxa"/>
            <w:gridSpan w:val="3"/>
          </w:tcPr>
          <w:p w:rsidR="00000000" w:rsidRDefault="00954A93">
            <w:pPr>
              <w:tabs>
                <w:tab w:val="left" w:pos="6237"/>
                <w:tab w:val="left" w:pos="6804"/>
              </w:tabs>
              <w:spacing w:before="40" w:after="40" w:line="312" w:lineRule="auto"/>
              <w:ind w:right="931"/>
              <w:jc w:val="right"/>
              <w:rPr>
                <w:sz w:val="22"/>
              </w:rPr>
            </w:pPr>
            <w:r>
              <w:rPr>
                <w:sz w:val="22"/>
              </w:rPr>
              <w:t>173,669</w:t>
            </w:r>
          </w:p>
        </w:tc>
        <w:tc>
          <w:tcPr>
            <w:tcW w:w="3600" w:type="dxa"/>
            <w:gridSpan w:val="3"/>
          </w:tcPr>
          <w:p w:rsidR="00000000" w:rsidRDefault="00954A93">
            <w:pPr>
              <w:tabs>
                <w:tab w:val="left" w:pos="6237"/>
                <w:tab w:val="left" w:pos="6804"/>
              </w:tabs>
              <w:spacing w:before="40" w:after="40" w:line="312" w:lineRule="auto"/>
              <w:ind w:right="1291"/>
              <w:jc w:val="right"/>
              <w:rPr>
                <w:sz w:val="22"/>
              </w:rPr>
            </w:pPr>
            <w:r>
              <w:rPr>
                <w:sz w:val="22"/>
              </w:rPr>
              <w:t>153,703</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rFonts w:hint="eastAsia"/>
                <w:sz w:val="22"/>
              </w:rPr>
            </w:pPr>
            <w:r>
              <w:rPr>
                <w:sz w:val="22"/>
              </w:rPr>
              <w:t>1998</w:t>
            </w:r>
            <w:r>
              <w:rPr>
                <w:sz w:val="22"/>
                <w:vertAlign w:val="superscript"/>
              </w:rPr>
              <w:br w:type="page"/>
            </w:r>
            <w:r>
              <w:rPr>
                <w:sz w:val="22"/>
                <w:vertAlign w:val="superscript"/>
              </w:rPr>
              <w:br w:type="page"/>
            </w:r>
            <w:r>
              <w:rPr>
                <w:sz w:val="22"/>
                <w:vertAlign w:val="superscript"/>
              </w:rPr>
              <w:br w:type="page"/>
            </w:r>
            <w:r>
              <w:rPr>
                <w:sz w:val="22"/>
                <w:vertAlign w:val="superscript"/>
              </w:rPr>
              <w:br w:type="page"/>
            </w:r>
            <w:r>
              <w:rPr>
                <w:sz w:val="22"/>
                <w:vertAlign w:val="superscript"/>
              </w:rPr>
              <w:br w:type="page"/>
            </w:r>
            <w:r>
              <w:rPr>
                <w:sz w:val="22"/>
                <w:vertAlign w:val="superscript"/>
              </w:rPr>
              <w:br w:type="page"/>
            </w:r>
          </w:p>
        </w:tc>
        <w:tc>
          <w:tcPr>
            <w:tcW w:w="2639" w:type="dxa"/>
            <w:gridSpan w:val="3"/>
          </w:tcPr>
          <w:p w:rsidR="00000000" w:rsidRDefault="00954A93">
            <w:pPr>
              <w:tabs>
                <w:tab w:val="left" w:pos="6237"/>
                <w:tab w:val="left" w:pos="6804"/>
              </w:tabs>
              <w:spacing w:before="40" w:after="40" w:line="312" w:lineRule="auto"/>
              <w:ind w:right="931"/>
              <w:jc w:val="right"/>
              <w:rPr>
                <w:sz w:val="22"/>
              </w:rPr>
            </w:pPr>
            <w:r>
              <w:rPr>
                <w:sz w:val="22"/>
              </w:rPr>
              <w:t>165,249</w:t>
            </w:r>
          </w:p>
        </w:tc>
        <w:tc>
          <w:tcPr>
            <w:tcW w:w="3600" w:type="dxa"/>
            <w:gridSpan w:val="3"/>
          </w:tcPr>
          <w:p w:rsidR="00000000" w:rsidRDefault="00954A93">
            <w:pPr>
              <w:tabs>
                <w:tab w:val="left" w:pos="6237"/>
                <w:tab w:val="left" w:pos="6804"/>
              </w:tabs>
              <w:spacing w:before="40" w:after="40" w:line="312" w:lineRule="auto"/>
              <w:ind w:right="1291"/>
              <w:jc w:val="right"/>
              <w:rPr>
                <w:sz w:val="22"/>
              </w:rPr>
            </w:pPr>
            <w:r>
              <w:rPr>
                <w:sz w:val="22"/>
              </w:rPr>
              <w:t>146,009</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rFonts w:hint="eastAsia"/>
                <w:sz w:val="22"/>
              </w:rPr>
            </w:pPr>
            <w:r>
              <w:rPr>
                <w:sz w:val="22"/>
              </w:rPr>
              <w:t>1999</w:t>
            </w:r>
          </w:p>
        </w:tc>
        <w:tc>
          <w:tcPr>
            <w:tcW w:w="2639" w:type="dxa"/>
            <w:gridSpan w:val="3"/>
          </w:tcPr>
          <w:p w:rsidR="00000000" w:rsidRDefault="00954A93">
            <w:pPr>
              <w:tabs>
                <w:tab w:val="left" w:pos="6237"/>
                <w:tab w:val="left" w:pos="6804"/>
              </w:tabs>
              <w:spacing w:before="40" w:after="40" w:line="312" w:lineRule="auto"/>
              <w:ind w:right="931"/>
              <w:jc w:val="right"/>
              <w:rPr>
                <w:sz w:val="22"/>
              </w:rPr>
            </w:pPr>
            <w:r>
              <w:rPr>
                <w:sz w:val="22"/>
              </w:rPr>
              <w:t>160,626</w:t>
            </w:r>
          </w:p>
        </w:tc>
        <w:tc>
          <w:tcPr>
            <w:tcW w:w="3600" w:type="dxa"/>
            <w:gridSpan w:val="3"/>
          </w:tcPr>
          <w:p w:rsidR="00000000" w:rsidRDefault="00954A93">
            <w:pPr>
              <w:tabs>
                <w:tab w:val="left" w:pos="6237"/>
                <w:tab w:val="left" w:pos="6804"/>
              </w:tabs>
              <w:spacing w:before="40" w:after="40" w:line="312" w:lineRule="auto"/>
              <w:ind w:right="1291"/>
              <w:jc w:val="right"/>
              <w:rPr>
                <w:sz w:val="22"/>
              </w:rPr>
            </w:pPr>
            <w:r>
              <w:rPr>
                <w:sz w:val="22"/>
              </w:rPr>
              <w:t>150,744</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rFonts w:hint="eastAsia"/>
                <w:sz w:val="22"/>
              </w:rPr>
            </w:pPr>
            <w:r>
              <w:rPr>
                <w:sz w:val="22"/>
              </w:rPr>
              <w:t>2000</w:t>
            </w:r>
          </w:p>
        </w:tc>
        <w:tc>
          <w:tcPr>
            <w:tcW w:w="2639" w:type="dxa"/>
            <w:gridSpan w:val="3"/>
          </w:tcPr>
          <w:p w:rsidR="00000000" w:rsidRDefault="00954A93">
            <w:pPr>
              <w:tabs>
                <w:tab w:val="left" w:pos="6237"/>
                <w:tab w:val="left" w:pos="6804"/>
              </w:tabs>
              <w:spacing w:before="40" w:after="40" w:line="312" w:lineRule="auto"/>
              <w:ind w:right="931"/>
              <w:jc w:val="right"/>
              <w:rPr>
                <w:sz w:val="22"/>
              </w:rPr>
            </w:pPr>
            <w:r>
              <w:rPr>
                <w:sz w:val="22"/>
              </w:rPr>
              <w:t>16</w:t>
            </w:r>
            <w:r>
              <w:rPr>
                <w:sz w:val="22"/>
              </w:rPr>
              <w:t>5,362</w:t>
            </w:r>
          </w:p>
        </w:tc>
        <w:tc>
          <w:tcPr>
            <w:tcW w:w="3600" w:type="dxa"/>
            <w:gridSpan w:val="3"/>
          </w:tcPr>
          <w:p w:rsidR="00000000" w:rsidRDefault="00954A93">
            <w:pPr>
              <w:tabs>
                <w:tab w:val="left" w:pos="6237"/>
                <w:tab w:val="left" w:pos="6804"/>
              </w:tabs>
              <w:spacing w:before="40" w:after="40" w:line="312" w:lineRule="auto"/>
              <w:ind w:right="1291"/>
              <w:jc w:val="right"/>
              <w:rPr>
                <w:sz w:val="22"/>
              </w:rPr>
            </w:pPr>
            <w:r>
              <w:rPr>
                <w:sz w:val="22"/>
              </w:rPr>
              <w:t>165,362</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sz w:val="22"/>
              </w:rPr>
            </w:pPr>
            <w:r>
              <w:rPr>
                <w:sz w:val="22"/>
              </w:rPr>
              <w:t>2001</w:t>
            </w:r>
          </w:p>
        </w:tc>
        <w:tc>
          <w:tcPr>
            <w:tcW w:w="2639" w:type="dxa"/>
            <w:gridSpan w:val="3"/>
          </w:tcPr>
          <w:p w:rsidR="00000000" w:rsidRDefault="00954A93">
            <w:pPr>
              <w:tabs>
                <w:tab w:val="left" w:pos="6237"/>
                <w:tab w:val="left" w:pos="6804"/>
              </w:tabs>
              <w:spacing w:before="40" w:after="40" w:line="312" w:lineRule="auto"/>
              <w:ind w:right="931"/>
              <w:jc w:val="right"/>
              <w:rPr>
                <w:sz w:val="22"/>
              </w:rPr>
            </w:pPr>
            <w:r>
              <w:rPr>
                <w:sz w:val="22"/>
              </w:rPr>
              <w:t>162,828</w:t>
            </w:r>
          </w:p>
        </w:tc>
        <w:tc>
          <w:tcPr>
            <w:tcW w:w="3600" w:type="dxa"/>
            <w:gridSpan w:val="3"/>
          </w:tcPr>
          <w:p w:rsidR="00000000" w:rsidRDefault="00954A93">
            <w:pPr>
              <w:tabs>
                <w:tab w:val="left" w:pos="6237"/>
                <w:tab w:val="left" w:pos="6804"/>
              </w:tabs>
              <w:spacing w:before="40" w:after="40" w:line="312" w:lineRule="auto"/>
              <w:ind w:right="1291"/>
              <w:jc w:val="right"/>
              <w:rPr>
                <w:sz w:val="22"/>
              </w:rPr>
            </w:pPr>
            <w:r>
              <w:rPr>
                <w:sz w:val="22"/>
              </w:rPr>
              <w:t>165,958</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sz w:val="22"/>
              </w:rPr>
            </w:pPr>
            <w:r>
              <w:rPr>
                <w:sz w:val="22"/>
              </w:rPr>
              <w:t>2002</w:t>
            </w:r>
          </w:p>
        </w:tc>
        <w:tc>
          <w:tcPr>
            <w:tcW w:w="2639" w:type="dxa"/>
            <w:gridSpan w:val="3"/>
          </w:tcPr>
          <w:p w:rsidR="00000000" w:rsidRDefault="00954A93">
            <w:pPr>
              <w:tabs>
                <w:tab w:val="left" w:pos="6237"/>
                <w:tab w:val="left" w:pos="6804"/>
              </w:tabs>
              <w:spacing w:before="40" w:after="40" w:line="312" w:lineRule="auto"/>
              <w:ind w:right="931"/>
              <w:jc w:val="right"/>
              <w:rPr>
                <w:sz w:val="22"/>
              </w:rPr>
            </w:pPr>
            <w:r>
              <w:rPr>
                <w:sz w:val="22"/>
              </w:rPr>
              <w:t>160,015</w:t>
            </w:r>
          </w:p>
        </w:tc>
        <w:tc>
          <w:tcPr>
            <w:tcW w:w="3600" w:type="dxa"/>
            <w:gridSpan w:val="3"/>
          </w:tcPr>
          <w:p w:rsidR="00000000" w:rsidRDefault="00954A93">
            <w:pPr>
              <w:tabs>
                <w:tab w:val="left" w:pos="6237"/>
                <w:tab w:val="left" w:pos="6804"/>
              </w:tabs>
              <w:spacing w:before="40" w:after="40" w:line="312" w:lineRule="auto"/>
              <w:ind w:right="1291"/>
              <w:jc w:val="right"/>
              <w:rPr>
                <w:sz w:val="22"/>
              </w:rPr>
            </w:pPr>
            <w:r>
              <w:rPr>
                <w:sz w:val="22"/>
              </w:rPr>
              <w:t>169,175</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sz w:val="22"/>
              </w:rPr>
            </w:pPr>
            <w:r>
              <w:rPr>
                <w:sz w:val="22"/>
              </w:rPr>
              <w:t>2003</w:t>
            </w:r>
          </w:p>
        </w:tc>
        <w:tc>
          <w:tcPr>
            <w:tcW w:w="2639" w:type="dxa"/>
            <w:gridSpan w:val="3"/>
          </w:tcPr>
          <w:p w:rsidR="00000000" w:rsidRDefault="00954A93">
            <w:pPr>
              <w:tabs>
                <w:tab w:val="left" w:pos="6237"/>
                <w:tab w:val="left" w:pos="6804"/>
              </w:tabs>
              <w:spacing w:before="40" w:after="40" w:line="312" w:lineRule="auto"/>
              <w:ind w:right="931"/>
              <w:jc w:val="right"/>
              <w:rPr>
                <w:rFonts w:hint="eastAsia"/>
                <w:sz w:val="22"/>
              </w:rPr>
            </w:pPr>
            <w:r>
              <w:rPr>
                <w:sz w:val="22"/>
              </w:rPr>
              <w:t>156,676</w:t>
            </w:r>
          </w:p>
        </w:tc>
        <w:tc>
          <w:tcPr>
            <w:tcW w:w="3600" w:type="dxa"/>
            <w:gridSpan w:val="3"/>
          </w:tcPr>
          <w:p w:rsidR="00000000" w:rsidRDefault="00954A93">
            <w:pPr>
              <w:tabs>
                <w:tab w:val="left" w:pos="6237"/>
                <w:tab w:val="left" w:pos="6804"/>
              </w:tabs>
              <w:spacing w:before="40" w:after="40" w:line="312" w:lineRule="auto"/>
              <w:ind w:right="1291"/>
              <w:jc w:val="right"/>
              <w:rPr>
                <w:rFonts w:hint="eastAsia"/>
                <w:sz w:val="22"/>
              </w:rPr>
            </w:pPr>
            <w:r>
              <w:rPr>
                <w:sz w:val="22"/>
              </w:rPr>
              <w:t>174,807</w:t>
            </w:r>
          </w:p>
        </w:tc>
      </w:tr>
      <w:tr w:rsidR="00000000">
        <w:tblPrEx>
          <w:tblCellMar>
            <w:top w:w="0" w:type="dxa"/>
            <w:bottom w:w="0" w:type="dxa"/>
          </w:tblCellMar>
        </w:tblPrEx>
        <w:tc>
          <w:tcPr>
            <w:tcW w:w="2111"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312" w:lineRule="auto"/>
              <w:jc w:val="center"/>
              <w:rPr>
                <w:rFonts w:hint="eastAsia"/>
                <w:sz w:val="22"/>
              </w:rPr>
            </w:pPr>
            <w:r>
              <w:rPr>
                <w:sz w:val="22"/>
              </w:rPr>
              <w:t>2004</w:t>
            </w:r>
          </w:p>
        </w:tc>
        <w:tc>
          <w:tcPr>
            <w:tcW w:w="2639" w:type="dxa"/>
            <w:gridSpan w:val="3"/>
          </w:tcPr>
          <w:p w:rsidR="00000000" w:rsidRDefault="00954A93">
            <w:pPr>
              <w:tabs>
                <w:tab w:val="left" w:pos="6237"/>
                <w:tab w:val="left" w:pos="6804"/>
              </w:tabs>
              <w:spacing w:before="40" w:after="40" w:line="312" w:lineRule="auto"/>
              <w:ind w:right="931"/>
              <w:jc w:val="right"/>
              <w:rPr>
                <w:rFonts w:hint="eastAsia"/>
                <w:sz w:val="22"/>
              </w:rPr>
            </w:pPr>
            <w:r>
              <w:rPr>
                <w:sz w:val="22"/>
              </w:rPr>
              <w:t>164,612</w:t>
            </w:r>
          </w:p>
        </w:tc>
        <w:tc>
          <w:tcPr>
            <w:tcW w:w="3600" w:type="dxa"/>
            <w:gridSpan w:val="3"/>
          </w:tcPr>
          <w:p w:rsidR="00000000" w:rsidRDefault="00954A93">
            <w:pPr>
              <w:tabs>
                <w:tab w:val="left" w:pos="6237"/>
                <w:tab w:val="left" w:pos="6804"/>
              </w:tabs>
              <w:spacing w:before="40" w:after="40" w:line="312" w:lineRule="auto"/>
              <w:ind w:right="1291"/>
              <w:jc w:val="right"/>
              <w:rPr>
                <w:rFonts w:hint="eastAsia"/>
                <w:sz w:val="22"/>
              </w:rPr>
            </w:pPr>
            <w:r>
              <w:rPr>
                <w:sz w:val="22"/>
              </w:rPr>
              <w:t>189,011</w:t>
            </w:r>
          </w:p>
        </w:tc>
      </w:tr>
    </w:tbl>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rPr>
          <w:rFonts w:ascii="華康中黑體"/>
          <w:b/>
        </w:rPr>
      </w:pPr>
    </w:p>
    <w:p w:rsidR="00000000" w:rsidRDefault="00954A93">
      <w:pPr>
        <w:pStyle w:val="Heading4"/>
      </w:pPr>
      <w:r>
        <w:br w:type="page"/>
      </w:r>
      <w:r>
        <w:rPr>
          <w:u w:val="none"/>
        </w:rPr>
        <w:t>(</w:t>
      </w:r>
      <w:r>
        <w:rPr>
          <w:b/>
          <w:u w:val="none"/>
        </w:rPr>
        <w:t>o</w:t>
      </w:r>
      <w:r>
        <w:rPr>
          <w:u w:val="none"/>
        </w:rPr>
        <w:t>)</w:t>
      </w:r>
      <w:r>
        <w:rPr>
          <w:u w:val="none"/>
        </w:rPr>
        <w:tab/>
      </w:r>
      <w:r>
        <w:rPr>
          <w:rFonts w:hint="eastAsia"/>
        </w:rPr>
        <w:t>人口平均收入</w:t>
      </w:r>
      <w:r>
        <w:rPr>
          <w:rFonts w:hint="eastAsia"/>
        </w:rPr>
        <w:br/>
      </w:r>
      <w:r>
        <w:rPr>
          <w:u w:val="none"/>
        </w:rPr>
        <w:tab/>
        <w:t>(1996</w:t>
      </w:r>
      <w:r>
        <w:rPr>
          <w:rFonts w:hint="eastAsia"/>
          <w:u w:val="none"/>
        </w:rPr>
        <w:t>至</w:t>
      </w:r>
      <w:r>
        <w:rPr>
          <w:u w:val="none"/>
        </w:rPr>
        <w:t>2003</w:t>
      </w:r>
      <w:r>
        <w:rPr>
          <w:rFonts w:hint="eastAsia"/>
          <w:u w:val="none"/>
        </w:rPr>
        <w:t>年按人口平均计算的本地生</w:t>
      </w:r>
      <w:r>
        <w:rPr>
          <w:rFonts w:ascii="SimSun" w:hAnsi="SimSun" w:cs="SimSun" w:hint="eastAsia"/>
          <w:u w:val="none"/>
        </w:rPr>
        <w:t>产</w:t>
      </w:r>
      <w:r>
        <w:rPr>
          <w:rFonts w:ascii="MS Mincho" w:hAnsi="MS Mincho" w:cs="MS Mincho" w:hint="eastAsia"/>
          <w:u w:val="none"/>
        </w:rPr>
        <w:t>总</w:t>
      </w:r>
      <w:r>
        <w:rPr>
          <w:rFonts w:ascii="SimSun" w:hAnsi="SimSun" w:cs="SimSun" w:hint="eastAsia"/>
          <w:u w:val="none"/>
        </w:rPr>
        <w:t>值</w:t>
      </w:r>
      <w:r>
        <w:rPr>
          <w:u w:val="none"/>
        </w:rPr>
        <w:t>)</w:t>
      </w:r>
    </w:p>
    <w:tbl>
      <w:tblPr>
        <w:tblW w:w="0" w:type="auto"/>
        <w:tblInd w:w="628" w:type="dxa"/>
        <w:tblLayout w:type="fixed"/>
        <w:tblCellMar>
          <w:left w:w="28" w:type="dxa"/>
          <w:right w:w="28" w:type="dxa"/>
        </w:tblCellMar>
        <w:tblLook w:val="0000" w:firstRow="0" w:lastRow="0" w:firstColumn="0" w:lastColumn="0" w:noHBand="0" w:noVBand="0"/>
      </w:tblPr>
      <w:tblGrid>
        <w:gridCol w:w="720"/>
        <w:gridCol w:w="840"/>
        <w:gridCol w:w="600"/>
        <w:gridCol w:w="360"/>
        <w:gridCol w:w="2160"/>
        <w:gridCol w:w="119"/>
        <w:gridCol w:w="241"/>
        <w:gridCol w:w="3240"/>
        <w:gridCol w:w="121"/>
      </w:tblGrid>
      <w:tr w:rsidR="00000000">
        <w:tblPrEx>
          <w:tblCellMar>
            <w:top w:w="0" w:type="dxa"/>
            <w:bottom w:w="0" w:type="dxa"/>
          </w:tblCellMar>
        </w:tblPrEx>
        <w:trPr>
          <w:cantSplit/>
        </w:trPr>
        <w:tc>
          <w:tcPr>
            <w:tcW w:w="720"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c>
          <w:tcPr>
            <w:tcW w:w="840" w:type="dxa"/>
            <w:tcBorders>
              <w:bottom w:val="single" w:sz="4" w:space="0" w:color="auto"/>
            </w:tcBorders>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sz w:val="22"/>
              </w:rPr>
              <w:br/>
            </w:r>
            <w:r>
              <w:rPr>
                <w:rFonts w:hint="eastAsia"/>
                <w:sz w:val="22"/>
              </w:rPr>
              <w:t>年份</w:t>
            </w:r>
          </w:p>
        </w:tc>
        <w:tc>
          <w:tcPr>
            <w:tcW w:w="600" w:type="dxa"/>
            <w:vAlign w:val="center"/>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c>
          <w:tcPr>
            <w:tcW w:w="36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c>
          <w:tcPr>
            <w:tcW w:w="2160" w:type="dxa"/>
            <w:tcBorders>
              <w:bottom w:val="single" w:sz="4"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rFonts w:hint="eastAsia"/>
                <w:sz w:val="22"/>
              </w:rPr>
              <w:t>按当时市价计算</w:t>
            </w:r>
            <w:r>
              <w:rPr>
                <w:sz w:val="22"/>
              </w:rPr>
              <w:br/>
            </w:r>
            <w:r>
              <w:rPr>
                <w:rFonts w:hint="eastAsia"/>
                <w:sz w:val="22"/>
              </w:rPr>
              <w:t>(</w:t>
            </w:r>
            <w:r>
              <w:rPr>
                <w:rFonts w:hint="eastAsia"/>
                <w:sz w:val="22"/>
              </w:rPr>
              <w:t>美元</w:t>
            </w:r>
            <w:r>
              <w:rPr>
                <w:rFonts w:hint="eastAsia"/>
                <w:sz w:val="22"/>
              </w:rPr>
              <w:t>)</w:t>
            </w:r>
          </w:p>
        </w:tc>
        <w:tc>
          <w:tcPr>
            <w:tcW w:w="119"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c>
          <w:tcPr>
            <w:tcW w:w="241"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p>
        </w:tc>
        <w:tc>
          <w:tcPr>
            <w:tcW w:w="3240" w:type="dxa"/>
            <w:tcBorders>
              <w:bottom w:val="single" w:sz="4"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rFonts w:hint="eastAsia"/>
                <w:sz w:val="22"/>
              </w:rPr>
            </w:pPr>
            <w:r>
              <w:rPr>
                <w:rFonts w:hint="eastAsia"/>
                <w:sz w:val="22"/>
              </w:rPr>
              <w:t>按</w:t>
            </w:r>
            <w:r>
              <w:rPr>
                <w:sz w:val="22"/>
              </w:rPr>
              <w:t>2000</w:t>
            </w:r>
            <w:r>
              <w:rPr>
                <w:rFonts w:hint="eastAsia"/>
                <w:sz w:val="22"/>
              </w:rPr>
              <w:t>年的固定市价计算</w:t>
            </w:r>
            <w:r>
              <w:rPr>
                <w:sz w:val="22"/>
              </w:rPr>
              <w:br/>
              <w:t>(</w:t>
            </w:r>
            <w:r>
              <w:rPr>
                <w:rFonts w:hint="eastAsia"/>
                <w:sz w:val="22"/>
              </w:rPr>
              <w:t>美元</w:t>
            </w:r>
            <w:r>
              <w:rPr>
                <w:sz w:val="22"/>
              </w:rPr>
              <w:t>)</w:t>
            </w:r>
          </w:p>
        </w:tc>
        <w:tc>
          <w:tcPr>
            <w:tcW w:w="121"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40" w:lineRule="auto"/>
              <w:jc w:val="center"/>
              <w:rPr>
                <w:rFonts w:hint="eastAsia"/>
                <w:sz w:val="22"/>
              </w:rPr>
            </w:pP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80" w:after="40" w:line="264" w:lineRule="auto"/>
              <w:jc w:val="center"/>
              <w:rPr>
                <w:sz w:val="22"/>
              </w:rPr>
            </w:pPr>
            <w:r>
              <w:rPr>
                <w:sz w:val="22"/>
              </w:rPr>
              <w:t>1996</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180" w:after="40" w:line="264" w:lineRule="auto"/>
              <w:ind w:right="811"/>
              <w:jc w:val="right"/>
              <w:rPr>
                <w:sz w:val="22"/>
              </w:rPr>
            </w:pPr>
            <w:r>
              <w:rPr>
                <w:sz w:val="22"/>
              </w:rPr>
              <w:t>24,329</w:t>
            </w:r>
          </w:p>
        </w:tc>
        <w:tc>
          <w:tcPr>
            <w:tcW w:w="3602" w:type="dxa"/>
            <w:gridSpan w:val="3"/>
          </w:tcPr>
          <w:p w:rsidR="00000000" w:rsidRDefault="00954A93">
            <w:pPr>
              <w:tabs>
                <w:tab w:val="left" w:pos="3969"/>
                <w:tab w:val="left" w:pos="4536"/>
                <w:tab w:val="left" w:pos="5103"/>
                <w:tab w:val="left" w:pos="5670"/>
                <w:tab w:val="left" w:pos="6237"/>
                <w:tab w:val="left" w:pos="6804"/>
              </w:tabs>
              <w:spacing w:before="180" w:after="40" w:line="264" w:lineRule="auto"/>
              <w:ind w:right="1414"/>
              <w:jc w:val="right"/>
              <w:rPr>
                <w:sz w:val="22"/>
              </w:rPr>
            </w:pPr>
            <w:r>
              <w:rPr>
                <w:sz w:val="22"/>
              </w:rPr>
              <w:t>22,754</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sz w:val="22"/>
              </w:rPr>
            </w:pPr>
            <w:r>
              <w:rPr>
                <w:sz w:val="22"/>
              </w:rPr>
              <w:t>1997</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sz w:val="22"/>
              </w:rPr>
            </w:pPr>
            <w:r>
              <w:rPr>
                <w:sz w:val="22"/>
              </w:rPr>
              <w:t>26,762</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sz w:val="22"/>
              </w:rPr>
            </w:pPr>
            <w:r>
              <w:rPr>
                <w:sz w:val="22"/>
              </w:rPr>
              <w:t>23,686</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r>
              <w:rPr>
                <w:sz w:val="22"/>
              </w:rPr>
              <w:t>1998</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sz w:val="22"/>
              </w:rPr>
            </w:pPr>
            <w:r>
              <w:rPr>
                <w:sz w:val="22"/>
              </w:rPr>
              <w:t>25,253</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sz w:val="22"/>
              </w:rPr>
            </w:pPr>
            <w:r>
              <w:rPr>
                <w:sz w:val="22"/>
              </w:rPr>
              <w:t>22,313</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r>
              <w:rPr>
                <w:sz w:val="22"/>
              </w:rPr>
              <w:t>1999</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sz w:val="22"/>
              </w:rPr>
            </w:pPr>
            <w:r>
              <w:rPr>
                <w:sz w:val="22"/>
              </w:rPr>
              <w:t>24,3</w:t>
            </w:r>
            <w:r>
              <w:rPr>
                <w:sz w:val="22"/>
              </w:rPr>
              <w:t>13</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sz w:val="22"/>
              </w:rPr>
            </w:pPr>
            <w:r>
              <w:rPr>
                <w:sz w:val="22"/>
              </w:rPr>
              <w:t>22,818</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r>
              <w:rPr>
                <w:sz w:val="22"/>
              </w:rPr>
              <w:t>2000</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sz w:val="22"/>
              </w:rPr>
            </w:pPr>
            <w:r>
              <w:rPr>
                <w:sz w:val="22"/>
              </w:rPr>
              <w:t>24,811</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sz w:val="22"/>
              </w:rPr>
            </w:pPr>
            <w:r>
              <w:rPr>
                <w:sz w:val="22"/>
              </w:rPr>
              <w:t>24,811</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sz w:val="22"/>
              </w:rPr>
            </w:pPr>
            <w:r>
              <w:rPr>
                <w:sz w:val="22"/>
              </w:rPr>
              <w:t>2001</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sz w:val="22"/>
              </w:rPr>
            </w:pPr>
            <w:r>
              <w:rPr>
                <w:sz w:val="22"/>
              </w:rPr>
              <w:t>24,213</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sz w:val="22"/>
              </w:rPr>
            </w:pPr>
            <w:r>
              <w:rPr>
                <w:sz w:val="22"/>
              </w:rPr>
              <w:t>24,678</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sz w:val="22"/>
              </w:rPr>
            </w:pPr>
            <w:r>
              <w:rPr>
                <w:sz w:val="22"/>
              </w:rPr>
              <w:t>2002</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sz w:val="22"/>
              </w:rPr>
            </w:pPr>
            <w:r>
              <w:rPr>
                <w:sz w:val="22"/>
              </w:rPr>
              <w:t>23,577</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sz w:val="22"/>
              </w:rPr>
            </w:pPr>
            <w:r>
              <w:rPr>
                <w:sz w:val="22"/>
              </w:rPr>
              <w:t>24,926</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sz w:val="22"/>
              </w:rPr>
            </w:pPr>
            <w:r>
              <w:rPr>
                <w:sz w:val="22"/>
              </w:rPr>
              <w:t>2003</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rFonts w:hint="eastAsia"/>
                <w:sz w:val="22"/>
              </w:rPr>
            </w:pPr>
            <w:r>
              <w:rPr>
                <w:sz w:val="22"/>
              </w:rPr>
              <w:t>23,030</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rFonts w:hint="eastAsia"/>
                <w:sz w:val="22"/>
              </w:rPr>
            </w:pPr>
            <w:r>
              <w:rPr>
                <w:sz w:val="22"/>
              </w:rPr>
              <w:t>25,695</w:t>
            </w:r>
          </w:p>
        </w:tc>
      </w:tr>
      <w:tr w:rsidR="00000000">
        <w:tblPrEx>
          <w:tblCellMar>
            <w:top w:w="0" w:type="dxa"/>
            <w:bottom w:w="0" w:type="dxa"/>
          </w:tblCellMar>
        </w:tblPrEx>
        <w:tc>
          <w:tcPr>
            <w:tcW w:w="2160" w:type="dxa"/>
            <w:gridSpan w:val="3"/>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40" w:after="40" w:line="264" w:lineRule="auto"/>
              <w:jc w:val="center"/>
              <w:rPr>
                <w:rFonts w:hint="eastAsia"/>
                <w:sz w:val="22"/>
              </w:rPr>
            </w:pPr>
            <w:r>
              <w:rPr>
                <w:sz w:val="22"/>
              </w:rPr>
              <w:t>2004</w:t>
            </w:r>
          </w:p>
        </w:tc>
        <w:tc>
          <w:tcPr>
            <w:tcW w:w="2639" w:type="dxa"/>
            <w:gridSpan w:val="3"/>
          </w:tcPr>
          <w:p w:rsidR="00000000" w:rsidRDefault="00954A93">
            <w:pPr>
              <w:tabs>
                <w:tab w:val="left" w:pos="2835"/>
                <w:tab w:val="left" w:pos="3402"/>
                <w:tab w:val="left" w:pos="3969"/>
                <w:tab w:val="left" w:pos="4536"/>
                <w:tab w:val="left" w:pos="5103"/>
                <w:tab w:val="left" w:pos="5670"/>
                <w:tab w:val="left" w:pos="6237"/>
                <w:tab w:val="left" w:pos="6804"/>
              </w:tabs>
              <w:spacing w:before="40" w:after="40" w:line="264" w:lineRule="auto"/>
              <w:ind w:right="811"/>
              <w:jc w:val="right"/>
              <w:rPr>
                <w:rFonts w:hint="eastAsia"/>
                <w:sz w:val="22"/>
              </w:rPr>
            </w:pPr>
            <w:r>
              <w:rPr>
                <w:sz w:val="22"/>
              </w:rPr>
              <w:t>23,917</w:t>
            </w:r>
          </w:p>
        </w:tc>
        <w:tc>
          <w:tcPr>
            <w:tcW w:w="3602" w:type="dxa"/>
            <w:gridSpan w:val="3"/>
          </w:tcPr>
          <w:p w:rsidR="00000000" w:rsidRDefault="00954A93">
            <w:pPr>
              <w:tabs>
                <w:tab w:val="left" w:pos="3969"/>
                <w:tab w:val="left" w:pos="4536"/>
                <w:tab w:val="left" w:pos="5103"/>
                <w:tab w:val="left" w:pos="5670"/>
                <w:tab w:val="left" w:pos="6237"/>
                <w:tab w:val="left" w:pos="6804"/>
              </w:tabs>
              <w:spacing w:before="40" w:after="40" w:line="264" w:lineRule="auto"/>
              <w:ind w:right="1414"/>
              <w:jc w:val="right"/>
              <w:rPr>
                <w:rFonts w:hint="eastAsia"/>
                <w:sz w:val="22"/>
              </w:rPr>
            </w:pPr>
            <w:r>
              <w:rPr>
                <w:sz w:val="22"/>
              </w:rPr>
              <w:t>27,462</w:t>
            </w:r>
          </w:p>
        </w:tc>
      </w:tr>
    </w:tbl>
    <w:p w:rsidR="00000000" w:rsidRDefault="00954A93">
      <w:pPr>
        <w:pStyle w:val="Heading4"/>
        <w:spacing w:before="240"/>
      </w:pPr>
      <w:r>
        <w:rPr>
          <w:u w:val="none"/>
        </w:rPr>
        <w:t>(p)</w:t>
      </w:r>
      <w:r>
        <w:rPr>
          <w:u w:val="none"/>
        </w:rPr>
        <w:tab/>
      </w:r>
      <w:r>
        <w:rPr>
          <w:rFonts w:hint="eastAsia"/>
        </w:rPr>
        <w:t>外债：香港特区政府并无任何外债</w:t>
      </w:r>
      <w:r>
        <w:rPr>
          <w:rFonts w:hint="eastAsia"/>
          <w:u w:val="none"/>
        </w:rPr>
        <w:t>。</w:t>
      </w:r>
    </w:p>
    <w:p w:rsidR="00000000" w:rsidRDefault="00954A93">
      <w:pPr>
        <w:pStyle w:val="Heading4"/>
        <w:rPr>
          <w:rFonts w:hint="eastAsia"/>
        </w:rPr>
      </w:pPr>
      <w:r>
        <w:rPr>
          <w:u w:val="none"/>
        </w:rPr>
        <w:t>(q)</w:t>
      </w:r>
      <w:r>
        <w:rPr>
          <w:u w:val="none"/>
        </w:rPr>
        <w:tab/>
      </w:r>
      <w:r>
        <w:rPr>
          <w:rFonts w:hint="eastAsia"/>
        </w:rPr>
        <w:t>香港人口的种族结构</w:t>
      </w:r>
    </w:p>
    <w:tbl>
      <w:tblPr>
        <w:tblW w:w="0" w:type="auto"/>
        <w:tblInd w:w="628" w:type="dxa"/>
        <w:tblLayout w:type="fixed"/>
        <w:tblCellMar>
          <w:left w:w="28" w:type="dxa"/>
          <w:right w:w="28" w:type="dxa"/>
        </w:tblCellMar>
        <w:tblLook w:val="0000" w:firstRow="0" w:lastRow="0" w:firstColumn="0" w:lastColumn="0" w:noHBand="0" w:noVBand="0"/>
      </w:tblPr>
      <w:tblGrid>
        <w:gridCol w:w="1920"/>
        <w:gridCol w:w="1170"/>
        <w:gridCol w:w="1170"/>
        <w:gridCol w:w="1620"/>
        <w:gridCol w:w="2520"/>
      </w:tblGrid>
      <w:tr w:rsidR="00000000">
        <w:tblPrEx>
          <w:tblCellMar>
            <w:top w:w="0" w:type="dxa"/>
            <w:bottom w:w="0" w:type="dxa"/>
          </w:tblCellMar>
        </w:tblPrEx>
        <w:trPr>
          <w:cantSplit/>
        </w:trPr>
        <w:tc>
          <w:tcPr>
            <w:tcW w:w="8400" w:type="dxa"/>
            <w:gridSpan w:val="5"/>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60"/>
              <w:jc w:val="center"/>
              <w:rPr>
                <w:rFonts w:eastAsia="華康中黑體" w:hint="eastAsia"/>
                <w:bCs/>
                <w:u w:val="single"/>
              </w:rPr>
            </w:pPr>
            <w:r>
              <w:rPr>
                <w:rFonts w:eastAsia="華康中黑體"/>
                <w:bCs/>
                <w:u w:val="single"/>
              </w:rPr>
              <w:t>2001</w:t>
            </w:r>
            <w:r>
              <w:rPr>
                <w:rFonts w:eastAsia="華康中黑體" w:hint="eastAsia"/>
                <w:bCs/>
                <w:u w:val="single"/>
              </w:rPr>
              <w:t>年按种族划分的人口</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rPr>
                <w:rFonts w:hint="eastAsia"/>
                <w:sz w:val="22"/>
                <w:u w:val="single"/>
              </w:rPr>
            </w:pPr>
            <w:r>
              <w:rPr>
                <w:rFonts w:hint="eastAsia"/>
                <w:sz w:val="22"/>
                <w:u w:val="single"/>
              </w:rPr>
              <w:t>种族</w:t>
            </w:r>
          </w:p>
        </w:tc>
        <w:tc>
          <w:tcPr>
            <w:tcW w:w="117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u w:val="single"/>
              </w:rPr>
            </w:pPr>
            <w:r>
              <w:rPr>
                <w:rFonts w:hint="eastAsia"/>
                <w:sz w:val="22"/>
                <w:u w:val="single"/>
              </w:rPr>
              <w:t>男性</w:t>
            </w:r>
          </w:p>
        </w:tc>
        <w:tc>
          <w:tcPr>
            <w:tcW w:w="117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u w:val="single"/>
              </w:rPr>
            </w:pPr>
            <w:r>
              <w:rPr>
                <w:rFonts w:hint="eastAsia"/>
                <w:sz w:val="22"/>
                <w:u w:val="single"/>
              </w:rPr>
              <w:t>女性</w:t>
            </w:r>
          </w:p>
        </w:tc>
        <w:tc>
          <w:tcPr>
            <w:tcW w:w="16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u w:val="single"/>
              </w:rPr>
            </w:pPr>
            <w:r>
              <w:rPr>
                <w:rFonts w:hint="eastAsia"/>
                <w:sz w:val="22"/>
                <w:u w:val="single"/>
              </w:rPr>
              <w:t>男性和女性</w:t>
            </w:r>
          </w:p>
        </w:tc>
        <w:tc>
          <w:tcPr>
            <w:tcW w:w="25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u w:val="single"/>
              </w:rPr>
            </w:pPr>
            <w:r>
              <w:rPr>
                <w:rFonts w:hint="eastAsia"/>
                <w:sz w:val="22"/>
                <w:u w:val="single"/>
              </w:rPr>
              <w:t>占总人口的百分比</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rPr>
            </w:pPr>
          </w:p>
        </w:tc>
        <w:tc>
          <w:tcPr>
            <w:tcW w:w="117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rPr>
            </w:pPr>
            <w:r>
              <w:rPr>
                <w:sz w:val="22"/>
              </w:rPr>
              <w:t>(</w:t>
            </w:r>
            <w:r>
              <w:rPr>
                <w:rFonts w:hint="eastAsia"/>
                <w:sz w:val="22"/>
              </w:rPr>
              <w:t>万</w:t>
            </w:r>
            <w:r>
              <w:rPr>
                <w:sz w:val="22"/>
              </w:rPr>
              <w:t>)</w:t>
            </w:r>
          </w:p>
        </w:tc>
        <w:tc>
          <w:tcPr>
            <w:tcW w:w="117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rPr>
            </w:pPr>
            <w:r>
              <w:rPr>
                <w:sz w:val="22"/>
              </w:rPr>
              <w:t>(</w:t>
            </w:r>
            <w:r>
              <w:rPr>
                <w:rFonts w:hint="eastAsia"/>
                <w:sz w:val="22"/>
              </w:rPr>
              <w:t>万</w:t>
            </w:r>
            <w:r>
              <w:rPr>
                <w:sz w:val="22"/>
              </w:rPr>
              <w:t>)</w:t>
            </w:r>
          </w:p>
        </w:tc>
        <w:tc>
          <w:tcPr>
            <w:tcW w:w="16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64" w:lineRule="auto"/>
              <w:jc w:val="center"/>
              <w:rPr>
                <w:rFonts w:hint="eastAsia"/>
                <w:sz w:val="22"/>
              </w:rPr>
            </w:pPr>
            <w:r>
              <w:rPr>
                <w:sz w:val="22"/>
              </w:rPr>
              <w:t>(</w:t>
            </w:r>
            <w:r>
              <w:rPr>
                <w:rFonts w:hint="eastAsia"/>
                <w:sz w:val="22"/>
              </w:rPr>
              <w:t>万</w:t>
            </w:r>
            <w:r>
              <w:rPr>
                <w:sz w:val="22"/>
              </w:rPr>
              <w:t>)</w:t>
            </w:r>
          </w:p>
        </w:tc>
        <w:tc>
          <w:tcPr>
            <w:tcW w:w="25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60" w:line="264" w:lineRule="auto"/>
              <w:jc w:val="center"/>
              <w:rPr>
                <w:rFonts w:hint="eastAsia"/>
                <w:sz w:val="22"/>
              </w:rPr>
            </w:pPr>
            <w:r>
              <w:rPr>
                <w:sz w:val="22"/>
              </w:rPr>
              <w:t>(%)</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华人</w:t>
            </w:r>
          </w:p>
        </w:tc>
        <w:tc>
          <w:tcPr>
            <w:tcW w:w="1170" w:type="dxa"/>
          </w:tcPr>
          <w:p w:rsidR="00000000" w:rsidRDefault="00954A93">
            <w:pPr>
              <w:tabs>
                <w:tab w:val="decimal" w:pos="587"/>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320.2</w:t>
            </w:r>
          </w:p>
        </w:tc>
        <w:tc>
          <w:tcPr>
            <w:tcW w:w="1170" w:type="dxa"/>
          </w:tcPr>
          <w:p w:rsidR="00000000" w:rsidRDefault="00954A93">
            <w:pPr>
              <w:tabs>
                <w:tab w:val="decimal" w:pos="587"/>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316.3</w:t>
            </w:r>
          </w:p>
        </w:tc>
        <w:tc>
          <w:tcPr>
            <w:tcW w:w="1620" w:type="dxa"/>
          </w:tcPr>
          <w:p w:rsidR="00000000" w:rsidRDefault="00954A93">
            <w:pPr>
              <w:tabs>
                <w:tab w:val="decimal" w:pos="872"/>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636.4</w:t>
            </w:r>
          </w:p>
        </w:tc>
        <w:tc>
          <w:tcPr>
            <w:tcW w:w="2520" w:type="dxa"/>
          </w:tcPr>
          <w:p w:rsidR="00000000" w:rsidRDefault="00954A93">
            <w:pPr>
              <w:tabs>
                <w:tab w:val="decimal" w:pos="1172"/>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94.9</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非华人</w:t>
            </w:r>
          </w:p>
        </w:tc>
        <w:tc>
          <w:tcPr>
            <w:tcW w:w="1170" w:type="dxa"/>
          </w:tcPr>
          <w:p w:rsidR="00000000" w:rsidRDefault="00954A93">
            <w:pPr>
              <w:tabs>
                <w:tab w:val="decimal" w:pos="587"/>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8.3</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26.1</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34.4</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5.1</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i/>
                <w:sz w:val="22"/>
              </w:rPr>
            </w:pPr>
            <w:r>
              <w:rPr>
                <w:rFonts w:hint="eastAsia"/>
                <w:i/>
                <w:sz w:val="22"/>
              </w:rPr>
              <w:t>其中包括：</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p>
        </w:tc>
        <w:tc>
          <w:tcPr>
            <w:tcW w:w="2520" w:type="dxa"/>
          </w:tcPr>
          <w:p w:rsidR="00000000" w:rsidRDefault="00954A93">
            <w:pPr>
              <w:tabs>
                <w:tab w:val="left" w:pos="1134"/>
                <w:tab w:val="decimal" w:pos="11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菲律宾人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0.7</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13.5</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14.3</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2.1</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印尼人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0.1</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4.9</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5.0</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0.8</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英国人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1.2</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0.7</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1.9</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0.3</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印度人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0.9</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0.9</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1.9</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0.3</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泰国人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0.1</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1.3</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1.4</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0.2</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日本人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0.8</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0.7</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1.4</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0.2</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尼泊尔人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0.7</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0.5</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1.3</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0.2</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巴基斯坦人</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0.7</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0.4</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1.1</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0.2</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其他</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3.1</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3.1</w:t>
            </w:r>
          </w:p>
        </w:tc>
        <w:tc>
          <w:tcPr>
            <w:tcW w:w="1620" w:type="dxa"/>
          </w:tcPr>
          <w:p w:rsidR="00000000" w:rsidRDefault="00954A93">
            <w:pPr>
              <w:tabs>
                <w:tab w:val="decimal" w:pos="872"/>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6.1</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0.9</w:t>
            </w:r>
          </w:p>
        </w:tc>
      </w:tr>
      <w:tr w:rsidR="00000000">
        <w:tblPrEx>
          <w:tblCellMar>
            <w:top w:w="0" w:type="dxa"/>
            <w:bottom w:w="0" w:type="dxa"/>
          </w:tblCellMar>
        </w:tblPrEx>
        <w:tc>
          <w:tcPr>
            <w:tcW w:w="19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rFonts w:hint="eastAsia"/>
                <w:sz w:val="22"/>
              </w:rPr>
              <w:t>总计</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328.5</w:t>
            </w:r>
          </w:p>
        </w:tc>
        <w:tc>
          <w:tcPr>
            <w:tcW w:w="1170" w:type="dxa"/>
          </w:tcPr>
          <w:p w:rsidR="00000000" w:rsidRDefault="00954A93">
            <w:pPr>
              <w:tabs>
                <w:tab w:val="decimal" w:pos="58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342.3</w:t>
            </w:r>
          </w:p>
        </w:tc>
        <w:tc>
          <w:tcPr>
            <w:tcW w:w="1620" w:type="dxa"/>
          </w:tcPr>
          <w:p w:rsidR="00000000" w:rsidRDefault="00954A93">
            <w:pPr>
              <w:tabs>
                <w:tab w:val="decimal" w:pos="872"/>
                <w:tab w:val="left" w:leader="underscore" w:pos="1701"/>
                <w:tab w:val="left" w:pos="2268"/>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670.8</w:t>
            </w:r>
          </w:p>
        </w:tc>
        <w:tc>
          <w:tcPr>
            <w:tcW w:w="2520" w:type="dxa"/>
          </w:tcPr>
          <w:p w:rsidR="00000000" w:rsidRDefault="00954A93">
            <w:pPr>
              <w:tabs>
                <w:tab w:val="decimal" w:pos="1172"/>
                <w:tab w:val="left" w:pos="2835"/>
                <w:tab w:val="left" w:pos="3402"/>
                <w:tab w:val="left" w:pos="3969"/>
                <w:tab w:val="left" w:pos="4536"/>
                <w:tab w:val="left" w:pos="5103"/>
                <w:tab w:val="left" w:pos="5670"/>
                <w:tab w:val="left" w:pos="6237"/>
                <w:tab w:val="left" w:pos="6804"/>
              </w:tabs>
              <w:spacing w:line="312" w:lineRule="auto"/>
              <w:rPr>
                <w:rFonts w:hint="eastAsia"/>
                <w:sz w:val="22"/>
              </w:rPr>
            </w:pPr>
            <w:r>
              <w:rPr>
                <w:sz w:val="22"/>
              </w:rPr>
              <w:tab/>
              <w:t>100.0</w:t>
            </w:r>
          </w:p>
        </w:tc>
      </w:tr>
    </w:tbl>
    <w:p w:rsidR="00000000" w:rsidRDefault="00954A93">
      <w:pPr>
        <w:pStyle w:val="Heading3"/>
        <w:rPr>
          <w:kern w:val="2"/>
        </w:rPr>
      </w:pPr>
      <w:r>
        <w:rPr>
          <w:rFonts w:hint="eastAsia"/>
          <w:kern w:val="2"/>
        </w:rPr>
        <w:t>政制概况</w:t>
      </w:r>
    </w:p>
    <w:p w:rsidR="00000000" w:rsidRDefault="00954A93">
      <w:pPr>
        <w:pStyle w:val="Heading4"/>
        <w:rPr>
          <w:kern w:val="2"/>
        </w:rPr>
      </w:pPr>
      <w:r>
        <w:rPr>
          <w:rFonts w:hint="eastAsia"/>
          <w:kern w:val="2"/>
        </w:rPr>
        <w:t>宪制性文件</w:t>
      </w:r>
    </w:p>
    <w:p w:rsidR="00000000" w:rsidRDefault="00954A93">
      <w:pPr>
        <w:rPr>
          <w:rFonts w:hint="eastAsia"/>
          <w:kern w:val="2"/>
        </w:rPr>
      </w:pPr>
      <w:r>
        <w:rPr>
          <w:rFonts w:hint="eastAsia"/>
        </w:rPr>
        <w:tab/>
      </w:r>
      <w:r>
        <w:t xml:space="preserve">2. </w:t>
      </w:r>
      <w:r>
        <w:rPr>
          <w:rFonts w:hint="eastAsia"/>
        </w:rPr>
        <w:t xml:space="preserve"> </w:t>
      </w:r>
      <w:r>
        <w:rPr>
          <w:rFonts w:hint="eastAsia"/>
        </w:rPr>
        <w:t>根据《中华人民共和国宪法》第三十一条和第六十二条第十三项的规定，以及一九九零年四月四日第七届全国人民代表大会第三次会议通过的有关决定，中华人民共和国香港特别行政区</w:t>
      </w:r>
      <w:r>
        <w:t>(</w:t>
      </w:r>
      <w:r>
        <w:rPr>
          <w:rFonts w:hint="eastAsia"/>
        </w:rPr>
        <w:t>香港特区</w:t>
      </w:r>
      <w:r>
        <w:t>)</w:t>
      </w:r>
      <w:r>
        <w:rPr>
          <w:rFonts w:hint="eastAsia"/>
        </w:rPr>
        <w:t>于一九九七年七月一日成立，而香港特区基本法也由一九九七年七月一日开始实施。《基本法》的规定包括，按照“一国两制”的方针，香港特区不实行社会主义制度和政策，保持原有的资本主义制度和生活方式，五十年不变。《基本法》的文本载于</w:t>
      </w:r>
      <w:r>
        <w:rPr>
          <w:rFonts w:ascii="華康中黑體" w:eastAsia="華康中黑體" w:hAnsi="華康中黑體" w:cs="華康中黑體" w:hint="eastAsia"/>
        </w:rPr>
        <w:t>附件</w:t>
      </w:r>
      <w:r>
        <w:t>1</w:t>
      </w:r>
      <w:r>
        <w:rPr>
          <w:rFonts w:hint="eastAsia"/>
        </w:rPr>
        <w:t>。</w:t>
      </w:r>
    </w:p>
    <w:p w:rsidR="00000000" w:rsidRDefault="00954A93">
      <w:r>
        <w:rPr>
          <w:rFonts w:hint="eastAsia"/>
        </w:rPr>
        <w:tab/>
      </w:r>
      <w:r>
        <w:t xml:space="preserve">3. </w:t>
      </w:r>
      <w:r>
        <w:rPr>
          <w:rFonts w:hint="eastAsia"/>
        </w:rPr>
        <w:t xml:space="preserve"> </w:t>
      </w:r>
      <w:r>
        <w:rPr>
          <w:rFonts w:hint="eastAsia"/>
        </w:rPr>
        <w:t>为全面落实“一国两制</w:t>
      </w:r>
      <w:r>
        <w:rPr>
          <w:rFonts w:hint="eastAsia"/>
        </w:rPr>
        <w:t>”的方针，《基本法》阐明中央和香港特区的关系</w:t>
      </w:r>
      <w:r>
        <w:t>(</w:t>
      </w:r>
      <w:r>
        <w:rPr>
          <w:rFonts w:hint="eastAsia"/>
        </w:rPr>
        <w:t>第二章</w:t>
      </w:r>
      <w:r>
        <w:t>)</w:t>
      </w:r>
      <w:r>
        <w:rPr>
          <w:rFonts w:hint="eastAsia"/>
        </w:rPr>
        <w:t>；香港居民的基本权利和义务</w:t>
      </w:r>
      <w:r>
        <w:rPr>
          <w:rFonts w:hint="eastAsia"/>
        </w:rPr>
        <w:t>(</w:t>
      </w:r>
      <w:r>
        <w:rPr>
          <w:rFonts w:hint="eastAsia"/>
        </w:rPr>
        <w:t>第三章</w:t>
      </w:r>
      <w:r>
        <w:rPr>
          <w:rFonts w:hint="eastAsia"/>
        </w:rPr>
        <w:t>)</w:t>
      </w:r>
      <w:r>
        <w:rPr>
          <w:rFonts w:hint="eastAsia"/>
        </w:rPr>
        <w:t>；政治体制</w:t>
      </w:r>
      <w:r>
        <w:rPr>
          <w:rFonts w:hint="eastAsia"/>
        </w:rPr>
        <w:t>(</w:t>
      </w:r>
      <w:r>
        <w:rPr>
          <w:rFonts w:hint="eastAsia"/>
        </w:rPr>
        <w:t>第四章</w:t>
      </w:r>
      <w:r>
        <w:rPr>
          <w:rFonts w:hint="eastAsia"/>
        </w:rPr>
        <w:t>)</w:t>
      </w:r>
      <w:r>
        <w:rPr>
          <w:rFonts w:hint="eastAsia"/>
        </w:rPr>
        <w:t>；香港特区的经济、金融和社会制度</w:t>
      </w:r>
      <w:r>
        <w:rPr>
          <w:rFonts w:hint="eastAsia"/>
        </w:rPr>
        <w:t>(</w:t>
      </w:r>
      <w:r>
        <w:rPr>
          <w:rFonts w:hint="eastAsia"/>
        </w:rPr>
        <w:t>第五和第六章</w:t>
      </w:r>
      <w:r>
        <w:rPr>
          <w:rFonts w:hint="eastAsia"/>
        </w:rPr>
        <w:t>)</w:t>
      </w:r>
      <w:r>
        <w:rPr>
          <w:rFonts w:hint="eastAsia"/>
        </w:rPr>
        <w:t>；香港特区的对外事务的处理</w:t>
      </w:r>
      <w:r>
        <w:rPr>
          <w:rFonts w:hint="eastAsia"/>
        </w:rPr>
        <w:t>(</w:t>
      </w:r>
      <w:r>
        <w:rPr>
          <w:rFonts w:hint="eastAsia"/>
        </w:rPr>
        <w:t>第七章</w:t>
      </w:r>
      <w:r>
        <w:rPr>
          <w:rFonts w:hint="eastAsia"/>
        </w:rPr>
        <w:t>)</w:t>
      </w:r>
      <w:r>
        <w:rPr>
          <w:rFonts w:hint="eastAsia"/>
        </w:rPr>
        <w:t>；以及对《基本法》的解释和修改</w:t>
      </w:r>
      <w:r>
        <w:rPr>
          <w:rFonts w:hint="eastAsia"/>
        </w:rPr>
        <w:t>(</w:t>
      </w:r>
      <w:r>
        <w:rPr>
          <w:rFonts w:hint="eastAsia"/>
        </w:rPr>
        <w:t>第八章</w:t>
      </w:r>
      <w:r>
        <w:rPr>
          <w:rFonts w:hint="eastAsia"/>
        </w:rPr>
        <w:t>)</w:t>
      </w:r>
      <w:r>
        <w:rPr>
          <w:rFonts w:hint="eastAsia"/>
        </w:rPr>
        <w:t>。</w:t>
      </w:r>
    </w:p>
    <w:p w:rsidR="00000000" w:rsidRDefault="00954A93">
      <w:pPr>
        <w:pStyle w:val="a9"/>
        <w:rPr>
          <w:kern w:val="2"/>
        </w:rPr>
      </w:pPr>
      <w:r>
        <w:rPr>
          <w:rFonts w:hint="eastAsia"/>
          <w:kern w:val="2"/>
        </w:rPr>
        <w:tab/>
      </w:r>
      <w:r>
        <w:rPr>
          <w:kern w:val="2"/>
        </w:rPr>
        <w:t>4.</w:t>
      </w:r>
      <w:r>
        <w:rPr>
          <w:rFonts w:hint="eastAsia"/>
          <w:kern w:val="2"/>
        </w:rPr>
        <w:t xml:space="preserve">  </w:t>
      </w:r>
      <w:r>
        <w:rPr>
          <w:rFonts w:hint="eastAsia"/>
        </w:rPr>
        <w:t>《基本法》所</w:t>
      </w:r>
      <w:r>
        <w:rPr>
          <w:rFonts w:ascii="SimSun" w:hAnsi="SimSun" w:cs="SimSun" w:hint="eastAsia"/>
        </w:rPr>
        <w:t>涉</w:t>
      </w:r>
      <w:r>
        <w:rPr>
          <w:rFonts w:ascii="MS Mincho" w:hAnsi="MS Mincho" w:cs="MS Mincho" w:hint="eastAsia"/>
        </w:rPr>
        <w:t>及的事项很多，其中包括：</w:t>
      </w:r>
    </w:p>
    <w:p w:rsidR="00000000" w:rsidRDefault="00954A93">
      <w:pPr>
        <w:numPr>
          <w:ilvl w:val="0"/>
          <w:numId w:val="28"/>
        </w:numPr>
        <w:rPr>
          <w:rFonts w:hint="eastAsia"/>
          <w:kern w:val="2"/>
        </w:rPr>
      </w:pPr>
      <w:r>
        <w:rPr>
          <w:rFonts w:hint="eastAsia"/>
        </w:rPr>
        <w:t>除国防和外交等事务外，香港特区实行高度自治，享有行政管理权、立法权、独立的司法权和终审权。香港特区的终审权属于香港特区终审法院；</w:t>
      </w:r>
    </w:p>
    <w:p w:rsidR="00000000" w:rsidRDefault="00954A93">
      <w:pPr>
        <w:numPr>
          <w:ilvl w:val="0"/>
          <w:numId w:val="28"/>
        </w:numPr>
        <w:rPr>
          <w:rFonts w:hint="eastAsia"/>
          <w:kern w:val="2"/>
        </w:rPr>
      </w:pPr>
      <w:r>
        <w:rPr>
          <w:rFonts w:hint="eastAsia"/>
        </w:rPr>
        <w:t>香港特区的行政和立法机关成员由香港永久性居民组成；</w:t>
      </w:r>
    </w:p>
    <w:p w:rsidR="00000000" w:rsidRDefault="00954A93">
      <w:pPr>
        <w:numPr>
          <w:ilvl w:val="0"/>
          <w:numId w:val="28"/>
        </w:numPr>
        <w:rPr>
          <w:rFonts w:hint="eastAsia"/>
          <w:kern w:val="2"/>
        </w:rPr>
      </w:pPr>
      <w:r>
        <w:rPr>
          <w:rFonts w:hint="eastAsia"/>
        </w:rPr>
        <w:t>香港原有法律，即普通法、衡平法、条例、附属</w:t>
      </w:r>
      <w:r>
        <w:rPr>
          <w:rFonts w:hint="eastAsia"/>
        </w:rPr>
        <w:t>立法和习惯法，除与《基本法》相抵触或经香港特区的立法机关修改者外，予以保留</w:t>
      </w:r>
      <w:r>
        <w:rPr>
          <w:rFonts w:hint="eastAsia"/>
          <w:spacing w:val="40"/>
        </w:rPr>
        <w:t>；</w:t>
      </w:r>
    </w:p>
    <w:p w:rsidR="00000000" w:rsidRDefault="00954A93">
      <w:pPr>
        <w:numPr>
          <w:ilvl w:val="0"/>
          <w:numId w:val="28"/>
        </w:numPr>
        <w:rPr>
          <w:rFonts w:hint="eastAsia"/>
          <w:kern w:val="2"/>
        </w:rPr>
      </w:pPr>
      <w:r>
        <w:rPr>
          <w:rFonts w:hint="eastAsia"/>
        </w:rPr>
        <w:t>全国性法律除《基本法》附件三所列者外，不在香港特区实施。凡列于《基本法》附件三的法律，由香港特区在当地公布或立法实施。全国人民代表大会常务委员会在</w:t>
      </w:r>
      <w:r>
        <w:rPr>
          <w:rFonts w:ascii="SimSun" w:hAnsi="SimSun" w:cs="SimSun" w:hint="eastAsia"/>
        </w:rPr>
        <w:t>征</w:t>
      </w:r>
      <w:r>
        <w:rPr>
          <w:rFonts w:ascii="MS Mincho" w:hAnsi="MS Mincho" w:cs="MS Mincho" w:hint="eastAsia"/>
        </w:rPr>
        <w:t>询香港特区基本法委员会和香港特区政府的意见后，可增减《基本法》附件三所列的法律；</w:t>
      </w:r>
    </w:p>
    <w:p w:rsidR="00000000" w:rsidRDefault="00954A93">
      <w:pPr>
        <w:numPr>
          <w:ilvl w:val="0"/>
          <w:numId w:val="28"/>
        </w:numPr>
        <w:rPr>
          <w:rFonts w:hint="eastAsia"/>
        </w:rPr>
      </w:pPr>
      <w:r>
        <w:rPr>
          <w:rFonts w:hint="eastAsia"/>
        </w:rPr>
        <w:t>香港特区获授权自行处理有关的对外事务。香港特区可在经济、贸易、金融、航运、通讯、旅游、文化、体育等领域，以“中国香港”的名义，单独地与世界各国、各地区及有关国际组织保持和发展关系，签订和履行有关协议；</w:t>
      </w:r>
    </w:p>
    <w:p w:rsidR="00000000" w:rsidRDefault="00954A93">
      <w:pPr>
        <w:numPr>
          <w:ilvl w:val="0"/>
          <w:numId w:val="28"/>
        </w:numPr>
        <w:rPr>
          <w:rFonts w:hint="eastAsia"/>
        </w:rPr>
      </w:pPr>
      <w:r>
        <w:rPr>
          <w:rFonts w:hint="eastAsia"/>
        </w:rPr>
        <w:t>香</w:t>
      </w:r>
      <w:r>
        <w:rPr>
          <w:rFonts w:hint="eastAsia"/>
        </w:rPr>
        <w:t>港特区保持自由港、独立关</w:t>
      </w:r>
      <w:r>
        <w:rPr>
          <w:rFonts w:ascii="SimSun" w:hAnsi="SimSun" w:cs="SimSun" w:hint="eastAsia"/>
        </w:rPr>
        <w:t>税</w:t>
      </w:r>
      <w:r>
        <w:rPr>
          <w:rFonts w:ascii="MS Mincho" w:hAnsi="MS Mincho" w:cs="MS Mincho" w:hint="eastAsia"/>
        </w:rPr>
        <w:t>地区和国际金融中心的地位，资金可自由流动。香港特区负责发行和管理港币；</w:t>
      </w:r>
    </w:p>
    <w:p w:rsidR="00000000" w:rsidRDefault="00954A93">
      <w:pPr>
        <w:numPr>
          <w:ilvl w:val="0"/>
          <w:numId w:val="28"/>
        </w:numPr>
        <w:rPr>
          <w:rFonts w:hint="eastAsia"/>
        </w:rPr>
      </w:pPr>
      <w:r>
        <w:rPr>
          <w:rFonts w:hint="eastAsia"/>
        </w:rPr>
        <w:t>香港特区自行制定教育、科学、文化、体育、劳工和社会服务的发展政策，香港居民享有宗教信仰的自由；</w:t>
      </w:r>
    </w:p>
    <w:p w:rsidR="00000000" w:rsidRDefault="00954A93">
      <w:pPr>
        <w:numPr>
          <w:ilvl w:val="0"/>
          <w:numId w:val="28"/>
        </w:numPr>
        <w:rPr>
          <w:rFonts w:hint="eastAsia"/>
        </w:rPr>
      </w:pPr>
      <w:r>
        <w:rPr>
          <w:rFonts w:hint="eastAsia"/>
        </w:rPr>
        <w:t>香港居民享有多项自由和权利，这点会在“保障人权的法律架构概况”一节详述；</w:t>
      </w:r>
    </w:p>
    <w:p w:rsidR="00000000" w:rsidRDefault="00954A93">
      <w:pPr>
        <w:numPr>
          <w:ilvl w:val="0"/>
          <w:numId w:val="28"/>
        </w:numPr>
        <w:spacing w:after="240"/>
        <w:rPr>
          <w:rFonts w:hint="eastAsia"/>
        </w:rPr>
      </w:pPr>
      <w:r>
        <w:rPr>
          <w:rFonts w:hint="eastAsia"/>
        </w:rPr>
        <w:t>《公民权利和政治权利国际公约》、《经济、社会与文化权利的国际公约》和国际劳工公约适用于香港的有关规定将继续有效，通过香港特区的法律予以实施。</w:t>
      </w:r>
    </w:p>
    <w:p w:rsidR="00000000" w:rsidRDefault="00954A93">
      <w:pPr>
        <w:pStyle w:val="Heading3"/>
      </w:pPr>
      <w:r>
        <w:rPr>
          <w:rFonts w:hint="eastAsia"/>
        </w:rPr>
        <w:t>政府体制</w:t>
      </w:r>
    </w:p>
    <w:p w:rsidR="00000000" w:rsidRDefault="00954A93">
      <w:pPr>
        <w:pStyle w:val="Heading4"/>
      </w:pPr>
      <w:r>
        <w:rPr>
          <w:rFonts w:hint="eastAsia"/>
        </w:rPr>
        <w:t>政制发展</w:t>
      </w:r>
    </w:p>
    <w:p w:rsidR="00000000" w:rsidRDefault="00954A93">
      <w:pPr>
        <w:rPr>
          <w:rFonts w:hint="eastAsia"/>
        </w:rPr>
      </w:pPr>
      <w:r>
        <w:rPr>
          <w:rFonts w:hint="eastAsia"/>
        </w:rPr>
        <w:tab/>
      </w:r>
      <w:r>
        <w:t>5.</w:t>
      </w:r>
      <w:r>
        <w:rPr>
          <w:rFonts w:hint="eastAsia"/>
        </w:rPr>
        <w:t xml:space="preserve">  </w:t>
      </w:r>
      <w:r>
        <w:rPr>
          <w:rFonts w:hint="eastAsia"/>
        </w:rPr>
        <w:t>《基本法》为香港特区的政制发展制定了蓝图。《基本法》同时订明，最终目标是</w:t>
      </w:r>
      <w:r>
        <w:rPr>
          <w:rFonts w:hint="eastAsia"/>
        </w:rPr>
        <w:t>要令行政长官和立法会议员由普选</w:t>
      </w:r>
      <w:r>
        <w:rPr>
          <w:rFonts w:ascii="SimSun" w:hAnsi="SimSun" w:cs="SimSun" w:hint="eastAsia"/>
        </w:rPr>
        <w:t>产</w:t>
      </w:r>
      <w:r>
        <w:rPr>
          <w:rFonts w:ascii="MS Mincho" w:hAnsi="MS Mincho" w:cs="MS Mincho" w:hint="eastAsia"/>
        </w:rPr>
        <w:t>生。</w:t>
      </w:r>
    </w:p>
    <w:p w:rsidR="00000000" w:rsidRDefault="00954A93">
      <w:pPr>
        <w:spacing w:after="240"/>
        <w:rPr>
          <w:rFonts w:eastAsia="華康中黑體" w:hint="eastAsia"/>
          <w:b/>
        </w:rPr>
      </w:pPr>
      <w:r>
        <w:rPr>
          <w:rFonts w:hint="eastAsia"/>
        </w:rPr>
        <w:tab/>
      </w:r>
      <w:r>
        <w:t xml:space="preserve">6. </w:t>
      </w:r>
      <w:r>
        <w:rPr>
          <w:rFonts w:hint="eastAsia"/>
        </w:rPr>
        <w:t xml:space="preserve"> </w:t>
      </w:r>
      <w:r>
        <w:rPr>
          <w:rFonts w:hint="eastAsia"/>
        </w:rPr>
        <w:t>香港特区行政长官是香港特区的首长，依照基本法的规定对中央人民政府和香港特别行政区负责，他由行政会议协助决策。香港特区立法会是香港特区的立法机关，负责制定、修改和废除法例，批准</w:t>
      </w:r>
      <w:r>
        <w:rPr>
          <w:rFonts w:ascii="SimSun" w:hAnsi="SimSun" w:cs="SimSun" w:hint="eastAsia"/>
        </w:rPr>
        <w:t>税</w:t>
      </w:r>
      <w:r>
        <w:rPr>
          <w:rFonts w:ascii="MS Mincho" w:hAnsi="MS Mincho" w:cs="MS Mincho" w:hint="eastAsia"/>
        </w:rPr>
        <w:t>收和公共开支，并对政府的工作提出质询。香港特区根据《基本法》第九十七和第九十八条设立区议会，并就</w:t>
      </w:r>
      <w:r>
        <w:rPr>
          <w:rFonts w:hint="eastAsia"/>
        </w:rPr>
        <w:t>地区管理和其他事务谘询区议会。此外，香港特区有独立的司法机关。</w:t>
      </w:r>
    </w:p>
    <w:p w:rsidR="00000000" w:rsidRDefault="00954A93">
      <w:pPr>
        <w:pStyle w:val="Heading4"/>
        <w:rPr>
          <w:rFonts w:hint="eastAsia"/>
        </w:rPr>
      </w:pPr>
      <w:r>
        <w:rPr>
          <w:rFonts w:hint="eastAsia"/>
        </w:rPr>
        <w:t>行政长官</w:t>
      </w:r>
    </w:p>
    <w:p w:rsidR="00000000" w:rsidRDefault="00954A93">
      <w:r>
        <w:rPr>
          <w:rFonts w:hint="eastAsia"/>
        </w:rPr>
        <w:tab/>
      </w:r>
      <w:r>
        <w:t>7.</w:t>
      </w:r>
      <w:r>
        <w:rPr>
          <w:rFonts w:hint="eastAsia"/>
        </w:rPr>
        <w:t xml:space="preserve">  </w:t>
      </w:r>
      <w:r>
        <w:rPr>
          <w:rFonts w:hint="eastAsia"/>
        </w:rPr>
        <w:t>《基本法》订明，香港特区行政长官在当地通过选举或协商</w:t>
      </w:r>
      <w:r>
        <w:rPr>
          <w:rFonts w:ascii="SimSun" w:hAnsi="SimSun" w:cs="SimSun" w:hint="eastAsia"/>
        </w:rPr>
        <w:t>产</w:t>
      </w:r>
      <w:r>
        <w:rPr>
          <w:rFonts w:ascii="MS Mincho" w:hAnsi="MS Mincho" w:cs="MS Mincho" w:hint="eastAsia"/>
        </w:rPr>
        <w:t>生，由中央人民政府任命。行政长官的</w:t>
      </w:r>
      <w:r>
        <w:rPr>
          <w:rFonts w:ascii="SimSun" w:hAnsi="SimSun" w:cs="SimSun" w:hint="eastAsia"/>
        </w:rPr>
        <w:t>产</w:t>
      </w:r>
      <w:r>
        <w:rPr>
          <w:rFonts w:ascii="MS Mincho" w:hAnsi="MS Mincho" w:cs="MS Mincho" w:hint="eastAsia"/>
        </w:rPr>
        <w:t>生办法根据香港特区</w:t>
      </w:r>
      <w:r>
        <w:rPr>
          <w:rFonts w:ascii="MS Mincho" w:hAnsi="MS Mincho" w:cs="MS Mincho" w:hint="eastAsia"/>
        </w:rPr>
        <w:t>的实际情况和循序渐进的原则而规定，最终达至由一个有广泛代表性的提名委员会按民主程序提名后普选</w:t>
      </w:r>
      <w:r>
        <w:rPr>
          <w:rFonts w:ascii="SimSun" w:hAnsi="SimSun" w:cs="SimSun" w:hint="eastAsia"/>
        </w:rPr>
        <w:t>产</w:t>
      </w:r>
      <w:r>
        <w:rPr>
          <w:rFonts w:ascii="MS Mincho" w:hAnsi="MS Mincho" w:cs="MS Mincho" w:hint="eastAsia"/>
        </w:rPr>
        <w:t>生的目标。</w:t>
      </w:r>
    </w:p>
    <w:p w:rsidR="00000000" w:rsidRDefault="00954A93">
      <w:r>
        <w:rPr>
          <w:rFonts w:hint="eastAsia"/>
        </w:rPr>
        <w:tab/>
      </w:r>
      <w:r>
        <w:t>8.</w:t>
      </w:r>
      <w:r>
        <w:rPr>
          <w:rFonts w:hint="eastAsia"/>
        </w:rPr>
        <w:t xml:space="preserve">  </w:t>
      </w:r>
      <w:r>
        <w:rPr>
          <w:rFonts w:hint="eastAsia"/>
        </w:rPr>
        <w:t>《基本法》附件一规定：</w:t>
      </w:r>
    </w:p>
    <w:p w:rsidR="00000000" w:rsidRDefault="00954A93">
      <w:pPr>
        <w:pStyle w:val="ad"/>
        <w:widowControl w:val="0"/>
        <w:spacing w:after="240"/>
        <w:rPr>
          <w:rFonts w:eastAsia="華康中黑體" w:hint="eastAsia"/>
          <w:b/>
          <w:spacing w:val="0"/>
        </w:rPr>
      </w:pPr>
      <w:r>
        <w:rPr>
          <w:rFonts w:hint="eastAsia"/>
          <w:spacing w:val="0"/>
        </w:rPr>
        <w:t>“二零零七年以后各任行政长官的</w:t>
      </w:r>
      <w:r>
        <w:rPr>
          <w:rFonts w:ascii="SimSun" w:hAnsi="SimSun" w:cs="SimSun" w:hint="eastAsia"/>
          <w:spacing w:val="0"/>
        </w:rPr>
        <w:t>产</w:t>
      </w:r>
      <w:r>
        <w:rPr>
          <w:rFonts w:ascii="MS Mincho" w:hAnsi="MS Mincho" w:cs="MS Mincho" w:hint="eastAsia"/>
          <w:spacing w:val="0"/>
        </w:rPr>
        <w:t>生办法如需修改，须经立法会全体议员三分之二多数通过，行政长官同意，并报全国人民代表大会常务委员会批准”。</w:t>
      </w:r>
    </w:p>
    <w:p w:rsidR="00000000" w:rsidRDefault="00954A93">
      <w:pPr>
        <w:pStyle w:val="Heading4"/>
        <w:rPr>
          <w:rFonts w:hint="eastAsia"/>
        </w:rPr>
      </w:pPr>
      <w:r>
        <w:rPr>
          <w:rFonts w:hint="eastAsia"/>
        </w:rPr>
        <w:t>行政会议</w:t>
      </w:r>
    </w:p>
    <w:p w:rsidR="00000000" w:rsidRDefault="00954A93">
      <w:pPr>
        <w:rPr>
          <w:rFonts w:hint="eastAsia"/>
        </w:rPr>
      </w:pPr>
      <w:r>
        <w:rPr>
          <w:rFonts w:hint="eastAsia"/>
        </w:rPr>
        <w:tab/>
      </w:r>
      <w:r>
        <w:t xml:space="preserve">9. </w:t>
      </w:r>
      <w:r>
        <w:rPr>
          <w:rFonts w:hint="eastAsia"/>
        </w:rPr>
        <w:t xml:space="preserve"> </w:t>
      </w:r>
      <w:r>
        <w:rPr>
          <w:rFonts w:hint="eastAsia"/>
        </w:rPr>
        <w:t>行政会议是协助行政长官决策的机构。《基本法》第五十六条订明，行政长官在作出重要决策、向立法会提交法案、制定附属法规和解散立法会前，须</w:t>
      </w:r>
      <w:r>
        <w:rPr>
          <w:rFonts w:ascii="SimSun" w:hAnsi="SimSun" w:cs="SimSun" w:hint="eastAsia"/>
        </w:rPr>
        <w:t>征</w:t>
      </w:r>
      <w:r>
        <w:rPr>
          <w:rFonts w:ascii="MS Mincho" w:hAnsi="MS Mincho" w:cs="MS Mincho" w:hint="eastAsia"/>
        </w:rPr>
        <w:t>询行政会议的意见，但人事任免、纪律制裁和紧急情况下采取的措施除外。行政长官会同行</w:t>
      </w:r>
      <w:r>
        <w:rPr>
          <w:rFonts w:ascii="MS Mincho" w:hAnsi="MS Mincho" w:cs="MS Mincho" w:hint="eastAsia"/>
        </w:rPr>
        <w:t>政会议也对根据法例赋予的法定上诉权而提出的上诉、呈请或反对作出裁决。行政长官如不采纳行政会议多数成员的意见，应将具体理由记</w:t>
      </w:r>
      <w:r>
        <w:rPr>
          <w:rFonts w:ascii="SimSun" w:hAnsi="SimSun" w:cs="SimSun" w:hint="eastAsia"/>
        </w:rPr>
        <w:t>录</w:t>
      </w:r>
      <w:r>
        <w:rPr>
          <w:rFonts w:ascii="MS Mincho" w:hAnsi="MS Mincho" w:cs="MS Mincho" w:hint="eastAsia"/>
        </w:rPr>
        <w:t>在案。</w:t>
      </w:r>
    </w:p>
    <w:p w:rsidR="00000000" w:rsidRDefault="00954A93">
      <w:pPr>
        <w:spacing w:after="240"/>
        <w:rPr>
          <w:rFonts w:eastAsia="華康中黑體" w:hint="eastAsia"/>
          <w:b/>
        </w:rPr>
      </w:pPr>
      <w:r>
        <w:rPr>
          <w:rFonts w:hint="eastAsia"/>
        </w:rPr>
        <w:tab/>
      </w:r>
      <w:r>
        <w:t xml:space="preserve">10. </w:t>
      </w:r>
      <w:r>
        <w:rPr>
          <w:rFonts w:hint="eastAsia"/>
        </w:rPr>
        <w:t xml:space="preserve"> </w:t>
      </w:r>
      <w:r>
        <w:rPr>
          <w:rFonts w:hint="eastAsia"/>
        </w:rPr>
        <w:t>行政会议通常</w:t>
      </w:r>
      <w:r>
        <w:rPr>
          <w:rFonts w:ascii="SimSun" w:hAnsi="SimSun" w:cs="SimSun" w:hint="eastAsia"/>
        </w:rPr>
        <w:t>每</w:t>
      </w:r>
      <w:r>
        <w:rPr>
          <w:rFonts w:ascii="MS Mincho" w:hAnsi="MS Mincho" w:cs="MS Mincho" w:hint="eastAsia"/>
        </w:rPr>
        <w:t>周举行会议一次，由行政长官主持。会议事项虽然保密，但很多决定都向外界公布。《基本法》第五十五条规定，行政会议的成员由行政长官从行政机关的主要官员、立法会议员和社会人士中委任。他们须是香港特区永久性居民</w:t>
      </w:r>
      <w:r>
        <w:rPr>
          <w:rFonts w:hint="eastAsia"/>
        </w:rPr>
        <w:t>中的中国公民，在外国并无居留权。行政会议成员的任免由行政长官决定，任期应不超过委任他的行政长官的任期。</w:t>
      </w:r>
    </w:p>
    <w:p w:rsidR="00000000" w:rsidRDefault="00954A93">
      <w:pPr>
        <w:pStyle w:val="Heading4"/>
        <w:rPr>
          <w:rFonts w:hint="eastAsia"/>
        </w:rPr>
      </w:pPr>
      <w:r>
        <w:rPr>
          <w:rFonts w:hint="eastAsia"/>
        </w:rPr>
        <w:t>立法会</w:t>
      </w:r>
    </w:p>
    <w:p w:rsidR="00000000" w:rsidRDefault="00954A93">
      <w:pPr>
        <w:spacing w:after="160"/>
        <w:rPr>
          <w:rFonts w:hint="eastAsia"/>
        </w:rPr>
      </w:pPr>
      <w:r>
        <w:rPr>
          <w:rFonts w:hint="eastAsia"/>
        </w:rPr>
        <w:tab/>
      </w:r>
      <w:r>
        <w:t>11.</w:t>
      </w:r>
      <w:r>
        <w:rPr>
          <w:rFonts w:hint="eastAsia"/>
        </w:rPr>
        <w:t xml:space="preserve">  </w:t>
      </w:r>
      <w:r>
        <w:rPr>
          <w:rFonts w:hint="eastAsia"/>
        </w:rPr>
        <w:t>《基本法》第六十八条订明，香港</w:t>
      </w:r>
      <w:r>
        <w:rPr>
          <w:rFonts w:hint="eastAsia"/>
        </w:rPr>
        <w:t>特区立法会须由选举</w:t>
      </w:r>
      <w:r>
        <w:rPr>
          <w:rFonts w:ascii="SimSun" w:hAnsi="SimSun" w:cs="SimSun" w:hint="eastAsia"/>
        </w:rPr>
        <w:t>产</w:t>
      </w:r>
      <w:r>
        <w:rPr>
          <w:rFonts w:ascii="MS Mincho" w:hAnsi="MS Mincho" w:cs="MS Mincho" w:hint="eastAsia"/>
        </w:rPr>
        <w:t>生，</w:t>
      </w:r>
      <w:r>
        <w:rPr>
          <w:rFonts w:ascii="SimSun" w:hAnsi="SimSun" w:cs="SimSun" w:hint="eastAsia"/>
        </w:rPr>
        <w:t>产</w:t>
      </w:r>
      <w:r>
        <w:rPr>
          <w:rFonts w:ascii="MS Mincho" w:hAnsi="MS Mincho" w:cs="MS Mincho" w:hint="eastAsia"/>
        </w:rPr>
        <w:t>生办法根据香港特区的实际情况和循序渐进的原则而规定，最终达至全部议员由普选</w:t>
      </w:r>
      <w:r>
        <w:rPr>
          <w:rFonts w:ascii="SimSun" w:hAnsi="SimSun" w:cs="SimSun" w:hint="eastAsia"/>
        </w:rPr>
        <w:t>产</w:t>
      </w:r>
      <w:r>
        <w:rPr>
          <w:rFonts w:ascii="MS Mincho" w:hAnsi="MS Mincho" w:cs="MS Mincho" w:hint="eastAsia"/>
        </w:rPr>
        <w:t>生的目标。根据《基本法》附件二以及一九九零年四月四日全国人民代表大会第三次会议通过的有关决定，首三届立法会的组成如下：</w:t>
      </w:r>
    </w:p>
    <w:tbl>
      <w:tblPr>
        <w:tblW w:w="9000" w:type="dxa"/>
        <w:tblInd w:w="28" w:type="dxa"/>
        <w:tblLayout w:type="fixed"/>
        <w:tblCellMar>
          <w:left w:w="28" w:type="dxa"/>
          <w:right w:w="28" w:type="dxa"/>
        </w:tblCellMar>
        <w:tblLook w:val="0000" w:firstRow="0" w:lastRow="0" w:firstColumn="0" w:lastColumn="0" w:noHBand="0" w:noVBand="0"/>
      </w:tblPr>
      <w:tblGrid>
        <w:gridCol w:w="540"/>
        <w:gridCol w:w="3420"/>
        <w:gridCol w:w="1680"/>
        <w:gridCol w:w="1680"/>
        <w:gridCol w:w="1680"/>
      </w:tblGrid>
      <w:tr w:rsidR="00000000">
        <w:tblPrEx>
          <w:tblCellMar>
            <w:top w:w="0" w:type="dxa"/>
            <w:bottom w:w="0" w:type="dxa"/>
          </w:tblCellMar>
        </w:tblPrEx>
        <w:tc>
          <w:tcPr>
            <w:tcW w:w="5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u w:val="single"/>
              </w:rPr>
            </w:pPr>
          </w:p>
        </w:tc>
        <w:tc>
          <w:tcPr>
            <w:tcW w:w="3420" w:type="dxa"/>
          </w:tcPr>
          <w:p w:rsidR="00000000" w:rsidRDefault="00954A93">
            <w:pPr>
              <w:tabs>
                <w:tab w:val="left" w:pos="2268"/>
                <w:tab w:val="left" w:pos="2835"/>
                <w:tab w:val="left" w:pos="3402"/>
                <w:tab w:val="left" w:pos="3969"/>
                <w:tab w:val="left" w:pos="4536"/>
                <w:tab w:val="left" w:pos="5103"/>
                <w:tab w:val="left" w:pos="5670"/>
                <w:tab w:val="left" w:pos="6237"/>
                <w:tab w:val="left" w:pos="6804"/>
              </w:tabs>
              <w:jc w:val="center"/>
              <w:rPr>
                <w:sz w:val="22"/>
                <w:u w:val="single"/>
              </w:rPr>
            </w:pPr>
            <w:r>
              <w:rPr>
                <w:rFonts w:eastAsia="華康中黑體" w:hint="eastAsia"/>
                <w:sz w:val="22"/>
                <w:u w:val="single"/>
              </w:rPr>
              <w:t>成员</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u w:val="single"/>
              </w:rPr>
            </w:pPr>
            <w:r>
              <w:rPr>
                <w:rFonts w:eastAsia="華康中黑體" w:hint="eastAsia"/>
                <w:sz w:val="22"/>
                <w:u w:val="single"/>
              </w:rPr>
              <w:t>第一届</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u w:val="single"/>
              </w:rPr>
            </w:pPr>
            <w:r>
              <w:rPr>
                <w:sz w:val="22"/>
              </w:rPr>
              <w:t>1998-2000</w:t>
            </w:r>
            <w:r>
              <w:rPr>
                <w:rFonts w:hint="eastAsia"/>
                <w:sz w:val="22"/>
              </w:rPr>
              <w:t>年</w:t>
            </w:r>
            <w:r>
              <w:rPr>
                <w:rFonts w:hint="eastAsia"/>
                <w:sz w:val="22"/>
                <w:u w:val="single"/>
              </w:rPr>
              <w:br/>
            </w:r>
            <w:r>
              <w:rPr>
                <w:sz w:val="22"/>
              </w:rPr>
              <w:t>(</w:t>
            </w:r>
            <w:r>
              <w:rPr>
                <w:rFonts w:hint="eastAsia"/>
                <w:sz w:val="22"/>
              </w:rPr>
              <w:t>任期两年</w:t>
            </w:r>
            <w:r>
              <w:rPr>
                <w:sz w:val="22"/>
              </w:rPr>
              <w:t>)</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u w:val="single"/>
              </w:rPr>
            </w:pPr>
            <w:r>
              <w:rPr>
                <w:rFonts w:eastAsia="華康中黑體" w:hint="eastAsia"/>
                <w:sz w:val="22"/>
                <w:u w:val="single"/>
              </w:rPr>
              <w:t>第二届</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rPr>
              <w:t>2000-2004</w:t>
            </w:r>
            <w:r>
              <w:rPr>
                <w:rFonts w:hint="eastAsia"/>
                <w:sz w:val="22"/>
              </w:rPr>
              <w:t>年</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u w:val="single"/>
              </w:rPr>
            </w:pPr>
            <w:r>
              <w:rPr>
                <w:sz w:val="22"/>
              </w:rPr>
              <w:t>(</w:t>
            </w:r>
            <w:r>
              <w:rPr>
                <w:rFonts w:hint="eastAsia"/>
                <w:sz w:val="22"/>
              </w:rPr>
              <w:t>任期四年</w:t>
            </w:r>
            <w:r>
              <w:rPr>
                <w:sz w:val="22"/>
              </w:rPr>
              <w:t>)</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rFonts w:hint="eastAsia"/>
                <w:sz w:val="22"/>
              </w:rPr>
              <w:t>第三届</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line="240" w:lineRule="auto"/>
              <w:jc w:val="center"/>
              <w:rPr>
                <w:sz w:val="22"/>
              </w:rPr>
            </w:pPr>
            <w:r>
              <w:rPr>
                <w:sz w:val="22"/>
              </w:rPr>
              <w:t>2004-2008</w:t>
            </w:r>
            <w:r>
              <w:rPr>
                <w:rFonts w:hint="eastAsia"/>
                <w:sz w:val="22"/>
              </w:rPr>
              <w:t>年</w:t>
            </w:r>
          </w:p>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120" w:line="240" w:lineRule="auto"/>
              <w:jc w:val="center"/>
              <w:rPr>
                <w:sz w:val="22"/>
              </w:rPr>
            </w:pPr>
            <w:r>
              <w:rPr>
                <w:sz w:val="22"/>
              </w:rPr>
              <w:t>(</w:t>
            </w:r>
            <w:r>
              <w:rPr>
                <w:rFonts w:hint="eastAsia"/>
                <w:sz w:val="22"/>
              </w:rPr>
              <w:t>任期四年</w:t>
            </w:r>
            <w:r>
              <w:rPr>
                <w:sz w:val="22"/>
              </w:rPr>
              <w:t>)</w:t>
            </w:r>
          </w:p>
        </w:tc>
      </w:tr>
      <w:tr w:rsidR="00000000">
        <w:tblPrEx>
          <w:tblCellMar>
            <w:top w:w="0" w:type="dxa"/>
            <w:bottom w:w="0" w:type="dxa"/>
          </w:tblCellMar>
        </w:tblPrEx>
        <w:tc>
          <w:tcPr>
            <w:tcW w:w="5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sz w:val="22"/>
              </w:rPr>
              <w:t>(a)</w:t>
            </w:r>
          </w:p>
        </w:tc>
        <w:tc>
          <w:tcPr>
            <w:tcW w:w="34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rFonts w:hint="eastAsia"/>
                <w:sz w:val="22"/>
              </w:rPr>
              <w:t>由地方选区直接选举</w:t>
            </w:r>
            <w:r>
              <w:rPr>
                <w:rFonts w:ascii="SimSun" w:hAnsi="SimSun" w:cs="SimSun" w:hint="eastAsia"/>
                <w:sz w:val="22"/>
              </w:rPr>
              <w:t>产</w:t>
            </w:r>
            <w:r>
              <w:rPr>
                <w:rFonts w:ascii="MS Mincho" w:hAnsi="MS Mincho" w:cs="MS Mincho" w:hint="eastAsia"/>
                <w:sz w:val="22"/>
              </w:rPr>
              <w:t>生</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20</w:t>
            </w:r>
            <w:r>
              <w:rPr>
                <w:rFonts w:hint="eastAsia"/>
                <w:sz w:val="22"/>
              </w:rPr>
              <w:t>人</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24</w:t>
            </w:r>
            <w:r>
              <w:rPr>
                <w:rFonts w:hint="eastAsia"/>
                <w:sz w:val="22"/>
              </w:rPr>
              <w:t>人</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30</w:t>
            </w:r>
            <w:r>
              <w:rPr>
                <w:rFonts w:hint="eastAsia"/>
                <w:sz w:val="22"/>
              </w:rPr>
              <w:t>人</w:t>
            </w:r>
          </w:p>
        </w:tc>
      </w:tr>
      <w:tr w:rsidR="00000000">
        <w:tblPrEx>
          <w:tblCellMar>
            <w:top w:w="0" w:type="dxa"/>
            <w:bottom w:w="0" w:type="dxa"/>
          </w:tblCellMar>
        </w:tblPrEx>
        <w:tc>
          <w:tcPr>
            <w:tcW w:w="5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sz w:val="22"/>
              </w:rPr>
              <w:t>(b)</w:t>
            </w:r>
          </w:p>
        </w:tc>
        <w:tc>
          <w:tcPr>
            <w:tcW w:w="34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rFonts w:hint="eastAsia"/>
                <w:sz w:val="22"/>
              </w:rPr>
              <w:t>由功能界别选举</w:t>
            </w:r>
            <w:r>
              <w:rPr>
                <w:rFonts w:ascii="SimSun" w:hAnsi="SimSun" w:cs="SimSun" w:hint="eastAsia"/>
                <w:sz w:val="22"/>
              </w:rPr>
              <w:t>产</w:t>
            </w:r>
            <w:r>
              <w:rPr>
                <w:rFonts w:ascii="MS Mincho" w:hAnsi="MS Mincho" w:cs="MS Mincho" w:hint="eastAsia"/>
                <w:sz w:val="22"/>
              </w:rPr>
              <w:t>生</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30</w:t>
            </w:r>
            <w:r>
              <w:rPr>
                <w:rFonts w:hint="eastAsia"/>
                <w:sz w:val="22"/>
              </w:rPr>
              <w:t>人</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30</w:t>
            </w:r>
            <w:r>
              <w:rPr>
                <w:rFonts w:hint="eastAsia"/>
                <w:sz w:val="22"/>
              </w:rPr>
              <w:t>人</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30</w:t>
            </w:r>
            <w:r>
              <w:rPr>
                <w:rFonts w:hint="eastAsia"/>
                <w:sz w:val="22"/>
              </w:rPr>
              <w:t>人</w:t>
            </w:r>
          </w:p>
        </w:tc>
      </w:tr>
      <w:tr w:rsidR="00000000">
        <w:tblPrEx>
          <w:tblCellMar>
            <w:top w:w="0" w:type="dxa"/>
            <w:bottom w:w="0" w:type="dxa"/>
          </w:tblCellMar>
        </w:tblPrEx>
        <w:tc>
          <w:tcPr>
            <w:tcW w:w="540" w:type="dxa"/>
            <w:tcBorders>
              <w:bottom w:val="single" w:sz="6"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sz w:val="22"/>
              </w:rPr>
              <w:t>(c)</w:t>
            </w:r>
          </w:p>
        </w:tc>
        <w:tc>
          <w:tcPr>
            <w:tcW w:w="3420" w:type="dxa"/>
            <w:tcBorders>
              <w:bottom w:val="single" w:sz="6"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sz w:val="22"/>
              </w:rPr>
            </w:pPr>
            <w:r>
              <w:rPr>
                <w:rFonts w:hint="eastAsia"/>
                <w:sz w:val="22"/>
              </w:rPr>
              <w:t>由选举委员会选举</w:t>
            </w:r>
            <w:r>
              <w:rPr>
                <w:rFonts w:ascii="SimSun" w:hAnsi="SimSun" w:cs="SimSun" w:hint="eastAsia"/>
                <w:sz w:val="22"/>
              </w:rPr>
              <w:t>产</w:t>
            </w:r>
            <w:r>
              <w:rPr>
                <w:rFonts w:ascii="MS Mincho" w:hAnsi="MS Mincho" w:cs="MS Mincho" w:hint="eastAsia"/>
                <w:sz w:val="22"/>
              </w:rPr>
              <w:t>生</w:t>
            </w:r>
          </w:p>
        </w:tc>
        <w:tc>
          <w:tcPr>
            <w:tcW w:w="1680" w:type="dxa"/>
            <w:tcBorders>
              <w:bottom w:val="single" w:sz="6"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10</w:t>
            </w:r>
            <w:r>
              <w:rPr>
                <w:rFonts w:hint="eastAsia"/>
                <w:sz w:val="22"/>
              </w:rPr>
              <w:t>人</w:t>
            </w:r>
          </w:p>
        </w:tc>
        <w:tc>
          <w:tcPr>
            <w:tcW w:w="1680" w:type="dxa"/>
            <w:tcBorders>
              <w:bottom w:val="single" w:sz="6"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sz w:val="22"/>
              </w:rPr>
              <w:t>6</w:t>
            </w:r>
            <w:r>
              <w:rPr>
                <w:rFonts w:hint="eastAsia"/>
                <w:sz w:val="22"/>
              </w:rPr>
              <w:t>人</w:t>
            </w:r>
          </w:p>
        </w:tc>
        <w:tc>
          <w:tcPr>
            <w:tcW w:w="1680" w:type="dxa"/>
            <w:tcBorders>
              <w:bottom w:val="single" w:sz="6" w:space="0" w:color="auto"/>
            </w:tcBorders>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jc w:val="center"/>
              <w:rPr>
                <w:sz w:val="22"/>
              </w:rPr>
            </w:pPr>
            <w:r>
              <w:rPr>
                <w:rFonts w:hint="eastAsia"/>
                <w:sz w:val="22"/>
              </w:rPr>
              <w:t>－</w:t>
            </w:r>
          </w:p>
        </w:tc>
      </w:tr>
      <w:tr w:rsidR="00000000">
        <w:tblPrEx>
          <w:tblCellMar>
            <w:top w:w="0" w:type="dxa"/>
            <w:bottom w:w="0" w:type="dxa"/>
          </w:tblCellMar>
        </w:tblPrEx>
        <w:tc>
          <w:tcPr>
            <w:tcW w:w="54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rPr>
                <w:sz w:val="22"/>
              </w:rPr>
            </w:pPr>
          </w:p>
        </w:tc>
        <w:tc>
          <w:tcPr>
            <w:tcW w:w="342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rPr>
                <w:sz w:val="22"/>
              </w:rPr>
            </w:pPr>
            <w:r>
              <w:rPr>
                <w:rFonts w:hint="eastAsia"/>
                <w:sz w:val="22"/>
              </w:rPr>
              <w:t>总数</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jc w:val="center"/>
              <w:rPr>
                <w:sz w:val="22"/>
              </w:rPr>
            </w:pPr>
            <w:r>
              <w:rPr>
                <w:sz w:val="22"/>
              </w:rPr>
              <w:t>60</w:t>
            </w:r>
            <w:r>
              <w:rPr>
                <w:rFonts w:hint="eastAsia"/>
                <w:sz w:val="22"/>
              </w:rPr>
              <w:t>人</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jc w:val="center"/>
              <w:rPr>
                <w:sz w:val="22"/>
              </w:rPr>
            </w:pPr>
            <w:r>
              <w:rPr>
                <w:sz w:val="22"/>
              </w:rPr>
              <w:t>60</w:t>
            </w:r>
            <w:r>
              <w:rPr>
                <w:rFonts w:hint="eastAsia"/>
                <w:sz w:val="22"/>
              </w:rPr>
              <w:t>人</w:t>
            </w:r>
          </w:p>
        </w:tc>
        <w:tc>
          <w:tcPr>
            <w:tcW w:w="1680" w:type="dxa"/>
          </w:tcPr>
          <w:p w:rsidR="00000000" w:rsidRDefault="00954A93">
            <w:pPr>
              <w:tabs>
                <w:tab w:val="left" w:pos="567"/>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before="120"/>
              <w:jc w:val="center"/>
              <w:rPr>
                <w:sz w:val="22"/>
              </w:rPr>
            </w:pPr>
            <w:r>
              <w:rPr>
                <w:sz w:val="22"/>
              </w:rPr>
              <w:t>60</w:t>
            </w:r>
            <w:r>
              <w:rPr>
                <w:rFonts w:hint="eastAsia"/>
                <w:sz w:val="22"/>
              </w:rPr>
              <w:t>人</w:t>
            </w:r>
          </w:p>
        </w:tc>
      </w:tr>
    </w:tbl>
    <w:p w:rsidR="00000000" w:rsidRDefault="00954A93">
      <w:pPr>
        <w:spacing w:before="120"/>
        <w:rPr>
          <w:rFonts w:hint="eastAsia"/>
        </w:rPr>
      </w:pPr>
      <w:r>
        <w:rPr>
          <w:rFonts w:hint="eastAsia"/>
        </w:rPr>
        <w:tab/>
      </w:r>
      <w:r>
        <w:t xml:space="preserve">12. </w:t>
      </w:r>
      <w:r>
        <w:rPr>
          <w:rFonts w:hint="eastAsia"/>
        </w:rPr>
        <w:t xml:space="preserve"> </w:t>
      </w:r>
      <w:r>
        <w:rPr>
          <w:rFonts w:hint="eastAsia"/>
        </w:rPr>
        <w:t>第三届立法会选举已于二零零四年九月十二日举行。地方选区和功能界别的选举投票率分别为</w:t>
      </w:r>
      <w:r>
        <w:t>55.6%</w:t>
      </w:r>
      <w:r>
        <w:rPr>
          <w:rFonts w:hint="eastAsia"/>
        </w:rPr>
        <w:t>和</w:t>
      </w:r>
      <w:r>
        <w:t>70.1%</w:t>
      </w:r>
      <w:r>
        <w:rPr>
          <w:rFonts w:hint="eastAsia"/>
        </w:rPr>
        <w:t>。现届</w:t>
      </w:r>
      <w:r>
        <w:t>(</w:t>
      </w:r>
      <w:r>
        <w:rPr>
          <w:rFonts w:hint="eastAsia"/>
        </w:rPr>
        <w:t>第三届</w:t>
      </w:r>
      <w:r>
        <w:t>)</w:t>
      </w:r>
      <w:r>
        <w:rPr>
          <w:rFonts w:hint="eastAsia"/>
        </w:rPr>
        <w:t>立法会于二零零四年十月一日正式就任。</w:t>
      </w:r>
    </w:p>
    <w:p w:rsidR="00000000" w:rsidRDefault="00954A93">
      <w:r>
        <w:rPr>
          <w:rFonts w:hint="eastAsia"/>
        </w:rPr>
        <w:tab/>
      </w:r>
      <w:r>
        <w:t>13.</w:t>
      </w:r>
      <w:r>
        <w:rPr>
          <w:rFonts w:hint="eastAsia"/>
        </w:rPr>
        <w:t xml:space="preserve">  </w:t>
      </w:r>
      <w:r>
        <w:rPr>
          <w:rFonts w:hint="eastAsia"/>
        </w:rPr>
        <w:t>《基本法》附件二规定，二零零七年以后立法会的</w:t>
      </w:r>
      <w:r>
        <w:rPr>
          <w:rFonts w:ascii="SimSun" w:hAnsi="SimSun" w:cs="SimSun" w:hint="eastAsia"/>
        </w:rPr>
        <w:t>产</w:t>
      </w:r>
      <w:r>
        <w:rPr>
          <w:rFonts w:ascii="MS Mincho" w:hAnsi="MS Mincho" w:cs="MS Mincho" w:hint="eastAsia"/>
        </w:rPr>
        <w:t>生办法如需修改，须由立法会全体议员三分之二多数通过，经行政长官同意，报全国人民</w:t>
      </w:r>
      <w:r>
        <w:rPr>
          <w:rFonts w:hint="eastAsia"/>
        </w:rPr>
        <w:t>代表大会常务委员会备案。</w:t>
      </w:r>
    </w:p>
    <w:p w:rsidR="00000000" w:rsidRDefault="00954A93">
      <w:pPr>
        <w:spacing w:after="240"/>
        <w:rPr>
          <w:rFonts w:eastAsia="華康中黑體" w:hint="eastAsia"/>
          <w:b/>
        </w:rPr>
      </w:pPr>
      <w:r>
        <w:rPr>
          <w:rFonts w:hint="eastAsia"/>
        </w:rPr>
        <w:tab/>
      </w:r>
      <w:r>
        <w:t xml:space="preserve">14. </w:t>
      </w:r>
      <w:r>
        <w:rPr>
          <w:rFonts w:hint="eastAsia"/>
        </w:rPr>
        <w:t xml:space="preserve"> </w:t>
      </w:r>
      <w:r>
        <w:rPr>
          <w:rFonts w:hint="eastAsia"/>
        </w:rPr>
        <w:t>根据《基本法》第七十三条，立法会的职权包括：根据《基本法》规定并依照法定程序制定、修改和废除法律</w:t>
      </w:r>
      <w:r>
        <w:rPr>
          <w:rFonts w:ascii="SimSun" w:hAnsi="SimSun" w:cs="SimSun" w:hint="eastAsia"/>
        </w:rPr>
        <w:t>；</w:t>
      </w:r>
      <w:r>
        <w:rPr>
          <w:rFonts w:ascii="MS Mincho" w:hAnsi="MS Mincho" w:cs="MS Mincho" w:hint="eastAsia"/>
        </w:rPr>
        <w:t>根据政府的提案，审核、</w:t>
      </w:r>
      <w:r>
        <w:rPr>
          <w:rFonts w:ascii="MS Mincho" w:hAnsi="MS Mincho" w:cs="MS Mincho" w:hint="eastAsia"/>
        </w:rPr>
        <w:t>通过财政预算案</w:t>
      </w:r>
      <w:r>
        <w:rPr>
          <w:rFonts w:ascii="SimSun" w:hAnsi="SimSun" w:cs="SimSun" w:hint="eastAsia"/>
        </w:rPr>
        <w:t>；</w:t>
      </w:r>
      <w:r>
        <w:rPr>
          <w:rFonts w:ascii="MS Mincho" w:hAnsi="MS Mincho" w:cs="MS Mincho" w:hint="eastAsia"/>
        </w:rPr>
        <w:t>批准</w:t>
      </w:r>
      <w:r>
        <w:rPr>
          <w:rFonts w:ascii="SimSun" w:hAnsi="SimSun" w:cs="SimSun" w:hint="eastAsia"/>
        </w:rPr>
        <w:t>税</w:t>
      </w:r>
      <w:r>
        <w:rPr>
          <w:rFonts w:ascii="MS Mincho" w:hAnsi="MS Mincho" w:cs="MS Mincho" w:hint="eastAsia"/>
        </w:rPr>
        <w:t>收和公共开支</w:t>
      </w:r>
      <w:r>
        <w:rPr>
          <w:rFonts w:ascii="SimSun" w:hAnsi="SimSun" w:cs="SimSun" w:hint="eastAsia"/>
        </w:rPr>
        <w:t>；</w:t>
      </w:r>
      <w:r>
        <w:rPr>
          <w:rFonts w:ascii="MS Mincho" w:hAnsi="MS Mincho" w:cs="MS Mincho" w:hint="eastAsia"/>
        </w:rPr>
        <w:t>听取行政长官的施政报告并进行辩论</w:t>
      </w:r>
      <w:r>
        <w:rPr>
          <w:rFonts w:ascii="SimSun" w:hAnsi="SimSun" w:cs="SimSun" w:hint="eastAsia"/>
        </w:rPr>
        <w:t>；</w:t>
      </w:r>
      <w:r>
        <w:rPr>
          <w:rFonts w:ascii="MS Mincho" w:hAnsi="MS Mincho" w:cs="MS Mincho" w:hint="eastAsia"/>
        </w:rPr>
        <w:t>对政府的工作提出质询</w:t>
      </w:r>
      <w:r>
        <w:rPr>
          <w:rFonts w:ascii="SimSun" w:hAnsi="SimSun" w:cs="SimSun" w:hint="eastAsia"/>
        </w:rPr>
        <w:t>；</w:t>
      </w:r>
      <w:r>
        <w:rPr>
          <w:rFonts w:ascii="MS Mincho" w:hAnsi="MS Mincho" w:cs="MS Mincho" w:hint="eastAsia"/>
        </w:rPr>
        <w:t>就任何有关公共利益问题进行辩论</w:t>
      </w:r>
      <w:r>
        <w:rPr>
          <w:rFonts w:ascii="SimSun" w:hAnsi="SimSun" w:cs="SimSun" w:hint="eastAsia"/>
        </w:rPr>
        <w:t>；</w:t>
      </w:r>
      <w:r>
        <w:rPr>
          <w:rFonts w:ascii="MS Mincho" w:hAnsi="MS Mincho" w:cs="MS Mincho" w:hint="eastAsia"/>
        </w:rPr>
        <w:t>同意终审法院法官和高等法院首席法官的任免；以及接受香港居民申诉并作出处理。</w:t>
      </w:r>
    </w:p>
    <w:p w:rsidR="00000000" w:rsidRDefault="00954A93">
      <w:pPr>
        <w:pStyle w:val="Heading4"/>
        <w:rPr>
          <w:rFonts w:hint="eastAsia"/>
        </w:rPr>
      </w:pPr>
      <w:r>
        <w:rPr>
          <w:rFonts w:hint="eastAsia"/>
        </w:rPr>
        <w:t>区议会</w:t>
      </w:r>
    </w:p>
    <w:p w:rsidR="00000000" w:rsidRDefault="00954A93">
      <w:r>
        <w:rPr>
          <w:rFonts w:hint="eastAsia"/>
        </w:rPr>
        <w:tab/>
      </w:r>
      <w:r>
        <w:t xml:space="preserve">15. </w:t>
      </w:r>
      <w:r>
        <w:rPr>
          <w:rFonts w:hint="eastAsia"/>
        </w:rPr>
        <w:t xml:space="preserve"> </w:t>
      </w:r>
      <w:r>
        <w:rPr>
          <w:rFonts w:hint="eastAsia"/>
        </w:rPr>
        <w:t>第一届区议会选举已于一九九九年十一月二十八日举行，整体投票率为</w:t>
      </w:r>
      <w:r>
        <w:t>35.8%</w:t>
      </w:r>
      <w:r>
        <w:rPr>
          <w:rFonts w:hint="eastAsia"/>
        </w:rPr>
        <w:t>。现有的</w:t>
      </w:r>
      <w:r>
        <w:t>18</w:t>
      </w:r>
      <w:r>
        <w:rPr>
          <w:rFonts w:hint="eastAsia"/>
        </w:rPr>
        <w:t>个区议会于二零零零年一月一日根据《区议会条例》成立。区议会就地区事务向香港特区政府提供意见，并在属区</w:t>
      </w:r>
      <w:r>
        <w:rPr>
          <w:rFonts w:ascii="SimSun" w:hAnsi="SimSun" w:cs="SimSun" w:hint="eastAsia"/>
        </w:rPr>
        <w:t>内</w:t>
      </w:r>
      <w:r>
        <w:rPr>
          <w:rFonts w:ascii="MS Mincho" w:hAnsi="MS Mincho" w:cs="MS Mincho" w:hint="eastAsia"/>
        </w:rPr>
        <w:t>推广康乐文化活动，以及推行环境改善计划。区议会议员包括民选议员和委任议员，而新界区议会除有民选议员和委任议</w:t>
      </w:r>
      <w:r>
        <w:rPr>
          <w:rFonts w:ascii="MS Mincho" w:hAnsi="MS Mincho" w:cs="MS Mincho" w:hint="eastAsia"/>
        </w:rPr>
        <w:t>员外，更有由</w:t>
      </w:r>
      <w:r>
        <w:rPr>
          <w:rFonts w:ascii="SimSun" w:hAnsi="SimSun" w:cs="SimSun" w:hint="eastAsia"/>
        </w:rPr>
        <w:t>乡</w:t>
      </w:r>
      <w:r>
        <w:rPr>
          <w:rFonts w:ascii="MS Mincho" w:hAnsi="MS Mincho" w:cs="MS Mincho" w:hint="eastAsia"/>
        </w:rPr>
        <w:t>事委员会主席兼任的当然议员。香港特区划分为</w:t>
      </w:r>
      <w:r>
        <w:t>390</w:t>
      </w:r>
      <w:r>
        <w:rPr>
          <w:rFonts w:hint="eastAsia"/>
        </w:rPr>
        <w:t>个选区，</w:t>
      </w:r>
      <w:r>
        <w:rPr>
          <w:rFonts w:ascii="SimSun" w:hAnsi="SimSun" w:cs="SimSun" w:hint="eastAsia"/>
        </w:rPr>
        <w:t>每</w:t>
      </w:r>
      <w:r>
        <w:rPr>
          <w:rFonts w:ascii="MS Mincho" w:hAnsi="MS Mincho" w:cs="MS Mincho" w:hint="eastAsia"/>
        </w:rPr>
        <w:t>区选出一位民选议员。目前区议会共有</w:t>
      </w:r>
      <w:r>
        <w:t>102</w:t>
      </w:r>
      <w:r>
        <w:rPr>
          <w:rFonts w:hint="eastAsia"/>
        </w:rPr>
        <w:t>位委任议员和</w:t>
      </w:r>
      <w:r>
        <w:t>27</w:t>
      </w:r>
      <w:r>
        <w:rPr>
          <w:rFonts w:hint="eastAsia"/>
        </w:rPr>
        <w:t>位当然议员。</w:t>
      </w:r>
    </w:p>
    <w:p w:rsidR="00000000" w:rsidRDefault="00954A93">
      <w:pPr>
        <w:rPr>
          <w:rFonts w:hint="eastAsia"/>
        </w:rPr>
      </w:pPr>
      <w:r>
        <w:rPr>
          <w:rFonts w:hint="eastAsia"/>
        </w:rPr>
        <w:tab/>
      </w:r>
      <w:r>
        <w:t>16.</w:t>
      </w:r>
      <w:r>
        <w:rPr>
          <w:rFonts w:hint="eastAsia"/>
        </w:rPr>
        <w:t xml:space="preserve">  </w:t>
      </w:r>
      <w:r>
        <w:rPr>
          <w:rFonts w:hint="eastAsia"/>
        </w:rPr>
        <w:t>当局在二零零一年进行区议会检讨后，实施了一系列措施，以强化区议会作为政府在地区事务上的主要顾问的角色和职能，并加强区议会在提供和管理地区服务和设施的事务上的影响力，确保政府能继续因时制宜。</w:t>
      </w:r>
    </w:p>
    <w:p w:rsidR="00000000" w:rsidRDefault="00954A93">
      <w:pPr>
        <w:spacing w:after="240"/>
        <w:rPr>
          <w:rFonts w:eastAsia="華康中黑體" w:hint="eastAsia"/>
          <w:b/>
        </w:rPr>
      </w:pPr>
      <w:r>
        <w:rPr>
          <w:rFonts w:hint="eastAsia"/>
        </w:rPr>
        <w:tab/>
      </w:r>
      <w:r>
        <w:t>17.</w:t>
      </w:r>
      <w:r>
        <w:rPr>
          <w:rFonts w:hint="eastAsia"/>
        </w:rPr>
        <w:t xml:space="preserve">  </w:t>
      </w:r>
      <w:r>
        <w:rPr>
          <w:rFonts w:hint="eastAsia"/>
        </w:rPr>
        <w:t>因应三个地区的人口增长，于二零零四年一月一日就任的第二届区议会的民选议席数目已由</w:t>
      </w:r>
      <w:r>
        <w:t>390</w:t>
      </w:r>
      <w:r>
        <w:rPr>
          <w:rFonts w:hint="eastAsia"/>
        </w:rPr>
        <w:t>人增加至</w:t>
      </w:r>
      <w:r>
        <w:t>400</w:t>
      </w:r>
      <w:r>
        <w:rPr>
          <w:rFonts w:hint="eastAsia"/>
        </w:rPr>
        <w:t>人。</w:t>
      </w:r>
    </w:p>
    <w:p w:rsidR="00000000" w:rsidRDefault="00954A93">
      <w:pPr>
        <w:pStyle w:val="Heading4"/>
        <w:rPr>
          <w:rFonts w:hint="eastAsia"/>
        </w:rPr>
      </w:pPr>
      <w:r>
        <w:rPr>
          <w:rFonts w:hint="eastAsia"/>
        </w:rPr>
        <w:t>取消市政局和区域市政局</w:t>
      </w:r>
    </w:p>
    <w:p w:rsidR="00000000" w:rsidRDefault="00954A93">
      <w:pPr>
        <w:rPr>
          <w:rFonts w:hint="eastAsia"/>
        </w:rPr>
      </w:pPr>
      <w:r>
        <w:rPr>
          <w:rFonts w:hint="eastAsia"/>
        </w:rPr>
        <w:tab/>
      </w:r>
      <w:r>
        <w:t>18.</w:t>
      </w:r>
      <w:r>
        <w:rPr>
          <w:rFonts w:hint="eastAsia"/>
        </w:rPr>
        <w:t xml:space="preserve">  </w:t>
      </w:r>
      <w:r>
        <w:rPr>
          <w:rFonts w:hint="eastAsia"/>
        </w:rPr>
        <w:t>根据立法会于一</w:t>
      </w:r>
      <w:r>
        <w:rPr>
          <w:rFonts w:hint="eastAsia"/>
        </w:rPr>
        <w:t>九九九年十二月通过的《提供市政服务</w:t>
      </w:r>
      <w:r>
        <w:t>(</w:t>
      </w:r>
      <w:r>
        <w:rPr>
          <w:rFonts w:hint="eastAsia"/>
        </w:rPr>
        <w:t>重组</w:t>
      </w:r>
      <w:r>
        <w:t>)</w:t>
      </w:r>
      <w:r>
        <w:rPr>
          <w:rFonts w:hint="eastAsia"/>
        </w:rPr>
        <w:t>条例》，两个临时市政局于议员任期届满之日</w:t>
      </w:r>
      <w:r>
        <w:rPr>
          <w:rFonts w:hint="eastAsia"/>
        </w:rPr>
        <w:t>(</w:t>
      </w:r>
      <w:r>
        <w:rPr>
          <w:rFonts w:hint="eastAsia"/>
        </w:rPr>
        <w:t>一九九九年十二月三十一日</w:t>
      </w:r>
      <w:r>
        <w:rPr>
          <w:rFonts w:hint="eastAsia"/>
        </w:rPr>
        <w:t>)</w:t>
      </w:r>
      <w:r>
        <w:rPr>
          <w:rFonts w:hint="eastAsia"/>
        </w:rPr>
        <w:t>后解散。为加强协调和提高效率，由二零零零年一月起，食物安全、环境卫生和康乐文化事务方面的工作，改由政府新成立的专责机构负责。</w:t>
      </w:r>
    </w:p>
    <w:p w:rsidR="00000000" w:rsidRDefault="00954A93">
      <w:pPr>
        <w:spacing w:after="240"/>
        <w:rPr>
          <w:rFonts w:hint="eastAsia"/>
        </w:rPr>
      </w:pPr>
      <w:r>
        <w:rPr>
          <w:rFonts w:hint="eastAsia"/>
        </w:rPr>
        <w:tab/>
      </w:r>
      <w:r>
        <w:t>19.</w:t>
      </w:r>
      <w:r>
        <w:rPr>
          <w:rFonts w:hint="eastAsia"/>
        </w:rPr>
        <w:t xml:space="preserve">  </w:t>
      </w:r>
      <w:r>
        <w:rPr>
          <w:rFonts w:hint="eastAsia"/>
        </w:rPr>
        <w:t>高等法院就《提供市政服务</w:t>
      </w:r>
      <w:r>
        <w:t>(</w:t>
      </w:r>
      <w:r>
        <w:rPr>
          <w:rFonts w:hint="eastAsia"/>
        </w:rPr>
        <w:t>重组</w:t>
      </w:r>
      <w:r>
        <w:t>)</w:t>
      </w:r>
      <w:r>
        <w:rPr>
          <w:rFonts w:hint="eastAsia"/>
        </w:rPr>
        <w:t>条例》</w:t>
      </w:r>
      <w:r>
        <w:t>(</w:t>
      </w:r>
      <w:r>
        <w:rPr>
          <w:rFonts w:hint="eastAsia"/>
        </w:rPr>
        <w:t>第</w:t>
      </w:r>
      <w:r>
        <w:t>552</w:t>
      </w:r>
      <w:r>
        <w:rPr>
          <w:rFonts w:hint="eastAsia"/>
        </w:rPr>
        <w:t>章</w:t>
      </w:r>
      <w:r>
        <w:t>)</w:t>
      </w:r>
      <w:r>
        <w:rPr>
          <w:rFonts w:hint="eastAsia"/>
        </w:rPr>
        <w:t>是否合法的问题进行了司法复核，裁定该条例并无抵触《基本法》及适用于香港特区的《公民权利和政治权利国际公约》。</w:t>
      </w:r>
    </w:p>
    <w:p w:rsidR="00000000" w:rsidRDefault="00954A93">
      <w:pPr>
        <w:pStyle w:val="Heading4"/>
        <w:rPr>
          <w:rFonts w:hint="eastAsia"/>
        </w:rPr>
      </w:pPr>
      <w:r>
        <w:rPr>
          <w:rFonts w:hint="eastAsia"/>
        </w:rPr>
        <w:t>行政架构</w:t>
      </w:r>
    </w:p>
    <w:p w:rsidR="00000000" w:rsidRDefault="00954A93">
      <w:pPr>
        <w:spacing w:line="322" w:lineRule="auto"/>
      </w:pPr>
      <w:r>
        <w:rPr>
          <w:rFonts w:hint="eastAsia"/>
        </w:rPr>
        <w:tab/>
      </w:r>
      <w:r>
        <w:t>20.</w:t>
      </w:r>
      <w:r>
        <w:rPr>
          <w:rFonts w:hint="eastAsia"/>
        </w:rPr>
        <w:t xml:space="preserve">  </w:t>
      </w:r>
      <w:r>
        <w:rPr>
          <w:rFonts w:hint="eastAsia"/>
        </w:rPr>
        <w:t>香港特区政府的首长是行政长官。如行政长官短期不能履行职务，其职务会依次由三位司长</w:t>
      </w:r>
      <w:r>
        <w:t>(</w:t>
      </w:r>
      <w:r>
        <w:rPr>
          <w:rFonts w:hint="eastAsia"/>
        </w:rPr>
        <w:t>即政务司司长、财政司司长、律政司司长</w:t>
      </w:r>
      <w:r>
        <w:t>)</w:t>
      </w:r>
      <w:r>
        <w:rPr>
          <w:rFonts w:hint="eastAsia"/>
        </w:rPr>
        <w:t>暂时代理。香港特区政府设政务司、财政司、律政司和各局、处、署。</w:t>
      </w:r>
    </w:p>
    <w:p w:rsidR="00000000" w:rsidRDefault="00954A93">
      <w:pPr>
        <w:spacing w:line="322" w:lineRule="auto"/>
        <w:rPr>
          <w:rFonts w:hint="eastAsia"/>
        </w:rPr>
      </w:pPr>
      <w:r>
        <w:rPr>
          <w:rFonts w:hint="eastAsia"/>
        </w:rPr>
        <w:tab/>
      </w:r>
      <w:r>
        <w:t>21.</w:t>
      </w:r>
      <w:r>
        <w:rPr>
          <w:rFonts w:hint="eastAsia"/>
        </w:rPr>
        <w:t xml:space="preserve">  </w:t>
      </w:r>
      <w:r>
        <w:rPr>
          <w:rFonts w:hint="eastAsia"/>
        </w:rPr>
        <w:t>目前政府总部共有</w:t>
      </w:r>
      <w:r>
        <w:t>11</w:t>
      </w:r>
      <w:r>
        <w:rPr>
          <w:rFonts w:hint="eastAsia"/>
        </w:rPr>
        <w:t>个决策局，</w:t>
      </w:r>
      <w:r>
        <w:rPr>
          <w:rFonts w:ascii="SimSun" w:hAnsi="SimSun" w:cs="SimSun" w:hint="eastAsia"/>
        </w:rPr>
        <w:t>每</w:t>
      </w:r>
      <w:r>
        <w:rPr>
          <w:rFonts w:ascii="MS Mincho" w:hAnsi="MS Mincho" w:cs="MS Mincho" w:hint="eastAsia"/>
        </w:rPr>
        <w:t>一个局由一名局长掌管。除廉政专员和审计署署长外，所有部门首长均须向所属的司长及局长负责。廉政公署和审计署独立运作，只向行政长官负责。</w:t>
      </w:r>
    </w:p>
    <w:p w:rsidR="00000000" w:rsidRDefault="00954A93">
      <w:pPr>
        <w:spacing w:after="240" w:line="322" w:lineRule="auto"/>
        <w:rPr>
          <w:rFonts w:eastAsia="華康中黑體" w:hint="eastAsia"/>
          <w:b/>
        </w:rPr>
      </w:pPr>
      <w:r>
        <w:rPr>
          <w:rFonts w:hint="eastAsia"/>
        </w:rPr>
        <w:tab/>
      </w:r>
      <w:r>
        <w:t>22.</w:t>
      </w:r>
      <w:r>
        <w:rPr>
          <w:rFonts w:hint="eastAsia"/>
        </w:rPr>
        <w:t xml:space="preserve">  </w:t>
      </w:r>
      <w:r>
        <w:rPr>
          <w:rFonts w:hint="eastAsia"/>
        </w:rPr>
        <w:t>随着政府在二零零二年七月一日推行主要官员问责制，政务司司长、财政司司长、律政司司长和</w:t>
      </w:r>
      <w:r>
        <w:t>11</w:t>
      </w:r>
      <w:r>
        <w:rPr>
          <w:rFonts w:hint="eastAsia"/>
        </w:rPr>
        <w:t>位决策局局长都不再是公务员。他们负责指定的政策范畴，并为有关政策的成败直接向行政长官负责。他们同时获委任为行政会议成员，与非官方行</w:t>
      </w:r>
      <w:r>
        <w:rPr>
          <w:rFonts w:hint="eastAsia"/>
        </w:rPr>
        <w:t>政会议成员一起协助行政长官制定政策。在问责制下，公务员仍会维持常任、优秀、专业和政治中立。</w:t>
      </w:r>
    </w:p>
    <w:p w:rsidR="00000000" w:rsidRDefault="00954A93">
      <w:pPr>
        <w:pStyle w:val="Heading4"/>
        <w:rPr>
          <w:rFonts w:hint="eastAsia"/>
        </w:rPr>
      </w:pPr>
      <w:r>
        <w:rPr>
          <w:rFonts w:hint="eastAsia"/>
        </w:rPr>
        <w:t>香港特区的司法体制</w:t>
      </w:r>
    </w:p>
    <w:p w:rsidR="00000000" w:rsidRDefault="00954A93">
      <w:pPr>
        <w:spacing w:line="322" w:lineRule="auto"/>
      </w:pPr>
      <w:r>
        <w:rPr>
          <w:rFonts w:hint="eastAsia"/>
        </w:rPr>
        <w:tab/>
      </w:r>
      <w:r>
        <w:t>23.</w:t>
      </w:r>
      <w:r>
        <w:rPr>
          <w:rFonts w:hint="eastAsia"/>
        </w:rPr>
        <w:t xml:space="preserve">  </w:t>
      </w:r>
      <w:r>
        <w:rPr>
          <w:rFonts w:hint="eastAsia"/>
        </w:rPr>
        <w:t>香港特区的法律制度建基于法治和司法独立。司法机关独立于行政机关和立法机关。</w:t>
      </w:r>
    </w:p>
    <w:p w:rsidR="00000000" w:rsidRDefault="00954A93">
      <w:pPr>
        <w:spacing w:line="322" w:lineRule="auto"/>
      </w:pPr>
      <w:r>
        <w:rPr>
          <w:rFonts w:hint="eastAsia"/>
        </w:rPr>
        <w:tab/>
      </w:r>
      <w:r>
        <w:t>24.</w:t>
      </w:r>
      <w:r>
        <w:rPr>
          <w:rFonts w:hint="eastAsia"/>
        </w:rPr>
        <w:t xml:space="preserve">  </w:t>
      </w:r>
      <w:r>
        <w:rPr>
          <w:rFonts w:hint="eastAsia"/>
        </w:rPr>
        <w:t>《基本法》第十九条规定，香港特别行政区享有独立的司法权和终审权。香港特别行政区法院除继续保持香港原有法律制度和原则对法院审判权所作的限制外，对香港特别行政区所有的案件均有审判权。香港特别行政区法院对国防、外交等国家行为无管辖权。香港特别行政区法院在审理案件中遇有</w:t>
      </w:r>
      <w:r>
        <w:rPr>
          <w:rFonts w:ascii="SimSun" w:hAnsi="SimSun" w:cs="SimSun" w:hint="eastAsia"/>
        </w:rPr>
        <w:t>涉</w:t>
      </w:r>
      <w:r>
        <w:rPr>
          <w:rFonts w:ascii="MS Mincho" w:hAnsi="MS Mincho" w:cs="MS Mincho" w:hint="eastAsia"/>
        </w:rPr>
        <w:t>及国防、外交等国家行为的事实问题，应</w:t>
      </w:r>
      <w:r>
        <w:rPr>
          <w:rFonts w:ascii="MS Mincho" w:hAnsi="MS Mincho" w:cs="MS Mincho" w:hint="eastAsia"/>
        </w:rPr>
        <w:t>取得行政长官就该等问题发出的证明文件，上述文件对法院有约束力。行政长官在发出证明文件前，须取得中央人民政府的证明书。</w:t>
      </w:r>
    </w:p>
    <w:p w:rsidR="00000000" w:rsidRDefault="00954A93">
      <w:pPr>
        <w:spacing w:line="322" w:lineRule="auto"/>
      </w:pPr>
      <w:r>
        <w:rPr>
          <w:rFonts w:hint="eastAsia"/>
        </w:rPr>
        <w:tab/>
      </w:r>
      <w:r>
        <w:t>25.</w:t>
      </w:r>
      <w:r>
        <w:rPr>
          <w:rFonts w:hint="eastAsia"/>
        </w:rPr>
        <w:t xml:space="preserve">  </w:t>
      </w:r>
      <w:r>
        <w:rPr>
          <w:rFonts w:hint="eastAsia"/>
        </w:rPr>
        <w:t>香港特区设终审法院、高等法院</w:t>
      </w:r>
      <w:r>
        <w:t>(</w:t>
      </w:r>
      <w:r>
        <w:rPr>
          <w:rFonts w:hint="eastAsia"/>
        </w:rPr>
        <w:t>包括上诉法庭和原讼法庭</w:t>
      </w:r>
      <w:r>
        <w:t>)</w:t>
      </w:r>
      <w:r>
        <w:rPr>
          <w:rFonts w:hint="eastAsia"/>
        </w:rPr>
        <w:t>、区域法院、裁判法院、土地审裁处、劳资审裁处、小额钱债审裁处、淫亵物品审裁处、死因裁判法庭。上述法院审理所有刑事案件和民事纠纷，包括市民之间以及特区政府与市民之间的诉讼。</w:t>
      </w:r>
    </w:p>
    <w:p w:rsidR="00000000" w:rsidRDefault="00954A93">
      <w:r>
        <w:rPr>
          <w:rFonts w:hint="eastAsia"/>
        </w:rPr>
        <w:tab/>
      </w:r>
      <w:r>
        <w:t>26.</w:t>
      </w:r>
      <w:r>
        <w:rPr>
          <w:rFonts w:hint="eastAsia"/>
        </w:rPr>
        <w:t xml:space="preserve">  </w:t>
      </w:r>
      <w:r>
        <w:rPr>
          <w:rFonts w:hint="eastAsia"/>
        </w:rPr>
        <w:t>《基本法》第八十二条订明，香港特区的终审权属于香港特区终审法院。终审法院可根据需要，邀请其他普通法司法管辖区的法官参加审判。此外，第八十三条订明</w:t>
      </w:r>
      <w:r>
        <w:rPr>
          <w:rFonts w:hint="eastAsia"/>
        </w:rPr>
        <w:t>，香港特区各级法院的组织和职权由法律规定。</w:t>
      </w:r>
    </w:p>
    <w:p w:rsidR="00000000" w:rsidRDefault="00954A93">
      <w:r>
        <w:rPr>
          <w:rFonts w:hint="eastAsia"/>
        </w:rPr>
        <w:tab/>
      </w:r>
      <w:r>
        <w:t>27.</w:t>
      </w:r>
      <w:r>
        <w:rPr>
          <w:rFonts w:hint="eastAsia"/>
        </w:rPr>
        <w:t xml:space="preserve">  </w:t>
      </w:r>
      <w:r>
        <w:rPr>
          <w:rFonts w:hint="eastAsia"/>
        </w:rPr>
        <w:t>所有法官和司法人员均须在香港或其他普通法适用地区取得执业律师的资格，并须具备丰富的专业经验。《基本法》第八十八条订明：“香港特别行政区法院的法官，根据当地法官和法律界及其他方面知名人士组成的独立委员会推荐，由行政长官任命”。</w:t>
      </w:r>
    </w:p>
    <w:p w:rsidR="00000000" w:rsidRDefault="00954A93">
      <w:pPr>
        <w:spacing w:after="240"/>
      </w:pPr>
      <w:r>
        <w:rPr>
          <w:rFonts w:hint="eastAsia"/>
        </w:rPr>
        <w:tab/>
      </w:r>
      <w:r>
        <w:t>28.</w:t>
      </w:r>
      <w:r>
        <w:rPr>
          <w:rFonts w:hint="eastAsia"/>
        </w:rPr>
        <w:t xml:space="preserve">  </w:t>
      </w:r>
      <w:r>
        <w:rPr>
          <w:rFonts w:hint="eastAsia"/>
        </w:rPr>
        <w:t>法官的任期受到保障。《基本法》第八十九条订明：“香港特别行政区法院的法官只有在无力履行职责或行为不检的情况下，行政长官才可根据终审法院首席法官任命的不少于三名当地法官组成的审议庭的建议，予以免职。香港特别行政区终审法院</w:t>
      </w:r>
      <w:r>
        <w:rPr>
          <w:rFonts w:hint="eastAsia"/>
        </w:rPr>
        <w:t>的首席法官只有在无力履行职责或行为不检的情况下，行政长官才可任命不少于五名当地法官组成的审议庭进行审议，并可根据其建议，依照本法规定的程序，予以免职”。</w:t>
      </w:r>
    </w:p>
    <w:p w:rsidR="00000000" w:rsidRDefault="00954A93">
      <w:pPr>
        <w:pStyle w:val="Heading3"/>
      </w:pPr>
      <w:r>
        <w:rPr>
          <w:rFonts w:hint="eastAsia"/>
        </w:rPr>
        <w:t>保障人权的法律架构概况</w:t>
      </w:r>
    </w:p>
    <w:p w:rsidR="00000000" w:rsidRDefault="00954A93">
      <w:pPr>
        <w:pStyle w:val="Heading4"/>
        <w:rPr>
          <w:rFonts w:hint="eastAsia"/>
        </w:rPr>
      </w:pPr>
      <w:r>
        <w:rPr>
          <w:rFonts w:hint="eastAsia"/>
        </w:rPr>
        <w:t>法</w:t>
      </w:r>
      <w:r>
        <w:rPr>
          <w:rFonts w:hint="eastAsia"/>
        </w:rPr>
        <w:t xml:space="preserve">  </w:t>
      </w:r>
      <w:r>
        <w:rPr>
          <w:rFonts w:hint="eastAsia"/>
        </w:rPr>
        <w:t>治</w:t>
      </w:r>
    </w:p>
    <w:p w:rsidR="00000000" w:rsidRDefault="00954A93">
      <w:pPr>
        <w:rPr>
          <w:rFonts w:hint="eastAsia"/>
        </w:rPr>
      </w:pPr>
      <w:r>
        <w:rPr>
          <w:rFonts w:hint="eastAsia"/>
        </w:rPr>
        <w:tab/>
      </w:r>
      <w:r>
        <w:t>29.</w:t>
      </w:r>
      <w:r>
        <w:rPr>
          <w:rFonts w:hint="eastAsia"/>
        </w:rPr>
        <w:t xml:space="preserve">  </w:t>
      </w:r>
      <w:r>
        <w:rPr>
          <w:rFonts w:hint="eastAsia"/>
        </w:rPr>
        <w:t>以司法独立维持的法治是保障人权的重要基础</w:t>
      </w:r>
      <w:r>
        <w:t>(</w:t>
      </w:r>
      <w:r>
        <w:rPr>
          <w:rFonts w:hint="eastAsia"/>
        </w:rPr>
        <w:t>见上文第</w:t>
      </w:r>
      <w:r>
        <w:t>23</w:t>
      </w:r>
      <w:r>
        <w:rPr>
          <w:rFonts w:hint="eastAsia"/>
        </w:rPr>
        <w:t>至</w:t>
      </w:r>
      <w:r>
        <w:t>28</w:t>
      </w:r>
      <w:r>
        <w:rPr>
          <w:rFonts w:hint="eastAsia"/>
        </w:rPr>
        <w:t>段</w:t>
      </w:r>
      <w:r>
        <w:t>)</w:t>
      </w:r>
      <w:r>
        <w:rPr>
          <w:rFonts w:hint="eastAsia"/>
        </w:rPr>
        <w:t>。法治的原则包括：</w:t>
      </w:r>
    </w:p>
    <w:p w:rsidR="00000000" w:rsidRDefault="00954A93">
      <w:pPr>
        <w:numPr>
          <w:ilvl w:val="0"/>
          <w:numId w:val="31"/>
        </w:numPr>
        <w:tabs>
          <w:tab w:val="left" w:pos="1134"/>
          <w:tab w:val="left" w:leader="underscore" w:pos="1701"/>
          <w:tab w:val="left" w:pos="2268"/>
          <w:tab w:val="left" w:pos="2835"/>
          <w:tab w:val="left" w:pos="3402"/>
          <w:tab w:val="left" w:pos="3969"/>
          <w:tab w:val="left" w:pos="4536"/>
          <w:tab w:val="left" w:pos="5103"/>
          <w:tab w:val="left" w:pos="5670"/>
          <w:tab w:val="left" w:pos="6237"/>
          <w:tab w:val="left" w:pos="6804"/>
        </w:tabs>
        <w:rPr>
          <w:rFonts w:hint="eastAsia"/>
        </w:rPr>
      </w:pPr>
      <w:r>
        <w:rPr>
          <w:rFonts w:eastAsia="華康中黑體" w:hint="eastAsia"/>
          <w:b/>
        </w:rPr>
        <w:t>法律凌驾一切的地位：</w:t>
      </w:r>
      <w:r>
        <w:rPr>
          <w:rFonts w:hint="eastAsia"/>
        </w:rPr>
        <w:t>不论何人，除经独立的法院裁定违法，否则不可受到任何处罚，或在法律上在人身或金钱上受到损失。任何政府人员或主管当局如获法律赋予酌情决定权，必须以合法、公平、合理的方式运用这项权力，否则所作决定可在法院被质疑和推</w:t>
      </w:r>
      <w:r>
        <w:rPr>
          <w:rFonts w:hint="eastAsia"/>
        </w:rPr>
        <w:t>翻。此外，《基本法》也保证香港居民有权对行政部门及其人员的行为向法院提出诉讼；</w:t>
      </w:r>
    </w:p>
    <w:p w:rsidR="00000000" w:rsidRDefault="00954A93">
      <w:pPr>
        <w:numPr>
          <w:ilvl w:val="0"/>
          <w:numId w:val="31"/>
        </w:numPr>
        <w:tabs>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240"/>
        <w:rPr>
          <w:rFonts w:hint="eastAsia"/>
        </w:rPr>
      </w:pPr>
      <w:r>
        <w:rPr>
          <w:rFonts w:eastAsia="華康中黑體" w:hint="eastAsia"/>
          <w:b/>
        </w:rPr>
        <w:t>法律面前人人平等：</w:t>
      </w:r>
      <w:r>
        <w:rPr>
          <w:rFonts w:hint="eastAsia"/>
        </w:rPr>
        <w:t>《基本法》第二十五条订明，香港居民在法律面前一律平等。第二十二条订明，中央各部门、各省、自治区、直辖市在香港特区设立的一切机构及其人员均须遵守香港特区的法律。第十四条订明，驻军人员除须遵守全国性的法律外，还须遵守香港特区的法律。此外，第三十五条也订明，香港居民有权对行政部门及其人员的行为向法院提出诉讼。因此，任何政府当局、政府人员或个人都不能凌驾于法律之上。法律之前人人平等，无分种族、阶级、政见、宗教或性别，所</w:t>
      </w:r>
      <w:r>
        <w:rPr>
          <w:rFonts w:hint="eastAsia"/>
        </w:rPr>
        <w:t>有人均须遵守同一套法律。个人和香港特区政府都可以入禀法院，要求行使合法权利或就某宗诉讼作出申辩。</w:t>
      </w:r>
    </w:p>
    <w:p w:rsidR="00000000" w:rsidRDefault="00954A93">
      <w:pPr>
        <w:pStyle w:val="Heading4"/>
      </w:pPr>
      <w:r>
        <w:rPr>
          <w:rFonts w:hint="eastAsia"/>
        </w:rPr>
        <w:t>《基本法》对人权的保证</w:t>
      </w:r>
    </w:p>
    <w:p w:rsidR="00000000" w:rsidRDefault="00954A93">
      <w:pPr>
        <w:rPr>
          <w:rFonts w:hint="eastAsia"/>
        </w:rPr>
      </w:pPr>
      <w:r>
        <w:rPr>
          <w:rFonts w:hint="eastAsia"/>
        </w:rPr>
        <w:tab/>
      </w:r>
      <w:r>
        <w:t>30.</w:t>
      </w:r>
      <w:r>
        <w:rPr>
          <w:rFonts w:hint="eastAsia"/>
        </w:rPr>
        <w:t xml:space="preserve">  </w:t>
      </w:r>
      <w:r>
        <w:rPr>
          <w:rFonts w:hint="eastAsia"/>
        </w:rPr>
        <w:t>《基本法》第四条规定，香港特区须依法保障香港特区居民和其他人的权利和自由。《基本法》所保证的各种自由和权利包括：</w:t>
      </w:r>
    </w:p>
    <w:p w:rsidR="00000000" w:rsidRDefault="00954A93">
      <w:pPr>
        <w:numPr>
          <w:ilvl w:val="0"/>
          <w:numId w:val="36"/>
        </w:numPr>
        <w:rPr>
          <w:rFonts w:hint="eastAsia"/>
        </w:rPr>
      </w:pPr>
      <w:r>
        <w:rPr>
          <w:rFonts w:hint="eastAsia"/>
        </w:rPr>
        <w:t>法律面前人人平等；</w:t>
      </w:r>
    </w:p>
    <w:p w:rsidR="00000000" w:rsidRDefault="00954A93">
      <w:pPr>
        <w:numPr>
          <w:ilvl w:val="0"/>
          <w:numId w:val="36"/>
        </w:numPr>
        <w:rPr>
          <w:rFonts w:hint="eastAsia"/>
        </w:rPr>
      </w:pPr>
      <w:r>
        <w:rPr>
          <w:rFonts w:hint="eastAsia"/>
        </w:rPr>
        <w:t>言论、新闻、出版的自由，结社、集会、游行、示威的自由，组织和参加工会、罢工的权利和自由；</w:t>
      </w:r>
    </w:p>
    <w:p w:rsidR="00000000" w:rsidRDefault="00954A93">
      <w:pPr>
        <w:numPr>
          <w:ilvl w:val="0"/>
          <w:numId w:val="36"/>
        </w:numPr>
        <w:rPr>
          <w:rFonts w:hint="eastAsia"/>
        </w:rPr>
      </w:pPr>
      <w:r>
        <w:rPr>
          <w:rFonts w:hint="eastAsia"/>
        </w:rPr>
        <w:t>人身自由、免遭酷刑的自由，不受任意或非法逮捕、拘留、监禁的自由，身体不受任意或非法搜</w:t>
      </w:r>
      <w:r>
        <w:rPr>
          <w:rFonts w:ascii="SimSun" w:hAnsi="SimSun" w:cs="SimSun" w:hint="eastAsia"/>
        </w:rPr>
        <w:t>查</w:t>
      </w:r>
      <w:r>
        <w:rPr>
          <w:rFonts w:ascii="MS Mincho" w:hAnsi="MS Mincho" w:cs="MS Mincho" w:hint="eastAsia"/>
        </w:rPr>
        <w:t>的自由，以及生命不受任意或非法</w:t>
      </w:r>
      <w:r>
        <w:rPr>
          <w:rFonts w:ascii="SimSun" w:hAnsi="SimSun" w:cs="SimSun" w:hint="eastAsia"/>
        </w:rPr>
        <w:t>剥</w:t>
      </w:r>
      <w:r>
        <w:rPr>
          <w:rFonts w:ascii="MS Mincho" w:hAnsi="MS Mincho" w:cs="MS Mincho" w:hint="eastAsia"/>
        </w:rPr>
        <w:t>夺的权利；</w:t>
      </w:r>
    </w:p>
    <w:p w:rsidR="00000000" w:rsidRDefault="00954A93">
      <w:pPr>
        <w:numPr>
          <w:ilvl w:val="0"/>
          <w:numId w:val="36"/>
        </w:numPr>
      </w:pPr>
      <w:r>
        <w:rPr>
          <w:rFonts w:hint="eastAsia"/>
        </w:rPr>
        <w:t>任何人的住宅和其他房屋不</w:t>
      </w:r>
      <w:r>
        <w:rPr>
          <w:rFonts w:hint="eastAsia"/>
        </w:rPr>
        <w:t>受任意或非法搜</w:t>
      </w:r>
      <w:r>
        <w:rPr>
          <w:rFonts w:ascii="SimSun" w:hAnsi="SimSun" w:cs="SimSun" w:hint="eastAsia"/>
        </w:rPr>
        <w:t>查</w:t>
      </w:r>
      <w:r>
        <w:rPr>
          <w:rFonts w:ascii="MS Mincho" w:hAnsi="MS Mincho" w:cs="MS Mincho" w:hint="eastAsia"/>
        </w:rPr>
        <w:t>、侵入的自由；</w:t>
      </w:r>
    </w:p>
    <w:p w:rsidR="00000000" w:rsidRDefault="00954A93">
      <w:pPr>
        <w:numPr>
          <w:ilvl w:val="0"/>
          <w:numId w:val="36"/>
        </w:numPr>
      </w:pPr>
      <w:r>
        <w:rPr>
          <w:rFonts w:hint="eastAsia"/>
        </w:rPr>
        <w:t>通讯自由和通讯私隐；</w:t>
      </w:r>
    </w:p>
    <w:p w:rsidR="00000000" w:rsidRDefault="00954A93">
      <w:pPr>
        <w:numPr>
          <w:ilvl w:val="0"/>
          <w:numId w:val="36"/>
        </w:numPr>
      </w:pPr>
      <w:r>
        <w:rPr>
          <w:rFonts w:hint="eastAsia"/>
        </w:rPr>
        <w:t>在香港特区境</w:t>
      </w:r>
      <w:r>
        <w:rPr>
          <w:rFonts w:ascii="SimSun" w:hAnsi="SimSun" w:cs="SimSun" w:hint="eastAsia"/>
        </w:rPr>
        <w:t>内</w:t>
      </w:r>
      <w:r>
        <w:rPr>
          <w:rFonts w:ascii="MS Mincho" w:hAnsi="MS Mincho" w:cs="MS Mincho" w:hint="eastAsia"/>
        </w:rPr>
        <w:t>迁徙的自由、移居其他国家和地区的自由，以及旅行和出入境的自由；</w:t>
      </w:r>
    </w:p>
    <w:p w:rsidR="00000000" w:rsidRDefault="00954A93">
      <w:pPr>
        <w:numPr>
          <w:ilvl w:val="0"/>
          <w:numId w:val="36"/>
        </w:numPr>
      </w:pPr>
      <w:r>
        <w:rPr>
          <w:rFonts w:hint="eastAsia"/>
        </w:rPr>
        <w:t>信仰自由、宗教信仰自由，以及公开传教和举行、参加宗教活动的自由；</w:t>
      </w:r>
    </w:p>
    <w:p w:rsidR="00000000" w:rsidRDefault="00954A93">
      <w:pPr>
        <w:numPr>
          <w:ilvl w:val="0"/>
          <w:numId w:val="36"/>
        </w:numPr>
        <w:rPr>
          <w:rFonts w:hint="eastAsia"/>
        </w:rPr>
      </w:pPr>
      <w:r>
        <w:rPr>
          <w:rFonts w:hint="eastAsia"/>
        </w:rPr>
        <w:t>选择职业的自由；</w:t>
      </w:r>
    </w:p>
    <w:p w:rsidR="00000000" w:rsidRDefault="00954A93">
      <w:pPr>
        <w:numPr>
          <w:ilvl w:val="0"/>
          <w:numId w:val="36"/>
        </w:numPr>
        <w:rPr>
          <w:rFonts w:hint="eastAsia"/>
        </w:rPr>
      </w:pPr>
      <w:r>
        <w:rPr>
          <w:rFonts w:hint="eastAsia"/>
        </w:rPr>
        <w:t>进行学术研究、文学艺术创作和其他文化活动的自由；</w:t>
      </w:r>
    </w:p>
    <w:p w:rsidR="00000000" w:rsidRDefault="00954A93">
      <w:pPr>
        <w:numPr>
          <w:ilvl w:val="0"/>
          <w:numId w:val="36"/>
        </w:numPr>
      </w:pPr>
      <w:r>
        <w:rPr>
          <w:rFonts w:hint="eastAsia"/>
        </w:rPr>
        <w:t>得到保密法律谘询、向法院提出诉讼、选择律师及时保护自己的合法权益或在法庭上为其代表、获得司法补救的权利，以及对行政部门及其人员的行为向法院提出诉讼的权利；</w:t>
      </w:r>
    </w:p>
    <w:p w:rsidR="00000000" w:rsidRDefault="00954A93">
      <w:pPr>
        <w:numPr>
          <w:ilvl w:val="0"/>
          <w:numId w:val="36"/>
        </w:numPr>
      </w:pPr>
      <w:r>
        <w:rPr>
          <w:rFonts w:hint="eastAsia"/>
        </w:rPr>
        <w:t>依法享受社会福利的权利；</w:t>
      </w:r>
    </w:p>
    <w:p w:rsidR="00000000" w:rsidRDefault="00954A93">
      <w:pPr>
        <w:numPr>
          <w:ilvl w:val="0"/>
          <w:numId w:val="36"/>
        </w:numPr>
      </w:pPr>
      <w:r>
        <w:rPr>
          <w:rFonts w:hint="eastAsia"/>
        </w:rPr>
        <w:t>婚姻自由和自愿生育的权利。</w:t>
      </w:r>
    </w:p>
    <w:p w:rsidR="00000000" w:rsidRDefault="00954A93">
      <w:pPr>
        <w:tabs>
          <w:tab w:val="left" w:pos="1134"/>
          <w:tab w:val="left" w:leader="underscore" w:pos="1701"/>
          <w:tab w:val="left" w:pos="2268"/>
          <w:tab w:val="left" w:pos="2835"/>
          <w:tab w:val="left" w:pos="3402"/>
          <w:tab w:val="left" w:pos="3969"/>
          <w:tab w:val="left" w:pos="4536"/>
          <w:tab w:val="left" w:pos="5103"/>
          <w:tab w:val="left" w:pos="5670"/>
          <w:tab w:val="left" w:pos="6237"/>
          <w:tab w:val="left" w:pos="6804"/>
        </w:tabs>
        <w:spacing w:after="320"/>
        <w:rPr>
          <w:rFonts w:hint="eastAsia"/>
        </w:rPr>
      </w:pPr>
      <w:r>
        <w:rPr>
          <w:rFonts w:hint="eastAsia"/>
        </w:rPr>
        <w:t>在香港特区境</w:t>
      </w:r>
      <w:r>
        <w:rPr>
          <w:rFonts w:ascii="SimSun" w:hAnsi="SimSun" w:cs="SimSun" w:hint="eastAsia"/>
        </w:rPr>
        <w:t>内</w:t>
      </w:r>
      <w:r>
        <w:rPr>
          <w:rFonts w:ascii="MS Mincho" w:hAnsi="MS Mincho" w:cs="MS Mincho" w:hint="eastAsia"/>
        </w:rPr>
        <w:t>的非香港居民，依法享有</w:t>
      </w:r>
      <w:r>
        <w:rPr>
          <w:rFonts w:ascii="MS Mincho" w:hAnsi="MS Mincho" w:cs="MS Mincho" w:hint="eastAsia"/>
        </w:rPr>
        <w:t>一如香港居民按《基本法》第三章规定可享有的各项权利和自由。此外，香港特区永久性居民依法享有选举权和被选举权。</w:t>
      </w:r>
    </w:p>
    <w:p w:rsidR="00000000" w:rsidRDefault="00954A93">
      <w:pPr>
        <w:pStyle w:val="Heading4"/>
        <w:spacing w:after="160"/>
      </w:pPr>
      <w:r>
        <w:rPr>
          <w:rFonts w:hint="eastAsia"/>
        </w:rPr>
        <w:t>其他人权条约在香港特区的法律效力</w:t>
      </w:r>
    </w:p>
    <w:p w:rsidR="00000000" w:rsidRDefault="00954A93">
      <w:r>
        <w:rPr>
          <w:rFonts w:hint="eastAsia"/>
        </w:rPr>
        <w:tab/>
      </w:r>
      <w:r>
        <w:t>31.</w:t>
      </w:r>
      <w:r>
        <w:rPr>
          <w:rFonts w:hint="eastAsia"/>
        </w:rPr>
        <w:t xml:space="preserve">  </w:t>
      </w:r>
      <w:r>
        <w:rPr>
          <w:rFonts w:hint="eastAsia"/>
        </w:rPr>
        <w:t>《基本法》第三十九条订明：</w:t>
      </w:r>
    </w:p>
    <w:p w:rsidR="00000000" w:rsidRDefault="00954A93">
      <w:pPr>
        <w:ind w:left="1040"/>
      </w:pPr>
      <w:r>
        <w:rPr>
          <w:rFonts w:hint="eastAsia"/>
        </w:rPr>
        <w:tab/>
      </w:r>
      <w:r>
        <w:rPr>
          <w:rFonts w:hint="eastAsia"/>
        </w:rPr>
        <w:t>“《公民权利和政治权利国际公约》、《经济、社会与文化权利的国际公约》和国际劳工公约适用于香港的有关规定继续有效，通过香港特别行政区的法律予以实施。</w:t>
      </w:r>
    </w:p>
    <w:p w:rsidR="00000000" w:rsidRDefault="00954A93">
      <w:pPr>
        <w:ind w:left="1040"/>
      </w:pPr>
      <w:r>
        <w:rPr>
          <w:rFonts w:hint="eastAsia"/>
        </w:rPr>
        <w:tab/>
      </w:r>
      <w:r>
        <w:rPr>
          <w:rFonts w:hint="eastAsia"/>
        </w:rPr>
        <w:t>香港居民享有的权利和自由，除依法规定外不得限制，此种限制不得与本条第一款规定抵触。”</w:t>
      </w:r>
    </w:p>
    <w:p w:rsidR="00000000" w:rsidRDefault="00954A93">
      <w:pPr>
        <w:spacing w:after="240"/>
        <w:rPr>
          <w:rFonts w:eastAsia="華康中黑體"/>
          <w:b/>
          <w:u w:val="single"/>
        </w:rPr>
      </w:pPr>
      <w:r>
        <w:rPr>
          <w:rFonts w:hint="eastAsia"/>
        </w:rPr>
        <w:tab/>
      </w:r>
      <w:r>
        <w:t>32.</w:t>
      </w:r>
      <w:r>
        <w:rPr>
          <w:rFonts w:hint="eastAsia"/>
        </w:rPr>
        <w:t xml:space="preserve">  </w:t>
      </w:r>
      <w:r>
        <w:rPr>
          <w:rFonts w:hint="eastAsia"/>
        </w:rPr>
        <w:t>一般来</w:t>
      </w:r>
      <w:r>
        <w:rPr>
          <w:rFonts w:ascii="SimSun" w:hAnsi="SimSun" w:cs="SimSun" w:hint="eastAsia"/>
        </w:rPr>
        <w:t>说</w:t>
      </w:r>
      <w:r>
        <w:rPr>
          <w:rFonts w:ascii="MS Mincho" w:hAnsi="MS Mincho" w:cs="MS Mincho" w:hint="eastAsia"/>
        </w:rPr>
        <w:t>，根据普通法制度的惯例，适用于香港的条约</w:t>
      </w:r>
      <w:r>
        <w:t>(</w:t>
      </w:r>
      <w:r>
        <w:rPr>
          <w:rFonts w:hint="eastAsia"/>
        </w:rPr>
        <w:t>包括有关人权的条约</w:t>
      </w:r>
      <w:r>
        <w:t>)</w:t>
      </w:r>
      <w:r>
        <w:rPr>
          <w:rFonts w:hint="eastAsia"/>
        </w:rPr>
        <w:t>，本身并</w:t>
      </w:r>
      <w:r>
        <w:rPr>
          <w:rFonts w:hint="eastAsia"/>
        </w:rPr>
        <w:t>无法律效力，不可以在香港的法律制度</w:t>
      </w:r>
      <w:r>
        <w:rPr>
          <w:rFonts w:ascii="SimSun" w:hAnsi="SimSun" w:cs="SimSun" w:hint="eastAsia"/>
        </w:rPr>
        <w:t>内</w:t>
      </w:r>
      <w:r>
        <w:rPr>
          <w:rFonts w:ascii="MS Mincho" w:hAnsi="MS Mincho" w:cs="MS Mincho" w:hint="eastAsia"/>
        </w:rPr>
        <w:t>施行，也不可在法院直接援引作为个人权利的依据。不过，特区法院在诠释本地法例时，会尽可能避免</w:t>
      </w:r>
      <w:r>
        <w:rPr>
          <w:rFonts w:hint="eastAsia"/>
        </w:rPr>
        <w:t>与适用于香港的国际条约有所抵触。为使条约所订明的各项义务在本地具有法律效力</w:t>
      </w:r>
      <w:r>
        <w:t>(</w:t>
      </w:r>
      <w:r>
        <w:rPr>
          <w:rFonts w:hint="eastAsia"/>
        </w:rPr>
        <w:t>遇有须修改现行法例或措施的情况时</w:t>
      </w:r>
      <w:r>
        <w:t>)</w:t>
      </w:r>
      <w:r>
        <w:rPr>
          <w:rFonts w:hint="eastAsia"/>
        </w:rPr>
        <w:t>，一般做法是制定具体的新法例</w:t>
      </w:r>
      <w:r>
        <w:rPr>
          <w:rStyle w:val="FootnoteReference"/>
          <w:b/>
          <w:color w:val="003366"/>
          <w:spacing w:val="10"/>
        </w:rPr>
        <w:footnoteReference w:customMarkFollows="1" w:id="14"/>
        <w:t>9</w:t>
      </w:r>
      <w:r>
        <w:rPr>
          <w:rFonts w:hint="eastAsia"/>
        </w:rPr>
        <w:t>。如新制定的法例导致具体的法律权利</w:t>
      </w:r>
      <w:r>
        <w:rPr>
          <w:rFonts w:ascii="SimSun" w:hAnsi="SimSun" w:cs="SimSun" w:hint="eastAsia"/>
        </w:rPr>
        <w:t>产</w:t>
      </w:r>
      <w:r>
        <w:rPr>
          <w:rFonts w:ascii="MS Mincho" w:hAnsi="MS Mincho" w:cs="MS Mincho" w:hint="eastAsia"/>
        </w:rPr>
        <w:t>生，或导致要为具体的法律权利作出界定，而该等权利受到</w:t>
      </w:r>
      <w:r>
        <w:rPr>
          <w:rFonts w:ascii="SimSun" w:hAnsi="SimSun" w:cs="SimSun" w:hint="eastAsia"/>
        </w:rPr>
        <w:t>剥</w:t>
      </w:r>
      <w:r>
        <w:rPr>
          <w:rFonts w:ascii="MS Mincho" w:hAnsi="MS Mincho" w:cs="MS Mincho" w:hint="eastAsia"/>
        </w:rPr>
        <w:t>夺或干预</w:t>
      </w:r>
      <w:r>
        <w:t>(</w:t>
      </w:r>
      <w:r>
        <w:rPr>
          <w:rFonts w:hint="eastAsia"/>
        </w:rPr>
        <w:t>或有可能受到</w:t>
      </w:r>
      <w:r>
        <w:rPr>
          <w:rFonts w:ascii="SimSun" w:hAnsi="SimSun" w:cs="SimSun" w:hint="eastAsia"/>
        </w:rPr>
        <w:t>剥</w:t>
      </w:r>
      <w:r>
        <w:rPr>
          <w:rFonts w:ascii="MS Mincho" w:hAnsi="MS Mincho" w:cs="MS Mincho" w:hint="eastAsia"/>
        </w:rPr>
        <w:t>夺或干预</w:t>
      </w:r>
      <w:r>
        <w:t>)</w:t>
      </w:r>
      <w:r>
        <w:rPr>
          <w:rFonts w:hint="eastAsia"/>
        </w:rPr>
        <w:t>时，当事人可循一般民事诉讼程序向法院寻求补救，或由法律订明刑事制裁办法。</w:t>
      </w:r>
    </w:p>
    <w:p w:rsidR="00000000" w:rsidRDefault="00954A93">
      <w:pPr>
        <w:pStyle w:val="Heading4"/>
      </w:pPr>
      <w:r>
        <w:rPr>
          <w:rFonts w:hint="eastAsia"/>
        </w:rPr>
        <w:t>《香港人权法案条例</w:t>
      </w:r>
      <w:r>
        <w:rPr>
          <w:rFonts w:hint="eastAsia"/>
          <w:u w:val="none"/>
        </w:rPr>
        <w:t>》</w:t>
      </w:r>
    </w:p>
    <w:p w:rsidR="00000000" w:rsidRDefault="00954A93">
      <w:pPr>
        <w:spacing w:after="240"/>
        <w:rPr>
          <w:rFonts w:eastAsia="華康中黑體" w:hint="eastAsia"/>
          <w:b/>
          <w:u w:val="single"/>
        </w:rPr>
      </w:pPr>
      <w:r>
        <w:rPr>
          <w:rFonts w:hint="eastAsia"/>
        </w:rPr>
        <w:tab/>
      </w:r>
      <w:r>
        <w:t>33.</w:t>
      </w:r>
      <w:r>
        <w:rPr>
          <w:rFonts w:hint="eastAsia"/>
        </w:rPr>
        <w:t xml:space="preserve">  </w:t>
      </w:r>
      <w:r>
        <w:rPr>
          <w:rFonts w:hint="eastAsia"/>
        </w:rPr>
        <w:t>在一九九一年六</w:t>
      </w:r>
      <w:r>
        <w:rPr>
          <w:rFonts w:hint="eastAsia"/>
        </w:rPr>
        <w:t>月制定的《香港人权法案条例》</w:t>
      </w:r>
      <w:r>
        <w:t>(</w:t>
      </w:r>
      <w:r>
        <w:rPr>
          <w:rFonts w:hint="eastAsia"/>
        </w:rPr>
        <w:t>香港特区法例第</w:t>
      </w:r>
      <w:r>
        <w:t>383</w:t>
      </w:r>
      <w:r>
        <w:rPr>
          <w:rFonts w:hint="eastAsia"/>
        </w:rPr>
        <w:t>章</w:t>
      </w:r>
      <w:r>
        <w:t>)</w:t>
      </w:r>
      <w:r>
        <w:rPr>
          <w:rFonts w:hint="eastAsia"/>
        </w:rPr>
        <w:t>，旨在使《公民权利和政治权利国际公约》中适用于香港的条文在本地的法律中生效。为达到这个目的，《香港人权法案条例》详载了人权法案的</w:t>
      </w:r>
      <w:r>
        <w:rPr>
          <w:rFonts w:ascii="SimSun" w:hAnsi="SimSun" w:cs="SimSun" w:hint="eastAsia"/>
        </w:rPr>
        <w:t>内</w:t>
      </w:r>
      <w:r>
        <w:rPr>
          <w:rFonts w:ascii="MS Mincho" w:hAnsi="MS Mincho" w:cs="MS Mincho" w:hint="eastAsia"/>
        </w:rPr>
        <w:t>容，其条文与《公民权利和政治权利国际公约》的条文大致相同。</w:t>
      </w:r>
    </w:p>
    <w:p w:rsidR="00000000" w:rsidRDefault="00954A93">
      <w:pPr>
        <w:pStyle w:val="Heading4"/>
      </w:pPr>
      <w:r>
        <w:rPr>
          <w:rFonts w:hint="eastAsia"/>
        </w:rPr>
        <w:t>所采用的法律对《香港人权法案条例》的影响</w:t>
      </w:r>
    </w:p>
    <w:p w:rsidR="00000000" w:rsidRDefault="00954A93">
      <w:r>
        <w:rPr>
          <w:rFonts w:hint="eastAsia"/>
        </w:rPr>
        <w:tab/>
      </w:r>
      <w:r>
        <w:t>34.</w:t>
      </w:r>
      <w:r>
        <w:rPr>
          <w:rFonts w:hint="eastAsia"/>
        </w:rPr>
        <w:t xml:space="preserve">  </w:t>
      </w:r>
      <w:r>
        <w:rPr>
          <w:rFonts w:hint="eastAsia"/>
        </w:rPr>
        <w:t>《基本法》第一百六十条规定，香港原有法律除由全国人民代表大会常务委员会宣布为同《基本法》抵触者外，均获采用为香港特区法律。一九九七年二月，人大常委会认为《香港人权法案条例》其中三项条文</w:t>
      </w:r>
      <w:r>
        <w:t>(</w:t>
      </w:r>
      <w:r>
        <w:rPr>
          <w:rFonts w:hint="eastAsia"/>
        </w:rPr>
        <w:t>有关条例的释义和适用范围部分</w:t>
      </w:r>
      <w:r>
        <w:rPr>
          <w:rStyle w:val="FootnoteReference"/>
          <w:b/>
          <w:color w:val="003366"/>
          <w:spacing w:val="10"/>
        </w:rPr>
        <w:footnoteReference w:customMarkFollows="1" w:id="15"/>
        <w:t>10</w:t>
      </w:r>
      <w:r>
        <w:t>)</w:t>
      </w:r>
      <w:r>
        <w:rPr>
          <w:rFonts w:hint="eastAsia"/>
        </w:rPr>
        <w:t>有凌驾于其他法例</w:t>
      </w:r>
      <w:r>
        <w:t>(</w:t>
      </w:r>
      <w:r>
        <w:rPr>
          <w:rFonts w:hint="eastAsia"/>
        </w:rPr>
        <w:t>包括《基本法》在</w:t>
      </w:r>
      <w:r>
        <w:rPr>
          <w:rFonts w:ascii="SimSun" w:hAnsi="SimSun" w:cs="SimSun" w:hint="eastAsia"/>
        </w:rPr>
        <w:t>内</w:t>
      </w:r>
      <w:r>
        <w:t>)</w:t>
      </w:r>
      <w:r>
        <w:rPr>
          <w:rFonts w:hint="eastAsia"/>
        </w:rPr>
        <w:t>的效力，因此，这些条文与《基本法》有所抵触，不获采用。</w:t>
      </w:r>
    </w:p>
    <w:p w:rsidR="00000000" w:rsidRDefault="00954A93">
      <w:pPr>
        <w:spacing w:after="240"/>
        <w:rPr>
          <w:rFonts w:eastAsia="華康中黑體"/>
          <w:b/>
          <w:u w:val="single"/>
        </w:rPr>
      </w:pPr>
      <w:r>
        <w:rPr>
          <w:rFonts w:hint="eastAsia"/>
        </w:rPr>
        <w:tab/>
      </w:r>
      <w:r>
        <w:t>35.</w:t>
      </w:r>
      <w:r>
        <w:rPr>
          <w:rFonts w:hint="eastAsia"/>
        </w:rPr>
        <w:t xml:space="preserve">  </w:t>
      </w:r>
      <w:r>
        <w:rPr>
          <w:rFonts w:hint="eastAsia"/>
        </w:rPr>
        <w:t>鉴于《基本法》第三十九条已对人权作出宪制性文件上的保证，因此尽管上述条文不获采用为香港法律，也不影响香港特区对人权的保障。条例中第</w:t>
      </w:r>
      <w:r>
        <w:t>II</w:t>
      </w:r>
      <w:r>
        <w:rPr>
          <w:rFonts w:hint="eastAsia"/>
        </w:rPr>
        <w:t>部的具体保障</w:t>
      </w:r>
      <w:r>
        <w:t>(</w:t>
      </w:r>
      <w:r>
        <w:rPr>
          <w:rFonts w:hint="eastAsia"/>
        </w:rPr>
        <w:t>与《公民权利和政治权利国际公约》的条文大致相同</w:t>
      </w:r>
      <w:r>
        <w:t>)</w:t>
      </w:r>
      <w:r>
        <w:rPr>
          <w:rFonts w:hint="eastAsia"/>
        </w:rPr>
        <w:t>并没有改变。而且，第</w:t>
      </w:r>
      <w:r>
        <w:t>6</w:t>
      </w:r>
      <w:r>
        <w:rPr>
          <w:rFonts w:hint="eastAsia"/>
        </w:rPr>
        <w:t>条有关违反条例时的补救措施，以及第</w:t>
      </w:r>
      <w:r>
        <w:t>7</w:t>
      </w:r>
      <w:r>
        <w:rPr>
          <w:rFonts w:hint="eastAsia"/>
        </w:rPr>
        <w:t>条有关条例对政府及所有公共主管当局的约束力，也同样没有改变。现行的《香港人权法案条例》全文载于</w:t>
      </w:r>
      <w:r>
        <w:rPr>
          <w:rFonts w:ascii="華康中黑體" w:eastAsia="華康中黑體" w:hAnsi="華康中黑體" w:cs="華康中黑體" w:hint="eastAsia"/>
          <w:bCs/>
        </w:rPr>
        <w:t>附件</w:t>
      </w:r>
      <w:r>
        <w:rPr>
          <w:bCs/>
        </w:rPr>
        <w:t>2</w:t>
      </w:r>
      <w:r>
        <w:rPr>
          <w:rFonts w:hint="eastAsia"/>
        </w:rPr>
        <w:t>。</w:t>
      </w:r>
    </w:p>
    <w:p w:rsidR="00000000" w:rsidRDefault="00954A93">
      <w:pPr>
        <w:pStyle w:val="Heading4"/>
      </w:pPr>
      <w:r>
        <w:rPr>
          <w:rFonts w:hint="eastAsia"/>
        </w:rPr>
        <w:t>法律援助</w:t>
      </w:r>
    </w:p>
    <w:p w:rsidR="00000000" w:rsidRDefault="00954A93">
      <w:pPr>
        <w:spacing w:after="240"/>
        <w:rPr>
          <w:rFonts w:eastAsia="華康中黑體"/>
          <w:b/>
          <w:bCs/>
          <w:spacing w:val="6"/>
        </w:rPr>
      </w:pPr>
      <w:r>
        <w:rPr>
          <w:rFonts w:hint="eastAsia"/>
          <w:spacing w:val="6"/>
        </w:rPr>
        <w:tab/>
      </w:r>
      <w:r>
        <w:rPr>
          <w:spacing w:val="6"/>
        </w:rPr>
        <w:t>36.</w:t>
      </w:r>
      <w:r>
        <w:rPr>
          <w:rFonts w:hint="eastAsia"/>
          <w:spacing w:val="6"/>
        </w:rPr>
        <w:t xml:space="preserve">  </w:t>
      </w:r>
      <w:r>
        <w:rPr>
          <w:rFonts w:hint="eastAsia"/>
          <w:spacing w:val="6"/>
        </w:rPr>
        <w:t>政府为符合资格的人士</w:t>
      </w:r>
      <w:r>
        <w:rPr>
          <w:rFonts w:hint="eastAsia"/>
          <w:spacing w:val="6"/>
        </w:rPr>
        <w:t>提供法律援助，为他们在诉讼中按需要委聘代表律师或大律师。这确保任何有充分理据提出诉讼或抗辩的人不会因为经济能力不足而不能采取法律行动。由公帑资助的法律援助是透过法律援助署和当</w:t>
      </w:r>
      <w:r>
        <w:rPr>
          <w:rFonts w:ascii="SimSun" w:hAnsi="SimSun" w:cs="SimSun" w:hint="eastAsia"/>
          <w:spacing w:val="6"/>
        </w:rPr>
        <w:t>值</w:t>
      </w:r>
      <w:r>
        <w:rPr>
          <w:rFonts w:ascii="MS Mincho" w:hAnsi="MS Mincho" w:cs="MS Mincho" w:hint="eastAsia"/>
          <w:spacing w:val="6"/>
        </w:rPr>
        <w:t>律师服务提供。</w:t>
      </w:r>
    </w:p>
    <w:p w:rsidR="00000000" w:rsidRDefault="00954A93">
      <w:pPr>
        <w:pStyle w:val="Heading4"/>
      </w:pPr>
      <w:r>
        <w:rPr>
          <w:rFonts w:hint="eastAsia"/>
        </w:rPr>
        <w:t>法律援助署</w:t>
      </w:r>
    </w:p>
    <w:p w:rsidR="00000000" w:rsidRDefault="00954A93">
      <w:pPr>
        <w:spacing w:after="240"/>
        <w:rPr>
          <w:rFonts w:eastAsia="華康中黑體"/>
          <w:b/>
          <w:u w:val="single"/>
        </w:rPr>
      </w:pPr>
      <w:r>
        <w:rPr>
          <w:rFonts w:hint="eastAsia"/>
        </w:rPr>
        <w:tab/>
      </w:r>
      <w:r>
        <w:t>37.</w:t>
      </w:r>
      <w:r>
        <w:rPr>
          <w:rFonts w:hint="eastAsia"/>
        </w:rPr>
        <w:t xml:space="preserve">  </w:t>
      </w:r>
      <w:r>
        <w:rPr>
          <w:rFonts w:hint="eastAsia"/>
        </w:rPr>
        <w:t>法律援助署就终审法院、上诉法庭、原讼法庭、区域法院和裁判法院</w:t>
      </w:r>
      <w:r>
        <w:t>(</w:t>
      </w:r>
      <w:r>
        <w:rPr>
          <w:rFonts w:hint="eastAsia"/>
        </w:rPr>
        <w:t>交付审判程序</w:t>
      </w:r>
      <w:r>
        <w:t>)</w:t>
      </w:r>
      <w:r>
        <w:rPr>
          <w:rFonts w:hint="eastAsia"/>
        </w:rPr>
        <w:t>审理的民事和刑事案件，为合资格的人士委派法律代表。民事方面的法律援助，适用于家庭纠纷、入境事务以至死因研讯等</w:t>
      </w:r>
      <w:r>
        <w:rPr>
          <w:rFonts w:ascii="SimSun" w:hAnsi="SimSun" w:cs="SimSun" w:hint="eastAsia"/>
        </w:rPr>
        <w:t>涉</w:t>
      </w:r>
      <w:r>
        <w:rPr>
          <w:rFonts w:ascii="MS Mincho" w:hAnsi="MS Mincho" w:cs="MS Mincho" w:hint="eastAsia"/>
        </w:rPr>
        <w:t>及市民日常生活主要范畴的诉讼。申请法律援助的人士，必须在经济条件</w:t>
      </w:r>
      <w:r>
        <w:t>(</w:t>
      </w:r>
      <w:r>
        <w:rPr>
          <w:rFonts w:hint="eastAsia"/>
        </w:rPr>
        <w:t>经济审</w:t>
      </w:r>
      <w:r>
        <w:rPr>
          <w:rFonts w:ascii="SimSun" w:hAnsi="SimSun" w:cs="SimSun" w:hint="eastAsia"/>
        </w:rPr>
        <w:t>查</w:t>
      </w:r>
      <w:r>
        <w:t>)</w:t>
      </w:r>
      <w:r>
        <w:rPr>
          <w:rFonts w:hint="eastAsia"/>
        </w:rPr>
        <w:t>和诉讼理由</w:t>
      </w:r>
      <w:r>
        <w:t>(</w:t>
      </w:r>
      <w:r>
        <w:rPr>
          <w:rFonts w:hint="eastAsia"/>
        </w:rPr>
        <w:t>案情审</w:t>
      </w:r>
      <w:r>
        <w:rPr>
          <w:rFonts w:ascii="SimSun" w:hAnsi="SimSun" w:cs="SimSun" w:hint="eastAsia"/>
        </w:rPr>
        <w:t>查</w:t>
      </w:r>
      <w:r>
        <w:t>)</w:t>
      </w:r>
      <w:r>
        <w:rPr>
          <w:rFonts w:hint="eastAsia"/>
        </w:rPr>
        <w:t>方面，符合法</w:t>
      </w:r>
      <w:r>
        <w:rPr>
          <w:rFonts w:hint="eastAsia"/>
        </w:rPr>
        <w:t>律援助署署长的要求。此外，非香港居民也可申请法律援助。在刑事案件方面，如法律援助署署长认为提供法律援助有利于公正，则可运用酌情权，豁免经济审</w:t>
      </w:r>
      <w:r>
        <w:rPr>
          <w:rFonts w:ascii="SimSun" w:hAnsi="SimSun" w:cs="SimSun" w:hint="eastAsia"/>
        </w:rPr>
        <w:t>查</w:t>
      </w:r>
      <w:r>
        <w:rPr>
          <w:rFonts w:ascii="MS Mincho" w:hAnsi="MS Mincho" w:cs="MS Mincho" w:hint="eastAsia"/>
        </w:rPr>
        <w:t>方面的上限。如申请个案</w:t>
      </w:r>
      <w:r>
        <w:rPr>
          <w:rFonts w:ascii="SimSun" w:hAnsi="SimSun" w:cs="SimSun" w:hint="eastAsia"/>
        </w:rPr>
        <w:t>涉</w:t>
      </w:r>
      <w:r>
        <w:rPr>
          <w:rFonts w:ascii="MS Mincho" w:hAnsi="MS Mincho" w:cs="MS Mincho" w:hint="eastAsia"/>
        </w:rPr>
        <w:t>及违反《香港人权法案条例》或违反适用于香港的《公民权利和政治权利国际公约》的情况，法律援助署署长也可行使同样的酌情权。被控谋杀、叛国或暴力海盗行为的人如提出申请并通过经济审</w:t>
      </w:r>
      <w:r>
        <w:rPr>
          <w:rFonts w:ascii="SimSun" w:hAnsi="SimSun" w:cs="SimSun" w:hint="eastAsia"/>
        </w:rPr>
        <w:t>查</w:t>
      </w:r>
      <w:r>
        <w:t>(</w:t>
      </w:r>
      <w:r>
        <w:rPr>
          <w:rFonts w:hint="eastAsia"/>
        </w:rPr>
        <w:t>除非法官豁免经济审</w:t>
      </w:r>
      <w:r>
        <w:rPr>
          <w:rFonts w:ascii="SimSun" w:hAnsi="SimSun" w:cs="SimSun" w:hint="eastAsia"/>
        </w:rPr>
        <w:t>查</w:t>
      </w:r>
      <w:r>
        <w:t>)</w:t>
      </w:r>
      <w:r>
        <w:rPr>
          <w:rFonts w:hint="eastAsia"/>
        </w:rPr>
        <w:t>，法律援助署署长必须给予法律援助。至于其他罪行，即使法律援助署署长因案件未能通过案情审</w:t>
      </w:r>
      <w:r>
        <w:rPr>
          <w:rFonts w:ascii="SimSun" w:hAnsi="SimSun" w:cs="SimSun" w:hint="eastAsia"/>
        </w:rPr>
        <w:t>查</w:t>
      </w:r>
      <w:r>
        <w:rPr>
          <w:rFonts w:ascii="MS Mincho" w:hAnsi="MS Mincho" w:cs="MS Mincho" w:hint="eastAsia"/>
        </w:rPr>
        <w:t>而拒</w:t>
      </w:r>
      <w:r>
        <w:rPr>
          <w:rFonts w:ascii="SimSun" w:hAnsi="SimSun" w:cs="SimSun" w:hint="eastAsia"/>
        </w:rPr>
        <w:t>绝</w:t>
      </w:r>
      <w:r>
        <w:rPr>
          <w:rFonts w:ascii="MS Mincho" w:hAnsi="MS Mincho" w:cs="MS Mincho" w:hint="eastAsia"/>
        </w:rPr>
        <w:t>给予法律援助，但只要申请人通过经济审</w:t>
      </w:r>
      <w:r>
        <w:rPr>
          <w:rFonts w:ascii="SimSun" w:hAnsi="SimSun" w:cs="SimSun" w:hint="eastAsia"/>
        </w:rPr>
        <w:t>查</w:t>
      </w:r>
      <w:r>
        <w:rPr>
          <w:rFonts w:ascii="MS Mincho" w:hAnsi="MS Mincho" w:cs="MS Mincho" w:hint="eastAsia"/>
        </w:rPr>
        <w:t>，法官仍可给予申</w:t>
      </w:r>
      <w:r>
        <w:rPr>
          <w:rFonts w:ascii="MS Mincho" w:hAnsi="MS Mincho" w:cs="MS Mincho" w:hint="eastAsia"/>
        </w:rPr>
        <w:t>请人法律援助。</w:t>
      </w:r>
    </w:p>
    <w:p w:rsidR="00000000" w:rsidRDefault="00954A93">
      <w:pPr>
        <w:pStyle w:val="Heading4"/>
      </w:pPr>
      <w:r>
        <w:rPr>
          <w:rFonts w:hint="eastAsia"/>
        </w:rPr>
        <w:t>当值律师服务</w:t>
      </w:r>
    </w:p>
    <w:p w:rsidR="00000000" w:rsidRDefault="00954A93">
      <w:pPr>
        <w:spacing w:after="240"/>
        <w:rPr>
          <w:u w:val="single"/>
        </w:rPr>
      </w:pPr>
      <w:r>
        <w:rPr>
          <w:rFonts w:hint="eastAsia"/>
        </w:rPr>
        <w:tab/>
      </w:r>
      <w:r>
        <w:t>38.</w:t>
      </w:r>
      <w:r>
        <w:rPr>
          <w:rFonts w:hint="eastAsia"/>
        </w:rPr>
        <w:t xml:space="preserve">  </w:t>
      </w:r>
      <w:r>
        <w:rPr>
          <w:rFonts w:hint="eastAsia"/>
        </w:rPr>
        <w:t>当</w:t>
      </w:r>
      <w:r>
        <w:rPr>
          <w:rFonts w:ascii="SimSun" w:hAnsi="SimSun" w:cs="SimSun" w:hint="eastAsia"/>
        </w:rPr>
        <w:t>值</w:t>
      </w:r>
      <w:r>
        <w:rPr>
          <w:rFonts w:ascii="MS Mincho" w:hAnsi="MS Mincho" w:cs="MS Mincho" w:hint="eastAsia"/>
        </w:rPr>
        <w:t>律师服务与法律援助署所提供的服务相辅相成。当</w:t>
      </w:r>
      <w:r>
        <w:rPr>
          <w:rFonts w:ascii="SimSun" w:hAnsi="SimSun" w:cs="SimSun" w:hint="eastAsia"/>
        </w:rPr>
        <w:t>值</w:t>
      </w:r>
      <w:r>
        <w:rPr>
          <w:rFonts w:ascii="MS Mincho" w:hAnsi="MS Mincho" w:cs="MS Mincho" w:hint="eastAsia"/>
        </w:rPr>
        <w:t>律师服务提供以下三方面的</w:t>
      </w:r>
      <w:r>
        <w:rPr>
          <w:rFonts w:hint="eastAsia"/>
        </w:rPr>
        <w:t>服务：代表律师</w:t>
      </w:r>
      <w:r>
        <w:t>(</w:t>
      </w:r>
      <w:r>
        <w:rPr>
          <w:rFonts w:hint="eastAsia"/>
        </w:rPr>
        <w:t>当</w:t>
      </w:r>
      <w:r>
        <w:rPr>
          <w:rFonts w:ascii="SimSun" w:hAnsi="SimSun" w:cs="SimSun" w:hint="eastAsia"/>
        </w:rPr>
        <w:t>值</w:t>
      </w:r>
      <w:r>
        <w:rPr>
          <w:rFonts w:ascii="MS Mincho" w:hAnsi="MS Mincho" w:cs="MS Mincho" w:hint="eastAsia"/>
        </w:rPr>
        <w:t>律师计划</w:t>
      </w:r>
      <w:r>
        <w:t>)</w:t>
      </w:r>
      <w:r>
        <w:rPr>
          <w:rFonts w:hint="eastAsia"/>
        </w:rPr>
        <w:t>、法律辅导</w:t>
      </w:r>
      <w:r>
        <w:t>(</w:t>
      </w:r>
      <w:r>
        <w:rPr>
          <w:rFonts w:hint="eastAsia"/>
        </w:rPr>
        <w:t>法律辅导计划</w:t>
      </w:r>
      <w:r>
        <w:t>)</w:t>
      </w:r>
      <w:r>
        <w:rPr>
          <w:rFonts w:hint="eastAsia"/>
        </w:rPr>
        <w:t>及法律资料</w:t>
      </w:r>
      <w:r>
        <w:t>(</w:t>
      </w:r>
      <w:r>
        <w:rPr>
          <w:rFonts w:hint="eastAsia"/>
        </w:rPr>
        <w:t>电话法律谘询计划</w:t>
      </w:r>
      <w:r>
        <w:t>)</w:t>
      </w:r>
      <w:r>
        <w:rPr>
          <w:rFonts w:hint="eastAsia"/>
        </w:rPr>
        <w:t>。裁判法院聆讯案件的所有被告人</w:t>
      </w:r>
      <w:r>
        <w:t>(</w:t>
      </w:r>
      <w:r>
        <w:rPr>
          <w:rFonts w:hint="eastAsia"/>
        </w:rPr>
        <w:t>少年及成年人</w:t>
      </w:r>
      <w:r>
        <w:t>)</w:t>
      </w:r>
      <w:r>
        <w:rPr>
          <w:rFonts w:hint="eastAsia"/>
        </w:rPr>
        <w:t>，如无力负担聘用私人代表律师的费用，可通过当</w:t>
      </w:r>
      <w:r>
        <w:rPr>
          <w:rFonts w:ascii="SimSun" w:hAnsi="SimSun" w:cs="SimSun" w:hint="eastAsia"/>
        </w:rPr>
        <w:t>值</w:t>
      </w:r>
      <w:r>
        <w:rPr>
          <w:rFonts w:ascii="MS Mincho" w:hAnsi="MS Mincho" w:cs="MS Mincho" w:hint="eastAsia"/>
        </w:rPr>
        <w:t>律师计划获委派律师代表辩护。该计划也可为在死因研讯中作证而可能导致被刑事检控的人士，提供法律代表。根据《公民权利和政治权利国际公约》第十四条和《香港人权法案》第十一条所载的“审判有此必要”原则，申请者须通过经济审</w:t>
      </w:r>
      <w:r>
        <w:rPr>
          <w:rFonts w:ascii="SimSun" w:hAnsi="SimSun" w:cs="SimSun" w:hint="eastAsia"/>
        </w:rPr>
        <w:t>查</w:t>
      </w:r>
      <w:r>
        <w:rPr>
          <w:rFonts w:ascii="MS Mincho" w:hAnsi="MS Mincho" w:cs="MS Mincho" w:hint="eastAsia"/>
        </w:rPr>
        <w:t>和案</w:t>
      </w:r>
      <w:r>
        <w:rPr>
          <w:rFonts w:ascii="MS Mincho" w:hAnsi="MS Mincho" w:cs="MS Mincho" w:hint="eastAsia"/>
        </w:rPr>
        <w:t>情审</w:t>
      </w:r>
      <w:r>
        <w:rPr>
          <w:rFonts w:ascii="SimSun" w:hAnsi="SimSun" w:cs="SimSun" w:hint="eastAsia"/>
        </w:rPr>
        <w:t>查</w:t>
      </w:r>
      <w:r>
        <w:rPr>
          <w:rFonts w:ascii="MS Mincho" w:hAnsi="MS Mincho" w:cs="MS Mincho" w:hint="eastAsia"/>
        </w:rPr>
        <w:t>。法律辅导计划和电话法律谘询计划，分别通过个别预约为市民提供免费法律意见，以及通过电话</w:t>
      </w:r>
      <w:r>
        <w:rPr>
          <w:rFonts w:ascii="SimSun" w:hAnsi="SimSun" w:cs="SimSun" w:hint="eastAsia"/>
        </w:rPr>
        <w:t>录</w:t>
      </w:r>
      <w:r>
        <w:rPr>
          <w:rFonts w:ascii="MS Mincho" w:hAnsi="MS Mincho" w:cs="MS Mincho" w:hint="eastAsia"/>
        </w:rPr>
        <w:t>音方式提供有关日常法律</w:t>
      </w:r>
      <w:r>
        <w:rPr>
          <w:rFonts w:hint="eastAsia"/>
        </w:rPr>
        <w:t>问题的资料。</w:t>
      </w:r>
    </w:p>
    <w:p w:rsidR="00000000" w:rsidRDefault="00954A93">
      <w:pPr>
        <w:pStyle w:val="Heading4"/>
      </w:pPr>
      <w:r>
        <w:rPr>
          <w:rFonts w:hint="eastAsia"/>
        </w:rPr>
        <w:t>法律援助服务局</w:t>
      </w:r>
    </w:p>
    <w:p w:rsidR="00000000" w:rsidRDefault="00954A93">
      <w:pPr>
        <w:spacing w:after="240"/>
        <w:rPr>
          <w:rFonts w:eastAsia="華康中黑體" w:hint="eastAsia"/>
          <w:b/>
          <w:u w:val="single"/>
        </w:rPr>
      </w:pPr>
      <w:r>
        <w:rPr>
          <w:rFonts w:hint="eastAsia"/>
        </w:rPr>
        <w:tab/>
      </w:r>
      <w:r>
        <w:t>39.</w:t>
      </w:r>
      <w:r>
        <w:rPr>
          <w:rFonts w:hint="eastAsia"/>
        </w:rPr>
        <w:t xml:space="preserve">  </w:t>
      </w:r>
      <w:r>
        <w:rPr>
          <w:rFonts w:hint="eastAsia"/>
        </w:rPr>
        <w:t>法律援助服务局于一九九六年成立，是独立的法定组织。该局负责监督法律援助署所提供的法律援助服务，并就法律援助政策向行政长官提出建议。</w:t>
      </w:r>
    </w:p>
    <w:p w:rsidR="00000000" w:rsidRDefault="00954A93">
      <w:pPr>
        <w:pStyle w:val="Heading4"/>
      </w:pPr>
      <w:r>
        <w:rPr>
          <w:rFonts w:hint="eastAsia"/>
        </w:rPr>
        <w:t>申诉专员公署</w:t>
      </w:r>
    </w:p>
    <w:p w:rsidR="00000000" w:rsidRDefault="00954A93">
      <w:r>
        <w:rPr>
          <w:rFonts w:hint="eastAsia"/>
        </w:rPr>
        <w:tab/>
      </w:r>
      <w:r>
        <w:t>40.</w:t>
      </w:r>
      <w:r>
        <w:rPr>
          <w:rFonts w:hint="eastAsia"/>
        </w:rPr>
        <w:t xml:space="preserve">  </w:t>
      </w:r>
      <w:r>
        <w:rPr>
          <w:rFonts w:hint="eastAsia"/>
        </w:rPr>
        <w:t>根据《申诉专员条例》</w:t>
      </w:r>
      <w:r>
        <w:t>(</w:t>
      </w:r>
      <w:r>
        <w:rPr>
          <w:rFonts w:hint="eastAsia"/>
        </w:rPr>
        <w:t>第</w:t>
      </w:r>
      <w:r>
        <w:t>397</w:t>
      </w:r>
      <w:r>
        <w:rPr>
          <w:rFonts w:hint="eastAsia"/>
        </w:rPr>
        <w:t>章</w:t>
      </w:r>
      <w:r>
        <w:t>)</w:t>
      </w:r>
      <w:r>
        <w:rPr>
          <w:rStyle w:val="FootnoteReference"/>
          <w:b/>
          <w:color w:val="003366"/>
          <w:spacing w:val="10"/>
        </w:rPr>
        <w:footnoteReference w:customMarkFollows="1" w:id="16"/>
        <w:t>11</w:t>
      </w:r>
      <w:r>
        <w:rPr>
          <w:rFonts w:hint="eastAsia"/>
          <w:b/>
          <w:color w:val="003366"/>
        </w:rPr>
        <w:t xml:space="preserve"> </w:t>
      </w:r>
      <w:r>
        <w:rPr>
          <w:rFonts w:hint="eastAsia"/>
        </w:rPr>
        <w:t>成立的申诉专员公署</w:t>
      </w:r>
      <w:r>
        <w:t>(</w:t>
      </w:r>
      <w:r>
        <w:rPr>
          <w:rFonts w:hint="eastAsia"/>
        </w:rPr>
        <w:t>前称行政事务申诉专员公署</w:t>
      </w:r>
      <w:r>
        <w:t>)</w:t>
      </w:r>
      <w:r>
        <w:rPr>
          <w:rFonts w:hint="eastAsia"/>
        </w:rPr>
        <w:t>，是一个独立机构，负责就有关行政失当的投诉进行调</w:t>
      </w:r>
      <w:r>
        <w:rPr>
          <w:rFonts w:ascii="SimSun" w:hAnsi="SimSun" w:cs="SimSun" w:hint="eastAsia"/>
        </w:rPr>
        <w:t>查</w:t>
      </w:r>
      <w:r>
        <w:rPr>
          <w:rFonts w:ascii="MS Mincho" w:hAnsi="MS Mincho" w:cs="MS Mincho" w:hint="eastAsia"/>
        </w:rPr>
        <w:t>，并作出报告。“行政失当”包括欠缺效率、拙劣或不妥善的行政决</w:t>
      </w:r>
      <w:r>
        <w:rPr>
          <w:rFonts w:ascii="MS Mincho" w:hAnsi="MS Mincho" w:cs="MS Mincho" w:hint="eastAsia"/>
        </w:rPr>
        <w:t>定、行为、建议或失误。市民可直接向申诉专员提出申诉</w:t>
      </w:r>
      <w:r>
        <w:rPr>
          <w:rFonts w:hint="eastAsia"/>
        </w:rPr>
        <w:t>；而申诉专员也有权主动展开调</w:t>
      </w:r>
      <w:r>
        <w:rPr>
          <w:rFonts w:ascii="SimSun" w:hAnsi="SimSun" w:cs="SimSun" w:hint="eastAsia"/>
        </w:rPr>
        <w:t>查</w:t>
      </w:r>
      <w:r>
        <w:rPr>
          <w:rFonts w:ascii="MS Mincho" w:hAnsi="MS Mincho" w:cs="MS Mincho" w:hint="eastAsia"/>
        </w:rPr>
        <w:t>，并可发表关乎公众利益事项的调</w:t>
      </w:r>
      <w:r>
        <w:rPr>
          <w:rFonts w:ascii="SimSun" w:hAnsi="SimSun" w:cs="SimSun" w:hint="eastAsia"/>
        </w:rPr>
        <w:t>查</w:t>
      </w:r>
      <w:r>
        <w:rPr>
          <w:rFonts w:ascii="MS Mincho" w:hAnsi="MS Mincho" w:cs="MS Mincho" w:hint="eastAsia"/>
        </w:rPr>
        <w:t>报</w:t>
      </w:r>
      <w:r>
        <w:rPr>
          <w:rFonts w:hint="eastAsia"/>
        </w:rPr>
        <w:t>告。此外，申诉专员也有权就</w:t>
      </w:r>
      <w:r>
        <w:rPr>
          <w:rFonts w:ascii="SimSun" w:hAnsi="SimSun" w:cs="SimSun" w:hint="eastAsia"/>
        </w:rPr>
        <w:t>涉</w:t>
      </w:r>
      <w:r>
        <w:rPr>
          <w:rFonts w:ascii="MS Mincho" w:hAnsi="MS Mincho" w:cs="MS Mincho" w:hint="eastAsia"/>
        </w:rPr>
        <w:t>嫌违反《公开资料守则》的投诉展开调</w:t>
      </w:r>
      <w:r>
        <w:rPr>
          <w:rFonts w:ascii="SimSun" w:hAnsi="SimSun" w:cs="SimSun" w:hint="eastAsia"/>
        </w:rPr>
        <w:t>查</w:t>
      </w:r>
      <w:r>
        <w:rPr>
          <w:rFonts w:ascii="MS Mincho" w:hAnsi="MS Mincho" w:cs="MS Mincho" w:hint="eastAsia"/>
        </w:rPr>
        <w:t>。</w:t>
      </w:r>
    </w:p>
    <w:p w:rsidR="00000000" w:rsidRDefault="00954A93">
      <w:pPr>
        <w:rPr>
          <w:rFonts w:hint="eastAsia"/>
        </w:rPr>
      </w:pPr>
      <w:r>
        <w:rPr>
          <w:rFonts w:hint="eastAsia"/>
        </w:rPr>
        <w:tab/>
      </w:r>
      <w:r>
        <w:t>41.</w:t>
      </w:r>
      <w:r>
        <w:rPr>
          <w:rFonts w:hint="eastAsia"/>
        </w:rPr>
        <w:t xml:space="preserve">  </w:t>
      </w:r>
      <w:r>
        <w:rPr>
          <w:rFonts w:hint="eastAsia"/>
        </w:rPr>
        <w:t>自《</w:t>
      </w:r>
      <w:r>
        <w:t>2001</w:t>
      </w:r>
      <w:r>
        <w:rPr>
          <w:rFonts w:hint="eastAsia"/>
        </w:rPr>
        <w:t>年申诉专员</w:t>
      </w:r>
      <w:r>
        <w:t>(</w:t>
      </w:r>
      <w:r>
        <w:rPr>
          <w:rFonts w:hint="eastAsia"/>
        </w:rPr>
        <w:t>修订</w:t>
      </w:r>
      <w:r>
        <w:t>)</w:t>
      </w:r>
      <w:r>
        <w:rPr>
          <w:rFonts w:hint="eastAsia"/>
        </w:rPr>
        <w:t>条例》通过成为法例后，申诉专员得以确认其独立身分，而且更有效地履行职务。上述条例使申诉专员具有独立自主和法定的权力，以处理本身的行政和财政事务。该条例同时清楚订明，申诉专员既不是政府雇员，也不是政府代理人。</w:t>
      </w:r>
    </w:p>
    <w:p w:rsidR="00000000" w:rsidRDefault="00954A93">
      <w:r>
        <w:rPr>
          <w:rFonts w:hint="eastAsia"/>
        </w:rPr>
        <w:tab/>
      </w:r>
      <w:r>
        <w:t>42.</w:t>
      </w:r>
      <w:r>
        <w:rPr>
          <w:rFonts w:hint="eastAsia"/>
        </w:rPr>
        <w:t xml:space="preserve">  </w:t>
      </w:r>
      <w:r>
        <w:rPr>
          <w:rFonts w:hint="eastAsia"/>
        </w:rPr>
        <w:t>申诉专员可按照《申诉专员条例》的规定，向有关人士索取其认为是调</w:t>
      </w:r>
      <w:r>
        <w:rPr>
          <w:rFonts w:ascii="SimSun" w:hAnsi="SimSun" w:cs="SimSun" w:hint="eastAsia"/>
        </w:rPr>
        <w:t>查</w:t>
      </w:r>
      <w:r>
        <w:rPr>
          <w:rFonts w:ascii="MS Mincho" w:hAnsi="MS Mincho" w:cs="MS Mincho" w:hint="eastAsia"/>
        </w:rPr>
        <w:t>所需</w:t>
      </w:r>
      <w:r>
        <w:rPr>
          <w:rFonts w:ascii="MS Mincho" w:hAnsi="MS Mincho" w:cs="MS Mincho" w:hint="eastAsia"/>
        </w:rPr>
        <w:t>的资料和文件，并就调</w:t>
      </w:r>
      <w:r>
        <w:rPr>
          <w:rFonts w:ascii="SimSun" w:hAnsi="SimSun" w:cs="SimSun" w:hint="eastAsia"/>
        </w:rPr>
        <w:t>查</w:t>
      </w:r>
      <w:r>
        <w:rPr>
          <w:rFonts w:ascii="MS Mincho" w:hAnsi="MS Mincho" w:cs="MS Mincho" w:hint="eastAsia"/>
        </w:rPr>
        <w:t>事项传召任何人士作供。此外，申诉专员可进入在其权限以</w:t>
      </w:r>
      <w:r>
        <w:rPr>
          <w:rFonts w:ascii="SimSun" w:hAnsi="SimSun" w:cs="SimSun" w:hint="eastAsia"/>
        </w:rPr>
        <w:t>内</w:t>
      </w:r>
      <w:r>
        <w:rPr>
          <w:rFonts w:ascii="MS Mincho" w:hAnsi="MS Mincho" w:cs="MS Mincho" w:hint="eastAsia"/>
        </w:rPr>
        <w:t>的机构辖下任何地方进行调</w:t>
      </w:r>
      <w:r>
        <w:rPr>
          <w:rFonts w:ascii="SimSun" w:hAnsi="SimSun" w:cs="SimSun" w:hint="eastAsia"/>
        </w:rPr>
        <w:t>查</w:t>
      </w:r>
      <w:r>
        <w:rPr>
          <w:rFonts w:ascii="MS Mincho" w:hAnsi="MS Mincho" w:cs="MS Mincho" w:hint="eastAsia"/>
        </w:rPr>
        <w:t>，也有足</w:t>
      </w:r>
      <w:r>
        <w:rPr>
          <w:rFonts w:ascii="SimSun" w:hAnsi="SimSun" w:cs="SimSun" w:hint="eastAsia"/>
        </w:rPr>
        <w:t>够</w:t>
      </w:r>
      <w:r>
        <w:rPr>
          <w:rFonts w:ascii="MS Mincho" w:hAnsi="MS Mincho" w:cs="MS Mincho" w:hint="eastAsia"/>
        </w:rPr>
        <w:t>能</w:t>
      </w:r>
      <w:r>
        <w:rPr>
          <w:rFonts w:hint="eastAsia"/>
        </w:rPr>
        <w:t>力确保各有关方面听取其建议，并就其建议采取所需行动。</w:t>
      </w:r>
    </w:p>
    <w:p w:rsidR="00000000" w:rsidRDefault="00954A93">
      <w:r>
        <w:rPr>
          <w:rFonts w:hint="eastAsia"/>
        </w:rPr>
        <w:tab/>
      </w:r>
      <w:r>
        <w:t>43.</w:t>
      </w:r>
      <w:r>
        <w:rPr>
          <w:rFonts w:hint="eastAsia"/>
        </w:rPr>
        <w:t xml:space="preserve">  </w:t>
      </w:r>
      <w:r>
        <w:rPr>
          <w:rFonts w:hint="eastAsia"/>
        </w:rPr>
        <w:t>在调</w:t>
      </w:r>
      <w:r>
        <w:rPr>
          <w:rFonts w:ascii="SimSun" w:hAnsi="SimSun" w:cs="SimSun" w:hint="eastAsia"/>
        </w:rPr>
        <w:t>查每</w:t>
      </w:r>
      <w:r>
        <w:rPr>
          <w:rFonts w:ascii="MS Mincho" w:hAnsi="MS Mincho" w:cs="MS Mincho" w:hint="eastAsia"/>
        </w:rPr>
        <w:t>宗投诉后，申诉专员有权向有关机构的主管提交其意见和理由，以及提出其认为需要采取的补救办法和建议。如申诉专员相信有关个案未能于合理时间</w:t>
      </w:r>
      <w:r>
        <w:rPr>
          <w:rFonts w:ascii="SimSun" w:hAnsi="SimSun" w:cs="SimSun" w:hint="eastAsia"/>
        </w:rPr>
        <w:t>内</w:t>
      </w:r>
      <w:r>
        <w:rPr>
          <w:rFonts w:ascii="MS Mincho" w:hAnsi="MS Mincho" w:cs="MS Mincho" w:hint="eastAsia"/>
        </w:rPr>
        <w:t>处理或</w:t>
      </w:r>
      <w:r>
        <w:rPr>
          <w:rFonts w:ascii="SimSun" w:hAnsi="SimSun" w:cs="SimSun" w:hint="eastAsia"/>
        </w:rPr>
        <w:t>涉</w:t>
      </w:r>
      <w:r>
        <w:rPr>
          <w:rFonts w:ascii="MS Mincho" w:hAnsi="MS Mincho" w:cs="MS Mincho" w:hint="eastAsia"/>
        </w:rPr>
        <w:t>及严重不当或不公平的行为，可向香港特区行政长官呈交报告。而且，根据法例规定，该报告必须提交立法会省览。</w:t>
      </w:r>
    </w:p>
    <w:p w:rsidR="00000000" w:rsidRDefault="00954A93">
      <w:pPr>
        <w:spacing w:after="240"/>
        <w:rPr>
          <w:rFonts w:ascii="MS Mincho" w:hAnsi="MS Mincho" w:cs="MS Mincho"/>
        </w:rPr>
      </w:pPr>
      <w:r>
        <w:rPr>
          <w:rFonts w:hint="eastAsia"/>
        </w:rPr>
        <w:tab/>
      </w:r>
      <w:r>
        <w:t>44.</w:t>
      </w:r>
      <w:r>
        <w:rPr>
          <w:rFonts w:hint="eastAsia"/>
        </w:rPr>
        <w:t xml:space="preserve">  </w:t>
      </w:r>
      <w:r>
        <w:rPr>
          <w:rFonts w:hint="eastAsia"/>
        </w:rPr>
        <w:t>香港特区所有政府部门和主要法定机构，都在申诉专员的调</w:t>
      </w:r>
      <w:r>
        <w:rPr>
          <w:rFonts w:ascii="SimSun" w:hAnsi="SimSun" w:cs="SimSun" w:hint="eastAsia"/>
        </w:rPr>
        <w:t>查</w:t>
      </w:r>
      <w:r>
        <w:rPr>
          <w:rFonts w:ascii="MS Mincho" w:hAnsi="MS Mincho" w:cs="MS Mincho" w:hint="eastAsia"/>
        </w:rPr>
        <w:t>权限以</w:t>
      </w:r>
      <w:r>
        <w:rPr>
          <w:rFonts w:ascii="SimSun" w:hAnsi="SimSun" w:cs="SimSun" w:hint="eastAsia"/>
        </w:rPr>
        <w:t>内</w:t>
      </w:r>
      <w:r>
        <w:rPr>
          <w:rFonts w:ascii="MS Mincho" w:hAnsi="MS Mincho" w:cs="MS Mincho" w:hint="eastAsia"/>
        </w:rPr>
        <w:t>，但</w:t>
      </w:r>
      <w:r>
        <w:rPr>
          <w:rFonts w:ascii="MS Mincho" w:hAnsi="MS Mincho" w:cs="MS Mincho" w:hint="eastAsia"/>
        </w:rPr>
        <w:t>警队和廉政公署则属例外。这两个部门另有独立机构专责处理有关的投诉</w:t>
      </w:r>
      <w:r>
        <w:t>(</w:t>
      </w:r>
      <w:r>
        <w:rPr>
          <w:rFonts w:hint="eastAsia"/>
        </w:rPr>
        <w:t>请参</w:t>
      </w:r>
      <w:r>
        <w:rPr>
          <w:rFonts w:ascii="SimSun" w:hAnsi="SimSun" w:cs="SimSun" w:hint="eastAsia"/>
        </w:rPr>
        <w:t>阅</w:t>
      </w:r>
      <w:r>
        <w:rPr>
          <w:rFonts w:ascii="MS Mincho" w:hAnsi="MS Mincho" w:cs="MS Mincho" w:hint="eastAsia"/>
        </w:rPr>
        <w:t>下文第</w:t>
      </w:r>
      <w:r>
        <w:t>47</w:t>
      </w:r>
      <w:r>
        <w:rPr>
          <w:rFonts w:hint="eastAsia"/>
        </w:rPr>
        <w:t>和第</w:t>
      </w:r>
      <w:r>
        <w:t>48</w:t>
      </w:r>
      <w:r>
        <w:rPr>
          <w:rFonts w:hint="eastAsia"/>
        </w:rPr>
        <w:t>段</w:t>
      </w:r>
      <w:r>
        <w:t>)</w:t>
      </w:r>
      <w:r>
        <w:rPr>
          <w:rFonts w:hint="eastAsia"/>
        </w:rPr>
        <w:t>。不过，关于警队和廉政公署</w:t>
      </w:r>
      <w:r>
        <w:rPr>
          <w:rFonts w:ascii="SimSun" w:hAnsi="SimSun" w:cs="SimSun" w:hint="eastAsia"/>
        </w:rPr>
        <w:t>涉</w:t>
      </w:r>
      <w:r>
        <w:rPr>
          <w:rFonts w:ascii="MS Mincho" w:hAnsi="MS Mincho" w:cs="MS Mincho" w:hint="eastAsia"/>
        </w:rPr>
        <w:t>嫌违反</w:t>
      </w:r>
      <w:r>
        <w:rPr>
          <w:rFonts w:cs="華康細明體" w:hint="eastAsia"/>
        </w:rPr>
        <w:t>《公开资料守则》的投诉，则仍在申诉专员的调</w:t>
      </w:r>
      <w:r>
        <w:rPr>
          <w:rFonts w:ascii="SimSun" w:hAnsi="SimSun" w:cs="SimSun" w:hint="eastAsia"/>
        </w:rPr>
        <w:t>查</w:t>
      </w:r>
      <w:r>
        <w:rPr>
          <w:rFonts w:ascii="MS Mincho" w:hAnsi="MS Mincho" w:cs="MS Mincho" w:hint="eastAsia"/>
        </w:rPr>
        <w:t>权限</w:t>
      </w:r>
      <w:r>
        <w:rPr>
          <w:rFonts w:ascii="SimSun" w:hAnsi="SimSun" w:cs="SimSun" w:hint="eastAsia"/>
        </w:rPr>
        <w:t>内</w:t>
      </w:r>
      <w:r>
        <w:rPr>
          <w:rFonts w:ascii="MS Mincho" w:hAnsi="MS Mincho" w:cs="MS Mincho" w:hint="eastAsia"/>
        </w:rPr>
        <w:t>。</w:t>
      </w:r>
    </w:p>
    <w:p w:rsidR="00000000" w:rsidRDefault="00954A93">
      <w:pPr>
        <w:pStyle w:val="Heading4"/>
      </w:pPr>
      <w:r>
        <w:rPr>
          <w:rFonts w:hint="eastAsia"/>
        </w:rPr>
        <w:t>平等机会委员会</w:t>
      </w:r>
    </w:p>
    <w:p w:rsidR="00000000" w:rsidRDefault="00954A93">
      <w:pPr>
        <w:spacing w:after="240" w:line="312" w:lineRule="auto"/>
        <w:rPr>
          <w:rFonts w:eastAsia="華康中黑體" w:hint="eastAsia"/>
          <w:b/>
          <w:u w:val="single"/>
        </w:rPr>
      </w:pPr>
      <w:r>
        <w:rPr>
          <w:rFonts w:hint="eastAsia"/>
        </w:rPr>
        <w:tab/>
      </w:r>
      <w:r>
        <w:t>45.</w:t>
      </w:r>
      <w:r>
        <w:rPr>
          <w:rFonts w:ascii="華康細明體" w:hint="eastAsia"/>
        </w:rPr>
        <w:t xml:space="preserve">  </w:t>
      </w:r>
      <w:r>
        <w:rPr>
          <w:rFonts w:hint="eastAsia"/>
        </w:rPr>
        <w:t>平等机会委员会</w:t>
      </w:r>
      <w:r>
        <w:rPr>
          <w:rFonts w:hint="eastAsia"/>
        </w:rPr>
        <w:t>(</w:t>
      </w:r>
      <w:r>
        <w:rPr>
          <w:rFonts w:hint="eastAsia"/>
        </w:rPr>
        <w:t>平机会</w:t>
      </w:r>
      <w:r>
        <w:rPr>
          <w:rFonts w:hint="eastAsia"/>
        </w:rPr>
        <w:t>)</w:t>
      </w:r>
      <w:r>
        <w:rPr>
          <w:rFonts w:hint="eastAsia"/>
        </w:rPr>
        <w:t>于一九九六年五月根据《性别歧视条例》成立，并于同年九月开始全面运作。平机会根据《性别歧视条例》、《残疾歧视条例》和《家庭岗位歧视条例》，负责进行正式的调</w:t>
      </w:r>
      <w:r>
        <w:rPr>
          <w:rFonts w:ascii="SimSun" w:hAnsi="SimSun" w:cs="SimSun" w:hint="eastAsia"/>
        </w:rPr>
        <w:t>查</w:t>
      </w:r>
      <w:r>
        <w:rPr>
          <w:rFonts w:ascii="MS Mincho" w:hAnsi="MS Mincho" w:cs="MS Mincho" w:hint="eastAsia"/>
        </w:rPr>
        <w:t>、处理投诉、居中调停，以及向受屈人士提供援助。此外，平机会也推行研究计划和公众教育，以促进平等机会。另外，该委员会获授权发出</w:t>
      </w:r>
      <w:r>
        <w:rPr>
          <w:rFonts w:ascii="MS Mincho" w:hAnsi="MS Mincho" w:cs="MS Mincho" w:hint="eastAsia"/>
        </w:rPr>
        <w:t>各类实务守则，为市民提供实际指引，协助他们遵守有关平等机会的法例。平机会已于一九九六年十二月发出有关《性别歧视条</w:t>
      </w:r>
      <w:r>
        <w:rPr>
          <w:rFonts w:hint="eastAsia"/>
        </w:rPr>
        <w:t>例》和《残疾歧视条例》的雇佣实务守则，并于一九九八年三月发出有关《家庭岗位歧视条例》的雇佣实务守则。此外，平机会于二零零一年七月发出《残疾歧视条例教育实务守则》，以协助教育机构遵守《残疾歧视条例》的规定。</w:t>
      </w:r>
    </w:p>
    <w:p w:rsidR="00000000" w:rsidRDefault="00954A93">
      <w:pPr>
        <w:pStyle w:val="Heading4"/>
        <w:rPr>
          <w:rFonts w:hint="eastAsia"/>
        </w:rPr>
      </w:pPr>
      <w:r>
        <w:rPr>
          <w:rFonts w:hint="eastAsia"/>
        </w:rPr>
        <w:t>个人资料私隐专员</w:t>
      </w:r>
    </w:p>
    <w:p w:rsidR="00000000" w:rsidRDefault="00954A93">
      <w:pPr>
        <w:spacing w:after="240"/>
        <w:rPr>
          <w:rFonts w:eastAsia="華康中黑體" w:hint="eastAsia"/>
          <w:b/>
          <w:u w:val="single"/>
        </w:rPr>
      </w:pPr>
      <w:r>
        <w:rPr>
          <w:rFonts w:hint="eastAsia"/>
        </w:rPr>
        <w:tab/>
      </w:r>
      <w:r>
        <w:t>46.</w:t>
      </w:r>
      <w:r>
        <w:rPr>
          <w:rFonts w:hint="eastAsia"/>
        </w:rPr>
        <w:t xml:space="preserve">  </w:t>
      </w:r>
      <w:r>
        <w:rPr>
          <w:rFonts w:hint="eastAsia"/>
        </w:rPr>
        <w:t>《个人资料</w:t>
      </w:r>
      <w:r>
        <w:t>(</w:t>
      </w:r>
      <w:r>
        <w:rPr>
          <w:rFonts w:hint="eastAsia"/>
        </w:rPr>
        <w:t>私隐</w:t>
      </w:r>
      <w:r>
        <w:t>)</w:t>
      </w:r>
      <w:r>
        <w:rPr>
          <w:rFonts w:hint="eastAsia"/>
        </w:rPr>
        <w:t>条例》就政府和私营机构收集、持有和使用个人资料的事宜作出规管，有关条文是根据国际通用的保护资料原则而制定的，并且适用于一切在合理可行的范围</w:t>
      </w:r>
      <w:r>
        <w:rPr>
          <w:rFonts w:ascii="SimSun" w:hAnsi="SimSun" w:cs="SimSun" w:hint="eastAsia"/>
        </w:rPr>
        <w:t>内查阅</w:t>
      </w:r>
      <w:r>
        <w:rPr>
          <w:rFonts w:ascii="MS Mincho" w:hAnsi="MS Mincho" w:cs="MS Mincho" w:hint="eastAsia"/>
        </w:rPr>
        <w:t>个</w:t>
      </w:r>
      <w:r>
        <w:rPr>
          <w:rFonts w:ascii="MS Mincho" w:hAnsi="MS Mincho" w:cs="MS Mincho" w:hint="eastAsia"/>
        </w:rPr>
        <w:t>人资料的情况，而不论该等资料是以电脑、人手</w:t>
      </w:r>
      <w:r>
        <w:t>(</w:t>
      </w:r>
      <w:r>
        <w:rPr>
          <w:rFonts w:hint="eastAsia"/>
        </w:rPr>
        <w:t>例如：</w:t>
      </w:r>
      <w:r>
        <w:rPr>
          <w:rFonts w:ascii="SimSun" w:hAnsi="SimSun" w:cs="SimSun" w:hint="eastAsia"/>
        </w:rPr>
        <w:t>档</w:t>
      </w:r>
      <w:r>
        <w:rPr>
          <w:rFonts w:ascii="MS Mincho" w:hAnsi="MS Mincho" w:cs="MS Mincho" w:hint="eastAsia"/>
        </w:rPr>
        <w:t>案文件</w:t>
      </w:r>
      <w:r>
        <w:t>)</w:t>
      </w:r>
      <w:r>
        <w:rPr>
          <w:rFonts w:hint="eastAsia"/>
        </w:rPr>
        <w:t>或</w:t>
      </w:r>
      <w:r>
        <w:rPr>
          <w:rFonts w:ascii="SimSun" w:hAnsi="SimSun" w:cs="SimSun" w:hint="eastAsia"/>
        </w:rPr>
        <w:t>录</w:t>
      </w:r>
      <w:r>
        <w:rPr>
          <w:rFonts w:ascii="MS Mincho" w:hAnsi="MS Mincho" w:cs="MS Mincho" w:hint="eastAsia"/>
        </w:rPr>
        <w:t>像</w:t>
      </w:r>
      <w:r>
        <w:rPr>
          <w:rFonts w:ascii="MS Mincho" w:hAnsi="MS Mincho" w:cs="MS Mincho" w:hint="eastAsia"/>
        </w:rPr>
        <w:t>/</w:t>
      </w:r>
      <w:r>
        <w:rPr>
          <w:rFonts w:ascii="SimSun" w:hAnsi="SimSun" w:cs="SimSun" w:hint="eastAsia"/>
        </w:rPr>
        <w:t>录</w:t>
      </w:r>
      <w:r>
        <w:rPr>
          <w:rFonts w:ascii="MS Mincho" w:hAnsi="MS Mincho" w:cs="MS Mincho" w:hint="eastAsia"/>
        </w:rPr>
        <w:t>音带的形式贮存。为了宣传和执行规定，条例订</w:t>
      </w:r>
      <w:r>
        <w:rPr>
          <w:rFonts w:hint="eastAsia"/>
        </w:rPr>
        <w:t>明政府须设独立的法定主管当局，即个人资料私隐专员</w:t>
      </w:r>
      <w:r>
        <w:t>(</w:t>
      </w:r>
      <w:r>
        <w:rPr>
          <w:rFonts w:hint="eastAsia"/>
        </w:rPr>
        <w:t>私隐专员</w:t>
      </w:r>
      <w:r>
        <w:t>)</w:t>
      </w:r>
      <w:r>
        <w:rPr>
          <w:rFonts w:hint="eastAsia"/>
        </w:rPr>
        <w:t>，并赋予其适当的调</w:t>
      </w:r>
      <w:r>
        <w:rPr>
          <w:rFonts w:ascii="SimSun" w:hAnsi="SimSun" w:cs="SimSun" w:hint="eastAsia"/>
        </w:rPr>
        <w:t>查</w:t>
      </w:r>
      <w:r>
        <w:rPr>
          <w:rFonts w:ascii="MS Mincho" w:hAnsi="MS Mincho" w:cs="MS Mincho" w:hint="eastAsia"/>
        </w:rPr>
        <w:t>和执法权力。私隐专员的职责也包括促进公众对条例的认识和理解、就如何遵守条例的规定发出实务守则，以及研究与个人资料私隐有关的建议法例。</w:t>
      </w:r>
    </w:p>
    <w:p w:rsidR="00000000" w:rsidRDefault="00954A93">
      <w:pPr>
        <w:pStyle w:val="Heading4"/>
      </w:pPr>
      <w:r>
        <w:rPr>
          <w:rFonts w:hint="eastAsia"/>
        </w:rPr>
        <w:t>投诉及调</w:t>
      </w:r>
      <w:r>
        <w:rPr>
          <w:rFonts w:cs="SimSun" w:hint="eastAsia"/>
        </w:rPr>
        <w:t>查</w:t>
      </w:r>
    </w:p>
    <w:p w:rsidR="00000000" w:rsidRDefault="00954A93">
      <w:pPr>
        <w:pStyle w:val="Heading4"/>
        <w:rPr>
          <w:rFonts w:hint="eastAsia"/>
        </w:rPr>
      </w:pPr>
      <w:r>
        <w:rPr>
          <w:rFonts w:hint="eastAsia"/>
        </w:rPr>
        <w:t>警</w:t>
      </w:r>
      <w:r>
        <w:rPr>
          <w:rFonts w:hint="eastAsia"/>
        </w:rPr>
        <w:t xml:space="preserve">  </w:t>
      </w:r>
      <w:r>
        <w:rPr>
          <w:rFonts w:hint="eastAsia"/>
        </w:rPr>
        <w:t>察</w:t>
      </w:r>
    </w:p>
    <w:p w:rsidR="00000000" w:rsidRDefault="00954A93">
      <w:pPr>
        <w:spacing w:after="240"/>
        <w:rPr>
          <w:rFonts w:hint="eastAsia"/>
        </w:rPr>
      </w:pPr>
      <w:r>
        <w:rPr>
          <w:rFonts w:hint="eastAsia"/>
        </w:rPr>
        <w:tab/>
      </w:r>
      <w:r>
        <w:t>47.</w:t>
      </w:r>
      <w:r>
        <w:rPr>
          <w:rFonts w:hint="eastAsia"/>
        </w:rPr>
        <w:t xml:space="preserve">  </w:t>
      </w:r>
      <w:r>
        <w:rPr>
          <w:rFonts w:hint="eastAsia"/>
        </w:rPr>
        <w:t>投诉警察课负责调</w:t>
      </w:r>
      <w:r>
        <w:rPr>
          <w:rFonts w:ascii="SimSun" w:hAnsi="SimSun" w:cs="SimSun" w:hint="eastAsia"/>
        </w:rPr>
        <w:t>查涉</w:t>
      </w:r>
      <w:r>
        <w:rPr>
          <w:rFonts w:ascii="MS Mincho" w:hAnsi="MS Mincho" w:cs="MS Mincho" w:hint="eastAsia"/>
        </w:rPr>
        <w:t>及警务人员行为和态度不当的投诉。投诉警察课的调</w:t>
      </w:r>
      <w:r>
        <w:rPr>
          <w:rFonts w:ascii="SimSun" w:hAnsi="SimSun" w:cs="SimSun" w:hint="eastAsia"/>
        </w:rPr>
        <w:t>查</w:t>
      </w:r>
      <w:r>
        <w:rPr>
          <w:rFonts w:ascii="MS Mincho" w:hAnsi="MS Mincho" w:cs="MS Mincho" w:hint="eastAsia"/>
        </w:rPr>
        <w:t>工作，由投诉警方独立监察委员会</w:t>
      </w:r>
      <w:r>
        <w:t>(</w:t>
      </w:r>
      <w:r>
        <w:rPr>
          <w:rFonts w:hint="eastAsia"/>
        </w:rPr>
        <w:t>警监会</w:t>
      </w:r>
      <w:r>
        <w:t>)</w:t>
      </w:r>
      <w:r>
        <w:rPr>
          <w:rFonts w:hint="eastAsia"/>
        </w:rPr>
        <w:t>监察及复核。警监会是一个独立组织，由行政长官</w:t>
      </w:r>
      <w:r>
        <w:rPr>
          <w:rFonts w:hint="eastAsia"/>
        </w:rPr>
        <w:t>委任社会各界的非官方人士组成，成员包括立法会议员以及申诉专员或其代表。</w:t>
      </w:r>
    </w:p>
    <w:p w:rsidR="00000000" w:rsidRDefault="00954A93">
      <w:pPr>
        <w:pStyle w:val="Heading4"/>
        <w:rPr>
          <w:rFonts w:hint="eastAsia"/>
        </w:rPr>
      </w:pPr>
      <w:r>
        <w:rPr>
          <w:rFonts w:hint="eastAsia"/>
        </w:rPr>
        <w:t>廉政公署</w:t>
      </w:r>
    </w:p>
    <w:p w:rsidR="00000000" w:rsidRDefault="00954A93">
      <w:pPr>
        <w:spacing w:after="160"/>
        <w:rPr>
          <w:rFonts w:eastAsia="華康中黑體" w:hint="eastAsia"/>
          <w:b/>
        </w:rPr>
      </w:pPr>
      <w:r>
        <w:rPr>
          <w:rFonts w:hint="eastAsia"/>
        </w:rPr>
        <w:tab/>
      </w:r>
      <w:r>
        <w:t>48.</w:t>
      </w:r>
      <w:r>
        <w:rPr>
          <w:rFonts w:hint="eastAsia"/>
        </w:rPr>
        <w:t xml:space="preserve">  </w:t>
      </w:r>
      <w:r>
        <w:rPr>
          <w:rFonts w:hint="eastAsia"/>
        </w:rPr>
        <w:t>廉政公署事宜投诉委员会于一九七七年成立，负责监察和检讨廉政公署处理对该署和该署人员的非刑事投诉。该委员会也是一个由行政长官委任的独立组织，其成员主要包括行政会议成员和立法会议员，另加申诉专员的代表。任何人如要投诉廉政公署或该署人员，均可直接向该委员会或廉政公署辖下办事处提出。这些投诉会由廉政公署执行处一个特别小组负责调</w:t>
      </w:r>
      <w:r>
        <w:rPr>
          <w:rFonts w:ascii="SimSun" w:hAnsi="SimSun" w:cs="SimSun" w:hint="eastAsia"/>
        </w:rPr>
        <w:t>查</w:t>
      </w:r>
      <w:r>
        <w:rPr>
          <w:rFonts w:ascii="MS Mincho" w:hAnsi="MS Mincho" w:cs="MS Mincho" w:hint="eastAsia"/>
        </w:rPr>
        <w:t>。小组完成调</w:t>
      </w:r>
      <w:r>
        <w:rPr>
          <w:rFonts w:ascii="SimSun" w:hAnsi="SimSun" w:cs="SimSun" w:hint="eastAsia"/>
        </w:rPr>
        <w:t>查</w:t>
      </w:r>
      <w:r>
        <w:rPr>
          <w:rFonts w:ascii="MS Mincho" w:hAnsi="MS Mincho" w:cs="MS Mincho" w:hint="eastAsia"/>
        </w:rPr>
        <w:t>工作后，便会把调</w:t>
      </w:r>
      <w:r>
        <w:rPr>
          <w:rFonts w:ascii="SimSun" w:hAnsi="SimSun" w:cs="SimSun" w:hint="eastAsia"/>
        </w:rPr>
        <w:t>查</w:t>
      </w:r>
      <w:r>
        <w:rPr>
          <w:rFonts w:ascii="MS Mincho" w:hAnsi="MS Mincho" w:cs="MS Mincho" w:hint="eastAsia"/>
        </w:rPr>
        <w:t>结果和建议提交委员会审议。</w:t>
      </w:r>
    </w:p>
    <w:p w:rsidR="00000000" w:rsidRDefault="00954A93">
      <w:pPr>
        <w:pStyle w:val="Heading4"/>
        <w:rPr>
          <w:rFonts w:hint="eastAsia"/>
        </w:rPr>
      </w:pPr>
      <w:r>
        <w:rPr>
          <w:rFonts w:hint="eastAsia"/>
        </w:rPr>
        <w:t>其他纪律部队</w:t>
      </w:r>
    </w:p>
    <w:p w:rsidR="00000000" w:rsidRDefault="00954A93">
      <w:r>
        <w:rPr>
          <w:rFonts w:hint="eastAsia"/>
        </w:rPr>
        <w:tab/>
      </w:r>
      <w:r>
        <w:t>49.</w:t>
      </w:r>
      <w:r>
        <w:rPr>
          <w:rFonts w:hint="eastAsia"/>
        </w:rPr>
        <w:t xml:space="preserve">  </w:t>
      </w:r>
      <w:r>
        <w:rPr>
          <w:rFonts w:hint="eastAsia"/>
        </w:rPr>
        <w:t>其他纪律部</w:t>
      </w:r>
      <w:r>
        <w:rPr>
          <w:rFonts w:hint="eastAsia"/>
        </w:rPr>
        <w:t>门在处理投诉方面也备有清晰的指引和程序。举例来</w:t>
      </w:r>
      <w:r>
        <w:rPr>
          <w:rFonts w:ascii="SimSun" w:hAnsi="SimSun" w:cs="SimSun" w:hint="eastAsia"/>
        </w:rPr>
        <w:t>说</w:t>
      </w:r>
      <w:r>
        <w:rPr>
          <w:rFonts w:ascii="MS Mincho" w:hAnsi="MS Mincho" w:cs="MS Mincho" w:hint="eastAsia"/>
        </w:rPr>
        <w:t>，负责管理香港特区各个监狱的惩教署，也设有投诉调</w:t>
      </w:r>
      <w:r>
        <w:rPr>
          <w:rFonts w:ascii="SimSun" w:hAnsi="SimSun" w:cs="SimSun" w:hint="eastAsia"/>
        </w:rPr>
        <w:t>查</w:t>
      </w:r>
      <w:r>
        <w:rPr>
          <w:rFonts w:ascii="MS Mincho" w:hAnsi="MS Mincho" w:cs="MS Mincho" w:hint="eastAsia"/>
        </w:rPr>
        <w:t>组，为该署职</w:t>
      </w:r>
      <w:r>
        <w:rPr>
          <w:rFonts w:hint="eastAsia"/>
        </w:rPr>
        <w:t>员、囚犯和公众提供</w:t>
      </w:r>
      <w:r>
        <w:rPr>
          <w:rFonts w:ascii="SimSun" w:hAnsi="SimSun" w:cs="SimSun" w:hint="eastAsia"/>
        </w:rPr>
        <w:t>内</w:t>
      </w:r>
      <w:r>
        <w:rPr>
          <w:rFonts w:ascii="MS Mincho" w:hAnsi="MS Mincho" w:cs="MS Mincho" w:hint="eastAsia"/>
        </w:rPr>
        <w:t>部申诉机制。此外，投诉人士也可直接向申诉专员申诉。从所处理投诉个案的数目和性质来看，现有的投诉途径可</w:t>
      </w:r>
      <w:r>
        <w:rPr>
          <w:rFonts w:ascii="SimSun" w:hAnsi="SimSun" w:cs="SimSun" w:hint="eastAsia"/>
        </w:rPr>
        <w:t>说</w:t>
      </w:r>
      <w:r>
        <w:rPr>
          <w:rFonts w:ascii="MS Mincho" w:hAnsi="MS Mincho" w:cs="MS Mincho" w:hint="eastAsia"/>
        </w:rPr>
        <w:t>是行之有效。</w:t>
      </w:r>
    </w:p>
    <w:p w:rsidR="00000000" w:rsidRDefault="00954A93">
      <w:pPr>
        <w:spacing w:after="240"/>
        <w:rPr>
          <w:rFonts w:eastAsia="華康中黑體" w:hint="eastAsia"/>
          <w:b/>
          <w:sz w:val="28"/>
        </w:rPr>
      </w:pPr>
      <w:r>
        <w:rPr>
          <w:rFonts w:hint="eastAsia"/>
        </w:rPr>
        <w:tab/>
      </w:r>
      <w:r>
        <w:t>50.</w:t>
      </w:r>
      <w:r>
        <w:rPr>
          <w:rFonts w:hint="eastAsia"/>
        </w:rPr>
        <w:t xml:space="preserve">  </w:t>
      </w:r>
      <w:r>
        <w:rPr>
          <w:rFonts w:hint="eastAsia"/>
        </w:rPr>
        <w:t>入境事务处在处理投诉时所依循的程序，是由入境事务处处长根据《入境事务队条例》所赋予的权力而订立的，这些程序已于《入境事务队常规命令》中列明。市民如认为入境事务队人员滥用职权或处事不当，可向入境事务处处长投诉。该处接获投诉后，会按照常规命令所列明的程序，从</w:t>
      </w:r>
      <w:r>
        <w:rPr>
          <w:rFonts w:hint="eastAsia"/>
        </w:rPr>
        <w:t>速进行调</w:t>
      </w:r>
      <w:r>
        <w:rPr>
          <w:rFonts w:ascii="SimSun" w:hAnsi="SimSun" w:cs="SimSun" w:hint="eastAsia"/>
        </w:rPr>
        <w:t>查</w:t>
      </w:r>
      <w:r>
        <w:rPr>
          <w:rFonts w:ascii="MS Mincho" w:hAnsi="MS Mincho" w:cs="MS Mincho" w:hint="eastAsia"/>
        </w:rPr>
        <w:t>。为确保所有投诉均获妥善处理，一个投诉检讨工作小组会研究调</w:t>
      </w:r>
      <w:r>
        <w:rPr>
          <w:rFonts w:ascii="SimSun" w:hAnsi="SimSun" w:cs="SimSun" w:hint="eastAsia"/>
        </w:rPr>
        <w:t>查</w:t>
      </w:r>
      <w:r>
        <w:rPr>
          <w:rFonts w:ascii="MS Mincho" w:hAnsi="MS Mincho" w:cs="MS Mincho" w:hint="eastAsia"/>
        </w:rPr>
        <w:t>结果，进行检讨及按需要建议进一</w:t>
      </w:r>
      <w:r>
        <w:rPr>
          <w:rFonts w:ascii="SimSun" w:hAnsi="SimSun" w:cs="SimSun" w:hint="eastAsia"/>
        </w:rPr>
        <w:t>步</w:t>
      </w:r>
      <w:r>
        <w:rPr>
          <w:rFonts w:ascii="MS Mincho" w:hAnsi="MS Mincho" w:cs="MS Mincho" w:hint="eastAsia"/>
        </w:rPr>
        <w:t>行动。如</w:t>
      </w:r>
      <w:r>
        <w:rPr>
          <w:rFonts w:hint="eastAsia"/>
        </w:rPr>
        <w:t>有人认为自己被施以不当待遇或其个案被不当处理，也可向申诉专员投诉。如有表面证据显示入境事务队人员触犯刑事罪行，入境事务处会立即把个案转介警方，以作进一</w:t>
      </w:r>
      <w:r>
        <w:rPr>
          <w:rFonts w:ascii="SimSun" w:hAnsi="SimSun" w:cs="SimSun" w:hint="eastAsia"/>
        </w:rPr>
        <w:t>步</w:t>
      </w:r>
      <w:r>
        <w:rPr>
          <w:rFonts w:ascii="MS Mincho" w:hAnsi="MS Mincho" w:cs="MS Mincho" w:hint="eastAsia"/>
        </w:rPr>
        <w:t>调</w:t>
      </w:r>
      <w:r>
        <w:rPr>
          <w:rFonts w:ascii="SimSun" w:hAnsi="SimSun" w:cs="SimSun" w:hint="eastAsia"/>
        </w:rPr>
        <w:t>查</w:t>
      </w:r>
      <w:r>
        <w:rPr>
          <w:rFonts w:ascii="MS Mincho" w:hAnsi="MS Mincho" w:cs="MS Mincho" w:hint="eastAsia"/>
        </w:rPr>
        <w:t>。《入境事务队条例》和《入境事务队常规命令》已订明入境事务队人员的纪律处分程序。《入境事务队条例》</w:t>
      </w:r>
      <w:r>
        <w:t>(</w:t>
      </w:r>
      <w:r>
        <w:rPr>
          <w:rFonts w:hint="eastAsia"/>
        </w:rPr>
        <w:t>第</w:t>
      </w:r>
      <w:r>
        <w:t>331</w:t>
      </w:r>
      <w:r>
        <w:rPr>
          <w:rFonts w:hint="eastAsia"/>
        </w:rPr>
        <w:t>章</w:t>
      </w:r>
      <w:r>
        <w:t>)</w:t>
      </w:r>
      <w:r>
        <w:rPr>
          <w:rFonts w:hint="eastAsia"/>
        </w:rPr>
        <w:t>第</w:t>
      </w:r>
      <w:r>
        <w:t>8</w:t>
      </w:r>
      <w:r>
        <w:rPr>
          <w:rFonts w:hint="eastAsia"/>
        </w:rPr>
        <w:t>条订明，入境事务队人员如非法或不必要地行使权力，以致他人蒙受损失或损害，均属违纪行为。</w:t>
      </w:r>
    </w:p>
    <w:p w:rsidR="00000000" w:rsidRDefault="00954A93">
      <w:pPr>
        <w:pStyle w:val="Heading4"/>
      </w:pPr>
      <w:r>
        <w:rPr>
          <w:rFonts w:hint="eastAsia"/>
        </w:rPr>
        <w:t>资讯及宣传</w:t>
      </w:r>
    </w:p>
    <w:p w:rsidR="00000000" w:rsidRDefault="00954A93">
      <w:pPr>
        <w:pStyle w:val="Heading4"/>
        <w:rPr>
          <w:rFonts w:hint="eastAsia"/>
        </w:rPr>
      </w:pPr>
      <w:r>
        <w:rPr>
          <w:rFonts w:hint="eastAsia"/>
        </w:rPr>
        <w:t>加深公众对人权条约的认识</w:t>
      </w:r>
    </w:p>
    <w:p w:rsidR="00000000" w:rsidRDefault="00954A93">
      <w:r>
        <w:rPr>
          <w:rFonts w:hint="eastAsia"/>
        </w:rPr>
        <w:tab/>
      </w:r>
      <w:r>
        <w:t>5</w:t>
      </w:r>
      <w:r>
        <w:t>1.</w:t>
      </w:r>
      <w:r>
        <w:rPr>
          <w:rFonts w:hint="eastAsia"/>
        </w:rPr>
        <w:t xml:space="preserve">  </w:t>
      </w:r>
      <w:r>
        <w:rPr>
          <w:rFonts w:hint="eastAsia"/>
        </w:rPr>
        <w:t>香港特区政府民政事务局负责推广适用于香港的各项人权条约，加深公众对条约所订权利和义务的认识。《香港人权法案条例》于一九九一年制定后，民政事务局辖下公民教育委员会成立了人权教育工作小组，致力加深公众对该条例的认识，并促使他们尊重各项受人权条约保障的人权。人权一直是公民教育委员会的重点工作；最近，该委员会更加强推广工作，力求加深市民对《基本法》的认识。《基本法》对保障特区的人权，提供了宪制性文件上的保证。为了进一</w:t>
      </w:r>
      <w:r>
        <w:rPr>
          <w:rFonts w:ascii="SimSun" w:hAnsi="SimSun" w:cs="SimSun" w:hint="eastAsia"/>
        </w:rPr>
        <w:t>步</w:t>
      </w:r>
      <w:r>
        <w:rPr>
          <w:rFonts w:ascii="MS Mincho" w:hAnsi="MS Mincho" w:cs="MS Mincho" w:hint="eastAsia"/>
        </w:rPr>
        <w:t>推广《基本法》，香港特区政府于一九九八年一月成立《基本法》推广督导委员会，该委员会由政务司</w:t>
      </w:r>
      <w:r>
        <w:rPr>
          <w:rFonts w:ascii="MS Mincho" w:hAnsi="MS Mincho" w:cs="MS Mincho" w:hint="eastAsia"/>
        </w:rPr>
        <w:t>司长担任主席，负责就《基本法》的宣传策略制定方针。</w:t>
      </w:r>
    </w:p>
    <w:p w:rsidR="00000000" w:rsidRDefault="00954A93">
      <w:pPr>
        <w:spacing w:after="240"/>
        <w:rPr>
          <w:rFonts w:hint="eastAsia"/>
        </w:rPr>
      </w:pPr>
      <w:r>
        <w:rPr>
          <w:rFonts w:hint="eastAsia"/>
        </w:rPr>
        <w:tab/>
      </w:r>
      <w:r>
        <w:t>52.</w:t>
      </w:r>
      <w:r>
        <w:rPr>
          <w:rFonts w:hint="eastAsia"/>
        </w:rPr>
        <w:t xml:space="preserve">  </w:t>
      </w:r>
      <w:r>
        <w:rPr>
          <w:rFonts w:hint="eastAsia"/>
        </w:rPr>
        <w:t>当局于二零零二年成立一个由非政府机构与政府部门组成的促进种族和谐委员会，负责就促进种族和谐和有关《消除一切形式种族歧视国际公约》事宜向政府提供意见。上述委员会由民政事务局辖下的种族关系组提供支援服务，该组于二零零二年成立。</w:t>
      </w:r>
    </w:p>
    <w:p w:rsidR="00000000" w:rsidRDefault="00954A93">
      <w:pPr>
        <w:pStyle w:val="Heading4"/>
        <w:rPr>
          <w:rFonts w:hint="eastAsia"/>
        </w:rPr>
      </w:pPr>
      <w:r>
        <w:rPr>
          <w:rFonts w:hint="eastAsia"/>
        </w:rPr>
        <w:t>政府刊物</w:t>
      </w:r>
    </w:p>
    <w:p w:rsidR="00000000" w:rsidRDefault="00954A93">
      <w:pPr>
        <w:spacing w:after="240"/>
        <w:rPr>
          <w:rFonts w:eastAsia="華康中黑體" w:hint="eastAsia"/>
          <w:b/>
          <w:u w:val="single"/>
        </w:rPr>
      </w:pPr>
      <w:r>
        <w:rPr>
          <w:rFonts w:hint="eastAsia"/>
        </w:rPr>
        <w:tab/>
      </w:r>
      <w:r>
        <w:t>53.</w:t>
      </w:r>
      <w:r>
        <w:rPr>
          <w:rFonts w:hint="eastAsia"/>
        </w:rPr>
        <w:t xml:space="preserve">  </w:t>
      </w:r>
      <w:r>
        <w:rPr>
          <w:rFonts w:hint="eastAsia"/>
        </w:rPr>
        <w:t>中华人民共和国中央人民政府负责根据各项人权条约，提交有关香港特区的报告</w:t>
      </w:r>
      <w:r>
        <w:t>(</w:t>
      </w:r>
      <w:r>
        <w:rPr>
          <w:rFonts w:hint="eastAsia"/>
        </w:rPr>
        <w:t>请参</w:t>
      </w:r>
      <w:r>
        <w:rPr>
          <w:rFonts w:ascii="SimSun" w:hAnsi="SimSun" w:cs="SimSun" w:hint="eastAsia"/>
        </w:rPr>
        <w:t>阅</w:t>
      </w:r>
      <w:r>
        <w:rPr>
          <w:rFonts w:ascii="MS Mincho" w:hAnsi="MS Mincho" w:cs="MS Mincho" w:hint="eastAsia"/>
        </w:rPr>
        <w:t>下文第</w:t>
      </w:r>
      <w:r>
        <w:t>54</w:t>
      </w:r>
      <w:r>
        <w:rPr>
          <w:rFonts w:hint="eastAsia"/>
        </w:rPr>
        <w:t>段关于《公民权利和政治权利国际公约》的部分</w:t>
      </w:r>
      <w:r>
        <w:t>)</w:t>
      </w:r>
      <w:r>
        <w:rPr>
          <w:rFonts w:hint="eastAsia"/>
        </w:rPr>
        <w:t>。报告的初稿，由香港特区政府民政事务局和卫生福利及食物局草拟。两局会就</w:t>
      </w:r>
      <w:r>
        <w:rPr>
          <w:rFonts w:hint="eastAsia"/>
        </w:rPr>
        <w:t>这些条约在香港实施的情况，</w:t>
      </w:r>
      <w:r>
        <w:rPr>
          <w:rFonts w:ascii="SimSun" w:hAnsi="SimSun" w:cs="SimSun" w:hint="eastAsia"/>
        </w:rPr>
        <w:t>征</w:t>
      </w:r>
      <w:r>
        <w:rPr>
          <w:rFonts w:ascii="MS Mincho" w:hAnsi="MS Mincho" w:cs="MS Mincho" w:hint="eastAsia"/>
        </w:rPr>
        <w:t>询立法会和非政府机构的意见，并会在报告中加以论述。有关报告在中央人民政府提</w:t>
      </w:r>
      <w:r>
        <w:rPr>
          <w:rFonts w:hint="eastAsia"/>
        </w:rPr>
        <w:t>交联合国后，会提交香港特区立法会省览，并以双语钉装本的形式发表。此外，报告的文本会存放在公共图书馆以及上载互联网，供公众参</w:t>
      </w:r>
      <w:r>
        <w:rPr>
          <w:rFonts w:ascii="SimSun" w:hAnsi="SimSun" w:cs="SimSun" w:hint="eastAsia"/>
        </w:rPr>
        <w:t>阅</w:t>
      </w:r>
      <w:r>
        <w:rPr>
          <w:rFonts w:ascii="MS Mincho" w:hAnsi="MS Mincho" w:cs="MS Mincho" w:hint="eastAsia"/>
        </w:rPr>
        <w:t>。</w:t>
      </w:r>
    </w:p>
    <w:p w:rsidR="00000000" w:rsidRDefault="00954A93">
      <w:pPr>
        <w:pStyle w:val="Heading4"/>
        <w:rPr>
          <w:rFonts w:hint="eastAsia"/>
        </w:rPr>
      </w:pPr>
      <w:r>
        <w:rPr>
          <w:rFonts w:hint="eastAsia"/>
        </w:rPr>
        <w:t>香港特区就《公民权利和政治权利国际公约》所提交的报告</w:t>
      </w:r>
    </w:p>
    <w:p w:rsidR="00000000" w:rsidRDefault="00954A93">
      <w:pPr>
        <w:spacing w:after="240"/>
        <w:rPr>
          <w:rFonts w:hint="eastAsia"/>
        </w:rPr>
      </w:pPr>
      <w:r>
        <w:rPr>
          <w:rFonts w:hint="eastAsia"/>
        </w:rPr>
        <w:tab/>
      </w:r>
      <w:r>
        <w:t>54.</w:t>
      </w:r>
      <w:r>
        <w:rPr>
          <w:rFonts w:hint="eastAsia"/>
        </w:rPr>
        <w:t xml:space="preserve">  </w:t>
      </w:r>
      <w:r>
        <w:rPr>
          <w:rFonts w:hint="eastAsia"/>
        </w:rPr>
        <w:t>中华人民共和国中央人民政府在一九九七年十一月宣布，为了落实《联合声明》和《基本法》的规定，并考虑到中国尚未签署《公民权利和政治权利国际公约》和《经济、社会与文化权利的国际公约》，中央政府会参照该两条公约适用于香港的有</w:t>
      </w:r>
      <w:r>
        <w:rPr>
          <w:rFonts w:hint="eastAsia"/>
        </w:rPr>
        <w:t>关规定，向联合国转交有关香港特区的报告。由于中国已在二零零一年批准《经济、社会与文化权利的国际公约》，因此，有关香港特区根据该公约提交的报告会包括在中国所提交的报告</w:t>
      </w:r>
      <w:r>
        <w:rPr>
          <w:rFonts w:ascii="SimSun" w:hAnsi="SimSun" w:cs="SimSun" w:hint="eastAsia"/>
        </w:rPr>
        <w:t>内</w:t>
      </w:r>
      <w:r>
        <w:rPr>
          <w:rStyle w:val="FootnoteReference"/>
          <w:b/>
          <w:color w:val="003366"/>
          <w:spacing w:val="10"/>
        </w:rPr>
        <w:footnoteReference w:customMarkFollows="1" w:id="17"/>
        <w:t>12</w:t>
      </w:r>
      <w:r>
        <w:rPr>
          <w:rFonts w:hint="eastAsia"/>
        </w:rPr>
        <w:t>。至于香港特区政府参照《公民权利和政治权利国际公约》拟备有关香港特区的报告，则会经由中央政府转交联合国。</w:t>
      </w:r>
    </w:p>
    <w:p w:rsidR="00000000" w:rsidRDefault="00954A93">
      <w:pPr>
        <w:pStyle w:val="Heading2"/>
      </w:pPr>
      <w:r>
        <w:rPr>
          <w:rFonts w:hint="eastAsia"/>
          <w:u w:val="single"/>
        </w:rPr>
        <w:t>第</w:t>
      </w:r>
      <w:r>
        <w:rPr>
          <w:bCs/>
          <w:u w:val="single"/>
        </w:rPr>
        <w:t>II</w:t>
      </w:r>
      <w:r>
        <w:rPr>
          <w:rFonts w:hint="eastAsia"/>
          <w:u w:val="single"/>
        </w:rPr>
        <w:t>部</w:t>
      </w:r>
      <w:r>
        <w:rPr>
          <w:rFonts w:hint="eastAsia"/>
        </w:rPr>
        <w:t>：与公约第</w:t>
      </w:r>
      <w:r>
        <w:rPr>
          <w:bCs/>
        </w:rPr>
        <w:t>I</w:t>
      </w:r>
      <w:r>
        <w:rPr>
          <w:rFonts w:hint="eastAsia"/>
        </w:rPr>
        <w:t>部分各项条文有关的资料</w:t>
      </w:r>
    </w:p>
    <w:p w:rsidR="00000000" w:rsidRDefault="00954A93">
      <w:pPr>
        <w:pStyle w:val="Heading3"/>
        <w:rPr>
          <w:rFonts w:hint="eastAsia"/>
        </w:rPr>
      </w:pPr>
      <w:r>
        <w:rPr>
          <w:rFonts w:hint="eastAsia"/>
        </w:rPr>
        <w:t>第</w:t>
      </w:r>
      <w:r>
        <w:t>1</w:t>
      </w:r>
      <w:r>
        <w:rPr>
          <w:rFonts w:hint="eastAsia"/>
        </w:rPr>
        <w:t>条</w:t>
      </w:r>
      <w:r>
        <w:rPr>
          <w:rFonts w:hint="eastAsia"/>
          <w:u w:val="none"/>
        </w:rPr>
        <w:t>：“酷刑”的定义</w:t>
      </w:r>
    </w:p>
    <w:p w:rsidR="00000000" w:rsidRDefault="00954A93">
      <w:r>
        <w:rPr>
          <w:rFonts w:hint="eastAsia"/>
        </w:rPr>
        <w:tab/>
      </w:r>
      <w:r>
        <w:t>55.</w:t>
      </w:r>
      <w:r>
        <w:rPr>
          <w:rFonts w:hint="eastAsia"/>
        </w:rPr>
        <w:t xml:space="preserve">  </w:t>
      </w:r>
      <w:r>
        <w:rPr>
          <w:rFonts w:hint="eastAsia"/>
        </w:rPr>
        <w:t>有关情况与第一次报告第</w:t>
      </w:r>
      <w:r>
        <w:t>1</w:t>
      </w:r>
      <w:r>
        <w:rPr>
          <w:rFonts w:hint="eastAsia"/>
        </w:rPr>
        <w:t>至第</w:t>
      </w:r>
      <w:r>
        <w:t>6</w:t>
      </w:r>
      <w:r>
        <w:rPr>
          <w:rFonts w:hint="eastAsia"/>
        </w:rPr>
        <w:t>段所述的相同。在该次报告</w:t>
      </w:r>
      <w:r>
        <w:rPr>
          <w:rFonts w:ascii="SimSun" w:hAnsi="SimSun" w:cs="SimSun" w:hint="eastAsia"/>
        </w:rPr>
        <w:t>内</w:t>
      </w:r>
      <w:r>
        <w:rPr>
          <w:rFonts w:ascii="MS Mincho" w:hAnsi="MS Mincho" w:cs="MS Mincho" w:hint="eastAsia"/>
        </w:rPr>
        <w:t>，我们论及《刑事罪行</w:t>
      </w:r>
      <w:r>
        <w:t>(</w:t>
      </w:r>
      <w:r>
        <w:rPr>
          <w:rFonts w:hint="eastAsia"/>
        </w:rPr>
        <w:t>酷刑</w:t>
      </w:r>
      <w:r>
        <w:t>)</w:t>
      </w:r>
      <w:r>
        <w:rPr>
          <w:rFonts w:hint="eastAsia"/>
        </w:rPr>
        <w:t>条例》</w:t>
      </w:r>
      <w:r>
        <w:t>(</w:t>
      </w:r>
      <w:r>
        <w:rPr>
          <w:rFonts w:hint="eastAsia"/>
        </w:rPr>
        <w:t>第</w:t>
      </w:r>
      <w:r>
        <w:t>427</w:t>
      </w:r>
      <w:r>
        <w:rPr>
          <w:rFonts w:hint="eastAsia"/>
        </w:rPr>
        <w:t>章</w:t>
      </w:r>
      <w:r>
        <w:t>)(</w:t>
      </w:r>
      <w:r>
        <w:rPr>
          <w:rFonts w:hint="eastAsia"/>
        </w:rPr>
        <w:t>条例</w:t>
      </w:r>
      <w:r>
        <w:t>)</w:t>
      </w:r>
      <w:r>
        <w:rPr>
          <w:rFonts w:hint="eastAsia"/>
        </w:rPr>
        <w:t>第</w:t>
      </w:r>
      <w:r>
        <w:t>3</w:t>
      </w:r>
      <w:r>
        <w:rPr>
          <w:rFonts w:hint="eastAsia"/>
        </w:rPr>
        <w:t>条</w:t>
      </w:r>
      <w:r>
        <w:rPr>
          <w:rStyle w:val="FootnoteReference"/>
          <w:b/>
          <w:color w:val="003366"/>
        </w:rPr>
        <w:footnoteReference w:customMarkFollows="1" w:id="18"/>
        <w:t>13</w:t>
      </w:r>
      <w:r>
        <w:rPr>
          <w:rFonts w:hint="eastAsia"/>
        </w:rPr>
        <w:t>就“酷刑”所作的定义。</w:t>
      </w:r>
    </w:p>
    <w:p w:rsidR="00000000" w:rsidRDefault="00954A93">
      <w:pPr>
        <w:rPr>
          <w:rFonts w:hint="eastAsia"/>
        </w:rPr>
      </w:pPr>
      <w:r>
        <w:rPr>
          <w:rFonts w:hint="eastAsia"/>
        </w:rPr>
        <w:tab/>
      </w:r>
      <w:r>
        <w:t>56.</w:t>
      </w:r>
      <w:r>
        <w:rPr>
          <w:rFonts w:hint="eastAsia"/>
        </w:rPr>
        <w:t xml:space="preserve"> </w:t>
      </w:r>
      <w:r>
        <w:rPr>
          <w:rFonts w:hint="eastAsia"/>
        </w:rPr>
        <w:t xml:space="preserve"> </w:t>
      </w:r>
      <w:r>
        <w:rPr>
          <w:rFonts w:hint="eastAsia"/>
        </w:rPr>
        <w:t>在二零零零年五月发表的审议结论第</w:t>
      </w:r>
      <w:r>
        <w:t>33</w:t>
      </w:r>
      <w:r>
        <w:rPr>
          <w:rFonts w:hint="eastAsia"/>
        </w:rPr>
        <w:t>段，委员会表示关注“根据香港法例第</w:t>
      </w:r>
      <w:r>
        <w:t>427</w:t>
      </w:r>
      <w:r>
        <w:rPr>
          <w:rFonts w:hint="eastAsia"/>
        </w:rPr>
        <w:t>章《刑事罪行</w:t>
      </w:r>
      <w:r>
        <w:t>(</w:t>
      </w:r>
      <w:r>
        <w:rPr>
          <w:rFonts w:hint="eastAsia"/>
        </w:rPr>
        <w:t>酷刑</w:t>
      </w:r>
      <w:r>
        <w:t>)</w:t>
      </w:r>
      <w:r>
        <w:rPr>
          <w:rFonts w:hint="eastAsia"/>
        </w:rPr>
        <w:t>条例》被控触犯施行酷刑罪的人，可用‘合法权限、理由或解释’作为免责辩护，以及该条例对公务人员一词所下的定义，均并非完全符合公约第</w:t>
      </w:r>
      <w:r>
        <w:t>1</w:t>
      </w:r>
      <w:r>
        <w:rPr>
          <w:rFonts w:hint="eastAsia"/>
        </w:rPr>
        <w:t>条的规定”。此外，委员会在第</w:t>
      </w:r>
      <w:r>
        <w:t>37</w:t>
      </w:r>
      <w:r>
        <w:rPr>
          <w:rFonts w:hint="eastAsia"/>
        </w:rPr>
        <w:t>段建议，香港特区政府应“采取所需的</w:t>
      </w:r>
      <w:r>
        <w:rPr>
          <w:rFonts w:ascii="SimSun" w:hAnsi="SimSun" w:cs="SimSun" w:hint="eastAsia"/>
        </w:rPr>
        <w:t>步</w:t>
      </w:r>
      <w:r>
        <w:rPr>
          <w:rFonts w:ascii="MS Mincho" w:hAnsi="MS Mincho" w:cs="MS Mincho" w:hint="eastAsia"/>
        </w:rPr>
        <w:t>骤，以确保对施行酷刑</w:t>
      </w:r>
      <w:r>
        <w:t>(</w:t>
      </w:r>
      <w:r>
        <w:rPr>
          <w:rFonts w:hint="eastAsia"/>
        </w:rPr>
        <w:t>公约第</w:t>
      </w:r>
      <w:r>
        <w:t>1</w:t>
      </w:r>
      <w:r>
        <w:rPr>
          <w:rFonts w:hint="eastAsia"/>
        </w:rPr>
        <w:t>条所指</w:t>
      </w:r>
      <w:r>
        <w:t>)</w:t>
      </w:r>
      <w:r>
        <w:rPr>
          <w:rFonts w:hint="eastAsia"/>
        </w:rPr>
        <w:t>的人提出有效的起诉和予以适当制裁”。</w:t>
      </w:r>
    </w:p>
    <w:p w:rsidR="00000000" w:rsidRDefault="00954A93">
      <w:pPr>
        <w:rPr>
          <w:rFonts w:hint="eastAsia"/>
        </w:rPr>
      </w:pPr>
      <w:r>
        <w:rPr>
          <w:rFonts w:hint="eastAsia"/>
        </w:rPr>
        <w:tab/>
      </w:r>
      <w:r>
        <w:t>57.</w:t>
      </w:r>
      <w:r>
        <w:rPr>
          <w:rFonts w:hint="eastAsia"/>
        </w:rPr>
        <w:t xml:space="preserve">  </w:t>
      </w:r>
      <w:r>
        <w:rPr>
          <w:rFonts w:hint="eastAsia"/>
        </w:rPr>
        <w:t>有关情况与第一次报告第</w:t>
      </w:r>
      <w:r>
        <w:t>4</w:t>
      </w:r>
      <w:r>
        <w:rPr>
          <w:rFonts w:hint="eastAsia"/>
        </w:rPr>
        <w:t>至第</w:t>
      </w:r>
      <w:r>
        <w:t>6</w:t>
      </w:r>
      <w:r>
        <w:rPr>
          <w:rFonts w:hint="eastAsia"/>
        </w:rPr>
        <w:t>段所述的相同。在该等段落中，我们告知委员会条例第</w:t>
      </w:r>
      <w:r>
        <w:t>3(5)</w:t>
      </w:r>
      <w:r>
        <w:rPr>
          <w:rFonts w:hint="eastAsia"/>
        </w:rPr>
        <w:t>条就“合法权限、理由或解释”所作的诠释：</w:t>
      </w:r>
    </w:p>
    <w:p w:rsidR="00000000" w:rsidRDefault="00954A93">
      <w:pPr>
        <w:tabs>
          <w:tab w:val="left" w:pos="480"/>
          <w:tab w:val="left" w:pos="1701"/>
        </w:tabs>
        <w:ind w:left="1560" w:hanging="1080"/>
      </w:pPr>
      <w:r>
        <w:t xml:space="preserve">  </w:t>
      </w:r>
      <w:r>
        <w:rPr>
          <w:rFonts w:hint="eastAsia"/>
        </w:rPr>
        <w:t>“</w:t>
      </w:r>
      <w:r>
        <w:t>(a)</w:t>
      </w:r>
      <w:r>
        <w:tab/>
      </w:r>
      <w:r>
        <w:rPr>
          <w:rFonts w:hint="eastAsia"/>
        </w:rPr>
        <w:t>如是关于在香港使他人受到疼痛或痛苦的，指香港法律下的合法权限、理由或解释；</w:t>
      </w:r>
    </w:p>
    <w:p w:rsidR="00000000" w:rsidRDefault="00954A93">
      <w:pPr>
        <w:ind w:left="1020"/>
      </w:pPr>
      <w:r>
        <w:t>(b)</w:t>
      </w:r>
      <w:r>
        <w:tab/>
      </w:r>
      <w:r>
        <w:rPr>
          <w:rFonts w:hint="eastAsia"/>
        </w:rPr>
        <w:t>如是关于在香港以外地方使他人受到疼痛或痛苦的：</w:t>
      </w:r>
    </w:p>
    <w:p w:rsidR="00000000" w:rsidRDefault="00954A93">
      <w:pPr>
        <w:pStyle w:val="ac"/>
        <w:ind w:left="2040"/>
      </w:pPr>
      <w:r>
        <w:t>(i)</w:t>
      </w:r>
      <w:r>
        <w:rPr>
          <w:rFonts w:hint="eastAsia"/>
        </w:rPr>
        <w:tab/>
      </w:r>
      <w:r>
        <w:rPr>
          <w:rFonts w:hint="eastAsia"/>
        </w:rPr>
        <w:t>而疼痛或痛苦是由公务人员根据香港法律行事时所造成，或由任何人根据香港法律以公职身分行事时所造成，则指香港法律下的合法权限、理由或解释；</w:t>
      </w:r>
    </w:p>
    <w:p w:rsidR="00000000" w:rsidRDefault="00954A93">
      <w:pPr>
        <w:pStyle w:val="ac"/>
        <w:ind w:left="2040"/>
        <w:rPr>
          <w:rFonts w:hint="eastAsia"/>
        </w:rPr>
      </w:pPr>
      <w:r>
        <w:t>(ii)</w:t>
      </w:r>
      <w:r>
        <w:tab/>
      </w:r>
      <w:r>
        <w:rPr>
          <w:rFonts w:hint="eastAsia"/>
        </w:rPr>
        <w:t>在其他情况下，则指在使他人受到疼痛或痛苦事件发生的地方的法律下的合法权限、理由或解释。</w:t>
      </w:r>
    </w:p>
    <w:p w:rsidR="00000000" w:rsidRDefault="00954A93">
      <w:pPr>
        <w:rPr>
          <w:rFonts w:hint="eastAsia"/>
        </w:rPr>
      </w:pPr>
      <w:r>
        <w:rPr>
          <w:rFonts w:hint="eastAsia"/>
        </w:rPr>
        <w:tab/>
      </w:r>
      <w:r>
        <w:t>58.</w:t>
      </w:r>
      <w:r>
        <w:rPr>
          <w:rFonts w:hint="eastAsia"/>
        </w:rPr>
        <w:t xml:space="preserve">  </w:t>
      </w:r>
      <w:r>
        <w:rPr>
          <w:rFonts w:hint="eastAsia"/>
        </w:rPr>
        <w:t>我们继而论及本港人士关注到免责辩护的条文有否抵触公约第</w:t>
      </w:r>
      <w:r>
        <w:t>1.1</w:t>
      </w:r>
      <w:r>
        <w:rPr>
          <w:rFonts w:hint="eastAsia"/>
        </w:rPr>
        <w:t>条。我们认为两者没有抵触，因为这些条文旨在涵盖公约第</w:t>
      </w:r>
      <w:r>
        <w:t>1.1</w:t>
      </w:r>
      <w:r>
        <w:rPr>
          <w:rFonts w:hint="eastAsia"/>
        </w:rPr>
        <w:t>条第二句条文的规定</w:t>
      </w:r>
    </w:p>
    <w:p w:rsidR="00000000" w:rsidRDefault="00954A93">
      <w:pPr>
        <w:pStyle w:val="ad"/>
        <w:rPr>
          <w:rFonts w:hint="eastAsia"/>
        </w:rPr>
      </w:pPr>
      <w:r>
        <w:rPr>
          <w:rFonts w:hint="eastAsia"/>
        </w:rPr>
        <w:t>“纯因法律制裁而引起或法律制裁所固有或附带的疼痛或痛苦不包括在</w:t>
      </w:r>
      <w:r>
        <w:rPr>
          <w:rFonts w:ascii="SimSun" w:hAnsi="SimSun" w:cs="SimSun" w:hint="eastAsia"/>
        </w:rPr>
        <w:t>内</w:t>
      </w:r>
      <w:r>
        <w:rPr>
          <w:rFonts w:ascii="MS Mincho" w:hAnsi="MS Mincho" w:cs="MS Mincho" w:hint="eastAsia"/>
        </w:rPr>
        <w:t>”。</w:t>
      </w:r>
    </w:p>
    <w:p w:rsidR="00000000" w:rsidRDefault="00954A93">
      <w:pPr>
        <w:tabs>
          <w:tab w:val="left" w:pos="1080"/>
          <w:tab w:val="left" w:pos="1701"/>
        </w:tabs>
        <w:rPr>
          <w:rFonts w:hint="eastAsia"/>
        </w:rPr>
      </w:pPr>
      <w:r>
        <w:rPr>
          <w:rFonts w:hint="eastAsia"/>
        </w:rPr>
        <w:t>有关免责辩护的条文旨在涵盖合理使用武力以制止凶暴囚犯的行为，其用意并不是准许任何人作出本质上等同公约第</w:t>
      </w:r>
      <w:r>
        <w:t>1.1</w:t>
      </w:r>
      <w:r>
        <w:rPr>
          <w:rFonts w:hint="eastAsia"/>
        </w:rPr>
        <w:t>条所界定的酷刑行为</w:t>
      </w:r>
      <w:r>
        <w:rPr>
          <w:rStyle w:val="FootnoteReference"/>
          <w:b/>
          <w:color w:val="003366"/>
        </w:rPr>
        <w:footnoteReference w:customMarkFollows="1" w:id="19"/>
        <w:t>14,</w:t>
      </w:r>
      <w:r>
        <w:rPr>
          <w:rFonts w:hint="eastAsia"/>
          <w:vertAlign w:val="superscript"/>
        </w:rPr>
        <w:t xml:space="preserve"> </w:t>
      </w:r>
      <w:r>
        <w:rPr>
          <w:rFonts w:hint="eastAsia"/>
        </w:rPr>
        <w:t>法院也不会被要求作出这样的诠释。</w:t>
      </w:r>
    </w:p>
    <w:p w:rsidR="00000000" w:rsidRDefault="00954A93">
      <w:pPr>
        <w:rPr>
          <w:rFonts w:hint="eastAsia"/>
        </w:rPr>
      </w:pPr>
      <w:r>
        <w:rPr>
          <w:rFonts w:hint="eastAsia"/>
        </w:rPr>
        <w:tab/>
      </w:r>
      <w:r>
        <w:t>59.</w:t>
      </w:r>
      <w:r>
        <w:rPr>
          <w:rFonts w:hint="eastAsia"/>
        </w:rPr>
        <w:t xml:space="preserve">  </w:t>
      </w:r>
      <w:r>
        <w:rPr>
          <w:rFonts w:hint="eastAsia"/>
        </w:rPr>
        <w:t>我们的情况并无改变，就委员会所提出的意见，我们不明白为何这条基本上与公约第</w:t>
      </w:r>
      <w:r>
        <w:t>1.1</w:t>
      </w:r>
      <w:r>
        <w:rPr>
          <w:rFonts w:hint="eastAsia"/>
        </w:rPr>
        <w:t>条</w:t>
      </w:r>
      <w:r>
        <w:rPr>
          <w:rFonts w:ascii="SimSun" w:hAnsi="SimSun" w:cs="SimSun" w:hint="eastAsia"/>
        </w:rPr>
        <w:t>内</w:t>
      </w:r>
      <w:r>
        <w:rPr>
          <w:rFonts w:ascii="MS Mincho" w:hAnsi="MS Mincho" w:cs="MS Mincho" w:hint="eastAsia"/>
        </w:rPr>
        <w:t>容一致的条文会被视为与公约不相符。非政府机构及其他论者尝试指出所谓不足之处，但他们的反对意见没有理据</w:t>
      </w:r>
      <w:r>
        <w:rPr>
          <w:rStyle w:val="FootnoteReference"/>
          <w:rFonts w:cs="MS Mincho"/>
          <w:b/>
          <w:color w:val="003366"/>
        </w:rPr>
        <w:footnoteReference w:customMarkFollows="1" w:id="20"/>
        <w:t>15</w:t>
      </w:r>
      <w:r>
        <w:rPr>
          <w:rFonts w:cs="MS Mincho" w:hint="eastAsia"/>
        </w:rPr>
        <w:t xml:space="preserve"> </w:t>
      </w:r>
      <w:r>
        <w:rPr>
          <w:rFonts w:hint="eastAsia"/>
        </w:rPr>
        <w:t>支持。虽则如此，我们已妥为注意委员会所关注的事</w:t>
      </w:r>
      <w:r>
        <w:rPr>
          <w:rFonts w:hint="eastAsia"/>
        </w:rPr>
        <w:t>项，并会继续与本港论者进行讨论。对于讨论的结果，我们也会抱持开放态度。</w:t>
      </w:r>
    </w:p>
    <w:p w:rsidR="00000000" w:rsidRDefault="00954A93">
      <w:pPr>
        <w:rPr>
          <w:rFonts w:hint="eastAsia"/>
        </w:rPr>
      </w:pPr>
      <w:r>
        <w:rPr>
          <w:rFonts w:hint="eastAsia"/>
        </w:rPr>
        <w:tab/>
      </w:r>
      <w:r>
        <w:t>60.</w:t>
      </w:r>
      <w:r>
        <w:rPr>
          <w:rFonts w:hint="eastAsia"/>
        </w:rPr>
        <w:t xml:space="preserve">  </w:t>
      </w:r>
      <w:r>
        <w:rPr>
          <w:rFonts w:hint="eastAsia"/>
        </w:rPr>
        <w:t>根据《刑事罪行</w:t>
      </w:r>
      <w:r>
        <w:t>(</w:t>
      </w:r>
      <w:r>
        <w:rPr>
          <w:rFonts w:hint="eastAsia"/>
        </w:rPr>
        <w:t>酷刑</w:t>
      </w:r>
      <w:r>
        <w:t>)</w:t>
      </w:r>
      <w:r>
        <w:rPr>
          <w:rFonts w:hint="eastAsia"/>
        </w:rPr>
        <w:t>条例》第</w:t>
      </w:r>
      <w:r>
        <w:t>2(1)</w:t>
      </w:r>
      <w:r>
        <w:rPr>
          <w:rFonts w:hint="eastAsia"/>
        </w:rPr>
        <w:t>条，“公务人员”的定义包括“在香港担任附表所列职位的人”。附表所列的职位如下：</w:t>
      </w:r>
    </w:p>
    <w:p w:rsidR="00000000" w:rsidRDefault="00954A93">
      <w:pPr>
        <w:ind w:left="1020" w:hanging="240"/>
        <w:rPr>
          <w:rFonts w:hint="eastAsia"/>
        </w:rPr>
      </w:pPr>
      <w:r>
        <w:rPr>
          <w:rFonts w:hint="eastAsia"/>
        </w:rPr>
        <w:t>“</w:t>
      </w:r>
      <w:r>
        <w:t>1.</w:t>
      </w:r>
      <w:r>
        <w:tab/>
      </w:r>
      <w:r>
        <w:rPr>
          <w:rFonts w:hint="eastAsia"/>
        </w:rPr>
        <w:t>香港警务处的职位。</w:t>
      </w:r>
      <w:r>
        <w:t>(</w:t>
      </w:r>
      <w:r>
        <w:rPr>
          <w:rFonts w:hint="eastAsia"/>
        </w:rPr>
        <w:t>由</w:t>
      </w:r>
      <w:r>
        <w:t>1997</w:t>
      </w:r>
      <w:r>
        <w:rPr>
          <w:rFonts w:hint="eastAsia"/>
        </w:rPr>
        <w:t>年第</w:t>
      </w:r>
      <w:r>
        <w:t>362</w:t>
      </w:r>
      <w:r>
        <w:rPr>
          <w:rFonts w:hint="eastAsia"/>
        </w:rPr>
        <w:t>号法律公告修订</w:t>
      </w:r>
      <w:r>
        <w:t>)</w:t>
      </w:r>
    </w:p>
    <w:p w:rsidR="00000000" w:rsidRDefault="00954A93">
      <w:pPr>
        <w:ind w:left="1020"/>
        <w:rPr>
          <w:rFonts w:hint="eastAsia"/>
        </w:rPr>
      </w:pPr>
      <w:r>
        <w:t>2.</w:t>
      </w:r>
      <w:r>
        <w:tab/>
      </w:r>
      <w:r>
        <w:rPr>
          <w:rFonts w:hint="eastAsia"/>
        </w:rPr>
        <w:t>香港海关的职位。</w:t>
      </w:r>
    </w:p>
    <w:p w:rsidR="00000000" w:rsidRDefault="00954A93">
      <w:pPr>
        <w:ind w:left="1020"/>
        <w:rPr>
          <w:rFonts w:hint="eastAsia"/>
        </w:rPr>
      </w:pPr>
      <w:r>
        <w:t>3.</w:t>
      </w:r>
      <w:r>
        <w:tab/>
      </w:r>
      <w:r>
        <w:rPr>
          <w:rFonts w:hint="eastAsia"/>
        </w:rPr>
        <w:t>惩教署的职位。</w:t>
      </w:r>
    </w:p>
    <w:p w:rsidR="00000000" w:rsidRDefault="00954A93">
      <w:pPr>
        <w:ind w:left="1020"/>
        <w:rPr>
          <w:rFonts w:hint="eastAsia"/>
        </w:rPr>
      </w:pPr>
      <w:r>
        <w:t>4.</w:t>
      </w:r>
      <w:r>
        <w:tab/>
      </w:r>
      <w:r>
        <w:rPr>
          <w:rFonts w:hint="eastAsia"/>
        </w:rPr>
        <w:t>廉政公署的职位。</w:t>
      </w:r>
    </w:p>
    <w:p w:rsidR="00000000" w:rsidRDefault="00954A93">
      <w:pPr>
        <w:ind w:left="1020"/>
        <w:rPr>
          <w:rFonts w:hint="eastAsia"/>
        </w:rPr>
      </w:pPr>
      <w:r>
        <w:t>5.</w:t>
      </w:r>
      <w:r>
        <w:tab/>
      </w:r>
      <w:r>
        <w:rPr>
          <w:rFonts w:hint="eastAsia"/>
        </w:rPr>
        <w:t>入境事务处的职位。”</w:t>
      </w:r>
    </w:p>
    <w:p w:rsidR="00000000" w:rsidRDefault="00954A93">
      <w:pPr>
        <w:tabs>
          <w:tab w:val="left" w:pos="1080"/>
          <w:tab w:val="left" w:pos="1701"/>
        </w:tabs>
        <w:rPr>
          <w:rFonts w:hint="eastAsia"/>
        </w:rPr>
      </w:pPr>
      <w:r>
        <w:rPr>
          <w:rFonts w:hint="eastAsia"/>
        </w:rPr>
        <w:t>但《释义及通则条例》</w:t>
      </w:r>
      <w:r>
        <w:t>(</w:t>
      </w:r>
      <w:r>
        <w:rPr>
          <w:rFonts w:hint="eastAsia"/>
        </w:rPr>
        <w:t>第</w:t>
      </w:r>
      <w:r>
        <w:t>1</w:t>
      </w:r>
      <w:r>
        <w:rPr>
          <w:rFonts w:hint="eastAsia"/>
        </w:rPr>
        <w:t>章</w:t>
      </w:r>
      <w:r>
        <w:t>)</w:t>
      </w:r>
      <w:r>
        <w:rPr>
          <w:rFonts w:hint="eastAsia"/>
        </w:rPr>
        <w:t>第</w:t>
      </w:r>
      <w:r>
        <w:t>3</w:t>
      </w:r>
      <w:r>
        <w:rPr>
          <w:rFonts w:hint="eastAsia"/>
        </w:rPr>
        <w:t>条所载“公职人员”一词的定义包括：</w:t>
      </w:r>
    </w:p>
    <w:p w:rsidR="00000000" w:rsidRDefault="00954A93">
      <w:pPr>
        <w:ind w:left="1020"/>
        <w:rPr>
          <w:rFonts w:hint="eastAsia"/>
        </w:rPr>
      </w:pPr>
      <w:r>
        <w:rPr>
          <w:rFonts w:hint="eastAsia"/>
        </w:rPr>
        <w:t>“</w:t>
      </w:r>
      <w:r>
        <w:t>...</w:t>
      </w:r>
      <w:r>
        <w:rPr>
          <w:rFonts w:hint="eastAsia"/>
        </w:rPr>
        <w:t>任何在特区政府担任受薪职位的人，不论该职位属长设或临时性质”。</w:t>
      </w:r>
    </w:p>
    <w:p w:rsidR="00000000" w:rsidRDefault="00954A93">
      <w:pPr>
        <w:rPr>
          <w:rFonts w:hint="eastAsia"/>
        </w:rPr>
      </w:pPr>
      <w:r>
        <w:rPr>
          <w:rFonts w:hint="eastAsia"/>
        </w:rPr>
        <w:t>实际</w:t>
      </w:r>
      <w:r>
        <w:rPr>
          <w:rFonts w:hint="eastAsia"/>
        </w:rPr>
        <w:t>上，“公职人员”包括所有政府人员，涵盖范围较“公务人员”为广。论者询问为何《刑事罪行</w:t>
      </w:r>
      <w:r>
        <w:t>(</w:t>
      </w:r>
      <w:r>
        <w:rPr>
          <w:rFonts w:hint="eastAsia"/>
        </w:rPr>
        <w:t>酷刑</w:t>
      </w:r>
      <w:r>
        <w:t>)</w:t>
      </w:r>
      <w:r>
        <w:rPr>
          <w:rFonts w:hint="eastAsia"/>
        </w:rPr>
        <w:t>条例》不使用包容性较广的“公职人员”一词。</w:t>
      </w:r>
    </w:p>
    <w:p w:rsidR="00000000" w:rsidRDefault="00954A93">
      <w:pPr>
        <w:spacing w:after="240"/>
        <w:rPr>
          <w:rFonts w:hint="eastAsia"/>
        </w:rPr>
      </w:pPr>
      <w:r>
        <w:rPr>
          <w:rFonts w:hint="eastAsia"/>
        </w:rPr>
        <w:tab/>
      </w:r>
      <w:r>
        <w:t>61.</w:t>
      </w:r>
      <w:r>
        <w:rPr>
          <w:rFonts w:hint="eastAsia"/>
        </w:rPr>
        <w:t xml:space="preserve">  </w:t>
      </w:r>
      <w:r>
        <w:rPr>
          <w:rFonts w:hint="eastAsia"/>
        </w:rPr>
        <w:t>条例的目的是要涵盖某些人员，他们通常参与扣留或处理遭到任何形式的逮捕、扣押或监禁的人。因此，一些不大可能在执勤时触犯</w:t>
      </w:r>
      <w:r>
        <w:t>(</w:t>
      </w:r>
      <w:r>
        <w:rPr>
          <w:rFonts w:hint="eastAsia"/>
        </w:rPr>
        <w:t>根据公约第</w:t>
      </w:r>
      <w:r>
        <w:t>1</w:t>
      </w:r>
      <w:r>
        <w:rPr>
          <w:rFonts w:hint="eastAsia"/>
        </w:rPr>
        <w:t>条界定的</w:t>
      </w:r>
      <w:r>
        <w:t>)</w:t>
      </w:r>
      <w:r>
        <w:rPr>
          <w:rFonts w:hint="eastAsia"/>
        </w:rPr>
        <w:t>施行酷刑罪的人员，例如：文员、泳池服务员、园林建筑师等，无须包括在</w:t>
      </w:r>
      <w:r>
        <w:rPr>
          <w:rFonts w:ascii="SimSun" w:hAnsi="SimSun" w:cs="SimSun" w:hint="eastAsia"/>
        </w:rPr>
        <w:t>内</w:t>
      </w:r>
      <w:r>
        <w:rPr>
          <w:rFonts w:ascii="MS Mincho" w:hAnsi="MS Mincho" w:cs="MS Mincho" w:hint="eastAsia"/>
        </w:rPr>
        <w:t>。虽则如此，条例第</w:t>
      </w:r>
      <w:r>
        <w:t>2(1)</w:t>
      </w:r>
      <w:r>
        <w:rPr>
          <w:rFonts w:hint="eastAsia"/>
        </w:rPr>
        <w:t>条就“公务人员”的定义作表述时采用了“包括”的字眼；因此，法院可因应个别情况，把其他人士</w:t>
      </w:r>
      <w:r>
        <w:t>(</w:t>
      </w:r>
      <w:r>
        <w:rPr>
          <w:rFonts w:hint="eastAsia"/>
        </w:rPr>
        <w:t>例如政府精神科病院的护士</w:t>
      </w:r>
      <w:r>
        <w:t>)</w:t>
      </w:r>
      <w:r>
        <w:rPr>
          <w:rFonts w:hint="eastAsia"/>
        </w:rPr>
        <w:t>也纳为“公务人</w:t>
      </w:r>
      <w:r>
        <w:rPr>
          <w:rFonts w:hint="eastAsia"/>
        </w:rPr>
        <w:t>员”或“以公职身分行事的人”。</w:t>
      </w:r>
    </w:p>
    <w:p w:rsidR="00000000" w:rsidRDefault="00954A93">
      <w:pPr>
        <w:pStyle w:val="Heading3"/>
        <w:rPr>
          <w:rFonts w:hint="eastAsia"/>
        </w:rPr>
      </w:pPr>
      <w:r>
        <w:rPr>
          <w:rFonts w:hint="eastAsia"/>
        </w:rPr>
        <w:t>第</w:t>
      </w:r>
      <w:r>
        <w:rPr>
          <w:b/>
        </w:rPr>
        <w:t>2</w:t>
      </w:r>
      <w:r>
        <w:rPr>
          <w:rFonts w:hint="eastAsia"/>
        </w:rPr>
        <w:t>条</w:t>
      </w:r>
      <w:r>
        <w:rPr>
          <w:rFonts w:hint="eastAsia"/>
          <w:u w:val="none"/>
        </w:rPr>
        <w:t>：防止酷刑行为的立法、行政、司法或其他措施</w:t>
      </w:r>
    </w:p>
    <w:p w:rsidR="00000000" w:rsidRDefault="00954A93">
      <w:pPr>
        <w:spacing w:after="240"/>
        <w:rPr>
          <w:rFonts w:hint="eastAsia"/>
        </w:rPr>
      </w:pPr>
      <w:r>
        <w:rPr>
          <w:rFonts w:hint="eastAsia"/>
        </w:rPr>
        <w:tab/>
      </w:r>
      <w:r>
        <w:t>62.</w:t>
      </w:r>
      <w:r>
        <w:rPr>
          <w:rFonts w:hint="eastAsia"/>
        </w:rPr>
        <w:t xml:space="preserve">  </w:t>
      </w:r>
      <w:r>
        <w:rPr>
          <w:rFonts w:hint="eastAsia"/>
        </w:rPr>
        <w:t>目前情况与第一次报告第</w:t>
      </w:r>
      <w:r>
        <w:t>7</w:t>
      </w:r>
      <w:r>
        <w:rPr>
          <w:rFonts w:hint="eastAsia"/>
        </w:rPr>
        <w:t>至第</w:t>
      </w:r>
      <w:r>
        <w:t>18</w:t>
      </w:r>
      <w:r>
        <w:rPr>
          <w:rFonts w:hint="eastAsia"/>
        </w:rPr>
        <w:t>段所述的大致相同。自提交上次报告后，一直再没有属于《刑事罪行</w:t>
      </w:r>
      <w:r>
        <w:t>(</w:t>
      </w:r>
      <w:r>
        <w:rPr>
          <w:rFonts w:hint="eastAsia"/>
        </w:rPr>
        <w:t>酷刑</w:t>
      </w:r>
      <w:r>
        <w:t>)</w:t>
      </w:r>
      <w:r>
        <w:rPr>
          <w:rFonts w:hint="eastAsia"/>
        </w:rPr>
        <w:t>条例》所指酷刑的报告，但却有一些相关的发展，详情如下。</w:t>
      </w:r>
    </w:p>
    <w:p w:rsidR="00000000" w:rsidRDefault="00954A93">
      <w:pPr>
        <w:pStyle w:val="Heading4"/>
        <w:rPr>
          <w:rFonts w:hint="eastAsia"/>
        </w:rPr>
      </w:pPr>
      <w:r>
        <w:rPr>
          <w:rFonts w:hint="eastAsia"/>
        </w:rPr>
        <w:t>指称施行酷刑的事例</w:t>
      </w:r>
    </w:p>
    <w:p w:rsidR="00000000" w:rsidRDefault="00954A93">
      <w:pPr>
        <w:rPr>
          <w:rFonts w:hint="eastAsia"/>
        </w:rPr>
      </w:pPr>
      <w:r>
        <w:rPr>
          <w:rFonts w:hint="eastAsia"/>
        </w:rPr>
        <w:tab/>
      </w:r>
      <w:r>
        <w:t>63.</w:t>
      </w:r>
      <w:r>
        <w:rPr>
          <w:rFonts w:hint="eastAsia"/>
        </w:rPr>
        <w:t xml:space="preserve">  </w:t>
      </w:r>
      <w:r>
        <w:rPr>
          <w:rFonts w:hint="eastAsia"/>
        </w:rPr>
        <w:t>在二零零零年发表的审议结论第</w:t>
      </w:r>
      <w:r>
        <w:t>34</w:t>
      </w:r>
      <w:r>
        <w:rPr>
          <w:rFonts w:hint="eastAsia"/>
        </w:rPr>
        <w:t>段中，委员会关注到</w:t>
      </w:r>
      <w:r>
        <w:rPr>
          <w:rFonts w:hint="eastAsia"/>
        </w:rPr>
        <w:t>::</w:t>
      </w:r>
    </w:p>
    <w:p w:rsidR="00000000" w:rsidRDefault="00954A93">
      <w:pPr>
        <w:pStyle w:val="ad"/>
        <w:rPr>
          <w:rFonts w:hint="eastAsia"/>
        </w:rPr>
      </w:pPr>
      <w:r>
        <w:rPr>
          <w:rFonts w:hint="eastAsia"/>
        </w:rPr>
        <w:t>“香港特区政府从未引用过《刑事罪行</w:t>
      </w:r>
      <w:r>
        <w:t>(</w:t>
      </w:r>
      <w:r>
        <w:rPr>
          <w:rFonts w:hint="eastAsia"/>
        </w:rPr>
        <w:t>酷刑</w:t>
      </w:r>
      <w:r>
        <w:t>)</w:t>
      </w:r>
      <w:r>
        <w:rPr>
          <w:rFonts w:hint="eastAsia"/>
        </w:rPr>
        <w:t>条例》去起诉任何人。但委员会察悉，在某些情况下其实是有足</w:t>
      </w:r>
      <w:r>
        <w:rPr>
          <w:rFonts w:ascii="SimSun" w:hAnsi="SimSun" w:cs="SimSun" w:hint="eastAsia"/>
        </w:rPr>
        <w:t>够</w:t>
      </w:r>
      <w:r>
        <w:rPr>
          <w:rFonts w:ascii="MS Mincho" w:hAnsi="MS Mincho" w:cs="MS Mincho" w:hint="eastAsia"/>
        </w:rPr>
        <w:t>理由去提出起诉的。”</w:t>
      </w:r>
    </w:p>
    <w:p w:rsidR="00000000" w:rsidRDefault="00954A93">
      <w:pPr>
        <w:rPr>
          <w:rFonts w:hint="eastAsia"/>
        </w:rPr>
      </w:pPr>
      <w:r>
        <w:rPr>
          <w:rFonts w:hint="eastAsia"/>
        </w:rPr>
        <w:t>就政府从未提出起诉，我们已加以解释。酷刑是一种非常严</w:t>
      </w:r>
      <w:r>
        <w:rPr>
          <w:rFonts w:hint="eastAsia"/>
        </w:rPr>
        <w:t>重的罪行，最高刑罚为终身监禁；因此，要界定某人员在执行公务时的行为是否属于施行酷刑，必须有证据显示他曾蓄意使他人受到剧烈痛楚及痛苦。直至现在，从没有证据显示任何个案符合这个准则。此外，正如上文所述，自一九九八年起，已再没有被指为施行酷刑的个案</w:t>
      </w:r>
      <w:r>
        <w:t>(</w:t>
      </w:r>
      <w:r>
        <w:rPr>
          <w:rFonts w:hint="eastAsia"/>
        </w:rPr>
        <w:t>见第一次报告第</w:t>
      </w:r>
      <w:r>
        <w:t>14</w:t>
      </w:r>
      <w:r>
        <w:rPr>
          <w:rFonts w:hint="eastAsia"/>
        </w:rPr>
        <w:t>至第</w:t>
      </w:r>
      <w:r>
        <w:t>16</w:t>
      </w:r>
      <w:r>
        <w:rPr>
          <w:rFonts w:hint="eastAsia"/>
        </w:rPr>
        <w:t>段</w:t>
      </w:r>
      <w:r>
        <w:t>)</w:t>
      </w:r>
      <w:r>
        <w:rPr>
          <w:rFonts w:hint="eastAsia"/>
        </w:rPr>
        <w:t>。</w:t>
      </w:r>
    </w:p>
    <w:p w:rsidR="00000000" w:rsidRDefault="00954A93">
      <w:pPr>
        <w:spacing w:after="240"/>
        <w:rPr>
          <w:rFonts w:hint="eastAsia"/>
        </w:rPr>
      </w:pPr>
      <w:r>
        <w:rPr>
          <w:rFonts w:hint="eastAsia"/>
        </w:rPr>
        <w:tab/>
      </w:r>
      <w:r>
        <w:t>64.</w:t>
      </w:r>
      <w:r>
        <w:rPr>
          <w:rFonts w:hint="eastAsia"/>
        </w:rPr>
        <w:t xml:space="preserve">  </w:t>
      </w:r>
      <w:r>
        <w:rPr>
          <w:rFonts w:hint="eastAsia"/>
        </w:rPr>
        <w:t>政府不会纵容或容忍警务人员使用过分的武力。事实上，所有警务人员通过训练了解到要合乎人道地对待</w:t>
      </w:r>
      <w:r>
        <w:rPr>
          <w:rFonts w:ascii="SimSun" w:hAnsi="SimSun" w:cs="SimSun" w:hint="eastAsia"/>
        </w:rPr>
        <w:t>每</w:t>
      </w:r>
      <w:r>
        <w:rPr>
          <w:rFonts w:ascii="MS Mincho" w:hAnsi="MS Mincho" w:cs="MS Mincho" w:hint="eastAsia"/>
        </w:rPr>
        <w:t>一个</w:t>
      </w:r>
      <w:r>
        <w:rPr>
          <w:rFonts w:hint="eastAsia"/>
        </w:rPr>
        <w:t>人和给予应有的尊重，包括被羁留和拘捕的人士，并须时刻依法行事。警务人员如没有遵守这些规定，可视乎情况受到纪律处分及</w:t>
      </w:r>
      <w:r>
        <w:rPr>
          <w:rFonts w:hint="eastAsia"/>
        </w:rPr>
        <w:t>/</w:t>
      </w:r>
      <w:r>
        <w:rPr>
          <w:rFonts w:hint="eastAsia"/>
        </w:rPr>
        <w:t>或提出刑</w:t>
      </w:r>
      <w:r>
        <w:rPr>
          <w:rFonts w:hint="eastAsia"/>
        </w:rPr>
        <w:t>事起诉。</w:t>
      </w:r>
    </w:p>
    <w:p w:rsidR="00000000" w:rsidRDefault="00954A93">
      <w:pPr>
        <w:pStyle w:val="Heading3"/>
        <w:rPr>
          <w:rFonts w:hint="eastAsia"/>
        </w:rPr>
      </w:pPr>
      <w:r>
        <w:rPr>
          <w:rFonts w:hint="eastAsia"/>
        </w:rPr>
        <w:t>第</w:t>
      </w:r>
      <w:r>
        <w:rPr>
          <w:b/>
        </w:rPr>
        <w:t>3</w:t>
      </w:r>
      <w:r>
        <w:rPr>
          <w:rFonts w:hint="eastAsia"/>
        </w:rPr>
        <w:t>条</w:t>
      </w:r>
      <w:r>
        <w:rPr>
          <w:rFonts w:hint="eastAsia"/>
          <w:u w:val="none"/>
        </w:rPr>
        <w:t>：以酷刑为理由而拒</w:t>
      </w:r>
      <w:r>
        <w:rPr>
          <w:rFonts w:cs="SimSun" w:hint="eastAsia"/>
          <w:u w:val="none"/>
        </w:rPr>
        <w:t>绝</w:t>
      </w:r>
      <w:r>
        <w:rPr>
          <w:rFonts w:cs="MS Mincho" w:hint="eastAsia"/>
          <w:u w:val="none"/>
        </w:rPr>
        <w:t>驱逐、遣返或引渡</w:t>
      </w:r>
    </w:p>
    <w:p w:rsidR="00000000" w:rsidRDefault="00954A93">
      <w:pPr>
        <w:rPr>
          <w:rFonts w:hint="eastAsia"/>
        </w:rPr>
      </w:pPr>
      <w:r>
        <w:rPr>
          <w:rFonts w:hint="eastAsia"/>
        </w:rPr>
        <w:tab/>
      </w:r>
      <w:r>
        <w:t>65.</w:t>
      </w:r>
      <w:r>
        <w:rPr>
          <w:rFonts w:hint="eastAsia"/>
        </w:rPr>
        <w:t xml:space="preserve">  </w:t>
      </w:r>
      <w:r>
        <w:rPr>
          <w:rFonts w:hint="eastAsia"/>
        </w:rPr>
        <w:t>在二零零零年的审议结论第</w:t>
      </w:r>
      <w:r>
        <w:t>36</w:t>
      </w:r>
      <w:r>
        <w:rPr>
          <w:rFonts w:hint="eastAsia"/>
        </w:rPr>
        <w:t>段，委员会察悉并关注到“香港特区政府处理难民的做法，未必完全符合公约第</w:t>
      </w:r>
      <w:r>
        <w:t>3</w:t>
      </w:r>
      <w:r>
        <w:rPr>
          <w:rFonts w:hint="eastAsia"/>
        </w:rPr>
        <w:t>条的规定”。在第</w:t>
      </w:r>
      <w:r>
        <w:t>40</w:t>
      </w:r>
      <w:r>
        <w:rPr>
          <w:rFonts w:hint="eastAsia"/>
        </w:rPr>
        <w:t>段，委员会建议“香港特区政府使处理难民问题的法律与做法完全符合公约第</w:t>
      </w:r>
      <w:r>
        <w:t>3</w:t>
      </w:r>
      <w:r>
        <w:rPr>
          <w:rFonts w:hint="eastAsia"/>
        </w:rPr>
        <w:t>条的规定”。我们当时感到大惑不解，因为有关情况未经审议会讨论，而审议结论也没有明确指出何处有所不足。其后，法院审理了数宗与公约第</w:t>
      </w:r>
      <w:r>
        <w:t>3.1</w:t>
      </w:r>
      <w:r>
        <w:rPr>
          <w:rFonts w:hint="eastAsia"/>
        </w:rPr>
        <w:t>条有关的申索个案。二零零四年，香港特区终审法院在</w:t>
      </w:r>
      <w:r>
        <w:rPr>
          <w:rFonts w:hint="eastAsia"/>
          <w:i/>
          <w:iCs/>
          <w:u w:val="single"/>
        </w:rPr>
        <w:t>保安局局长</w:t>
      </w:r>
      <w:r>
        <w:rPr>
          <w:i/>
          <w:iCs/>
          <w:u w:val="single"/>
        </w:rPr>
        <w:t xml:space="preserve"> </w:t>
      </w:r>
      <w:r>
        <w:rPr>
          <w:rFonts w:hint="eastAsia"/>
          <w:i/>
          <w:iCs/>
          <w:u w:val="single"/>
        </w:rPr>
        <w:t>诉</w:t>
      </w:r>
      <w:r>
        <w:rPr>
          <w:i/>
          <w:iCs/>
          <w:u w:val="single"/>
        </w:rPr>
        <w:t xml:space="preserve"> Sakthevel Prabakar</w:t>
      </w:r>
      <w:r>
        <w:rPr>
          <w:rStyle w:val="FootnoteReference"/>
          <w:b/>
          <w:color w:val="003366"/>
          <w:spacing w:val="10"/>
        </w:rPr>
        <w:t xml:space="preserve"> </w:t>
      </w:r>
      <w:r>
        <w:t xml:space="preserve"> </w:t>
      </w:r>
      <w:r>
        <w:rPr>
          <w:rStyle w:val="FootnoteReference"/>
          <w:b/>
          <w:color w:val="003366"/>
        </w:rPr>
        <w:footnoteReference w:customMarkFollows="1" w:id="21"/>
        <w:t>16</w:t>
      </w:r>
      <w:r>
        <w:rPr>
          <w:rFonts w:hint="eastAsia"/>
        </w:rPr>
        <w:t xml:space="preserve"> </w:t>
      </w:r>
      <w:r>
        <w:rPr>
          <w:rFonts w:hint="eastAsia"/>
        </w:rPr>
        <w:t>一案中，阐明</w:t>
      </w:r>
      <w:r>
        <w:rPr>
          <w:rFonts w:hint="eastAsia"/>
        </w:rPr>
        <w:t>适用于甄别这类申索的标准。</w:t>
      </w:r>
    </w:p>
    <w:p w:rsidR="00000000" w:rsidRDefault="00954A93">
      <w:pPr>
        <w:spacing w:after="240"/>
        <w:rPr>
          <w:rFonts w:hint="eastAsia"/>
        </w:rPr>
      </w:pPr>
      <w:r>
        <w:rPr>
          <w:rFonts w:hint="eastAsia"/>
        </w:rPr>
        <w:tab/>
      </w:r>
      <w:r>
        <w:t>66.</w:t>
      </w:r>
      <w:r>
        <w:rPr>
          <w:rFonts w:hint="eastAsia"/>
        </w:rPr>
        <w:t xml:space="preserve">  </w:t>
      </w:r>
      <w:r>
        <w:rPr>
          <w:rFonts w:hint="eastAsia"/>
        </w:rPr>
        <w:t>终审法院就上述个案作出裁决后，我们制定了行政程序，就根据公约第</w:t>
      </w:r>
      <w:r>
        <w:t>3.1</w:t>
      </w:r>
      <w:r>
        <w:rPr>
          <w:rFonts w:hint="eastAsia"/>
        </w:rPr>
        <w:t>条提出的有关遭受酷刑的声请作出评定。我们有信心这些程序完全符合终审法院所订有关公平原则的严谨标准。截至二零零五年三月三十一日，当局正在考虑约</w:t>
      </w:r>
      <w:r>
        <w:t>58</w:t>
      </w:r>
      <w:r>
        <w:rPr>
          <w:rFonts w:hint="eastAsia"/>
        </w:rPr>
        <w:t>宗与公约第</w:t>
      </w:r>
      <w:r>
        <w:t>3</w:t>
      </w:r>
      <w:r>
        <w:rPr>
          <w:rFonts w:hint="eastAsia"/>
        </w:rPr>
        <w:t>条有关的声请，当中</w:t>
      </w:r>
      <w:r>
        <w:rPr>
          <w:rFonts w:ascii="SimSun" w:hAnsi="SimSun" w:cs="SimSun" w:hint="eastAsia"/>
        </w:rPr>
        <w:t>涉</w:t>
      </w:r>
      <w:r>
        <w:rPr>
          <w:rFonts w:ascii="MS Mincho" w:hAnsi="MS Mincho" w:cs="MS Mincho" w:hint="eastAsia"/>
        </w:rPr>
        <w:t>及</w:t>
      </w:r>
      <w:r>
        <w:t>73</w:t>
      </w:r>
      <w:r>
        <w:rPr>
          <w:rFonts w:hint="eastAsia"/>
        </w:rPr>
        <w:t>名可能被递解</w:t>
      </w:r>
      <w:r>
        <w:rPr>
          <w:rFonts w:hint="eastAsia"/>
        </w:rPr>
        <w:t>/</w:t>
      </w:r>
      <w:r>
        <w:rPr>
          <w:rFonts w:hint="eastAsia"/>
        </w:rPr>
        <w:t>遣送离境人士，以及一名可能被移交的人士。这些声请现正根据新订的程序进行评定。</w:t>
      </w:r>
    </w:p>
    <w:p w:rsidR="00000000" w:rsidRDefault="00954A93">
      <w:pPr>
        <w:pStyle w:val="Heading4"/>
        <w:rPr>
          <w:rFonts w:hint="eastAsia"/>
        </w:rPr>
      </w:pPr>
      <w:r>
        <w:rPr>
          <w:rFonts w:hint="eastAsia"/>
        </w:rPr>
        <w:t>遣送及递解离境</w:t>
      </w:r>
    </w:p>
    <w:p w:rsidR="00000000" w:rsidRDefault="00954A93">
      <w:pPr>
        <w:rPr>
          <w:rFonts w:hint="eastAsia"/>
        </w:rPr>
      </w:pPr>
      <w:r>
        <w:rPr>
          <w:rFonts w:hint="eastAsia"/>
        </w:rPr>
        <w:tab/>
      </w:r>
      <w:r>
        <w:t>67.</w:t>
      </w:r>
      <w:r>
        <w:rPr>
          <w:rFonts w:hint="eastAsia"/>
        </w:rPr>
        <w:t xml:space="preserve">  </w:t>
      </w:r>
      <w:r>
        <w:rPr>
          <w:rFonts w:hint="eastAsia"/>
        </w:rPr>
        <w:t>应注意的是，只在有充分理由相信无权留港人士被遣送或递解到某些地方后可能会遭受酷刑危险的情况下，香港才须</w:t>
      </w:r>
      <w:r>
        <w:rPr>
          <w:rFonts w:hint="eastAsia"/>
        </w:rPr>
        <w:t>履行公约第</w:t>
      </w:r>
      <w:r>
        <w:t>3.1</w:t>
      </w:r>
      <w:r>
        <w:rPr>
          <w:rFonts w:hint="eastAsia"/>
        </w:rPr>
        <w:t>条所载的责任。如有关人士被遣送或递解到的地方并无</w:t>
      </w:r>
      <w:r>
        <w:rPr>
          <w:rFonts w:ascii="SimSun" w:hAnsi="SimSun" w:cs="SimSun" w:hint="eastAsia"/>
        </w:rPr>
        <w:t>涉</w:t>
      </w:r>
      <w:r>
        <w:rPr>
          <w:rFonts w:ascii="MS Mincho" w:hAnsi="MS Mincho" w:cs="MS Mincho" w:hint="eastAsia"/>
        </w:rPr>
        <w:t>及</w:t>
      </w:r>
      <w:r>
        <w:rPr>
          <w:rFonts w:hint="eastAsia"/>
        </w:rPr>
        <w:t>酷刑声请，我们不会援引公约第</w:t>
      </w:r>
      <w:r>
        <w:t>3.1</w:t>
      </w:r>
      <w:r>
        <w:rPr>
          <w:rFonts w:hint="eastAsia"/>
        </w:rPr>
        <w:t>条处理其个案。</w:t>
      </w:r>
    </w:p>
    <w:p w:rsidR="00000000" w:rsidRDefault="00954A93">
      <w:pPr>
        <w:spacing w:after="240"/>
        <w:rPr>
          <w:rFonts w:eastAsia="華康中黑體" w:hint="eastAsia"/>
          <w:b/>
          <w:bCs/>
        </w:rPr>
      </w:pPr>
      <w:r>
        <w:rPr>
          <w:rFonts w:hint="eastAsia"/>
        </w:rPr>
        <w:tab/>
      </w:r>
      <w:r>
        <w:t>68.</w:t>
      </w:r>
      <w:r>
        <w:rPr>
          <w:rFonts w:hint="eastAsia"/>
        </w:rPr>
        <w:t xml:space="preserve">  </w:t>
      </w:r>
      <w:r>
        <w:rPr>
          <w:rFonts w:hint="eastAsia"/>
        </w:rPr>
        <w:t>无法确立其声请的人士，会按照本港法例被遣送离境。其声请被确立的人士，不会被遣送到有充分理由相信他们可能会遭受酷刑危险的地方。不过，我们可以考虑把他们遣送到他们不会遭受酷刑危险的地方。如某地的情况其后有所改变，以致某声请人之前就该地提出的声请不再确立，我们可以考虑把该声请人士遣送到该地。</w:t>
      </w:r>
    </w:p>
    <w:p w:rsidR="00000000" w:rsidRDefault="00954A93">
      <w:pPr>
        <w:pStyle w:val="Heading4"/>
        <w:rPr>
          <w:rFonts w:eastAsia="華康中黑體" w:hint="eastAsia"/>
          <w:b/>
          <w:bCs/>
        </w:rPr>
      </w:pPr>
      <w:r>
        <w:rPr>
          <w:rFonts w:hint="eastAsia"/>
        </w:rPr>
        <w:t>移交逃犯</w:t>
      </w:r>
    </w:p>
    <w:p w:rsidR="00000000" w:rsidRDefault="00954A93">
      <w:pPr>
        <w:rPr>
          <w:rFonts w:hint="eastAsia"/>
        </w:rPr>
      </w:pPr>
      <w:r>
        <w:rPr>
          <w:rFonts w:hint="eastAsia"/>
        </w:rPr>
        <w:tab/>
      </w:r>
      <w:r>
        <w:t>69.</w:t>
      </w:r>
      <w:r>
        <w:rPr>
          <w:rFonts w:hint="eastAsia"/>
        </w:rPr>
        <w:t xml:space="preserve">  </w:t>
      </w:r>
      <w:r>
        <w:rPr>
          <w:rFonts w:hint="eastAsia"/>
        </w:rPr>
        <w:t>目前情况与第一次报告第</w:t>
      </w:r>
      <w:r>
        <w:t>19</w:t>
      </w:r>
      <w:r>
        <w:rPr>
          <w:rFonts w:hint="eastAsia"/>
        </w:rPr>
        <w:t>至第</w:t>
      </w:r>
      <w:r>
        <w:t>20</w:t>
      </w:r>
      <w:r>
        <w:rPr>
          <w:rFonts w:hint="eastAsia"/>
        </w:rPr>
        <w:t>段所述的大致相同。截至二零零四年六月三</w:t>
      </w:r>
      <w:r>
        <w:rPr>
          <w:rFonts w:hint="eastAsia"/>
        </w:rPr>
        <w:t>十日，我们就移交逃犯的安排签署了</w:t>
      </w:r>
      <w:r>
        <w:t>13</w:t>
      </w:r>
      <w:r>
        <w:rPr>
          <w:rFonts w:hint="eastAsia"/>
        </w:rPr>
        <w:t>份双边协定。</w:t>
      </w:r>
    </w:p>
    <w:p w:rsidR="00000000" w:rsidRDefault="00954A93">
      <w:pPr>
        <w:spacing w:after="240"/>
        <w:rPr>
          <w:rFonts w:eastAsia="華康中黑體" w:hint="eastAsia"/>
          <w:b/>
          <w:bCs/>
        </w:rPr>
      </w:pPr>
      <w:r>
        <w:rPr>
          <w:rFonts w:hint="eastAsia"/>
        </w:rPr>
        <w:tab/>
      </w:r>
      <w:r>
        <w:t>70.</w:t>
      </w:r>
      <w:r>
        <w:rPr>
          <w:rFonts w:hint="eastAsia"/>
        </w:rPr>
        <w:t xml:space="preserve">  </w:t>
      </w:r>
      <w:r>
        <w:rPr>
          <w:rFonts w:hint="eastAsia"/>
        </w:rPr>
        <w:t>当有司法管辖区要求移交逃犯，而有关逃犯根据第</w:t>
      </w:r>
      <w:r>
        <w:t>3</w:t>
      </w:r>
      <w:r>
        <w:rPr>
          <w:rFonts w:hint="eastAsia"/>
        </w:rPr>
        <w:t>条提出声请，我们便会评定其声请，以确定有关的移交会否违反公约的规定。行政长官决定应否把逃犯移交给有关司法管辖区时，会考虑声请的评定结果以及其他相关因素。</w:t>
      </w:r>
    </w:p>
    <w:p w:rsidR="00000000" w:rsidRDefault="00954A93">
      <w:pPr>
        <w:pStyle w:val="Heading4"/>
        <w:rPr>
          <w:rFonts w:hint="eastAsia"/>
        </w:rPr>
      </w:pPr>
      <w:r>
        <w:rPr>
          <w:rFonts w:hint="eastAsia"/>
        </w:rPr>
        <w:t>滞港越南难民和船民</w:t>
      </w:r>
    </w:p>
    <w:p w:rsidR="00000000" w:rsidRDefault="00954A93">
      <w:pPr>
        <w:spacing w:after="240"/>
        <w:rPr>
          <w:rFonts w:hint="eastAsia"/>
          <w:b/>
          <w:u w:val="single"/>
        </w:rPr>
      </w:pPr>
      <w:r>
        <w:rPr>
          <w:rFonts w:hint="eastAsia"/>
        </w:rPr>
        <w:tab/>
      </w:r>
      <w:r>
        <w:t>71.</w:t>
      </w:r>
      <w:r>
        <w:rPr>
          <w:rFonts w:hint="eastAsia"/>
        </w:rPr>
        <w:t xml:space="preserve">  </w:t>
      </w:r>
      <w:r>
        <w:rPr>
          <w:rFonts w:hint="eastAsia"/>
        </w:rPr>
        <w:t>一九九八年一月，香港特区政府决定容许滞港的越南难民和船民</w:t>
      </w:r>
      <w:r>
        <w:t>(</w:t>
      </w:r>
      <w:r>
        <w:rPr>
          <w:rFonts w:hint="eastAsia"/>
        </w:rPr>
        <w:t>即那些不获准移居海外或返回祖国的越南人</w:t>
      </w:r>
      <w:r>
        <w:t>)</w:t>
      </w:r>
      <w:r>
        <w:rPr>
          <w:rFonts w:hint="eastAsia"/>
        </w:rPr>
        <w:t>申请在港定居，因此，越南人寻求庇护的问题告一段落。香港最后一个难民中心也在二零零零年六月关闭。</w:t>
      </w:r>
    </w:p>
    <w:p w:rsidR="00000000" w:rsidRDefault="00954A93">
      <w:pPr>
        <w:pStyle w:val="Heading4"/>
        <w:rPr>
          <w:rFonts w:hint="eastAsia"/>
        </w:rPr>
      </w:pPr>
      <w:r>
        <w:rPr>
          <w:rFonts w:hint="eastAsia"/>
        </w:rPr>
        <w:t>越南非法入境者</w:t>
      </w:r>
    </w:p>
    <w:p w:rsidR="00000000" w:rsidRDefault="00954A93">
      <w:pPr>
        <w:spacing w:after="240"/>
        <w:rPr>
          <w:rFonts w:hint="eastAsia"/>
        </w:rPr>
      </w:pPr>
      <w:r>
        <w:rPr>
          <w:rFonts w:hint="eastAsia"/>
        </w:rPr>
        <w:tab/>
      </w:r>
      <w:r>
        <w:t>72.</w:t>
      </w:r>
      <w:r>
        <w:rPr>
          <w:rFonts w:hint="eastAsia"/>
        </w:rPr>
        <w:t xml:space="preserve">  </w:t>
      </w:r>
      <w:r>
        <w:rPr>
          <w:rFonts w:hint="eastAsia"/>
        </w:rPr>
        <w:t>目前情况与第一次报告第</w:t>
      </w:r>
      <w:r>
        <w:t>35</w:t>
      </w:r>
      <w:r>
        <w:rPr>
          <w:rFonts w:hint="eastAsia"/>
        </w:rPr>
        <w:t>至第</w:t>
      </w:r>
      <w:r>
        <w:t>36</w:t>
      </w:r>
      <w:r>
        <w:rPr>
          <w:rFonts w:hint="eastAsia"/>
        </w:rPr>
        <w:t>段所述的大致相同。截至二零零四年十二月三十一日，共有</w:t>
      </w:r>
      <w:r>
        <w:t>214</w:t>
      </w:r>
      <w:r>
        <w:rPr>
          <w:rFonts w:hint="eastAsia"/>
        </w:rPr>
        <w:t>名越南非法入境者滞留在港。</w:t>
      </w:r>
    </w:p>
    <w:p w:rsidR="00000000" w:rsidRDefault="00954A93">
      <w:pPr>
        <w:pStyle w:val="Heading4"/>
        <w:rPr>
          <w:rFonts w:hint="eastAsia"/>
        </w:rPr>
      </w:pPr>
      <w:r>
        <w:rPr>
          <w:rFonts w:hint="eastAsia"/>
        </w:rPr>
        <w:t>从中国内地到港的越南人</w:t>
      </w:r>
    </w:p>
    <w:p w:rsidR="00000000" w:rsidRDefault="00954A93">
      <w:pPr>
        <w:spacing w:after="240"/>
        <w:rPr>
          <w:rFonts w:eastAsia="華康中黑體" w:hint="eastAsia"/>
          <w:b/>
          <w:u w:val="single"/>
        </w:rPr>
      </w:pPr>
      <w:r>
        <w:rPr>
          <w:rFonts w:hint="eastAsia"/>
        </w:rPr>
        <w:tab/>
      </w:r>
      <w:r>
        <w:t>73.</w:t>
      </w:r>
      <w:r>
        <w:rPr>
          <w:rFonts w:hint="eastAsia"/>
        </w:rPr>
        <w:t xml:space="preserve">  </w:t>
      </w:r>
      <w:r>
        <w:rPr>
          <w:rFonts w:hint="eastAsia"/>
        </w:rPr>
        <w:t>我们在第一次报告第</w:t>
      </w:r>
      <w:r>
        <w:t>37</w:t>
      </w:r>
      <w:r>
        <w:rPr>
          <w:rFonts w:hint="eastAsia"/>
        </w:rPr>
        <w:t>段已提到这类人士的情况。他们当中有</w:t>
      </w:r>
      <w:r>
        <w:t>116</w:t>
      </w:r>
      <w:r>
        <w:rPr>
          <w:rFonts w:hint="eastAsia"/>
        </w:rPr>
        <w:t>个家庭循法律程序提出司法复核，要求推翻政府把他们遣返中国</w:t>
      </w:r>
      <w:r>
        <w:rPr>
          <w:rFonts w:ascii="SimSun" w:hAnsi="SimSun" w:cs="SimSun" w:hint="eastAsia"/>
        </w:rPr>
        <w:t>内</w:t>
      </w:r>
      <w:r>
        <w:rPr>
          <w:rFonts w:ascii="MS Mincho" w:hAnsi="MS Mincho" w:cs="MS Mincho" w:hint="eastAsia"/>
        </w:rPr>
        <w:t>地的决定。二零零零年四月，高等法院原讼法庭裁定政府胜诉。这些家庭其后提出上诉，但最终同意把上诉撤回。政府检讨了有关情况后，准许滞留的</w:t>
      </w:r>
      <w:r>
        <w:t>396</w:t>
      </w:r>
      <w:r>
        <w:rPr>
          <w:rFonts w:hint="eastAsia"/>
        </w:rPr>
        <w:t>名从中国</w:t>
      </w:r>
      <w:r>
        <w:rPr>
          <w:rFonts w:ascii="SimSun" w:hAnsi="SimSun" w:cs="SimSun" w:hint="eastAsia"/>
        </w:rPr>
        <w:t>内</w:t>
      </w:r>
      <w:r>
        <w:rPr>
          <w:rFonts w:ascii="MS Mincho" w:hAnsi="MS Mincho" w:cs="MS Mincho" w:hint="eastAsia"/>
        </w:rPr>
        <w:t>地到港的越南人申请在港居留。截至二零零四年</w:t>
      </w:r>
      <w:r>
        <w:rPr>
          <w:rFonts w:hint="eastAsia"/>
        </w:rPr>
        <w:t>十二月三十一日，除一人失踪外，全部申请人均</w:t>
      </w:r>
      <w:r>
        <w:rPr>
          <w:rFonts w:hint="eastAsia"/>
        </w:rPr>
        <w:t>获准在港居留。</w:t>
      </w:r>
    </w:p>
    <w:p w:rsidR="00000000" w:rsidRDefault="00954A93">
      <w:pPr>
        <w:pStyle w:val="Heading3"/>
        <w:rPr>
          <w:rFonts w:hint="eastAsia"/>
        </w:rPr>
      </w:pPr>
      <w:r>
        <w:rPr>
          <w:rFonts w:hint="eastAsia"/>
        </w:rPr>
        <w:t>第</w:t>
      </w:r>
      <w:r>
        <w:t>4</w:t>
      </w:r>
      <w:r>
        <w:rPr>
          <w:rFonts w:hint="eastAsia"/>
        </w:rPr>
        <w:t>条</w:t>
      </w:r>
      <w:r>
        <w:rPr>
          <w:rFonts w:hint="eastAsia"/>
          <w:u w:val="none"/>
        </w:rPr>
        <w:t>：把酷刑行为定为刑事罪行</w:t>
      </w:r>
    </w:p>
    <w:p w:rsidR="00000000" w:rsidRDefault="00954A93">
      <w:pPr>
        <w:spacing w:after="240"/>
        <w:rPr>
          <w:rFonts w:hint="eastAsia"/>
        </w:rPr>
      </w:pPr>
      <w:r>
        <w:rPr>
          <w:rFonts w:hint="eastAsia"/>
        </w:rPr>
        <w:tab/>
      </w:r>
      <w:r>
        <w:t>74.</w:t>
      </w:r>
      <w:r>
        <w:rPr>
          <w:rFonts w:hint="eastAsia"/>
        </w:rPr>
        <w:t xml:space="preserve">  </w:t>
      </w:r>
      <w:r>
        <w:rPr>
          <w:rFonts w:hint="eastAsia"/>
        </w:rPr>
        <w:t>目前情况与第一次报告第</w:t>
      </w:r>
      <w:r>
        <w:t>38</w:t>
      </w:r>
      <w:r>
        <w:rPr>
          <w:rFonts w:hint="eastAsia"/>
        </w:rPr>
        <w:t>及第</w:t>
      </w:r>
      <w:r>
        <w:t>39</w:t>
      </w:r>
      <w:r>
        <w:rPr>
          <w:rFonts w:hint="eastAsia"/>
        </w:rPr>
        <w:t>段所述的大致相同。在该等段落中，我们重申《刑事罪行</w:t>
      </w:r>
      <w:r>
        <w:t>(</w:t>
      </w:r>
      <w:r>
        <w:rPr>
          <w:rFonts w:hint="eastAsia"/>
        </w:rPr>
        <w:t>酷刑</w:t>
      </w:r>
      <w:r>
        <w:t>)</w:t>
      </w:r>
      <w:r>
        <w:rPr>
          <w:rFonts w:hint="eastAsia"/>
        </w:rPr>
        <w:t>条例》</w:t>
      </w:r>
      <w:r>
        <w:t>(</w:t>
      </w:r>
      <w:r>
        <w:rPr>
          <w:rFonts w:hint="eastAsia"/>
        </w:rPr>
        <w:t>第</w:t>
      </w:r>
      <w:r>
        <w:t>427</w:t>
      </w:r>
      <w:r>
        <w:rPr>
          <w:rFonts w:hint="eastAsia"/>
        </w:rPr>
        <w:t>章</w:t>
      </w:r>
      <w:r>
        <w:t>)</w:t>
      </w:r>
      <w:r>
        <w:rPr>
          <w:rFonts w:hint="eastAsia"/>
        </w:rPr>
        <w:t>订明禁止施行酷刑，我们并向委员会</w:t>
      </w:r>
      <w:r>
        <w:rPr>
          <w:rFonts w:ascii="SimSun" w:hAnsi="SimSun" w:cs="SimSun" w:hint="eastAsia"/>
        </w:rPr>
        <w:t>说</w:t>
      </w:r>
      <w:r>
        <w:rPr>
          <w:rFonts w:ascii="MS Mincho" w:hAnsi="MS Mincho" w:cs="MS Mincho" w:hint="eastAsia"/>
        </w:rPr>
        <w:t>明《刑事诉讼</w:t>
      </w:r>
      <w:r>
        <w:rPr>
          <w:rFonts w:hint="eastAsia"/>
        </w:rPr>
        <w:t>程序条例》</w:t>
      </w:r>
      <w:r>
        <w:t>(</w:t>
      </w:r>
      <w:r>
        <w:rPr>
          <w:rFonts w:hint="eastAsia"/>
        </w:rPr>
        <w:t>第</w:t>
      </w:r>
      <w:r>
        <w:t>221</w:t>
      </w:r>
      <w:r>
        <w:rPr>
          <w:rFonts w:hint="eastAsia"/>
        </w:rPr>
        <w:t>章</w:t>
      </w:r>
      <w:r>
        <w:t>)</w:t>
      </w:r>
      <w:r>
        <w:rPr>
          <w:rFonts w:hint="eastAsia"/>
        </w:rPr>
        <w:t>第</w:t>
      </w:r>
      <w:r>
        <w:t>89</w:t>
      </w:r>
      <w:r>
        <w:rPr>
          <w:rFonts w:hint="eastAsia"/>
        </w:rPr>
        <w:t>条也订明禁止协助和教唆他人犯任何罪行。根据《刑事罪行条例》</w:t>
      </w:r>
      <w:r>
        <w:t>(</w:t>
      </w:r>
      <w:r>
        <w:rPr>
          <w:rFonts w:hint="eastAsia"/>
        </w:rPr>
        <w:t>第</w:t>
      </w:r>
      <w:r>
        <w:t>200</w:t>
      </w:r>
      <w:r>
        <w:rPr>
          <w:rFonts w:hint="eastAsia"/>
        </w:rPr>
        <w:t>章</w:t>
      </w:r>
      <w:r>
        <w:t>)</w:t>
      </w:r>
      <w:r>
        <w:rPr>
          <w:rFonts w:hint="eastAsia"/>
        </w:rPr>
        <w:t>第</w:t>
      </w:r>
      <w:r>
        <w:t>159G</w:t>
      </w:r>
      <w:r>
        <w:rPr>
          <w:rFonts w:hint="eastAsia"/>
        </w:rPr>
        <w:t>条的规定，企图施行酷刑也是不容许的。</w:t>
      </w:r>
    </w:p>
    <w:p w:rsidR="00000000" w:rsidRDefault="00954A93">
      <w:pPr>
        <w:pStyle w:val="Heading3"/>
        <w:rPr>
          <w:rFonts w:hint="eastAsia"/>
        </w:rPr>
      </w:pPr>
      <w:r>
        <w:rPr>
          <w:rFonts w:hint="eastAsia"/>
        </w:rPr>
        <w:t>第</w:t>
      </w:r>
      <w:r>
        <w:t>5</w:t>
      </w:r>
      <w:r>
        <w:rPr>
          <w:rFonts w:hint="eastAsia"/>
        </w:rPr>
        <w:t>条</w:t>
      </w:r>
      <w:r>
        <w:rPr>
          <w:rFonts w:hint="eastAsia"/>
          <w:u w:val="none"/>
        </w:rPr>
        <w:t>：确立司法管辖权</w:t>
      </w:r>
    </w:p>
    <w:p w:rsidR="00000000" w:rsidRDefault="00954A93">
      <w:pPr>
        <w:spacing w:after="240"/>
        <w:rPr>
          <w:rFonts w:hint="eastAsia"/>
        </w:rPr>
      </w:pPr>
      <w:r>
        <w:rPr>
          <w:rFonts w:hint="eastAsia"/>
        </w:rPr>
        <w:tab/>
      </w:r>
      <w:r>
        <w:t>75.</w:t>
      </w:r>
      <w:r>
        <w:rPr>
          <w:rFonts w:hint="eastAsia"/>
        </w:rPr>
        <w:t xml:space="preserve">  </w:t>
      </w:r>
      <w:r>
        <w:rPr>
          <w:rFonts w:hint="eastAsia"/>
        </w:rPr>
        <w:t>如第一次报告第</w:t>
      </w:r>
      <w:r>
        <w:t>40</w:t>
      </w:r>
      <w:r>
        <w:rPr>
          <w:rFonts w:hint="eastAsia"/>
        </w:rPr>
        <w:t>段所述，根据《刑事罪行</w:t>
      </w:r>
      <w:r>
        <w:t>(</w:t>
      </w:r>
      <w:r>
        <w:rPr>
          <w:rFonts w:hint="eastAsia"/>
        </w:rPr>
        <w:t>酷刑</w:t>
      </w:r>
      <w:r>
        <w:t>)</w:t>
      </w:r>
      <w:r>
        <w:rPr>
          <w:rFonts w:hint="eastAsia"/>
        </w:rPr>
        <w:t>条例》第</w:t>
      </w:r>
      <w:r>
        <w:t>3</w:t>
      </w:r>
      <w:r>
        <w:rPr>
          <w:rFonts w:hint="eastAsia"/>
        </w:rPr>
        <w:t>条的规定，无论酷刑在香港特区或其他地方施行，施行者</w:t>
      </w:r>
      <w:r>
        <w:rPr>
          <w:rFonts w:hint="eastAsia"/>
        </w:rPr>
        <w:t>也触犯施行酷刑罪，案中犯人或受害人的国籍是无关重要的。因此，香港特区法院有全权处理上述罪行的司法管辖权，这符合公约第</w:t>
      </w:r>
      <w:r>
        <w:t>5</w:t>
      </w:r>
      <w:r>
        <w:rPr>
          <w:rFonts w:hint="eastAsia"/>
        </w:rPr>
        <w:t>条的规定。</w:t>
      </w:r>
    </w:p>
    <w:p w:rsidR="00000000" w:rsidRDefault="00954A93">
      <w:pPr>
        <w:pStyle w:val="Heading3"/>
        <w:rPr>
          <w:rFonts w:hint="eastAsia"/>
        </w:rPr>
      </w:pPr>
      <w:r>
        <w:rPr>
          <w:rFonts w:hint="eastAsia"/>
        </w:rPr>
        <w:t>第</w:t>
      </w:r>
      <w:r>
        <w:t>6</w:t>
      </w:r>
      <w:r>
        <w:rPr>
          <w:rFonts w:hint="eastAsia"/>
        </w:rPr>
        <w:t>条</w:t>
      </w:r>
      <w:r>
        <w:rPr>
          <w:rFonts w:hint="eastAsia"/>
          <w:u w:val="none"/>
        </w:rPr>
        <w:t>：拘留权</w:t>
      </w:r>
    </w:p>
    <w:p w:rsidR="00000000" w:rsidRDefault="00954A93">
      <w:pPr>
        <w:rPr>
          <w:rFonts w:hint="eastAsia"/>
        </w:rPr>
      </w:pPr>
      <w:r>
        <w:rPr>
          <w:rFonts w:hint="eastAsia"/>
        </w:rPr>
        <w:tab/>
      </w:r>
      <w:r>
        <w:t>76.</w:t>
      </w:r>
      <w:r>
        <w:rPr>
          <w:rFonts w:hint="eastAsia"/>
        </w:rPr>
        <w:t xml:space="preserve">  </w:t>
      </w:r>
      <w:r>
        <w:rPr>
          <w:rFonts w:hint="eastAsia"/>
        </w:rPr>
        <w:t>现时的情况与第一次报告第</w:t>
      </w:r>
      <w:r>
        <w:t>41</w:t>
      </w:r>
      <w:r>
        <w:rPr>
          <w:rFonts w:hint="eastAsia"/>
        </w:rPr>
        <w:t>至第</w:t>
      </w:r>
      <w:r>
        <w:t>44</w:t>
      </w:r>
      <w:r>
        <w:rPr>
          <w:rFonts w:hint="eastAsia"/>
        </w:rPr>
        <w:t>段所述的大致相同。就法律改革委员会在一九九二年发表关于拘捕问题的报告书，有论者要求当局落实其中的建议。有关建议</w:t>
      </w:r>
      <w:r>
        <w:rPr>
          <w:rFonts w:ascii="SimSun" w:hAnsi="SimSun" w:cs="SimSun" w:hint="eastAsia"/>
        </w:rPr>
        <w:t>涉</w:t>
      </w:r>
      <w:r>
        <w:rPr>
          <w:rFonts w:ascii="MS Mincho" w:hAnsi="MS Mincho" w:cs="MS Mincho" w:hint="eastAsia"/>
        </w:rPr>
        <w:t>及对法例的修改，以便：</w:t>
      </w:r>
    </w:p>
    <w:p w:rsidR="00000000" w:rsidRDefault="00954A93">
      <w:pPr>
        <w:tabs>
          <w:tab w:val="left" w:pos="600"/>
          <w:tab w:val="left" w:pos="1080"/>
        </w:tabs>
        <w:ind w:left="1020"/>
        <w:rPr>
          <w:rFonts w:hint="eastAsia"/>
        </w:rPr>
      </w:pPr>
      <w:r>
        <w:t>(a)</w:t>
      </w:r>
      <w:r>
        <w:tab/>
      </w:r>
      <w:r>
        <w:rPr>
          <w:rFonts w:hint="eastAsia"/>
        </w:rPr>
        <w:t>持续检讨是否有拘留的必要；</w:t>
      </w:r>
    </w:p>
    <w:p w:rsidR="00000000" w:rsidRDefault="00954A93">
      <w:pPr>
        <w:tabs>
          <w:tab w:val="left" w:pos="600"/>
          <w:tab w:val="left" w:pos="1080"/>
        </w:tabs>
        <w:ind w:left="1020"/>
        <w:rPr>
          <w:rFonts w:hint="eastAsia"/>
        </w:rPr>
      </w:pPr>
      <w:r>
        <w:t>(b)</w:t>
      </w:r>
      <w:r>
        <w:tab/>
      </w:r>
      <w:r>
        <w:rPr>
          <w:rFonts w:hint="eastAsia"/>
        </w:rPr>
        <w:t>就没有控罪的拘留订立明确的时限；</w:t>
      </w:r>
    </w:p>
    <w:p w:rsidR="00000000" w:rsidRDefault="00954A93">
      <w:pPr>
        <w:tabs>
          <w:tab w:val="left" w:pos="600"/>
          <w:tab w:val="left" w:pos="1080"/>
        </w:tabs>
        <w:ind w:left="1020"/>
        <w:rPr>
          <w:rFonts w:hint="eastAsia"/>
        </w:rPr>
      </w:pPr>
      <w:r>
        <w:t>(c)</w:t>
      </w:r>
      <w:r>
        <w:tab/>
      </w:r>
      <w:r>
        <w:rPr>
          <w:rFonts w:hint="eastAsia"/>
        </w:rPr>
        <w:t>引入委任看管人员的制度；</w:t>
      </w:r>
      <w:r>
        <w:rPr>
          <w:rFonts w:hint="eastAsia"/>
        </w:rPr>
        <w:t xml:space="preserve"> </w:t>
      </w:r>
    </w:p>
    <w:p w:rsidR="00000000" w:rsidRDefault="00954A93">
      <w:pPr>
        <w:tabs>
          <w:tab w:val="left" w:pos="600"/>
          <w:tab w:val="left" w:pos="1080"/>
        </w:tabs>
        <w:ind w:left="1020"/>
        <w:rPr>
          <w:rFonts w:hint="eastAsia"/>
        </w:rPr>
      </w:pPr>
      <w:r>
        <w:t>(d)</w:t>
      </w:r>
      <w:r>
        <w:tab/>
      </w:r>
      <w:r>
        <w:rPr>
          <w:rFonts w:hint="eastAsia"/>
        </w:rPr>
        <w:t>定期检讨警方的拘留行动。</w:t>
      </w:r>
    </w:p>
    <w:p w:rsidR="00000000" w:rsidRDefault="00954A93">
      <w:pPr>
        <w:spacing w:after="240"/>
        <w:rPr>
          <w:rFonts w:hint="eastAsia"/>
        </w:rPr>
      </w:pPr>
      <w:r>
        <w:rPr>
          <w:rFonts w:hint="eastAsia"/>
        </w:rPr>
        <w:tab/>
      </w:r>
      <w:r>
        <w:t>77.</w:t>
      </w:r>
      <w:r>
        <w:rPr>
          <w:rFonts w:hint="eastAsia"/>
        </w:rPr>
        <w:t xml:space="preserve">  </w:t>
      </w:r>
      <w:r>
        <w:rPr>
          <w:rFonts w:hint="eastAsia"/>
        </w:rPr>
        <w:t>目前的情况是，在一九九</w:t>
      </w:r>
      <w:r>
        <w:rPr>
          <w:rFonts w:hint="eastAsia"/>
        </w:rPr>
        <w:t>八至九九年度，香港警务处、入境事务处、香港海关和廉政公署引入了新的制度，指派特定的看管人员和覆检人员，以确保在拘留中的人士得到妥善对待，并由有关人员持续检讨需否继续予以拘留。此外，关于就没有控罪的拘留订立法定时限的建议，审议工作仍在进行。至于法律改革委员会提出有关收取体</w:t>
      </w:r>
      <w:r>
        <w:rPr>
          <w:rFonts w:ascii="SimSun" w:hAnsi="SimSun" w:cs="SimSun" w:hint="eastAsia"/>
        </w:rPr>
        <w:t>内</w:t>
      </w:r>
      <w:r>
        <w:rPr>
          <w:rFonts w:ascii="MS Mincho" w:hAnsi="MS Mincho" w:cs="MS Mincho" w:hint="eastAsia"/>
        </w:rPr>
        <w:t>和非体</w:t>
      </w:r>
      <w:r>
        <w:rPr>
          <w:rFonts w:ascii="SimSun" w:hAnsi="SimSun" w:cs="SimSun" w:hint="eastAsia"/>
        </w:rPr>
        <w:t>内</w:t>
      </w:r>
      <w:r>
        <w:rPr>
          <w:rFonts w:ascii="MS Mincho" w:hAnsi="MS Mincho" w:cs="MS Mincho" w:hint="eastAsia"/>
        </w:rPr>
        <w:t>样本，以及把</w:t>
      </w:r>
      <w:r>
        <w:rPr>
          <w:rFonts w:ascii="SimSun" w:hAnsi="SimSun" w:cs="SimSun" w:hint="eastAsia"/>
        </w:rPr>
        <w:t>查</w:t>
      </w:r>
      <w:r>
        <w:rPr>
          <w:rFonts w:ascii="MS Mincho" w:hAnsi="MS Mincho" w:cs="MS Mincho" w:hint="eastAsia"/>
        </w:rPr>
        <w:t>问过程</w:t>
      </w:r>
      <w:r>
        <w:rPr>
          <w:rFonts w:ascii="SimSun" w:hAnsi="SimSun" w:cs="SimSun" w:hint="eastAsia"/>
        </w:rPr>
        <w:t>录</w:t>
      </w:r>
      <w:r>
        <w:rPr>
          <w:rFonts w:ascii="MS Mincho" w:hAnsi="MS Mincho" w:cs="MS Mincho" w:hint="eastAsia"/>
        </w:rPr>
        <w:t>音和</w:t>
      </w:r>
      <w:r>
        <w:rPr>
          <w:rFonts w:ascii="SimSun" w:hAnsi="SimSun" w:cs="SimSun" w:hint="eastAsia"/>
        </w:rPr>
        <w:t>录</w:t>
      </w:r>
      <w:r>
        <w:rPr>
          <w:rFonts w:ascii="MS Mincho" w:hAnsi="MS Mincho" w:cs="MS Mincho" w:hint="eastAsia"/>
        </w:rPr>
        <w:t>影的建议，下文第</w:t>
      </w:r>
      <w:r>
        <w:t>91</w:t>
      </w:r>
      <w:r>
        <w:rPr>
          <w:rFonts w:hint="eastAsia"/>
        </w:rPr>
        <w:t>和第</w:t>
      </w:r>
      <w:r>
        <w:t>100</w:t>
      </w:r>
      <w:r>
        <w:rPr>
          <w:rFonts w:hint="eastAsia"/>
        </w:rPr>
        <w:t>段述及公约第</w:t>
      </w:r>
      <w:r>
        <w:t>11</w:t>
      </w:r>
      <w:r>
        <w:rPr>
          <w:rFonts w:hint="eastAsia"/>
        </w:rPr>
        <w:t>条的部分会再行探讨。</w:t>
      </w:r>
    </w:p>
    <w:p w:rsidR="00000000" w:rsidRDefault="00954A93">
      <w:pPr>
        <w:pStyle w:val="Heading3"/>
        <w:rPr>
          <w:rFonts w:hint="eastAsia"/>
        </w:rPr>
      </w:pPr>
      <w:r>
        <w:rPr>
          <w:rFonts w:hint="eastAsia"/>
        </w:rPr>
        <w:t>第</w:t>
      </w:r>
      <w:r>
        <w:rPr>
          <w:b/>
        </w:rPr>
        <w:t>7</w:t>
      </w:r>
      <w:r>
        <w:rPr>
          <w:rFonts w:hint="eastAsia"/>
        </w:rPr>
        <w:t>条</w:t>
      </w:r>
      <w:r>
        <w:rPr>
          <w:rFonts w:hint="eastAsia"/>
          <w:u w:val="none"/>
        </w:rPr>
        <w:t>：检控不进行引渡的罪犯</w:t>
      </w:r>
    </w:p>
    <w:p w:rsidR="00000000" w:rsidRDefault="00954A93">
      <w:pPr>
        <w:spacing w:after="240"/>
        <w:rPr>
          <w:rFonts w:hint="eastAsia"/>
        </w:rPr>
      </w:pPr>
      <w:r>
        <w:rPr>
          <w:rFonts w:hint="eastAsia"/>
        </w:rPr>
        <w:tab/>
      </w:r>
      <w:r>
        <w:t>78.</w:t>
      </w:r>
      <w:r>
        <w:rPr>
          <w:rFonts w:hint="eastAsia"/>
        </w:rPr>
        <w:t xml:space="preserve">  </w:t>
      </w:r>
      <w:r>
        <w:rPr>
          <w:rFonts w:hint="eastAsia"/>
        </w:rPr>
        <w:t>有关情况与第一次报告第</w:t>
      </w:r>
      <w:r>
        <w:t>45</w:t>
      </w:r>
      <w:r>
        <w:rPr>
          <w:rFonts w:hint="eastAsia"/>
        </w:rPr>
        <w:t>段所述的相同。</w:t>
      </w:r>
    </w:p>
    <w:p w:rsidR="00000000" w:rsidRDefault="00954A93">
      <w:pPr>
        <w:pStyle w:val="Heading3"/>
        <w:rPr>
          <w:rFonts w:hint="eastAsia"/>
        </w:rPr>
      </w:pPr>
      <w:r>
        <w:rPr>
          <w:rFonts w:hint="eastAsia"/>
        </w:rPr>
        <w:t>第</w:t>
      </w:r>
      <w:r>
        <w:t>8</w:t>
      </w:r>
      <w:r>
        <w:rPr>
          <w:rFonts w:hint="eastAsia"/>
        </w:rPr>
        <w:t>条</w:t>
      </w:r>
      <w:r>
        <w:rPr>
          <w:rFonts w:hint="eastAsia"/>
          <w:u w:val="none"/>
        </w:rPr>
        <w:t>：引渡安排</w:t>
      </w:r>
    </w:p>
    <w:p w:rsidR="00000000" w:rsidRDefault="00954A93">
      <w:pPr>
        <w:rPr>
          <w:rFonts w:hint="eastAsia"/>
        </w:rPr>
      </w:pPr>
      <w:r>
        <w:rPr>
          <w:rFonts w:hint="eastAsia"/>
        </w:rPr>
        <w:tab/>
      </w:r>
      <w:r>
        <w:t>79.</w:t>
      </w:r>
      <w:r>
        <w:rPr>
          <w:rFonts w:hint="eastAsia"/>
        </w:rPr>
        <w:t xml:space="preserve">  </w:t>
      </w:r>
      <w:r>
        <w:rPr>
          <w:rFonts w:hint="eastAsia"/>
        </w:rPr>
        <w:t>有关情况与第一次报告第</w:t>
      </w:r>
      <w:r>
        <w:t>46</w:t>
      </w:r>
      <w:r>
        <w:rPr>
          <w:rFonts w:hint="eastAsia"/>
        </w:rPr>
        <w:t>至第</w:t>
      </w:r>
      <w:r>
        <w:t>48</w:t>
      </w:r>
      <w:r>
        <w:rPr>
          <w:rFonts w:hint="eastAsia"/>
        </w:rPr>
        <w:t>段所述的大致相同。但论者询问为何中国</w:t>
      </w:r>
      <w:r>
        <w:rPr>
          <w:rFonts w:ascii="SimSun" w:hAnsi="SimSun" w:cs="SimSun" w:hint="eastAsia"/>
        </w:rPr>
        <w:t>内</w:t>
      </w:r>
      <w:r>
        <w:rPr>
          <w:rFonts w:ascii="MS Mincho" w:hAnsi="MS Mincho" w:cs="MS Mincho" w:hint="eastAsia"/>
        </w:rPr>
        <w:t>地和香港特区之间没有正式的</w:t>
      </w:r>
      <w:r>
        <w:rPr>
          <w:rFonts w:hint="eastAsia"/>
        </w:rPr>
        <w:t>移交逃犯安排。事实上，双方早于一九九九年三月就移交逃犯安排展开正式讨论，但由于两地法律制度有别，所</w:t>
      </w:r>
      <w:r>
        <w:rPr>
          <w:rFonts w:ascii="SimSun" w:hAnsi="SimSun" w:cs="SimSun" w:hint="eastAsia"/>
        </w:rPr>
        <w:t>涉</w:t>
      </w:r>
      <w:r>
        <w:rPr>
          <w:rFonts w:ascii="MS Mincho" w:hAnsi="MS Mincho" w:cs="MS Mincho" w:hint="eastAsia"/>
        </w:rPr>
        <w:t>的事宜复杂，讨论必须审</w:t>
      </w:r>
      <w:r>
        <w:rPr>
          <w:rFonts w:hint="eastAsia"/>
        </w:rPr>
        <w:t>慎进行，并须仔细商讨有关细节，因此相信难以在短期</w:t>
      </w:r>
      <w:r>
        <w:rPr>
          <w:rFonts w:ascii="SimSun" w:hAnsi="SimSun" w:cs="SimSun" w:hint="eastAsia"/>
        </w:rPr>
        <w:t>内</w:t>
      </w:r>
      <w:r>
        <w:rPr>
          <w:rFonts w:ascii="MS Mincho" w:hAnsi="MS Mincho" w:cs="MS Mincho" w:hint="eastAsia"/>
        </w:rPr>
        <w:t>得出结论。在委员会审议这份报告时，如有任何发展，我们会告知委员会。</w:t>
      </w:r>
    </w:p>
    <w:p w:rsidR="00000000" w:rsidRDefault="00954A93">
      <w:pPr>
        <w:spacing w:after="240"/>
        <w:rPr>
          <w:rFonts w:hint="eastAsia"/>
        </w:rPr>
      </w:pPr>
      <w:r>
        <w:rPr>
          <w:rFonts w:hint="eastAsia"/>
        </w:rPr>
        <w:tab/>
      </w:r>
      <w:r>
        <w:t>80.</w:t>
      </w:r>
      <w:r>
        <w:rPr>
          <w:rFonts w:hint="eastAsia"/>
        </w:rPr>
        <w:t xml:space="preserve">  </w:t>
      </w:r>
      <w:r>
        <w:rPr>
          <w:rFonts w:hint="eastAsia"/>
        </w:rPr>
        <w:t>二零零零年三月，双方也就移交被判刑人士的安排展开讨论，有关讨论围绕《移交被判刑人士条例》的主要原则和条文，以及我们与其他司法管辖区就移交被判刑人士所签订的协议，这些协议包括：移交的条件</w:t>
      </w:r>
      <w:r>
        <w:rPr>
          <w:rFonts w:hint="eastAsia"/>
        </w:rPr>
        <w:t>、移交的程序、保留司法管辖权和继续执行刑期等。在本报告定稿时，鉴于司法制度的不同和有关事宜复杂，讨论仍在进行中。</w:t>
      </w:r>
    </w:p>
    <w:p w:rsidR="00000000" w:rsidRDefault="00954A93">
      <w:pPr>
        <w:pStyle w:val="Heading3"/>
        <w:rPr>
          <w:rFonts w:hint="eastAsia"/>
        </w:rPr>
      </w:pPr>
      <w:r>
        <w:rPr>
          <w:rFonts w:hint="eastAsia"/>
        </w:rPr>
        <w:t>第</w:t>
      </w:r>
      <w:r>
        <w:rPr>
          <w:b/>
        </w:rPr>
        <w:t>9</w:t>
      </w:r>
      <w:r>
        <w:rPr>
          <w:rFonts w:hint="eastAsia"/>
        </w:rPr>
        <w:t>条</w:t>
      </w:r>
      <w:r>
        <w:rPr>
          <w:rFonts w:hint="eastAsia"/>
          <w:u w:val="none"/>
        </w:rPr>
        <w:t>：在酷刑罪行方面相互协助</w:t>
      </w:r>
    </w:p>
    <w:p w:rsidR="00000000" w:rsidRDefault="00954A93">
      <w:pPr>
        <w:rPr>
          <w:rFonts w:hint="eastAsia"/>
        </w:rPr>
      </w:pPr>
      <w:r>
        <w:rPr>
          <w:rFonts w:hint="eastAsia"/>
        </w:rPr>
        <w:tab/>
      </w:r>
      <w:r>
        <w:t>81.</w:t>
      </w:r>
      <w:r>
        <w:rPr>
          <w:rFonts w:hint="eastAsia"/>
        </w:rPr>
        <w:t xml:space="preserve">  </w:t>
      </w:r>
      <w:r>
        <w:rPr>
          <w:rFonts w:hint="eastAsia"/>
        </w:rPr>
        <w:t>有关情况与第一次报告第</w:t>
      </w:r>
      <w:r>
        <w:t>49</w:t>
      </w:r>
      <w:r>
        <w:rPr>
          <w:rFonts w:hint="eastAsia"/>
        </w:rPr>
        <w:t>至第</w:t>
      </w:r>
      <w:r>
        <w:t>51</w:t>
      </w:r>
      <w:r>
        <w:rPr>
          <w:rFonts w:hint="eastAsia"/>
        </w:rPr>
        <w:t>段所述的大致相同。截至二零零四年十二月三十一日，我们已签订了</w:t>
      </w:r>
      <w:r>
        <w:t>17</w:t>
      </w:r>
      <w:r>
        <w:rPr>
          <w:rFonts w:hint="eastAsia"/>
        </w:rPr>
        <w:t>份有关刑事事宜相互法律协助的双边协议。</w:t>
      </w:r>
    </w:p>
    <w:p w:rsidR="00000000" w:rsidRDefault="00954A93">
      <w:pPr>
        <w:spacing w:after="160"/>
        <w:rPr>
          <w:rFonts w:hint="eastAsia"/>
        </w:rPr>
      </w:pPr>
      <w:r>
        <w:rPr>
          <w:rFonts w:hint="eastAsia"/>
        </w:rPr>
        <w:tab/>
      </w:r>
      <w:r>
        <w:t>82.</w:t>
      </w:r>
      <w:r>
        <w:rPr>
          <w:rFonts w:hint="eastAsia"/>
        </w:rPr>
        <w:t xml:space="preserve">  </w:t>
      </w:r>
      <w:r>
        <w:rPr>
          <w:rFonts w:hint="eastAsia"/>
        </w:rPr>
        <w:t>有论者询问为何中国</w:t>
      </w:r>
      <w:r>
        <w:rPr>
          <w:rFonts w:ascii="SimSun" w:hAnsi="SimSun" w:cs="SimSun" w:hint="eastAsia"/>
        </w:rPr>
        <w:t>内</w:t>
      </w:r>
      <w:r>
        <w:rPr>
          <w:rFonts w:ascii="MS Mincho" w:hAnsi="MS Mincho" w:cs="MS Mincho" w:hint="eastAsia"/>
        </w:rPr>
        <w:t>地和香港特区之间没有签订刑事事宜相互法律协助协议。事实上，在刑事调</w:t>
      </w:r>
      <w:r>
        <w:rPr>
          <w:rFonts w:ascii="SimSun" w:hAnsi="SimSun" w:cs="SimSun" w:hint="eastAsia"/>
        </w:rPr>
        <w:t>查</w:t>
      </w:r>
      <w:r>
        <w:rPr>
          <w:rFonts w:ascii="MS Mincho" w:hAnsi="MS Mincho" w:cs="MS Mincho" w:hint="eastAsia"/>
        </w:rPr>
        <w:t>方面，双方的警察机关已有根据国际刑警的做法提供相互协助。</w:t>
      </w:r>
    </w:p>
    <w:p w:rsidR="00000000" w:rsidRDefault="00954A93">
      <w:pPr>
        <w:pStyle w:val="Heading3"/>
        <w:rPr>
          <w:rFonts w:hint="eastAsia"/>
        </w:rPr>
      </w:pPr>
      <w:r>
        <w:rPr>
          <w:rFonts w:hint="eastAsia"/>
        </w:rPr>
        <w:t>第</w:t>
      </w:r>
      <w:r>
        <w:rPr>
          <w:b/>
          <w:bCs/>
        </w:rPr>
        <w:t>10</w:t>
      </w:r>
      <w:r>
        <w:rPr>
          <w:rFonts w:hint="eastAsia"/>
        </w:rPr>
        <w:t>条</w:t>
      </w:r>
      <w:r>
        <w:rPr>
          <w:rFonts w:hint="eastAsia"/>
          <w:u w:val="none"/>
        </w:rPr>
        <w:t>：有关禁止酷刑的教育和资料</w:t>
      </w:r>
    </w:p>
    <w:p w:rsidR="00000000" w:rsidRDefault="00954A93">
      <w:pPr>
        <w:pStyle w:val="Heading4"/>
        <w:rPr>
          <w:rFonts w:hint="eastAsia"/>
        </w:rPr>
      </w:pPr>
      <w:r>
        <w:rPr>
          <w:rFonts w:hint="eastAsia"/>
        </w:rPr>
        <w:t>概</w:t>
      </w:r>
      <w:r>
        <w:rPr>
          <w:rFonts w:hint="eastAsia"/>
        </w:rPr>
        <w:t xml:space="preserve">  </w:t>
      </w:r>
      <w:r>
        <w:rPr>
          <w:rFonts w:hint="eastAsia"/>
        </w:rPr>
        <w:t>况</w:t>
      </w:r>
    </w:p>
    <w:p w:rsidR="00000000" w:rsidRDefault="00954A93">
      <w:pPr>
        <w:spacing w:after="240" w:line="312" w:lineRule="auto"/>
        <w:rPr>
          <w:rFonts w:eastAsia="華康中黑體" w:hint="eastAsia"/>
          <w:b/>
          <w:szCs w:val="28"/>
        </w:rPr>
      </w:pPr>
      <w:r>
        <w:rPr>
          <w:rFonts w:hint="eastAsia"/>
        </w:rPr>
        <w:tab/>
      </w:r>
      <w:r>
        <w:t>83.</w:t>
      </w:r>
      <w:r>
        <w:rPr>
          <w:rFonts w:hint="eastAsia"/>
        </w:rPr>
        <w:t xml:space="preserve">  </w:t>
      </w:r>
      <w:r>
        <w:rPr>
          <w:rFonts w:hint="eastAsia"/>
        </w:rPr>
        <w:t>除了下文所述的一些发展外，目前情况与第一次报告第</w:t>
      </w:r>
      <w:r>
        <w:t>52</w:t>
      </w:r>
      <w:r>
        <w:rPr>
          <w:rFonts w:hint="eastAsia"/>
        </w:rPr>
        <w:t>至第</w:t>
      </w:r>
      <w:r>
        <w:t>58</w:t>
      </w:r>
      <w:r>
        <w:rPr>
          <w:rFonts w:hint="eastAsia"/>
        </w:rPr>
        <w:t>段所述的大致相同。在此顺带一提，我们已把联合国人权事务高级专员办事处发出的《酷刑和其他残忍、不人道或有辱人格的待遇或处罚的有效调</w:t>
      </w:r>
      <w:r>
        <w:rPr>
          <w:rFonts w:ascii="SimSun" w:hAnsi="SimSun" w:cs="SimSun" w:hint="eastAsia"/>
        </w:rPr>
        <w:t>查</w:t>
      </w:r>
      <w:r>
        <w:rPr>
          <w:rFonts w:ascii="MS Mincho" w:hAnsi="MS Mincho" w:cs="MS Mincho" w:hint="eastAsia"/>
        </w:rPr>
        <w:t>和文件</w:t>
      </w:r>
      <w:r>
        <w:rPr>
          <w:rFonts w:hint="eastAsia"/>
        </w:rPr>
        <w:t>记</w:t>
      </w:r>
      <w:r>
        <w:rPr>
          <w:rFonts w:ascii="SimSun" w:hAnsi="SimSun" w:cs="SimSun" w:hint="eastAsia"/>
        </w:rPr>
        <w:t>录</w:t>
      </w:r>
      <w:r>
        <w:rPr>
          <w:rFonts w:ascii="MS Mincho" w:hAnsi="MS Mincho" w:cs="MS Mincho" w:hint="eastAsia"/>
        </w:rPr>
        <w:t>守则》</w:t>
      </w:r>
      <w:r>
        <w:t>(</w:t>
      </w:r>
      <w:r>
        <w:rPr>
          <w:rFonts w:hint="eastAsia"/>
        </w:rPr>
        <w:t>伊斯坦布尔议定书</w:t>
      </w:r>
      <w:r>
        <w:t>)</w:t>
      </w:r>
      <w:r>
        <w:rPr>
          <w:rFonts w:hint="eastAsia"/>
        </w:rPr>
        <w:t>，分发给香港特区政府有关决策局和部门</w:t>
      </w:r>
      <w:r>
        <w:t>(</w:t>
      </w:r>
      <w:r>
        <w:rPr>
          <w:rFonts w:hint="eastAsia"/>
        </w:rPr>
        <w:t>包括下文提到的决策局和部门</w:t>
      </w:r>
      <w:r>
        <w:t>)</w:t>
      </w:r>
      <w:r>
        <w:rPr>
          <w:rFonts w:hint="eastAsia"/>
        </w:rPr>
        <w:t>，以供知照。</w:t>
      </w:r>
    </w:p>
    <w:p w:rsidR="00000000" w:rsidRDefault="00954A93">
      <w:pPr>
        <w:pStyle w:val="Heading4"/>
        <w:rPr>
          <w:rFonts w:hint="eastAsia"/>
        </w:rPr>
      </w:pPr>
      <w:r>
        <w:rPr>
          <w:rFonts w:hint="eastAsia"/>
        </w:rPr>
        <w:t>警务处</w:t>
      </w:r>
    </w:p>
    <w:p w:rsidR="00000000" w:rsidRDefault="00954A93">
      <w:pPr>
        <w:spacing w:line="326" w:lineRule="auto"/>
        <w:rPr>
          <w:rFonts w:hint="eastAsia"/>
        </w:rPr>
      </w:pPr>
      <w:r>
        <w:rPr>
          <w:rFonts w:hint="eastAsia"/>
        </w:rPr>
        <w:tab/>
      </w:r>
      <w:r>
        <w:t>84.</w:t>
      </w:r>
      <w:r>
        <w:rPr>
          <w:rFonts w:hint="eastAsia"/>
        </w:rPr>
        <w:t xml:space="preserve">  </w:t>
      </w:r>
      <w:r>
        <w:rPr>
          <w:rFonts w:hint="eastAsia"/>
        </w:rPr>
        <w:t>委员会在二零零零年发表的审议结论第</w:t>
      </w:r>
      <w:r>
        <w:t>39</w:t>
      </w:r>
      <w:r>
        <w:rPr>
          <w:rFonts w:hint="eastAsia"/>
        </w:rPr>
        <w:t>段中，建议“沿用并加强现有的防范措施，包括为执法人员提供训练”。目前情况与第一次报告第</w:t>
      </w:r>
      <w:r>
        <w:t>52</w:t>
      </w:r>
      <w:r>
        <w:rPr>
          <w:rFonts w:hint="eastAsia"/>
        </w:rPr>
        <w:t>段所述的大致相同。不过，除此之外，前线警务人员还定期参加在</w:t>
      </w:r>
      <w:r>
        <w:rPr>
          <w:rFonts w:hint="eastAsia"/>
        </w:rPr>
        <w:t>职及进修课程，这些课程旨在提醒他们在拘捕行动中必须使用最少武力，并要遵守《</w:t>
      </w:r>
      <w:r>
        <w:rPr>
          <w:rFonts w:ascii="SimSun" w:hAnsi="SimSun" w:cs="SimSun" w:hint="eastAsia"/>
        </w:rPr>
        <w:t>查</w:t>
      </w:r>
      <w:r>
        <w:rPr>
          <w:rFonts w:ascii="MS Mincho" w:hAnsi="MS Mincho" w:cs="MS Mincho" w:hint="eastAsia"/>
        </w:rPr>
        <w:t>问疑犯及</w:t>
      </w:r>
      <w:r>
        <w:rPr>
          <w:rFonts w:ascii="SimSun" w:hAnsi="SimSun" w:cs="SimSun" w:hint="eastAsia"/>
        </w:rPr>
        <w:t>录</w:t>
      </w:r>
      <w:r>
        <w:rPr>
          <w:rFonts w:ascii="MS Mincho" w:hAnsi="MS Mincho" w:cs="MS Mincho" w:hint="eastAsia"/>
        </w:rPr>
        <w:t>取口供的规则及指示》。训练的</w:t>
      </w:r>
      <w:r>
        <w:rPr>
          <w:rFonts w:ascii="SimSun" w:hAnsi="SimSun" w:cs="SimSun" w:hint="eastAsia"/>
        </w:rPr>
        <w:t>内</w:t>
      </w:r>
      <w:r>
        <w:rPr>
          <w:rFonts w:ascii="MS Mincho" w:hAnsi="MS Mincho" w:cs="MS Mincho" w:hint="eastAsia"/>
        </w:rPr>
        <w:t>容包括：《香港人权法案条例》、《刑事罪行</w:t>
      </w:r>
      <w:r>
        <w:t>(</w:t>
      </w:r>
      <w:r>
        <w:rPr>
          <w:rFonts w:hint="eastAsia"/>
        </w:rPr>
        <w:t>酷刑</w:t>
      </w:r>
      <w:r>
        <w:t>)</w:t>
      </w:r>
      <w:r>
        <w:rPr>
          <w:rFonts w:hint="eastAsia"/>
        </w:rPr>
        <w:t>条例》、使用武力、处理和</w:t>
      </w:r>
      <w:r>
        <w:rPr>
          <w:rFonts w:ascii="SimSun" w:hAnsi="SimSun" w:cs="SimSun" w:hint="eastAsia"/>
        </w:rPr>
        <w:t>查</w:t>
      </w:r>
      <w:r>
        <w:rPr>
          <w:rFonts w:ascii="MS Mincho" w:hAnsi="MS Mincho" w:cs="MS Mincho" w:hint="eastAsia"/>
        </w:rPr>
        <w:t>问疑</w:t>
      </w:r>
      <w:r>
        <w:rPr>
          <w:rFonts w:hint="eastAsia"/>
        </w:rPr>
        <w:t>犯、警诫供词、照顾和羁留囚犯等。</w:t>
      </w:r>
    </w:p>
    <w:p w:rsidR="00000000" w:rsidRDefault="00954A93">
      <w:pPr>
        <w:spacing w:after="240" w:line="326" w:lineRule="auto"/>
        <w:rPr>
          <w:rFonts w:hint="eastAsia"/>
        </w:rPr>
      </w:pPr>
      <w:r>
        <w:rPr>
          <w:rFonts w:hint="eastAsia"/>
        </w:rPr>
        <w:tab/>
      </w:r>
      <w:r>
        <w:t>85.</w:t>
      </w:r>
      <w:r>
        <w:rPr>
          <w:rFonts w:hint="eastAsia"/>
        </w:rPr>
        <w:t xml:space="preserve">  </w:t>
      </w:r>
      <w:r>
        <w:rPr>
          <w:rFonts w:hint="eastAsia"/>
        </w:rPr>
        <w:t>有论者指出，我们应该在今次报告中阐述警务人员就处理家庭暴力、虐待长者和儿童个案方面所接受的训练。事实上，警务人员确有定期接受这方面的训练，但是，我们不认为这类个案所</w:t>
      </w:r>
      <w:r>
        <w:rPr>
          <w:rFonts w:ascii="SimSun" w:hAnsi="SimSun" w:cs="SimSun" w:hint="eastAsia"/>
        </w:rPr>
        <w:t>涉</w:t>
      </w:r>
      <w:r>
        <w:rPr>
          <w:rFonts w:ascii="MS Mincho" w:hAnsi="MS Mincho" w:cs="MS Mincho" w:hint="eastAsia"/>
        </w:rPr>
        <w:t>及的暴力和虐待行为，已达到公约第</w:t>
      </w:r>
      <w:r>
        <w:t>1.1</w:t>
      </w:r>
      <w:r>
        <w:rPr>
          <w:rFonts w:hint="eastAsia"/>
        </w:rPr>
        <w:t>条所界定酷刑的程度。如认为这类个案属于公约的范围，有关行为也只可视作</w:t>
      </w:r>
      <w:r>
        <w:rPr>
          <w:rFonts w:hint="eastAsia"/>
        </w:rPr>
        <w:t>“残忍或不人道的待遇或处罚”。因此，我们会在下文第</w:t>
      </w:r>
      <w:r>
        <w:t>138</w:t>
      </w:r>
      <w:r>
        <w:rPr>
          <w:rFonts w:hint="eastAsia"/>
        </w:rPr>
        <w:t>至第</w:t>
      </w:r>
      <w:r>
        <w:t>139</w:t>
      </w:r>
      <w:r>
        <w:rPr>
          <w:rFonts w:hint="eastAsia"/>
        </w:rPr>
        <w:t>段论述公约第</w:t>
      </w:r>
      <w:r>
        <w:t>16</w:t>
      </w:r>
      <w:r>
        <w:rPr>
          <w:rFonts w:hint="eastAsia"/>
        </w:rPr>
        <w:t>条的段落中研究这个问题；不过，我们对于这个处理方法始终有所保留，原因是这些个案</w:t>
      </w:r>
      <w:r>
        <w:rPr>
          <w:rFonts w:ascii="SimSun" w:hAnsi="SimSun" w:cs="SimSun" w:hint="eastAsia"/>
        </w:rPr>
        <w:t>涉</w:t>
      </w:r>
      <w:r>
        <w:rPr>
          <w:rFonts w:ascii="MS Mincho" w:hAnsi="MS Mincho" w:cs="MS Mincho" w:hint="eastAsia"/>
        </w:rPr>
        <w:t>及当事人以个人身分作出的行为，所</w:t>
      </w:r>
      <w:r>
        <w:rPr>
          <w:rFonts w:hint="eastAsia"/>
        </w:rPr>
        <w:t>以我们认为不属于公约的范围。</w:t>
      </w:r>
    </w:p>
    <w:p w:rsidR="00000000" w:rsidRDefault="00954A93">
      <w:pPr>
        <w:pStyle w:val="Heading4"/>
        <w:rPr>
          <w:rFonts w:eastAsia="華康中黑體" w:hint="eastAsia"/>
          <w:b/>
          <w:bCs/>
        </w:rPr>
      </w:pPr>
      <w:r>
        <w:rPr>
          <w:rFonts w:hint="eastAsia"/>
        </w:rPr>
        <w:t>惩教署</w:t>
      </w:r>
    </w:p>
    <w:p w:rsidR="00000000" w:rsidRDefault="00954A93">
      <w:pPr>
        <w:spacing w:after="240"/>
        <w:rPr>
          <w:rFonts w:hint="eastAsia"/>
        </w:rPr>
      </w:pPr>
      <w:r>
        <w:rPr>
          <w:rFonts w:hint="eastAsia"/>
        </w:rPr>
        <w:tab/>
      </w:r>
      <w:r>
        <w:t>86.</w:t>
      </w:r>
      <w:r>
        <w:rPr>
          <w:rFonts w:hint="eastAsia"/>
        </w:rPr>
        <w:t xml:space="preserve">  </w:t>
      </w:r>
      <w:r>
        <w:rPr>
          <w:rFonts w:ascii="華康細明體" w:hint="eastAsia"/>
        </w:rPr>
        <w:t>《</w:t>
      </w:r>
      <w:r>
        <w:rPr>
          <w:rFonts w:hint="eastAsia"/>
        </w:rPr>
        <w:t>监狱条例</w:t>
      </w:r>
      <w:r>
        <w:rPr>
          <w:rFonts w:ascii="華康細明體" w:hint="eastAsia"/>
        </w:rPr>
        <w:t>》</w:t>
      </w:r>
      <w:r>
        <w:t>(</w:t>
      </w:r>
      <w:r>
        <w:rPr>
          <w:rFonts w:hint="eastAsia"/>
        </w:rPr>
        <w:t>第</w:t>
      </w:r>
      <w:r>
        <w:t>234</w:t>
      </w:r>
      <w:r>
        <w:rPr>
          <w:rFonts w:hint="eastAsia"/>
        </w:rPr>
        <w:t>章</w:t>
      </w:r>
      <w:r>
        <w:t>)</w:t>
      </w:r>
      <w:r>
        <w:rPr>
          <w:rFonts w:hint="eastAsia"/>
        </w:rPr>
        <w:t>及其附属法例已明确规定，惩教署部属人员须以和善及合乎人道的态度对待囚犯。署方已把这些规定纳入部门的</w:t>
      </w:r>
      <w:r>
        <w:rPr>
          <w:rFonts w:ascii="華康細明體" w:hint="eastAsia"/>
        </w:rPr>
        <w:t>“</w:t>
      </w:r>
      <w:r>
        <w:rPr>
          <w:rFonts w:hint="eastAsia"/>
        </w:rPr>
        <w:t>抱负、任务及价</w:t>
      </w:r>
      <w:r>
        <w:rPr>
          <w:rFonts w:ascii="SimSun" w:hAnsi="SimSun" w:cs="SimSun" w:hint="eastAsia"/>
        </w:rPr>
        <w:t>值</w:t>
      </w:r>
      <w:r>
        <w:rPr>
          <w:rFonts w:ascii="MS Mincho" w:hAnsi="MS Mincho" w:cs="MS Mincho" w:hint="eastAsia"/>
        </w:rPr>
        <w:t>观</w:t>
      </w:r>
      <w:r>
        <w:rPr>
          <w:rFonts w:ascii="華康細明體" w:hint="eastAsia"/>
        </w:rPr>
        <w:t>宣言”</w:t>
      </w:r>
      <w:r>
        <w:rPr>
          <w:rFonts w:ascii="SimSun" w:hAnsi="SimSun" w:cs="SimSun" w:hint="eastAsia"/>
        </w:rPr>
        <w:t>内</w:t>
      </w:r>
      <w:r>
        <w:rPr>
          <w:rFonts w:ascii="MS Mincho" w:hAnsi="MS Mincho" w:cs="MS Mincho" w:hint="eastAsia"/>
        </w:rPr>
        <w:t>，表明由署方监管的人均有权获得恰当、公平和顾及尊严的待遇。在职员训练方面，惩教署强调不可对受监管的人予以残忍和有</w:t>
      </w:r>
      <w:r>
        <w:rPr>
          <w:rFonts w:ascii="華康細明體" w:hint="eastAsia"/>
        </w:rPr>
        <w:t>辱人</w:t>
      </w:r>
      <w:r>
        <w:rPr>
          <w:rFonts w:ascii="華康細明體" w:hint="eastAsia"/>
        </w:rPr>
        <w:t>格的待遇或惩罚。因此，该署的有关情况与第一次报告第</w:t>
      </w:r>
      <w:r>
        <w:t>53</w:t>
      </w:r>
      <w:r>
        <w:rPr>
          <w:rFonts w:hint="eastAsia"/>
        </w:rPr>
        <w:t>段所述的大致相同。</w:t>
      </w:r>
    </w:p>
    <w:p w:rsidR="00000000" w:rsidRDefault="00954A93">
      <w:pPr>
        <w:pStyle w:val="Heading4"/>
        <w:rPr>
          <w:rFonts w:hint="eastAsia"/>
        </w:rPr>
      </w:pPr>
      <w:r>
        <w:rPr>
          <w:rFonts w:hint="eastAsia"/>
        </w:rPr>
        <w:t>香港海关、入境事务处及廉政公署</w:t>
      </w:r>
    </w:p>
    <w:p w:rsidR="00000000" w:rsidRDefault="00954A93">
      <w:pPr>
        <w:spacing w:after="240"/>
        <w:rPr>
          <w:rFonts w:hint="eastAsia"/>
        </w:rPr>
      </w:pPr>
      <w:r>
        <w:rPr>
          <w:rFonts w:hint="eastAsia"/>
        </w:rPr>
        <w:tab/>
      </w:r>
      <w:r>
        <w:t>87.</w:t>
      </w:r>
      <w:r>
        <w:rPr>
          <w:rFonts w:hint="eastAsia"/>
        </w:rPr>
        <w:t xml:space="preserve">  </w:t>
      </w:r>
      <w:r>
        <w:rPr>
          <w:rFonts w:ascii="華康細明體" w:hint="eastAsia"/>
        </w:rPr>
        <w:t>目前情况与第一次报告第</w:t>
      </w:r>
      <w:r>
        <w:t>54</w:t>
      </w:r>
      <w:r>
        <w:rPr>
          <w:rFonts w:hint="eastAsia"/>
        </w:rPr>
        <w:t>至第</w:t>
      </w:r>
      <w:r>
        <w:t>56</w:t>
      </w:r>
      <w:r>
        <w:rPr>
          <w:rFonts w:hint="eastAsia"/>
        </w:rPr>
        <w:t>段所述的大致相同。</w:t>
      </w:r>
    </w:p>
    <w:p w:rsidR="00000000" w:rsidRDefault="00954A93">
      <w:pPr>
        <w:pStyle w:val="Heading4"/>
        <w:rPr>
          <w:rFonts w:hint="eastAsia"/>
        </w:rPr>
      </w:pPr>
      <w:r>
        <w:rPr>
          <w:rFonts w:hint="eastAsia"/>
        </w:rPr>
        <w:t>医护人员</w:t>
      </w:r>
    </w:p>
    <w:p w:rsidR="00000000" w:rsidRDefault="00954A93">
      <w:pPr>
        <w:spacing w:after="240"/>
        <w:rPr>
          <w:rFonts w:eastAsia="華康中黑體" w:hint="eastAsia"/>
          <w:b/>
          <w:bCs/>
          <w:u w:val="single"/>
        </w:rPr>
      </w:pPr>
      <w:r>
        <w:rPr>
          <w:rFonts w:hint="eastAsia"/>
        </w:rPr>
        <w:tab/>
      </w:r>
      <w:r>
        <w:t>88.</w:t>
      </w:r>
      <w:r>
        <w:rPr>
          <w:rFonts w:hint="eastAsia"/>
        </w:rPr>
        <w:t xml:space="preserve">  </w:t>
      </w:r>
      <w:r>
        <w:rPr>
          <w:rFonts w:ascii="華康細明體" w:hint="eastAsia"/>
        </w:rPr>
        <w:t>目前情况与第一次报告第</w:t>
      </w:r>
      <w:r>
        <w:t>57</w:t>
      </w:r>
      <w:r>
        <w:rPr>
          <w:rFonts w:hint="eastAsia"/>
        </w:rPr>
        <w:t>及第</w:t>
      </w:r>
      <w:r>
        <w:t>58</w:t>
      </w:r>
      <w:r>
        <w:rPr>
          <w:rFonts w:hint="eastAsia"/>
        </w:rPr>
        <w:t>段所述的大致相同。</w:t>
      </w:r>
    </w:p>
    <w:p w:rsidR="00000000" w:rsidRDefault="00954A93">
      <w:pPr>
        <w:pStyle w:val="Heading3"/>
        <w:rPr>
          <w:rFonts w:hint="eastAsia"/>
        </w:rPr>
      </w:pPr>
      <w:r>
        <w:rPr>
          <w:rFonts w:hint="eastAsia"/>
        </w:rPr>
        <w:t>第</w:t>
      </w:r>
      <w:r>
        <w:rPr>
          <w:b/>
        </w:rPr>
        <w:t>11</w:t>
      </w:r>
      <w:r>
        <w:rPr>
          <w:rFonts w:hint="eastAsia"/>
        </w:rPr>
        <w:t>条</w:t>
      </w:r>
      <w:r>
        <w:rPr>
          <w:rFonts w:hint="eastAsia"/>
          <w:u w:val="none"/>
        </w:rPr>
        <w:t>：检讨对被逮捕或拘留人士进行盘问的</w:t>
      </w:r>
      <w:r>
        <w:rPr>
          <w:u w:val="none"/>
        </w:rPr>
        <w:br/>
      </w:r>
      <w:r>
        <w:rPr>
          <w:rFonts w:hint="eastAsia"/>
          <w:u w:val="none"/>
        </w:rPr>
        <w:t>规则、指示、方法和惯例</w:t>
      </w:r>
    </w:p>
    <w:p w:rsidR="00000000" w:rsidRDefault="00954A93">
      <w:pPr>
        <w:spacing w:after="240"/>
        <w:rPr>
          <w:rFonts w:hint="eastAsia"/>
        </w:rPr>
      </w:pPr>
      <w:r>
        <w:rPr>
          <w:rFonts w:hint="eastAsia"/>
        </w:rPr>
        <w:tab/>
      </w:r>
      <w:r>
        <w:t>89.</w:t>
      </w:r>
      <w:r>
        <w:rPr>
          <w:rFonts w:hint="eastAsia"/>
        </w:rPr>
        <w:t xml:space="preserve">  </w:t>
      </w:r>
      <w:r>
        <w:rPr>
          <w:rFonts w:hint="eastAsia"/>
        </w:rPr>
        <w:t>在第一次报告第</w:t>
      </w:r>
      <w:r>
        <w:t>59</w:t>
      </w:r>
      <w:r>
        <w:rPr>
          <w:rFonts w:hint="eastAsia"/>
        </w:rPr>
        <w:t>至第</w:t>
      </w:r>
      <w:r>
        <w:t>84</w:t>
      </w:r>
      <w:r>
        <w:rPr>
          <w:rFonts w:hint="eastAsia"/>
        </w:rPr>
        <w:t>段，我们向委员会</w:t>
      </w:r>
      <w:r>
        <w:rPr>
          <w:rFonts w:ascii="SimSun" w:hAnsi="SimSun" w:cs="SimSun" w:hint="eastAsia"/>
        </w:rPr>
        <w:t>说</w:t>
      </w:r>
      <w:r>
        <w:rPr>
          <w:rFonts w:ascii="MS Mincho" w:hAnsi="MS Mincho" w:cs="MS Mincho" w:hint="eastAsia"/>
        </w:rPr>
        <w:t>明，我们有意就执法机关在截停、搜</w:t>
      </w:r>
      <w:r>
        <w:rPr>
          <w:rFonts w:ascii="SimSun" w:hAnsi="SimSun" w:cs="SimSun" w:hint="eastAsia"/>
        </w:rPr>
        <w:t>查</w:t>
      </w:r>
      <w:r>
        <w:rPr>
          <w:rFonts w:ascii="MS Mincho" w:hAnsi="MS Mincho" w:cs="MS Mincho" w:hint="eastAsia"/>
        </w:rPr>
        <w:t>、逮捕和拘留方面的权力的现有惯例及法例作出改善。我们也论及纪律部队的规则及惯例，包括如何</w:t>
      </w:r>
      <w:r>
        <w:rPr>
          <w:rFonts w:ascii="SimSun" w:hAnsi="SimSun" w:cs="SimSun" w:hint="eastAsia"/>
        </w:rPr>
        <w:t>查</w:t>
      </w:r>
      <w:r>
        <w:rPr>
          <w:rFonts w:ascii="MS Mincho" w:hAnsi="MS Mincho" w:cs="MS Mincho" w:hint="eastAsia"/>
        </w:rPr>
        <w:t>看身体受虐待</w:t>
      </w:r>
      <w:r>
        <w:rPr>
          <w:rFonts w:ascii="MS Mincho" w:hAnsi="MS Mincho" w:cs="MS Mincho" w:hint="eastAsia"/>
        </w:rPr>
        <w:t>/</w:t>
      </w:r>
      <w:r>
        <w:rPr>
          <w:rFonts w:ascii="MS Mincho" w:hAnsi="MS Mincho" w:cs="MS Mincho" w:hint="eastAsia"/>
        </w:rPr>
        <w:t>酷</w:t>
      </w:r>
      <w:r>
        <w:rPr>
          <w:rFonts w:ascii="MS Mincho" w:hAnsi="MS Mincho" w:cs="MS Mincho" w:hint="eastAsia"/>
        </w:rPr>
        <w:t>刑的</w:t>
      </w:r>
      <w:r>
        <w:rPr>
          <w:rFonts w:ascii="SimSun" w:hAnsi="SimSun" w:cs="SimSun" w:hint="eastAsia"/>
        </w:rPr>
        <w:t>征</w:t>
      </w:r>
      <w:r>
        <w:rPr>
          <w:rFonts w:ascii="MS Mincho" w:hAnsi="MS Mincho" w:cs="MS Mincho" w:hint="eastAsia"/>
        </w:rPr>
        <w:t>象、防止犯人在拘留期间自杀的措施，以及给予羁留在精神病院的人士的保障。我们阐述了医护人员在监管下为病人进行电痉挛治疗的情况，这种治疗法用于严重抑郁病患者，并在病人对药物反应欠佳时作为</w:t>
      </w:r>
      <w:r>
        <w:rPr>
          <w:rFonts w:hint="eastAsia"/>
        </w:rPr>
        <w:t>安定神经的辅助疗法。我们会就本港自提交第一次报告后在这方面所取得的进展告知委员会。</w:t>
      </w:r>
    </w:p>
    <w:p w:rsidR="00000000" w:rsidRDefault="00954A93">
      <w:pPr>
        <w:pStyle w:val="Heading4"/>
        <w:rPr>
          <w:rFonts w:hint="eastAsia"/>
          <w:b/>
          <w:szCs w:val="28"/>
        </w:rPr>
      </w:pPr>
      <w:r>
        <w:rPr>
          <w:rFonts w:hint="eastAsia"/>
        </w:rPr>
        <w:t>《</w:t>
      </w:r>
      <w:r>
        <w:t>2000</w:t>
      </w:r>
      <w:r>
        <w:rPr>
          <w:rFonts w:hint="eastAsia"/>
        </w:rPr>
        <w:t>年危险药物、总督特派廉政专员公署及警队</w:t>
      </w:r>
      <w:r>
        <w:t>(</w:t>
      </w:r>
      <w:r>
        <w:rPr>
          <w:rFonts w:hint="eastAsia"/>
        </w:rPr>
        <w:t>修订</w:t>
      </w:r>
      <w:r>
        <w:t>)</w:t>
      </w:r>
      <w:r>
        <w:rPr>
          <w:rFonts w:hint="eastAsia"/>
        </w:rPr>
        <w:t>条例</w:t>
      </w:r>
      <w:r>
        <w:rPr>
          <w:rFonts w:hint="eastAsia"/>
          <w:u w:val="none"/>
        </w:rPr>
        <w:t>》</w:t>
      </w:r>
    </w:p>
    <w:p w:rsidR="00000000" w:rsidRDefault="00954A93">
      <w:pPr>
        <w:rPr>
          <w:rFonts w:hint="eastAsia"/>
        </w:rPr>
      </w:pPr>
      <w:r>
        <w:rPr>
          <w:rFonts w:hint="eastAsia"/>
        </w:rPr>
        <w:tab/>
      </w:r>
      <w:r>
        <w:t xml:space="preserve">90. </w:t>
      </w:r>
      <w:r>
        <w:rPr>
          <w:rFonts w:hint="eastAsia"/>
        </w:rPr>
        <w:t xml:space="preserve"> </w:t>
      </w:r>
      <w:r>
        <w:rPr>
          <w:rFonts w:hint="eastAsia"/>
        </w:rPr>
        <w:t>我们在第一次报告第</w:t>
      </w:r>
      <w:r>
        <w:t>59</w:t>
      </w:r>
      <w:r>
        <w:rPr>
          <w:rFonts w:hint="eastAsia"/>
        </w:rPr>
        <w:t>段告知委员会，政府在一九九七年就执法机关在截停、搜</w:t>
      </w:r>
      <w:r>
        <w:rPr>
          <w:rFonts w:ascii="SimSun" w:hAnsi="SimSun" w:cs="SimSun" w:hint="eastAsia"/>
        </w:rPr>
        <w:t>查</w:t>
      </w:r>
      <w:r>
        <w:rPr>
          <w:rFonts w:ascii="MS Mincho" w:hAnsi="MS Mincho" w:cs="MS Mincho" w:hint="eastAsia"/>
        </w:rPr>
        <w:t>、逮捕和拘留人士的权力方面，实施了一项改善计划。政府为研究法律改革委员会的建议，曾成立一个</w:t>
      </w:r>
      <w:r>
        <w:rPr>
          <w:rFonts w:ascii="MS Mincho" w:hAnsi="MS Mincho" w:cs="MS Mincho" w:hint="eastAsia"/>
        </w:rPr>
        <w:t>工作小组。这项计划便是根据该工作小组所提出的建议而制定的，旨在改善关于防止执法人员滥用职权的现行措施。</w:t>
      </w:r>
    </w:p>
    <w:p w:rsidR="00000000" w:rsidRDefault="00954A93">
      <w:pPr>
        <w:rPr>
          <w:rFonts w:hint="eastAsia"/>
        </w:rPr>
      </w:pPr>
      <w:r>
        <w:rPr>
          <w:rFonts w:hint="eastAsia"/>
        </w:rPr>
        <w:tab/>
      </w:r>
      <w:r>
        <w:t>91.</w:t>
      </w:r>
      <w:r>
        <w:rPr>
          <w:rFonts w:hint="eastAsia"/>
        </w:rPr>
        <w:t xml:space="preserve">  </w:t>
      </w:r>
      <w:r>
        <w:rPr>
          <w:rFonts w:hint="eastAsia"/>
        </w:rPr>
        <w:t>为此，《</w:t>
      </w:r>
      <w:r>
        <w:t>2000</w:t>
      </w:r>
      <w:r>
        <w:rPr>
          <w:rFonts w:hint="eastAsia"/>
        </w:rPr>
        <w:t>年危险药物、总督特派廉政专员公署及警队</w:t>
      </w:r>
      <w:r>
        <w:t>(</w:t>
      </w:r>
      <w:r>
        <w:rPr>
          <w:rFonts w:hint="eastAsia"/>
        </w:rPr>
        <w:t>修订</w:t>
      </w:r>
      <w:r>
        <w:t>)</w:t>
      </w:r>
      <w:r>
        <w:rPr>
          <w:rFonts w:hint="eastAsia"/>
        </w:rPr>
        <w:t>条例》在二零零零年六月制定，并在二零零一年七月一日生效。条例授权警务处、香港海关，以及廉政公署从疑犯收取体</w:t>
      </w:r>
      <w:r>
        <w:rPr>
          <w:rFonts w:ascii="SimSun" w:hAnsi="SimSun" w:cs="SimSun" w:hint="eastAsia"/>
        </w:rPr>
        <w:t>内</w:t>
      </w:r>
      <w:r>
        <w:rPr>
          <w:rFonts w:ascii="MS Mincho" w:hAnsi="MS Mincho" w:cs="MS Mincho" w:hint="eastAsia"/>
        </w:rPr>
        <w:t>及非体</w:t>
      </w:r>
      <w:r>
        <w:rPr>
          <w:rFonts w:ascii="SimSun" w:hAnsi="SimSun" w:cs="SimSun" w:hint="eastAsia"/>
        </w:rPr>
        <w:t>内</w:t>
      </w:r>
      <w:r>
        <w:rPr>
          <w:rFonts w:ascii="MS Mincho" w:hAnsi="MS Mincho" w:cs="MS Mincho" w:hint="eastAsia"/>
        </w:rPr>
        <w:t>样本作</w:t>
      </w:r>
      <w:r>
        <w:rPr>
          <w:rFonts w:hint="eastAsia"/>
        </w:rPr>
        <w:t>法证科学分析，并规定设立</w:t>
      </w:r>
      <w:r>
        <w:t>DNA</w:t>
      </w:r>
      <w:r>
        <w:rPr>
          <w:rFonts w:hint="eastAsia"/>
        </w:rPr>
        <w:t>资料库。这些措施其后对于严重罪案的侦察和调</w:t>
      </w:r>
      <w:r>
        <w:rPr>
          <w:rFonts w:ascii="SimSun" w:hAnsi="SimSun" w:cs="SimSun" w:hint="eastAsia"/>
        </w:rPr>
        <w:t>查</w:t>
      </w:r>
      <w:r>
        <w:rPr>
          <w:rFonts w:ascii="MS Mincho" w:hAnsi="MS Mincho" w:cs="MS Mincho" w:hint="eastAsia"/>
        </w:rPr>
        <w:t>工作，发挥了不少功效。不过，为防止可能出现滥用职权的情况，条例也订明</w:t>
      </w:r>
      <w:r>
        <w:rPr>
          <w:rFonts w:hint="eastAsia"/>
        </w:rPr>
        <w:t>了多项保障措施，其中包括规定执法人员必须获警司级或以上的人员授权，才可</w:t>
      </w:r>
      <w:r>
        <w:rPr>
          <w:rFonts w:hint="eastAsia"/>
        </w:rPr>
        <w:t>从被羁留或看管的疑犯收取非体</w:t>
      </w:r>
      <w:r>
        <w:rPr>
          <w:rFonts w:ascii="SimSun" w:hAnsi="SimSun" w:cs="SimSun" w:hint="eastAsia"/>
        </w:rPr>
        <w:t>内</w:t>
      </w:r>
      <w:r>
        <w:rPr>
          <w:rFonts w:ascii="MS Mincho" w:hAnsi="MS Mincho" w:cs="MS Mincho" w:hint="eastAsia"/>
        </w:rPr>
        <w:t>样本。至于收取体</w:t>
      </w:r>
      <w:r>
        <w:rPr>
          <w:rFonts w:ascii="SimSun" w:hAnsi="SimSun" w:cs="SimSun" w:hint="eastAsia"/>
        </w:rPr>
        <w:t>内</w:t>
      </w:r>
      <w:r>
        <w:rPr>
          <w:rFonts w:ascii="MS Mincho" w:hAnsi="MS Mincho" w:cs="MS Mincho" w:hint="eastAsia"/>
        </w:rPr>
        <w:t>样本，则须获：</w:t>
      </w:r>
    </w:p>
    <w:p w:rsidR="00000000" w:rsidRDefault="00954A93">
      <w:pPr>
        <w:tabs>
          <w:tab w:val="left" w:pos="600"/>
          <w:tab w:val="left" w:pos="1080"/>
          <w:tab w:val="left" w:pos="1701"/>
        </w:tabs>
        <w:autoSpaceDE w:val="0"/>
        <w:autoSpaceDN w:val="0"/>
        <w:ind w:left="1020"/>
        <w:rPr>
          <w:rFonts w:hint="eastAsia"/>
          <w:szCs w:val="28"/>
        </w:rPr>
      </w:pPr>
      <w:r>
        <w:rPr>
          <w:szCs w:val="28"/>
        </w:rPr>
        <w:t>(a)</w:t>
      </w:r>
      <w:r>
        <w:rPr>
          <w:szCs w:val="28"/>
        </w:rPr>
        <w:tab/>
      </w:r>
      <w:r>
        <w:rPr>
          <w:rFonts w:hint="eastAsia"/>
          <w:szCs w:val="28"/>
        </w:rPr>
        <w:t>警司级或以上的人员授权；</w:t>
      </w:r>
    </w:p>
    <w:p w:rsidR="00000000" w:rsidRDefault="00954A93">
      <w:pPr>
        <w:tabs>
          <w:tab w:val="left" w:pos="600"/>
          <w:tab w:val="left" w:pos="1080"/>
          <w:tab w:val="left" w:pos="1701"/>
        </w:tabs>
        <w:autoSpaceDE w:val="0"/>
        <w:autoSpaceDN w:val="0"/>
        <w:ind w:left="1020"/>
        <w:rPr>
          <w:rFonts w:hint="eastAsia"/>
          <w:szCs w:val="28"/>
        </w:rPr>
      </w:pPr>
      <w:r>
        <w:rPr>
          <w:szCs w:val="28"/>
        </w:rPr>
        <w:t>(b)</w:t>
      </w:r>
      <w:r>
        <w:rPr>
          <w:szCs w:val="28"/>
        </w:rPr>
        <w:tab/>
      </w:r>
      <w:r>
        <w:rPr>
          <w:rFonts w:hint="eastAsia"/>
          <w:szCs w:val="28"/>
        </w:rPr>
        <w:t>裁判官的批准；</w:t>
      </w:r>
    </w:p>
    <w:p w:rsidR="00000000" w:rsidRDefault="00954A93">
      <w:pPr>
        <w:tabs>
          <w:tab w:val="left" w:pos="600"/>
          <w:tab w:val="left" w:pos="1080"/>
          <w:tab w:val="left" w:pos="1701"/>
        </w:tabs>
        <w:autoSpaceDE w:val="0"/>
        <w:autoSpaceDN w:val="0"/>
        <w:ind w:left="1020"/>
        <w:rPr>
          <w:rFonts w:hint="eastAsia"/>
          <w:szCs w:val="28"/>
        </w:rPr>
      </w:pPr>
      <w:r>
        <w:rPr>
          <w:szCs w:val="28"/>
        </w:rPr>
        <w:t>(c)</w:t>
      </w:r>
      <w:r>
        <w:rPr>
          <w:szCs w:val="28"/>
        </w:rPr>
        <w:tab/>
      </w:r>
      <w:r>
        <w:rPr>
          <w:rFonts w:hint="eastAsia"/>
          <w:szCs w:val="28"/>
        </w:rPr>
        <w:t>疑犯的书面同意。</w:t>
      </w:r>
    </w:p>
    <w:p w:rsidR="00000000" w:rsidRDefault="00954A93">
      <w:pPr>
        <w:rPr>
          <w:rFonts w:hint="eastAsia"/>
        </w:rPr>
      </w:pPr>
      <w:r>
        <w:rPr>
          <w:rFonts w:hint="eastAsia"/>
        </w:rPr>
        <w:t>我们会继续采取适当的措施以落实工作小组的建议。为此，我们也会一并考虑在工作小组发表报告书后的最新发展</w:t>
      </w:r>
      <w:r>
        <w:rPr>
          <w:rFonts w:hint="eastAsia"/>
          <w:bCs/>
        </w:rPr>
        <w:t>。</w:t>
      </w:r>
      <w:r>
        <w:rPr>
          <w:rFonts w:hint="eastAsia"/>
        </w:rPr>
        <w:t>我们会力求在下列各方面取得平衡：</w:t>
      </w:r>
    </w:p>
    <w:p w:rsidR="00000000" w:rsidRDefault="00954A93">
      <w:pPr>
        <w:numPr>
          <w:ilvl w:val="0"/>
          <w:numId w:val="25"/>
        </w:numPr>
        <w:tabs>
          <w:tab w:val="clear" w:pos="722"/>
          <w:tab w:val="left" w:pos="1080"/>
          <w:tab w:val="num" w:pos="1380"/>
          <w:tab w:val="left" w:pos="1701"/>
        </w:tabs>
        <w:ind w:left="1380" w:right="567"/>
        <w:rPr>
          <w:rFonts w:hint="eastAsia"/>
          <w:szCs w:val="28"/>
        </w:rPr>
      </w:pPr>
      <w:r>
        <w:rPr>
          <w:rFonts w:hint="eastAsia"/>
          <w:szCs w:val="28"/>
        </w:rPr>
        <w:t>确保执法机关获授予所需权力以履行法定的职责；</w:t>
      </w:r>
    </w:p>
    <w:p w:rsidR="00000000" w:rsidRDefault="00954A93">
      <w:pPr>
        <w:numPr>
          <w:ilvl w:val="0"/>
          <w:numId w:val="25"/>
        </w:numPr>
        <w:tabs>
          <w:tab w:val="clear" w:pos="722"/>
          <w:tab w:val="left" w:pos="1080"/>
          <w:tab w:val="num" w:pos="1380"/>
          <w:tab w:val="left" w:pos="1701"/>
        </w:tabs>
        <w:ind w:left="1380" w:right="567"/>
        <w:rPr>
          <w:szCs w:val="28"/>
        </w:rPr>
      </w:pPr>
      <w:r>
        <w:rPr>
          <w:rFonts w:hint="eastAsia"/>
          <w:szCs w:val="28"/>
        </w:rPr>
        <w:t>防止可能出现滥用职权的情况；</w:t>
      </w:r>
    </w:p>
    <w:p w:rsidR="00000000" w:rsidRDefault="00954A93">
      <w:pPr>
        <w:numPr>
          <w:ilvl w:val="0"/>
          <w:numId w:val="25"/>
        </w:numPr>
        <w:tabs>
          <w:tab w:val="clear" w:pos="722"/>
          <w:tab w:val="left" w:pos="1080"/>
          <w:tab w:val="num" w:pos="1380"/>
          <w:tab w:val="left" w:pos="1701"/>
        </w:tabs>
        <w:spacing w:after="240"/>
        <w:ind w:left="1380" w:right="567"/>
        <w:rPr>
          <w:rFonts w:eastAsia="華康中黑體" w:hint="eastAsia"/>
          <w:b/>
          <w:bCs/>
          <w:szCs w:val="28"/>
        </w:rPr>
      </w:pPr>
      <w:r>
        <w:rPr>
          <w:rFonts w:hint="eastAsia"/>
          <w:szCs w:val="28"/>
        </w:rPr>
        <w:t>个人权利。</w:t>
      </w:r>
    </w:p>
    <w:p w:rsidR="00000000" w:rsidRDefault="00954A93">
      <w:pPr>
        <w:pStyle w:val="Heading4"/>
        <w:rPr>
          <w:rFonts w:hint="eastAsia"/>
          <w:szCs w:val="28"/>
        </w:rPr>
      </w:pPr>
      <w:r>
        <w:rPr>
          <w:rFonts w:hint="eastAsia"/>
        </w:rPr>
        <w:t>警务处</w:t>
      </w:r>
    </w:p>
    <w:p w:rsidR="00000000" w:rsidRDefault="00954A93">
      <w:pPr>
        <w:spacing w:after="240"/>
        <w:rPr>
          <w:rFonts w:hint="eastAsia"/>
        </w:rPr>
      </w:pPr>
      <w:r>
        <w:rPr>
          <w:rFonts w:hint="eastAsia"/>
        </w:rPr>
        <w:tab/>
      </w:r>
      <w:r>
        <w:t>92.</w:t>
      </w:r>
      <w:r>
        <w:rPr>
          <w:rFonts w:hint="eastAsia"/>
        </w:rPr>
        <w:t xml:space="preserve">  </w:t>
      </w:r>
      <w:r>
        <w:rPr>
          <w:rFonts w:hint="eastAsia"/>
        </w:rPr>
        <w:t>情况并无改变，与第一次报告第</w:t>
      </w:r>
      <w:r>
        <w:t>60</w:t>
      </w:r>
      <w:r>
        <w:rPr>
          <w:rFonts w:hint="eastAsia"/>
        </w:rPr>
        <w:t>段所阐释的大致相同。</w:t>
      </w:r>
    </w:p>
    <w:p w:rsidR="00000000" w:rsidRDefault="00954A93">
      <w:pPr>
        <w:pStyle w:val="Heading4"/>
        <w:rPr>
          <w:rFonts w:hint="eastAsia"/>
          <w:szCs w:val="28"/>
        </w:rPr>
      </w:pPr>
      <w:r>
        <w:rPr>
          <w:rFonts w:hint="eastAsia"/>
        </w:rPr>
        <w:t>惩教署</w:t>
      </w:r>
    </w:p>
    <w:p w:rsidR="00000000" w:rsidRDefault="00954A93">
      <w:pPr>
        <w:rPr>
          <w:rFonts w:hint="eastAsia"/>
        </w:rPr>
      </w:pPr>
      <w:r>
        <w:rPr>
          <w:rFonts w:hint="eastAsia"/>
          <w:szCs w:val="28"/>
        </w:rPr>
        <w:tab/>
      </w:r>
      <w:r>
        <w:rPr>
          <w:szCs w:val="28"/>
        </w:rPr>
        <w:t>93.</w:t>
      </w:r>
      <w:r>
        <w:rPr>
          <w:rFonts w:hint="eastAsia"/>
          <w:szCs w:val="28"/>
        </w:rPr>
        <w:t xml:space="preserve">  </w:t>
      </w:r>
      <w:r>
        <w:rPr>
          <w:rFonts w:hint="eastAsia"/>
          <w:szCs w:val="28"/>
        </w:rPr>
        <w:t>经立法会在二零零一年制定《更生中心条例》和附属</w:t>
      </w:r>
      <w:r>
        <w:rPr>
          <w:rFonts w:hint="eastAsia"/>
          <w:szCs w:val="28"/>
        </w:rPr>
        <w:t>法例</w:t>
      </w:r>
      <w:r>
        <w:rPr>
          <w:szCs w:val="28"/>
        </w:rPr>
        <w:t>(</w:t>
      </w:r>
      <w:r>
        <w:rPr>
          <w:rFonts w:hint="eastAsia"/>
          <w:szCs w:val="28"/>
        </w:rPr>
        <w:t>第</w:t>
      </w:r>
      <w:r>
        <w:rPr>
          <w:szCs w:val="28"/>
        </w:rPr>
        <w:t>567</w:t>
      </w:r>
      <w:r>
        <w:rPr>
          <w:rFonts w:hint="eastAsia"/>
          <w:szCs w:val="28"/>
        </w:rPr>
        <w:t>章</w:t>
      </w:r>
      <w:r>
        <w:rPr>
          <w:szCs w:val="28"/>
        </w:rPr>
        <w:t>)</w:t>
      </w:r>
      <w:r>
        <w:rPr>
          <w:rFonts w:hint="eastAsia"/>
          <w:szCs w:val="28"/>
        </w:rPr>
        <w:t>后，惩教署由二零零二年七月开始运作更生中心。这些中心</w:t>
      </w:r>
      <w:r>
        <w:rPr>
          <w:rFonts w:hint="eastAsia"/>
        </w:rPr>
        <w:t>为法院在判刑方面提供多一个选择，以便为需要接受短期住院更生服务的</w:t>
      </w:r>
      <w:r>
        <w:t>14</w:t>
      </w:r>
      <w:r>
        <w:rPr>
          <w:rFonts w:hint="eastAsia"/>
        </w:rPr>
        <w:t>至</w:t>
      </w:r>
      <w:r>
        <w:t>21</w:t>
      </w:r>
      <w:r>
        <w:rPr>
          <w:rFonts w:ascii="SimSun" w:hAnsi="SimSun" w:cs="SimSun" w:hint="eastAsia"/>
        </w:rPr>
        <w:t>岁</w:t>
      </w:r>
      <w:r>
        <w:rPr>
          <w:rFonts w:ascii="MS Mincho" w:hAnsi="MS Mincho" w:cs="MS Mincho" w:hint="eastAsia"/>
        </w:rPr>
        <w:t>罪犯作出判刑安排。惩教署</w:t>
      </w:r>
      <w:r>
        <w:rPr>
          <w:rFonts w:hint="eastAsia"/>
        </w:rPr>
        <w:t>分两个阶段推行这项计划，包括</w:t>
      </w:r>
      <w:r>
        <w:t>：</w:t>
      </w:r>
    </w:p>
    <w:p w:rsidR="00000000" w:rsidRDefault="00954A93">
      <w:pPr>
        <w:numPr>
          <w:ilvl w:val="0"/>
          <w:numId w:val="39"/>
        </w:numPr>
        <w:rPr>
          <w:rFonts w:hint="eastAsia"/>
          <w:szCs w:val="28"/>
        </w:rPr>
      </w:pPr>
      <w:r>
        <w:rPr>
          <w:rFonts w:hint="eastAsia"/>
          <w:b/>
          <w:bCs/>
        </w:rPr>
        <w:t>第一个阶段</w:t>
      </w:r>
      <w:r>
        <w:rPr>
          <w:rFonts w:ascii="SimSun" w:hAnsi="SimSun" w:cs="SimSun" w:hint="eastAsia"/>
        </w:rPr>
        <w:t>：</w:t>
      </w:r>
      <w:r>
        <w:rPr>
          <w:rFonts w:ascii="MS Mincho" w:hAnsi="MS Mincho" w:cs="MS Mincho" w:hint="eastAsia"/>
        </w:rPr>
        <w:t>有关罪犯最初会被</w:t>
      </w:r>
      <w:r>
        <w:rPr>
          <w:rFonts w:hint="eastAsia"/>
        </w:rPr>
        <w:t>羁留在惩教机构，以接受两至五个月团队训练；</w:t>
      </w:r>
    </w:p>
    <w:p w:rsidR="00000000" w:rsidRDefault="00954A93">
      <w:pPr>
        <w:numPr>
          <w:ilvl w:val="0"/>
          <w:numId w:val="39"/>
        </w:numPr>
        <w:spacing w:after="320"/>
        <w:rPr>
          <w:rFonts w:eastAsia="華康中黑體" w:hint="eastAsia"/>
        </w:rPr>
      </w:pPr>
      <w:r>
        <w:rPr>
          <w:rFonts w:eastAsia="華康中黑體" w:hint="eastAsia"/>
          <w:b/>
          <w:bCs/>
          <w:szCs w:val="28"/>
        </w:rPr>
        <w:t>第二个阶段</w:t>
      </w:r>
      <w:r>
        <w:rPr>
          <w:rFonts w:ascii="SimSun" w:hAnsi="SimSun" w:cs="SimSun" w:hint="eastAsia"/>
          <w:szCs w:val="28"/>
        </w:rPr>
        <w:t>：</w:t>
      </w:r>
      <w:r>
        <w:rPr>
          <w:rFonts w:ascii="MS Mincho" w:hAnsi="MS Mincho" w:cs="MS Mincho" w:hint="eastAsia"/>
          <w:szCs w:val="28"/>
        </w:rPr>
        <w:t>其后安排有关罪犯</w:t>
      </w:r>
      <w:r>
        <w:rPr>
          <w:rFonts w:hint="eastAsia"/>
        </w:rPr>
        <w:t>转往中途宿舍，居住一至四个月。他们获释后须接受善后辅导主任监管一年。</w:t>
      </w:r>
    </w:p>
    <w:p w:rsidR="00000000" w:rsidRDefault="00954A93">
      <w:pPr>
        <w:pStyle w:val="Heading4"/>
        <w:rPr>
          <w:bCs/>
          <w:szCs w:val="28"/>
        </w:rPr>
      </w:pPr>
      <w:r>
        <w:rPr>
          <w:rFonts w:hint="eastAsia"/>
        </w:rPr>
        <w:t>《</w:t>
      </w:r>
      <w:r>
        <w:t>2004</w:t>
      </w:r>
      <w:r>
        <w:rPr>
          <w:rFonts w:hint="eastAsia"/>
        </w:rPr>
        <w:t>年刑事诉讼程序</w:t>
      </w:r>
      <w:r>
        <w:t>(</w:t>
      </w:r>
      <w:r>
        <w:rPr>
          <w:rFonts w:hint="eastAsia"/>
        </w:rPr>
        <w:t>修订</w:t>
      </w:r>
      <w:r>
        <w:t>)</w:t>
      </w:r>
      <w:r>
        <w:rPr>
          <w:rFonts w:hint="eastAsia"/>
        </w:rPr>
        <w:t>条例</w:t>
      </w:r>
      <w:r>
        <w:rPr>
          <w:rFonts w:hint="eastAsia"/>
          <w:u w:val="none"/>
        </w:rPr>
        <w:t>》</w:t>
      </w:r>
    </w:p>
    <w:p w:rsidR="00000000" w:rsidRDefault="00954A93">
      <w:pPr>
        <w:rPr>
          <w:rFonts w:hint="eastAsia"/>
        </w:rPr>
      </w:pPr>
      <w:r>
        <w:rPr>
          <w:rFonts w:hint="eastAsia"/>
        </w:rPr>
        <w:tab/>
      </w:r>
      <w:r>
        <w:t>94.</w:t>
      </w:r>
      <w:r>
        <w:rPr>
          <w:rFonts w:hint="eastAsia"/>
        </w:rPr>
        <w:t xml:space="preserve">  </w:t>
      </w:r>
      <w:r>
        <w:rPr>
          <w:rFonts w:hint="eastAsia"/>
        </w:rPr>
        <w:t>条例在二零零四年七月正式生效，旨在制定条文，用以修订有关机制。有关机制适用于：</w:t>
      </w:r>
    </w:p>
    <w:p w:rsidR="00000000" w:rsidRDefault="00954A93">
      <w:pPr>
        <w:pStyle w:val="ac"/>
        <w:numPr>
          <w:ilvl w:val="0"/>
          <w:numId w:val="42"/>
        </w:numPr>
        <w:tabs>
          <w:tab w:val="clear" w:pos="1531"/>
        </w:tabs>
        <w:rPr>
          <w:rFonts w:hint="eastAsia"/>
        </w:rPr>
      </w:pPr>
      <w:r>
        <w:rPr>
          <w:rFonts w:hint="eastAsia"/>
        </w:rPr>
        <w:t>被拘留等</w:t>
      </w:r>
      <w:r>
        <w:rPr>
          <w:rFonts w:hint="eastAsia"/>
        </w:rPr>
        <w:t>候行政酌情决定的囚犯；</w:t>
      </w:r>
    </w:p>
    <w:p w:rsidR="00000000" w:rsidRDefault="00954A93">
      <w:pPr>
        <w:pStyle w:val="ac"/>
        <w:numPr>
          <w:ilvl w:val="0"/>
          <w:numId w:val="42"/>
        </w:numPr>
        <w:rPr>
          <w:rFonts w:hint="eastAsia"/>
          <w:szCs w:val="28"/>
        </w:rPr>
      </w:pPr>
      <w:r>
        <w:rPr>
          <w:rFonts w:hint="eastAsia"/>
        </w:rPr>
        <w:t>因被裁定犯谋杀罪而正在服强制性终身监禁刑罚的囚犯，而他们在犯该罪时不足</w:t>
      </w:r>
      <w:r>
        <w:t>18</w:t>
      </w:r>
      <w:r>
        <w:rPr>
          <w:rFonts w:ascii="SimSun" w:hAnsi="SimSun" w:cs="SimSun" w:hint="eastAsia"/>
        </w:rPr>
        <w:t>岁</w:t>
      </w:r>
      <w:r>
        <w:rPr>
          <w:rFonts w:hint="eastAsia"/>
        </w:rPr>
        <w:t>；或</w:t>
      </w:r>
    </w:p>
    <w:p w:rsidR="00000000" w:rsidRDefault="00954A93">
      <w:pPr>
        <w:pStyle w:val="ac"/>
        <w:numPr>
          <w:ilvl w:val="0"/>
          <w:numId w:val="42"/>
        </w:numPr>
        <w:rPr>
          <w:rFonts w:hint="eastAsia"/>
        </w:rPr>
      </w:pPr>
      <w:r>
        <w:rPr>
          <w:rFonts w:hint="eastAsia"/>
        </w:rPr>
        <w:t>自原先就裁定他们须服的最低刑期而订定的条文的生效日期</w:t>
      </w:r>
      <w:r>
        <w:t>(</w:t>
      </w:r>
      <w:r>
        <w:rPr>
          <w:rFonts w:hint="eastAsia"/>
        </w:rPr>
        <w:t>或该日期前的任何时间</w:t>
      </w:r>
      <w:r>
        <w:t>)</w:t>
      </w:r>
      <w:r>
        <w:rPr>
          <w:rFonts w:hint="eastAsia"/>
        </w:rPr>
        <w:t>起，一直服酌情性终身监禁刑罚的囚犯。</w:t>
      </w:r>
    </w:p>
    <w:p w:rsidR="00000000" w:rsidRDefault="00954A93">
      <w:r>
        <w:rPr>
          <w:rFonts w:hint="eastAsia"/>
          <w:szCs w:val="28"/>
        </w:rPr>
        <w:tab/>
      </w:r>
      <w:r>
        <w:rPr>
          <w:szCs w:val="28"/>
        </w:rPr>
        <w:t>95.</w:t>
      </w:r>
      <w:r>
        <w:rPr>
          <w:rFonts w:hint="eastAsia"/>
          <w:szCs w:val="28"/>
        </w:rPr>
        <w:t xml:space="preserve">  </w:t>
      </w:r>
      <w:r>
        <w:rPr>
          <w:rFonts w:hint="eastAsia"/>
          <w:szCs w:val="28"/>
        </w:rPr>
        <w:t>条例规定，</w:t>
      </w:r>
      <w:r>
        <w:rPr>
          <w:rFonts w:hint="eastAsia"/>
        </w:rPr>
        <w:t>律政司司长必须就</w:t>
      </w:r>
      <w:r>
        <w:rPr>
          <w:rFonts w:ascii="SimSun" w:hAnsi="SimSun" w:cs="SimSun" w:hint="eastAsia"/>
        </w:rPr>
        <w:t>每</w:t>
      </w:r>
      <w:r>
        <w:rPr>
          <w:rFonts w:ascii="MS Mincho" w:hAnsi="MS Mincho" w:cs="MS Mincho" w:hint="eastAsia"/>
        </w:rPr>
        <w:t>名“订明囚犯”向法院申请由法官作出裁定。聆讯这项申请的法官必须裁定有关囚犯须就其罪行而服的最低刑期。如有关囚犯正在就他于未满</w:t>
      </w:r>
      <w:r>
        <w:t>18</w:t>
      </w:r>
      <w:r>
        <w:rPr>
          <w:rFonts w:ascii="SimSun" w:hAnsi="SimSun" w:cs="SimSun" w:hint="eastAsia"/>
        </w:rPr>
        <w:t>岁</w:t>
      </w:r>
      <w:r>
        <w:rPr>
          <w:rFonts w:ascii="MS Mincho" w:hAnsi="MS Mincho" w:cs="MS Mincho" w:hint="eastAsia"/>
        </w:rPr>
        <w:t>时犯的谋杀罪的定罪而服有关刑罚，则法官有酌情决定权决定</w:t>
      </w:r>
      <w:r>
        <w:rPr>
          <w:rFonts w:hint="eastAsia"/>
        </w:rPr>
        <w:t>：</w:t>
      </w:r>
    </w:p>
    <w:p w:rsidR="00000000" w:rsidRDefault="00954A93">
      <w:pPr>
        <w:numPr>
          <w:ilvl w:val="0"/>
          <w:numId w:val="43"/>
        </w:numPr>
        <w:tabs>
          <w:tab w:val="left" w:pos="600"/>
          <w:tab w:val="left" w:pos="1080"/>
          <w:tab w:val="left" w:pos="1701"/>
        </w:tabs>
        <w:autoSpaceDE w:val="0"/>
        <w:autoSpaceDN w:val="0"/>
      </w:pPr>
      <w:r>
        <w:rPr>
          <w:rFonts w:hint="eastAsia"/>
          <w:szCs w:val="28"/>
        </w:rPr>
        <w:t>一</w:t>
      </w:r>
      <w:r>
        <w:rPr>
          <w:rFonts w:hint="eastAsia"/>
        </w:rPr>
        <w:t>如上文所述裁定最低刑期；或</w:t>
      </w:r>
    </w:p>
    <w:p w:rsidR="00000000" w:rsidRDefault="00954A93">
      <w:pPr>
        <w:numPr>
          <w:ilvl w:val="0"/>
          <w:numId w:val="43"/>
        </w:numPr>
        <w:tabs>
          <w:tab w:val="left" w:pos="600"/>
          <w:tab w:val="left" w:pos="1080"/>
          <w:tab w:val="left" w:pos="1701"/>
        </w:tabs>
        <w:autoSpaceDE w:val="0"/>
        <w:autoSpaceDN w:val="0"/>
        <w:spacing w:after="240"/>
        <w:rPr>
          <w:rFonts w:hint="eastAsia"/>
        </w:rPr>
      </w:pPr>
      <w:r>
        <w:rPr>
          <w:rFonts w:hint="eastAsia"/>
          <w:szCs w:val="28"/>
        </w:rPr>
        <w:t>判处他们确定限期的刑罚以代替裁定最</w:t>
      </w:r>
      <w:r>
        <w:rPr>
          <w:rFonts w:hint="eastAsia"/>
          <w:szCs w:val="28"/>
        </w:rPr>
        <w:t>低刑期。</w:t>
      </w:r>
    </w:p>
    <w:p w:rsidR="00000000" w:rsidRDefault="00954A93">
      <w:pPr>
        <w:pStyle w:val="Heading4"/>
        <w:rPr>
          <w:rFonts w:hint="eastAsia"/>
        </w:rPr>
      </w:pPr>
      <w:r>
        <w:rPr>
          <w:rFonts w:hint="eastAsia"/>
        </w:rPr>
        <w:t>防止自杀</w:t>
      </w:r>
    </w:p>
    <w:p w:rsidR="00000000" w:rsidRDefault="00954A93">
      <w:pPr>
        <w:spacing w:after="240"/>
        <w:rPr>
          <w:rFonts w:hint="eastAsia"/>
        </w:rPr>
      </w:pPr>
      <w:r>
        <w:rPr>
          <w:rFonts w:hint="eastAsia"/>
        </w:rPr>
        <w:tab/>
      </w:r>
      <w:r>
        <w:t>96.</w:t>
      </w:r>
      <w:r>
        <w:rPr>
          <w:rFonts w:hint="eastAsia"/>
        </w:rPr>
        <w:t xml:space="preserve">  </w:t>
      </w:r>
      <w:r>
        <w:rPr>
          <w:rFonts w:hint="eastAsia"/>
        </w:rPr>
        <w:t>二零零四年年初，惩教署就有关发现及防止囚犯自杀的机制及策略进行检讨。惩教署因应检讨的结果，采取了一些改善措施，其中包括：及早找出有自杀倾向的囚犯、密切监察被评定为极有可能自杀的囚犯，以及更改囚室的设施，使囚犯难以自杀。惩教署会定期检讨这些措施的成效。</w:t>
      </w:r>
    </w:p>
    <w:p w:rsidR="00000000" w:rsidRDefault="00954A93">
      <w:pPr>
        <w:pStyle w:val="Heading4"/>
        <w:rPr>
          <w:rFonts w:hint="eastAsia"/>
        </w:rPr>
      </w:pPr>
      <w:r>
        <w:rPr>
          <w:rFonts w:hint="eastAsia"/>
        </w:rPr>
        <w:t>小榄精神病治疗中心的囚犯死亡</w:t>
      </w:r>
    </w:p>
    <w:p w:rsidR="00000000" w:rsidRDefault="00954A93">
      <w:pPr>
        <w:rPr>
          <w:rFonts w:hint="eastAsia"/>
        </w:rPr>
      </w:pPr>
      <w:r>
        <w:rPr>
          <w:rFonts w:hint="eastAsia"/>
        </w:rPr>
        <w:tab/>
      </w:r>
      <w:r>
        <w:t>97.</w:t>
      </w:r>
      <w:r>
        <w:rPr>
          <w:rFonts w:hint="eastAsia"/>
        </w:rPr>
        <w:t xml:space="preserve">  </w:t>
      </w:r>
      <w:r>
        <w:rPr>
          <w:rFonts w:hint="eastAsia"/>
        </w:rPr>
        <w:t>二零零一年年底，小榄精神病治疗中心有一名囚犯被发现死亡。为此，惩教署署长委任了一个工作小组，以研究有关事件。该工作小组就各惩教院所的护理方法以及监察使用药物的事宜，合共提出了</w:t>
      </w:r>
      <w:r>
        <w:t>34</w:t>
      </w:r>
      <w:r>
        <w:rPr>
          <w:rFonts w:hint="eastAsia"/>
        </w:rPr>
        <w:t>项改善建</w:t>
      </w:r>
      <w:r>
        <w:rPr>
          <w:rFonts w:hint="eastAsia"/>
        </w:rPr>
        <w:t>议，其中</w:t>
      </w:r>
      <w:r>
        <w:t>32</w:t>
      </w:r>
      <w:r>
        <w:rPr>
          <w:rFonts w:hint="eastAsia"/>
        </w:rPr>
        <w:t>项已经落实。至于其余两项建议，则是检讨小榄精神病治疗中心的人员编制，以及就中心的服务</w:t>
      </w:r>
      <w:r>
        <w:rPr>
          <w:rFonts w:ascii="SimSun" w:hAnsi="SimSun" w:cs="SimSun" w:hint="eastAsia"/>
        </w:rPr>
        <w:t>征</w:t>
      </w:r>
      <w:r>
        <w:rPr>
          <w:rFonts w:ascii="MS Mincho" w:hAnsi="MS Mincho" w:cs="MS Mincho" w:hint="eastAsia"/>
        </w:rPr>
        <w:t>询外界机构的意见。惩教署现正作出跟进。</w:t>
      </w:r>
    </w:p>
    <w:p w:rsidR="00000000" w:rsidRDefault="00954A93">
      <w:pPr>
        <w:rPr>
          <w:rFonts w:hint="eastAsia"/>
        </w:rPr>
      </w:pPr>
      <w:r>
        <w:rPr>
          <w:rFonts w:hint="eastAsia"/>
        </w:rPr>
        <w:tab/>
      </w:r>
      <w:r>
        <w:t>98.</w:t>
      </w:r>
      <w:r>
        <w:rPr>
          <w:rFonts w:hint="eastAsia"/>
        </w:rPr>
        <w:t xml:space="preserve">  </w:t>
      </w:r>
      <w:r>
        <w:rPr>
          <w:rFonts w:hint="eastAsia"/>
        </w:rPr>
        <w:t>关于这宗案件，死因裁判法庭在二零零二年裁定有关囚犯死因不详；警方也曾进行深入调</w:t>
      </w:r>
      <w:r>
        <w:rPr>
          <w:rFonts w:ascii="SimSun" w:hAnsi="SimSun" w:cs="SimSun" w:hint="eastAsia"/>
        </w:rPr>
        <w:t>查</w:t>
      </w:r>
      <w:r>
        <w:rPr>
          <w:rFonts w:ascii="MS Mincho" w:hAnsi="MS Mincho" w:cs="MS Mincho" w:hint="eastAsia"/>
        </w:rPr>
        <w:t>，经调</w:t>
      </w:r>
      <w:r>
        <w:rPr>
          <w:rFonts w:ascii="SimSun" w:hAnsi="SimSun" w:cs="SimSun" w:hint="eastAsia"/>
        </w:rPr>
        <w:t>查</w:t>
      </w:r>
      <w:r>
        <w:rPr>
          <w:rFonts w:ascii="MS Mincho" w:hAnsi="MS Mincho" w:cs="MS Mincho" w:hint="eastAsia"/>
        </w:rPr>
        <w:t>后认为案件并无可疑。在立法会保安事务委员会及卫生事务委员会于二零零三年七月十七日举行的联席会议上，独立医学专家就可能导致有关囚犯死亡的原因以及在他身上发现的针孔提供意见。专家认为，有关囚犯的死因可能是糖尿病</w:t>
      </w:r>
      <w:r>
        <w:rPr>
          <w:rFonts w:ascii="SimSun" w:hAnsi="SimSun" w:cs="SimSun" w:hint="eastAsia"/>
        </w:rPr>
        <w:t>酮</w:t>
      </w:r>
      <w:r>
        <w:rPr>
          <w:rFonts w:ascii="MS Mincho" w:hAnsi="MS Mincho" w:cs="MS Mincho" w:hint="eastAsia"/>
        </w:rPr>
        <w:t>症酸中毒。</w:t>
      </w:r>
    </w:p>
    <w:p w:rsidR="00000000" w:rsidRDefault="00954A93">
      <w:pPr>
        <w:spacing w:after="240"/>
        <w:rPr>
          <w:rFonts w:hint="eastAsia"/>
        </w:rPr>
      </w:pPr>
      <w:r>
        <w:rPr>
          <w:rFonts w:hint="eastAsia"/>
        </w:rPr>
        <w:tab/>
      </w:r>
      <w:r>
        <w:t>99.</w:t>
      </w:r>
      <w:r>
        <w:rPr>
          <w:rFonts w:hint="eastAsia"/>
        </w:rPr>
        <w:t xml:space="preserve">  </w:t>
      </w:r>
      <w:r>
        <w:rPr>
          <w:rFonts w:hint="eastAsia"/>
        </w:rPr>
        <w:t>在现行的法律架构下，所有由惩教署监管的囚犯</w:t>
      </w:r>
      <w:r>
        <w:rPr>
          <w:rFonts w:hint="eastAsia"/>
        </w:rPr>
        <w:t>，均由卫生署借调至惩教署的医生诊治，而具有护理资格的惩教署人员则在院所</w:t>
      </w:r>
      <w:r>
        <w:rPr>
          <w:rFonts w:ascii="SimSun" w:hAnsi="SimSun" w:cs="SimSun" w:hint="eastAsia"/>
        </w:rPr>
        <w:t>内</w:t>
      </w:r>
      <w:r>
        <w:rPr>
          <w:rFonts w:ascii="MS Mincho" w:hAnsi="MS Mincho" w:cs="MS Mincho" w:hint="eastAsia"/>
        </w:rPr>
        <w:t>，在医生指示下提供</w:t>
      </w:r>
      <w:r>
        <w:rPr>
          <w:rFonts w:hint="eastAsia"/>
        </w:rPr>
        <w:t>护理服务。这个制度一直行之有效。在考虑过工作小组的调</w:t>
      </w:r>
      <w:r>
        <w:rPr>
          <w:rFonts w:ascii="SimSun" w:hAnsi="SimSun" w:cs="SimSun" w:hint="eastAsia"/>
        </w:rPr>
        <w:t>查</w:t>
      </w:r>
      <w:r>
        <w:rPr>
          <w:rFonts w:ascii="MS Mincho" w:hAnsi="MS Mincho" w:cs="MS Mincho" w:hint="eastAsia"/>
        </w:rPr>
        <w:t>结果，以及死因裁判法庭和独立专家的意见后，我们认为，除了工作小组提出的建议外，无须即时进行其他改革。</w:t>
      </w:r>
    </w:p>
    <w:p w:rsidR="00000000" w:rsidRDefault="00954A93">
      <w:pPr>
        <w:pStyle w:val="Heading4"/>
        <w:rPr>
          <w:rFonts w:hint="eastAsia"/>
        </w:rPr>
      </w:pPr>
      <w:r>
        <w:rPr>
          <w:rFonts w:hint="eastAsia"/>
        </w:rPr>
        <w:t>入境事务处</w:t>
      </w:r>
    </w:p>
    <w:p w:rsidR="00000000" w:rsidRDefault="00954A93">
      <w:pPr>
        <w:spacing w:after="240"/>
        <w:rPr>
          <w:rFonts w:eastAsia="華康中黑體" w:hint="eastAsia"/>
          <w:b/>
          <w:bCs/>
          <w:spacing w:val="6"/>
        </w:rPr>
      </w:pPr>
      <w:r>
        <w:rPr>
          <w:rFonts w:hint="eastAsia"/>
          <w:spacing w:val="6"/>
        </w:rPr>
        <w:tab/>
      </w:r>
      <w:r>
        <w:rPr>
          <w:spacing w:val="6"/>
        </w:rPr>
        <w:t>100</w:t>
      </w:r>
      <w:r>
        <w:rPr>
          <w:rFonts w:hint="eastAsia"/>
          <w:spacing w:val="6"/>
        </w:rPr>
        <w:t xml:space="preserve">.  </w:t>
      </w:r>
      <w:r>
        <w:rPr>
          <w:rFonts w:hint="eastAsia"/>
          <w:spacing w:val="6"/>
        </w:rPr>
        <w:t>目前情况与第一次报告第</w:t>
      </w:r>
      <w:r>
        <w:rPr>
          <w:spacing w:val="6"/>
        </w:rPr>
        <w:t>67</w:t>
      </w:r>
      <w:r>
        <w:rPr>
          <w:rFonts w:hint="eastAsia"/>
          <w:spacing w:val="6"/>
        </w:rPr>
        <w:t>至</w:t>
      </w:r>
      <w:r>
        <w:rPr>
          <w:spacing w:val="6"/>
        </w:rPr>
        <w:t>68</w:t>
      </w:r>
      <w:r>
        <w:rPr>
          <w:rFonts w:hint="eastAsia"/>
          <w:spacing w:val="6"/>
        </w:rPr>
        <w:t>段所述的大致相同。不过，我们藉此机会告知委员会，入境事务处现时经疑犯同意后，便会把会见和</w:t>
      </w:r>
      <w:r>
        <w:rPr>
          <w:rFonts w:ascii="SimSun" w:hAnsi="SimSun" w:cs="SimSun" w:hint="eastAsia"/>
          <w:spacing w:val="6"/>
        </w:rPr>
        <w:t>查</w:t>
      </w:r>
      <w:r>
        <w:rPr>
          <w:rFonts w:ascii="MS Mincho" w:hAnsi="MS Mincho" w:cs="MS Mincho" w:hint="eastAsia"/>
          <w:spacing w:val="6"/>
        </w:rPr>
        <w:t>问疑犯的过程</w:t>
      </w:r>
      <w:r>
        <w:rPr>
          <w:rFonts w:ascii="SimSun" w:hAnsi="SimSun" w:cs="SimSun" w:hint="eastAsia"/>
          <w:spacing w:val="6"/>
        </w:rPr>
        <w:t>录</w:t>
      </w:r>
      <w:r>
        <w:rPr>
          <w:rFonts w:ascii="MS Mincho" w:hAnsi="MS Mincho" w:cs="MS Mincho" w:hint="eastAsia"/>
          <w:spacing w:val="6"/>
        </w:rPr>
        <w:t>影。目前，该处负责调</w:t>
      </w:r>
      <w:r>
        <w:rPr>
          <w:rFonts w:ascii="SimSun" w:hAnsi="SimSun" w:cs="SimSun" w:hint="eastAsia"/>
          <w:spacing w:val="6"/>
        </w:rPr>
        <w:t>查</w:t>
      </w:r>
      <w:r>
        <w:rPr>
          <w:rFonts w:ascii="MS Mincho" w:hAnsi="MS Mincho" w:cs="MS Mincho" w:hint="eastAsia"/>
          <w:spacing w:val="6"/>
        </w:rPr>
        <w:t>工作的所有办事处和各主要出入境管制站，均设有</w:t>
      </w:r>
      <w:r>
        <w:rPr>
          <w:rFonts w:ascii="SimSun" w:hAnsi="SimSun" w:cs="SimSun" w:hint="eastAsia"/>
          <w:spacing w:val="6"/>
        </w:rPr>
        <w:t>录</w:t>
      </w:r>
      <w:r>
        <w:rPr>
          <w:rFonts w:ascii="MS Mincho" w:hAnsi="MS Mincho" w:cs="MS Mincho" w:hint="eastAsia"/>
          <w:spacing w:val="6"/>
        </w:rPr>
        <w:t>影设备。</w:t>
      </w:r>
    </w:p>
    <w:p w:rsidR="00000000" w:rsidRDefault="00954A93">
      <w:pPr>
        <w:pStyle w:val="Heading4"/>
        <w:rPr>
          <w:rFonts w:hint="eastAsia"/>
        </w:rPr>
      </w:pPr>
      <w:r>
        <w:rPr>
          <w:rFonts w:hint="eastAsia"/>
        </w:rPr>
        <w:t>香港海关</w:t>
      </w:r>
    </w:p>
    <w:p w:rsidR="00000000" w:rsidRDefault="00954A93">
      <w:pPr>
        <w:spacing w:after="240"/>
        <w:rPr>
          <w:rFonts w:eastAsia="華康中黑體" w:hint="eastAsia"/>
          <w:b/>
          <w:bCs/>
        </w:rPr>
      </w:pPr>
      <w:r>
        <w:rPr>
          <w:rFonts w:hint="eastAsia"/>
        </w:rPr>
        <w:tab/>
      </w:r>
      <w:r>
        <w:t>101.</w:t>
      </w:r>
      <w:r>
        <w:rPr>
          <w:rFonts w:hint="eastAsia"/>
        </w:rPr>
        <w:t xml:space="preserve">  </w:t>
      </w:r>
      <w:r>
        <w:rPr>
          <w:rFonts w:ascii="華康細明體" w:hint="eastAsia"/>
        </w:rPr>
        <w:t>目</w:t>
      </w:r>
      <w:r>
        <w:rPr>
          <w:rFonts w:ascii="華康細明體" w:hint="eastAsia"/>
        </w:rPr>
        <w:t>前情况与第一次报告第</w:t>
      </w:r>
      <w:r>
        <w:t>69</w:t>
      </w:r>
      <w:r>
        <w:rPr>
          <w:rFonts w:hint="eastAsia"/>
        </w:rPr>
        <w:t>段所述的大致相同。不过，海关办事处现时会视乎需要设有</w:t>
      </w:r>
      <w:r>
        <w:rPr>
          <w:rFonts w:ascii="SimSun" w:hAnsi="SimSun" w:cs="SimSun" w:hint="eastAsia"/>
        </w:rPr>
        <w:t>录</w:t>
      </w:r>
      <w:r>
        <w:rPr>
          <w:rFonts w:ascii="MS Mincho" w:hAnsi="MS Mincho" w:cs="MS Mincho" w:hint="eastAsia"/>
        </w:rPr>
        <w:t>影设备。</w:t>
      </w:r>
      <w:r>
        <w:rPr>
          <w:rFonts w:hint="eastAsia"/>
        </w:rPr>
        <w:t>此外，所有新的海关办事处都会装设</w:t>
      </w:r>
      <w:r>
        <w:rPr>
          <w:rFonts w:ascii="SimSun" w:hAnsi="SimSun" w:cs="SimSun" w:hint="eastAsia"/>
        </w:rPr>
        <w:t>录</w:t>
      </w:r>
      <w:r>
        <w:rPr>
          <w:rFonts w:ascii="MS Mincho" w:hAnsi="MS Mincho" w:cs="MS Mincho" w:hint="eastAsia"/>
        </w:rPr>
        <w:t>影设备。</w:t>
      </w:r>
    </w:p>
    <w:p w:rsidR="00000000" w:rsidRDefault="00954A93">
      <w:pPr>
        <w:pStyle w:val="Heading4"/>
        <w:rPr>
          <w:rFonts w:hint="eastAsia"/>
        </w:rPr>
      </w:pPr>
      <w:r>
        <w:rPr>
          <w:rFonts w:hint="eastAsia"/>
        </w:rPr>
        <w:t>被羁留在精神病院的病人</w:t>
      </w:r>
    </w:p>
    <w:p w:rsidR="00000000" w:rsidRDefault="00954A93">
      <w:pPr>
        <w:rPr>
          <w:rFonts w:hint="eastAsia"/>
        </w:rPr>
      </w:pPr>
      <w:r>
        <w:rPr>
          <w:rFonts w:hint="eastAsia"/>
        </w:rPr>
        <w:tab/>
      </w:r>
      <w:r>
        <w:t>102.</w:t>
      </w:r>
      <w:r>
        <w:rPr>
          <w:rFonts w:hint="eastAsia"/>
        </w:rPr>
        <w:t xml:space="preserve">  </w:t>
      </w:r>
      <w:r>
        <w:rPr>
          <w:rFonts w:hint="eastAsia"/>
        </w:rPr>
        <w:t>关于被羁留在精神病院的病人，他们的权利受保障的</w:t>
      </w:r>
      <w:r>
        <w:rPr>
          <w:rFonts w:ascii="華康細明體" w:hint="eastAsia"/>
        </w:rPr>
        <w:t>情况与第一次报告第</w:t>
      </w:r>
      <w:r>
        <w:t>73</w:t>
      </w:r>
      <w:r>
        <w:rPr>
          <w:rFonts w:hint="eastAsia"/>
        </w:rPr>
        <w:t>至第</w:t>
      </w:r>
      <w:r>
        <w:t>80</w:t>
      </w:r>
      <w:r>
        <w:rPr>
          <w:rFonts w:hint="eastAsia"/>
        </w:rPr>
        <w:t>段所述的大致相同。这个范畴的新进展，只有两项：</w:t>
      </w:r>
    </w:p>
    <w:p w:rsidR="00000000" w:rsidRDefault="00954A93">
      <w:pPr>
        <w:numPr>
          <w:ilvl w:val="0"/>
          <w:numId w:val="45"/>
        </w:numPr>
        <w:tabs>
          <w:tab w:val="left" w:pos="600"/>
        </w:tabs>
        <w:rPr>
          <w:rFonts w:hint="eastAsia"/>
        </w:rPr>
      </w:pPr>
      <w:r>
        <w:rPr>
          <w:rFonts w:hint="eastAsia"/>
        </w:rPr>
        <w:t>司法机构和医院管理局在二零零一年制定行政安排，确保精神病患者可于被强制送入精神病院前，要求会见法官或裁判官；</w:t>
      </w:r>
    </w:p>
    <w:p w:rsidR="00000000" w:rsidRDefault="00954A93">
      <w:pPr>
        <w:numPr>
          <w:ilvl w:val="0"/>
          <w:numId w:val="45"/>
        </w:numPr>
        <w:tabs>
          <w:tab w:val="left" w:pos="600"/>
        </w:tabs>
        <w:rPr>
          <w:rFonts w:hint="eastAsia"/>
        </w:rPr>
      </w:pPr>
      <w:r>
        <w:rPr>
          <w:rFonts w:hint="eastAsia"/>
        </w:rPr>
        <w:t>在二零零三年，卫生福利及食物局局长获行政长官授权，可根据《精神健康条例》</w:t>
      </w:r>
      <w:r>
        <w:t>(</w:t>
      </w:r>
      <w:r>
        <w:rPr>
          <w:rFonts w:hint="eastAsia"/>
        </w:rPr>
        <w:t>第</w:t>
      </w:r>
      <w:r>
        <w:t>136</w:t>
      </w:r>
      <w:r>
        <w:rPr>
          <w:rFonts w:hint="eastAsia"/>
        </w:rPr>
        <w:t>章</w:t>
      </w:r>
      <w:r>
        <w:t>)</w:t>
      </w:r>
      <w:r>
        <w:rPr>
          <w:rFonts w:hint="eastAsia"/>
        </w:rPr>
        <w:t>第</w:t>
      </w:r>
      <w:r>
        <w:t>52B</w:t>
      </w:r>
      <w:r>
        <w:rPr>
          <w:rFonts w:hint="eastAsia"/>
        </w:rPr>
        <w:t>条的规定，把羁留</w:t>
      </w:r>
      <w:r>
        <w:rPr>
          <w:rFonts w:hint="eastAsia"/>
        </w:rPr>
        <w:t>在惩教署精神病治疗中心的精神紊乱症病人转送精神病院。</w:t>
      </w:r>
    </w:p>
    <w:p w:rsidR="00000000" w:rsidRDefault="00954A93">
      <w:pPr>
        <w:rPr>
          <w:rFonts w:hint="eastAsia"/>
        </w:rPr>
      </w:pPr>
      <w:r>
        <w:rPr>
          <w:rFonts w:hint="eastAsia"/>
        </w:rPr>
        <w:t>上述两项进展均无须修订现行法例。</w:t>
      </w:r>
    </w:p>
    <w:p w:rsidR="00000000" w:rsidRDefault="00954A93">
      <w:pPr>
        <w:spacing w:after="240"/>
        <w:rPr>
          <w:rFonts w:hint="eastAsia"/>
        </w:rPr>
      </w:pPr>
      <w:r>
        <w:rPr>
          <w:rFonts w:hint="eastAsia"/>
        </w:rPr>
        <w:tab/>
      </w:r>
      <w:r>
        <w:t>103.</w:t>
      </w:r>
      <w:r>
        <w:rPr>
          <w:rFonts w:hint="eastAsia"/>
        </w:rPr>
        <w:t xml:space="preserve">  </w:t>
      </w:r>
      <w:r>
        <w:rPr>
          <w:rFonts w:ascii="華康細明體" w:hint="eastAsia"/>
        </w:rPr>
        <w:t>过去五年，电痉挛治疗法</w:t>
      </w:r>
      <w:r>
        <w:rPr>
          <w:rFonts w:hint="eastAsia"/>
        </w:rPr>
        <w:t>的应用情况如下：</w:t>
      </w:r>
    </w:p>
    <w:tbl>
      <w:tblPr>
        <w:tblW w:w="4821" w:type="pct"/>
        <w:tblBorders>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70"/>
        <w:gridCol w:w="1444"/>
        <w:gridCol w:w="1346"/>
        <w:gridCol w:w="1216"/>
        <w:gridCol w:w="1214"/>
        <w:gridCol w:w="1483"/>
      </w:tblGrid>
      <w:tr w:rsidR="00000000">
        <w:tblPrEx>
          <w:tblCellMar>
            <w:top w:w="0" w:type="dxa"/>
            <w:bottom w:w="0" w:type="dxa"/>
          </w:tblCellMar>
        </w:tblPrEx>
        <w:trPr>
          <w:cantSplit/>
        </w:trPr>
        <w:tc>
          <w:tcPr>
            <w:tcW w:w="1306" w:type="pct"/>
            <w:tcBorders>
              <w:top w:val="single" w:sz="4" w:space="0" w:color="auto"/>
              <w:left w:val="single" w:sz="4" w:space="0" w:color="auto"/>
              <w:bottom w:val="single" w:sz="4" w:space="0" w:color="auto"/>
            </w:tcBorders>
          </w:tcPr>
          <w:p w:rsidR="00000000" w:rsidRDefault="00954A93">
            <w:pPr>
              <w:tabs>
                <w:tab w:val="left" w:pos="1080"/>
                <w:tab w:val="left" w:pos="1701"/>
              </w:tabs>
              <w:spacing w:line="288" w:lineRule="auto"/>
              <w:rPr>
                <w:rFonts w:hint="eastAsia"/>
                <w:sz w:val="22"/>
              </w:rPr>
            </w:pPr>
          </w:p>
        </w:tc>
        <w:tc>
          <w:tcPr>
            <w:tcW w:w="796" w:type="pct"/>
            <w:tcBorders>
              <w:top w:val="single" w:sz="4" w:space="0" w:color="auto"/>
            </w:tcBorders>
            <w:vAlign w:val="center"/>
          </w:tcPr>
          <w:p w:rsidR="00000000" w:rsidRDefault="00954A93">
            <w:pPr>
              <w:tabs>
                <w:tab w:val="left" w:pos="1080"/>
              </w:tabs>
              <w:spacing w:line="288" w:lineRule="auto"/>
              <w:jc w:val="center"/>
              <w:rPr>
                <w:sz w:val="22"/>
              </w:rPr>
            </w:pPr>
            <w:r>
              <w:rPr>
                <w:sz w:val="22"/>
              </w:rPr>
              <w:t>2000-01</w:t>
            </w:r>
          </w:p>
        </w:tc>
        <w:tc>
          <w:tcPr>
            <w:tcW w:w="742" w:type="pct"/>
            <w:tcBorders>
              <w:top w:val="single" w:sz="4" w:space="0" w:color="auto"/>
            </w:tcBorders>
            <w:vAlign w:val="center"/>
          </w:tcPr>
          <w:p w:rsidR="00000000" w:rsidRDefault="00954A93">
            <w:pPr>
              <w:tabs>
                <w:tab w:val="left" w:pos="1080"/>
              </w:tabs>
              <w:spacing w:line="288" w:lineRule="auto"/>
              <w:jc w:val="center"/>
              <w:rPr>
                <w:sz w:val="22"/>
              </w:rPr>
            </w:pPr>
            <w:r>
              <w:rPr>
                <w:sz w:val="22"/>
              </w:rPr>
              <w:t>2001-02</w:t>
            </w:r>
          </w:p>
        </w:tc>
        <w:tc>
          <w:tcPr>
            <w:tcW w:w="670" w:type="pct"/>
            <w:tcBorders>
              <w:top w:val="single" w:sz="4" w:space="0" w:color="auto"/>
            </w:tcBorders>
            <w:vAlign w:val="center"/>
          </w:tcPr>
          <w:p w:rsidR="00000000" w:rsidRDefault="00954A93">
            <w:pPr>
              <w:tabs>
                <w:tab w:val="left" w:pos="1080"/>
              </w:tabs>
              <w:spacing w:line="288" w:lineRule="auto"/>
              <w:jc w:val="center"/>
              <w:rPr>
                <w:sz w:val="22"/>
              </w:rPr>
            </w:pPr>
            <w:r>
              <w:rPr>
                <w:sz w:val="22"/>
              </w:rPr>
              <w:t>2002-03</w:t>
            </w:r>
          </w:p>
        </w:tc>
        <w:tc>
          <w:tcPr>
            <w:tcW w:w="669" w:type="pct"/>
            <w:tcBorders>
              <w:top w:val="single" w:sz="4" w:space="0" w:color="auto"/>
            </w:tcBorders>
            <w:vAlign w:val="center"/>
          </w:tcPr>
          <w:p w:rsidR="00000000" w:rsidRDefault="00954A93">
            <w:pPr>
              <w:tabs>
                <w:tab w:val="left" w:pos="1080"/>
              </w:tabs>
              <w:spacing w:line="288" w:lineRule="auto"/>
              <w:jc w:val="center"/>
              <w:rPr>
                <w:sz w:val="22"/>
              </w:rPr>
            </w:pPr>
            <w:r>
              <w:rPr>
                <w:sz w:val="22"/>
              </w:rPr>
              <w:t>2003-04</w:t>
            </w:r>
          </w:p>
        </w:tc>
        <w:tc>
          <w:tcPr>
            <w:tcW w:w="818" w:type="pct"/>
            <w:tcBorders>
              <w:top w:val="single" w:sz="4" w:space="0" w:color="auto"/>
            </w:tcBorders>
            <w:vAlign w:val="center"/>
          </w:tcPr>
          <w:p w:rsidR="00000000" w:rsidRDefault="00954A93">
            <w:pPr>
              <w:tabs>
                <w:tab w:val="left" w:pos="1080"/>
              </w:tabs>
              <w:spacing w:line="288" w:lineRule="auto"/>
              <w:jc w:val="center"/>
              <w:rPr>
                <w:sz w:val="22"/>
              </w:rPr>
            </w:pPr>
            <w:r>
              <w:rPr>
                <w:sz w:val="22"/>
              </w:rPr>
              <w:t>2004-05</w:t>
            </w:r>
          </w:p>
        </w:tc>
      </w:tr>
      <w:tr w:rsidR="00000000">
        <w:tblPrEx>
          <w:tblCellMar>
            <w:top w:w="0" w:type="dxa"/>
            <w:bottom w:w="0" w:type="dxa"/>
          </w:tblCellMar>
        </w:tblPrEx>
        <w:trPr>
          <w:cantSplit/>
        </w:trPr>
        <w:tc>
          <w:tcPr>
            <w:tcW w:w="1306" w:type="pct"/>
            <w:tcBorders>
              <w:top w:val="single" w:sz="4" w:space="0" w:color="auto"/>
              <w:left w:val="single" w:sz="4" w:space="0" w:color="auto"/>
            </w:tcBorders>
            <w:vAlign w:val="center"/>
          </w:tcPr>
          <w:p w:rsidR="00000000" w:rsidRDefault="00954A93">
            <w:pPr>
              <w:tabs>
                <w:tab w:val="left" w:pos="1080"/>
                <w:tab w:val="left" w:pos="1701"/>
              </w:tabs>
              <w:spacing w:line="240" w:lineRule="auto"/>
              <w:ind w:left="57" w:right="57"/>
              <w:rPr>
                <w:rFonts w:hint="eastAsia"/>
                <w:spacing w:val="0"/>
                <w:sz w:val="22"/>
              </w:rPr>
            </w:pPr>
            <w:r>
              <w:rPr>
                <w:rFonts w:hint="eastAsia"/>
                <w:spacing w:val="0"/>
                <w:sz w:val="22"/>
              </w:rPr>
              <w:t>接受</w:t>
            </w:r>
            <w:r>
              <w:rPr>
                <w:rFonts w:ascii="華康細明體" w:hint="eastAsia"/>
                <w:spacing w:val="0"/>
                <w:sz w:val="22"/>
              </w:rPr>
              <w:t>电痉挛治疗法的病人数目</w:t>
            </w:r>
          </w:p>
        </w:tc>
        <w:tc>
          <w:tcPr>
            <w:tcW w:w="796" w:type="pct"/>
            <w:vAlign w:val="center"/>
          </w:tcPr>
          <w:p w:rsidR="00000000" w:rsidRDefault="00954A93">
            <w:pPr>
              <w:tabs>
                <w:tab w:val="left" w:pos="1080"/>
              </w:tabs>
              <w:spacing w:line="264" w:lineRule="auto"/>
              <w:jc w:val="center"/>
              <w:rPr>
                <w:sz w:val="22"/>
              </w:rPr>
            </w:pPr>
            <w:r>
              <w:rPr>
                <w:sz w:val="22"/>
              </w:rPr>
              <w:t>194</w:t>
            </w:r>
          </w:p>
        </w:tc>
        <w:tc>
          <w:tcPr>
            <w:tcW w:w="742" w:type="pct"/>
            <w:vAlign w:val="center"/>
          </w:tcPr>
          <w:p w:rsidR="00000000" w:rsidRDefault="00954A93">
            <w:pPr>
              <w:tabs>
                <w:tab w:val="left" w:pos="1080"/>
              </w:tabs>
              <w:spacing w:line="264" w:lineRule="auto"/>
              <w:jc w:val="center"/>
              <w:rPr>
                <w:sz w:val="22"/>
              </w:rPr>
            </w:pPr>
            <w:r>
              <w:rPr>
                <w:sz w:val="22"/>
              </w:rPr>
              <w:t>175</w:t>
            </w:r>
          </w:p>
        </w:tc>
        <w:tc>
          <w:tcPr>
            <w:tcW w:w="670" w:type="pct"/>
            <w:vAlign w:val="center"/>
          </w:tcPr>
          <w:p w:rsidR="00000000" w:rsidRDefault="00954A93">
            <w:pPr>
              <w:tabs>
                <w:tab w:val="left" w:pos="1080"/>
              </w:tabs>
              <w:spacing w:line="264" w:lineRule="auto"/>
              <w:jc w:val="center"/>
              <w:rPr>
                <w:sz w:val="22"/>
              </w:rPr>
            </w:pPr>
            <w:r>
              <w:rPr>
                <w:sz w:val="22"/>
              </w:rPr>
              <w:t>153</w:t>
            </w:r>
          </w:p>
        </w:tc>
        <w:tc>
          <w:tcPr>
            <w:tcW w:w="669" w:type="pct"/>
            <w:vAlign w:val="center"/>
          </w:tcPr>
          <w:p w:rsidR="00000000" w:rsidRDefault="00954A93">
            <w:pPr>
              <w:tabs>
                <w:tab w:val="left" w:pos="1080"/>
              </w:tabs>
              <w:spacing w:line="264" w:lineRule="auto"/>
              <w:jc w:val="center"/>
              <w:rPr>
                <w:sz w:val="22"/>
              </w:rPr>
            </w:pPr>
            <w:r>
              <w:rPr>
                <w:sz w:val="22"/>
              </w:rPr>
              <w:t>110</w:t>
            </w:r>
          </w:p>
        </w:tc>
        <w:tc>
          <w:tcPr>
            <w:tcW w:w="818" w:type="pct"/>
            <w:vAlign w:val="center"/>
          </w:tcPr>
          <w:p w:rsidR="00000000" w:rsidRDefault="00954A93">
            <w:pPr>
              <w:tabs>
                <w:tab w:val="left" w:pos="1080"/>
              </w:tabs>
              <w:spacing w:line="264" w:lineRule="auto"/>
              <w:jc w:val="center"/>
              <w:rPr>
                <w:sz w:val="22"/>
              </w:rPr>
            </w:pPr>
            <w:r>
              <w:rPr>
                <w:sz w:val="22"/>
              </w:rPr>
              <w:t>137</w:t>
            </w:r>
          </w:p>
        </w:tc>
      </w:tr>
      <w:tr w:rsidR="00000000">
        <w:tblPrEx>
          <w:tblCellMar>
            <w:top w:w="0" w:type="dxa"/>
            <w:bottom w:w="0" w:type="dxa"/>
          </w:tblCellMar>
        </w:tblPrEx>
        <w:trPr>
          <w:cantSplit/>
        </w:trPr>
        <w:tc>
          <w:tcPr>
            <w:tcW w:w="1306" w:type="pct"/>
            <w:tcBorders>
              <w:top w:val="single" w:sz="4" w:space="0" w:color="auto"/>
              <w:left w:val="single" w:sz="4" w:space="0" w:color="auto"/>
            </w:tcBorders>
            <w:vAlign w:val="center"/>
          </w:tcPr>
          <w:p w:rsidR="00000000" w:rsidRDefault="00954A93">
            <w:pPr>
              <w:tabs>
                <w:tab w:val="left" w:pos="1080"/>
                <w:tab w:val="left" w:pos="1701"/>
              </w:tabs>
              <w:spacing w:line="240" w:lineRule="auto"/>
              <w:ind w:left="57" w:right="57"/>
              <w:rPr>
                <w:rFonts w:hint="eastAsia"/>
                <w:sz w:val="22"/>
              </w:rPr>
            </w:pPr>
            <w:r>
              <w:rPr>
                <w:rFonts w:hint="eastAsia"/>
                <w:spacing w:val="0"/>
                <w:sz w:val="22"/>
              </w:rPr>
              <w:t>治疗次数</w:t>
            </w:r>
          </w:p>
        </w:tc>
        <w:tc>
          <w:tcPr>
            <w:tcW w:w="796" w:type="pct"/>
            <w:vAlign w:val="center"/>
          </w:tcPr>
          <w:p w:rsidR="00000000" w:rsidRDefault="00954A93">
            <w:pPr>
              <w:tabs>
                <w:tab w:val="left" w:pos="1080"/>
              </w:tabs>
              <w:spacing w:line="264" w:lineRule="auto"/>
              <w:jc w:val="center"/>
              <w:rPr>
                <w:sz w:val="22"/>
              </w:rPr>
            </w:pPr>
            <w:r>
              <w:rPr>
                <w:sz w:val="22"/>
              </w:rPr>
              <w:t>1 395</w:t>
            </w:r>
          </w:p>
        </w:tc>
        <w:tc>
          <w:tcPr>
            <w:tcW w:w="742" w:type="pct"/>
            <w:vAlign w:val="center"/>
          </w:tcPr>
          <w:p w:rsidR="00000000" w:rsidRDefault="00954A93">
            <w:pPr>
              <w:tabs>
                <w:tab w:val="left" w:pos="1080"/>
              </w:tabs>
              <w:spacing w:line="264" w:lineRule="auto"/>
              <w:jc w:val="center"/>
              <w:rPr>
                <w:sz w:val="22"/>
              </w:rPr>
            </w:pPr>
            <w:r>
              <w:rPr>
                <w:sz w:val="22"/>
              </w:rPr>
              <w:t>1 387</w:t>
            </w:r>
          </w:p>
        </w:tc>
        <w:tc>
          <w:tcPr>
            <w:tcW w:w="670" w:type="pct"/>
            <w:vAlign w:val="center"/>
          </w:tcPr>
          <w:p w:rsidR="00000000" w:rsidRDefault="00954A93">
            <w:pPr>
              <w:tabs>
                <w:tab w:val="left" w:pos="1080"/>
              </w:tabs>
              <w:spacing w:line="264" w:lineRule="auto"/>
              <w:jc w:val="center"/>
              <w:rPr>
                <w:sz w:val="22"/>
              </w:rPr>
            </w:pPr>
            <w:r>
              <w:rPr>
                <w:sz w:val="22"/>
              </w:rPr>
              <w:t>1 266</w:t>
            </w:r>
          </w:p>
        </w:tc>
        <w:tc>
          <w:tcPr>
            <w:tcW w:w="669" w:type="pct"/>
            <w:vAlign w:val="center"/>
          </w:tcPr>
          <w:p w:rsidR="00000000" w:rsidRDefault="00954A93">
            <w:pPr>
              <w:tabs>
                <w:tab w:val="left" w:pos="1080"/>
              </w:tabs>
              <w:spacing w:line="264" w:lineRule="auto"/>
              <w:jc w:val="center"/>
              <w:rPr>
                <w:sz w:val="22"/>
              </w:rPr>
            </w:pPr>
            <w:r>
              <w:rPr>
                <w:sz w:val="22"/>
              </w:rPr>
              <w:t>828</w:t>
            </w:r>
          </w:p>
        </w:tc>
        <w:tc>
          <w:tcPr>
            <w:tcW w:w="818" w:type="pct"/>
            <w:vAlign w:val="center"/>
          </w:tcPr>
          <w:p w:rsidR="00000000" w:rsidRDefault="00954A93">
            <w:pPr>
              <w:tabs>
                <w:tab w:val="left" w:pos="1080"/>
              </w:tabs>
              <w:spacing w:line="264" w:lineRule="auto"/>
              <w:jc w:val="center"/>
              <w:rPr>
                <w:sz w:val="22"/>
              </w:rPr>
            </w:pPr>
            <w:r>
              <w:rPr>
                <w:sz w:val="22"/>
              </w:rPr>
              <w:t>945</w:t>
            </w:r>
          </w:p>
        </w:tc>
      </w:tr>
      <w:tr w:rsidR="00000000">
        <w:tblPrEx>
          <w:tblCellMar>
            <w:top w:w="0" w:type="dxa"/>
            <w:bottom w:w="0" w:type="dxa"/>
          </w:tblCellMar>
        </w:tblPrEx>
        <w:trPr>
          <w:cantSplit/>
        </w:trPr>
        <w:tc>
          <w:tcPr>
            <w:tcW w:w="1306" w:type="pct"/>
            <w:tcBorders>
              <w:top w:val="single" w:sz="4" w:space="0" w:color="auto"/>
              <w:left w:val="single" w:sz="4" w:space="0" w:color="auto"/>
            </w:tcBorders>
            <w:vAlign w:val="center"/>
          </w:tcPr>
          <w:p w:rsidR="00000000" w:rsidRDefault="00954A93">
            <w:pPr>
              <w:tabs>
                <w:tab w:val="left" w:pos="1080"/>
                <w:tab w:val="left" w:pos="1701"/>
              </w:tabs>
              <w:spacing w:line="240" w:lineRule="auto"/>
              <w:ind w:left="57" w:right="57"/>
              <w:rPr>
                <w:rFonts w:hint="eastAsia"/>
                <w:sz w:val="22"/>
              </w:rPr>
            </w:pPr>
            <w:r>
              <w:rPr>
                <w:rFonts w:hint="eastAsia"/>
                <w:spacing w:val="0"/>
                <w:sz w:val="22"/>
              </w:rPr>
              <w:t>每名病人接受治疗的平均次数</w:t>
            </w:r>
          </w:p>
        </w:tc>
        <w:tc>
          <w:tcPr>
            <w:tcW w:w="796" w:type="pct"/>
            <w:vAlign w:val="center"/>
          </w:tcPr>
          <w:p w:rsidR="00000000" w:rsidRDefault="00954A93">
            <w:pPr>
              <w:tabs>
                <w:tab w:val="left" w:pos="1080"/>
              </w:tabs>
              <w:spacing w:line="264" w:lineRule="auto"/>
              <w:jc w:val="center"/>
              <w:rPr>
                <w:rFonts w:hint="eastAsia"/>
                <w:sz w:val="22"/>
              </w:rPr>
            </w:pPr>
            <w:r>
              <w:rPr>
                <w:sz w:val="22"/>
              </w:rPr>
              <w:t>7.2</w:t>
            </w:r>
          </w:p>
        </w:tc>
        <w:tc>
          <w:tcPr>
            <w:tcW w:w="742" w:type="pct"/>
            <w:vAlign w:val="center"/>
          </w:tcPr>
          <w:p w:rsidR="00000000" w:rsidRDefault="00954A93">
            <w:pPr>
              <w:tabs>
                <w:tab w:val="left" w:pos="1080"/>
              </w:tabs>
              <w:spacing w:line="264" w:lineRule="auto"/>
              <w:jc w:val="center"/>
              <w:rPr>
                <w:rFonts w:hint="eastAsia"/>
                <w:sz w:val="22"/>
              </w:rPr>
            </w:pPr>
            <w:r>
              <w:rPr>
                <w:sz w:val="22"/>
              </w:rPr>
              <w:t>7.9</w:t>
            </w:r>
          </w:p>
        </w:tc>
        <w:tc>
          <w:tcPr>
            <w:tcW w:w="670" w:type="pct"/>
            <w:vAlign w:val="center"/>
          </w:tcPr>
          <w:p w:rsidR="00000000" w:rsidRDefault="00954A93">
            <w:pPr>
              <w:tabs>
                <w:tab w:val="left" w:pos="1080"/>
              </w:tabs>
              <w:spacing w:line="264" w:lineRule="auto"/>
              <w:jc w:val="center"/>
              <w:rPr>
                <w:rFonts w:hint="eastAsia"/>
                <w:sz w:val="22"/>
              </w:rPr>
            </w:pPr>
            <w:r>
              <w:rPr>
                <w:sz w:val="22"/>
              </w:rPr>
              <w:t>8.3</w:t>
            </w:r>
          </w:p>
        </w:tc>
        <w:tc>
          <w:tcPr>
            <w:tcW w:w="669" w:type="pct"/>
            <w:vAlign w:val="center"/>
          </w:tcPr>
          <w:p w:rsidR="00000000" w:rsidRDefault="00954A93">
            <w:pPr>
              <w:tabs>
                <w:tab w:val="left" w:pos="1080"/>
              </w:tabs>
              <w:spacing w:line="264" w:lineRule="auto"/>
              <w:jc w:val="center"/>
              <w:rPr>
                <w:rFonts w:hint="eastAsia"/>
                <w:sz w:val="22"/>
              </w:rPr>
            </w:pPr>
            <w:r>
              <w:rPr>
                <w:sz w:val="22"/>
              </w:rPr>
              <w:t>7.5</w:t>
            </w:r>
          </w:p>
        </w:tc>
        <w:tc>
          <w:tcPr>
            <w:tcW w:w="818" w:type="pct"/>
            <w:vAlign w:val="center"/>
          </w:tcPr>
          <w:p w:rsidR="00000000" w:rsidRDefault="00954A93">
            <w:pPr>
              <w:tabs>
                <w:tab w:val="left" w:pos="1080"/>
              </w:tabs>
              <w:spacing w:line="264" w:lineRule="auto"/>
              <w:jc w:val="center"/>
              <w:rPr>
                <w:sz w:val="22"/>
              </w:rPr>
            </w:pPr>
            <w:r>
              <w:rPr>
                <w:sz w:val="22"/>
              </w:rPr>
              <w:t>6.9</w:t>
            </w:r>
          </w:p>
        </w:tc>
      </w:tr>
    </w:tbl>
    <w:p w:rsidR="00000000" w:rsidRDefault="00954A93">
      <w:pPr>
        <w:tabs>
          <w:tab w:val="left" w:pos="1080"/>
          <w:tab w:val="left" w:pos="1701"/>
        </w:tabs>
        <w:rPr>
          <w:rFonts w:eastAsia="華康中黑體" w:hint="eastAsia"/>
          <w:b/>
          <w:u w:val="single"/>
        </w:rPr>
      </w:pPr>
    </w:p>
    <w:p w:rsidR="00000000" w:rsidRDefault="00954A93">
      <w:pPr>
        <w:pStyle w:val="Heading3"/>
        <w:rPr>
          <w:rFonts w:hint="eastAsia"/>
        </w:rPr>
      </w:pPr>
      <w:r>
        <w:rPr>
          <w:rFonts w:hint="eastAsia"/>
          <w:b/>
          <w:bCs/>
        </w:rPr>
        <w:t>第</w:t>
      </w:r>
      <w:r>
        <w:rPr>
          <w:b/>
          <w:bCs/>
        </w:rPr>
        <w:t>12</w:t>
      </w:r>
      <w:r>
        <w:rPr>
          <w:rFonts w:hint="eastAsia"/>
          <w:b/>
          <w:bCs/>
        </w:rPr>
        <w:t>条</w:t>
      </w:r>
      <w:r>
        <w:rPr>
          <w:rFonts w:hint="eastAsia"/>
          <w:u w:val="none"/>
        </w:rPr>
        <w:t>：对酷刑行为立即进行公正的调</w:t>
      </w:r>
      <w:r>
        <w:rPr>
          <w:rFonts w:ascii="SimSun" w:hAnsi="SimSun" w:cs="SimSun" w:hint="eastAsia"/>
          <w:u w:val="none"/>
        </w:rPr>
        <w:t>查</w:t>
      </w:r>
    </w:p>
    <w:p w:rsidR="00000000" w:rsidRDefault="00954A93">
      <w:pPr>
        <w:spacing w:after="160"/>
        <w:rPr>
          <w:rFonts w:hint="eastAsia"/>
        </w:rPr>
      </w:pPr>
      <w:r>
        <w:rPr>
          <w:rFonts w:hint="eastAsia"/>
        </w:rPr>
        <w:tab/>
      </w:r>
      <w:r>
        <w:t>104.</w:t>
      </w:r>
      <w:r>
        <w:rPr>
          <w:rFonts w:hint="eastAsia"/>
        </w:rPr>
        <w:t xml:space="preserve">  </w:t>
      </w:r>
      <w:r>
        <w:rPr>
          <w:rFonts w:hint="eastAsia"/>
        </w:rPr>
        <w:t>正如上文第</w:t>
      </w:r>
      <w:r>
        <w:t>63</w:t>
      </w:r>
      <w:r>
        <w:rPr>
          <w:rFonts w:hint="eastAsia"/>
        </w:rPr>
        <w:t>段</w:t>
      </w:r>
      <w:r>
        <w:t>(</w:t>
      </w:r>
      <w:r>
        <w:rPr>
          <w:rFonts w:hint="eastAsia"/>
        </w:rPr>
        <w:t>关于公约</w:t>
      </w:r>
      <w:r>
        <w:rPr>
          <w:rFonts w:hint="eastAsia"/>
        </w:rPr>
        <w:t>第</w:t>
      </w:r>
      <w:r>
        <w:t>2</w:t>
      </w:r>
      <w:r>
        <w:rPr>
          <w:rFonts w:hint="eastAsia"/>
        </w:rPr>
        <w:t>条</w:t>
      </w:r>
      <w:r>
        <w:t>)</w:t>
      </w:r>
      <w:r>
        <w:rPr>
          <w:rFonts w:hint="eastAsia"/>
        </w:rPr>
        <w:t>所论述，在今次报告涵盖期</w:t>
      </w:r>
      <w:r>
        <w:rPr>
          <w:rFonts w:ascii="SimSun" w:hAnsi="SimSun" w:cs="SimSun" w:hint="eastAsia"/>
        </w:rPr>
        <w:t>内</w:t>
      </w:r>
      <w:r>
        <w:rPr>
          <w:rFonts w:ascii="MS Mincho" w:hAnsi="MS Mincho" w:cs="MS Mincho" w:hint="eastAsia"/>
        </w:rPr>
        <w:t>，并无施行酷刑或指称施行酷刑的个案。任何在本港发生的指称或怀疑施行酷刑个案，都会立即通过下文第</w:t>
      </w:r>
      <w:r>
        <w:t>105</w:t>
      </w:r>
      <w:r>
        <w:rPr>
          <w:rFonts w:hint="eastAsia"/>
        </w:rPr>
        <w:t>至第</w:t>
      </w:r>
      <w:r>
        <w:t>122</w:t>
      </w:r>
      <w:r>
        <w:rPr>
          <w:rFonts w:hint="eastAsia"/>
        </w:rPr>
        <w:t>段</w:t>
      </w:r>
      <w:r>
        <w:t>(</w:t>
      </w:r>
      <w:r>
        <w:rPr>
          <w:rFonts w:hint="eastAsia"/>
        </w:rPr>
        <w:t>关于公约第</w:t>
      </w:r>
      <w:r>
        <w:t>13</w:t>
      </w:r>
      <w:r>
        <w:rPr>
          <w:rFonts w:hint="eastAsia"/>
        </w:rPr>
        <w:t>条</w:t>
      </w:r>
      <w:r>
        <w:rPr>
          <w:rStyle w:val="FootnoteReference"/>
          <w:b/>
          <w:color w:val="003366"/>
        </w:rPr>
        <w:footnoteReference w:customMarkFollows="1" w:id="22"/>
        <w:t>17</w:t>
      </w:r>
      <w:r>
        <w:rPr>
          <w:rFonts w:hint="eastAsia"/>
          <w:b/>
          <w:color w:val="003366"/>
        </w:rPr>
        <w:t xml:space="preserve"> </w:t>
      </w:r>
      <w:r>
        <w:t>)</w:t>
      </w:r>
      <w:r>
        <w:rPr>
          <w:rFonts w:hint="eastAsia"/>
        </w:rPr>
        <w:t>所述的投诉制度进行调</w:t>
      </w:r>
      <w:r>
        <w:rPr>
          <w:rFonts w:ascii="SimSun" w:hAnsi="SimSun" w:cs="SimSun" w:hint="eastAsia"/>
        </w:rPr>
        <w:t>查</w:t>
      </w:r>
      <w:r>
        <w:rPr>
          <w:rFonts w:ascii="MS Mincho" w:hAnsi="MS Mincho" w:cs="MS Mincho" w:hint="eastAsia"/>
        </w:rPr>
        <w:t>。至于在其他司法管辖区发生的指称施行酷刑个案，则会按照上文</w:t>
      </w:r>
      <w:r>
        <w:t>(</w:t>
      </w:r>
      <w:r>
        <w:rPr>
          <w:rFonts w:hint="eastAsia"/>
        </w:rPr>
        <w:t>公约第</w:t>
      </w:r>
      <w:r>
        <w:t>3</w:t>
      </w:r>
      <w:r>
        <w:rPr>
          <w:rFonts w:hint="eastAsia"/>
        </w:rPr>
        <w:t>、第</w:t>
      </w:r>
      <w:r>
        <w:t>8</w:t>
      </w:r>
      <w:r>
        <w:rPr>
          <w:rFonts w:hint="eastAsia"/>
        </w:rPr>
        <w:t>和第</w:t>
      </w:r>
      <w:r>
        <w:t>9</w:t>
      </w:r>
      <w:r>
        <w:rPr>
          <w:rFonts w:hint="eastAsia"/>
        </w:rPr>
        <w:t>条的有关段落中</w:t>
      </w:r>
      <w:r>
        <w:t>)</w:t>
      </w:r>
      <w:r>
        <w:rPr>
          <w:rFonts w:hint="eastAsia"/>
        </w:rPr>
        <w:t>所述的安排处理。</w:t>
      </w:r>
    </w:p>
    <w:p w:rsidR="00000000" w:rsidRDefault="00954A93">
      <w:pPr>
        <w:pStyle w:val="Heading3"/>
        <w:rPr>
          <w:rFonts w:hint="eastAsia"/>
          <w:u w:val="none"/>
        </w:rPr>
      </w:pPr>
      <w:r>
        <w:rPr>
          <w:rFonts w:hint="eastAsia"/>
        </w:rPr>
        <w:t>第</w:t>
      </w:r>
      <w:r>
        <w:rPr>
          <w:b/>
          <w:bCs/>
        </w:rPr>
        <w:t>13</w:t>
      </w:r>
      <w:r>
        <w:rPr>
          <w:rFonts w:hint="eastAsia"/>
        </w:rPr>
        <w:t>条</w:t>
      </w:r>
      <w:r>
        <w:rPr>
          <w:rFonts w:hint="eastAsia"/>
          <w:u w:val="none"/>
        </w:rPr>
        <w:t>：投诉的权利</w:t>
      </w:r>
    </w:p>
    <w:p w:rsidR="00000000" w:rsidRDefault="00954A93">
      <w:pPr>
        <w:pStyle w:val="Heading4"/>
        <w:rPr>
          <w:rFonts w:hint="eastAsia"/>
        </w:rPr>
      </w:pPr>
      <w:r>
        <w:rPr>
          <w:rFonts w:hint="eastAsia"/>
        </w:rPr>
        <w:t>概</w:t>
      </w:r>
      <w:r>
        <w:rPr>
          <w:rFonts w:hint="eastAsia"/>
        </w:rPr>
        <w:t xml:space="preserve">  </w:t>
      </w:r>
      <w:r>
        <w:rPr>
          <w:rFonts w:hint="eastAsia"/>
        </w:rPr>
        <w:t>况</w:t>
      </w:r>
    </w:p>
    <w:p w:rsidR="00000000" w:rsidRDefault="00954A93">
      <w:pPr>
        <w:spacing w:after="160"/>
        <w:rPr>
          <w:rFonts w:eastAsia="華康中黑體" w:hint="eastAsia"/>
          <w:b/>
          <w:bCs/>
        </w:rPr>
      </w:pPr>
      <w:r>
        <w:rPr>
          <w:rFonts w:hint="eastAsia"/>
        </w:rPr>
        <w:tab/>
      </w:r>
      <w:r>
        <w:t>105.</w:t>
      </w:r>
      <w:r>
        <w:rPr>
          <w:rFonts w:hint="eastAsia"/>
        </w:rPr>
        <w:t xml:space="preserve">  </w:t>
      </w:r>
      <w:r>
        <w:rPr>
          <w:rFonts w:hint="eastAsia"/>
        </w:rPr>
        <w:t>这方面的情况大致上与第一次报告第</w:t>
      </w:r>
      <w:r>
        <w:t>85</w:t>
      </w:r>
      <w:r>
        <w:rPr>
          <w:rFonts w:hint="eastAsia"/>
        </w:rPr>
        <w:t>至第</w:t>
      </w:r>
      <w:r>
        <w:t>101</w:t>
      </w:r>
      <w:r>
        <w:rPr>
          <w:rFonts w:hint="eastAsia"/>
        </w:rPr>
        <w:t>段所述的相同。不过，我们希望藉此机会更新有关的统计数字，以及向委员会汇报最新的发展。</w:t>
      </w:r>
    </w:p>
    <w:p w:rsidR="00000000" w:rsidRDefault="00954A93">
      <w:pPr>
        <w:pStyle w:val="Heading4"/>
        <w:rPr>
          <w:rFonts w:hint="eastAsia"/>
        </w:rPr>
      </w:pPr>
      <w:r>
        <w:rPr>
          <w:rFonts w:hint="eastAsia"/>
        </w:rPr>
        <w:t>警务处</w:t>
      </w:r>
    </w:p>
    <w:p w:rsidR="00000000" w:rsidRDefault="00954A93">
      <w:pPr>
        <w:spacing w:line="312" w:lineRule="auto"/>
        <w:rPr>
          <w:rFonts w:hint="eastAsia"/>
        </w:rPr>
      </w:pPr>
      <w:r>
        <w:rPr>
          <w:rFonts w:hint="eastAsia"/>
        </w:rPr>
        <w:tab/>
      </w:r>
      <w:r>
        <w:t>106.</w:t>
      </w:r>
      <w:r>
        <w:rPr>
          <w:rFonts w:hint="eastAsia"/>
        </w:rPr>
        <w:t xml:space="preserve">  </w:t>
      </w:r>
      <w:r>
        <w:rPr>
          <w:rFonts w:hint="eastAsia"/>
        </w:rPr>
        <w:t>在二</w:t>
      </w:r>
      <w:r>
        <w:rPr>
          <w:rFonts w:hint="eastAsia"/>
        </w:rPr>
        <w:t>零零零年审议结论第</w:t>
      </w:r>
      <w:r>
        <w:t>38</w:t>
      </w:r>
      <w:r>
        <w:rPr>
          <w:rFonts w:hint="eastAsia"/>
        </w:rPr>
        <w:t>段，委员会建议“香港特区政府继续致力确保投诉警方独立监察委员会成为法定组织，并拥有较大的权力”。本港论者也同意这点。我们现正采取</w:t>
      </w:r>
      <w:r>
        <w:rPr>
          <w:rFonts w:ascii="SimSun" w:hAnsi="SimSun" w:cs="SimSun" w:hint="eastAsia"/>
        </w:rPr>
        <w:t>步</w:t>
      </w:r>
      <w:r>
        <w:rPr>
          <w:rFonts w:ascii="MS Mincho" w:hAnsi="MS Mincho" w:cs="MS Mincho" w:hint="eastAsia"/>
        </w:rPr>
        <w:t>骤把投诉警方独立监察委员会</w:t>
      </w:r>
      <w:r>
        <w:t>(</w:t>
      </w:r>
      <w:r>
        <w:rPr>
          <w:rFonts w:hint="eastAsia"/>
        </w:rPr>
        <w:t>警监会</w:t>
      </w:r>
      <w:r>
        <w:t>)</w:t>
      </w:r>
      <w:r>
        <w:rPr>
          <w:rFonts w:hint="eastAsia"/>
        </w:rPr>
        <w:t>转为一个法定组织，并为此拟备相关的法例。制定法例的目的之一，是赋权警监会要求投诉警察课提交在调</w:t>
      </w:r>
      <w:r>
        <w:rPr>
          <w:rFonts w:ascii="SimSun" w:hAnsi="SimSun" w:cs="SimSun" w:hint="eastAsia"/>
        </w:rPr>
        <w:t>查</w:t>
      </w:r>
      <w:r>
        <w:rPr>
          <w:rFonts w:ascii="MS Mincho" w:hAnsi="MS Mincho" w:cs="MS Mincho" w:hint="eastAsia"/>
        </w:rPr>
        <w:t>投诉期间所</w:t>
      </w:r>
      <w:r>
        <w:rPr>
          <w:rFonts w:ascii="SimSun" w:hAnsi="SimSun" w:cs="SimSun" w:hint="eastAsia"/>
        </w:rPr>
        <w:t>录</w:t>
      </w:r>
      <w:r>
        <w:rPr>
          <w:rFonts w:ascii="MS Mincho" w:hAnsi="MS Mincho" w:cs="MS Mincho" w:hint="eastAsia"/>
        </w:rPr>
        <w:t>取的口供和拍摄的</w:t>
      </w:r>
      <w:r>
        <w:rPr>
          <w:rFonts w:ascii="SimSun" w:hAnsi="SimSun" w:cs="SimSun" w:hint="eastAsia"/>
        </w:rPr>
        <w:t>录</w:t>
      </w:r>
      <w:r>
        <w:rPr>
          <w:rFonts w:ascii="MS Mincho" w:hAnsi="MS Mincho" w:cs="MS Mincho" w:hint="eastAsia"/>
        </w:rPr>
        <w:t>像带，以进行覆检。我们已在二零零二年三月进行谘询，结果显示有关的建议得到公众支持。</w:t>
      </w:r>
    </w:p>
    <w:p w:rsidR="00000000" w:rsidRDefault="00954A93">
      <w:pPr>
        <w:spacing w:line="312" w:lineRule="auto"/>
        <w:rPr>
          <w:rFonts w:hint="eastAsia"/>
        </w:rPr>
      </w:pPr>
      <w:r>
        <w:rPr>
          <w:rFonts w:hint="eastAsia"/>
        </w:rPr>
        <w:tab/>
      </w:r>
      <w:r>
        <w:t>107.</w:t>
      </w:r>
      <w:r>
        <w:rPr>
          <w:rFonts w:hint="eastAsia"/>
        </w:rPr>
        <w:t xml:space="preserve">  </w:t>
      </w:r>
      <w:r>
        <w:rPr>
          <w:rFonts w:hint="eastAsia"/>
        </w:rPr>
        <w:t>虽然有论者认为，在现行制度下，警务人员如非秉诚行事，有关的投诉制度便无法发挥效用，但我们必须指出实际</w:t>
      </w:r>
      <w:r>
        <w:rPr>
          <w:rFonts w:hint="eastAsia"/>
        </w:rPr>
        <w:t>情况并不是这样。投诉警察课完全独立于警务处的所有行动和支援单位；再者，警监会也会密切监察和覆检投诉警察课的调</w:t>
      </w:r>
      <w:r>
        <w:rPr>
          <w:rFonts w:ascii="SimSun" w:hAnsi="SimSun" w:cs="SimSun" w:hint="eastAsia"/>
        </w:rPr>
        <w:t>查</w:t>
      </w:r>
      <w:r>
        <w:rPr>
          <w:rFonts w:ascii="MS Mincho" w:hAnsi="MS Mincho" w:cs="MS Mincho" w:hint="eastAsia"/>
        </w:rPr>
        <w:t>工作。警监会是</w:t>
      </w:r>
      <w:r>
        <w:rPr>
          <w:rFonts w:hint="eastAsia"/>
        </w:rPr>
        <w:t>一个独立组织，由来自社会各界的非公职人士组成，包括立法会议员和申诉专员或其代表。警监会也设有全职秘书处，为其提供秘书支援服务。</w:t>
      </w:r>
    </w:p>
    <w:p w:rsidR="00000000" w:rsidRDefault="00954A93">
      <w:pPr>
        <w:spacing w:line="312" w:lineRule="auto"/>
      </w:pPr>
      <w:r>
        <w:rPr>
          <w:rFonts w:hint="eastAsia"/>
        </w:rPr>
        <w:tab/>
      </w:r>
      <w:r>
        <w:t>108.</w:t>
      </w:r>
      <w:r>
        <w:rPr>
          <w:rFonts w:hint="eastAsia"/>
        </w:rPr>
        <w:t xml:space="preserve">  </w:t>
      </w:r>
      <w:r>
        <w:rPr>
          <w:rFonts w:hint="eastAsia"/>
        </w:rPr>
        <w:t>当局已制定有效的制衡措施，以确保投诉获得彻底、公平、公正的处理。投诉警察课须就</w:t>
      </w:r>
      <w:r>
        <w:rPr>
          <w:rFonts w:ascii="SimSun" w:hAnsi="SimSun" w:cs="SimSun" w:hint="eastAsia"/>
        </w:rPr>
        <w:t>每</w:t>
      </w:r>
      <w:r>
        <w:rPr>
          <w:rFonts w:ascii="MS Mincho" w:hAnsi="MS Mincho" w:cs="MS Mincho" w:hint="eastAsia"/>
        </w:rPr>
        <w:t>宗投诉拟备详细调</w:t>
      </w:r>
      <w:r>
        <w:rPr>
          <w:rFonts w:ascii="SimSun" w:hAnsi="SimSun" w:cs="SimSun" w:hint="eastAsia"/>
        </w:rPr>
        <w:t>查</w:t>
      </w:r>
      <w:r>
        <w:rPr>
          <w:rFonts w:ascii="MS Mincho" w:hAnsi="MS Mincho" w:cs="MS Mincho" w:hint="eastAsia"/>
        </w:rPr>
        <w:t>报告，并把报告提交警监会详细审核。如果警监会成员对任何调</w:t>
      </w:r>
      <w:r>
        <w:rPr>
          <w:rFonts w:ascii="SimSun" w:hAnsi="SimSun" w:cs="SimSun" w:hint="eastAsia"/>
        </w:rPr>
        <w:t>查</w:t>
      </w:r>
      <w:r>
        <w:rPr>
          <w:rFonts w:ascii="MS Mincho" w:hAnsi="MS Mincho" w:cs="MS Mincho" w:hint="eastAsia"/>
        </w:rPr>
        <w:t>有疑问，可以传召投诉人、被投诉人和证人。警监会也可以要求投诉警察课提交有关投诉个案的文件或</w:t>
      </w:r>
      <w:r>
        <w:rPr>
          <w:rFonts w:ascii="MS Mincho" w:hAnsi="MS Mincho" w:cs="MS Mincho" w:hint="eastAsia"/>
        </w:rPr>
        <w:t>资料</w:t>
      </w:r>
      <w:r>
        <w:rPr>
          <w:rFonts w:hint="eastAsia"/>
        </w:rPr>
        <w:t>。警监会成员可进行突击或预先安排的视察，以监察投诉警察课的调</w:t>
      </w:r>
      <w:r>
        <w:rPr>
          <w:rFonts w:ascii="SimSun" w:hAnsi="SimSun" w:cs="SimSun" w:hint="eastAsia"/>
        </w:rPr>
        <w:t>查</w:t>
      </w:r>
      <w:r>
        <w:rPr>
          <w:rFonts w:ascii="MS Mincho" w:hAnsi="MS Mincho" w:cs="MS Mincho" w:hint="eastAsia"/>
        </w:rPr>
        <w:t>工作。警监会若不满意调</w:t>
      </w:r>
      <w:r>
        <w:rPr>
          <w:rFonts w:ascii="SimSun" w:hAnsi="SimSun" w:cs="SimSun" w:hint="eastAsia"/>
        </w:rPr>
        <w:t>查</w:t>
      </w:r>
      <w:r>
        <w:rPr>
          <w:rFonts w:ascii="MS Mincho" w:hAnsi="MS Mincho" w:cs="MS Mincho" w:hint="eastAsia"/>
        </w:rPr>
        <w:t>结果，可以要求投诉警察课解释有疑点的地方，或重新调</w:t>
      </w:r>
      <w:r>
        <w:rPr>
          <w:rFonts w:ascii="SimSun" w:hAnsi="SimSun" w:cs="SimSun" w:hint="eastAsia"/>
        </w:rPr>
        <w:t>查</w:t>
      </w:r>
      <w:r>
        <w:rPr>
          <w:rFonts w:ascii="MS Mincho" w:hAnsi="MS Mincho" w:cs="MS Mincho" w:hint="eastAsia"/>
        </w:rPr>
        <w:t>投诉个案。此外，警监会可就任何投诉个案向行政长官提交报告，并提出认为适当的建议。因此，警监会显然有足</w:t>
      </w:r>
      <w:r>
        <w:rPr>
          <w:rFonts w:ascii="SimSun" w:hAnsi="SimSun" w:cs="SimSun" w:hint="eastAsia"/>
        </w:rPr>
        <w:t>够</w:t>
      </w:r>
      <w:r>
        <w:rPr>
          <w:rFonts w:ascii="MS Mincho" w:hAnsi="MS Mincho" w:cs="MS Mincho" w:hint="eastAsia"/>
        </w:rPr>
        <w:t>的能力，以确保调</w:t>
      </w:r>
      <w:r>
        <w:rPr>
          <w:rFonts w:ascii="SimSun" w:hAnsi="SimSun" w:cs="SimSun" w:hint="eastAsia"/>
        </w:rPr>
        <w:t>查</w:t>
      </w:r>
      <w:r>
        <w:rPr>
          <w:rFonts w:ascii="MS Mincho" w:hAnsi="MS Mincho" w:cs="MS Mincho" w:hint="eastAsia"/>
        </w:rPr>
        <w:t>工作妥善和有效地进行。</w:t>
      </w:r>
    </w:p>
    <w:p w:rsidR="00000000" w:rsidRDefault="00954A93">
      <w:pPr>
        <w:spacing w:after="240" w:line="312" w:lineRule="auto"/>
        <w:rPr>
          <w:rFonts w:eastAsia="華康中黑體" w:hint="eastAsia"/>
          <w:b/>
          <w:bCs/>
        </w:rPr>
      </w:pPr>
      <w:r>
        <w:rPr>
          <w:rFonts w:hint="eastAsia"/>
        </w:rPr>
        <w:tab/>
      </w:r>
      <w:r>
        <w:t>109.</w:t>
      </w:r>
      <w:r>
        <w:rPr>
          <w:rFonts w:hint="eastAsia"/>
        </w:rPr>
        <w:t xml:space="preserve">  </w:t>
      </w:r>
      <w:r>
        <w:rPr>
          <w:rFonts w:hint="eastAsia"/>
        </w:rPr>
        <w:t>这些年来，我们已采取多项措施，以提高现行制度的公信力和透明度。具体来</w:t>
      </w:r>
      <w:r>
        <w:rPr>
          <w:rFonts w:ascii="SimSun" w:hAnsi="SimSun" w:cs="SimSun" w:hint="eastAsia"/>
        </w:rPr>
        <w:t>说</w:t>
      </w:r>
      <w:r>
        <w:rPr>
          <w:rFonts w:ascii="MS Mincho" w:hAnsi="MS Mincho" w:cs="MS Mincho" w:hint="eastAsia"/>
        </w:rPr>
        <w:t>，我们推行了“观察员计划”和“警监会会见证人计划”，让警监会更有效地监察投诉警察课的调</w:t>
      </w:r>
      <w:r>
        <w:rPr>
          <w:rFonts w:ascii="SimSun" w:hAnsi="SimSun" w:cs="SimSun" w:hint="eastAsia"/>
        </w:rPr>
        <w:t>查</w:t>
      </w:r>
      <w:r>
        <w:rPr>
          <w:rFonts w:ascii="MS Mincho" w:hAnsi="MS Mincho" w:cs="MS Mincho" w:hint="eastAsia"/>
        </w:rPr>
        <w:t>工作。其他已推行的措施包括：由警监会成立特别小组，负责</w:t>
      </w:r>
      <w:r>
        <w:rPr>
          <w:rFonts w:ascii="MS Mincho" w:hAnsi="MS Mincho" w:cs="MS Mincho" w:hint="eastAsia"/>
        </w:rPr>
        <w:t>监察严</w:t>
      </w:r>
      <w:r>
        <w:rPr>
          <w:rFonts w:hint="eastAsia"/>
        </w:rPr>
        <w:t>重的投诉个案，以及委派已卸任的警监会成员和一些社区领袖担当观察员，以监察投诉警察课的调</w:t>
      </w:r>
      <w:r>
        <w:rPr>
          <w:rFonts w:ascii="SimSun" w:hAnsi="SimSun" w:cs="SimSun" w:hint="eastAsia"/>
        </w:rPr>
        <w:t>查</w:t>
      </w:r>
      <w:r>
        <w:rPr>
          <w:rFonts w:ascii="MS Mincho" w:hAnsi="MS Mincho" w:cs="MS Mincho" w:hint="eastAsia"/>
        </w:rPr>
        <w:t>工作。</w:t>
      </w:r>
    </w:p>
    <w:p w:rsidR="00000000" w:rsidRDefault="00954A93">
      <w:pPr>
        <w:pStyle w:val="Heading4"/>
        <w:rPr>
          <w:rFonts w:hint="eastAsia"/>
        </w:rPr>
      </w:pPr>
      <w:r>
        <w:rPr>
          <w:rFonts w:hint="eastAsia"/>
        </w:rPr>
        <w:t>惩教署</w:t>
      </w:r>
    </w:p>
    <w:p w:rsidR="00000000" w:rsidRDefault="00954A93">
      <w:pPr>
        <w:spacing w:line="312" w:lineRule="auto"/>
        <w:rPr>
          <w:rFonts w:hint="eastAsia"/>
        </w:rPr>
      </w:pPr>
      <w:r>
        <w:rPr>
          <w:rFonts w:hint="eastAsia"/>
        </w:rPr>
        <w:tab/>
      </w:r>
      <w:r>
        <w:t>110.</w:t>
      </w:r>
      <w:r>
        <w:rPr>
          <w:rFonts w:hint="eastAsia"/>
        </w:rPr>
        <w:t xml:space="preserve">  </w:t>
      </w:r>
      <w:r>
        <w:rPr>
          <w:rFonts w:hint="eastAsia"/>
        </w:rPr>
        <w:t>囚犯提出的投诉均会转交惩教署辖下的投诉调</w:t>
      </w:r>
      <w:r>
        <w:rPr>
          <w:rFonts w:ascii="SimSun" w:hAnsi="SimSun" w:cs="SimSun" w:hint="eastAsia"/>
        </w:rPr>
        <w:t>查</w:t>
      </w:r>
      <w:r>
        <w:rPr>
          <w:rFonts w:ascii="MS Mincho" w:hAnsi="MS Mincho" w:cs="MS Mincho" w:hint="eastAsia"/>
        </w:rPr>
        <w:t>组处理</w:t>
      </w:r>
      <w:r>
        <w:t>(</w:t>
      </w:r>
      <w:r>
        <w:rPr>
          <w:rFonts w:ascii="華康細明體" w:hint="eastAsia"/>
        </w:rPr>
        <w:t>调</w:t>
      </w:r>
      <w:r>
        <w:rPr>
          <w:rFonts w:ascii="SimSun" w:hAnsi="SimSun" w:cs="SimSun" w:hint="eastAsia"/>
        </w:rPr>
        <w:t>查</w:t>
      </w:r>
      <w:r>
        <w:rPr>
          <w:rFonts w:ascii="MS Mincho" w:hAnsi="MS Mincho" w:cs="MS Mincho" w:hint="eastAsia"/>
        </w:rPr>
        <w:t>组</w:t>
      </w:r>
      <w:r>
        <w:t>)</w:t>
      </w:r>
      <w:r>
        <w:rPr>
          <w:rFonts w:hint="eastAsia"/>
        </w:rPr>
        <w:t>。调</w:t>
      </w:r>
      <w:r>
        <w:rPr>
          <w:rFonts w:ascii="SimSun" w:hAnsi="SimSun" w:cs="SimSun" w:hint="eastAsia"/>
        </w:rPr>
        <w:t>查</w:t>
      </w:r>
      <w:r>
        <w:rPr>
          <w:rFonts w:ascii="MS Mincho" w:hAnsi="MS Mincho" w:cs="MS Mincho" w:hint="eastAsia"/>
        </w:rPr>
        <w:t>组获惩教署署长授予独立的调</w:t>
      </w:r>
      <w:r>
        <w:rPr>
          <w:rFonts w:ascii="SimSun" w:hAnsi="SimSun" w:cs="SimSun" w:hint="eastAsia"/>
        </w:rPr>
        <w:t>查</w:t>
      </w:r>
      <w:r>
        <w:rPr>
          <w:rFonts w:ascii="MS Mincho" w:hAnsi="MS Mincho" w:cs="MS Mincho" w:hint="eastAsia"/>
        </w:rPr>
        <w:t>权力，以便尽速、彻底和公正处理所有在其职权范围</w:t>
      </w:r>
      <w:r>
        <w:rPr>
          <w:rFonts w:ascii="SimSun" w:hAnsi="SimSun" w:cs="SimSun" w:hint="eastAsia"/>
        </w:rPr>
        <w:t>内</w:t>
      </w:r>
      <w:r>
        <w:rPr>
          <w:rFonts w:ascii="MS Mincho" w:hAnsi="MS Mincho" w:cs="MS Mincho" w:hint="eastAsia"/>
        </w:rPr>
        <w:t>的投诉。任何指控如</w:t>
      </w:r>
      <w:r>
        <w:rPr>
          <w:rFonts w:ascii="SimSun" w:hAnsi="SimSun" w:cs="SimSun" w:hint="eastAsia"/>
        </w:rPr>
        <w:t>涉</w:t>
      </w:r>
      <w:r>
        <w:rPr>
          <w:rFonts w:ascii="MS Mincho" w:hAnsi="MS Mincho" w:cs="MS Mincho" w:hint="eastAsia"/>
        </w:rPr>
        <w:t>及刑事罪行，则会即时交由警方调</w:t>
      </w:r>
      <w:r>
        <w:rPr>
          <w:rFonts w:ascii="SimSun" w:hAnsi="SimSun" w:cs="SimSun" w:hint="eastAsia"/>
        </w:rPr>
        <w:t>查</w:t>
      </w:r>
      <w:r>
        <w:rPr>
          <w:rFonts w:ascii="MS Mincho" w:hAnsi="MS Mincho" w:cs="MS Mincho" w:hint="eastAsia"/>
        </w:rPr>
        <w:t>。</w:t>
      </w:r>
    </w:p>
    <w:p w:rsidR="00000000" w:rsidRDefault="00954A93">
      <w:pPr>
        <w:spacing w:line="312" w:lineRule="auto"/>
        <w:rPr>
          <w:rFonts w:hint="eastAsia"/>
        </w:rPr>
      </w:pPr>
      <w:r>
        <w:rPr>
          <w:rFonts w:hint="eastAsia"/>
        </w:rPr>
        <w:tab/>
      </w:r>
      <w:r>
        <w:t>111.</w:t>
      </w:r>
      <w:r>
        <w:rPr>
          <w:rFonts w:hint="eastAsia"/>
        </w:rPr>
        <w:t xml:space="preserve">  </w:t>
      </w:r>
      <w:r>
        <w:rPr>
          <w:rFonts w:hint="eastAsia"/>
        </w:rPr>
        <w:t>调</w:t>
      </w:r>
      <w:r>
        <w:rPr>
          <w:rFonts w:ascii="SimSun" w:hAnsi="SimSun" w:cs="SimSun" w:hint="eastAsia"/>
        </w:rPr>
        <w:t>查</w:t>
      </w:r>
      <w:r>
        <w:rPr>
          <w:rFonts w:ascii="MS Mincho" w:hAnsi="MS Mincho" w:cs="MS Mincho" w:hint="eastAsia"/>
        </w:rPr>
        <w:t>组会处理所有由部门转介及其他人士或机构提出的个案，并确保在过程中遵守</w:t>
      </w:r>
      <w:r>
        <w:rPr>
          <w:rFonts w:ascii="華康細明體" w:hint="eastAsia"/>
        </w:rPr>
        <w:t>《监狱规则》</w:t>
      </w:r>
      <w:r>
        <w:t>(</w:t>
      </w:r>
      <w:r>
        <w:rPr>
          <w:rFonts w:hint="eastAsia"/>
        </w:rPr>
        <w:t>第</w:t>
      </w:r>
      <w:r>
        <w:t>234A</w:t>
      </w:r>
      <w:r>
        <w:rPr>
          <w:rFonts w:hint="eastAsia"/>
        </w:rPr>
        <w:t>章</w:t>
      </w:r>
      <w:r>
        <w:t>)</w:t>
      </w:r>
      <w:r>
        <w:rPr>
          <w:rFonts w:hint="eastAsia"/>
        </w:rPr>
        <w:t>以及惩教署的常务训令和程序的规定，从而体现署方在</w:t>
      </w:r>
      <w:r>
        <w:rPr>
          <w:rFonts w:ascii="華康細明體" w:hint="eastAsia"/>
        </w:rPr>
        <w:t>“</w:t>
      </w:r>
      <w:r>
        <w:rPr>
          <w:rFonts w:hint="eastAsia"/>
        </w:rPr>
        <w:t>抱负、任务及价</w:t>
      </w:r>
      <w:r>
        <w:rPr>
          <w:rFonts w:ascii="SimSun" w:hAnsi="SimSun" w:cs="SimSun" w:hint="eastAsia"/>
        </w:rPr>
        <w:t>值</w:t>
      </w:r>
      <w:r>
        <w:rPr>
          <w:rFonts w:ascii="MS Mincho" w:hAnsi="MS Mincho" w:cs="MS Mincho" w:hint="eastAsia"/>
        </w:rPr>
        <w:t>观</w:t>
      </w:r>
      <w:r>
        <w:rPr>
          <w:rFonts w:ascii="華康細明體" w:hint="eastAsia"/>
        </w:rPr>
        <w:t>宣言”</w:t>
      </w:r>
      <w:r>
        <w:rPr>
          <w:rFonts w:hint="eastAsia"/>
        </w:rPr>
        <w:t xml:space="preserve"> </w:t>
      </w:r>
      <w:r>
        <w:rPr>
          <w:rStyle w:val="FootnoteReference"/>
          <w:b/>
          <w:color w:val="003366"/>
        </w:rPr>
        <w:footnoteReference w:customMarkFollows="1" w:id="23"/>
        <w:t>1</w:t>
      </w:r>
      <w:r>
        <w:rPr>
          <w:rStyle w:val="FootnoteReference"/>
          <w:b/>
          <w:color w:val="003366"/>
        </w:rPr>
        <w:t>8</w:t>
      </w:r>
      <w:r>
        <w:rPr>
          <w:rFonts w:hint="eastAsia"/>
        </w:rPr>
        <w:t xml:space="preserve"> </w:t>
      </w:r>
      <w:r>
        <w:rPr>
          <w:rFonts w:ascii="SimSun" w:hAnsi="SimSun" w:cs="SimSun" w:hint="eastAsia"/>
        </w:rPr>
        <w:t>内</w:t>
      </w:r>
      <w:r>
        <w:rPr>
          <w:rFonts w:ascii="MS Mincho" w:hAnsi="MS Mincho" w:cs="MS Mincho" w:hint="eastAsia"/>
        </w:rPr>
        <w:t>表</w:t>
      </w:r>
      <w:r>
        <w:rPr>
          <w:rFonts w:ascii="華康細明體" w:hint="eastAsia"/>
        </w:rPr>
        <w:t>现的精神。调</w:t>
      </w:r>
      <w:r>
        <w:rPr>
          <w:rFonts w:ascii="SimSun" w:hAnsi="SimSun" w:cs="SimSun" w:hint="eastAsia"/>
        </w:rPr>
        <w:t>查</w:t>
      </w:r>
      <w:r>
        <w:rPr>
          <w:rFonts w:ascii="MS Mincho" w:hAnsi="MS Mincho" w:cs="MS Mincho" w:hint="eastAsia"/>
        </w:rPr>
        <w:t>组人员一般会在接获投诉后翌日会见投诉人。调</w:t>
      </w:r>
      <w:r>
        <w:rPr>
          <w:rFonts w:ascii="SimSun" w:hAnsi="SimSun" w:cs="SimSun" w:hint="eastAsia"/>
        </w:rPr>
        <w:t>查</w:t>
      </w:r>
      <w:r>
        <w:rPr>
          <w:rFonts w:ascii="MS Mincho" w:hAnsi="MS Mincho" w:cs="MS Mincho" w:hint="eastAsia"/>
        </w:rPr>
        <w:t>组的服务</w:t>
      </w:r>
      <w:r>
        <w:rPr>
          <w:rFonts w:hint="eastAsia"/>
        </w:rPr>
        <w:t>已取得</w:t>
      </w:r>
      <w:r>
        <w:t>ISO 9001</w:t>
      </w:r>
      <w:r>
        <w:t>：</w:t>
      </w:r>
      <w:r>
        <w:t>2000</w:t>
      </w:r>
      <w:r>
        <w:rPr>
          <w:rFonts w:hint="eastAsia"/>
        </w:rPr>
        <w:t>品质管理系统认证，其运作模式充分顾及</w:t>
      </w:r>
      <w:r>
        <w:rPr>
          <w:rFonts w:ascii="華康細明體" w:hint="eastAsia"/>
        </w:rPr>
        <w:t>《联合国囚犯待遇最低限度标准规则》的规定，并</w:t>
      </w:r>
      <w:r>
        <w:rPr>
          <w:rFonts w:hint="eastAsia"/>
        </w:rPr>
        <w:t>由部门的</w:t>
      </w:r>
      <w:r>
        <w:rPr>
          <w:rFonts w:ascii="華康細明體" w:hint="eastAsia"/>
        </w:rPr>
        <w:t>《</w:t>
      </w:r>
      <w:r>
        <w:rPr>
          <w:rFonts w:hint="eastAsia"/>
        </w:rPr>
        <w:t>投诉处理手册</w:t>
      </w:r>
      <w:r>
        <w:rPr>
          <w:rFonts w:ascii="華康細明體" w:hint="eastAsia"/>
        </w:rPr>
        <w:t>》规管。</w:t>
      </w:r>
    </w:p>
    <w:p w:rsidR="00000000" w:rsidRDefault="00954A93">
      <w:r>
        <w:rPr>
          <w:rFonts w:hint="eastAsia"/>
        </w:rPr>
        <w:tab/>
      </w:r>
      <w:r>
        <w:t>112.</w:t>
      </w:r>
      <w:r>
        <w:rPr>
          <w:rFonts w:hint="eastAsia"/>
        </w:rPr>
        <w:t xml:space="preserve">  </w:t>
      </w:r>
      <w:r>
        <w:rPr>
          <w:rFonts w:hint="eastAsia"/>
        </w:rPr>
        <w:t>二零零四年，投诉调</w:t>
      </w:r>
      <w:r>
        <w:rPr>
          <w:rFonts w:ascii="SimSun" w:hAnsi="SimSun" w:cs="SimSun" w:hint="eastAsia"/>
        </w:rPr>
        <w:t>查</w:t>
      </w:r>
      <w:r>
        <w:rPr>
          <w:rFonts w:ascii="MS Mincho" w:hAnsi="MS Mincho" w:cs="MS Mincho" w:hint="eastAsia"/>
        </w:rPr>
        <w:t>组一共接获</w:t>
      </w:r>
      <w:r>
        <w:t>204</w:t>
      </w:r>
      <w:r>
        <w:rPr>
          <w:rFonts w:hint="eastAsia"/>
        </w:rPr>
        <w:t>宗由囚犯和市民提出的投诉。年</w:t>
      </w:r>
      <w:r>
        <w:rPr>
          <w:rFonts w:ascii="SimSun" w:hAnsi="SimSun" w:cs="SimSun" w:hint="eastAsia"/>
        </w:rPr>
        <w:t>内</w:t>
      </w:r>
      <w:r>
        <w:rPr>
          <w:rFonts w:ascii="MS Mincho" w:hAnsi="MS Mincho" w:cs="MS Mincho" w:hint="eastAsia"/>
        </w:rPr>
        <w:t>，惩教署投诉委员会审核了</w:t>
      </w:r>
      <w:r>
        <w:t>199</w:t>
      </w:r>
      <w:r>
        <w:rPr>
          <w:rFonts w:hint="eastAsia"/>
        </w:rPr>
        <w:t>宗投诉个案</w:t>
      </w:r>
      <w:r>
        <w:t>(</w:t>
      </w:r>
      <w:r>
        <w:rPr>
          <w:rFonts w:hint="eastAsia"/>
        </w:rPr>
        <w:t>包括在前一年未完结的个案</w:t>
      </w:r>
      <w:r>
        <w:t>)</w:t>
      </w:r>
      <w:r>
        <w:rPr>
          <w:rFonts w:hint="eastAsia"/>
        </w:rPr>
        <w:t>，其中四宗个案经调</w:t>
      </w:r>
      <w:r>
        <w:rPr>
          <w:rFonts w:ascii="SimSun" w:hAnsi="SimSun" w:cs="SimSun" w:hint="eastAsia"/>
        </w:rPr>
        <w:t>查</w:t>
      </w:r>
      <w:r>
        <w:rPr>
          <w:rFonts w:ascii="MS Mincho" w:hAnsi="MS Mincho" w:cs="MS Mincho" w:hint="eastAsia"/>
        </w:rPr>
        <w:t>后证明属实。</w:t>
      </w:r>
    </w:p>
    <w:p w:rsidR="00000000" w:rsidRDefault="00954A93">
      <w:r>
        <w:rPr>
          <w:rFonts w:hint="eastAsia"/>
        </w:rPr>
        <w:tab/>
      </w:r>
      <w:r>
        <w:t>113.</w:t>
      </w:r>
      <w:r>
        <w:rPr>
          <w:rFonts w:hint="eastAsia"/>
        </w:rPr>
        <w:t xml:space="preserve">  </w:t>
      </w:r>
      <w:r>
        <w:rPr>
          <w:rFonts w:hint="eastAsia"/>
        </w:rPr>
        <w:t>所有调</w:t>
      </w:r>
      <w:r>
        <w:rPr>
          <w:rFonts w:ascii="SimSun" w:hAnsi="SimSun" w:cs="SimSun" w:hint="eastAsia"/>
        </w:rPr>
        <w:t>查</w:t>
      </w:r>
      <w:r>
        <w:rPr>
          <w:rFonts w:ascii="MS Mincho" w:hAnsi="MS Mincho" w:cs="MS Mincho" w:hint="eastAsia"/>
        </w:rPr>
        <w:t>报告均须提交惩教署投诉委员会审核，以确认有关的调</w:t>
      </w:r>
      <w:r>
        <w:rPr>
          <w:rFonts w:ascii="SimSun" w:hAnsi="SimSun" w:cs="SimSun" w:hint="eastAsia"/>
        </w:rPr>
        <w:t>查</w:t>
      </w:r>
      <w:r>
        <w:rPr>
          <w:rFonts w:ascii="MS Mincho" w:hAnsi="MS Mincho" w:cs="MS Mincho" w:hint="eastAsia"/>
        </w:rPr>
        <w:t>结果</w:t>
      </w:r>
      <w:r>
        <w:rPr>
          <w:rFonts w:ascii="MS Mincho" w:hAnsi="MS Mincho" w:cs="MS Mincho" w:hint="eastAsia"/>
          <w:spacing w:val="6"/>
        </w:rPr>
        <w:t>或指示采取其他行动。投诉委员会主席由</w:t>
      </w:r>
      <w:r>
        <w:rPr>
          <w:rFonts w:ascii="MS Mincho" w:hAnsi="MS Mincho" w:cs="MS Mincho" w:hint="eastAsia"/>
          <w:spacing w:val="6"/>
        </w:rPr>
        <w:t>一名独立</w:t>
      </w:r>
      <w:r>
        <w:rPr>
          <w:rFonts w:hint="eastAsia"/>
          <w:spacing w:val="6"/>
        </w:rPr>
        <w:t>于军装编制的文职首长级人员出任；其他委员则包括惩教署司铎和服务质素科的助理署长。这样的委员组合能确保投诉制度公正持平并具透明度。有了两层的投诉制度，当投诉人对调</w:t>
      </w:r>
      <w:r>
        <w:rPr>
          <w:rFonts w:ascii="SimSun" w:hAnsi="SimSun" w:cs="SimSun" w:hint="eastAsia"/>
          <w:spacing w:val="6"/>
        </w:rPr>
        <w:t>查</w:t>
      </w:r>
      <w:r>
        <w:rPr>
          <w:rFonts w:ascii="MS Mincho" w:hAnsi="MS Mincho" w:cs="MS Mincho" w:hint="eastAsia"/>
          <w:spacing w:val="6"/>
        </w:rPr>
        <w:t>结果仍感不满时，便可</w:t>
      </w:r>
      <w:r>
        <w:rPr>
          <w:rFonts w:ascii="MS Mincho" w:hAnsi="MS Mincho" w:cs="MS Mincho" w:hint="eastAsia"/>
        </w:rPr>
        <w:t>要求进行复核。任何因不满投诉委员会决定而提出的上诉，将由惩教署署长处理。</w:t>
      </w:r>
    </w:p>
    <w:p w:rsidR="00000000" w:rsidRDefault="00954A93">
      <w:pPr>
        <w:rPr>
          <w:rFonts w:hint="eastAsia"/>
        </w:rPr>
      </w:pPr>
      <w:r>
        <w:rPr>
          <w:rFonts w:hint="eastAsia"/>
        </w:rPr>
        <w:tab/>
      </w:r>
      <w:r>
        <w:t>114.</w:t>
      </w:r>
      <w:r>
        <w:rPr>
          <w:rFonts w:hint="eastAsia"/>
        </w:rPr>
        <w:t xml:space="preserve">  </w:t>
      </w:r>
      <w:r>
        <w:rPr>
          <w:rFonts w:hint="eastAsia"/>
        </w:rPr>
        <w:t>投诉委员会所作的决定，会由司法机构</w:t>
      </w:r>
      <w:r>
        <w:t>(</w:t>
      </w:r>
      <w:r>
        <w:rPr>
          <w:rFonts w:hint="eastAsia"/>
        </w:rPr>
        <w:t>通过司法复核或民事程序</w:t>
      </w:r>
      <w:r>
        <w:t>)</w:t>
      </w:r>
      <w:r>
        <w:rPr>
          <w:rFonts w:hint="eastAsia"/>
        </w:rPr>
        <w:t>加以审</w:t>
      </w:r>
      <w:r>
        <w:rPr>
          <w:rFonts w:ascii="SimSun" w:hAnsi="SimSun" w:cs="SimSun" w:hint="eastAsia"/>
        </w:rPr>
        <w:t>查</w:t>
      </w:r>
      <w:r>
        <w:rPr>
          <w:rFonts w:ascii="MS Mincho" w:hAnsi="MS Mincho" w:cs="MS Mincho" w:hint="eastAsia"/>
        </w:rPr>
        <w:t>，也由申诉专员、太平绅士等外界机构或人士监察。投诉个案应在所订的目标回应时间</w:t>
      </w:r>
      <w:r>
        <w:t>(18</w:t>
      </w:r>
      <w:r>
        <w:rPr>
          <w:rFonts w:hint="eastAsia"/>
        </w:rPr>
        <w:t>个星期</w:t>
      </w:r>
      <w:r>
        <w:t>)</w:t>
      </w:r>
      <w:r>
        <w:rPr>
          <w:rStyle w:val="FootnoteReference"/>
          <w:b/>
          <w:color w:val="003366"/>
        </w:rPr>
        <w:footnoteReference w:customMarkFollows="1" w:id="24"/>
        <w:t>19</w:t>
      </w:r>
      <w:r>
        <w:rPr>
          <w:rFonts w:hint="eastAsia"/>
        </w:rPr>
        <w:t xml:space="preserve"> </w:t>
      </w:r>
      <w:r>
        <w:rPr>
          <w:rFonts w:ascii="SimSun" w:hAnsi="SimSun" w:cs="SimSun" w:hint="eastAsia"/>
        </w:rPr>
        <w:t>内</w:t>
      </w:r>
      <w:r>
        <w:rPr>
          <w:rFonts w:ascii="MS Mincho" w:hAnsi="MS Mincho" w:cs="MS Mincho" w:hint="eastAsia"/>
        </w:rPr>
        <w:t>完成调</w:t>
      </w:r>
      <w:r>
        <w:rPr>
          <w:rFonts w:ascii="SimSun" w:hAnsi="SimSun" w:cs="SimSun" w:hint="eastAsia"/>
        </w:rPr>
        <w:t>查</w:t>
      </w:r>
      <w:r>
        <w:rPr>
          <w:rFonts w:ascii="MS Mincho" w:hAnsi="MS Mincho" w:cs="MS Mincho" w:hint="eastAsia"/>
        </w:rPr>
        <w:t>。有关各方会获书面通知调</w:t>
      </w:r>
      <w:r>
        <w:rPr>
          <w:rFonts w:ascii="SimSun" w:hAnsi="SimSun" w:cs="SimSun" w:hint="eastAsia"/>
        </w:rPr>
        <w:t>查</w:t>
      </w:r>
      <w:r>
        <w:rPr>
          <w:rFonts w:ascii="MS Mincho" w:hAnsi="MS Mincho" w:cs="MS Mincho" w:hint="eastAsia"/>
        </w:rPr>
        <w:t>结果。</w:t>
      </w:r>
    </w:p>
    <w:p w:rsidR="00000000" w:rsidRDefault="00954A93">
      <w:pPr>
        <w:widowControl w:val="0"/>
        <w:rPr>
          <w:rFonts w:hint="eastAsia"/>
        </w:rPr>
      </w:pPr>
      <w:r>
        <w:rPr>
          <w:rFonts w:hint="eastAsia"/>
        </w:rPr>
        <w:tab/>
      </w:r>
      <w:r>
        <w:t>115.</w:t>
      </w:r>
      <w:r>
        <w:rPr>
          <w:rFonts w:hint="eastAsia"/>
        </w:rPr>
        <w:t xml:space="preserve">  </w:t>
      </w:r>
      <w:r>
        <w:rPr>
          <w:rFonts w:hint="eastAsia"/>
        </w:rPr>
        <w:t>正如第一次报</w:t>
      </w:r>
      <w:r>
        <w:rPr>
          <w:rFonts w:hint="eastAsia"/>
        </w:rPr>
        <w:t>告第</w:t>
      </w:r>
      <w:r>
        <w:t>104</w:t>
      </w:r>
      <w:r>
        <w:rPr>
          <w:rFonts w:hint="eastAsia"/>
        </w:rPr>
        <w:t>段所述，惩教署通过举行</w:t>
      </w:r>
      <w:r>
        <w:rPr>
          <w:rFonts w:ascii="SimSun" w:hAnsi="SimSun" w:cs="SimSun" w:hint="eastAsia"/>
        </w:rPr>
        <w:t>启</w:t>
      </w:r>
      <w:r>
        <w:rPr>
          <w:rFonts w:ascii="MS Mincho" w:hAnsi="MS Mincho" w:cs="MS Mincho" w:hint="eastAsia"/>
        </w:rPr>
        <w:t>导班、派发资料小册子、在惩教机构的当眼处张贴通告，以及安排署</w:t>
      </w:r>
      <w:r>
        <w:rPr>
          <w:rFonts w:ascii="SimSun" w:hAnsi="SimSun" w:cs="SimSun" w:hint="eastAsia"/>
        </w:rPr>
        <w:t>内</w:t>
      </w:r>
      <w:r>
        <w:rPr>
          <w:rFonts w:ascii="MS Mincho" w:hAnsi="MS Mincho" w:cs="MS Mincho" w:hint="eastAsia"/>
        </w:rPr>
        <w:t>人员与囚犯会面，让所有囚犯都知悉可循哪些途径提出投诉。囚犯如有不满，可向立法会议员、申诉专员、巡视监狱的太平绅士以及廉政公署等提出申诉。至于来自其他司法管辖区的囚犯，则可向有关的总领事馆提出投诉。根据《监狱规则》</w:t>
      </w:r>
      <w:r>
        <w:t>(</w:t>
      </w:r>
      <w:r>
        <w:rPr>
          <w:rFonts w:hint="eastAsia"/>
        </w:rPr>
        <w:t>第</w:t>
      </w:r>
      <w:r>
        <w:t>234A</w:t>
      </w:r>
      <w:r>
        <w:rPr>
          <w:rFonts w:hint="eastAsia"/>
        </w:rPr>
        <w:t>章</w:t>
      </w:r>
      <w:r>
        <w:t>)</w:t>
      </w:r>
      <w:r>
        <w:rPr>
          <w:rFonts w:hint="eastAsia"/>
        </w:rPr>
        <w:t>第</w:t>
      </w:r>
      <w:r>
        <w:t>47C</w:t>
      </w:r>
      <w:r>
        <w:rPr>
          <w:rFonts w:hint="eastAsia"/>
        </w:rPr>
        <w:t>条所订，由囚犯发给“指明的人”</w:t>
      </w:r>
      <w:r>
        <w:rPr>
          <w:rStyle w:val="FootnoteReference"/>
          <w:b/>
          <w:bCs/>
        </w:rPr>
        <w:footnoteReference w:customMarkFollows="1" w:id="25"/>
        <w:t>20</w:t>
      </w:r>
      <w:r>
        <w:t xml:space="preserve"> (</w:t>
      </w:r>
      <w:r>
        <w:rPr>
          <w:rFonts w:hint="eastAsia"/>
        </w:rPr>
        <w:t>有关定义见《监狱规则》第</w:t>
      </w:r>
      <w:r>
        <w:t>1A</w:t>
      </w:r>
      <w:r>
        <w:rPr>
          <w:rFonts w:hint="eastAsia"/>
        </w:rPr>
        <w:t>条</w:t>
      </w:r>
      <w:r>
        <w:t>)</w:t>
      </w:r>
      <w:r>
        <w:rPr>
          <w:rFonts w:hint="eastAsia"/>
        </w:rPr>
        <w:t>的信件，当局不得开</w:t>
      </w:r>
      <w:r>
        <w:rPr>
          <w:rFonts w:ascii="SimSun" w:hAnsi="SimSun" w:cs="SimSun" w:hint="eastAsia"/>
        </w:rPr>
        <w:t>启</w:t>
      </w:r>
      <w:r>
        <w:rPr>
          <w:rFonts w:ascii="MS Mincho" w:hAnsi="MS Mincho" w:cs="MS Mincho" w:hint="eastAsia"/>
        </w:rPr>
        <w:t>。</w:t>
      </w:r>
    </w:p>
    <w:p w:rsidR="00000000" w:rsidRDefault="00954A93">
      <w:pPr>
        <w:spacing w:after="240"/>
        <w:rPr>
          <w:rFonts w:hint="eastAsia"/>
        </w:rPr>
      </w:pPr>
      <w:r>
        <w:rPr>
          <w:rFonts w:hint="eastAsia"/>
        </w:rPr>
        <w:tab/>
      </w:r>
      <w:r>
        <w:t>116.</w:t>
      </w:r>
      <w:r>
        <w:rPr>
          <w:rFonts w:hint="eastAsia"/>
        </w:rPr>
        <w:t xml:space="preserve">  </w:t>
      </w:r>
      <w:r>
        <w:rPr>
          <w:rFonts w:hint="eastAsia"/>
        </w:rPr>
        <w:t>有关规管投诉途径的规则，与第一次报告第</w:t>
      </w:r>
      <w:r>
        <w:t>108</w:t>
      </w:r>
      <w:r>
        <w:rPr>
          <w:rFonts w:hint="eastAsia"/>
        </w:rPr>
        <w:t>段所述的相同。</w:t>
      </w:r>
    </w:p>
    <w:p w:rsidR="00000000" w:rsidRDefault="00954A93">
      <w:pPr>
        <w:pStyle w:val="Heading4"/>
        <w:rPr>
          <w:rFonts w:hint="eastAsia"/>
        </w:rPr>
      </w:pPr>
      <w:r>
        <w:rPr>
          <w:rFonts w:hint="eastAsia"/>
        </w:rPr>
        <w:t>入境事务处</w:t>
      </w:r>
    </w:p>
    <w:p w:rsidR="00000000" w:rsidRDefault="00954A93">
      <w:pPr>
        <w:spacing w:after="240"/>
        <w:rPr>
          <w:rFonts w:hint="eastAsia"/>
        </w:rPr>
      </w:pPr>
      <w:r>
        <w:rPr>
          <w:rFonts w:hint="eastAsia"/>
        </w:rPr>
        <w:tab/>
      </w:r>
      <w:r>
        <w:t>117.</w:t>
      </w:r>
      <w:r>
        <w:rPr>
          <w:rFonts w:hint="eastAsia"/>
        </w:rPr>
        <w:t xml:space="preserve">  </w:t>
      </w:r>
      <w:r>
        <w:rPr>
          <w:rFonts w:ascii="華康細明體" w:hint="eastAsia"/>
        </w:rPr>
        <w:t>目前情况与第一次报告第</w:t>
      </w:r>
      <w:r>
        <w:t>118</w:t>
      </w:r>
      <w:r>
        <w:rPr>
          <w:rFonts w:hint="eastAsia"/>
        </w:rPr>
        <w:t>及第</w:t>
      </w:r>
      <w:r>
        <w:t>119</w:t>
      </w:r>
      <w:r>
        <w:rPr>
          <w:rFonts w:hint="eastAsia"/>
        </w:rPr>
        <w:t>段所述的大致相同。</w:t>
      </w:r>
    </w:p>
    <w:p w:rsidR="00000000" w:rsidRDefault="00954A93">
      <w:pPr>
        <w:pStyle w:val="Heading4"/>
        <w:rPr>
          <w:rFonts w:hint="eastAsia"/>
        </w:rPr>
      </w:pPr>
      <w:r>
        <w:rPr>
          <w:rFonts w:hint="eastAsia"/>
        </w:rPr>
        <w:t>香港海关</w:t>
      </w:r>
    </w:p>
    <w:p w:rsidR="00000000" w:rsidRDefault="00954A93">
      <w:pPr>
        <w:spacing w:after="240"/>
        <w:rPr>
          <w:rFonts w:hint="eastAsia"/>
          <w:b/>
          <w:u w:val="single"/>
        </w:rPr>
      </w:pPr>
      <w:r>
        <w:rPr>
          <w:rFonts w:hint="eastAsia"/>
        </w:rPr>
        <w:tab/>
      </w:r>
      <w:r>
        <w:t>118.</w:t>
      </w:r>
      <w:r>
        <w:rPr>
          <w:rFonts w:hint="eastAsia"/>
        </w:rPr>
        <w:t xml:space="preserve">  </w:t>
      </w:r>
      <w:r>
        <w:rPr>
          <w:rFonts w:ascii="華康細明體" w:hint="eastAsia"/>
        </w:rPr>
        <w:t>目前情况与第一次报告第</w:t>
      </w:r>
      <w:r>
        <w:t>120</w:t>
      </w:r>
      <w:r>
        <w:rPr>
          <w:rFonts w:hint="eastAsia"/>
        </w:rPr>
        <w:t>段所述的大致相同。在一九九八至二零零四年期间，海关共接获</w:t>
      </w:r>
      <w:r>
        <w:t>224</w:t>
      </w:r>
      <w:r>
        <w:rPr>
          <w:rFonts w:hint="eastAsia"/>
        </w:rPr>
        <w:t>宗有关殴打的投诉。经警方调</w:t>
      </w:r>
      <w:r>
        <w:rPr>
          <w:rFonts w:ascii="SimSun" w:hAnsi="SimSun" w:cs="SimSun" w:hint="eastAsia"/>
        </w:rPr>
        <w:t>查</w:t>
      </w:r>
      <w:r>
        <w:rPr>
          <w:rFonts w:ascii="MS Mincho" w:hAnsi="MS Mincho" w:cs="MS Mincho" w:hint="eastAsia"/>
        </w:rPr>
        <w:t>后，发现所有投诉均不成立。</w:t>
      </w:r>
    </w:p>
    <w:p w:rsidR="00000000" w:rsidRDefault="00954A93">
      <w:pPr>
        <w:pStyle w:val="Heading4"/>
        <w:rPr>
          <w:rFonts w:hint="eastAsia"/>
        </w:rPr>
      </w:pPr>
      <w:r>
        <w:rPr>
          <w:rFonts w:hint="eastAsia"/>
        </w:rPr>
        <w:t>廉政公署</w:t>
      </w:r>
    </w:p>
    <w:p w:rsidR="00000000" w:rsidRDefault="00954A93">
      <w:r>
        <w:rPr>
          <w:rFonts w:hint="eastAsia"/>
        </w:rPr>
        <w:tab/>
      </w:r>
      <w:r>
        <w:t>119.</w:t>
      </w:r>
      <w:r>
        <w:rPr>
          <w:rFonts w:hint="eastAsia"/>
        </w:rPr>
        <w:t xml:space="preserve">  </w:t>
      </w:r>
      <w:r>
        <w:rPr>
          <w:rFonts w:hint="eastAsia"/>
        </w:rPr>
        <w:t>在第一次报告第</w:t>
      </w:r>
      <w:r>
        <w:t>96</w:t>
      </w:r>
      <w:r>
        <w:rPr>
          <w:rFonts w:hint="eastAsia"/>
        </w:rPr>
        <w:t>段，我们向委员会</w:t>
      </w:r>
      <w:r>
        <w:rPr>
          <w:rFonts w:ascii="SimSun" w:hAnsi="SimSun" w:cs="SimSun" w:hint="eastAsia"/>
        </w:rPr>
        <w:t>说</w:t>
      </w:r>
      <w:r>
        <w:rPr>
          <w:rFonts w:ascii="MS Mincho" w:hAnsi="MS Mincho" w:cs="MS Mincho" w:hint="eastAsia"/>
        </w:rPr>
        <w:t>明，廉政公署事宜投诉委员会由行政会议召集人担任主席；该名主席其后退休，现任主席是一名行政会议成员。</w:t>
      </w:r>
    </w:p>
    <w:p w:rsidR="00000000" w:rsidRDefault="00954A93">
      <w:pPr>
        <w:spacing w:after="160"/>
        <w:rPr>
          <w:rFonts w:hint="eastAsia"/>
        </w:rPr>
      </w:pPr>
      <w:r>
        <w:rPr>
          <w:rFonts w:hint="eastAsia"/>
        </w:rPr>
        <w:tab/>
      </w:r>
      <w:r>
        <w:t>120.</w:t>
      </w:r>
      <w:r>
        <w:rPr>
          <w:rFonts w:hint="eastAsia"/>
        </w:rPr>
        <w:t xml:space="preserve">  </w:t>
      </w:r>
      <w:r>
        <w:rPr>
          <w:rFonts w:hint="eastAsia"/>
        </w:rPr>
        <w:t>在第一次报告第</w:t>
      </w:r>
      <w:r>
        <w:t>98</w:t>
      </w:r>
      <w:r>
        <w:rPr>
          <w:rFonts w:hint="eastAsia"/>
        </w:rPr>
        <w:t>段，我们告知委员会，在一九九七年，针对廉政公署及该署职员的投诉共有</w:t>
      </w:r>
      <w:r>
        <w:t>30</w:t>
      </w:r>
      <w:r>
        <w:rPr>
          <w:rFonts w:hint="eastAsia"/>
        </w:rPr>
        <w:t>宗，当中</w:t>
      </w:r>
      <w:r>
        <w:rPr>
          <w:rFonts w:hint="eastAsia"/>
        </w:rPr>
        <w:t>有</w:t>
      </w:r>
      <w:r>
        <w:t>19</w:t>
      </w:r>
      <w:r>
        <w:rPr>
          <w:rFonts w:hint="eastAsia"/>
        </w:rPr>
        <w:t>宗</w:t>
      </w:r>
      <w:r>
        <w:rPr>
          <w:rFonts w:ascii="SimSun" w:hAnsi="SimSun" w:cs="SimSun" w:hint="eastAsia"/>
        </w:rPr>
        <w:t>涉</w:t>
      </w:r>
      <w:r>
        <w:rPr>
          <w:rFonts w:hint="eastAsia"/>
        </w:rPr>
        <w:t>及超过一项指控，而全部投诉共</w:t>
      </w:r>
      <w:r>
        <w:rPr>
          <w:rFonts w:ascii="SimSun" w:hAnsi="SimSun" w:cs="SimSun" w:hint="eastAsia"/>
        </w:rPr>
        <w:t>涉</w:t>
      </w:r>
      <w:r>
        <w:rPr>
          <w:rFonts w:ascii="MS Mincho" w:hAnsi="MS Mincho" w:cs="MS Mincho" w:hint="eastAsia"/>
        </w:rPr>
        <w:t>及</w:t>
      </w:r>
      <w:r>
        <w:t>76</w:t>
      </w:r>
      <w:r>
        <w:rPr>
          <w:rFonts w:hint="eastAsia"/>
        </w:rPr>
        <w:t>项指控。大部分投诉</w:t>
      </w:r>
      <w:r>
        <w:t>(</w:t>
      </w:r>
      <w:r>
        <w:rPr>
          <w:rFonts w:hint="eastAsia"/>
        </w:rPr>
        <w:t>占总数</w:t>
      </w:r>
      <w:r>
        <w:t>47%)</w:t>
      </w:r>
      <w:r>
        <w:rPr>
          <w:rFonts w:hint="eastAsia"/>
        </w:rPr>
        <w:t>指称廉署人员行为失当，另外</w:t>
      </w:r>
      <w:r>
        <w:t>33%</w:t>
      </w:r>
      <w:r>
        <w:rPr>
          <w:rFonts w:hint="eastAsia"/>
        </w:rPr>
        <w:t>则指称廉署人员怠忽职守，余下的</w:t>
      </w:r>
      <w:r>
        <w:t>20%</w:t>
      </w:r>
      <w:r>
        <w:rPr>
          <w:rFonts w:hint="eastAsia"/>
        </w:rPr>
        <w:t>则指控有关人员滥用职权或对廉署的程序表示不满。在一九九八至二零零三年</w:t>
      </w:r>
      <w:r>
        <w:rPr>
          <w:rFonts w:ascii="SimSun" w:hAnsi="SimSun" w:cs="SimSun" w:hint="eastAsia"/>
        </w:rPr>
        <w:t>录</w:t>
      </w:r>
      <w:r>
        <w:rPr>
          <w:rFonts w:ascii="MS Mincho" w:hAnsi="MS Mincho" w:cs="MS Mincho" w:hint="eastAsia"/>
        </w:rPr>
        <w:t>得的相关数字如下：</w:t>
      </w:r>
    </w:p>
    <w:tbl>
      <w:tblPr>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340"/>
        <w:gridCol w:w="1170"/>
        <w:gridCol w:w="1200"/>
        <w:gridCol w:w="1430"/>
        <w:gridCol w:w="1040"/>
        <w:gridCol w:w="1470"/>
        <w:gridCol w:w="1620"/>
      </w:tblGrid>
      <w:tr w:rsidR="00000000">
        <w:tblPrEx>
          <w:tblCellMar>
            <w:top w:w="0" w:type="dxa"/>
            <w:bottom w:w="0" w:type="dxa"/>
          </w:tblCellMar>
        </w:tblPrEx>
        <w:trPr>
          <w:cantSplit/>
        </w:trPr>
        <w:tc>
          <w:tcPr>
            <w:tcW w:w="1340" w:type="dxa"/>
            <w:vMerge w:val="restart"/>
            <w:vAlign w:val="center"/>
          </w:tcPr>
          <w:p w:rsidR="00000000" w:rsidRDefault="00954A93">
            <w:pPr>
              <w:tabs>
                <w:tab w:val="left" w:pos="567"/>
                <w:tab w:val="left" w:pos="1080"/>
                <w:tab w:val="left" w:pos="1701"/>
              </w:tabs>
              <w:autoSpaceDE w:val="0"/>
              <w:autoSpaceDN w:val="0"/>
              <w:ind w:left="28" w:right="28"/>
              <w:jc w:val="center"/>
              <w:rPr>
                <w:rFonts w:eastAsia="華康中黑體" w:hint="eastAsia"/>
                <w:sz w:val="20"/>
                <w:szCs w:val="22"/>
              </w:rPr>
            </w:pPr>
            <w:r>
              <w:rPr>
                <w:rFonts w:eastAsia="華康中黑體" w:hint="eastAsia"/>
                <w:sz w:val="20"/>
                <w:szCs w:val="22"/>
              </w:rPr>
              <w:t>年</w:t>
            </w:r>
            <w:r>
              <w:rPr>
                <w:rFonts w:eastAsia="華康中黑體" w:hint="eastAsia"/>
                <w:sz w:val="20"/>
                <w:szCs w:val="22"/>
              </w:rPr>
              <w:t xml:space="preserve">  </w:t>
            </w:r>
            <w:r>
              <w:rPr>
                <w:rFonts w:eastAsia="華康中黑體" w:hint="eastAsia"/>
                <w:sz w:val="20"/>
                <w:szCs w:val="22"/>
              </w:rPr>
              <w:t>份</w:t>
            </w:r>
          </w:p>
        </w:tc>
        <w:tc>
          <w:tcPr>
            <w:tcW w:w="1170" w:type="dxa"/>
            <w:vMerge w:val="restart"/>
            <w:vAlign w:val="center"/>
          </w:tcPr>
          <w:p w:rsidR="00000000" w:rsidRDefault="00954A93">
            <w:pPr>
              <w:tabs>
                <w:tab w:val="left" w:pos="567"/>
                <w:tab w:val="left" w:pos="1080"/>
                <w:tab w:val="left" w:pos="1701"/>
              </w:tabs>
              <w:autoSpaceDE w:val="0"/>
              <w:autoSpaceDN w:val="0"/>
              <w:spacing w:line="240" w:lineRule="auto"/>
              <w:ind w:left="17" w:right="28"/>
              <w:jc w:val="center"/>
              <w:rPr>
                <w:rFonts w:ascii="華康中黑體" w:eastAsia="華康中黑體" w:hint="eastAsia"/>
                <w:sz w:val="20"/>
                <w:szCs w:val="22"/>
              </w:rPr>
            </w:pPr>
            <w:r>
              <w:rPr>
                <w:rFonts w:ascii="華康中黑體" w:eastAsia="華康中黑體" w:hint="eastAsia"/>
                <w:sz w:val="20"/>
                <w:szCs w:val="22"/>
              </w:rPr>
              <w:t>投诉个案</w:t>
            </w:r>
          </w:p>
          <w:p w:rsidR="00000000" w:rsidRDefault="00954A93">
            <w:pPr>
              <w:tabs>
                <w:tab w:val="left" w:pos="567"/>
                <w:tab w:val="left" w:pos="1080"/>
                <w:tab w:val="left" w:pos="1701"/>
              </w:tabs>
              <w:autoSpaceDE w:val="0"/>
              <w:autoSpaceDN w:val="0"/>
              <w:spacing w:line="240" w:lineRule="auto"/>
              <w:ind w:left="17" w:right="28"/>
              <w:jc w:val="center"/>
              <w:rPr>
                <w:rFonts w:eastAsia="華康中黑體"/>
                <w:sz w:val="20"/>
                <w:szCs w:val="22"/>
              </w:rPr>
            </w:pPr>
            <w:r>
              <w:rPr>
                <w:rFonts w:ascii="華康中黑體" w:eastAsia="華康中黑體" w:hint="eastAsia"/>
                <w:sz w:val="20"/>
                <w:szCs w:val="22"/>
              </w:rPr>
              <w:t>宗数</w:t>
            </w:r>
            <w:r>
              <w:rPr>
                <w:rFonts w:eastAsia="華康中黑體"/>
                <w:sz w:val="20"/>
                <w:szCs w:val="22"/>
              </w:rPr>
              <w:t xml:space="preserve"> </w:t>
            </w:r>
          </w:p>
        </w:tc>
        <w:tc>
          <w:tcPr>
            <w:tcW w:w="1200" w:type="dxa"/>
            <w:vMerge w:val="restart"/>
            <w:vAlign w:val="center"/>
          </w:tcPr>
          <w:p w:rsidR="00000000" w:rsidRDefault="00954A93">
            <w:pPr>
              <w:tabs>
                <w:tab w:val="left" w:pos="567"/>
                <w:tab w:val="left" w:pos="1080"/>
                <w:tab w:val="left" w:pos="1701"/>
              </w:tabs>
              <w:autoSpaceDE w:val="0"/>
              <w:autoSpaceDN w:val="0"/>
              <w:spacing w:line="240" w:lineRule="auto"/>
              <w:ind w:left="17" w:right="28"/>
              <w:jc w:val="center"/>
              <w:rPr>
                <w:rFonts w:ascii="華康中黑體" w:eastAsia="華康中黑體" w:hint="eastAsia"/>
                <w:sz w:val="20"/>
                <w:szCs w:val="22"/>
              </w:rPr>
            </w:pPr>
            <w:r>
              <w:rPr>
                <w:rFonts w:ascii="華康中黑體" w:eastAsia="華康中黑體" w:hint="eastAsia"/>
                <w:sz w:val="20"/>
                <w:szCs w:val="22"/>
              </w:rPr>
              <w:t>指控项目</w:t>
            </w:r>
          </w:p>
          <w:p w:rsidR="00000000" w:rsidRDefault="00954A93">
            <w:pPr>
              <w:tabs>
                <w:tab w:val="left" w:pos="567"/>
                <w:tab w:val="left" w:pos="1080"/>
                <w:tab w:val="left" w:pos="1701"/>
              </w:tabs>
              <w:autoSpaceDE w:val="0"/>
              <w:autoSpaceDN w:val="0"/>
              <w:spacing w:line="240" w:lineRule="auto"/>
              <w:ind w:left="17" w:right="28"/>
              <w:jc w:val="center"/>
              <w:rPr>
                <w:rFonts w:eastAsia="華康中黑體" w:hint="eastAsia"/>
                <w:sz w:val="20"/>
                <w:szCs w:val="22"/>
              </w:rPr>
            </w:pPr>
            <w:r>
              <w:rPr>
                <w:rFonts w:ascii="華康中黑體" w:eastAsia="華康中黑體" w:hint="eastAsia"/>
                <w:sz w:val="20"/>
                <w:szCs w:val="22"/>
              </w:rPr>
              <w:t>总数</w:t>
            </w:r>
          </w:p>
        </w:tc>
        <w:tc>
          <w:tcPr>
            <w:tcW w:w="5560" w:type="dxa"/>
            <w:gridSpan w:val="4"/>
          </w:tcPr>
          <w:p w:rsidR="00000000" w:rsidRDefault="00954A93">
            <w:pPr>
              <w:tabs>
                <w:tab w:val="left" w:pos="567"/>
                <w:tab w:val="left" w:pos="1080"/>
                <w:tab w:val="left" w:pos="1701"/>
              </w:tabs>
              <w:autoSpaceDE w:val="0"/>
              <w:autoSpaceDN w:val="0"/>
              <w:ind w:left="15" w:right="28"/>
              <w:jc w:val="center"/>
              <w:rPr>
                <w:rFonts w:eastAsia="絡遺羹"/>
                <w:sz w:val="20"/>
                <w:szCs w:val="22"/>
              </w:rPr>
            </w:pPr>
            <w:r>
              <w:rPr>
                <w:rFonts w:eastAsia="華康中黑體" w:hint="eastAsia"/>
                <w:sz w:val="20"/>
                <w:szCs w:val="22"/>
              </w:rPr>
              <w:t>指控类别</w:t>
            </w:r>
            <w:r>
              <w:rPr>
                <w:sz w:val="20"/>
                <w:szCs w:val="22"/>
              </w:rPr>
              <w:t>(%)</w:t>
            </w:r>
          </w:p>
        </w:tc>
      </w:tr>
      <w:tr w:rsidR="00000000">
        <w:tblPrEx>
          <w:tblCellMar>
            <w:top w:w="0" w:type="dxa"/>
            <w:bottom w:w="0" w:type="dxa"/>
          </w:tblCellMar>
        </w:tblPrEx>
        <w:trPr>
          <w:cantSplit/>
        </w:trPr>
        <w:tc>
          <w:tcPr>
            <w:tcW w:w="1340" w:type="dxa"/>
            <w:vMerge/>
          </w:tcPr>
          <w:p w:rsidR="00000000" w:rsidRDefault="00954A93">
            <w:pPr>
              <w:tabs>
                <w:tab w:val="left" w:pos="567"/>
                <w:tab w:val="left" w:pos="1080"/>
                <w:tab w:val="left" w:pos="1701"/>
              </w:tabs>
              <w:autoSpaceDE w:val="0"/>
              <w:autoSpaceDN w:val="0"/>
              <w:ind w:left="28" w:right="28"/>
              <w:rPr>
                <w:rFonts w:eastAsia="絡遺羹"/>
                <w:sz w:val="20"/>
                <w:szCs w:val="22"/>
              </w:rPr>
            </w:pPr>
          </w:p>
        </w:tc>
        <w:tc>
          <w:tcPr>
            <w:tcW w:w="1170" w:type="dxa"/>
            <w:vMerge/>
          </w:tcPr>
          <w:p w:rsidR="00000000" w:rsidRDefault="00954A93">
            <w:pPr>
              <w:tabs>
                <w:tab w:val="left" w:pos="567"/>
                <w:tab w:val="left" w:pos="1080"/>
                <w:tab w:val="left" w:pos="1701"/>
              </w:tabs>
              <w:autoSpaceDE w:val="0"/>
              <w:autoSpaceDN w:val="0"/>
              <w:ind w:left="28" w:right="28"/>
              <w:rPr>
                <w:rFonts w:eastAsia="絡遺羹"/>
                <w:sz w:val="20"/>
                <w:szCs w:val="22"/>
              </w:rPr>
            </w:pPr>
          </w:p>
        </w:tc>
        <w:tc>
          <w:tcPr>
            <w:tcW w:w="1200" w:type="dxa"/>
            <w:vMerge/>
          </w:tcPr>
          <w:p w:rsidR="00000000" w:rsidRDefault="00954A93">
            <w:pPr>
              <w:tabs>
                <w:tab w:val="left" w:pos="567"/>
                <w:tab w:val="left" w:pos="1080"/>
                <w:tab w:val="left" w:pos="1701"/>
              </w:tabs>
              <w:autoSpaceDE w:val="0"/>
              <w:autoSpaceDN w:val="0"/>
              <w:ind w:left="28" w:right="28"/>
              <w:rPr>
                <w:rFonts w:eastAsia="絡遺羹"/>
                <w:sz w:val="20"/>
                <w:szCs w:val="22"/>
              </w:rPr>
            </w:pPr>
          </w:p>
        </w:tc>
        <w:tc>
          <w:tcPr>
            <w:tcW w:w="1430" w:type="dxa"/>
            <w:vAlign w:val="center"/>
          </w:tcPr>
          <w:p w:rsidR="00000000" w:rsidRDefault="00954A93">
            <w:pPr>
              <w:tabs>
                <w:tab w:val="left" w:pos="567"/>
                <w:tab w:val="left" w:pos="1080"/>
                <w:tab w:val="left" w:pos="1701"/>
              </w:tabs>
              <w:autoSpaceDE w:val="0"/>
              <w:autoSpaceDN w:val="0"/>
              <w:spacing w:line="240" w:lineRule="auto"/>
              <w:ind w:left="28" w:right="28"/>
              <w:jc w:val="center"/>
              <w:rPr>
                <w:rFonts w:eastAsia="華康中黑體" w:hint="eastAsia"/>
                <w:sz w:val="20"/>
                <w:szCs w:val="22"/>
              </w:rPr>
            </w:pPr>
            <w:r>
              <w:rPr>
                <w:rFonts w:eastAsia="華康中黑體" w:hint="eastAsia"/>
                <w:sz w:val="20"/>
                <w:szCs w:val="22"/>
              </w:rPr>
              <w:t>行为失当</w:t>
            </w:r>
          </w:p>
        </w:tc>
        <w:tc>
          <w:tcPr>
            <w:tcW w:w="1040" w:type="dxa"/>
            <w:vAlign w:val="center"/>
          </w:tcPr>
          <w:p w:rsidR="00000000" w:rsidRDefault="00954A93">
            <w:pPr>
              <w:tabs>
                <w:tab w:val="left" w:pos="567"/>
                <w:tab w:val="left" w:pos="1080"/>
                <w:tab w:val="left" w:pos="1701"/>
              </w:tabs>
              <w:autoSpaceDE w:val="0"/>
              <w:autoSpaceDN w:val="0"/>
              <w:spacing w:line="240" w:lineRule="auto"/>
              <w:ind w:left="28" w:right="28"/>
              <w:jc w:val="center"/>
              <w:rPr>
                <w:rFonts w:eastAsia="華康中黑體" w:hint="eastAsia"/>
                <w:sz w:val="20"/>
                <w:szCs w:val="22"/>
              </w:rPr>
            </w:pPr>
            <w:r>
              <w:rPr>
                <w:rFonts w:eastAsia="華康中黑體" w:hint="eastAsia"/>
                <w:sz w:val="20"/>
                <w:szCs w:val="22"/>
              </w:rPr>
              <w:t>滥用职权</w:t>
            </w:r>
          </w:p>
        </w:tc>
        <w:tc>
          <w:tcPr>
            <w:tcW w:w="1470" w:type="dxa"/>
            <w:vAlign w:val="center"/>
          </w:tcPr>
          <w:p w:rsidR="00000000" w:rsidRDefault="00954A93">
            <w:pPr>
              <w:tabs>
                <w:tab w:val="left" w:pos="567"/>
                <w:tab w:val="left" w:pos="1080"/>
                <w:tab w:val="left" w:pos="1701"/>
              </w:tabs>
              <w:autoSpaceDE w:val="0"/>
              <w:autoSpaceDN w:val="0"/>
              <w:spacing w:line="240" w:lineRule="auto"/>
              <w:ind w:left="28" w:right="28"/>
              <w:jc w:val="center"/>
              <w:rPr>
                <w:rFonts w:eastAsia="華康中黑體"/>
                <w:sz w:val="20"/>
                <w:szCs w:val="22"/>
              </w:rPr>
            </w:pPr>
            <w:r>
              <w:rPr>
                <w:rFonts w:eastAsia="華康中黑體" w:hint="eastAsia"/>
                <w:sz w:val="20"/>
                <w:szCs w:val="22"/>
              </w:rPr>
              <w:t>怠忽职守</w:t>
            </w:r>
          </w:p>
        </w:tc>
        <w:tc>
          <w:tcPr>
            <w:tcW w:w="1620" w:type="dxa"/>
            <w:vAlign w:val="center"/>
          </w:tcPr>
          <w:p w:rsidR="00000000" w:rsidRDefault="00954A93">
            <w:pPr>
              <w:tabs>
                <w:tab w:val="left" w:pos="567"/>
                <w:tab w:val="left" w:pos="1080"/>
                <w:tab w:val="left" w:pos="1701"/>
              </w:tabs>
              <w:autoSpaceDE w:val="0"/>
              <w:autoSpaceDN w:val="0"/>
              <w:spacing w:line="240" w:lineRule="auto"/>
              <w:ind w:left="28" w:right="28"/>
              <w:jc w:val="center"/>
              <w:rPr>
                <w:rFonts w:eastAsia="華康中黑體" w:hint="eastAsia"/>
                <w:sz w:val="20"/>
                <w:szCs w:val="22"/>
              </w:rPr>
            </w:pPr>
            <w:r>
              <w:rPr>
                <w:rFonts w:eastAsia="華康中黑體" w:hint="eastAsia"/>
                <w:sz w:val="20"/>
                <w:szCs w:val="22"/>
              </w:rPr>
              <w:t>廉署程序失当</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1998</w:t>
            </w:r>
          </w:p>
        </w:tc>
        <w:tc>
          <w:tcPr>
            <w:tcW w:w="117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25</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54</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56</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20</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18</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6</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1999</w:t>
            </w:r>
          </w:p>
        </w:tc>
        <w:tc>
          <w:tcPr>
            <w:tcW w:w="117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37</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110</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56</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23</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21</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0</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2000</w:t>
            </w:r>
          </w:p>
        </w:tc>
        <w:tc>
          <w:tcPr>
            <w:tcW w:w="117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44</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116</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19</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59</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22</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0</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2001</w:t>
            </w:r>
          </w:p>
        </w:tc>
        <w:tc>
          <w:tcPr>
            <w:tcW w:w="117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26</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9</w:t>
            </w:r>
            <w:r>
              <w:rPr>
                <w:sz w:val="20"/>
                <w:szCs w:val="28"/>
              </w:rPr>
              <w:t>2</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25</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48</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24</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3</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2002</w:t>
            </w:r>
          </w:p>
        </w:tc>
        <w:tc>
          <w:tcPr>
            <w:tcW w:w="117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38</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111</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31</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45</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20</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4</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2003</w:t>
            </w:r>
          </w:p>
        </w:tc>
        <w:tc>
          <w:tcPr>
            <w:tcW w:w="1170" w:type="dxa"/>
            <w:vAlign w:val="center"/>
          </w:tcPr>
          <w:p w:rsidR="00000000" w:rsidRDefault="00954A93">
            <w:pPr>
              <w:tabs>
                <w:tab w:val="left" w:pos="567"/>
                <w:tab w:val="left" w:pos="1080"/>
                <w:tab w:val="left" w:pos="1701"/>
              </w:tabs>
              <w:autoSpaceDE w:val="0"/>
              <w:autoSpaceDN w:val="0"/>
              <w:ind w:left="15"/>
              <w:jc w:val="center"/>
              <w:rPr>
                <w:rFonts w:eastAsia="絡遺羹"/>
                <w:sz w:val="20"/>
                <w:szCs w:val="28"/>
              </w:rPr>
            </w:pPr>
            <w:r>
              <w:rPr>
                <w:sz w:val="20"/>
                <w:szCs w:val="28"/>
              </w:rPr>
              <w:t>29</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70</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34</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25</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10</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sz w:val="20"/>
                <w:szCs w:val="28"/>
              </w:rPr>
            </w:pPr>
            <w:r>
              <w:rPr>
                <w:sz w:val="20"/>
                <w:szCs w:val="28"/>
              </w:rPr>
              <w:t>1</w:t>
            </w:r>
          </w:p>
        </w:tc>
      </w:tr>
      <w:tr w:rsidR="00000000">
        <w:tblPrEx>
          <w:tblCellMar>
            <w:top w:w="0" w:type="dxa"/>
            <w:bottom w:w="0" w:type="dxa"/>
          </w:tblCellMar>
        </w:tblPrEx>
        <w:tc>
          <w:tcPr>
            <w:tcW w:w="1340" w:type="dxa"/>
            <w:vAlign w:val="center"/>
          </w:tcPr>
          <w:p w:rsidR="00000000" w:rsidRDefault="00954A93">
            <w:pPr>
              <w:tabs>
                <w:tab w:val="left" w:pos="567"/>
                <w:tab w:val="left" w:pos="1080"/>
                <w:tab w:val="left" w:pos="1701"/>
              </w:tabs>
              <w:autoSpaceDE w:val="0"/>
              <w:autoSpaceDN w:val="0"/>
              <w:ind w:left="15"/>
              <w:jc w:val="center"/>
              <w:rPr>
                <w:rFonts w:eastAsia="絡遺羹" w:hint="eastAsia"/>
                <w:sz w:val="20"/>
                <w:szCs w:val="28"/>
              </w:rPr>
            </w:pPr>
            <w:r>
              <w:rPr>
                <w:sz w:val="20"/>
                <w:szCs w:val="28"/>
              </w:rPr>
              <w:t>2004</w:t>
            </w:r>
          </w:p>
        </w:tc>
        <w:tc>
          <w:tcPr>
            <w:tcW w:w="1170" w:type="dxa"/>
            <w:vAlign w:val="center"/>
          </w:tcPr>
          <w:p w:rsidR="00000000" w:rsidRDefault="00954A93">
            <w:pPr>
              <w:tabs>
                <w:tab w:val="left" w:pos="567"/>
                <w:tab w:val="left" w:pos="1080"/>
                <w:tab w:val="left" w:pos="1701"/>
              </w:tabs>
              <w:autoSpaceDE w:val="0"/>
              <w:autoSpaceDN w:val="0"/>
              <w:ind w:left="15"/>
              <w:jc w:val="center"/>
              <w:rPr>
                <w:rFonts w:eastAsia="絡遺羹" w:hint="eastAsia"/>
                <w:sz w:val="20"/>
                <w:szCs w:val="28"/>
              </w:rPr>
            </w:pPr>
            <w:r>
              <w:rPr>
                <w:sz w:val="20"/>
                <w:szCs w:val="28"/>
              </w:rPr>
              <w:t>21</w:t>
            </w:r>
          </w:p>
        </w:tc>
        <w:tc>
          <w:tcPr>
            <w:tcW w:w="120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53</w:t>
            </w:r>
          </w:p>
        </w:tc>
        <w:tc>
          <w:tcPr>
            <w:tcW w:w="143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17</w:t>
            </w:r>
          </w:p>
        </w:tc>
        <w:tc>
          <w:tcPr>
            <w:tcW w:w="104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19</w:t>
            </w:r>
          </w:p>
        </w:tc>
        <w:tc>
          <w:tcPr>
            <w:tcW w:w="147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17</w:t>
            </w:r>
          </w:p>
        </w:tc>
        <w:tc>
          <w:tcPr>
            <w:tcW w:w="1620" w:type="dxa"/>
            <w:vAlign w:val="center"/>
          </w:tcPr>
          <w:p w:rsidR="00000000" w:rsidRDefault="00954A93">
            <w:pPr>
              <w:tabs>
                <w:tab w:val="left" w:pos="567"/>
                <w:tab w:val="left" w:pos="1080"/>
                <w:tab w:val="left" w:pos="1701"/>
              </w:tabs>
              <w:autoSpaceDE w:val="0"/>
              <w:autoSpaceDN w:val="0"/>
              <w:ind w:left="28" w:right="28"/>
              <w:jc w:val="center"/>
              <w:rPr>
                <w:rFonts w:eastAsia="絡遺羹" w:hint="eastAsia"/>
                <w:sz w:val="20"/>
                <w:szCs w:val="28"/>
              </w:rPr>
            </w:pPr>
            <w:r>
              <w:rPr>
                <w:sz w:val="20"/>
                <w:szCs w:val="28"/>
              </w:rPr>
              <w:t>0</w:t>
            </w:r>
          </w:p>
        </w:tc>
      </w:tr>
    </w:tbl>
    <w:p w:rsidR="00000000" w:rsidRDefault="00954A93">
      <w:pPr>
        <w:spacing w:after="160"/>
        <w:rPr>
          <w:rFonts w:hint="eastAsia"/>
          <w:szCs w:val="28"/>
        </w:rPr>
      </w:pPr>
      <w:r>
        <w:rPr>
          <w:rFonts w:hint="eastAsia"/>
        </w:rPr>
        <w:tab/>
      </w:r>
      <w:r>
        <w:t>121.</w:t>
      </w:r>
      <w:r>
        <w:rPr>
          <w:rFonts w:hint="eastAsia"/>
        </w:rPr>
        <w:t xml:space="preserve">  </w:t>
      </w:r>
      <w:r>
        <w:rPr>
          <w:rFonts w:hint="eastAsia"/>
        </w:rPr>
        <w:t>正如我们在第一次报告第</w:t>
      </w:r>
      <w:r>
        <w:t>99</w:t>
      </w:r>
      <w:r>
        <w:rPr>
          <w:rFonts w:hint="eastAsia"/>
        </w:rPr>
        <w:t>段所述，廉政公署事宜投诉委员会在一九九七年所审议的</w:t>
      </w:r>
      <w:r>
        <w:t>32</w:t>
      </w:r>
      <w:r>
        <w:rPr>
          <w:rFonts w:hint="eastAsia"/>
        </w:rPr>
        <w:t>宗投诉个案中，有九宗</w:t>
      </w:r>
      <w:r>
        <w:rPr>
          <w:rFonts w:ascii="SimSun" w:hAnsi="SimSun" w:cs="SimSun" w:hint="eastAsia"/>
        </w:rPr>
        <w:t>查</w:t>
      </w:r>
      <w:r>
        <w:rPr>
          <w:rFonts w:ascii="MS Mincho" w:hAnsi="MS Mincho" w:cs="MS Mincho" w:hint="eastAsia"/>
        </w:rPr>
        <w:t>明属实或部分属实。</w:t>
      </w:r>
      <w:r>
        <w:rPr>
          <w:rFonts w:hint="eastAsia"/>
        </w:rPr>
        <w:t>在一九九八至二零零四年间的有关数字如下：</w:t>
      </w:r>
    </w:p>
    <w:tbl>
      <w:tblPr>
        <w:tblW w:w="923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690"/>
        <w:gridCol w:w="2990"/>
        <w:gridCol w:w="4550"/>
      </w:tblGrid>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line="240" w:lineRule="auto"/>
              <w:ind w:left="28" w:right="28"/>
              <w:jc w:val="center"/>
              <w:rPr>
                <w:rFonts w:eastAsia="華康中黑體"/>
                <w:sz w:val="22"/>
                <w:szCs w:val="28"/>
              </w:rPr>
            </w:pPr>
            <w:r>
              <w:rPr>
                <w:rFonts w:eastAsia="華康中黑體" w:hint="eastAsia"/>
                <w:sz w:val="22"/>
                <w:szCs w:val="28"/>
              </w:rPr>
              <w:t>年份</w:t>
            </w:r>
          </w:p>
        </w:tc>
        <w:tc>
          <w:tcPr>
            <w:tcW w:w="2990" w:type="dxa"/>
            <w:vAlign w:val="center"/>
          </w:tcPr>
          <w:p w:rsidR="00000000" w:rsidRDefault="00954A93">
            <w:pPr>
              <w:tabs>
                <w:tab w:val="left" w:pos="567"/>
                <w:tab w:val="left" w:pos="1080"/>
                <w:tab w:val="left" w:pos="1701"/>
              </w:tabs>
              <w:spacing w:line="240" w:lineRule="auto"/>
              <w:ind w:left="28" w:right="28"/>
              <w:jc w:val="center"/>
              <w:rPr>
                <w:rFonts w:eastAsia="華康中黑體"/>
                <w:sz w:val="22"/>
                <w:szCs w:val="28"/>
              </w:rPr>
            </w:pPr>
            <w:r>
              <w:rPr>
                <w:rFonts w:eastAsia="華康中黑體" w:hint="eastAsia"/>
                <w:sz w:val="22"/>
                <w:szCs w:val="28"/>
              </w:rPr>
              <w:t>审议的</w:t>
            </w:r>
          </w:p>
          <w:p w:rsidR="00000000" w:rsidRDefault="00954A93">
            <w:pPr>
              <w:tabs>
                <w:tab w:val="left" w:pos="567"/>
                <w:tab w:val="left" w:pos="1080"/>
                <w:tab w:val="left" w:pos="1701"/>
              </w:tabs>
              <w:spacing w:line="240" w:lineRule="auto"/>
              <w:ind w:left="28" w:right="28"/>
              <w:jc w:val="center"/>
              <w:rPr>
                <w:rFonts w:eastAsia="華康中黑體"/>
                <w:sz w:val="22"/>
                <w:szCs w:val="28"/>
              </w:rPr>
            </w:pPr>
            <w:r>
              <w:rPr>
                <w:rFonts w:eastAsia="華康中黑體" w:hint="eastAsia"/>
                <w:sz w:val="22"/>
                <w:szCs w:val="28"/>
              </w:rPr>
              <w:t>投诉个案数目</w:t>
            </w:r>
          </w:p>
        </w:tc>
        <w:tc>
          <w:tcPr>
            <w:tcW w:w="4550" w:type="dxa"/>
            <w:vAlign w:val="center"/>
          </w:tcPr>
          <w:p w:rsidR="00000000" w:rsidRDefault="00954A93">
            <w:pPr>
              <w:tabs>
                <w:tab w:val="left" w:pos="567"/>
                <w:tab w:val="left" w:pos="1080"/>
                <w:tab w:val="left" w:pos="1701"/>
              </w:tabs>
              <w:spacing w:line="240" w:lineRule="auto"/>
              <w:ind w:left="28" w:right="28"/>
              <w:jc w:val="center"/>
              <w:rPr>
                <w:rFonts w:eastAsia="華康中黑體"/>
                <w:sz w:val="22"/>
                <w:szCs w:val="28"/>
              </w:rPr>
            </w:pPr>
            <w:r>
              <w:rPr>
                <w:rFonts w:ascii="SimSun" w:hAnsi="SimSun" w:cs="SimSun" w:hint="eastAsia"/>
                <w:sz w:val="22"/>
                <w:szCs w:val="28"/>
              </w:rPr>
              <w:t>查</w:t>
            </w:r>
            <w:r>
              <w:rPr>
                <w:rFonts w:ascii="MS Mincho" w:hAnsi="MS Mincho" w:cs="MS Mincho" w:hint="eastAsia"/>
                <w:sz w:val="22"/>
                <w:szCs w:val="28"/>
              </w:rPr>
              <w:t>明属实或部分属实的投诉个案数目</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1998</w:t>
            </w:r>
          </w:p>
        </w:tc>
        <w:tc>
          <w:tcPr>
            <w:tcW w:w="29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26</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sz w:val="22"/>
                <w:szCs w:val="28"/>
              </w:rPr>
            </w:pPr>
            <w:r>
              <w:rPr>
                <w:sz w:val="22"/>
                <w:szCs w:val="28"/>
              </w:rPr>
              <w:t>6</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1999</w:t>
            </w:r>
          </w:p>
        </w:tc>
        <w:tc>
          <w:tcPr>
            <w:tcW w:w="29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30</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sz w:val="22"/>
                <w:szCs w:val="28"/>
              </w:rPr>
            </w:pPr>
            <w:r>
              <w:rPr>
                <w:sz w:val="22"/>
                <w:szCs w:val="28"/>
              </w:rPr>
              <w:t>7</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2000</w:t>
            </w:r>
          </w:p>
        </w:tc>
        <w:tc>
          <w:tcPr>
            <w:tcW w:w="29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29</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sz w:val="22"/>
                <w:szCs w:val="28"/>
              </w:rPr>
            </w:pPr>
            <w:r>
              <w:rPr>
                <w:sz w:val="22"/>
                <w:szCs w:val="28"/>
              </w:rPr>
              <w:t>10</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2001</w:t>
            </w:r>
          </w:p>
        </w:tc>
        <w:tc>
          <w:tcPr>
            <w:tcW w:w="29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26</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sz w:val="22"/>
                <w:szCs w:val="28"/>
              </w:rPr>
            </w:pPr>
            <w:r>
              <w:rPr>
                <w:sz w:val="22"/>
                <w:szCs w:val="28"/>
              </w:rPr>
              <w:t>5</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2002</w:t>
            </w:r>
          </w:p>
        </w:tc>
        <w:tc>
          <w:tcPr>
            <w:tcW w:w="29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26</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sz w:val="22"/>
                <w:szCs w:val="28"/>
              </w:rPr>
            </w:pPr>
            <w:r>
              <w:rPr>
                <w:sz w:val="22"/>
                <w:szCs w:val="28"/>
              </w:rPr>
              <w:t>10</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2003</w:t>
            </w:r>
          </w:p>
        </w:tc>
        <w:tc>
          <w:tcPr>
            <w:tcW w:w="2990" w:type="dxa"/>
            <w:vAlign w:val="center"/>
          </w:tcPr>
          <w:p w:rsidR="00000000" w:rsidRDefault="00954A93">
            <w:pPr>
              <w:tabs>
                <w:tab w:val="left" w:pos="567"/>
                <w:tab w:val="left" w:pos="1080"/>
                <w:tab w:val="left" w:pos="1701"/>
              </w:tabs>
              <w:spacing w:before="40" w:after="40" w:line="240" w:lineRule="auto"/>
              <w:ind w:left="15"/>
              <w:jc w:val="center"/>
              <w:rPr>
                <w:sz w:val="22"/>
                <w:szCs w:val="28"/>
              </w:rPr>
            </w:pPr>
            <w:r>
              <w:rPr>
                <w:sz w:val="22"/>
                <w:szCs w:val="28"/>
              </w:rPr>
              <w:t>35</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rFonts w:hint="eastAsia"/>
                <w:sz w:val="22"/>
                <w:szCs w:val="28"/>
              </w:rPr>
            </w:pPr>
            <w:r>
              <w:rPr>
                <w:sz w:val="22"/>
                <w:szCs w:val="28"/>
              </w:rPr>
              <w:t>10</w:t>
            </w:r>
          </w:p>
        </w:tc>
      </w:tr>
      <w:tr w:rsidR="00000000">
        <w:tblPrEx>
          <w:tblCellMar>
            <w:top w:w="0" w:type="dxa"/>
            <w:bottom w:w="0" w:type="dxa"/>
          </w:tblCellMar>
        </w:tblPrEx>
        <w:tc>
          <w:tcPr>
            <w:tcW w:w="1690" w:type="dxa"/>
            <w:vAlign w:val="center"/>
          </w:tcPr>
          <w:p w:rsidR="00000000" w:rsidRDefault="00954A93">
            <w:pPr>
              <w:tabs>
                <w:tab w:val="left" w:pos="567"/>
                <w:tab w:val="left" w:pos="1080"/>
                <w:tab w:val="left" w:pos="1701"/>
              </w:tabs>
              <w:spacing w:before="40" w:after="40" w:line="240" w:lineRule="auto"/>
              <w:ind w:left="15"/>
              <w:jc w:val="center"/>
              <w:rPr>
                <w:rFonts w:hint="eastAsia"/>
                <w:sz w:val="22"/>
                <w:szCs w:val="28"/>
              </w:rPr>
            </w:pPr>
            <w:r>
              <w:rPr>
                <w:sz w:val="22"/>
                <w:szCs w:val="28"/>
              </w:rPr>
              <w:t>2004</w:t>
            </w:r>
          </w:p>
        </w:tc>
        <w:tc>
          <w:tcPr>
            <w:tcW w:w="2990" w:type="dxa"/>
            <w:vAlign w:val="center"/>
          </w:tcPr>
          <w:p w:rsidR="00000000" w:rsidRDefault="00954A93">
            <w:pPr>
              <w:tabs>
                <w:tab w:val="left" w:pos="567"/>
                <w:tab w:val="left" w:pos="1080"/>
                <w:tab w:val="left" w:pos="1701"/>
              </w:tabs>
              <w:spacing w:before="40" w:after="40" w:line="240" w:lineRule="auto"/>
              <w:ind w:left="15"/>
              <w:jc w:val="center"/>
              <w:rPr>
                <w:rFonts w:hint="eastAsia"/>
                <w:sz w:val="22"/>
                <w:szCs w:val="28"/>
              </w:rPr>
            </w:pPr>
            <w:r>
              <w:rPr>
                <w:sz w:val="22"/>
                <w:szCs w:val="28"/>
              </w:rPr>
              <w:t>22</w:t>
            </w:r>
          </w:p>
        </w:tc>
        <w:tc>
          <w:tcPr>
            <w:tcW w:w="4550" w:type="dxa"/>
            <w:vAlign w:val="center"/>
          </w:tcPr>
          <w:p w:rsidR="00000000" w:rsidRDefault="00954A93">
            <w:pPr>
              <w:tabs>
                <w:tab w:val="left" w:pos="567"/>
                <w:tab w:val="left" w:pos="1080"/>
                <w:tab w:val="left" w:pos="1701"/>
              </w:tabs>
              <w:spacing w:before="40" w:after="40" w:line="240" w:lineRule="auto"/>
              <w:ind w:left="28" w:right="28"/>
              <w:jc w:val="center"/>
              <w:rPr>
                <w:rFonts w:hint="eastAsia"/>
                <w:sz w:val="22"/>
                <w:szCs w:val="28"/>
              </w:rPr>
            </w:pPr>
            <w:r>
              <w:rPr>
                <w:sz w:val="22"/>
                <w:szCs w:val="28"/>
              </w:rPr>
              <w:t>7</w:t>
            </w:r>
          </w:p>
        </w:tc>
      </w:tr>
    </w:tbl>
    <w:p w:rsidR="00000000" w:rsidRDefault="00954A93">
      <w:pPr>
        <w:tabs>
          <w:tab w:val="left" w:pos="567"/>
          <w:tab w:val="left" w:pos="1080"/>
          <w:tab w:val="left" w:pos="1701"/>
        </w:tabs>
        <w:rPr>
          <w:rFonts w:hint="eastAsia"/>
          <w:b/>
          <w:szCs w:val="28"/>
        </w:rPr>
      </w:pPr>
    </w:p>
    <w:p w:rsidR="00000000" w:rsidRDefault="00954A93">
      <w:pPr>
        <w:spacing w:after="240"/>
        <w:rPr>
          <w:rFonts w:hint="eastAsia"/>
          <w:b/>
          <w:szCs w:val="28"/>
        </w:rPr>
      </w:pPr>
      <w:r>
        <w:rPr>
          <w:rFonts w:hint="eastAsia"/>
        </w:rPr>
        <w:tab/>
      </w:r>
      <w:r>
        <w:t>122.</w:t>
      </w:r>
      <w:r>
        <w:rPr>
          <w:rFonts w:hint="eastAsia"/>
        </w:rPr>
        <w:t xml:space="preserve">  </w:t>
      </w:r>
      <w:r>
        <w:rPr>
          <w:rFonts w:hint="eastAsia"/>
        </w:rPr>
        <w:t>有论者倡议成立一个独立部门，专责处理关于纪律部队的投诉。我们认为，现时的制度行之有效，因此无须另设制度取而代之。</w:t>
      </w:r>
    </w:p>
    <w:p w:rsidR="00000000" w:rsidRDefault="00954A93">
      <w:pPr>
        <w:pStyle w:val="Heading4"/>
      </w:pPr>
      <w:r>
        <w:rPr>
          <w:rFonts w:hint="eastAsia"/>
        </w:rPr>
        <w:t>精神病患者的投诉途径</w:t>
      </w:r>
    </w:p>
    <w:p w:rsidR="00000000" w:rsidRDefault="00954A93">
      <w:pPr>
        <w:spacing w:after="320"/>
        <w:rPr>
          <w:rFonts w:hint="eastAsia"/>
          <w:bCs/>
          <w:szCs w:val="28"/>
        </w:rPr>
      </w:pPr>
      <w:r>
        <w:rPr>
          <w:rFonts w:hint="eastAsia"/>
        </w:rPr>
        <w:tab/>
      </w:r>
      <w:r>
        <w:t xml:space="preserve">123. </w:t>
      </w:r>
      <w:r>
        <w:rPr>
          <w:rFonts w:hint="eastAsia"/>
        </w:rPr>
        <w:t xml:space="preserve"> </w:t>
      </w:r>
      <w:r>
        <w:rPr>
          <w:rFonts w:hint="eastAsia"/>
        </w:rPr>
        <w:t>这方面的情况与第一次报告第</w:t>
      </w:r>
      <w:r>
        <w:t>125</w:t>
      </w:r>
      <w:r>
        <w:rPr>
          <w:rFonts w:hint="eastAsia"/>
        </w:rPr>
        <w:t>至第</w:t>
      </w:r>
      <w:r>
        <w:t>127</w:t>
      </w:r>
      <w:r>
        <w:rPr>
          <w:rFonts w:hint="eastAsia"/>
        </w:rPr>
        <w:t>段所述的相同。过去五年，医院管理局接获精神病患者提出的投诉个案总数表列如下。正如第一次报告第</w:t>
      </w:r>
      <w:r>
        <w:t>128</w:t>
      </w:r>
      <w:r>
        <w:rPr>
          <w:rFonts w:hint="eastAsia"/>
        </w:rPr>
        <w:t>段所述，投诉人如对医院管理局的调</w:t>
      </w:r>
      <w:r>
        <w:rPr>
          <w:rFonts w:ascii="SimSun" w:hAnsi="SimSun" w:cs="SimSun" w:hint="eastAsia"/>
        </w:rPr>
        <w:t>查</w:t>
      </w:r>
      <w:r>
        <w:rPr>
          <w:rFonts w:ascii="MS Mincho" w:hAnsi="MS Mincho" w:cs="MS Mincho" w:hint="eastAsia"/>
        </w:rPr>
        <w:t>结果感到不满，可要求医院管理局的公众投诉委员会或申诉专员进行复核。</w:t>
      </w:r>
    </w:p>
    <w:tbl>
      <w:tblPr>
        <w:tblW w:w="9230" w:type="dxa"/>
        <w:tblInd w:w="28" w:type="dxa"/>
        <w:tblLayout w:type="fixed"/>
        <w:tblCellMar>
          <w:left w:w="28" w:type="dxa"/>
          <w:right w:w="28" w:type="dxa"/>
        </w:tblCellMar>
        <w:tblLook w:val="0000" w:firstRow="0" w:lastRow="0" w:firstColumn="0" w:lastColumn="0" w:noHBand="0" w:noVBand="0"/>
      </w:tblPr>
      <w:tblGrid>
        <w:gridCol w:w="1950"/>
        <w:gridCol w:w="1690"/>
        <w:gridCol w:w="1560"/>
        <w:gridCol w:w="1820"/>
        <w:gridCol w:w="2210"/>
      </w:tblGrid>
      <w:tr w:rsidR="00000000">
        <w:tblPrEx>
          <w:tblCellMar>
            <w:top w:w="0" w:type="dxa"/>
            <w:bottom w:w="0" w:type="dxa"/>
          </w:tblCellMar>
        </w:tblPrEx>
        <w:tc>
          <w:tcPr>
            <w:tcW w:w="9230" w:type="dxa"/>
            <w:gridSpan w:val="5"/>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567"/>
                <w:tab w:val="left" w:pos="1080"/>
                <w:tab w:val="left" w:pos="1701"/>
              </w:tabs>
              <w:spacing w:before="120"/>
              <w:ind w:left="28" w:right="28"/>
              <w:jc w:val="center"/>
              <w:rPr>
                <w:sz w:val="22"/>
              </w:rPr>
            </w:pPr>
            <w:r>
              <w:rPr>
                <w:rFonts w:eastAsia="華康中黑體" w:hint="eastAsia"/>
                <w:sz w:val="22"/>
                <w:szCs w:val="28"/>
              </w:rPr>
              <w:t>医院管理局接获精神病患者的投诉个案总数</w:t>
            </w:r>
          </w:p>
        </w:tc>
      </w:tr>
      <w:tr w:rsidR="00000000">
        <w:tblPrEx>
          <w:tblCellMar>
            <w:top w:w="0" w:type="dxa"/>
            <w:bottom w:w="0" w:type="dxa"/>
          </w:tblCellMar>
        </w:tblPrEx>
        <w:tc>
          <w:tcPr>
            <w:tcW w:w="195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rFonts w:hint="eastAsia"/>
                <w:sz w:val="22"/>
              </w:rPr>
            </w:pPr>
            <w:r>
              <w:rPr>
                <w:sz w:val="22"/>
              </w:rPr>
              <w:t>200</w:t>
            </w:r>
            <w:r>
              <w:rPr>
                <w:sz w:val="22"/>
              </w:rPr>
              <w:t>0-01</w:t>
            </w:r>
          </w:p>
        </w:tc>
        <w:tc>
          <w:tcPr>
            <w:tcW w:w="169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rFonts w:hint="eastAsia"/>
                <w:sz w:val="22"/>
              </w:rPr>
            </w:pPr>
            <w:r>
              <w:rPr>
                <w:sz w:val="22"/>
              </w:rPr>
              <w:t>2001-02</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rFonts w:hint="eastAsia"/>
                <w:sz w:val="22"/>
              </w:rPr>
            </w:pPr>
            <w:r>
              <w:rPr>
                <w:sz w:val="22"/>
              </w:rPr>
              <w:t>2002-03</w:t>
            </w:r>
          </w:p>
        </w:tc>
        <w:tc>
          <w:tcPr>
            <w:tcW w:w="182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rFonts w:hint="eastAsia"/>
                <w:sz w:val="22"/>
              </w:rPr>
            </w:pPr>
            <w:r>
              <w:rPr>
                <w:sz w:val="22"/>
              </w:rPr>
              <w:t>2003-04</w:t>
            </w:r>
          </w:p>
        </w:tc>
        <w:tc>
          <w:tcPr>
            <w:tcW w:w="221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rFonts w:hint="eastAsia"/>
                <w:sz w:val="22"/>
              </w:rPr>
            </w:pPr>
            <w:r>
              <w:rPr>
                <w:sz w:val="22"/>
              </w:rPr>
              <w:t>2004-05</w:t>
            </w:r>
          </w:p>
        </w:tc>
      </w:tr>
      <w:tr w:rsidR="00000000">
        <w:tblPrEx>
          <w:tblCellMar>
            <w:top w:w="0" w:type="dxa"/>
            <w:bottom w:w="0" w:type="dxa"/>
          </w:tblCellMar>
        </w:tblPrEx>
        <w:tc>
          <w:tcPr>
            <w:tcW w:w="195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sz w:val="22"/>
              </w:rPr>
            </w:pPr>
            <w:r>
              <w:rPr>
                <w:sz w:val="22"/>
              </w:rPr>
              <w:t>204</w:t>
            </w:r>
          </w:p>
        </w:tc>
        <w:tc>
          <w:tcPr>
            <w:tcW w:w="169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sz w:val="22"/>
              </w:rPr>
            </w:pPr>
            <w:r>
              <w:rPr>
                <w:sz w:val="22"/>
              </w:rPr>
              <w:t>168</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sz w:val="22"/>
              </w:rPr>
            </w:pPr>
            <w:r>
              <w:rPr>
                <w:sz w:val="22"/>
              </w:rPr>
              <w:t>150</w:t>
            </w:r>
          </w:p>
        </w:tc>
        <w:tc>
          <w:tcPr>
            <w:tcW w:w="182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sz w:val="22"/>
              </w:rPr>
            </w:pPr>
            <w:r>
              <w:rPr>
                <w:sz w:val="22"/>
              </w:rPr>
              <w:t>132</w:t>
            </w:r>
          </w:p>
        </w:tc>
        <w:tc>
          <w:tcPr>
            <w:tcW w:w="2210" w:type="dxa"/>
            <w:tcBorders>
              <w:top w:val="single" w:sz="6" w:space="0" w:color="auto"/>
              <w:left w:val="single" w:sz="6" w:space="0" w:color="auto"/>
              <w:bottom w:val="single" w:sz="6" w:space="0" w:color="auto"/>
              <w:right w:val="single" w:sz="6" w:space="0" w:color="auto"/>
            </w:tcBorders>
            <w:vAlign w:val="center"/>
          </w:tcPr>
          <w:p w:rsidR="00000000" w:rsidRDefault="00954A93">
            <w:pPr>
              <w:tabs>
                <w:tab w:val="left" w:pos="1080"/>
              </w:tabs>
              <w:spacing w:before="40"/>
              <w:jc w:val="center"/>
              <w:rPr>
                <w:sz w:val="22"/>
              </w:rPr>
            </w:pPr>
            <w:r>
              <w:rPr>
                <w:sz w:val="22"/>
              </w:rPr>
              <w:t>182</w:t>
            </w:r>
          </w:p>
        </w:tc>
      </w:tr>
    </w:tbl>
    <w:p w:rsidR="00000000" w:rsidRDefault="00954A93">
      <w:pPr>
        <w:tabs>
          <w:tab w:val="left" w:pos="567"/>
          <w:tab w:val="left" w:pos="1080"/>
          <w:tab w:val="left" w:pos="1701"/>
        </w:tabs>
        <w:rPr>
          <w:rFonts w:hint="eastAsia"/>
          <w:bCs/>
          <w:szCs w:val="28"/>
        </w:rPr>
      </w:pPr>
    </w:p>
    <w:p w:rsidR="00000000" w:rsidRDefault="00954A93">
      <w:pPr>
        <w:pStyle w:val="Heading3"/>
        <w:rPr>
          <w:rFonts w:hint="eastAsia"/>
          <w:bCs/>
          <w:szCs w:val="28"/>
        </w:rPr>
      </w:pPr>
      <w:r>
        <w:rPr>
          <w:rFonts w:hint="eastAsia"/>
        </w:rPr>
        <w:t>第</w:t>
      </w:r>
      <w:r>
        <w:rPr>
          <w:b/>
        </w:rPr>
        <w:t>14</w:t>
      </w:r>
      <w:r>
        <w:rPr>
          <w:rFonts w:hint="eastAsia"/>
        </w:rPr>
        <w:t>条</w:t>
      </w:r>
      <w:r>
        <w:rPr>
          <w:rFonts w:hint="eastAsia"/>
          <w:u w:val="none"/>
        </w:rPr>
        <w:t>：为遭受酷刑的人提供申索渠道以及可向</w:t>
      </w:r>
      <w:r>
        <w:rPr>
          <w:u w:val="none"/>
        </w:rPr>
        <w:br/>
        <w:t xml:space="preserve">      </w:t>
      </w:r>
      <w:r>
        <w:rPr>
          <w:rFonts w:hint="eastAsia"/>
          <w:u w:val="none"/>
        </w:rPr>
        <w:t>法院要求取得公平及适当赔偿的权利</w:t>
      </w:r>
    </w:p>
    <w:p w:rsidR="00000000" w:rsidRDefault="00954A93">
      <w:pPr>
        <w:spacing w:after="240"/>
        <w:rPr>
          <w:rFonts w:hint="eastAsia"/>
        </w:rPr>
      </w:pPr>
      <w:r>
        <w:rPr>
          <w:rFonts w:hint="eastAsia"/>
          <w:bCs/>
          <w:szCs w:val="28"/>
        </w:rPr>
        <w:tab/>
      </w:r>
      <w:r>
        <w:rPr>
          <w:bCs/>
          <w:szCs w:val="28"/>
        </w:rPr>
        <w:t>124.</w:t>
      </w:r>
      <w:r>
        <w:rPr>
          <w:rFonts w:hint="eastAsia"/>
          <w:bCs/>
          <w:szCs w:val="28"/>
        </w:rPr>
        <w:t xml:space="preserve">  </w:t>
      </w:r>
      <w:r>
        <w:rPr>
          <w:rFonts w:ascii="華康細明體" w:hint="eastAsia"/>
        </w:rPr>
        <w:t>目前情况与第一次报告第</w:t>
      </w:r>
      <w:r>
        <w:t>129</w:t>
      </w:r>
      <w:r>
        <w:rPr>
          <w:rFonts w:hint="eastAsia"/>
        </w:rPr>
        <w:t>至第</w:t>
      </w:r>
      <w:r>
        <w:t>134</w:t>
      </w:r>
      <w:r>
        <w:rPr>
          <w:rFonts w:hint="eastAsia"/>
        </w:rPr>
        <w:t>段所述的大致相同。</w:t>
      </w:r>
    </w:p>
    <w:p w:rsidR="00000000" w:rsidRDefault="00954A93">
      <w:pPr>
        <w:spacing w:after="240"/>
        <w:rPr>
          <w:rFonts w:eastAsia="華康中黑體" w:hint="eastAsia"/>
          <w:b/>
          <w:u w:val="single"/>
        </w:rPr>
      </w:pPr>
    </w:p>
    <w:p w:rsidR="00000000" w:rsidRDefault="00954A93">
      <w:pPr>
        <w:pStyle w:val="Heading3"/>
        <w:rPr>
          <w:rFonts w:hint="eastAsia"/>
          <w:bCs/>
          <w:szCs w:val="28"/>
        </w:rPr>
      </w:pPr>
      <w:r>
        <w:rPr>
          <w:rFonts w:hint="eastAsia"/>
        </w:rPr>
        <w:t>第</w:t>
      </w:r>
      <w:r>
        <w:rPr>
          <w:b/>
          <w:bCs/>
        </w:rPr>
        <w:t>15</w:t>
      </w:r>
      <w:r>
        <w:rPr>
          <w:rFonts w:hint="eastAsia"/>
        </w:rPr>
        <w:t>条</w:t>
      </w:r>
      <w:r>
        <w:rPr>
          <w:rFonts w:hint="eastAsia"/>
          <w:u w:val="none"/>
        </w:rPr>
        <w:t>：</w:t>
      </w:r>
      <w:r>
        <w:rPr>
          <w:rFonts w:ascii="華康中黑體" w:hint="eastAsia"/>
          <w:u w:val="none"/>
        </w:rPr>
        <w:t>不</w:t>
      </w:r>
      <w:r>
        <w:rPr>
          <w:rFonts w:hint="eastAsia"/>
          <w:u w:val="none"/>
        </w:rPr>
        <w:t>得援引任何以酷刑取得的口供为证据</w:t>
      </w:r>
    </w:p>
    <w:p w:rsidR="00000000" w:rsidRDefault="00954A93">
      <w:pPr>
        <w:spacing w:after="240"/>
        <w:rPr>
          <w:rFonts w:hint="eastAsia"/>
        </w:rPr>
      </w:pPr>
      <w:r>
        <w:rPr>
          <w:rFonts w:hint="eastAsia"/>
          <w:bCs/>
          <w:szCs w:val="28"/>
        </w:rPr>
        <w:tab/>
      </w:r>
      <w:r>
        <w:rPr>
          <w:bCs/>
          <w:szCs w:val="28"/>
        </w:rPr>
        <w:t>125.</w:t>
      </w:r>
      <w:r>
        <w:rPr>
          <w:rFonts w:hint="eastAsia"/>
          <w:bCs/>
          <w:szCs w:val="28"/>
        </w:rPr>
        <w:t xml:space="preserve">  </w:t>
      </w:r>
      <w:r>
        <w:rPr>
          <w:rFonts w:ascii="華康細明體" w:hint="eastAsia"/>
        </w:rPr>
        <w:t>目前情况与第一次报告第</w:t>
      </w:r>
      <w:r>
        <w:t>135</w:t>
      </w:r>
      <w:r>
        <w:rPr>
          <w:rFonts w:hint="eastAsia"/>
        </w:rPr>
        <w:t>至第</w:t>
      </w:r>
      <w:r>
        <w:t>137</w:t>
      </w:r>
      <w:r>
        <w:rPr>
          <w:rFonts w:hint="eastAsia"/>
        </w:rPr>
        <w:t>段所述的大致相同。截至二零零四年十二月三十一日，警方已把</w:t>
      </w:r>
      <w:r>
        <w:rPr>
          <w:rFonts w:ascii="SimSun" w:hAnsi="SimSun" w:cs="SimSun" w:hint="eastAsia"/>
        </w:rPr>
        <w:t>录</w:t>
      </w:r>
      <w:r>
        <w:rPr>
          <w:rFonts w:ascii="MS Mincho" w:hAnsi="MS Mincho" w:cs="MS Mincho" w:hint="eastAsia"/>
        </w:rPr>
        <w:t>影会面室的数目由一九九六年的</w:t>
      </w:r>
      <w:r>
        <w:t>11</w:t>
      </w:r>
      <w:r>
        <w:rPr>
          <w:rFonts w:hint="eastAsia"/>
        </w:rPr>
        <w:t>个增至</w:t>
      </w:r>
      <w:r>
        <w:t>70</w:t>
      </w:r>
      <w:r>
        <w:rPr>
          <w:rFonts w:hint="eastAsia"/>
        </w:rPr>
        <w:t>个</w:t>
      </w:r>
      <w:r>
        <w:t>(</w:t>
      </w:r>
      <w:r>
        <w:rPr>
          <w:rFonts w:hint="eastAsia"/>
        </w:rPr>
        <w:t>各主要分区警署均最少设有</w:t>
      </w:r>
      <w:r>
        <w:rPr>
          <w:rFonts w:hint="eastAsia"/>
        </w:rPr>
        <w:t>一个</w:t>
      </w:r>
      <w:r>
        <w:t>)</w:t>
      </w:r>
      <w:r>
        <w:rPr>
          <w:rFonts w:hint="eastAsia"/>
        </w:rPr>
        <w:t>；至于香港海关则有</w:t>
      </w:r>
      <w:r>
        <w:t>18</w:t>
      </w:r>
      <w:r>
        <w:rPr>
          <w:rFonts w:hint="eastAsia"/>
        </w:rPr>
        <w:t>个。有关措施旨在增加</w:t>
      </w:r>
      <w:r>
        <w:rPr>
          <w:rFonts w:ascii="SimSun" w:hAnsi="SimSun" w:cs="SimSun" w:hint="eastAsia"/>
        </w:rPr>
        <w:t>录</w:t>
      </w:r>
      <w:r>
        <w:rPr>
          <w:rFonts w:ascii="MS Mincho" w:hAnsi="MS Mincho" w:cs="MS Mincho" w:hint="eastAsia"/>
        </w:rPr>
        <w:t>取口供的过程的透明度，以及提高认罪口供在法庭上的可接纳性。</w:t>
      </w:r>
    </w:p>
    <w:p w:rsidR="00000000" w:rsidRDefault="00954A93">
      <w:pPr>
        <w:pStyle w:val="Heading3"/>
        <w:rPr>
          <w:rFonts w:hint="eastAsia"/>
        </w:rPr>
      </w:pPr>
      <w:r>
        <w:rPr>
          <w:rFonts w:hint="eastAsia"/>
        </w:rPr>
        <w:t>第</w:t>
      </w:r>
      <w:r>
        <w:rPr>
          <w:b/>
          <w:bCs/>
        </w:rPr>
        <w:t>16</w:t>
      </w:r>
      <w:r>
        <w:rPr>
          <w:rFonts w:hint="eastAsia"/>
        </w:rPr>
        <w:t>条</w:t>
      </w:r>
      <w:r>
        <w:rPr>
          <w:rFonts w:hint="eastAsia"/>
          <w:u w:val="none"/>
        </w:rPr>
        <w:t>：防止其他残忍、不人道或有辱人格的待遇或处罚的行为</w:t>
      </w:r>
    </w:p>
    <w:p w:rsidR="00000000" w:rsidRDefault="00954A93">
      <w:pPr>
        <w:pStyle w:val="Heading4"/>
        <w:rPr>
          <w:rFonts w:ascii="Time New Roman" w:eastAsia="SimHei" w:hAnsi="Time New Roman" w:hint="eastAsia"/>
          <w:bCs/>
        </w:rPr>
      </w:pPr>
      <w:r>
        <w:rPr>
          <w:rFonts w:ascii="Time New Roman" w:eastAsia="SimHei" w:hAnsi="Time New Roman" w:hint="eastAsia"/>
        </w:rPr>
        <w:t>概</w:t>
      </w:r>
      <w:r>
        <w:rPr>
          <w:rFonts w:ascii="Time New Roman" w:eastAsia="SimHei" w:hAnsi="Time New Roman" w:hint="eastAsia"/>
        </w:rPr>
        <w:t xml:space="preserve">  </w:t>
      </w:r>
      <w:r>
        <w:rPr>
          <w:rFonts w:ascii="Time New Roman" w:eastAsia="SimHei" w:hAnsi="Time New Roman" w:hint="eastAsia"/>
        </w:rPr>
        <w:t>况</w:t>
      </w:r>
    </w:p>
    <w:p w:rsidR="00000000" w:rsidRDefault="00954A93">
      <w:pPr>
        <w:rPr>
          <w:rFonts w:hint="eastAsia"/>
        </w:rPr>
      </w:pPr>
      <w:r>
        <w:rPr>
          <w:rFonts w:hint="eastAsia"/>
        </w:rPr>
        <w:tab/>
      </w:r>
      <w:r>
        <w:t>126.</w:t>
      </w:r>
      <w:r>
        <w:rPr>
          <w:rFonts w:hint="eastAsia"/>
        </w:rPr>
        <w:t xml:space="preserve">  </w:t>
      </w:r>
      <w:r>
        <w:rPr>
          <w:rFonts w:hint="eastAsia"/>
        </w:rPr>
        <w:t>在第一次报告第</w:t>
      </w:r>
      <w:r>
        <w:t>140</w:t>
      </w:r>
      <w:r>
        <w:rPr>
          <w:rFonts w:hint="eastAsia"/>
        </w:rPr>
        <w:t>至第</w:t>
      </w:r>
      <w:r>
        <w:t>158</w:t>
      </w:r>
      <w:r>
        <w:rPr>
          <w:rFonts w:hint="eastAsia"/>
        </w:rPr>
        <w:t>段，我们向委员会</w:t>
      </w:r>
      <w:r>
        <w:rPr>
          <w:rFonts w:ascii="SimSun" w:hAnsi="SimSun" w:cs="SimSun" w:hint="eastAsia"/>
        </w:rPr>
        <w:t>说</w:t>
      </w:r>
      <w:r>
        <w:rPr>
          <w:rFonts w:ascii="MS Mincho" w:hAnsi="MS Mincho" w:cs="MS Mincho" w:hint="eastAsia"/>
        </w:rPr>
        <w:t>明，一般而言，报告先前各段所阐述有关酷刑的法例及行政规定，同样适用于一些虽不算酷刑，但也构成残忍、不人道或有辱人格的待遇或处罚的行为。目前情况与第一次报告所述的大致相同；任何以公职身分行事的人，均须依法行事。特区政府已制定措施，确保任何公务人员或以公职身分行事的人，若作</w:t>
      </w:r>
      <w:r>
        <w:rPr>
          <w:rFonts w:ascii="MS Mincho" w:hAnsi="MS Mincho" w:cs="MS Mincho" w:hint="eastAsia"/>
        </w:rPr>
        <w:t>出、唆使、同意或默</w:t>
      </w:r>
      <w:r>
        <w:rPr>
          <w:rFonts w:hint="eastAsia"/>
        </w:rPr>
        <w:t>许他人作出残忍、不人道或有辱人格的待遇或处罚，均会受到刑事检控或纪律处分。</w:t>
      </w:r>
    </w:p>
    <w:p w:rsidR="00000000" w:rsidRDefault="00954A93">
      <w:pPr>
        <w:rPr>
          <w:rFonts w:hint="eastAsia"/>
        </w:rPr>
      </w:pPr>
      <w:r>
        <w:rPr>
          <w:rFonts w:hint="eastAsia"/>
        </w:rPr>
        <w:tab/>
      </w:r>
      <w:r>
        <w:t>127.</w:t>
      </w:r>
      <w:r>
        <w:rPr>
          <w:rFonts w:hint="eastAsia"/>
        </w:rPr>
        <w:t xml:space="preserve">  </w:t>
      </w:r>
      <w:r>
        <w:rPr>
          <w:rFonts w:hint="eastAsia"/>
        </w:rPr>
        <w:t>不过，在二零零零年公布的审议结论第</w:t>
      </w:r>
      <w:r>
        <w:t>35</w:t>
      </w:r>
      <w:r>
        <w:rPr>
          <w:rFonts w:hint="eastAsia"/>
        </w:rPr>
        <w:t>段中，委员会关注到“并非各种酷刑和其他残忍、不人道或有辱人格的待遇或处罚均已纳入《刑事罪行</w:t>
      </w:r>
      <w:r>
        <w:t>(</w:t>
      </w:r>
      <w:r>
        <w:rPr>
          <w:rFonts w:hint="eastAsia"/>
        </w:rPr>
        <w:t>酷刑</w:t>
      </w:r>
      <w:r>
        <w:t>)</w:t>
      </w:r>
      <w:r>
        <w:rPr>
          <w:rFonts w:hint="eastAsia"/>
        </w:rPr>
        <w:t>条例》的规管范围”；委员会并在第</w:t>
      </w:r>
      <w:r>
        <w:t>37</w:t>
      </w:r>
      <w:r>
        <w:rPr>
          <w:rFonts w:hint="eastAsia"/>
        </w:rPr>
        <w:t>段建议香港特区政府“根据公约的规定设法防止其他残忍、不人道或有辱人格的待遇或处罚”。</w:t>
      </w:r>
    </w:p>
    <w:p w:rsidR="00000000" w:rsidRDefault="00954A93">
      <w:pPr>
        <w:rPr>
          <w:rFonts w:hint="eastAsia"/>
        </w:rPr>
      </w:pPr>
      <w:r>
        <w:rPr>
          <w:rFonts w:hint="eastAsia"/>
        </w:rPr>
        <w:tab/>
      </w:r>
      <w:r>
        <w:t>128.</w:t>
      </w:r>
      <w:r>
        <w:rPr>
          <w:rFonts w:hint="eastAsia"/>
        </w:rPr>
        <w:t xml:space="preserve">  </w:t>
      </w:r>
      <w:r>
        <w:rPr>
          <w:rFonts w:hint="eastAsia"/>
        </w:rPr>
        <w:t>正如我们在第一次报告的审议会上所阐释，公约的条文通过下列法例而具有法律效力：</w:t>
      </w:r>
    </w:p>
    <w:p w:rsidR="00000000" w:rsidRDefault="00954A93">
      <w:pPr>
        <w:numPr>
          <w:ilvl w:val="0"/>
          <w:numId w:val="47"/>
        </w:numPr>
        <w:tabs>
          <w:tab w:val="left" w:pos="600"/>
          <w:tab w:val="left" w:pos="1701"/>
        </w:tabs>
        <w:rPr>
          <w:rFonts w:hint="eastAsia"/>
          <w:szCs w:val="28"/>
        </w:rPr>
      </w:pPr>
      <w:r>
        <w:rPr>
          <w:rFonts w:hint="eastAsia"/>
          <w:szCs w:val="28"/>
        </w:rPr>
        <w:t>《基本法》第二十八条：禁止对居民施行酷刑；</w:t>
      </w:r>
    </w:p>
    <w:p w:rsidR="00000000" w:rsidRDefault="00954A93">
      <w:pPr>
        <w:pStyle w:val="ac"/>
        <w:numPr>
          <w:ilvl w:val="0"/>
          <w:numId w:val="47"/>
        </w:numPr>
        <w:rPr>
          <w:rFonts w:hint="eastAsia"/>
        </w:rPr>
      </w:pPr>
      <w:r>
        <w:rPr>
          <w:rFonts w:hint="eastAsia"/>
        </w:rPr>
        <w:t>《香港人权</w:t>
      </w:r>
      <w:r>
        <w:rPr>
          <w:rFonts w:hint="eastAsia"/>
        </w:rPr>
        <w:t>法案条例》</w:t>
      </w:r>
      <w:r>
        <w:t>(</w:t>
      </w:r>
      <w:r>
        <w:rPr>
          <w:rFonts w:hint="eastAsia"/>
        </w:rPr>
        <w:t>第</w:t>
      </w:r>
      <w:r>
        <w:t>383</w:t>
      </w:r>
      <w:r>
        <w:rPr>
          <w:rFonts w:hint="eastAsia"/>
        </w:rPr>
        <w:t>章</w:t>
      </w:r>
      <w:r>
        <w:t>)</w:t>
      </w:r>
      <w:r>
        <w:rPr>
          <w:rFonts w:hint="eastAsia"/>
        </w:rPr>
        <w:t>第</w:t>
      </w:r>
      <w:r>
        <w:t>3</w:t>
      </w:r>
      <w:r>
        <w:rPr>
          <w:rFonts w:hint="eastAsia"/>
        </w:rPr>
        <w:t>条：使《公民权利和政治权利国际公约》第</w:t>
      </w:r>
      <w:r>
        <w:t>7</w:t>
      </w:r>
      <w:r>
        <w:rPr>
          <w:rFonts w:hint="eastAsia"/>
        </w:rPr>
        <w:t>条有关施以酷刑或予以残忍、不人道或侮辱之处遇或惩罚的规定得以生效；</w:t>
      </w:r>
    </w:p>
    <w:p w:rsidR="00000000" w:rsidRDefault="00954A93">
      <w:pPr>
        <w:numPr>
          <w:ilvl w:val="0"/>
          <w:numId w:val="47"/>
        </w:numPr>
        <w:tabs>
          <w:tab w:val="left" w:pos="600"/>
          <w:tab w:val="left" w:pos="1701"/>
        </w:tabs>
        <w:rPr>
          <w:rFonts w:hint="eastAsia"/>
          <w:szCs w:val="28"/>
        </w:rPr>
      </w:pPr>
      <w:r>
        <w:rPr>
          <w:rFonts w:hint="eastAsia"/>
          <w:szCs w:val="28"/>
        </w:rPr>
        <w:t>《刑事罪行</w:t>
      </w:r>
      <w:r>
        <w:rPr>
          <w:szCs w:val="28"/>
        </w:rPr>
        <w:t>(</w:t>
      </w:r>
      <w:r>
        <w:rPr>
          <w:rFonts w:hint="eastAsia"/>
          <w:szCs w:val="28"/>
        </w:rPr>
        <w:t>酷刑</w:t>
      </w:r>
      <w:r>
        <w:rPr>
          <w:szCs w:val="28"/>
        </w:rPr>
        <w:t>)</w:t>
      </w:r>
      <w:r>
        <w:rPr>
          <w:rFonts w:hint="eastAsia"/>
          <w:szCs w:val="28"/>
        </w:rPr>
        <w:t>条例》</w:t>
      </w:r>
      <w:r>
        <w:rPr>
          <w:szCs w:val="28"/>
        </w:rPr>
        <w:t>(</w:t>
      </w:r>
      <w:r>
        <w:rPr>
          <w:rFonts w:hint="eastAsia"/>
          <w:szCs w:val="28"/>
        </w:rPr>
        <w:t>第</w:t>
      </w:r>
      <w:r>
        <w:rPr>
          <w:szCs w:val="28"/>
        </w:rPr>
        <w:t>427</w:t>
      </w:r>
      <w:r>
        <w:rPr>
          <w:rFonts w:hint="eastAsia"/>
          <w:szCs w:val="28"/>
        </w:rPr>
        <w:t>章</w:t>
      </w:r>
      <w:r>
        <w:rPr>
          <w:szCs w:val="28"/>
        </w:rPr>
        <w:t>)</w:t>
      </w:r>
      <w:r>
        <w:rPr>
          <w:rFonts w:hint="eastAsia"/>
          <w:szCs w:val="28"/>
        </w:rPr>
        <w:t>：</w:t>
      </w:r>
      <w:r>
        <w:rPr>
          <w:szCs w:val="28"/>
        </w:rPr>
        <w:t xml:space="preserve"> </w:t>
      </w:r>
      <w:r>
        <w:rPr>
          <w:rFonts w:hint="eastAsia"/>
          <w:szCs w:val="28"/>
        </w:rPr>
        <w:t>见上文第</w:t>
      </w:r>
      <w:r>
        <w:rPr>
          <w:szCs w:val="28"/>
        </w:rPr>
        <w:t>55</w:t>
      </w:r>
      <w:r>
        <w:rPr>
          <w:rFonts w:hint="eastAsia"/>
          <w:szCs w:val="28"/>
        </w:rPr>
        <w:t>段有关公约第</w:t>
      </w:r>
      <w:r>
        <w:rPr>
          <w:szCs w:val="28"/>
        </w:rPr>
        <w:t>1</w:t>
      </w:r>
      <w:r>
        <w:rPr>
          <w:rFonts w:hint="eastAsia"/>
          <w:szCs w:val="28"/>
        </w:rPr>
        <w:t>条。</w:t>
      </w:r>
    </w:p>
    <w:p w:rsidR="00000000" w:rsidRDefault="00954A93">
      <w:pPr>
        <w:rPr>
          <w:rFonts w:hint="eastAsia"/>
        </w:rPr>
      </w:pPr>
      <w:r>
        <w:rPr>
          <w:rFonts w:hint="eastAsia"/>
        </w:rPr>
        <w:t>此外，正如我们在二零零零年的审议会上所阐释，香港法院在诠释本地法例时，定会确保履行我们的国际义务，包括公约所规定的各项义务。</w:t>
      </w:r>
    </w:p>
    <w:p w:rsidR="00000000" w:rsidRDefault="00954A93">
      <w:pPr>
        <w:rPr>
          <w:rFonts w:hint="eastAsia"/>
        </w:rPr>
      </w:pPr>
      <w:r>
        <w:rPr>
          <w:rFonts w:hint="eastAsia"/>
        </w:rPr>
        <w:tab/>
      </w:r>
      <w:r>
        <w:t>129.</w:t>
      </w:r>
      <w:r>
        <w:rPr>
          <w:rFonts w:hint="eastAsia"/>
        </w:rPr>
        <w:t xml:space="preserve">  </w:t>
      </w:r>
      <w:r>
        <w:rPr>
          <w:rFonts w:hint="eastAsia"/>
        </w:rPr>
        <w:t>虽然整体情况大致上与第一次报告第</w:t>
      </w:r>
      <w:r>
        <w:t>143</w:t>
      </w:r>
      <w:r>
        <w:rPr>
          <w:rFonts w:hint="eastAsia"/>
        </w:rPr>
        <w:t>至第</w:t>
      </w:r>
      <w:r>
        <w:t>156</w:t>
      </w:r>
      <w:r>
        <w:rPr>
          <w:rFonts w:hint="eastAsia"/>
        </w:rPr>
        <w:t>段所述的相同，但其间也有一些发展和新猷，</w:t>
      </w:r>
      <w:r>
        <w:rPr>
          <w:rFonts w:ascii="SimSun" w:hAnsi="SimSun" w:cs="SimSun" w:hint="eastAsia"/>
        </w:rPr>
        <w:t>值</w:t>
      </w:r>
      <w:r>
        <w:rPr>
          <w:rFonts w:ascii="MS Mincho" w:hAnsi="MS Mincho" w:cs="MS Mincho" w:hint="eastAsia"/>
        </w:rPr>
        <w:t>得加以详述。主要来</w:t>
      </w:r>
      <w:r>
        <w:rPr>
          <w:rFonts w:ascii="SimSun" w:hAnsi="SimSun" w:cs="SimSun" w:hint="eastAsia"/>
        </w:rPr>
        <w:t>说</w:t>
      </w:r>
      <w:r>
        <w:rPr>
          <w:rFonts w:ascii="MS Mincho" w:hAnsi="MS Mincho" w:cs="MS Mincho" w:hint="eastAsia"/>
        </w:rPr>
        <w:t>，正如第一次报告第</w:t>
      </w:r>
      <w:r>
        <w:t>143</w:t>
      </w:r>
      <w:r>
        <w:rPr>
          <w:rFonts w:hint="eastAsia"/>
        </w:rPr>
        <w:t>段指出，公约第</w:t>
      </w:r>
      <w:r>
        <w:t>16</w:t>
      </w:r>
      <w:r>
        <w:rPr>
          <w:rFonts w:hint="eastAsia"/>
        </w:rPr>
        <w:t>条所述的行</w:t>
      </w:r>
      <w:r>
        <w:rPr>
          <w:rFonts w:hint="eastAsia"/>
        </w:rPr>
        <w:t>为是根据下列法规而被全面禁止的：</w:t>
      </w:r>
    </w:p>
    <w:p w:rsidR="00000000" w:rsidRDefault="00954A93">
      <w:pPr>
        <w:numPr>
          <w:ilvl w:val="0"/>
          <w:numId w:val="51"/>
        </w:numPr>
        <w:tabs>
          <w:tab w:val="clear" w:pos="1531"/>
        </w:tabs>
        <w:rPr>
          <w:rFonts w:hint="eastAsia"/>
          <w:szCs w:val="28"/>
        </w:rPr>
      </w:pPr>
      <w:r>
        <w:rPr>
          <w:rFonts w:hint="eastAsia"/>
          <w:szCs w:val="28"/>
        </w:rPr>
        <w:t>《香港人权法案条例》第</w:t>
      </w:r>
      <w:r>
        <w:rPr>
          <w:szCs w:val="28"/>
        </w:rPr>
        <w:t>3</w:t>
      </w:r>
      <w:r>
        <w:rPr>
          <w:rFonts w:hint="eastAsia"/>
          <w:szCs w:val="28"/>
        </w:rPr>
        <w:t>条</w:t>
      </w:r>
      <w:r>
        <w:rPr>
          <w:szCs w:val="28"/>
        </w:rPr>
        <w:t>(</w:t>
      </w:r>
      <w:r>
        <w:rPr>
          <w:rFonts w:hint="eastAsia"/>
          <w:szCs w:val="28"/>
        </w:rPr>
        <w:t>一如上文第</w:t>
      </w:r>
      <w:r>
        <w:rPr>
          <w:szCs w:val="28"/>
        </w:rPr>
        <w:t>128</w:t>
      </w:r>
      <w:r>
        <w:rPr>
          <w:rFonts w:hint="eastAsia"/>
          <w:szCs w:val="28"/>
        </w:rPr>
        <w:t>段所述</w:t>
      </w:r>
      <w:r>
        <w:rPr>
          <w:szCs w:val="28"/>
        </w:rPr>
        <w:t>)</w:t>
      </w:r>
      <w:r>
        <w:rPr>
          <w:rFonts w:hint="eastAsia"/>
          <w:szCs w:val="28"/>
        </w:rPr>
        <w:t>；</w:t>
      </w:r>
    </w:p>
    <w:p w:rsidR="00000000" w:rsidRDefault="00954A93">
      <w:pPr>
        <w:numPr>
          <w:ilvl w:val="0"/>
          <w:numId w:val="51"/>
        </w:numPr>
        <w:tabs>
          <w:tab w:val="left" w:pos="600"/>
          <w:tab w:val="left" w:pos="1701"/>
        </w:tabs>
        <w:rPr>
          <w:szCs w:val="28"/>
        </w:rPr>
      </w:pPr>
      <w:r>
        <w:rPr>
          <w:rFonts w:hint="eastAsia"/>
          <w:szCs w:val="28"/>
        </w:rPr>
        <w:t>《侵害人身罪条例》</w:t>
      </w:r>
      <w:r>
        <w:rPr>
          <w:szCs w:val="28"/>
        </w:rPr>
        <w:t>(</w:t>
      </w:r>
      <w:r>
        <w:rPr>
          <w:rFonts w:hint="eastAsia"/>
          <w:szCs w:val="28"/>
        </w:rPr>
        <w:t>第</w:t>
      </w:r>
      <w:r>
        <w:rPr>
          <w:szCs w:val="28"/>
        </w:rPr>
        <w:t>212</w:t>
      </w:r>
      <w:r>
        <w:rPr>
          <w:rFonts w:hint="eastAsia"/>
          <w:szCs w:val="28"/>
        </w:rPr>
        <w:t>章</w:t>
      </w:r>
      <w:r>
        <w:rPr>
          <w:szCs w:val="28"/>
        </w:rPr>
        <w:t>)</w:t>
      </w:r>
      <w:r>
        <w:rPr>
          <w:rFonts w:hint="eastAsia"/>
          <w:szCs w:val="28"/>
        </w:rPr>
        <w:t>：载有关于伤人或使他人身体受到严重伤害、袭击致造成他人身体受到伤害等罪行的条文；</w:t>
      </w:r>
    </w:p>
    <w:p w:rsidR="00000000" w:rsidRDefault="00954A93">
      <w:pPr>
        <w:numPr>
          <w:ilvl w:val="0"/>
          <w:numId w:val="51"/>
        </w:numPr>
        <w:tabs>
          <w:tab w:val="left" w:pos="600"/>
          <w:tab w:val="left" w:pos="1701"/>
        </w:tabs>
        <w:rPr>
          <w:szCs w:val="28"/>
        </w:rPr>
      </w:pPr>
      <w:r>
        <w:rPr>
          <w:rFonts w:hint="eastAsia"/>
          <w:szCs w:val="28"/>
        </w:rPr>
        <w:t>《刑事罪行条例》</w:t>
      </w:r>
      <w:r>
        <w:rPr>
          <w:szCs w:val="28"/>
        </w:rPr>
        <w:t>(</w:t>
      </w:r>
      <w:r>
        <w:rPr>
          <w:rFonts w:hint="eastAsia"/>
          <w:szCs w:val="28"/>
        </w:rPr>
        <w:t>第</w:t>
      </w:r>
      <w:r>
        <w:rPr>
          <w:szCs w:val="28"/>
        </w:rPr>
        <w:t>200</w:t>
      </w:r>
      <w:r>
        <w:rPr>
          <w:rFonts w:hint="eastAsia"/>
          <w:szCs w:val="28"/>
        </w:rPr>
        <w:t>章</w:t>
      </w:r>
      <w:r>
        <w:rPr>
          <w:szCs w:val="28"/>
        </w:rPr>
        <w:t>)</w:t>
      </w:r>
      <w:r>
        <w:rPr>
          <w:rFonts w:hint="eastAsia"/>
          <w:szCs w:val="28"/>
        </w:rPr>
        <w:t>：第</w:t>
      </w:r>
      <w:r>
        <w:rPr>
          <w:szCs w:val="28"/>
        </w:rPr>
        <w:t>VI</w:t>
      </w:r>
      <w:r>
        <w:rPr>
          <w:rFonts w:hint="eastAsia"/>
          <w:szCs w:val="28"/>
        </w:rPr>
        <w:t>及第</w:t>
      </w:r>
      <w:r>
        <w:rPr>
          <w:szCs w:val="28"/>
        </w:rPr>
        <w:t>XII</w:t>
      </w:r>
      <w:r>
        <w:rPr>
          <w:rFonts w:hint="eastAsia"/>
          <w:szCs w:val="28"/>
        </w:rPr>
        <w:t>部载有条文保护儿童免受性侵犯，并通过使条例附表</w:t>
      </w:r>
      <w:r>
        <w:rPr>
          <w:szCs w:val="28"/>
        </w:rPr>
        <w:t>2</w:t>
      </w:r>
      <w:r>
        <w:rPr>
          <w:rFonts w:hint="eastAsia"/>
          <w:szCs w:val="28"/>
        </w:rPr>
        <w:t xml:space="preserve"> </w:t>
      </w:r>
      <w:r>
        <w:rPr>
          <w:rFonts w:eastAsia="華康中黑體"/>
          <w:szCs w:val="28"/>
        </w:rPr>
        <w:t>(</w:t>
      </w:r>
      <w:r>
        <w:rPr>
          <w:rFonts w:eastAsia="華康中黑體" w:hint="eastAsia"/>
          <w:szCs w:val="28"/>
        </w:rPr>
        <w:t>附件</w:t>
      </w:r>
      <w:r>
        <w:rPr>
          <w:rFonts w:eastAsia="華康中黑體"/>
          <w:szCs w:val="28"/>
        </w:rPr>
        <w:t>3)</w:t>
      </w:r>
      <w:r>
        <w:rPr>
          <w:rFonts w:eastAsia="華康中黑體" w:hint="eastAsia"/>
          <w:szCs w:val="28"/>
        </w:rPr>
        <w:t xml:space="preserve"> </w:t>
      </w:r>
      <w:r>
        <w:rPr>
          <w:rFonts w:hint="eastAsia"/>
          <w:szCs w:val="28"/>
        </w:rPr>
        <w:t>所载的</w:t>
      </w:r>
      <w:r>
        <w:rPr>
          <w:szCs w:val="28"/>
        </w:rPr>
        <w:t>24</w:t>
      </w:r>
      <w:r>
        <w:rPr>
          <w:rFonts w:hint="eastAsia"/>
          <w:szCs w:val="28"/>
        </w:rPr>
        <w:t>项罪名具有域外法律效力，以禁止</w:t>
      </w:r>
      <w:r>
        <w:rPr>
          <w:rFonts w:ascii="SimSun" w:hAnsi="SimSun" w:cs="SimSun" w:hint="eastAsia"/>
          <w:szCs w:val="28"/>
        </w:rPr>
        <w:t>涉</w:t>
      </w:r>
      <w:r>
        <w:rPr>
          <w:rFonts w:ascii="MS Mincho" w:hAnsi="MS Mincho" w:cs="MS Mincho" w:hint="eastAsia"/>
          <w:szCs w:val="28"/>
        </w:rPr>
        <w:t>及儿童的性旅游活动；</w:t>
      </w:r>
    </w:p>
    <w:p w:rsidR="00000000" w:rsidRDefault="00954A93">
      <w:pPr>
        <w:numPr>
          <w:ilvl w:val="0"/>
          <w:numId w:val="51"/>
        </w:numPr>
        <w:tabs>
          <w:tab w:val="left" w:pos="600"/>
          <w:tab w:val="left" w:pos="1701"/>
        </w:tabs>
        <w:rPr>
          <w:rFonts w:hint="eastAsia"/>
          <w:szCs w:val="28"/>
        </w:rPr>
      </w:pPr>
      <w:r>
        <w:rPr>
          <w:rFonts w:hint="eastAsia"/>
          <w:szCs w:val="28"/>
        </w:rPr>
        <w:t>《刑事诉讼程序条例》</w:t>
      </w:r>
      <w:r>
        <w:rPr>
          <w:szCs w:val="28"/>
        </w:rPr>
        <w:t>(</w:t>
      </w:r>
      <w:r>
        <w:rPr>
          <w:rFonts w:hint="eastAsia"/>
          <w:szCs w:val="28"/>
        </w:rPr>
        <w:t>第</w:t>
      </w:r>
      <w:r>
        <w:rPr>
          <w:szCs w:val="28"/>
        </w:rPr>
        <w:t>221</w:t>
      </w:r>
      <w:r>
        <w:rPr>
          <w:rFonts w:hint="eastAsia"/>
          <w:szCs w:val="28"/>
        </w:rPr>
        <w:t>章</w:t>
      </w:r>
      <w:r>
        <w:rPr>
          <w:szCs w:val="28"/>
        </w:rPr>
        <w:t>)</w:t>
      </w:r>
      <w:r>
        <w:rPr>
          <w:rFonts w:hint="eastAsia"/>
          <w:szCs w:val="28"/>
        </w:rPr>
        <w:t>：第</w:t>
      </w:r>
      <w:r>
        <w:rPr>
          <w:szCs w:val="28"/>
        </w:rPr>
        <w:t>IIIA</w:t>
      </w:r>
      <w:r>
        <w:rPr>
          <w:rFonts w:hint="eastAsia"/>
          <w:szCs w:val="28"/>
        </w:rPr>
        <w:t>部载有关于对待儿童证人及易受伤害人士的特别条文；</w:t>
      </w:r>
    </w:p>
    <w:p w:rsidR="00000000" w:rsidRDefault="00954A93">
      <w:pPr>
        <w:numPr>
          <w:ilvl w:val="0"/>
          <w:numId w:val="51"/>
        </w:numPr>
        <w:tabs>
          <w:tab w:val="left" w:pos="600"/>
          <w:tab w:val="left" w:pos="1701"/>
        </w:tabs>
        <w:rPr>
          <w:rFonts w:hint="eastAsia"/>
          <w:szCs w:val="28"/>
        </w:rPr>
      </w:pPr>
      <w:r>
        <w:rPr>
          <w:rFonts w:hint="eastAsia"/>
          <w:szCs w:val="28"/>
        </w:rPr>
        <w:t>《防止儿童色情物品条例》</w:t>
      </w:r>
      <w:r>
        <w:rPr>
          <w:szCs w:val="28"/>
        </w:rPr>
        <w:t>(</w:t>
      </w:r>
      <w:r>
        <w:rPr>
          <w:rFonts w:hint="eastAsia"/>
          <w:szCs w:val="28"/>
        </w:rPr>
        <w:t>第</w:t>
      </w:r>
      <w:r>
        <w:rPr>
          <w:szCs w:val="28"/>
        </w:rPr>
        <w:t>579</w:t>
      </w:r>
      <w:r>
        <w:rPr>
          <w:rFonts w:hint="eastAsia"/>
          <w:szCs w:val="28"/>
        </w:rPr>
        <w:t>章</w:t>
      </w:r>
      <w:r>
        <w:rPr>
          <w:szCs w:val="28"/>
        </w:rPr>
        <w:t>)</w:t>
      </w:r>
      <w:r>
        <w:rPr>
          <w:rFonts w:hint="eastAsia"/>
          <w:szCs w:val="28"/>
        </w:rPr>
        <w:t>：保护儿童免被利用进行色情活动。</w:t>
      </w:r>
    </w:p>
    <w:p w:rsidR="00000000" w:rsidRDefault="00954A93">
      <w:pPr>
        <w:spacing w:after="240"/>
        <w:rPr>
          <w:rFonts w:hint="eastAsia"/>
          <w:bCs/>
          <w:szCs w:val="28"/>
        </w:rPr>
      </w:pPr>
      <w:r>
        <w:rPr>
          <w:rFonts w:hint="eastAsia"/>
        </w:rPr>
        <w:tab/>
      </w:r>
      <w:r>
        <w:t>130.</w:t>
      </w:r>
      <w:r>
        <w:rPr>
          <w:rFonts w:hint="eastAsia"/>
        </w:rPr>
        <w:t xml:space="preserve"> </w:t>
      </w:r>
      <w:r>
        <w:t xml:space="preserve">  </w:t>
      </w:r>
      <w:r>
        <w:rPr>
          <w:rFonts w:hint="eastAsia"/>
        </w:rPr>
        <w:t>基于这些原因，我们认为本港的法例条文已能确保公约的规定得以遵从。不过，我们仍欢迎各界提出意见。此外，委员会如提出本港法例在某些具体范畴上不符合公约的规定</w:t>
      </w:r>
      <w:r>
        <w:t>(</w:t>
      </w:r>
      <w:r>
        <w:rPr>
          <w:rFonts w:hint="eastAsia"/>
        </w:rPr>
        <w:t>二零零零年的审议结论并没有具体地提及这方面的问题</w:t>
      </w:r>
      <w:r>
        <w:t>)</w:t>
      </w:r>
      <w:r>
        <w:rPr>
          <w:rFonts w:hint="eastAsia"/>
        </w:rPr>
        <w:t>，我们定会检讨有关情况，并根据检讨结果采取所需的行动。</w:t>
      </w:r>
    </w:p>
    <w:p w:rsidR="00000000" w:rsidRDefault="00954A93">
      <w:pPr>
        <w:pStyle w:val="Heading4"/>
        <w:rPr>
          <w:rFonts w:hint="eastAsia"/>
        </w:rPr>
      </w:pPr>
      <w:r>
        <w:rPr>
          <w:rFonts w:hint="eastAsia"/>
        </w:rPr>
        <w:t>警察纪律程序</w:t>
      </w:r>
    </w:p>
    <w:p w:rsidR="00000000" w:rsidRDefault="00954A93">
      <w:pPr>
        <w:spacing w:after="320"/>
        <w:rPr>
          <w:szCs w:val="28"/>
        </w:rPr>
      </w:pPr>
      <w:r>
        <w:rPr>
          <w:rFonts w:hint="eastAsia"/>
          <w:bCs/>
          <w:szCs w:val="28"/>
        </w:rPr>
        <w:tab/>
      </w:r>
      <w:r>
        <w:rPr>
          <w:bCs/>
          <w:szCs w:val="28"/>
        </w:rPr>
        <w:t>131.</w:t>
      </w:r>
      <w:r>
        <w:rPr>
          <w:bCs/>
          <w:szCs w:val="28"/>
        </w:rPr>
        <w:tab/>
      </w:r>
      <w:r>
        <w:rPr>
          <w:rFonts w:hint="eastAsia"/>
          <w:bCs/>
          <w:szCs w:val="28"/>
        </w:rPr>
        <w:t xml:space="preserve">  </w:t>
      </w:r>
      <w:r>
        <w:rPr>
          <w:rFonts w:hint="eastAsia"/>
        </w:rPr>
        <w:t>这方面的情况大致上与第一次报告第</w:t>
      </w:r>
      <w:r>
        <w:rPr>
          <w:bCs/>
          <w:szCs w:val="28"/>
        </w:rPr>
        <w:t>142</w:t>
      </w:r>
      <w:r>
        <w:rPr>
          <w:rFonts w:hint="eastAsia"/>
          <w:bCs/>
          <w:szCs w:val="28"/>
        </w:rPr>
        <w:t>段</w:t>
      </w:r>
      <w:r>
        <w:rPr>
          <w:rFonts w:hint="eastAsia"/>
        </w:rPr>
        <w:t>所述的相同。</w:t>
      </w:r>
    </w:p>
    <w:p w:rsidR="00000000" w:rsidRDefault="00954A93">
      <w:pPr>
        <w:pStyle w:val="Heading4"/>
        <w:rPr>
          <w:rFonts w:hint="eastAsia"/>
        </w:rPr>
      </w:pPr>
      <w:r>
        <w:rPr>
          <w:rFonts w:hint="eastAsia"/>
        </w:rPr>
        <w:t>虐待儿童</w:t>
      </w:r>
    </w:p>
    <w:p w:rsidR="00000000" w:rsidRDefault="00954A93">
      <w:pPr>
        <w:spacing w:after="240"/>
        <w:rPr>
          <w:rFonts w:hint="eastAsia"/>
        </w:rPr>
      </w:pPr>
      <w:r>
        <w:rPr>
          <w:rFonts w:hint="eastAsia"/>
        </w:rPr>
        <w:tab/>
      </w:r>
      <w:r>
        <w:t xml:space="preserve">132. </w:t>
      </w:r>
      <w:r>
        <w:rPr>
          <w:rFonts w:hint="eastAsia"/>
        </w:rPr>
        <w:t xml:space="preserve"> </w:t>
      </w:r>
      <w:r>
        <w:rPr>
          <w:rFonts w:hint="eastAsia"/>
        </w:rPr>
        <w:t>情况大致上与第一次报告第</w:t>
      </w:r>
      <w:r>
        <w:t>143</w:t>
      </w:r>
      <w:r>
        <w:rPr>
          <w:rFonts w:hint="eastAsia"/>
        </w:rPr>
        <w:t>至第</w:t>
      </w:r>
      <w:r>
        <w:t>147</w:t>
      </w:r>
      <w:r>
        <w:rPr>
          <w:rFonts w:hint="eastAsia"/>
        </w:rPr>
        <w:t>段所述的相同。不过，在二零零三年十月，为了履行《儿童权</w:t>
      </w:r>
      <w:r>
        <w:rPr>
          <w:rFonts w:hint="eastAsia"/>
        </w:rPr>
        <w:t>利公约》第</w:t>
      </w:r>
      <w:r>
        <w:t>37(d)</w:t>
      </w:r>
      <w:r>
        <w:rPr>
          <w:rFonts w:hint="eastAsia"/>
        </w:rPr>
        <w:t>条所述的责任，我们为那些在受照顾及保护程序中而被</w:t>
      </w:r>
      <w:r>
        <w:rPr>
          <w:rFonts w:ascii="SimSun" w:hAnsi="SimSun" w:cs="SimSun" w:hint="eastAsia"/>
        </w:rPr>
        <w:t>剥</w:t>
      </w:r>
      <w:r>
        <w:rPr>
          <w:rFonts w:ascii="MS Mincho" w:hAnsi="MS Mincho" w:cs="MS Mincho" w:hint="eastAsia"/>
        </w:rPr>
        <w:t>夺自由并羁留在宪报所载收容所</w:t>
      </w:r>
      <w:r>
        <w:rPr>
          <w:rFonts w:ascii="MS Mincho" w:hAnsi="MS Mincho" w:cs="MS Mincho" w:hint="eastAsia"/>
        </w:rPr>
        <w:t xml:space="preserve"> </w:t>
      </w:r>
      <w:r>
        <w:rPr>
          <w:rStyle w:val="FootnoteReference"/>
          <w:rFonts w:cs="MS Mincho"/>
          <w:b/>
          <w:color w:val="003366"/>
        </w:rPr>
        <w:footnoteReference w:customMarkFollows="1" w:id="26"/>
        <w:t>2</w:t>
      </w:r>
      <w:r>
        <w:rPr>
          <w:rStyle w:val="FootnoteReference"/>
          <w:rFonts w:cs="MS Mincho" w:hint="eastAsia"/>
          <w:b/>
          <w:color w:val="003366"/>
        </w:rPr>
        <w:t>1</w:t>
      </w:r>
      <w:r>
        <w:rPr>
          <w:rFonts w:hint="eastAsia"/>
        </w:rPr>
        <w:t xml:space="preserve"> </w:t>
      </w:r>
      <w:r>
        <w:rPr>
          <w:rFonts w:hint="eastAsia"/>
        </w:rPr>
        <w:t>的儿童及少年，推行了一项新的法律代表计划。在这项计划下，我们会在有关儿童或少年被送到收容所后，尽快通过当</w:t>
      </w:r>
      <w:r>
        <w:rPr>
          <w:rFonts w:ascii="SimSun" w:hAnsi="SimSun" w:cs="SimSun" w:hint="eastAsia"/>
        </w:rPr>
        <w:t>值</w:t>
      </w:r>
      <w:r>
        <w:rPr>
          <w:rFonts w:ascii="MS Mincho" w:hAnsi="MS Mincho" w:cs="MS Mincho" w:hint="eastAsia"/>
        </w:rPr>
        <w:t>律师服务</w:t>
      </w:r>
      <w:r>
        <w:rPr>
          <w:rFonts w:ascii="MS Mincho" w:hAnsi="MS Mincho" w:cs="MS Mincho" w:hint="eastAsia"/>
        </w:rPr>
        <w:t xml:space="preserve"> </w:t>
      </w:r>
      <w:r>
        <w:rPr>
          <w:rStyle w:val="FootnoteReference"/>
          <w:rFonts w:cs="MS Mincho"/>
          <w:b/>
          <w:bCs/>
        </w:rPr>
        <w:footnoteReference w:customMarkFollows="1" w:id="27"/>
        <w:t>22</w:t>
      </w:r>
      <w:r>
        <w:rPr>
          <w:rFonts w:cs="MS Mincho" w:hint="eastAsia"/>
          <w:b/>
          <w:bCs/>
        </w:rPr>
        <w:t xml:space="preserve"> </w:t>
      </w:r>
      <w:r>
        <w:rPr>
          <w:rFonts w:hint="eastAsia"/>
        </w:rPr>
        <w:t>为他们提供法律代表。我们在二零零五年二月完成了计划的检讨工作，并认为计划大致上行之有效。根据检讨结果，我们决定把服务范畴扩展至那些有可能被</w:t>
      </w:r>
      <w:r>
        <w:rPr>
          <w:rFonts w:ascii="SimSun" w:hAnsi="SimSun" w:cs="SimSun" w:hint="eastAsia"/>
        </w:rPr>
        <w:t>剥</w:t>
      </w:r>
      <w:r>
        <w:rPr>
          <w:rFonts w:ascii="MS Mincho" w:hAnsi="MS Mincho" w:cs="MS Mincho" w:hint="eastAsia"/>
        </w:rPr>
        <w:t>夺自由但没有即时被羁留在收容所的儿童或少年。</w:t>
      </w:r>
    </w:p>
    <w:p w:rsidR="00000000" w:rsidRDefault="00954A93">
      <w:pPr>
        <w:pStyle w:val="Heading4"/>
        <w:rPr>
          <w:rFonts w:hint="eastAsia"/>
        </w:rPr>
      </w:pPr>
      <w:r>
        <w:rPr>
          <w:rFonts w:hint="eastAsia"/>
        </w:rPr>
        <w:t>接受院舍照顾的儿童</w:t>
      </w:r>
    </w:p>
    <w:p w:rsidR="00000000" w:rsidRDefault="00954A93">
      <w:pPr>
        <w:spacing w:after="240"/>
        <w:rPr>
          <w:rFonts w:hint="eastAsia"/>
        </w:rPr>
      </w:pPr>
      <w:r>
        <w:rPr>
          <w:rFonts w:hint="eastAsia"/>
        </w:rPr>
        <w:tab/>
      </w:r>
      <w:r>
        <w:t>133.</w:t>
      </w:r>
      <w:r>
        <w:rPr>
          <w:rFonts w:hint="eastAsia"/>
        </w:rPr>
        <w:t xml:space="preserve">  </w:t>
      </w:r>
      <w:r>
        <w:rPr>
          <w:rFonts w:hint="eastAsia"/>
        </w:rPr>
        <w:t>情况大致上与第一次报告第</w:t>
      </w:r>
      <w:r>
        <w:t>149</w:t>
      </w:r>
      <w:r>
        <w:rPr>
          <w:rFonts w:hint="eastAsia"/>
        </w:rPr>
        <w:t>段所述的相同。太平绅士和社会福利署</w:t>
      </w:r>
      <w:r>
        <w:t>(</w:t>
      </w:r>
      <w:r>
        <w:rPr>
          <w:rFonts w:hint="eastAsia"/>
        </w:rPr>
        <w:t>“社署”</w:t>
      </w:r>
      <w:r>
        <w:t>)</w:t>
      </w:r>
      <w:r>
        <w:rPr>
          <w:rFonts w:hint="eastAsia"/>
        </w:rPr>
        <w:t>的“监察机构人员”会定期巡视非政府机构所开办的院舍，也会突击视察这些院舍。太平绅士、“监察机构人员”和社署的地区福利专员均有权接受投诉及进行调</w:t>
      </w:r>
      <w:r>
        <w:rPr>
          <w:rFonts w:ascii="SimSun" w:hAnsi="SimSun" w:cs="SimSun" w:hint="eastAsia"/>
        </w:rPr>
        <w:t>查</w:t>
      </w:r>
      <w:r>
        <w:rPr>
          <w:rFonts w:ascii="MS Mincho" w:hAnsi="MS Mincho" w:cs="MS Mincho" w:hint="eastAsia"/>
        </w:rPr>
        <w:t>。</w:t>
      </w:r>
    </w:p>
    <w:p w:rsidR="00000000" w:rsidRDefault="00954A93">
      <w:pPr>
        <w:pStyle w:val="Heading4"/>
        <w:rPr>
          <w:rFonts w:hint="eastAsia"/>
        </w:rPr>
      </w:pPr>
      <w:r>
        <w:rPr>
          <w:rFonts w:hint="eastAsia"/>
        </w:rPr>
        <w:t>家庭暴力</w:t>
      </w:r>
    </w:p>
    <w:p w:rsidR="00000000" w:rsidRDefault="00954A93">
      <w:pPr>
        <w:rPr>
          <w:rFonts w:hint="eastAsia"/>
          <w:spacing w:val="6"/>
        </w:rPr>
      </w:pPr>
      <w:r>
        <w:rPr>
          <w:rFonts w:hint="eastAsia"/>
          <w:spacing w:val="6"/>
        </w:rPr>
        <w:tab/>
      </w:r>
      <w:r>
        <w:rPr>
          <w:spacing w:val="6"/>
        </w:rPr>
        <w:t>134.</w:t>
      </w:r>
      <w:r>
        <w:rPr>
          <w:rFonts w:hint="eastAsia"/>
          <w:spacing w:val="6"/>
        </w:rPr>
        <w:t xml:space="preserve">  </w:t>
      </w:r>
      <w:r>
        <w:rPr>
          <w:rFonts w:hint="eastAsia"/>
          <w:spacing w:val="6"/>
        </w:rPr>
        <w:t>有论者认为，家庭暴力</w:t>
      </w:r>
      <w:r>
        <w:rPr>
          <w:spacing w:val="6"/>
        </w:rPr>
        <w:t>(</w:t>
      </w:r>
      <w:r>
        <w:rPr>
          <w:rFonts w:hint="eastAsia"/>
          <w:spacing w:val="6"/>
        </w:rPr>
        <w:t>包括虐待配偶、子女和长者</w:t>
      </w:r>
      <w:r>
        <w:rPr>
          <w:spacing w:val="6"/>
        </w:rPr>
        <w:t>)</w:t>
      </w:r>
      <w:r>
        <w:rPr>
          <w:rFonts w:hint="eastAsia"/>
          <w:spacing w:val="6"/>
        </w:rPr>
        <w:t>的事件</w:t>
      </w:r>
      <w:r>
        <w:rPr>
          <w:rFonts w:ascii="SimSun" w:hAnsi="SimSun" w:cs="SimSun" w:hint="eastAsia"/>
          <w:spacing w:val="6"/>
        </w:rPr>
        <w:t>涉</w:t>
      </w:r>
      <w:r>
        <w:rPr>
          <w:rFonts w:ascii="MS Mincho" w:hAnsi="MS Mincho" w:cs="MS Mincho" w:hint="eastAsia"/>
          <w:spacing w:val="6"/>
        </w:rPr>
        <w:t>及残忍或不人道的行为，政府有责任本</w:t>
      </w:r>
      <w:r>
        <w:rPr>
          <w:rFonts w:ascii="SimSun" w:hAnsi="SimSun" w:cs="SimSun" w:hint="eastAsia"/>
          <w:spacing w:val="6"/>
        </w:rPr>
        <w:t></w:t>
      </w:r>
      <w:r>
        <w:rPr>
          <w:rFonts w:hint="eastAsia"/>
          <w:spacing w:val="6"/>
        </w:rPr>
        <w:t>公约的精神处理有关问题。我们早前已指出，这类虐待事件并不属于公约第</w:t>
      </w:r>
      <w:r>
        <w:rPr>
          <w:spacing w:val="6"/>
        </w:rPr>
        <w:t>16</w:t>
      </w:r>
      <w:r>
        <w:rPr>
          <w:rFonts w:hint="eastAsia"/>
          <w:spacing w:val="6"/>
        </w:rPr>
        <w:t>条的范围。因为该条所指的残忍或不人道等待遇须由</w:t>
      </w:r>
      <w:r>
        <w:rPr>
          <w:spacing w:val="6"/>
        </w:rPr>
        <w:t xml:space="preserve"> </w:t>
      </w:r>
      <w:r>
        <w:rPr>
          <w:rFonts w:hint="eastAsia"/>
          <w:spacing w:val="6"/>
        </w:rPr>
        <w:t>—</w:t>
      </w:r>
    </w:p>
    <w:p w:rsidR="00000000" w:rsidRDefault="00954A93">
      <w:pPr>
        <w:pStyle w:val="ad"/>
        <w:rPr>
          <w:rFonts w:hint="eastAsia"/>
        </w:rPr>
      </w:pPr>
      <w:r>
        <w:rPr>
          <w:rFonts w:hint="eastAsia"/>
        </w:rPr>
        <w:t>“公职人员或以官方身分行使职权的其他人</w:t>
      </w:r>
      <w:r>
        <w:t>……</w:t>
      </w:r>
      <w:r>
        <w:rPr>
          <w:rFonts w:hint="eastAsia"/>
        </w:rPr>
        <w:t>施加、唆使、同意或默许</w:t>
      </w:r>
      <w:r>
        <w:t>……</w:t>
      </w:r>
      <w:r>
        <w:rPr>
          <w:rFonts w:hint="eastAsia"/>
        </w:rPr>
        <w:t>”</w:t>
      </w:r>
    </w:p>
    <w:p w:rsidR="00000000" w:rsidRDefault="00954A93">
      <w:pPr>
        <w:tabs>
          <w:tab w:val="left" w:pos="1080"/>
          <w:tab w:val="left" w:pos="1701"/>
        </w:tabs>
        <w:rPr>
          <w:rFonts w:hint="eastAsia"/>
        </w:rPr>
      </w:pPr>
      <w:r>
        <w:rPr>
          <w:rFonts w:hint="eastAsia"/>
        </w:rPr>
        <w:t>论者则回应表示，政府未能在这方面提供保护，</w:t>
      </w:r>
      <w:r>
        <w:rPr>
          <w:rFonts w:hint="eastAsia"/>
        </w:rPr>
        <w:t>就如公约第</w:t>
      </w:r>
      <w:r>
        <w:t>16</w:t>
      </w:r>
      <w:r>
        <w:rPr>
          <w:rFonts w:hint="eastAsia"/>
        </w:rPr>
        <w:t>条所指默许有关行为。我们不同意这个看法。既然有关问题引起了讨论，我们藉此机会在下文各段阐释我们的立场。</w:t>
      </w:r>
    </w:p>
    <w:p w:rsidR="00000000" w:rsidRDefault="00954A93">
      <w:pPr>
        <w:rPr>
          <w:rFonts w:hint="eastAsia"/>
        </w:rPr>
      </w:pPr>
      <w:r>
        <w:rPr>
          <w:rFonts w:hint="eastAsia"/>
        </w:rPr>
        <w:tab/>
      </w:r>
      <w:r>
        <w:t>135.</w:t>
      </w:r>
      <w:r>
        <w:rPr>
          <w:rFonts w:hint="eastAsia"/>
        </w:rPr>
        <w:t xml:space="preserve">  </w:t>
      </w:r>
      <w:r>
        <w:rPr>
          <w:rFonts w:hint="eastAsia"/>
        </w:rPr>
        <w:t>我们在解决家庭暴力问题方面的策略包括：预防措施</w:t>
      </w:r>
      <w:r>
        <w:t>(</w:t>
      </w:r>
      <w:r>
        <w:rPr>
          <w:rFonts w:hint="eastAsia"/>
        </w:rPr>
        <w:t>例如进行宣传运动、社区教育和培育“社会资本”</w:t>
      </w:r>
      <w:r>
        <w:t>)</w:t>
      </w:r>
      <w:r>
        <w:rPr>
          <w:rFonts w:hint="eastAsia"/>
        </w:rPr>
        <w:t>、支援服务</w:t>
      </w:r>
      <w:r>
        <w:t>(</w:t>
      </w:r>
      <w:r>
        <w:rPr>
          <w:rFonts w:hint="eastAsia"/>
        </w:rPr>
        <w:t>例如提供家庭服务、房屋支援、经济援助和幼儿照顾服务</w:t>
      </w:r>
      <w:r>
        <w:t>)</w:t>
      </w:r>
      <w:r>
        <w:rPr>
          <w:rFonts w:hint="eastAsia"/>
        </w:rPr>
        <w:t>、专门服务和危机介入工作</w:t>
      </w:r>
      <w:r>
        <w:t>(</w:t>
      </w:r>
      <w:r>
        <w:rPr>
          <w:rFonts w:hint="eastAsia"/>
        </w:rPr>
        <w:t>有关的服务单位包括保护家庭及儿童服务课、家庭危机支援中心，以及专为妇女而设的庇护中心</w:t>
      </w:r>
      <w:r>
        <w:t>)</w:t>
      </w:r>
      <w:r>
        <w:rPr>
          <w:rFonts w:hint="eastAsia"/>
        </w:rPr>
        <w:t>。</w:t>
      </w:r>
    </w:p>
    <w:p w:rsidR="00000000" w:rsidRDefault="00954A93">
      <w:pPr>
        <w:rPr>
          <w:rFonts w:hint="eastAsia"/>
        </w:rPr>
      </w:pPr>
      <w:r>
        <w:rPr>
          <w:rFonts w:hint="eastAsia"/>
        </w:rPr>
        <w:tab/>
      </w:r>
      <w:r>
        <w:t xml:space="preserve">136. </w:t>
      </w:r>
      <w:r>
        <w:rPr>
          <w:rFonts w:hint="eastAsia"/>
        </w:rPr>
        <w:t xml:space="preserve"> </w:t>
      </w:r>
      <w:r>
        <w:rPr>
          <w:rFonts w:hint="eastAsia"/>
        </w:rPr>
        <w:t>本港已有法例禁止袭击他人身体、谋杀、强奸等行为。主要的法例包括《刑事罪行条例》</w:t>
      </w:r>
      <w:r>
        <w:t>(</w:t>
      </w:r>
      <w:r>
        <w:rPr>
          <w:rFonts w:hint="eastAsia"/>
        </w:rPr>
        <w:t>第</w:t>
      </w:r>
      <w:r>
        <w:t>200</w:t>
      </w:r>
      <w:r>
        <w:rPr>
          <w:rFonts w:hint="eastAsia"/>
        </w:rPr>
        <w:t>章</w:t>
      </w:r>
      <w:r>
        <w:t>)</w:t>
      </w:r>
      <w:r>
        <w:rPr>
          <w:rFonts w:hint="eastAsia"/>
        </w:rPr>
        <w:t>、《侵害人身罪条例》</w:t>
      </w:r>
      <w:r>
        <w:t>(</w:t>
      </w:r>
      <w:r>
        <w:rPr>
          <w:rFonts w:hint="eastAsia"/>
        </w:rPr>
        <w:t>第</w:t>
      </w:r>
      <w:r>
        <w:t>212</w:t>
      </w:r>
      <w:r>
        <w:rPr>
          <w:rFonts w:hint="eastAsia"/>
        </w:rPr>
        <w:t>章</w:t>
      </w:r>
      <w:r>
        <w:t>)</w:t>
      </w:r>
      <w:r>
        <w:rPr>
          <w:rFonts w:hint="eastAsia"/>
        </w:rPr>
        <w:t>以及《盗窃罪条例》</w:t>
      </w:r>
      <w:r>
        <w:t>(</w:t>
      </w:r>
      <w:r>
        <w:rPr>
          <w:rFonts w:hint="eastAsia"/>
        </w:rPr>
        <w:t>第</w:t>
      </w:r>
      <w:r>
        <w:t>210</w:t>
      </w:r>
      <w:r>
        <w:rPr>
          <w:rFonts w:hint="eastAsia"/>
        </w:rPr>
        <w:t>章</w:t>
      </w:r>
      <w:r>
        <w:t>)</w:t>
      </w:r>
      <w:r>
        <w:rPr>
          <w:rFonts w:hint="eastAsia"/>
        </w:rPr>
        <w:t>。《盗窃罪条例》载有条文，禁止含有恐吓成份而构成精神暴力的勒索行为。在家庭暴力方面，《家庭暴力条例》</w:t>
      </w:r>
      <w:r>
        <w:t>(</w:t>
      </w:r>
      <w:r>
        <w:rPr>
          <w:rFonts w:hint="eastAsia"/>
        </w:rPr>
        <w:t>第</w:t>
      </w:r>
      <w:r>
        <w:t>189</w:t>
      </w:r>
      <w:r>
        <w:rPr>
          <w:rFonts w:hint="eastAsia"/>
        </w:rPr>
        <w:t>章</w:t>
      </w:r>
      <w:r>
        <w:t>)</w:t>
      </w:r>
      <w:r>
        <w:rPr>
          <w:rFonts w:hint="eastAsia"/>
        </w:rPr>
        <w:t>为已婚夫妇或同居男女及其子女提供了保护。此外，本港也有法例保护儿童免受虐待。</w:t>
      </w:r>
    </w:p>
    <w:p w:rsidR="00000000" w:rsidRDefault="00954A93">
      <w:pPr>
        <w:spacing w:after="240"/>
        <w:rPr>
          <w:rFonts w:hint="eastAsia"/>
        </w:rPr>
      </w:pPr>
      <w:r>
        <w:rPr>
          <w:rFonts w:hint="eastAsia"/>
        </w:rPr>
        <w:tab/>
      </w:r>
      <w:r>
        <w:t>137.</w:t>
      </w:r>
      <w:r>
        <w:rPr>
          <w:rFonts w:hint="eastAsia"/>
        </w:rPr>
        <w:t xml:space="preserve">  </w:t>
      </w:r>
      <w:r>
        <w:rPr>
          <w:rFonts w:hint="eastAsia"/>
        </w:rPr>
        <w:t>正如其他社区一样，香港也要面对家庭暴力问题。在二零零四年发生的一宗严重事件，引起了各方关注。虽然我们认为有关事件并不属于公约的范围，但也在下文加以讨论，以供委员会参考。</w:t>
      </w:r>
    </w:p>
    <w:p w:rsidR="00000000" w:rsidRDefault="00954A93">
      <w:pPr>
        <w:pStyle w:val="Heading4"/>
        <w:rPr>
          <w:rFonts w:eastAsia="KaiTi_GB2312" w:hint="eastAsia"/>
          <w:snapToGrid/>
          <w:u w:val="none"/>
        </w:rPr>
      </w:pPr>
      <w:r>
        <w:rPr>
          <w:rFonts w:eastAsia="KaiTi_GB2312" w:hint="eastAsia"/>
          <w:snapToGrid/>
          <w:u w:val="none"/>
        </w:rPr>
        <w:t>在天水围发生的一宗谋杀案</w:t>
      </w:r>
    </w:p>
    <w:p w:rsidR="00000000" w:rsidRDefault="00954A93">
      <w:pPr>
        <w:rPr>
          <w:rFonts w:hint="eastAsia"/>
        </w:rPr>
      </w:pPr>
      <w:r>
        <w:rPr>
          <w:rFonts w:hint="eastAsia"/>
        </w:rPr>
        <w:tab/>
      </w:r>
      <w:r>
        <w:t>138.</w:t>
      </w:r>
      <w:r>
        <w:rPr>
          <w:rFonts w:hint="eastAsia"/>
        </w:rPr>
        <w:t xml:space="preserve">  </w:t>
      </w:r>
      <w:r>
        <w:rPr>
          <w:rFonts w:hint="eastAsia"/>
        </w:rPr>
        <w:t>二零零四年四月，居住在天水围</w:t>
      </w:r>
      <w:r>
        <w:rPr>
          <w:rFonts w:hint="eastAsia"/>
        </w:rPr>
        <w:t xml:space="preserve"> </w:t>
      </w:r>
      <w:r>
        <w:rPr>
          <w:rStyle w:val="FootnoteReference"/>
          <w:b/>
          <w:bCs/>
        </w:rPr>
        <w:footnoteReference w:customMarkFollows="1" w:id="28"/>
        <w:t>23</w:t>
      </w:r>
      <w:r>
        <w:rPr>
          <w:rFonts w:hint="eastAsia"/>
          <w:b/>
          <w:bCs/>
        </w:rPr>
        <w:t xml:space="preserve"> </w:t>
      </w:r>
      <w:r>
        <w:rPr>
          <w:rFonts w:hint="eastAsia"/>
        </w:rPr>
        <w:t>的一名妇人与两名女儿一同被丈夫杀害。该名妇人在二零零四年一月从</w:t>
      </w:r>
      <w:r>
        <w:rPr>
          <w:rFonts w:ascii="SimSun" w:hAnsi="SimSun" w:cs="SimSun" w:hint="eastAsia"/>
        </w:rPr>
        <w:t>内</w:t>
      </w:r>
      <w:r>
        <w:rPr>
          <w:rFonts w:ascii="MS Mincho" w:hAnsi="MS Mincho" w:cs="MS Mincho" w:hint="eastAsia"/>
        </w:rPr>
        <w:t>地来港。她在惨剧发生前曾入住庇护所。在惨剧发生当天，她离开庇护所并向当区警署寻求协助。有论者指出，从这次悲剧可见，实有需要为社工和警务人员提供有关处理家庭暴力及其他家庭问题的训练。目前情况如下：</w:t>
      </w:r>
    </w:p>
    <w:p w:rsidR="00000000" w:rsidRDefault="00954A93">
      <w:pPr>
        <w:numPr>
          <w:ilvl w:val="0"/>
          <w:numId w:val="52"/>
        </w:numPr>
        <w:tabs>
          <w:tab w:val="left" w:pos="600"/>
          <w:tab w:val="left" w:pos="1701"/>
        </w:tabs>
        <w:rPr>
          <w:rFonts w:hint="eastAsia"/>
        </w:rPr>
      </w:pPr>
      <w:r>
        <w:rPr>
          <w:rFonts w:eastAsia="華康中黑體" w:hint="eastAsia"/>
          <w:b/>
          <w:bCs/>
        </w:rPr>
        <w:t>社署的回应：</w:t>
      </w:r>
      <w:r>
        <w:rPr>
          <w:rFonts w:hint="eastAsia"/>
        </w:rPr>
        <w:t>社署清楚知道有需要提供这方面的训练。在二零零一年四月至二零零四年三月期间，社署举办了超过</w:t>
      </w:r>
      <w:r>
        <w:t>70</w:t>
      </w:r>
      <w:r>
        <w:rPr>
          <w:rFonts w:hint="eastAsia"/>
        </w:rPr>
        <w:t>个有关家庭暴力的训练课程，招收逾</w:t>
      </w:r>
      <w:r>
        <w:t>3500</w:t>
      </w:r>
      <w:r>
        <w:rPr>
          <w:rFonts w:hint="eastAsia"/>
        </w:rPr>
        <w:t>名学员，当中包括社工、心理学家、警务人员、教师和医护人员。训练课程的形式包括由本地或海外导师主持的工作</w:t>
      </w:r>
      <w:r>
        <w:rPr>
          <w:rFonts w:hint="eastAsia"/>
        </w:rPr>
        <w:t>坊、研讨会或讲座。这些导师是在这个范畴极具经验的人士和学者。课程</w:t>
      </w:r>
      <w:r>
        <w:rPr>
          <w:rFonts w:ascii="SimSun" w:hAnsi="SimSun" w:cs="SimSun" w:hint="eastAsia"/>
        </w:rPr>
        <w:t>内</w:t>
      </w:r>
      <w:r>
        <w:rPr>
          <w:rFonts w:ascii="MS Mincho" w:hAnsi="MS Mincho" w:cs="MS Mincho" w:hint="eastAsia"/>
        </w:rPr>
        <w:t>容包括有关处理暴力个案的风险评估、辅导技巧、个案</w:t>
      </w:r>
      <w:r>
        <w:rPr>
          <w:rFonts w:ascii="MS Mincho" w:hAnsi="MS Mincho" w:cs="MS Mincho" w:hint="eastAsia"/>
        </w:rPr>
        <w:t>/</w:t>
      </w:r>
      <w:r>
        <w:rPr>
          <w:rFonts w:ascii="MS Mincho" w:hAnsi="MS Mincho" w:cs="MS Mincho" w:hint="eastAsia"/>
        </w:rPr>
        <w:t>小组工作技巧，以及多个专业的相互合作等，并且不断强调，受害人的安全至为重要。</w:t>
      </w:r>
    </w:p>
    <w:p w:rsidR="00000000" w:rsidRDefault="00954A93">
      <w:pPr>
        <w:ind w:left="1531"/>
        <w:rPr>
          <w:rFonts w:hint="eastAsia"/>
        </w:rPr>
      </w:pPr>
      <w:r>
        <w:rPr>
          <w:rFonts w:hint="eastAsia"/>
        </w:rPr>
        <w:tab/>
      </w:r>
      <w:r>
        <w:rPr>
          <w:rFonts w:hint="eastAsia"/>
        </w:rPr>
        <w:t>在天水围惨剧发生后，社署署长委任了一个检讨小组，负责检讨天水围家庭服务的提供情况和服务程序，以及建议改善措施。检讨小组在二零零四年十一月提交报告，提出了多项改善建议，包括加强有关处理家庭暴力问题的专业训练。除现有的训练课程外，社署会加强这方面的训练，尤其是</w:t>
      </w:r>
      <w:r>
        <w:rPr>
          <w:rFonts w:ascii="SimSun" w:hAnsi="SimSun" w:cs="SimSun" w:hint="eastAsia"/>
        </w:rPr>
        <w:t></w:t>
      </w:r>
      <w:r>
        <w:rPr>
          <w:rFonts w:hint="eastAsia"/>
        </w:rPr>
        <w:t>重危机管理、风险评估、对性别的敏感度、如何尽早发现问题，以</w:t>
      </w:r>
      <w:r>
        <w:rPr>
          <w:rFonts w:hint="eastAsia"/>
        </w:rPr>
        <w:t>及各种不同的介入和处理方法。</w:t>
      </w:r>
    </w:p>
    <w:p w:rsidR="00000000" w:rsidRDefault="00954A93">
      <w:pPr>
        <w:pStyle w:val="ac"/>
        <w:spacing w:line="312" w:lineRule="auto"/>
        <w:rPr>
          <w:rFonts w:hint="eastAsia"/>
        </w:rPr>
      </w:pPr>
      <w:r>
        <w:t>(b)</w:t>
      </w:r>
      <w:r>
        <w:tab/>
      </w:r>
      <w:r>
        <w:rPr>
          <w:rFonts w:eastAsia="華康中黑體" w:hint="eastAsia"/>
          <w:b/>
          <w:bCs/>
        </w:rPr>
        <w:t>警方的回应：</w:t>
      </w:r>
      <w:r>
        <w:rPr>
          <w:rFonts w:hint="eastAsia"/>
        </w:rPr>
        <w:t>警务人员于在职期间的不同阶段，都会持续接受有关处理家庭暴力的训练。在惨剧发生后，警方即时就处理程序进行</w:t>
      </w:r>
      <w:r>
        <w:rPr>
          <w:rFonts w:ascii="SimSun" w:hAnsi="SimSun" w:cs="SimSun" w:hint="eastAsia"/>
        </w:rPr>
        <w:t>内</w:t>
      </w:r>
      <w:r>
        <w:rPr>
          <w:rFonts w:ascii="MS Mincho" w:hAnsi="MS Mincho" w:cs="MS Mincho" w:hint="eastAsia"/>
        </w:rPr>
        <w:t>部检讨，并在前线警务人员的训练和关于索取资料方面落实改善措施。在制定有关措施时，已考虑到有需要加强有关各方</w:t>
      </w:r>
      <w:r>
        <w:t>(</w:t>
      </w:r>
      <w:r>
        <w:rPr>
          <w:rFonts w:hint="eastAsia"/>
        </w:rPr>
        <w:t>包括社署、警务处、非政府机构等</w:t>
      </w:r>
      <w:r>
        <w:t>)</w:t>
      </w:r>
      <w:r>
        <w:rPr>
          <w:rFonts w:hint="eastAsia"/>
        </w:rPr>
        <w:t>的前线人员之间的沟通。</w:t>
      </w:r>
    </w:p>
    <w:p w:rsidR="00000000" w:rsidRDefault="00954A93">
      <w:pPr>
        <w:spacing w:line="312" w:lineRule="auto"/>
        <w:rPr>
          <w:rFonts w:hint="eastAsia"/>
        </w:rPr>
      </w:pPr>
      <w:r>
        <w:rPr>
          <w:rFonts w:hint="eastAsia"/>
        </w:rPr>
        <w:tab/>
      </w:r>
      <w:r>
        <w:t>139.</w:t>
      </w:r>
      <w:r>
        <w:rPr>
          <w:rFonts w:hint="eastAsia"/>
        </w:rPr>
        <w:t xml:space="preserve">  </w:t>
      </w:r>
      <w:r>
        <w:rPr>
          <w:rFonts w:hint="eastAsia"/>
        </w:rPr>
        <w:t>有论者询问，为何我们不强制规定呈报虐待长者的个案，以及要求施虐者接受辅导。事实上，虐待长者通常</w:t>
      </w:r>
      <w:r>
        <w:rPr>
          <w:rFonts w:ascii="SimSun" w:hAnsi="SimSun" w:cs="SimSun" w:hint="eastAsia"/>
        </w:rPr>
        <w:t>涉</w:t>
      </w:r>
      <w:r>
        <w:rPr>
          <w:rFonts w:ascii="MS Mincho" w:hAnsi="MS Mincho" w:cs="MS Mincho" w:hint="eastAsia"/>
        </w:rPr>
        <w:t>及复杂和长期的家庭关系问题。在很多情况下，施虐者都是受害人的近亲或家人，而受害人一般</w:t>
      </w:r>
      <w:r>
        <w:rPr>
          <w:rFonts w:ascii="MS Mincho" w:hAnsi="MS Mincho" w:cs="MS Mincho" w:hint="eastAsia"/>
        </w:rPr>
        <w:t>都不愿意对他们采取法律行动。因此，我们认为强制规定呈报有关个案，只会令长者拒</w:t>
      </w:r>
      <w:r>
        <w:rPr>
          <w:rFonts w:ascii="SimSun" w:hAnsi="SimSun" w:cs="SimSun" w:hint="eastAsia"/>
        </w:rPr>
        <w:t>绝</w:t>
      </w:r>
      <w:r>
        <w:rPr>
          <w:rFonts w:ascii="MS Mincho" w:hAnsi="MS Mincho" w:cs="MS Mincho" w:hint="eastAsia"/>
        </w:rPr>
        <w:t>寻求协助。有见及此，我们把优先工作定为</w:t>
      </w:r>
      <w:r>
        <w:t xml:space="preserve"> </w:t>
      </w:r>
      <w:r>
        <w:rPr>
          <w:rFonts w:hint="eastAsia"/>
        </w:rPr>
        <w:t>—</w:t>
      </w:r>
    </w:p>
    <w:p w:rsidR="00000000" w:rsidRDefault="00954A93">
      <w:pPr>
        <w:pStyle w:val="a"/>
        <w:spacing w:line="312" w:lineRule="auto"/>
        <w:ind w:left="1530"/>
        <w:rPr>
          <w:rFonts w:hint="eastAsia"/>
        </w:rPr>
      </w:pPr>
      <w:r>
        <w:rPr>
          <w:rFonts w:hint="eastAsia"/>
        </w:rPr>
        <w:t>提高市民和专业人士对有关问题的意识。</w:t>
      </w:r>
    </w:p>
    <w:p w:rsidR="00000000" w:rsidRDefault="00954A93">
      <w:pPr>
        <w:pStyle w:val="a"/>
        <w:spacing w:line="312" w:lineRule="auto"/>
        <w:ind w:left="1530"/>
        <w:rPr>
          <w:rFonts w:hint="eastAsia"/>
        </w:rPr>
      </w:pPr>
      <w:r>
        <w:rPr>
          <w:rFonts w:hint="eastAsia"/>
        </w:rPr>
        <w:t>采取措施以尽早发现施虐个案。</w:t>
      </w:r>
    </w:p>
    <w:p w:rsidR="00000000" w:rsidRDefault="00954A93">
      <w:pPr>
        <w:pStyle w:val="a"/>
        <w:spacing w:line="312" w:lineRule="auto"/>
        <w:ind w:left="1530"/>
        <w:rPr>
          <w:rFonts w:hint="eastAsia"/>
        </w:rPr>
      </w:pPr>
      <w:r>
        <w:rPr>
          <w:rFonts w:hint="eastAsia"/>
        </w:rPr>
        <w:t>通过自强活动让长者学会保护自己。所谓“自强”，是指帮助长者明白自己享有生存、自由和个人安全的权利、重新建立他们的自尊心、提高他们自行作出决定和照顾自己的能力等等。</w:t>
      </w:r>
    </w:p>
    <w:p w:rsidR="00000000" w:rsidRDefault="00954A93">
      <w:pPr>
        <w:pStyle w:val="a"/>
        <w:spacing w:line="312" w:lineRule="auto"/>
        <w:ind w:left="1530"/>
        <w:rPr>
          <w:rFonts w:hint="eastAsia"/>
        </w:rPr>
      </w:pPr>
      <w:r>
        <w:rPr>
          <w:rFonts w:hint="eastAsia"/>
        </w:rPr>
        <w:t>鼓励虐待长者个案的受害者及其家人</w:t>
      </w:r>
      <w:r>
        <w:rPr>
          <w:rFonts w:hint="eastAsia"/>
        </w:rPr>
        <w:t>/</w:t>
      </w:r>
      <w:r>
        <w:rPr>
          <w:rFonts w:hint="eastAsia"/>
        </w:rPr>
        <w:t>朋友尽早寻求协助。</w:t>
      </w:r>
    </w:p>
    <w:p w:rsidR="00000000" w:rsidRDefault="00954A93">
      <w:pPr>
        <w:spacing w:after="240" w:line="312" w:lineRule="auto"/>
        <w:rPr>
          <w:rFonts w:hint="eastAsia"/>
        </w:rPr>
      </w:pPr>
      <w:r>
        <w:rPr>
          <w:rFonts w:hint="eastAsia"/>
        </w:rPr>
        <w:tab/>
      </w:r>
      <w:r>
        <w:t>140.</w:t>
      </w:r>
      <w:r>
        <w:rPr>
          <w:rFonts w:hint="eastAsia"/>
        </w:rPr>
        <w:t xml:space="preserve">  </w:t>
      </w:r>
      <w:r>
        <w:rPr>
          <w:rFonts w:hint="eastAsia"/>
        </w:rPr>
        <w:t>法庭如颁令施虐者接受感化主任督导，施虐者实际上便要接受个人强制辅导。督导感化主任同时是社工</w:t>
      </w:r>
      <w:r>
        <w:rPr>
          <w:rFonts w:hint="eastAsia"/>
        </w:rPr>
        <w:t>，因此可以在执行一般职务期间向施虐者提供辅导。不过，我们也正在研究以其他方式推行强制辅导的可行性和相关影响。</w:t>
      </w:r>
    </w:p>
    <w:p w:rsidR="00000000" w:rsidRDefault="00954A93">
      <w:pPr>
        <w:pStyle w:val="Heading4"/>
        <w:rPr>
          <w:rFonts w:hint="eastAsia"/>
        </w:rPr>
      </w:pPr>
      <w:r>
        <w:rPr>
          <w:rFonts w:hint="eastAsia"/>
        </w:rPr>
        <w:t>根据居留权证明书计划遣返内地儿童</w:t>
      </w:r>
    </w:p>
    <w:p w:rsidR="00000000" w:rsidRDefault="00954A93">
      <w:pPr>
        <w:spacing w:line="312" w:lineRule="auto"/>
        <w:rPr>
          <w:rFonts w:eastAsia="華康中黑體" w:hint="eastAsia"/>
          <w:b/>
          <w:szCs w:val="28"/>
        </w:rPr>
      </w:pPr>
      <w:r>
        <w:rPr>
          <w:rFonts w:hint="eastAsia"/>
        </w:rPr>
        <w:tab/>
      </w:r>
      <w:r>
        <w:t>141.</w:t>
      </w:r>
      <w:r>
        <w:rPr>
          <w:rFonts w:hint="eastAsia"/>
        </w:rPr>
        <w:t xml:space="preserve">  </w:t>
      </w:r>
      <w:r>
        <w:rPr>
          <w:rFonts w:hint="eastAsia"/>
        </w:rPr>
        <w:t>在第一次报告有关公约第</w:t>
      </w:r>
      <w:r>
        <w:t>3</w:t>
      </w:r>
      <w:r>
        <w:rPr>
          <w:rFonts w:hint="eastAsia"/>
        </w:rPr>
        <w:t>条的第</w:t>
      </w:r>
      <w:r>
        <w:t>31</w:t>
      </w:r>
      <w:r>
        <w:rPr>
          <w:rFonts w:hint="eastAsia"/>
        </w:rPr>
        <w:t>段，我们阐释了居留权证明书计划和推行计划的原因。有论者重申，这样遣返</w:t>
      </w:r>
      <w:r>
        <w:rPr>
          <w:rFonts w:ascii="SimSun" w:hAnsi="SimSun" w:cs="SimSun" w:hint="eastAsia"/>
        </w:rPr>
        <w:t>内</w:t>
      </w:r>
      <w:r>
        <w:rPr>
          <w:rFonts w:ascii="MS Mincho" w:hAnsi="MS Mincho" w:cs="MS Mincho" w:hint="eastAsia"/>
        </w:rPr>
        <w:t>地儿童是残忍和不人道的，但事实上，基于第一次报告第</w:t>
      </w:r>
      <w:r>
        <w:t>31</w:t>
      </w:r>
      <w:r>
        <w:rPr>
          <w:rFonts w:hint="eastAsia"/>
        </w:rPr>
        <w:t>和第</w:t>
      </w:r>
      <w:r>
        <w:t>32</w:t>
      </w:r>
      <w:r>
        <w:rPr>
          <w:rFonts w:hint="eastAsia"/>
        </w:rPr>
        <w:t>段</w:t>
      </w:r>
      <w:r>
        <w:rPr>
          <w:rFonts w:hint="eastAsia"/>
        </w:rPr>
        <w:t xml:space="preserve"> </w:t>
      </w:r>
      <w:r>
        <w:rPr>
          <w:rStyle w:val="FootnoteReference"/>
          <w:b/>
          <w:color w:val="003366"/>
        </w:rPr>
        <w:footnoteReference w:customMarkFollows="1" w:id="29"/>
        <w:t>2</w:t>
      </w:r>
      <w:r>
        <w:rPr>
          <w:rStyle w:val="FootnoteReference"/>
          <w:rFonts w:hint="eastAsia"/>
          <w:b/>
          <w:color w:val="003366"/>
        </w:rPr>
        <w:t>4</w:t>
      </w:r>
      <w:r>
        <w:rPr>
          <w:rFonts w:hint="eastAsia"/>
        </w:rPr>
        <w:t xml:space="preserve"> </w:t>
      </w:r>
      <w:r>
        <w:rPr>
          <w:rFonts w:hint="eastAsia"/>
        </w:rPr>
        <w:t>所述的原因，这项指称并无根据。</w:t>
      </w:r>
    </w:p>
    <w:p w:rsidR="00000000" w:rsidRDefault="00954A93">
      <w:pPr>
        <w:tabs>
          <w:tab w:val="left" w:pos="567"/>
          <w:tab w:val="left" w:pos="1134"/>
          <w:tab w:val="left" w:pos="1701"/>
        </w:tabs>
        <w:spacing w:line="312" w:lineRule="auto"/>
      </w:pPr>
    </w:p>
    <w:p w:rsidR="00000000" w:rsidRDefault="00954A93">
      <w:pPr>
        <w:spacing w:line="312" w:lineRule="auto"/>
        <w:jc w:val="center"/>
        <w:rPr>
          <w:rFonts w:hint="eastAsia"/>
        </w:rPr>
      </w:pPr>
      <w:r>
        <w:t>--  --  --  --  --</w:t>
      </w:r>
    </w:p>
    <w:sectPr w:rsidR="00000000">
      <w:headerReference w:type="even" r:id="rId7"/>
      <w:headerReference w:type="default" r:id="rId8"/>
      <w:headerReference w:type="first" r:id="rId9"/>
      <w:footerReference w:type="first" r:id="rId10"/>
      <w:footnotePr>
        <w:numFmt w:val="chicago"/>
        <w:numStart w:val="13"/>
      </w:footnotePr>
      <w:pgSz w:w="11906" w:h="16838" w:code="9"/>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4A93">
      <w:pPr>
        <w:spacing w:line="240" w:lineRule="auto"/>
      </w:pPr>
      <w:r>
        <w:separator/>
      </w:r>
    </w:p>
  </w:endnote>
  <w:endnote w:type="continuationSeparator" w:id="0">
    <w:p w:rsidR="00000000" w:rsidRDefault="00954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華康細明體">
    <w:altName w:val="MS Mincho"/>
    <w:charset w:val="88"/>
    <w:family w:val="modern"/>
    <w:pitch w:val="fixed"/>
    <w:sig w:usb0="F1007BFF" w:usb1="29FFFFFF" w:usb2="00000037" w:usb3="00000000" w:csb0="003F00FF"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華康中黑體(P)">
    <w:altName w:val="MS Mincho"/>
    <w:charset w:val="88"/>
    <w:family w:val="swiss"/>
    <w:pitch w:val="variable"/>
    <w:sig w:usb0="F1007BFF" w:usb1="29FFFFFF" w:usb2="00000037" w:usb3="00000000" w:csb0="003F00FF" w:csb1="00000000"/>
  </w:font>
  <w:font w:name="華康中黑體">
    <w:altName w:val="MS Mincho"/>
    <w:charset w:val="88"/>
    <w:family w:val="modern"/>
    <w:pitch w:val="fixed"/>
    <w:sig w:usb0="F1007BFF" w:usb1="29FFFFFF" w:usb2="00000037" w:usb3="00000000" w:csb0="003F00FF" w:csb1="00000000"/>
  </w:font>
  <w:font w:name="絡遺羹">
    <w:altName w:val="Arial Unicode MS"/>
    <w:panose1 w:val="00000000000000000000"/>
    <w:charset w:val="88"/>
    <w:family w:val="roman"/>
    <w:notTrueType/>
    <w:pitch w:val="default"/>
    <w:sig w:usb0="00000001" w:usb1="08080000" w:usb2="00000010" w:usb3="00000000" w:csb0="001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954A93">
          <w:pPr>
            <w:pStyle w:val="Footer"/>
          </w:pPr>
          <w:r>
            <w:t>GE. 0</w:t>
          </w:r>
          <w:r>
            <w:rPr>
              <w:rFonts w:hint="eastAsia"/>
              <w:lang w:eastAsia="zh-CN"/>
            </w:rPr>
            <w:t>6</w:t>
          </w:r>
          <w:r>
            <w:t>-</w:t>
          </w:r>
          <w:r>
            <w:rPr>
              <w:rFonts w:hint="eastAsia"/>
              <w:lang w:eastAsia="zh-CN"/>
            </w:rPr>
            <w:t>43273</w:t>
          </w:r>
          <w:r>
            <w:t xml:space="preserve"> (C)</w:t>
          </w:r>
        </w:p>
      </w:tc>
      <w:tc>
        <w:tcPr>
          <w:tcW w:w="1050" w:type="dxa"/>
        </w:tcPr>
        <w:p w:rsidR="00000000" w:rsidRDefault="00954A93">
          <w:pPr>
            <w:pStyle w:val="Footer"/>
            <w:rPr>
              <w:rFonts w:hint="eastAsia"/>
              <w:lang w:eastAsia="zh-CN"/>
            </w:rPr>
          </w:pPr>
          <w:r>
            <w:rPr>
              <w:rFonts w:hint="eastAsia"/>
              <w:lang w:eastAsia="zh-CN"/>
            </w:rPr>
            <w:t>070207</w:t>
          </w:r>
        </w:p>
      </w:tc>
      <w:tc>
        <w:tcPr>
          <w:tcW w:w="6061" w:type="dxa"/>
        </w:tcPr>
        <w:p w:rsidR="00000000" w:rsidRDefault="00954A93">
          <w:pPr>
            <w:pStyle w:val="Footer"/>
          </w:pPr>
          <w:r>
            <w:rPr>
              <w:rFonts w:hint="eastAsia"/>
              <w:lang w:eastAsia="zh-CN"/>
            </w:rPr>
            <w:t>1</w:t>
          </w:r>
          <w:r>
            <w:rPr>
              <w:lang w:eastAsia="zh-CN"/>
            </w:rPr>
            <w:t>4</w:t>
          </w:r>
          <w:r>
            <w:rPr>
              <w:rFonts w:hint="eastAsia"/>
              <w:lang w:eastAsia="zh-CN"/>
            </w:rPr>
            <w:t>02</w:t>
          </w:r>
          <w:r>
            <w:t>07</w:t>
          </w:r>
        </w:p>
      </w:tc>
    </w:tr>
  </w:tbl>
  <w:p w:rsidR="00000000" w:rsidRDefault="00954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4A93">
      <w:r>
        <w:separator/>
      </w:r>
    </w:p>
  </w:footnote>
  <w:footnote w:type="continuationSeparator" w:id="0">
    <w:p w:rsidR="00000000" w:rsidRDefault="00954A93">
      <w:pPr>
        <w:spacing w:line="240" w:lineRule="auto"/>
      </w:pPr>
      <w:r>
        <w:continuationSeparator/>
      </w:r>
    </w:p>
  </w:footnote>
  <w:footnote w:id="1">
    <w:p w:rsidR="00000000" w:rsidRDefault="00954A93">
      <w:pPr>
        <w:pStyle w:val="FootnoteText"/>
        <w:rPr>
          <w:rFonts w:hint="eastAsia"/>
        </w:rPr>
      </w:pPr>
      <w:r>
        <w:rPr>
          <w:rStyle w:val="FootnoteReference"/>
          <w:vertAlign w:val="baseline"/>
        </w:rPr>
        <w:t>*</w:t>
      </w:r>
      <w:r>
        <w:tab/>
      </w:r>
      <w:r>
        <w:rPr>
          <w:rFonts w:hint="eastAsia"/>
        </w:rPr>
        <w:t>本文件为中国政府所提交第四次定期报告</w:t>
      </w:r>
      <w:r>
        <w:rPr>
          <w:rFonts w:hint="eastAsia"/>
        </w:rPr>
        <w:t>(CAT/C/CHI/4)</w:t>
      </w:r>
      <w:r>
        <w:rPr>
          <w:rFonts w:hint="eastAsia"/>
        </w:rPr>
        <w:t>的第三部分。</w:t>
      </w:r>
    </w:p>
  </w:footnote>
  <w:footnote w:id="2">
    <w:p w:rsidR="00000000" w:rsidRDefault="00954A93">
      <w:pPr>
        <w:pStyle w:val="FootnoteText"/>
        <w:rPr>
          <w:rFonts w:hint="eastAsia"/>
        </w:rPr>
      </w:pPr>
      <w:r>
        <w:rPr>
          <w:rStyle w:val="FootnoteReference"/>
          <w:vertAlign w:val="baseline"/>
        </w:rPr>
        <w:t>**</w:t>
      </w:r>
      <w:r>
        <w:t xml:space="preserve"> </w:t>
      </w:r>
      <w:r>
        <w:rPr>
          <w:rFonts w:hint="eastAsia"/>
        </w:rPr>
        <w:tab/>
      </w:r>
      <w:r>
        <w:rPr>
          <w:rFonts w:hint="eastAsia"/>
        </w:rPr>
        <w:t>中国的初次报告见</w:t>
      </w:r>
      <w:r>
        <w:rPr>
          <w:rFonts w:hint="eastAsia"/>
        </w:rPr>
        <w:t>C</w:t>
      </w:r>
      <w:r>
        <w:rPr>
          <w:rFonts w:hint="eastAsia"/>
        </w:rPr>
        <w:t>AT/C/7/</w:t>
      </w:r>
      <w:r>
        <w:t>Add.5</w:t>
      </w:r>
      <w:r>
        <w:t>；</w:t>
      </w:r>
      <w:r>
        <w:rPr>
          <w:rFonts w:hint="eastAsia"/>
        </w:rPr>
        <w:t>审议情况见</w:t>
      </w:r>
      <w:r>
        <w:rPr>
          <w:rFonts w:hint="eastAsia"/>
        </w:rPr>
        <w:t>CAT/C/SR.50</w:t>
      </w:r>
      <w:r>
        <w:rPr>
          <w:rFonts w:hint="eastAsia"/>
        </w:rPr>
        <w:t>和</w:t>
      </w:r>
      <w:r>
        <w:rPr>
          <w:rFonts w:hint="eastAsia"/>
        </w:rPr>
        <w:t>51</w:t>
      </w:r>
      <w:r>
        <w:rPr>
          <w:rFonts w:hint="eastAsia"/>
        </w:rPr>
        <w:t>以及《大会正式记录，第四十五届会议，补编第</w:t>
      </w:r>
      <w:r>
        <w:rPr>
          <w:rFonts w:hint="eastAsia"/>
        </w:rPr>
        <w:t>44</w:t>
      </w:r>
      <w:r>
        <w:rPr>
          <w:rFonts w:hint="eastAsia"/>
        </w:rPr>
        <w:t>号》</w:t>
      </w:r>
      <w:r>
        <w:rPr>
          <w:rFonts w:hint="eastAsia"/>
        </w:rPr>
        <w:t>(A/45/44)</w:t>
      </w:r>
      <w:r>
        <w:rPr>
          <w:rFonts w:hint="eastAsia"/>
        </w:rPr>
        <w:t>，第</w:t>
      </w:r>
      <w:r>
        <w:rPr>
          <w:rFonts w:hint="eastAsia"/>
        </w:rPr>
        <w:t>471</w:t>
      </w:r>
      <w:r>
        <w:rPr>
          <w:rFonts w:hint="eastAsia"/>
        </w:rPr>
        <w:t>至</w:t>
      </w:r>
      <w:r>
        <w:rPr>
          <w:rFonts w:hint="eastAsia"/>
        </w:rPr>
        <w:t>502</w:t>
      </w:r>
      <w:r>
        <w:rPr>
          <w:rFonts w:hint="eastAsia"/>
        </w:rPr>
        <w:t>段。</w:t>
      </w:r>
    </w:p>
    <w:p w:rsidR="00000000" w:rsidRDefault="00954A93">
      <w:pPr>
        <w:pStyle w:val="FootnoteText"/>
        <w:rPr>
          <w:rFonts w:hint="eastAsia"/>
        </w:rPr>
      </w:pPr>
      <w:r>
        <w:rPr>
          <w:rFonts w:hint="eastAsia"/>
        </w:rPr>
        <w:t>第二次定期报告见</w:t>
      </w:r>
      <w:r>
        <w:rPr>
          <w:rFonts w:hint="eastAsia"/>
        </w:rPr>
        <w:t>CAT/C/20/</w:t>
      </w:r>
      <w:r>
        <w:t>Add.5</w:t>
      </w:r>
      <w:r>
        <w:rPr>
          <w:rFonts w:hint="eastAsia"/>
        </w:rPr>
        <w:t>；审议情况见</w:t>
      </w:r>
      <w:r>
        <w:rPr>
          <w:rFonts w:hint="eastAsia"/>
        </w:rPr>
        <w:t>CAT/C/SR.251</w:t>
      </w:r>
      <w:r>
        <w:rPr>
          <w:rFonts w:hint="eastAsia"/>
        </w:rPr>
        <w:t>、</w:t>
      </w:r>
      <w:r>
        <w:rPr>
          <w:rFonts w:hint="eastAsia"/>
        </w:rPr>
        <w:t>252</w:t>
      </w:r>
      <w:r>
        <w:rPr>
          <w:rFonts w:hint="eastAsia"/>
        </w:rPr>
        <w:t>和</w:t>
      </w:r>
      <w:r>
        <w:rPr>
          <w:rFonts w:hint="eastAsia"/>
        </w:rPr>
        <w:t>254</w:t>
      </w:r>
      <w:r>
        <w:rPr>
          <w:rFonts w:hint="eastAsia"/>
        </w:rPr>
        <w:t>以及《大会正式记录，第五十一届会议，补编第</w:t>
      </w:r>
      <w:r>
        <w:rPr>
          <w:rFonts w:hint="eastAsia"/>
        </w:rPr>
        <w:t>44</w:t>
      </w:r>
      <w:r>
        <w:rPr>
          <w:rFonts w:hint="eastAsia"/>
        </w:rPr>
        <w:t>号》，</w:t>
      </w:r>
      <w:r>
        <w:rPr>
          <w:rFonts w:hint="eastAsia"/>
        </w:rPr>
        <w:t>(A/51/44)</w:t>
      </w:r>
      <w:r>
        <w:rPr>
          <w:rFonts w:hint="eastAsia"/>
        </w:rPr>
        <w:t>，第</w:t>
      </w:r>
      <w:r>
        <w:rPr>
          <w:rFonts w:hint="eastAsia"/>
        </w:rPr>
        <w:t>138</w:t>
      </w:r>
      <w:r>
        <w:rPr>
          <w:rFonts w:hint="eastAsia"/>
        </w:rPr>
        <w:t>至</w:t>
      </w:r>
      <w:r>
        <w:rPr>
          <w:rFonts w:hint="eastAsia"/>
        </w:rPr>
        <w:t>150</w:t>
      </w:r>
      <w:r>
        <w:rPr>
          <w:rFonts w:hint="eastAsia"/>
        </w:rPr>
        <w:t>段。</w:t>
      </w:r>
    </w:p>
    <w:p w:rsidR="00000000" w:rsidRDefault="00954A93">
      <w:pPr>
        <w:pStyle w:val="FootnoteText"/>
        <w:rPr>
          <w:rFonts w:hint="eastAsia"/>
        </w:rPr>
      </w:pPr>
      <w:r>
        <w:rPr>
          <w:rFonts w:hint="eastAsia"/>
        </w:rPr>
        <w:t>第三次定期报告见</w:t>
      </w:r>
      <w:r>
        <w:rPr>
          <w:rFonts w:hint="eastAsia"/>
        </w:rPr>
        <w:t>CAT/C/39/</w:t>
      </w:r>
      <w:r>
        <w:t>Add.2,</w:t>
      </w:r>
      <w:r>
        <w:rPr>
          <w:rFonts w:hint="eastAsia"/>
        </w:rPr>
        <w:t xml:space="preserve"> </w:t>
      </w:r>
      <w:r>
        <w:rPr>
          <w:rFonts w:hint="eastAsia"/>
        </w:rPr>
        <w:t>审议情况见</w:t>
      </w:r>
      <w:r>
        <w:rPr>
          <w:rFonts w:hint="eastAsia"/>
        </w:rPr>
        <w:t>CAT/C/SR.414</w:t>
      </w:r>
      <w:r>
        <w:rPr>
          <w:rFonts w:hint="eastAsia"/>
        </w:rPr>
        <w:t>、</w:t>
      </w:r>
      <w:r>
        <w:rPr>
          <w:rFonts w:hint="eastAsia"/>
        </w:rPr>
        <w:t>417</w:t>
      </w:r>
      <w:r>
        <w:rPr>
          <w:rFonts w:hint="eastAsia"/>
        </w:rPr>
        <w:t>和</w:t>
      </w:r>
      <w:r>
        <w:rPr>
          <w:rFonts w:hint="eastAsia"/>
        </w:rPr>
        <w:t>421</w:t>
      </w:r>
      <w:r>
        <w:rPr>
          <w:rFonts w:hint="eastAsia"/>
        </w:rPr>
        <w:t>以及《大会正式记录，第五十五届会议，补编第</w:t>
      </w:r>
      <w:r>
        <w:rPr>
          <w:rFonts w:hint="eastAsia"/>
        </w:rPr>
        <w:t>44</w:t>
      </w:r>
      <w:r>
        <w:rPr>
          <w:rFonts w:hint="eastAsia"/>
        </w:rPr>
        <w:t>号》</w:t>
      </w:r>
      <w:r>
        <w:rPr>
          <w:rFonts w:hint="eastAsia"/>
        </w:rPr>
        <w:t>(A/55/44)</w:t>
      </w:r>
      <w:r>
        <w:rPr>
          <w:rFonts w:hint="eastAsia"/>
        </w:rPr>
        <w:t>，第</w:t>
      </w:r>
      <w:r>
        <w:rPr>
          <w:rFonts w:hint="eastAsia"/>
        </w:rPr>
        <w:t>106</w:t>
      </w:r>
      <w:r>
        <w:rPr>
          <w:rFonts w:hint="eastAsia"/>
        </w:rPr>
        <w:t>至</w:t>
      </w:r>
      <w:r>
        <w:rPr>
          <w:rFonts w:hint="eastAsia"/>
        </w:rPr>
        <w:t>145</w:t>
      </w:r>
      <w:r>
        <w:rPr>
          <w:rFonts w:hint="eastAsia"/>
        </w:rPr>
        <w:t>段。</w:t>
      </w:r>
    </w:p>
  </w:footnote>
  <w:footnote w:id="3">
    <w:p w:rsidR="00000000" w:rsidRDefault="00954A93">
      <w:pPr>
        <w:pStyle w:val="FootnoteText"/>
      </w:pPr>
      <w:r>
        <w:rPr>
          <w:rStyle w:val="FootnoteReference"/>
          <w:vertAlign w:val="baseline"/>
        </w:rPr>
        <w:t>***</w:t>
      </w:r>
      <w:r>
        <w:t xml:space="preserve"> </w:t>
      </w:r>
      <w:r>
        <w:rPr>
          <w:rFonts w:hint="eastAsia"/>
        </w:rPr>
        <w:t xml:space="preserve"> </w:t>
      </w:r>
      <w:r>
        <w:rPr>
          <w:rFonts w:hint="eastAsia"/>
        </w:rPr>
        <w:t>在报告附件可在秘书处阅。</w:t>
      </w:r>
    </w:p>
  </w:footnote>
  <w:footnote w:id="4">
    <w:p w:rsidR="00000000" w:rsidRDefault="00954A93">
      <w:pPr>
        <w:pStyle w:val="FootnoteText"/>
        <w:spacing w:after="240"/>
      </w:pPr>
      <w:r>
        <w:rPr>
          <w:rStyle w:val="FootnoteReference"/>
          <w:vertAlign w:val="baseline"/>
        </w:rPr>
        <w:footnoteRef/>
      </w:r>
      <w:r>
        <w:t xml:space="preserve"> </w:t>
      </w:r>
      <w:r>
        <w:rPr>
          <w:rFonts w:hint="eastAsia"/>
        </w:rPr>
        <w:t>根据向缔约国递送的关于报告处理工作的资料，本文件在提交翻译前未经正式编校。</w:t>
      </w:r>
    </w:p>
  </w:footnote>
  <w:footnote w:id="5">
    <w:p w:rsidR="00000000" w:rsidRDefault="00954A93">
      <w:pPr>
        <w:pStyle w:val="EndnoteText"/>
      </w:pPr>
      <w:r>
        <w:rPr>
          <w:rStyle w:val="FootnoteReference"/>
          <w:b/>
          <w:snapToGrid/>
          <w:color w:val="003366"/>
        </w:rPr>
        <w:t>1</w:t>
      </w:r>
      <w:r>
        <w:rPr>
          <w:snapToGrid/>
        </w:rPr>
        <w:t xml:space="preserve"> </w:t>
      </w:r>
      <w:r>
        <w:tab/>
      </w:r>
      <w:r>
        <w:rPr>
          <w:rFonts w:hint="eastAsia"/>
        </w:rPr>
        <w:t>自二零零零年八月起，本港以“居港人口”作为人口估计的根据。</w:t>
      </w:r>
      <w:r>
        <w:t>(</w:t>
      </w:r>
      <w:r>
        <w:rPr>
          <w:rFonts w:hint="eastAsia"/>
        </w:rPr>
        <w:t>过去则采用“广义时点”的方法</w:t>
      </w:r>
      <w:r>
        <w:rPr>
          <w:rFonts w:hint="eastAsia"/>
        </w:rPr>
        <w:t xml:space="preserve"> </w:t>
      </w:r>
      <w:r>
        <w:rPr>
          <w:rFonts w:eastAsia="SimSun" w:hint="eastAsia"/>
          <w:snapToGrid/>
        </w:rPr>
        <w:t>—</w:t>
      </w:r>
      <w:r>
        <w:rPr>
          <w:rFonts w:eastAsia="SimSun" w:hint="eastAsia"/>
          <w:snapToGrid/>
        </w:rPr>
        <w:t xml:space="preserve"> </w:t>
      </w:r>
      <w:r>
        <w:rPr>
          <w:rFonts w:hint="eastAsia"/>
        </w:rPr>
        <w:t>在某个参考时点计及所有香港永久居民、非永久居民和访客，作为人口估计的根据。</w:t>
      </w:r>
      <w:r>
        <w:t>)</w:t>
      </w:r>
      <w:r>
        <w:rPr>
          <w:rFonts w:hint="eastAsia"/>
        </w:rPr>
        <w:t>我们以此为根据，修订了一九九六年及以后的人口和有关的统计数字。</w:t>
      </w:r>
    </w:p>
  </w:footnote>
  <w:footnote w:id="6">
    <w:p w:rsidR="00000000" w:rsidRDefault="00954A93">
      <w:pPr>
        <w:pStyle w:val="EndnoteText"/>
        <w:rPr>
          <w:rFonts w:hint="eastAsia"/>
        </w:rPr>
      </w:pPr>
      <w:r>
        <w:rPr>
          <w:rStyle w:val="FootnoteReference"/>
          <w:b/>
          <w:color w:val="003366"/>
        </w:rPr>
        <w:t>2</w:t>
      </w:r>
      <w:r>
        <w:tab/>
      </w:r>
      <w:r>
        <w:rPr>
          <w:rFonts w:hint="eastAsia"/>
          <w:color w:val="000000"/>
        </w:rPr>
        <w:t>一九九一年的数字取自该年的人口普查，一九八六年及一九九六年的数字取自当年的中期人口统计，而二零零三年及二零零四年的数字则取自综合</w:t>
      </w:r>
      <w:r>
        <w:rPr>
          <w:rFonts w:hint="eastAsia"/>
          <w:color w:val="000000"/>
        </w:rPr>
        <w:t>住户统计调查。</w:t>
      </w:r>
    </w:p>
  </w:footnote>
  <w:footnote w:id="7">
    <w:p w:rsidR="00000000" w:rsidRDefault="00954A93">
      <w:pPr>
        <w:pStyle w:val="EndnoteText"/>
        <w:rPr>
          <w:rFonts w:hint="eastAsia"/>
        </w:rPr>
      </w:pPr>
      <w:r>
        <w:rPr>
          <w:rStyle w:val="FootnoteReference"/>
          <w:b/>
          <w:color w:val="003366"/>
        </w:rPr>
        <w:t>3</w:t>
      </w:r>
      <w:r>
        <w:tab/>
      </w:r>
      <w:r>
        <w:rPr>
          <w:rFonts w:hint="eastAsia"/>
        </w:rPr>
        <w:t>有读写能力的人口比率指具有小学或以上教育程度的</w:t>
      </w:r>
      <w:r>
        <w:t>15</w:t>
      </w:r>
      <w:r>
        <w:rPr>
          <w:rFonts w:hint="eastAsia"/>
        </w:rPr>
        <w:t>岁及以上人口。有关数字取自综合住户统计调查。</w:t>
      </w:r>
    </w:p>
  </w:footnote>
  <w:footnote w:id="8">
    <w:p w:rsidR="00000000" w:rsidRDefault="00954A93">
      <w:pPr>
        <w:pStyle w:val="EndnoteText"/>
        <w:rPr>
          <w:rFonts w:hint="eastAsia"/>
        </w:rPr>
      </w:pPr>
      <w:r>
        <w:rPr>
          <w:rStyle w:val="FootnoteReference"/>
          <w:b/>
          <w:color w:val="003366"/>
        </w:rPr>
        <w:t>4</w:t>
      </w:r>
      <w:r>
        <w:t xml:space="preserve"> </w:t>
      </w:r>
      <w:r>
        <w:tab/>
      </w:r>
      <w:r>
        <w:rPr>
          <w:rFonts w:hint="eastAsia"/>
        </w:rPr>
        <w:t>二零零一年的数字是现时所得的最新数字。</w:t>
      </w:r>
    </w:p>
  </w:footnote>
  <w:footnote w:id="9">
    <w:p w:rsidR="00000000" w:rsidRDefault="00954A93">
      <w:pPr>
        <w:rPr>
          <w:rFonts w:hint="eastAsia"/>
        </w:rPr>
      </w:pPr>
    </w:p>
  </w:footnote>
  <w:footnote w:id="10">
    <w:p w:rsidR="00000000" w:rsidRDefault="00954A93">
      <w:pPr>
        <w:pStyle w:val="EndnoteText"/>
        <w:rPr>
          <w:rFonts w:hint="eastAsia"/>
        </w:rPr>
      </w:pPr>
      <w:r>
        <w:rPr>
          <w:rStyle w:val="FootnoteReference"/>
          <w:b/>
          <w:color w:val="003366"/>
        </w:rPr>
        <w:t>5</w:t>
      </w:r>
      <w:r>
        <w:t xml:space="preserve"> </w:t>
      </w:r>
      <w:r>
        <w:tab/>
      </w:r>
      <w:r>
        <w:rPr>
          <w:rFonts w:hint="eastAsia"/>
        </w:rPr>
        <w:t>整体生育率在一九八七至二零零三年间下降，原因很多，包括迟婚、低产次活产情况减慢、高产次活产情况减少，以及经济不景。</w:t>
      </w:r>
    </w:p>
  </w:footnote>
  <w:footnote w:id="11">
    <w:p w:rsidR="00000000" w:rsidRDefault="00954A93">
      <w:pPr>
        <w:pStyle w:val="EndnoteText"/>
      </w:pPr>
      <w:r>
        <w:rPr>
          <w:rStyle w:val="FootnoteReference"/>
          <w:b/>
          <w:color w:val="003366"/>
        </w:rPr>
        <w:t>6</w:t>
      </w:r>
      <w:r>
        <w:tab/>
      </w:r>
      <w:r>
        <w:rPr>
          <w:rFonts w:hint="eastAsia"/>
        </w:rPr>
        <w:t>有关数字为该年各季综合住户统计调查所得估计数字的平均数。</w:t>
      </w:r>
    </w:p>
  </w:footnote>
  <w:footnote w:id="12">
    <w:p w:rsidR="00000000" w:rsidRDefault="00954A93">
      <w:pPr>
        <w:pStyle w:val="EndnoteText"/>
      </w:pPr>
      <w:r>
        <w:rPr>
          <w:rStyle w:val="FootnoteReference"/>
          <w:b/>
          <w:color w:val="003366"/>
        </w:rPr>
        <w:t>7</w:t>
      </w:r>
      <w:r>
        <w:tab/>
      </w:r>
      <w:r>
        <w:rPr>
          <w:rFonts w:hint="eastAsia"/>
        </w:rPr>
        <w:t>综合消费物价指数是根据本港约九成住户的开支模式而编制的。这些住户在一九九九年十月至二零零零年九月期间，每月平均开支介于</w:t>
      </w:r>
      <w:r>
        <w:t>4,500</w:t>
      </w:r>
      <w:r>
        <w:rPr>
          <w:rFonts w:hint="eastAsia"/>
        </w:rPr>
        <w:t>至</w:t>
      </w:r>
      <w:r>
        <w:t>65,999</w:t>
      </w:r>
      <w:r>
        <w:rPr>
          <w:rFonts w:hint="eastAsia"/>
        </w:rPr>
        <w:t>港元之间；以二零零</w:t>
      </w:r>
      <w:r>
        <w:rPr>
          <w:rFonts w:hint="eastAsia"/>
        </w:rPr>
        <w:t>四年的价格计算，每月平均开支相当于</w:t>
      </w:r>
      <w:r>
        <w:t>4,200</w:t>
      </w:r>
      <w:r>
        <w:rPr>
          <w:rFonts w:hint="eastAsia"/>
        </w:rPr>
        <w:t>至</w:t>
      </w:r>
      <w:r>
        <w:t>60,400</w:t>
      </w:r>
      <w:r>
        <w:rPr>
          <w:rFonts w:hint="eastAsia"/>
        </w:rPr>
        <w:t>港元。</w:t>
      </w:r>
    </w:p>
  </w:footnote>
  <w:footnote w:id="13">
    <w:p w:rsidR="00000000" w:rsidRDefault="00954A93">
      <w:pPr>
        <w:pStyle w:val="EndnoteText"/>
      </w:pPr>
      <w:r>
        <w:rPr>
          <w:rStyle w:val="FootnoteReference"/>
          <w:b/>
          <w:color w:val="003366"/>
        </w:rPr>
        <w:t>8</w:t>
      </w:r>
      <w:r>
        <w:tab/>
      </w:r>
      <w:r>
        <w:rPr>
          <w:rFonts w:hint="eastAsia"/>
        </w:rPr>
        <w:t>有关年份的本地生产总值</w:t>
      </w:r>
      <w:r>
        <w:t>(</w:t>
      </w:r>
      <w:r>
        <w:rPr>
          <w:rFonts w:hint="eastAsia"/>
        </w:rPr>
        <w:t>按二零零零年的固定市价计算</w:t>
      </w:r>
      <w:r>
        <w:t>)</w:t>
      </w:r>
      <w:r>
        <w:rPr>
          <w:rFonts w:hint="eastAsia"/>
        </w:rPr>
        <w:t>按当年的汇率兑换。</w:t>
      </w:r>
    </w:p>
  </w:footnote>
  <w:footnote w:id="14">
    <w:p w:rsidR="00000000" w:rsidRDefault="00954A93">
      <w:pPr>
        <w:pStyle w:val="EndnoteText"/>
      </w:pPr>
      <w:r>
        <w:rPr>
          <w:rStyle w:val="FootnoteReference"/>
          <w:b/>
          <w:color w:val="003366"/>
        </w:rPr>
        <w:t>9</w:t>
      </w:r>
      <w:r>
        <w:tab/>
      </w:r>
      <w:r>
        <w:rPr>
          <w:rFonts w:hint="eastAsia"/>
        </w:rPr>
        <w:t>举例来说，当局早前制定《刑事罪行</w:t>
      </w:r>
      <w:r>
        <w:t>(</w:t>
      </w:r>
      <w:r>
        <w:rPr>
          <w:rFonts w:hint="eastAsia"/>
        </w:rPr>
        <w:t>酷刑</w:t>
      </w:r>
      <w:r>
        <w:t>)</w:t>
      </w:r>
      <w:r>
        <w:rPr>
          <w:rFonts w:hint="eastAsia"/>
        </w:rPr>
        <w:t>条例》</w:t>
      </w:r>
      <w:r>
        <w:t>(</w:t>
      </w:r>
      <w:r>
        <w:rPr>
          <w:rFonts w:hint="eastAsia"/>
        </w:rPr>
        <w:t>香港特区法例第</w:t>
      </w:r>
      <w:r>
        <w:t>427</w:t>
      </w:r>
      <w:r>
        <w:rPr>
          <w:rFonts w:hint="eastAsia"/>
        </w:rPr>
        <w:t>章</w:t>
      </w:r>
      <w:r>
        <w:t>)</w:t>
      </w:r>
      <w:r>
        <w:rPr>
          <w:rFonts w:hint="eastAsia"/>
        </w:rPr>
        <w:t>，正是为了使《禁止酷刑和其他残忍、不人道或有辱人格的待遇或处罚公约》在香港特区具备法律效力。</w:t>
      </w:r>
    </w:p>
  </w:footnote>
  <w:footnote w:id="15">
    <w:p w:rsidR="00000000" w:rsidRDefault="00954A93">
      <w:pPr>
        <w:pStyle w:val="EndnoteText"/>
        <w:rPr>
          <w:snapToGrid/>
        </w:rPr>
      </w:pPr>
      <w:r>
        <w:rPr>
          <w:rStyle w:val="FootnoteReference"/>
          <w:snapToGrid/>
          <w:sz w:val="22"/>
        </w:rPr>
        <w:t>10</w:t>
      </w:r>
      <w:r>
        <w:rPr>
          <w:snapToGrid/>
        </w:rPr>
        <w:tab/>
      </w:r>
      <w:r>
        <w:rPr>
          <w:rFonts w:hint="eastAsia"/>
          <w:snapToGrid/>
        </w:rPr>
        <w:t>该三项条文是：</w:t>
      </w:r>
    </w:p>
    <w:p w:rsidR="00000000" w:rsidRDefault="00954A93">
      <w:pPr>
        <w:pStyle w:val="EndnoteText"/>
        <w:ind w:left="1410" w:hanging="390"/>
        <w:rPr>
          <w:snapToGrid/>
        </w:rPr>
      </w:pPr>
      <w:r>
        <w:rPr>
          <w:snapToGrid/>
        </w:rPr>
        <w:t>(a)</w:t>
      </w:r>
      <w:r>
        <w:rPr>
          <w:snapToGrid/>
        </w:rPr>
        <w:tab/>
      </w:r>
      <w:r>
        <w:rPr>
          <w:rFonts w:hint="eastAsia"/>
          <w:snapToGrid/>
        </w:rPr>
        <w:t>第</w:t>
      </w:r>
      <w:r>
        <w:rPr>
          <w:snapToGrid/>
        </w:rPr>
        <w:t>2(3)</w:t>
      </w:r>
      <w:r>
        <w:rPr>
          <w:rFonts w:hint="eastAsia"/>
          <w:snapToGrid/>
        </w:rPr>
        <w:t>条：“在解释及应用本条例时，须考虑本条例的目的是将《公民权利和政治权利国际公约》中适用于香港的规定收纳入香港法律，并对附带及有关连的事项作出规定。”</w:t>
      </w:r>
    </w:p>
    <w:p w:rsidR="00000000" w:rsidRDefault="00954A93">
      <w:pPr>
        <w:tabs>
          <w:tab w:val="left" w:pos="284"/>
          <w:tab w:val="left" w:pos="1430"/>
        </w:tabs>
        <w:spacing w:line="288" w:lineRule="auto"/>
        <w:ind w:left="1729" w:hanging="709"/>
        <w:rPr>
          <w:rFonts w:eastAsia="KaiTi_GB2312"/>
          <w:snapToGrid/>
          <w:spacing w:val="0"/>
          <w:sz w:val="22"/>
        </w:rPr>
      </w:pPr>
      <w:r>
        <w:rPr>
          <w:rFonts w:eastAsia="KaiTi_GB2312"/>
          <w:snapToGrid/>
          <w:spacing w:val="0"/>
          <w:sz w:val="22"/>
        </w:rPr>
        <w:t>(b)</w:t>
      </w:r>
      <w:r>
        <w:rPr>
          <w:rFonts w:eastAsia="KaiTi_GB2312" w:hint="eastAsia"/>
          <w:snapToGrid/>
          <w:spacing w:val="0"/>
          <w:sz w:val="22"/>
        </w:rPr>
        <w:tab/>
      </w:r>
      <w:r>
        <w:rPr>
          <w:rFonts w:eastAsia="KaiTi_GB2312" w:hint="eastAsia"/>
          <w:snapToGrid/>
          <w:spacing w:val="0"/>
          <w:sz w:val="22"/>
        </w:rPr>
        <w:t>第</w:t>
      </w:r>
      <w:r>
        <w:rPr>
          <w:rFonts w:eastAsia="KaiTi_GB2312"/>
          <w:snapToGrid/>
          <w:spacing w:val="0"/>
          <w:sz w:val="22"/>
        </w:rPr>
        <w:t>3</w:t>
      </w:r>
      <w:r>
        <w:rPr>
          <w:rFonts w:eastAsia="KaiTi_GB2312" w:hint="eastAsia"/>
          <w:snapToGrid/>
          <w:spacing w:val="0"/>
          <w:sz w:val="22"/>
        </w:rPr>
        <w:t>条：“对先前法例的影响</w:t>
      </w:r>
      <w:r>
        <w:rPr>
          <w:rFonts w:eastAsia="KaiTi_GB2312"/>
          <w:snapToGrid/>
          <w:spacing w:val="0"/>
          <w:sz w:val="22"/>
        </w:rPr>
        <w:t>—</w:t>
      </w:r>
    </w:p>
    <w:p w:rsidR="00000000" w:rsidRDefault="00954A93">
      <w:pPr>
        <w:tabs>
          <w:tab w:val="left" w:pos="284"/>
          <w:tab w:val="left" w:pos="709"/>
          <w:tab w:val="left" w:pos="1950"/>
        </w:tabs>
        <w:spacing w:line="288" w:lineRule="auto"/>
        <w:ind w:left="2664" w:hanging="1134"/>
        <w:rPr>
          <w:rFonts w:eastAsia="KaiTi_GB2312"/>
          <w:snapToGrid/>
          <w:spacing w:val="0"/>
          <w:sz w:val="22"/>
        </w:rPr>
      </w:pPr>
      <w:r>
        <w:rPr>
          <w:rFonts w:eastAsia="KaiTi_GB2312"/>
          <w:snapToGrid/>
          <w:spacing w:val="0"/>
          <w:sz w:val="22"/>
        </w:rPr>
        <w:t>(1)</w:t>
      </w:r>
      <w:r>
        <w:rPr>
          <w:rFonts w:eastAsia="KaiTi_GB2312"/>
          <w:snapToGrid/>
          <w:spacing w:val="0"/>
          <w:sz w:val="22"/>
        </w:rPr>
        <w:tab/>
      </w:r>
      <w:r>
        <w:rPr>
          <w:rFonts w:eastAsia="KaiTi_GB2312" w:hint="eastAsia"/>
          <w:snapToGrid/>
          <w:spacing w:val="0"/>
          <w:sz w:val="22"/>
        </w:rPr>
        <w:t>所有先前法例，凡可作出与本条例没有抵触的解释的，须作如是解释。</w:t>
      </w:r>
    </w:p>
    <w:p w:rsidR="00000000" w:rsidRDefault="00954A93">
      <w:pPr>
        <w:tabs>
          <w:tab w:val="left" w:pos="284"/>
          <w:tab w:val="left" w:pos="709"/>
          <w:tab w:val="left" w:pos="1950"/>
        </w:tabs>
        <w:spacing w:line="288" w:lineRule="auto"/>
        <w:ind w:left="1950" w:hanging="390"/>
        <w:rPr>
          <w:rFonts w:eastAsia="KaiTi_GB2312"/>
          <w:snapToGrid/>
          <w:spacing w:val="0"/>
          <w:sz w:val="22"/>
        </w:rPr>
      </w:pPr>
      <w:r>
        <w:rPr>
          <w:rFonts w:eastAsia="KaiTi_GB2312"/>
          <w:snapToGrid/>
          <w:spacing w:val="0"/>
          <w:sz w:val="22"/>
        </w:rPr>
        <w:t>(2)</w:t>
      </w:r>
      <w:r>
        <w:rPr>
          <w:rFonts w:eastAsia="KaiTi_GB2312"/>
          <w:snapToGrid/>
          <w:spacing w:val="0"/>
          <w:sz w:val="22"/>
        </w:rPr>
        <w:tab/>
      </w:r>
      <w:r>
        <w:rPr>
          <w:rFonts w:eastAsia="KaiTi_GB2312" w:hint="eastAsia"/>
          <w:snapToGrid/>
          <w:spacing w:val="0"/>
          <w:sz w:val="22"/>
        </w:rPr>
        <w:t>所有先前法例，凡不可作出与本条例没有抵触的解释的，其与本条例抵触的部分现予废除。”</w:t>
      </w:r>
    </w:p>
    <w:p w:rsidR="00000000" w:rsidRDefault="00954A93">
      <w:pPr>
        <w:pStyle w:val="ac"/>
        <w:spacing w:line="288" w:lineRule="auto"/>
        <w:rPr>
          <w:rFonts w:eastAsia="KaiTi_GB2312"/>
          <w:snapToGrid/>
          <w:spacing w:val="0"/>
          <w:sz w:val="22"/>
        </w:rPr>
      </w:pPr>
      <w:r>
        <w:rPr>
          <w:rFonts w:eastAsia="KaiTi_GB2312"/>
          <w:snapToGrid/>
          <w:spacing w:val="0"/>
          <w:sz w:val="22"/>
        </w:rPr>
        <w:t>(c)</w:t>
      </w:r>
      <w:r>
        <w:rPr>
          <w:rFonts w:eastAsia="KaiTi_GB2312"/>
          <w:snapToGrid/>
          <w:spacing w:val="0"/>
          <w:sz w:val="22"/>
        </w:rPr>
        <w:tab/>
      </w:r>
      <w:r>
        <w:rPr>
          <w:rFonts w:eastAsia="KaiTi_GB2312" w:hint="eastAsia"/>
          <w:snapToGrid/>
          <w:spacing w:val="0"/>
          <w:sz w:val="22"/>
        </w:rPr>
        <w:t>第</w:t>
      </w:r>
      <w:r>
        <w:rPr>
          <w:rFonts w:eastAsia="KaiTi_GB2312"/>
          <w:snapToGrid/>
          <w:spacing w:val="0"/>
          <w:sz w:val="22"/>
        </w:rPr>
        <w:t>4</w:t>
      </w:r>
      <w:r>
        <w:rPr>
          <w:rFonts w:eastAsia="KaiTi_GB2312" w:hint="eastAsia"/>
          <w:snapToGrid/>
          <w:spacing w:val="0"/>
          <w:sz w:val="22"/>
        </w:rPr>
        <w:t>条：“日后的法例的释义－在生效日期或其后制定的所有法例，凡可解释为与《公民权利和政治权利国际公约》中适用于香港的规定没有抵触的，须作如是解释。”</w:t>
      </w:r>
    </w:p>
  </w:footnote>
  <w:footnote w:id="16">
    <w:p w:rsidR="00000000" w:rsidRDefault="00954A93">
      <w:pPr>
        <w:pStyle w:val="EndnoteText"/>
      </w:pPr>
      <w:r>
        <w:rPr>
          <w:rStyle w:val="FootnoteReference"/>
          <w:b/>
          <w:color w:val="003366"/>
        </w:rPr>
        <w:t>11</w:t>
      </w:r>
      <w:r>
        <w:tab/>
      </w:r>
      <w:r>
        <w:rPr>
          <w:rFonts w:hint="eastAsia"/>
        </w:rPr>
        <w:t>前称《行政事务申诉专员条例》。</w:t>
      </w:r>
    </w:p>
  </w:footnote>
  <w:footnote w:id="17">
    <w:p w:rsidR="00000000" w:rsidRDefault="00954A93">
      <w:pPr>
        <w:pStyle w:val="EndnoteText"/>
      </w:pPr>
      <w:r>
        <w:rPr>
          <w:rStyle w:val="FootnoteReference"/>
          <w:b/>
          <w:color w:val="003366"/>
        </w:rPr>
        <w:t>12</w:t>
      </w:r>
      <w:r>
        <w:tab/>
      </w:r>
      <w:r>
        <w:rPr>
          <w:rFonts w:hint="eastAsia"/>
        </w:rPr>
        <w:t>中国根据《经济、社会与文化权利的国际公约》拟备的首份报告于二零零三年六月提交联合国，并已于二零零五年四年接受审议。</w:t>
      </w:r>
    </w:p>
  </w:footnote>
  <w:footnote w:id="18">
    <w:p w:rsidR="00000000" w:rsidRDefault="00954A93">
      <w:pPr>
        <w:pStyle w:val="EndnoteText"/>
        <w:rPr>
          <w:rFonts w:hint="eastAsia"/>
        </w:rPr>
      </w:pPr>
      <w:r>
        <w:rPr>
          <w:rStyle w:val="FootnoteReference"/>
          <w:b/>
          <w:snapToGrid/>
          <w:color w:val="003366"/>
        </w:rPr>
        <w:t>1</w:t>
      </w:r>
      <w:r>
        <w:rPr>
          <w:rStyle w:val="FootnoteReference"/>
          <w:b/>
          <w:snapToGrid/>
          <w:color w:val="003366"/>
        </w:rPr>
        <w:t>3</w:t>
      </w:r>
      <w:r>
        <w:rPr>
          <w:snapToGrid/>
        </w:rPr>
        <w:t xml:space="preserve"> </w:t>
      </w:r>
      <w:r>
        <w:tab/>
      </w:r>
      <w:r>
        <w:rPr>
          <w:rFonts w:hint="eastAsia"/>
        </w:rPr>
        <w:t>第</w:t>
      </w:r>
      <w:r>
        <w:t>427</w:t>
      </w:r>
      <w:r>
        <w:rPr>
          <w:rFonts w:hint="eastAsia"/>
        </w:rPr>
        <w:t>章使公约的有关规定得以在本地的法律中实施。</w:t>
      </w:r>
    </w:p>
  </w:footnote>
  <w:footnote w:id="19">
    <w:p w:rsidR="00000000" w:rsidRDefault="00954A93">
      <w:pPr>
        <w:pStyle w:val="EndnoteText"/>
        <w:rPr>
          <w:rFonts w:hint="eastAsia"/>
        </w:rPr>
      </w:pPr>
      <w:r>
        <w:rPr>
          <w:rStyle w:val="FootnoteReference"/>
          <w:b/>
          <w:color w:val="003366"/>
        </w:rPr>
        <w:t>14</w:t>
      </w:r>
      <w:r>
        <w:t xml:space="preserve"> </w:t>
      </w:r>
      <w:r>
        <w:rPr>
          <w:rFonts w:hint="eastAsia"/>
        </w:rPr>
        <w:tab/>
      </w:r>
      <w:r>
        <w:rPr>
          <w:rFonts w:hint="eastAsia"/>
        </w:rPr>
        <w:t>我们在第一次报告第</w:t>
      </w:r>
      <w:r>
        <w:t>12</w:t>
      </w:r>
      <w:r>
        <w:rPr>
          <w:rFonts w:hint="eastAsia"/>
        </w:rPr>
        <w:t>段</w:t>
      </w:r>
      <w:r>
        <w:t>(</w:t>
      </w:r>
      <w:r>
        <w:rPr>
          <w:rFonts w:hint="eastAsia"/>
        </w:rPr>
        <w:t>有关公约第</w:t>
      </w:r>
      <w:r>
        <w:t>2</w:t>
      </w:r>
      <w:r>
        <w:rPr>
          <w:rFonts w:hint="eastAsia"/>
        </w:rPr>
        <w:t>条项下</w:t>
      </w:r>
      <w:r>
        <w:t>)</w:t>
      </w:r>
      <w:r>
        <w:rPr>
          <w:rFonts w:hint="eastAsia"/>
        </w:rPr>
        <w:t>重申这点，并强调“根据香港法律，‘特殊情况’及‘上级命令’均不能援引作为施行酷刑的理由”。</w:t>
      </w:r>
    </w:p>
  </w:footnote>
  <w:footnote w:id="20">
    <w:p w:rsidR="00000000" w:rsidRDefault="00954A93">
      <w:pPr>
        <w:pStyle w:val="FootnoteText"/>
        <w:rPr>
          <w:rFonts w:hint="eastAsia"/>
        </w:rPr>
      </w:pPr>
      <w:r>
        <w:rPr>
          <w:rStyle w:val="FootnoteReference"/>
          <w:b/>
          <w:color w:val="003366"/>
        </w:rPr>
        <w:t>15</w:t>
      </w:r>
      <w:r>
        <w:t xml:space="preserve"> </w:t>
      </w:r>
      <w:r>
        <w:rPr>
          <w:rFonts w:hint="eastAsia"/>
        </w:rPr>
        <w:tab/>
      </w:r>
      <w:r>
        <w:rPr>
          <w:rFonts w:hint="eastAsia"/>
          <w:spacing w:val="12"/>
        </w:rPr>
        <w:t>例如，就“酷刑”的定义，香港律师会曾指出，公约第</w:t>
      </w:r>
      <w:r>
        <w:rPr>
          <w:spacing w:val="12"/>
        </w:rPr>
        <w:t>1.1</w:t>
      </w:r>
      <w:r>
        <w:rPr>
          <w:rFonts w:hint="eastAsia"/>
          <w:spacing w:val="12"/>
        </w:rPr>
        <w:t>条所指的“酷刑”为“</w:t>
      </w:r>
      <w:r>
        <w:rPr>
          <w:spacing w:val="12"/>
        </w:rPr>
        <w:t>…</w:t>
      </w:r>
      <w:r>
        <w:rPr>
          <w:rFonts w:hint="eastAsia"/>
        </w:rPr>
        <w:t>剧烈疼痛或痛苦</w:t>
      </w:r>
      <w:r>
        <w:t>…</w:t>
      </w:r>
      <w:r>
        <w:rPr>
          <w:rFonts w:hint="eastAsia"/>
        </w:rPr>
        <w:t>”</w:t>
      </w:r>
      <w:r>
        <w:t>(</w:t>
      </w:r>
      <w:r>
        <w:rPr>
          <w:rFonts w:hint="eastAsia"/>
        </w:rPr>
        <w:t>这是我们重申的重点</w:t>
      </w:r>
      <w:r>
        <w:t>)</w:t>
      </w:r>
      <w:r>
        <w:rPr>
          <w:rFonts w:hint="eastAsia"/>
        </w:rPr>
        <w:t>，而该条最后一句指“</w:t>
      </w:r>
      <w:r>
        <w:t>...</w:t>
      </w:r>
      <w:r>
        <w:rPr>
          <w:rFonts w:hint="eastAsia"/>
        </w:rPr>
        <w:t>疼痛或痛苦不包括在内</w:t>
      </w:r>
      <w:r>
        <w:t>...</w:t>
      </w:r>
      <w:r>
        <w:rPr>
          <w:rFonts w:hint="eastAsia"/>
        </w:rPr>
        <w:t>”，意即“酷刑”并不包括非剧烈的疼痛或痛苦。关于这项区别，条例第</w:t>
      </w:r>
      <w:r>
        <w:t>3(5)</w:t>
      </w:r>
      <w:r>
        <w:rPr>
          <w:rFonts w:hint="eastAsia"/>
        </w:rPr>
        <w:t>条已有所订明。</w:t>
      </w:r>
    </w:p>
  </w:footnote>
  <w:footnote w:id="21">
    <w:p w:rsidR="00000000" w:rsidRDefault="00954A93">
      <w:pPr>
        <w:pStyle w:val="FootnoteText"/>
        <w:rPr>
          <w:rFonts w:hint="eastAsia"/>
        </w:rPr>
      </w:pPr>
      <w:r>
        <w:rPr>
          <w:rStyle w:val="FootnoteReference"/>
          <w:b/>
          <w:color w:val="003366"/>
        </w:rPr>
        <w:t>16</w:t>
      </w:r>
      <w:r>
        <w:t xml:space="preserve"> </w:t>
      </w:r>
      <w:r>
        <w:rPr>
          <w:rFonts w:hint="eastAsia"/>
        </w:rPr>
        <w:tab/>
      </w:r>
      <w:r>
        <w:rPr>
          <w:rFonts w:eastAsia="華康細明體"/>
        </w:rPr>
        <w:t>[2005]1 HKLRD 289,</w:t>
      </w:r>
      <w:r>
        <w:rPr>
          <w:rFonts w:eastAsia="華康細明體"/>
        </w:rPr>
        <w:t xml:space="preserve"> CFA</w:t>
      </w:r>
      <w:r>
        <w:rPr>
          <w:rFonts w:eastAsia="華康細明體" w:hint="eastAsia"/>
        </w:rPr>
        <w:t>。</w:t>
      </w:r>
    </w:p>
  </w:footnote>
  <w:footnote w:id="22">
    <w:p w:rsidR="00000000" w:rsidRDefault="00954A93">
      <w:pPr>
        <w:pStyle w:val="FootnoteText"/>
        <w:rPr>
          <w:rFonts w:hint="eastAsia"/>
        </w:rPr>
      </w:pPr>
      <w:r>
        <w:rPr>
          <w:rStyle w:val="FootnoteReference"/>
          <w:b/>
          <w:color w:val="003366"/>
        </w:rPr>
        <w:t>17</w:t>
      </w:r>
      <w:r>
        <w:t xml:space="preserve"> </w:t>
      </w:r>
      <w:r>
        <w:rPr>
          <w:rFonts w:hint="eastAsia"/>
        </w:rPr>
        <w:tab/>
      </w:r>
      <w:r>
        <w:rPr>
          <w:rFonts w:hint="eastAsia"/>
        </w:rPr>
        <w:t>在第一次报告中，有关投诉制度的事宜原本应在第</w:t>
      </w:r>
      <w:r>
        <w:t>13</w:t>
      </w:r>
      <w:r>
        <w:rPr>
          <w:rFonts w:hint="eastAsia"/>
        </w:rPr>
        <w:t>条项下论述，但由于在拟备报告时编排有误，因此有关事宜在第</w:t>
      </w:r>
      <w:r>
        <w:t>12</w:t>
      </w:r>
      <w:r>
        <w:rPr>
          <w:rFonts w:hint="eastAsia"/>
        </w:rPr>
        <w:t>条项下第</w:t>
      </w:r>
      <w:r>
        <w:t>85</w:t>
      </w:r>
      <w:r>
        <w:rPr>
          <w:rFonts w:hint="eastAsia"/>
        </w:rPr>
        <w:t>至第</w:t>
      </w:r>
      <w:r>
        <w:t>101</w:t>
      </w:r>
      <w:r>
        <w:rPr>
          <w:rFonts w:hint="eastAsia"/>
        </w:rPr>
        <w:t>段中作出了论述。</w:t>
      </w:r>
    </w:p>
  </w:footnote>
  <w:footnote w:id="23">
    <w:p w:rsidR="00000000" w:rsidRDefault="00954A93">
      <w:pPr>
        <w:pStyle w:val="EndnoteText"/>
        <w:spacing w:line="264" w:lineRule="auto"/>
        <w:rPr>
          <w:rFonts w:hint="eastAsia"/>
          <w:snapToGrid/>
        </w:rPr>
      </w:pPr>
      <w:r>
        <w:rPr>
          <w:rStyle w:val="FootnoteReference"/>
          <w:b/>
          <w:color w:val="003366"/>
        </w:rPr>
        <w:t>18</w:t>
      </w:r>
      <w:r>
        <w:t xml:space="preserve"> </w:t>
      </w:r>
      <w:r>
        <w:rPr>
          <w:rFonts w:hint="eastAsia"/>
        </w:rPr>
        <w:tab/>
      </w:r>
      <w:r>
        <w:rPr>
          <w:rFonts w:hint="eastAsia"/>
          <w:snapToGrid/>
        </w:rPr>
        <w:t>惩教署的宣言如下：</w:t>
      </w:r>
    </w:p>
    <w:p w:rsidR="00000000" w:rsidRDefault="00954A93">
      <w:pPr>
        <w:pStyle w:val="FootnoteText"/>
        <w:tabs>
          <w:tab w:val="left" w:pos="240"/>
          <w:tab w:val="left" w:pos="1080"/>
        </w:tabs>
        <w:spacing w:line="264" w:lineRule="auto"/>
        <w:ind w:left="2340" w:hanging="1532"/>
        <w:rPr>
          <w:rFonts w:hint="eastAsia"/>
        </w:rPr>
      </w:pPr>
      <w:r>
        <w:rPr>
          <w:rFonts w:hint="eastAsia"/>
        </w:rPr>
        <w:t>“抱</w:t>
      </w:r>
      <w:r>
        <w:rPr>
          <w:rFonts w:hint="eastAsia"/>
        </w:rPr>
        <w:t xml:space="preserve">  </w:t>
      </w:r>
      <w:r>
        <w:rPr>
          <w:rFonts w:hint="eastAsia"/>
        </w:rPr>
        <w:t>负</w:t>
      </w:r>
      <w:r>
        <w:t xml:space="preserve"> </w:t>
      </w:r>
      <w:r>
        <w:rPr>
          <w:rFonts w:hint="eastAsia"/>
        </w:rPr>
        <w:t>－</w:t>
      </w:r>
      <w:r>
        <w:rPr>
          <w:rFonts w:hint="eastAsia"/>
        </w:rPr>
        <w:tab/>
      </w:r>
      <w:r>
        <w:rPr>
          <w:rFonts w:hint="eastAsia"/>
        </w:rPr>
        <w:t>成为国际推崇的惩教机构。</w:t>
      </w:r>
    </w:p>
    <w:p w:rsidR="00000000" w:rsidRDefault="00954A93" w:rsidP="00954A93">
      <w:pPr>
        <w:pStyle w:val="FootnoteText"/>
        <w:tabs>
          <w:tab w:val="left" w:pos="240"/>
        </w:tabs>
        <w:spacing w:line="264" w:lineRule="auto"/>
        <w:ind w:leftChars="400" w:left="31680" w:hangingChars="590" w:firstLine="31680"/>
        <w:rPr>
          <w:rFonts w:hint="eastAsia"/>
        </w:rPr>
      </w:pPr>
      <w:r>
        <w:rPr>
          <w:rFonts w:hint="eastAsia"/>
        </w:rPr>
        <w:t>任</w:t>
      </w:r>
      <w:r>
        <w:rPr>
          <w:rFonts w:hint="eastAsia"/>
        </w:rPr>
        <w:t xml:space="preserve">  </w:t>
      </w:r>
      <w:r>
        <w:rPr>
          <w:rFonts w:hint="eastAsia"/>
        </w:rPr>
        <w:t>务</w:t>
      </w:r>
      <w:r>
        <w:t xml:space="preserve"> </w:t>
      </w:r>
      <w:r>
        <w:rPr>
          <w:rFonts w:hint="eastAsia"/>
        </w:rPr>
        <w:t>－</w:t>
      </w:r>
      <w:r>
        <w:tab/>
      </w:r>
      <w:r>
        <w:rPr>
          <w:rFonts w:hint="eastAsia"/>
        </w:rPr>
        <w:t>我们是香港刑事司法体系重要的一环，致力以稳妥、安全、人道和具成本效益的方式，配合健康和合适的环境羁管交由本署监管的人和提供全面的更生服务，藉以促进囚犯身心健康、保障公众安全、协助减少罪案。</w:t>
      </w:r>
    </w:p>
    <w:p w:rsidR="00000000" w:rsidRDefault="00954A93" w:rsidP="00954A93">
      <w:pPr>
        <w:pStyle w:val="FootnoteText"/>
        <w:tabs>
          <w:tab w:val="left" w:pos="240"/>
          <w:tab w:val="left" w:pos="1080"/>
          <w:tab w:val="left" w:pos="1560"/>
          <w:tab w:val="left" w:pos="2640"/>
        </w:tabs>
        <w:spacing w:line="264" w:lineRule="auto"/>
        <w:ind w:leftChars="400" w:left="31680" w:hangingChars="590" w:firstLine="31680"/>
        <w:rPr>
          <w:rFonts w:hint="eastAsia"/>
        </w:rPr>
      </w:pPr>
      <w:r>
        <w:rPr>
          <w:rFonts w:hint="eastAsia"/>
        </w:rPr>
        <w:t>价值观</w:t>
      </w:r>
      <w:r>
        <w:rPr>
          <w:rFonts w:hint="eastAsia"/>
        </w:rPr>
        <w:t xml:space="preserve"> </w:t>
      </w:r>
      <w:r>
        <w:rPr>
          <w:rFonts w:hint="eastAsia"/>
        </w:rPr>
        <w:t>－</w:t>
      </w:r>
      <w:r>
        <w:rPr>
          <w:rFonts w:hint="eastAsia"/>
        </w:rPr>
        <w:tab/>
      </w:r>
      <w:r>
        <w:rPr>
          <w:rFonts w:hint="eastAsia"/>
        </w:rPr>
        <w:t>秉持诚信</w:t>
      </w:r>
      <w:r>
        <w:rPr>
          <w:rFonts w:hint="eastAsia"/>
        </w:rPr>
        <w:t xml:space="preserve"> </w:t>
      </w:r>
      <w:r>
        <w:rPr>
          <w:rFonts w:hint="eastAsia"/>
        </w:rPr>
        <w:t>—</w:t>
      </w:r>
      <w:r>
        <w:t xml:space="preserve"> </w:t>
      </w:r>
      <w:r>
        <w:rPr>
          <w:rFonts w:hint="eastAsia"/>
        </w:rPr>
        <w:t>我们注重诚实、谦逊、正直品格和个人责任感。</w:t>
      </w:r>
    </w:p>
    <w:p w:rsidR="00000000" w:rsidRDefault="00954A93" w:rsidP="00954A93">
      <w:pPr>
        <w:pStyle w:val="FootnoteText"/>
        <w:tabs>
          <w:tab w:val="left" w:pos="1560"/>
          <w:tab w:val="left" w:pos="2640"/>
        </w:tabs>
        <w:spacing w:line="264" w:lineRule="auto"/>
        <w:ind w:leftChars="350" w:left="31680" w:hangingChars="649" w:firstLine="31680"/>
        <w:rPr>
          <w:rFonts w:hint="eastAsia"/>
        </w:rPr>
      </w:pPr>
      <w:r>
        <w:rPr>
          <w:rFonts w:hint="eastAsia"/>
        </w:rPr>
        <w:t>专业修养－</w:t>
      </w:r>
      <w:r>
        <w:rPr>
          <w:rFonts w:hint="eastAsia"/>
        </w:rPr>
        <w:tab/>
      </w:r>
      <w:r>
        <w:rPr>
          <w:rFonts w:hint="eastAsia"/>
        </w:rPr>
        <w:t>我们以惩教专业为荣，敬业乐业，不断提高效率、职能和服务质素。</w:t>
      </w:r>
    </w:p>
    <w:p w:rsidR="00000000" w:rsidRDefault="00954A93" w:rsidP="00954A93">
      <w:pPr>
        <w:pStyle w:val="FootnoteText"/>
        <w:tabs>
          <w:tab w:val="left" w:pos="1560"/>
          <w:tab w:val="left" w:pos="2640"/>
        </w:tabs>
        <w:spacing w:line="264" w:lineRule="auto"/>
        <w:ind w:leftChars="350" w:left="31680" w:hangingChars="649" w:firstLine="31680"/>
        <w:rPr>
          <w:rFonts w:hint="eastAsia"/>
        </w:rPr>
      </w:pPr>
      <w:r>
        <w:rPr>
          <w:rFonts w:hint="eastAsia"/>
        </w:rPr>
        <w:t>人道精神－</w:t>
      </w:r>
      <w:r>
        <w:rPr>
          <w:rFonts w:hint="eastAsia"/>
        </w:rPr>
        <w:tab/>
      </w:r>
      <w:r>
        <w:rPr>
          <w:rFonts w:hint="eastAsia"/>
        </w:rPr>
        <w:t>我们认同不论是市民、本署职员或交由本署监管的人均有权获得恰当、公平和顾及尊严的待遇。</w:t>
      </w:r>
    </w:p>
    <w:p w:rsidR="00000000" w:rsidRDefault="00954A93">
      <w:pPr>
        <w:pStyle w:val="FootnoteText"/>
        <w:tabs>
          <w:tab w:val="left" w:pos="2340"/>
        </w:tabs>
        <w:ind w:firstLine="910"/>
        <w:rPr>
          <w:rFonts w:hint="eastAsia"/>
        </w:rPr>
      </w:pPr>
      <w:r>
        <w:rPr>
          <w:rFonts w:hint="eastAsia"/>
        </w:rPr>
        <w:t>严守纪律－</w:t>
      </w:r>
      <w:r>
        <w:rPr>
          <w:rFonts w:hint="eastAsia"/>
        </w:rPr>
        <w:tab/>
      </w:r>
      <w:r>
        <w:rPr>
          <w:rFonts w:hint="eastAsia"/>
        </w:rPr>
        <w:t>我们恪守法治，重视秩序，崇尚和谐。</w:t>
      </w:r>
    </w:p>
  </w:footnote>
  <w:footnote w:id="24">
    <w:p w:rsidR="00000000" w:rsidRDefault="00954A93">
      <w:pPr>
        <w:pStyle w:val="FootnoteText"/>
      </w:pPr>
      <w:r>
        <w:rPr>
          <w:rStyle w:val="FootnoteReference"/>
          <w:b/>
          <w:color w:val="003366"/>
        </w:rPr>
        <w:t>19</w:t>
      </w:r>
      <w:r>
        <w:rPr>
          <w:rFonts w:hint="eastAsia"/>
        </w:rPr>
        <w:tab/>
      </w:r>
      <w:r>
        <w:rPr>
          <w:rFonts w:hint="eastAsia"/>
        </w:rPr>
        <w:t>有关的目标回应时间载于惩教署《投诉处理手册》内。</w:t>
      </w:r>
    </w:p>
  </w:footnote>
  <w:footnote w:id="25">
    <w:p w:rsidR="00000000" w:rsidRDefault="00954A93">
      <w:pPr>
        <w:pStyle w:val="EndnoteText"/>
        <w:rPr>
          <w:rFonts w:hint="eastAsia"/>
        </w:rPr>
      </w:pPr>
      <w:r>
        <w:rPr>
          <w:rStyle w:val="FootnoteReference"/>
          <w:b/>
          <w:bCs/>
        </w:rPr>
        <w:t>20</w:t>
      </w:r>
      <w:r>
        <w:t xml:space="preserve"> </w:t>
      </w:r>
      <w:r>
        <w:rPr>
          <w:rFonts w:hint="eastAsia"/>
        </w:rPr>
        <w:tab/>
      </w:r>
      <w:r>
        <w:rPr>
          <w:rFonts w:hint="eastAsia"/>
        </w:rPr>
        <w:t>根据第</w:t>
      </w:r>
      <w:r>
        <w:t>1A</w:t>
      </w:r>
      <w:r>
        <w:rPr>
          <w:rFonts w:hint="eastAsia"/>
        </w:rPr>
        <w:t>条的诠释，“指明的人”包括行政长官、行政会议成员、立法会议员、区议会议员、巡狱太平绅士、申诉专员或廉政专员。</w:t>
      </w:r>
    </w:p>
  </w:footnote>
  <w:footnote w:id="26">
    <w:p w:rsidR="00000000" w:rsidRDefault="00954A93">
      <w:pPr>
        <w:pStyle w:val="FootnoteText"/>
        <w:rPr>
          <w:rFonts w:hint="eastAsia"/>
        </w:rPr>
      </w:pPr>
      <w:r>
        <w:rPr>
          <w:rFonts w:hint="eastAsia"/>
          <w:b/>
          <w:color w:val="003366"/>
          <w:vertAlign w:val="superscript"/>
        </w:rPr>
        <w:t>21</w:t>
      </w:r>
      <w:r>
        <w:rPr>
          <w:vertAlign w:val="superscript"/>
        </w:rPr>
        <w:t xml:space="preserve"> </w:t>
      </w:r>
      <w:r>
        <w:rPr>
          <w:rFonts w:hint="eastAsia"/>
        </w:rPr>
        <w:tab/>
      </w:r>
      <w:r>
        <w:rPr>
          <w:rFonts w:hint="eastAsia"/>
        </w:rPr>
        <w:t>《保护儿童及少年条例》</w:t>
      </w:r>
      <w:r>
        <w:t>(</w:t>
      </w:r>
      <w:r>
        <w:rPr>
          <w:rFonts w:hint="eastAsia"/>
        </w:rPr>
        <w:t>第</w:t>
      </w:r>
      <w:r>
        <w:t>213</w:t>
      </w:r>
      <w:r>
        <w:rPr>
          <w:rFonts w:hint="eastAsia"/>
        </w:rPr>
        <w:t>章</w:t>
      </w:r>
      <w:r>
        <w:t>)</w:t>
      </w:r>
      <w:r>
        <w:rPr>
          <w:rFonts w:hint="eastAsia"/>
        </w:rPr>
        <w:t>第</w:t>
      </w:r>
      <w:r>
        <w:t>34E</w:t>
      </w:r>
      <w:r>
        <w:rPr>
          <w:rFonts w:hint="eastAsia"/>
        </w:rPr>
        <w:t>条。</w:t>
      </w:r>
    </w:p>
  </w:footnote>
  <w:footnote w:id="27">
    <w:p w:rsidR="00000000" w:rsidRDefault="00954A93">
      <w:pPr>
        <w:pStyle w:val="FootnoteText"/>
        <w:rPr>
          <w:rFonts w:hint="eastAsia"/>
        </w:rPr>
      </w:pPr>
      <w:r>
        <w:rPr>
          <w:rStyle w:val="FootnoteReference"/>
          <w:b/>
          <w:bCs/>
        </w:rPr>
        <w:t>22</w:t>
      </w:r>
      <w:r>
        <w:t xml:space="preserve"> </w:t>
      </w:r>
      <w:r>
        <w:rPr>
          <w:rFonts w:hint="eastAsia"/>
        </w:rPr>
        <w:tab/>
      </w:r>
      <w:r>
        <w:rPr>
          <w:rFonts w:hint="eastAsia"/>
        </w:rPr>
        <w:t>请参阅本报告第</w:t>
      </w:r>
      <w:r>
        <w:t>I</w:t>
      </w:r>
      <w:r>
        <w:rPr>
          <w:rFonts w:hint="eastAsia"/>
          <w:lang w:val="af-ZA"/>
        </w:rPr>
        <w:t>部第</w:t>
      </w:r>
      <w:r>
        <w:rPr>
          <w:rFonts w:hint="eastAsia"/>
          <w:lang w:val="af-ZA"/>
        </w:rPr>
        <w:t>38</w:t>
      </w:r>
      <w:r>
        <w:rPr>
          <w:rFonts w:hint="eastAsia"/>
          <w:lang w:val="af-ZA"/>
        </w:rPr>
        <w:t>段。</w:t>
      </w:r>
    </w:p>
  </w:footnote>
  <w:footnote w:id="28">
    <w:p w:rsidR="00000000" w:rsidRDefault="00954A93">
      <w:pPr>
        <w:pStyle w:val="FootnoteText"/>
        <w:rPr>
          <w:rFonts w:hint="eastAsia"/>
        </w:rPr>
      </w:pPr>
      <w:r>
        <w:rPr>
          <w:rStyle w:val="FootnoteReference"/>
          <w:b/>
          <w:bCs/>
        </w:rPr>
        <w:t>23</w:t>
      </w:r>
      <w:r>
        <w:t xml:space="preserve"> </w:t>
      </w:r>
      <w:r>
        <w:rPr>
          <w:rFonts w:hint="eastAsia"/>
        </w:rPr>
        <w:tab/>
      </w:r>
      <w:r>
        <w:rPr>
          <w:rFonts w:hint="eastAsia"/>
        </w:rPr>
        <w:t>天水</w:t>
      </w:r>
      <w:r>
        <w:rPr>
          <w:rFonts w:hint="eastAsia"/>
        </w:rPr>
        <w:t>围是位于新界西北区的新市镇。</w:t>
      </w:r>
    </w:p>
  </w:footnote>
  <w:footnote w:id="29">
    <w:p w:rsidR="00000000" w:rsidRDefault="00954A93">
      <w:pPr>
        <w:pStyle w:val="FootnoteText"/>
        <w:rPr>
          <w:rFonts w:hint="eastAsia"/>
        </w:rPr>
      </w:pPr>
      <w:r>
        <w:rPr>
          <w:rStyle w:val="FootnoteReference"/>
          <w:b/>
          <w:color w:val="003366"/>
        </w:rPr>
        <w:t>2</w:t>
      </w:r>
      <w:r>
        <w:rPr>
          <w:rStyle w:val="FootnoteReference"/>
          <w:rFonts w:hint="eastAsia"/>
          <w:b/>
          <w:color w:val="003366"/>
        </w:rPr>
        <w:t>4</w:t>
      </w:r>
      <w:r>
        <w:t xml:space="preserve"> </w:t>
      </w:r>
      <w:r>
        <w:rPr>
          <w:rFonts w:hint="eastAsia"/>
        </w:rPr>
        <w:tab/>
      </w:r>
      <w:r>
        <w:rPr>
          <w:rFonts w:hint="eastAsia"/>
        </w:rPr>
        <w:t>在第一次报告中，我们在有关公约第</w:t>
      </w:r>
      <w:r>
        <w:t>3</w:t>
      </w:r>
      <w:r>
        <w:rPr>
          <w:rFonts w:hint="eastAsia"/>
        </w:rPr>
        <w:t>条的部分讨论了这个问题；由于有评论指这个问题涉及残忍和不人道待遇，因此我们认为在公约第</w:t>
      </w:r>
      <w:r>
        <w:t>16</w:t>
      </w:r>
      <w:r>
        <w:rPr>
          <w:rFonts w:hint="eastAsia"/>
        </w:rPr>
        <w:t>条项下加以讨论较为适当。</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4A93">
    <w:pPr>
      <w:pStyle w:val="Header"/>
      <w:rPr>
        <w:rFonts w:hint="eastAsia"/>
        <w:lang w:eastAsia="zh-CN"/>
      </w:rPr>
    </w:pPr>
    <w:r>
      <w:t>CAT/C/</w:t>
    </w:r>
    <w:r>
      <w:rPr>
        <w:rFonts w:hint="eastAsia"/>
        <w:lang w:eastAsia="zh-CN"/>
      </w:rPr>
      <w:t>HKG</w:t>
    </w:r>
    <w:r>
      <w:t>/</w:t>
    </w:r>
    <w:r>
      <w:rPr>
        <w:rFonts w:hint="eastAsia"/>
        <w:lang w:eastAsia="zh-CN"/>
      </w:rPr>
      <w:t>4</w:t>
    </w:r>
  </w:p>
  <w:p w:rsidR="00000000" w:rsidRDefault="00954A93">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4A93">
    <w:pPr>
      <w:pStyle w:val="Header"/>
      <w:rPr>
        <w:rFonts w:hint="eastAsia"/>
        <w:lang w:eastAsia="zh-CN"/>
      </w:rPr>
    </w:pPr>
    <w:r>
      <w:tab/>
    </w:r>
    <w:r>
      <w:tab/>
    </w:r>
    <w:r>
      <w:tab/>
    </w:r>
    <w:r>
      <w:tab/>
    </w:r>
    <w:r>
      <w:rPr>
        <w:rFonts w:hint="eastAsia"/>
        <w:lang w:eastAsia="zh-CN"/>
      </w:rPr>
      <w:tab/>
    </w:r>
    <w:r>
      <w:t>CAT/C/</w:t>
    </w:r>
    <w:r>
      <w:rPr>
        <w:rFonts w:hint="eastAsia"/>
        <w:lang w:eastAsia="zh-CN"/>
      </w:rPr>
      <w:t>HKG</w:t>
    </w:r>
    <w:r>
      <w:t>/</w:t>
    </w:r>
    <w:r>
      <w:rPr>
        <w:rFonts w:hint="eastAsia"/>
        <w:lang w:eastAsia="zh-CN"/>
      </w:rPr>
      <w:t>4</w:t>
    </w:r>
  </w:p>
  <w:p w:rsidR="00000000" w:rsidRDefault="00954A93">
    <w:pPr>
      <w:pStyle w:val="Header"/>
    </w:pPr>
    <w:r>
      <w:tab/>
    </w:r>
    <w:r>
      <w:tab/>
    </w:r>
    <w:r>
      <w:tab/>
    </w:r>
    <w:r>
      <w:tab/>
    </w:r>
    <w:r>
      <w:rPr>
        <w:rFonts w:hint="eastAsia"/>
        <w:lang w:eastAsia="zh-CN"/>
      </w:rPr>
      <w:tab/>
    </w:r>
    <w:r>
      <w:t xml:space="preserve">page </w:t>
    </w:r>
    <w:r>
      <w:fldChar w:fldCharType="begin"/>
    </w:r>
    <w:r>
      <w:instrText xml:space="preserve"> PAGE </w:instrText>
    </w:r>
    <w:r>
      <w:fldChar w:fldCharType="separate"/>
    </w:r>
    <w:r>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68"/>
      <w:gridCol w:w="4810"/>
      <w:gridCol w:w="2986"/>
    </w:tblGrid>
    <w:tr w:rsidR="00000000">
      <w:tc>
        <w:tcPr>
          <w:tcW w:w="1668" w:type="dxa"/>
          <w:tcBorders>
            <w:top w:val="nil"/>
            <w:left w:val="nil"/>
            <w:bottom w:val="single" w:sz="8" w:space="0" w:color="auto"/>
            <w:right w:val="nil"/>
          </w:tcBorders>
          <w:vAlign w:val="center"/>
        </w:tcPr>
        <w:p w:rsidR="00000000" w:rsidRDefault="00954A93">
          <w:pPr>
            <w:pStyle w:val="1L"/>
            <w:framePr w:w="0" w:hRule="auto" w:hSpace="0" w:wrap="auto" w:vAnchor="margin" w:hAnchor="text" w:xAlign="left" w:yAlign="inline"/>
            <w:rPr>
              <w:rFonts w:ascii="Time New Roman" w:hAnsi="Time New Roman"/>
              <w:b/>
            </w:rPr>
          </w:pPr>
          <w:r>
            <w:t>联合国</w:t>
          </w:r>
        </w:p>
      </w:tc>
      <w:tc>
        <w:tcPr>
          <w:tcW w:w="4810" w:type="dxa"/>
          <w:tcBorders>
            <w:top w:val="nil"/>
            <w:left w:val="nil"/>
            <w:bottom w:val="single" w:sz="8" w:space="0" w:color="auto"/>
            <w:right w:val="nil"/>
          </w:tcBorders>
        </w:tcPr>
        <w:p w:rsidR="00000000" w:rsidRDefault="00954A93">
          <w:pPr>
            <w:pStyle w:val="1L"/>
            <w:framePr w:w="0" w:hRule="auto" w:hSpace="0" w:wrap="auto" w:vAnchor="margin" w:hAnchor="text" w:xAlign="left" w:yAlign="inline"/>
          </w:pPr>
        </w:p>
      </w:tc>
      <w:tc>
        <w:tcPr>
          <w:tcW w:w="2986" w:type="dxa"/>
          <w:tcBorders>
            <w:top w:val="nil"/>
            <w:left w:val="nil"/>
            <w:bottom w:val="single" w:sz="8" w:space="0" w:color="auto"/>
            <w:right w:val="nil"/>
          </w:tcBorders>
          <w:vAlign w:val="bottom"/>
        </w:tcPr>
        <w:p w:rsidR="00000000" w:rsidRDefault="00954A93">
          <w:pPr>
            <w:pStyle w:val="1R1"/>
            <w:jc w:val="right"/>
            <w:rPr>
              <w:rFonts w:ascii="Univers" w:hAnsi="Univers"/>
              <w:b w:val="0"/>
              <w:sz w:val="72"/>
            </w:rPr>
          </w:pPr>
          <w:r>
            <w:t>CAT</w:t>
          </w:r>
        </w:p>
      </w:tc>
    </w:tr>
    <w:bookmarkStart w:id="0" w:name="_MON_1204096976"/>
    <w:bookmarkStart w:id="1" w:name="_MON_1204096987"/>
    <w:bookmarkStart w:id="2" w:name="_MON_1204097013"/>
    <w:bookmarkEnd w:id="0"/>
    <w:bookmarkEnd w:id="1"/>
    <w:bookmarkEnd w:id="2"/>
    <w:tr w:rsidR="00000000">
      <w:tc>
        <w:tcPr>
          <w:tcW w:w="1668" w:type="dxa"/>
          <w:tcBorders>
            <w:top w:val="single" w:sz="8" w:space="0" w:color="auto"/>
            <w:left w:val="nil"/>
            <w:bottom w:val="single" w:sz="24" w:space="0" w:color="auto"/>
            <w:right w:val="nil"/>
          </w:tcBorders>
        </w:tcPr>
        <w:p w:rsidR="00000000" w:rsidRDefault="00954A9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4574" r:id="rId2"/>
            </w:object>
          </w:r>
        </w:p>
      </w:tc>
      <w:tc>
        <w:tcPr>
          <w:tcW w:w="4810" w:type="dxa"/>
          <w:tcBorders>
            <w:top w:val="single" w:sz="8" w:space="0" w:color="auto"/>
            <w:left w:val="nil"/>
            <w:bottom w:val="single" w:sz="24" w:space="0" w:color="auto"/>
            <w:right w:val="nil"/>
          </w:tcBorders>
        </w:tcPr>
        <w:p w:rsidR="00000000" w:rsidRDefault="00954A93">
          <w:pPr>
            <w:pStyle w:val="1m1"/>
            <w:spacing w:line="312" w:lineRule="auto"/>
            <w:rPr>
              <w:rFonts w:ascii="Time New Roman" w:hAnsi="Time New Roman"/>
              <w:spacing w:val="0"/>
              <w:sz w:val="32"/>
            </w:rPr>
          </w:pPr>
        </w:p>
        <w:p w:rsidR="00000000" w:rsidRDefault="00954A93">
          <w:pPr>
            <w:pStyle w:val="1m1"/>
            <w:spacing w:line="312" w:lineRule="auto"/>
            <w:rPr>
              <w:rFonts w:ascii="Time New Roman" w:hAnsi="Time New Roman"/>
              <w:spacing w:val="0"/>
              <w:sz w:val="32"/>
            </w:rPr>
          </w:pPr>
          <w:r>
            <w:rPr>
              <w:rFonts w:ascii="Time New Roman" w:hAnsi="Time New Roman" w:hint="eastAsia"/>
              <w:spacing w:val="0"/>
              <w:sz w:val="32"/>
            </w:rPr>
            <w:t>禁止酷刑和其他残忍、不人道</w:t>
          </w:r>
        </w:p>
        <w:p w:rsidR="00000000" w:rsidRDefault="00954A93">
          <w:pPr>
            <w:pStyle w:val="1m1"/>
            <w:spacing w:line="312" w:lineRule="auto"/>
            <w:rPr>
              <w:rFonts w:ascii="Time New Roman" w:hAnsi="Time New Roman"/>
              <w:spacing w:val="0"/>
              <w:sz w:val="32"/>
            </w:rPr>
          </w:pPr>
          <w:r>
            <w:rPr>
              <w:rFonts w:ascii="Time New Roman" w:hAnsi="Time New Roman" w:hint="eastAsia"/>
              <w:spacing w:val="0"/>
              <w:sz w:val="32"/>
            </w:rPr>
            <w:t>或有辱人格的待遇或处罚公约</w:t>
          </w:r>
        </w:p>
        <w:p w:rsidR="00000000" w:rsidRDefault="00954A93">
          <w:pPr>
            <w:pStyle w:val="1m1"/>
            <w:spacing w:before="480"/>
          </w:pPr>
        </w:p>
      </w:tc>
      <w:tc>
        <w:tcPr>
          <w:tcW w:w="2986" w:type="dxa"/>
          <w:tcBorders>
            <w:top w:val="single" w:sz="8" w:space="0" w:color="auto"/>
            <w:left w:val="nil"/>
            <w:bottom w:val="single" w:sz="24" w:space="0" w:color="auto"/>
            <w:right w:val="nil"/>
          </w:tcBorders>
        </w:tcPr>
        <w:p w:rsidR="00000000" w:rsidRDefault="00954A93">
          <w:pPr>
            <w:pStyle w:val="Header"/>
          </w:pPr>
        </w:p>
        <w:p w:rsidR="00000000" w:rsidRDefault="00954A93">
          <w:pPr>
            <w:pStyle w:val="Header"/>
          </w:pPr>
          <w:r>
            <w:t>Distr.</w:t>
          </w:r>
        </w:p>
        <w:p w:rsidR="00000000" w:rsidRDefault="00954A93">
          <w:pPr>
            <w:pStyle w:val="Header"/>
          </w:pPr>
          <w:r>
            <w:t>GENERAL</w:t>
          </w:r>
        </w:p>
        <w:p w:rsidR="00000000" w:rsidRDefault="00954A93">
          <w:pPr>
            <w:pStyle w:val="Header"/>
          </w:pPr>
        </w:p>
        <w:p w:rsidR="00000000" w:rsidRDefault="00954A93">
          <w:pPr>
            <w:pStyle w:val="Header"/>
            <w:rPr>
              <w:rFonts w:hint="eastAsia"/>
              <w:lang w:eastAsia="zh-CN"/>
            </w:rPr>
          </w:pPr>
          <w:r>
            <w:t>CAT/C/</w:t>
          </w:r>
          <w:r>
            <w:rPr>
              <w:rFonts w:hint="eastAsia"/>
              <w:lang w:eastAsia="zh-CN"/>
            </w:rPr>
            <w:t>HKG</w:t>
          </w:r>
          <w:r>
            <w:t>/</w:t>
          </w:r>
          <w:r>
            <w:rPr>
              <w:rFonts w:hint="eastAsia"/>
              <w:lang w:eastAsia="zh-CN"/>
            </w:rPr>
            <w:t>4</w:t>
          </w:r>
        </w:p>
        <w:p w:rsidR="00000000" w:rsidRDefault="00954A93">
          <w:pPr>
            <w:pStyle w:val="Header"/>
          </w:pPr>
          <w:r>
            <w:rPr>
              <w:lang w:eastAsia="zh-CN"/>
            </w:rPr>
            <w:t>18</w:t>
          </w:r>
          <w:r>
            <w:rPr>
              <w:rFonts w:hint="eastAsia"/>
              <w:lang w:eastAsia="zh-CN"/>
            </w:rPr>
            <w:t xml:space="preserve"> </w:t>
          </w:r>
          <w:r>
            <w:rPr>
              <w:lang w:eastAsia="zh-CN"/>
            </w:rPr>
            <w:t>July</w:t>
          </w:r>
          <w:r>
            <w:t xml:space="preserve"> 2006</w:t>
          </w:r>
        </w:p>
        <w:p w:rsidR="00000000" w:rsidRDefault="00954A93">
          <w:pPr>
            <w:pStyle w:val="Header"/>
          </w:pPr>
        </w:p>
        <w:p w:rsidR="00000000" w:rsidRDefault="00954A93">
          <w:pPr>
            <w:pStyle w:val="Header"/>
          </w:pPr>
          <w:r>
            <w:t>CHINESE</w:t>
          </w:r>
        </w:p>
        <w:p w:rsidR="00000000" w:rsidRDefault="00954A93">
          <w:pPr>
            <w:pStyle w:val="Header"/>
          </w:pPr>
          <w:r>
            <w:t>Original:</w:t>
          </w:r>
          <w:r>
            <w:tab/>
          </w:r>
          <w:r>
            <w:rPr>
              <w:lang w:eastAsia="zh-CN"/>
            </w:rPr>
            <w:t>CHINESE</w:t>
          </w:r>
          <w:r>
            <w:rPr>
              <w:rFonts w:hint="eastAsia"/>
              <w:lang w:eastAsia="zh-CN"/>
            </w:rPr>
            <w:t>H AND</w:t>
          </w:r>
          <w:r>
            <w:rPr>
              <w:rFonts w:hint="eastAsia"/>
              <w:lang w:eastAsia="zh-CN"/>
            </w:rPr>
            <w:br/>
          </w:r>
          <w:r>
            <w:rPr>
              <w:lang w:eastAsia="zh-CN"/>
            </w:rPr>
            <w:tab/>
          </w:r>
          <w:r>
            <w:t>ENGLISH</w:t>
          </w:r>
        </w:p>
        <w:p w:rsidR="00000000" w:rsidRDefault="00954A93">
          <w:pPr>
            <w:pStyle w:val="Header"/>
          </w:pPr>
        </w:p>
      </w:tc>
    </w:tr>
    <w:tr w:rsidR="00000000">
      <w:trPr>
        <w:trHeight w:val="293"/>
      </w:trPr>
      <w:tc>
        <w:tcPr>
          <w:tcW w:w="1668" w:type="dxa"/>
          <w:tcBorders>
            <w:top w:val="single" w:sz="24" w:space="0" w:color="auto"/>
            <w:left w:val="nil"/>
            <w:bottom w:val="nil"/>
            <w:right w:val="nil"/>
          </w:tcBorders>
          <w:noWrap/>
        </w:tcPr>
        <w:p w:rsidR="00000000" w:rsidRDefault="00954A93">
          <w:pPr>
            <w:rPr>
              <w:sz w:val="16"/>
            </w:rPr>
          </w:pPr>
        </w:p>
      </w:tc>
      <w:tc>
        <w:tcPr>
          <w:tcW w:w="4810" w:type="dxa"/>
          <w:tcBorders>
            <w:top w:val="single" w:sz="24" w:space="0" w:color="auto"/>
            <w:left w:val="nil"/>
            <w:bottom w:val="nil"/>
            <w:right w:val="nil"/>
          </w:tcBorders>
          <w:noWrap/>
        </w:tcPr>
        <w:p w:rsidR="00000000" w:rsidRDefault="00954A93">
          <w:pPr>
            <w:pStyle w:val="1m1"/>
            <w:spacing w:line="240" w:lineRule="auto"/>
            <w:rPr>
              <w:sz w:val="16"/>
            </w:rPr>
          </w:pPr>
        </w:p>
      </w:tc>
      <w:tc>
        <w:tcPr>
          <w:tcW w:w="2986" w:type="dxa"/>
          <w:tcBorders>
            <w:top w:val="single" w:sz="24" w:space="0" w:color="auto"/>
            <w:left w:val="nil"/>
            <w:bottom w:val="nil"/>
            <w:right w:val="nil"/>
          </w:tcBorders>
          <w:noWrap/>
        </w:tcPr>
        <w:p w:rsidR="00000000" w:rsidRDefault="00954A93">
          <w:pPr>
            <w:rPr>
              <w:sz w:val="16"/>
            </w:rPr>
          </w:pPr>
        </w:p>
      </w:tc>
    </w:tr>
  </w:tbl>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p w:rsidR="00000000" w:rsidRDefault="00954A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117C"/>
    <w:multiLevelType w:val="hybridMultilevel"/>
    <w:tmpl w:val="FF32C6F2"/>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105F33"/>
    <w:multiLevelType w:val="multilevel"/>
    <w:tmpl w:val="A95CA766"/>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B4B7916"/>
    <w:multiLevelType w:val="hybridMultilevel"/>
    <w:tmpl w:val="2B98BB62"/>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B6F40B6"/>
    <w:multiLevelType w:val="hybridMultilevel"/>
    <w:tmpl w:val="B5EE0822"/>
    <w:lvl w:ilvl="0" w:tplc="979845A2">
      <w:start w:val="1"/>
      <w:numFmt w:val="lowerLetter"/>
      <w:lvlText w:val="(%1)"/>
      <w:lvlJc w:val="left"/>
      <w:pPr>
        <w:tabs>
          <w:tab w:val="num" w:pos="0"/>
        </w:tabs>
        <w:ind w:left="0" w:hanging="930"/>
      </w:pPr>
      <w:rPr>
        <w:rFonts w:hint="default"/>
      </w:rPr>
    </w:lvl>
    <w:lvl w:ilvl="1" w:tplc="04090019" w:tentative="1">
      <w:start w:val="1"/>
      <w:numFmt w:val="ideographTraditional"/>
      <w:lvlText w:val="%2、"/>
      <w:lvlJc w:val="left"/>
      <w:pPr>
        <w:tabs>
          <w:tab w:val="num" w:pos="30"/>
        </w:tabs>
        <w:ind w:left="30" w:hanging="480"/>
      </w:pPr>
    </w:lvl>
    <w:lvl w:ilvl="2" w:tplc="0409001B" w:tentative="1">
      <w:start w:val="1"/>
      <w:numFmt w:val="lowerRoman"/>
      <w:lvlText w:val="%3."/>
      <w:lvlJc w:val="right"/>
      <w:pPr>
        <w:tabs>
          <w:tab w:val="num" w:pos="510"/>
        </w:tabs>
        <w:ind w:left="510" w:hanging="480"/>
      </w:pPr>
    </w:lvl>
    <w:lvl w:ilvl="3" w:tplc="0409000F" w:tentative="1">
      <w:start w:val="1"/>
      <w:numFmt w:val="decimal"/>
      <w:lvlText w:val="%4."/>
      <w:lvlJc w:val="left"/>
      <w:pPr>
        <w:tabs>
          <w:tab w:val="num" w:pos="990"/>
        </w:tabs>
        <w:ind w:left="990" w:hanging="480"/>
      </w:pPr>
    </w:lvl>
    <w:lvl w:ilvl="4" w:tplc="04090019" w:tentative="1">
      <w:start w:val="1"/>
      <w:numFmt w:val="ideographTraditional"/>
      <w:lvlText w:val="%5、"/>
      <w:lvlJc w:val="left"/>
      <w:pPr>
        <w:tabs>
          <w:tab w:val="num" w:pos="1470"/>
        </w:tabs>
        <w:ind w:left="1470" w:hanging="480"/>
      </w:pPr>
    </w:lvl>
    <w:lvl w:ilvl="5" w:tplc="0409001B" w:tentative="1">
      <w:start w:val="1"/>
      <w:numFmt w:val="lowerRoman"/>
      <w:lvlText w:val="%6."/>
      <w:lvlJc w:val="right"/>
      <w:pPr>
        <w:tabs>
          <w:tab w:val="num" w:pos="1950"/>
        </w:tabs>
        <w:ind w:left="1950" w:hanging="480"/>
      </w:pPr>
    </w:lvl>
    <w:lvl w:ilvl="6" w:tplc="0409000F" w:tentative="1">
      <w:start w:val="1"/>
      <w:numFmt w:val="decimal"/>
      <w:lvlText w:val="%7."/>
      <w:lvlJc w:val="left"/>
      <w:pPr>
        <w:tabs>
          <w:tab w:val="num" w:pos="2430"/>
        </w:tabs>
        <w:ind w:left="2430" w:hanging="480"/>
      </w:pPr>
    </w:lvl>
    <w:lvl w:ilvl="7" w:tplc="04090019" w:tentative="1">
      <w:start w:val="1"/>
      <w:numFmt w:val="ideographTraditional"/>
      <w:lvlText w:val="%8、"/>
      <w:lvlJc w:val="left"/>
      <w:pPr>
        <w:tabs>
          <w:tab w:val="num" w:pos="2910"/>
        </w:tabs>
        <w:ind w:left="2910" w:hanging="480"/>
      </w:pPr>
    </w:lvl>
    <w:lvl w:ilvl="8" w:tplc="0409001B" w:tentative="1">
      <w:start w:val="1"/>
      <w:numFmt w:val="lowerRoman"/>
      <w:lvlText w:val="%9."/>
      <w:lvlJc w:val="right"/>
      <w:pPr>
        <w:tabs>
          <w:tab w:val="num" w:pos="3390"/>
        </w:tabs>
        <w:ind w:left="3390" w:hanging="480"/>
      </w:pPr>
    </w:lvl>
  </w:abstractNum>
  <w:abstractNum w:abstractNumId="4">
    <w:nsid w:val="0CFC471F"/>
    <w:multiLevelType w:val="hybridMultilevel"/>
    <w:tmpl w:val="5B4AAAC8"/>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B2626E"/>
    <w:multiLevelType w:val="hybridMultilevel"/>
    <w:tmpl w:val="C04A6A42"/>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BA20B0"/>
    <w:multiLevelType w:val="hybridMultilevel"/>
    <w:tmpl w:val="86E6B4CA"/>
    <w:lvl w:ilvl="0" w:tplc="BBC89DE2">
      <w:start w:val="1"/>
      <w:numFmt w:val="lowerLetter"/>
      <w:lvlText w:val="(%1)"/>
      <w:lvlJc w:val="left"/>
      <w:pPr>
        <w:tabs>
          <w:tab w:val="num" w:pos="960"/>
        </w:tabs>
        <w:ind w:left="960" w:hanging="36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7">
    <w:nsid w:val="10170851"/>
    <w:multiLevelType w:val="hybridMultilevel"/>
    <w:tmpl w:val="05140A0E"/>
    <w:lvl w:ilvl="0" w:tplc="11F0AAEE">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9690BD5"/>
    <w:multiLevelType w:val="hybridMultilevel"/>
    <w:tmpl w:val="13EA63A8"/>
    <w:lvl w:ilvl="0" w:tplc="FD7AB440">
      <w:start w:val="1"/>
      <w:numFmt w:val="lowerLetter"/>
      <w:lvlRestart w:val="0"/>
      <w:lvlText w:val="(%1)"/>
      <w:lvlJc w:val="right"/>
      <w:pPr>
        <w:tabs>
          <w:tab w:val="num" w:pos="397"/>
        </w:tabs>
        <w:ind w:left="397" w:hanging="170"/>
      </w:pPr>
      <w:rPr>
        <w:rFonts w:ascii="Times New Roman" w:hAnsi="Times New Roman"/>
        <w:b w:val="0"/>
        <w:i w:val="0"/>
        <w:sz w:val="24"/>
      </w:rPr>
    </w:lvl>
    <w:lvl w:ilvl="1" w:tplc="04090019" w:tentative="1">
      <w:start w:val="1"/>
      <w:numFmt w:val="ideographTraditional"/>
      <w:lvlText w:val="%2、"/>
      <w:lvlJc w:val="left"/>
      <w:pPr>
        <w:tabs>
          <w:tab w:val="num" w:pos="-174"/>
        </w:tabs>
        <w:ind w:left="-174" w:hanging="480"/>
      </w:pPr>
    </w:lvl>
    <w:lvl w:ilvl="2" w:tplc="0409001B" w:tentative="1">
      <w:start w:val="1"/>
      <w:numFmt w:val="lowerRoman"/>
      <w:lvlText w:val="%3."/>
      <w:lvlJc w:val="right"/>
      <w:pPr>
        <w:tabs>
          <w:tab w:val="num" w:pos="306"/>
        </w:tabs>
        <w:ind w:left="306" w:hanging="480"/>
      </w:pPr>
    </w:lvl>
    <w:lvl w:ilvl="3" w:tplc="0409000F" w:tentative="1">
      <w:start w:val="1"/>
      <w:numFmt w:val="decimal"/>
      <w:lvlText w:val="%4."/>
      <w:lvlJc w:val="left"/>
      <w:pPr>
        <w:tabs>
          <w:tab w:val="num" w:pos="786"/>
        </w:tabs>
        <w:ind w:left="786" w:hanging="480"/>
      </w:pPr>
    </w:lvl>
    <w:lvl w:ilvl="4" w:tplc="04090019" w:tentative="1">
      <w:start w:val="1"/>
      <w:numFmt w:val="ideographTraditional"/>
      <w:lvlText w:val="%5、"/>
      <w:lvlJc w:val="left"/>
      <w:pPr>
        <w:tabs>
          <w:tab w:val="num" w:pos="1266"/>
        </w:tabs>
        <w:ind w:left="1266" w:hanging="480"/>
      </w:pPr>
    </w:lvl>
    <w:lvl w:ilvl="5" w:tplc="0409001B" w:tentative="1">
      <w:start w:val="1"/>
      <w:numFmt w:val="lowerRoman"/>
      <w:lvlText w:val="%6."/>
      <w:lvlJc w:val="right"/>
      <w:pPr>
        <w:tabs>
          <w:tab w:val="num" w:pos="1746"/>
        </w:tabs>
        <w:ind w:left="1746" w:hanging="480"/>
      </w:pPr>
    </w:lvl>
    <w:lvl w:ilvl="6" w:tplc="0409000F" w:tentative="1">
      <w:start w:val="1"/>
      <w:numFmt w:val="decimal"/>
      <w:lvlText w:val="%7."/>
      <w:lvlJc w:val="left"/>
      <w:pPr>
        <w:tabs>
          <w:tab w:val="num" w:pos="2226"/>
        </w:tabs>
        <w:ind w:left="2226" w:hanging="480"/>
      </w:pPr>
    </w:lvl>
    <w:lvl w:ilvl="7" w:tplc="04090019" w:tentative="1">
      <w:start w:val="1"/>
      <w:numFmt w:val="ideographTraditional"/>
      <w:lvlText w:val="%8、"/>
      <w:lvlJc w:val="left"/>
      <w:pPr>
        <w:tabs>
          <w:tab w:val="num" w:pos="2706"/>
        </w:tabs>
        <w:ind w:left="2706" w:hanging="480"/>
      </w:pPr>
    </w:lvl>
    <w:lvl w:ilvl="8" w:tplc="0409001B" w:tentative="1">
      <w:start w:val="1"/>
      <w:numFmt w:val="lowerRoman"/>
      <w:lvlText w:val="%9."/>
      <w:lvlJc w:val="right"/>
      <w:pPr>
        <w:tabs>
          <w:tab w:val="num" w:pos="3186"/>
        </w:tabs>
        <w:ind w:left="3186" w:hanging="480"/>
      </w:pPr>
    </w:lvl>
  </w:abstractNum>
  <w:abstractNum w:abstractNumId="9">
    <w:nsid w:val="1DFF041B"/>
    <w:multiLevelType w:val="hybridMultilevel"/>
    <w:tmpl w:val="BA5275A0"/>
    <w:lvl w:ilvl="0" w:tplc="0FA6ABC2">
      <w:start w:val="1"/>
      <w:numFmt w:val="lowerLetter"/>
      <w:lvlText w:val="(%1)"/>
      <w:lvlJc w:val="left"/>
      <w:pPr>
        <w:tabs>
          <w:tab w:val="num" w:pos="-774"/>
        </w:tabs>
        <w:ind w:left="-774" w:hanging="360"/>
      </w:pPr>
      <w:rPr>
        <w:rFonts w:hint="default"/>
      </w:rPr>
    </w:lvl>
    <w:lvl w:ilvl="1" w:tplc="04090019" w:tentative="1">
      <w:start w:val="1"/>
      <w:numFmt w:val="ideographTraditional"/>
      <w:lvlText w:val="%2、"/>
      <w:lvlJc w:val="left"/>
      <w:pPr>
        <w:tabs>
          <w:tab w:val="num" w:pos="-174"/>
        </w:tabs>
        <w:ind w:left="-174" w:hanging="480"/>
      </w:pPr>
    </w:lvl>
    <w:lvl w:ilvl="2" w:tplc="0409001B" w:tentative="1">
      <w:start w:val="1"/>
      <w:numFmt w:val="lowerRoman"/>
      <w:lvlText w:val="%3."/>
      <w:lvlJc w:val="right"/>
      <w:pPr>
        <w:tabs>
          <w:tab w:val="num" w:pos="306"/>
        </w:tabs>
        <w:ind w:left="306" w:hanging="480"/>
      </w:pPr>
    </w:lvl>
    <w:lvl w:ilvl="3" w:tplc="0409000F" w:tentative="1">
      <w:start w:val="1"/>
      <w:numFmt w:val="decimal"/>
      <w:lvlText w:val="%4."/>
      <w:lvlJc w:val="left"/>
      <w:pPr>
        <w:tabs>
          <w:tab w:val="num" w:pos="786"/>
        </w:tabs>
        <w:ind w:left="786" w:hanging="480"/>
      </w:pPr>
    </w:lvl>
    <w:lvl w:ilvl="4" w:tplc="04090019" w:tentative="1">
      <w:start w:val="1"/>
      <w:numFmt w:val="ideographTraditional"/>
      <w:lvlText w:val="%5、"/>
      <w:lvlJc w:val="left"/>
      <w:pPr>
        <w:tabs>
          <w:tab w:val="num" w:pos="1266"/>
        </w:tabs>
        <w:ind w:left="1266" w:hanging="480"/>
      </w:pPr>
    </w:lvl>
    <w:lvl w:ilvl="5" w:tplc="0409001B" w:tentative="1">
      <w:start w:val="1"/>
      <w:numFmt w:val="lowerRoman"/>
      <w:lvlText w:val="%6."/>
      <w:lvlJc w:val="right"/>
      <w:pPr>
        <w:tabs>
          <w:tab w:val="num" w:pos="1746"/>
        </w:tabs>
        <w:ind w:left="1746" w:hanging="480"/>
      </w:pPr>
    </w:lvl>
    <w:lvl w:ilvl="6" w:tplc="0409000F" w:tentative="1">
      <w:start w:val="1"/>
      <w:numFmt w:val="decimal"/>
      <w:lvlText w:val="%7."/>
      <w:lvlJc w:val="left"/>
      <w:pPr>
        <w:tabs>
          <w:tab w:val="num" w:pos="2226"/>
        </w:tabs>
        <w:ind w:left="2226" w:hanging="480"/>
      </w:pPr>
    </w:lvl>
    <w:lvl w:ilvl="7" w:tplc="04090019" w:tentative="1">
      <w:start w:val="1"/>
      <w:numFmt w:val="ideographTraditional"/>
      <w:lvlText w:val="%8、"/>
      <w:lvlJc w:val="left"/>
      <w:pPr>
        <w:tabs>
          <w:tab w:val="num" w:pos="2706"/>
        </w:tabs>
        <w:ind w:left="2706" w:hanging="480"/>
      </w:pPr>
    </w:lvl>
    <w:lvl w:ilvl="8" w:tplc="0409001B" w:tentative="1">
      <w:start w:val="1"/>
      <w:numFmt w:val="lowerRoman"/>
      <w:lvlText w:val="%9."/>
      <w:lvlJc w:val="right"/>
      <w:pPr>
        <w:tabs>
          <w:tab w:val="num" w:pos="3186"/>
        </w:tabs>
        <w:ind w:left="3186" w:hanging="480"/>
      </w:pPr>
    </w:lvl>
  </w:abstractNum>
  <w:abstractNum w:abstractNumId="10">
    <w:nsid w:val="1E9A3BF9"/>
    <w:multiLevelType w:val="hybridMultilevel"/>
    <w:tmpl w:val="EA9E5C76"/>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6251E4"/>
    <w:multiLevelType w:val="hybridMultilevel"/>
    <w:tmpl w:val="E71CAD10"/>
    <w:lvl w:ilvl="0" w:tplc="C6D2DF28">
      <w:start w:val="1"/>
      <w:numFmt w:val="decimal"/>
      <w:pStyle w:val="normal1"/>
      <w:lvlText w:val="%1."/>
      <w:lvlJc w:val="left"/>
      <w:pPr>
        <w:tabs>
          <w:tab w:val="num" w:pos="357"/>
        </w:tabs>
        <w:ind w:left="0" w:firstLine="0"/>
      </w:pPr>
      <w:rPr>
        <w:rFonts w:hint="default"/>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9A8B262">
      <w:start w:val="1"/>
      <w:numFmt w:val="low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61E77EA"/>
    <w:multiLevelType w:val="hybridMultilevel"/>
    <w:tmpl w:val="21C4BF6E"/>
    <w:lvl w:ilvl="0" w:tplc="FD7AB440">
      <w:start w:val="1"/>
      <w:numFmt w:val="lowerLetter"/>
      <w:lvlRestart w:val="0"/>
      <w:lvlText w:val="(%1)"/>
      <w:lvlJc w:val="right"/>
      <w:pPr>
        <w:tabs>
          <w:tab w:val="num" w:pos="451"/>
        </w:tabs>
        <w:ind w:left="451" w:hanging="170"/>
      </w:pPr>
      <w:rPr>
        <w:rFonts w:ascii="Times New Roman" w:hAnsi="Times New Roman"/>
        <w:b w:val="0"/>
        <w:i w:val="0"/>
        <w:sz w:val="24"/>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13">
    <w:nsid w:val="28F91FE7"/>
    <w:multiLevelType w:val="hybridMultilevel"/>
    <w:tmpl w:val="2C587508"/>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99865B0"/>
    <w:multiLevelType w:val="hybridMultilevel"/>
    <w:tmpl w:val="B728149A"/>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E47E09"/>
    <w:multiLevelType w:val="multilevel"/>
    <w:tmpl w:val="5B9CFF1A"/>
    <w:lvl w:ilvl="0">
      <w:start w:val="1"/>
      <w:numFmt w:val="decimal"/>
      <w:lvlText w:val="%1."/>
      <w:lvlJc w:val="left"/>
      <w:pPr>
        <w:tabs>
          <w:tab w:val="num" w:pos="907"/>
        </w:tabs>
        <w:ind w:left="907" w:hanging="360"/>
      </w:pPr>
    </w:lvl>
    <w:lvl w:ilvl="1">
      <w:start w:val="1"/>
      <w:numFmt w:val="lowerLetter"/>
      <w:lvlText w:val="%2."/>
      <w:lvlJc w:val="left"/>
      <w:pPr>
        <w:tabs>
          <w:tab w:val="num" w:pos="1627"/>
        </w:tabs>
        <w:ind w:left="1627" w:hanging="360"/>
      </w:pPr>
    </w:lvl>
    <w:lvl w:ilvl="2">
      <w:start w:val="1"/>
      <w:numFmt w:val="lowerRoman"/>
      <w:lvlText w:val="%3."/>
      <w:lvlJc w:val="right"/>
      <w:pPr>
        <w:tabs>
          <w:tab w:val="num" w:pos="2347"/>
        </w:tabs>
        <w:ind w:left="2347" w:hanging="180"/>
      </w:pPr>
    </w:lvl>
    <w:lvl w:ilvl="3">
      <w:start w:val="1"/>
      <w:numFmt w:val="decimal"/>
      <w:lvlText w:val="%4."/>
      <w:lvlJc w:val="left"/>
      <w:pPr>
        <w:tabs>
          <w:tab w:val="num" w:pos="3067"/>
        </w:tabs>
        <w:ind w:left="3067" w:hanging="360"/>
      </w:pPr>
    </w:lvl>
    <w:lvl w:ilvl="4">
      <w:start w:val="1"/>
      <w:numFmt w:val="lowerLetter"/>
      <w:lvlText w:val="%5."/>
      <w:lvlJc w:val="left"/>
      <w:pPr>
        <w:tabs>
          <w:tab w:val="num" w:pos="3787"/>
        </w:tabs>
        <w:ind w:left="3787" w:hanging="360"/>
      </w:pPr>
    </w:lvl>
    <w:lvl w:ilvl="5">
      <w:start w:val="1"/>
      <w:numFmt w:val="lowerRoman"/>
      <w:lvlText w:val="%6."/>
      <w:lvlJc w:val="right"/>
      <w:pPr>
        <w:tabs>
          <w:tab w:val="num" w:pos="4507"/>
        </w:tabs>
        <w:ind w:left="4507" w:hanging="180"/>
      </w:pPr>
    </w:lvl>
    <w:lvl w:ilvl="6">
      <w:start w:val="1"/>
      <w:numFmt w:val="decimal"/>
      <w:lvlText w:val="%7."/>
      <w:lvlJc w:val="left"/>
      <w:pPr>
        <w:tabs>
          <w:tab w:val="num" w:pos="5227"/>
        </w:tabs>
        <w:ind w:left="5227" w:hanging="360"/>
      </w:pPr>
    </w:lvl>
    <w:lvl w:ilvl="7">
      <w:start w:val="1"/>
      <w:numFmt w:val="lowerLetter"/>
      <w:lvlText w:val="%8."/>
      <w:lvlJc w:val="left"/>
      <w:pPr>
        <w:tabs>
          <w:tab w:val="num" w:pos="5947"/>
        </w:tabs>
        <w:ind w:left="5947" w:hanging="360"/>
      </w:pPr>
    </w:lvl>
    <w:lvl w:ilvl="8">
      <w:start w:val="1"/>
      <w:numFmt w:val="lowerRoman"/>
      <w:lvlText w:val="%9."/>
      <w:lvlJc w:val="right"/>
      <w:pPr>
        <w:tabs>
          <w:tab w:val="num" w:pos="6667"/>
        </w:tabs>
        <w:ind w:left="6667" w:hanging="180"/>
      </w:pPr>
    </w:lvl>
  </w:abstractNum>
  <w:abstractNum w:abstractNumId="16">
    <w:nsid w:val="308F2164"/>
    <w:multiLevelType w:val="hybridMultilevel"/>
    <w:tmpl w:val="89DEAE44"/>
    <w:lvl w:ilvl="0" w:tplc="16EA79AE">
      <w:start w:val="1"/>
      <w:numFmt w:val="lowerLetter"/>
      <w:lvlText w:val="(%1)"/>
      <w:lvlJc w:val="left"/>
      <w:pPr>
        <w:tabs>
          <w:tab w:val="num" w:pos="0"/>
        </w:tabs>
        <w:ind w:left="0" w:hanging="1080"/>
      </w:pPr>
      <w:rPr>
        <w:rFonts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17">
    <w:nsid w:val="30E865AF"/>
    <w:multiLevelType w:val="singleLevel"/>
    <w:tmpl w:val="8B20B7A6"/>
    <w:lvl w:ilvl="0">
      <w:start w:val="1"/>
      <w:numFmt w:val="decimal"/>
      <w:lvlText w:val="%1"/>
      <w:lvlJc w:val="left"/>
      <w:pPr>
        <w:tabs>
          <w:tab w:val="num" w:pos="360"/>
        </w:tabs>
        <w:ind w:left="360" w:hanging="360"/>
      </w:pPr>
      <w:rPr>
        <w:rFonts w:hint="eastAsia"/>
      </w:rPr>
    </w:lvl>
  </w:abstractNum>
  <w:abstractNum w:abstractNumId="18">
    <w:nsid w:val="320E08CF"/>
    <w:multiLevelType w:val="hybridMultilevel"/>
    <w:tmpl w:val="456A5B72"/>
    <w:lvl w:ilvl="0" w:tplc="04090001">
      <w:start w:val="1"/>
      <w:numFmt w:val="bullet"/>
      <w:lvlText w:val=""/>
      <w:lvlJc w:val="left"/>
      <w:pPr>
        <w:tabs>
          <w:tab w:val="num" w:pos="722"/>
        </w:tabs>
        <w:ind w:left="722" w:hanging="360"/>
      </w:pPr>
      <w:rPr>
        <w:rFonts w:ascii="Symbol" w:hAnsi="Symbol" w:hint="default"/>
      </w:rPr>
    </w:lvl>
    <w:lvl w:ilvl="1" w:tplc="04090003" w:tentative="1">
      <w:start w:val="1"/>
      <w:numFmt w:val="bullet"/>
      <w:lvlText w:val="o"/>
      <w:lvlJc w:val="left"/>
      <w:pPr>
        <w:tabs>
          <w:tab w:val="num" w:pos="1442"/>
        </w:tabs>
        <w:ind w:left="1442" w:hanging="360"/>
      </w:pPr>
      <w:rPr>
        <w:rFonts w:ascii="Courier New" w:hAnsi="Courier New" w:cs="Courier New" w:hint="default"/>
      </w:rPr>
    </w:lvl>
    <w:lvl w:ilvl="2" w:tplc="04090005" w:tentative="1">
      <w:start w:val="1"/>
      <w:numFmt w:val="bullet"/>
      <w:lvlText w:val=""/>
      <w:lvlJc w:val="left"/>
      <w:pPr>
        <w:tabs>
          <w:tab w:val="num" w:pos="2162"/>
        </w:tabs>
        <w:ind w:left="2162" w:hanging="360"/>
      </w:pPr>
      <w:rPr>
        <w:rFonts w:ascii="Wingdings" w:hAnsi="Wingdings" w:hint="default"/>
      </w:rPr>
    </w:lvl>
    <w:lvl w:ilvl="3" w:tplc="04090001" w:tentative="1">
      <w:start w:val="1"/>
      <w:numFmt w:val="bullet"/>
      <w:lvlText w:val=""/>
      <w:lvlJc w:val="left"/>
      <w:pPr>
        <w:tabs>
          <w:tab w:val="num" w:pos="2882"/>
        </w:tabs>
        <w:ind w:left="2882" w:hanging="360"/>
      </w:pPr>
      <w:rPr>
        <w:rFonts w:ascii="Symbol" w:hAnsi="Symbol" w:hint="default"/>
      </w:rPr>
    </w:lvl>
    <w:lvl w:ilvl="4" w:tplc="04090003" w:tentative="1">
      <w:start w:val="1"/>
      <w:numFmt w:val="bullet"/>
      <w:lvlText w:val="o"/>
      <w:lvlJc w:val="left"/>
      <w:pPr>
        <w:tabs>
          <w:tab w:val="num" w:pos="3602"/>
        </w:tabs>
        <w:ind w:left="3602" w:hanging="360"/>
      </w:pPr>
      <w:rPr>
        <w:rFonts w:ascii="Courier New" w:hAnsi="Courier New" w:cs="Courier New" w:hint="default"/>
      </w:rPr>
    </w:lvl>
    <w:lvl w:ilvl="5" w:tplc="04090005" w:tentative="1">
      <w:start w:val="1"/>
      <w:numFmt w:val="bullet"/>
      <w:lvlText w:val=""/>
      <w:lvlJc w:val="left"/>
      <w:pPr>
        <w:tabs>
          <w:tab w:val="num" w:pos="4322"/>
        </w:tabs>
        <w:ind w:left="4322" w:hanging="360"/>
      </w:pPr>
      <w:rPr>
        <w:rFonts w:ascii="Wingdings" w:hAnsi="Wingdings" w:hint="default"/>
      </w:rPr>
    </w:lvl>
    <w:lvl w:ilvl="6" w:tplc="04090001" w:tentative="1">
      <w:start w:val="1"/>
      <w:numFmt w:val="bullet"/>
      <w:lvlText w:val=""/>
      <w:lvlJc w:val="left"/>
      <w:pPr>
        <w:tabs>
          <w:tab w:val="num" w:pos="5042"/>
        </w:tabs>
        <w:ind w:left="5042" w:hanging="360"/>
      </w:pPr>
      <w:rPr>
        <w:rFonts w:ascii="Symbol" w:hAnsi="Symbol" w:hint="default"/>
      </w:rPr>
    </w:lvl>
    <w:lvl w:ilvl="7" w:tplc="04090003" w:tentative="1">
      <w:start w:val="1"/>
      <w:numFmt w:val="bullet"/>
      <w:lvlText w:val="o"/>
      <w:lvlJc w:val="left"/>
      <w:pPr>
        <w:tabs>
          <w:tab w:val="num" w:pos="5762"/>
        </w:tabs>
        <w:ind w:left="5762" w:hanging="360"/>
      </w:pPr>
      <w:rPr>
        <w:rFonts w:ascii="Courier New" w:hAnsi="Courier New" w:cs="Courier New" w:hint="default"/>
      </w:rPr>
    </w:lvl>
    <w:lvl w:ilvl="8" w:tplc="04090005" w:tentative="1">
      <w:start w:val="1"/>
      <w:numFmt w:val="bullet"/>
      <w:lvlText w:val=""/>
      <w:lvlJc w:val="left"/>
      <w:pPr>
        <w:tabs>
          <w:tab w:val="num" w:pos="6482"/>
        </w:tabs>
        <w:ind w:left="6482" w:hanging="360"/>
      </w:pPr>
      <w:rPr>
        <w:rFonts w:ascii="Wingdings" w:hAnsi="Wingdings" w:hint="default"/>
      </w:rPr>
    </w:lvl>
  </w:abstractNum>
  <w:abstractNum w:abstractNumId="19">
    <w:nsid w:val="33CC45DD"/>
    <w:multiLevelType w:val="multilevel"/>
    <w:tmpl w:val="60343C2C"/>
    <w:lvl w:ilvl="0">
      <w:start w:val="1"/>
      <w:numFmt w:val="decimal"/>
      <w:lvlText w:val="%1.   "/>
      <w:lvlJc w:val="left"/>
      <w:pPr>
        <w:tabs>
          <w:tab w:val="num" w:pos="1108"/>
        </w:tabs>
        <w:ind w:left="748"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4268F8"/>
    <w:multiLevelType w:val="hybridMultilevel"/>
    <w:tmpl w:val="94086D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C27415"/>
    <w:multiLevelType w:val="hybridMultilevel"/>
    <w:tmpl w:val="F476152C"/>
    <w:lvl w:ilvl="0" w:tplc="C6D2DF28">
      <w:start w:val="1"/>
      <w:numFmt w:val="decimal"/>
      <w:lvlText w:val="%1."/>
      <w:lvlJc w:val="left"/>
      <w:pPr>
        <w:tabs>
          <w:tab w:val="num" w:pos="904"/>
        </w:tabs>
        <w:ind w:left="547" w:firstLine="0"/>
      </w:pPr>
      <w:rPr>
        <w:rFonts w:hint="default"/>
      </w:rPr>
    </w:lvl>
    <w:lvl w:ilvl="1" w:tplc="04090019">
      <w:start w:val="1"/>
      <w:numFmt w:val="lowerLetter"/>
      <w:lvlText w:val="%2."/>
      <w:lvlJc w:val="left"/>
      <w:pPr>
        <w:tabs>
          <w:tab w:val="num" w:pos="1627"/>
        </w:tabs>
        <w:ind w:left="1627" w:hanging="360"/>
      </w:pPr>
    </w:lvl>
    <w:lvl w:ilvl="2" w:tplc="0409001B" w:tentative="1">
      <w:start w:val="1"/>
      <w:numFmt w:val="lowerRoman"/>
      <w:lvlText w:val="%3."/>
      <w:lvlJc w:val="right"/>
      <w:pPr>
        <w:tabs>
          <w:tab w:val="num" w:pos="2347"/>
        </w:tabs>
        <w:ind w:left="2347" w:hanging="180"/>
      </w:pPr>
    </w:lvl>
    <w:lvl w:ilvl="3" w:tplc="0409000F" w:tentative="1">
      <w:start w:val="1"/>
      <w:numFmt w:val="decimal"/>
      <w:lvlText w:val="%4."/>
      <w:lvlJc w:val="left"/>
      <w:pPr>
        <w:tabs>
          <w:tab w:val="num" w:pos="3067"/>
        </w:tabs>
        <w:ind w:left="3067" w:hanging="360"/>
      </w:pPr>
    </w:lvl>
    <w:lvl w:ilvl="4" w:tplc="04090019" w:tentative="1">
      <w:start w:val="1"/>
      <w:numFmt w:val="lowerLetter"/>
      <w:lvlText w:val="%5."/>
      <w:lvlJc w:val="left"/>
      <w:pPr>
        <w:tabs>
          <w:tab w:val="num" w:pos="3787"/>
        </w:tabs>
        <w:ind w:left="3787" w:hanging="360"/>
      </w:pPr>
    </w:lvl>
    <w:lvl w:ilvl="5" w:tplc="0409001B" w:tentative="1">
      <w:start w:val="1"/>
      <w:numFmt w:val="lowerRoman"/>
      <w:lvlText w:val="%6."/>
      <w:lvlJc w:val="right"/>
      <w:pPr>
        <w:tabs>
          <w:tab w:val="num" w:pos="4507"/>
        </w:tabs>
        <w:ind w:left="4507" w:hanging="180"/>
      </w:pPr>
    </w:lvl>
    <w:lvl w:ilvl="6" w:tplc="0409000F" w:tentative="1">
      <w:start w:val="1"/>
      <w:numFmt w:val="decimal"/>
      <w:lvlText w:val="%7."/>
      <w:lvlJc w:val="left"/>
      <w:pPr>
        <w:tabs>
          <w:tab w:val="num" w:pos="5227"/>
        </w:tabs>
        <w:ind w:left="5227" w:hanging="360"/>
      </w:pPr>
    </w:lvl>
    <w:lvl w:ilvl="7" w:tplc="04090019" w:tentative="1">
      <w:start w:val="1"/>
      <w:numFmt w:val="lowerLetter"/>
      <w:lvlText w:val="%8."/>
      <w:lvlJc w:val="left"/>
      <w:pPr>
        <w:tabs>
          <w:tab w:val="num" w:pos="5947"/>
        </w:tabs>
        <w:ind w:left="5947" w:hanging="360"/>
      </w:pPr>
    </w:lvl>
    <w:lvl w:ilvl="8" w:tplc="0409001B" w:tentative="1">
      <w:start w:val="1"/>
      <w:numFmt w:val="lowerRoman"/>
      <w:lvlText w:val="%9."/>
      <w:lvlJc w:val="right"/>
      <w:pPr>
        <w:tabs>
          <w:tab w:val="num" w:pos="6667"/>
        </w:tabs>
        <w:ind w:left="6667" w:hanging="180"/>
      </w:pPr>
    </w:lvl>
  </w:abstractNum>
  <w:abstractNum w:abstractNumId="22">
    <w:nsid w:val="37F8667C"/>
    <w:multiLevelType w:val="singleLevel"/>
    <w:tmpl w:val="0450A99A"/>
    <w:lvl w:ilvl="0">
      <w:start w:val="1"/>
      <w:numFmt w:val="lowerRoman"/>
      <w:lvlText w:val="(%1)"/>
      <w:lvlJc w:val="left"/>
      <w:pPr>
        <w:tabs>
          <w:tab w:val="num" w:pos="1140"/>
        </w:tabs>
        <w:ind w:left="1140" w:hanging="570"/>
      </w:pPr>
      <w:rPr>
        <w:rFonts w:hint="default"/>
      </w:rPr>
    </w:lvl>
  </w:abstractNum>
  <w:abstractNum w:abstractNumId="23">
    <w:nsid w:val="38781CDA"/>
    <w:multiLevelType w:val="hybridMultilevel"/>
    <w:tmpl w:val="26502DEE"/>
    <w:lvl w:ilvl="0" w:tplc="36B87B3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5">
    <w:nsid w:val="3BE0324E"/>
    <w:multiLevelType w:val="hybridMultilevel"/>
    <w:tmpl w:val="480A3516"/>
    <w:lvl w:ilvl="0" w:tplc="2222EF34">
      <w:start w:val="1"/>
      <w:numFmt w:val="lowerLetter"/>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1FF147B"/>
    <w:multiLevelType w:val="hybridMultilevel"/>
    <w:tmpl w:val="B29C892C"/>
    <w:lvl w:ilvl="0" w:tplc="561A8304">
      <w:start w:val="1"/>
      <w:numFmt w:val="lowerLetter"/>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506297C"/>
    <w:multiLevelType w:val="hybridMultilevel"/>
    <w:tmpl w:val="5DAE40B0"/>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493069BC"/>
    <w:multiLevelType w:val="hybridMultilevel"/>
    <w:tmpl w:val="8DE2BB72"/>
    <w:lvl w:ilvl="0" w:tplc="6D1C5684">
      <w:start w:val="1"/>
      <w:numFmt w:val="lowerLetter"/>
      <w:lvlText w:val="(%1)"/>
      <w:lvlJc w:val="left"/>
      <w:pPr>
        <w:tabs>
          <w:tab w:val="num" w:pos="1146"/>
        </w:tabs>
        <w:ind w:left="1146" w:hanging="1140"/>
      </w:pPr>
      <w:rPr>
        <w:rFonts w:hint="default"/>
      </w:rPr>
    </w:lvl>
    <w:lvl w:ilvl="1" w:tplc="04090019" w:tentative="1">
      <w:start w:val="1"/>
      <w:numFmt w:val="ideographTraditional"/>
      <w:lvlText w:val="%2、"/>
      <w:lvlJc w:val="left"/>
      <w:pPr>
        <w:tabs>
          <w:tab w:val="num" w:pos="966"/>
        </w:tabs>
        <w:ind w:left="966" w:hanging="480"/>
      </w:pPr>
    </w:lvl>
    <w:lvl w:ilvl="2" w:tplc="0409001B" w:tentative="1">
      <w:start w:val="1"/>
      <w:numFmt w:val="lowerRoman"/>
      <w:lvlText w:val="%3."/>
      <w:lvlJc w:val="right"/>
      <w:pPr>
        <w:tabs>
          <w:tab w:val="num" w:pos="1446"/>
        </w:tabs>
        <w:ind w:left="1446" w:hanging="480"/>
      </w:pPr>
    </w:lvl>
    <w:lvl w:ilvl="3" w:tplc="0409000F" w:tentative="1">
      <w:start w:val="1"/>
      <w:numFmt w:val="decimal"/>
      <w:lvlText w:val="%4."/>
      <w:lvlJc w:val="left"/>
      <w:pPr>
        <w:tabs>
          <w:tab w:val="num" w:pos="1926"/>
        </w:tabs>
        <w:ind w:left="1926" w:hanging="480"/>
      </w:pPr>
    </w:lvl>
    <w:lvl w:ilvl="4" w:tplc="04090019" w:tentative="1">
      <w:start w:val="1"/>
      <w:numFmt w:val="ideographTraditional"/>
      <w:lvlText w:val="%5、"/>
      <w:lvlJc w:val="left"/>
      <w:pPr>
        <w:tabs>
          <w:tab w:val="num" w:pos="2406"/>
        </w:tabs>
        <w:ind w:left="2406" w:hanging="480"/>
      </w:pPr>
    </w:lvl>
    <w:lvl w:ilvl="5" w:tplc="0409001B" w:tentative="1">
      <w:start w:val="1"/>
      <w:numFmt w:val="lowerRoman"/>
      <w:lvlText w:val="%6."/>
      <w:lvlJc w:val="right"/>
      <w:pPr>
        <w:tabs>
          <w:tab w:val="num" w:pos="2886"/>
        </w:tabs>
        <w:ind w:left="2886" w:hanging="480"/>
      </w:pPr>
    </w:lvl>
    <w:lvl w:ilvl="6" w:tplc="0409000F" w:tentative="1">
      <w:start w:val="1"/>
      <w:numFmt w:val="decimal"/>
      <w:lvlText w:val="%7."/>
      <w:lvlJc w:val="left"/>
      <w:pPr>
        <w:tabs>
          <w:tab w:val="num" w:pos="3366"/>
        </w:tabs>
        <w:ind w:left="3366" w:hanging="480"/>
      </w:pPr>
    </w:lvl>
    <w:lvl w:ilvl="7" w:tplc="04090019" w:tentative="1">
      <w:start w:val="1"/>
      <w:numFmt w:val="ideographTraditional"/>
      <w:lvlText w:val="%8、"/>
      <w:lvlJc w:val="left"/>
      <w:pPr>
        <w:tabs>
          <w:tab w:val="num" w:pos="3846"/>
        </w:tabs>
        <w:ind w:left="3846" w:hanging="480"/>
      </w:pPr>
    </w:lvl>
    <w:lvl w:ilvl="8" w:tplc="0409001B" w:tentative="1">
      <w:start w:val="1"/>
      <w:numFmt w:val="lowerRoman"/>
      <w:lvlText w:val="%9."/>
      <w:lvlJc w:val="right"/>
      <w:pPr>
        <w:tabs>
          <w:tab w:val="num" w:pos="4326"/>
        </w:tabs>
        <w:ind w:left="4326" w:hanging="480"/>
      </w:pPr>
    </w:lvl>
  </w:abstractNum>
  <w:abstractNum w:abstractNumId="29">
    <w:nsid w:val="4D5F0918"/>
    <w:multiLevelType w:val="hybridMultilevel"/>
    <w:tmpl w:val="161A61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F1F2446"/>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06E4DCF"/>
    <w:multiLevelType w:val="hybridMultilevel"/>
    <w:tmpl w:val="7F52D69C"/>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3">
    <w:nsid w:val="54213365"/>
    <w:multiLevelType w:val="hybridMultilevel"/>
    <w:tmpl w:val="B290CF50"/>
    <w:lvl w:ilvl="0" w:tplc="D8666114">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48A7B65"/>
    <w:multiLevelType w:val="multilevel"/>
    <w:tmpl w:val="E7AE92A2"/>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72D20CB"/>
    <w:multiLevelType w:val="hybridMultilevel"/>
    <w:tmpl w:val="6E089E04"/>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57800E57"/>
    <w:multiLevelType w:val="multilevel"/>
    <w:tmpl w:val="4B206986"/>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59C92E28"/>
    <w:multiLevelType w:val="hybridMultilevel"/>
    <w:tmpl w:val="CE3A19E0"/>
    <w:lvl w:ilvl="0" w:tplc="36B87B30">
      <w:start w:val="1"/>
      <w:numFmt w:val="chineseCountingThousand"/>
      <w:lvlRestart w:val="0"/>
      <w:lvlText w:val="(%1)"/>
      <w:lvlJc w:val="right"/>
      <w:pPr>
        <w:tabs>
          <w:tab w:val="num" w:pos="1021"/>
        </w:tabs>
        <w:ind w:left="1021" w:hanging="170"/>
      </w:pPr>
      <w:rPr>
        <w:rFonts w:ascii="Times New Roman" w:hAnsi="Times New Roman"/>
        <w:sz w:val="20"/>
      </w:rPr>
    </w:lvl>
    <w:lvl w:ilvl="1" w:tplc="04090019" w:tentative="1">
      <w:start w:val="1"/>
      <w:numFmt w:val="ideographTraditional"/>
      <w:lvlText w:val="%2、"/>
      <w:lvlJc w:val="left"/>
      <w:pPr>
        <w:tabs>
          <w:tab w:val="num" w:pos="450"/>
        </w:tabs>
        <w:ind w:left="450" w:hanging="480"/>
      </w:pPr>
    </w:lvl>
    <w:lvl w:ilvl="2" w:tplc="0409001B" w:tentative="1">
      <w:start w:val="1"/>
      <w:numFmt w:val="lowerRoman"/>
      <w:lvlText w:val="%3."/>
      <w:lvlJc w:val="right"/>
      <w:pPr>
        <w:tabs>
          <w:tab w:val="num" w:pos="930"/>
        </w:tabs>
        <w:ind w:left="930" w:hanging="480"/>
      </w:pPr>
    </w:lvl>
    <w:lvl w:ilvl="3" w:tplc="0409000F" w:tentative="1">
      <w:start w:val="1"/>
      <w:numFmt w:val="decimal"/>
      <w:lvlText w:val="%4."/>
      <w:lvlJc w:val="left"/>
      <w:pPr>
        <w:tabs>
          <w:tab w:val="num" w:pos="1410"/>
        </w:tabs>
        <w:ind w:left="1410" w:hanging="480"/>
      </w:pPr>
    </w:lvl>
    <w:lvl w:ilvl="4" w:tplc="04090019" w:tentative="1">
      <w:start w:val="1"/>
      <w:numFmt w:val="ideographTraditional"/>
      <w:lvlText w:val="%5、"/>
      <w:lvlJc w:val="left"/>
      <w:pPr>
        <w:tabs>
          <w:tab w:val="num" w:pos="1890"/>
        </w:tabs>
        <w:ind w:left="1890" w:hanging="480"/>
      </w:pPr>
    </w:lvl>
    <w:lvl w:ilvl="5" w:tplc="0409001B" w:tentative="1">
      <w:start w:val="1"/>
      <w:numFmt w:val="lowerRoman"/>
      <w:lvlText w:val="%6."/>
      <w:lvlJc w:val="right"/>
      <w:pPr>
        <w:tabs>
          <w:tab w:val="num" w:pos="2370"/>
        </w:tabs>
        <w:ind w:left="2370" w:hanging="480"/>
      </w:pPr>
    </w:lvl>
    <w:lvl w:ilvl="6" w:tplc="0409000F" w:tentative="1">
      <w:start w:val="1"/>
      <w:numFmt w:val="decimal"/>
      <w:lvlText w:val="%7."/>
      <w:lvlJc w:val="left"/>
      <w:pPr>
        <w:tabs>
          <w:tab w:val="num" w:pos="2850"/>
        </w:tabs>
        <w:ind w:left="2850" w:hanging="480"/>
      </w:pPr>
    </w:lvl>
    <w:lvl w:ilvl="7" w:tplc="04090019" w:tentative="1">
      <w:start w:val="1"/>
      <w:numFmt w:val="ideographTraditional"/>
      <w:lvlText w:val="%8、"/>
      <w:lvlJc w:val="left"/>
      <w:pPr>
        <w:tabs>
          <w:tab w:val="num" w:pos="3330"/>
        </w:tabs>
        <w:ind w:left="3330" w:hanging="480"/>
      </w:pPr>
    </w:lvl>
    <w:lvl w:ilvl="8" w:tplc="0409001B" w:tentative="1">
      <w:start w:val="1"/>
      <w:numFmt w:val="lowerRoman"/>
      <w:lvlText w:val="%9."/>
      <w:lvlJc w:val="right"/>
      <w:pPr>
        <w:tabs>
          <w:tab w:val="num" w:pos="3810"/>
        </w:tabs>
        <w:ind w:left="3810" w:hanging="480"/>
      </w:pPr>
    </w:lvl>
  </w:abstractNum>
  <w:abstractNum w:abstractNumId="38">
    <w:nsid w:val="5C3B13F4"/>
    <w:multiLevelType w:val="hybridMultilevel"/>
    <w:tmpl w:val="9E8E5734"/>
    <w:lvl w:ilvl="0" w:tplc="0D803C5A">
      <w:start w:val="1"/>
      <w:numFmt w:val="lowerLetter"/>
      <w:lvlText w:val="(%1)"/>
      <w:lvlJc w:val="left"/>
      <w:pPr>
        <w:tabs>
          <w:tab w:val="num" w:pos="-624"/>
        </w:tabs>
        <w:ind w:left="-624" w:hanging="360"/>
      </w:pPr>
      <w:rPr>
        <w:rFonts w:hint="default"/>
      </w:rPr>
    </w:lvl>
    <w:lvl w:ilvl="1" w:tplc="04090019" w:tentative="1">
      <w:start w:val="1"/>
      <w:numFmt w:val="ideographTraditional"/>
      <w:lvlText w:val="%2、"/>
      <w:lvlJc w:val="left"/>
      <w:pPr>
        <w:tabs>
          <w:tab w:val="num" w:pos="-24"/>
        </w:tabs>
        <w:ind w:left="-24" w:hanging="480"/>
      </w:pPr>
    </w:lvl>
    <w:lvl w:ilvl="2" w:tplc="0409001B" w:tentative="1">
      <w:start w:val="1"/>
      <w:numFmt w:val="lowerRoman"/>
      <w:lvlText w:val="%3."/>
      <w:lvlJc w:val="right"/>
      <w:pPr>
        <w:tabs>
          <w:tab w:val="num" w:pos="456"/>
        </w:tabs>
        <w:ind w:left="456" w:hanging="480"/>
      </w:pPr>
    </w:lvl>
    <w:lvl w:ilvl="3" w:tplc="0409000F" w:tentative="1">
      <w:start w:val="1"/>
      <w:numFmt w:val="decimal"/>
      <w:lvlText w:val="%4."/>
      <w:lvlJc w:val="left"/>
      <w:pPr>
        <w:tabs>
          <w:tab w:val="num" w:pos="936"/>
        </w:tabs>
        <w:ind w:left="936" w:hanging="480"/>
      </w:pPr>
    </w:lvl>
    <w:lvl w:ilvl="4" w:tplc="04090019" w:tentative="1">
      <w:start w:val="1"/>
      <w:numFmt w:val="ideographTraditional"/>
      <w:lvlText w:val="%5、"/>
      <w:lvlJc w:val="left"/>
      <w:pPr>
        <w:tabs>
          <w:tab w:val="num" w:pos="1416"/>
        </w:tabs>
        <w:ind w:left="1416" w:hanging="480"/>
      </w:pPr>
    </w:lvl>
    <w:lvl w:ilvl="5" w:tplc="0409001B" w:tentative="1">
      <w:start w:val="1"/>
      <w:numFmt w:val="lowerRoman"/>
      <w:lvlText w:val="%6."/>
      <w:lvlJc w:val="right"/>
      <w:pPr>
        <w:tabs>
          <w:tab w:val="num" w:pos="1896"/>
        </w:tabs>
        <w:ind w:left="1896" w:hanging="480"/>
      </w:pPr>
    </w:lvl>
    <w:lvl w:ilvl="6" w:tplc="0409000F" w:tentative="1">
      <w:start w:val="1"/>
      <w:numFmt w:val="decimal"/>
      <w:lvlText w:val="%7."/>
      <w:lvlJc w:val="left"/>
      <w:pPr>
        <w:tabs>
          <w:tab w:val="num" w:pos="2376"/>
        </w:tabs>
        <w:ind w:left="2376" w:hanging="480"/>
      </w:pPr>
    </w:lvl>
    <w:lvl w:ilvl="7" w:tplc="04090019" w:tentative="1">
      <w:start w:val="1"/>
      <w:numFmt w:val="ideographTraditional"/>
      <w:lvlText w:val="%8、"/>
      <w:lvlJc w:val="left"/>
      <w:pPr>
        <w:tabs>
          <w:tab w:val="num" w:pos="2856"/>
        </w:tabs>
        <w:ind w:left="2856" w:hanging="480"/>
      </w:pPr>
    </w:lvl>
    <w:lvl w:ilvl="8" w:tplc="0409001B" w:tentative="1">
      <w:start w:val="1"/>
      <w:numFmt w:val="lowerRoman"/>
      <w:lvlText w:val="%9."/>
      <w:lvlJc w:val="right"/>
      <w:pPr>
        <w:tabs>
          <w:tab w:val="num" w:pos="3336"/>
        </w:tabs>
        <w:ind w:left="3336" w:hanging="480"/>
      </w:pPr>
    </w:lvl>
  </w:abstractNum>
  <w:abstractNum w:abstractNumId="39">
    <w:nsid w:val="5C447003"/>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5D4F7143"/>
    <w:multiLevelType w:val="hybridMultilevel"/>
    <w:tmpl w:val="AC745648"/>
    <w:lvl w:ilvl="0" w:tplc="FD7AB440">
      <w:start w:val="1"/>
      <w:numFmt w:val="lowerLetter"/>
      <w:lvlRestart w:val="0"/>
      <w:lvlText w:val="(%1)"/>
      <w:lvlJc w:val="right"/>
      <w:pPr>
        <w:tabs>
          <w:tab w:val="num" w:pos="397"/>
        </w:tabs>
        <w:ind w:left="397" w:hanging="170"/>
      </w:pPr>
      <w:rPr>
        <w:rFonts w:ascii="Times New Roman" w:hAnsi="Times New Roman"/>
        <w:b w:val="0"/>
        <w:i w:val="0"/>
        <w:sz w:val="24"/>
      </w:rPr>
    </w:lvl>
    <w:lvl w:ilvl="1" w:tplc="04090019" w:tentative="1">
      <w:start w:val="1"/>
      <w:numFmt w:val="ideographTraditional"/>
      <w:lvlText w:val="%2、"/>
      <w:lvlJc w:val="left"/>
      <w:pPr>
        <w:tabs>
          <w:tab w:val="num" w:pos="-174"/>
        </w:tabs>
        <w:ind w:left="-174" w:hanging="480"/>
      </w:pPr>
    </w:lvl>
    <w:lvl w:ilvl="2" w:tplc="0409001B" w:tentative="1">
      <w:start w:val="1"/>
      <w:numFmt w:val="lowerRoman"/>
      <w:lvlText w:val="%3."/>
      <w:lvlJc w:val="right"/>
      <w:pPr>
        <w:tabs>
          <w:tab w:val="num" w:pos="306"/>
        </w:tabs>
        <w:ind w:left="306" w:hanging="480"/>
      </w:pPr>
    </w:lvl>
    <w:lvl w:ilvl="3" w:tplc="0409000F" w:tentative="1">
      <w:start w:val="1"/>
      <w:numFmt w:val="decimal"/>
      <w:lvlText w:val="%4."/>
      <w:lvlJc w:val="left"/>
      <w:pPr>
        <w:tabs>
          <w:tab w:val="num" w:pos="786"/>
        </w:tabs>
        <w:ind w:left="786" w:hanging="480"/>
      </w:pPr>
    </w:lvl>
    <w:lvl w:ilvl="4" w:tplc="04090019" w:tentative="1">
      <w:start w:val="1"/>
      <w:numFmt w:val="ideographTraditional"/>
      <w:lvlText w:val="%5、"/>
      <w:lvlJc w:val="left"/>
      <w:pPr>
        <w:tabs>
          <w:tab w:val="num" w:pos="1266"/>
        </w:tabs>
        <w:ind w:left="1266" w:hanging="480"/>
      </w:pPr>
    </w:lvl>
    <w:lvl w:ilvl="5" w:tplc="0409001B" w:tentative="1">
      <w:start w:val="1"/>
      <w:numFmt w:val="lowerRoman"/>
      <w:lvlText w:val="%6."/>
      <w:lvlJc w:val="right"/>
      <w:pPr>
        <w:tabs>
          <w:tab w:val="num" w:pos="1746"/>
        </w:tabs>
        <w:ind w:left="1746" w:hanging="480"/>
      </w:pPr>
    </w:lvl>
    <w:lvl w:ilvl="6" w:tplc="0409000F" w:tentative="1">
      <w:start w:val="1"/>
      <w:numFmt w:val="decimal"/>
      <w:lvlText w:val="%7."/>
      <w:lvlJc w:val="left"/>
      <w:pPr>
        <w:tabs>
          <w:tab w:val="num" w:pos="2226"/>
        </w:tabs>
        <w:ind w:left="2226" w:hanging="480"/>
      </w:pPr>
    </w:lvl>
    <w:lvl w:ilvl="7" w:tplc="04090019" w:tentative="1">
      <w:start w:val="1"/>
      <w:numFmt w:val="ideographTraditional"/>
      <w:lvlText w:val="%8、"/>
      <w:lvlJc w:val="left"/>
      <w:pPr>
        <w:tabs>
          <w:tab w:val="num" w:pos="2706"/>
        </w:tabs>
        <w:ind w:left="2706" w:hanging="480"/>
      </w:pPr>
    </w:lvl>
    <w:lvl w:ilvl="8" w:tplc="0409001B" w:tentative="1">
      <w:start w:val="1"/>
      <w:numFmt w:val="lowerRoman"/>
      <w:lvlText w:val="%9."/>
      <w:lvlJc w:val="right"/>
      <w:pPr>
        <w:tabs>
          <w:tab w:val="num" w:pos="3186"/>
        </w:tabs>
        <w:ind w:left="3186" w:hanging="480"/>
      </w:pPr>
    </w:lvl>
  </w:abstractNum>
  <w:abstractNum w:abstractNumId="41">
    <w:nsid w:val="5DCF0D42"/>
    <w:multiLevelType w:val="hybridMultilevel"/>
    <w:tmpl w:val="86B2FA86"/>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5F964EA5"/>
    <w:multiLevelType w:val="hybridMultilevel"/>
    <w:tmpl w:val="B0A2B308"/>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681F2D55"/>
    <w:multiLevelType w:val="multilevel"/>
    <w:tmpl w:val="7A20A76C"/>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08E40FE"/>
    <w:multiLevelType w:val="multilevel"/>
    <w:tmpl w:val="54802DD8"/>
    <w:lvl w:ilvl="0">
      <w:start w:val="1"/>
      <w:numFmt w:val="decimal"/>
      <w:lvlText w:val="%1.   "/>
      <w:lvlJc w:val="left"/>
      <w:pPr>
        <w:tabs>
          <w:tab w:val="num" w:pos="360"/>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4873F2A"/>
    <w:multiLevelType w:val="hybridMultilevel"/>
    <w:tmpl w:val="C5D65852"/>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6696218"/>
    <w:multiLevelType w:val="hybridMultilevel"/>
    <w:tmpl w:val="00147960"/>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7672410C"/>
    <w:multiLevelType w:val="hybridMultilevel"/>
    <w:tmpl w:val="4468DE8C"/>
    <w:lvl w:ilvl="0" w:tplc="FD7AB440">
      <w:start w:val="1"/>
      <w:numFmt w:val="lowerLetter"/>
      <w:lvlRestart w:val="0"/>
      <w:lvlText w:val="(%1)"/>
      <w:lvlJc w:val="right"/>
      <w:pPr>
        <w:tabs>
          <w:tab w:val="num" w:pos="397"/>
        </w:tabs>
        <w:ind w:left="397" w:hanging="170"/>
      </w:pPr>
      <w:rPr>
        <w:rFonts w:ascii="Times New Roman" w:hAnsi="Times New Roman"/>
        <w:b w:val="0"/>
        <w:i w:val="0"/>
        <w:sz w:val="24"/>
      </w:rPr>
    </w:lvl>
    <w:lvl w:ilvl="1" w:tplc="04090019" w:tentative="1">
      <w:start w:val="1"/>
      <w:numFmt w:val="ideographTraditional"/>
      <w:lvlText w:val="%2、"/>
      <w:lvlJc w:val="left"/>
      <w:pPr>
        <w:tabs>
          <w:tab w:val="num" w:pos="-174"/>
        </w:tabs>
        <w:ind w:left="-174" w:hanging="480"/>
      </w:pPr>
    </w:lvl>
    <w:lvl w:ilvl="2" w:tplc="0409001B" w:tentative="1">
      <w:start w:val="1"/>
      <w:numFmt w:val="lowerRoman"/>
      <w:lvlText w:val="%3."/>
      <w:lvlJc w:val="right"/>
      <w:pPr>
        <w:tabs>
          <w:tab w:val="num" w:pos="306"/>
        </w:tabs>
        <w:ind w:left="306" w:hanging="480"/>
      </w:pPr>
    </w:lvl>
    <w:lvl w:ilvl="3" w:tplc="0409000F" w:tentative="1">
      <w:start w:val="1"/>
      <w:numFmt w:val="decimal"/>
      <w:lvlText w:val="%4."/>
      <w:lvlJc w:val="left"/>
      <w:pPr>
        <w:tabs>
          <w:tab w:val="num" w:pos="786"/>
        </w:tabs>
        <w:ind w:left="786" w:hanging="480"/>
      </w:pPr>
    </w:lvl>
    <w:lvl w:ilvl="4" w:tplc="04090019" w:tentative="1">
      <w:start w:val="1"/>
      <w:numFmt w:val="ideographTraditional"/>
      <w:lvlText w:val="%5、"/>
      <w:lvlJc w:val="left"/>
      <w:pPr>
        <w:tabs>
          <w:tab w:val="num" w:pos="1266"/>
        </w:tabs>
        <w:ind w:left="1266" w:hanging="480"/>
      </w:pPr>
    </w:lvl>
    <w:lvl w:ilvl="5" w:tplc="0409001B" w:tentative="1">
      <w:start w:val="1"/>
      <w:numFmt w:val="lowerRoman"/>
      <w:lvlText w:val="%6."/>
      <w:lvlJc w:val="right"/>
      <w:pPr>
        <w:tabs>
          <w:tab w:val="num" w:pos="1746"/>
        </w:tabs>
        <w:ind w:left="1746" w:hanging="480"/>
      </w:pPr>
    </w:lvl>
    <w:lvl w:ilvl="6" w:tplc="0409000F" w:tentative="1">
      <w:start w:val="1"/>
      <w:numFmt w:val="decimal"/>
      <w:lvlText w:val="%7."/>
      <w:lvlJc w:val="left"/>
      <w:pPr>
        <w:tabs>
          <w:tab w:val="num" w:pos="2226"/>
        </w:tabs>
        <w:ind w:left="2226" w:hanging="480"/>
      </w:pPr>
    </w:lvl>
    <w:lvl w:ilvl="7" w:tplc="04090019" w:tentative="1">
      <w:start w:val="1"/>
      <w:numFmt w:val="ideographTraditional"/>
      <w:lvlText w:val="%8、"/>
      <w:lvlJc w:val="left"/>
      <w:pPr>
        <w:tabs>
          <w:tab w:val="num" w:pos="2706"/>
        </w:tabs>
        <w:ind w:left="2706" w:hanging="480"/>
      </w:pPr>
    </w:lvl>
    <w:lvl w:ilvl="8" w:tplc="0409001B" w:tentative="1">
      <w:start w:val="1"/>
      <w:numFmt w:val="lowerRoman"/>
      <w:lvlText w:val="%9."/>
      <w:lvlJc w:val="right"/>
      <w:pPr>
        <w:tabs>
          <w:tab w:val="num" w:pos="3186"/>
        </w:tabs>
        <w:ind w:left="3186" w:hanging="480"/>
      </w:pPr>
    </w:lvl>
  </w:abstractNum>
  <w:abstractNum w:abstractNumId="48">
    <w:nsid w:val="76E7488F"/>
    <w:multiLevelType w:val="hybridMultilevel"/>
    <w:tmpl w:val="B86A2CC0"/>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77EE2830"/>
    <w:multiLevelType w:val="hybridMultilevel"/>
    <w:tmpl w:val="0A42C4F2"/>
    <w:lvl w:ilvl="0" w:tplc="FD7AB440">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7CE06542"/>
    <w:multiLevelType w:val="hybridMultilevel"/>
    <w:tmpl w:val="A026777E"/>
    <w:lvl w:ilvl="0" w:tplc="FA6A3646">
      <w:start w:val="1"/>
      <w:numFmt w:val="lowerLetter"/>
      <w:lvlText w:val="(%1)"/>
      <w:lvlJc w:val="left"/>
      <w:pPr>
        <w:tabs>
          <w:tab w:val="num" w:pos="0"/>
        </w:tabs>
        <w:ind w:left="0" w:hanging="360"/>
      </w:pPr>
      <w:rPr>
        <w:rFonts w:hint="default"/>
      </w:rPr>
    </w:lvl>
    <w:lvl w:ilvl="1" w:tplc="04090019" w:tentative="1">
      <w:start w:val="1"/>
      <w:numFmt w:val="ideographTraditional"/>
      <w:lvlText w:val="%2、"/>
      <w:lvlJc w:val="left"/>
      <w:pPr>
        <w:tabs>
          <w:tab w:val="num" w:pos="600"/>
        </w:tabs>
        <w:ind w:left="600" w:hanging="480"/>
      </w:pPr>
    </w:lvl>
    <w:lvl w:ilvl="2" w:tplc="0409001B" w:tentative="1">
      <w:start w:val="1"/>
      <w:numFmt w:val="lowerRoman"/>
      <w:lvlText w:val="%3."/>
      <w:lvlJc w:val="right"/>
      <w:pPr>
        <w:tabs>
          <w:tab w:val="num" w:pos="1080"/>
        </w:tabs>
        <w:ind w:left="1080" w:hanging="480"/>
      </w:pPr>
    </w:lvl>
    <w:lvl w:ilvl="3" w:tplc="0409000F" w:tentative="1">
      <w:start w:val="1"/>
      <w:numFmt w:val="decimal"/>
      <w:lvlText w:val="%4."/>
      <w:lvlJc w:val="left"/>
      <w:pPr>
        <w:tabs>
          <w:tab w:val="num" w:pos="1560"/>
        </w:tabs>
        <w:ind w:left="1560" w:hanging="480"/>
      </w:pPr>
    </w:lvl>
    <w:lvl w:ilvl="4" w:tplc="04090019" w:tentative="1">
      <w:start w:val="1"/>
      <w:numFmt w:val="ideographTraditional"/>
      <w:lvlText w:val="%5、"/>
      <w:lvlJc w:val="left"/>
      <w:pPr>
        <w:tabs>
          <w:tab w:val="num" w:pos="2040"/>
        </w:tabs>
        <w:ind w:left="2040" w:hanging="480"/>
      </w:pPr>
    </w:lvl>
    <w:lvl w:ilvl="5" w:tplc="0409001B" w:tentative="1">
      <w:start w:val="1"/>
      <w:numFmt w:val="lowerRoman"/>
      <w:lvlText w:val="%6."/>
      <w:lvlJc w:val="right"/>
      <w:pPr>
        <w:tabs>
          <w:tab w:val="num" w:pos="2520"/>
        </w:tabs>
        <w:ind w:left="2520" w:hanging="480"/>
      </w:pPr>
    </w:lvl>
    <w:lvl w:ilvl="6" w:tplc="0409000F" w:tentative="1">
      <w:start w:val="1"/>
      <w:numFmt w:val="decimal"/>
      <w:lvlText w:val="%7."/>
      <w:lvlJc w:val="left"/>
      <w:pPr>
        <w:tabs>
          <w:tab w:val="num" w:pos="3000"/>
        </w:tabs>
        <w:ind w:left="3000" w:hanging="480"/>
      </w:pPr>
    </w:lvl>
    <w:lvl w:ilvl="7" w:tplc="04090019" w:tentative="1">
      <w:start w:val="1"/>
      <w:numFmt w:val="ideographTraditional"/>
      <w:lvlText w:val="%8、"/>
      <w:lvlJc w:val="left"/>
      <w:pPr>
        <w:tabs>
          <w:tab w:val="num" w:pos="3480"/>
        </w:tabs>
        <w:ind w:left="3480" w:hanging="480"/>
      </w:pPr>
    </w:lvl>
    <w:lvl w:ilvl="8" w:tplc="0409001B" w:tentative="1">
      <w:start w:val="1"/>
      <w:numFmt w:val="lowerRoman"/>
      <w:lvlText w:val="%9."/>
      <w:lvlJc w:val="right"/>
      <w:pPr>
        <w:tabs>
          <w:tab w:val="num" w:pos="3960"/>
        </w:tabs>
        <w:ind w:left="3960" w:hanging="480"/>
      </w:pPr>
    </w:lvl>
  </w:abstractNum>
  <w:num w:numId="1">
    <w:abstractNumId w:val="32"/>
  </w:num>
  <w:num w:numId="2">
    <w:abstractNumId w:val="24"/>
  </w:num>
  <w:num w:numId="3">
    <w:abstractNumId w:val="11"/>
  </w:num>
  <w:num w:numId="4">
    <w:abstractNumId w:val="31"/>
  </w:num>
  <w:num w:numId="5">
    <w:abstractNumId w:val="14"/>
  </w:num>
  <w:num w:numId="6">
    <w:abstractNumId w:val="29"/>
  </w:num>
  <w:num w:numId="7">
    <w:abstractNumId w:val="21"/>
  </w:num>
  <w:num w:numId="8">
    <w:abstractNumId w:val="20"/>
  </w:num>
  <w:num w:numId="9">
    <w:abstractNumId w:val="44"/>
  </w:num>
  <w:num w:numId="10">
    <w:abstractNumId w:val="33"/>
  </w:num>
  <w:num w:numId="11">
    <w:abstractNumId w:val="19"/>
  </w:num>
  <w:num w:numId="12">
    <w:abstractNumId w:val="43"/>
  </w:num>
  <w:num w:numId="13">
    <w:abstractNumId w:val="1"/>
  </w:num>
  <w:num w:numId="14">
    <w:abstractNumId w:val="34"/>
  </w:num>
  <w:num w:numId="15">
    <w:abstractNumId w:val="36"/>
  </w:num>
  <w:num w:numId="16">
    <w:abstractNumId w:val="11"/>
    <w:lvlOverride w:ilvl="0">
      <w:startOverride w:val="1"/>
    </w:lvlOverride>
  </w:num>
  <w:num w:numId="17">
    <w:abstractNumId w:val="15"/>
  </w:num>
  <w:num w:numId="18">
    <w:abstractNumId w:val="39"/>
  </w:num>
  <w:num w:numId="19">
    <w:abstractNumId w:val="5"/>
  </w:num>
  <w:num w:numId="20">
    <w:abstractNumId w:val="10"/>
  </w:num>
  <w:num w:numId="21">
    <w:abstractNumId w:val="3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2"/>
    </w:lvlOverride>
  </w:num>
  <w:num w:numId="23">
    <w:abstractNumId w:val="17"/>
  </w:num>
  <w:num w:numId="24">
    <w:abstractNumId w:val="22"/>
  </w:num>
  <w:num w:numId="25">
    <w:abstractNumId w:val="18"/>
  </w:num>
  <w:num w:numId="26">
    <w:abstractNumId w:val="8"/>
  </w:num>
  <w:num w:numId="27">
    <w:abstractNumId w:val="38"/>
  </w:num>
  <w:num w:numId="28">
    <w:abstractNumId w:val="49"/>
  </w:num>
  <w:num w:numId="29">
    <w:abstractNumId w:val="47"/>
  </w:num>
  <w:num w:numId="30">
    <w:abstractNumId w:val="9"/>
  </w:num>
  <w:num w:numId="31">
    <w:abstractNumId w:val="45"/>
  </w:num>
  <w:num w:numId="32">
    <w:abstractNumId w:val="40"/>
  </w:num>
  <w:num w:numId="33">
    <w:abstractNumId w:val="28"/>
  </w:num>
  <w:num w:numId="34">
    <w:abstractNumId w:val="41"/>
  </w:num>
  <w:num w:numId="35">
    <w:abstractNumId w:val="27"/>
  </w:num>
  <w:num w:numId="36">
    <w:abstractNumId w:val="4"/>
  </w:num>
  <w:num w:numId="37">
    <w:abstractNumId w:val="12"/>
  </w:num>
  <w:num w:numId="38">
    <w:abstractNumId w:val="16"/>
  </w:num>
  <w:num w:numId="39">
    <w:abstractNumId w:val="0"/>
  </w:num>
  <w:num w:numId="40">
    <w:abstractNumId w:val="37"/>
  </w:num>
  <w:num w:numId="41">
    <w:abstractNumId w:val="50"/>
  </w:num>
  <w:num w:numId="42">
    <w:abstractNumId w:val="42"/>
  </w:num>
  <w:num w:numId="43">
    <w:abstractNumId w:val="35"/>
  </w:num>
  <w:num w:numId="44">
    <w:abstractNumId w:val="25"/>
  </w:num>
  <w:num w:numId="45">
    <w:abstractNumId w:val="2"/>
  </w:num>
  <w:num w:numId="46">
    <w:abstractNumId w:val="6"/>
  </w:num>
  <w:num w:numId="47">
    <w:abstractNumId w:val="13"/>
  </w:num>
  <w:num w:numId="48">
    <w:abstractNumId w:val="3"/>
  </w:num>
  <w:num w:numId="49">
    <w:abstractNumId w:val="23"/>
  </w:num>
  <w:num w:numId="50">
    <w:abstractNumId w:val="26"/>
  </w:num>
  <w:num w:numId="51">
    <w:abstractNumId w:val="46"/>
  </w:num>
  <w:num w:numId="52">
    <w:abstractNumId w:val="48"/>
  </w:num>
  <w:num w:numId="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numFmt w:val="chicago"/>
    <w:numStart w:val="13"/>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4A93"/>
    <w:rsid w:val="00954A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aliases w:val="註腳文字 字元 Char,註腳文字 字元 Char Char"/>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正文缩进"/>
    <w:basedOn w:val="Normal"/>
    <w:pPr>
      <w:ind w:left="1021" w:firstLine="510"/>
    </w:p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英文本"/>
    <w:basedOn w:val="EndnoteText"/>
    <w:pPr>
      <w:keepLines w:val="0"/>
      <w:overflowPunct/>
      <w:spacing w:after="120" w:line="240" w:lineRule="auto"/>
      <w:ind w:firstLine="0"/>
      <w:jc w:val="left"/>
    </w:pPr>
    <w:rPr>
      <w:lang w:val="en-GB" w:eastAsia="en-US"/>
    </w:rPr>
  </w:style>
  <w:style w:type="paragraph" w:customStyle="1" w:styleId="normal1">
    <w:name w:val="normal1"/>
    <w:basedOn w:val="BlockText"/>
    <w:pPr>
      <w:numPr>
        <w:numId w:val="3"/>
      </w:numPr>
      <w:tabs>
        <w:tab w:val="clear" w:pos="567"/>
      </w:tabs>
      <w:spacing w:after="0"/>
      <w:ind w:right="0"/>
    </w:pPr>
    <w:rPr>
      <w:sz w:val="22"/>
      <w:szCs w:val="22"/>
    </w:rPr>
  </w:style>
  <w:style w:type="paragraph" w:styleId="BlockText">
    <w:name w:val="Block Text"/>
    <w:basedOn w:val="Normal"/>
    <w:semiHidden/>
    <w:pPr>
      <w:tabs>
        <w:tab w:val="left" w:pos="567"/>
      </w:tabs>
      <w:overflowPunct/>
      <w:adjustRightInd/>
      <w:snapToGrid/>
      <w:spacing w:after="120" w:line="240" w:lineRule="auto"/>
      <w:ind w:left="1440" w:right="1440"/>
    </w:pPr>
    <w:rPr>
      <w:rFonts w:eastAsia="PMingLiU"/>
      <w:snapToGrid/>
      <w:spacing w:val="0"/>
      <w:szCs w:val="24"/>
      <w:lang w:val="en-GB" w:eastAsia="en-US"/>
    </w:rPr>
  </w:style>
  <w:style w:type="paragraph" w:styleId="BodyTextIndent">
    <w:name w:val="Body Text Indent"/>
    <w:basedOn w:val="Normal"/>
    <w:semiHidden/>
    <w:pPr>
      <w:widowControl w:val="0"/>
      <w:overflowPunct/>
      <w:adjustRightInd/>
      <w:snapToGrid/>
      <w:spacing w:line="1000" w:lineRule="exact"/>
      <w:ind w:left="1701"/>
    </w:pPr>
    <w:rPr>
      <w:rFonts w:eastAsia="華康細明體"/>
      <w:bCs/>
      <w:snapToGrid/>
      <w:spacing w:val="20"/>
      <w:kern w:val="2"/>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47</Pages>
  <Words>4547</Words>
  <Characters>25920</Characters>
  <Application>Microsoft Office Word</Application>
  <DocSecurity>4</DocSecurity>
  <Lines>216</Lines>
  <Paragraphs>51</Paragraphs>
  <ScaleCrop>false</ScaleCrop>
  <HeadingPairs>
    <vt:vector size="4" baseType="variant">
      <vt:variant>
        <vt:lpstr>题目</vt:lpstr>
      </vt:variant>
      <vt:variant>
        <vt:i4>1</vt:i4>
      </vt:variant>
      <vt:variant>
        <vt:lpstr>标题</vt:lpstr>
      </vt:variant>
      <vt:variant>
        <vt:i4>27</vt:i4>
      </vt:variant>
    </vt:vector>
  </HeadingPairs>
  <TitlesOfParts>
    <vt:vector size="28" baseType="lpstr">
      <vt:lpstr>禁止酷刑委员会</vt:lpstr>
      <vt:lpstr>    审议缔约国根据《公约》第19条提交的报告</vt:lpstr>
      <vt:lpstr>        2001年到期的缔约国第四次定期报告</vt:lpstr>
      <vt:lpstr>        增  编</vt:lpstr>
      <vt:lpstr>    香港特别行政区* ** ***  </vt:lpstr>
      <vt:lpstr>    序  言</vt:lpstr>
      <vt:lpstr>    第I部：香港特别行政区概况</vt:lpstr>
      <vt:lpstr>        土地和人口</vt:lpstr>
      <vt:lpstr>        政制概况</vt:lpstr>
      <vt:lpstr>        政府体制</vt:lpstr>
      <vt:lpstr>        保障人权的法律架构概况</vt:lpstr>
      <vt:lpstr>    第II部：与公约第I部分各项条文有关的资料</vt:lpstr>
      <vt:lpstr>        第1条：“酷刑”的定义</vt:lpstr>
      <vt:lpstr>        第2条：防止酷刑行为的立法、行政、司法或其他措施</vt:lpstr>
      <vt:lpstr>        第3条：以酷刑为理由而拒绝驱逐、遣返或引渡</vt:lpstr>
      <vt:lpstr>        第4条：把酷刑行为定为刑事罪行</vt:lpstr>
      <vt:lpstr>        第5条：确立司法管辖权</vt:lpstr>
      <vt:lpstr>        第6条：拘留权</vt:lpstr>
      <vt:lpstr>        第7条：检控不进行引渡的罪犯</vt:lpstr>
      <vt:lpstr>        第8条：引渡安排</vt:lpstr>
      <vt:lpstr>        第9条：在酷刑罪行方面相互协助</vt:lpstr>
      <vt:lpstr>        第10条：有关禁止酷刑的教育和资料</vt:lpstr>
      <vt:lpstr>        第11条：检讨对被逮捕或拘留人士进行盘问的 规则、指示、方法和惯例</vt:lpstr>
      <vt:lpstr>        第12条：对酷刑行为立即进行公正的调查</vt:lpstr>
      <vt:lpstr>        第13条：投诉的权利</vt:lpstr>
      <vt:lpstr>        第14条：为遭受酷刑的人提供申索渠道以及可向       法院要求取得公平及适当赔偿的权利</vt:lpstr>
      <vt:lpstr>        第15条：不得援引任何以酷刑取得的口供为证据</vt:lpstr>
      <vt:lpstr>        第16条：防止其他残忍、不人道或有辱人格的待遇或处罚的行为</vt:lpstr>
    </vt:vector>
  </TitlesOfParts>
  <Company>Chinese Unit - GE</Company>
  <LinksUpToDate>false</LinksUpToDate>
  <CharactersWithSpaces>31831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禁止酷刑委员会</dc:title>
  <dc:subject/>
  <dc:creator>SI</dc:creator>
  <cp:keywords/>
  <dc:description>禁止酷刑和其他残忍、不人道或有辱人格的待遇或处罚公约</dc:description>
  <cp:lastModifiedBy>MLU</cp:lastModifiedBy>
  <cp:revision>2</cp:revision>
  <cp:lastPrinted>2007-02-14T08:46:00Z</cp:lastPrinted>
  <dcterms:created xsi:type="dcterms:W3CDTF">2007-02-14T08:47:00Z</dcterms:created>
  <dcterms:modified xsi:type="dcterms:W3CDTF">2007-02-14T08:47:00Z</dcterms:modified>
  <cp:category>CAT</cp:category>
</cp:coreProperties>
</file>